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C8022" w14:textId="4FDBBB84" w:rsidR="00B46444" w:rsidRDefault="00C27D88">
      <w:pPr>
        <w:jc w:val="center"/>
        <w:rPr>
          <w:rFonts w:ascii="Calibri" w:eastAsia="Calibri" w:hAnsi="Calibri" w:cs="Calibri"/>
          <w:b/>
          <w:sz w:val="24"/>
          <w:szCs w:val="24"/>
        </w:rPr>
      </w:pPr>
      <w:r>
        <w:rPr>
          <w:noProof/>
        </w:rPr>
        <w:drawing>
          <wp:anchor distT="0" distB="0" distL="114300" distR="114300" simplePos="0" relativeHeight="251658240" behindDoc="0" locked="0" layoutInCell="1" allowOverlap="1" wp14:anchorId="4A86FAB9" wp14:editId="0608FEDE">
            <wp:simplePos x="0" y="0"/>
            <wp:positionH relativeFrom="margin">
              <wp:posOffset>-468630</wp:posOffset>
            </wp:positionH>
            <wp:positionV relativeFrom="margin">
              <wp:posOffset>-392718</wp:posOffset>
            </wp:positionV>
            <wp:extent cx="7801610" cy="9964420"/>
            <wp:effectExtent l="0" t="0" r="0" b="5080"/>
            <wp:wrapSquare wrapText="bothSides"/>
            <wp:docPr id="571658425" name="Picture 1" descr="A documen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58425" name="Picture 1" descr="A document with text and imag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801610" cy="9964420"/>
                    </a:xfrm>
                    <a:prstGeom prst="rect">
                      <a:avLst/>
                    </a:prstGeom>
                  </pic:spPr>
                </pic:pic>
              </a:graphicData>
            </a:graphic>
            <wp14:sizeRelH relativeFrom="margin">
              <wp14:pctWidth>0</wp14:pctWidth>
            </wp14:sizeRelH>
            <wp14:sizeRelV relativeFrom="margin">
              <wp14:pctHeight>0</wp14:pctHeight>
            </wp14:sizeRelV>
          </wp:anchor>
        </w:drawing>
      </w:r>
    </w:p>
    <w:p w14:paraId="441C6ECA" w14:textId="5FB20FEF" w:rsidR="00B46444" w:rsidRDefault="00000000">
      <w:pPr>
        <w:pStyle w:val="Heading2"/>
        <w:rPr>
          <w:rFonts w:ascii="Calibri" w:eastAsia="Calibri" w:hAnsi="Calibri" w:cs="Calibri"/>
          <w:color w:val="FF6600"/>
          <w:sz w:val="30"/>
          <w:szCs w:val="30"/>
        </w:rPr>
      </w:pPr>
      <w:bookmarkStart w:id="0" w:name="_xk2tvayl4onk" w:colFirst="0" w:colLast="0"/>
      <w:bookmarkStart w:id="1" w:name="_p2v0glw19vbz" w:colFirst="0" w:colLast="0"/>
      <w:bookmarkStart w:id="2" w:name="_i0drysnbak1" w:colFirst="0" w:colLast="0"/>
      <w:bookmarkEnd w:id="0"/>
      <w:bookmarkEnd w:id="1"/>
      <w:bookmarkEnd w:id="2"/>
      <w:r>
        <w:rPr>
          <w:rFonts w:ascii="Calibri" w:eastAsia="Calibri" w:hAnsi="Calibri" w:cs="Calibri"/>
          <w:color w:val="FF6600"/>
          <w:sz w:val="30"/>
          <w:szCs w:val="30"/>
        </w:rPr>
        <w:lastRenderedPageBreak/>
        <w:t>Part I. Introduction</w:t>
      </w:r>
    </w:p>
    <w:p w14:paraId="11D32615" w14:textId="77777777" w:rsidR="00B46444" w:rsidRDefault="00B46444">
      <w:pPr>
        <w:spacing w:line="240" w:lineRule="auto"/>
        <w:ind w:firstLine="720"/>
        <w:rPr>
          <w:rFonts w:ascii="Calibri" w:eastAsia="Calibri" w:hAnsi="Calibri" w:cs="Calibri"/>
          <w:sz w:val="24"/>
          <w:szCs w:val="24"/>
        </w:rPr>
      </w:pPr>
    </w:p>
    <w:p w14:paraId="6C68C047" w14:textId="7E581493" w:rsidR="00B46444" w:rsidRDefault="00000000">
      <w:pPr>
        <w:spacing w:line="240" w:lineRule="auto"/>
        <w:jc w:val="both"/>
        <w:rPr>
          <w:rFonts w:ascii="Calibri" w:eastAsia="Calibri" w:hAnsi="Calibri" w:cs="Calibri"/>
          <w:sz w:val="24"/>
          <w:szCs w:val="24"/>
        </w:rPr>
      </w:pPr>
      <w:r>
        <w:rPr>
          <w:rFonts w:ascii="Calibri" w:eastAsia="Calibri" w:hAnsi="Calibri" w:cs="Calibri"/>
          <w:sz w:val="24"/>
          <w:szCs w:val="24"/>
        </w:rPr>
        <w:t xml:space="preserve">This Joint Civil Society CEDAW Report was prepared in collaboration between </w:t>
      </w:r>
      <w:proofErr w:type="spellStart"/>
      <w:r>
        <w:rPr>
          <w:rFonts w:ascii="Calibri" w:eastAsia="Calibri" w:hAnsi="Calibri" w:cs="Calibri"/>
          <w:sz w:val="24"/>
          <w:szCs w:val="24"/>
        </w:rPr>
        <w:t>Manushya</w:t>
      </w:r>
      <w:proofErr w:type="spellEnd"/>
      <w:r>
        <w:rPr>
          <w:rFonts w:ascii="Calibri" w:eastAsia="Calibri" w:hAnsi="Calibri" w:cs="Calibri"/>
          <w:sz w:val="24"/>
          <w:szCs w:val="24"/>
        </w:rPr>
        <w:t xml:space="preserve"> Foundation, Intersex Thailand, </w:t>
      </w:r>
      <w:proofErr w:type="spellStart"/>
      <w:r>
        <w:rPr>
          <w:rFonts w:ascii="Calibri" w:eastAsia="Calibri" w:hAnsi="Calibri" w:cs="Calibri"/>
          <w:sz w:val="24"/>
          <w:szCs w:val="24"/>
        </w:rPr>
        <w:t>Mokeluang</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Rimnam</w:t>
      </w:r>
      <w:proofErr w:type="spellEnd"/>
      <w:r>
        <w:rPr>
          <w:rFonts w:ascii="Calibri" w:eastAsia="Calibri" w:hAnsi="Calibri" w:cs="Calibri"/>
          <w:sz w:val="24"/>
          <w:szCs w:val="24"/>
        </w:rPr>
        <w:t xml:space="preserve">, Young Pride Foundation, </w:t>
      </w:r>
      <w:proofErr w:type="spellStart"/>
      <w:r>
        <w:rPr>
          <w:rFonts w:ascii="Calibri" w:eastAsia="Calibri" w:hAnsi="Calibri" w:cs="Calibri"/>
          <w:sz w:val="24"/>
          <w:szCs w:val="24"/>
        </w:rPr>
        <w:t>Tamtang</w:t>
      </w:r>
      <w:proofErr w:type="spellEnd"/>
      <w:r>
        <w:rPr>
          <w:rFonts w:ascii="Calibri" w:eastAsia="Calibri" w:hAnsi="Calibri" w:cs="Calibri"/>
          <w:sz w:val="24"/>
          <w:szCs w:val="24"/>
        </w:rPr>
        <w:t xml:space="preserve"> Foundation and the Patani Working Group for Monitoring on International Mechanisms (for more details on submitting organizations, see ANNEX 1), to be considered by the </w:t>
      </w:r>
      <w:r w:rsidR="004F1E37">
        <w:rPr>
          <w:rFonts w:ascii="Calibri" w:eastAsia="Calibri" w:hAnsi="Calibri" w:cs="Calibri"/>
          <w:sz w:val="24"/>
          <w:szCs w:val="24"/>
        </w:rPr>
        <w:t>CEDAW Committee</w:t>
      </w:r>
      <w:r>
        <w:rPr>
          <w:rFonts w:ascii="Calibri" w:eastAsia="Calibri" w:hAnsi="Calibri" w:cs="Calibri"/>
          <w:sz w:val="24"/>
          <w:szCs w:val="24"/>
        </w:rPr>
        <w:t xml:space="preserve"> during its 91</w:t>
      </w:r>
      <w:r w:rsidR="005C4EEB" w:rsidRPr="005C4EEB">
        <w:rPr>
          <w:rFonts w:ascii="Calibri" w:eastAsia="Calibri" w:hAnsi="Calibri" w:cs="Calibri"/>
          <w:sz w:val="24"/>
          <w:szCs w:val="24"/>
          <w:vertAlign w:val="superscript"/>
        </w:rPr>
        <w:t>st</w:t>
      </w:r>
      <w:r w:rsidR="005C4EEB">
        <w:rPr>
          <w:rFonts w:ascii="Calibri" w:eastAsia="Calibri" w:hAnsi="Calibri" w:cs="Calibri"/>
          <w:sz w:val="24"/>
          <w:szCs w:val="24"/>
        </w:rPr>
        <w:t xml:space="preserve"> </w:t>
      </w:r>
      <w:r>
        <w:rPr>
          <w:rFonts w:ascii="Calibri" w:eastAsia="Calibri" w:hAnsi="Calibri" w:cs="Calibri"/>
          <w:sz w:val="24"/>
          <w:szCs w:val="24"/>
        </w:rPr>
        <w:t>Session</w:t>
      </w:r>
      <w:r w:rsidR="005C4EEB">
        <w:rPr>
          <w:rFonts w:ascii="Calibri" w:eastAsia="Calibri" w:hAnsi="Calibri" w:cs="Calibri"/>
          <w:sz w:val="24"/>
          <w:szCs w:val="24"/>
        </w:rPr>
        <w:t xml:space="preserve">. </w:t>
      </w:r>
      <w:r>
        <w:rPr>
          <w:rFonts w:ascii="Calibri" w:eastAsia="Calibri" w:hAnsi="Calibri" w:cs="Calibri"/>
          <w:sz w:val="24"/>
          <w:szCs w:val="24"/>
        </w:rPr>
        <w:t xml:space="preserve">It builds on the 2022 Joint Civil Society CEDAW Report by </w:t>
      </w:r>
      <w:proofErr w:type="spellStart"/>
      <w:r>
        <w:rPr>
          <w:rFonts w:ascii="Calibri" w:eastAsia="Calibri" w:hAnsi="Calibri" w:cs="Calibri"/>
          <w:sz w:val="24"/>
          <w:szCs w:val="24"/>
        </w:rPr>
        <w:t>Manushya</w:t>
      </w:r>
      <w:proofErr w:type="spellEnd"/>
      <w:r>
        <w:rPr>
          <w:rFonts w:ascii="Calibri" w:eastAsia="Calibri" w:hAnsi="Calibri" w:cs="Calibri"/>
          <w:sz w:val="24"/>
          <w:szCs w:val="24"/>
        </w:rPr>
        <w:t xml:space="preserve"> and partners </w:t>
      </w:r>
      <w:r w:rsidR="005C4EEB">
        <w:rPr>
          <w:rFonts w:ascii="Calibri" w:eastAsia="Calibri" w:hAnsi="Calibri" w:cs="Calibri"/>
          <w:sz w:val="24"/>
          <w:szCs w:val="24"/>
        </w:rPr>
        <w:t>which informed the LOIs issued by the</w:t>
      </w:r>
      <w:r>
        <w:rPr>
          <w:rFonts w:ascii="Calibri" w:eastAsia="Calibri" w:hAnsi="Calibri" w:cs="Calibri"/>
          <w:sz w:val="24"/>
          <w:szCs w:val="24"/>
        </w:rPr>
        <w:t xml:space="preserve"> Committee during its Pre-sessional W</w:t>
      </w:r>
      <w:r w:rsidR="00B43B69">
        <w:rPr>
          <w:rFonts w:ascii="Calibri" w:eastAsia="Calibri" w:hAnsi="Calibri" w:cs="Calibri"/>
          <w:sz w:val="24"/>
          <w:szCs w:val="24"/>
        </w:rPr>
        <w:t>G</w:t>
      </w:r>
      <w:r>
        <w:rPr>
          <w:rFonts w:ascii="Calibri" w:eastAsia="Calibri" w:hAnsi="Calibri" w:cs="Calibri"/>
          <w:sz w:val="24"/>
          <w:szCs w:val="24"/>
        </w:rPr>
        <w:t xml:space="preserve"> for its 85th Session</w:t>
      </w:r>
      <w:r>
        <w:rPr>
          <w:rFonts w:ascii="Calibri" w:eastAsia="Calibri" w:hAnsi="Calibri" w:cs="Calibri"/>
          <w:sz w:val="24"/>
          <w:szCs w:val="24"/>
          <w:vertAlign w:val="superscript"/>
        </w:rPr>
        <w:footnoteReference w:id="1"/>
      </w:r>
      <w:r w:rsidR="005C4EEB">
        <w:rPr>
          <w:rFonts w:ascii="Calibri" w:eastAsia="Calibri" w:hAnsi="Calibri" w:cs="Calibri"/>
          <w:sz w:val="24"/>
          <w:szCs w:val="24"/>
        </w:rPr>
        <w:t>. I</w:t>
      </w:r>
      <w:r>
        <w:rPr>
          <w:rFonts w:ascii="Calibri" w:eastAsia="Calibri" w:hAnsi="Calibri" w:cs="Calibri"/>
          <w:sz w:val="24"/>
          <w:szCs w:val="24"/>
        </w:rPr>
        <w:t>t importantly includes diligent analysis and valuable information, obtained through on-the-ground data collection and knowledge sharing, by our group of local partners who all identify as</w:t>
      </w:r>
      <w:r w:rsidR="00B43B69">
        <w:rPr>
          <w:rFonts w:ascii="Calibri" w:eastAsia="Calibri" w:hAnsi="Calibri" w:cs="Calibri"/>
          <w:sz w:val="24"/>
          <w:szCs w:val="24"/>
        </w:rPr>
        <w:t xml:space="preserve"> </w:t>
      </w:r>
      <w:r>
        <w:rPr>
          <w:rFonts w:ascii="Calibri" w:eastAsia="Calibri" w:hAnsi="Calibri" w:cs="Calibri"/>
          <w:sz w:val="24"/>
          <w:szCs w:val="24"/>
        </w:rPr>
        <w:t xml:space="preserve">WHRDs, Intersectional Feminists, Women and </w:t>
      </w:r>
      <w:r>
        <w:rPr>
          <w:rFonts w:ascii="Calibri" w:eastAsia="Calibri" w:hAnsi="Calibri" w:cs="Calibri"/>
          <w:color w:val="1D1C1D"/>
          <w:sz w:val="24"/>
          <w:szCs w:val="24"/>
          <w:shd w:val="clear" w:color="auto" w:fill="F8F8F8"/>
        </w:rPr>
        <w:t>LBTQIAN+</w:t>
      </w:r>
      <w:r>
        <w:rPr>
          <w:rFonts w:ascii="Calibri" w:eastAsia="Calibri" w:hAnsi="Calibri" w:cs="Calibri"/>
          <w:sz w:val="24"/>
          <w:szCs w:val="24"/>
        </w:rPr>
        <w:t>, and</w:t>
      </w:r>
      <w:r w:rsidR="00B43B69">
        <w:rPr>
          <w:rFonts w:ascii="Calibri" w:eastAsia="Calibri" w:hAnsi="Calibri" w:cs="Calibri"/>
          <w:sz w:val="24"/>
          <w:szCs w:val="24"/>
        </w:rPr>
        <w:t xml:space="preserve"> </w:t>
      </w:r>
      <w:r>
        <w:rPr>
          <w:rFonts w:ascii="Calibri" w:eastAsia="Calibri" w:hAnsi="Calibri" w:cs="Calibri"/>
          <w:sz w:val="24"/>
          <w:szCs w:val="24"/>
        </w:rPr>
        <w:t xml:space="preserve">Historically Marginalized Groups in Thailand. </w:t>
      </w:r>
    </w:p>
    <w:p w14:paraId="09A55D08" w14:textId="77777777" w:rsidR="00B46444" w:rsidRDefault="00B46444">
      <w:pPr>
        <w:pStyle w:val="Heading2"/>
        <w:rPr>
          <w:rFonts w:ascii="Calibri" w:eastAsia="Calibri" w:hAnsi="Calibri" w:cs="Calibri"/>
          <w:color w:val="FF6600"/>
          <w:sz w:val="28"/>
          <w:szCs w:val="28"/>
        </w:rPr>
      </w:pPr>
      <w:bookmarkStart w:id="3" w:name="_s30remsonso4" w:colFirst="0" w:colLast="0"/>
      <w:bookmarkEnd w:id="3"/>
    </w:p>
    <w:p w14:paraId="27EEAB56" w14:textId="77777777" w:rsidR="00B46444" w:rsidRDefault="00000000">
      <w:pPr>
        <w:pStyle w:val="Heading2"/>
        <w:rPr>
          <w:rFonts w:ascii="Calibri" w:eastAsia="Calibri" w:hAnsi="Calibri" w:cs="Calibri"/>
          <w:color w:val="FF6600"/>
          <w:sz w:val="30"/>
          <w:szCs w:val="30"/>
        </w:rPr>
      </w:pPr>
      <w:bookmarkStart w:id="4" w:name="_bdn2q8p87nmc" w:colFirst="0" w:colLast="0"/>
      <w:bookmarkEnd w:id="4"/>
      <w:r>
        <w:rPr>
          <w:rFonts w:ascii="Calibri" w:eastAsia="Calibri" w:hAnsi="Calibri" w:cs="Calibri"/>
          <w:color w:val="FF6600"/>
          <w:sz w:val="30"/>
          <w:szCs w:val="30"/>
        </w:rPr>
        <w:t>Part II. Key Issues</w:t>
      </w:r>
    </w:p>
    <w:p w14:paraId="0A2FDB43" w14:textId="77777777" w:rsidR="00B46444" w:rsidRDefault="00B46444">
      <w:pPr>
        <w:rPr>
          <w:rFonts w:ascii="Calibri" w:eastAsia="Calibri" w:hAnsi="Calibri" w:cs="Calibri"/>
        </w:rPr>
      </w:pPr>
    </w:p>
    <w:p w14:paraId="68FB44B9" w14:textId="77777777" w:rsidR="00B46444" w:rsidRDefault="00000000">
      <w:pPr>
        <w:pStyle w:val="Heading3"/>
        <w:rPr>
          <w:sz w:val="26"/>
          <w:szCs w:val="26"/>
        </w:rPr>
      </w:pPr>
      <w:bookmarkStart w:id="5" w:name="_cb7xyogvr20a" w:colFirst="0" w:colLast="0"/>
      <w:bookmarkEnd w:id="5"/>
      <w:r>
        <w:rPr>
          <w:sz w:val="26"/>
          <w:szCs w:val="26"/>
        </w:rPr>
        <w:t>Article 1: Definition of Discrimination</w:t>
      </w:r>
    </w:p>
    <w:p w14:paraId="0A884D92" w14:textId="77777777" w:rsidR="00B46444" w:rsidRDefault="00000000">
      <w:pPr>
        <w:widowControl w:val="0"/>
        <w:numPr>
          <w:ilvl w:val="0"/>
          <w:numId w:val="1"/>
        </w:numPr>
        <w:spacing w:before="240" w:after="240" w:line="240" w:lineRule="auto"/>
        <w:jc w:val="both"/>
        <w:rPr>
          <w:rFonts w:ascii="Calibri" w:eastAsia="Calibri" w:hAnsi="Calibri" w:cs="Calibri"/>
        </w:rPr>
      </w:pPr>
      <w:r>
        <w:rPr>
          <w:rFonts w:ascii="Calibri" w:eastAsia="Calibri" w:hAnsi="Calibri" w:cs="Calibri"/>
        </w:rPr>
        <w:t>Nearly four decades since ratifying the CEDAW Convention, Thailand has yet to align its legal definition of discrimination with the Convention’s standards. Section 27 of the 2017 Constitution</w:t>
      </w:r>
      <w:r>
        <w:rPr>
          <w:rFonts w:ascii="Calibri" w:eastAsia="Calibri" w:hAnsi="Calibri" w:cs="Calibri"/>
          <w:vertAlign w:val="superscript"/>
        </w:rPr>
        <w:footnoteReference w:id="2"/>
      </w:r>
      <w:r>
        <w:rPr>
          <w:rFonts w:ascii="Calibri" w:eastAsia="Calibri" w:hAnsi="Calibri" w:cs="Calibri"/>
        </w:rPr>
        <w:t xml:space="preserve"> states that “men and women shall enjoy equal rights” and prohibits “unjust discrimination” on various grounds, including sex. However, this vague and incomplete language falls short of CEDAW’s definition and fails to protect those most impacted by structural inequality.</w:t>
      </w:r>
    </w:p>
    <w:p w14:paraId="2A147DC8" w14:textId="77777777" w:rsidR="00B46444" w:rsidRDefault="00000000">
      <w:pPr>
        <w:widowControl w:val="0"/>
        <w:numPr>
          <w:ilvl w:val="0"/>
          <w:numId w:val="1"/>
        </w:numPr>
        <w:spacing w:before="240" w:after="240" w:line="240" w:lineRule="auto"/>
        <w:jc w:val="both"/>
        <w:rPr>
          <w:rFonts w:ascii="Calibri" w:eastAsia="Calibri" w:hAnsi="Calibri" w:cs="Calibri"/>
        </w:rPr>
      </w:pPr>
      <w:r>
        <w:rPr>
          <w:rFonts w:ascii="Calibri" w:eastAsia="Calibri" w:hAnsi="Calibri" w:cs="Calibri"/>
        </w:rPr>
        <w:t>The term “just discrimination” remains undefined in the Constitution, creating dangerous legal ambiguity. In practice, it allows the State to justify discriminatory policies and practices under the guise of constitutional conformity, particularly against those who challenge dominant power structures. This includes women human rights defenders (WHRDs), Indigenous women, sex workers, migrant and stateless women, and LGBTQIAN+ persons.</w:t>
      </w:r>
    </w:p>
    <w:p w14:paraId="6F2A2DC8" w14:textId="77777777" w:rsidR="00B46444" w:rsidRDefault="00000000">
      <w:pPr>
        <w:widowControl w:val="0"/>
        <w:numPr>
          <w:ilvl w:val="0"/>
          <w:numId w:val="1"/>
        </w:numPr>
        <w:spacing w:before="240" w:after="240" w:line="240" w:lineRule="auto"/>
        <w:jc w:val="both"/>
        <w:rPr>
          <w:rFonts w:ascii="Calibri" w:eastAsia="Calibri" w:hAnsi="Calibri" w:cs="Calibri"/>
        </w:rPr>
      </w:pPr>
      <w:r>
        <w:rPr>
          <w:rFonts w:ascii="Calibri" w:eastAsia="Calibri" w:hAnsi="Calibri" w:cs="Calibri"/>
        </w:rPr>
        <w:t>Moreover, the definition of “unjust discrimination” in Section 27 is not comprehensive. It omits critical grounds of discrimination such as gender identity, gender expression, sexual orientation, sex characteristics, descent, color, statelessness, and Indigenous identity. This exclusion renders Historically Marginalized Groups (HMGs) invisible in the eyes of the law, denying them access to justice and the full enjoyment of their rights.</w:t>
      </w:r>
    </w:p>
    <w:p w14:paraId="402B407A" w14:textId="77777777" w:rsidR="00B46444" w:rsidRDefault="00000000">
      <w:pPr>
        <w:widowControl w:val="0"/>
        <w:numPr>
          <w:ilvl w:val="0"/>
          <w:numId w:val="1"/>
        </w:numPr>
        <w:spacing w:before="240" w:after="240" w:line="240" w:lineRule="auto"/>
        <w:jc w:val="both"/>
        <w:rPr>
          <w:rFonts w:ascii="Calibri" w:eastAsia="Calibri" w:hAnsi="Calibri" w:cs="Calibri"/>
        </w:rPr>
      </w:pPr>
      <w:r>
        <w:rPr>
          <w:rFonts w:ascii="Calibri" w:eastAsia="Calibri" w:hAnsi="Calibri" w:cs="Calibri"/>
        </w:rPr>
        <w:t xml:space="preserve">The Constitution also implies that discrimination based on political opinion may be permissible if such views are </w:t>
      </w:r>
      <w:r>
        <w:rPr>
          <w:rFonts w:ascii="Calibri" w:eastAsia="Calibri" w:hAnsi="Calibri" w:cs="Calibri"/>
        </w:rPr>
        <w:lastRenderedPageBreak/>
        <w:t>“contrary to the provisions of the Constitution.” In the context of shrinking civic space, this clause is deeply concerning, enabling the State to weaponize the law against those exercising dissent or defending human rights.</w:t>
      </w:r>
    </w:p>
    <w:p w14:paraId="565554AC" w14:textId="77777777" w:rsidR="00B46444" w:rsidRDefault="00000000">
      <w:pPr>
        <w:widowControl w:val="0"/>
        <w:numPr>
          <w:ilvl w:val="0"/>
          <w:numId w:val="1"/>
        </w:numPr>
        <w:spacing w:before="240" w:after="240" w:line="240" w:lineRule="auto"/>
        <w:jc w:val="both"/>
        <w:rPr>
          <w:rFonts w:ascii="Calibri" w:eastAsia="Calibri" w:hAnsi="Calibri" w:cs="Calibri"/>
        </w:rPr>
      </w:pPr>
      <w:r>
        <w:rPr>
          <w:rFonts w:ascii="Calibri" w:eastAsia="Calibri" w:hAnsi="Calibri" w:cs="Calibri"/>
        </w:rPr>
        <w:t>By failing to adopt a definition of discrimination that includes direct, indirect, structural, and intersectional discrimination, the Thai State continues to deny protection and redress to the women and gender-diverse people most at risk.</w:t>
      </w:r>
    </w:p>
    <w:p w14:paraId="229E27D9" w14:textId="77777777" w:rsidR="00B46444" w:rsidRDefault="00000000">
      <w:pPr>
        <w:pStyle w:val="Heading3"/>
        <w:widowControl w:val="0"/>
        <w:rPr>
          <w:sz w:val="26"/>
          <w:szCs w:val="26"/>
        </w:rPr>
      </w:pPr>
      <w:bookmarkStart w:id="6" w:name="_wa42wwua67h" w:colFirst="0" w:colLast="0"/>
      <w:bookmarkEnd w:id="6"/>
      <w:r>
        <w:rPr>
          <w:sz w:val="26"/>
          <w:szCs w:val="26"/>
        </w:rPr>
        <w:t>Article 2: Policy Measures to be Undertaken to Eliminate Discrimination</w:t>
      </w:r>
    </w:p>
    <w:p w14:paraId="286B6FBF" w14:textId="77777777" w:rsidR="00B46444" w:rsidRDefault="00B46444">
      <w:pPr>
        <w:widowControl w:val="0"/>
        <w:spacing w:line="240" w:lineRule="auto"/>
        <w:rPr>
          <w:rFonts w:ascii="Calibri" w:eastAsia="Calibri" w:hAnsi="Calibri" w:cs="Calibri"/>
          <w:b/>
          <w:color w:val="FF9900"/>
        </w:rPr>
      </w:pPr>
    </w:p>
    <w:p w14:paraId="3CAAC9E7" w14:textId="77777777" w:rsidR="00B46444" w:rsidRDefault="00000000">
      <w:pPr>
        <w:widowControl w:val="0"/>
        <w:spacing w:line="240" w:lineRule="auto"/>
        <w:rPr>
          <w:rFonts w:ascii="Calibri" w:eastAsia="Calibri" w:hAnsi="Calibri" w:cs="Calibri"/>
          <w:b/>
          <w:color w:val="FF9900"/>
          <w:sz w:val="24"/>
          <w:szCs w:val="24"/>
        </w:rPr>
      </w:pPr>
      <w:r>
        <w:rPr>
          <w:rFonts w:ascii="Calibri" w:eastAsia="Calibri" w:hAnsi="Calibri" w:cs="Calibri"/>
          <w:b/>
          <w:color w:val="FF9900"/>
          <w:sz w:val="24"/>
          <w:szCs w:val="24"/>
        </w:rPr>
        <w:t>Issue: Legislative and Institutional Framework</w:t>
      </w:r>
    </w:p>
    <w:p w14:paraId="7F1082BF"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6. </w:t>
      </w:r>
      <w:r>
        <w:rPr>
          <w:rFonts w:ascii="Calibri" w:eastAsia="Calibri" w:hAnsi="Calibri" w:cs="Calibri"/>
        </w:rPr>
        <w:tab/>
        <w:t xml:space="preserve">Thailand has yet to fulfill its obligation under Article 2 of the Convention to take all appropriate measures to eliminate discrimination against all women. The </w:t>
      </w:r>
      <w:hyperlink r:id="rId8">
        <w:r w:rsidR="00B46444">
          <w:rPr>
            <w:rFonts w:ascii="Calibri" w:eastAsia="Calibri" w:hAnsi="Calibri" w:cs="Calibri"/>
            <w:color w:val="1155CC"/>
            <w:u w:val="single"/>
          </w:rPr>
          <w:t>2015 Gender Equality Act</w:t>
        </w:r>
      </w:hyperlink>
      <w:r>
        <w:rPr>
          <w:rFonts w:ascii="Calibri" w:eastAsia="Calibri" w:hAnsi="Calibri" w:cs="Calibri"/>
          <w:vertAlign w:val="superscript"/>
        </w:rPr>
        <w:footnoteReference w:id="3"/>
      </w:r>
      <w:r>
        <w:rPr>
          <w:rFonts w:ascii="Calibri" w:eastAsia="Calibri" w:hAnsi="Calibri" w:cs="Calibri"/>
        </w:rPr>
        <w:t xml:space="preserve"> , though a step forward, remains insufficient in both scope and enforcement.</w:t>
      </w:r>
    </w:p>
    <w:p w14:paraId="3774E5CE"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7. </w:t>
      </w:r>
      <w:r>
        <w:rPr>
          <w:rFonts w:ascii="Calibri" w:eastAsia="Calibri" w:hAnsi="Calibri" w:cs="Calibri"/>
        </w:rPr>
        <w:tab/>
        <w:t>Community members interviewed for this report, including AT (a Muslim WHRD from Southern Thailand) and PT (a pro-democracy &amp; queer WHRD), have testified to the gap between law and practice. As PT powerfully stated, "Only a fraction of Thai laws aligned with CEDAW are implemented fairly. The rest remain paper promises, while violations continue unchecked, often by the State itself."</w:t>
      </w:r>
    </w:p>
    <w:p w14:paraId="1AA0D273"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8. </w:t>
      </w:r>
      <w:r>
        <w:rPr>
          <w:rFonts w:ascii="Calibri" w:eastAsia="Calibri" w:hAnsi="Calibri" w:cs="Calibri"/>
        </w:rPr>
        <w:tab/>
        <w:t xml:space="preserve">Section 17(2) of the Gender Equality Act still allows exceptions to the prohibition of discrimination </w:t>
      </w:r>
      <w:proofErr w:type="gramStart"/>
      <w:r>
        <w:rPr>
          <w:rFonts w:ascii="Calibri" w:eastAsia="Calibri" w:hAnsi="Calibri" w:cs="Calibri"/>
        </w:rPr>
        <w:t>on the basis of</w:t>
      </w:r>
      <w:proofErr w:type="gramEnd"/>
      <w:r>
        <w:rPr>
          <w:rFonts w:ascii="Calibri" w:eastAsia="Calibri" w:hAnsi="Calibri" w:cs="Calibri"/>
        </w:rPr>
        <w:t xml:space="preserve"> gender. Although the 2024 State Report notes that a review is being considered to amend this provision, there is no clear timeline, transparency, or civil society engagement. Furthermore, the Act lacks clear protections against discrimination justified on the grounds of "national security" or "religious principles," both of which have been weaponized against transgender women and Muslim women in the Southern Border Provinces.</w:t>
      </w:r>
    </w:p>
    <w:p w14:paraId="26B64B9D"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9. </w:t>
      </w:r>
      <w:r>
        <w:rPr>
          <w:rFonts w:ascii="Calibri" w:eastAsia="Calibri" w:hAnsi="Calibri" w:cs="Calibri"/>
        </w:rPr>
        <w:tab/>
        <w:t>As AT noted, CEDAW and other international frameworks have yet to meaningfully penetrate policymaking processes in these regions, leaving entire communities outside the scope of protection. This reflects a broader systemic issue: the failure of the State to operationalize CEDAW commitments across ministries and legal frameworks.</w:t>
      </w:r>
    </w:p>
    <w:p w14:paraId="3A7F849A"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10. The Parliament's failure to pass the </w:t>
      </w:r>
      <w:hyperlink r:id="rId9">
        <w:r w:rsidR="00B46444">
          <w:rPr>
            <w:rFonts w:ascii="Calibri" w:eastAsia="Calibri" w:hAnsi="Calibri" w:cs="Calibri"/>
            <w:color w:val="1155CC"/>
            <w:u w:val="single"/>
          </w:rPr>
          <w:t>Gender Recognition Bill</w:t>
        </w:r>
      </w:hyperlink>
      <w:r>
        <w:rPr>
          <w:rFonts w:ascii="Calibri" w:eastAsia="Calibri" w:hAnsi="Calibri" w:cs="Calibri"/>
          <w:vertAlign w:val="superscript"/>
        </w:rPr>
        <w:footnoteReference w:id="4"/>
      </w:r>
      <w:r>
        <w:rPr>
          <w:rFonts w:ascii="Calibri" w:eastAsia="Calibri" w:hAnsi="Calibri" w:cs="Calibri"/>
        </w:rPr>
        <w:t xml:space="preserve"> proposed by the progressive political party, Move Forward Party, in February 2024, is emblematic. The rejection was driven by members of conservative parties and elite political figures who uphold patriarchal and binary gender norms. As TS, a non-binary HRD explained, the State continues to enforce a binary gender structure, erasing the realities of those who do not conform. "The Thai legal system still adheres strictly to binary gender norms; there is no option to select ‘X’ as a gender marker or </w:t>
      </w:r>
      <w:r>
        <w:rPr>
          <w:rFonts w:ascii="Calibri" w:eastAsia="Calibri" w:hAnsi="Calibri" w:cs="Calibri"/>
        </w:rPr>
        <w:lastRenderedPageBreak/>
        <w:t>omit gender entirely."</w:t>
      </w:r>
    </w:p>
    <w:p w14:paraId="490ED51F"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11. </w:t>
      </w:r>
      <w:r>
        <w:rPr>
          <w:rFonts w:ascii="Calibri" w:eastAsia="Calibri" w:hAnsi="Calibri" w:cs="Calibri"/>
        </w:rPr>
        <w:tab/>
        <w:t xml:space="preserve">In contrast, the </w:t>
      </w:r>
      <w:hyperlink r:id="rId10">
        <w:r w:rsidR="00B46444">
          <w:rPr>
            <w:rFonts w:ascii="Calibri" w:eastAsia="Calibri" w:hAnsi="Calibri" w:cs="Calibri"/>
            <w:color w:val="1155CC"/>
            <w:u w:val="single"/>
          </w:rPr>
          <w:t>Intersex Protection Bill</w:t>
        </w:r>
      </w:hyperlink>
      <w:r>
        <w:rPr>
          <w:rFonts w:ascii="Calibri" w:eastAsia="Calibri" w:hAnsi="Calibri" w:cs="Calibri"/>
        </w:rPr>
        <w:t xml:space="preserve"> </w:t>
      </w:r>
      <w:r>
        <w:rPr>
          <w:rFonts w:ascii="Calibri" w:eastAsia="Calibri" w:hAnsi="Calibri" w:cs="Calibri"/>
          <w:highlight w:val="white"/>
        </w:rPr>
        <w:t>[</w:t>
      </w:r>
      <w:r>
        <w:rPr>
          <w:rFonts w:ascii="Calibri" w:eastAsia="Calibri" w:hAnsi="Calibri" w:cs="Calibri"/>
          <w:i/>
          <w:color w:val="1D1C1D"/>
          <w:highlight w:val="white"/>
        </w:rPr>
        <w:t>Draft Act on The Self-Determination of Gender Identity, Gender Expression, and Sex Characteristics Act B.E. ....</w:t>
      </w:r>
      <w:r>
        <w:rPr>
          <w:rFonts w:ascii="Calibri" w:eastAsia="Calibri" w:hAnsi="Calibri" w:cs="Calibri"/>
          <w:color w:val="1D1C1D"/>
          <w:highlight w:val="white"/>
        </w:rPr>
        <w:t>(May 2025)]</w:t>
      </w:r>
      <w:r>
        <w:rPr>
          <w:rFonts w:ascii="Calibri" w:eastAsia="Calibri" w:hAnsi="Calibri" w:cs="Calibri"/>
          <w:color w:val="1D1C1D"/>
          <w:highlight w:val="white"/>
          <w:vertAlign w:val="superscript"/>
        </w:rPr>
        <w:footnoteReference w:id="5"/>
      </w:r>
      <w:r>
        <w:rPr>
          <w:rFonts w:ascii="Calibri" w:eastAsia="Calibri" w:hAnsi="Calibri" w:cs="Calibri"/>
          <w:color w:val="1D1C1D"/>
          <w:highlight w:val="white"/>
        </w:rPr>
        <w:t xml:space="preserve">, </w:t>
      </w:r>
      <w:r>
        <w:rPr>
          <w:rFonts w:ascii="Calibri" w:eastAsia="Calibri" w:hAnsi="Calibri" w:cs="Calibri"/>
        </w:rPr>
        <w:t xml:space="preserve">led by Intersex Thailand, offers a hopeful model. NC, Founder of Intersex Thailand, shared how the bill emerged from years of community consultations and </w:t>
      </w:r>
      <w:proofErr w:type="spellStart"/>
      <w:r>
        <w:rPr>
          <w:rFonts w:ascii="Calibri" w:eastAsia="Calibri" w:hAnsi="Calibri" w:cs="Calibri"/>
        </w:rPr>
        <w:t>centres</w:t>
      </w:r>
      <w:proofErr w:type="spellEnd"/>
      <w:r>
        <w:rPr>
          <w:rFonts w:ascii="Calibri" w:eastAsia="Calibri" w:hAnsi="Calibri" w:cs="Calibri"/>
        </w:rPr>
        <w:t xml:space="preserve"> intersex people’s lived experiences. It prohibits non-consensual surgeries on intersex children, legally recognizes intersex as a protected status, and enables intersex people to obtain identity documents without forced </w:t>
      </w:r>
      <w:proofErr w:type="spellStart"/>
      <w:r>
        <w:rPr>
          <w:rFonts w:ascii="Calibri" w:eastAsia="Calibri" w:hAnsi="Calibri" w:cs="Calibri"/>
        </w:rPr>
        <w:t>medicalisation</w:t>
      </w:r>
      <w:proofErr w:type="spellEnd"/>
      <w:r>
        <w:rPr>
          <w:rFonts w:ascii="Calibri" w:eastAsia="Calibri" w:hAnsi="Calibri" w:cs="Calibri"/>
        </w:rPr>
        <w:t>. As NC emphasized, "Intersex dignity begins with truth, not silence. To the CEDAW Committee: please see us, not just in law, but in life."</w:t>
      </w:r>
    </w:p>
    <w:p w14:paraId="5912E38C"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12. </w:t>
      </w:r>
      <w:r>
        <w:rPr>
          <w:rFonts w:ascii="Calibri" w:eastAsia="Calibri" w:hAnsi="Calibri" w:cs="Calibri"/>
        </w:rPr>
        <w:tab/>
        <w:t>In addition, the rejection of the Gender Recognition Bill</w:t>
      </w:r>
      <w:r>
        <w:rPr>
          <w:rFonts w:ascii="Calibri" w:eastAsia="Calibri" w:hAnsi="Calibri" w:cs="Calibri"/>
          <w:vertAlign w:val="superscript"/>
        </w:rPr>
        <w:footnoteReference w:id="6"/>
      </w:r>
      <w:r>
        <w:rPr>
          <w:rFonts w:ascii="Calibri" w:eastAsia="Calibri" w:hAnsi="Calibri" w:cs="Calibri"/>
        </w:rPr>
        <w:t xml:space="preserve"> and Thailand’s reluctance to prioritize the Intersex Protection Bill reveal a pattern of resistance rooted in political and institutional transphobia, queerphobia, and medical conservatism.</w:t>
      </w:r>
    </w:p>
    <w:p w14:paraId="44B0512B"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13. </w:t>
      </w:r>
      <w:r>
        <w:rPr>
          <w:rFonts w:ascii="Calibri" w:eastAsia="Calibri" w:hAnsi="Calibri" w:cs="Calibri"/>
        </w:rPr>
        <w:tab/>
        <w:t>While we commend Thailand for recently passing the Marriage Equality Bill, we caution against using this achievement to overshadow systemic failures. Structural discrimination persists in other domains of family law, inheritance, reproductive rights, and civic participation. Recognition must go beyond legal symbolism.</w:t>
      </w:r>
    </w:p>
    <w:p w14:paraId="3B26BA42"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14. Other legislative reform proposals, such as the </w:t>
      </w:r>
      <w:hyperlink r:id="rId11">
        <w:r w:rsidR="00B46444">
          <w:rPr>
            <w:rFonts w:ascii="Calibri" w:eastAsia="Calibri" w:hAnsi="Calibri" w:cs="Calibri"/>
            <w:color w:val="1155CC"/>
            <w:u w:val="single"/>
          </w:rPr>
          <w:t>Ethnic Way of Life Protection Bill</w:t>
        </w:r>
      </w:hyperlink>
      <w:r>
        <w:rPr>
          <w:rFonts w:ascii="Calibri" w:eastAsia="Calibri" w:hAnsi="Calibri" w:cs="Calibri"/>
          <w:vertAlign w:val="superscript"/>
        </w:rPr>
        <w:footnoteReference w:id="7"/>
      </w:r>
      <w:r>
        <w:rPr>
          <w:rFonts w:ascii="Calibri" w:eastAsia="Calibri" w:hAnsi="Calibri" w:cs="Calibri"/>
        </w:rPr>
        <w:t xml:space="preserve">, </w:t>
      </w:r>
      <w:hyperlink r:id="rId12">
        <w:r w:rsidR="00B46444">
          <w:rPr>
            <w:rFonts w:ascii="Calibri" w:eastAsia="Calibri" w:hAnsi="Calibri" w:cs="Calibri"/>
            <w:color w:val="1155CC"/>
            <w:u w:val="single"/>
          </w:rPr>
          <w:t>Anti-SLAPP Bill</w:t>
        </w:r>
      </w:hyperlink>
      <w:r>
        <w:rPr>
          <w:rFonts w:ascii="Calibri" w:eastAsia="Calibri" w:hAnsi="Calibri" w:cs="Calibri"/>
          <w:vertAlign w:val="superscript"/>
        </w:rPr>
        <w:footnoteReference w:id="8"/>
      </w:r>
      <w:r>
        <w:rPr>
          <w:rFonts w:ascii="Calibri" w:eastAsia="Calibri" w:hAnsi="Calibri" w:cs="Calibri"/>
        </w:rPr>
        <w:t xml:space="preserve">, and </w:t>
      </w:r>
      <w:hyperlink r:id="rId13">
        <w:r w:rsidR="00B46444">
          <w:rPr>
            <w:rFonts w:ascii="Calibri" w:eastAsia="Calibri" w:hAnsi="Calibri" w:cs="Calibri"/>
            <w:color w:val="1155CC"/>
            <w:u w:val="single"/>
          </w:rPr>
          <w:t>draft Protection of Sex Work Services Bill</w:t>
        </w:r>
      </w:hyperlink>
      <w:r>
        <w:rPr>
          <w:rFonts w:ascii="Calibri" w:eastAsia="Calibri" w:hAnsi="Calibri" w:cs="Calibri"/>
          <w:color w:val="1D1C1D"/>
          <w:vertAlign w:val="superscript"/>
        </w:rPr>
        <w:footnoteReference w:id="9"/>
      </w:r>
      <w:r>
        <w:rPr>
          <w:rFonts w:ascii="Calibri" w:eastAsia="Calibri" w:hAnsi="Calibri" w:cs="Calibri"/>
        </w:rPr>
        <w:t>, also reflect Thailand’s efforts to address structural inequality. Yet, the State has repeatedly excluded the voices and input of women from affected communities from these lawmaking processes, undermining both effectiveness and legitimacy.</w:t>
      </w:r>
    </w:p>
    <w:p w14:paraId="220E6CE6" w14:textId="141A4E15" w:rsidR="00B46444" w:rsidRPr="004F1E37" w:rsidRDefault="00000000" w:rsidP="004F1E37">
      <w:pPr>
        <w:widowControl w:val="0"/>
        <w:spacing w:line="240" w:lineRule="auto"/>
        <w:ind w:left="720" w:hanging="360"/>
        <w:jc w:val="both"/>
        <w:rPr>
          <w:rFonts w:ascii="Calibri" w:eastAsia="Calibri" w:hAnsi="Calibri" w:cs="Calibri"/>
        </w:rPr>
      </w:pPr>
      <w:r>
        <w:rPr>
          <w:rFonts w:ascii="Calibri" w:eastAsia="Calibri" w:hAnsi="Calibri" w:cs="Calibri"/>
        </w:rPr>
        <w:t xml:space="preserve">15. </w:t>
      </w:r>
      <w:r>
        <w:rPr>
          <w:rFonts w:ascii="Calibri" w:eastAsia="Calibri" w:hAnsi="Calibri" w:cs="Calibri"/>
        </w:rPr>
        <w:tab/>
        <w:t xml:space="preserve">We urge the State to decolonize and de-cast its approach to </w:t>
      </w:r>
      <w:r w:rsidR="005C4EEB">
        <w:rPr>
          <w:rFonts w:ascii="Calibri" w:eastAsia="Calibri" w:hAnsi="Calibri" w:cs="Calibri"/>
        </w:rPr>
        <w:t>policymaking</w:t>
      </w:r>
      <w:r>
        <w:rPr>
          <w:rFonts w:ascii="Calibri" w:eastAsia="Calibri" w:hAnsi="Calibri" w:cs="Calibri"/>
        </w:rPr>
        <w:t>, by centering the knowledge, lived realities, and legislative proposals of women and LBTQIAN+ persons from across Thailand. This means moving away from legal frameworks imposed by Global Minority states and the Thai Elite, and toward community-grounded, inclusive, and culturally resonant models.</w:t>
      </w:r>
      <w:bookmarkStart w:id="7" w:name="_f9boo66o429d" w:colFirst="0" w:colLast="0"/>
      <w:bookmarkEnd w:id="7"/>
    </w:p>
    <w:p w14:paraId="1E748AC6" w14:textId="77777777" w:rsidR="00B46444" w:rsidRDefault="00000000">
      <w:pPr>
        <w:pStyle w:val="Heading3"/>
        <w:widowControl w:val="0"/>
        <w:rPr>
          <w:sz w:val="26"/>
          <w:szCs w:val="26"/>
        </w:rPr>
      </w:pPr>
      <w:bookmarkStart w:id="8" w:name="_j6sf3j2j3qx6" w:colFirst="0" w:colLast="0"/>
      <w:bookmarkEnd w:id="8"/>
      <w:r>
        <w:rPr>
          <w:sz w:val="26"/>
          <w:szCs w:val="26"/>
        </w:rPr>
        <w:lastRenderedPageBreak/>
        <w:t>Article 3: Guarantee of Basic Human Rights and Fundamental Freedoms</w:t>
      </w:r>
    </w:p>
    <w:p w14:paraId="77FC91E3" w14:textId="77777777" w:rsidR="00B46444" w:rsidRDefault="00000000">
      <w:pPr>
        <w:widowControl w:val="0"/>
        <w:spacing w:before="240" w:after="240" w:line="240" w:lineRule="auto"/>
        <w:jc w:val="both"/>
        <w:rPr>
          <w:rFonts w:ascii="Calibri" w:eastAsia="Calibri" w:hAnsi="Calibri" w:cs="Calibri"/>
          <w:b/>
          <w:color w:val="FF9900"/>
          <w:sz w:val="24"/>
          <w:szCs w:val="24"/>
        </w:rPr>
      </w:pPr>
      <w:r>
        <w:rPr>
          <w:rFonts w:ascii="Calibri" w:eastAsia="Calibri" w:hAnsi="Calibri" w:cs="Calibri"/>
          <w:b/>
          <w:color w:val="FF9900"/>
          <w:sz w:val="24"/>
          <w:szCs w:val="24"/>
        </w:rPr>
        <w:t>Issue: Access to Justice</w:t>
      </w:r>
    </w:p>
    <w:p w14:paraId="2F75A801"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16.</w:t>
      </w:r>
      <w:r>
        <w:rPr>
          <w:rFonts w:ascii="Calibri" w:eastAsia="Calibri" w:hAnsi="Calibri" w:cs="Calibri"/>
        </w:rPr>
        <w:tab/>
        <w:t>Access to justice remains out of reach for many women and LBTQIAN+ persons, especially those from Historically Marginalized Groups, including Indigenous women, rural communities, pro-democracy activists, and those affected by business-related human rights abuses.</w:t>
      </w:r>
    </w:p>
    <w:p w14:paraId="4FBAEF7A"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17. Despite the existence of the Justice Fund, barriers such as bureaucratic red tape, lack of awareness, and the politicization of cases prevent affected communities from accessing it. Many WHRDs, and democracy activists have had to rely on community donations to pay for bail, particularly in SLAPP cases or when criminalized for </w:t>
      </w:r>
      <w:proofErr w:type="gramStart"/>
      <w:r>
        <w:rPr>
          <w:rFonts w:ascii="Calibri" w:eastAsia="Calibri" w:hAnsi="Calibri" w:cs="Calibri"/>
        </w:rPr>
        <w:t>protesting against</w:t>
      </w:r>
      <w:proofErr w:type="gramEnd"/>
      <w:r>
        <w:rPr>
          <w:rFonts w:ascii="Calibri" w:eastAsia="Calibri" w:hAnsi="Calibri" w:cs="Calibri"/>
        </w:rPr>
        <w:t xml:space="preserve"> land grabs, false climate solutions or environmental degradation.</w:t>
      </w:r>
    </w:p>
    <w:p w14:paraId="5181EF3D"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18. Thailand’s refusal to ratify key international human rights treaties, such as the 1951 Geneva Convention, the 1954 Convention on Stateless Persons, the 1961 Convention on the Reduction of Statelessness, and the 2003 International Convention on the Protection of the Rights of All Migrant Workers and Members of Their Families, further undermines access to justice for migrant, refugee, and stateless women.</w:t>
      </w:r>
    </w:p>
    <w:p w14:paraId="00C3E1CA" w14:textId="77777777" w:rsidR="00B46444" w:rsidRDefault="00000000">
      <w:pPr>
        <w:widowControl w:val="0"/>
        <w:spacing w:before="240" w:after="240" w:line="240" w:lineRule="auto"/>
        <w:jc w:val="both"/>
        <w:rPr>
          <w:rFonts w:ascii="Calibri" w:eastAsia="Calibri" w:hAnsi="Calibri" w:cs="Calibri"/>
          <w:b/>
          <w:color w:val="FF9900"/>
          <w:sz w:val="24"/>
          <w:szCs w:val="24"/>
        </w:rPr>
      </w:pPr>
      <w:r>
        <w:rPr>
          <w:rFonts w:ascii="Calibri" w:eastAsia="Calibri" w:hAnsi="Calibri" w:cs="Calibri"/>
          <w:b/>
          <w:color w:val="FF9900"/>
          <w:sz w:val="24"/>
          <w:szCs w:val="24"/>
        </w:rPr>
        <w:t>Issue: National Machinery for the Advancement of Women</w:t>
      </w:r>
    </w:p>
    <w:p w14:paraId="75B9A1B3"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19.</w:t>
      </w:r>
      <w:r>
        <w:rPr>
          <w:rFonts w:ascii="Calibri" w:eastAsia="Calibri" w:hAnsi="Calibri" w:cs="Calibri"/>
        </w:rPr>
        <w:tab/>
        <w:t>Thailand’s national gender equality institutions remain fragmented and weak. The Department of Women’s Affairs and Family Development (DWAFD) has overlapping mandates with committees under the Gender Equality Act, limiting its capacity. Gender Responsive Budgeting (GRB) and Chief Gender Equality Officers (CGEOs) exist in name but lack transformative power.</w:t>
      </w:r>
    </w:p>
    <w:p w14:paraId="6D7D4D62" w14:textId="77777777" w:rsidR="00B46444" w:rsidRDefault="00000000">
      <w:pPr>
        <w:widowControl w:val="0"/>
        <w:spacing w:before="240" w:after="240" w:line="240" w:lineRule="auto"/>
        <w:ind w:left="720" w:hanging="360"/>
        <w:jc w:val="both"/>
        <w:rPr>
          <w:rFonts w:ascii="Calibri" w:eastAsia="Calibri" w:hAnsi="Calibri" w:cs="Calibri"/>
        </w:rPr>
      </w:pPr>
      <w:r>
        <w:rPr>
          <w:rFonts w:ascii="Calibri" w:eastAsia="Calibri" w:hAnsi="Calibri" w:cs="Calibri"/>
        </w:rPr>
        <w:t xml:space="preserve">20. </w:t>
      </w:r>
      <w:r>
        <w:rPr>
          <w:rFonts w:ascii="Calibri" w:eastAsia="Calibri" w:hAnsi="Calibri" w:cs="Calibri"/>
        </w:rPr>
        <w:tab/>
        <w:t>Women continue to be categorized as part of “disadvantaged groups,” alongside older persons and persons with disabilities, erasing the specific intersectional barriers they face. Mechanisms such as Family Development Centers and parliamentary committees lack meaningful engagement with grassroots organizations.</w:t>
      </w:r>
    </w:p>
    <w:p w14:paraId="7B0E897B" w14:textId="77777777" w:rsidR="00B46444" w:rsidRDefault="00000000">
      <w:pPr>
        <w:pStyle w:val="Heading3"/>
        <w:widowControl w:val="0"/>
        <w:rPr>
          <w:sz w:val="26"/>
          <w:szCs w:val="26"/>
        </w:rPr>
      </w:pPr>
      <w:bookmarkStart w:id="9" w:name="_m70vatw2kxir" w:colFirst="0" w:colLast="0"/>
      <w:bookmarkEnd w:id="9"/>
      <w:r>
        <w:rPr>
          <w:sz w:val="26"/>
          <w:szCs w:val="26"/>
        </w:rPr>
        <w:t>Article 5: Sex Roles and Stereotyping</w:t>
      </w:r>
    </w:p>
    <w:p w14:paraId="77BD2EA3" w14:textId="77777777" w:rsidR="00B46444" w:rsidRDefault="00B46444">
      <w:pPr>
        <w:pStyle w:val="Heading4"/>
      </w:pPr>
      <w:bookmarkStart w:id="10" w:name="_937fctomvypp" w:colFirst="0" w:colLast="0"/>
      <w:bookmarkEnd w:id="10"/>
    </w:p>
    <w:p w14:paraId="2FB32644" w14:textId="77777777" w:rsidR="00B46444" w:rsidRDefault="00000000">
      <w:pPr>
        <w:pStyle w:val="Heading4"/>
        <w:rPr>
          <w:sz w:val="24"/>
          <w:szCs w:val="24"/>
        </w:rPr>
      </w:pPr>
      <w:bookmarkStart w:id="11" w:name="_m5n3m09omux6" w:colFirst="0" w:colLast="0"/>
      <w:bookmarkEnd w:id="11"/>
      <w:r>
        <w:rPr>
          <w:sz w:val="24"/>
          <w:szCs w:val="24"/>
        </w:rPr>
        <w:t>Issue: Stereotypes</w:t>
      </w:r>
    </w:p>
    <w:p w14:paraId="06CFCCB5" w14:textId="77777777" w:rsidR="00B46444" w:rsidRDefault="00000000">
      <w:pPr>
        <w:shd w:val="clear" w:color="auto" w:fill="FFFFFF"/>
        <w:spacing w:before="240" w:after="240" w:line="240" w:lineRule="auto"/>
        <w:ind w:left="720" w:hanging="360"/>
        <w:jc w:val="both"/>
        <w:rPr>
          <w:rFonts w:ascii="Calibri" w:eastAsia="Calibri" w:hAnsi="Calibri" w:cs="Calibri"/>
          <w:color w:val="1D1C1D"/>
        </w:rPr>
      </w:pPr>
      <w:r>
        <w:rPr>
          <w:rFonts w:ascii="Calibri" w:eastAsia="Calibri" w:hAnsi="Calibri" w:cs="Calibri"/>
          <w:color w:val="1D1C1D"/>
        </w:rPr>
        <w:t>21. Harmful gender stereotypes continue to shape civic participation and public perception in Thailand. Women are often portrayed as emotional, subordinate, or unfit for leadership, while LBTQIAN+ persons are stereotyped as immoral.</w:t>
      </w:r>
    </w:p>
    <w:p w14:paraId="6CECF299" w14:textId="77777777" w:rsidR="00B46444" w:rsidRDefault="00000000">
      <w:pPr>
        <w:shd w:val="clear" w:color="auto" w:fill="FFFFFF"/>
        <w:spacing w:before="240" w:after="240" w:line="240" w:lineRule="auto"/>
        <w:ind w:left="720" w:hanging="360"/>
        <w:jc w:val="both"/>
        <w:rPr>
          <w:rFonts w:ascii="Calibri" w:eastAsia="Calibri" w:hAnsi="Calibri" w:cs="Calibri"/>
          <w:color w:val="1D1C1D"/>
        </w:rPr>
      </w:pPr>
      <w:r>
        <w:rPr>
          <w:rFonts w:ascii="Calibri" w:eastAsia="Calibri" w:hAnsi="Calibri" w:cs="Calibri"/>
          <w:color w:val="1D1C1D"/>
        </w:rPr>
        <w:t xml:space="preserve">22. </w:t>
      </w:r>
      <w:r>
        <w:rPr>
          <w:rFonts w:ascii="Calibri" w:eastAsia="Calibri" w:hAnsi="Calibri" w:cs="Calibri"/>
          <w:color w:val="1D1C1D"/>
        </w:rPr>
        <w:tab/>
        <w:t xml:space="preserve">Isaan and Indigenous women are particularly impacted. </w:t>
      </w:r>
      <w:r>
        <w:rPr>
          <w:rFonts w:ascii="Calibri" w:eastAsia="Calibri" w:hAnsi="Calibri" w:cs="Calibri"/>
          <w:b/>
          <w:color w:val="1D1C1D"/>
        </w:rPr>
        <w:t>Isaan women</w:t>
      </w:r>
      <w:r>
        <w:rPr>
          <w:rFonts w:ascii="Calibri" w:eastAsia="Calibri" w:hAnsi="Calibri" w:cs="Calibri"/>
          <w:color w:val="1D1C1D"/>
        </w:rPr>
        <w:t xml:space="preserve">, many of whom come from Thailand's poorest and most populous region, continue to face systemic exclusion and racialized gender discrimination. They are mocked for their darker skin tone, labeled as unattractive, and commonly portrayed in media and </w:t>
      </w:r>
      <w:r>
        <w:rPr>
          <w:rFonts w:ascii="Calibri" w:eastAsia="Calibri" w:hAnsi="Calibri" w:cs="Calibri"/>
          <w:color w:val="1D1C1D"/>
        </w:rPr>
        <w:lastRenderedPageBreak/>
        <w:t>advertisements as “Mia Farang” (foreigners’ wives), a term steeped in racist and classist judgment. These portrayals stem from the assimilationist ideology of “</w:t>
      </w:r>
      <w:proofErr w:type="spellStart"/>
      <w:r>
        <w:rPr>
          <w:rFonts w:ascii="Calibri" w:eastAsia="Calibri" w:hAnsi="Calibri" w:cs="Calibri"/>
          <w:color w:val="1D1C1D"/>
        </w:rPr>
        <w:t>Thainess</w:t>
      </w:r>
      <w:proofErr w:type="spellEnd"/>
      <w:r>
        <w:rPr>
          <w:rFonts w:ascii="Calibri" w:eastAsia="Calibri" w:hAnsi="Calibri" w:cs="Calibri"/>
          <w:color w:val="1D1C1D"/>
        </w:rPr>
        <w:t>,” which reinforces central Thai norms and erases regional, ethnic, and linguistic identities. The CERD Committee, during its 2021 review of Thailand, explicitly denounced these forms of racial discrimination and called on the Thai government to dismantle these narratives.</w:t>
      </w:r>
      <w:r>
        <w:rPr>
          <w:rFonts w:ascii="Calibri" w:eastAsia="Calibri" w:hAnsi="Calibri" w:cs="Calibri"/>
          <w:b/>
          <w:color w:val="1D1C1D"/>
        </w:rPr>
        <w:t xml:space="preserve"> Indigenous women</w:t>
      </w:r>
      <w:r>
        <w:rPr>
          <w:rFonts w:ascii="Calibri" w:eastAsia="Calibri" w:hAnsi="Calibri" w:cs="Calibri"/>
          <w:color w:val="1D1C1D"/>
        </w:rPr>
        <w:t xml:space="preserve"> are similarly portrayed as backward and blamed for environmental degradation, despite evidence that State-endorsed industrial activity and deforestation policies are primary drivers of ecological harm. These narratives mark them as second-class citizens and exclude them from civic and political spaces.</w:t>
      </w:r>
      <w:r>
        <w:rPr>
          <w:rFonts w:ascii="Calibri" w:eastAsia="Calibri" w:hAnsi="Calibri" w:cs="Calibri"/>
          <w:color w:val="1D1C1D"/>
          <w:vertAlign w:val="superscript"/>
        </w:rPr>
        <w:footnoteReference w:id="10"/>
      </w:r>
    </w:p>
    <w:p w14:paraId="5923D649" w14:textId="5DEF3415" w:rsidR="00B46444" w:rsidRDefault="00000000">
      <w:pPr>
        <w:shd w:val="clear" w:color="auto" w:fill="FFFFFF"/>
        <w:spacing w:before="240" w:after="240" w:line="240" w:lineRule="auto"/>
        <w:ind w:left="720" w:hanging="360"/>
        <w:jc w:val="both"/>
        <w:rPr>
          <w:rFonts w:ascii="Calibri" w:eastAsia="Calibri" w:hAnsi="Calibri" w:cs="Calibri"/>
          <w:color w:val="1D1C1D"/>
        </w:rPr>
      </w:pPr>
      <w:r>
        <w:rPr>
          <w:rFonts w:ascii="Calibri" w:eastAsia="Calibri" w:hAnsi="Calibri" w:cs="Calibri"/>
          <w:color w:val="1D1C1D"/>
        </w:rPr>
        <w:t xml:space="preserve">23. As shared by AT, a Muslim WHRD from Southern Thailand, </w:t>
      </w:r>
      <w:r>
        <w:rPr>
          <w:rFonts w:ascii="Calibri" w:eastAsia="Calibri" w:hAnsi="Calibri" w:cs="Calibri"/>
          <w:b/>
          <w:color w:val="1D1C1D"/>
        </w:rPr>
        <w:t>Malay Muslim women from the Southern Border Provinces</w:t>
      </w:r>
      <w:r>
        <w:rPr>
          <w:rFonts w:ascii="Calibri" w:eastAsia="Calibri" w:hAnsi="Calibri" w:cs="Calibri"/>
          <w:color w:val="1D1C1D"/>
        </w:rPr>
        <w:t xml:space="preserve"> are subjected to deeply entrenched stereotypes portraying them as radical, dangerous, or culturally incompatible. These biases feed into a broader climate of Islamophobia and fuel disproportionate surveillance, </w:t>
      </w:r>
      <w:r w:rsidR="00DD4582">
        <w:rPr>
          <w:rFonts w:ascii="Calibri" w:eastAsia="Calibri" w:hAnsi="Calibri" w:cs="Calibri"/>
          <w:color w:val="1D1C1D"/>
        </w:rPr>
        <w:t xml:space="preserve">racial profiling, DNA collection, </w:t>
      </w:r>
      <w:r>
        <w:rPr>
          <w:rFonts w:ascii="Calibri" w:eastAsia="Calibri" w:hAnsi="Calibri" w:cs="Calibri"/>
          <w:color w:val="1D1C1D"/>
        </w:rPr>
        <w:t>harassment, and social exclusion. Their voices are often dismissed or ignored in national debates, and their civic participation is routinely limited by prejudice and institutional discrimination.</w:t>
      </w:r>
      <w:r>
        <w:rPr>
          <w:rFonts w:ascii="Calibri" w:eastAsia="Calibri" w:hAnsi="Calibri" w:cs="Calibri"/>
          <w:color w:val="1D1C1D"/>
          <w:vertAlign w:val="superscript"/>
        </w:rPr>
        <w:footnoteReference w:id="11"/>
      </w:r>
    </w:p>
    <w:p w14:paraId="4EE08E5A" w14:textId="77777777" w:rsidR="00B46444" w:rsidRDefault="00000000">
      <w:pPr>
        <w:shd w:val="clear" w:color="auto" w:fill="FFFFFF"/>
        <w:spacing w:before="240" w:after="240" w:line="240" w:lineRule="auto"/>
        <w:ind w:left="720" w:hanging="360"/>
        <w:jc w:val="both"/>
        <w:rPr>
          <w:rFonts w:ascii="Calibri" w:eastAsia="Calibri" w:hAnsi="Calibri" w:cs="Calibri"/>
          <w:color w:val="1D1C1D"/>
        </w:rPr>
      </w:pPr>
      <w:r>
        <w:rPr>
          <w:rFonts w:ascii="Calibri" w:eastAsia="Calibri" w:hAnsi="Calibri" w:cs="Calibri"/>
          <w:color w:val="1D1C1D"/>
        </w:rPr>
        <w:t>24. These regional, ethnic, and gendered stereotypes are rooted in systems of classism, racism, and colorism that continue to inform public discourse and policy. They create psychological, economic, and political barriers for women from marginalized communities and must be dismantled to ensure equal participation in civic life.</w:t>
      </w:r>
    </w:p>
    <w:p w14:paraId="17C1F8C0" w14:textId="77777777" w:rsidR="00B46444" w:rsidRDefault="00000000">
      <w:pPr>
        <w:spacing w:before="240" w:after="240"/>
        <w:jc w:val="both"/>
        <w:rPr>
          <w:rFonts w:ascii="Calibri" w:eastAsia="Calibri" w:hAnsi="Calibri" w:cs="Calibri"/>
          <w:b/>
          <w:color w:val="FF9900"/>
          <w:sz w:val="24"/>
          <w:szCs w:val="24"/>
        </w:rPr>
      </w:pPr>
      <w:r>
        <w:rPr>
          <w:rFonts w:ascii="Calibri" w:eastAsia="Calibri" w:hAnsi="Calibri" w:cs="Calibri"/>
          <w:b/>
          <w:color w:val="FF9900"/>
          <w:sz w:val="24"/>
          <w:szCs w:val="24"/>
        </w:rPr>
        <w:t>Issue: Gender-based violence against women</w:t>
      </w:r>
    </w:p>
    <w:p w14:paraId="0770A05D" w14:textId="77777777" w:rsidR="00B46444" w:rsidRDefault="00000000">
      <w:pPr>
        <w:spacing w:before="240" w:after="240"/>
        <w:ind w:left="720" w:hanging="360"/>
        <w:jc w:val="both"/>
        <w:rPr>
          <w:rFonts w:ascii="Calibri" w:eastAsia="Calibri" w:hAnsi="Calibri" w:cs="Calibri"/>
        </w:rPr>
      </w:pPr>
      <w:r>
        <w:rPr>
          <w:rFonts w:ascii="Calibri" w:eastAsia="Calibri" w:hAnsi="Calibri" w:cs="Calibri"/>
        </w:rPr>
        <w:t xml:space="preserve">25. </w:t>
      </w:r>
      <w:r>
        <w:rPr>
          <w:rFonts w:ascii="Calibri" w:eastAsia="Calibri" w:hAnsi="Calibri" w:cs="Calibri"/>
        </w:rPr>
        <w:tab/>
        <w:t xml:space="preserve">The State addresses domestic violence but neglects broader forms of gender-based violence (GBV), such as </w:t>
      </w:r>
      <w:r>
        <w:rPr>
          <w:rFonts w:ascii="Calibri" w:eastAsia="Calibri" w:hAnsi="Calibri" w:cs="Calibri"/>
          <w:b/>
        </w:rPr>
        <w:t>technology-facilitated GBV (TFGBV)</w:t>
      </w:r>
      <w:r>
        <w:rPr>
          <w:rFonts w:ascii="Calibri" w:eastAsia="Calibri" w:hAnsi="Calibri" w:cs="Calibri"/>
        </w:rPr>
        <w:t>, workplace harassment, hate speech, and client violence, especially against sex workers, Indigenous, Muslim, and trans women.</w:t>
      </w:r>
    </w:p>
    <w:p w14:paraId="06C4D59F" w14:textId="77777777" w:rsidR="00B46444" w:rsidRDefault="00000000">
      <w:pPr>
        <w:shd w:val="clear" w:color="auto" w:fill="FFFFFF"/>
        <w:spacing w:before="240" w:after="240" w:line="240" w:lineRule="auto"/>
        <w:ind w:left="720" w:hanging="360"/>
        <w:jc w:val="both"/>
        <w:rPr>
          <w:rFonts w:ascii="Calibri" w:eastAsia="Calibri" w:hAnsi="Calibri" w:cs="Calibri"/>
          <w:color w:val="1D1C1D"/>
        </w:rPr>
      </w:pPr>
      <w:r>
        <w:rPr>
          <w:rFonts w:ascii="Calibri" w:eastAsia="Calibri" w:hAnsi="Calibri" w:cs="Calibri"/>
          <w:color w:val="1D1C1D"/>
        </w:rPr>
        <w:t>26. The brutal April 2025 murder of WP, a Thai trans woman sex worker, by a foreign client exposed multiple forms of violence: sexual and labor exploitation, media sensationalism, and institutional indifference.</w:t>
      </w:r>
      <w:r>
        <w:rPr>
          <w:rFonts w:ascii="Calibri" w:eastAsia="Calibri" w:hAnsi="Calibri" w:cs="Calibri"/>
          <w:vertAlign w:val="superscript"/>
        </w:rPr>
        <w:footnoteReference w:id="12"/>
      </w:r>
      <w:r>
        <w:rPr>
          <w:rFonts w:ascii="Calibri" w:eastAsia="Calibri" w:hAnsi="Calibri" w:cs="Calibri"/>
          <w:color w:val="1D1C1D"/>
        </w:rPr>
        <w:t xml:space="preserve"> WP's case reflects systematic dehumanization enabled by criminalization, profit-driven tourism policy, and the State’s failure to uphold dignity and safety for all.</w:t>
      </w:r>
    </w:p>
    <w:p w14:paraId="4843F354" w14:textId="77777777" w:rsidR="00B46444" w:rsidRDefault="00000000">
      <w:pPr>
        <w:shd w:val="clear" w:color="auto" w:fill="FFFFFF"/>
        <w:spacing w:before="240" w:after="240" w:line="240" w:lineRule="auto"/>
        <w:ind w:left="720" w:hanging="360"/>
        <w:jc w:val="both"/>
        <w:rPr>
          <w:rFonts w:ascii="Calibri" w:eastAsia="Calibri" w:hAnsi="Calibri" w:cs="Calibri"/>
          <w:color w:val="1D1C1D"/>
        </w:rPr>
      </w:pPr>
      <w:r>
        <w:rPr>
          <w:rFonts w:ascii="Calibri" w:eastAsia="Calibri" w:hAnsi="Calibri" w:cs="Calibri"/>
          <w:color w:val="1D1C1D"/>
        </w:rPr>
        <w:lastRenderedPageBreak/>
        <w:t xml:space="preserve">27. </w:t>
      </w:r>
      <w:r>
        <w:rPr>
          <w:rFonts w:ascii="Calibri" w:eastAsia="Calibri" w:hAnsi="Calibri" w:cs="Calibri"/>
          <w:color w:val="1D1C1D"/>
        </w:rPr>
        <w:tab/>
        <w:t>TS, a sex worker HRD, and EMPOWER emphasized how laws like the Prevention and Suppression of Prostitution Act and the Computer Crimes Act are routinely weaponized to harass, extort, and silence sex workers. These laws enable vague, unchecked enforcement, while sex workers remain excluded from labor protections.</w:t>
      </w:r>
    </w:p>
    <w:p w14:paraId="71DAAAB0" w14:textId="77777777" w:rsidR="00B46444" w:rsidRDefault="00000000">
      <w:pPr>
        <w:shd w:val="clear" w:color="auto" w:fill="FFFFFF"/>
        <w:spacing w:before="240" w:after="240" w:line="240" w:lineRule="auto"/>
        <w:ind w:left="720" w:hanging="360"/>
        <w:jc w:val="both"/>
        <w:rPr>
          <w:rFonts w:ascii="Calibri" w:eastAsia="Calibri" w:hAnsi="Calibri" w:cs="Calibri"/>
          <w:color w:val="1D1C1D"/>
        </w:rPr>
      </w:pPr>
      <w:r>
        <w:rPr>
          <w:rFonts w:ascii="Calibri" w:eastAsia="Calibri" w:hAnsi="Calibri" w:cs="Calibri"/>
          <w:color w:val="1D1C1D"/>
        </w:rPr>
        <w:t xml:space="preserve">28. </w:t>
      </w:r>
      <w:r>
        <w:rPr>
          <w:rFonts w:ascii="Calibri" w:eastAsia="Calibri" w:hAnsi="Calibri" w:cs="Calibri"/>
          <w:color w:val="1D1C1D"/>
        </w:rPr>
        <w:tab/>
        <w:t>Structural violence is especially acute in the Southern Border Provinces, where binary-enforcing cultural and religious norms further marginalize gender-nonconforming individuals. Within protest spaces, surveillance and gender bias are normalized. PT, a Thai LBTQIAN+ WHRD, highlighted how queer voices are ignored until echoed by men, and how gendered policing tactics reinforce exclusion.</w:t>
      </w:r>
    </w:p>
    <w:p w14:paraId="6CD32596" w14:textId="77777777" w:rsidR="00B46444" w:rsidRDefault="00000000">
      <w:pPr>
        <w:shd w:val="clear" w:color="auto" w:fill="FFFFFF"/>
        <w:spacing w:before="240" w:after="240" w:line="240" w:lineRule="auto"/>
        <w:ind w:left="720" w:hanging="360"/>
        <w:jc w:val="both"/>
        <w:rPr>
          <w:rFonts w:ascii="Calibri" w:eastAsia="Calibri" w:hAnsi="Calibri" w:cs="Calibri"/>
          <w:b/>
          <w:color w:val="FF6600"/>
          <w:sz w:val="24"/>
          <w:szCs w:val="24"/>
        </w:rPr>
      </w:pPr>
      <w:r>
        <w:rPr>
          <w:rFonts w:ascii="Calibri" w:eastAsia="Calibri" w:hAnsi="Calibri" w:cs="Calibri"/>
          <w:color w:val="1D1C1D"/>
        </w:rPr>
        <w:t xml:space="preserve">29. </w:t>
      </w:r>
      <w:r>
        <w:rPr>
          <w:rFonts w:ascii="Calibri" w:eastAsia="Calibri" w:hAnsi="Calibri" w:cs="Calibri"/>
          <w:color w:val="1D1C1D"/>
        </w:rPr>
        <w:tab/>
        <w:t>The State’s ongoing moral panic and identity-based targeting, through online censorship, smear campaigns, and law enforcement, demonstrate the need to address GBV as a systemic, political issue.</w:t>
      </w:r>
    </w:p>
    <w:p w14:paraId="7B55CADF" w14:textId="77777777" w:rsidR="00B46444" w:rsidRDefault="00000000">
      <w:pPr>
        <w:pStyle w:val="Heading3"/>
        <w:widowControl w:val="0"/>
        <w:rPr>
          <w:sz w:val="26"/>
          <w:szCs w:val="26"/>
        </w:rPr>
      </w:pPr>
      <w:bookmarkStart w:id="12" w:name="_vtx8chanimoo" w:colFirst="0" w:colLast="0"/>
      <w:bookmarkEnd w:id="12"/>
      <w:r>
        <w:rPr>
          <w:sz w:val="26"/>
          <w:szCs w:val="26"/>
        </w:rPr>
        <w:t>Articles 7: Participation in Political and Public Life</w:t>
      </w:r>
    </w:p>
    <w:p w14:paraId="2554D60F" w14:textId="77777777" w:rsidR="00B46444" w:rsidRDefault="00000000">
      <w:pPr>
        <w:shd w:val="clear" w:color="auto" w:fill="FFFFFF"/>
        <w:spacing w:before="240" w:after="240" w:line="240" w:lineRule="auto"/>
        <w:ind w:left="720" w:hanging="450"/>
        <w:jc w:val="both"/>
        <w:rPr>
          <w:rFonts w:ascii="Calibri" w:eastAsia="Calibri" w:hAnsi="Calibri" w:cs="Calibri"/>
          <w:color w:val="1D1C1D"/>
        </w:rPr>
      </w:pPr>
      <w:r>
        <w:rPr>
          <w:rFonts w:ascii="Calibri" w:eastAsia="Calibri" w:hAnsi="Calibri" w:cs="Calibri"/>
          <w:color w:val="1D1C1D"/>
        </w:rPr>
        <w:t xml:space="preserve">32. </w:t>
      </w:r>
      <w:r>
        <w:rPr>
          <w:rFonts w:ascii="Calibri" w:eastAsia="Calibri" w:hAnsi="Calibri" w:cs="Calibri"/>
          <w:color w:val="1D1C1D"/>
        </w:rPr>
        <w:tab/>
        <w:t xml:space="preserve">Thailand’s civic space is not just </w:t>
      </w:r>
      <w:proofErr w:type="gramStart"/>
      <w:r>
        <w:rPr>
          <w:rFonts w:ascii="Calibri" w:eastAsia="Calibri" w:hAnsi="Calibri" w:cs="Calibri"/>
          <w:color w:val="1D1C1D"/>
        </w:rPr>
        <w:t>shrinking,</w:t>
      </w:r>
      <w:proofErr w:type="gramEnd"/>
      <w:r>
        <w:rPr>
          <w:rFonts w:ascii="Calibri" w:eastAsia="Calibri" w:hAnsi="Calibri" w:cs="Calibri"/>
          <w:color w:val="1D1C1D"/>
        </w:rPr>
        <w:t xml:space="preserve"> it is being systematically suffocated by the State and elites who preserve the status quo. In 2023, the Move Forward Party (MFP), which championed gender and LBTQIAN+ rights, won a historic election. Yet, it was dissolved in 2024 by the Constitutional Court. Many of its </w:t>
      </w:r>
      <w:proofErr w:type="gramStart"/>
      <w:r>
        <w:rPr>
          <w:rFonts w:ascii="Calibri" w:eastAsia="Calibri" w:hAnsi="Calibri" w:cs="Calibri"/>
          <w:color w:val="1D1C1D"/>
        </w:rPr>
        <w:t>members ,</w:t>
      </w:r>
      <w:proofErr w:type="gramEnd"/>
      <w:r>
        <w:rPr>
          <w:rFonts w:ascii="Calibri" w:eastAsia="Calibri" w:hAnsi="Calibri" w:cs="Calibri"/>
          <w:color w:val="1D1C1D"/>
        </w:rPr>
        <w:t xml:space="preserve"> including female political leaders, were then targeted with judicial harassment. The runner-up party assumed power, sidelining the democratic will of the people.</w:t>
      </w:r>
    </w:p>
    <w:p w14:paraId="42A4B978" w14:textId="77777777" w:rsidR="00B46444" w:rsidRDefault="00000000">
      <w:pPr>
        <w:shd w:val="clear" w:color="auto" w:fill="FFFFFF"/>
        <w:spacing w:before="240" w:after="240" w:line="240" w:lineRule="auto"/>
        <w:ind w:left="720" w:hanging="450"/>
        <w:jc w:val="both"/>
        <w:rPr>
          <w:rFonts w:ascii="Calibri" w:eastAsia="Calibri" w:hAnsi="Calibri" w:cs="Calibri"/>
          <w:color w:val="1D1C1D"/>
        </w:rPr>
      </w:pPr>
      <w:r>
        <w:rPr>
          <w:rFonts w:ascii="Calibri" w:eastAsia="Calibri" w:hAnsi="Calibri" w:cs="Calibri"/>
          <w:color w:val="1D1C1D"/>
        </w:rPr>
        <w:t xml:space="preserve">33. </w:t>
      </w:r>
      <w:r>
        <w:rPr>
          <w:rFonts w:ascii="Calibri" w:eastAsia="Calibri" w:hAnsi="Calibri" w:cs="Calibri"/>
          <w:color w:val="1D1C1D"/>
        </w:rPr>
        <w:tab/>
        <w:t>Women, LGBTQIAN+, and other HMGs now face even greater exclusion. PT, a queer WHRD charged with royal defamation under Article 112 for advocating monarchy reform, has been subjected to arrest warrants, surveillance, and raids on her family home. “They surrounded my house and told my parents to make me ‘be a good girl,’” she said, describing the gendered tactics used to intimidate and silence her.</w:t>
      </w:r>
    </w:p>
    <w:p w14:paraId="446BF707" w14:textId="77777777" w:rsidR="00B46444" w:rsidRDefault="00000000">
      <w:pPr>
        <w:shd w:val="clear" w:color="auto" w:fill="FFFFFF"/>
        <w:spacing w:before="240" w:after="240" w:line="240" w:lineRule="auto"/>
        <w:ind w:left="720" w:hanging="450"/>
        <w:jc w:val="both"/>
        <w:rPr>
          <w:rFonts w:ascii="Calibri" w:eastAsia="Calibri" w:hAnsi="Calibri" w:cs="Calibri"/>
          <w:color w:val="1D1C1D"/>
        </w:rPr>
      </w:pPr>
      <w:r>
        <w:rPr>
          <w:rFonts w:ascii="Calibri" w:eastAsia="Calibri" w:hAnsi="Calibri" w:cs="Calibri"/>
          <w:color w:val="1D1C1D"/>
        </w:rPr>
        <w:t xml:space="preserve">34. </w:t>
      </w:r>
      <w:r>
        <w:rPr>
          <w:rFonts w:ascii="Calibri" w:eastAsia="Calibri" w:hAnsi="Calibri" w:cs="Calibri"/>
          <w:color w:val="1D1C1D"/>
        </w:rPr>
        <w:tab/>
        <w:t>In the Southern Border Provinces, AT, a Muslim WHRD, shared that peace talks organized by the State and insurgent groups treat women as decoration, not decision-makers. “Peace talks are designed by men, but the burden of healing is left to women,” she said.</w:t>
      </w:r>
    </w:p>
    <w:p w14:paraId="7CF0977D" w14:textId="77777777" w:rsidR="00B46444" w:rsidRDefault="00000000">
      <w:pPr>
        <w:shd w:val="clear" w:color="auto" w:fill="FFFFFF"/>
        <w:spacing w:line="240" w:lineRule="auto"/>
        <w:ind w:left="720" w:hanging="450"/>
        <w:jc w:val="both"/>
        <w:rPr>
          <w:rFonts w:ascii="Calibri" w:eastAsia="Calibri" w:hAnsi="Calibri" w:cs="Calibri"/>
        </w:rPr>
      </w:pPr>
      <w:r>
        <w:rPr>
          <w:rFonts w:ascii="Calibri" w:eastAsia="Calibri" w:hAnsi="Calibri" w:cs="Calibri"/>
          <w:color w:val="1D1C1D"/>
        </w:rPr>
        <w:t xml:space="preserve">35. </w:t>
      </w:r>
      <w:r>
        <w:rPr>
          <w:rFonts w:ascii="Calibri" w:eastAsia="Calibri" w:hAnsi="Calibri" w:cs="Calibri"/>
          <w:color w:val="1D1C1D"/>
        </w:rPr>
        <w:tab/>
        <w:t>Tokenistic representation is not enough. The State must move beyond demographic statistics and commit to meaningful engagement with women and LBTQIAN+ persons from all communities.</w:t>
      </w:r>
    </w:p>
    <w:p w14:paraId="34F08F58" w14:textId="77777777" w:rsidR="00B46444" w:rsidRDefault="00B46444">
      <w:pPr>
        <w:widowControl w:val="0"/>
        <w:spacing w:line="240" w:lineRule="auto"/>
        <w:rPr>
          <w:rFonts w:ascii="Calibri" w:eastAsia="Calibri" w:hAnsi="Calibri" w:cs="Calibri"/>
        </w:rPr>
      </w:pPr>
    </w:p>
    <w:p w14:paraId="0BB80341" w14:textId="77777777" w:rsidR="00B46444" w:rsidRDefault="00000000">
      <w:pPr>
        <w:pStyle w:val="Heading4"/>
        <w:spacing w:line="240" w:lineRule="auto"/>
        <w:rPr>
          <w:sz w:val="24"/>
          <w:szCs w:val="24"/>
        </w:rPr>
      </w:pPr>
      <w:bookmarkStart w:id="13" w:name="_4smrwr5x6kl2" w:colFirst="0" w:colLast="0"/>
      <w:bookmarkEnd w:id="13"/>
      <w:r>
        <w:rPr>
          <w:sz w:val="24"/>
          <w:szCs w:val="24"/>
        </w:rPr>
        <w:t>Issue: Women Human Rights Defenders (WHRDs)</w:t>
      </w:r>
    </w:p>
    <w:p w14:paraId="2D6197C0" w14:textId="04162B09" w:rsidR="00B46444" w:rsidRDefault="00000000">
      <w:pPr>
        <w:shd w:val="clear" w:color="auto" w:fill="FFFFFF"/>
        <w:spacing w:before="240" w:after="240" w:line="240" w:lineRule="auto"/>
        <w:ind w:left="720" w:hanging="450"/>
        <w:jc w:val="both"/>
        <w:rPr>
          <w:rFonts w:ascii="Calibri" w:eastAsia="Calibri" w:hAnsi="Calibri" w:cs="Calibri"/>
          <w:color w:val="1D1C1D"/>
        </w:rPr>
      </w:pPr>
      <w:r>
        <w:rPr>
          <w:rFonts w:ascii="Calibri" w:eastAsia="Calibri" w:hAnsi="Calibri" w:cs="Calibri"/>
          <w:color w:val="1D1C1D"/>
        </w:rPr>
        <w:t xml:space="preserve">36. </w:t>
      </w:r>
      <w:r>
        <w:rPr>
          <w:rFonts w:ascii="Calibri" w:eastAsia="Calibri" w:hAnsi="Calibri" w:cs="Calibri"/>
          <w:color w:val="1D1C1D"/>
        </w:rPr>
        <w:tab/>
        <w:t>The Thai government’s 2024 CEDAW State Report referenced its ‘</w:t>
      </w:r>
      <w:proofErr w:type="spellStart"/>
      <w:r>
        <w:rPr>
          <w:rFonts w:ascii="Calibri" w:eastAsia="Calibri" w:hAnsi="Calibri" w:cs="Calibri"/>
          <w:color w:val="1D1C1D"/>
        </w:rPr>
        <w:t>Honouring</w:t>
      </w:r>
      <w:proofErr w:type="spellEnd"/>
      <w:r>
        <w:rPr>
          <w:rFonts w:ascii="Calibri" w:eastAsia="Calibri" w:hAnsi="Calibri" w:cs="Calibri"/>
          <w:color w:val="1D1C1D"/>
        </w:rPr>
        <w:t xml:space="preserve"> Women Human Rights’ award. While symbolic recognition has value, it does not translate into actual protection or rights. Justice, not gestures, is what WHRDs in Thailand need. The State does not need to hand out awards. It needs to stop </w:t>
      </w:r>
      <w:r w:rsidR="005C4EEB">
        <w:rPr>
          <w:rFonts w:ascii="Calibri" w:eastAsia="Calibri" w:hAnsi="Calibri" w:cs="Calibri"/>
          <w:color w:val="1D1C1D"/>
        </w:rPr>
        <w:t>criminalizing</w:t>
      </w:r>
      <w:r>
        <w:rPr>
          <w:rFonts w:ascii="Calibri" w:eastAsia="Calibri" w:hAnsi="Calibri" w:cs="Calibri"/>
          <w:color w:val="1D1C1D"/>
        </w:rPr>
        <w:t xml:space="preserve"> WHRDs, guarantee their safety, and ensure they are free to advocate without fear.</w:t>
      </w:r>
    </w:p>
    <w:p w14:paraId="14077100" w14:textId="77777777" w:rsidR="00B46444" w:rsidRDefault="00000000">
      <w:pPr>
        <w:shd w:val="clear" w:color="auto" w:fill="FFFFFF"/>
        <w:spacing w:before="240" w:after="240" w:line="240" w:lineRule="auto"/>
        <w:ind w:left="720" w:hanging="450"/>
        <w:jc w:val="both"/>
        <w:rPr>
          <w:rFonts w:ascii="Calibri" w:eastAsia="Calibri" w:hAnsi="Calibri" w:cs="Calibri"/>
          <w:color w:val="1D1C1D"/>
        </w:rPr>
      </w:pPr>
      <w:r>
        <w:rPr>
          <w:rFonts w:ascii="Calibri" w:eastAsia="Calibri" w:hAnsi="Calibri" w:cs="Calibri"/>
          <w:color w:val="1D1C1D"/>
        </w:rPr>
        <w:lastRenderedPageBreak/>
        <w:t xml:space="preserve">37. </w:t>
      </w:r>
      <w:r>
        <w:rPr>
          <w:rFonts w:ascii="Calibri" w:eastAsia="Calibri" w:hAnsi="Calibri" w:cs="Calibri"/>
          <w:color w:val="1D1C1D"/>
        </w:rPr>
        <w:tab/>
        <w:t xml:space="preserve">The death of </w:t>
      </w:r>
      <w:proofErr w:type="spellStart"/>
      <w:r>
        <w:rPr>
          <w:rFonts w:ascii="Calibri" w:eastAsia="Calibri" w:hAnsi="Calibri" w:cs="Calibri"/>
          <w:color w:val="1D1C1D"/>
        </w:rPr>
        <w:t>Netiporn</w:t>
      </w:r>
      <w:proofErr w:type="spellEnd"/>
      <w:r>
        <w:rPr>
          <w:rFonts w:ascii="Calibri" w:eastAsia="Calibri" w:hAnsi="Calibri" w:cs="Calibri"/>
          <w:color w:val="1D1C1D"/>
        </w:rPr>
        <w:t xml:space="preserve"> ‘Bung’ </w:t>
      </w:r>
      <w:proofErr w:type="spellStart"/>
      <w:r>
        <w:rPr>
          <w:rFonts w:ascii="Calibri" w:eastAsia="Calibri" w:hAnsi="Calibri" w:cs="Calibri"/>
          <w:color w:val="1D1C1D"/>
        </w:rPr>
        <w:t>Sanesangkhom</w:t>
      </w:r>
      <w:proofErr w:type="spellEnd"/>
      <w:r>
        <w:rPr>
          <w:rFonts w:ascii="Calibri" w:eastAsia="Calibri" w:hAnsi="Calibri" w:cs="Calibri"/>
          <w:color w:val="1D1C1D"/>
        </w:rPr>
        <w:t>, a young pro-democracy WHRD who died in State custody</w:t>
      </w:r>
      <w:r>
        <w:rPr>
          <w:rFonts w:ascii="Calibri" w:eastAsia="Calibri" w:hAnsi="Calibri" w:cs="Calibri"/>
          <w:color w:val="1D1C1D"/>
          <w:vertAlign w:val="superscript"/>
        </w:rPr>
        <w:footnoteReference w:id="13"/>
      </w:r>
      <w:r>
        <w:rPr>
          <w:rFonts w:ascii="Calibri" w:eastAsia="Calibri" w:hAnsi="Calibri" w:cs="Calibri"/>
          <w:color w:val="1D1C1D"/>
        </w:rPr>
        <w:t xml:space="preserve"> after launching a hunger strike to protest unjust detention, exemplifies the crisis. Her only “crime” was self-expression. She died under the State’s responsibility.</w:t>
      </w:r>
      <w:r>
        <w:rPr>
          <w:rFonts w:ascii="Calibri" w:eastAsia="Calibri" w:hAnsi="Calibri" w:cs="Calibri"/>
          <w:vertAlign w:val="superscript"/>
        </w:rPr>
        <w:footnoteReference w:id="14"/>
      </w:r>
      <w:r>
        <w:rPr>
          <w:rFonts w:ascii="Calibri" w:eastAsia="Calibri" w:hAnsi="Calibri" w:cs="Calibri"/>
          <w:color w:val="1D1C1D"/>
        </w:rPr>
        <w:t xml:space="preserve"> Bung remains a role model to countless young women and LBTQIAN+ across Thailand. Her death was not inevitable, it was political.</w:t>
      </w:r>
    </w:p>
    <w:p w14:paraId="7C86D514" w14:textId="77777777" w:rsidR="00B46444" w:rsidRDefault="00000000">
      <w:pPr>
        <w:shd w:val="clear" w:color="auto" w:fill="FFFFFF"/>
        <w:spacing w:before="240" w:after="240" w:line="240" w:lineRule="auto"/>
        <w:ind w:left="720" w:hanging="450"/>
        <w:jc w:val="both"/>
        <w:rPr>
          <w:rFonts w:ascii="Calibri" w:eastAsia="Calibri" w:hAnsi="Calibri" w:cs="Calibri"/>
          <w:color w:val="1D1C1D"/>
        </w:rPr>
      </w:pPr>
      <w:r>
        <w:rPr>
          <w:rFonts w:ascii="Calibri" w:eastAsia="Calibri" w:hAnsi="Calibri" w:cs="Calibri"/>
          <w:color w:val="1D1C1D"/>
        </w:rPr>
        <w:t xml:space="preserve">38. </w:t>
      </w:r>
      <w:r>
        <w:rPr>
          <w:rFonts w:ascii="Calibri" w:eastAsia="Calibri" w:hAnsi="Calibri" w:cs="Calibri"/>
          <w:color w:val="1D1C1D"/>
        </w:rPr>
        <w:tab/>
        <w:t xml:space="preserve">When it comes to providing for the needs of women and LBTQIAN+, we reiterate our concern expressed in our </w:t>
      </w:r>
      <w:hyperlink r:id="rId14">
        <w:r w:rsidR="00B46444">
          <w:rPr>
            <w:rFonts w:ascii="Calibri" w:eastAsia="Calibri" w:hAnsi="Calibri" w:cs="Calibri"/>
            <w:b/>
            <w:color w:val="1155CC"/>
            <w:u w:val="single"/>
          </w:rPr>
          <w:t>2022 Joint Civil Society CEDAW Report</w:t>
        </w:r>
      </w:hyperlink>
      <w:r>
        <w:rPr>
          <w:rFonts w:ascii="Calibri" w:eastAsia="Calibri" w:hAnsi="Calibri" w:cs="Calibri"/>
          <w:color w:val="1D1C1D"/>
        </w:rPr>
        <w:t xml:space="preserve"> regarding how the COVID-19 pandemic was exploited by the State to perpetuate the </w:t>
      </w:r>
      <w:r>
        <w:rPr>
          <w:rFonts w:ascii="Calibri" w:eastAsia="Calibri" w:hAnsi="Calibri" w:cs="Calibri"/>
        </w:rPr>
        <w:t>“backsliding”</w:t>
      </w:r>
      <w:r>
        <w:rPr>
          <w:rFonts w:ascii="Calibri" w:eastAsia="Calibri" w:hAnsi="Calibri" w:cs="Calibri"/>
          <w:vertAlign w:val="superscript"/>
        </w:rPr>
        <w:footnoteReference w:id="15"/>
      </w:r>
      <w:r>
        <w:rPr>
          <w:rFonts w:ascii="Calibri" w:eastAsia="Calibri" w:hAnsi="Calibri" w:cs="Calibri"/>
          <w:color w:val="1D1C1D"/>
        </w:rPr>
        <w:t xml:space="preserve"> of women’s rights and further shrink civic space. The Emergency Decree, along with the Computer Crimes Act and lèse-majesté laws (Section 112), were weaponized to criminalize peaceful expression and impose SLAPPs against civil society actors.</w:t>
      </w:r>
      <w:r>
        <w:rPr>
          <w:rFonts w:ascii="Calibri" w:eastAsia="Calibri" w:hAnsi="Calibri" w:cs="Calibri"/>
          <w:vertAlign w:val="superscript"/>
        </w:rPr>
        <w:footnoteReference w:id="16"/>
      </w:r>
      <w:r>
        <w:rPr>
          <w:rFonts w:ascii="Calibri" w:eastAsia="Calibri" w:hAnsi="Calibri" w:cs="Calibri"/>
        </w:rPr>
        <w:t xml:space="preserve"> </w:t>
      </w:r>
    </w:p>
    <w:p w14:paraId="5BA9566D" w14:textId="77777777" w:rsidR="00B46444" w:rsidRDefault="00000000">
      <w:pPr>
        <w:shd w:val="clear" w:color="auto" w:fill="FFFFFF"/>
        <w:spacing w:before="240" w:after="240" w:line="240" w:lineRule="auto"/>
        <w:ind w:left="720" w:hanging="450"/>
        <w:jc w:val="both"/>
        <w:rPr>
          <w:rFonts w:ascii="Calibri" w:eastAsia="Calibri" w:hAnsi="Calibri" w:cs="Calibri"/>
        </w:rPr>
      </w:pPr>
      <w:r>
        <w:rPr>
          <w:rFonts w:ascii="Calibri" w:eastAsia="Calibri" w:hAnsi="Calibri" w:cs="Calibri"/>
        </w:rPr>
        <w:t xml:space="preserve">39. </w:t>
      </w:r>
      <w:r>
        <w:rPr>
          <w:rFonts w:ascii="Calibri" w:eastAsia="Calibri" w:hAnsi="Calibri" w:cs="Calibri"/>
        </w:rPr>
        <w:tab/>
        <w:t>We also once again draw attention to, and condemn, the liberal and unchecked use of Strategic Lawsuits Against Public Participation by the Thai State to silence and disable those deemed as threats to the status quo.  Despite repeated concerns raised by civil society, current anti-SLAPP provisions in the Criminal Procedure Code and the draft Anti-SLAPP Bill remain deeply inadequate.</w:t>
      </w:r>
      <w:r>
        <w:rPr>
          <w:rFonts w:ascii="Calibri" w:eastAsia="Calibri" w:hAnsi="Calibri" w:cs="Calibri"/>
          <w:vertAlign w:val="superscript"/>
        </w:rPr>
        <w:footnoteReference w:id="17"/>
      </w:r>
      <w:r>
        <w:rPr>
          <w:rFonts w:ascii="Calibri" w:eastAsia="Calibri" w:hAnsi="Calibri" w:cs="Calibri"/>
        </w:rPr>
        <w:t xml:space="preserve"> For further analysis, see our other Joint Civil Society CEDAW Report ‘</w:t>
      </w:r>
      <w:r>
        <w:rPr>
          <w:rFonts w:ascii="Calibri" w:eastAsia="Calibri" w:hAnsi="Calibri" w:cs="Calibri"/>
          <w:b/>
          <w:color w:val="FF6600"/>
        </w:rPr>
        <w:t xml:space="preserve">Our Land, Our Bodies, Our Rights: </w:t>
      </w:r>
      <w:r>
        <w:rPr>
          <w:rFonts w:ascii="Calibri" w:eastAsia="Calibri" w:hAnsi="Calibri" w:cs="Calibri"/>
        </w:rPr>
        <w:t xml:space="preserve"> </w:t>
      </w:r>
      <w:r>
        <w:rPr>
          <w:rFonts w:ascii="Calibri" w:eastAsia="Calibri" w:hAnsi="Calibri" w:cs="Calibri"/>
          <w:b/>
          <w:color w:val="FF6600"/>
        </w:rPr>
        <w:t>A Feminist Report on Discrimination, Corporate Abuse, and Climate Injustice in Thailand</w:t>
      </w:r>
      <w:r>
        <w:rPr>
          <w:rFonts w:ascii="Calibri" w:eastAsia="Calibri" w:hAnsi="Calibri" w:cs="Calibri"/>
        </w:rPr>
        <w:t xml:space="preserve">’. </w:t>
      </w:r>
    </w:p>
    <w:p w14:paraId="0A657EAC" w14:textId="2BD0FFF8" w:rsidR="00B46444" w:rsidRDefault="00000000">
      <w:pPr>
        <w:shd w:val="clear" w:color="auto" w:fill="FFFFFF"/>
        <w:spacing w:before="240" w:after="240" w:line="240" w:lineRule="auto"/>
        <w:ind w:left="720" w:hanging="450"/>
        <w:jc w:val="both"/>
        <w:rPr>
          <w:rFonts w:ascii="Calibri" w:eastAsia="Calibri" w:hAnsi="Calibri" w:cs="Calibri"/>
        </w:rPr>
      </w:pPr>
      <w:r>
        <w:rPr>
          <w:rFonts w:ascii="Calibri" w:eastAsia="Calibri" w:hAnsi="Calibri" w:cs="Calibri"/>
        </w:rPr>
        <w:t xml:space="preserve">40. </w:t>
      </w:r>
      <w:r>
        <w:rPr>
          <w:rFonts w:ascii="Calibri" w:eastAsia="Calibri" w:hAnsi="Calibri" w:cs="Calibri"/>
        </w:rPr>
        <w:tab/>
        <w:t xml:space="preserve">The State must be reminded that women and LBTQIAN+ people are the majority, not the fringe. Targeting diverse identities in the name of 'national security' is a sign of fear, not strength. The Thai elite’s </w:t>
      </w:r>
      <w:r w:rsidR="005C4EEB">
        <w:rPr>
          <w:rFonts w:ascii="Calibri" w:eastAsia="Calibri" w:hAnsi="Calibri" w:cs="Calibri"/>
        </w:rPr>
        <w:t>crack down</w:t>
      </w:r>
      <w:r>
        <w:rPr>
          <w:rFonts w:ascii="Calibri" w:eastAsia="Calibri" w:hAnsi="Calibri" w:cs="Calibri"/>
        </w:rPr>
        <w:t xml:space="preserve"> on civil liberties does not protect democracy, it dismantles it. If the State refuses to change course, the People have every right to resist.</w:t>
      </w:r>
    </w:p>
    <w:p w14:paraId="72B9559D" w14:textId="77777777" w:rsidR="00B46444" w:rsidRDefault="00000000">
      <w:pPr>
        <w:pStyle w:val="Heading4"/>
        <w:rPr>
          <w:i/>
        </w:rPr>
      </w:pPr>
      <w:bookmarkStart w:id="14" w:name="_fnwj2aj1e92d" w:colFirst="0" w:colLast="0"/>
      <w:bookmarkEnd w:id="14"/>
      <w:r>
        <w:rPr>
          <w:i/>
        </w:rPr>
        <w:t>Techno-colonialism, Digital Dictatorship, and Technology-facilitated GBV (TFGBV)</w:t>
      </w:r>
    </w:p>
    <w:p w14:paraId="4B164CAA" w14:textId="77777777" w:rsidR="00B46444" w:rsidRDefault="00000000">
      <w:pPr>
        <w:widowControl w:val="0"/>
        <w:spacing w:before="240" w:after="240" w:line="240" w:lineRule="auto"/>
        <w:ind w:left="720" w:hanging="450"/>
        <w:jc w:val="both"/>
        <w:rPr>
          <w:rFonts w:ascii="Calibri" w:eastAsia="Calibri" w:hAnsi="Calibri" w:cs="Calibri"/>
        </w:rPr>
      </w:pPr>
      <w:r>
        <w:rPr>
          <w:rFonts w:ascii="Calibri" w:eastAsia="Calibri" w:hAnsi="Calibri" w:cs="Calibri"/>
        </w:rPr>
        <w:t xml:space="preserve">41. </w:t>
      </w:r>
      <w:r>
        <w:rPr>
          <w:rFonts w:ascii="Calibri" w:eastAsia="Calibri" w:hAnsi="Calibri" w:cs="Calibri"/>
        </w:rPr>
        <w:tab/>
        <w:t>Thailand’s digital repression is driven by both domestic authoritarianism and foreign corporate power. Beyond surveillance hardware, Thailand’s cyber legal framework has become a key tool in silencing dissent and suppressing women and LBTQIAN+ voices online. On one side, the State has weaponized surveillance technologies and repressive laws to target activists and silence dissent. On the other, U.S.-based platforms export censorship policies rooted in conservative values that clash with Thailand’s own legal protections.</w:t>
      </w:r>
    </w:p>
    <w:p w14:paraId="3187ED80" w14:textId="01B3C438" w:rsidR="00B46444" w:rsidRDefault="00000000">
      <w:pPr>
        <w:widowControl w:val="0"/>
        <w:spacing w:before="240" w:after="240" w:line="240" w:lineRule="auto"/>
        <w:ind w:left="720" w:hanging="450"/>
        <w:jc w:val="both"/>
        <w:rPr>
          <w:rFonts w:ascii="Calibri" w:eastAsia="Calibri" w:hAnsi="Calibri" w:cs="Calibri"/>
        </w:rPr>
      </w:pPr>
      <w:r>
        <w:rPr>
          <w:rFonts w:ascii="Calibri" w:eastAsia="Calibri" w:hAnsi="Calibri" w:cs="Calibri"/>
        </w:rPr>
        <w:t xml:space="preserve">42. </w:t>
      </w:r>
      <w:r>
        <w:rPr>
          <w:rFonts w:ascii="Calibri" w:eastAsia="Calibri" w:hAnsi="Calibri" w:cs="Calibri"/>
        </w:rPr>
        <w:tab/>
        <w:t xml:space="preserve">The Thai government has used Pegasus spyware, an Israeli spyware, to monitor Thai HRDs, enabling systematic </w:t>
      </w:r>
      <w:r>
        <w:rPr>
          <w:rFonts w:ascii="Calibri" w:eastAsia="Calibri" w:hAnsi="Calibri" w:cs="Calibri"/>
        </w:rPr>
        <w:lastRenderedPageBreak/>
        <w:t>intimidation. Among the 30 activists targeted by Pegasus, at least twelve are women.</w:t>
      </w:r>
      <w:r>
        <w:rPr>
          <w:rFonts w:ascii="Calibri" w:eastAsia="Calibri" w:hAnsi="Calibri" w:cs="Calibri"/>
          <w:vertAlign w:val="superscript"/>
        </w:rPr>
        <w:footnoteReference w:id="18"/>
      </w:r>
      <w:r>
        <w:rPr>
          <w:rFonts w:ascii="Calibri" w:eastAsia="Calibri" w:hAnsi="Calibri" w:cs="Calibri"/>
        </w:rPr>
        <w:t xml:space="preserve"> Additionally, human rights lawyer PK and AH, WHRDs known for documenting torture in the Deep South, have reported constant surveillance and </w:t>
      </w:r>
      <w:r w:rsidR="005C4EEB">
        <w:rPr>
          <w:rFonts w:ascii="Calibri" w:eastAsia="Calibri" w:hAnsi="Calibri" w:cs="Calibri"/>
        </w:rPr>
        <w:t>online harassment</w:t>
      </w:r>
      <w:r>
        <w:rPr>
          <w:rFonts w:ascii="Calibri" w:eastAsia="Calibri" w:hAnsi="Calibri" w:cs="Calibri"/>
        </w:rPr>
        <w:t xml:space="preserve"> </w:t>
      </w:r>
      <w:proofErr w:type="gramStart"/>
      <w:r>
        <w:rPr>
          <w:rFonts w:ascii="Calibri" w:eastAsia="Calibri" w:hAnsi="Calibri" w:cs="Calibri"/>
        </w:rPr>
        <w:t>as a result of</w:t>
      </w:r>
      <w:proofErr w:type="gramEnd"/>
      <w:r>
        <w:rPr>
          <w:rFonts w:ascii="Calibri" w:eastAsia="Calibri" w:hAnsi="Calibri" w:cs="Calibri"/>
        </w:rPr>
        <w:t xml:space="preserve"> </w:t>
      </w:r>
      <w:r w:rsidR="005C4EEB">
        <w:rPr>
          <w:rFonts w:ascii="Calibri" w:eastAsia="Calibri" w:hAnsi="Calibri" w:cs="Calibri"/>
        </w:rPr>
        <w:t xml:space="preserve">their </w:t>
      </w:r>
      <w:r>
        <w:rPr>
          <w:rFonts w:ascii="Calibri" w:eastAsia="Calibri" w:hAnsi="Calibri" w:cs="Calibri"/>
        </w:rPr>
        <w:t xml:space="preserve">advocacy. </w:t>
      </w:r>
    </w:p>
    <w:p w14:paraId="46AF15E0" w14:textId="4D20617E" w:rsidR="00B46444" w:rsidRDefault="00000000">
      <w:pPr>
        <w:widowControl w:val="0"/>
        <w:spacing w:before="240" w:after="240" w:line="240" w:lineRule="auto"/>
        <w:ind w:left="720" w:hanging="450"/>
        <w:jc w:val="both"/>
        <w:rPr>
          <w:rFonts w:ascii="Calibri" w:eastAsia="Calibri" w:hAnsi="Calibri" w:cs="Calibri"/>
        </w:rPr>
      </w:pPr>
      <w:r>
        <w:rPr>
          <w:rFonts w:ascii="Calibri" w:eastAsia="Calibri" w:hAnsi="Calibri" w:cs="Calibri"/>
        </w:rPr>
        <w:t xml:space="preserve">43. </w:t>
      </w:r>
      <w:r>
        <w:rPr>
          <w:rFonts w:ascii="Calibri" w:eastAsia="Calibri" w:hAnsi="Calibri" w:cs="Calibri"/>
        </w:rPr>
        <w:tab/>
        <w:t xml:space="preserve">More recently, </w:t>
      </w:r>
      <w:r w:rsidR="005C4EEB">
        <w:rPr>
          <w:rFonts w:ascii="Calibri" w:eastAsia="Calibri" w:hAnsi="Calibri" w:cs="Calibri"/>
        </w:rPr>
        <w:t>Thailand</w:t>
      </w:r>
      <w:r>
        <w:rPr>
          <w:rFonts w:ascii="Calibri" w:eastAsia="Calibri" w:hAnsi="Calibri" w:cs="Calibri"/>
        </w:rPr>
        <w:t xml:space="preserve"> launched the AI-powered Cyborg 1.0 robot to enhance ‘security’ at public gatherings.</w:t>
      </w:r>
      <w:r>
        <w:rPr>
          <w:rFonts w:ascii="Calibri" w:eastAsia="Calibri" w:hAnsi="Calibri" w:cs="Calibri"/>
          <w:vertAlign w:val="superscript"/>
        </w:rPr>
        <w:footnoteReference w:id="19"/>
      </w:r>
      <w:r>
        <w:rPr>
          <w:rFonts w:ascii="Calibri" w:eastAsia="Calibri" w:hAnsi="Calibri" w:cs="Calibri"/>
        </w:rPr>
        <w:t xml:space="preserve"> These tools, framed as security measures, are weaponized to crush civic resistance.</w:t>
      </w:r>
    </w:p>
    <w:p w14:paraId="45E70C10" w14:textId="77777777" w:rsidR="00B46444" w:rsidRDefault="00000000">
      <w:pPr>
        <w:widowControl w:val="0"/>
        <w:spacing w:before="240" w:after="240" w:line="240" w:lineRule="auto"/>
        <w:ind w:left="720" w:hanging="450"/>
        <w:jc w:val="both"/>
        <w:rPr>
          <w:rFonts w:ascii="Calibri" w:eastAsia="Calibri" w:hAnsi="Calibri" w:cs="Calibri"/>
        </w:rPr>
      </w:pPr>
      <w:r>
        <w:rPr>
          <w:rFonts w:ascii="Calibri" w:eastAsia="Calibri" w:hAnsi="Calibri" w:cs="Calibri"/>
        </w:rPr>
        <w:t xml:space="preserve">44. </w:t>
      </w:r>
      <w:r>
        <w:rPr>
          <w:rFonts w:ascii="Calibri" w:eastAsia="Calibri" w:hAnsi="Calibri" w:cs="Calibri"/>
        </w:rPr>
        <w:tab/>
        <w:t>Beyond surveillance hardware, Thailand’s cyber legal arsenal—including civil and criminal Defamation provisions, the Computer Crimes Act (CCA), Cybersecurity Act, Emergency Decree, and Section 112 of the Criminal Code (lèse-majesté)—is routinely weaponized to criminalize dissent under the guise of national security. These laws contain vague, sweeping provisions that enable authorities to surveil, detain, and silence women and LBTQIAN+ activists. One of the most egregious examples is the case of AP, a former civil servant and woman activist sentenced in 2021 to 87 years in prison (later reduced to 43) for sharing audio clips critical of the monarchy.</w:t>
      </w:r>
      <w:r>
        <w:rPr>
          <w:rFonts w:ascii="Calibri" w:eastAsia="Calibri" w:hAnsi="Calibri" w:cs="Calibri"/>
          <w:vertAlign w:val="superscript"/>
        </w:rPr>
        <w:footnoteReference w:id="20"/>
      </w:r>
      <w:r>
        <w:rPr>
          <w:rFonts w:ascii="Calibri" w:eastAsia="Calibri" w:hAnsi="Calibri" w:cs="Calibri"/>
        </w:rPr>
        <w:t xml:space="preserve"> Her case exemplifies the extreme, gendered punishment enabled by Thailand’s digital legal framework.</w:t>
      </w:r>
    </w:p>
    <w:p w14:paraId="4BC6ABE9" w14:textId="6B04705D" w:rsidR="00B46444" w:rsidRDefault="00000000">
      <w:pPr>
        <w:widowControl w:val="0"/>
        <w:spacing w:before="240" w:after="240" w:line="240" w:lineRule="auto"/>
        <w:ind w:left="720" w:hanging="450"/>
        <w:jc w:val="both"/>
        <w:rPr>
          <w:rFonts w:ascii="Calibri" w:eastAsia="Calibri" w:hAnsi="Calibri" w:cs="Calibri"/>
        </w:rPr>
      </w:pPr>
      <w:r>
        <w:rPr>
          <w:rFonts w:ascii="Calibri" w:eastAsia="Calibri" w:hAnsi="Calibri" w:cs="Calibri"/>
        </w:rPr>
        <w:t xml:space="preserve">45. </w:t>
      </w:r>
      <w:r>
        <w:rPr>
          <w:rFonts w:ascii="Calibri" w:eastAsia="Calibri" w:hAnsi="Calibri" w:cs="Calibri"/>
        </w:rPr>
        <w:tab/>
        <w:t xml:space="preserve">As outlined by the 2024 </w:t>
      </w:r>
      <w:hyperlink r:id="rId15">
        <w:r w:rsidR="00B46444">
          <w:rPr>
            <w:rFonts w:ascii="Calibri" w:eastAsia="Calibri" w:hAnsi="Calibri" w:cs="Calibri"/>
            <w:color w:val="1155CC"/>
            <w:u w:val="single"/>
          </w:rPr>
          <w:t>ASEAN Regional Coalition to #StopDigitalDictatorship</w:t>
        </w:r>
      </w:hyperlink>
      <w:r>
        <w:rPr>
          <w:rFonts w:ascii="Calibri" w:eastAsia="Calibri" w:hAnsi="Calibri" w:cs="Calibri"/>
        </w:rPr>
        <w:t>’s report on Thailand ‘</w:t>
      </w:r>
      <w:hyperlink r:id="rId16">
        <w:r w:rsidR="00B46444">
          <w:rPr>
            <w:rFonts w:ascii="Calibri" w:eastAsia="Calibri" w:hAnsi="Calibri" w:cs="Calibri"/>
            <w:b/>
            <w:color w:val="1155CC"/>
            <w:u w:val="single"/>
          </w:rPr>
          <w:t>Dawn on Digital Dictatorship: Thailand Country Report</w:t>
        </w:r>
      </w:hyperlink>
      <w:r>
        <w:rPr>
          <w:rFonts w:ascii="Calibri" w:eastAsia="Calibri" w:hAnsi="Calibri" w:cs="Calibri"/>
        </w:rPr>
        <w:t>’</w:t>
      </w:r>
      <w:r>
        <w:rPr>
          <w:rFonts w:ascii="Calibri" w:eastAsia="Calibri" w:hAnsi="Calibri" w:cs="Calibri"/>
          <w:vertAlign w:val="superscript"/>
        </w:rPr>
        <w:footnoteReference w:id="21"/>
      </w:r>
      <w:r>
        <w:rPr>
          <w:rFonts w:ascii="Calibri" w:eastAsia="Calibri" w:hAnsi="Calibri" w:cs="Calibri"/>
        </w:rPr>
        <w:t xml:space="preserve">, and in </w:t>
      </w:r>
      <w:proofErr w:type="spellStart"/>
      <w:r>
        <w:rPr>
          <w:rFonts w:ascii="Calibri" w:eastAsia="Calibri" w:hAnsi="Calibri" w:cs="Calibri"/>
        </w:rPr>
        <w:t>Manushya’s</w:t>
      </w:r>
      <w:proofErr w:type="spellEnd"/>
      <w:r>
        <w:rPr>
          <w:rFonts w:ascii="Calibri" w:eastAsia="Calibri" w:hAnsi="Calibri" w:cs="Calibri"/>
        </w:rPr>
        <w:t xml:space="preserve"> joint </w:t>
      </w:r>
      <w:hyperlink r:id="rId17">
        <w:r w:rsidR="00B46444">
          <w:rPr>
            <w:rFonts w:ascii="Calibri" w:eastAsia="Calibri" w:hAnsi="Calibri" w:cs="Calibri"/>
            <w:color w:val="1155CC"/>
            <w:u w:val="single"/>
          </w:rPr>
          <w:t>Freedom on the Net 2024 report</w:t>
        </w:r>
      </w:hyperlink>
      <w:r>
        <w:rPr>
          <w:rFonts w:ascii="Calibri" w:eastAsia="Calibri" w:hAnsi="Calibri" w:cs="Calibri"/>
          <w:vertAlign w:val="superscript"/>
        </w:rPr>
        <w:footnoteReference w:id="22"/>
      </w:r>
      <w:r>
        <w:rPr>
          <w:rFonts w:ascii="Calibri" w:eastAsia="Calibri" w:hAnsi="Calibri" w:cs="Calibri"/>
        </w:rPr>
        <w:t>, Thailand has seen a clear decline in digital rights over the past years, ranked as ‘Not Free’. WHRDs, sex workers, Queer people, and pro-democracy activists continue to face legal harassment, surveillance, and censorship - online and offline - for challenging patriarchal and authoritarian norms.</w:t>
      </w:r>
    </w:p>
    <w:p w14:paraId="1FBDEB47" w14:textId="34C3B3E2" w:rsidR="00B46444" w:rsidRDefault="00000000">
      <w:pPr>
        <w:widowControl w:val="0"/>
        <w:spacing w:before="240" w:after="240" w:line="240" w:lineRule="auto"/>
        <w:ind w:left="720" w:hanging="450"/>
        <w:jc w:val="both"/>
        <w:rPr>
          <w:rFonts w:ascii="Calibri" w:eastAsia="Calibri" w:hAnsi="Calibri" w:cs="Calibri"/>
        </w:rPr>
      </w:pPr>
      <w:r>
        <w:rPr>
          <w:rFonts w:ascii="Calibri" w:eastAsia="Calibri" w:hAnsi="Calibri" w:cs="Calibri"/>
        </w:rPr>
        <w:t xml:space="preserve">46. </w:t>
      </w:r>
      <w:r>
        <w:rPr>
          <w:rFonts w:ascii="Calibri" w:eastAsia="Calibri" w:hAnsi="Calibri" w:cs="Calibri"/>
        </w:rPr>
        <w:tab/>
      </w:r>
      <w:r>
        <w:rPr>
          <w:rFonts w:ascii="Calibri" w:eastAsia="Calibri" w:hAnsi="Calibri" w:cs="Calibri"/>
          <w:b/>
        </w:rPr>
        <w:t>Adding to this digital repression is techno-colonialism.</w:t>
      </w:r>
      <w:r>
        <w:rPr>
          <w:rFonts w:ascii="Calibri" w:eastAsia="Calibri" w:hAnsi="Calibri" w:cs="Calibri"/>
        </w:rPr>
        <w:t xml:space="preserve"> Content moderation by platforms like Meta and TikTok enforces U.S.-centric, anti-feminist standards that contradict Thai law, where abortion is legal and LBTQIAN+ rights are more progressive. BC, a transgender WHRD, reported restrictions on Facebook ads featuring LGBTQIAN+ themes, in December 2024. TS, a Thai LGBTQIAN+ sex worker WHRD, has had their content repeatedly removed from Instagram and TikTok for referencing sex work. On 12 May 2025, feminist platform “</w:t>
      </w:r>
      <w:hyperlink r:id="rId18">
        <w:r w:rsidR="00B46444">
          <w:rPr>
            <w:rFonts w:ascii="Calibri" w:eastAsia="Calibri" w:hAnsi="Calibri" w:cs="Calibri"/>
            <w:color w:val="1155CC"/>
            <w:u w:val="single"/>
          </w:rPr>
          <w:t>Safe Abortion Thailand</w:t>
        </w:r>
      </w:hyperlink>
      <w:r>
        <w:rPr>
          <w:rFonts w:ascii="Calibri" w:eastAsia="Calibri" w:hAnsi="Calibri" w:cs="Calibri"/>
        </w:rPr>
        <w:t>” Facebook Page</w:t>
      </w:r>
      <w:r>
        <w:rPr>
          <w:rFonts w:ascii="Calibri" w:eastAsia="Calibri" w:hAnsi="Calibri" w:cs="Calibri"/>
          <w:vertAlign w:val="superscript"/>
        </w:rPr>
        <w:footnoteReference w:id="23"/>
      </w:r>
      <w:r>
        <w:rPr>
          <w:rFonts w:ascii="Calibri" w:eastAsia="Calibri" w:hAnsi="Calibri" w:cs="Calibri"/>
        </w:rPr>
        <w:t xml:space="preserve">, administered by </w:t>
      </w:r>
      <w:proofErr w:type="spellStart"/>
      <w:r>
        <w:rPr>
          <w:rFonts w:ascii="Calibri" w:eastAsia="Calibri" w:hAnsi="Calibri" w:cs="Calibri"/>
        </w:rPr>
        <w:t>Tamtang</w:t>
      </w:r>
      <w:proofErr w:type="spellEnd"/>
      <w:r>
        <w:rPr>
          <w:rFonts w:ascii="Calibri" w:eastAsia="Calibri" w:hAnsi="Calibri" w:cs="Calibri"/>
        </w:rPr>
        <w:t xml:space="preserve"> Foundation</w:t>
      </w:r>
      <w:r w:rsidR="0097148F">
        <w:rPr>
          <w:rFonts w:ascii="Calibri" w:eastAsia="Calibri" w:hAnsi="Calibri" w:cs="Calibri"/>
        </w:rPr>
        <w:t xml:space="preserve"> and providing information on legal abortion</w:t>
      </w:r>
      <w:r>
        <w:rPr>
          <w:rFonts w:ascii="Calibri" w:eastAsia="Calibri" w:hAnsi="Calibri" w:cs="Calibri"/>
        </w:rPr>
        <w:t>,</w:t>
      </w:r>
      <w:r w:rsidR="0097148F">
        <w:rPr>
          <w:rFonts w:ascii="Calibri" w:eastAsia="Calibri" w:hAnsi="Calibri" w:cs="Calibri"/>
        </w:rPr>
        <w:t xml:space="preserve"> </w:t>
      </w:r>
      <w:r>
        <w:rPr>
          <w:rFonts w:ascii="Calibri" w:eastAsia="Calibri" w:hAnsi="Calibri" w:cs="Calibri"/>
        </w:rPr>
        <w:t>was suspended</w:t>
      </w:r>
      <w:r>
        <w:rPr>
          <w:rFonts w:ascii="Calibri" w:eastAsia="Calibri" w:hAnsi="Calibri" w:cs="Calibri"/>
          <w:vertAlign w:val="superscript"/>
        </w:rPr>
        <w:footnoteReference w:id="24"/>
      </w:r>
      <w:r>
        <w:rPr>
          <w:rFonts w:ascii="Calibri" w:eastAsia="Calibri" w:hAnsi="Calibri" w:cs="Calibri"/>
        </w:rPr>
        <w:t xml:space="preserve">, and was re-initiated after </w:t>
      </w:r>
      <w:proofErr w:type="spellStart"/>
      <w:r>
        <w:rPr>
          <w:rFonts w:ascii="Calibri" w:eastAsia="Calibri" w:hAnsi="Calibri" w:cs="Calibri"/>
        </w:rPr>
        <w:t>Manushya</w:t>
      </w:r>
      <w:proofErr w:type="spellEnd"/>
      <w:r>
        <w:rPr>
          <w:rFonts w:ascii="Calibri" w:eastAsia="Calibri" w:hAnsi="Calibri" w:cs="Calibri"/>
        </w:rPr>
        <w:t xml:space="preserve"> and partners wrote to </w:t>
      </w:r>
      <w:r w:rsidR="0097148F">
        <w:rPr>
          <w:rFonts w:ascii="Calibri" w:eastAsia="Calibri" w:hAnsi="Calibri" w:cs="Calibri"/>
        </w:rPr>
        <w:t>Meta</w:t>
      </w:r>
      <w:r>
        <w:rPr>
          <w:rFonts w:ascii="Calibri" w:eastAsia="Calibri" w:hAnsi="Calibri" w:cs="Calibri"/>
        </w:rPr>
        <w:t xml:space="preserve">. </w:t>
      </w:r>
      <w:r w:rsidR="0097148F">
        <w:rPr>
          <w:rFonts w:ascii="Calibri" w:eastAsia="Calibri" w:hAnsi="Calibri" w:cs="Calibri"/>
        </w:rPr>
        <w:t>On 19 May</w:t>
      </w:r>
      <w:r>
        <w:rPr>
          <w:rFonts w:ascii="Calibri" w:eastAsia="Calibri" w:hAnsi="Calibri" w:cs="Calibri"/>
        </w:rPr>
        <w:t>,</w:t>
      </w:r>
      <w:r w:rsidR="0097148F">
        <w:rPr>
          <w:rFonts w:ascii="Calibri" w:eastAsia="Calibri" w:hAnsi="Calibri" w:cs="Calibri"/>
        </w:rPr>
        <w:t xml:space="preserve"> another abortion </w:t>
      </w:r>
      <w:r w:rsidR="0097148F">
        <w:rPr>
          <w:rFonts w:ascii="Calibri" w:eastAsia="Calibri" w:hAnsi="Calibri" w:cs="Calibri"/>
        </w:rPr>
        <w:lastRenderedPageBreak/>
        <w:t>rights page,</w:t>
      </w:r>
      <w:r>
        <w:rPr>
          <w:rFonts w:ascii="Calibri" w:eastAsia="Calibri" w:hAnsi="Calibri" w:cs="Calibri"/>
        </w:rPr>
        <w:t xml:space="preserve"> </w:t>
      </w:r>
      <w:hyperlink r:id="rId19">
        <w:r w:rsidR="00B46444">
          <w:rPr>
            <w:rFonts w:ascii="Calibri" w:eastAsia="Calibri" w:hAnsi="Calibri" w:cs="Calibri"/>
            <w:color w:val="1155CC"/>
            <w:u w:val="single"/>
          </w:rPr>
          <w:t>RSA Thai’s Facebook page</w:t>
        </w:r>
      </w:hyperlink>
      <w:r>
        <w:rPr>
          <w:rFonts w:ascii="Calibri" w:eastAsia="Calibri" w:hAnsi="Calibri" w:cs="Calibri"/>
          <w:vertAlign w:val="superscript"/>
        </w:rPr>
        <w:footnoteReference w:id="25"/>
      </w:r>
      <w:r>
        <w:rPr>
          <w:rFonts w:ascii="Calibri" w:eastAsia="Calibri" w:hAnsi="Calibri" w:cs="Calibri"/>
        </w:rPr>
        <w:t xml:space="preserve"> was suspended, and reinstated the same day. </w:t>
      </w:r>
      <w:r w:rsidR="0097148F">
        <w:rPr>
          <w:rFonts w:ascii="Calibri" w:eastAsia="Calibri" w:hAnsi="Calibri" w:cs="Calibri"/>
        </w:rPr>
        <w:t>It was suspended again on 26 May</w:t>
      </w:r>
      <w:r>
        <w:rPr>
          <w:rFonts w:ascii="Calibri" w:eastAsia="Calibri" w:hAnsi="Calibri" w:cs="Calibri"/>
        </w:rPr>
        <w:t xml:space="preserve"> and reinstated </w:t>
      </w:r>
      <w:r w:rsidR="0097148F">
        <w:rPr>
          <w:rFonts w:ascii="Calibri" w:eastAsia="Calibri" w:hAnsi="Calibri" w:cs="Calibri"/>
        </w:rPr>
        <w:t>the next day, following</w:t>
      </w:r>
      <w:r>
        <w:rPr>
          <w:rFonts w:ascii="Calibri" w:eastAsia="Calibri" w:hAnsi="Calibri" w:cs="Calibri"/>
        </w:rPr>
        <w:t xml:space="preserve"> </w:t>
      </w:r>
      <w:proofErr w:type="spellStart"/>
      <w:r>
        <w:rPr>
          <w:rFonts w:ascii="Calibri" w:eastAsia="Calibri" w:hAnsi="Calibri" w:cs="Calibri"/>
        </w:rPr>
        <w:t>Manushya</w:t>
      </w:r>
      <w:r w:rsidR="0097148F">
        <w:rPr>
          <w:rFonts w:ascii="Calibri" w:eastAsia="Calibri" w:hAnsi="Calibri" w:cs="Calibri"/>
        </w:rPr>
        <w:t>’s</w:t>
      </w:r>
      <w:proofErr w:type="spellEnd"/>
      <w:r w:rsidR="0097148F">
        <w:rPr>
          <w:rFonts w:ascii="Calibri" w:eastAsia="Calibri" w:hAnsi="Calibri" w:cs="Calibri"/>
        </w:rPr>
        <w:t xml:space="preserve"> intervention with </w:t>
      </w:r>
      <w:r>
        <w:rPr>
          <w:rFonts w:ascii="Calibri" w:eastAsia="Calibri" w:hAnsi="Calibri" w:cs="Calibri"/>
        </w:rPr>
        <w:t xml:space="preserve">Meta. By applying conservative, U.S.-centric moderation standards in a Thai context where abortion is legal, Meta is exporting digital patriarchy and undermining Thai sovereignty and law. This is a clear case of techno-colonialism, where foreign corporate policies override the rights and laws of Global South communities. </w:t>
      </w:r>
    </w:p>
    <w:p w14:paraId="53F7D045" w14:textId="54753E7D" w:rsidR="00B46444" w:rsidRDefault="00000000">
      <w:pPr>
        <w:widowControl w:val="0"/>
        <w:spacing w:before="240" w:after="240" w:line="240" w:lineRule="auto"/>
        <w:ind w:left="720" w:hanging="450"/>
        <w:jc w:val="both"/>
        <w:rPr>
          <w:rFonts w:ascii="Calibri" w:eastAsia="Calibri" w:hAnsi="Calibri" w:cs="Calibri"/>
        </w:rPr>
      </w:pPr>
      <w:r>
        <w:rPr>
          <w:rFonts w:ascii="Calibri" w:eastAsia="Calibri" w:hAnsi="Calibri" w:cs="Calibri"/>
        </w:rPr>
        <w:t xml:space="preserve">47. </w:t>
      </w:r>
      <w:r>
        <w:rPr>
          <w:rFonts w:ascii="Calibri" w:eastAsia="Calibri" w:hAnsi="Calibri" w:cs="Calibri"/>
        </w:rPr>
        <w:tab/>
        <w:t xml:space="preserve">At the same time, Thailand is rushing toward AI regulation with minimal regard for human rights. As illustrated in </w:t>
      </w:r>
      <w:proofErr w:type="spellStart"/>
      <w:r>
        <w:rPr>
          <w:rFonts w:ascii="Calibri" w:eastAsia="Calibri" w:hAnsi="Calibri" w:cs="Calibri"/>
        </w:rPr>
        <w:t>Manushya’s</w:t>
      </w:r>
      <w:proofErr w:type="spellEnd"/>
      <w:r>
        <w:rPr>
          <w:rFonts w:ascii="Calibri" w:eastAsia="Calibri" w:hAnsi="Calibri" w:cs="Calibri"/>
        </w:rPr>
        <w:t xml:space="preserve"> 2024 report </w:t>
      </w:r>
      <w:hyperlink r:id="rId20">
        <w:r w:rsidR="00B46444">
          <w:rPr>
            <w:rFonts w:ascii="Calibri" w:eastAsia="Calibri" w:hAnsi="Calibri" w:cs="Calibri"/>
            <w:color w:val="1155CC"/>
            <w:u w:val="single"/>
          </w:rPr>
          <w:t>‘</w:t>
        </w:r>
      </w:hyperlink>
      <w:hyperlink r:id="rId21">
        <w:r w:rsidR="00B46444">
          <w:rPr>
            <w:rFonts w:ascii="Calibri" w:eastAsia="Calibri" w:hAnsi="Calibri" w:cs="Calibri"/>
            <w:b/>
            <w:color w:val="1155CC"/>
            <w:u w:val="single"/>
          </w:rPr>
          <w:t>Is Thailand Ready for AI that Respects Human Rights?</w:t>
        </w:r>
      </w:hyperlink>
      <w:r>
        <w:rPr>
          <w:rFonts w:ascii="Calibri" w:eastAsia="Calibri" w:hAnsi="Calibri" w:cs="Calibri"/>
        </w:rPr>
        <w:t>’, the answer is ‘NO’.</w:t>
      </w:r>
      <w:r>
        <w:rPr>
          <w:rFonts w:ascii="Calibri" w:eastAsia="Calibri" w:hAnsi="Calibri" w:cs="Calibri"/>
          <w:vertAlign w:val="superscript"/>
        </w:rPr>
        <w:footnoteReference w:id="26"/>
      </w:r>
      <w:r>
        <w:rPr>
          <w:rFonts w:ascii="Calibri" w:eastAsia="Calibri" w:hAnsi="Calibri" w:cs="Calibri"/>
        </w:rPr>
        <w:t xml:space="preserve"> Thailand lacks a national AI law and the current Personal Data Protection Act (PDPA) fails to protect against algorithmic bias, biometric surveillance, or profiling. The </w:t>
      </w:r>
      <w:hyperlink r:id="rId22" w:history="1">
        <w:r w:rsidR="00B46444" w:rsidRPr="0097148F">
          <w:rPr>
            <w:rStyle w:val="Hyperlink"/>
            <w:rFonts w:ascii="Calibri" w:eastAsia="Calibri" w:hAnsi="Calibri" w:cs="Calibri"/>
          </w:rPr>
          <w:t>draft AI regulation</w:t>
        </w:r>
      </w:hyperlink>
      <w:r>
        <w:rPr>
          <w:rFonts w:ascii="Calibri" w:eastAsia="Calibri" w:hAnsi="Calibri" w:cs="Calibri"/>
        </w:rPr>
        <w:t xml:space="preserve">, open for public comment until 9 June 2025, prioritizes corporate interests over people’s rights. Without meaningful safeguards, AI will deepen discrimination against </w:t>
      </w:r>
      <w:r w:rsidR="0097148F">
        <w:rPr>
          <w:rFonts w:ascii="Calibri" w:eastAsia="Calibri" w:hAnsi="Calibri" w:cs="Calibri"/>
        </w:rPr>
        <w:t xml:space="preserve">LBTQIAN+ </w:t>
      </w:r>
      <w:r>
        <w:rPr>
          <w:rFonts w:ascii="Calibri" w:eastAsia="Calibri" w:hAnsi="Calibri" w:cs="Calibri"/>
        </w:rPr>
        <w:t xml:space="preserve">people, sex workers, and </w:t>
      </w:r>
      <w:proofErr w:type="spellStart"/>
      <w:r>
        <w:rPr>
          <w:rFonts w:ascii="Calibri" w:eastAsia="Calibri" w:hAnsi="Calibri" w:cs="Calibri"/>
        </w:rPr>
        <w:t>Malayu</w:t>
      </w:r>
      <w:proofErr w:type="spellEnd"/>
      <w:r>
        <w:rPr>
          <w:rFonts w:ascii="Calibri" w:eastAsia="Calibri" w:hAnsi="Calibri" w:cs="Calibri"/>
        </w:rPr>
        <w:t xml:space="preserve"> Muslim women in the Southern Border Provinces. Surveillance is already rampant in these areas, including through forced DNA collection and biased facial recognition.</w:t>
      </w:r>
      <w:r>
        <w:rPr>
          <w:rFonts w:ascii="Calibri" w:eastAsia="Calibri" w:hAnsi="Calibri" w:cs="Calibri"/>
          <w:vertAlign w:val="superscript"/>
        </w:rPr>
        <w:footnoteReference w:id="27"/>
      </w:r>
    </w:p>
    <w:p w14:paraId="64FDB9DC" w14:textId="77777777" w:rsidR="00B46444" w:rsidRDefault="00000000">
      <w:pPr>
        <w:pStyle w:val="Heading4"/>
        <w:spacing w:before="240" w:after="240"/>
        <w:rPr>
          <w:i/>
        </w:rPr>
      </w:pPr>
      <w:bookmarkStart w:id="15" w:name="_f1k5ed7vli0s" w:colFirst="0" w:colLast="0"/>
      <w:bookmarkEnd w:id="15"/>
      <w:r>
        <w:rPr>
          <w:i/>
        </w:rPr>
        <w:t>Exiled but Not Safe: WHRDs Facing Transnational Repression in Thailand – (Refugee and Asylum-Seeking Women)</w:t>
      </w:r>
    </w:p>
    <w:p w14:paraId="74D0221B" w14:textId="22429D8F" w:rsidR="00B46444" w:rsidRDefault="00000000">
      <w:pPr>
        <w:spacing w:before="240" w:after="240" w:line="240" w:lineRule="auto"/>
        <w:ind w:left="720" w:hanging="450"/>
        <w:jc w:val="both"/>
        <w:rPr>
          <w:rFonts w:ascii="Calibri" w:eastAsia="Calibri" w:hAnsi="Calibri" w:cs="Calibri"/>
        </w:rPr>
      </w:pPr>
      <w:r>
        <w:rPr>
          <w:rFonts w:ascii="Calibri" w:eastAsia="Calibri" w:hAnsi="Calibri" w:cs="Calibri"/>
        </w:rPr>
        <w:t xml:space="preserve">48. </w:t>
      </w:r>
      <w:r>
        <w:rPr>
          <w:rFonts w:ascii="Calibri" w:eastAsia="Calibri" w:hAnsi="Calibri" w:cs="Calibri"/>
        </w:rPr>
        <w:tab/>
        <w:t>Across Southeast Asia, authoritarian regimes are extending their reach beyond borders to silence exiled dissidents</w:t>
      </w:r>
      <w:r w:rsidR="0097148F">
        <w:rPr>
          <w:rFonts w:ascii="Calibri" w:eastAsia="Calibri" w:hAnsi="Calibri" w:cs="Calibri"/>
        </w:rPr>
        <w:t xml:space="preserve">, including </w:t>
      </w:r>
      <w:r>
        <w:rPr>
          <w:rFonts w:ascii="Calibri" w:eastAsia="Calibri" w:hAnsi="Calibri" w:cs="Calibri"/>
        </w:rPr>
        <w:t xml:space="preserve">women. Thailand, once seen as a potential </w:t>
      </w:r>
      <w:proofErr w:type="gramStart"/>
      <w:r>
        <w:rPr>
          <w:rFonts w:ascii="Calibri" w:eastAsia="Calibri" w:hAnsi="Calibri" w:cs="Calibri"/>
        </w:rPr>
        <w:t>safe haven</w:t>
      </w:r>
      <w:proofErr w:type="gramEnd"/>
      <w:r>
        <w:rPr>
          <w:rFonts w:ascii="Calibri" w:eastAsia="Calibri" w:hAnsi="Calibri" w:cs="Calibri"/>
        </w:rPr>
        <w:t xml:space="preserve"> for WHRDs fleeing persecution, has increasingly become a complicit actor in enabling transnational repression (TNR). WHRDs in exile from across the region are often forced to register with UNHCR, as remaining in Thailand without protection places them at risk due to ongoing cross-border repression. As a result, they become de facto refugees living in hiding for years, enduring insecurity and fear, while waiting for resettlement to a third country.</w:t>
      </w:r>
    </w:p>
    <w:p w14:paraId="6FB9694E" w14:textId="04635764" w:rsidR="00B46444" w:rsidRDefault="00000000">
      <w:pPr>
        <w:spacing w:before="240" w:after="240" w:line="240" w:lineRule="auto"/>
        <w:ind w:left="720" w:hanging="450"/>
        <w:jc w:val="both"/>
        <w:rPr>
          <w:rFonts w:ascii="Calibri" w:eastAsia="Calibri" w:hAnsi="Calibri" w:cs="Calibri"/>
        </w:rPr>
      </w:pPr>
      <w:r>
        <w:rPr>
          <w:rFonts w:ascii="Calibri" w:eastAsia="Calibri" w:hAnsi="Calibri" w:cs="Calibri"/>
        </w:rPr>
        <w:t xml:space="preserve">49. </w:t>
      </w:r>
      <w:r>
        <w:rPr>
          <w:rFonts w:ascii="Calibri" w:eastAsia="Calibri" w:hAnsi="Calibri" w:cs="Calibri"/>
        </w:rPr>
        <w:tab/>
        <w:t>Despite not being a party to the 1951 Refugee Convention, and lacking a national asylum framework, Thailand claims to uphold human rights protections for refugees. In practice, WHRDs in exile who bec</w:t>
      </w:r>
      <w:r w:rsidR="0097148F">
        <w:rPr>
          <w:rFonts w:ascii="Calibri" w:eastAsia="Calibri" w:hAnsi="Calibri" w:cs="Calibri"/>
        </w:rPr>
        <w:t>o</w:t>
      </w:r>
      <w:r>
        <w:rPr>
          <w:rFonts w:ascii="Calibri" w:eastAsia="Calibri" w:hAnsi="Calibri" w:cs="Calibri"/>
        </w:rPr>
        <w:t xml:space="preserve">me refugee women face arrest, detention, surveillance, and the looming threat of deportation under immigration law. This is a direct violation of Thailand’s obligations under </w:t>
      </w:r>
      <w:r w:rsidR="0097148F">
        <w:rPr>
          <w:rFonts w:ascii="Calibri" w:eastAsia="Calibri" w:hAnsi="Calibri" w:cs="Calibri"/>
        </w:rPr>
        <w:t>international law</w:t>
      </w:r>
      <w:r>
        <w:rPr>
          <w:rFonts w:ascii="Calibri" w:eastAsia="Calibri" w:hAnsi="Calibri" w:cs="Calibri"/>
        </w:rPr>
        <w:t xml:space="preserve"> and its own domestic law, the </w:t>
      </w:r>
      <w:hyperlink r:id="rId23">
        <w:r w:rsidR="00B46444">
          <w:rPr>
            <w:rFonts w:ascii="Calibri" w:eastAsia="Calibri" w:hAnsi="Calibri" w:cs="Calibri"/>
            <w:color w:val="1155CC"/>
            <w:u w:val="single"/>
          </w:rPr>
          <w:t>Prevention and Suppression of Torture and Enforced Disappearance Act B.E. 2565 (2022)</w:t>
        </w:r>
      </w:hyperlink>
      <w:r>
        <w:rPr>
          <w:rFonts w:ascii="Calibri" w:eastAsia="Calibri" w:hAnsi="Calibri" w:cs="Calibri"/>
          <w:vertAlign w:val="superscript"/>
        </w:rPr>
        <w:footnoteReference w:id="28"/>
      </w:r>
      <w:r>
        <w:rPr>
          <w:rFonts w:ascii="Calibri" w:eastAsia="Calibri" w:hAnsi="Calibri" w:cs="Calibri"/>
        </w:rPr>
        <w:t xml:space="preserve">, which includes the </w:t>
      </w:r>
      <w:r>
        <w:rPr>
          <w:rFonts w:ascii="Calibri" w:eastAsia="Calibri" w:hAnsi="Calibri" w:cs="Calibri"/>
          <w:b/>
        </w:rPr>
        <w:t>principle of non-refoulement</w:t>
      </w:r>
      <w:r>
        <w:rPr>
          <w:rFonts w:ascii="Calibri" w:eastAsia="Calibri" w:hAnsi="Calibri" w:cs="Calibri"/>
        </w:rPr>
        <w:t xml:space="preserve"> under Section 13, prohibiting the deportation, expulsion, or extradition of any person to a country where they would face a real risk of torture, cruel, inhuman or degrading treatment, or enforced disappearance.</w:t>
      </w:r>
    </w:p>
    <w:p w14:paraId="3709CD26" w14:textId="19BA920D" w:rsidR="00B46444" w:rsidRDefault="00000000">
      <w:pPr>
        <w:spacing w:before="240" w:after="240" w:line="240" w:lineRule="auto"/>
        <w:ind w:left="720" w:hanging="450"/>
        <w:jc w:val="both"/>
        <w:rPr>
          <w:rFonts w:ascii="Calibri" w:eastAsia="Calibri" w:hAnsi="Calibri" w:cs="Calibri"/>
        </w:rPr>
      </w:pPr>
      <w:r>
        <w:rPr>
          <w:rFonts w:ascii="Calibri" w:eastAsia="Calibri" w:hAnsi="Calibri" w:cs="Calibri"/>
        </w:rPr>
        <w:t xml:space="preserve">50. </w:t>
      </w:r>
      <w:r>
        <w:rPr>
          <w:rFonts w:ascii="Calibri" w:eastAsia="Calibri" w:hAnsi="Calibri" w:cs="Calibri"/>
        </w:rPr>
        <w:tab/>
        <w:t xml:space="preserve">The case of Cambodian WHRD CC illustrates the danger. After exposing human rights abuses by senior officials in Cambodia, she was charged with “plotting” in November 2024 and fled to Thailand in December. On 23 May 2025, </w:t>
      </w:r>
      <w:r>
        <w:rPr>
          <w:rFonts w:ascii="Calibri" w:eastAsia="Calibri" w:hAnsi="Calibri" w:cs="Calibri"/>
        </w:rPr>
        <w:lastRenderedPageBreak/>
        <w:t xml:space="preserve">Cambodia’s National Police confirmed in a </w:t>
      </w:r>
      <w:hyperlink r:id="rId24">
        <w:r w:rsidR="00B46444">
          <w:rPr>
            <w:rFonts w:ascii="Calibri" w:eastAsia="Calibri" w:hAnsi="Calibri" w:cs="Calibri"/>
            <w:color w:val="1155CC"/>
            <w:u w:val="single"/>
          </w:rPr>
          <w:t>press statement</w:t>
        </w:r>
      </w:hyperlink>
      <w:r>
        <w:rPr>
          <w:rFonts w:ascii="Calibri" w:eastAsia="Calibri" w:hAnsi="Calibri" w:cs="Calibri"/>
          <w:vertAlign w:val="superscript"/>
        </w:rPr>
        <w:footnoteReference w:id="29"/>
      </w:r>
      <w:r>
        <w:rPr>
          <w:rFonts w:ascii="Calibri" w:eastAsia="Calibri" w:hAnsi="Calibri" w:cs="Calibri"/>
        </w:rPr>
        <w:t xml:space="preserve"> public collaboration with Thai authorities to arrest and deport her, despite her UNHCR registration and Thailand’s non-refoulement principle. </w:t>
      </w:r>
    </w:p>
    <w:p w14:paraId="0E0FEF5E" w14:textId="2CBB968E" w:rsidR="00B46444" w:rsidRDefault="00000000">
      <w:pPr>
        <w:spacing w:before="240" w:after="240" w:line="240" w:lineRule="auto"/>
        <w:ind w:left="720" w:hanging="450"/>
        <w:jc w:val="both"/>
        <w:rPr>
          <w:rFonts w:ascii="Calibri" w:eastAsia="Calibri" w:hAnsi="Calibri" w:cs="Calibri"/>
        </w:rPr>
      </w:pPr>
      <w:r>
        <w:rPr>
          <w:rFonts w:ascii="Calibri" w:eastAsia="Calibri" w:hAnsi="Calibri" w:cs="Calibri"/>
        </w:rPr>
        <w:t xml:space="preserve">51. </w:t>
      </w:r>
      <w:r>
        <w:rPr>
          <w:rFonts w:ascii="Calibri" w:eastAsia="Calibri" w:hAnsi="Calibri" w:cs="Calibri"/>
        </w:rPr>
        <w:tab/>
        <w:t xml:space="preserve">In some exceptional cases, </w:t>
      </w:r>
      <w:r w:rsidRPr="00E50D05">
        <w:rPr>
          <w:rFonts w:ascii="Calibri" w:eastAsia="Calibri" w:hAnsi="Calibri" w:cs="Calibri"/>
          <w:color w:val="000000" w:themeColor="text1"/>
        </w:rPr>
        <w:t xml:space="preserve">and thanks to our ongoing pressure civil society, WHRDs in exile facing TNR have been resettled faster than usual. In June 2024, Lao WHRD </w:t>
      </w:r>
      <w:r>
        <w:rPr>
          <w:rFonts w:ascii="Calibri" w:eastAsia="Calibri" w:hAnsi="Calibri" w:cs="Calibri"/>
        </w:rPr>
        <w:t xml:space="preserve">NP fled persecution after publicly and courageously </w:t>
      </w:r>
      <w:hyperlink r:id="rId25">
        <w:r w:rsidR="00B46444">
          <w:rPr>
            <w:rFonts w:ascii="Calibri" w:eastAsia="Calibri" w:hAnsi="Calibri" w:cs="Calibri"/>
            <w:color w:val="1155CC"/>
            <w:u w:val="single"/>
          </w:rPr>
          <w:t>denouncing</w:t>
        </w:r>
      </w:hyperlink>
      <w:r>
        <w:rPr>
          <w:rFonts w:ascii="Calibri" w:eastAsia="Calibri" w:hAnsi="Calibri" w:cs="Calibri"/>
        </w:rPr>
        <w:t xml:space="preserve"> on her Facebook page a Lao parliamentary official for sexually assaulting her.</w:t>
      </w:r>
      <w:r>
        <w:rPr>
          <w:rFonts w:ascii="Calibri" w:eastAsia="Calibri" w:hAnsi="Calibri" w:cs="Calibri"/>
          <w:vertAlign w:val="superscript"/>
        </w:rPr>
        <w:footnoteReference w:id="30"/>
      </w:r>
      <w:r>
        <w:rPr>
          <w:rFonts w:ascii="Calibri" w:eastAsia="Calibri" w:hAnsi="Calibri" w:cs="Calibri"/>
        </w:rPr>
        <w:t xml:space="preserve"> While in hiding in Thailand, her family was harassed by Lao police demanding her whereabouts, placing her at high risk of TNR. She was resettled later that year. Similarly, Cambodian WHRD RS from Mother Nature Cambodia was forced into hiding in Thailand after her conviction in July 2024 and was recently resettled. She also faced high risks of TNR. </w:t>
      </w:r>
    </w:p>
    <w:p w14:paraId="145EA458" w14:textId="723C6A8B" w:rsidR="00B46444" w:rsidRDefault="00000000">
      <w:pPr>
        <w:spacing w:before="240" w:after="240" w:line="240" w:lineRule="auto"/>
        <w:ind w:left="720" w:hanging="450"/>
        <w:jc w:val="both"/>
        <w:rPr>
          <w:rFonts w:ascii="Calibri" w:eastAsia="Calibri" w:hAnsi="Calibri" w:cs="Calibri"/>
        </w:rPr>
      </w:pPr>
      <w:r>
        <w:rPr>
          <w:rFonts w:ascii="Calibri" w:eastAsia="Calibri" w:hAnsi="Calibri" w:cs="Calibri"/>
        </w:rPr>
        <w:t xml:space="preserve">52. </w:t>
      </w:r>
      <w:r>
        <w:rPr>
          <w:rFonts w:ascii="Calibri" w:eastAsia="Calibri" w:hAnsi="Calibri" w:cs="Calibri"/>
        </w:rPr>
        <w:tab/>
        <w:t>Others—such as SS and YK from Cambodia—remain in hiding, hoping for safety.</w:t>
      </w:r>
      <w:r>
        <w:rPr>
          <w:rFonts w:ascii="Calibri" w:eastAsia="Calibri" w:hAnsi="Calibri" w:cs="Calibri"/>
          <w:vertAlign w:val="superscript"/>
        </w:rPr>
        <w:footnoteReference w:id="31"/>
      </w:r>
      <w:r>
        <w:rPr>
          <w:rFonts w:ascii="Calibri" w:eastAsia="Calibri" w:hAnsi="Calibri" w:cs="Calibri"/>
        </w:rPr>
        <w:t xml:space="preserve"> Although they are widely recognized by the human rights community as WHRDs and political opposition figures at risk of transnational repression, UNHCR has been slow to process their cases. They, like many others, are effectively trapped in Thailand for years, navigating a dangerous and uncertain limbo. These WHRDs are not alone. Many flee with family members, compounding the TNR risks and vulnerability. As highlighted in Al Jazeera’s documentary  </w:t>
      </w:r>
      <w:hyperlink r:id="rId26">
        <w:r w:rsidR="00B46444">
          <w:rPr>
            <w:rFonts w:ascii="Calibri" w:eastAsia="Calibri" w:hAnsi="Calibri" w:cs="Calibri"/>
            <w:i/>
            <w:color w:val="1155CC"/>
            <w:u w:val="single"/>
          </w:rPr>
          <w:t>Cambodia’s Repressive Reach</w:t>
        </w:r>
      </w:hyperlink>
      <w:r>
        <w:rPr>
          <w:rFonts w:ascii="Calibri" w:eastAsia="Calibri" w:hAnsi="Calibri" w:cs="Calibri"/>
          <w:vertAlign w:val="superscript"/>
        </w:rPr>
        <w:footnoteReference w:id="32"/>
      </w:r>
      <w:r>
        <w:rPr>
          <w:rFonts w:ascii="Calibri" w:eastAsia="Calibri" w:hAnsi="Calibri" w:cs="Calibri"/>
        </w:rPr>
        <w:t xml:space="preserve">, the murder of Cambodian opposition figure Lim </w:t>
      </w:r>
      <w:proofErr w:type="spellStart"/>
      <w:r>
        <w:rPr>
          <w:rFonts w:ascii="Calibri" w:eastAsia="Calibri" w:hAnsi="Calibri" w:cs="Calibri"/>
        </w:rPr>
        <w:t>Kimya</w:t>
      </w:r>
      <w:proofErr w:type="spellEnd"/>
      <w:r>
        <w:rPr>
          <w:rFonts w:ascii="Calibri" w:eastAsia="Calibri" w:hAnsi="Calibri" w:cs="Calibri"/>
        </w:rPr>
        <w:t xml:space="preserve"> in Bangkok on 7 January 2025 underscores the deadly cost of inaction and silence by state actors.</w:t>
      </w:r>
      <w:r>
        <w:rPr>
          <w:rFonts w:ascii="Calibri" w:eastAsia="Calibri" w:hAnsi="Calibri" w:cs="Calibri"/>
          <w:vertAlign w:val="superscript"/>
        </w:rPr>
        <w:footnoteReference w:id="33"/>
      </w:r>
    </w:p>
    <w:p w14:paraId="0DD38A7B" w14:textId="77777777" w:rsidR="00B46444" w:rsidRDefault="00000000">
      <w:pPr>
        <w:spacing w:before="240" w:after="240" w:line="240" w:lineRule="auto"/>
        <w:ind w:left="720" w:hanging="450"/>
        <w:jc w:val="both"/>
        <w:rPr>
          <w:rFonts w:ascii="Calibri" w:eastAsia="Calibri" w:hAnsi="Calibri" w:cs="Calibri"/>
        </w:rPr>
      </w:pPr>
      <w:r>
        <w:rPr>
          <w:rFonts w:ascii="Calibri" w:eastAsia="Calibri" w:hAnsi="Calibri" w:cs="Calibri"/>
        </w:rPr>
        <w:t>53.</w:t>
      </w:r>
      <w:r>
        <w:rPr>
          <w:rFonts w:ascii="Calibri" w:eastAsia="Calibri" w:hAnsi="Calibri" w:cs="Calibri"/>
        </w:rPr>
        <w:tab/>
      </w:r>
      <w:r>
        <w:rPr>
          <w:rFonts w:ascii="Calibri" w:eastAsia="Calibri" w:hAnsi="Calibri" w:cs="Calibri"/>
          <w:b/>
        </w:rPr>
        <w:t>Fear, Delay, and Denial: UNHCR’s Gaps in TNR Protection.</w:t>
      </w:r>
      <w:r>
        <w:rPr>
          <w:rFonts w:ascii="Calibri" w:eastAsia="Calibri" w:hAnsi="Calibri" w:cs="Calibri"/>
        </w:rPr>
        <w:t xml:space="preserve"> The UNHCR’s Refugee Status Determination and resettlement process remains slow, often taking years, leaving WHRDs and their families in limbo and exposed to arrest or deportation. UNHCR has also been hesitant to treat TNR as a legitimate protection ground, failing to fully recognize the new and urgent nature of this threat. This caution is reportedly driven by fears of undermining relationships with the Thai government, which hosts UNHCR’s operations. As a result, WHRDs facing cross-border repression are forced to navigate bureaucratic delays and limited protection while hiding for their lives. </w:t>
      </w:r>
    </w:p>
    <w:p w14:paraId="0774413E" w14:textId="635FFD9D" w:rsidR="00B46444" w:rsidRDefault="00000000">
      <w:pPr>
        <w:spacing w:before="240" w:after="240" w:line="240" w:lineRule="auto"/>
        <w:ind w:left="720" w:hanging="450"/>
        <w:jc w:val="both"/>
        <w:rPr>
          <w:rFonts w:ascii="Calibri" w:eastAsia="Calibri" w:hAnsi="Calibri" w:cs="Calibri"/>
        </w:rPr>
      </w:pPr>
      <w:r>
        <w:rPr>
          <w:rFonts w:ascii="Calibri" w:eastAsia="Calibri" w:hAnsi="Calibri" w:cs="Calibri"/>
        </w:rPr>
        <w:t xml:space="preserve">54. </w:t>
      </w:r>
      <w:r>
        <w:rPr>
          <w:rFonts w:ascii="Calibri" w:eastAsia="Calibri" w:hAnsi="Calibri" w:cs="Calibri"/>
        </w:rPr>
        <w:tab/>
      </w:r>
      <w:r>
        <w:rPr>
          <w:rFonts w:ascii="Calibri" w:eastAsia="Calibri" w:hAnsi="Calibri" w:cs="Calibri"/>
          <w:b/>
        </w:rPr>
        <w:t>Punished for Protection: Thai Law Turns on Women Human Rights Lawyers.</w:t>
      </w:r>
      <w:r>
        <w:rPr>
          <w:rFonts w:ascii="Calibri" w:eastAsia="Calibri" w:hAnsi="Calibri" w:cs="Calibri"/>
        </w:rPr>
        <w:t xml:space="preserve"> Meanwhile, Women Human Rights Lawyers and WHRDs in Thailand who provide legal aid and protection to WHRDs facing TNR—including </w:t>
      </w:r>
      <w:proofErr w:type="spellStart"/>
      <w:r>
        <w:rPr>
          <w:rFonts w:ascii="Calibri" w:eastAsia="Calibri" w:hAnsi="Calibri" w:cs="Calibri"/>
        </w:rPr>
        <w:t>Manushya</w:t>
      </w:r>
      <w:proofErr w:type="spellEnd"/>
      <w:r>
        <w:rPr>
          <w:rFonts w:ascii="Calibri" w:eastAsia="Calibri" w:hAnsi="Calibri" w:cs="Calibri"/>
        </w:rPr>
        <w:t xml:space="preserve"> lawyers—are threatened with prosecution under Section 64 of the Immigration Act. Section 64 criminalizes any act of assisting or harboring individuals without legal immigration status, even when these individuals are fleeing persecution or at risk of torture. It carries penalties of up to five years’ imprisonment, a fine of up to 100,000 Baht, or both. There are no exemptions for humanitarian protection or legal assistance, making it a powerful tool to threaten lawyers, WHRDs, and civil society actors who provide aid to at-risk WHRD refugees. This legal provision </w:t>
      </w:r>
      <w:r>
        <w:rPr>
          <w:rFonts w:ascii="Calibri" w:eastAsia="Calibri" w:hAnsi="Calibri" w:cs="Calibri"/>
        </w:rPr>
        <w:lastRenderedPageBreak/>
        <w:t xml:space="preserve">is frequently cited by immigration police to intimidate those offering humanitarian and human rights protection to refugees, despite the obligations outlined in Section 13 </w:t>
      </w:r>
      <w:r w:rsidR="00E50D05">
        <w:rPr>
          <w:rFonts w:ascii="Calibri" w:eastAsia="Calibri" w:hAnsi="Calibri" w:cs="Calibri"/>
        </w:rPr>
        <w:t>Anti-</w:t>
      </w:r>
      <w:r>
        <w:rPr>
          <w:rFonts w:ascii="Calibri" w:eastAsia="Calibri" w:hAnsi="Calibri" w:cs="Calibri"/>
        </w:rPr>
        <w:t xml:space="preserve"> Torture Act. </w:t>
      </w:r>
      <w:r>
        <w:rPr>
          <w:rFonts w:ascii="Calibri" w:eastAsia="Calibri" w:hAnsi="Calibri" w:cs="Calibri"/>
          <w:u w:val="single"/>
        </w:rPr>
        <w:t>This reflects a troubling conflict in Thai law</w:t>
      </w:r>
      <w:r>
        <w:rPr>
          <w:rFonts w:ascii="Calibri" w:eastAsia="Calibri" w:hAnsi="Calibri" w:cs="Calibri"/>
        </w:rPr>
        <w:t xml:space="preserve">—while Section 13 upholds the principle of non-refoulement, Section 64 continues to be enforced in a manner that undermines it. Immigration authorities often ignore or deny the existence of Section 13, refusing to acknowledge its primacy under international human rights standards. Urgent legal reform is needed to harmonize Thai immigration law with its anti-torture legislation and to establish legal pathways that explicitly protect WHRDs in exile from transnational repression instead of criminalizing those who defend them. In one case, immigration police threatened action against </w:t>
      </w:r>
      <w:proofErr w:type="spellStart"/>
      <w:r>
        <w:rPr>
          <w:rFonts w:ascii="Calibri" w:eastAsia="Calibri" w:hAnsi="Calibri" w:cs="Calibri"/>
        </w:rPr>
        <w:t>Manushya’s</w:t>
      </w:r>
      <w:proofErr w:type="spellEnd"/>
      <w:r>
        <w:rPr>
          <w:rFonts w:ascii="Calibri" w:eastAsia="Calibri" w:hAnsi="Calibri" w:cs="Calibri"/>
        </w:rPr>
        <w:t xml:space="preserve"> Founder EP, after protection services were given to Vietnamese activist refugees in June 2024.</w:t>
      </w:r>
    </w:p>
    <w:p w14:paraId="11F78F9D" w14:textId="61DEC523" w:rsidR="00B46444" w:rsidRDefault="00000000">
      <w:pPr>
        <w:spacing w:before="240" w:after="240" w:line="240" w:lineRule="auto"/>
        <w:ind w:left="720" w:hanging="450"/>
        <w:jc w:val="both"/>
        <w:rPr>
          <w:rFonts w:ascii="Calibri" w:eastAsia="Calibri" w:hAnsi="Calibri" w:cs="Calibri"/>
        </w:rPr>
      </w:pPr>
      <w:r>
        <w:rPr>
          <w:rFonts w:ascii="Calibri" w:eastAsia="Calibri" w:hAnsi="Calibri" w:cs="Calibri"/>
        </w:rPr>
        <w:t>55.</w:t>
      </w:r>
      <w:r>
        <w:rPr>
          <w:rFonts w:ascii="Calibri" w:eastAsia="Calibri" w:hAnsi="Calibri" w:cs="Calibri"/>
        </w:rPr>
        <w:tab/>
        <w:t xml:space="preserve">This repression is deepened by growing cooperation between the Thai and Cambodian regimes. As documented </w:t>
      </w:r>
      <w:r w:rsidR="00E50D05">
        <w:rPr>
          <w:rFonts w:ascii="Calibri" w:eastAsia="Calibri" w:hAnsi="Calibri" w:cs="Calibri"/>
        </w:rPr>
        <w:t>by</w:t>
      </w:r>
      <w:r>
        <w:rPr>
          <w:rFonts w:ascii="Calibri" w:eastAsia="Calibri" w:hAnsi="Calibri" w:cs="Calibri"/>
        </w:rPr>
        <w:t xml:space="preserve"> Al Jazeera</w:t>
      </w:r>
      <w:r w:rsidR="00E50D05">
        <w:rPr>
          <w:rFonts w:ascii="Calibri" w:eastAsia="Calibri" w:hAnsi="Calibri" w:cs="Calibri"/>
        </w:rPr>
        <w:t xml:space="preserve"> in</w:t>
      </w:r>
      <w:r>
        <w:rPr>
          <w:rFonts w:ascii="Calibri" w:eastAsia="Calibri" w:hAnsi="Calibri" w:cs="Calibri"/>
        </w:rPr>
        <w:t xml:space="preserve"> </w:t>
      </w:r>
      <w:hyperlink r:id="rId27">
        <w:r w:rsidR="00B46444">
          <w:rPr>
            <w:rFonts w:ascii="Calibri" w:eastAsia="Calibri" w:hAnsi="Calibri" w:cs="Calibri"/>
            <w:i/>
            <w:color w:val="1155CC"/>
            <w:u w:val="single"/>
          </w:rPr>
          <w:t>Cambodia’s Repressive Reach</w:t>
        </w:r>
      </w:hyperlink>
      <w:r>
        <w:rPr>
          <w:rFonts w:ascii="Calibri" w:eastAsia="Calibri" w:hAnsi="Calibri" w:cs="Calibri"/>
        </w:rPr>
        <w:t xml:space="preserve">, Cambodian dissidents, including UNHCR-registered refugees, have been deported from Thailand in blatant disregard for international human rights law. In February 2024, former Thai PM </w:t>
      </w:r>
      <w:proofErr w:type="spellStart"/>
      <w:r>
        <w:rPr>
          <w:rFonts w:ascii="Calibri" w:eastAsia="Calibri" w:hAnsi="Calibri" w:cs="Calibri"/>
        </w:rPr>
        <w:t>Srettha</w:t>
      </w:r>
      <w:proofErr w:type="spellEnd"/>
      <w:r>
        <w:rPr>
          <w:rFonts w:ascii="Calibri" w:eastAsia="Calibri" w:hAnsi="Calibri" w:cs="Calibri"/>
        </w:rPr>
        <w:t xml:space="preserve"> </w:t>
      </w:r>
      <w:proofErr w:type="spellStart"/>
      <w:r>
        <w:rPr>
          <w:rFonts w:ascii="Calibri" w:eastAsia="Calibri" w:hAnsi="Calibri" w:cs="Calibri"/>
        </w:rPr>
        <w:t>Thavisin</w:t>
      </w:r>
      <w:proofErr w:type="spellEnd"/>
      <w:r>
        <w:rPr>
          <w:rFonts w:ascii="Calibri" w:eastAsia="Calibri" w:hAnsi="Calibri" w:cs="Calibri"/>
        </w:rPr>
        <w:t xml:space="preserve"> </w:t>
      </w:r>
      <w:hyperlink r:id="rId28" w:history="1">
        <w:r w:rsidR="00B46444" w:rsidRPr="00E50D05">
          <w:rPr>
            <w:rStyle w:val="Hyperlink"/>
            <w:rFonts w:ascii="Calibri" w:eastAsia="Calibri" w:hAnsi="Calibri" w:cs="Calibri"/>
          </w:rPr>
          <w:t>vowed to prevent Cambodian dissidents</w:t>
        </w:r>
      </w:hyperlink>
      <w:r>
        <w:rPr>
          <w:rFonts w:ascii="Calibri" w:eastAsia="Calibri" w:hAnsi="Calibri" w:cs="Calibri"/>
        </w:rPr>
        <w:t xml:space="preserve"> from acting on Thai soil. In April 2025, Thai PM Paetongtarn Shinawatra visited Phnom Penh, where Cambodian PM Hun Manet </w:t>
      </w:r>
      <w:hyperlink r:id="rId29" w:history="1">
        <w:r w:rsidR="00B46444" w:rsidRPr="00E50D05">
          <w:rPr>
            <w:rStyle w:val="Hyperlink"/>
            <w:rFonts w:ascii="Calibri" w:eastAsia="Calibri" w:hAnsi="Calibri" w:cs="Calibri"/>
          </w:rPr>
          <w:t>publicly thanked Thailand</w:t>
        </w:r>
      </w:hyperlink>
      <w:r>
        <w:rPr>
          <w:rFonts w:ascii="Calibri" w:eastAsia="Calibri" w:hAnsi="Calibri" w:cs="Calibri"/>
        </w:rPr>
        <w:t xml:space="preserve"> for suppressing Cambodian opposition. These moments confirmed an authoritarian alliance, aligning the Shinawatra and Hun families in dismantling Cambodian dissent across borders.</w:t>
      </w:r>
    </w:p>
    <w:p w14:paraId="614D3454" w14:textId="6452C99F" w:rsidR="00B46444" w:rsidRDefault="00000000">
      <w:pPr>
        <w:spacing w:before="240" w:after="240" w:line="240" w:lineRule="auto"/>
        <w:ind w:left="720" w:hanging="450"/>
        <w:jc w:val="both"/>
        <w:rPr>
          <w:rFonts w:ascii="Calibri" w:eastAsia="Calibri" w:hAnsi="Calibri" w:cs="Calibri"/>
        </w:rPr>
      </w:pPr>
      <w:r>
        <w:rPr>
          <w:rFonts w:ascii="Calibri" w:eastAsia="Calibri" w:hAnsi="Calibri" w:cs="Calibri"/>
        </w:rPr>
        <w:t>56.</w:t>
      </w:r>
      <w:r>
        <w:rPr>
          <w:rFonts w:ascii="Calibri" w:eastAsia="Calibri" w:hAnsi="Calibri" w:cs="Calibri"/>
        </w:rPr>
        <w:tab/>
        <w:t xml:space="preserve">Additionally, on 27 February 2025, </w:t>
      </w:r>
      <w:r w:rsidR="00E50D05">
        <w:rPr>
          <w:rFonts w:ascii="Calibri" w:eastAsia="Calibri" w:hAnsi="Calibri" w:cs="Calibri"/>
        </w:rPr>
        <w:t>Thailand</w:t>
      </w:r>
      <w:r>
        <w:rPr>
          <w:rFonts w:ascii="Calibri" w:eastAsia="Calibri" w:hAnsi="Calibri" w:cs="Calibri"/>
        </w:rPr>
        <w:t xml:space="preserve"> deported 40 Uyghur refugees, including women, to China</w:t>
      </w:r>
      <w:r w:rsidR="00E50D05">
        <w:rPr>
          <w:rFonts w:ascii="Calibri" w:eastAsia="Calibri" w:hAnsi="Calibri" w:cs="Calibri"/>
        </w:rPr>
        <w:t xml:space="preserve">, </w:t>
      </w:r>
      <w:r>
        <w:rPr>
          <w:rFonts w:ascii="Calibri" w:eastAsia="Calibri" w:hAnsi="Calibri" w:cs="Calibri"/>
        </w:rPr>
        <w:t>where they now face a high risk of torture, and death. This deportation took place in secret, with no transparency or due process.</w:t>
      </w:r>
      <w:r>
        <w:rPr>
          <w:rFonts w:ascii="Calibri" w:eastAsia="Calibri" w:hAnsi="Calibri" w:cs="Calibri"/>
          <w:vertAlign w:val="superscript"/>
        </w:rPr>
        <w:footnoteReference w:id="34"/>
      </w:r>
      <w:r>
        <w:rPr>
          <w:rFonts w:ascii="Calibri" w:eastAsia="Calibri" w:hAnsi="Calibri" w:cs="Calibri"/>
        </w:rPr>
        <w:t xml:space="preserve"> Thai authorities ignored a public </w:t>
      </w:r>
      <w:hyperlink r:id="rId30" w:history="1">
        <w:r w:rsidR="00B46444" w:rsidRPr="00DC34BE">
          <w:rPr>
            <w:rStyle w:val="Hyperlink"/>
            <w:rFonts w:ascii="Calibri" w:eastAsia="Calibri" w:hAnsi="Calibri" w:cs="Calibri"/>
          </w:rPr>
          <w:t>call</w:t>
        </w:r>
      </w:hyperlink>
      <w:r>
        <w:rPr>
          <w:rFonts w:ascii="Calibri" w:eastAsia="Calibri" w:hAnsi="Calibri" w:cs="Calibri"/>
        </w:rPr>
        <w:t xml:space="preserve"> by UN experts to halt the deportations.</w:t>
      </w:r>
      <w:r>
        <w:rPr>
          <w:rFonts w:ascii="Calibri" w:eastAsia="Calibri" w:hAnsi="Calibri" w:cs="Calibri"/>
          <w:vertAlign w:val="superscript"/>
        </w:rPr>
        <w:footnoteReference w:id="35"/>
      </w:r>
      <w:r>
        <w:rPr>
          <w:rFonts w:ascii="Calibri" w:eastAsia="Calibri" w:hAnsi="Calibri" w:cs="Calibri"/>
        </w:rPr>
        <w:t xml:space="preserve"> The 40 individuals had been held in de facto incommunicado detention for over a decade, with five Uyghurs reportedly dying in custody</w:t>
      </w:r>
      <w:r w:rsidR="00E50D05">
        <w:rPr>
          <w:rFonts w:ascii="Calibri" w:eastAsia="Calibri" w:hAnsi="Calibri" w:cs="Calibri"/>
        </w:rPr>
        <w:t xml:space="preserve">, </w:t>
      </w:r>
      <w:r>
        <w:rPr>
          <w:rFonts w:ascii="Calibri" w:eastAsia="Calibri" w:hAnsi="Calibri" w:cs="Calibri"/>
        </w:rPr>
        <w:t xml:space="preserve">two of them children. Thailand’s collusion with China in this act of transnational repression underscores its failure to uphold non-refoulement and exposes the deadly consequences for women and </w:t>
      </w:r>
      <w:r w:rsidR="00E50D05">
        <w:rPr>
          <w:rFonts w:ascii="Calibri" w:eastAsia="Calibri" w:hAnsi="Calibri" w:cs="Calibri"/>
        </w:rPr>
        <w:t>minority</w:t>
      </w:r>
      <w:r>
        <w:rPr>
          <w:rFonts w:ascii="Calibri" w:eastAsia="Calibri" w:hAnsi="Calibri" w:cs="Calibri"/>
        </w:rPr>
        <w:t xml:space="preserve"> groups fleeing genocide.</w:t>
      </w:r>
    </w:p>
    <w:p w14:paraId="69DD607E" w14:textId="77777777" w:rsidR="00B46444" w:rsidRDefault="00000000">
      <w:pPr>
        <w:spacing w:before="240" w:after="240" w:line="240" w:lineRule="auto"/>
        <w:ind w:left="720" w:hanging="450"/>
        <w:jc w:val="both"/>
        <w:rPr>
          <w:rFonts w:ascii="Calibri" w:eastAsia="Calibri" w:hAnsi="Calibri" w:cs="Calibri"/>
        </w:rPr>
      </w:pPr>
      <w:r>
        <w:rPr>
          <w:rFonts w:ascii="Calibri" w:eastAsia="Calibri" w:hAnsi="Calibri" w:cs="Calibri"/>
        </w:rPr>
        <w:t xml:space="preserve">57. </w:t>
      </w:r>
      <w:r>
        <w:rPr>
          <w:rFonts w:ascii="Calibri" w:eastAsia="Calibri" w:hAnsi="Calibri" w:cs="Calibri"/>
        </w:rPr>
        <w:tab/>
        <w:t>Thailand must end its complicity in transnational repression, fully enforce its non-refoulement obligations, and ensure protection for WHRDs in exile. UNHCR must expedite resettlement and formally recognize TNR as a basis for urgent refugee protection. Anything less places lives at risk and undermines the purpose of CEDAW itself.</w:t>
      </w:r>
    </w:p>
    <w:p w14:paraId="6CCBA3C7" w14:textId="77777777" w:rsidR="00B46444" w:rsidRDefault="00B46444">
      <w:pPr>
        <w:spacing w:before="240" w:after="240" w:line="240" w:lineRule="auto"/>
        <w:ind w:left="720" w:hanging="450"/>
        <w:jc w:val="both"/>
        <w:rPr>
          <w:rFonts w:ascii="Calibri" w:eastAsia="Calibri" w:hAnsi="Calibri" w:cs="Calibri"/>
        </w:rPr>
      </w:pPr>
    </w:p>
    <w:p w14:paraId="588C0D04" w14:textId="77777777" w:rsidR="00DD4582" w:rsidRDefault="00DD4582">
      <w:pPr>
        <w:jc w:val="both"/>
        <w:rPr>
          <w:rFonts w:ascii="Calibri" w:eastAsia="Calibri" w:hAnsi="Calibri" w:cs="Calibri"/>
          <w:b/>
          <w:color w:val="FF6600"/>
          <w:sz w:val="30"/>
          <w:szCs w:val="30"/>
        </w:rPr>
      </w:pPr>
    </w:p>
    <w:p w14:paraId="5B56F99C" w14:textId="71F43FAF" w:rsidR="00B46444" w:rsidRDefault="00000000">
      <w:pPr>
        <w:jc w:val="both"/>
        <w:rPr>
          <w:rFonts w:ascii="Calibri" w:eastAsia="Calibri" w:hAnsi="Calibri" w:cs="Calibri"/>
          <w:b/>
          <w:color w:val="FF6600"/>
          <w:sz w:val="30"/>
          <w:szCs w:val="30"/>
        </w:rPr>
      </w:pPr>
      <w:r>
        <w:rPr>
          <w:rFonts w:ascii="Calibri" w:eastAsia="Calibri" w:hAnsi="Calibri" w:cs="Calibri"/>
          <w:b/>
          <w:color w:val="FF6600"/>
          <w:sz w:val="30"/>
          <w:szCs w:val="30"/>
        </w:rPr>
        <w:lastRenderedPageBreak/>
        <w:t>Part 3. Recommendations</w:t>
      </w:r>
    </w:p>
    <w:p w14:paraId="1ACE6CAA" w14:textId="77777777" w:rsidR="00C27D88" w:rsidRDefault="00C27D88">
      <w:pPr>
        <w:jc w:val="both"/>
        <w:rPr>
          <w:rFonts w:ascii="Calibri" w:eastAsia="Calibri" w:hAnsi="Calibri" w:cs="Calibri"/>
          <w:b/>
          <w:color w:val="FF6600"/>
          <w:sz w:val="30"/>
          <w:szCs w:val="30"/>
        </w:rPr>
      </w:pPr>
    </w:p>
    <w:p w14:paraId="12F9F97F" w14:textId="77777777" w:rsidR="004848D6" w:rsidRDefault="004848D6" w:rsidP="004848D6">
      <w:pPr>
        <w:jc w:val="both"/>
        <w:rPr>
          <w:rFonts w:ascii="Calibri" w:eastAsia="Calibri" w:hAnsi="Calibri" w:cs="Calibri"/>
          <w:b/>
          <w:bCs/>
          <w:color w:val="FF6600"/>
          <w:sz w:val="24"/>
          <w:szCs w:val="24"/>
          <w:lang w:val="en-FR"/>
        </w:rPr>
      </w:pPr>
      <w:r w:rsidRPr="004848D6">
        <w:rPr>
          <w:rFonts w:ascii="Calibri" w:eastAsia="Calibri" w:hAnsi="Calibri" w:cs="Calibri"/>
          <w:b/>
          <w:bCs/>
          <w:color w:val="FF6600"/>
          <w:sz w:val="24"/>
          <w:szCs w:val="24"/>
          <w:lang w:val="en-FR"/>
        </w:rPr>
        <w:t>Article 1: Definition of Discrimination</w:t>
      </w:r>
    </w:p>
    <w:p w14:paraId="2A39DED9" w14:textId="77777777" w:rsidR="004848D6" w:rsidRPr="004848D6" w:rsidRDefault="004848D6" w:rsidP="004848D6">
      <w:pPr>
        <w:jc w:val="both"/>
        <w:rPr>
          <w:rFonts w:ascii="Calibri" w:eastAsia="Calibri" w:hAnsi="Calibri" w:cs="Calibri"/>
          <w:b/>
          <w:bCs/>
          <w:color w:val="FF6600"/>
          <w:sz w:val="24"/>
          <w:szCs w:val="24"/>
          <w:lang w:val="en-FR"/>
        </w:rPr>
      </w:pPr>
    </w:p>
    <w:p w14:paraId="1AE52F7E" w14:textId="77777777" w:rsidR="004848D6" w:rsidRPr="004848D6" w:rsidRDefault="004848D6" w:rsidP="004848D6">
      <w:pPr>
        <w:numPr>
          <w:ilvl w:val="0"/>
          <w:numId w:val="9"/>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Amend Section 27 of the Constitution to fully align with Article 1 of CEDAW by explicitly defining discrimination to include direct, indirect, structural, and intersectional forms of discrimination, and to explicitly prohibit unjust discrimination on additional grounds such as gender expression, sexuality, skin color, and national or ethnic origin, in line with the CERD Concluding Observations (2021).</w:t>
      </w:r>
    </w:p>
    <w:p w14:paraId="655BAAA5" w14:textId="77777777" w:rsidR="004848D6" w:rsidRPr="004848D6" w:rsidRDefault="004848D6" w:rsidP="004848D6">
      <w:pPr>
        <w:numPr>
          <w:ilvl w:val="0"/>
          <w:numId w:val="9"/>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Remove the vague concept of “just discrimination” and any language that permits exceptions based on political views or other ambiguous clauses that enable selective application of the law.</w:t>
      </w:r>
    </w:p>
    <w:p w14:paraId="08AE6CCA" w14:textId="77777777" w:rsidR="004848D6" w:rsidRPr="004848D6" w:rsidRDefault="004848D6" w:rsidP="004848D6">
      <w:pPr>
        <w:numPr>
          <w:ilvl w:val="0"/>
          <w:numId w:val="9"/>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Expand the list of protected characteristics in the Constitution to include gender identity, gender expression, sexual orientation, sex characteristics, color, descent, statelessness, and Indigenous identity, in line with CEDAW General Recommendation No. 28 and international human rights standards.</w:t>
      </w:r>
    </w:p>
    <w:p w14:paraId="269023A0" w14:textId="77777777" w:rsidR="004848D6" w:rsidRPr="004848D6" w:rsidRDefault="004848D6" w:rsidP="004848D6">
      <w:pPr>
        <w:jc w:val="both"/>
        <w:rPr>
          <w:rFonts w:ascii="Calibri" w:eastAsia="Calibri" w:hAnsi="Calibri" w:cs="Calibri"/>
          <w:b/>
          <w:bCs/>
          <w:color w:val="FF6600"/>
          <w:sz w:val="24"/>
          <w:szCs w:val="24"/>
          <w:lang w:val="en-FR"/>
        </w:rPr>
      </w:pPr>
    </w:p>
    <w:p w14:paraId="02B38B58" w14:textId="77777777" w:rsidR="004848D6" w:rsidRPr="004848D6" w:rsidRDefault="004848D6" w:rsidP="004848D6">
      <w:pPr>
        <w:jc w:val="both"/>
        <w:rPr>
          <w:rFonts w:ascii="Calibri" w:eastAsia="Calibri" w:hAnsi="Calibri" w:cs="Calibri"/>
          <w:b/>
          <w:bCs/>
          <w:color w:val="FF6600"/>
          <w:sz w:val="24"/>
          <w:szCs w:val="24"/>
          <w:lang w:val="en-FR"/>
        </w:rPr>
      </w:pPr>
      <w:r w:rsidRPr="004848D6">
        <w:rPr>
          <w:rFonts w:ascii="Calibri" w:eastAsia="Calibri" w:hAnsi="Calibri" w:cs="Calibri"/>
          <w:b/>
          <w:bCs/>
          <w:color w:val="FF6600"/>
          <w:sz w:val="24"/>
          <w:szCs w:val="24"/>
          <w:lang w:val="en-FR"/>
        </w:rPr>
        <w:t>Article 2: Policy Measures to be Undertaken to Eliminate Discrimination</w:t>
      </w:r>
    </w:p>
    <w:p w14:paraId="0CF90AC1" w14:textId="77777777" w:rsidR="004848D6" w:rsidRDefault="004848D6" w:rsidP="004848D6">
      <w:pPr>
        <w:jc w:val="both"/>
        <w:rPr>
          <w:rFonts w:ascii="Calibri" w:eastAsia="Calibri" w:hAnsi="Calibri" w:cs="Calibri"/>
          <w:b/>
          <w:bCs/>
          <w:color w:val="F79646" w:themeColor="accent6"/>
          <w:sz w:val="24"/>
          <w:szCs w:val="24"/>
          <w:lang w:val="en-FR"/>
        </w:rPr>
      </w:pPr>
    </w:p>
    <w:p w14:paraId="3CF556C2" w14:textId="260AF22A" w:rsidR="004848D6" w:rsidRDefault="004848D6" w:rsidP="004848D6">
      <w:pPr>
        <w:jc w:val="both"/>
        <w:rPr>
          <w:rFonts w:ascii="Calibri" w:eastAsia="Calibri" w:hAnsi="Calibri" w:cs="Calibri"/>
          <w:b/>
          <w:bCs/>
          <w:color w:val="F79646" w:themeColor="accent6"/>
          <w:sz w:val="24"/>
          <w:szCs w:val="24"/>
          <w:lang w:val="en-FR"/>
        </w:rPr>
      </w:pPr>
      <w:r w:rsidRPr="004848D6">
        <w:rPr>
          <w:rFonts w:ascii="Calibri" w:eastAsia="Calibri" w:hAnsi="Calibri" w:cs="Calibri"/>
          <w:b/>
          <w:bCs/>
          <w:color w:val="F79646" w:themeColor="accent6"/>
          <w:sz w:val="24"/>
          <w:szCs w:val="24"/>
          <w:lang w:val="en-FR"/>
        </w:rPr>
        <w:t>Issue: Legislative and Institutional Framework</w:t>
      </w:r>
    </w:p>
    <w:p w14:paraId="33EBE5B5" w14:textId="77777777" w:rsidR="004848D6" w:rsidRPr="004848D6" w:rsidRDefault="004848D6" w:rsidP="004848D6">
      <w:pPr>
        <w:jc w:val="both"/>
        <w:rPr>
          <w:rFonts w:ascii="Calibri" w:eastAsia="Calibri" w:hAnsi="Calibri" w:cs="Calibri"/>
          <w:b/>
          <w:bCs/>
          <w:color w:val="F79646" w:themeColor="accent6"/>
          <w:sz w:val="24"/>
          <w:szCs w:val="24"/>
          <w:lang w:val="en-FR"/>
        </w:rPr>
      </w:pPr>
    </w:p>
    <w:p w14:paraId="2B0E1544" w14:textId="77777777" w:rsidR="004848D6" w:rsidRPr="004848D6" w:rsidRDefault="004848D6" w:rsidP="004848D6">
      <w:pPr>
        <w:numPr>
          <w:ilvl w:val="0"/>
          <w:numId w:val="10"/>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Enact a comprehensive, stand-alone anti-discrimination law that includes a definition of racial discrimination covering all grounds, including sexual orientation and gender identity, and encompassing direct and indirect discrimination in both public and private spheres, with effective enforcement mechanisms and remedies, in consultation with civil society and affected communities, in line with Concluding Observations by CERD (2021) and CESCR (2015). </w:t>
      </w:r>
    </w:p>
    <w:p w14:paraId="56529271" w14:textId="77777777" w:rsidR="004848D6" w:rsidRPr="004848D6" w:rsidRDefault="004848D6" w:rsidP="004848D6">
      <w:pPr>
        <w:numPr>
          <w:ilvl w:val="0"/>
          <w:numId w:val="10"/>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Amend the 2015 Gender Equality Act to eliminate all limitations on protection against gender-based discrimination, including gender harassment, hate speech, and hate crimes, and to explicitly prohibit exceptions based on “religious principles” or “national security.” Ensure full protection for transgender, nonbinary, and intersex persons, in line with the Concluding Observations of the Human Rights Committee to Thailand (2017).</w:t>
      </w:r>
    </w:p>
    <w:p w14:paraId="38C8D07E" w14:textId="77777777" w:rsidR="004848D6" w:rsidRPr="004848D6" w:rsidRDefault="004848D6" w:rsidP="004848D6">
      <w:pPr>
        <w:numPr>
          <w:ilvl w:val="0"/>
          <w:numId w:val="10"/>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 xml:space="preserve">Take all necessary measures to combat intersecting and multiple forms of discrimination faced by women, children, persons with disabilities, and lesbian, gay, bisexual, transgender, and intersex persons belonging to ethnic and ethno-religious groups, Indigenous peoples, or those who are migrants, </w:t>
      </w:r>
      <w:r w:rsidRPr="004848D6">
        <w:rPr>
          <w:rFonts w:ascii="Calibri" w:eastAsia="Calibri" w:hAnsi="Calibri" w:cs="Calibri"/>
          <w:color w:val="000000" w:themeColor="text1"/>
          <w:sz w:val="24"/>
          <w:szCs w:val="24"/>
          <w:lang w:val="en-FR"/>
        </w:rPr>
        <w:lastRenderedPageBreak/>
        <w:t>refugees, or asylum seekers, by mainstreaming gender, age, disability, and sexual orientation and gender identity into all relevant legislative and policy measures, in line with CERD Concluding Observations (2021).</w:t>
      </w:r>
    </w:p>
    <w:p w14:paraId="0AF34AA4" w14:textId="77777777" w:rsidR="004848D6" w:rsidRPr="004848D6" w:rsidRDefault="004848D6" w:rsidP="004848D6">
      <w:pPr>
        <w:numPr>
          <w:ilvl w:val="0"/>
          <w:numId w:val="10"/>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Reintroduce and pass the Gender Recognition Bill recognizing self-identification with full community consultation, ensuring legal self-identification for transgender, nonbinary, and intersex persons. </w:t>
      </w:r>
    </w:p>
    <w:p w14:paraId="32833964" w14:textId="77777777" w:rsidR="004848D6" w:rsidRPr="004848D6" w:rsidRDefault="004848D6" w:rsidP="004848D6">
      <w:pPr>
        <w:numPr>
          <w:ilvl w:val="0"/>
          <w:numId w:val="10"/>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Protect and support legislative proposals initiated by affected communities, including bills on sex work decriminalization and labor protections, intersex protections, and Indigenous rights. </w:t>
      </w:r>
    </w:p>
    <w:p w14:paraId="6F3D7390" w14:textId="77777777" w:rsidR="004848D6" w:rsidRPr="004848D6" w:rsidRDefault="004848D6" w:rsidP="004848D6">
      <w:pPr>
        <w:numPr>
          <w:ilvl w:val="0"/>
          <w:numId w:val="10"/>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Develop a national action plan to decolonize Thailand’s legal frameworks by prioritizing knowledge rooted in Southeast Asian feminist, Indigenous, and community-based legal traditions, and reducing reliance on Global Minority models that reproduce systems of exclusion.</w:t>
      </w:r>
    </w:p>
    <w:p w14:paraId="6B7C7697" w14:textId="77777777" w:rsidR="004848D6" w:rsidRDefault="004848D6" w:rsidP="004848D6">
      <w:pPr>
        <w:jc w:val="both"/>
        <w:rPr>
          <w:rFonts w:ascii="Calibri" w:eastAsia="Calibri" w:hAnsi="Calibri" w:cs="Calibri"/>
          <w:b/>
          <w:bCs/>
          <w:color w:val="FF6600"/>
          <w:sz w:val="24"/>
          <w:szCs w:val="24"/>
          <w:lang w:val="en-FR"/>
        </w:rPr>
      </w:pPr>
    </w:p>
    <w:p w14:paraId="23874B08" w14:textId="1A55DFEE" w:rsidR="004848D6" w:rsidRPr="004848D6" w:rsidRDefault="004848D6" w:rsidP="004848D6">
      <w:pPr>
        <w:jc w:val="both"/>
        <w:rPr>
          <w:rFonts w:ascii="Calibri" w:eastAsia="Calibri" w:hAnsi="Calibri" w:cs="Calibri"/>
          <w:b/>
          <w:bCs/>
          <w:color w:val="FF6600"/>
          <w:sz w:val="24"/>
          <w:szCs w:val="24"/>
          <w:lang w:val="en-FR"/>
        </w:rPr>
      </w:pPr>
      <w:r w:rsidRPr="004848D6">
        <w:rPr>
          <w:rFonts w:ascii="Calibri" w:eastAsia="Calibri" w:hAnsi="Calibri" w:cs="Calibri"/>
          <w:b/>
          <w:bCs/>
          <w:color w:val="FF6600"/>
          <w:sz w:val="24"/>
          <w:szCs w:val="24"/>
          <w:lang w:val="en-FR"/>
        </w:rPr>
        <w:t>Article 3: Guarantee of Basic Human Rights and Fundamental Freedoms</w:t>
      </w:r>
    </w:p>
    <w:p w14:paraId="120DDC03" w14:textId="77777777" w:rsidR="004848D6" w:rsidRDefault="004848D6" w:rsidP="004848D6">
      <w:pPr>
        <w:jc w:val="both"/>
        <w:rPr>
          <w:rFonts w:ascii="Calibri" w:eastAsia="Calibri" w:hAnsi="Calibri" w:cs="Calibri"/>
          <w:b/>
          <w:bCs/>
          <w:color w:val="FF6600"/>
          <w:sz w:val="24"/>
          <w:szCs w:val="24"/>
          <w:lang w:val="en-FR"/>
        </w:rPr>
      </w:pPr>
    </w:p>
    <w:p w14:paraId="18564528" w14:textId="20DE7A7D" w:rsidR="004848D6" w:rsidRDefault="004848D6" w:rsidP="004848D6">
      <w:pPr>
        <w:jc w:val="both"/>
        <w:rPr>
          <w:rFonts w:ascii="Calibri" w:eastAsia="Calibri" w:hAnsi="Calibri" w:cs="Calibri"/>
          <w:b/>
          <w:bCs/>
          <w:color w:val="FF9300"/>
          <w:sz w:val="24"/>
          <w:szCs w:val="24"/>
          <w:lang w:val="en-FR"/>
        </w:rPr>
      </w:pPr>
      <w:r w:rsidRPr="004848D6">
        <w:rPr>
          <w:rFonts w:ascii="Calibri" w:eastAsia="Calibri" w:hAnsi="Calibri" w:cs="Calibri"/>
          <w:b/>
          <w:bCs/>
          <w:color w:val="FF9300"/>
          <w:sz w:val="24"/>
          <w:szCs w:val="24"/>
          <w:lang w:val="en-FR"/>
        </w:rPr>
        <w:t>Issue: Access to Justice</w:t>
      </w:r>
    </w:p>
    <w:p w14:paraId="3127E53B" w14:textId="77777777" w:rsidR="004848D6" w:rsidRPr="004848D6" w:rsidRDefault="004848D6" w:rsidP="004848D6">
      <w:pPr>
        <w:jc w:val="both"/>
        <w:rPr>
          <w:rFonts w:ascii="Calibri" w:eastAsia="Calibri" w:hAnsi="Calibri" w:cs="Calibri"/>
          <w:b/>
          <w:bCs/>
          <w:color w:val="FF9300"/>
          <w:sz w:val="24"/>
          <w:szCs w:val="24"/>
          <w:lang w:val="en-FR"/>
        </w:rPr>
      </w:pPr>
    </w:p>
    <w:p w14:paraId="40A7BB71" w14:textId="77777777" w:rsidR="004848D6" w:rsidRPr="004848D6" w:rsidRDefault="004848D6" w:rsidP="004848D6">
      <w:pPr>
        <w:numPr>
          <w:ilvl w:val="0"/>
          <w:numId w:val="11"/>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Implement effective access to justice mechanisms for women, Indigenous and rural communities, and pro-democracy activists facing criminalization in line with Concluding Observations by CEDAW Concluding Observations (2017) and CAT (2024).</w:t>
      </w:r>
    </w:p>
    <w:p w14:paraId="7DCEA275" w14:textId="77777777" w:rsidR="004848D6" w:rsidRPr="004848D6" w:rsidRDefault="004848D6" w:rsidP="004848D6">
      <w:pPr>
        <w:numPr>
          <w:ilvl w:val="0"/>
          <w:numId w:val="11"/>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Remove political and administrative barriers to accessing the Justice Fund, and ensure it is accessible to WHRDs, LBTQIAN+ individuals, rural and Indigenous communities, and victims of business-related abuse.</w:t>
      </w:r>
    </w:p>
    <w:p w14:paraId="7B3B5C7C" w14:textId="77777777" w:rsidR="004848D6" w:rsidRDefault="004848D6" w:rsidP="004848D6">
      <w:pPr>
        <w:numPr>
          <w:ilvl w:val="0"/>
          <w:numId w:val="11"/>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Provide legal aid and community-based support services, especially in local languages and in conflict or high-risk zones.</w:t>
      </w:r>
    </w:p>
    <w:p w14:paraId="0C5F1AAB" w14:textId="77777777" w:rsidR="004848D6" w:rsidRPr="004848D6" w:rsidRDefault="004848D6" w:rsidP="004848D6">
      <w:pPr>
        <w:ind w:left="720"/>
        <w:jc w:val="both"/>
        <w:rPr>
          <w:rFonts w:ascii="Calibri" w:eastAsia="Calibri" w:hAnsi="Calibri" w:cs="Calibri"/>
          <w:color w:val="000000" w:themeColor="text1"/>
          <w:sz w:val="24"/>
          <w:szCs w:val="24"/>
          <w:lang w:val="en-FR"/>
        </w:rPr>
      </w:pPr>
    </w:p>
    <w:p w14:paraId="2F57F629" w14:textId="77777777" w:rsidR="004848D6" w:rsidRDefault="004848D6" w:rsidP="004848D6">
      <w:pPr>
        <w:jc w:val="both"/>
        <w:rPr>
          <w:rFonts w:ascii="Calibri" w:eastAsia="Calibri" w:hAnsi="Calibri" w:cs="Calibri"/>
          <w:b/>
          <w:bCs/>
          <w:color w:val="FF9300"/>
          <w:sz w:val="24"/>
          <w:szCs w:val="24"/>
          <w:lang w:val="en-FR"/>
        </w:rPr>
      </w:pPr>
      <w:r w:rsidRPr="004848D6">
        <w:rPr>
          <w:rFonts w:ascii="Calibri" w:eastAsia="Calibri" w:hAnsi="Calibri" w:cs="Calibri"/>
          <w:b/>
          <w:bCs/>
          <w:color w:val="FF9300"/>
          <w:sz w:val="24"/>
          <w:szCs w:val="24"/>
          <w:lang w:val="en-FR"/>
        </w:rPr>
        <w:t>Issue: National Machinery for the Advancement of Women</w:t>
      </w:r>
    </w:p>
    <w:p w14:paraId="0F77A211" w14:textId="77777777" w:rsidR="004848D6" w:rsidRPr="004848D6" w:rsidRDefault="004848D6" w:rsidP="004848D6">
      <w:pPr>
        <w:jc w:val="both"/>
        <w:rPr>
          <w:rFonts w:ascii="Calibri" w:eastAsia="Calibri" w:hAnsi="Calibri" w:cs="Calibri"/>
          <w:b/>
          <w:bCs/>
          <w:color w:val="FF9300"/>
          <w:sz w:val="24"/>
          <w:szCs w:val="24"/>
          <w:lang w:val="en-FR"/>
        </w:rPr>
      </w:pPr>
    </w:p>
    <w:p w14:paraId="68E7702D" w14:textId="37266E0D" w:rsidR="004848D6" w:rsidRPr="004848D6" w:rsidRDefault="004848D6" w:rsidP="004848D6">
      <w:pPr>
        <w:numPr>
          <w:ilvl w:val="0"/>
          <w:numId w:val="12"/>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Clearly define and coordinate mandates across DWAFD and gender equality bodies to eliminate duplication</w:t>
      </w:r>
      <w:r>
        <w:rPr>
          <w:rFonts w:ascii="Calibri" w:eastAsia="Calibri" w:hAnsi="Calibri" w:cs="Calibri"/>
          <w:color w:val="000000" w:themeColor="text1"/>
          <w:sz w:val="24"/>
          <w:szCs w:val="24"/>
          <w:lang w:val="en-FR"/>
        </w:rPr>
        <w:t>, and e</w:t>
      </w:r>
      <w:r w:rsidRPr="004848D6">
        <w:rPr>
          <w:rFonts w:ascii="Calibri" w:eastAsia="Calibri" w:hAnsi="Calibri" w:cs="Calibri"/>
          <w:color w:val="000000" w:themeColor="text1"/>
          <w:sz w:val="24"/>
          <w:szCs w:val="24"/>
          <w:lang w:val="en-FR"/>
        </w:rPr>
        <w:t>nsure the national machinery is autonomous, well-resourced, and led by individuals with intersectional feminist expertise.</w:t>
      </w:r>
    </w:p>
    <w:p w14:paraId="659BB67A" w14:textId="77777777" w:rsidR="004848D6" w:rsidRDefault="004848D6" w:rsidP="004848D6">
      <w:pPr>
        <w:numPr>
          <w:ilvl w:val="0"/>
          <w:numId w:val="12"/>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Replace generic “disadvantaged group” language with targeted, rights-based frameworks that reflect intersectional discrimination.</w:t>
      </w:r>
    </w:p>
    <w:p w14:paraId="25FDE18B" w14:textId="0F059E6F" w:rsidR="004848D6" w:rsidRDefault="004848D6" w:rsidP="004848D6">
      <w:pPr>
        <w:numPr>
          <w:ilvl w:val="0"/>
          <w:numId w:val="12"/>
        </w:numPr>
        <w:jc w:val="both"/>
        <w:rPr>
          <w:rFonts w:ascii="Calibri" w:eastAsia="Calibri" w:hAnsi="Calibri" w:cs="Calibri"/>
          <w:color w:val="000000" w:themeColor="text1"/>
          <w:sz w:val="24"/>
          <w:szCs w:val="24"/>
          <w:lang w:val="en-FR"/>
        </w:rPr>
      </w:pPr>
      <w:r w:rsidRPr="004848D6">
        <w:rPr>
          <w:rFonts w:ascii="Calibri" w:eastAsia="Calibri" w:hAnsi="Calibri" w:cs="Calibri"/>
          <w:color w:val="000000" w:themeColor="text1"/>
          <w:sz w:val="24"/>
          <w:szCs w:val="24"/>
          <w:lang w:val="en-FR"/>
        </w:rPr>
        <w:t>Institutionalize community-led civil society participation in the design and monitoring of gender strategies and budgeting frameworks.</w:t>
      </w:r>
    </w:p>
    <w:p w14:paraId="540E9E1C" w14:textId="77777777" w:rsidR="005C4EEB" w:rsidRDefault="005C4EEB" w:rsidP="005C4EEB">
      <w:pPr>
        <w:jc w:val="both"/>
        <w:rPr>
          <w:rFonts w:ascii="Calibri" w:eastAsia="Calibri" w:hAnsi="Calibri" w:cs="Calibri"/>
          <w:color w:val="000000" w:themeColor="text1"/>
          <w:sz w:val="24"/>
          <w:szCs w:val="24"/>
          <w:lang w:val="en-FR"/>
        </w:rPr>
      </w:pPr>
    </w:p>
    <w:p w14:paraId="0C48D352" w14:textId="77777777" w:rsidR="005C4EEB" w:rsidRPr="005C4EEB" w:rsidRDefault="005C4EEB" w:rsidP="005C4EEB">
      <w:pPr>
        <w:jc w:val="both"/>
        <w:rPr>
          <w:rFonts w:ascii="Calibri" w:eastAsia="Calibri" w:hAnsi="Calibri" w:cs="Calibri"/>
          <w:color w:val="FF6600"/>
          <w:sz w:val="24"/>
          <w:szCs w:val="24"/>
          <w:lang w:val="en-FR"/>
        </w:rPr>
      </w:pPr>
      <w:r w:rsidRPr="005C4EEB">
        <w:rPr>
          <w:rFonts w:ascii="Calibri" w:eastAsia="Calibri" w:hAnsi="Calibri" w:cs="Calibri"/>
          <w:b/>
          <w:bCs/>
          <w:color w:val="FF6600"/>
          <w:sz w:val="24"/>
          <w:szCs w:val="24"/>
          <w:lang w:val="en-FR"/>
        </w:rPr>
        <w:t>Article 5: Sex Roles and Stereotyping</w:t>
      </w:r>
    </w:p>
    <w:p w14:paraId="3264C1DC" w14:textId="77777777" w:rsidR="005C4EEB" w:rsidRDefault="005C4EEB" w:rsidP="005C4EEB">
      <w:pPr>
        <w:jc w:val="both"/>
        <w:rPr>
          <w:rFonts w:ascii="Calibri" w:eastAsia="Calibri" w:hAnsi="Calibri" w:cs="Calibri"/>
          <w:b/>
          <w:bCs/>
          <w:color w:val="FF9300"/>
          <w:sz w:val="24"/>
          <w:szCs w:val="24"/>
          <w:lang w:val="en-FR"/>
        </w:rPr>
      </w:pPr>
    </w:p>
    <w:p w14:paraId="60DF9DAB" w14:textId="29FB8D34" w:rsidR="005C4EEB" w:rsidRDefault="005C4EEB" w:rsidP="005C4EEB">
      <w:pPr>
        <w:jc w:val="both"/>
        <w:rPr>
          <w:rFonts w:ascii="Calibri" w:eastAsia="Calibri" w:hAnsi="Calibri" w:cs="Calibri"/>
          <w:b/>
          <w:bCs/>
          <w:color w:val="FF9300"/>
          <w:sz w:val="24"/>
          <w:szCs w:val="24"/>
          <w:lang w:val="en-FR"/>
        </w:rPr>
      </w:pPr>
      <w:r w:rsidRPr="005C4EEB">
        <w:rPr>
          <w:rFonts w:ascii="Calibri" w:eastAsia="Calibri" w:hAnsi="Calibri" w:cs="Calibri"/>
          <w:b/>
          <w:bCs/>
          <w:color w:val="FF9300"/>
          <w:sz w:val="24"/>
          <w:szCs w:val="24"/>
          <w:lang w:val="en-FR"/>
        </w:rPr>
        <w:t>Issue: Stereotypes</w:t>
      </w:r>
    </w:p>
    <w:p w14:paraId="35ECD45F" w14:textId="77777777" w:rsidR="005C4EEB" w:rsidRPr="005C4EEB" w:rsidRDefault="005C4EEB" w:rsidP="005C4EEB">
      <w:pPr>
        <w:jc w:val="both"/>
        <w:rPr>
          <w:rFonts w:ascii="Calibri" w:eastAsia="Calibri" w:hAnsi="Calibri" w:cs="Calibri"/>
          <w:color w:val="FF9300"/>
          <w:sz w:val="24"/>
          <w:szCs w:val="24"/>
          <w:lang w:val="en-FR"/>
        </w:rPr>
      </w:pPr>
    </w:p>
    <w:p w14:paraId="7DB0A1C1" w14:textId="77777777" w:rsidR="005C4EEB" w:rsidRPr="005C4EEB" w:rsidRDefault="005C4EEB" w:rsidP="005C4EEB">
      <w:pPr>
        <w:numPr>
          <w:ilvl w:val="0"/>
          <w:numId w:val="13"/>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In line with CEDAW General Recommendation No. 39 (2022) and CERD Concluding Observations (2021) address discriminatory stereotypes related to Indigenous women and girls as well as ethnic women and girls by launching nationwide public education campaigns to dismantle stereotypes rooted in ‘Thainess,’ colorism, and regional bias against Indigenous Women, ethnic women, Isaan and Southern women</w:t>
      </w:r>
    </w:p>
    <w:p w14:paraId="7C3A53E2" w14:textId="77777777" w:rsidR="005C4EEB" w:rsidRPr="005C4EEB" w:rsidRDefault="005C4EEB" w:rsidP="005C4EEB">
      <w:pPr>
        <w:numPr>
          <w:ilvl w:val="0"/>
          <w:numId w:val="13"/>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Denounce and penalize racist and sexist stereotypes targeting Isaan women, Malayu Muslim Women, and Indigenous women in state institutions, education, and media, in line with CERD Concluding Observations (2021). </w:t>
      </w:r>
    </w:p>
    <w:p w14:paraId="64B0FF28" w14:textId="77777777" w:rsidR="005C4EEB" w:rsidRPr="005C4EEB" w:rsidRDefault="005C4EEB" w:rsidP="005C4EEB">
      <w:pPr>
        <w:numPr>
          <w:ilvl w:val="0"/>
          <w:numId w:val="13"/>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End discriminatory media portrayals and promote positive, diverse representations of all women, including LBTQIAN+, Indigenous, Isaan, and Muslim women. </w:t>
      </w:r>
    </w:p>
    <w:p w14:paraId="636925E2" w14:textId="77777777" w:rsidR="005C4EEB" w:rsidRDefault="005C4EEB" w:rsidP="005C4EEB">
      <w:pPr>
        <w:jc w:val="both"/>
        <w:rPr>
          <w:rFonts w:ascii="Calibri" w:eastAsia="Calibri" w:hAnsi="Calibri" w:cs="Calibri"/>
          <w:b/>
          <w:bCs/>
          <w:color w:val="000000" w:themeColor="text1"/>
          <w:sz w:val="24"/>
          <w:szCs w:val="24"/>
          <w:lang w:val="en-FR"/>
        </w:rPr>
      </w:pPr>
    </w:p>
    <w:p w14:paraId="75399DAF" w14:textId="396E9C26" w:rsidR="005C4EEB" w:rsidRDefault="005C4EEB" w:rsidP="005C4EEB">
      <w:pPr>
        <w:jc w:val="both"/>
        <w:rPr>
          <w:rFonts w:ascii="Calibri" w:eastAsia="Calibri" w:hAnsi="Calibri" w:cs="Calibri"/>
          <w:b/>
          <w:bCs/>
          <w:color w:val="FF9300"/>
          <w:sz w:val="24"/>
          <w:szCs w:val="24"/>
          <w:lang w:val="en-FR"/>
        </w:rPr>
      </w:pPr>
      <w:r w:rsidRPr="005C4EEB">
        <w:rPr>
          <w:rFonts w:ascii="Calibri" w:eastAsia="Calibri" w:hAnsi="Calibri" w:cs="Calibri"/>
          <w:b/>
          <w:bCs/>
          <w:color w:val="FF9300"/>
          <w:sz w:val="24"/>
          <w:szCs w:val="24"/>
          <w:lang w:val="en-FR"/>
        </w:rPr>
        <w:t>Issue: Gender-based violence against women</w:t>
      </w:r>
    </w:p>
    <w:p w14:paraId="5C827C83" w14:textId="77777777" w:rsidR="005C4EEB" w:rsidRPr="005C4EEB" w:rsidRDefault="005C4EEB" w:rsidP="005C4EEB">
      <w:pPr>
        <w:jc w:val="both"/>
        <w:rPr>
          <w:rFonts w:ascii="Calibri" w:eastAsia="Calibri" w:hAnsi="Calibri" w:cs="Calibri"/>
          <w:color w:val="FF9300"/>
          <w:sz w:val="24"/>
          <w:szCs w:val="24"/>
          <w:lang w:val="en-FR"/>
        </w:rPr>
      </w:pPr>
    </w:p>
    <w:p w14:paraId="3E6341F4" w14:textId="77777777" w:rsidR="005C4EEB" w:rsidRPr="005C4EEB" w:rsidRDefault="005C4EEB" w:rsidP="005C4EEB">
      <w:pPr>
        <w:numPr>
          <w:ilvl w:val="0"/>
          <w:numId w:val="14"/>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Expand the national definition of GBV to include technology-facilitated violence, SLAPPs, workplace violence, client violence, and hate speech.</w:t>
      </w:r>
    </w:p>
    <w:p w14:paraId="00E5FF64" w14:textId="77777777" w:rsidR="005C4EEB" w:rsidRPr="005C4EEB" w:rsidRDefault="005C4EEB" w:rsidP="005C4EEB">
      <w:pPr>
        <w:numPr>
          <w:ilvl w:val="0"/>
          <w:numId w:val="14"/>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Develop public education programs targeting men and boys to address the roots of harmful sex roles and misogyny.</w:t>
      </w:r>
    </w:p>
    <w:p w14:paraId="12835953" w14:textId="77777777" w:rsidR="005C4EEB" w:rsidRPr="005C4EEB" w:rsidRDefault="005C4EEB" w:rsidP="005C4EEB">
      <w:pPr>
        <w:numPr>
          <w:ilvl w:val="0"/>
          <w:numId w:val="14"/>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Ensure that anti-GBV policies are co-designed with WHRDs, sex worker leaders, and LGBTQIAN+ activists.</w:t>
      </w:r>
    </w:p>
    <w:p w14:paraId="54068F42" w14:textId="77777777" w:rsidR="005C4EEB" w:rsidRPr="005C4EEB" w:rsidRDefault="005C4EEB" w:rsidP="005C4EEB">
      <w:pPr>
        <w:numPr>
          <w:ilvl w:val="0"/>
          <w:numId w:val="14"/>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Hold media and police accountable for misconduct in GBV cases, including treatment of murdered or victimized sex workers.</w:t>
      </w:r>
    </w:p>
    <w:p w14:paraId="1AB2AE9C" w14:textId="77777777" w:rsidR="005C4EEB" w:rsidRPr="005C4EEB" w:rsidRDefault="005C4EEB" w:rsidP="005C4EEB">
      <w:pPr>
        <w:numPr>
          <w:ilvl w:val="0"/>
          <w:numId w:val="14"/>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Increase protections for LBTQIAN+ and gender-diverse protestors, ensuring full participation in civic and political life.</w:t>
      </w:r>
    </w:p>
    <w:p w14:paraId="53E14773" w14:textId="77777777" w:rsidR="005C4EEB" w:rsidRDefault="005C4EEB" w:rsidP="005C4EEB">
      <w:pPr>
        <w:numPr>
          <w:ilvl w:val="0"/>
          <w:numId w:val="14"/>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Apply an intersectional gender-lens across all anti-GBV frameworks, treating systemic violence against women and LBTQIAN+ as a public and political issue.</w:t>
      </w:r>
    </w:p>
    <w:p w14:paraId="10B8EFCA" w14:textId="77777777" w:rsidR="005C4EEB" w:rsidRDefault="005C4EEB" w:rsidP="005C4EEB">
      <w:pPr>
        <w:jc w:val="both"/>
        <w:rPr>
          <w:rFonts w:ascii="Calibri" w:eastAsia="Calibri" w:hAnsi="Calibri" w:cs="Calibri"/>
          <w:color w:val="000000" w:themeColor="text1"/>
          <w:sz w:val="24"/>
          <w:szCs w:val="24"/>
          <w:lang w:val="en-FR"/>
        </w:rPr>
      </w:pPr>
    </w:p>
    <w:p w14:paraId="2F03FEF7" w14:textId="77777777" w:rsidR="004F1E37" w:rsidRDefault="004F1E37" w:rsidP="005C4EEB">
      <w:pPr>
        <w:jc w:val="both"/>
        <w:rPr>
          <w:rFonts w:ascii="Calibri" w:eastAsia="Calibri" w:hAnsi="Calibri" w:cs="Calibri"/>
          <w:color w:val="000000" w:themeColor="text1"/>
          <w:sz w:val="24"/>
          <w:szCs w:val="24"/>
          <w:lang w:val="en-FR"/>
        </w:rPr>
      </w:pPr>
    </w:p>
    <w:p w14:paraId="41D3286B" w14:textId="77777777" w:rsidR="004F1E37" w:rsidRDefault="004F1E37" w:rsidP="005C4EEB">
      <w:pPr>
        <w:jc w:val="both"/>
        <w:rPr>
          <w:rFonts w:ascii="Calibri" w:eastAsia="Calibri" w:hAnsi="Calibri" w:cs="Calibri"/>
          <w:color w:val="000000" w:themeColor="text1"/>
          <w:sz w:val="24"/>
          <w:szCs w:val="24"/>
          <w:lang w:val="en-FR"/>
        </w:rPr>
      </w:pPr>
    </w:p>
    <w:p w14:paraId="36E71CA2" w14:textId="77777777" w:rsidR="005C4EEB" w:rsidRDefault="005C4EEB" w:rsidP="005C4EEB">
      <w:pPr>
        <w:jc w:val="both"/>
        <w:rPr>
          <w:rFonts w:ascii="Calibri" w:eastAsia="Calibri" w:hAnsi="Calibri" w:cs="Calibri"/>
          <w:color w:val="000000" w:themeColor="text1"/>
          <w:sz w:val="24"/>
          <w:szCs w:val="24"/>
          <w:lang w:val="en-FR"/>
        </w:rPr>
      </w:pPr>
    </w:p>
    <w:p w14:paraId="23F9BC56" w14:textId="77777777" w:rsidR="005C4EEB" w:rsidRDefault="005C4EEB" w:rsidP="005C4EEB">
      <w:pPr>
        <w:jc w:val="both"/>
        <w:rPr>
          <w:rFonts w:ascii="Calibri" w:eastAsia="Calibri" w:hAnsi="Calibri" w:cs="Calibri"/>
          <w:b/>
          <w:bCs/>
          <w:color w:val="FF6600"/>
          <w:sz w:val="24"/>
          <w:szCs w:val="24"/>
          <w:lang w:val="en-FR"/>
        </w:rPr>
      </w:pPr>
      <w:r w:rsidRPr="005C4EEB">
        <w:rPr>
          <w:rFonts w:ascii="Calibri" w:eastAsia="Calibri" w:hAnsi="Calibri" w:cs="Calibri"/>
          <w:b/>
          <w:bCs/>
          <w:color w:val="FF6600"/>
          <w:sz w:val="24"/>
          <w:szCs w:val="24"/>
          <w:lang w:val="en-FR"/>
        </w:rPr>
        <w:lastRenderedPageBreak/>
        <w:t>Article 7: Participation in Political and Public Life</w:t>
      </w:r>
    </w:p>
    <w:p w14:paraId="36FDA6E5" w14:textId="77777777" w:rsidR="005C4EEB" w:rsidRPr="005C4EEB" w:rsidRDefault="005C4EEB" w:rsidP="005C4EEB">
      <w:pPr>
        <w:jc w:val="both"/>
        <w:rPr>
          <w:rFonts w:ascii="Calibri" w:eastAsia="Calibri" w:hAnsi="Calibri" w:cs="Calibri"/>
          <w:color w:val="FF6600"/>
          <w:sz w:val="24"/>
          <w:szCs w:val="24"/>
          <w:lang w:val="en-FR"/>
        </w:rPr>
      </w:pPr>
    </w:p>
    <w:p w14:paraId="3EBB0051" w14:textId="77777777" w:rsidR="005C4EEB" w:rsidRPr="005C4EEB" w:rsidRDefault="005C4EEB" w:rsidP="005C4EEB">
      <w:pPr>
        <w:numPr>
          <w:ilvl w:val="0"/>
          <w:numId w:val="15"/>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Ensure women and LBTQIAN+ individuals can fully exercise their rights to freedom of expression, freedom of peaceful assembly and association and freedom from arbitrary arrests; and guarantee LBTQIAN+ women have access to effective remedy while perpetrators are held into account.</w:t>
      </w:r>
    </w:p>
    <w:p w14:paraId="2707EB6F" w14:textId="77777777" w:rsidR="005C4EEB" w:rsidRPr="005C4EEB" w:rsidRDefault="005C4EEB" w:rsidP="005C4EEB">
      <w:pPr>
        <w:numPr>
          <w:ilvl w:val="0"/>
          <w:numId w:val="15"/>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Stop judicial harassment and gendered surveillance of WHRDs, LBTQIAN+ activists, and pro-democracy defenders.</w:t>
      </w:r>
    </w:p>
    <w:p w14:paraId="75DFCA27" w14:textId="77777777" w:rsidR="005C4EEB" w:rsidRPr="005C4EEB" w:rsidRDefault="005C4EEB" w:rsidP="005C4EEB">
      <w:pPr>
        <w:numPr>
          <w:ilvl w:val="0"/>
          <w:numId w:val="15"/>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Ensure meaningful participation of women and LGBTQIAN+ persons from HMGs in political and peace processes, with real decision-making power.</w:t>
      </w:r>
    </w:p>
    <w:p w14:paraId="255B294A" w14:textId="77777777" w:rsidR="005C4EEB" w:rsidRPr="005C4EEB" w:rsidRDefault="005C4EEB" w:rsidP="005C4EEB">
      <w:pPr>
        <w:numPr>
          <w:ilvl w:val="0"/>
          <w:numId w:val="15"/>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Uphold the right to civic expression online and offline, and end censorship of feminist and queer platforms.</w:t>
      </w:r>
    </w:p>
    <w:p w14:paraId="354BBDBF" w14:textId="77777777" w:rsidR="005C4EEB" w:rsidRPr="005C4EEB" w:rsidRDefault="005C4EEB" w:rsidP="005C4EEB">
      <w:pPr>
        <w:numPr>
          <w:ilvl w:val="0"/>
          <w:numId w:val="15"/>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Treat structural inequality and exclusion as a core obligation under CEDAW—not a symbolic checkbox.</w:t>
      </w:r>
    </w:p>
    <w:p w14:paraId="4EFD3574" w14:textId="77777777" w:rsidR="005C4EEB" w:rsidRDefault="005C4EEB" w:rsidP="005C4EEB">
      <w:pPr>
        <w:jc w:val="both"/>
        <w:rPr>
          <w:rFonts w:ascii="Calibri" w:eastAsia="Calibri" w:hAnsi="Calibri" w:cs="Calibri"/>
          <w:b/>
          <w:bCs/>
          <w:color w:val="000000" w:themeColor="text1"/>
          <w:sz w:val="24"/>
          <w:szCs w:val="24"/>
          <w:lang w:val="en-FR"/>
        </w:rPr>
      </w:pPr>
    </w:p>
    <w:p w14:paraId="35BB1544" w14:textId="01199F34" w:rsidR="005C4EEB" w:rsidRDefault="005C4EEB" w:rsidP="005C4EEB">
      <w:pPr>
        <w:jc w:val="both"/>
        <w:rPr>
          <w:rFonts w:ascii="Calibri" w:eastAsia="Calibri" w:hAnsi="Calibri" w:cs="Calibri"/>
          <w:b/>
          <w:bCs/>
          <w:color w:val="FF9300"/>
          <w:sz w:val="24"/>
          <w:szCs w:val="24"/>
          <w:lang w:val="en-FR"/>
        </w:rPr>
      </w:pPr>
      <w:r w:rsidRPr="005C4EEB">
        <w:rPr>
          <w:rFonts w:ascii="Calibri" w:eastAsia="Calibri" w:hAnsi="Calibri" w:cs="Calibri"/>
          <w:b/>
          <w:bCs/>
          <w:color w:val="FF9300"/>
          <w:sz w:val="24"/>
          <w:szCs w:val="24"/>
          <w:lang w:val="en-FR"/>
        </w:rPr>
        <w:t>Issue: Women Human Rights Defenders (WHRDs)</w:t>
      </w:r>
    </w:p>
    <w:p w14:paraId="363E7537" w14:textId="77777777" w:rsidR="005C4EEB" w:rsidRPr="005C4EEB" w:rsidRDefault="005C4EEB" w:rsidP="005C4EEB">
      <w:pPr>
        <w:jc w:val="both"/>
        <w:rPr>
          <w:rFonts w:ascii="Calibri" w:eastAsia="Calibri" w:hAnsi="Calibri" w:cs="Calibri"/>
          <w:color w:val="FF9300"/>
          <w:sz w:val="24"/>
          <w:szCs w:val="24"/>
          <w:lang w:val="en-FR"/>
        </w:rPr>
      </w:pPr>
    </w:p>
    <w:p w14:paraId="652B931D" w14:textId="77777777" w:rsidR="005C4EEB" w:rsidRPr="005C4EEB" w:rsidRDefault="005C4EEB" w:rsidP="005C4EEB">
      <w:pPr>
        <w:numPr>
          <w:ilvl w:val="0"/>
          <w:numId w:val="16"/>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Investigate and publicly acknowledge the death of Netiporn ‘Bung’ Sanesangkhom, and provide redress to her family.</w:t>
      </w:r>
    </w:p>
    <w:p w14:paraId="53B7AF54" w14:textId="5C6C06F8" w:rsidR="005C4EEB" w:rsidRPr="005C4EEB" w:rsidRDefault="005C4EEB" w:rsidP="005C4EEB">
      <w:pPr>
        <w:numPr>
          <w:ilvl w:val="0"/>
          <w:numId w:val="16"/>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Cease the criminali</w:t>
      </w:r>
      <w:r>
        <w:rPr>
          <w:rFonts w:ascii="Calibri" w:eastAsia="Calibri" w:hAnsi="Calibri" w:cs="Calibri"/>
          <w:color w:val="000000" w:themeColor="text1"/>
          <w:sz w:val="24"/>
          <w:szCs w:val="24"/>
          <w:lang w:val="en-FR"/>
        </w:rPr>
        <w:t>z</w:t>
      </w:r>
      <w:r w:rsidRPr="005C4EEB">
        <w:rPr>
          <w:rFonts w:ascii="Calibri" w:eastAsia="Calibri" w:hAnsi="Calibri" w:cs="Calibri"/>
          <w:color w:val="000000" w:themeColor="text1"/>
          <w:sz w:val="24"/>
          <w:szCs w:val="24"/>
          <w:lang w:val="en-FR"/>
        </w:rPr>
        <w:t>ation and detention of WHRDs for exercising their right to protest or express dissent.</w:t>
      </w:r>
    </w:p>
    <w:p w14:paraId="48CE03A7" w14:textId="77777777" w:rsidR="005C4EEB" w:rsidRPr="005C4EEB" w:rsidRDefault="005C4EEB" w:rsidP="005C4EEB">
      <w:pPr>
        <w:numPr>
          <w:ilvl w:val="0"/>
          <w:numId w:val="16"/>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Establish national protection mechanisms for WHRDs, with input from feminist and LGBTQIAN+ civil society.</w:t>
      </w:r>
    </w:p>
    <w:p w14:paraId="226F0B37" w14:textId="77777777" w:rsidR="005C4EEB" w:rsidRPr="005C4EEB" w:rsidRDefault="005C4EEB" w:rsidP="005C4EEB">
      <w:pPr>
        <w:numPr>
          <w:ilvl w:val="0"/>
          <w:numId w:val="16"/>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Ensure WHRDs are meaningfully involved in all areas of public life, not just as symbolic figures.</w:t>
      </w:r>
    </w:p>
    <w:p w14:paraId="190E05E3" w14:textId="6C0BEB7C" w:rsidR="005C4EEB" w:rsidRDefault="005C4EEB" w:rsidP="005C4EEB">
      <w:pPr>
        <w:numPr>
          <w:ilvl w:val="0"/>
          <w:numId w:val="16"/>
        </w:numPr>
        <w:jc w:val="both"/>
        <w:rPr>
          <w:rFonts w:ascii="Calibri" w:eastAsia="Calibri" w:hAnsi="Calibri" w:cs="Calibri"/>
          <w:color w:val="000000" w:themeColor="text1"/>
          <w:sz w:val="24"/>
          <w:szCs w:val="24"/>
          <w:lang w:val="en-FR"/>
        </w:rPr>
      </w:pPr>
      <w:r w:rsidRPr="005C4EEB">
        <w:rPr>
          <w:rFonts w:ascii="Calibri" w:eastAsia="Calibri" w:hAnsi="Calibri" w:cs="Calibri"/>
          <w:color w:val="000000" w:themeColor="text1"/>
          <w:sz w:val="24"/>
          <w:szCs w:val="24"/>
          <w:lang w:val="en-FR"/>
        </w:rPr>
        <w:t xml:space="preserve">Decriminalise defamation by repealing sections 326 to 333 of the Criminal Code and in line with Concluding Observations </w:t>
      </w:r>
      <w:r>
        <w:rPr>
          <w:rFonts w:ascii="Calibri" w:eastAsia="Calibri" w:hAnsi="Calibri" w:cs="Calibri"/>
          <w:color w:val="000000" w:themeColor="text1"/>
          <w:sz w:val="24"/>
          <w:szCs w:val="24"/>
          <w:lang w:val="en-FR"/>
        </w:rPr>
        <w:t xml:space="preserve">by CEDAW (2017) and CERD </w:t>
      </w:r>
      <w:r w:rsidRPr="005C4EEB">
        <w:rPr>
          <w:rFonts w:ascii="Calibri" w:eastAsia="Calibri" w:hAnsi="Calibri" w:cs="Calibri"/>
          <w:color w:val="000000" w:themeColor="text1"/>
          <w:sz w:val="24"/>
          <w:szCs w:val="24"/>
          <w:lang w:val="en-FR"/>
        </w:rPr>
        <w:t>(2021) and the UPR recommendation made by Belgium and supported by the Thai government (2021), adopt and implement, without delay, effective anti-SLAPP legislation and effectively investigate, prosecute and adequately punish all cases of harassment, killing, enforced disappearance, violence, threats, reprisals and intimidation against WHRDs and provide effective remedies. In the meantime, enforce Sections 161/1 and 165/2 of the Criminal Procedure Code and publish statistics on its use to assess its effectiveness. </w:t>
      </w:r>
    </w:p>
    <w:p w14:paraId="29061F7B" w14:textId="77777777" w:rsidR="004F1E37" w:rsidRDefault="004F1E37" w:rsidP="004F1E37">
      <w:pPr>
        <w:jc w:val="both"/>
        <w:rPr>
          <w:rFonts w:ascii="Calibri" w:eastAsia="Calibri" w:hAnsi="Calibri" w:cs="Calibri"/>
          <w:color w:val="000000" w:themeColor="text1"/>
          <w:sz w:val="24"/>
          <w:szCs w:val="24"/>
          <w:lang w:val="en-FR"/>
        </w:rPr>
      </w:pPr>
    </w:p>
    <w:p w14:paraId="743BB83B" w14:textId="77777777" w:rsidR="004F1E37" w:rsidRDefault="004F1E37" w:rsidP="004F1E37">
      <w:pPr>
        <w:jc w:val="both"/>
        <w:rPr>
          <w:rFonts w:ascii="Calibri" w:eastAsia="Calibri" w:hAnsi="Calibri" w:cs="Calibri"/>
          <w:color w:val="000000" w:themeColor="text1"/>
          <w:sz w:val="24"/>
          <w:szCs w:val="24"/>
          <w:lang w:val="en-FR"/>
        </w:rPr>
      </w:pPr>
    </w:p>
    <w:p w14:paraId="4FD6E7B0" w14:textId="77777777" w:rsidR="004F1E37" w:rsidRPr="005C4EEB" w:rsidRDefault="004F1E37" w:rsidP="004F1E37">
      <w:pPr>
        <w:jc w:val="both"/>
        <w:rPr>
          <w:rFonts w:ascii="Calibri" w:eastAsia="Calibri" w:hAnsi="Calibri" w:cs="Calibri"/>
          <w:color w:val="000000" w:themeColor="text1"/>
          <w:sz w:val="24"/>
          <w:szCs w:val="24"/>
          <w:lang w:val="en-FR"/>
        </w:rPr>
      </w:pPr>
    </w:p>
    <w:p w14:paraId="5B073048" w14:textId="77777777" w:rsidR="005C4EEB" w:rsidRDefault="005C4EEB" w:rsidP="005C4EEB">
      <w:pPr>
        <w:jc w:val="both"/>
        <w:rPr>
          <w:rFonts w:ascii="Calibri" w:eastAsia="Calibri" w:hAnsi="Calibri" w:cs="Calibri"/>
          <w:color w:val="000000" w:themeColor="text1"/>
          <w:sz w:val="24"/>
          <w:szCs w:val="24"/>
          <w:lang w:val="en-FR"/>
        </w:rPr>
      </w:pPr>
    </w:p>
    <w:p w14:paraId="4AC526D0" w14:textId="77777777" w:rsidR="005C4EEB" w:rsidRDefault="005C4EEB" w:rsidP="005C4EEB">
      <w:pPr>
        <w:jc w:val="both"/>
        <w:rPr>
          <w:rFonts w:ascii="Calibri" w:eastAsia="Calibri" w:hAnsi="Calibri" w:cs="Calibri"/>
          <w:b/>
          <w:bCs/>
          <w:color w:val="FF9300"/>
          <w:sz w:val="24"/>
          <w:szCs w:val="24"/>
          <w:lang w:val="en-FR"/>
        </w:rPr>
      </w:pPr>
      <w:r w:rsidRPr="005C4EEB">
        <w:rPr>
          <w:rFonts w:ascii="Calibri" w:eastAsia="Calibri" w:hAnsi="Calibri" w:cs="Calibri"/>
          <w:b/>
          <w:bCs/>
          <w:color w:val="FF9300"/>
          <w:sz w:val="24"/>
          <w:szCs w:val="24"/>
          <w:lang w:val="en-FR"/>
        </w:rPr>
        <w:lastRenderedPageBreak/>
        <w:t>Issue: Techno-colonialism, digital dictatorship, and technology-facilitated GBV (TFGBV)</w:t>
      </w:r>
    </w:p>
    <w:p w14:paraId="59B68999" w14:textId="77777777" w:rsidR="005C4EEB" w:rsidRPr="005C4EEB" w:rsidRDefault="005C4EEB" w:rsidP="005C4EEB">
      <w:pPr>
        <w:jc w:val="both"/>
        <w:rPr>
          <w:rFonts w:ascii="Calibri" w:eastAsia="Calibri" w:hAnsi="Calibri" w:cs="Calibri"/>
          <w:color w:val="FF9300"/>
          <w:sz w:val="24"/>
          <w:szCs w:val="24"/>
          <w:lang w:val="en-FR"/>
        </w:rPr>
      </w:pPr>
    </w:p>
    <w:p w14:paraId="2188275F" w14:textId="77777777" w:rsidR="005C4EEB" w:rsidRPr="005C4EEB" w:rsidRDefault="005C4EEB" w:rsidP="005C4EEB">
      <w:pPr>
        <w:numPr>
          <w:ilvl w:val="0"/>
          <w:numId w:val="17"/>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Repeal or amend repressive cyber laws used to silence and harass dissent:</w:t>
      </w:r>
      <w:r w:rsidRPr="005C4EEB">
        <w:rPr>
          <w:rFonts w:ascii="Calibri" w:eastAsia="Calibri" w:hAnsi="Calibri" w:cs="Calibri"/>
          <w:color w:val="000000" w:themeColor="text1"/>
          <w:sz w:val="24"/>
          <w:szCs w:val="24"/>
          <w:lang w:val="en-FR"/>
        </w:rPr>
        <w:t xml:space="preserve"> In line with the 2017 Human Rights Committee Concluding Observations and international human rights standards, repeal or revise the Computer Crimes Act (CCA), the Cybersecurity Act, the Emergency Decree, and Section 112 of the Criminal Code. These laws must no longer be used to target WHRDs, LGBTQIAN+ individuals, abortion rights defenders, women journalists, or pro-democracy activists.</w:t>
      </w:r>
    </w:p>
    <w:p w14:paraId="7F5B3A14" w14:textId="77777777" w:rsidR="005C4EEB" w:rsidRPr="005C4EEB" w:rsidRDefault="005C4EEB" w:rsidP="005C4EEB">
      <w:pPr>
        <w:numPr>
          <w:ilvl w:val="0"/>
          <w:numId w:val="17"/>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Ban the use of spyware and AI surveillance technologies</w:t>
      </w:r>
      <w:r w:rsidRPr="005C4EEB">
        <w:rPr>
          <w:rFonts w:ascii="Calibri" w:eastAsia="Calibri" w:hAnsi="Calibri" w:cs="Calibri"/>
          <w:color w:val="000000" w:themeColor="text1"/>
          <w:sz w:val="24"/>
          <w:szCs w:val="24"/>
          <w:lang w:val="en-FR"/>
        </w:rPr>
        <w:t xml:space="preserve"> against civil society actors and ensure full transparency and accountability of all surveillance practices.</w:t>
      </w:r>
    </w:p>
    <w:p w14:paraId="69D017E9" w14:textId="77777777" w:rsidR="005C4EEB" w:rsidRPr="005C4EEB" w:rsidRDefault="005C4EEB" w:rsidP="005C4EEB">
      <w:pPr>
        <w:numPr>
          <w:ilvl w:val="0"/>
          <w:numId w:val="17"/>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Reform the Digital and AI Governance Framework:</w:t>
      </w:r>
      <w:r w:rsidRPr="005C4EEB">
        <w:rPr>
          <w:rFonts w:ascii="Calibri" w:eastAsia="Calibri" w:hAnsi="Calibri" w:cs="Calibri"/>
          <w:color w:val="000000" w:themeColor="text1"/>
          <w:sz w:val="24"/>
          <w:szCs w:val="24"/>
          <w:lang w:val="en-FR"/>
        </w:rPr>
        <w:t xml:space="preserve"> Introduce a national AI law aligned with international human rights standards, prohibiting algorithmic bias, profiling, and misuse of biometric data. Amend the Personal Data Protection Act (PDPA) to include safeguards against algorithmic decision-making, mass surveillance, and biometric abuse, including facial recognition and forced DNA collection in the Southern Border Provinces. Ensure these reforms are developed in consultation with affected communities—including LBTIQ+ individuals, sex workers, and Indigenous and Malayu Muslim women—and prioritize human dignity over corporate interests.</w:t>
      </w:r>
    </w:p>
    <w:p w14:paraId="488A623C" w14:textId="77777777" w:rsidR="00E50D05" w:rsidRDefault="005C4EEB" w:rsidP="00E50D05">
      <w:pPr>
        <w:numPr>
          <w:ilvl w:val="0"/>
          <w:numId w:val="17"/>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Strengthen Legal and Regulatory Protections for Digital Rights:</w:t>
      </w:r>
      <w:r w:rsidRPr="005C4EEB">
        <w:rPr>
          <w:rFonts w:ascii="Calibri" w:eastAsia="Calibri" w:hAnsi="Calibri" w:cs="Calibri"/>
          <w:color w:val="000000" w:themeColor="text1"/>
          <w:sz w:val="24"/>
          <w:szCs w:val="24"/>
          <w:lang w:val="en-FR"/>
        </w:rPr>
        <w:t xml:space="preserve"> Enact a Feminist Digital Rights Framework to protect WHRDs, LGBTIQ+ individuals, sex workers, and feminist activists from online gender-based violence (OGBV) and technology-facilitated GBV (TFGBV), including hate speech, discriminatory content takedowns, shadowbanning, and algorithmic bias. This framework must also regulate digital tools and platforms to prevent algorithmic discrimination and protect freedom of expression, especially for those routinely targeted like WHRDs and sex workers. Ensure enforcement, accountability, and the right to privacy and safety in digital spaces.</w:t>
      </w:r>
    </w:p>
    <w:p w14:paraId="0183FE07" w14:textId="7FE7718F" w:rsidR="00E50D05" w:rsidRDefault="005C4EEB" w:rsidP="00E50D05">
      <w:pPr>
        <w:numPr>
          <w:ilvl w:val="0"/>
          <w:numId w:val="17"/>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 xml:space="preserve">Ensure Non-Discriminatory Content Moderation &amp; Mandate Transparency from Tech Companies: </w:t>
      </w:r>
      <w:r w:rsidRPr="005C4EEB">
        <w:rPr>
          <w:rFonts w:ascii="Calibri" w:eastAsia="Calibri" w:hAnsi="Calibri" w:cs="Calibri"/>
          <w:color w:val="000000" w:themeColor="text1"/>
          <w:sz w:val="24"/>
          <w:szCs w:val="24"/>
          <w:lang w:val="en-FR"/>
        </w:rPr>
        <w:t>Develop binding national guidelines—through consultation with affected communities—to ensure that platforms’ content moderation policies do not disproportionately target LBTIQ+ users, sex workers, or abortion rights defenders. Require all platforms operating in Thailand (e.g., Meta, TikTok, X) to disclose content governance practices, algorithmic decision-making, and anonymized data disaggregated by gender, SOGIESC, and advocacy topic (e.g., abortion, sex work, LGBTIQ+ rights).</w:t>
      </w:r>
    </w:p>
    <w:p w14:paraId="7D65C99B" w14:textId="77777777" w:rsidR="004F1E37" w:rsidRDefault="004F1E37" w:rsidP="004F1E37">
      <w:pPr>
        <w:jc w:val="both"/>
        <w:rPr>
          <w:rFonts w:ascii="Calibri" w:eastAsia="Calibri" w:hAnsi="Calibri" w:cs="Calibri"/>
          <w:color w:val="000000" w:themeColor="text1"/>
          <w:sz w:val="24"/>
          <w:szCs w:val="24"/>
          <w:lang w:val="en-FR"/>
        </w:rPr>
      </w:pPr>
    </w:p>
    <w:p w14:paraId="699448EB" w14:textId="77777777" w:rsidR="004F1E37" w:rsidRPr="00E50D05" w:rsidRDefault="004F1E37" w:rsidP="004F1E37">
      <w:pPr>
        <w:jc w:val="both"/>
        <w:rPr>
          <w:rFonts w:ascii="Calibri" w:eastAsia="Calibri" w:hAnsi="Calibri" w:cs="Calibri"/>
          <w:color w:val="000000" w:themeColor="text1"/>
          <w:sz w:val="24"/>
          <w:szCs w:val="24"/>
          <w:lang w:val="en-FR"/>
        </w:rPr>
      </w:pPr>
    </w:p>
    <w:p w14:paraId="70895B86" w14:textId="77777777" w:rsidR="00E50D05" w:rsidRDefault="00E50D05" w:rsidP="00E50D05">
      <w:pPr>
        <w:ind w:left="720"/>
        <w:jc w:val="both"/>
        <w:rPr>
          <w:rFonts w:ascii="Calibri" w:eastAsia="Calibri" w:hAnsi="Calibri" w:cs="Calibri"/>
          <w:color w:val="000000" w:themeColor="text1"/>
          <w:sz w:val="24"/>
          <w:szCs w:val="24"/>
          <w:lang w:val="en-FR"/>
        </w:rPr>
      </w:pPr>
    </w:p>
    <w:p w14:paraId="734A4E8F" w14:textId="2AC8B30A" w:rsidR="005C4EEB" w:rsidRPr="00E50D05" w:rsidRDefault="005C4EEB" w:rsidP="00E50D05">
      <w:pPr>
        <w:jc w:val="both"/>
        <w:rPr>
          <w:rFonts w:ascii="Calibri" w:eastAsia="Calibri" w:hAnsi="Calibri" w:cs="Calibri"/>
          <w:color w:val="000000" w:themeColor="text1"/>
          <w:sz w:val="24"/>
          <w:szCs w:val="24"/>
          <w:lang w:val="en-FR"/>
        </w:rPr>
      </w:pPr>
      <w:r w:rsidRPr="005C4EEB">
        <w:rPr>
          <w:rFonts w:ascii="Calibri" w:eastAsia="Calibri" w:hAnsi="Calibri" w:cs="Calibri"/>
          <w:b/>
          <w:bCs/>
          <w:color w:val="FF9300"/>
          <w:sz w:val="24"/>
          <w:szCs w:val="24"/>
          <w:lang w:val="en-FR"/>
        </w:rPr>
        <w:lastRenderedPageBreak/>
        <w:t>Issue: Exiled but Not Safe: WHRDs Facing Transnational Repression in Thailand – (Refugee and Asylum-Seeking Women)</w:t>
      </w:r>
    </w:p>
    <w:p w14:paraId="48CF0B91" w14:textId="77777777" w:rsidR="005C4EEB" w:rsidRPr="005C4EEB" w:rsidRDefault="005C4EEB" w:rsidP="005C4EEB">
      <w:pPr>
        <w:jc w:val="both"/>
        <w:rPr>
          <w:rFonts w:ascii="Calibri" w:eastAsia="Calibri" w:hAnsi="Calibri" w:cs="Calibri"/>
          <w:color w:val="FF9300"/>
          <w:sz w:val="24"/>
          <w:szCs w:val="24"/>
          <w:lang w:val="en-FR"/>
        </w:rPr>
      </w:pPr>
    </w:p>
    <w:p w14:paraId="04B4AE47" w14:textId="0F29AA49" w:rsidR="005C4EEB" w:rsidRPr="005C4EEB" w:rsidRDefault="005C4EEB" w:rsidP="005C4EEB">
      <w:pPr>
        <w:numPr>
          <w:ilvl w:val="0"/>
          <w:numId w:val="18"/>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Ensure full enforcement of non-refoulement obligations:</w:t>
      </w:r>
      <w:r w:rsidRPr="005C4EEB">
        <w:rPr>
          <w:rFonts w:ascii="Calibri" w:eastAsia="Calibri" w:hAnsi="Calibri" w:cs="Calibri"/>
          <w:color w:val="000000" w:themeColor="text1"/>
          <w:sz w:val="24"/>
          <w:szCs w:val="24"/>
          <w:lang w:val="en-FR"/>
        </w:rPr>
        <w:t xml:space="preserve"> </w:t>
      </w:r>
      <w:r w:rsidR="004F1E37">
        <w:rPr>
          <w:rFonts w:ascii="Calibri" w:eastAsia="Calibri" w:hAnsi="Calibri" w:cs="Calibri"/>
          <w:color w:val="000000" w:themeColor="text1"/>
          <w:sz w:val="24"/>
          <w:szCs w:val="24"/>
          <w:lang w:val="en-FR"/>
        </w:rPr>
        <w:t xml:space="preserve">In line with CAT Concluding Observations (2024), </w:t>
      </w:r>
      <w:r w:rsidRPr="005C4EEB">
        <w:rPr>
          <w:rFonts w:ascii="Calibri" w:eastAsia="Calibri" w:hAnsi="Calibri" w:cs="Calibri"/>
          <w:color w:val="000000" w:themeColor="text1"/>
          <w:sz w:val="24"/>
          <w:szCs w:val="24"/>
          <w:lang w:val="en-FR"/>
        </w:rPr>
        <w:t>Thailand must uphold Section 13 of the Prevention and Suppression of Torture and Enforced Disappearance Act B.E. 2565 (2022) and protect WHRDs and other at-risk individuals from deportation</w:t>
      </w:r>
      <w:r w:rsidR="00E50D05">
        <w:rPr>
          <w:rFonts w:ascii="Calibri" w:eastAsia="Calibri" w:hAnsi="Calibri" w:cs="Calibri"/>
          <w:color w:val="000000" w:themeColor="text1"/>
          <w:sz w:val="24"/>
          <w:szCs w:val="24"/>
          <w:lang w:val="en-FR"/>
        </w:rPr>
        <w:t xml:space="preserve"> </w:t>
      </w:r>
      <w:r w:rsidRPr="005C4EEB">
        <w:rPr>
          <w:rFonts w:ascii="Calibri" w:eastAsia="Calibri" w:hAnsi="Calibri" w:cs="Calibri"/>
          <w:color w:val="000000" w:themeColor="text1"/>
          <w:sz w:val="24"/>
          <w:szCs w:val="24"/>
          <w:lang w:val="en-FR"/>
        </w:rPr>
        <w:t xml:space="preserve">to countries where they face risks of torture or persecution. Thailand </w:t>
      </w:r>
      <w:r w:rsidR="00E50D05">
        <w:rPr>
          <w:rFonts w:ascii="Calibri" w:eastAsia="Calibri" w:hAnsi="Calibri" w:cs="Calibri"/>
          <w:color w:val="000000" w:themeColor="text1"/>
          <w:sz w:val="24"/>
          <w:szCs w:val="24"/>
          <w:lang w:val="en-FR"/>
        </w:rPr>
        <w:t>must</w:t>
      </w:r>
      <w:r w:rsidRPr="005C4EEB">
        <w:rPr>
          <w:rFonts w:ascii="Calibri" w:eastAsia="Calibri" w:hAnsi="Calibri" w:cs="Calibri"/>
          <w:color w:val="000000" w:themeColor="text1"/>
          <w:sz w:val="24"/>
          <w:szCs w:val="24"/>
          <w:lang w:val="en-FR"/>
        </w:rPr>
        <w:t xml:space="preserve"> also ratify the 1951 Refugee Convention to formalize its commitment to international refugee protections.</w:t>
      </w:r>
    </w:p>
    <w:p w14:paraId="228E83AE" w14:textId="77777777" w:rsidR="005C4EEB" w:rsidRPr="005C4EEB" w:rsidRDefault="005C4EEB" w:rsidP="005C4EEB">
      <w:pPr>
        <w:numPr>
          <w:ilvl w:val="0"/>
          <w:numId w:val="18"/>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Amend Thailand’s Immigration Act:</w:t>
      </w:r>
      <w:r w:rsidRPr="005C4EEB">
        <w:rPr>
          <w:rFonts w:ascii="Calibri" w:eastAsia="Calibri" w:hAnsi="Calibri" w:cs="Calibri"/>
          <w:color w:val="000000" w:themeColor="text1"/>
          <w:sz w:val="24"/>
          <w:szCs w:val="24"/>
          <w:lang w:val="en-FR"/>
        </w:rPr>
        <w:t xml:space="preserve"> Reform Section 64 to include clear exemptions for humanitarian assistance and legal protection work, and harmonize it with the anti-torture law to end the criminalization of WHRDs and human rights lawyers aiding refugees.</w:t>
      </w:r>
    </w:p>
    <w:p w14:paraId="505E724B" w14:textId="77777777" w:rsidR="005C4EEB" w:rsidRPr="005C4EEB" w:rsidRDefault="005C4EEB" w:rsidP="005C4EEB">
      <w:pPr>
        <w:numPr>
          <w:ilvl w:val="0"/>
          <w:numId w:val="18"/>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Establish a national asylum framework:</w:t>
      </w:r>
      <w:r w:rsidRPr="005C4EEB">
        <w:rPr>
          <w:rFonts w:ascii="Calibri" w:eastAsia="Calibri" w:hAnsi="Calibri" w:cs="Calibri"/>
          <w:color w:val="000000" w:themeColor="text1"/>
          <w:sz w:val="24"/>
          <w:szCs w:val="24"/>
          <w:lang w:val="en-FR"/>
        </w:rPr>
        <w:t xml:space="preserve"> Develop legislation aligned with international standards to guarantee protection, legal status, and rights for asylum seekers and refugees, especially those facing transnational repression.</w:t>
      </w:r>
    </w:p>
    <w:p w14:paraId="5253770B" w14:textId="0D7FDED9" w:rsidR="005C4EEB" w:rsidRPr="005C4EEB" w:rsidRDefault="005C4EEB" w:rsidP="005C4EEB">
      <w:pPr>
        <w:numPr>
          <w:ilvl w:val="0"/>
          <w:numId w:val="18"/>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Ensure Thailand’s cooperation with UNHCR in addressing TNR:</w:t>
      </w:r>
      <w:r w:rsidRPr="005C4EEB">
        <w:rPr>
          <w:rFonts w:ascii="Calibri" w:eastAsia="Calibri" w:hAnsi="Calibri" w:cs="Calibri"/>
          <w:color w:val="000000" w:themeColor="text1"/>
          <w:sz w:val="24"/>
          <w:szCs w:val="24"/>
          <w:lang w:val="en-FR"/>
        </w:rPr>
        <w:t xml:space="preserve"> The Thai government must actively recognize Transnational Repression as a legitimate and urgent ground for international protection, and work constructively with UNHCR to ensure that those facing TNR, especially WHRDs and political dissidents, are rapidly identified, protected, and resettled.</w:t>
      </w:r>
    </w:p>
    <w:p w14:paraId="670ACBFE" w14:textId="55E315DF" w:rsidR="005C4EEB" w:rsidRPr="005C4EEB" w:rsidRDefault="005C4EEB" w:rsidP="005C4EEB">
      <w:pPr>
        <w:numPr>
          <w:ilvl w:val="0"/>
          <w:numId w:val="18"/>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Facilitate and support faster RSD and resettlement processes:</w:t>
      </w:r>
      <w:r w:rsidRPr="005C4EEB">
        <w:rPr>
          <w:rFonts w:ascii="Calibri" w:eastAsia="Calibri" w:hAnsi="Calibri" w:cs="Calibri"/>
          <w:color w:val="000000" w:themeColor="text1"/>
          <w:sz w:val="24"/>
          <w:szCs w:val="24"/>
          <w:lang w:val="en-FR"/>
        </w:rPr>
        <w:t xml:space="preserve"> The Thai government must enable and support UNHCR to accelerate Refugee Status Determination and resettlement procedures for WHRDs and their families, particularly those with documented threats or persecution histories. Thailand should ensure temporary protection and legal safeguards from arrest or deportation while UNHCR procedures are ongoing.</w:t>
      </w:r>
    </w:p>
    <w:p w14:paraId="382F6236" w14:textId="17A39458" w:rsidR="005C4EEB" w:rsidRDefault="005C4EEB" w:rsidP="005C4EEB">
      <w:pPr>
        <w:numPr>
          <w:ilvl w:val="0"/>
          <w:numId w:val="18"/>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Protect those who protect others:</w:t>
      </w:r>
      <w:r w:rsidRPr="005C4EEB">
        <w:rPr>
          <w:rFonts w:ascii="Calibri" w:eastAsia="Calibri" w:hAnsi="Calibri" w:cs="Calibri"/>
          <w:color w:val="000000" w:themeColor="text1"/>
          <w:sz w:val="24"/>
          <w:szCs w:val="24"/>
          <w:lang w:val="en-FR"/>
        </w:rPr>
        <w:t xml:space="preserve"> Guarantee legal protection and institutional support for Thai WHRDs, women human rights lawyers, and civil society actors who assist WHRD refugees and at-risk individuals.</w:t>
      </w:r>
    </w:p>
    <w:p w14:paraId="0F09AD0A" w14:textId="797EAF9C" w:rsidR="005C4EEB" w:rsidRDefault="005C4EEB" w:rsidP="005C4EEB">
      <w:pPr>
        <w:numPr>
          <w:ilvl w:val="0"/>
          <w:numId w:val="18"/>
        </w:numPr>
        <w:jc w:val="both"/>
        <w:rPr>
          <w:rFonts w:ascii="Calibri" w:eastAsia="Calibri" w:hAnsi="Calibri" w:cs="Calibri"/>
          <w:color w:val="000000" w:themeColor="text1"/>
          <w:sz w:val="24"/>
          <w:szCs w:val="24"/>
          <w:lang w:val="en-FR"/>
        </w:rPr>
      </w:pPr>
      <w:r w:rsidRPr="005C4EEB">
        <w:rPr>
          <w:rFonts w:ascii="Calibri" w:eastAsia="Calibri" w:hAnsi="Calibri" w:cs="Calibri"/>
          <w:b/>
          <w:bCs/>
          <w:color w:val="000000" w:themeColor="text1"/>
          <w:sz w:val="24"/>
          <w:szCs w:val="24"/>
          <w:lang w:val="en-FR"/>
        </w:rPr>
        <w:t>End cooperation with repressive regimes:</w:t>
      </w:r>
      <w:r w:rsidRPr="005C4EEB">
        <w:rPr>
          <w:rFonts w:ascii="Calibri" w:eastAsia="Calibri" w:hAnsi="Calibri" w:cs="Calibri"/>
          <w:color w:val="000000" w:themeColor="text1"/>
          <w:sz w:val="24"/>
          <w:szCs w:val="24"/>
          <w:lang w:val="en-FR"/>
        </w:rPr>
        <w:t xml:space="preserve"> Thailand must cease all security and immigration collaborations with regimes that use TNR tactics to target dissidents across borders.</w:t>
      </w:r>
    </w:p>
    <w:p w14:paraId="5D8EB7CC" w14:textId="77777777" w:rsidR="006849FE" w:rsidRDefault="006849FE" w:rsidP="006849FE">
      <w:pPr>
        <w:jc w:val="both"/>
        <w:rPr>
          <w:rFonts w:ascii="Calibri" w:eastAsia="Calibri" w:hAnsi="Calibri" w:cs="Calibri"/>
          <w:color w:val="000000" w:themeColor="text1"/>
          <w:sz w:val="24"/>
          <w:szCs w:val="24"/>
          <w:lang w:val="en-FR"/>
        </w:rPr>
      </w:pPr>
    </w:p>
    <w:p w14:paraId="4BBED360" w14:textId="77777777" w:rsidR="006849FE" w:rsidRDefault="006849FE" w:rsidP="006849FE">
      <w:pPr>
        <w:jc w:val="both"/>
        <w:rPr>
          <w:rFonts w:ascii="Calibri" w:eastAsia="Calibri" w:hAnsi="Calibri" w:cs="Calibri"/>
          <w:color w:val="000000" w:themeColor="text1"/>
          <w:sz w:val="24"/>
          <w:szCs w:val="24"/>
          <w:lang w:val="en-FR"/>
        </w:rPr>
      </w:pPr>
    </w:p>
    <w:p w14:paraId="4495CBEA" w14:textId="77777777" w:rsidR="006849FE" w:rsidRDefault="006849FE" w:rsidP="006849FE">
      <w:pPr>
        <w:jc w:val="both"/>
        <w:rPr>
          <w:rFonts w:ascii="Calibri" w:eastAsia="Calibri" w:hAnsi="Calibri" w:cs="Calibri"/>
          <w:color w:val="000000" w:themeColor="text1"/>
          <w:sz w:val="24"/>
          <w:szCs w:val="24"/>
          <w:lang w:val="en-FR"/>
        </w:rPr>
      </w:pPr>
    </w:p>
    <w:p w14:paraId="7D31827C" w14:textId="77777777" w:rsidR="006849FE" w:rsidRDefault="006849FE" w:rsidP="006849FE">
      <w:pPr>
        <w:jc w:val="both"/>
        <w:rPr>
          <w:rFonts w:ascii="Calibri" w:eastAsia="Calibri" w:hAnsi="Calibri" w:cs="Calibri"/>
          <w:color w:val="000000" w:themeColor="text1"/>
          <w:sz w:val="24"/>
          <w:szCs w:val="24"/>
          <w:lang w:val="en-FR"/>
        </w:rPr>
      </w:pPr>
    </w:p>
    <w:p w14:paraId="7B5029F6" w14:textId="77777777" w:rsidR="006849FE" w:rsidRDefault="006849FE" w:rsidP="006849FE">
      <w:pPr>
        <w:jc w:val="both"/>
        <w:rPr>
          <w:rFonts w:ascii="Calibri" w:eastAsia="Calibri" w:hAnsi="Calibri" w:cs="Calibri"/>
          <w:color w:val="000000" w:themeColor="text1"/>
          <w:sz w:val="24"/>
          <w:szCs w:val="24"/>
          <w:lang w:val="en-FR"/>
        </w:rPr>
      </w:pPr>
    </w:p>
    <w:p w14:paraId="29CBD992" w14:textId="77777777" w:rsidR="006849FE" w:rsidRDefault="006849FE" w:rsidP="006849FE">
      <w:pPr>
        <w:spacing w:line="240" w:lineRule="auto"/>
        <w:jc w:val="center"/>
        <w:rPr>
          <w:rFonts w:ascii="Calibri" w:eastAsia="Calibri" w:hAnsi="Calibri" w:cs="Calibri"/>
          <w:b/>
          <w:color w:val="FF6600"/>
          <w:sz w:val="34"/>
          <w:szCs w:val="34"/>
          <w:u w:val="single"/>
        </w:rPr>
      </w:pPr>
      <w:r>
        <w:rPr>
          <w:rFonts w:ascii="Calibri" w:eastAsia="Calibri" w:hAnsi="Calibri" w:cs="Calibri"/>
          <w:b/>
          <w:color w:val="FF6600"/>
          <w:sz w:val="34"/>
          <w:szCs w:val="34"/>
          <w:u w:val="single"/>
        </w:rPr>
        <w:lastRenderedPageBreak/>
        <w:t>ANNEX 1 - Submitting Organizations Information</w:t>
      </w:r>
    </w:p>
    <w:p w14:paraId="51D64882" w14:textId="77777777" w:rsidR="006849FE" w:rsidRDefault="006849FE" w:rsidP="006849FE">
      <w:pPr>
        <w:spacing w:line="240" w:lineRule="auto"/>
        <w:rPr>
          <w:rFonts w:ascii="Calibri" w:eastAsia="Calibri" w:hAnsi="Calibri" w:cs="Calibri"/>
          <w:b/>
          <w:color w:val="FF3300"/>
          <w:sz w:val="34"/>
          <w:szCs w:val="34"/>
        </w:rPr>
      </w:pPr>
    </w:p>
    <w:p w14:paraId="24A894D2" w14:textId="77777777" w:rsidR="006849FE" w:rsidRDefault="006849FE" w:rsidP="006849FE">
      <w:pPr>
        <w:numPr>
          <w:ilvl w:val="0"/>
          <w:numId w:val="19"/>
        </w:numPr>
        <w:spacing w:line="240" w:lineRule="auto"/>
        <w:ind w:left="0"/>
        <w:jc w:val="both"/>
        <w:rPr>
          <w:rFonts w:ascii="Calibri" w:eastAsia="Calibri" w:hAnsi="Calibri" w:cs="Calibri"/>
          <w:b/>
          <w:color w:val="FF6600"/>
          <w:sz w:val="24"/>
          <w:szCs w:val="24"/>
        </w:rPr>
      </w:pPr>
      <w:r>
        <w:rPr>
          <w:rFonts w:ascii="Calibri" w:eastAsia="Calibri" w:hAnsi="Calibri" w:cs="Calibri"/>
          <w:b/>
          <w:color w:val="FF6600"/>
          <w:sz w:val="24"/>
          <w:szCs w:val="24"/>
        </w:rPr>
        <w:t xml:space="preserve">About </w:t>
      </w:r>
      <w:proofErr w:type="spellStart"/>
      <w:r>
        <w:rPr>
          <w:rFonts w:ascii="Calibri" w:eastAsia="Calibri" w:hAnsi="Calibri" w:cs="Calibri"/>
          <w:b/>
          <w:color w:val="FF6600"/>
          <w:sz w:val="24"/>
          <w:szCs w:val="24"/>
        </w:rPr>
        <w:t>Manushya</w:t>
      </w:r>
      <w:proofErr w:type="spellEnd"/>
      <w:r>
        <w:rPr>
          <w:rFonts w:ascii="Calibri" w:eastAsia="Calibri" w:hAnsi="Calibri" w:cs="Calibri"/>
          <w:b/>
          <w:color w:val="FF6600"/>
          <w:sz w:val="24"/>
          <w:szCs w:val="24"/>
        </w:rPr>
        <w:t xml:space="preserve"> Foundation</w:t>
      </w:r>
    </w:p>
    <w:p w14:paraId="7261FDD9" w14:textId="77777777" w:rsidR="006849FE" w:rsidRDefault="006849FE" w:rsidP="006849FE">
      <w:pPr>
        <w:spacing w:line="240" w:lineRule="auto"/>
        <w:jc w:val="both"/>
        <w:rPr>
          <w:rFonts w:ascii="Calibri" w:eastAsia="Calibri" w:hAnsi="Calibri" w:cs="Calibri"/>
          <w:sz w:val="24"/>
          <w:szCs w:val="24"/>
        </w:rPr>
      </w:pPr>
      <w:proofErr w:type="spellStart"/>
      <w:r>
        <w:rPr>
          <w:rFonts w:ascii="Calibri" w:eastAsia="Calibri" w:hAnsi="Calibri" w:cs="Calibri"/>
          <w:sz w:val="24"/>
          <w:szCs w:val="24"/>
        </w:rPr>
        <w:t>Manushya</w:t>
      </w:r>
      <w:proofErr w:type="spellEnd"/>
      <w:r>
        <w:rPr>
          <w:rFonts w:ascii="Calibri" w:eastAsia="Calibri" w:hAnsi="Calibri" w:cs="Calibri"/>
          <w:sz w:val="24"/>
          <w:szCs w:val="24"/>
        </w:rPr>
        <w:t xml:space="preserve"> Foundation was founded in 2017 as an Intersectional Feminist human rights organization based in Southeast Asia aiming to build a movement of human beings coming together to amplify, resource, and support the movements of local communities and individuals. We center Southeast Asian Women and gender-marginalized Human Rights Defenders (WHRDs) and members of local communities, as part of our collective fight towards </w:t>
      </w:r>
      <w:proofErr w:type="spellStart"/>
      <w:r>
        <w:rPr>
          <w:rFonts w:ascii="Calibri" w:eastAsia="Calibri" w:hAnsi="Calibri" w:cs="Calibri"/>
          <w:sz w:val="24"/>
          <w:szCs w:val="24"/>
        </w:rPr>
        <w:t>decolonisation</w:t>
      </w:r>
      <w:proofErr w:type="spellEnd"/>
      <w:r>
        <w:rPr>
          <w:rFonts w:ascii="Calibri" w:eastAsia="Calibri" w:hAnsi="Calibri" w:cs="Calibri"/>
          <w:sz w:val="24"/>
          <w:szCs w:val="24"/>
        </w:rPr>
        <w:t xml:space="preserve">, collective liberation, universal human rights, equity, and justice. For further information about the work of </w:t>
      </w:r>
      <w:proofErr w:type="spellStart"/>
      <w:r>
        <w:rPr>
          <w:rFonts w:ascii="Calibri" w:eastAsia="Calibri" w:hAnsi="Calibri" w:cs="Calibri"/>
          <w:sz w:val="24"/>
          <w:szCs w:val="24"/>
        </w:rPr>
        <w:t>Manushya</w:t>
      </w:r>
      <w:proofErr w:type="spellEnd"/>
      <w:r>
        <w:rPr>
          <w:rFonts w:ascii="Calibri" w:eastAsia="Calibri" w:hAnsi="Calibri" w:cs="Calibri"/>
          <w:sz w:val="24"/>
          <w:szCs w:val="24"/>
        </w:rPr>
        <w:t xml:space="preserve"> Foundation, please visit: </w:t>
      </w:r>
    </w:p>
    <w:p w14:paraId="34546B90" w14:textId="77777777" w:rsidR="006849FE" w:rsidRDefault="006849FE" w:rsidP="006849FE">
      <w:pPr>
        <w:spacing w:line="240" w:lineRule="auto"/>
        <w:jc w:val="both"/>
        <w:rPr>
          <w:rFonts w:ascii="Calibri" w:eastAsia="Calibri" w:hAnsi="Calibri" w:cs="Calibri"/>
          <w:sz w:val="24"/>
          <w:szCs w:val="24"/>
        </w:rPr>
      </w:pPr>
      <w:hyperlink r:id="rId31">
        <w:r>
          <w:rPr>
            <w:rFonts w:ascii="Calibri" w:eastAsia="Calibri" w:hAnsi="Calibri" w:cs="Calibri"/>
            <w:color w:val="1155CC"/>
            <w:sz w:val="24"/>
            <w:szCs w:val="24"/>
            <w:u w:val="single"/>
          </w:rPr>
          <w:t>https://www.manushyafoundation.org/</w:t>
        </w:r>
      </w:hyperlink>
      <w:r>
        <w:rPr>
          <w:rFonts w:ascii="Calibri" w:eastAsia="Calibri" w:hAnsi="Calibri" w:cs="Calibri"/>
          <w:sz w:val="24"/>
          <w:szCs w:val="24"/>
        </w:rPr>
        <w:t>.</w:t>
      </w:r>
    </w:p>
    <w:p w14:paraId="25AF4536" w14:textId="77777777" w:rsidR="006849FE" w:rsidRPr="006849FE" w:rsidRDefault="006849FE" w:rsidP="006849FE">
      <w:pPr>
        <w:spacing w:line="240" w:lineRule="auto"/>
        <w:jc w:val="both"/>
        <w:rPr>
          <w:rFonts w:ascii="Calibri" w:eastAsia="Calibri" w:hAnsi="Calibri" w:cs="Calibri"/>
          <w:sz w:val="18"/>
          <w:szCs w:val="18"/>
        </w:rPr>
      </w:pPr>
    </w:p>
    <w:p w14:paraId="4FFEF08C" w14:textId="77777777" w:rsidR="006849FE" w:rsidRDefault="006849FE" w:rsidP="006849FE">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025F1317" w14:textId="77777777" w:rsidR="006849FE" w:rsidRDefault="006849FE" w:rsidP="006849FE">
      <w:pPr>
        <w:spacing w:line="240" w:lineRule="auto"/>
        <w:jc w:val="both"/>
        <w:rPr>
          <w:rFonts w:ascii="Calibri" w:eastAsia="Calibri" w:hAnsi="Calibri" w:cs="Calibri"/>
          <w:sz w:val="24"/>
          <w:szCs w:val="24"/>
        </w:rPr>
      </w:pPr>
      <w:r>
        <w:rPr>
          <w:rFonts w:ascii="Calibri" w:eastAsia="Calibri" w:hAnsi="Calibri" w:cs="Calibri"/>
          <w:sz w:val="24"/>
          <w:szCs w:val="24"/>
        </w:rPr>
        <w:t xml:space="preserve">Emilie </w:t>
      </w:r>
      <w:proofErr w:type="spellStart"/>
      <w:r>
        <w:rPr>
          <w:rFonts w:ascii="Calibri" w:eastAsia="Calibri" w:hAnsi="Calibri" w:cs="Calibri"/>
          <w:sz w:val="24"/>
          <w:szCs w:val="24"/>
        </w:rPr>
        <w:t>Palamy</w:t>
      </w:r>
      <w:proofErr w:type="spellEnd"/>
      <w:r>
        <w:rPr>
          <w:rFonts w:ascii="Calibri" w:eastAsia="Calibri" w:hAnsi="Calibri" w:cs="Calibri"/>
          <w:sz w:val="24"/>
          <w:szCs w:val="24"/>
        </w:rPr>
        <w:t xml:space="preserve"> Pradichit, Founder and Executive Director </w:t>
      </w:r>
    </w:p>
    <w:p w14:paraId="146BFFDF" w14:textId="77777777" w:rsidR="006849FE" w:rsidRDefault="006849FE" w:rsidP="006849FE">
      <w:pPr>
        <w:spacing w:line="240" w:lineRule="auto"/>
        <w:jc w:val="both"/>
        <w:rPr>
          <w:rFonts w:ascii="Calibri" w:eastAsia="Calibri" w:hAnsi="Calibri" w:cs="Calibri"/>
          <w:sz w:val="24"/>
          <w:szCs w:val="24"/>
        </w:rPr>
      </w:pPr>
      <w:hyperlink r:id="rId32">
        <w:r>
          <w:rPr>
            <w:rFonts w:ascii="Calibri" w:eastAsia="Calibri" w:hAnsi="Calibri" w:cs="Calibri"/>
            <w:color w:val="1155CC"/>
            <w:sz w:val="24"/>
            <w:szCs w:val="24"/>
            <w:u w:val="single"/>
          </w:rPr>
          <w:t>emilie@manushyafoundation.org</w:t>
        </w:r>
      </w:hyperlink>
      <w:r>
        <w:rPr>
          <w:rFonts w:ascii="Calibri" w:eastAsia="Calibri" w:hAnsi="Calibri" w:cs="Calibri"/>
          <w:sz w:val="24"/>
          <w:szCs w:val="24"/>
        </w:rPr>
        <w:t xml:space="preserve"> </w:t>
      </w:r>
    </w:p>
    <w:p w14:paraId="0E43CF6E" w14:textId="77777777" w:rsidR="006849FE" w:rsidRDefault="006849FE" w:rsidP="006849FE">
      <w:pPr>
        <w:spacing w:line="240" w:lineRule="auto"/>
        <w:jc w:val="both"/>
        <w:rPr>
          <w:rFonts w:ascii="Calibri" w:eastAsia="Calibri" w:hAnsi="Calibri" w:cs="Calibri"/>
          <w:sz w:val="24"/>
          <w:szCs w:val="24"/>
        </w:rPr>
      </w:pPr>
    </w:p>
    <w:p w14:paraId="5A796907" w14:textId="77777777" w:rsidR="006849FE" w:rsidRDefault="006849FE" w:rsidP="006849FE">
      <w:pPr>
        <w:numPr>
          <w:ilvl w:val="0"/>
          <w:numId w:val="19"/>
        </w:numPr>
        <w:spacing w:line="240" w:lineRule="auto"/>
        <w:ind w:left="0"/>
        <w:jc w:val="both"/>
        <w:rPr>
          <w:rFonts w:ascii="Calibri" w:eastAsia="Calibri" w:hAnsi="Calibri" w:cs="Calibri"/>
          <w:b/>
          <w:color w:val="FF6600"/>
          <w:sz w:val="24"/>
          <w:szCs w:val="24"/>
        </w:rPr>
      </w:pPr>
      <w:r>
        <w:rPr>
          <w:rFonts w:ascii="Calibri" w:eastAsia="Calibri" w:hAnsi="Calibri" w:cs="Calibri"/>
          <w:b/>
          <w:color w:val="FF6600"/>
          <w:sz w:val="24"/>
          <w:szCs w:val="24"/>
        </w:rPr>
        <w:t>About Young Pride Foundation ‘Young Pride Club (YPC)’</w:t>
      </w:r>
    </w:p>
    <w:p w14:paraId="7EBF28FA" w14:textId="77777777" w:rsidR="006849FE" w:rsidRDefault="006849FE" w:rsidP="006849FE">
      <w:pPr>
        <w:spacing w:line="240" w:lineRule="auto"/>
        <w:jc w:val="both"/>
        <w:rPr>
          <w:rFonts w:ascii="Calibri" w:eastAsia="Calibri" w:hAnsi="Calibri" w:cs="Calibri"/>
          <w:sz w:val="24"/>
          <w:szCs w:val="24"/>
        </w:rPr>
      </w:pPr>
      <w:r>
        <w:rPr>
          <w:rFonts w:ascii="Calibri" w:eastAsia="Calibri" w:hAnsi="Calibri" w:cs="Calibri"/>
          <w:sz w:val="24"/>
          <w:szCs w:val="24"/>
        </w:rPr>
        <w:t xml:space="preserve">Young Pride Foundation is a trans and youth-led community founded by trans survivors of unfair and transphobic discrimination in higher education in Thailand. Founded in 2018 and officially registered in 2024, we have been a leading force in promoting LGBTIQ+ rights and youth empowerment in Thailand. For more information, please visit: </w:t>
      </w:r>
      <w:hyperlink r:id="rId33">
        <w:r>
          <w:rPr>
            <w:rFonts w:ascii="Calibri" w:eastAsia="Calibri" w:hAnsi="Calibri" w:cs="Calibri"/>
            <w:color w:val="1155CC"/>
            <w:sz w:val="24"/>
            <w:szCs w:val="24"/>
            <w:u w:val="single"/>
          </w:rPr>
          <w:t>https://youngprideclub.com/</w:t>
        </w:r>
      </w:hyperlink>
    </w:p>
    <w:p w14:paraId="0693ED32" w14:textId="77777777" w:rsidR="006849FE" w:rsidRPr="006849FE" w:rsidRDefault="006849FE" w:rsidP="006849FE">
      <w:pPr>
        <w:spacing w:line="240" w:lineRule="auto"/>
        <w:jc w:val="both"/>
        <w:rPr>
          <w:rFonts w:ascii="Calibri" w:eastAsia="Calibri" w:hAnsi="Calibri" w:cs="Calibri"/>
          <w:b/>
          <w:color w:val="FF3300"/>
          <w:sz w:val="18"/>
          <w:szCs w:val="18"/>
        </w:rPr>
      </w:pPr>
    </w:p>
    <w:p w14:paraId="73FF39B4" w14:textId="77777777" w:rsidR="006849FE" w:rsidRDefault="006849FE" w:rsidP="006849FE">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2155A47B" w14:textId="77777777" w:rsidR="006849FE" w:rsidRDefault="006849FE" w:rsidP="006849FE">
      <w:pPr>
        <w:spacing w:line="240" w:lineRule="auto"/>
        <w:jc w:val="both"/>
        <w:rPr>
          <w:rFonts w:ascii="Calibri" w:eastAsia="Calibri" w:hAnsi="Calibri" w:cs="Calibri"/>
          <w:sz w:val="24"/>
          <w:szCs w:val="24"/>
        </w:rPr>
      </w:pPr>
      <w:proofErr w:type="spellStart"/>
      <w:r>
        <w:rPr>
          <w:rFonts w:ascii="Calibri" w:eastAsia="Calibri" w:hAnsi="Calibri" w:cs="Calibri"/>
          <w:sz w:val="24"/>
          <w:szCs w:val="24"/>
        </w:rPr>
        <w:t>Chitsanupong</w:t>
      </w:r>
      <w:proofErr w:type="spellEnd"/>
      <w:r>
        <w:rPr>
          <w:rFonts w:ascii="Calibri" w:eastAsia="Calibri" w:hAnsi="Calibri" w:cs="Calibri"/>
          <w:sz w:val="24"/>
          <w:szCs w:val="24"/>
        </w:rPr>
        <w:t xml:space="preserve"> Best </w:t>
      </w:r>
      <w:proofErr w:type="spellStart"/>
      <w:r>
        <w:rPr>
          <w:rFonts w:ascii="Calibri" w:eastAsia="Calibri" w:hAnsi="Calibri" w:cs="Calibri"/>
          <w:sz w:val="24"/>
          <w:szCs w:val="24"/>
        </w:rPr>
        <w:t>Nithiwana</w:t>
      </w:r>
      <w:proofErr w:type="spellEnd"/>
      <w:r>
        <w:rPr>
          <w:rFonts w:ascii="Calibri" w:eastAsia="Calibri" w:hAnsi="Calibri" w:cs="Calibri"/>
          <w:sz w:val="24"/>
          <w:szCs w:val="24"/>
        </w:rPr>
        <w:t>, Founder &amp; Executive Director</w:t>
      </w:r>
    </w:p>
    <w:p w14:paraId="6D93C059" w14:textId="77777777" w:rsidR="006849FE" w:rsidRDefault="006849FE" w:rsidP="006849FE">
      <w:pPr>
        <w:spacing w:line="240" w:lineRule="auto"/>
        <w:jc w:val="both"/>
        <w:rPr>
          <w:rFonts w:ascii="Calibri" w:eastAsia="Calibri" w:hAnsi="Calibri" w:cs="Calibri"/>
          <w:b/>
          <w:color w:val="FF3300"/>
          <w:sz w:val="24"/>
          <w:szCs w:val="24"/>
        </w:rPr>
      </w:pPr>
      <w:hyperlink r:id="rId34">
        <w:r>
          <w:rPr>
            <w:rFonts w:ascii="Calibri" w:eastAsia="Calibri" w:hAnsi="Calibri" w:cs="Calibri"/>
            <w:color w:val="1155CC"/>
            <w:sz w:val="24"/>
            <w:szCs w:val="24"/>
            <w:u w:val="single"/>
          </w:rPr>
          <w:t>bestchita@gmail.com</w:t>
        </w:r>
      </w:hyperlink>
      <w:r>
        <w:rPr>
          <w:rFonts w:ascii="Calibri" w:eastAsia="Calibri" w:hAnsi="Calibri" w:cs="Calibri"/>
          <w:sz w:val="24"/>
          <w:szCs w:val="24"/>
        </w:rPr>
        <w:t xml:space="preserve"> </w:t>
      </w:r>
    </w:p>
    <w:p w14:paraId="584702FA" w14:textId="77777777" w:rsidR="006849FE" w:rsidRDefault="006849FE" w:rsidP="006849FE">
      <w:pPr>
        <w:spacing w:line="240" w:lineRule="auto"/>
        <w:jc w:val="both"/>
        <w:rPr>
          <w:rFonts w:ascii="Calibri" w:eastAsia="Calibri" w:hAnsi="Calibri" w:cs="Calibri"/>
          <w:b/>
          <w:color w:val="FF3300"/>
          <w:sz w:val="24"/>
          <w:szCs w:val="24"/>
        </w:rPr>
      </w:pPr>
    </w:p>
    <w:p w14:paraId="374A1932" w14:textId="77777777" w:rsidR="006849FE" w:rsidRDefault="006849FE" w:rsidP="006849FE">
      <w:pPr>
        <w:numPr>
          <w:ilvl w:val="0"/>
          <w:numId w:val="19"/>
        </w:numPr>
        <w:spacing w:line="240" w:lineRule="auto"/>
        <w:ind w:left="0"/>
        <w:jc w:val="both"/>
        <w:rPr>
          <w:rFonts w:ascii="Calibri" w:eastAsia="Calibri" w:hAnsi="Calibri" w:cs="Calibri"/>
          <w:b/>
          <w:color w:val="FF6600"/>
          <w:sz w:val="24"/>
          <w:szCs w:val="24"/>
        </w:rPr>
      </w:pPr>
      <w:r>
        <w:rPr>
          <w:rFonts w:ascii="Calibri" w:eastAsia="Calibri" w:hAnsi="Calibri" w:cs="Calibri"/>
          <w:b/>
          <w:color w:val="FF6600"/>
          <w:sz w:val="24"/>
          <w:szCs w:val="24"/>
        </w:rPr>
        <w:t>About Intersex Thailand</w:t>
      </w:r>
    </w:p>
    <w:p w14:paraId="30B56DFA" w14:textId="77777777" w:rsidR="006849FE" w:rsidRDefault="006849FE" w:rsidP="006849FE">
      <w:pPr>
        <w:spacing w:line="240" w:lineRule="auto"/>
        <w:jc w:val="both"/>
        <w:rPr>
          <w:rFonts w:ascii="Calibri" w:eastAsia="Calibri" w:hAnsi="Calibri" w:cs="Calibri"/>
          <w:color w:val="DD3382"/>
          <w:sz w:val="24"/>
          <w:szCs w:val="24"/>
        </w:rPr>
      </w:pPr>
      <w:r>
        <w:rPr>
          <w:rFonts w:ascii="Calibri" w:eastAsia="Calibri" w:hAnsi="Calibri" w:cs="Calibri"/>
          <w:sz w:val="24"/>
          <w:szCs w:val="24"/>
        </w:rPr>
        <w:t>Intersex Thailand is a community-led organization working for the public interest and the human rights of intersex individuals in Thailand. Its mission is to empower intersex voices by advancing legal recognition, raising social awareness, and fostering community building nationwide. For more information, please visit:</w:t>
      </w:r>
      <w:r>
        <w:rPr>
          <w:rFonts w:ascii="Calibri" w:eastAsia="Calibri" w:hAnsi="Calibri" w:cs="Calibri"/>
          <w:color w:val="DD3382"/>
          <w:sz w:val="24"/>
          <w:szCs w:val="24"/>
        </w:rPr>
        <w:t xml:space="preserve"> </w:t>
      </w:r>
      <w:hyperlink r:id="rId35">
        <w:r>
          <w:rPr>
            <w:rFonts w:ascii="Calibri" w:eastAsia="Calibri" w:hAnsi="Calibri" w:cs="Calibri"/>
            <w:color w:val="1155CC"/>
            <w:sz w:val="24"/>
            <w:szCs w:val="24"/>
            <w:u w:val="single"/>
          </w:rPr>
          <w:t>https://intersexthailand.org/</w:t>
        </w:r>
      </w:hyperlink>
      <w:r>
        <w:rPr>
          <w:rFonts w:ascii="Calibri" w:eastAsia="Calibri" w:hAnsi="Calibri" w:cs="Calibri"/>
          <w:color w:val="DD3382"/>
          <w:sz w:val="24"/>
          <w:szCs w:val="24"/>
        </w:rPr>
        <w:t xml:space="preserve"> </w:t>
      </w:r>
    </w:p>
    <w:p w14:paraId="3B48EF5B" w14:textId="77777777" w:rsidR="006849FE" w:rsidRPr="006849FE" w:rsidRDefault="006849FE" w:rsidP="006849FE">
      <w:pPr>
        <w:spacing w:line="240" w:lineRule="auto"/>
        <w:jc w:val="both"/>
        <w:rPr>
          <w:rFonts w:ascii="Calibri" w:eastAsia="Calibri" w:hAnsi="Calibri" w:cs="Calibri"/>
          <w:b/>
          <w:sz w:val="18"/>
          <w:szCs w:val="18"/>
        </w:rPr>
      </w:pPr>
    </w:p>
    <w:p w14:paraId="7813403C" w14:textId="77777777" w:rsidR="006849FE" w:rsidRDefault="006849FE" w:rsidP="006849FE">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15943742" w14:textId="77777777" w:rsidR="006849FE" w:rsidRDefault="006849FE" w:rsidP="006849FE">
      <w:pPr>
        <w:spacing w:line="240" w:lineRule="auto"/>
        <w:jc w:val="both"/>
        <w:rPr>
          <w:rFonts w:ascii="Calibri" w:eastAsia="Calibri" w:hAnsi="Calibri" w:cs="Calibri"/>
          <w:sz w:val="24"/>
          <w:szCs w:val="24"/>
        </w:rPr>
      </w:pPr>
      <w:r>
        <w:rPr>
          <w:rFonts w:ascii="Calibri" w:eastAsia="Calibri" w:hAnsi="Calibri" w:cs="Calibri"/>
          <w:sz w:val="24"/>
          <w:szCs w:val="24"/>
        </w:rPr>
        <w:t xml:space="preserve">Nada </w:t>
      </w:r>
      <w:proofErr w:type="spellStart"/>
      <w:proofErr w:type="gramStart"/>
      <w:r>
        <w:rPr>
          <w:rFonts w:ascii="Calibri" w:eastAsia="Calibri" w:hAnsi="Calibri" w:cs="Calibri"/>
          <w:sz w:val="24"/>
          <w:szCs w:val="24"/>
        </w:rPr>
        <w:t>Chaiyajit</w:t>
      </w:r>
      <w:proofErr w:type="spellEnd"/>
      <w:r>
        <w:rPr>
          <w:rFonts w:ascii="Calibri" w:eastAsia="Calibri" w:hAnsi="Calibri" w:cs="Calibri"/>
          <w:sz w:val="24"/>
          <w:szCs w:val="24"/>
        </w:rPr>
        <w:t xml:space="preserve"> ,</w:t>
      </w:r>
      <w:proofErr w:type="gramEnd"/>
      <w:r>
        <w:rPr>
          <w:rFonts w:ascii="Calibri" w:eastAsia="Calibri" w:hAnsi="Calibri" w:cs="Calibri"/>
          <w:sz w:val="24"/>
          <w:szCs w:val="24"/>
        </w:rPr>
        <w:t xml:space="preserve"> Founder</w:t>
      </w:r>
    </w:p>
    <w:p w14:paraId="7218A362" w14:textId="77777777" w:rsidR="006849FE" w:rsidRDefault="006849FE" w:rsidP="006849FE">
      <w:pPr>
        <w:spacing w:line="240" w:lineRule="auto"/>
        <w:jc w:val="both"/>
        <w:rPr>
          <w:rFonts w:ascii="Calibri" w:eastAsia="Calibri" w:hAnsi="Calibri" w:cs="Calibri"/>
          <w:color w:val="DD3382"/>
          <w:sz w:val="24"/>
          <w:szCs w:val="24"/>
        </w:rPr>
      </w:pPr>
      <w:hyperlink r:id="rId36">
        <w:r>
          <w:rPr>
            <w:rFonts w:ascii="Calibri" w:eastAsia="Calibri" w:hAnsi="Calibri" w:cs="Calibri"/>
            <w:color w:val="1155CC"/>
            <w:sz w:val="24"/>
            <w:szCs w:val="24"/>
            <w:u w:val="single"/>
          </w:rPr>
          <w:t>Nada.Chaiyajit@gmail.com</w:t>
        </w:r>
      </w:hyperlink>
      <w:r>
        <w:rPr>
          <w:rFonts w:ascii="Calibri" w:eastAsia="Calibri" w:hAnsi="Calibri" w:cs="Calibri"/>
          <w:color w:val="DD3382"/>
          <w:sz w:val="24"/>
          <w:szCs w:val="24"/>
        </w:rPr>
        <w:t xml:space="preserve">   </w:t>
      </w:r>
    </w:p>
    <w:p w14:paraId="22EB1D65" w14:textId="77777777" w:rsidR="006849FE" w:rsidRDefault="006849FE" w:rsidP="006849FE">
      <w:pPr>
        <w:spacing w:line="240" w:lineRule="auto"/>
        <w:jc w:val="both"/>
        <w:rPr>
          <w:rFonts w:ascii="Calibri" w:eastAsia="Calibri" w:hAnsi="Calibri" w:cs="Calibri"/>
          <w:b/>
          <w:color w:val="DD3382"/>
          <w:sz w:val="24"/>
          <w:szCs w:val="24"/>
        </w:rPr>
      </w:pPr>
    </w:p>
    <w:p w14:paraId="3640E096" w14:textId="77777777" w:rsidR="006849FE" w:rsidRDefault="006849FE" w:rsidP="006849FE">
      <w:pPr>
        <w:spacing w:line="240" w:lineRule="auto"/>
        <w:jc w:val="both"/>
        <w:rPr>
          <w:rFonts w:ascii="Calibri" w:eastAsia="Calibri" w:hAnsi="Calibri" w:cs="Calibri"/>
          <w:b/>
          <w:color w:val="FF3300"/>
          <w:sz w:val="24"/>
          <w:szCs w:val="24"/>
        </w:rPr>
      </w:pPr>
    </w:p>
    <w:p w14:paraId="71F4A93D" w14:textId="77777777" w:rsidR="006849FE" w:rsidRDefault="006849FE" w:rsidP="006849FE">
      <w:pPr>
        <w:numPr>
          <w:ilvl w:val="0"/>
          <w:numId w:val="19"/>
        </w:numPr>
        <w:spacing w:line="240" w:lineRule="auto"/>
        <w:ind w:left="0"/>
        <w:jc w:val="both"/>
        <w:rPr>
          <w:rFonts w:ascii="Calibri" w:eastAsia="Calibri" w:hAnsi="Calibri" w:cs="Calibri"/>
          <w:b/>
          <w:color w:val="FF6600"/>
          <w:sz w:val="24"/>
          <w:szCs w:val="24"/>
        </w:rPr>
      </w:pPr>
      <w:r>
        <w:rPr>
          <w:rFonts w:ascii="Calibri" w:eastAsia="Calibri" w:hAnsi="Calibri" w:cs="Calibri"/>
          <w:b/>
          <w:color w:val="FF6600"/>
          <w:sz w:val="24"/>
          <w:szCs w:val="24"/>
        </w:rPr>
        <w:lastRenderedPageBreak/>
        <w:t xml:space="preserve">About </w:t>
      </w:r>
      <w:proofErr w:type="spellStart"/>
      <w:r>
        <w:rPr>
          <w:rFonts w:ascii="Browallia New" w:eastAsia="Calibri" w:hAnsi="Browallia New" w:cs="Browallia New"/>
          <w:b/>
          <w:color w:val="FF6600"/>
          <w:sz w:val="24"/>
          <w:szCs w:val="24"/>
        </w:rPr>
        <w:t>โมกหลวงริมน้ำ</w:t>
      </w:r>
      <w:proofErr w:type="spellEnd"/>
      <w:r>
        <w:rPr>
          <w:rFonts w:ascii="Calibri" w:eastAsia="Calibri" w:hAnsi="Calibri" w:cs="Calibri"/>
          <w:b/>
          <w:color w:val="FF6600"/>
          <w:sz w:val="24"/>
          <w:szCs w:val="24"/>
        </w:rPr>
        <w:t xml:space="preserve"> (</w:t>
      </w:r>
      <w:proofErr w:type="spellStart"/>
      <w:r>
        <w:rPr>
          <w:rFonts w:ascii="Calibri" w:eastAsia="Calibri" w:hAnsi="Calibri" w:cs="Calibri"/>
          <w:b/>
          <w:color w:val="FF6600"/>
          <w:sz w:val="24"/>
          <w:szCs w:val="24"/>
        </w:rPr>
        <w:t>Mokeluang</w:t>
      </w:r>
      <w:proofErr w:type="spellEnd"/>
      <w:r>
        <w:rPr>
          <w:rFonts w:ascii="Calibri" w:eastAsia="Calibri" w:hAnsi="Calibri" w:cs="Calibri"/>
          <w:b/>
          <w:color w:val="FF6600"/>
          <w:sz w:val="24"/>
          <w:szCs w:val="24"/>
        </w:rPr>
        <w:t xml:space="preserve"> </w:t>
      </w:r>
      <w:proofErr w:type="spellStart"/>
      <w:r>
        <w:rPr>
          <w:rFonts w:ascii="Calibri" w:eastAsia="Calibri" w:hAnsi="Calibri" w:cs="Calibri"/>
          <w:b/>
          <w:color w:val="FF6600"/>
          <w:sz w:val="24"/>
          <w:szCs w:val="24"/>
        </w:rPr>
        <w:t>Rimnam</w:t>
      </w:r>
      <w:proofErr w:type="spellEnd"/>
      <w:r>
        <w:rPr>
          <w:rFonts w:ascii="Calibri" w:eastAsia="Calibri" w:hAnsi="Calibri" w:cs="Calibri"/>
          <w:b/>
          <w:color w:val="FF6600"/>
          <w:sz w:val="24"/>
          <w:szCs w:val="24"/>
        </w:rPr>
        <w:t xml:space="preserve">) </w:t>
      </w:r>
    </w:p>
    <w:p w14:paraId="520D85B1" w14:textId="77777777" w:rsidR="006849FE" w:rsidRDefault="006849FE" w:rsidP="006849FE">
      <w:pPr>
        <w:tabs>
          <w:tab w:val="left" w:pos="2290"/>
        </w:tabs>
        <w:spacing w:line="240" w:lineRule="auto"/>
        <w:jc w:val="both"/>
        <w:rPr>
          <w:rFonts w:ascii="Calibri" w:eastAsia="Calibri" w:hAnsi="Calibri" w:cs="Calibri"/>
          <w:sz w:val="24"/>
          <w:szCs w:val="24"/>
        </w:rPr>
      </w:pPr>
      <w:proofErr w:type="spellStart"/>
      <w:r>
        <w:rPr>
          <w:rFonts w:ascii="Calibri" w:eastAsia="Calibri" w:hAnsi="Calibri" w:cs="Calibri"/>
          <w:sz w:val="24"/>
          <w:szCs w:val="24"/>
        </w:rPr>
        <w:t>Mokeluang</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Rimnam</w:t>
      </w:r>
      <w:proofErr w:type="spellEnd"/>
      <w:r>
        <w:rPr>
          <w:rFonts w:ascii="Calibri" w:eastAsia="Calibri" w:hAnsi="Calibri" w:cs="Calibri"/>
          <w:sz w:val="24"/>
          <w:szCs w:val="24"/>
        </w:rPr>
        <w:t xml:space="preserve"> was founded in August 2020, during the period in which dictatorship and violence against pro-democracy activists in Thailand became more severe. Its initial intention was to demand justice and respect for basic rights for students at </w:t>
      </w:r>
      <w:proofErr w:type="spellStart"/>
      <w:r>
        <w:rPr>
          <w:rFonts w:ascii="Calibri" w:eastAsia="Calibri" w:hAnsi="Calibri" w:cs="Calibri"/>
          <w:sz w:val="24"/>
          <w:szCs w:val="24"/>
        </w:rPr>
        <w:t>Navamindradhiraj</w:t>
      </w:r>
      <w:proofErr w:type="spellEnd"/>
      <w:r>
        <w:rPr>
          <w:rFonts w:ascii="Calibri" w:eastAsia="Calibri" w:hAnsi="Calibri" w:cs="Calibri"/>
          <w:sz w:val="24"/>
          <w:szCs w:val="24"/>
        </w:rPr>
        <w:t xml:space="preserve"> University, such as the right to dress according to one's gender identity and self-expression, gender equality, and compensation for tuition during the COVID-19 pandemic. However, the group’s purposes have later expanded to echo and initiate demands of the overall pro-democracy movement, in particular the release of political prisoners, and social welfare. </w:t>
      </w:r>
      <w:proofErr w:type="spellStart"/>
      <w:r>
        <w:rPr>
          <w:rFonts w:ascii="Calibri" w:eastAsia="Calibri" w:hAnsi="Calibri" w:cs="Calibri"/>
          <w:sz w:val="24"/>
          <w:szCs w:val="24"/>
        </w:rPr>
        <w:t>Mokeluang</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Rimnam</w:t>
      </w:r>
      <w:proofErr w:type="spellEnd"/>
      <w:r>
        <w:rPr>
          <w:rFonts w:ascii="Calibri" w:eastAsia="Calibri" w:hAnsi="Calibri" w:cs="Calibri"/>
          <w:sz w:val="24"/>
          <w:szCs w:val="24"/>
        </w:rPr>
        <w:t xml:space="preserve"> has been the co-organizers of many notable pro-democracy demonstrations. It also works extensively to draw attention to the issue of enforced disappearances of activists who spoke up against the military coup, the government's misconduct, or other instances of human rights violations. For more information, please visit: </w:t>
      </w:r>
    </w:p>
    <w:p w14:paraId="6BCEACCB" w14:textId="77777777" w:rsidR="006849FE" w:rsidRDefault="006849FE" w:rsidP="006849FE">
      <w:pPr>
        <w:tabs>
          <w:tab w:val="left" w:pos="2290"/>
        </w:tabs>
        <w:spacing w:line="240" w:lineRule="auto"/>
        <w:jc w:val="both"/>
        <w:rPr>
          <w:rFonts w:ascii="Calibri" w:eastAsia="Calibri" w:hAnsi="Calibri" w:cs="Calibri"/>
          <w:sz w:val="24"/>
          <w:szCs w:val="24"/>
        </w:rPr>
      </w:pPr>
      <w:hyperlink r:id="rId37">
        <w:r>
          <w:rPr>
            <w:rFonts w:ascii="Calibri" w:eastAsia="Calibri" w:hAnsi="Calibri" w:cs="Calibri"/>
            <w:color w:val="1155CC"/>
            <w:sz w:val="24"/>
            <w:szCs w:val="24"/>
            <w:u w:val="single"/>
          </w:rPr>
          <w:t>https://www.facebook.com/profile.php?id=100030783806951</w:t>
        </w:r>
      </w:hyperlink>
      <w:r>
        <w:rPr>
          <w:rFonts w:ascii="Calibri" w:eastAsia="Calibri" w:hAnsi="Calibri" w:cs="Calibri"/>
          <w:sz w:val="24"/>
          <w:szCs w:val="24"/>
        </w:rPr>
        <w:t xml:space="preserve"> </w:t>
      </w:r>
    </w:p>
    <w:p w14:paraId="72C7CB40" w14:textId="77777777" w:rsidR="006849FE" w:rsidRPr="006849FE" w:rsidRDefault="006849FE" w:rsidP="006849FE">
      <w:pPr>
        <w:spacing w:line="240" w:lineRule="auto"/>
        <w:jc w:val="both"/>
        <w:rPr>
          <w:rFonts w:ascii="Calibri" w:eastAsia="Calibri" w:hAnsi="Calibri" w:cs="Calibri"/>
          <w:sz w:val="18"/>
          <w:szCs w:val="18"/>
        </w:rPr>
      </w:pPr>
    </w:p>
    <w:p w14:paraId="75CD387A" w14:textId="77777777" w:rsidR="006849FE" w:rsidRDefault="006849FE" w:rsidP="006849FE">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5CFCA59E" w14:textId="77777777" w:rsidR="006849FE" w:rsidRDefault="006849FE" w:rsidP="006849FE">
      <w:pPr>
        <w:spacing w:line="240" w:lineRule="auto"/>
        <w:jc w:val="both"/>
        <w:rPr>
          <w:rFonts w:ascii="Calibri" w:eastAsia="Calibri" w:hAnsi="Calibri" w:cs="Calibri"/>
          <w:color w:val="222222"/>
          <w:sz w:val="24"/>
          <w:szCs w:val="24"/>
          <w:highlight w:val="white"/>
        </w:rPr>
      </w:pPr>
      <w:proofErr w:type="spellStart"/>
      <w:r>
        <w:rPr>
          <w:rFonts w:ascii="Calibri" w:eastAsia="Calibri" w:hAnsi="Calibri" w:cs="Calibri"/>
          <w:color w:val="222222"/>
          <w:sz w:val="24"/>
          <w:szCs w:val="24"/>
          <w:highlight w:val="white"/>
        </w:rPr>
        <w:t>Tanruthai</w:t>
      </w:r>
      <w:proofErr w:type="spellEnd"/>
      <w:r>
        <w:rPr>
          <w:rFonts w:ascii="Calibri" w:eastAsia="Calibri" w:hAnsi="Calibri" w:cs="Calibri"/>
          <w:color w:val="222222"/>
          <w:sz w:val="24"/>
          <w:szCs w:val="24"/>
          <w:highlight w:val="white"/>
        </w:rPr>
        <w:t xml:space="preserve"> </w:t>
      </w:r>
      <w:proofErr w:type="spellStart"/>
      <w:proofErr w:type="gramStart"/>
      <w:r>
        <w:rPr>
          <w:rFonts w:ascii="Calibri" w:eastAsia="Calibri" w:hAnsi="Calibri" w:cs="Calibri"/>
          <w:color w:val="222222"/>
          <w:sz w:val="24"/>
          <w:szCs w:val="24"/>
          <w:highlight w:val="white"/>
        </w:rPr>
        <w:t>Thanrut</w:t>
      </w:r>
      <w:proofErr w:type="spellEnd"/>
      <w:r>
        <w:rPr>
          <w:rFonts w:ascii="Calibri" w:eastAsia="Calibri" w:hAnsi="Calibri" w:cs="Calibri"/>
          <w:color w:val="222222"/>
          <w:sz w:val="24"/>
          <w:szCs w:val="24"/>
          <w:highlight w:val="white"/>
        </w:rPr>
        <w:t xml:space="preserve"> ,</w:t>
      </w:r>
      <w:proofErr w:type="gramEnd"/>
      <w:r>
        <w:rPr>
          <w:rFonts w:ascii="Calibri" w:eastAsia="Calibri" w:hAnsi="Calibri" w:cs="Calibri"/>
          <w:color w:val="222222"/>
          <w:sz w:val="24"/>
          <w:szCs w:val="24"/>
          <w:highlight w:val="white"/>
        </w:rPr>
        <w:t xml:space="preserve"> Coordinator</w:t>
      </w:r>
    </w:p>
    <w:p w14:paraId="636A7DA1" w14:textId="77777777" w:rsidR="006849FE" w:rsidRDefault="006849FE" w:rsidP="006849FE">
      <w:pPr>
        <w:spacing w:line="240" w:lineRule="auto"/>
        <w:jc w:val="both"/>
        <w:rPr>
          <w:rFonts w:ascii="Calibri" w:eastAsia="Calibri" w:hAnsi="Calibri" w:cs="Calibri"/>
          <w:b/>
          <w:color w:val="DD3382"/>
          <w:sz w:val="24"/>
          <w:szCs w:val="24"/>
        </w:rPr>
      </w:pPr>
      <w:hyperlink r:id="rId38">
        <w:r>
          <w:rPr>
            <w:rFonts w:ascii="Calibri" w:eastAsia="Calibri" w:hAnsi="Calibri" w:cs="Calibri"/>
            <w:color w:val="1155CC"/>
            <w:sz w:val="24"/>
            <w:szCs w:val="24"/>
            <w:u w:val="single"/>
          </w:rPr>
          <w:t>thaenratnt@gmail.com</w:t>
        </w:r>
      </w:hyperlink>
      <w:r>
        <w:rPr>
          <w:rFonts w:ascii="Calibri" w:eastAsia="Calibri" w:hAnsi="Calibri" w:cs="Calibri"/>
          <w:color w:val="DD3382"/>
          <w:sz w:val="24"/>
          <w:szCs w:val="24"/>
        </w:rPr>
        <w:t xml:space="preserve">   </w:t>
      </w:r>
    </w:p>
    <w:p w14:paraId="07628486" w14:textId="77777777" w:rsidR="006849FE" w:rsidRDefault="006849FE" w:rsidP="006849FE">
      <w:pPr>
        <w:jc w:val="both"/>
        <w:rPr>
          <w:rFonts w:ascii="Calibri" w:eastAsia="Calibri" w:hAnsi="Calibri" w:cs="Calibri"/>
          <w:color w:val="6AA84F"/>
          <w:sz w:val="24"/>
          <w:szCs w:val="24"/>
        </w:rPr>
      </w:pPr>
    </w:p>
    <w:p w14:paraId="6982C5E5" w14:textId="77777777" w:rsidR="006849FE" w:rsidRDefault="006849FE" w:rsidP="006849FE">
      <w:pPr>
        <w:widowControl w:val="0"/>
        <w:numPr>
          <w:ilvl w:val="0"/>
          <w:numId w:val="19"/>
        </w:numPr>
        <w:spacing w:line="240" w:lineRule="auto"/>
        <w:ind w:left="0"/>
        <w:jc w:val="both"/>
        <w:rPr>
          <w:rFonts w:ascii="Calibri" w:eastAsia="Calibri" w:hAnsi="Calibri" w:cs="Calibri"/>
          <w:b/>
          <w:color w:val="FF6600"/>
          <w:sz w:val="24"/>
          <w:szCs w:val="24"/>
        </w:rPr>
      </w:pPr>
      <w:r>
        <w:rPr>
          <w:rFonts w:ascii="Calibri" w:eastAsia="Calibri" w:hAnsi="Calibri" w:cs="Calibri"/>
          <w:b/>
          <w:color w:val="FF6600"/>
          <w:sz w:val="24"/>
          <w:szCs w:val="24"/>
        </w:rPr>
        <w:t>About the Patani Working Group for Monitoring on International Mechanisms</w:t>
      </w:r>
    </w:p>
    <w:p w14:paraId="58EECB64" w14:textId="77777777" w:rsidR="006849FE" w:rsidRDefault="006849FE" w:rsidP="006849FE">
      <w:pPr>
        <w:widowControl w:val="0"/>
        <w:spacing w:line="240" w:lineRule="auto"/>
        <w:jc w:val="both"/>
        <w:rPr>
          <w:rFonts w:ascii="Calibri" w:eastAsia="Calibri" w:hAnsi="Calibri" w:cs="Calibri"/>
          <w:sz w:val="24"/>
          <w:szCs w:val="24"/>
        </w:rPr>
      </w:pPr>
      <w:r>
        <w:rPr>
          <w:rFonts w:ascii="Calibri" w:eastAsia="Calibri" w:hAnsi="Calibri" w:cs="Calibri"/>
          <w:sz w:val="24"/>
          <w:szCs w:val="24"/>
        </w:rPr>
        <w:t xml:space="preserve">The Patani Working Group for Monitoring on International Mechanisms comprises activists from Southern Thailand, coming together under the umbrella of the Thai CSO Coalition for the UPR and the Thai BHR Network, to connect and communicate between international mechanisms at the regional and global levels, with the Southern Border Provinces of Thailand.  </w:t>
      </w:r>
    </w:p>
    <w:p w14:paraId="5BFD9611" w14:textId="77777777" w:rsidR="006849FE" w:rsidRPr="006849FE" w:rsidRDefault="006849FE" w:rsidP="006849FE">
      <w:pPr>
        <w:widowControl w:val="0"/>
        <w:spacing w:line="240" w:lineRule="auto"/>
        <w:jc w:val="both"/>
        <w:rPr>
          <w:rFonts w:ascii="Calibri" w:eastAsia="Calibri" w:hAnsi="Calibri" w:cs="Calibri"/>
          <w:sz w:val="18"/>
          <w:szCs w:val="18"/>
        </w:rPr>
      </w:pPr>
    </w:p>
    <w:p w14:paraId="2A72E2BE" w14:textId="77777777" w:rsidR="006849FE" w:rsidRDefault="006849FE" w:rsidP="006849FE">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14716154" w14:textId="77777777" w:rsidR="006849FE" w:rsidRDefault="006849FE" w:rsidP="006849FE">
      <w:pPr>
        <w:spacing w:line="240" w:lineRule="auto"/>
        <w:jc w:val="both"/>
        <w:rPr>
          <w:rFonts w:ascii="Calibri" w:eastAsia="Calibri" w:hAnsi="Calibri" w:cs="Calibri"/>
          <w:color w:val="222222"/>
          <w:sz w:val="24"/>
          <w:szCs w:val="24"/>
          <w:highlight w:val="white"/>
        </w:rPr>
      </w:pPr>
      <w:proofErr w:type="spellStart"/>
      <w:r>
        <w:rPr>
          <w:rFonts w:ascii="Calibri" w:eastAsia="Calibri" w:hAnsi="Calibri" w:cs="Calibri"/>
          <w:color w:val="222222"/>
          <w:sz w:val="24"/>
          <w:szCs w:val="24"/>
          <w:highlight w:val="white"/>
        </w:rPr>
        <w:t>Asmah</w:t>
      </w:r>
      <w:proofErr w:type="spellEnd"/>
      <w:r>
        <w:rPr>
          <w:rFonts w:ascii="Calibri" w:eastAsia="Calibri" w:hAnsi="Calibri" w:cs="Calibri"/>
          <w:color w:val="222222"/>
          <w:sz w:val="24"/>
          <w:szCs w:val="24"/>
          <w:highlight w:val="white"/>
        </w:rPr>
        <w:t xml:space="preserve"> </w:t>
      </w:r>
      <w:proofErr w:type="spellStart"/>
      <w:r>
        <w:rPr>
          <w:rFonts w:ascii="Calibri" w:eastAsia="Calibri" w:hAnsi="Calibri" w:cs="Calibri"/>
          <w:color w:val="222222"/>
          <w:sz w:val="24"/>
          <w:szCs w:val="24"/>
          <w:highlight w:val="white"/>
        </w:rPr>
        <w:t>Tanyongdaoh</w:t>
      </w:r>
      <w:proofErr w:type="spellEnd"/>
      <w:r>
        <w:rPr>
          <w:rFonts w:ascii="Calibri" w:eastAsia="Calibri" w:hAnsi="Calibri" w:cs="Calibri"/>
          <w:color w:val="222222"/>
          <w:sz w:val="24"/>
          <w:szCs w:val="24"/>
          <w:highlight w:val="white"/>
        </w:rPr>
        <w:t>, Coordinator</w:t>
      </w:r>
    </w:p>
    <w:p w14:paraId="5CAF7FDF" w14:textId="77777777" w:rsidR="006849FE" w:rsidRDefault="006849FE" w:rsidP="006849FE">
      <w:pPr>
        <w:jc w:val="both"/>
        <w:rPr>
          <w:rFonts w:ascii="Calibri" w:eastAsia="Calibri" w:hAnsi="Calibri" w:cs="Calibri"/>
          <w:color w:val="FF0000"/>
          <w:sz w:val="24"/>
          <w:szCs w:val="24"/>
        </w:rPr>
      </w:pPr>
      <w:hyperlink r:id="rId39">
        <w:r>
          <w:rPr>
            <w:rFonts w:ascii="Calibri" w:eastAsia="Calibri" w:hAnsi="Calibri" w:cs="Calibri"/>
            <w:color w:val="1155CC"/>
            <w:sz w:val="24"/>
            <w:szCs w:val="24"/>
            <w:u w:val="single"/>
          </w:rPr>
          <w:t>tanyongdaoh@gmail.com</w:t>
        </w:r>
      </w:hyperlink>
      <w:r>
        <w:rPr>
          <w:rFonts w:ascii="Calibri" w:eastAsia="Calibri" w:hAnsi="Calibri" w:cs="Calibri"/>
          <w:color w:val="FF0000"/>
          <w:sz w:val="24"/>
          <w:szCs w:val="24"/>
        </w:rPr>
        <w:t xml:space="preserve">   </w:t>
      </w:r>
    </w:p>
    <w:p w14:paraId="53C97C3B" w14:textId="77777777" w:rsidR="006849FE" w:rsidRDefault="006849FE" w:rsidP="006849FE">
      <w:pPr>
        <w:jc w:val="both"/>
        <w:rPr>
          <w:rFonts w:ascii="Calibri" w:eastAsia="Calibri" w:hAnsi="Calibri" w:cs="Calibri"/>
          <w:color w:val="FF0000"/>
          <w:sz w:val="24"/>
          <w:szCs w:val="24"/>
        </w:rPr>
      </w:pPr>
    </w:p>
    <w:p w14:paraId="73AFC4B0" w14:textId="77777777" w:rsidR="006849FE" w:rsidRDefault="006849FE" w:rsidP="006849FE">
      <w:pPr>
        <w:numPr>
          <w:ilvl w:val="0"/>
          <w:numId w:val="19"/>
        </w:numPr>
        <w:ind w:left="0"/>
        <w:jc w:val="both"/>
        <w:rPr>
          <w:rFonts w:ascii="Calibri" w:eastAsia="Calibri" w:hAnsi="Calibri" w:cs="Calibri"/>
          <w:b/>
          <w:color w:val="FF6600"/>
          <w:sz w:val="24"/>
          <w:szCs w:val="24"/>
        </w:rPr>
      </w:pPr>
      <w:proofErr w:type="spellStart"/>
      <w:r>
        <w:rPr>
          <w:rFonts w:ascii="Calibri" w:eastAsia="Calibri" w:hAnsi="Calibri" w:cs="Calibri"/>
          <w:b/>
          <w:color w:val="FF6600"/>
          <w:sz w:val="24"/>
          <w:szCs w:val="24"/>
        </w:rPr>
        <w:t>Tamtang</w:t>
      </w:r>
      <w:proofErr w:type="spellEnd"/>
      <w:r>
        <w:rPr>
          <w:rFonts w:ascii="Calibri" w:eastAsia="Calibri" w:hAnsi="Calibri" w:cs="Calibri"/>
          <w:b/>
          <w:color w:val="FF6600"/>
          <w:sz w:val="24"/>
          <w:szCs w:val="24"/>
        </w:rPr>
        <w:t xml:space="preserve"> Foundation</w:t>
      </w:r>
    </w:p>
    <w:p w14:paraId="39198B4D" w14:textId="77777777" w:rsidR="006849FE" w:rsidRDefault="006849FE" w:rsidP="006849FE">
      <w:pPr>
        <w:spacing w:line="240" w:lineRule="auto"/>
        <w:jc w:val="both"/>
        <w:rPr>
          <w:rFonts w:ascii="Calibri" w:eastAsia="Calibri" w:hAnsi="Calibri" w:cs="Calibri"/>
          <w:sz w:val="24"/>
          <w:szCs w:val="24"/>
        </w:rPr>
      </w:pPr>
      <w:proofErr w:type="spellStart"/>
      <w:r>
        <w:rPr>
          <w:rFonts w:ascii="Calibri" w:eastAsia="Calibri" w:hAnsi="Calibri" w:cs="Calibri"/>
          <w:sz w:val="24"/>
          <w:szCs w:val="24"/>
        </w:rPr>
        <w:t>Tamtang</w:t>
      </w:r>
      <w:proofErr w:type="spellEnd"/>
      <w:r>
        <w:rPr>
          <w:rFonts w:ascii="Calibri" w:eastAsia="Calibri" w:hAnsi="Calibri" w:cs="Calibri"/>
          <w:sz w:val="24"/>
          <w:szCs w:val="24"/>
        </w:rPr>
        <w:t xml:space="preserve"> Foundation is a frontline feminist group led by women with abortion experience and LBI, dedicated to advancing access to safe and dignified abortion services in Thailand. Committed to building a society that understands bodily autonomy, </w:t>
      </w:r>
      <w:proofErr w:type="spellStart"/>
      <w:r>
        <w:rPr>
          <w:rFonts w:ascii="Calibri" w:eastAsia="Calibri" w:hAnsi="Calibri" w:cs="Calibri"/>
          <w:sz w:val="24"/>
          <w:szCs w:val="24"/>
        </w:rPr>
        <w:t>Tamtang</w:t>
      </w:r>
      <w:proofErr w:type="spellEnd"/>
      <w:r>
        <w:rPr>
          <w:rFonts w:ascii="Calibri" w:eastAsia="Calibri" w:hAnsi="Calibri" w:cs="Calibri"/>
          <w:sz w:val="24"/>
          <w:szCs w:val="24"/>
        </w:rPr>
        <w:t xml:space="preserve"> focuses on their 4 main missions: 1) providing counseling and service referral, 2) empowering women with abortion experiences, 3) mobilizing a feminist abortion-friendly movement, and 4) encouraging policy advocacy to challenge and eliminate the stigma surrounding abortion. For more information, please visit: </w:t>
      </w:r>
      <w:hyperlink r:id="rId40">
        <w:r>
          <w:rPr>
            <w:rFonts w:ascii="Calibri" w:eastAsia="Calibri" w:hAnsi="Calibri" w:cs="Calibri"/>
            <w:color w:val="1155CC"/>
            <w:sz w:val="24"/>
            <w:szCs w:val="24"/>
            <w:u w:val="single"/>
          </w:rPr>
          <w:t>https://www.facebook.com/TamtangGroup</w:t>
        </w:r>
      </w:hyperlink>
      <w:r>
        <w:rPr>
          <w:rFonts w:ascii="Calibri" w:eastAsia="Calibri" w:hAnsi="Calibri" w:cs="Calibri"/>
          <w:sz w:val="24"/>
          <w:szCs w:val="24"/>
        </w:rPr>
        <w:t xml:space="preserve"> </w:t>
      </w:r>
    </w:p>
    <w:p w14:paraId="2401CA16" w14:textId="77777777" w:rsidR="006849FE" w:rsidRPr="006849FE" w:rsidRDefault="006849FE" w:rsidP="006849FE">
      <w:pPr>
        <w:spacing w:line="240" w:lineRule="auto"/>
        <w:jc w:val="both"/>
        <w:rPr>
          <w:rFonts w:ascii="Calibri" w:eastAsia="Calibri" w:hAnsi="Calibri" w:cs="Calibri"/>
          <w:sz w:val="18"/>
          <w:szCs w:val="18"/>
        </w:rPr>
      </w:pPr>
    </w:p>
    <w:p w14:paraId="73B281E9" w14:textId="77777777" w:rsidR="006849FE" w:rsidRDefault="006849FE" w:rsidP="006849FE">
      <w:pPr>
        <w:spacing w:line="240" w:lineRule="auto"/>
        <w:jc w:val="both"/>
        <w:rPr>
          <w:rFonts w:ascii="Calibri" w:eastAsia="Calibri" w:hAnsi="Calibri" w:cs="Calibri"/>
          <w:b/>
          <w:sz w:val="24"/>
          <w:szCs w:val="24"/>
        </w:rPr>
      </w:pPr>
      <w:r>
        <w:rPr>
          <w:rFonts w:ascii="Calibri" w:eastAsia="Calibri" w:hAnsi="Calibri" w:cs="Calibri"/>
          <w:b/>
          <w:sz w:val="24"/>
          <w:szCs w:val="24"/>
        </w:rPr>
        <w:t>Contact Details:</w:t>
      </w:r>
    </w:p>
    <w:p w14:paraId="222EB245" w14:textId="77777777" w:rsidR="006849FE" w:rsidRDefault="006849FE" w:rsidP="006849FE">
      <w:pPr>
        <w:spacing w:line="240" w:lineRule="auto"/>
        <w:jc w:val="both"/>
        <w:rPr>
          <w:rFonts w:ascii="Calibri" w:eastAsia="Calibri" w:hAnsi="Calibri" w:cs="Calibri"/>
          <w:color w:val="222222"/>
          <w:highlight w:val="white"/>
        </w:rPr>
      </w:pPr>
      <w:proofErr w:type="spellStart"/>
      <w:r>
        <w:rPr>
          <w:rFonts w:ascii="Calibri" w:eastAsia="Calibri" w:hAnsi="Calibri" w:cs="Calibri"/>
          <w:color w:val="222222"/>
          <w:highlight w:val="white"/>
        </w:rPr>
        <w:t>Chonthita</w:t>
      </w:r>
      <w:proofErr w:type="spellEnd"/>
      <w:r>
        <w:rPr>
          <w:rFonts w:ascii="Calibri" w:eastAsia="Calibri" w:hAnsi="Calibri" w:cs="Calibri"/>
          <w:color w:val="222222"/>
          <w:highlight w:val="white"/>
        </w:rPr>
        <w:t xml:space="preserve"> </w:t>
      </w:r>
      <w:proofErr w:type="spellStart"/>
      <w:r>
        <w:rPr>
          <w:rFonts w:ascii="Calibri" w:eastAsia="Calibri" w:hAnsi="Calibri" w:cs="Calibri"/>
          <w:color w:val="222222"/>
          <w:highlight w:val="white"/>
        </w:rPr>
        <w:t>Krasrikul</w:t>
      </w:r>
      <w:proofErr w:type="spellEnd"/>
      <w:r>
        <w:rPr>
          <w:rFonts w:ascii="Calibri" w:eastAsia="Calibri" w:hAnsi="Calibri" w:cs="Calibri"/>
          <w:color w:val="222222"/>
          <w:sz w:val="24"/>
          <w:szCs w:val="24"/>
          <w:highlight w:val="white"/>
        </w:rPr>
        <w:t xml:space="preserve">, </w:t>
      </w:r>
      <w:r>
        <w:rPr>
          <w:rFonts w:ascii="Calibri" w:eastAsia="Calibri" w:hAnsi="Calibri" w:cs="Calibri"/>
          <w:color w:val="222222"/>
          <w:highlight w:val="white"/>
        </w:rPr>
        <w:t xml:space="preserve">Project Manager </w:t>
      </w:r>
    </w:p>
    <w:p w14:paraId="4D3C47CF" w14:textId="326D7B9D" w:rsidR="00B46444" w:rsidRDefault="006849FE" w:rsidP="006849FE">
      <w:pPr>
        <w:spacing w:line="240" w:lineRule="auto"/>
        <w:jc w:val="both"/>
        <w:rPr>
          <w:rFonts w:ascii="Calibri" w:eastAsia="Calibri" w:hAnsi="Calibri" w:cs="Calibri"/>
        </w:rPr>
      </w:pPr>
      <w:hyperlink r:id="rId41">
        <w:r>
          <w:rPr>
            <w:rFonts w:ascii="Calibri" w:eastAsia="Calibri" w:hAnsi="Calibri" w:cs="Calibri"/>
            <w:color w:val="1155CC"/>
            <w:u w:val="single"/>
          </w:rPr>
          <w:t>mychoice4mylife@gmail.com</w:t>
        </w:r>
      </w:hyperlink>
      <w:r>
        <w:rPr>
          <w:rFonts w:ascii="Calibri" w:eastAsia="Calibri" w:hAnsi="Calibri" w:cs="Calibri"/>
        </w:rPr>
        <w:t xml:space="preserve"> </w:t>
      </w:r>
      <w:bookmarkStart w:id="16" w:name="_6zlpnhu0c7ql" w:colFirst="0" w:colLast="0"/>
      <w:bookmarkEnd w:id="16"/>
    </w:p>
    <w:sectPr w:rsidR="00B46444">
      <w:headerReference w:type="default" r:id="rId42"/>
      <w:footerReference w:type="default" r:id="rId43"/>
      <w:pgSz w:w="12240" w:h="15840"/>
      <w:pgMar w:top="720" w:right="720" w:bottom="720" w:left="720" w:header="720" w:footer="10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CBE05B" w14:textId="77777777" w:rsidR="00BA42AC" w:rsidRDefault="00BA42AC">
      <w:pPr>
        <w:spacing w:line="240" w:lineRule="auto"/>
      </w:pPr>
      <w:r>
        <w:separator/>
      </w:r>
    </w:p>
  </w:endnote>
  <w:endnote w:type="continuationSeparator" w:id="0">
    <w:p w14:paraId="1DB99AE7" w14:textId="77777777" w:rsidR="00BA42AC" w:rsidRDefault="00BA42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rowallia New">
    <w:panose1 w:val="020B06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CEF50" w14:textId="77777777" w:rsidR="00B46444" w:rsidRDefault="00000000">
    <w:pPr>
      <w:jc w:val="right"/>
      <w:rPr>
        <w:rFonts w:ascii="Calibri" w:eastAsia="Calibri" w:hAnsi="Calibri" w:cs="Calibri"/>
        <w:color w:val="FF6600"/>
        <w:sz w:val="20"/>
        <w:szCs w:val="20"/>
      </w:rPr>
    </w:pPr>
    <w:r>
      <w:rPr>
        <w:rFonts w:ascii="Calibri" w:eastAsia="Calibri" w:hAnsi="Calibri" w:cs="Calibri"/>
        <w:color w:val="FF6600"/>
        <w:sz w:val="20"/>
        <w:szCs w:val="20"/>
      </w:rPr>
      <w:t xml:space="preserve">| </w:t>
    </w:r>
    <w:r>
      <w:rPr>
        <w:rFonts w:ascii="Calibri" w:eastAsia="Calibri" w:hAnsi="Calibri" w:cs="Calibri"/>
        <w:color w:val="FF6600"/>
        <w:sz w:val="20"/>
        <w:szCs w:val="20"/>
      </w:rPr>
      <w:fldChar w:fldCharType="begin"/>
    </w:r>
    <w:r>
      <w:rPr>
        <w:rFonts w:ascii="Calibri" w:eastAsia="Calibri" w:hAnsi="Calibri" w:cs="Calibri"/>
        <w:color w:val="FF6600"/>
        <w:sz w:val="20"/>
        <w:szCs w:val="20"/>
      </w:rPr>
      <w:instrText>PAGE</w:instrText>
    </w:r>
    <w:r>
      <w:rPr>
        <w:rFonts w:ascii="Calibri" w:eastAsia="Calibri" w:hAnsi="Calibri" w:cs="Calibri"/>
        <w:color w:val="FF6600"/>
        <w:sz w:val="20"/>
        <w:szCs w:val="20"/>
      </w:rPr>
      <w:fldChar w:fldCharType="separate"/>
    </w:r>
    <w:r w:rsidR="00C27D88">
      <w:rPr>
        <w:rFonts w:ascii="Calibri" w:eastAsia="Calibri" w:hAnsi="Calibri" w:cs="Calibri"/>
        <w:noProof/>
        <w:color w:val="FF6600"/>
        <w:sz w:val="20"/>
        <w:szCs w:val="20"/>
      </w:rPr>
      <w:t>2</w:t>
    </w:r>
    <w:r>
      <w:rPr>
        <w:rFonts w:ascii="Calibri" w:eastAsia="Calibri" w:hAnsi="Calibri" w:cs="Calibri"/>
        <w:color w:val="FF66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32802" w14:textId="77777777" w:rsidR="00BA42AC" w:rsidRDefault="00BA42AC">
      <w:pPr>
        <w:spacing w:line="240" w:lineRule="auto"/>
      </w:pPr>
      <w:r>
        <w:separator/>
      </w:r>
    </w:p>
  </w:footnote>
  <w:footnote w:type="continuationSeparator" w:id="0">
    <w:p w14:paraId="7502B705" w14:textId="77777777" w:rsidR="00BA42AC" w:rsidRDefault="00BA42AC">
      <w:pPr>
        <w:spacing w:line="240" w:lineRule="auto"/>
      </w:pPr>
      <w:r>
        <w:continuationSeparator/>
      </w:r>
    </w:p>
  </w:footnote>
  <w:footnote w:id="1">
    <w:p w14:paraId="697C3A0A" w14:textId="70E07772"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color w:val="1D1C1D"/>
          <w:sz w:val="18"/>
          <w:szCs w:val="18"/>
        </w:rPr>
        <w:t>Manushya</w:t>
      </w:r>
      <w:proofErr w:type="spellEnd"/>
      <w:r w:rsidRPr="00C27D88">
        <w:rPr>
          <w:rFonts w:asciiTheme="majorHAnsi" w:eastAsia="Calibri" w:hAnsiTheme="majorHAnsi" w:cstheme="majorHAnsi"/>
          <w:color w:val="1D1C1D"/>
          <w:sz w:val="18"/>
          <w:szCs w:val="18"/>
        </w:rPr>
        <w:t xml:space="preserve"> Foundation, </w:t>
      </w:r>
      <w:r w:rsidRPr="00C27D88">
        <w:rPr>
          <w:rFonts w:asciiTheme="majorHAnsi" w:eastAsia="Calibri" w:hAnsiTheme="majorHAnsi" w:cstheme="majorHAnsi"/>
          <w:i/>
          <w:color w:val="1D1C1D"/>
          <w:sz w:val="18"/>
          <w:szCs w:val="18"/>
        </w:rPr>
        <w:t>Joint Civil Society CEDAW Report to inform the List of Issues to be considered by the UN Committee for the Elimination of Discrimination Against Women during the Pre-sessional Working Group for its 85th Session (31 October to 4 November 2022)</w:t>
      </w:r>
      <w:r w:rsidRPr="00C27D88">
        <w:rPr>
          <w:rFonts w:asciiTheme="majorHAnsi" w:eastAsia="Calibri" w:hAnsiTheme="majorHAnsi" w:cstheme="majorHAnsi"/>
          <w:color w:val="1D1C1D"/>
          <w:sz w:val="18"/>
          <w:szCs w:val="18"/>
        </w:rPr>
        <w:t xml:space="preserve">, (7 October 2022), available at: </w:t>
      </w:r>
      <w:hyperlink r:id="rId1">
        <w:r w:rsidR="00B46444" w:rsidRPr="00C27D88">
          <w:rPr>
            <w:rFonts w:asciiTheme="majorHAnsi" w:eastAsia="Calibri" w:hAnsiTheme="majorHAnsi" w:cstheme="majorHAnsi"/>
            <w:color w:val="1155CC"/>
            <w:sz w:val="18"/>
            <w:szCs w:val="18"/>
            <w:u w:val="single"/>
          </w:rPr>
          <w:t>https://www.manushyafoundation.org/joint-civil-society-cedaw-report</w:t>
        </w:r>
      </w:hyperlink>
    </w:p>
  </w:footnote>
  <w:footnote w:id="2">
    <w:p w14:paraId="5DCB9402" w14:textId="6E534586"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Constitution of the Kingdom of Thailand (2017), available at: </w:t>
      </w:r>
      <w:hyperlink r:id="rId2">
        <w:r w:rsidR="00B46444" w:rsidRPr="00C27D88">
          <w:rPr>
            <w:rFonts w:asciiTheme="majorHAnsi" w:eastAsia="Calibri" w:hAnsiTheme="majorHAnsi" w:cstheme="majorHAnsi"/>
            <w:color w:val="1155CC"/>
            <w:sz w:val="18"/>
            <w:szCs w:val="18"/>
            <w:u w:val="single"/>
          </w:rPr>
          <w:t>http://www.constitutionalcourt.or.th/occ_en/download/article_20170410173022.pdf</w:t>
        </w:r>
      </w:hyperlink>
      <w:r w:rsidRPr="00C27D88">
        <w:rPr>
          <w:rFonts w:asciiTheme="majorHAnsi" w:eastAsia="Calibri" w:hAnsiTheme="majorHAnsi" w:cstheme="majorHAnsi"/>
          <w:sz w:val="18"/>
          <w:szCs w:val="18"/>
        </w:rPr>
        <w:t xml:space="preserve"> </w:t>
      </w:r>
    </w:p>
  </w:footnote>
  <w:footnote w:id="3">
    <w:p w14:paraId="65F9ECA9" w14:textId="0B9F224A" w:rsidR="00B46444" w:rsidRPr="00C27D88" w:rsidRDefault="00000000" w:rsidP="00C27D88">
      <w:pPr>
        <w:spacing w:line="240" w:lineRule="auto"/>
        <w:ind w:left="567" w:hanging="283"/>
        <w:rPr>
          <w:rFonts w:asciiTheme="majorHAns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hAnsiTheme="majorHAnsi" w:cstheme="majorHAnsi"/>
          <w:sz w:val="18"/>
          <w:szCs w:val="18"/>
        </w:rPr>
        <w:t xml:space="preserve"> </w:t>
      </w:r>
      <w:r w:rsidR="00C27D88">
        <w:rPr>
          <w:rFonts w:asciiTheme="majorHAnsi" w:hAnsiTheme="majorHAnsi" w:cstheme="majorHAnsi"/>
          <w:sz w:val="18"/>
          <w:szCs w:val="18"/>
        </w:rPr>
        <w:tab/>
      </w:r>
      <w:r w:rsidRPr="00C27D88">
        <w:rPr>
          <w:rFonts w:asciiTheme="majorHAnsi" w:eastAsia="Calibri" w:hAnsiTheme="majorHAnsi" w:cstheme="majorHAnsi"/>
          <w:sz w:val="18"/>
          <w:szCs w:val="18"/>
        </w:rPr>
        <w:t xml:space="preserve">Gender Equality Act of Thailand (2015), available at: </w:t>
      </w:r>
      <w:hyperlink r:id="rId3">
        <w:r w:rsidR="00B46444" w:rsidRPr="00C27D88">
          <w:rPr>
            <w:rFonts w:asciiTheme="majorHAnsi" w:eastAsia="Calibri" w:hAnsiTheme="majorHAnsi" w:cstheme="majorHAnsi"/>
            <w:color w:val="1155CC"/>
            <w:sz w:val="18"/>
            <w:szCs w:val="18"/>
            <w:u w:val="single"/>
          </w:rPr>
          <w:t>https://natlex.ilo.org/dyn/natlex2/r/natlex/fe/details?p3_isn=100442&amp;cs=1fy-mN9sdjWUhBytgBBtTN0ystAZkycwvFUgMoATzYSSK6J58vnJzKUYWSSBHOJJ5b0CQbQYIbxickqL8dHseFw</w:t>
        </w:r>
      </w:hyperlink>
    </w:p>
  </w:footnote>
  <w:footnote w:id="4">
    <w:p w14:paraId="3FF90ABA" w14:textId="72F3270E" w:rsidR="00B46444" w:rsidRPr="00C27D88" w:rsidRDefault="00000000" w:rsidP="00C27D88">
      <w:pPr>
        <w:spacing w:line="240" w:lineRule="auto"/>
        <w:ind w:left="567" w:hanging="283"/>
        <w:rPr>
          <w:rFonts w:asciiTheme="majorHAnsi" w:eastAsia="Calibri" w:hAnsiTheme="majorHAnsi" w:cstheme="majorHAnsi"/>
          <w:sz w:val="18"/>
          <w:szCs w:val="18"/>
          <w:highlight w:val="white"/>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color w:val="1D1C1D"/>
          <w:sz w:val="18"/>
          <w:szCs w:val="18"/>
          <w:shd w:val="clear" w:color="auto" w:fill="F8F8F8"/>
        </w:rPr>
        <w:t xml:space="preserve">Move Forward Party, Members of Parliament, </w:t>
      </w:r>
      <w:r w:rsidRPr="00C27D88">
        <w:rPr>
          <w:rFonts w:asciiTheme="majorHAnsi" w:eastAsia="Calibri" w:hAnsiTheme="majorHAnsi" w:cstheme="majorHAnsi"/>
          <w:i/>
          <w:color w:val="1D1C1D"/>
          <w:sz w:val="18"/>
          <w:szCs w:val="18"/>
          <w:shd w:val="clear" w:color="auto" w:fill="F8F8F8"/>
        </w:rPr>
        <w:t>Draft Act on Gender Recognition, Honorific Titles, and Protection of LGBTIQ+ Persons B.E. ....</w:t>
      </w:r>
      <w:r w:rsidRPr="00C27D88">
        <w:rPr>
          <w:rFonts w:asciiTheme="majorHAnsi" w:eastAsia="Calibri" w:hAnsiTheme="majorHAnsi" w:cstheme="majorHAnsi"/>
          <w:color w:val="1D1C1D"/>
          <w:sz w:val="18"/>
          <w:szCs w:val="18"/>
          <w:shd w:val="clear" w:color="auto" w:fill="F8F8F8"/>
        </w:rPr>
        <w:t xml:space="preserve"> (2023), available at: </w:t>
      </w:r>
      <w:hyperlink r:id="rId4">
        <w:r w:rsidR="00B46444" w:rsidRPr="00C27D88">
          <w:rPr>
            <w:rFonts w:asciiTheme="majorHAnsi" w:eastAsia="Calibri" w:hAnsiTheme="majorHAnsi" w:cstheme="majorHAnsi"/>
            <w:color w:val="1155CC"/>
            <w:sz w:val="18"/>
            <w:szCs w:val="18"/>
            <w:u w:val="single"/>
            <w:shd w:val="clear" w:color="auto" w:fill="F8F8F8"/>
          </w:rPr>
          <w:t>https://www.parliament.go.th/section77/manage/files/file_20230911125054_1_292.pdf</w:t>
        </w:r>
      </w:hyperlink>
    </w:p>
  </w:footnote>
  <w:footnote w:id="5">
    <w:p w14:paraId="501D5AA9" w14:textId="752E2A6F"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color w:val="1D1C1D"/>
          <w:sz w:val="18"/>
          <w:szCs w:val="18"/>
          <w:shd w:val="clear" w:color="auto" w:fill="F8F8F8"/>
        </w:rPr>
        <w:t xml:space="preserve">Intersex Thailand, </w:t>
      </w:r>
      <w:r w:rsidRPr="00C27D88">
        <w:rPr>
          <w:rFonts w:asciiTheme="majorHAnsi" w:eastAsia="Calibri" w:hAnsiTheme="majorHAnsi" w:cstheme="majorHAnsi"/>
          <w:i/>
          <w:color w:val="1D1C1D"/>
          <w:sz w:val="18"/>
          <w:szCs w:val="18"/>
          <w:shd w:val="clear" w:color="auto" w:fill="F8F8F8"/>
        </w:rPr>
        <w:t>Draft Act on The Self-Determination of Gender Identity, Gender Expression, and Sex Characteristics Act B.E. ....</w:t>
      </w:r>
      <w:r w:rsidRPr="00C27D88">
        <w:rPr>
          <w:rFonts w:asciiTheme="majorHAnsi" w:eastAsia="Calibri" w:hAnsiTheme="majorHAnsi" w:cstheme="majorHAnsi"/>
          <w:color w:val="1D1C1D"/>
          <w:sz w:val="18"/>
          <w:szCs w:val="18"/>
          <w:shd w:val="clear" w:color="auto" w:fill="F8F8F8"/>
        </w:rPr>
        <w:t xml:space="preserve">(May 2025), available at: </w:t>
      </w:r>
      <w:hyperlink r:id="rId5">
        <w:r w:rsidR="00B46444" w:rsidRPr="00C27D88">
          <w:rPr>
            <w:rFonts w:asciiTheme="majorHAnsi" w:eastAsia="Calibri" w:hAnsiTheme="majorHAnsi" w:cstheme="majorHAnsi"/>
            <w:color w:val="1155CC"/>
            <w:sz w:val="18"/>
            <w:szCs w:val="18"/>
            <w:u w:val="single"/>
            <w:shd w:val="clear" w:color="auto" w:fill="F8F8F8"/>
          </w:rPr>
          <w:t>https://drive.google.com/file/d/1xdbWOoDvzTrYHRFagcWEpC_v4RWNFjpG/view</w:t>
        </w:r>
      </w:hyperlink>
    </w:p>
  </w:footnote>
  <w:footnote w:id="6">
    <w:p w14:paraId="112BDE1D" w14:textId="071EE92D"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The Nation, </w:t>
      </w:r>
      <w:r w:rsidRPr="00C27D88">
        <w:rPr>
          <w:rFonts w:asciiTheme="majorHAnsi" w:eastAsia="Calibri" w:hAnsiTheme="majorHAnsi" w:cstheme="majorHAnsi"/>
          <w:i/>
          <w:sz w:val="18"/>
          <w:szCs w:val="18"/>
        </w:rPr>
        <w:t xml:space="preserve">MPs say ‘no’ to gender recognition bill </w:t>
      </w:r>
      <w:r w:rsidRPr="00C27D88">
        <w:rPr>
          <w:rFonts w:asciiTheme="majorHAnsi" w:eastAsia="Calibri" w:hAnsiTheme="majorHAnsi" w:cstheme="majorHAnsi"/>
          <w:sz w:val="18"/>
          <w:szCs w:val="18"/>
        </w:rPr>
        <w:t xml:space="preserve">(22 February 2024), available at: </w:t>
      </w:r>
      <w:hyperlink r:id="rId6">
        <w:r w:rsidR="00B46444" w:rsidRPr="00C27D88">
          <w:rPr>
            <w:rFonts w:asciiTheme="majorHAnsi" w:eastAsia="Calibri" w:hAnsiTheme="majorHAnsi" w:cstheme="majorHAnsi"/>
            <w:color w:val="1155CC"/>
            <w:sz w:val="18"/>
            <w:szCs w:val="18"/>
            <w:u w:val="single"/>
          </w:rPr>
          <w:t>https://www.nationthailand.com/thailand/politics/40035780</w:t>
        </w:r>
      </w:hyperlink>
    </w:p>
  </w:footnote>
  <w:footnote w:id="7">
    <w:p w14:paraId="5AF4B468" w14:textId="47E418C5"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highlight w:val="white"/>
        </w:rPr>
        <w:t xml:space="preserve"> </w:t>
      </w:r>
      <w:r w:rsidR="00C27D88">
        <w:rPr>
          <w:rFonts w:asciiTheme="majorHAnsi" w:eastAsia="Calibri" w:hAnsiTheme="majorHAnsi" w:cstheme="majorHAnsi"/>
          <w:sz w:val="18"/>
          <w:szCs w:val="18"/>
          <w:highlight w:val="white"/>
        </w:rPr>
        <w:tab/>
      </w:r>
      <w:r w:rsidRPr="00C27D88">
        <w:rPr>
          <w:rFonts w:asciiTheme="majorHAnsi" w:eastAsia="Calibri" w:hAnsiTheme="majorHAnsi" w:cstheme="majorHAnsi"/>
          <w:color w:val="1D1C1D"/>
          <w:sz w:val="18"/>
          <w:szCs w:val="18"/>
          <w:highlight w:val="white"/>
        </w:rPr>
        <w:t xml:space="preserve">Parliament of Thailand, </w:t>
      </w:r>
      <w:r w:rsidRPr="00C27D88">
        <w:rPr>
          <w:rFonts w:asciiTheme="majorHAnsi" w:eastAsia="Calibri" w:hAnsiTheme="majorHAnsi" w:cstheme="majorHAnsi"/>
          <w:i/>
          <w:color w:val="1D1C1D"/>
          <w:sz w:val="18"/>
          <w:szCs w:val="18"/>
          <w:highlight w:val="white"/>
        </w:rPr>
        <w:t>Report of the Ad-Hoc Committee on the Draft Act on the Protection and Promotion of Ethnic Ways of Life B.E. ...</w:t>
      </w:r>
      <w:r w:rsidRPr="00C27D88">
        <w:rPr>
          <w:rFonts w:asciiTheme="majorHAnsi" w:eastAsia="Calibri" w:hAnsiTheme="majorHAnsi" w:cstheme="majorHAnsi"/>
          <w:color w:val="1D1C1D"/>
          <w:sz w:val="18"/>
          <w:szCs w:val="18"/>
          <w:highlight w:val="white"/>
        </w:rPr>
        <w:t xml:space="preserve">, pp. 27–45, (2024), available at: </w:t>
      </w:r>
      <w:hyperlink r:id="rId7">
        <w:r w:rsidR="00B46444" w:rsidRPr="00C27D88">
          <w:rPr>
            <w:rFonts w:asciiTheme="majorHAnsi" w:eastAsia="Calibri" w:hAnsiTheme="majorHAnsi" w:cstheme="majorHAnsi"/>
            <w:color w:val="1155CC"/>
            <w:sz w:val="18"/>
            <w:szCs w:val="18"/>
            <w:highlight w:val="white"/>
            <w:u w:val="single"/>
          </w:rPr>
          <w:t>https://pis.parliament.go.th/PARFileDownloadProxy/download?s=mkYE9ThvH3hH1IAC1WeOwi7v9l[…]LBFRHhfVsEt-L22</w:t>
        </w:r>
      </w:hyperlink>
      <w:hyperlink r:id="rId8">
        <w:r w:rsidR="00B46444" w:rsidRPr="00C27D88">
          <w:rPr>
            <w:rFonts w:asciiTheme="majorHAnsi" w:eastAsia="Calibri" w:hAnsiTheme="majorHAnsi" w:cstheme="majorHAnsi"/>
            <w:color w:val="1155CC"/>
            <w:sz w:val="18"/>
            <w:szCs w:val="18"/>
            <w:u w:val="single"/>
            <w:shd w:val="clear" w:color="auto" w:fill="F8F8F8"/>
          </w:rPr>
          <w:t>wtUoGoW6WqUFSVFrnHXAmXLaQk=&amp;ref=6757664&amp;n=1</w:t>
        </w:r>
      </w:hyperlink>
    </w:p>
  </w:footnote>
  <w:footnote w:id="8">
    <w:p w14:paraId="78B9EA9F" w14:textId="14972AF7" w:rsidR="00B46444" w:rsidRPr="00C27D88" w:rsidRDefault="00000000" w:rsidP="00C27D88">
      <w:pPr>
        <w:spacing w:line="240" w:lineRule="auto"/>
        <w:ind w:left="567" w:hanging="283"/>
        <w:rPr>
          <w:rFonts w:asciiTheme="majorHAnsi" w:eastAsia="Calibri" w:hAnsiTheme="majorHAnsi" w:cstheme="majorHAnsi"/>
          <w:color w:val="1D1C1D"/>
          <w:sz w:val="18"/>
          <w:szCs w:val="18"/>
          <w:highlight w:val="white"/>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highlight w:val="white"/>
        </w:rPr>
        <w:t xml:space="preserve"> </w:t>
      </w:r>
      <w:r w:rsidR="00C27D88">
        <w:rPr>
          <w:rFonts w:asciiTheme="majorHAnsi" w:eastAsia="Calibri" w:hAnsiTheme="majorHAnsi" w:cstheme="majorHAnsi"/>
          <w:sz w:val="18"/>
          <w:szCs w:val="18"/>
          <w:highlight w:val="white"/>
        </w:rPr>
        <w:tab/>
      </w:r>
      <w:r w:rsidRPr="00C27D88">
        <w:rPr>
          <w:rFonts w:asciiTheme="majorHAnsi" w:eastAsia="Calibri" w:hAnsiTheme="majorHAnsi" w:cstheme="majorHAnsi"/>
          <w:color w:val="1D1C1D"/>
          <w:sz w:val="18"/>
          <w:szCs w:val="18"/>
          <w:highlight w:val="white"/>
        </w:rPr>
        <w:t xml:space="preserve">Rights and Liberties Protection Department, Ministry of Justice, </w:t>
      </w:r>
      <w:r w:rsidRPr="00C27D88">
        <w:rPr>
          <w:rFonts w:asciiTheme="majorHAnsi" w:eastAsia="Calibri" w:hAnsiTheme="majorHAnsi" w:cstheme="majorHAnsi"/>
          <w:i/>
          <w:color w:val="1D1C1D"/>
          <w:sz w:val="18"/>
          <w:szCs w:val="18"/>
          <w:highlight w:val="white"/>
        </w:rPr>
        <w:t xml:space="preserve">Draft Act on the Prevention of Strategic Lawsuits Against Public Participation B.E. .... </w:t>
      </w:r>
      <w:r w:rsidRPr="00C27D88">
        <w:rPr>
          <w:rFonts w:asciiTheme="majorHAnsi" w:eastAsia="Calibri" w:hAnsiTheme="majorHAnsi" w:cstheme="majorHAnsi"/>
          <w:color w:val="1D1C1D"/>
          <w:sz w:val="18"/>
          <w:szCs w:val="18"/>
          <w:highlight w:val="white"/>
        </w:rPr>
        <w:t>(23 January 2025), available at:</w:t>
      </w:r>
    </w:p>
    <w:p w14:paraId="0F6AC4BC" w14:textId="1A61D132" w:rsidR="00B46444" w:rsidRPr="00C27D88" w:rsidRDefault="00C27D88" w:rsidP="00C27D88">
      <w:pPr>
        <w:spacing w:line="240" w:lineRule="auto"/>
        <w:ind w:left="567" w:hanging="283"/>
        <w:rPr>
          <w:rFonts w:asciiTheme="majorHAnsi" w:eastAsia="Calibri" w:hAnsiTheme="majorHAnsi" w:cstheme="majorHAnsi"/>
          <w:sz w:val="18"/>
          <w:szCs w:val="18"/>
          <w:highlight w:val="white"/>
        </w:rPr>
      </w:pPr>
      <w:r>
        <w:rPr>
          <w:rFonts w:asciiTheme="majorHAnsi" w:hAnsiTheme="majorHAnsi" w:cstheme="majorHAnsi"/>
          <w:sz w:val="18"/>
          <w:szCs w:val="18"/>
        </w:rPr>
        <w:tab/>
      </w:r>
      <w:hyperlink r:id="rId9" w:history="1">
        <w:r w:rsidRPr="00141DED">
          <w:rPr>
            <w:rStyle w:val="Hyperlink"/>
            <w:rFonts w:asciiTheme="majorHAnsi" w:eastAsia="Calibri" w:hAnsiTheme="majorHAnsi" w:cstheme="majorHAnsi"/>
            <w:sz w:val="18"/>
            <w:szCs w:val="18"/>
            <w:highlight w:val="white"/>
          </w:rPr>
          <w:t>https://files.law.go.th/dgaBackoffice/2025-03-14-15%3A53%3A18_%E0%B8%A3%E0%B9%88%E0%[…]%E0%B8%93%E0%B8%8A%E0%B8%99%20%E0%B8%9E.%E0%B8%A8.%20.....pdf</w:t>
        </w:r>
      </w:hyperlink>
    </w:p>
  </w:footnote>
  <w:footnote w:id="9">
    <w:p w14:paraId="0E0A143A" w14:textId="212990B2"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color w:val="1D1C1D"/>
          <w:sz w:val="18"/>
          <w:szCs w:val="18"/>
        </w:rPr>
        <w:t xml:space="preserve">Ministry of Social Development and Human Security (MSDHS), </w:t>
      </w:r>
      <w:r w:rsidRPr="00C27D88">
        <w:rPr>
          <w:rFonts w:asciiTheme="majorHAnsi" w:eastAsia="Calibri" w:hAnsiTheme="majorHAnsi" w:cstheme="majorHAnsi"/>
          <w:i/>
          <w:color w:val="1D1C1D"/>
          <w:sz w:val="18"/>
          <w:szCs w:val="18"/>
        </w:rPr>
        <w:t>Draft Act on the Protection of Sex Workers B.E. ....</w:t>
      </w:r>
      <w:r w:rsidRPr="00C27D88">
        <w:rPr>
          <w:rFonts w:asciiTheme="majorHAnsi" w:eastAsia="Calibri" w:hAnsiTheme="majorHAnsi" w:cstheme="majorHAnsi"/>
          <w:color w:val="1D1C1D"/>
          <w:sz w:val="18"/>
          <w:szCs w:val="18"/>
        </w:rPr>
        <w:t xml:space="preserve"> (2023), available at: </w:t>
      </w:r>
      <w:hyperlink r:id="rId10">
        <w:r w:rsidR="00B46444" w:rsidRPr="00C27D88">
          <w:rPr>
            <w:rFonts w:asciiTheme="majorHAnsi" w:eastAsia="Calibri" w:hAnsiTheme="majorHAnsi" w:cstheme="majorHAnsi"/>
            <w:color w:val="1155CC"/>
            <w:sz w:val="18"/>
            <w:szCs w:val="18"/>
            <w:u w:val="single"/>
          </w:rPr>
          <w:t>https://www.dwf.go.th//storage/44019/e9093b70-8efa-4883-92ab-968f762976f4-document-5809.pdf</w:t>
        </w:r>
      </w:hyperlink>
    </w:p>
  </w:footnote>
  <w:footnote w:id="10">
    <w:p w14:paraId="33B6A3D4" w14:textId="52A0BFE0"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Manushya</w:t>
      </w:r>
      <w:proofErr w:type="spellEnd"/>
      <w:r w:rsidRPr="00C27D88">
        <w:rPr>
          <w:rFonts w:asciiTheme="majorHAnsi" w:eastAsia="Calibri" w:hAnsiTheme="majorHAnsi" w:cstheme="majorHAnsi"/>
          <w:sz w:val="18"/>
          <w:szCs w:val="18"/>
        </w:rPr>
        <w:t xml:space="preserve"> Foundation, </w:t>
      </w:r>
      <w:r w:rsidRPr="00C27D88">
        <w:rPr>
          <w:rFonts w:asciiTheme="majorHAnsi" w:eastAsia="Calibri" w:hAnsiTheme="majorHAnsi" w:cstheme="majorHAnsi"/>
          <w:i/>
          <w:sz w:val="18"/>
          <w:szCs w:val="18"/>
        </w:rPr>
        <w:t xml:space="preserve">#FightRacism How we denounced racism in Thailand before the UN </w:t>
      </w:r>
      <w:r w:rsidRPr="00C27D88">
        <w:rPr>
          <w:rFonts w:asciiTheme="majorHAnsi" w:eastAsia="Calibri" w:hAnsiTheme="majorHAnsi" w:cstheme="majorHAnsi"/>
          <w:sz w:val="18"/>
          <w:szCs w:val="18"/>
        </w:rPr>
        <w:t xml:space="preserve">(27 June 2022), available at: </w:t>
      </w:r>
      <w:hyperlink r:id="rId11">
        <w:r w:rsidR="00B46444" w:rsidRPr="00C27D88">
          <w:rPr>
            <w:rFonts w:asciiTheme="majorHAnsi" w:eastAsia="Calibri" w:hAnsiTheme="majorHAnsi" w:cstheme="majorHAnsi"/>
            <w:color w:val="1155CC"/>
            <w:sz w:val="18"/>
            <w:szCs w:val="18"/>
            <w:u w:val="single"/>
          </w:rPr>
          <w:t>https://www.manushyafoundation.org/post/how-we-denounced-racism-in-thailand-before-the-un</w:t>
        </w:r>
      </w:hyperlink>
      <w:r w:rsidRPr="00C27D88">
        <w:rPr>
          <w:rFonts w:asciiTheme="majorHAnsi" w:eastAsia="Calibri" w:hAnsiTheme="majorHAnsi" w:cstheme="majorHAnsi"/>
          <w:sz w:val="18"/>
          <w:szCs w:val="18"/>
        </w:rPr>
        <w:t xml:space="preserve">; </w:t>
      </w:r>
    </w:p>
    <w:p w14:paraId="00B7BCAF" w14:textId="77777777" w:rsidR="00B46444" w:rsidRPr="00C27D88" w:rsidRDefault="00000000" w:rsidP="00C27D88">
      <w:pPr>
        <w:spacing w:line="240" w:lineRule="auto"/>
        <w:ind w:left="567"/>
        <w:rPr>
          <w:rFonts w:asciiTheme="majorHAnsi" w:eastAsia="Calibri" w:hAnsiTheme="majorHAnsi" w:cstheme="majorHAnsi"/>
          <w:color w:val="1D1C1D"/>
          <w:sz w:val="18"/>
          <w:szCs w:val="18"/>
        </w:rPr>
      </w:pPr>
      <w:proofErr w:type="spellStart"/>
      <w:r w:rsidRPr="00C27D88">
        <w:rPr>
          <w:rFonts w:asciiTheme="majorHAnsi" w:eastAsia="Calibri" w:hAnsiTheme="majorHAnsi" w:cstheme="majorHAnsi"/>
          <w:color w:val="1D1C1D"/>
          <w:sz w:val="18"/>
          <w:szCs w:val="18"/>
        </w:rPr>
        <w:t>Manushya</w:t>
      </w:r>
      <w:proofErr w:type="spellEnd"/>
      <w:r w:rsidRPr="00C27D88">
        <w:rPr>
          <w:rFonts w:asciiTheme="majorHAnsi" w:eastAsia="Calibri" w:hAnsiTheme="majorHAnsi" w:cstheme="majorHAnsi"/>
          <w:color w:val="1D1C1D"/>
          <w:sz w:val="18"/>
          <w:szCs w:val="18"/>
        </w:rPr>
        <w:t xml:space="preserve"> Foundation, </w:t>
      </w:r>
      <w:r w:rsidRPr="00C27D88">
        <w:rPr>
          <w:rFonts w:asciiTheme="majorHAnsi" w:eastAsia="Calibri" w:hAnsiTheme="majorHAnsi" w:cstheme="majorHAnsi"/>
          <w:i/>
          <w:color w:val="1D1C1D"/>
          <w:sz w:val="18"/>
          <w:szCs w:val="18"/>
        </w:rPr>
        <w:t>Thailand is a Paradise, but only for the 1% #FightRacism -</w:t>
      </w:r>
      <w:r w:rsidRPr="00C27D88">
        <w:rPr>
          <w:rFonts w:asciiTheme="majorHAnsi" w:eastAsia="Calibri" w:hAnsiTheme="majorHAnsi" w:cstheme="majorHAnsi"/>
          <w:color w:val="1D1C1D"/>
          <w:sz w:val="18"/>
          <w:szCs w:val="18"/>
        </w:rPr>
        <w:t xml:space="preserve"> </w:t>
      </w:r>
      <w:r w:rsidRPr="00C27D88">
        <w:rPr>
          <w:rFonts w:asciiTheme="majorHAnsi" w:eastAsia="Calibri" w:hAnsiTheme="majorHAnsi" w:cstheme="majorHAnsi"/>
          <w:i/>
          <w:color w:val="1D1C1D"/>
          <w:sz w:val="18"/>
          <w:szCs w:val="18"/>
        </w:rPr>
        <w:t xml:space="preserve">Joint Civil Society Shadow Report </w:t>
      </w:r>
      <w:proofErr w:type="gramStart"/>
      <w:r w:rsidRPr="00C27D88">
        <w:rPr>
          <w:rFonts w:asciiTheme="majorHAnsi" w:eastAsia="Calibri" w:hAnsiTheme="majorHAnsi" w:cstheme="majorHAnsi"/>
          <w:i/>
          <w:color w:val="1D1C1D"/>
          <w:sz w:val="18"/>
          <w:szCs w:val="18"/>
        </w:rPr>
        <w:t>On</w:t>
      </w:r>
      <w:proofErr w:type="gramEnd"/>
      <w:r w:rsidRPr="00C27D88">
        <w:rPr>
          <w:rFonts w:asciiTheme="majorHAnsi" w:eastAsia="Calibri" w:hAnsiTheme="majorHAnsi" w:cstheme="majorHAnsi"/>
          <w:i/>
          <w:color w:val="1D1C1D"/>
          <w:sz w:val="18"/>
          <w:szCs w:val="18"/>
        </w:rPr>
        <w:t xml:space="preserve"> The Implementation Of ICERD, Replies To The List Of Themes CERD/C/THA/Q/4-8 105th CERD Session</w:t>
      </w:r>
      <w:r w:rsidRPr="00C27D88">
        <w:rPr>
          <w:rFonts w:asciiTheme="majorHAnsi" w:eastAsia="Calibri" w:hAnsiTheme="majorHAnsi" w:cstheme="majorHAnsi"/>
          <w:color w:val="1D1C1D"/>
          <w:sz w:val="18"/>
          <w:szCs w:val="18"/>
        </w:rPr>
        <w:t>, (25 October 2021), available at:</w:t>
      </w:r>
    </w:p>
    <w:p w14:paraId="23CE2FB0" w14:textId="08701A79" w:rsidR="00B46444" w:rsidRPr="00C27D88" w:rsidRDefault="00C27D88" w:rsidP="00C27D88">
      <w:pPr>
        <w:shd w:val="clear" w:color="auto" w:fill="F8F8F8"/>
        <w:spacing w:line="240" w:lineRule="auto"/>
        <w:ind w:left="567"/>
        <w:rPr>
          <w:rFonts w:asciiTheme="majorHAnsi" w:eastAsia="Calibri" w:hAnsiTheme="majorHAnsi" w:cstheme="majorHAnsi"/>
          <w:sz w:val="18"/>
          <w:szCs w:val="18"/>
          <w:highlight w:val="white"/>
        </w:rPr>
      </w:pPr>
      <w:hyperlink r:id="rId12" w:history="1">
        <w:r w:rsidRPr="00141DED">
          <w:rPr>
            <w:rStyle w:val="Hyperlink"/>
            <w:rFonts w:asciiTheme="majorHAnsi" w:eastAsia="Calibri" w:hAnsiTheme="majorHAnsi" w:cstheme="majorHAnsi"/>
            <w:sz w:val="18"/>
            <w:szCs w:val="18"/>
            <w:highlight w:val="white"/>
          </w:rPr>
          <w:t>https://www.manushyafoundation.org/joint-civil-society-cerd-shadow-report</w:t>
        </w:r>
      </w:hyperlink>
      <w:r w:rsidRPr="00C27D88">
        <w:rPr>
          <w:rFonts w:asciiTheme="majorHAnsi" w:eastAsia="Calibri" w:hAnsiTheme="majorHAnsi" w:cstheme="majorHAnsi"/>
          <w:color w:val="1D1C1D"/>
          <w:sz w:val="18"/>
          <w:szCs w:val="18"/>
          <w:highlight w:val="white"/>
        </w:rPr>
        <w:t xml:space="preserve"> </w:t>
      </w:r>
    </w:p>
  </w:footnote>
  <w:footnote w:id="11">
    <w:p w14:paraId="38082990" w14:textId="7FC357DB" w:rsidR="00B46444" w:rsidRPr="00C27D88" w:rsidRDefault="00000000" w:rsidP="00C27D88">
      <w:pPr>
        <w:spacing w:line="240" w:lineRule="auto"/>
        <w:ind w:left="567" w:hanging="283"/>
        <w:rPr>
          <w:rFonts w:asciiTheme="majorHAns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Manushya</w:t>
      </w:r>
      <w:proofErr w:type="spellEnd"/>
      <w:r w:rsidRPr="00C27D88">
        <w:rPr>
          <w:rFonts w:asciiTheme="majorHAnsi" w:eastAsia="Calibri" w:hAnsiTheme="majorHAnsi" w:cstheme="majorHAnsi"/>
          <w:sz w:val="18"/>
          <w:szCs w:val="18"/>
        </w:rPr>
        <w:t xml:space="preserve"> Foundation, </w:t>
      </w:r>
      <w:r w:rsidRPr="00C27D88">
        <w:rPr>
          <w:rFonts w:asciiTheme="majorHAnsi" w:eastAsia="Calibri" w:hAnsiTheme="majorHAnsi" w:cstheme="majorHAnsi"/>
          <w:i/>
          <w:sz w:val="18"/>
          <w:szCs w:val="18"/>
        </w:rPr>
        <w:t>Marginalized in their Own Country: the Hidden Discrimination against Isaan and Southern Thai People</w:t>
      </w:r>
      <w:r w:rsidRPr="00C27D88">
        <w:rPr>
          <w:rFonts w:asciiTheme="majorHAnsi" w:eastAsia="Calibri" w:hAnsiTheme="majorHAnsi" w:cstheme="majorHAnsi"/>
          <w:sz w:val="18"/>
          <w:szCs w:val="18"/>
        </w:rPr>
        <w:t xml:space="preserve"> (21 March 2025), available at: </w:t>
      </w:r>
      <w:hyperlink r:id="rId13">
        <w:r w:rsidR="00B46444" w:rsidRPr="00C27D88">
          <w:rPr>
            <w:rFonts w:asciiTheme="majorHAnsi" w:eastAsia="Calibri" w:hAnsiTheme="majorHAnsi" w:cstheme="majorHAnsi"/>
            <w:color w:val="1155CC"/>
            <w:sz w:val="18"/>
            <w:szCs w:val="18"/>
            <w:u w:val="single"/>
          </w:rPr>
          <w:t>https://www.manushyafoundation.org/post/fightracism-international-day-for-the-elimination-of-racial-discrimination</w:t>
        </w:r>
      </w:hyperlink>
    </w:p>
  </w:footnote>
  <w:footnote w:id="12">
    <w:p w14:paraId="2C2F4840" w14:textId="040E71EF"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SCMP, </w:t>
      </w:r>
      <w:r w:rsidRPr="00C27D88">
        <w:rPr>
          <w:rFonts w:asciiTheme="majorHAnsi" w:eastAsia="Calibri" w:hAnsiTheme="majorHAnsi" w:cstheme="majorHAnsi"/>
          <w:i/>
          <w:sz w:val="18"/>
          <w:szCs w:val="18"/>
        </w:rPr>
        <w:t>Thai trans woman’s brutal murder exposes dark side of Thailand’s tourist boom</w:t>
      </w:r>
      <w:r w:rsidRPr="00C27D88">
        <w:rPr>
          <w:rFonts w:asciiTheme="majorHAnsi" w:eastAsia="Calibri" w:hAnsiTheme="majorHAnsi" w:cstheme="majorHAnsi"/>
          <w:sz w:val="18"/>
          <w:szCs w:val="18"/>
        </w:rPr>
        <w:t xml:space="preserve"> (30 April 2025), available at: </w:t>
      </w:r>
      <w:hyperlink r:id="rId14">
        <w:r w:rsidR="00B46444" w:rsidRPr="00C27D88">
          <w:rPr>
            <w:rFonts w:asciiTheme="majorHAnsi" w:eastAsia="Calibri" w:hAnsiTheme="majorHAnsi" w:cstheme="majorHAnsi"/>
            <w:color w:val="1155CC"/>
            <w:sz w:val="18"/>
            <w:szCs w:val="18"/>
            <w:u w:val="single"/>
          </w:rPr>
          <w:t>https://www.scmp.com/week-asia/people/article/3308488/trans-womans-brutal-murder-exposes-dark-side-thailands-tourist-boom</w:t>
        </w:r>
      </w:hyperlink>
      <w:r w:rsidRPr="00C27D88">
        <w:rPr>
          <w:rFonts w:asciiTheme="majorHAnsi" w:eastAsia="Calibri" w:hAnsiTheme="majorHAnsi" w:cstheme="majorHAnsi"/>
          <w:sz w:val="18"/>
          <w:szCs w:val="18"/>
        </w:rPr>
        <w:t xml:space="preserve">. </w:t>
      </w:r>
    </w:p>
  </w:footnote>
  <w:footnote w:id="13">
    <w:p w14:paraId="2CF393B2" w14:textId="39359D97" w:rsidR="00B46444" w:rsidRPr="00C27D88" w:rsidRDefault="00000000" w:rsidP="00C27D88">
      <w:pPr>
        <w:spacing w:line="240" w:lineRule="auto"/>
        <w:ind w:left="567" w:hanging="283"/>
        <w:rPr>
          <w:rFonts w:asciiTheme="majorHAnsi" w:eastAsia="Georgia" w:hAnsiTheme="majorHAnsi" w:cstheme="majorHAnsi"/>
          <w:i/>
          <w:color w:val="595959"/>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Al Jazeera, </w:t>
      </w:r>
      <w:r w:rsidRPr="00C27D88">
        <w:rPr>
          <w:rFonts w:asciiTheme="majorHAnsi" w:eastAsia="Calibri" w:hAnsiTheme="majorHAnsi" w:cstheme="majorHAnsi"/>
          <w:i/>
          <w:sz w:val="18"/>
          <w:szCs w:val="18"/>
        </w:rPr>
        <w:t>Hunger striking royal reform activist dies in custody in Thailand</w:t>
      </w:r>
      <w:r w:rsidRPr="00C27D88">
        <w:rPr>
          <w:rFonts w:asciiTheme="majorHAnsi" w:eastAsia="Calibri" w:hAnsiTheme="majorHAnsi" w:cstheme="majorHAnsi"/>
          <w:sz w:val="18"/>
          <w:szCs w:val="18"/>
        </w:rPr>
        <w:t xml:space="preserve"> (14 May 2024): </w:t>
      </w:r>
      <w:hyperlink r:id="rId15">
        <w:r w:rsidR="00B46444" w:rsidRPr="00C27D88">
          <w:rPr>
            <w:rFonts w:asciiTheme="majorHAnsi" w:eastAsia="Calibri" w:hAnsiTheme="majorHAnsi" w:cstheme="majorHAnsi"/>
            <w:color w:val="1155CC"/>
            <w:sz w:val="18"/>
            <w:szCs w:val="18"/>
            <w:u w:val="single"/>
          </w:rPr>
          <w:t>https://www.aljazeera.com/news/2024/5/15/hunger-striking-democracy-and-royal-reform-activist-dies-in-thai-prison</w:t>
        </w:r>
      </w:hyperlink>
    </w:p>
  </w:footnote>
  <w:footnote w:id="14">
    <w:p w14:paraId="1775E257" w14:textId="58EB736F"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Manushya</w:t>
      </w:r>
      <w:proofErr w:type="spellEnd"/>
      <w:r w:rsidRPr="00C27D88">
        <w:rPr>
          <w:rFonts w:asciiTheme="majorHAnsi" w:eastAsia="Calibri" w:hAnsiTheme="majorHAnsi" w:cstheme="majorHAnsi"/>
          <w:sz w:val="18"/>
          <w:szCs w:val="18"/>
        </w:rPr>
        <w:t xml:space="preserve"> Foundation, </w:t>
      </w:r>
      <w:r w:rsidRPr="00C27D88">
        <w:rPr>
          <w:rFonts w:asciiTheme="majorHAnsi" w:eastAsia="Calibri" w:hAnsiTheme="majorHAnsi" w:cstheme="majorHAnsi"/>
          <w:i/>
          <w:sz w:val="18"/>
          <w:szCs w:val="18"/>
        </w:rPr>
        <w:t xml:space="preserve">Rest in Power, Bung </w:t>
      </w:r>
      <w:proofErr w:type="spellStart"/>
      <w:r w:rsidRPr="00C27D88">
        <w:rPr>
          <w:rFonts w:asciiTheme="majorHAnsi" w:eastAsia="Calibri" w:hAnsiTheme="majorHAnsi" w:cstheme="majorHAnsi"/>
          <w:i/>
          <w:sz w:val="18"/>
          <w:szCs w:val="18"/>
        </w:rPr>
        <w:t>Netiporn</w:t>
      </w:r>
      <w:proofErr w:type="spellEnd"/>
      <w:r w:rsidRPr="00C27D88">
        <w:rPr>
          <w:rFonts w:asciiTheme="majorHAnsi" w:eastAsia="Calibri" w:hAnsiTheme="majorHAnsi" w:cstheme="majorHAnsi"/>
          <w:i/>
          <w:sz w:val="18"/>
          <w:szCs w:val="18"/>
        </w:rPr>
        <w:t xml:space="preserve"> </w:t>
      </w:r>
      <w:r w:rsidRPr="00C27D88">
        <w:rPr>
          <w:rFonts w:asciiTheme="majorHAnsi" w:eastAsia="Calibri" w:hAnsiTheme="majorHAnsi" w:cstheme="majorHAnsi"/>
          <w:sz w:val="18"/>
          <w:szCs w:val="18"/>
        </w:rPr>
        <w:t xml:space="preserve">(16 May 2024), available at: </w:t>
      </w:r>
      <w:hyperlink r:id="rId16">
        <w:r w:rsidR="00B46444" w:rsidRPr="00C27D88">
          <w:rPr>
            <w:rFonts w:asciiTheme="majorHAnsi" w:eastAsia="Calibri" w:hAnsiTheme="majorHAnsi" w:cstheme="majorHAnsi"/>
            <w:color w:val="1155CC"/>
            <w:sz w:val="18"/>
            <w:szCs w:val="18"/>
            <w:u w:val="single"/>
          </w:rPr>
          <w:t>https://www.manushyafoundation.org/post/bungthaluwang-rest-in-power-bung-netiporn</w:t>
        </w:r>
      </w:hyperlink>
      <w:r w:rsidRPr="00C27D88">
        <w:rPr>
          <w:rFonts w:asciiTheme="majorHAnsi" w:eastAsia="Calibri" w:hAnsiTheme="majorHAnsi" w:cstheme="majorHAnsi"/>
          <w:sz w:val="18"/>
          <w:szCs w:val="18"/>
        </w:rPr>
        <w:t xml:space="preserve"> </w:t>
      </w:r>
    </w:p>
  </w:footnote>
  <w:footnote w:id="15">
    <w:p w14:paraId="2078F2CF" w14:textId="5BB85166" w:rsidR="00B46444" w:rsidRPr="00C27D88" w:rsidRDefault="00000000" w:rsidP="00C27D88">
      <w:pPr>
        <w:spacing w:line="240" w:lineRule="auto"/>
        <w:ind w:left="567" w:hanging="283"/>
        <w:rPr>
          <w:rFonts w:asciiTheme="majorHAns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hAnsiTheme="majorHAnsi" w:cstheme="majorHAnsi"/>
          <w:sz w:val="18"/>
          <w:szCs w:val="18"/>
        </w:rPr>
        <w:t xml:space="preserve"> </w:t>
      </w:r>
      <w:r w:rsidR="00C27D88">
        <w:rPr>
          <w:rFonts w:asciiTheme="majorHAnsi" w:hAnsiTheme="majorHAnsi" w:cstheme="majorHAnsi"/>
          <w:sz w:val="18"/>
          <w:szCs w:val="18"/>
        </w:rPr>
        <w:tab/>
      </w:r>
      <w:r w:rsidRPr="00C27D88">
        <w:rPr>
          <w:rFonts w:asciiTheme="majorHAnsi" w:eastAsia="Calibri" w:hAnsiTheme="majorHAnsi" w:cstheme="majorHAnsi"/>
          <w:sz w:val="18"/>
          <w:szCs w:val="18"/>
        </w:rPr>
        <w:t>Supra note 1</w:t>
      </w:r>
    </w:p>
  </w:footnote>
  <w:footnote w:id="16">
    <w:p w14:paraId="5B07A273" w14:textId="49179B5C"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iLaw</w:t>
      </w:r>
      <w:proofErr w:type="spellEnd"/>
      <w:r w:rsidRPr="00C27D88">
        <w:rPr>
          <w:rFonts w:asciiTheme="majorHAnsi" w:eastAsia="Calibri" w:hAnsiTheme="majorHAnsi" w:cstheme="majorHAnsi"/>
          <w:sz w:val="18"/>
          <w:szCs w:val="18"/>
        </w:rPr>
        <w:t xml:space="preserve">, </w:t>
      </w:r>
      <w:proofErr w:type="spellStart"/>
      <w:proofErr w:type="gramStart"/>
      <w:r w:rsidRPr="00C27D88">
        <w:rPr>
          <w:rFonts w:ascii="Browallia New" w:eastAsia="Calibri" w:hAnsi="Browallia New" w:cs="Browallia New"/>
          <w:sz w:val="18"/>
          <w:szCs w:val="18"/>
        </w:rPr>
        <w:t>โควิดระลอกสาม</w:t>
      </w:r>
      <w:proofErr w:type="spellEnd"/>
      <w:r w:rsidRPr="00C27D88">
        <w:rPr>
          <w:rFonts w:asciiTheme="majorHAnsi" w:eastAsia="Calibri" w:hAnsiTheme="majorHAnsi" w:cstheme="majorHAnsi"/>
          <w:sz w:val="18"/>
          <w:szCs w:val="18"/>
        </w:rPr>
        <w:t xml:space="preserve"> :</w:t>
      </w:r>
      <w:proofErr w:type="gramEnd"/>
      <w:r w:rsidRPr="00C27D88">
        <w:rPr>
          <w:rFonts w:asciiTheme="majorHAnsi" w:eastAsia="Calibri" w:hAnsiTheme="majorHAnsi" w:cstheme="majorHAnsi"/>
          <w:sz w:val="18"/>
          <w:szCs w:val="18"/>
        </w:rPr>
        <w:t xml:space="preserve"> </w:t>
      </w:r>
      <w:r w:rsidRPr="00C27D88">
        <w:rPr>
          <w:rFonts w:ascii="Browallia New" w:eastAsia="Calibri" w:hAnsi="Browallia New" w:cs="Browallia New"/>
          <w:sz w:val="18"/>
          <w:szCs w:val="18"/>
        </w:rPr>
        <w:t>การคุกคามและคดีความที่เกี่ยวเนื่องกับการเรียกร้องในสถานการณ์โควิด</w:t>
      </w:r>
      <w:r w:rsidRPr="00C27D88">
        <w:rPr>
          <w:rFonts w:asciiTheme="majorHAnsi" w:eastAsia="Calibri" w:hAnsiTheme="majorHAnsi" w:cstheme="majorHAnsi"/>
          <w:sz w:val="18"/>
          <w:szCs w:val="18"/>
        </w:rPr>
        <w:t xml:space="preserve"> 19 (16 June 2021), available at: </w:t>
      </w:r>
      <w:hyperlink r:id="rId17">
        <w:r w:rsidR="00B46444" w:rsidRPr="00C27D88">
          <w:rPr>
            <w:rFonts w:asciiTheme="majorHAnsi" w:eastAsia="Calibri" w:hAnsiTheme="majorHAnsi" w:cstheme="majorHAnsi"/>
            <w:color w:val="1155CC"/>
            <w:sz w:val="18"/>
            <w:szCs w:val="18"/>
            <w:u w:val="single"/>
          </w:rPr>
          <w:t>https://www.ilaw.or.th/articles/9825</w:t>
        </w:r>
      </w:hyperlink>
      <w:r w:rsidRPr="00C27D88">
        <w:rPr>
          <w:rFonts w:asciiTheme="majorHAnsi" w:eastAsia="Calibri" w:hAnsiTheme="majorHAnsi" w:cstheme="majorHAnsi"/>
          <w:sz w:val="18"/>
          <w:szCs w:val="18"/>
        </w:rPr>
        <w:t xml:space="preserve">. </w:t>
      </w:r>
    </w:p>
  </w:footnote>
  <w:footnote w:id="17">
    <w:p w14:paraId="4EEFF8E8" w14:textId="29AFE214"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Puttannee</w:t>
      </w:r>
      <w:proofErr w:type="spellEnd"/>
      <w:r w:rsidRPr="00C27D88">
        <w:rPr>
          <w:rFonts w:asciiTheme="majorHAnsi" w:eastAsia="Calibri" w:hAnsiTheme="majorHAnsi" w:cstheme="majorHAnsi"/>
          <w:sz w:val="18"/>
          <w:szCs w:val="18"/>
        </w:rPr>
        <w:t xml:space="preserve"> </w:t>
      </w:r>
      <w:proofErr w:type="spellStart"/>
      <w:r w:rsidRPr="00C27D88">
        <w:rPr>
          <w:rFonts w:asciiTheme="majorHAnsi" w:eastAsia="Calibri" w:hAnsiTheme="majorHAnsi" w:cstheme="majorHAnsi"/>
          <w:sz w:val="18"/>
          <w:szCs w:val="18"/>
        </w:rPr>
        <w:t>Kangkun</w:t>
      </w:r>
      <w:proofErr w:type="spellEnd"/>
      <w:r w:rsidRPr="00C27D88">
        <w:rPr>
          <w:rFonts w:asciiTheme="majorHAnsi" w:eastAsia="Calibri" w:hAnsiTheme="majorHAnsi" w:cstheme="majorHAnsi"/>
          <w:sz w:val="18"/>
          <w:szCs w:val="18"/>
        </w:rPr>
        <w:t xml:space="preserve">, </w:t>
      </w:r>
      <w:r w:rsidRPr="00C27D88">
        <w:rPr>
          <w:rFonts w:asciiTheme="majorHAnsi" w:eastAsia="Calibri" w:hAnsiTheme="majorHAnsi" w:cstheme="majorHAnsi"/>
          <w:i/>
          <w:sz w:val="18"/>
          <w:szCs w:val="18"/>
        </w:rPr>
        <w:t xml:space="preserve">One Step Closer, </w:t>
      </w:r>
      <w:proofErr w:type="gramStart"/>
      <w:r w:rsidRPr="00C27D88">
        <w:rPr>
          <w:rFonts w:asciiTheme="majorHAnsi" w:eastAsia="Calibri" w:hAnsiTheme="majorHAnsi" w:cstheme="majorHAnsi"/>
          <w:i/>
          <w:sz w:val="18"/>
          <w:szCs w:val="18"/>
        </w:rPr>
        <w:t>But  Still</w:t>
      </w:r>
      <w:proofErr w:type="gramEnd"/>
      <w:r w:rsidRPr="00C27D88">
        <w:rPr>
          <w:rFonts w:asciiTheme="majorHAnsi" w:eastAsia="Calibri" w:hAnsiTheme="majorHAnsi" w:cstheme="majorHAnsi"/>
          <w:i/>
          <w:sz w:val="18"/>
          <w:szCs w:val="18"/>
        </w:rPr>
        <w:t xml:space="preserve"> Miles Away from Ending Judicial Harassment of Human Rights Defenders in Thailand</w:t>
      </w:r>
      <w:r w:rsidRPr="00C27D88">
        <w:rPr>
          <w:rFonts w:asciiTheme="majorHAnsi" w:eastAsia="Calibri" w:hAnsiTheme="majorHAnsi" w:cstheme="majorHAnsi"/>
          <w:sz w:val="18"/>
          <w:szCs w:val="18"/>
        </w:rPr>
        <w:t xml:space="preserve"> (4 May 2025), available at: </w:t>
      </w:r>
      <w:hyperlink r:id="rId18">
        <w:r w:rsidR="00B46444" w:rsidRPr="00C27D88">
          <w:rPr>
            <w:rFonts w:asciiTheme="majorHAnsi" w:eastAsia="Calibri" w:hAnsiTheme="majorHAnsi" w:cstheme="majorHAnsi"/>
            <w:color w:val="1155CC"/>
            <w:sz w:val="18"/>
            <w:szCs w:val="18"/>
            <w:u w:val="single"/>
          </w:rPr>
          <w:t>https://prachataienglish.com/node/11393</w:t>
        </w:r>
      </w:hyperlink>
      <w:r w:rsidRPr="00C27D88">
        <w:rPr>
          <w:rFonts w:asciiTheme="majorHAnsi" w:eastAsia="Calibri" w:hAnsiTheme="majorHAnsi" w:cstheme="majorHAnsi"/>
          <w:sz w:val="18"/>
          <w:szCs w:val="18"/>
        </w:rPr>
        <w:t xml:space="preserve">. </w:t>
      </w:r>
    </w:p>
  </w:footnote>
  <w:footnote w:id="18">
    <w:p w14:paraId="672CC208" w14:textId="7A68E218"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 </w:t>
      </w:r>
      <w:r w:rsidRPr="00C27D88">
        <w:rPr>
          <w:rFonts w:asciiTheme="majorHAnsi" w:eastAsia="Calibri" w:hAnsiTheme="majorHAnsi" w:cstheme="majorHAnsi"/>
          <w:i/>
          <w:sz w:val="18"/>
          <w:szCs w:val="18"/>
          <w:highlight w:val="white"/>
        </w:rPr>
        <w:t>Pegasus Spyware Used against Thailand’s Pro-Democracy Movement</w:t>
      </w:r>
      <w:r w:rsidRPr="00C27D88">
        <w:rPr>
          <w:rFonts w:asciiTheme="majorHAnsi" w:eastAsia="Calibri" w:hAnsiTheme="majorHAnsi" w:cstheme="majorHAnsi"/>
          <w:sz w:val="18"/>
          <w:szCs w:val="18"/>
          <w:highlight w:val="white"/>
        </w:rPr>
        <w:t xml:space="preserve"> (17 July 2022): </w:t>
      </w:r>
      <w:hyperlink r:id="rId19">
        <w:r w:rsidR="00B46444" w:rsidRPr="00C27D88">
          <w:rPr>
            <w:rFonts w:asciiTheme="majorHAnsi" w:eastAsia="Calibri" w:hAnsiTheme="majorHAnsi" w:cstheme="majorHAnsi"/>
            <w:color w:val="1155CC"/>
            <w:sz w:val="18"/>
            <w:szCs w:val="18"/>
            <w:highlight w:val="white"/>
            <w:u w:val="single"/>
          </w:rPr>
          <w:t>https://citizenlab.ca/2022/07/geckospy-pegasus-spyware-used-against-thailands-pro-democracy-movement/</w:t>
        </w:r>
      </w:hyperlink>
    </w:p>
  </w:footnote>
  <w:footnote w:id="19">
    <w:p w14:paraId="3B1CA05F" w14:textId="24B6A31D"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Lionel Eddy (ICKONIC), </w:t>
      </w:r>
      <w:r w:rsidRPr="00C27D88">
        <w:rPr>
          <w:rFonts w:asciiTheme="majorHAnsi" w:eastAsia="Calibri" w:hAnsiTheme="majorHAnsi" w:cstheme="majorHAnsi"/>
          <w:i/>
          <w:sz w:val="18"/>
          <w:szCs w:val="18"/>
        </w:rPr>
        <w:t xml:space="preserve">Thailand introduces AI Police robots featuring facial recognition technology </w:t>
      </w:r>
      <w:r w:rsidRPr="00C27D88">
        <w:rPr>
          <w:rFonts w:asciiTheme="majorHAnsi" w:eastAsia="Calibri" w:hAnsiTheme="majorHAnsi" w:cstheme="majorHAnsi"/>
          <w:sz w:val="18"/>
          <w:szCs w:val="18"/>
        </w:rPr>
        <w:t xml:space="preserve">(1 May 2025), available at: </w:t>
      </w:r>
      <w:hyperlink r:id="rId20">
        <w:r w:rsidR="00B46444" w:rsidRPr="00C27D88">
          <w:rPr>
            <w:rFonts w:asciiTheme="majorHAnsi" w:eastAsia="Calibri" w:hAnsiTheme="majorHAnsi" w:cstheme="majorHAnsi"/>
            <w:color w:val="1155CC"/>
            <w:sz w:val="18"/>
            <w:szCs w:val="18"/>
            <w:u w:val="single"/>
          </w:rPr>
          <w:t>https://www.ickonic.com/Read/r/996</w:t>
        </w:r>
      </w:hyperlink>
      <w:r w:rsidRPr="00C27D88">
        <w:rPr>
          <w:rFonts w:asciiTheme="majorHAnsi" w:eastAsia="Calibri" w:hAnsiTheme="majorHAnsi" w:cstheme="majorHAnsi"/>
          <w:sz w:val="18"/>
          <w:szCs w:val="18"/>
        </w:rPr>
        <w:t xml:space="preserve">. </w:t>
      </w:r>
    </w:p>
  </w:footnote>
  <w:footnote w:id="20">
    <w:p w14:paraId="544132D4" w14:textId="0D9C54B3"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Manushya</w:t>
      </w:r>
      <w:proofErr w:type="spellEnd"/>
      <w:r w:rsidRPr="00C27D88">
        <w:rPr>
          <w:rFonts w:asciiTheme="majorHAnsi" w:eastAsia="Calibri" w:hAnsiTheme="majorHAnsi" w:cstheme="majorHAnsi"/>
          <w:sz w:val="18"/>
          <w:szCs w:val="18"/>
        </w:rPr>
        <w:t xml:space="preserve"> Foundation and Freedom House, </w:t>
      </w:r>
      <w:r w:rsidRPr="00C27D88">
        <w:rPr>
          <w:rFonts w:asciiTheme="majorHAnsi" w:eastAsia="Calibri" w:hAnsiTheme="majorHAnsi" w:cstheme="majorHAnsi"/>
          <w:i/>
          <w:sz w:val="18"/>
          <w:szCs w:val="18"/>
        </w:rPr>
        <w:t xml:space="preserve">Freedom on The Net: Thailand’s Country Report 2024 </w:t>
      </w:r>
      <w:r w:rsidRPr="00C27D88">
        <w:rPr>
          <w:rFonts w:asciiTheme="majorHAnsi" w:eastAsia="Calibri" w:hAnsiTheme="majorHAnsi" w:cstheme="majorHAnsi"/>
          <w:sz w:val="18"/>
          <w:szCs w:val="18"/>
        </w:rPr>
        <w:t xml:space="preserve">(November 2024): </w:t>
      </w:r>
      <w:hyperlink r:id="rId21">
        <w:r w:rsidR="00B46444" w:rsidRPr="00C27D88">
          <w:rPr>
            <w:rFonts w:asciiTheme="majorHAnsi" w:eastAsia="Calibri" w:hAnsiTheme="majorHAnsi" w:cstheme="majorHAnsi"/>
            <w:color w:val="1155CC"/>
            <w:sz w:val="18"/>
            <w:szCs w:val="18"/>
            <w:u w:val="single"/>
          </w:rPr>
          <w:t>https://www.manushyafoundation.org/report-fotn-2024</w:t>
        </w:r>
      </w:hyperlink>
      <w:r w:rsidRPr="00C27D88">
        <w:rPr>
          <w:rFonts w:asciiTheme="majorHAnsi" w:eastAsia="Calibri" w:hAnsiTheme="majorHAnsi" w:cstheme="majorHAnsi"/>
          <w:sz w:val="18"/>
          <w:szCs w:val="18"/>
        </w:rPr>
        <w:t xml:space="preserve"> </w:t>
      </w:r>
    </w:p>
  </w:footnote>
  <w:footnote w:id="21">
    <w:p w14:paraId="6447D272" w14:textId="4169FD3E"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ASEAN Regional Coalition to #StopDigitalDictatorship, </w:t>
      </w:r>
      <w:r w:rsidRPr="00C27D88">
        <w:rPr>
          <w:rFonts w:asciiTheme="majorHAnsi" w:eastAsia="Calibri" w:hAnsiTheme="majorHAnsi" w:cstheme="majorHAnsi"/>
          <w:i/>
          <w:sz w:val="18"/>
          <w:szCs w:val="18"/>
        </w:rPr>
        <w:t>Dawn of Digital Dictatorship: Thailand Country Profile</w:t>
      </w:r>
      <w:r w:rsidRPr="00C27D88">
        <w:rPr>
          <w:rFonts w:asciiTheme="majorHAnsi" w:eastAsia="Calibri" w:hAnsiTheme="majorHAnsi" w:cstheme="majorHAnsi"/>
          <w:sz w:val="18"/>
          <w:szCs w:val="18"/>
        </w:rPr>
        <w:t xml:space="preserve"> (June 2024): </w:t>
      </w:r>
      <w:hyperlink r:id="rId22">
        <w:r w:rsidR="00B46444" w:rsidRPr="00C27D88">
          <w:rPr>
            <w:rFonts w:asciiTheme="majorHAnsi" w:eastAsia="Calibri" w:hAnsiTheme="majorHAnsi" w:cstheme="majorHAnsi"/>
            <w:color w:val="1155CC"/>
            <w:sz w:val="18"/>
            <w:szCs w:val="18"/>
            <w:u w:val="single"/>
          </w:rPr>
          <w:t>https://www.manushyafoundation.org/stopdigitaldictatorship-thailand</w:t>
        </w:r>
      </w:hyperlink>
      <w:r w:rsidRPr="00C27D88">
        <w:rPr>
          <w:rFonts w:asciiTheme="majorHAnsi" w:eastAsia="Calibri" w:hAnsiTheme="majorHAnsi" w:cstheme="majorHAnsi"/>
          <w:sz w:val="18"/>
          <w:szCs w:val="18"/>
        </w:rPr>
        <w:t xml:space="preserve"> </w:t>
      </w:r>
    </w:p>
  </w:footnote>
  <w:footnote w:id="22">
    <w:p w14:paraId="32613AAE" w14:textId="1A24FF6E"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Supra note 20</w:t>
      </w:r>
    </w:p>
  </w:footnote>
  <w:footnote w:id="23">
    <w:p w14:paraId="5714E1D4" w14:textId="1867D284"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Safe Abortion Thailand FB Page: </w:t>
      </w:r>
      <w:hyperlink r:id="rId23">
        <w:r w:rsidR="00B46444" w:rsidRPr="00C27D88">
          <w:rPr>
            <w:rFonts w:asciiTheme="majorHAnsi" w:eastAsia="Calibri" w:hAnsiTheme="majorHAnsi" w:cstheme="majorHAnsi"/>
            <w:color w:val="1155CC"/>
            <w:sz w:val="18"/>
            <w:szCs w:val="18"/>
            <w:u w:val="single"/>
          </w:rPr>
          <w:t>https://www.facebook.com/SafeAbortionThailand</w:t>
        </w:r>
      </w:hyperlink>
      <w:r w:rsidRPr="00C27D88">
        <w:rPr>
          <w:rFonts w:asciiTheme="majorHAnsi" w:eastAsia="Calibri" w:hAnsiTheme="majorHAnsi" w:cstheme="majorHAnsi"/>
          <w:sz w:val="18"/>
          <w:szCs w:val="18"/>
        </w:rPr>
        <w:t xml:space="preserve"> </w:t>
      </w:r>
    </w:p>
  </w:footnote>
  <w:footnote w:id="24">
    <w:p w14:paraId="572859D5" w14:textId="6203C43A"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Manushya</w:t>
      </w:r>
      <w:proofErr w:type="spellEnd"/>
      <w:r w:rsidRPr="00C27D88">
        <w:rPr>
          <w:rFonts w:asciiTheme="majorHAnsi" w:eastAsia="Calibri" w:hAnsiTheme="majorHAnsi" w:cstheme="majorHAnsi"/>
          <w:sz w:val="18"/>
          <w:szCs w:val="18"/>
        </w:rPr>
        <w:t xml:space="preserve"> Foundation, #StanfWithTamtang - </w:t>
      </w:r>
      <w:proofErr w:type="spellStart"/>
      <w:r w:rsidRPr="00C27D88">
        <w:rPr>
          <w:rFonts w:asciiTheme="majorHAnsi" w:eastAsia="Calibri" w:hAnsiTheme="majorHAnsi" w:cstheme="majorHAnsi"/>
          <w:i/>
          <w:sz w:val="18"/>
          <w:szCs w:val="18"/>
        </w:rPr>
        <w:t>Tamtang’s</w:t>
      </w:r>
      <w:proofErr w:type="spellEnd"/>
      <w:r w:rsidRPr="00C27D88">
        <w:rPr>
          <w:rFonts w:asciiTheme="majorHAnsi" w:eastAsia="Calibri" w:hAnsiTheme="majorHAnsi" w:cstheme="majorHAnsi"/>
          <w:i/>
          <w:sz w:val="18"/>
          <w:szCs w:val="18"/>
        </w:rPr>
        <w:t xml:space="preserve"> FB page suspended for sharing Legal Abortion Resources</w:t>
      </w:r>
      <w:r w:rsidRPr="00C27D88">
        <w:rPr>
          <w:rFonts w:asciiTheme="majorHAnsi" w:eastAsia="Calibri" w:hAnsiTheme="majorHAnsi" w:cstheme="majorHAnsi"/>
          <w:sz w:val="18"/>
          <w:szCs w:val="18"/>
        </w:rPr>
        <w:t xml:space="preserve"> (12 May 2025), available at: </w:t>
      </w:r>
      <w:hyperlink r:id="rId24">
        <w:r w:rsidR="00B46444" w:rsidRPr="00C27D88">
          <w:rPr>
            <w:rFonts w:asciiTheme="majorHAnsi" w:eastAsia="Calibri" w:hAnsiTheme="majorHAnsi" w:cstheme="majorHAnsi"/>
            <w:color w:val="1155CC"/>
            <w:sz w:val="18"/>
            <w:szCs w:val="18"/>
            <w:u w:val="single"/>
          </w:rPr>
          <w:t>https://www.manushyafoundation.org/post/standwithtamtang-stoptechnocolonialism-abortionisahumanright</w:t>
        </w:r>
      </w:hyperlink>
      <w:r w:rsidRPr="00C27D88">
        <w:rPr>
          <w:rFonts w:asciiTheme="majorHAnsi" w:eastAsia="Calibri" w:hAnsiTheme="majorHAnsi" w:cstheme="majorHAnsi"/>
          <w:sz w:val="18"/>
          <w:szCs w:val="18"/>
        </w:rPr>
        <w:t xml:space="preserve">. See also: AP, </w:t>
      </w:r>
      <w:r w:rsidRPr="00C27D88">
        <w:rPr>
          <w:rFonts w:asciiTheme="majorHAnsi" w:eastAsia="Calibri" w:hAnsiTheme="majorHAnsi" w:cstheme="majorHAnsi"/>
          <w:i/>
          <w:sz w:val="18"/>
          <w:szCs w:val="18"/>
        </w:rPr>
        <w:t>Abortion-rights groups denounce censorship on Meta-owned apps in Latin America and beyond</w:t>
      </w:r>
      <w:r w:rsidRPr="00C27D88">
        <w:rPr>
          <w:rFonts w:asciiTheme="majorHAnsi" w:eastAsia="Calibri" w:hAnsiTheme="majorHAnsi" w:cstheme="majorHAnsi"/>
          <w:sz w:val="18"/>
          <w:szCs w:val="18"/>
        </w:rPr>
        <w:t xml:space="preserve"> (16 May 2025), available at: </w:t>
      </w:r>
      <w:hyperlink r:id="rId25">
        <w:r w:rsidR="00B46444" w:rsidRPr="00C27D88">
          <w:rPr>
            <w:rFonts w:asciiTheme="majorHAnsi" w:eastAsia="Calibri" w:hAnsiTheme="majorHAnsi" w:cstheme="majorHAnsi"/>
            <w:color w:val="1155CC"/>
            <w:sz w:val="18"/>
            <w:szCs w:val="18"/>
            <w:u w:val="single"/>
          </w:rPr>
          <w:t>https://apnews.com/article/mexico-abortion-tech-whatsapp-censorship-meta-instagram-ef425bc0e77fcd279be09559c35b1663?fbclid=IwY2xjawKhmPNleHRuA2FlbQIxMABicmlkETFIV3A4TFVkMG0wQmpQSWV5AR5FMXk9oAF8AjNAnoQTFDrxt3McombtoBTi6um1pEZq9YFA3eKunrbDVQ0Vtg_aem_GBrSOYn-AhFcM3e_AXEaVw</w:t>
        </w:r>
      </w:hyperlink>
    </w:p>
  </w:footnote>
  <w:footnote w:id="25">
    <w:p w14:paraId="420B15B9" w14:textId="458BE0B4" w:rsidR="00B46444" w:rsidRPr="00C27D88" w:rsidRDefault="00000000" w:rsidP="00C27D88">
      <w:pPr>
        <w:spacing w:line="240" w:lineRule="auto"/>
        <w:ind w:left="567" w:hanging="283"/>
        <w:rPr>
          <w:rFonts w:asciiTheme="majorHAnsi" w:eastAsia="Calibri" w:hAnsiTheme="majorHAnsi" w:cstheme="majorHAnsi"/>
          <w:sz w:val="18"/>
          <w:szCs w:val="18"/>
          <w:lang w:val="fr-FR"/>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lang w:val="fr-FR"/>
        </w:rPr>
        <w:t xml:space="preserve"> </w:t>
      </w:r>
      <w:r w:rsidR="00C27D88">
        <w:rPr>
          <w:rFonts w:asciiTheme="majorHAnsi" w:eastAsia="Calibri" w:hAnsiTheme="majorHAnsi" w:cstheme="majorHAnsi"/>
          <w:sz w:val="18"/>
          <w:szCs w:val="18"/>
          <w:lang w:val="fr-FR"/>
        </w:rPr>
        <w:tab/>
      </w:r>
      <w:r w:rsidRPr="00C27D88">
        <w:rPr>
          <w:rFonts w:asciiTheme="majorHAnsi" w:eastAsia="Calibri" w:hAnsiTheme="majorHAnsi" w:cstheme="majorHAnsi"/>
          <w:sz w:val="18"/>
          <w:szCs w:val="18"/>
          <w:lang w:val="fr-FR"/>
        </w:rPr>
        <w:t xml:space="preserve">RSA Thai FB </w:t>
      </w:r>
      <w:proofErr w:type="gramStart"/>
      <w:r w:rsidRPr="00C27D88">
        <w:rPr>
          <w:rFonts w:asciiTheme="majorHAnsi" w:eastAsia="Calibri" w:hAnsiTheme="majorHAnsi" w:cstheme="majorHAnsi"/>
          <w:sz w:val="18"/>
          <w:szCs w:val="18"/>
          <w:lang w:val="fr-FR"/>
        </w:rPr>
        <w:t>page:</w:t>
      </w:r>
      <w:proofErr w:type="gramEnd"/>
      <w:r w:rsidRPr="00C27D88">
        <w:rPr>
          <w:rFonts w:asciiTheme="majorHAnsi" w:eastAsia="Calibri" w:hAnsiTheme="majorHAnsi" w:cstheme="majorHAnsi"/>
          <w:sz w:val="18"/>
          <w:szCs w:val="18"/>
          <w:lang w:val="fr-FR"/>
        </w:rPr>
        <w:t xml:space="preserve"> </w:t>
      </w:r>
      <w:hyperlink r:id="rId26">
        <w:r w:rsidR="00B46444" w:rsidRPr="00C27D88">
          <w:rPr>
            <w:rFonts w:asciiTheme="majorHAnsi" w:eastAsia="Calibri" w:hAnsiTheme="majorHAnsi" w:cstheme="majorHAnsi"/>
            <w:color w:val="1155CC"/>
            <w:sz w:val="18"/>
            <w:szCs w:val="18"/>
            <w:u w:val="single"/>
            <w:lang w:val="fr-FR"/>
          </w:rPr>
          <w:t>https://www.facebook.com/rsathai.org/</w:t>
        </w:r>
      </w:hyperlink>
    </w:p>
  </w:footnote>
  <w:footnote w:id="26">
    <w:p w14:paraId="3E4D2FC7" w14:textId="223827FE"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Manushya</w:t>
      </w:r>
      <w:proofErr w:type="spellEnd"/>
      <w:r w:rsidRPr="00C27D88">
        <w:rPr>
          <w:rFonts w:asciiTheme="majorHAnsi" w:eastAsia="Calibri" w:hAnsiTheme="majorHAnsi" w:cstheme="majorHAnsi"/>
          <w:sz w:val="18"/>
          <w:szCs w:val="18"/>
        </w:rPr>
        <w:t xml:space="preserve"> Foundation,</w:t>
      </w:r>
      <w:r w:rsidRPr="00C27D88">
        <w:rPr>
          <w:rFonts w:asciiTheme="majorHAnsi" w:eastAsia="Calibri" w:hAnsiTheme="majorHAnsi" w:cstheme="majorHAnsi"/>
          <w:i/>
          <w:sz w:val="18"/>
          <w:szCs w:val="18"/>
        </w:rPr>
        <w:t xml:space="preserve"> Balancing progress and human rights: Is Thailand ready for Artificial Intelligence that respects human rights? </w:t>
      </w:r>
      <w:r w:rsidRPr="00C27D88">
        <w:rPr>
          <w:rFonts w:asciiTheme="majorHAnsi" w:eastAsia="Calibri" w:hAnsiTheme="majorHAnsi" w:cstheme="majorHAnsi"/>
          <w:sz w:val="18"/>
          <w:szCs w:val="18"/>
        </w:rPr>
        <w:t xml:space="preserve">(December 2024): </w:t>
      </w:r>
      <w:hyperlink r:id="rId27">
        <w:r w:rsidR="00B46444" w:rsidRPr="00C27D88">
          <w:rPr>
            <w:rFonts w:asciiTheme="majorHAnsi" w:eastAsia="Calibri" w:hAnsiTheme="majorHAnsi" w:cstheme="majorHAnsi"/>
            <w:color w:val="1155CC"/>
            <w:sz w:val="18"/>
            <w:szCs w:val="18"/>
            <w:u w:val="single"/>
          </w:rPr>
          <w:t>https://www.manushyafoundation.org/balancing-progress-and-human-rights</w:t>
        </w:r>
      </w:hyperlink>
    </w:p>
  </w:footnote>
  <w:footnote w:id="27">
    <w:p w14:paraId="322EA967" w14:textId="5F630381" w:rsidR="00B46444" w:rsidRPr="00C27D88" w:rsidRDefault="00000000" w:rsidP="00C27D88">
      <w:pPr>
        <w:spacing w:line="240" w:lineRule="auto"/>
        <w:ind w:left="567" w:hanging="283"/>
        <w:rPr>
          <w:rFonts w:asciiTheme="majorHAns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hAnsiTheme="majorHAnsi" w:cstheme="majorHAnsi"/>
          <w:sz w:val="18"/>
          <w:szCs w:val="18"/>
        </w:rPr>
        <w:t xml:space="preserve"> </w:t>
      </w:r>
      <w:r w:rsidR="00C27D88">
        <w:rPr>
          <w:rFonts w:asciiTheme="majorHAnsi" w:hAnsiTheme="majorHAnsi" w:cstheme="majorHAnsi"/>
          <w:sz w:val="18"/>
          <w:szCs w:val="18"/>
        </w:rPr>
        <w:tab/>
      </w:r>
      <w:r w:rsidRPr="00C27D88">
        <w:rPr>
          <w:rFonts w:asciiTheme="majorHAnsi" w:eastAsia="Calibri" w:hAnsiTheme="majorHAnsi" w:cstheme="majorHAnsi"/>
          <w:sz w:val="18"/>
          <w:szCs w:val="18"/>
        </w:rPr>
        <w:t>Supra Note 1 and Supra Note 10.</w:t>
      </w:r>
    </w:p>
  </w:footnote>
  <w:footnote w:id="28">
    <w:p w14:paraId="4325B287" w14:textId="748A4998"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Rights and Liberties Protection Department, Ministry of Justice, </w:t>
      </w:r>
      <w:hyperlink r:id="rId28">
        <w:r w:rsidR="00B46444" w:rsidRPr="00C27D88">
          <w:rPr>
            <w:rFonts w:asciiTheme="majorHAnsi" w:eastAsia="Calibri" w:hAnsiTheme="majorHAnsi" w:cstheme="majorHAnsi"/>
            <w:i/>
            <w:sz w:val="18"/>
            <w:szCs w:val="18"/>
          </w:rPr>
          <w:t xml:space="preserve">Prevention and Suppression of Torture and Enforced Disappearance Act B.E. 2565 </w:t>
        </w:r>
      </w:hyperlink>
      <w:hyperlink r:id="rId29">
        <w:r w:rsidR="00B46444" w:rsidRPr="00C27D88">
          <w:rPr>
            <w:rFonts w:asciiTheme="majorHAnsi" w:eastAsia="Calibri" w:hAnsiTheme="majorHAnsi" w:cstheme="majorHAnsi"/>
            <w:sz w:val="18"/>
            <w:szCs w:val="18"/>
          </w:rPr>
          <w:t xml:space="preserve">(2022), available at: </w:t>
        </w:r>
      </w:hyperlink>
      <w:hyperlink r:id="rId30">
        <w:r w:rsidR="00B46444" w:rsidRPr="00C27D88">
          <w:rPr>
            <w:rFonts w:asciiTheme="majorHAnsi" w:eastAsia="Calibri" w:hAnsiTheme="majorHAnsi" w:cstheme="majorHAnsi"/>
            <w:color w:val="1155CC"/>
            <w:sz w:val="18"/>
            <w:szCs w:val="18"/>
            <w:u w:val="single"/>
          </w:rPr>
          <w:t>https://www.dsi.go.th/Upload/6bdb5147c2fd1fb6aaf16556c752983f.pdf</w:t>
        </w:r>
      </w:hyperlink>
      <w:r w:rsidRPr="00C27D88">
        <w:rPr>
          <w:rFonts w:asciiTheme="majorHAnsi" w:eastAsia="Calibri" w:hAnsiTheme="majorHAnsi" w:cstheme="majorHAnsi"/>
          <w:sz w:val="18"/>
          <w:szCs w:val="18"/>
        </w:rPr>
        <w:t xml:space="preserve"> </w:t>
      </w:r>
    </w:p>
  </w:footnote>
  <w:footnote w:id="29">
    <w:p w14:paraId="183EC448" w14:textId="78365556"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General Commissariat of National Police (23 May 2025), available at: </w:t>
      </w:r>
      <w:hyperlink r:id="rId31">
        <w:r w:rsidR="00B46444" w:rsidRPr="00C27D88">
          <w:rPr>
            <w:rFonts w:asciiTheme="majorHAnsi" w:eastAsia="Calibri" w:hAnsiTheme="majorHAnsi" w:cstheme="majorHAnsi"/>
            <w:color w:val="1155CC"/>
            <w:sz w:val="18"/>
            <w:szCs w:val="18"/>
            <w:u w:val="single"/>
          </w:rPr>
          <w:t>https://police.gov.kh/?p=72408</w:t>
        </w:r>
      </w:hyperlink>
    </w:p>
  </w:footnote>
  <w:footnote w:id="30">
    <w:p w14:paraId="3AFCAC76" w14:textId="5774AD84"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Manushya</w:t>
      </w:r>
      <w:proofErr w:type="spellEnd"/>
      <w:r w:rsidRPr="00C27D88">
        <w:rPr>
          <w:rFonts w:asciiTheme="majorHAnsi" w:eastAsia="Calibri" w:hAnsiTheme="majorHAnsi" w:cstheme="majorHAnsi"/>
          <w:sz w:val="18"/>
          <w:szCs w:val="18"/>
        </w:rPr>
        <w:t xml:space="preserve"> Foundation, </w:t>
      </w:r>
      <w:r w:rsidRPr="00C27D88">
        <w:rPr>
          <w:rFonts w:asciiTheme="majorHAnsi" w:eastAsia="Calibri" w:hAnsiTheme="majorHAnsi" w:cstheme="majorHAnsi"/>
          <w:i/>
          <w:sz w:val="18"/>
          <w:szCs w:val="18"/>
        </w:rPr>
        <w:t>A Lao student has been sexually assaulted by a government employee!</w:t>
      </w:r>
      <w:r w:rsidRPr="00C27D88">
        <w:rPr>
          <w:rFonts w:asciiTheme="majorHAnsi" w:eastAsia="Calibri" w:hAnsiTheme="majorHAnsi" w:cstheme="majorHAnsi"/>
          <w:sz w:val="18"/>
          <w:szCs w:val="18"/>
        </w:rPr>
        <w:t xml:space="preserve"> (19 June 2024), available at: </w:t>
      </w:r>
      <w:hyperlink r:id="rId32">
        <w:r w:rsidR="00B46444" w:rsidRPr="00C27D88">
          <w:rPr>
            <w:rFonts w:asciiTheme="majorHAnsi" w:eastAsia="Calibri" w:hAnsiTheme="majorHAnsi" w:cstheme="majorHAnsi"/>
            <w:color w:val="1155CC"/>
            <w:sz w:val="18"/>
            <w:szCs w:val="18"/>
            <w:u w:val="single"/>
          </w:rPr>
          <w:t>https://www.manushyafoundation.org/post/justicfornesxy-a-lao-student-has-been-sexually-assaulted-by-a-government-employee</w:t>
        </w:r>
      </w:hyperlink>
    </w:p>
  </w:footnote>
  <w:footnote w:id="31">
    <w:p w14:paraId="0A710E73" w14:textId="323182BC"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Washington Post, </w:t>
      </w:r>
      <w:r w:rsidRPr="00C27D88">
        <w:rPr>
          <w:rFonts w:asciiTheme="majorHAnsi" w:eastAsia="Calibri" w:hAnsiTheme="majorHAnsi" w:cstheme="majorHAnsi"/>
          <w:i/>
          <w:sz w:val="18"/>
          <w:szCs w:val="18"/>
        </w:rPr>
        <w:t>The Countries of Southeast Asia work together to squash dissents</w:t>
      </w:r>
      <w:r w:rsidRPr="00C27D88">
        <w:rPr>
          <w:rFonts w:asciiTheme="majorHAnsi" w:eastAsia="Calibri" w:hAnsiTheme="majorHAnsi" w:cstheme="majorHAnsi"/>
          <w:sz w:val="18"/>
          <w:szCs w:val="18"/>
        </w:rPr>
        <w:t xml:space="preserve"> (January 2025), available at: </w:t>
      </w:r>
      <w:hyperlink r:id="rId33">
        <w:r w:rsidR="00B46444" w:rsidRPr="00C27D88">
          <w:rPr>
            <w:rFonts w:asciiTheme="majorHAnsi" w:eastAsia="Calibri" w:hAnsiTheme="majorHAnsi" w:cstheme="majorHAnsi"/>
            <w:color w:val="1155CC"/>
            <w:sz w:val="18"/>
            <w:szCs w:val="18"/>
            <w:u w:val="single"/>
          </w:rPr>
          <w:t>https://www.washingtonpost.com/world/2025/01/03/southeast-asia-repression-exiles-cambodia-malaysia/</w:t>
        </w:r>
      </w:hyperlink>
    </w:p>
  </w:footnote>
  <w:footnote w:id="32">
    <w:p w14:paraId="2E44149D" w14:textId="0FFD6F10"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Al Jazeera, </w:t>
      </w:r>
      <w:r w:rsidRPr="00C27D88">
        <w:rPr>
          <w:rFonts w:asciiTheme="majorHAnsi" w:eastAsia="Calibri" w:hAnsiTheme="majorHAnsi" w:cstheme="majorHAnsi"/>
          <w:i/>
          <w:sz w:val="18"/>
          <w:szCs w:val="18"/>
        </w:rPr>
        <w:t>Documentary: Cambodia’s Repressive Reach</w:t>
      </w:r>
      <w:r w:rsidRPr="00C27D88">
        <w:rPr>
          <w:rFonts w:asciiTheme="majorHAnsi" w:eastAsia="Calibri" w:hAnsiTheme="majorHAnsi" w:cstheme="majorHAnsi"/>
          <w:sz w:val="18"/>
          <w:szCs w:val="18"/>
        </w:rPr>
        <w:t xml:space="preserve"> (24 May 2025), available at: </w:t>
      </w:r>
      <w:hyperlink r:id="rId34">
        <w:r w:rsidR="00B46444" w:rsidRPr="00C27D88">
          <w:rPr>
            <w:rFonts w:asciiTheme="majorHAnsi" w:eastAsia="Calibri" w:hAnsiTheme="majorHAnsi" w:cstheme="majorHAnsi"/>
            <w:color w:val="1155CC"/>
            <w:sz w:val="18"/>
            <w:szCs w:val="18"/>
            <w:u w:val="single"/>
          </w:rPr>
          <w:t>https://www.youtube.com/watch?v=FR39vs42N9I</w:t>
        </w:r>
      </w:hyperlink>
    </w:p>
  </w:footnote>
  <w:footnote w:id="33">
    <w:p w14:paraId="04D7A5C7" w14:textId="089A688C"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Manushya</w:t>
      </w:r>
      <w:proofErr w:type="spellEnd"/>
      <w:r w:rsidRPr="00C27D88">
        <w:rPr>
          <w:rFonts w:asciiTheme="majorHAnsi" w:eastAsia="Calibri" w:hAnsiTheme="majorHAnsi" w:cstheme="majorHAnsi"/>
          <w:sz w:val="18"/>
          <w:szCs w:val="18"/>
        </w:rPr>
        <w:t xml:space="preserve"> Foundation,</w:t>
      </w:r>
      <w:r w:rsidRPr="00C27D88">
        <w:rPr>
          <w:rFonts w:asciiTheme="majorHAnsi" w:eastAsia="Calibri" w:hAnsiTheme="majorHAnsi" w:cstheme="majorHAnsi"/>
          <w:i/>
          <w:sz w:val="18"/>
          <w:szCs w:val="18"/>
        </w:rPr>
        <w:t xml:space="preserve"> #TransnationalRepression: Former Cambodian Opposition Party Member Lim </w:t>
      </w:r>
      <w:proofErr w:type="spellStart"/>
      <w:r w:rsidRPr="00C27D88">
        <w:rPr>
          <w:rFonts w:asciiTheme="majorHAnsi" w:eastAsia="Calibri" w:hAnsiTheme="majorHAnsi" w:cstheme="majorHAnsi"/>
          <w:i/>
          <w:sz w:val="18"/>
          <w:szCs w:val="18"/>
        </w:rPr>
        <w:t>Kimya</w:t>
      </w:r>
      <w:proofErr w:type="spellEnd"/>
      <w:r w:rsidRPr="00C27D88">
        <w:rPr>
          <w:rFonts w:asciiTheme="majorHAnsi" w:eastAsia="Calibri" w:hAnsiTheme="majorHAnsi" w:cstheme="majorHAnsi"/>
          <w:i/>
          <w:sz w:val="18"/>
          <w:szCs w:val="18"/>
        </w:rPr>
        <w:t xml:space="preserve"> Shot Dead in Thailand! </w:t>
      </w:r>
      <w:r w:rsidRPr="00C27D88">
        <w:rPr>
          <w:rFonts w:asciiTheme="majorHAnsi" w:eastAsia="Calibri" w:hAnsiTheme="majorHAnsi" w:cstheme="majorHAnsi"/>
          <w:sz w:val="18"/>
          <w:szCs w:val="18"/>
        </w:rPr>
        <w:t xml:space="preserve">(9 January 2025), available at: </w:t>
      </w:r>
      <w:hyperlink r:id="rId35">
        <w:r w:rsidR="00B46444" w:rsidRPr="00C27D88">
          <w:rPr>
            <w:rFonts w:asciiTheme="majorHAnsi" w:eastAsia="Calibri" w:hAnsiTheme="majorHAnsi" w:cstheme="majorHAnsi"/>
            <w:color w:val="1155CC"/>
            <w:sz w:val="18"/>
            <w:szCs w:val="18"/>
            <w:u w:val="single"/>
          </w:rPr>
          <w:t>https://www.manushyafoundation.org/post/transnationalrepression-former-cambodian-opposition-party-member-lim-kimya-shot-dead-in-thailan</w:t>
        </w:r>
      </w:hyperlink>
    </w:p>
  </w:footnote>
  <w:footnote w:id="34">
    <w:p w14:paraId="5FFF757E" w14:textId="26A96B06" w:rsidR="00B46444" w:rsidRPr="00C27D88" w:rsidRDefault="00000000" w:rsidP="00C27D88">
      <w:pPr>
        <w:spacing w:line="240" w:lineRule="auto"/>
        <w:ind w:left="567" w:hanging="283"/>
        <w:rPr>
          <w:rFonts w:asciiTheme="majorHAns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proofErr w:type="spellStart"/>
      <w:r w:rsidRPr="00C27D88">
        <w:rPr>
          <w:rFonts w:asciiTheme="majorHAnsi" w:eastAsia="Calibri" w:hAnsiTheme="majorHAnsi" w:cstheme="majorHAnsi"/>
          <w:sz w:val="18"/>
          <w:szCs w:val="18"/>
        </w:rPr>
        <w:t>Manushya</w:t>
      </w:r>
      <w:proofErr w:type="spellEnd"/>
      <w:r w:rsidRPr="00C27D88">
        <w:rPr>
          <w:rFonts w:asciiTheme="majorHAnsi" w:eastAsia="Calibri" w:hAnsiTheme="majorHAnsi" w:cstheme="majorHAnsi"/>
          <w:sz w:val="18"/>
          <w:szCs w:val="18"/>
        </w:rPr>
        <w:t xml:space="preserve"> Foundation, </w:t>
      </w:r>
      <w:r w:rsidRPr="00C27D88">
        <w:rPr>
          <w:rFonts w:asciiTheme="majorHAnsi" w:eastAsia="Calibri" w:hAnsiTheme="majorHAnsi" w:cstheme="majorHAnsi"/>
          <w:i/>
          <w:sz w:val="18"/>
          <w:szCs w:val="18"/>
        </w:rPr>
        <w:t xml:space="preserve">#SaveUyghur #BREAKING: THAILAND DEPORTS 40 UYGHURS TO CHINA—This is Transnational Repression in Action! </w:t>
      </w:r>
      <w:r w:rsidRPr="00C27D88">
        <w:rPr>
          <w:rFonts w:asciiTheme="majorHAnsi" w:eastAsia="Calibri" w:hAnsiTheme="majorHAnsi" w:cstheme="majorHAnsi"/>
          <w:sz w:val="18"/>
          <w:szCs w:val="18"/>
        </w:rPr>
        <w:t xml:space="preserve">(27 February 2025): </w:t>
      </w:r>
      <w:hyperlink r:id="rId36">
        <w:r w:rsidR="00B46444" w:rsidRPr="00C27D88">
          <w:rPr>
            <w:rFonts w:asciiTheme="majorHAnsi" w:eastAsia="Calibri" w:hAnsiTheme="majorHAnsi" w:cstheme="majorHAnsi"/>
            <w:color w:val="1155CC"/>
            <w:sz w:val="18"/>
            <w:szCs w:val="18"/>
            <w:u w:val="single"/>
          </w:rPr>
          <w:t>https://www.manushyafoundation.org/post/saveuyghur-breaking-thailand-secretly-deports-40-uyghurs-to-china-cctv-confirms-it</w:t>
        </w:r>
      </w:hyperlink>
      <w:r w:rsidRPr="00C27D88">
        <w:rPr>
          <w:rFonts w:asciiTheme="majorHAnsi" w:eastAsia="Calibri" w:hAnsiTheme="majorHAnsi" w:cstheme="majorHAnsi"/>
          <w:sz w:val="18"/>
          <w:szCs w:val="18"/>
        </w:rPr>
        <w:t xml:space="preserve"> </w:t>
      </w:r>
    </w:p>
  </w:footnote>
  <w:footnote w:id="35">
    <w:p w14:paraId="664B576F" w14:textId="4C7B8671" w:rsidR="00B46444" w:rsidRPr="00C27D88" w:rsidRDefault="00000000" w:rsidP="00C27D88">
      <w:pPr>
        <w:spacing w:line="240" w:lineRule="auto"/>
        <w:ind w:left="567" w:hanging="283"/>
        <w:rPr>
          <w:rFonts w:asciiTheme="majorHAnsi" w:eastAsia="Calibri" w:hAnsiTheme="majorHAnsi" w:cstheme="majorHAnsi"/>
          <w:sz w:val="18"/>
          <w:szCs w:val="18"/>
        </w:rPr>
      </w:pPr>
      <w:r w:rsidRPr="00C27D88">
        <w:rPr>
          <w:rFonts w:asciiTheme="majorHAnsi" w:hAnsiTheme="majorHAnsi" w:cstheme="majorHAnsi"/>
          <w:sz w:val="18"/>
          <w:szCs w:val="18"/>
          <w:vertAlign w:val="superscript"/>
        </w:rPr>
        <w:footnoteRef/>
      </w:r>
      <w:r w:rsidRPr="00C27D88">
        <w:rPr>
          <w:rFonts w:asciiTheme="majorHAnsi" w:eastAsia="Calibri" w:hAnsiTheme="majorHAnsi" w:cstheme="majorHAnsi"/>
          <w:sz w:val="18"/>
          <w:szCs w:val="18"/>
        </w:rPr>
        <w:t xml:space="preserve"> </w:t>
      </w:r>
      <w:r w:rsidR="00C27D88">
        <w:rPr>
          <w:rFonts w:asciiTheme="majorHAnsi" w:eastAsia="Calibri" w:hAnsiTheme="majorHAnsi" w:cstheme="majorHAnsi"/>
          <w:sz w:val="18"/>
          <w:szCs w:val="18"/>
        </w:rPr>
        <w:tab/>
      </w:r>
      <w:r w:rsidRPr="00C27D88">
        <w:rPr>
          <w:rFonts w:asciiTheme="majorHAnsi" w:eastAsia="Calibri" w:hAnsiTheme="majorHAnsi" w:cstheme="majorHAnsi"/>
          <w:sz w:val="18"/>
          <w:szCs w:val="18"/>
        </w:rPr>
        <w:t xml:space="preserve">OHCHR, </w:t>
      </w:r>
      <w:r w:rsidRPr="00C27D88">
        <w:rPr>
          <w:rFonts w:asciiTheme="majorHAnsi" w:eastAsia="Calibri" w:hAnsiTheme="majorHAnsi" w:cstheme="majorHAnsi"/>
          <w:i/>
          <w:sz w:val="18"/>
          <w:szCs w:val="18"/>
        </w:rPr>
        <w:t>Thailand must immediately halt deportation of 48 Uyghurs to China: UN experts</w:t>
      </w:r>
      <w:r w:rsidRPr="00C27D88">
        <w:rPr>
          <w:rFonts w:asciiTheme="majorHAnsi" w:eastAsia="Calibri" w:hAnsiTheme="majorHAnsi" w:cstheme="majorHAnsi"/>
          <w:sz w:val="18"/>
          <w:szCs w:val="18"/>
        </w:rPr>
        <w:t xml:space="preserve"> (21 January 2025): </w:t>
      </w:r>
      <w:hyperlink r:id="rId37">
        <w:r w:rsidR="00B46444" w:rsidRPr="00C27D88">
          <w:rPr>
            <w:rFonts w:asciiTheme="majorHAnsi" w:eastAsia="Calibri" w:hAnsiTheme="majorHAnsi" w:cstheme="majorHAnsi"/>
            <w:color w:val="1155CC"/>
            <w:sz w:val="18"/>
            <w:szCs w:val="18"/>
            <w:u w:val="single"/>
          </w:rPr>
          <w:t>https://www.ohchr.org/en/press-releases/2025/01/thailand-must-immediately-halt-deportation-48-uyghurs-china-un-experts</w:t>
        </w:r>
      </w:hyperlink>
    </w:p>
    <w:p w14:paraId="73663668" w14:textId="77777777" w:rsidR="00B46444" w:rsidRPr="00C27D88" w:rsidRDefault="00B46444" w:rsidP="00C27D88">
      <w:pPr>
        <w:spacing w:line="240" w:lineRule="auto"/>
        <w:ind w:left="567" w:hanging="283"/>
        <w:rPr>
          <w:rFonts w:asciiTheme="majorHAnsi" w:eastAsia="Calibri" w:hAnsiTheme="majorHAnsi" w:cstheme="majorHAnsi"/>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202EB0" w14:textId="77777777" w:rsidR="00C27D88" w:rsidRDefault="00C27D88" w:rsidP="00C27D88">
    <w:r>
      <w:rPr>
        <w:noProof/>
      </w:rPr>
      <w:drawing>
        <wp:anchor distT="114300" distB="114300" distL="114300" distR="114300" simplePos="0" relativeHeight="251659264" behindDoc="0" locked="0" layoutInCell="1" hidden="0" allowOverlap="1" wp14:anchorId="2BA0B5F1" wp14:editId="579198BF">
          <wp:simplePos x="0" y="0"/>
          <wp:positionH relativeFrom="column">
            <wp:posOffset>5505450</wp:posOffset>
          </wp:positionH>
          <wp:positionV relativeFrom="paragraph">
            <wp:posOffset>28576</wp:posOffset>
          </wp:positionV>
          <wp:extent cx="1352550" cy="645334"/>
          <wp:effectExtent l="0" t="0" r="0" b="0"/>
          <wp:wrapNone/>
          <wp:docPr id="1" name="image4.jpg" descr="A black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4.jpg" descr="A black and white logo&#10;&#10;Description automatically generated"/>
                  <pic:cNvPicPr preferRelativeResize="0"/>
                </pic:nvPicPr>
                <pic:blipFill>
                  <a:blip r:embed="rId1"/>
                  <a:srcRect/>
                  <a:stretch>
                    <a:fillRect/>
                  </a:stretch>
                </pic:blipFill>
                <pic:spPr>
                  <a:xfrm>
                    <a:off x="0" y="0"/>
                    <a:ext cx="1352550" cy="645334"/>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2EFA8D0F" wp14:editId="079DAF22">
          <wp:simplePos x="0" y="0"/>
          <wp:positionH relativeFrom="column">
            <wp:posOffset>-66674</wp:posOffset>
          </wp:positionH>
          <wp:positionV relativeFrom="paragraph">
            <wp:posOffset>28576</wp:posOffset>
          </wp:positionV>
          <wp:extent cx="776288" cy="776288"/>
          <wp:effectExtent l="0" t="0" r="0" b="0"/>
          <wp:wrapNone/>
          <wp:docPr id="7" name="image5.jpg" descr="A yellow circle with purple and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5.jpg" descr="A yellow circle with purple and black text&#10;&#10;Description automatically generated"/>
                  <pic:cNvPicPr preferRelativeResize="0"/>
                </pic:nvPicPr>
                <pic:blipFill>
                  <a:blip r:embed="rId2"/>
                  <a:srcRect/>
                  <a:stretch>
                    <a:fillRect/>
                  </a:stretch>
                </pic:blipFill>
                <pic:spPr>
                  <a:xfrm>
                    <a:off x="0" y="0"/>
                    <a:ext cx="776288" cy="776288"/>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39D45852" wp14:editId="4754535D">
          <wp:simplePos x="0" y="0"/>
          <wp:positionH relativeFrom="column">
            <wp:posOffset>1724025</wp:posOffset>
          </wp:positionH>
          <wp:positionV relativeFrom="paragraph">
            <wp:posOffset>71438</wp:posOffset>
          </wp:positionV>
          <wp:extent cx="3905250" cy="561975"/>
          <wp:effectExtent l="0" t="0" r="0" b="0"/>
          <wp:wrapNone/>
          <wp:docPr id="6" name="image2.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2.png" descr="A close up of a logo&#10;&#10;Description automatically generated"/>
                  <pic:cNvPicPr preferRelativeResize="0"/>
                </pic:nvPicPr>
                <pic:blipFill>
                  <a:blip r:embed="rId3"/>
                  <a:srcRect/>
                  <a:stretch>
                    <a:fillRect/>
                  </a:stretch>
                </pic:blipFill>
                <pic:spPr>
                  <a:xfrm>
                    <a:off x="0" y="0"/>
                    <a:ext cx="3905250" cy="561975"/>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7F752BD6" wp14:editId="260637A6">
          <wp:simplePos x="0" y="0"/>
          <wp:positionH relativeFrom="column">
            <wp:posOffset>1047750</wp:posOffset>
          </wp:positionH>
          <wp:positionV relativeFrom="paragraph">
            <wp:posOffset>28576</wp:posOffset>
          </wp:positionV>
          <wp:extent cx="781050" cy="781050"/>
          <wp:effectExtent l="0" t="0" r="0" b="0"/>
          <wp:wrapNone/>
          <wp:docPr id="5" name="image6.jpg" descr="A logo with whit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6.jpg" descr="A logo with white flowers&#10;&#10;Description automatically generated"/>
                  <pic:cNvPicPr preferRelativeResize="0"/>
                </pic:nvPicPr>
                <pic:blipFill>
                  <a:blip r:embed="rId4"/>
                  <a:srcRect/>
                  <a:stretch>
                    <a:fillRect/>
                  </a:stretch>
                </pic:blipFill>
                <pic:spPr>
                  <a:xfrm>
                    <a:off x="0" y="0"/>
                    <a:ext cx="781050" cy="781050"/>
                  </a:xfrm>
                  <a:prstGeom prst="rect">
                    <a:avLst/>
                  </a:prstGeom>
                  <a:ln/>
                </pic:spPr>
              </pic:pic>
            </a:graphicData>
          </a:graphic>
        </wp:anchor>
      </w:drawing>
    </w:r>
  </w:p>
  <w:tbl>
    <w:tblPr>
      <w:tblStyle w:val="a"/>
      <w:tblW w:w="5965" w:type="dxa"/>
      <w:tblLayout w:type="fixed"/>
      <w:tblLook w:val="0600" w:firstRow="0" w:lastRow="0" w:firstColumn="0" w:lastColumn="0" w:noHBand="1" w:noVBand="1"/>
    </w:tblPr>
    <w:tblGrid>
      <w:gridCol w:w="3140"/>
      <w:gridCol w:w="2825"/>
    </w:tblGrid>
    <w:tr w:rsidR="00C27D88" w14:paraId="1AE5915B" w14:textId="77777777" w:rsidTr="000B78DF">
      <w:trPr>
        <w:trHeight w:val="245"/>
      </w:trPr>
      <w:tc>
        <w:tcPr>
          <w:tcW w:w="3140" w:type="dxa"/>
          <w:tcMar>
            <w:top w:w="100" w:type="dxa"/>
            <w:left w:w="100" w:type="dxa"/>
            <w:bottom w:w="100" w:type="dxa"/>
            <w:right w:w="100" w:type="dxa"/>
          </w:tcMar>
        </w:tcPr>
        <w:p w14:paraId="3EABCA9D" w14:textId="77777777" w:rsidR="00C27D88" w:rsidRDefault="00C27D88" w:rsidP="00C27D88"/>
      </w:tc>
      <w:tc>
        <w:tcPr>
          <w:tcW w:w="2825" w:type="dxa"/>
          <w:shd w:val="clear" w:color="auto" w:fill="auto"/>
          <w:tcMar>
            <w:top w:w="100" w:type="dxa"/>
            <w:left w:w="100" w:type="dxa"/>
            <w:bottom w:w="100" w:type="dxa"/>
            <w:right w:w="100" w:type="dxa"/>
          </w:tcMar>
        </w:tcPr>
        <w:p w14:paraId="5F88B71C" w14:textId="77777777" w:rsidR="00C27D88" w:rsidRDefault="00C27D88" w:rsidP="00C27D88"/>
      </w:tc>
    </w:tr>
    <w:tr w:rsidR="00C27D88" w14:paraId="60BF72B7" w14:textId="77777777" w:rsidTr="000B78DF">
      <w:trPr>
        <w:trHeight w:val="860"/>
      </w:trPr>
      <w:tc>
        <w:tcPr>
          <w:tcW w:w="3140" w:type="dxa"/>
          <w:tcMar>
            <w:top w:w="100" w:type="dxa"/>
            <w:left w:w="100" w:type="dxa"/>
            <w:bottom w:w="100" w:type="dxa"/>
            <w:right w:w="100" w:type="dxa"/>
          </w:tcMar>
        </w:tcPr>
        <w:p w14:paraId="7405FDE9" w14:textId="77777777" w:rsidR="00C27D88" w:rsidRDefault="00C27D88" w:rsidP="00C27D88">
          <w:r>
            <w:rPr>
              <w:noProof/>
            </w:rPr>
            <w:drawing>
              <wp:anchor distT="114300" distB="114300" distL="114300" distR="114300" simplePos="0" relativeHeight="251663360" behindDoc="0" locked="0" layoutInCell="1" hidden="0" allowOverlap="1" wp14:anchorId="50982AE8" wp14:editId="090EF07A">
                <wp:simplePos x="0" y="0"/>
                <wp:positionH relativeFrom="column">
                  <wp:posOffset>733425</wp:posOffset>
                </wp:positionH>
                <wp:positionV relativeFrom="paragraph">
                  <wp:posOffset>438150</wp:posOffset>
                </wp:positionV>
                <wp:extent cx="2228850" cy="557213"/>
                <wp:effectExtent l="0" t="0" r="0" b="0"/>
                <wp:wrapNone/>
                <wp:docPr id="3" name="image3.png" descr="A black background with a black squar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 name="image3.png" descr="A black background with a black square&#10;&#10;Description automatically generated with medium confidence"/>
                        <pic:cNvPicPr preferRelativeResize="0"/>
                      </pic:nvPicPr>
                      <pic:blipFill>
                        <a:blip r:embed="rId5"/>
                        <a:srcRect/>
                        <a:stretch>
                          <a:fillRect/>
                        </a:stretch>
                      </pic:blipFill>
                      <pic:spPr>
                        <a:xfrm>
                          <a:off x="0" y="0"/>
                          <a:ext cx="2228850" cy="557213"/>
                        </a:xfrm>
                        <a:prstGeom prst="rect">
                          <a:avLst/>
                        </a:prstGeom>
                        <a:ln/>
                      </pic:spPr>
                    </pic:pic>
                  </a:graphicData>
                </a:graphic>
              </wp:anchor>
            </w:drawing>
          </w:r>
        </w:p>
      </w:tc>
      <w:tc>
        <w:tcPr>
          <w:tcW w:w="2825" w:type="dxa"/>
          <w:tcMar>
            <w:top w:w="100" w:type="dxa"/>
            <w:left w:w="100" w:type="dxa"/>
            <w:bottom w:w="100" w:type="dxa"/>
            <w:right w:w="100" w:type="dxa"/>
          </w:tcMar>
        </w:tcPr>
        <w:p w14:paraId="24EADA25" w14:textId="77777777" w:rsidR="00C27D88" w:rsidRDefault="00C27D88" w:rsidP="00C27D88">
          <w:r>
            <w:rPr>
              <w:noProof/>
            </w:rPr>
            <w:drawing>
              <wp:anchor distT="114300" distB="114300" distL="114300" distR="114300" simplePos="0" relativeHeight="251664384" behindDoc="1" locked="0" layoutInCell="1" hidden="0" allowOverlap="1" wp14:anchorId="01EAEFD3" wp14:editId="1D2C3C0F">
                <wp:simplePos x="0" y="0"/>
                <wp:positionH relativeFrom="column">
                  <wp:posOffset>1446868</wp:posOffset>
                </wp:positionH>
                <wp:positionV relativeFrom="paragraph">
                  <wp:posOffset>371475</wp:posOffset>
                </wp:positionV>
                <wp:extent cx="2686982" cy="740187"/>
                <wp:effectExtent l="0" t="0" r="0" b="0"/>
                <wp:wrapNone/>
                <wp:docPr id="2" name="image1.jpg"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jpg" descr="A black text on a white background&#10;&#10;Description automatically generated"/>
                        <pic:cNvPicPr preferRelativeResize="0"/>
                      </pic:nvPicPr>
                      <pic:blipFill>
                        <a:blip r:embed="rId6"/>
                        <a:srcRect/>
                        <a:stretch>
                          <a:fillRect/>
                        </a:stretch>
                      </pic:blipFill>
                      <pic:spPr>
                        <a:xfrm>
                          <a:off x="0" y="0"/>
                          <a:ext cx="2686982" cy="740187"/>
                        </a:xfrm>
                        <a:prstGeom prst="rect">
                          <a:avLst/>
                        </a:prstGeom>
                        <a:ln/>
                      </pic:spPr>
                    </pic:pic>
                  </a:graphicData>
                </a:graphic>
              </wp:anchor>
            </w:drawing>
          </w:r>
        </w:p>
      </w:tc>
    </w:tr>
  </w:tbl>
  <w:p w14:paraId="0B7627DB" w14:textId="7A114F67" w:rsidR="00B46444" w:rsidRDefault="00B46444"/>
  <w:p w14:paraId="4EE3C59D" w14:textId="77777777" w:rsidR="00B46444" w:rsidRDefault="00B46444"/>
  <w:p w14:paraId="1320F5B3" w14:textId="77777777" w:rsidR="00B46444" w:rsidRDefault="00B46444"/>
  <w:p w14:paraId="727E8973" w14:textId="77777777" w:rsidR="00B46444" w:rsidRDefault="00B4644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4057E9"/>
    <w:multiLevelType w:val="multilevel"/>
    <w:tmpl w:val="D8304DD8"/>
    <w:lvl w:ilvl="0">
      <w:start w:val="1"/>
      <w:numFmt w:val="decimal"/>
      <w:lvlText w:val="%1."/>
      <w:lvlJc w:val="left"/>
      <w:pPr>
        <w:tabs>
          <w:tab w:val="num" w:pos="720"/>
        </w:tabs>
        <w:ind w:left="720" w:hanging="360"/>
      </w:pPr>
      <w:rPr>
        <w:b w:val="0"/>
        <w:bCs w:val="0"/>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44669C"/>
    <w:multiLevelType w:val="multilevel"/>
    <w:tmpl w:val="7AEE6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FE1571"/>
    <w:multiLevelType w:val="multilevel"/>
    <w:tmpl w:val="9B58E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7C32C9"/>
    <w:multiLevelType w:val="multilevel"/>
    <w:tmpl w:val="1AC43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344DE7"/>
    <w:multiLevelType w:val="multilevel"/>
    <w:tmpl w:val="DB643B14"/>
    <w:lvl w:ilvl="0">
      <w:start w:val="1"/>
      <w:numFmt w:val="decimal"/>
      <w:lvlText w:val="%1."/>
      <w:lvlJc w:val="left"/>
      <w:pPr>
        <w:ind w:left="720" w:hanging="360"/>
      </w:pPr>
      <w:rPr>
        <w:color w:val="000000"/>
        <w:u w:val="none"/>
        <w:shd w:val="clear" w:color="auto" w:fill="auto"/>
      </w:rPr>
    </w:lvl>
    <w:lvl w:ilvl="1">
      <w:start w:val="1"/>
      <w:numFmt w:val="bullet"/>
      <w:lvlText w:val="○"/>
      <w:lvlJc w:val="left"/>
      <w:pPr>
        <w:ind w:left="1440" w:hanging="360"/>
      </w:pPr>
      <w:rPr>
        <w:u w:val="none"/>
        <w:shd w:val="clear" w:color="auto" w:fill="auto"/>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E35521"/>
    <w:multiLevelType w:val="multilevel"/>
    <w:tmpl w:val="30C44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01DCC"/>
    <w:multiLevelType w:val="multilevel"/>
    <w:tmpl w:val="860E4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0C5052"/>
    <w:multiLevelType w:val="multilevel"/>
    <w:tmpl w:val="4C4A4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AF5623"/>
    <w:multiLevelType w:val="multilevel"/>
    <w:tmpl w:val="A4B67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945A2D"/>
    <w:multiLevelType w:val="multilevel"/>
    <w:tmpl w:val="84426F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5EC6CB1"/>
    <w:multiLevelType w:val="multilevel"/>
    <w:tmpl w:val="0DB8C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217322"/>
    <w:multiLevelType w:val="multilevel"/>
    <w:tmpl w:val="52A0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CA5298"/>
    <w:multiLevelType w:val="multilevel"/>
    <w:tmpl w:val="C388A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4E699A"/>
    <w:multiLevelType w:val="multilevel"/>
    <w:tmpl w:val="286E5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D509FC"/>
    <w:multiLevelType w:val="multilevel"/>
    <w:tmpl w:val="69EC0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EE7C39"/>
    <w:multiLevelType w:val="multilevel"/>
    <w:tmpl w:val="E75C3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DC3350"/>
    <w:multiLevelType w:val="multilevel"/>
    <w:tmpl w:val="688E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F5358C"/>
    <w:multiLevelType w:val="multilevel"/>
    <w:tmpl w:val="DDE8D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F15D48"/>
    <w:multiLevelType w:val="multilevel"/>
    <w:tmpl w:val="9DA43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0598045">
    <w:abstractNumId w:val="4"/>
  </w:num>
  <w:num w:numId="2" w16cid:durableId="1580289482">
    <w:abstractNumId w:val="5"/>
  </w:num>
  <w:num w:numId="3" w16cid:durableId="1958101356">
    <w:abstractNumId w:val="7"/>
  </w:num>
  <w:num w:numId="4" w16cid:durableId="889344986">
    <w:abstractNumId w:val="1"/>
  </w:num>
  <w:num w:numId="5" w16cid:durableId="641497163">
    <w:abstractNumId w:val="17"/>
  </w:num>
  <w:num w:numId="6" w16cid:durableId="1299646655">
    <w:abstractNumId w:val="11"/>
  </w:num>
  <w:num w:numId="7" w16cid:durableId="871957758">
    <w:abstractNumId w:val="2"/>
  </w:num>
  <w:num w:numId="8" w16cid:durableId="1741363753">
    <w:abstractNumId w:val="3"/>
  </w:num>
  <w:num w:numId="9" w16cid:durableId="355813233">
    <w:abstractNumId w:val="16"/>
  </w:num>
  <w:num w:numId="10" w16cid:durableId="1045787220">
    <w:abstractNumId w:val="0"/>
  </w:num>
  <w:num w:numId="11" w16cid:durableId="275718510">
    <w:abstractNumId w:val="13"/>
  </w:num>
  <w:num w:numId="12" w16cid:durableId="1522939268">
    <w:abstractNumId w:val="10"/>
  </w:num>
  <w:num w:numId="13" w16cid:durableId="448938151">
    <w:abstractNumId w:val="12"/>
  </w:num>
  <w:num w:numId="14" w16cid:durableId="2081711207">
    <w:abstractNumId w:val="18"/>
  </w:num>
  <w:num w:numId="15" w16cid:durableId="610893357">
    <w:abstractNumId w:val="8"/>
  </w:num>
  <w:num w:numId="16" w16cid:durableId="1784642487">
    <w:abstractNumId w:val="15"/>
  </w:num>
  <w:num w:numId="17" w16cid:durableId="2133934349">
    <w:abstractNumId w:val="6"/>
  </w:num>
  <w:num w:numId="18" w16cid:durableId="290980720">
    <w:abstractNumId w:val="14"/>
  </w:num>
  <w:num w:numId="19" w16cid:durableId="6199200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444"/>
    <w:rsid w:val="000D36BF"/>
    <w:rsid w:val="001959A6"/>
    <w:rsid w:val="004173B1"/>
    <w:rsid w:val="004848D6"/>
    <w:rsid w:val="004F1E37"/>
    <w:rsid w:val="005C4EEB"/>
    <w:rsid w:val="006849FE"/>
    <w:rsid w:val="007A57E9"/>
    <w:rsid w:val="007B3913"/>
    <w:rsid w:val="0097148F"/>
    <w:rsid w:val="00B43B69"/>
    <w:rsid w:val="00B46444"/>
    <w:rsid w:val="00BA42AC"/>
    <w:rsid w:val="00C27D88"/>
    <w:rsid w:val="00C404C0"/>
    <w:rsid w:val="00DC34BE"/>
    <w:rsid w:val="00DD4582"/>
    <w:rsid w:val="00E50D05"/>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403D8"/>
  <w15:docId w15:val="{F4191705-C9D6-F443-BC01-83313EAB8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line="240" w:lineRule="auto"/>
      <w:outlineLvl w:val="1"/>
    </w:pPr>
    <w:rPr>
      <w:b/>
      <w:color w:val="FF3300"/>
    </w:rPr>
  </w:style>
  <w:style w:type="paragraph" w:styleId="Heading3">
    <w:name w:val="heading 3"/>
    <w:basedOn w:val="Normal"/>
    <w:next w:val="Normal"/>
    <w:uiPriority w:val="9"/>
    <w:unhideWhenUsed/>
    <w:qFormat/>
    <w:pPr>
      <w:keepNext/>
      <w:keepLines/>
      <w:spacing w:line="240" w:lineRule="auto"/>
      <w:outlineLvl w:val="2"/>
    </w:pPr>
    <w:rPr>
      <w:rFonts w:ascii="Calibri" w:eastAsia="Calibri" w:hAnsi="Calibri" w:cs="Calibri"/>
      <w:b/>
      <w:color w:val="FF6600"/>
    </w:rPr>
  </w:style>
  <w:style w:type="paragraph" w:styleId="Heading4">
    <w:name w:val="heading 4"/>
    <w:basedOn w:val="Normal"/>
    <w:next w:val="Normal"/>
    <w:uiPriority w:val="9"/>
    <w:unhideWhenUsed/>
    <w:qFormat/>
    <w:pPr>
      <w:keepNext/>
      <w:keepLines/>
      <w:outlineLvl w:val="3"/>
    </w:pPr>
    <w:rPr>
      <w:rFonts w:ascii="Calibri" w:eastAsia="Calibri" w:hAnsi="Calibri" w:cs="Calibri"/>
      <w:b/>
      <w:color w:val="FF9900"/>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27D88"/>
    <w:pPr>
      <w:tabs>
        <w:tab w:val="center" w:pos="4513"/>
        <w:tab w:val="right" w:pos="9026"/>
      </w:tabs>
      <w:spacing w:line="240" w:lineRule="auto"/>
    </w:pPr>
  </w:style>
  <w:style w:type="character" w:customStyle="1" w:styleId="HeaderChar">
    <w:name w:val="Header Char"/>
    <w:basedOn w:val="DefaultParagraphFont"/>
    <w:link w:val="Header"/>
    <w:uiPriority w:val="99"/>
    <w:rsid w:val="00C27D88"/>
  </w:style>
  <w:style w:type="paragraph" w:styleId="Footer">
    <w:name w:val="footer"/>
    <w:basedOn w:val="Normal"/>
    <w:link w:val="FooterChar"/>
    <w:uiPriority w:val="99"/>
    <w:unhideWhenUsed/>
    <w:rsid w:val="00C27D88"/>
    <w:pPr>
      <w:tabs>
        <w:tab w:val="center" w:pos="4513"/>
        <w:tab w:val="right" w:pos="9026"/>
      </w:tabs>
      <w:spacing w:line="240" w:lineRule="auto"/>
    </w:pPr>
  </w:style>
  <w:style w:type="character" w:customStyle="1" w:styleId="FooterChar">
    <w:name w:val="Footer Char"/>
    <w:basedOn w:val="DefaultParagraphFont"/>
    <w:link w:val="Footer"/>
    <w:uiPriority w:val="99"/>
    <w:rsid w:val="00C27D88"/>
  </w:style>
  <w:style w:type="character" w:styleId="Hyperlink">
    <w:name w:val="Hyperlink"/>
    <w:basedOn w:val="DefaultParagraphFont"/>
    <w:uiPriority w:val="99"/>
    <w:unhideWhenUsed/>
    <w:rsid w:val="00C27D88"/>
    <w:rPr>
      <w:color w:val="0000FF" w:themeColor="hyperlink"/>
      <w:u w:val="single"/>
    </w:rPr>
  </w:style>
  <w:style w:type="character" w:styleId="UnresolvedMention">
    <w:name w:val="Unresolved Mention"/>
    <w:basedOn w:val="DefaultParagraphFont"/>
    <w:uiPriority w:val="99"/>
    <w:semiHidden/>
    <w:unhideWhenUsed/>
    <w:rsid w:val="00C27D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731303">
      <w:bodyDiv w:val="1"/>
      <w:marLeft w:val="0"/>
      <w:marRight w:val="0"/>
      <w:marTop w:val="0"/>
      <w:marBottom w:val="0"/>
      <w:divBdr>
        <w:top w:val="none" w:sz="0" w:space="0" w:color="auto"/>
        <w:left w:val="none" w:sz="0" w:space="0" w:color="auto"/>
        <w:bottom w:val="none" w:sz="0" w:space="0" w:color="auto"/>
        <w:right w:val="none" w:sz="0" w:space="0" w:color="auto"/>
      </w:divBdr>
    </w:div>
    <w:div w:id="309595668">
      <w:bodyDiv w:val="1"/>
      <w:marLeft w:val="0"/>
      <w:marRight w:val="0"/>
      <w:marTop w:val="0"/>
      <w:marBottom w:val="0"/>
      <w:divBdr>
        <w:top w:val="none" w:sz="0" w:space="0" w:color="auto"/>
        <w:left w:val="none" w:sz="0" w:space="0" w:color="auto"/>
        <w:bottom w:val="none" w:sz="0" w:space="0" w:color="auto"/>
        <w:right w:val="none" w:sz="0" w:space="0" w:color="auto"/>
      </w:divBdr>
    </w:div>
    <w:div w:id="534079923">
      <w:bodyDiv w:val="1"/>
      <w:marLeft w:val="0"/>
      <w:marRight w:val="0"/>
      <w:marTop w:val="0"/>
      <w:marBottom w:val="0"/>
      <w:divBdr>
        <w:top w:val="none" w:sz="0" w:space="0" w:color="auto"/>
        <w:left w:val="none" w:sz="0" w:space="0" w:color="auto"/>
        <w:bottom w:val="none" w:sz="0" w:space="0" w:color="auto"/>
        <w:right w:val="none" w:sz="0" w:space="0" w:color="auto"/>
      </w:divBdr>
    </w:div>
    <w:div w:id="573315274">
      <w:bodyDiv w:val="1"/>
      <w:marLeft w:val="0"/>
      <w:marRight w:val="0"/>
      <w:marTop w:val="0"/>
      <w:marBottom w:val="0"/>
      <w:divBdr>
        <w:top w:val="none" w:sz="0" w:space="0" w:color="auto"/>
        <w:left w:val="none" w:sz="0" w:space="0" w:color="auto"/>
        <w:bottom w:val="none" w:sz="0" w:space="0" w:color="auto"/>
        <w:right w:val="none" w:sz="0" w:space="0" w:color="auto"/>
      </w:divBdr>
    </w:div>
    <w:div w:id="617105306">
      <w:bodyDiv w:val="1"/>
      <w:marLeft w:val="0"/>
      <w:marRight w:val="0"/>
      <w:marTop w:val="0"/>
      <w:marBottom w:val="0"/>
      <w:divBdr>
        <w:top w:val="none" w:sz="0" w:space="0" w:color="auto"/>
        <w:left w:val="none" w:sz="0" w:space="0" w:color="auto"/>
        <w:bottom w:val="none" w:sz="0" w:space="0" w:color="auto"/>
        <w:right w:val="none" w:sz="0" w:space="0" w:color="auto"/>
      </w:divBdr>
    </w:div>
    <w:div w:id="732461280">
      <w:bodyDiv w:val="1"/>
      <w:marLeft w:val="0"/>
      <w:marRight w:val="0"/>
      <w:marTop w:val="0"/>
      <w:marBottom w:val="0"/>
      <w:divBdr>
        <w:top w:val="none" w:sz="0" w:space="0" w:color="auto"/>
        <w:left w:val="none" w:sz="0" w:space="0" w:color="auto"/>
        <w:bottom w:val="none" w:sz="0" w:space="0" w:color="auto"/>
        <w:right w:val="none" w:sz="0" w:space="0" w:color="auto"/>
      </w:divBdr>
    </w:div>
    <w:div w:id="853766691">
      <w:bodyDiv w:val="1"/>
      <w:marLeft w:val="0"/>
      <w:marRight w:val="0"/>
      <w:marTop w:val="0"/>
      <w:marBottom w:val="0"/>
      <w:divBdr>
        <w:top w:val="none" w:sz="0" w:space="0" w:color="auto"/>
        <w:left w:val="none" w:sz="0" w:space="0" w:color="auto"/>
        <w:bottom w:val="none" w:sz="0" w:space="0" w:color="auto"/>
        <w:right w:val="none" w:sz="0" w:space="0" w:color="auto"/>
      </w:divBdr>
    </w:div>
    <w:div w:id="1040544959">
      <w:bodyDiv w:val="1"/>
      <w:marLeft w:val="0"/>
      <w:marRight w:val="0"/>
      <w:marTop w:val="0"/>
      <w:marBottom w:val="0"/>
      <w:divBdr>
        <w:top w:val="none" w:sz="0" w:space="0" w:color="auto"/>
        <w:left w:val="none" w:sz="0" w:space="0" w:color="auto"/>
        <w:bottom w:val="none" w:sz="0" w:space="0" w:color="auto"/>
        <w:right w:val="none" w:sz="0" w:space="0" w:color="auto"/>
      </w:divBdr>
    </w:div>
    <w:div w:id="1126657964">
      <w:bodyDiv w:val="1"/>
      <w:marLeft w:val="0"/>
      <w:marRight w:val="0"/>
      <w:marTop w:val="0"/>
      <w:marBottom w:val="0"/>
      <w:divBdr>
        <w:top w:val="none" w:sz="0" w:space="0" w:color="auto"/>
        <w:left w:val="none" w:sz="0" w:space="0" w:color="auto"/>
        <w:bottom w:val="none" w:sz="0" w:space="0" w:color="auto"/>
        <w:right w:val="none" w:sz="0" w:space="0" w:color="auto"/>
      </w:divBdr>
    </w:div>
    <w:div w:id="1218393007">
      <w:bodyDiv w:val="1"/>
      <w:marLeft w:val="0"/>
      <w:marRight w:val="0"/>
      <w:marTop w:val="0"/>
      <w:marBottom w:val="0"/>
      <w:divBdr>
        <w:top w:val="none" w:sz="0" w:space="0" w:color="auto"/>
        <w:left w:val="none" w:sz="0" w:space="0" w:color="auto"/>
        <w:bottom w:val="none" w:sz="0" w:space="0" w:color="auto"/>
        <w:right w:val="none" w:sz="0" w:space="0" w:color="auto"/>
      </w:divBdr>
    </w:div>
    <w:div w:id="1435052710">
      <w:bodyDiv w:val="1"/>
      <w:marLeft w:val="0"/>
      <w:marRight w:val="0"/>
      <w:marTop w:val="0"/>
      <w:marBottom w:val="0"/>
      <w:divBdr>
        <w:top w:val="none" w:sz="0" w:space="0" w:color="auto"/>
        <w:left w:val="none" w:sz="0" w:space="0" w:color="auto"/>
        <w:bottom w:val="none" w:sz="0" w:space="0" w:color="auto"/>
        <w:right w:val="none" w:sz="0" w:space="0" w:color="auto"/>
      </w:divBdr>
    </w:div>
    <w:div w:id="1469977852">
      <w:bodyDiv w:val="1"/>
      <w:marLeft w:val="0"/>
      <w:marRight w:val="0"/>
      <w:marTop w:val="0"/>
      <w:marBottom w:val="0"/>
      <w:divBdr>
        <w:top w:val="none" w:sz="0" w:space="0" w:color="auto"/>
        <w:left w:val="none" w:sz="0" w:space="0" w:color="auto"/>
        <w:bottom w:val="none" w:sz="0" w:space="0" w:color="auto"/>
        <w:right w:val="none" w:sz="0" w:space="0" w:color="auto"/>
      </w:divBdr>
    </w:div>
    <w:div w:id="1473644025">
      <w:bodyDiv w:val="1"/>
      <w:marLeft w:val="0"/>
      <w:marRight w:val="0"/>
      <w:marTop w:val="0"/>
      <w:marBottom w:val="0"/>
      <w:divBdr>
        <w:top w:val="none" w:sz="0" w:space="0" w:color="auto"/>
        <w:left w:val="none" w:sz="0" w:space="0" w:color="auto"/>
        <w:bottom w:val="none" w:sz="0" w:space="0" w:color="auto"/>
        <w:right w:val="none" w:sz="0" w:space="0" w:color="auto"/>
      </w:divBdr>
    </w:div>
    <w:div w:id="1488401812">
      <w:bodyDiv w:val="1"/>
      <w:marLeft w:val="0"/>
      <w:marRight w:val="0"/>
      <w:marTop w:val="0"/>
      <w:marBottom w:val="0"/>
      <w:divBdr>
        <w:top w:val="none" w:sz="0" w:space="0" w:color="auto"/>
        <w:left w:val="none" w:sz="0" w:space="0" w:color="auto"/>
        <w:bottom w:val="none" w:sz="0" w:space="0" w:color="auto"/>
        <w:right w:val="none" w:sz="0" w:space="0" w:color="auto"/>
      </w:divBdr>
    </w:div>
    <w:div w:id="1563055033">
      <w:bodyDiv w:val="1"/>
      <w:marLeft w:val="0"/>
      <w:marRight w:val="0"/>
      <w:marTop w:val="0"/>
      <w:marBottom w:val="0"/>
      <w:divBdr>
        <w:top w:val="none" w:sz="0" w:space="0" w:color="auto"/>
        <w:left w:val="none" w:sz="0" w:space="0" w:color="auto"/>
        <w:bottom w:val="none" w:sz="0" w:space="0" w:color="auto"/>
        <w:right w:val="none" w:sz="0" w:space="0" w:color="auto"/>
      </w:divBdr>
    </w:div>
    <w:div w:id="1622420045">
      <w:bodyDiv w:val="1"/>
      <w:marLeft w:val="0"/>
      <w:marRight w:val="0"/>
      <w:marTop w:val="0"/>
      <w:marBottom w:val="0"/>
      <w:divBdr>
        <w:top w:val="none" w:sz="0" w:space="0" w:color="auto"/>
        <w:left w:val="none" w:sz="0" w:space="0" w:color="auto"/>
        <w:bottom w:val="none" w:sz="0" w:space="0" w:color="auto"/>
        <w:right w:val="none" w:sz="0" w:space="0" w:color="auto"/>
      </w:divBdr>
    </w:div>
    <w:div w:id="1860774254">
      <w:bodyDiv w:val="1"/>
      <w:marLeft w:val="0"/>
      <w:marRight w:val="0"/>
      <w:marTop w:val="0"/>
      <w:marBottom w:val="0"/>
      <w:divBdr>
        <w:top w:val="none" w:sz="0" w:space="0" w:color="auto"/>
        <w:left w:val="none" w:sz="0" w:space="0" w:color="auto"/>
        <w:bottom w:val="none" w:sz="0" w:space="0" w:color="auto"/>
        <w:right w:val="none" w:sz="0" w:space="0" w:color="auto"/>
      </w:divBdr>
    </w:div>
    <w:div w:id="1867792443">
      <w:bodyDiv w:val="1"/>
      <w:marLeft w:val="0"/>
      <w:marRight w:val="0"/>
      <w:marTop w:val="0"/>
      <w:marBottom w:val="0"/>
      <w:divBdr>
        <w:top w:val="none" w:sz="0" w:space="0" w:color="auto"/>
        <w:left w:val="none" w:sz="0" w:space="0" w:color="auto"/>
        <w:bottom w:val="none" w:sz="0" w:space="0" w:color="auto"/>
        <w:right w:val="none" w:sz="0" w:space="0" w:color="auto"/>
      </w:divBdr>
    </w:div>
    <w:div w:id="1910648183">
      <w:bodyDiv w:val="1"/>
      <w:marLeft w:val="0"/>
      <w:marRight w:val="0"/>
      <w:marTop w:val="0"/>
      <w:marBottom w:val="0"/>
      <w:divBdr>
        <w:top w:val="none" w:sz="0" w:space="0" w:color="auto"/>
        <w:left w:val="none" w:sz="0" w:space="0" w:color="auto"/>
        <w:bottom w:val="none" w:sz="0" w:space="0" w:color="auto"/>
        <w:right w:val="none" w:sz="0" w:space="0" w:color="auto"/>
      </w:divBdr>
    </w:div>
    <w:div w:id="1979069445">
      <w:bodyDiv w:val="1"/>
      <w:marLeft w:val="0"/>
      <w:marRight w:val="0"/>
      <w:marTop w:val="0"/>
      <w:marBottom w:val="0"/>
      <w:divBdr>
        <w:top w:val="none" w:sz="0" w:space="0" w:color="auto"/>
        <w:left w:val="none" w:sz="0" w:space="0" w:color="auto"/>
        <w:bottom w:val="none" w:sz="0" w:space="0" w:color="auto"/>
        <w:right w:val="none" w:sz="0" w:space="0" w:color="auto"/>
      </w:divBdr>
    </w:div>
    <w:div w:id="2103526457">
      <w:bodyDiv w:val="1"/>
      <w:marLeft w:val="0"/>
      <w:marRight w:val="0"/>
      <w:marTop w:val="0"/>
      <w:marBottom w:val="0"/>
      <w:divBdr>
        <w:top w:val="none" w:sz="0" w:space="0" w:color="auto"/>
        <w:left w:val="none" w:sz="0" w:space="0" w:color="auto"/>
        <w:bottom w:val="none" w:sz="0" w:space="0" w:color="auto"/>
        <w:right w:val="none" w:sz="0" w:space="0" w:color="auto"/>
      </w:divBdr>
    </w:div>
    <w:div w:id="2125226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dwf.go.th//storage/44019/e9093b70-8efa-4883-92ab-968f762976f4-document-5809.pdf" TargetMode="External"/><Relationship Id="rId18" Type="http://schemas.openxmlformats.org/officeDocument/2006/relationships/hyperlink" Target="https://www.facebook.com/SafeAbortionThailand" TargetMode="External"/><Relationship Id="rId26" Type="http://schemas.openxmlformats.org/officeDocument/2006/relationships/hyperlink" Target="https://www.youtube.com/watch?v=FR39vs42N9I" TargetMode="External"/><Relationship Id="rId39" Type="http://schemas.openxmlformats.org/officeDocument/2006/relationships/hyperlink" Target="mailto:tanyongdaoh@gmail.com" TargetMode="External"/><Relationship Id="rId21" Type="http://schemas.openxmlformats.org/officeDocument/2006/relationships/hyperlink" Target="https://www.manushyafoundation.org/balancing-progress-and-human-rights" TargetMode="External"/><Relationship Id="rId34" Type="http://schemas.openxmlformats.org/officeDocument/2006/relationships/hyperlink" Target="mailto:bestchita@gmail.com" TargetMode="External"/><Relationship Id="rId42"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manushyafoundation.org/stopdigitaldictatorship-thailand" TargetMode="External"/><Relationship Id="rId29" Type="http://schemas.openxmlformats.org/officeDocument/2006/relationships/hyperlink" Target="https://www.rfa.org/english/cambodia/2025/04/23/cambodia-thaila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is.parliament.go.th/PARFileDownloadProxy/download?s=mkYE9ThvH3hH1IAC1WeOwi7v9lxmQYsTjOBzOl4rlU02fQ_O5snt-XefXEmbAhS4f1TYLK08OR44Y3WXlUU7b8IJvI7mN2BMc3tm3P8YJkmQrUQpS-uH4uJsScLBFRHhfVsEt-L22wtUoGoW6WqUFSVFrnHXAmXLaQk=&amp;ref=6757664&amp;n=1" TargetMode="External"/><Relationship Id="rId24" Type="http://schemas.openxmlformats.org/officeDocument/2006/relationships/hyperlink" Target="https://police.gov.kh/?p=72408" TargetMode="External"/><Relationship Id="rId32" Type="http://schemas.openxmlformats.org/officeDocument/2006/relationships/hyperlink" Target="mailto:emilie@manushyafoundation.org" TargetMode="External"/><Relationship Id="rId37" Type="http://schemas.openxmlformats.org/officeDocument/2006/relationships/hyperlink" Target="https://www.facebook.com/profile.php?id=100030783806951" TargetMode="External"/><Relationship Id="rId40" Type="http://schemas.openxmlformats.org/officeDocument/2006/relationships/hyperlink" Target="https://www.facebook.com/TamtangGroup"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anushyafoundation.org/stop-digital-dictatorship-campaign" TargetMode="External"/><Relationship Id="rId23" Type="http://schemas.openxmlformats.org/officeDocument/2006/relationships/hyperlink" Target="https://www.dsi.go.th/Upload/6bdb5147c2fd1fb6aaf16556c752983f.pdf" TargetMode="External"/><Relationship Id="rId28" Type="http://schemas.openxmlformats.org/officeDocument/2006/relationships/hyperlink" Target="https://www.ucanews.com/news/cambodia-pm-thanks-thailand-after-activists-held/104085" TargetMode="External"/><Relationship Id="rId36" Type="http://schemas.openxmlformats.org/officeDocument/2006/relationships/hyperlink" Target="mailto:Nada.Chaiyajit@gmail.com" TargetMode="External"/><Relationship Id="rId10" Type="http://schemas.openxmlformats.org/officeDocument/2006/relationships/hyperlink" Target="https://drive.google.com/file/d/1xdbWOoDvzTrYHRFagcWEpC_v4RWNFjpG/view" TargetMode="External"/><Relationship Id="rId19" Type="http://schemas.openxmlformats.org/officeDocument/2006/relationships/hyperlink" Target="https://www.facebook.com/rsathai.org/" TargetMode="External"/><Relationship Id="rId31" Type="http://schemas.openxmlformats.org/officeDocument/2006/relationships/hyperlink" Target="https://www.manushyafoundation.org/"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arliament.go.th/section77/manage/files/file_20230911125054_1_292.pdf" TargetMode="External"/><Relationship Id="rId14" Type="http://schemas.openxmlformats.org/officeDocument/2006/relationships/hyperlink" Target="https://www.manushyafoundation.org/joint-civil-society-cedaw-report" TargetMode="External"/><Relationship Id="rId22" Type="http://schemas.openxmlformats.org/officeDocument/2006/relationships/hyperlink" Target="https://www.law.go.th/listeningDetail?survey_id=NTMxNkRHQV9MQVdfRlJPTlRFTkQ=" TargetMode="External"/><Relationship Id="rId27" Type="http://schemas.openxmlformats.org/officeDocument/2006/relationships/hyperlink" Target="https://www.youtube.com/watch?v=FR39vs42N9I" TargetMode="External"/><Relationship Id="rId30" Type="http://schemas.openxmlformats.org/officeDocument/2006/relationships/hyperlink" Target="https://www.ohchr.org/en/press-releases/2025/01/thailand-must-immediately-halt-deportation-48-uyghurs-china-un-experts" TargetMode="External"/><Relationship Id="rId35" Type="http://schemas.openxmlformats.org/officeDocument/2006/relationships/hyperlink" Target="https://intersexthailand.org/" TargetMode="External"/><Relationship Id="rId43" Type="http://schemas.openxmlformats.org/officeDocument/2006/relationships/footer" Target="footer1.xml"/><Relationship Id="rId8" Type="http://schemas.openxmlformats.org/officeDocument/2006/relationships/hyperlink" Target="https://natlex.ilo.org/dyn/natlex2/r/natlex/fe/details?p3_isn=100442&amp;cs=1fy-mN9sdjWUhBytgBBtTN0ystAZkycwvFUgMoATzYSSK6J58vnJzKUYWSSBHOJJ5b0CQbQYIbxickqL8dHseFw" TargetMode="External"/><Relationship Id="rId3" Type="http://schemas.openxmlformats.org/officeDocument/2006/relationships/settings" Target="settings.xml"/><Relationship Id="rId12" Type="http://schemas.openxmlformats.org/officeDocument/2006/relationships/hyperlink" Target="https://www.dwf.go.th//storage/44019/e9093b70-8efa-4883-92ab-968f762976f4-document-5809.pdf" TargetMode="External"/><Relationship Id="rId17" Type="http://schemas.openxmlformats.org/officeDocument/2006/relationships/hyperlink" Target="https://www.manushyafoundation.org/report-fotn-2024" TargetMode="External"/><Relationship Id="rId25" Type="http://schemas.openxmlformats.org/officeDocument/2006/relationships/hyperlink" Target="https://www.manushyafoundation.org/post/justicfornesxy-a-lao-student-has-been-sexually-assaulted-by-a-government-employee" TargetMode="External"/><Relationship Id="rId33" Type="http://schemas.openxmlformats.org/officeDocument/2006/relationships/hyperlink" Target="https://youngprideclub.com/" TargetMode="External"/><Relationship Id="rId38" Type="http://schemas.openxmlformats.org/officeDocument/2006/relationships/hyperlink" Target="mailto:thaenratnt@gmail.com" TargetMode="External"/><Relationship Id="rId20" Type="http://schemas.openxmlformats.org/officeDocument/2006/relationships/hyperlink" Target="https://www.manushyafoundation.org/balancing-progress-and-human-rights" TargetMode="External"/><Relationship Id="rId41" Type="http://schemas.openxmlformats.org/officeDocument/2006/relationships/hyperlink" Target="mailto:mychoice4mylife@gmail.com"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manushyafoundation.org/post/fightracism-international-day-for-the-elimination-of-racial-discrimination" TargetMode="External"/><Relationship Id="rId18" Type="http://schemas.openxmlformats.org/officeDocument/2006/relationships/hyperlink" Target="https://prachataienglish.com/node/11393" TargetMode="External"/><Relationship Id="rId26" Type="http://schemas.openxmlformats.org/officeDocument/2006/relationships/hyperlink" Target="https://www.facebook.com/rsathai.org/" TargetMode="External"/><Relationship Id="rId21" Type="http://schemas.openxmlformats.org/officeDocument/2006/relationships/hyperlink" Target="https://www.manushyafoundation.org/report-fotn-2024" TargetMode="External"/><Relationship Id="rId34" Type="http://schemas.openxmlformats.org/officeDocument/2006/relationships/hyperlink" Target="https://www.youtube.com/watch?v=FR39vs42N9I" TargetMode="External"/><Relationship Id="rId7" Type="http://schemas.openxmlformats.org/officeDocument/2006/relationships/hyperlink" Target="https://pis.parliament.go.th/PARFileDownloadProxy/download?s=mkYE9ThvH3hH1IAC1WeOwi7v9lxmQYsTjOBzOl4rlU02fQ_O5snt-XefXEmbAhS4f1TYLK08OR44Y3WXlUU7b8IJvI7mN2BMc3tm3P8YJkmQrUQpS-uH4uJsScLBFRHhfVsEt-L22wtUoGoW6WqUFSVFrnHXAmXLaQk=&amp;ref=6757664&amp;n=1" TargetMode="External"/><Relationship Id="rId12" Type="http://schemas.openxmlformats.org/officeDocument/2006/relationships/hyperlink" Target="https://www.manushyafoundation.org/joint-civil-society-cerd-shadow-report" TargetMode="External"/><Relationship Id="rId17" Type="http://schemas.openxmlformats.org/officeDocument/2006/relationships/hyperlink" Target="https://www.ilaw.or.th/articles/9825" TargetMode="External"/><Relationship Id="rId25" Type="http://schemas.openxmlformats.org/officeDocument/2006/relationships/hyperlink" Target="https://apnews.com/article/mexico-abortion-tech-whatsapp-censorship-meta-instagram-ef425bc0e77fcd279be09559c35b1663?fbclid=IwY2xjawKhmPNleHRuA2FlbQIxMABicmlkETFIV3A4TFVkMG0wQmpQSWV5AR5FMXk9oAF8AjNAnoQTFDrxt3McombtoBTi6um1pEZq9YFA3eKunrbDVQ0Vtg_aem_GBrSOYn-AhFcM3e_AXEaVw" TargetMode="External"/><Relationship Id="rId33" Type="http://schemas.openxmlformats.org/officeDocument/2006/relationships/hyperlink" Target="https://www.washingtonpost.com/world/2025/01/03/southeast-asia-repression-exiles-cambodia-malaysia/" TargetMode="External"/><Relationship Id="rId2" Type="http://schemas.openxmlformats.org/officeDocument/2006/relationships/hyperlink" Target="http://www.constitutionalcourt.or.th/occ_en/download/article_20170410173022.pdf" TargetMode="External"/><Relationship Id="rId16" Type="http://schemas.openxmlformats.org/officeDocument/2006/relationships/hyperlink" Target="https://www.manushyafoundation.org/post/bungthaluwang-rest-in-power-bung-netiporn" TargetMode="External"/><Relationship Id="rId20" Type="http://schemas.openxmlformats.org/officeDocument/2006/relationships/hyperlink" Target="https://www.ickonic.com/Read/r/996" TargetMode="External"/><Relationship Id="rId29" Type="http://schemas.openxmlformats.org/officeDocument/2006/relationships/hyperlink" Target="https://www.dsi.go.th/Upload/6bdb5147c2fd1fb6aaf16556c752983f.pdf" TargetMode="External"/><Relationship Id="rId1" Type="http://schemas.openxmlformats.org/officeDocument/2006/relationships/hyperlink" Target="https://www.manushyafoundation.org/joint-civil-society-cedaw-report" TargetMode="External"/><Relationship Id="rId6" Type="http://schemas.openxmlformats.org/officeDocument/2006/relationships/hyperlink" Target="https://www.nationthailand.com/thailand/politics/40035780" TargetMode="External"/><Relationship Id="rId11" Type="http://schemas.openxmlformats.org/officeDocument/2006/relationships/hyperlink" Target="https://www.manushyafoundation.org/post/how-we-denounced-racism-in-thailand-before-the-un" TargetMode="External"/><Relationship Id="rId24" Type="http://schemas.openxmlformats.org/officeDocument/2006/relationships/hyperlink" Target="https://www.manushyafoundation.org/post/standwithtamtang-stoptechnocolonialism-abortionisahumanright" TargetMode="External"/><Relationship Id="rId32" Type="http://schemas.openxmlformats.org/officeDocument/2006/relationships/hyperlink" Target="https://www.manushyafoundation.org/post/justicfornesxy-a-lao-student-has-been-sexually-assaulted-by-a-government-employee" TargetMode="External"/><Relationship Id="rId37" Type="http://schemas.openxmlformats.org/officeDocument/2006/relationships/hyperlink" Target="https://www.ohchr.org/en/press-releases/2025/01/thailand-must-immediately-halt-deportation-48-uyghurs-china-un-experts" TargetMode="External"/><Relationship Id="rId5" Type="http://schemas.openxmlformats.org/officeDocument/2006/relationships/hyperlink" Target="https://drive.google.com/file/d/1xdbWOoDvzTrYHRFagcWEpC_v4RWNFjpG/view" TargetMode="External"/><Relationship Id="rId15" Type="http://schemas.openxmlformats.org/officeDocument/2006/relationships/hyperlink" Target="https://www.aljazeera.com/news/2024/5/15/hunger-striking-democracy-and-royal-reform-activist-dies-in-thai-prison" TargetMode="External"/><Relationship Id="rId23" Type="http://schemas.openxmlformats.org/officeDocument/2006/relationships/hyperlink" Target="https://www.facebook.com/SafeAbortionThailand" TargetMode="External"/><Relationship Id="rId28" Type="http://schemas.openxmlformats.org/officeDocument/2006/relationships/hyperlink" Target="https://www.dsi.go.th/Upload/6bdb5147c2fd1fb6aaf16556c752983f.pdf" TargetMode="External"/><Relationship Id="rId36" Type="http://schemas.openxmlformats.org/officeDocument/2006/relationships/hyperlink" Target="https://www.manushyafoundation.org/post/saveuyghur-breaking-thailand-secretly-deports-40-uyghurs-to-china-cctv-confirms-it" TargetMode="External"/><Relationship Id="rId10" Type="http://schemas.openxmlformats.org/officeDocument/2006/relationships/hyperlink" Target="https://www.dwf.go.th//storage/44019/e9093b70-8efa-4883-92ab-968f762976f4-document-5809.pdf" TargetMode="External"/><Relationship Id="rId19" Type="http://schemas.openxmlformats.org/officeDocument/2006/relationships/hyperlink" Target="https://citizenlab.ca/2022/07/geckospy-pegasus-spyware-used-against-thailands-pro-democracy-movement/" TargetMode="External"/><Relationship Id="rId31" Type="http://schemas.openxmlformats.org/officeDocument/2006/relationships/hyperlink" Target="https://police.gov.kh/?p=72408" TargetMode="External"/><Relationship Id="rId4" Type="http://schemas.openxmlformats.org/officeDocument/2006/relationships/hyperlink" Target="https://www.parliament.go.th/section77/manage/files/file_20230911125054_1_292.pdf" TargetMode="External"/><Relationship Id="rId9" Type="http://schemas.openxmlformats.org/officeDocument/2006/relationships/hyperlink" Target="https://files.law.go.th/dgaBackoffice/2025-03-14-15%3A53%3A18_%E0%B8%A3%E0%B9%88%E0%25%5b&#8230;%5d%E0%B8%93%E0%B8%8A%E0%B8%99%20%E0%B8%9E.%E0%B8%A8.%20.....pdf" TargetMode="External"/><Relationship Id="rId14" Type="http://schemas.openxmlformats.org/officeDocument/2006/relationships/hyperlink" Target="https://www.scmp.com/week-asia/people/article/3308488/trans-womans-brutal-murder-exposes-dark-side-thailands-tourist-boom" TargetMode="External"/><Relationship Id="rId22" Type="http://schemas.openxmlformats.org/officeDocument/2006/relationships/hyperlink" Target="https://www.manushyafoundation.org/stopdigitaldictatorship-thailand" TargetMode="External"/><Relationship Id="rId27" Type="http://schemas.openxmlformats.org/officeDocument/2006/relationships/hyperlink" Target="https://www.manushyafoundation.org/balancing-progress-and-human-rights" TargetMode="External"/><Relationship Id="rId30" Type="http://schemas.openxmlformats.org/officeDocument/2006/relationships/hyperlink" Target="https://www.dsi.go.th/Upload/6bdb5147c2fd1fb6aaf16556c752983f.pdf" TargetMode="External"/><Relationship Id="rId35" Type="http://schemas.openxmlformats.org/officeDocument/2006/relationships/hyperlink" Target="https://www.manushyafoundation.org/post/transnationalrepression-former-cambodian-opposition-party-member-lim-kimya-shot-dead-in-thailan" TargetMode="External"/><Relationship Id="rId8" Type="http://schemas.openxmlformats.org/officeDocument/2006/relationships/hyperlink" Target="https://pis.parliament.go.th/PARFileDownloadProxy/download?s=mkYE9ThvH3hH1IAC1WeOwi7v9lxmQYsTjOBzOl4rlU02fQ_O5snt-XefXEmbAhS4f1TYLK08OR44Y3WXlUU7b8IJvI7mN2BMc3tm3P8YJkmQrUQpS-uH4uJsScLBFRHhfVsEt-L22wtUoGoW6WqUFSVFrnHXAmXLaQk=&amp;ref=6757664&amp;n=1" TargetMode="External"/><Relationship Id="rId3" Type="http://schemas.openxmlformats.org/officeDocument/2006/relationships/hyperlink" Target="https://natlex.ilo.org/dyn/natlex2/r/natlex/fe/details?p3_isn=100442&amp;cs=1fy-mN9sdjWUhBytgBBtTN0ystAZkycwvFUgMoATzYSSK6J58vnJzKUYWSSBHOJJ5b0CQbQYIbxickqL8dHseFw"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7.jpg"/><Relationship Id="rId5" Type="http://schemas.openxmlformats.org/officeDocument/2006/relationships/image" Target="media/image6.png"/><Relationship Id="rId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20</Pages>
  <Words>7215</Words>
  <Characters>41129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Emilie Manushya Foundation</cp:lastModifiedBy>
  <cp:revision>5</cp:revision>
  <cp:lastPrinted>2025-05-27T04:39:00Z</cp:lastPrinted>
  <dcterms:created xsi:type="dcterms:W3CDTF">2025-05-27T04:48:00Z</dcterms:created>
  <dcterms:modified xsi:type="dcterms:W3CDTF">2025-05-27T06:43:00Z</dcterms:modified>
</cp:coreProperties>
</file>