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060" w:rsidRDefault="00301060">
      <w:pPr>
        <w:spacing w:line="276" w:lineRule="auto"/>
        <w:jc w:val="center"/>
        <w:rPr>
          <w:b/>
          <w:color w:val="000000"/>
        </w:rPr>
      </w:pPr>
    </w:p>
    <w:p w:rsidR="00301060" w:rsidRDefault="00301060">
      <w:pPr>
        <w:spacing w:line="276" w:lineRule="auto"/>
        <w:jc w:val="center"/>
        <w:rPr>
          <w:b/>
          <w:color w:val="000000"/>
        </w:rPr>
      </w:pPr>
    </w:p>
    <w:p w:rsidR="00301060" w:rsidRDefault="00301060">
      <w:pPr>
        <w:spacing w:line="276" w:lineRule="auto"/>
        <w:jc w:val="center"/>
        <w:rPr>
          <w:b/>
          <w:color w:val="000000"/>
        </w:rPr>
      </w:pPr>
    </w:p>
    <w:p w:rsidR="00301060" w:rsidRDefault="00AF28C6">
      <w:pPr>
        <w:spacing w:line="276" w:lineRule="auto"/>
        <w:jc w:val="center"/>
        <w:rPr>
          <w:b/>
          <w:color w:val="000000"/>
        </w:rPr>
      </w:pPr>
      <w:r>
        <w:rPr>
          <w:b/>
          <w:color w:val="000000"/>
        </w:rPr>
        <w:t>Informe Alternativo</w:t>
      </w:r>
    </w:p>
    <w:p w:rsidR="00301060" w:rsidRDefault="00AF28C6">
      <w:pPr>
        <w:spacing w:line="276" w:lineRule="auto"/>
        <w:jc w:val="center"/>
        <w:rPr>
          <w:b/>
          <w:color w:val="000000"/>
        </w:rPr>
      </w:pPr>
      <w:r>
        <w:rPr>
          <w:b/>
          <w:color w:val="000000"/>
        </w:rPr>
        <w:t xml:space="preserve">Sobre el cumplimiento del Estado de Perú para el </w:t>
      </w:r>
    </w:p>
    <w:p w:rsidR="00301060" w:rsidRDefault="00AF28C6">
      <w:pPr>
        <w:spacing w:line="276" w:lineRule="auto"/>
        <w:jc w:val="center"/>
        <w:rPr>
          <w:b/>
          <w:color w:val="000000"/>
        </w:rPr>
      </w:pPr>
      <w:r>
        <w:rPr>
          <w:b/>
          <w:color w:val="000000"/>
        </w:rPr>
        <w:t>Comité de las Naciones Unidas para la Eliminación de la Discriminación contra la Mujer</w:t>
      </w:r>
    </w:p>
    <w:p w:rsidR="00301060" w:rsidRDefault="00301060">
      <w:pPr>
        <w:spacing w:line="276" w:lineRule="auto"/>
        <w:jc w:val="center"/>
        <w:rPr>
          <w:b/>
          <w:color w:val="000000"/>
        </w:rPr>
      </w:pPr>
    </w:p>
    <w:p w:rsidR="00301060" w:rsidRDefault="00AF28C6">
      <w:pPr>
        <w:spacing w:line="276" w:lineRule="auto"/>
        <w:jc w:val="center"/>
        <w:rPr>
          <w:b/>
          <w:color w:val="000000"/>
        </w:rPr>
      </w:pPr>
      <w:r>
        <w:rPr>
          <w:b/>
          <w:color w:val="000000"/>
        </w:rPr>
        <w:t>Situación de las mujeres con discapacidad en Perú</w:t>
      </w:r>
    </w:p>
    <w:p w:rsidR="00301060" w:rsidRDefault="00301060">
      <w:pPr>
        <w:spacing w:line="276" w:lineRule="auto"/>
        <w:jc w:val="center"/>
        <w:rPr>
          <w:b/>
          <w:color w:val="000000"/>
        </w:rPr>
      </w:pPr>
    </w:p>
    <w:p w:rsidR="00301060" w:rsidRDefault="00AF28C6">
      <w:pPr>
        <w:spacing w:line="276" w:lineRule="auto"/>
        <w:jc w:val="center"/>
        <w:rPr>
          <w:b/>
          <w:color w:val="000000"/>
        </w:rPr>
      </w:pPr>
      <w:r>
        <w:rPr>
          <w:b/>
          <w:color w:val="000000"/>
        </w:rPr>
        <w:t>Estado a Evaluar: Perú</w:t>
      </w:r>
    </w:p>
    <w:p w:rsidR="00301060" w:rsidRDefault="00AF28C6">
      <w:pPr>
        <w:spacing w:line="276" w:lineRule="auto"/>
        <w:jc w:val="center"/>
        <w:rPr>
          <w:b/>
          <w:color w:val="000000"/>
        </w:rPr>
      </w:pPr>
      <w:r>
        <w:rPr>
          <w:b/>
          <w:color w:val="000000"/>
        </w:rPr>
        <w:t>En febrero 2022</w:t>
      </w:r>
    </w:p>
    <w:p w:rsidR="00301060" w:rsidRDefault="00301060">
      <w:pPr>
        <w:spacing w:line="276" w:lineRule="auto"/>
        <w:jc w:val="center"/>
        <w:rPr>
          <w:b/>
          <w:color w:val="000000"/>
        </w:rPr>
      </w:pPr>
    </w:p>
    <w:p w:rsidR="00301060" w:rsidRDefault="00AF28C6">
      <w:pPr>
        <w:spacing w:line="276" w:lineRule="auto"/>
        <w:jc w:val="center"/>
        <w:rPr>
          <w:b/>
          <w:color w:val="000000"/>
        </w:rPr>
      </w:pPr>
      <w:r>
        <w:rPr>
          <w:b/>
          <w:color w:val="000000"/>
        </w:rPr>
        <w:t>Presentado por:</w:t>
      </w:r>
    </w:p>
    <w:p w:rsidR="00301060" w:rsidRDefault="00AF28C6">
      <w:pPr>
        <w:spacing w:line="276" w:lineRule="auto"/>
        <w:jc w:val="center"/>
        <w:rPr>
          <w:b/>
          <w:color w:val="000000"/>
        </w:rPr>
      </w:pPr>
      <w:r>
        <w:rPr>
          <w:b/>
          <w:color w:val="000000"/>
        </w:rPr>
        <w:t xml:space="preserve">Comisión de Género de la Mesa de Discapacidad y Derechos de la Coordinadora Nacional de Derechos Humanos, Asociación Paz y Esperanza, Asociación de Desarrollo y Empoderamiento Socioeconómico de Poblaciones Vulnerables, Asociación Arariwa, Comisión de Damas Invidentes, Musas Inspiradoras de Cambio y </w:t>
      </w:r>
      <w:r>
        <w:rPr>
          <w:b/>
        </w:rPr>
        <w:t>KIPU LLAXTA</w:t>
      </w:r>
    </w:p>
    <w:p w:rsidR="00301060" w:rsidRDefault="00301060">
      <w:pPr>
        <w:spacing w:line="276" w:lineRule="auto"/>
        <w:jc w:val="center"/>
        <w:rPr>
          <w:b/>
          <w:color w:val="000000"/>
        </w:rPr>
      </w:pPr>
    </w:p>
    <w:p w:rsidR="00301060" w:rsidRDefault="00F37EB3">
      <w:pPr>
        <w:spacing w:line="276" w:lineRule="auto"/>
        <w:jc w:val="center"/>
        <w:rPr>
          <w:b/>
          <w:color w:val="000000"/>
        </w:rPr>
      </w:pPr>
      <w:r>
        <w:rPr>
          <w:b/>
          <w:color w:val="000000"/>
        </w:rPr>
        <w:t>Perú, 28</w:t>
      </w:r>
      <w:bookmarkStart w:id="0" w:name="_GoBack"/>
      <w:bookmarkEnd w:id="0"/>
      <w:r w:rsidR="00AF28C6">
        <w:rPr>
          <w:b/>
          <w:color w:val="000000"/>
        </w:rPr>
        <w:t xml:space="preserve"> de diciembre de 2021</w:t>
      </w:r>
    </w:p>
    <w:p w:rsidR="00301060" w:rsidRDefault="00301060">
      <w:pPr>
        <w:spacing w:line="276" w:lineRule="auto"/>
        <w:rPr>
          <w:b/>
          <w:color w:val="000000"/>
        </w:rPr>
      </w:pPr>
      <w:bookmarkStart w:id="1" w:name="_heading=h.gjdgxs" w:colFirst="0" w:colLast="0"/>
      <w:bookmarkEnd w:id="1"/>
    </w:p>
    <w:p w:rsidR="00301060" w:rsidRDefault="00301060">
      <w:pPr>
        <w:spacing w:line="276" w:lineRule="auto"/>
        <w:rPr>
          <w:b/>
          <w:color w:val="000000"/>
        </w:rPr>
      </w:pPr>
    </w:p>
    <w:p w:rsidR="00301060" w:rsidRDefault="00301060">
      <w:pPr>
        <w:spacing w:line="276" w:lineRule="auto"/>
        <w:rPr>
          <w:b/>
          <w:color w:val="000000"/>
        </w:rPr>
      </w:pPr>
    </w:p>
    <w:p w:rsidR="00301060" w:rsidRDefault="00301060">
      <w:pPr>
        <w:tabs>
          <w:tab w:val="left" w:pos="2375"/>
        </w:tabs>
        <w:spacing w:line="276" w:lineRule="auto"/>
        <w:rPr>
          <w:b/>
          <w:color w:val="000000"/>
        </w:rPr>
      </w:pPr>
    </w:p>
    <w:p w:rsidR="00301060" w:rsidRDefault="00AF28C6">
      <w:pPr>
        <w:spacing w:line="276" w:lineRule="auto"/>
        <w:rPr>
          <w:b/>
          <w:color w:val="000000"/>
        </w:rPr>
      </w:pPr>
      <w:r>
        <w:rPr>
          <w:b/>
          <w:color w:val="000000"/>
        </w:rPr>
        <w:lastRenderedPageBreak/>
        <w:t>Siglas y Abreviaturas</w:t>
      </w:r>
    </w:p>
    <w:p w:rsidR="00301060" w:rsidRDefault="00AF28C6">
      <w:pPr>
        <w:spacing w:line="276" w:lineRule="auto"/>
      </w:pPr>
      <w:r>
        <w:t>CEM</w:t>
      </w:r>
      <w:r>
        <w:tab/>
      </w:r>
      <w:r>
        <w:tab/>
      </w:r>
      <w:r>
        <w:tab/>
        <w:t>Centro de Emergencia Mujer</w:t>
      </w:r>
    </w:p>
    <w:p w:rsidR="00301060" w:rsidRDefault="00AF28C6">
      <w:pPr>
        <w:spacing w:line="276" w:lineRule="auto"/>
      </w:pPr>
      <w:r>
        <w:t>CEBES</w:t>
      </w:r>
      <w:r>
        <w:tab/>
      </w:r>
      <w:r>
        <w:tab/>
        <w:t>Centro de Educación Básica Especial</w:t>
      </w:r>
    </w:p>
    <w:p w:rsidR="00301060" w:rsidRDefault="00AF28C6">
      <w:pPr>
        <w:spacing w:line="276" w:lineRule="auto"/>
      </w:pPr>
      <w:r>
        <w:t>EBE</w:t>
      </w:r>
      <w:r>
        <w:tab/>
      </w:r>
      <w:r>
        <w:tab/>
      </w:r>
      <w:r>
        <w:tab/>
        <w:t>Educación Básica Especial</w:t>
      </w:r>
    </w:p>
    <w:p w:rsidR="00301060" w:rsidRDefault="00AF28C6">
      <w:pPr>
        <w:spacing w:line="276" w:lineRule="auto"/>
      </w:pPr>
      <w:r>
        <w:t>FVR                            Fichas de Valoración de Riesgos</w:t>
      </w:r>
    </w:p>
    <w:p w:rsidR="00301060" w:rsidRDefault="00AF28C6">
      <w:pPr>
        <w:spacing w:line="276" w:lineRule="auto"/>
      </w:pPr>
      <w:r>
        <w:rPr>
          <w:color w:val="000000"/>
        </w:rPr>
        <w:t xml:space="preserve">INEI               </w:t>
      </w:r>
      <w:r>
        <w:rPr>
          <w:color w:val="000000"/>
        </w:rPr>
        <w:tab/>
      </w:r>
      <w:r>
        <w:rPr>
          <w:color w:val="000000"/>
        </w:rPr>
        <w:tab/>
        <w:t xml:space="preserve">Instituto Nacional de Estadística </w:t>
      </w:r>
      <w:r>
        <w:t>e Informática</w:t>
      </w:r>
    </w:p>
    <w:p w:rsidR="00301060" w:rsidRDefault="00AF28C6">
      <w:pPr>
        <w:spacing w:line="276" w:lineRule="auto"/>
      </w:pPr>
      <w:r>
        <w:t>MEF</w:t>
      </w:r>
      <w:r>
        <w:tab/>
      </w:r>
      <w:r>
        <w:tab/>
      </w:r>
      <w:r>
        <w:tab/>
        <w:t>Mujer en Edad Fértil</w:t>
      </w:r>
    </w:p>
    <w:p w:rsidR="00301060" w:rsidRDefault="00AF28C6">
      <w:pPr>
        <w:spacing w:line="276" w:lineRule="auto"/>
      </w:pPr>
      <w:r>
        <w:t>VIH</w:t>
      </w:r>
      <w:r>
        <w:tab/>
      </w:r>
      <w:r>
        <w:tab/>
      </w:r>
      <w:r>
        <w:tab/>
        <w:t xml:space="preserve">Virus de la Inmunodeficiencia Humana </w:t>
      </w:r>
    </w:p>
    <w:p w:rsidR="00301060" w:rsidRDefault="00AF28C6">
      <w:pPr>
        <w:spacing w:line="276" w:lineRule="auto"/>
      </w:pPr>
      <w:r>
        <w:t>MINSA</w:t>
      </w:r>
      <w:r>
        <w:tab/>
      </w:r>
      <w:r>
        <w:tab/>
        <w:t>Ministerio de Salud</w:t>
      </w:r>
    </w:p>
    <w:p w:rsidR="00301060" w:rsidRDefault="00AF28C6">
      <w:pPr>
        <w:spacing w:line="276" w:lineRule="auto"/>
      </w:pPr>
      <w:r>
        <w:t>MINEDU</w:t>
      </w:r>
      <w:r>
        <w:tab/>
      </w:r>
      <w:r>
        <w:tab/>
        <w:t>Ministerio de Educación</w:t>
      </w:r>
    </w:p>
    <w:p w:rsidR="00301060" w:rsidRDefault="00AF28C6">
      <w:pPr>
        <w:spacing w:before="0" w:after="160" w:line="276" w:lineRule="auto"/>
      </w:pPr>
      <w:r>
        <w:t>MIMP</w:t>
      </w:r>
      <w:r>
        <w:tab/>
      </w:r>
      <w:r>
        <w:tab/>
      </w:r>
      <w:r>
        <w:tab/>
        <w:t>Ministerio de la Mujer y Poblaciones Vulnerables</w:t>
      </w:r>
    </w:p>
    <w:p w:rsidR="00301060" w:rsidRDefault="00AF28C6">
      <w:pPr>
        <w:spacing w:line="276" w:lineRule="auto"/>
      </w:pPr>
      <w:r>
        <w:t>PCM</w:t>
      </w:r>
      <w:r>
        <w:tab/>
      </w:r>
      <w:r>
        <w:tab/>
      </w:r>
      <w:r>
        <w:tab/>
        <w:t>Presidencia del Consejo de Ministros</w:t>
      </w:r>
    </w:p>
    <w:p w:rsidR="00301060" w:rsidRDefault="00AF28C6">
      <w:pPr>
        <w:spacing w:line="276" w:lineRule="auto"/>
      </w:pPr>
      <w:r>
        <w:t>PRITES</w:t>
      </w:r>
      <w:r>
        <w:tab/>
      </w:r>
      <w:r>
        <w:tab/>
        <w:t>Programa de Intervención Temprana</w:t>
      </w:r>
    </w:p>
    <w:p w:rsidR="00301060" w:rsidRDefault="00AF28C6">
      <w:pPr>
        <w:spacing w:line="276" w:lineRule="auto"/>
      </w:pPr>
      <w:r>
        <w:t>PYMES</w:t>
      </w:r>
      <w:r>
        <w:tab/>
      </w:r>
      <w:r>
        <w:tab/>
        <w:t>Pequeñas y Medianas Empresas</w:t>
      </w:r>
    </w:p>
    <w:p w:rsidR="00301060" w:rsidRDefault="00AF28C6">
      <w:pPr>
        <w:spacing w:line="276" w:lineRule="auto"/>
      </w:pPr>
      <w:r>
        <w:t>PEA                            Población Económicamente Activa</w:t>
      </w:r>
    </w:p>
    <w:p w:rsidR="00301060" w:rsidRDefault="00AF28C6">
      <w:pPr>
        <w:spacing w:line="276" w:lineRule="auto"/>
      </w:pPr>
      <w:r>
        <w:t>PEI                             Población Económicamente Inactiva</w:t>
      </w:r>
    </w:p>
    <w:p w:rsidR="00301060" w:rsidRDefault="00AF28C6">
      <w:pPr>
        <w:spacing w:before="0" w:after="160" w:line="276" w:lineRule="auto"/>
      </w:pPr>
      <w:r>
        <w:t xml:space="preserve">PLANAGERD </w:t>
      </w:r>
      <w:r>
        <w:tab/>
        <w:t>Plan Nacional de Gestión de Riesgo y Desastres</w:t>
      </w:r>
    </w:p>
    <w:p w:rsidR="00301060" w:rsidRDefault="00AF28C6">
      <w:pPr>
        <w:spacing w:line="276" w:lineRule="auto"/>
      </w:pPr>
      <w:r>
        <w:t>SANEE</w:t>
      </w:r>
      <w:r>
        <w:tab/>
      </w:r>
      <w:r>
        <w:tab/>
        <w:t>Servicios de Apoyo a las Necesidades Educativas Especiales</w:t>
      </w:r>
    </w:p>
    <w:p w:rsidR="00301060" w:rsidRDefault="00AF28C6">
      <w:pPr>
        <w:spacing w:before="0" w:after="160" w:line="276" w:lineRule="auto"/>
      </w:pPr>
      <w:r>
        <w:t>SAU</w:t>
      </w:r>
      <w:r>
        <w:tab/>
      </w:r>
      <w:r>
        <w:tab/>
      </w:r>
      <w:r>
        <w:tab/>
        <w:t>Servicios de Atención Urgente</w:t>
      </w:r>
    </w:p>
    <w:p w:rsidR="00301060" w:rsidRDefault="00AF28C6">
      <w:pPr>
        <w:spacing w:before="0" w:after="160" w:line="276" w:lineRule="auto"/>
        <w:ind w:left="2125" w:hanging="2125"/>
      </w:pPr>
      <w:r>
        <w:t>SGT GIRD</w:t>
      </w:r>
      <w:r>
        <w:tab/>
      </w:r>
      <w:r>
        <w:tab/>
        <w:t xml:space="preserve">Subgrupo de Trabajo de Gestión Inclusiva del Riesgo de Desastres </w:t>
      </w:r>
    </w:p>
    <w:p w:rsidR="00301060" w:rsidRDefault="00301060">
      <w:pPr>
        <w:spacing w:before="0" w:after="160" w:line="276" w:lineRule="auto"/>
        <w:ind w:left="2125" w:hanging="2125"/>
      </w:pPr>
    </w:p>
    <w:p w:rsidR="00301060" w:rsidRDefault="00301060">
      <w:pPr>
        <w:spacing w:before="0" w:after="160" w:line="276" w:lineRule="auto"/>
        <w:ind w:left="2125" w:hanging="2125"/>
      </w:pPr>
    </w:p>
    <w:p w:rsidR="00301060" w:rsidRDefault="00301060">
      <w:pPr>
        <w:spacing w:line="276" w:lineRule="auto"/>
      </w:pPr>
    </w:p>
    <w:p w:rsidR="00301060" w:rsidRDefault="00301060">
      <w:pPr>
        <w:spacing w:line="276" w:lineRule="auto"/>
        <w:jc w:val="center"/>
        <w:rPr>
          <w:b/>
          <w:color w:val="000000"/>
        </w:rPr>
      </w:pPr>
    </w:p>
    <w:p w:rsidR="00301060" w:rsidRDefault="00AF28C6">
      <w:pPr>
        <w:spacing w:line="276" w:lineRule="auto"/>
        <w:jc w:val="center"/>
        <w:rPr>
          <w:b/>
          <w:color w:val="000000"/>
        </w:rPr>
      </w:pPr>
      <w:r>
        <w:rPr>
          <w:b/>
          <w:color w:val="000000"/>
        </w:rPr>
        <w:lastRenderedPageBreak/>
        <w:t>Informe Alternativo sobre la situación de las mujeres con discapacidad en Perú para el Comité CEDAW</w:t>
      </w:r>
      <w:r>
        <w:t xml:space="preserve"> </w:t>
      </w:r>
      <w:r>
        <w:rPr>
          <w:b/>
          <w:color w:val="000000"/>
        </w:rPr>
        <w:t>sobre el cumplimiento del Estado de Perú</w:t>
      </w:r>
    </w:p>
    <w:p w:rsidR="00301060" w:rsidRDefault="00301060">
      <w:pPr>
        <w:spacing w:line="276" w:lineRule="auto"/>
        <w:jc w:val="center"/>
        <w:rPr>
          <w:b/>
          <w:color w:val="000000"/>
        </w:rPr>
      </w:pPr>
    </w:p>
    <w:p w:rsidR="00301060" w:rsidRDefault="00AF28C6">
      <w:pPr>
        <w:spacing w:line="276" w:lineRule="auto"/>
        <w:rPr>
          <w:b/>
          <w:color w:val="000000"/>
        </w:rPr>
      </w:pPr>
      <w:r>
        <w:rPr>
          <w:b/>
          <w:color w:val="000000"/>
        </w:rPr>
        <w:t>Presentación</w:t>
      </w:r>
    </w:p>
    <w:p w:rsidR="00301060" w:rsidRDefault="00AF28C6">
      <w:pPr>
        <w:numPr>
          <w:ilvl w:val="0"/>
          <w:numId w:val="4"/>
        </w:numPr>
        <w:pBdr>
          <w:top w:val="nil"/>
          <w:left w:val="nil"/>
          <w:bottom w:val="nil"/>
          <w:right w:val="nil"/>
          <w:between w:val="nil"/>
        </w:pBdr>
        <w:spacing w:after="0" w:line="276" w:lineRule="auto"/>
        <w:ind w:right="100"/>
      </w:pPr>
      <w:r>
        <w:rPr>
          <w:color w:val="000000"/>
        </w:rPr>
        <w:t>De acuerdo al Instituto Nacional de Estadística e Informática (en adelante INEI), en Perú hay 3´209,261 personas con discapacidad, cifra que representa el 10,3% de la población, siendo que 1´820,304 son mujeres con discapacidad y 13´949,135 mujeres sin discapacidad</w:t>
      </w:r>
      <w:r>
        <w:rPr>
          <w:color w:val="000000"/>
          <w:vertAlign w:val="superscript"/>
        </w:rPr>
        <w:footnoteReference w:id="1"/>
      </w:r>
      <w:r>
        <w:rPr>
          <w:color w:val="000000"/>
        </w:rPr>
        <w:t xml:space="preserve">. </w:t>
      </w:r>
    </w:p>
    <w:p w:rsidR="00301060" w:rsidRDefault="00301060">
      <w:pPr>
        <w:pBdr>
          <w:top w:val="nil"/>
          <w:left w:val="nil"/>
          <w:bottom w:val="nil"/>
          <w:right w:val="nil"/>
          <w:between w:val="nil"/>
        </w:pBdr>
        <w:spacing w:before="0" w:after="0" w:line="276" w:lineRule="auto"/>
        <w:ind w:left="1210" w:right="100"/>
        <w:rPr>
          <w:color w:val="000000"/>
        </w:rPr>
      </w:pPr>
    </w:p>
    <w:p w:rsidR="00301060" w:rsidRDefault="00AF28C6">
      <w:pPr>
        <w:numPr>
          <w:ilvl w:val="0"/>
          <w:numId w:val="4"/>
        </w:numPr>
        <w:pBdr>
          <w:top w:val="nil"/>
          <w:left w:val="nil"/>
          <w:bottom w:val="nil"/>
          <w:right w:val="nil"/>
          <w:between w:val="nil"/>
        </w:pBdr>
        <w:spacing w:before="0" w:after="0" w:line="276" w:lineRule="auto"/>
        <w:ind w:right="100"/>
      </w:pPr>
      <w:bookmarkStart w:id="2" w:name="_heading=h.1fob9te" w:colFirst="0" w:colLast="0"/>
      <w:bookmarkEnd w:id="2"/>
      <w:r>
        <w:rPr>
          <w:color w:val="000000"/>
        </w:rPr>
        <w:t>Asimismo, de 2´715,892 (10,6%) personas con discapacidad que se sitúan en el área urbana: 1´570,444 son mujeres con discapacidad. Mientras que de 493,369 personas con discapacidad que residen en el área rural: 249,860 son mujeres con discapacidad</w:t>
      </w:r>
      <w:r>
        <w:rPr>
          <w:color w:val="000000"/>
          <w:vertAlign w:val="superscript"/>
        </w:rPr>
        <w:footnoteReference w:id="2"/>
      </w:r>
      <w:r>
        <w:rPr>
          <w:color w:val="000000"/>
        </w:rPr>
        <w:t>. “En ambas áreas, es la población femenina la que en mayor proporción declaró tener alguna dificultad o limitación permanente para realizar sus actividades diarias”</w:t>
      </w:r>
      <w:r>
        <w:rPr>
          <w:color w:val="000000"/>
          <w:vertAlign w:val="superscript"/>
        </w:rPr>
        <w:footnoteReference w:id="3"/>
      </w:r>
      <w:r>
        <w:rPr>
          <w:color w:val="000000"/>
        </w:rPr>
        <w:t>.</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ind w:right="100"/>
      </w:pPr>
      <w:bookmarkStart w:id="3" w:name="_heading=h.qkgxvhe2i53t" w:colFirst="0" w:colLast="0"/>
      <w:bookmarkEnd w:id="3"/>
      <w:r>
        <w:rPr>
          <w:color w:val="000000"/>
        </w:rPr>
        <w:t>Además, las mujeres con discapacidad tiene</w:t>
      </w:r>
      <w:r w:rsidR="00D62609">
        <w:rPr>
          <w:color w:val="000000"/>
        </w:rPr>
        <w:t>n</w:t>
      </w:r>
      <w:r>
        <w:rPr>
          <w:color w:val="000000"/>
        </w:rPr>
        <w:t xml:space="preserve"> un brecha desfavorable respecto a la alfabetización, en especial las mujeres con discapacidad que viven en el área rural, ya que 30,8% de mujeres con discapacidad del área urbana son analfabetas mientras que 63,7% mujeres del área rural son analfabetas</w:t>
      </w:r>
      <w:r>
        <w:rPr>
          <w:color w:val="000000"/>
          <w:vertAlign w:val="superscript"/>
        </w:rPr>
        <w:footnoteReference w:id="4"/>
      </w:r>
      <w:r>
        <w:rPr>
          <w:color w:val="000000"/>
        </w:rPr>
        <w:t>.</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ind w:right="100"/>
      </w:pPr>
      <w:r>
        <w:rPr>
          <w:color w:val="000000"/>
        </w:rPr>
        <w:t>En cuanto a la distribución territorial de las personas con discapacidad, Lima es la provincia con la mayor población con discapacidad con 31,2%. Seguido por Piura (5,4%), La Libertad (5,2%), Puno (5,2%), Arequipa (5%), Cusco (4,5%), Junín (4,2%), entre otros</w:t>
      </w:r>
      <w:r>
        <w:rPr>
          <w:color w:val="000000"/>
          <w:vertAlign w:val="superscript"/>
        </w:rPr>
        <w:footnoteReference w:id="5"/>
      </w:r>
      <w:r>
        <w:rPr>
          <w:color w:val="000000"/>
        </w:rPr>
        <w:t>.</w:t>
      </w:r>
    </w:p>
    <w:p w:rsidR="00301060" w:rsidRDefault="00AF28C6">
      <w:pPr>
        <w:spacing w:line="276" w:lineRule="auto"/>
        <w:rPr>
          <w:b/>
          <w:color w:val="000000"/>
        </w:rPr>
      </w:pPr>
      <w:r>
        <w:rPr>
          <w:b/>
          <w:color w:val="000000"/>
        </w:rPr>
        <w:lastRenderedPageBreak/>
        <w:t>Repercusiones de la pandemia en los derechos de la mujer con discapacidad y la igualdad de género</w:t>
      </w:r>
    </w:p>
    <w:p w:rsidR="00301060" w:rsidRDefault="00AF28C6">
      <w:pPr>
        <w:numPr>
          <w:ilvl w:val="0"/>
          <w:numId w:val="4"/>
        </w:numPr>
        <w:pBdr>
          <w:top w:val="nil"/>
          <w:left w:val="nil"/>
          <w:bottom w:val="nil"/>
          <w:right w:val="nil"/>
          <w:between w:val="nil"/>
        </w:pBdr>
        <w:spacing w:after="0" w:line="276" w:lineRule="auto"/>
      </w:pPr>
      <w:r>
        <w:rPr>
          <w:color w:val="000000"/>
        </w:rPr>
        <w:t>En Perú, la pandemia ha generado impactos negativos sobre las mujeres con discapacidad y ha propiciado vulneraciones a diversos derechos reconocidos en la Convención sobre la Eliminación de Todas las Formas de</w:t>
      </w:r>
      <w:r w:rsidR="00D62609">
        <w:rPr>
          <w:color w:val="000000"/>
        </w:rPr>
        <w:t xml:space="preserve"> Discriminación contra la Mujer. </w:t>
      </w:r>
      <w:r>
        <w:rPr>
          <w:color w:val="000000"/>
        </w:rPr>
        <w:t>Así, la pandemia ha profundizado negativamente en “graves indicadores de violencia interseccional, entornos no accesibles, mayores tasas de desempleo, bajos niveles de inclusión educativa, falta de accesibilidad en los servicios de Estado, precario sistema de protección social y menor nivel de participación social”</w:t>
      </w:r>
      <w:r>
        <w:rPr>
          <w:color w:val="000000"/>
          <w:vertAlign w:val="superscript"/>
        </w:rPr>
        <w:footnoteReference w:id="6"/>
      </w:r>
      <w:r>
        <w:rPr>
          <w:color w:val="000000"/>
        </w:rPr>
        <w:t>.</w:t>
      </w:r>
    </w:p>
    <w:p w:rsidR="00301060" w:rsidRDefault="00301060">
      <w:pPr>
        <w:pBdr>
          <w:top w:val="nil"/>
          <w:left w:val="nil"/>
          <w:bottom w:val="nil"/>
          <w:right w:val="nil"/>
          <w:between w:val="nil"/>
        </w:pBdr>
        <w:spacing w:before="0" w:after="0" w:line="276" w:lineRule="auto"/>
        <w:ind w:left="121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En efecto, la actual crisis ha profundizado en las desigualdades preexistentes, por lo que trabajar en la inclusión de un enfoque de discapacidad, enfoque de género y enfoque interseccional es imperativo para el Estado Peruano. En tanto, que la pandemia tiene un impacto diferenciado en las mujeres con discapacidad a causa de la discriminación estructural y las barreras actitudinales, arquitectónicos, </w:t>
      </w:r>
      <w:r w:rsidRPr="009A648A">
        <w:t>legales, de transporte y comunicacionales</w:t>
      </w:r>
      <w:r>
        <w:rPr>
          <w:color w:val="000000"/>
        </w:rPr>
        <w:t xml:space="preserve">. </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t>Visualizamos</w:t>
      </w:r>
      <w:r>
        <w:rPr>
          <w:color w:val="000000"/>
        </w:rPr>
        <w:t xml:space="preserve"> que la pandemia ha intensificado las barreras que enfrentan las mujeres con discapacidad frente al acceso a los servicios e información de salud, financiamiento, oportunidades laborales, educación virtual y en especial en la protección contra la violencia de género. Prueba de ello es que la información sobre la pandemia no está en formato accesible</w:t>
      </w:r>
      <w:r>
        <w:rPr>
          <w:color w:val="000000"/>
          <w:vertAlign w:val="superscript"/>
        </w:rPr>
        <w:footnoteReference w:id="7"/>
      </w:r>
      <w:r>
        <w:rPr>
          <w:color w:val="000000"/>
        </w:rPr>
        <w:t>, las Entidades están despidiendo y/o no están implementando trabajo remoto para las mujeres con discapacidad</w:t>
      </w:r>
      <w:r>
        <w:rPr>
          <w:color w:val="000000"/>
          <w:vertAlign w:val="superscript"/>
        </w:rPr>
        <w:footnoteReference w:id="8"/>
      </w:r>
      <w:r>
        <w:rPr>
          <w:color w:val="000000"/>
        </w:rPr>
        <w:t>, las rutas de denuncia de violencia de género no cuentan con intérpretes en lengua de señas</w:t>
      </w:r>
      <w:r>
        <w:rPr>
          <w:color w:val="7030A0"/>
        </w:rPr>
        <w:t xml:space="preserve"> </w:t>
      </w:r>
      <w:r w:rsidR="00D62609">
        <w:t>peruanas y</w:t>
      </w:r>
      <w:r w:rsidRPr="009A648A">
        <w:t xml:space="preserve"> </w:t>
      </w:r>
      <w:r w:rsidR="009A648A">
        <w:t xml:space="preserve">no se </w:t>
      </w:r>
      <w:r w:rsidR="009A648A">
        <w:lastRenderedPageBreak/>
        <w:t>encuentran subtituladas</w:t>
      </w:r>
      <w:r w:rsidR="009A648A" w:rsidRPr="009A648A">
        <w:t>.</w:t>
      </w:r>
      <w:r w:rsidRPr="009A648A">
        <w:t xml:space="preserve"> </w:t>
      </w:r>
      <w:r w:rsidR="009A648A" w:rsidRPr="009A648A">
        <w:t>T</w:t>
      </w:r>
      <w:r w:rsidRPr="009A648A">
        <w:t xml:space="preserve">ampoco se contempla información en lenguas </w:t>
      </w:r>
      <w:r w:rsidR="009A648A" w:rsidRPr="009A648A">
        <w:t>originarias</w:t>
      </w:r>
      <w:r w:rsidRPr="009A648A">
        <w:t xml:space="preserve"> como Quechua, Aymara, entre otros</w:t>
      </w:r>
      <w:r w:rsidR="009A648A" w:rsidRPr="009A648A">
        <w:t>.</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En ese sentido, las mujeres con discapacidad han tenido que enfrentar la pandemia en una situación acentuada de exclusión y discriminación frente al resto de la población sin discapacidad. Así, la falta de aplicación del enfoque de discapacidad en las medidas tomadas por el Estado </w:t>
      </w:r>
      <w:r w:rsidRPr="009A648A">
        <w:t xml:space="preserve">Peruano para </w:t>
      </w:r>
      <w:r>
        <w:rPr>
          <w:color w:val="000000"/>
        </w:rPr>
        <w:t>controlar la pandemia han generado repercusiones adversas como la vulneración de derechos y menoscabo de las condiciones de vida digna y las oportunidades de las mujeres con discapacidad</w:t>
      </w:r>
      <w:r>
        <w:rPr>
          <w:color w:val="000000"/>
          <w:vertAlign w:val="superscript"/>
        </w:rPr>
        <w:footnoteReference w:id="9"/>
      </w:r>
      <w:r>
        <w:rPr>
          <w:color w:val="000000"/>
        </w:rPr>
        <w:t xml:space="preserve">. </w:t>
      </w:r>
    </w:p>
    <w:p w:rsidR="00301060" w:rsidRDefault="00301060">
      <w:pPr>
        <w:pBdr>
          <w:top w:val="nil"/>
          <w:left w:val="nil"/>
          <w:bottom w:val="nil"/>
          <w:right w:val="nil"/>
          <w:between w:val="nil"/>
        </w:pBdr>
        <w:spacing w:before="0" w:after="0" w:line="276" w:lineRule="auto"/>
        <w:ind w:left="121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En esa línea, a causa del aislamiento social los Centros de Emergencia Mujer (en adelante CEM) implementaron equipos itinerantes para cumplir con sus servicios a favor de las mujeres que denuncien violencia. Sin embargo,  “las limitaciones del alcance de estos equipos, sumado a la posibilidad de que la persona agresora resida en el domicilio de la víctima, a la situación de dependencia entre la víctima y la persona agresora, y el riesgo de contraer COVID-19, entre otros, podría, explicar la </w:t>
      </w:r>
      <w:r w:rsidRPr="00D62609">
        <w:rPr>
          <w:b/>
          <w:color w:val="000000"/>
        </w:rPr>
        <w:t>disminución de casos atendidos</w:t>
      </w:r>
      <w:r>
        <w:rPr>
          <w:color w:val="000000"/>
        </w:rPr>
        <w:t>”</w:t>
      </w:r>
      <w:r w:rsidR="00D62609">
        <w:rPr>
          <w:color w:val="000000"/>
        </w:rPr>
        <w:t xml:space="preserve"> (</w:t>
      </w:r>
      <w:r w:rsidR="00D62609" w:rsidRPr="00D62609">
        <w:rPr>
          <w:i/>
          <w:color w:val="000000"/>
        </w:rPr>
        <w:t>la negrita es nuestra</w:t>
      </w:r>
      <w:r w:rsidR="00D62609">
        <w:rPr>
          <w:color w:val="000000"/>
        </w:rPr>
        <w:t>)</w:t>
      </w:r>
      <w:r>
        <w:rPr>
          <w:color w:val="000000"/>
          <w:vertAlign w:val="superscript"/>
        </w:rPr>
        <w:footnoteReference w:id="10"/>
      </w:r>
      <w:r>
        <w:rPr>
          <w:color w:val="000000"/>
        </w:rPr>
        <w:t xml:space="preserve">. </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De igual forma, existe un gran impacto y repercusiones en el cumplimiento de los derechos de las mujeres con discapacidad y el retroceso en la igualdad de género a causa del COVID-19 en Perú. Este contexto se agrava por la falta de espacios participativos, en los cuales las mujeres con discapacidad </w:t>
      </w:r>
      <w:r w:rsidR="00D62609">
        <w:t>incluya</w:t>
      </w:r>
      <w:r>
        <w:t>n</w:t>
      </w:r>
      <w:r>
        <w:rPr>
          <w:color w:val="000000"/>
        </w:rPr>
        <w:t xml:space="preserve"> y apliquen un enfoque de género, de discapacidad e interseccional en las políticas para contrarrestar la pandemia.</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line="276" w:lineRule="auto"/>
        <w:rPr>
          <w:b/>
          <w:color w:val="000000"/>
        </w:rPr>
      </w:pPr>
      <w:r>
        <w:rPr>
          <w:b/>
          <w:color w:val="000000"/>
        </w:rPr>
        <w:t xml:space="preserve">Por ello, solicitamos al Comité CEDAW que recomiende al Estado Peruano (i) participación igualitaria de las mujeres con discapacidad y </w:t>
      </w:r>
      <w:r w:rsidRPr="009A648A">
        <w:rPr>
          <w:b/>
        </w:rPr>
        <w:t xml:space="preserve">organizaciones de mujeres con discapacidad en todas las etapas de respuesta relativas a la pandemia, (ii) implementación del enfoque de doble vía: género, discapacidad e interseccional en las </w:t>
      </w:r>
      <w:r w:rsidR="009A648A" w:rsidRPr="009A648A">
        <w:rPr>
          <w:b/>
        </w:rPr>
        <w:t>políticas</w:t>
      </w:r>
      <w:r w:rsidRPr="009A648A">
        <w:rPr>
          <w:b/>
        </w:rPr>
        <w:t xml:space="preserve">, normas, </w:t>
      </w:r>
      <w:r w:rsidRPr="009A648A">
        <w:rPr>
          <w:b/>
        </w:rPr>
        <w:lastRenderedPageBreak/>
        <w:t xml:space="preserve">programas y/o servicios contra la </w:t>
      </w:r>
      <w:r>
        <w:rPr>
          <w:b/>
          <w:color w:val="000000"/>
        </w:rPr>
        <w:t>pandemia y (iii) accesibilidad en la información, servicios y programas relativos a la pandemia.</w:t>
      </w:r>
    </w:p>
    <w:p w:rsidR="00301060" w:rsidRDefault="00AF28C6">
      <w:pPr>
        <w:spacing w:line="276" w:lineRule="auto"/>
        <w:rPr>
          <w:b/>
        </w:rPr>
      </w:pPr>
      <w:r>
        <w:rPr>
          <w:b/>
        </w:rPr>
        <w:t xml:space="preserve">Marco legislativo y leyes discriminatorias (CEDAW, artículos 01 y 02) </w:t>
      </w:r>
    </w:p>
    <w:p w:rsidR="00301060" w:rsidRDefault="00AF28C6">
      <w:pPr>
        <w:numPr>
          <w:ilvl w:val="0"/>
          <w:numId w:val="4"/>
        </w:numPr>
        <w:pBdr>
          <w:top w:val="nil"/>
          <w:left w:val="nil"/>
          <w:bottom w:val="nil"/>
          <w:right w:val="nil"/>
          <w:between w:val="nil"/>
        </w:pBdr>
        <w:spacing w:after="0" w:line="276" w:lineRule="auto"/>
      </w:pPr>
      <w:bookmarkStart w:id="4" w:name="_heading=h.iwn6q7erg9r7" w:colFirst="0" w:colLast="0"/>
      <w:bookmarkEnd w:id="4"/>
      <w:r>
        <w:rPr>
          <w:color w:val="000000"/>
        </w:rPr>
        <w:t>Expresamos nuestra preocupación por la vigencia del artículo 162 del Nuevo Código Procesal Penal que para efectos de valorar como medio de prueba un testimonio ante un proceso judicial requiere con carácter de necesario verificar la “idoneidad física o psíquica” de la persona. “Esta norma lleva a que la discapacidad en sí misma pueda ser considerada un impedimento para brindar testimonio, lo cual podría significar una grave afectación al derecho a la justicia de víctimas de violencia; además, está en desacuerdo con las obligaciones y los estándares de la Convención sobre los Derechos de las Personas con Discapacidad”</w:t>
      </w:r>
      <w:r>
        <w:rPr>
          <w:color w:val="000000"/>
          <w:vertAlign w:val="superscript"/>
        </w:rPr>
        <w:footnoteReference w:id="11"/>
      </w:r>
      <w:r>
        <w:rPr>
          <w:color w:val="000000"/>
        </w:rPr>
        <w:t xml:space="preserve"> . </w:t>
      </w:r>
    </w:p>
    <w:p w:rsidR="00301060" w:rsidRDefault="00301060">
      <w:pPr>
        <w:pBdr>
          <w:top w:val="nil"/>
          <w:left w:val="nil"/>
          <w:bottom w:val="nil"/>
          <w:right w:val="nil"/>
          <w:between w:val="nil"/>
        </w:pBdr>
        <w:spacing w:before="0" w:after="0" w:line="276" w:lineRule="auto"/>
        <w:ind w:left="121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Asimismo, del artículo 120 del Código Penal que regula una causal de aborto por discapacidad cuando exista probabilidad que el ser en formación tenga deficiencias físicas o psíquicas. Siendo que se justifica el aborto por la condición de discapacidad y pervive el modelo de prescindencia. En tanto que esta norma engloba el </w:t>
      </w:r>
      <w:r w:rsidR="009A648A">
        <w:t xml:space="preserve">mensaje </w:t>
      </w:r>
      <w:r>
        <w:t>que</w:t>
      </w:r>
      <w:r>
        <w:rPr>
          <w:color w:val="000000"/>
        </w:rPr>
        <w:t xml:space="preserve"> los seres en formación por su condición de discapacidad no tienen derecho a vivir.</w:t>
      </w:r>
    </w:p>
    <w:p w:rsidR="00301060" w:rsidRDefault="00301060">
      <w:pPr>
        <w:pBdr>
          <w:top w:val="nil"/>
          <w:left w:val="nil"/>
          <w:bottom w:val="nil"/>
          <w:right w:val="nil"/>
          <w:between w:val="nil"/>
        </w:pBdr>
        <w:spacing w:before="0" w:after="0" w:line="276" w:lineRule="auto"/>
        <w:ind w:left="1210"/>
        <w:rPr>
          <w:color w:val="000000"/>
        </w:rPr>
      </w:pPr>
    </w:p>
    <w:p w:rsidR="00301060" w:rsidRPr="009A648A" w:rsidRDefault="00AF28C6" w:rsidP="009A648A">
      <w:pPr>
        <w:numPr>
          <w:ilvl w:val="0"/>
          <w:numId w:val="4"/>
        </w:numPr>
        <w:pBdr>
          <w:top w:val="nil"/>
          <w:left w:val="nil"/>
          <w:bottom w:val="nil"/>
          <w:right w:val="nil"/>
          <w:between w:val="nil"/>
        </w:pBdr>
        <w:spacing w:before="0" w:line="276" w:lineRule="auto"/>
      </w:pPr>
      <w:r>
        <w:rPr>
          <w:b/>
          <w:color w:val="000000"/>
        </w:rPr>
        <w:t xml:space="preserve">Por ello, solicitamos al Comité CEDAW que recomiende al Estado Peruano </w:t>
      </w:r>
      <w:r w:rsidR="009A648A">
        <w:rPr>
          <w:b/>
          <w:color w:val="000000"/>
        </w:rPr>
        <w:t xml:space="preserve">(i) </w:t>
      </w:r>
      <w:r>
        <w:rPr>
          <w:b/>
          <w:color w:val="000000"/>
        </w:rPr>
        <w:t>realizar un análisis, identifique y derogue las normas nacionales peruanas que contengan disposiciones discriminatorias directas o indirectas</w:t>
      </w:r>
      <w:r>
        <w:rPr>
          <w:color w:val="000000"/>
        </w:rPr>
        <w:t xml:space="preserve"> </w:t>
      </w:r>
      <w:r>
        <w:rPr>
          <w:b/>
          <w:color w:val="000000"/>
        </w:rPr>
        <w:t>haci</w:t>
      </w:r>
      <w:r w:rsidR="009A648A">
        <w:rPr>
          <w:b/>
          <w:color w:val="000000"/>
        </w:rPr>
        <w:t xml:space="preserve">a las </w:t>
      </w:r>
      <w:r w:rsidR="009A648A" w:rsidRPr="009A648A">
        <w:rPr>
          <w:b/>
        </w:rPr>
        <w:t>personas con discapacidad</w:t>
      </w:r>
      <w:r w:rsidRPr="009A648A">
        <w:rPr>
          <w:b/>
        </w:rPr>
        <w:t xml:space="preserve"> </w:t>
      </w:r>
      <w:r w:rsidR="009A648A" w:rsidRPr="009A648A">
        <w:rPr>
          <w:b/>
        </w:rPr>
        <w:t>y</w:t>
      </w:r>
      <w:r w:rsidRPr="009A648A">
        <w:rPr>
          <w:b/>
        </w:rPr>
        <w:t xml:space="preserve"> </w:t>
      </w:r>
      <w:r w:rsidR="009A648A">
        <w:rPr>
          <w:b/>
        </w:rPr>
        <w:t xml:space="preserve">(ii) </w:t>
      </w:r>
      <w:r w:rsidRPr="009A648A">
        <w:rPr>
          <w:b/>
        </w:rPr>
        <w:t xml:space="preserve">la reforma del </w:t>
      </w:r>
      <w:r w:rsidR="009A648A" w:rsidRPr="009A648A">
        <w:rPr>
          <w:b/>
        </w:rPr>
        <w:t>C</w:t>
      </w:r>
      <w:r w:rsidR="00FC79CC" w:rsidRPr="009A648A">
        <w:rPr>
          <w:b/>
        </w:rPr>
        <w:t>ódigo</w:t>
      </w:r>
      <w:r w:rsidR="009A648A" w:rsidRPr="009A648A">
        <w:rPr>
          <w:b/>
        </w:rPr>
        <w:t xml:space="preserve"> Penal P</w:t>
      </w:r>
      <w:r w:rsidRPr="009A648A">
        <w:rPr>
          <w:b/>
        </w:rPr>
        <w:t xml:space="preserve">rocesal en concordancia a la </w:t>
      </w:r>
      <w:r w:rsidR="009A648A" w:rsidRPr="009A648A">
        <w:rPr>
          <w:b/>
        </w:rPr>
        <w:t>Convención sobre los Derechos de las Personas con Discapacidad</w:t>
      </w:r>
      <w:r w:rsidRPr="009A648A">
        <w:rPr>
          <w:b/>
        </w:rPr>
        <w:t>.</w:t>
      </w:r>
    </w:p>
    <w:p w:rsidR="00301060" w:rsidRDefault="00AF28C6">
      <w:pPr>
        <w:spacing w:line="276" w:lineRule="auto"/>
        <w:rPr>
          <w:b/>
          <w:color w:val="000000"/>
        </w:rPr>
      </w:pPr>
      <w:r>
        <w:rPr>
          <w:b/>
          <w:color w:val="000000"/>
        </w:rPr>
        <w:t>Estereotipos y prácticas nocivas (CEDAW, artículos 05 y 10)</w:t>
      </w:r>
    </w:p>
    <w:p w:rsidR="00301060" w:rsidRDefault="00AF28C6">
      <w:pPr>
        <w:numPr>
          <w:ilvl w:val="0"/>
          <w:numId w:val="4"/>
        </w:numPr>
        <w:pBdr>
          <w:top w:val="nil"/>
          <w:left w:val="nil"/>
          <w:bottom w:val="nil"/>
          <w:right w:val="nil"/>
          <w:between w:val="nil"/>
        </w:pBdr>
        <w:spacing w:after="0" w:line="276" w:lineRule="auto"/>
      </w:pPr>
      <w:r>
        <w:rPr>
          <w:color w:val="000000"/>
        </w:rPr>
        <w:t xml:space="preserve">El Estado Peruano debe interiorizar que la vinculación entre los estereotipos de género y la discriminación estructural contra la mujer con discapacidad es una dinámica diferenciada que debe ser abordada desde un enfoque interseccional. </w:t>
      </w:r>
    </w:p>
    <w:p w:rsidR="00301060" w:rsidRDefault="00301060">
      <w:pPr>
        <w:pBdr>
          <w:top w:val="nil"/>
          <w:left w:val="nil"/>
          <w:bottom w:val="nil"/>
          <w:right w:val="nil"/>
          <w:between w:val="nil"/>
        </w:pBdr>
        <w:spacing w:before="0" w:after="0" w:line="276" w:lineRule="auto"/>
        <w:ind w:left="121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Así, las conductas tradicionales de la sociedad y las prácticas institucionales privan a las mujeres con discapacidad del goce de sus derechos sexuales y reproductivos, de su derecho a vivir de forma independiente, de su derecho de igual reconocimiento como persona ante la ley, de su derecho a la libertad, </w:t>
      </w:r>
      <w:r>
        <w:rPr>
          <w:color w:val="000000"/>
        </w:rPr>
        <w:lastRenderedPageBreak/>
        <w:t>entre otros derechos en igualdad de condiciones y contribuye a la existencia de altos niveles de violencia contra la mujer con discapacidad. Así, sufren de estereotipos que las encasillan como asexuales, incapaces, infantiles, irracionales y que carecen de control, lo cual genera situaciones de discriminación y violencia</w:t>
      </w:r>
      <w:r>
        <w:rPr>
          <w:color w:val="000000"/>
          <w:vertAlign w:val="superscript"/>
        </w:rPr>
        <w:footnoteReference w:id="12"/>
      </w:r>
      <w:r>
        <w:rPr>
          <w:color w:val="000000"/>
        </w:rPr>
        <w:t>.</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Por otro lado, si bien es cierto que las prácticas nocivas como las esterilizaciones forzadas en los centros de salud y el internamiento en centros de salud mental sin consentimiento hacia las personas con discapacidad están prohibidas a partir del reconocimiento de su capacidad jurídica. Es preciso indicar que pese </w:t>
      </w:r>
      <w:r w:rsidR="009A648A">
        <w:rPr>
          <w:color w:val="000000"/>
        </w:rPr>
        <w:t xml:space="preserve">a este reconocimiento </w:t>
      </w:r>
      <w:r>
        <w:rPr>
          <w:color w:val="000000"/>
        </w:rPr>
        <w:t>el Estado Peruano hasta la fecha no ha generado una base de datos sobre las mujeres con discapacidad que fueron esteri</w:t>
      </w:r>
      <w:r w:rsidR="009A648A">
        <w:rPr>
          <w:color w:val="000000"/>
        </w:rPr>
        <w:t>lizadas y/</w:t>
      </w:r>
      <w:r>
        <w:rPr>
          <w:color w:val="000000"/>
        </w:rPr>
        <w:t xml:space="preserve">o internadas sin su consentimiento o con el asentimiento de tutores legales y mucho menos existe seguimiento de la reparación que les </w:t>
      </w:r>
      <w:r>
        <w:t>corresponde</w:t>
      </w:r>
      <w:r>
        <w:rPr>
          <w:color w:val="000000"/>
        </w:rPr>
        <w:t>.</w:t>
      </w:r>
    </w:p>
    <w:p w:rsidR="00301060" w:rsidRDefault="00301060">
      <w:pPr>
        <w:pBdr>
          <w:top w:val="nil"/>
          <w:left w:val="nil"/>
          <w:bottom w:val="nil"/>
          <w:right w:val="nil"/>
          <w:between w:val="nil"/>
        </w:pBdr>
        <w:spacing w:before="0" w:after="0" w:line="276" w:lineRule="auto"/>
        <w:ind w:left="720"/>
        <w:rPr>
          <w:color w:val="000000"/>
        </w:rPr>
      </w:pPr>
    </w:p>
    <w:p w:rsidR="00301060" w:rsidRPr="009A648A" w:rsidRDefault="00AF28C6" w:rsidP="009A648A">
      <w:pPr>
        <w:numPr>
          <w:ilvl w:val="0"/>
          <w:numId w:val="4"/>
        </w:numPr>
        <w:pBdr>
          <w:top w:val="nil"/>
          <w:left w:val="nil"/>
          <w:bottom w:val="nil"/>
          <w:right w:val="nil"/>
          <w:between w:val="nil"/>
        </w:pBdr>
        <w:spacing w:before="0" w:line="276" w:lineRule="auto"/>
      </w:pPr>
      <w:r>
        <w:rPr>
          <w:b/>
          <w:color w:val="000000"/>
        </w:rPr>
        <w:t>Por ello, solicitamos al Comité CEDAW que recomiende al Estado Peruano que</w:t>
      </w:r>
      <w:r w:rsidR="009A648A">
        <w:rPr>
          <w:b/>
          <w:color w:val="000000"/>
        </w:rPr>
        <w:t>: (i)</w:t>
      </w:r>
      <w:r>
        <w:rPr>
          <w:b/>
          <w:color w:val="000000"/>
        </w:rPr>
        <w:t xml:space="preserve"> genere una estrategia para erradicar los estereotipos de género que perjudican a las mujeres con discapacidad en to</w:t>
      </w:r>
      <w:r w:rsidR="009A648A">
        <w:rPr>
          <w:b/>
          <w:color w:val="000000"/>
        </w:rPr>
        <w:t>das las etapas del ciclo vital, (ii)</w:t>
      </w:r>
      <w:r>
        <w:rPr>
          <w:b/>
          <w:color w:val="000000"/>
        </w:rPr>
        <w:t xml:space="preserve"> recopile una base de datos sobre las mujeres con discapacidad que fu</w:t>
      </w:r>
      <w:r w:rsidRPr="009A648A">
        <w:rPr>
          <w:b/>
        </w:rPr>
        <w:t xml:space="preserve">eron esterilizadas o internadas sin su consentimiento o con el </w:t>
      </w:r>
      <w:r w:rsidR="009A648A" w:rsidRPr="009A648A">
        <w:rPr>
          <w:b/>
        </w:rPr>
        <w:t>asentimiento de tutores legales, (iii)</w:t>
      </w:r>
      <w:r w:rsidR="009A648A" w:rsidRPr="009A648A">
        <w:t xml:space="preserve"> </w:t>
      </w:r>
      <w:r w:rsidR="009A648A" w:rsidRPr="009A648A">
        <w:rPr>
          <w:b/>
        </w:rPr>
        <w:t>cumpla con la</w:t>
      </w:r>
      <w:r w:rsidRPr="009A648A">
        <w:rPr>
          <w:b/>
        </w:rPr>
        <w:t xml:space="preserve"> implementación </w:t>
      </w:r>
      <w:r w:rsidR="009A648A" w:rsidRPr="009A648A">
        <w:rPr>
          <w:b/>
        </w:rPr>
        <w:t>de asignaturas</w:t>
      </w:r>
      <w:r w:rsidR="009A648A" w:rsidRPr="009A648A">
        <w:t xml:space="preserve"> </w:t>
      </w:r>
      <w:r w:rsidR="009A648A" w:rsidRPr="009A648A">
        <w:rPr>
          <w:b/>
        </w:rPr>
        <w:t xml:space="preserve">relacionadas a Género y Discapacidad </w:t>
      </w:r>
      <w:r w:rsidRPr="009A648A">
        <w:rPr>
          <w:b/>
        </w:rPr>
        <w:t>en las mallas curriculares de las universidades e institutos su</w:t>
      </w:r>
      <w:r w:rsidR="009A648A" w:rsidRPr="009A648A">
        <w:rPr>
          <w:b/>
        </w:rPr>
        <w:t xml:space="preserve">periores, para ser acreditadas </w:t>
      </w:r>
      <w:r w:rsidR="00D62609">
        <w:rPr>
          <w:b/>
        </w:rPr>
        <w:t xml:space="preserve">a fin </w:t>
      </w:r>
      <w:r w:rsidRPr="009A648A">
        <w:rPr>
          <w:b/>
        </w:rPr>
        <w:t>que los</w:t>
      </w:r>
      <w:r w:rsidR="009A648A">
        <w:rPr>
          <w:b/>
        </w:rPr>
        <w:t>/as</w:t>
      </w:r>
      <w:r w:rsidRPr="009A648A">
        <w:rPr>
          <w:b/>
        </w:rPr>
        <w:t xml:space="preserve"> futuros</w:t>
      </w:r>
      <w:r w:rsidR="009A648A">
        <w:rPr>
          <w:b/>
        </w:rPr>
        <w:t>/as</w:t>
      </w:r>
      <w:r w:rsidRPr="009A648A">
        <w:rPr>
          <w:b/>
        </w:rPr>
        <w:t xml:space="preserve"> profesionales egresen con bases sólidas de enfoques imprescindibles para el abordaje a poblaciones vulnerables.</w:t>
      </w:r>
    </w:p>
    <w:p w:rsidR="00301060" w:rsidRDefault="00AF28C6">
      <w:pPr>
        <w:spacing w:line="276" w:lineRule="auto"/>
        <w:rPr>
          <w:b/>
          <w:color w:val="000000"/>
        </w:rPr>
      </w:pPr>
      <w:r>
        <w:rPr>
          <w:b/>
          <w:color w:val="000000"/>
        </w:rPr>
        <w:t>Violencia de género contra la mujer con discapacidad (CEDAW, artículos 02, 03 y 05)</w:t>
      </w:r>
    </w:p>
    <w:p w:rsidR="00301060" w:rsidRDefault="00AF28C6">
      <w:pPr>
        <w:numPr>
          <w:ilvl w:val="0"/>
          <w:numId w:val="4"/>
        </w:numPr>
        <w:pBdr>
          <w:top w:val="nil"/>
          <w:left w:val="nil"/>
          <w:bottom w:val="nil"/>
          <w:right w:val="nil"/>
          <w:between w:val="nil"/>
        </w:pBdr>
        <w:spacing w:after="0" w:line="276" w:lineRule="auto"/>
      </w:pPr>
      <w:r>
        <w:rPr>
          <w:color w:val="000000"/>
        </w:rPr>
        <w:t>En Perú, las niñas y mujeres con discapacidad enfrentan diversos tipos de violencia y barreras que les dificultan denunciar situaciones de violencia (pues ésta se encuentra normalizada y no suele denunciarse). Asimismo, tienen un mayor peligro durante el confinamiento, pues la violencia muchas veces ocurre dentro del propio hogar</w:t>
      </w:r>
      <w:r>
        <w:rPr>
          <w:color w:val="000000"/>
          <w:vertAlign w:val="superscript"/>
        </w:rPr>
        <w:footnoteReference w:id="13"/>
      </w:r>
      <w:r>
        <w:rPr>
          <w:color w:val="000000"/>
        </w:rPr>
        <w:t xml:space="preserve">. Esta combinación hace que la </w:t>
      </w:r>
      <w:r>
        <w:rPr>
          <w:color w:val="000000"/>
        </w:rPr>
        <w:lastRenderedPageBreak/>
        <w:t xml:space="preserve">violencia continúe siendo invisible para el Estado Peruano y para la sociedad y que no se esté generando respuestas específicas para prevenirla o atenderla. </w:t>
      </w:r>
    </w:p>
    <w:p w:rsidR="00301060" w:rsidRDefault="00301060">
      <w:pPr>
        <w:pBdr>
          <w:top w:val="nil"/>
          <w:left w:val="nil"/>
          <w:bottom w:val="nil"/>
          <w:right w:val="nil"/>
          <w:between w:val="nil"/>
        </w:pBdr>
        <w:spacing w:before="0" w:after="0" w:line="276" w:lineRule="auto"/>
        <w:ind w:left="121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Según el Ministerio de la Mujer y Poblaciones Vulnerables (en adelante MIMP) de enero a noviembre de 2021 se atendieron 2,562 casos de personas con discapacidad en los CEM a nivel nacional. De ellos, el 8,4% tiene condición de reincidencia, y el 36.3% de ellos son casos, en los cuales el nivel de riesgo es severo.</w:t>
      </w:r>
      <w:r>
        <w:rPr>
          <w:color w:val="000000"/>
          <w:vertAlign w:val="superscript"/>
        </w:rPr>
        <w:footnoteReference w:id="14"/>
      </w:r>
      <w:r>
        <w:rPr>
          <w:color w:val="000000"/>
        </w:rPr>
        <w:t xml:space="preserve"> </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Dicho ello, resaltamos nuestra especial preocupación por las escasas medidas adoptadas por el Estado Peruano para alentar y facilitar a las mujeres con discapacidad la denuncia de casos de violencia de género. Siendo que no se ha tomado en cuenta el enfoque de discapacidad para la creación e implementación de las principales rutas de denuncia contra la violencia como la Línea 1810, la Línea 100, el Chat 100, Servicios de Atención Urgente, la denuncia ante la Comisaría, el Poder Judicial y/o el Ministerio Público. Siendo que todas presentan barreras comunicacionales y actitudinales que </w:t>
      </w:r>
      <w:r>
        <w:t>dificultan</w:t>
      </w:r>
      <w:r>
        <w:rPr>
          <w:color w:val="000000"/>
        </w:rPr>
        <w:t xml:space="preserve"> o imposibilitan a las mujeres con discapacidad la denuncia de violencia.</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En esa línea, el Estado Peruano tampoco ha internalizado que “las mujeres con discapacidad son sometidas a formas específicas y únicas de violencia debido al género y la discapacidad […]”</w:t>
      </w:r>
      <w:r>
        <w:rPr>
          <w:color w:val="000000"/>
          <w:vertAlign w:val="superscript"/>
        </w:rPr>
        <w:footnoteReference w:id="15"/>
      </w:r>
      <w:r>
        <w:rPr>
          <w:color w:val="000000"/>
        </w:rPr>
        <w:t xml:space="preserve">, ya que no ha priorizado implementar una Ficha de Valoración de Riesgo (en adelante FVR) para Mujeres con Discapacidad en casos de violencia o en su defecto aplicar el enfoque de discapacidad a las FVR vigentes presentadas al MIMP. </w:t>
      </w:r>
    </w:p>
    <w:p w:rsidR="00301060" w:rsidRDefault="00301060">
      <w:pPr>
        <w:pBdr>
          <w:top w:val="nil"/>
          <w:left w:val="nil"/>
          <w:bottom w:val="nil"/>
          <w:right w:val="nil"/>
          <w:between w:val="nil"/>
        </w:pBdr>
        <w:spacing w:before="0" w:after="0" w:line="276" w:lineRule="auto"/>
        <w:ind w:left="1210"/>
        <w:rPr>
          <w:color w:val="000000"/>
        </w:rPr>
      </w:pPr>
    </w:p>
    <w:p w:rsidR="00301060" w:rsidRDefault="00AF28C6">
      <w:pPr>
        <w:numPr>
          <w:ilvl w:val="0"/>
          <w:numId w:val="4"/>
        </w:numPr>
        <w:pBdr>
          <w:top w:val="nil"/>
          <w:left w:val="nil"/>
          <w:bottom w:val="nil"/>
          <w:right w:val="nil"/>
          <w:between w:val="nil"/>
        </w:pBdr>
        <w:spacing w:before="0" w:after="0" w:line="276" w:lineRule="auto"/>
        <w:rPr>
          <w:color w:val="000000"/>
        </w:rPr>
      </w:pPr>
      <w:r>
        <w:rPr>
          <w:color w:val="000000"/>
        </w:rPr>
        <w:t xml:space="preserve">La no implementación de estas acciones genera mayor vulnerabilidad para las mujeres con discapacidad frente a la violencia al solo considerar que los únicos agresores pueden ser parejas o exparejas pese a que según estadística los principales agresores de las mujeres con discapacidad son sus familiares y/o cuidadores. Así, en Perú, una mujer con discapacidad tiene mayor probabilidad de dependencia hacia sus familiares, cuidadores y/o apoyos y tiene menos oportunidades de denunciar violencia. </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En efecto, entre enero y noviembre del 2021, en 63.7% de casos de personas con discapacidad a nivel nacional existió vínculo relacional familiar entre la presunta persona agresora y la persona usuaria</w:t>
      </w:r>
      <w:r>
        <w:rPr>
          <w:color w:val="000000"/>
          <w:vertAlign w:val="superscript"/>
        </w:rPr>
        <w:footnoteReference w:id="16"/>
      </w:r>
      <w:r>
        <w:rPr>
          <w:color w:val="000000"/>
        </w:rPr>
        <w:t>. En 2020, el CEM atendió 1</w:t>
      </w:r>
      <w:r w:rsidR="00D62609">
        <w:rPr>
          <w:color w:val="000000"/>
        </w:rPr>
        <w:t>,</w:t>
      </w:r>
      <w:r>
        <w:rPr>
          <w:color w:val="000000"/>
        </w:rPr>
        <w:t>683 casos de personas con discapacidad a nivel nacional, siendo que en el 61.1% existió vínculo relacional familiar entre la presunta persona agresora y la persona usuaria</w:t>
      </w:r>
      <w:r>
        <w:rPr>
          <w:color w:val="000000"/>
          <w:vertAlign w:val="superscript"/>
        </w:rPr>
        <w:footnoteReference w:id="17"/>
      </w:r>
      <w:r>
        <w:rPr>
          <w:color w:val="000000"/>
        </w:rPr>
        <w:t>. Así, entre enero y noviembre del 2021 y en el 2020, el CEM identificó que en los casos de mujeres sin discapacidad víctimas de violencia psicológica y físico el principal agresor era la pareja</w:t>
      </w:r>
      <w:r>
        <w:rPr>
          <w:color w:val="000000"/>
          <w:vertAlign w:val="superscript"/>
        </w:rPr>
        <w:footnoteReference w:id="18"/>
      </w:r>
      <w:r>
        <w:rPr>
          <w:color w:val="000000"/>
        </w:rPr>
        <w:t xml:space="preserve">. En contraposición, las estadísticas demuestran que en la población con discapacidad el principal agresor no son las parejas sino los familiares y/o cuidadores. Pese a ello, no existe una FVR para este grupo. Así, se ha priorizado proteger a las mujeres sin discapacidad que sufren violencia por sus parejas y prevenir el feminicidio, pero no a las mujeres con discapacidad o sin discapacidad que sufren violencia por sus familiares. </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Evidenciamos que pese a las recomendaciones del Comité de la CEDAW</w:t>
      </w:r>
      <w:r>
        <w:rPr>
          <w:color w:val="000000"/>
          <w:vertAlign w:val="superscript"/>
        </w:rPr>
        <w:footnoteReference w:id="19"/>
      </w:r>
      <w:r>
        <w:rPr>
          <w:color w:val="000000"/>
        </w:rPr>
        <w:t xml:space="preserve"> el Estado Peruano hasta la fecha no ha creado un sistema para publicar periódicamente datos estadísticos especializado en la situación de violencia de la mujer con discapacidad sobre: (i) el número de denuncias de todas las formas de violencia por razón de género, (ii) el porcentaje del nivel de riesgo, (iii) el porcentaje de reincidencia, (iv) el porcentaje del vínculo familiar, entre otros. </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Si bien existe información estadística sobre las personas con discapacidad en general resulta sumamente importante que esta información sea específica sobre niñas y mujeres con discapacidad. En tanto, el Estado Peruano tiene la obligación de garantizar el derecho de las mujeres y niñas con discapacidad a una vida libre de violencia y de emprender las medidas que sean necesarias para cumplir con ello teniendo en cuenta las variables de discapacidad y género. </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b/>
          <w:color w:val="000000"/>
        </w:rPr>
        <w:t xml:space="preserve">Por ello, solicitamos al Comité CEDAW que recomiende al Estado Peruano que: </w:t>
      </w:r>
    </w:p>
    <w:p w:rsidR="00301060" w:rsidRDefault="00301060">
      <w:pPr>
        <w:pBdr>
          <w:top w:val="nil"/>
          <w:left w:val="nil"/>
          <w:bottom w:val="nil"/>
          <w:right w:val="nil"/>
          <w:between w:val="nil"/>
        </w:pBdr>
        <w:spacing w:before="0" w:after="0" w:line="276" w:lineRule="auto"/>
        <w:ind w:left="720"/>
        <w:rPr>
          <w:b/>
          <w:color w:val="000000"/>
        </w:rPr>
      </w:pPr>
    </w:p>
    <w:p w:rsidR="00301060" w:rsidRDefault="00AF28C6">
      <w:pPr>
        <w:numPr>
          <w:ilvl w:val="0"/>
          <w:numId w:val="1"/>
        </w:numPr>
        <w:pBdr>
          <w:top w:val="nil"/>
          <w:left w:val="nil"/>
          <w:bottom w:val="nil"/>
          <w:right w:val="nil"/>
          <w:between w:val="nil"/>
        </w:pBdr>
        <w:spacing w:before="0" w:after="0" w:line="276" w:lineRule="auto"/>
      </w:pPr>
      <w:r>
        <w:rPr>
          <w:b/>
          <w:color w:val="000000"/>
        </w:rPr>
        <w:t>Implemente la FVR para mujeres con discapacidad</w:t>
      </w:r>
      <w:r>
        <w:rPr>
          <w:color w:val="000000"/>
        </w:rPr>
        <w:t xml:space="preserve"> </w:t>
      </w:r>
      <w:r>
        <w:rPr>
          <w:b/>
          <w:color w:val="000000"/>
        </w:rPr>
        <w:t>o en su defecto aplique el enfoque de discapacidad a las FVR vigentes;</w:t>
      </w:r>
    </w:p>
    <w:p w:rsidR="00301060" w:rsidRDefault="00AF28C6">
      <w:pPr>
        <w:numPr>
          <w:ilvl w:val="0"/>
          <w:numId w:val="1"/>
        </w:numPr>
        <w:pBdr>
          <w:top w:val="nil"/>
          <w:left w:val="nil"/>
          <w:bottom w:val="nil"/>
          <w:right w:val="nil"/>
          <w:between w:val="nil"/>
        </w:pBdr>
        <w:spacing w:before="0" w:after="0" w:line="276" w:lineRule="auto"/>
      </w:pPr>
      <w:r>
        <w:rPr>
          <w:b/>
          <w:color w:val="000000"/>
        </w:rPr>
        <w:t>Diseñe estrategias para promover el acceso a la denuncia de violencia a las mujeres con discapacidad;</w:t>
      </w:r>
    </w:p>
    <w:p w:rsidR="00301060" w:rsidRDefault="00AF28C6">
      <w:pPr>
        <w:numPr>
          <w:ilvl w:val="0"/>
          <w:numId w:val="1"/>
        </w:numPr>
        <w:pBdr>
          <w:top w:val="nil"/>
          <w:left w:val="nil"/>
          <w:bottom w:val="nil"/>
          <w:right w:val="nil"/>
          <w:between w:val="nil"/>
        </w:pBdr>
        <w:spacing w:before="0" w:after="0" w:line="276" w:lineRule="auto"/>
      </w:pPr>
      <w:r>
        <w:rPr>
          <w:b/>
          <w:color w:val="000000"/>
        </w:rPr>
        <w:t>Implemente medidas de accesibilidad y/o ajustes razonables en las rutas de denuncia de violencia;</w:t>
      </w:r>
    </w:p>
    <w:p w:rsidR="00301060" w:rsidRPr="009A648A" w:rsidRDefault="009A648A">
      <w:pPr>
        <w:numPr>
          <w:ilvl w:val="0"/>
          <w:numId w:val="1"/>
        </w:numPr>
        <w:pBdr>
          <w:top w:val="nil"/>
          <w:left w:val="nil"/>
          <w:bottom w:val="nil"/>
          <w:right w:val="nil"/>
          <w:between w:val="nil"/>
        </w:pBdr>
        <w:spacing w:before="0" w:after="0" w:line="276" w:lineRule="auto"/>
      </w:pPr>
      <w:r>
        <w:rPr>
          <w:b/>
        </w:rPr>
        <w:t>Implemente</w:t>
      </w:r>
      <w:r w:rsidR="00AF28C6" w:rsidRPr="009A648A">
        <w:rPr>
          <w:b/>
        </w:rPr>
        <w:t xml:space="preserve"> en la malla curricular de los Centros de Altos Estudios del MIMP, Ministerio Público, Ministerio del Interior, Poder Judicial entre otras instancias territoriales que atienden a mujeres violentadas, asignaturas que especialicen, formen y capaciten a los funcionarios y servidores públicos en materias de </w:t>
      </w:r>
      <w:r w:rsidR="00AF28C6" w:rsidRPr="009A648A">
        <w:rPr>
          <w:b/>
          <w:u w:val="single"/>
        </w:rPr>
        <w:t>Género y Discapacidad.</w:t>
      </w:r>
    </w:p>
    <w:p w:rsidR="00301060" w:rsidRDefault="00AF28C6">
      <w:pPr>
        <w:numPr>
          <w:ilvl w:val="0"/>
          <w:numId w:val="1"/>
        </w:numPr>
        <w:pBdr>
          <w:top w:val="nil"/>
          <w:left w:val="nil"/>
          <w:bottom w:val="nil"/>
          <w:right w:val="nil"/>
          <w:between w:val="nil"/>
        </w:pBdr>
        <w:spacing w:before="0" w:after="0" w:line="276" w:lineRule="auto"/>
      </w:pPr>
      <w:r>
        <w:rPr>
          <w:b/>
          <w:color w:val="000000"/>
        </w:rPr>
        <w:t>Realice capacitaciones a las autoridades y operadores, vinculados a la prevención, erradicación y sanción de violencia, sobre el enfoque de discapacidad, enfoque de género e interseccional.</w:t>
      </w:r>
    </w:p>
    <w:p w:rsidR="00301060" w:rsidRDefault="00AF28C6">
      <w:pPr>
        <w:numPr>
          <w:ilvl w:val="0"/>
          <w:numId w:val="1"/>
        </w:numPr>
        <w:pBdr>
          <w:top w:val="nil"/>
          <w:left w:val="nil"/>
          <w:bottom w:val="nil"/>
          <w:right w:val="nil"/>
          <w:between w:val="nil"/>
        </w:pBdr>
        <w:spacing w:before="0" w:after="0" w:line="276" w:lineRule="auto"/>
      </w:pPr>
      <w:r>
        <w:rPr>
          <w:b/>
          <w:color w:val="000000"/>
        </w:rPr>
        <w:t xml:space="preserve">Realice campañas dirigidas a mujeres con discapacidad con lenguaje accesible para promocionar los servicios de atención para denunciar la violencia. </w:t>
      </w:r>
    </w:p>
    <w:p w:rsidR="00301060" w:rsidRPr="00FC79CC" w:rsidRDefault="00AF28C6" w:rsidP="00FC79CC">
      <w:pPr>
        <w:numPr>
          <w:ilvl w:val="0"/>
          <w:numId w:val="1"/>
        </w:numPr>
        <w:pBdr>
          <w:top w:val="nil"/>
          <w:left w:val="nil"/>
          <w:bottom w:val="nil"/>
          <w:right w:val="nil"/>
          <w:between w:val="nil"/>
        </w:pBdr>
        <w:spacing w:before="0" w:after="200" w:line="276" w:lineRule="auto"/>
      </w:pPr>
      <w:r>
        <w:rPr>
          <w:b/>
          <w:color w:val="000000"/>
        </w:rPr>
        <w:t xml:space="preserve">Realice alianzas con organizaciones de mujeres con discapacidad e instituciones como universidades, ONGs, entre otros para una mejor prevención de la violencia hacia mujeres con discapacidad. </w:t>
      </w:r>
    </w:p>
    <w:p w:rsidR="00301060" w:rsidRDefault="00AF28C6">
      <w:pPr>
        <w:spacing w:line="276" w:lineRule="auto"/>
        <w:rPr>
          <w:b/>
          <w:color w:val="000000"/>
        </w:rPr>
      </w:pPr>
      <w:r>
        <w:rPr>
          <w:b/>
          <w:color w:val="000000"/>
        </w:rPr>
        <w:t>Empleo (CEDAW, artículo 11)</w:t>
      </w:r>
    </w:p>
    <w:p w:rsidR="00301060" w:rsidRDefault="00AF28C6">
      <w:pPr>
        <w:numPr>
          <w:ilvl w:val="0"/>
          <w:numId w:val="4"/>
        </w:numPr>
        <w:pBdr>
          <w:top w:val="nil"/>
          <w:left w:val="nil"/>
          <w:bottom w:val="nil"/>
          <w:right w:val="nil"/>
          <w:between w:val="nil"/>
        </w:pBdr>
        <w:spacing w:after="0" w:line="276" w:lineRule="auto"/>
      </w:pPr>
      <w:r>
        <w:rPr>
          <w:color w:val="000000"/>
        </w:rPr>
        <w:t>El INEI señala que la tasa de desempleo en el trimestre de julio-agosto-septiembre fue de 16.5%; es decir, 10 puntos más que el año anterior</w:t>
      </w:r>
      <w:r>
        <w:rPr>
          <w:color w:val="000000"/>
          <w:vertAlign w:val="superscript"/>
        </w:rPr>
        <w:footnoteReference w:id="20"/>
      </w:r>
      <w:r>
        <w:rPr>
          <w:color w:val="000000"/>
        </w:rPr>
        <w:t xml:space="preserve">. Esta problemática es más grave en las personas con discapacidad, ya que enfrentan situaciones de exclusión para acceder al mercado laboral, siendo más frecuente que formen parte de la economía informal. Por tanto, las personas con discapacidad que pertenecen a la PEI representan el 76.8% del total de personas con discapacidad; es decir, 8 de cada 10 no se encuentran </w:t>
      </w:r>
      <w:r>
        <w:rPr>
          <w:color w:val="000000"/>
        </w:rPr>
        <w:lastRenderedPageBreak/>
        <w:t>trabajando ni buscando trabajo</w:t>
      </w:r>
      <w:r>
        <w:rPr>
          <w:color w:val="000000"/>
          <w:vertAlign w:val="superscript"/>
        </w:rPr>
        <w:footnoteReference w:id="21"/>
      </w:r>
      <w:r>
        <w:rPr>
          <w:color w:val="000000"/>
        </w:rPr>
        <w:t>. En efecto, “las personas con discapacidad en general tienen dificultades para entrar al mercado de trabajo competitivo, pero, desde una perspectiva de género, los hombres con discapacidad tienen casi el doble de posibilidades de obtener un empleo que las mujeres con discapacidad”</w:t>
      </w:r>
      <w:r>
        <w:rPr>
          <w:color w:val="000000"/>
          <w:vertAlign w:val="superscript"/>
        </w:rPr>
        <w:footnoteReference w:id="22"/>
      </w:r>
      <w:r>
        <w:rPr>
          <w:color w:val="000000"/>
        </w:rPr>
        <w:t>.</w:t>
      </w:r>
    </w:p>
    <w:p w:rsidR="00301060" w:rsidRDefault="00301060">
      <w:pPr>
        <w:pBdr>
          <w:top w:val="nil"/>
          <w:left w:val="nil"/>
          <w:bottom w:val="nil"/>
          <w:right w:val="nil"/>
          <w:between w:val="nil"/>
        </w:pBdr>
        <w:spacing w:before="0" w:after="0" w:line="276" w:lineRule="auto"/>
        <w:ind w:left="121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Cabe señalar que no existe información actualizada sobre la situación del empleo de las mujeres con discapacidad en el contexto de la pandemia. Esto impide comprender la magnitud real de su exclusión y problemática en este ámbito. En ese sentido, expresamos nuestra preocupación por la discriminación agravada que sufren las mujeres con discapacidad y la escasa información que existe sobre su problemática</w:t>
      </w:r>
      <w:r>
        <w:rPr>
          <w:color w:val="000000"/>
          <w:vertAlign w:val="superscript"/>
        </w:rPr>
        <w:footnoteReference w:id="23"/>
      </w:r>
      <w:r>
        <w:rPr>
          <w:color w:val="000000"/>
        </w:rPr>
        <w:t>.</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rPr>
          <w:b/>
          <w:color w:val="000000"/>
        </w:rPr>
      </w:pPr>
      <w:r>
        <w:rPr>
          <w:color w:val="000000"/>
        </w:rPr>
        <w:t>Frente a la pandemia, el Decreto Supremo N°1468 facilitó medidas para la accesibilidad al trabajo remoto o la licencia remunerada a personas con discapacidad y a sus familiares, cuando sean apoyos de una persona con discapacidad con diagnóstico de COVID-19. Sin embargo, esta aparente protección se contrasta con publicaciones periodísticas de los últimos meses que anuncian despidos a mujeres con discapacidad de diversos municipios locales</w:t>
      </w:r>
      <w:r>
        <w:rPr>
          <w:color w:val="000000"/>
          <w:vertAlign w:val="superscript"/>
        </w:rPr>
        <w:footnoteReference w:id="24"/>
      </w:r>
      <w:r>
        <w:rPr>
          <w:color w:val="000000"/>
        </w:rPr>
        <w:t>.</w:t>
      </w:r>
    </w:p>
    <w:p w:rsidR="00301060" w:rsidRDefault="00301060">
      <w:pPr>
        <w:pBdr>
          <w:top w:val="nil"/>
          <w:left w:val="nil"/>
          <w:bottom w:val="nil"/>
          <w:right w:val="nil"/>
          <w:between w:val="nil"/>
        </w:pBdr>
        <w:spacing w:before="0" w:after="0" w:line="276" w:lineRule="auto"/>
        <w:ind w:left="1210"/>
        <w:rPr>
          <w:b/>
          <w:color w:val="000000"/>
        </w:rPr>
      </w:pPr>
    </w:p>
    <w:p w:rsidR="00301060" w:rsidRDefault="00AF28C6">
      <w:pPr>
        <w:numPr>
          <w:ilvl w:val="0"/>
          <w:numId w:val="4"/>
        </w:numPr>
        <w:pBdr>
          <w:top w:val="nil"/>
          <w:left w:val="nil"/>
          <w:bottom w:val="nil"/>
          <w:right w:val="nil"/>
          <w:between w:val="nil"/>
        </w:pBdr>
        <w:shd w:val="clear" w:color="auto" w:fill="FFFFFF"/>
        <w:spacing w:before="0" w:after="45" w:line="276" w:lineRule="auto"/>
        <w:rPr>
          <w:color w:val="222222"/>
        </w:rPr>
      </w:pPr>
      <w:r>
        <w:rPr>
          <w:color w:val="222222"/>
        </w:rPr>
        <w:t xml:space="preserve">Así, </w:t>
      </w:r>
      <w:r>
        <w:rPr>
          <w:color w:val="000000"/>
        </w:rPr>
        <w:t xml:space="preserve">el empleo no ha sido favorable para las personas con discapacidad sobre todo para las mujeres con discapacidad, ya que </w:t>
      </w:r>
      <w:r>
        <w:rPr>
          <w:color w:val="222222"/>
        </w:rPr>
        <w:t>los empleadores les adjudican roles de género que colisionan con sus labores. Sumando a ello, en la mayoría de las veces, se duda mucho de la capacidad que pueda tener una mujer con discapacidad para trabajar.</w:t>
      </w:r>
    </w:p>
    <w:p w:rsidR="00301060" w:rsidRDefault="00301060">
      <w:pPr>
        <w:pBdr>
          <w:top w:val="nil"/>
          <w:left w:val="nil"/>
          <w:bottom w:val="nil"/>
          <w:right w:val="nil"/>
          <w:between w:val="nil"/>
        </w:pBdr>
        <w:shd w:val="clear" w:color="auto" w:fill="FFFFFF"/>
        <w:spacing w:before="0" w:after="45" w:line="276" w:lineRule="auto"/>
        <w:ind w:left="851"/>
        <w:rPr>
          <w:color w:val="222222"/>
        </w:rPr>
      </w:pPr>
    </w:p>
    <w:p w:rsidR="00301060" w:rsidRDefault="00AF28C6">
      <w:pPr>
        <w:numPr>
          <w:ilvl w:val="0"/>
          <w:numId w:val="4"/>
        </w:numPr>
        <w:pBdr>
          <w:top w:val="nil"/>
          <w:left w:val="nil"/>
          <w:bottom w:val="nil"/>
          <w:right w:val="nil"/>
          <w:between w:val="nil"/>
        </w:pBdr>
        <w:shd w:val="clear" w:color="auto" w:fill="FFFFFF"/>
        <w:spacing w:before="0" w:after="45" w:line="276" w:lineRule="auto"/>
        <w:rPr>
          <w:color w:val="222222"/>
        </w:rPr>
      </w:pPr>
      <w:r>
        <w:rPr>
          <w:color w:val="222222"/>
        </w:rPr>
        <w:lastRenderedPageBreak/>
        <w:t xml:space="preserve">Evidenciamos que pese a que existe la Ley N. 29973, Ley General de la Persona con Discapacidad que regula una cuota laboral ascendente al 5% para contratar a las personas con discapacidad el sector público y privado no lo aplican. Es decir, no consideran la productividad y la capacidad que pueda tener la persona con discapacidad en el lugar de trabajo. </w:t>
      </w:r>
    </w:p>
    <w:p w:rsidR="00301060" w:rsidRDefault="00301060">
      <w:pPr>
        <w:pBdr>
          <w:top w:val="nil"/>
          <w:left w:val="nil"/>
          <w:bottom w:val="nil"/>
          <w:right w:val="nil"/>
          <w:between w:val="nil"/>
        </w:pBdr>
        <w:shd w:val="clear" w:color="auto" w:fill="FFFFFF"/>
        <w:spacing w:before="0" w:after="45" w:line="276" w:lineRule="auto"/>
        <w:ind w:left="851"/>
        <w:rPr>
          <w:color w:val="222222"/>
        </w:rPr>
      </w:pPr>
    </w:p>
    <w:p w:rsidR="00301060" w:rsidRDefault="00AF28C6">
      <w:pPr>
        <w:numPr>
          <w:ilvl w:val="0"/>
          <w:numId w:val="4"/>
        </w:numPr>
        <w:pBdr>
          <w:top w:val="nil"/>
          <w:left w:val="nil"/>
          <w:bottom w:val="nil"/>
          <w:right w:val="nil"/>
          <w:between w:val="nil"/>
        </w:pBdr>
        <w:shd w:val="clear" w:color="auto" w:fill="FFFFFF"/>
        <w:spacing w:before="0" w:after="0" w:line="276" w:lineRule="auto"/>
        <w:rPr>
          <w:color w:val="222222"/>
        </w:rPr>
      </w:pPr>
      <w:r>
        <w:rPr>
          <w:color w:val="222222"/>
        </w:rPr>
        <w:t xml:space="preserve">Durante el contexto de pandemia el Estado Peruano no consideró la inclusión laboral de las personas con discapacidad y mucho menos de las mujeres con discapacidad, ya que no se les permitió continuar trabajando por considerar a la discapacidad como una enfermedad, no implementar cursos de capacitación y no respaldar ajustes razonables para el desarrollo del trabajo. En tanto, muchas mujeres con discapacidad no tenían conocimientos informáticos para realizar trabajo remoto, lo cual fue pretexto para despedirlas de sus trabajos. </w:t>
      </w:r>
    </w:p>
    <w:p w:rsidR="00301060" w:rsidRDefault="00301060">
      <w:pPr>
        <w:pBdr>
          <w:top w:val="nil"/>
          <w:left w:val="nil"/>
          <w:bottom w:val="nil"/>
          <w:right w:val="nil"/>
          <w:between w:val="nil"/>
        </w:pBdr>
        <w:shd w:val="clear" w:color="auto" w:fill="FFFFFF"/>
        <w:spacing w:before="0" w:after="0" w:line="276" w:lineRule="auto"/>
        <w:rPr>
          <w:color w:val="222222"/>
        </w:rPr>
      </w:pPr>
    </w:p>
    <w:p w:rsidR="00301060" w:rsidRDefault="00AF28C6">
      <w:pPr>
        <w:numPr>
          <w:ilvl w:val="0"/>
          <w:numId w:val="4"/>
        </w:numPr>
        <w:pBdr>
          <w:top w:val="nil"/>
          <w:left w:val="nil"/>
          <w:bottom w:val="nil"/>
          <w:right w:val="nil"/>
          <w:between w:val="nil"/>
        </w:pBdr>
        <w:spacing w:after="0" w:line="276" w:lineRule="auto"/>
        <w:rPr>
          <w:b/>
          <w:color w:val="222222"/>
        </w:rPr>
      </w:pPr>
      <w:r>
        <w:rPr>
          <w:b/>
          <w:color w:val="222222"/>
        </w:rPr>
        <w:t xml:space="preserve">Por ello, solicitamos al Comité CEDAW que recomiende al Estado Peruano que: </w:t>
      </w:r>
    </w:p>
    <w:p w:rsidR="00301060" w:rsidRDefault="00301060">
      <w:pPr>
        <w:pBdr>
          <w:top w:val="nil"/>
          <w:left w:val="nil"/>
          <w:bottom w:val="nil"/>
          <w:right w:val="nil"/>
          <w:between w:val="nil"/>
        </w:pBdr>
        <w:spacing w:before="0" w:after="0" w:line="276" w:lineRule="auto"/>
        <w:ind w:left="720"/>
        <w:rPr>
          <w:b/>
          <w:color w:val="222222"/>
        </w:rPr>
      </w:pPr>
    </w:p>
    <w:p w:rsidR="00301060" w:rsidRDefault="00AF28C6">
      <w:pPr>
        <w:numPr>
          <w:ilvl w:val="0"/>
          <w:numId w:val="2"/>
        </w:numPr>
        <w:pBdr>
          <w:top w:val="nil"/>
          <w:left w:val="nil"/>
          <w:bottom w:val="nil"/>
          <w:right w:val="nil"/>
          <w:between w:val="nil"/>
        </w:pBdr>
        <w:spacing w:before="0" w:after="0" w:line="276" w:lineRule="auto"/>
        <w:rPr>
          <w:b/>
          <w:color w:val="222222"/>
        </w:rPr>
      </w:pPr>
      <w:r>
        <w:rPr>
          <w:b/>
          <w:color w:val="222222"/>
        </w:rPr>
        <w:t xml:space="preserve">Emita medidas de </w:t>
      </w:r>
      <w:r w:rsidRPr="009A648A">
        <w:rPr>
          <w:b/>
        </w:rPr>
        <w:t xml:space="preserve">protección y aseguramiento laboral </w:t>
      </w:r>
      <w:r>
        <w:rPr>
          <w:b/>
          <w:color w:val="222222"/>
        </w:rPr>
        <w:t xml:space="preserve">que garanticen la continuidad del empleo de las mujeres con discapacidad en conjunto con la implementación de medidas de accesibilidad y/o ajustes razonables. </w:t>
      </w:r>
    </w:p>
    <w:p w:rsidR="00301060" w:rsidRDefault="00D62609">
      <w:pPr>
        <w:numPr>
          <w:ilvl w:val="0"/>
          <w:numId w:val="2"/>
        </w:numPr>
        <w:pBdr>
          <w:top w:val="nil"/>
          <w:left w:val="nil"/>
          <w:bottom w:val="nil"/>
          <w:right w:val="nil"/>
          <w:between w:val="nil"/>
        </w:pBdr>
        <w:spacing w:before="0" w:after="0" w:line="276" w:lineRule="auto"/>
        <w:rPr>
          <w:b/>
          <w:color w:val="222222"/>
        </w:rPr>
      </w:pPr>
      <w:r>
        <w:rPr>
          <w:b/>
          <w:color w:val="222222"/>
        </w:rPr>
        <w:t>Diseñe</w:t>
      </w:r>
      <w:r w:rsidR="00AF28C6">
        <w:rPr>
          <w:b/>
          <w:color w:val="222222"/>
        </w:rPr>
        <w:t xml:space="preserve"> una estrategia que responda y solucione la problemática de la pérdida o desaparición de los puestos de trabajo de mujeres con discapacidad. </w:t>
      </w:r>
    </w:p>
    <w:p w:rsidR="00301060" w:rsidRDefault="00AF28C6">
      <w:pPr>
        <w:numPr>
          <w:ilvl w:val="0"/>
          <w:numId w:val="2"/>
        </w:numPr>
        <w:pBdr>
          <w:top w:val="nil"/>
          <w:left w:val="nil"/>
          <w:bottom w:val="nil"/>
          <w:right w:val="nil"/>
          <w:between w:val="nil"/>
        </w:pBdr>
        <w:spacing w:before="0" w:after="0" w:line="276" w:lineRule="auto"/>
        <w:rPr>
          <w:b/>
          <w:color w:val="222222"/>
        </w:rPr>
      </w:pPr>
      <w:r>
        <w:rPr>
          <w:b/>
          <w:color w:val="222222"/>
        </w:rPr>
        <w:t xml:space="preserve">Promueva iniciativas de inserción laboral con enfoque de género, discapacidad e interseccionalidad en alianza con Entidades Privadas para impulsar empleos a las mujeres con discapacidad en cumplimiento de la cuota laboral. </w:t>
      </w:r>
    </w:p>
    <w:p w:rsidR="00301060" w:rsidRDefault="00AF28C6">
      <w:pPr>
        <w:numPr>
          <w:ilvl w:val="0"/>
          <w:numId w:val="2"/>
        </w:numPr>
        <w:pBdr>
          <w:top w:val="nil"/>
          <w:left w:val="nil"/>
          <w:bottom w:val="nil"/>
          <w:right w:val="nil"/>
          <w:between w:val="nil"/>
        </w:pBdr>
        <w:spacing w:before="0" w:line="276" w:lineRule="auto"/>
        <w:rPr>
          <w:b/>
          <w:color w:val="222222"/>
        </w:rPr>
      </w:pPr>
      <w:r>
        <w:rPr>
          <w:b/>
          <w:color w:val="222222"/>
        </w:rPr>
        <w:t>Implemente a través de los Gobiernos Locales programas de desarrollo económico y laboral para mujeres con discapacidad.</w:t>
      </w:r>
    </w:p>
    <w:p w:rsidR="00301060" w:rsidRDefault="00AF28C6">
      <w:pPr>
        <w:spacing w:line="276" w:lineRule="auto"/>
        <w:rPr>
          <w:b/>
          <w:color w:val="000000"/>
        </w:rPr>
      </w:pPr>
      <w:r>
        <w:rPr>
          <w:b/>
          <w:color w:val="000000"/>
        </w:rPr>
        <w:t>Salud (CEDAW, artículos 10, 11 y 12)</w:t>
      </w:r>
    </w:p>
    <w:p w:rsidR="00301060" w:rsidRDefault="00AF28C6">
      <w:pPr>
        <w:numPr>
          <w:ilvl w:val="0"/>
          <w:numId w:val="4"/>
        </w:numPr>
        <w:pBdr>
          <w:top w:val="nil"/>
          <w:left w:val="nil"/>
          <w:bottom w:val="nil"/>
          <w:right w:val="nil"/>
          <w:between w:val="nil"/>
        </w:pBdr>
        <w:spacing w:after="0" w:line="276" w:lineRule="auto"/>
        <w:rPr>
          <w:color w:val="000000"/>
        </w:rPr>
      </w:pPr>
      <w:r>
        <w:rPr>
          <w:color w:val="000000"/>
        </w:rPr>
        <w:t xml:space="preserve">En la actualidad, el Estado Peruano no prioriza la mejora de la calidad y la accesibilidad de los servicios </w:t>
      </w:r>
      <w:r>
        <w:t>de salud</w:t>
      </w:r>
      <w:r>
        <w:rPr>
          <w:color w:val="000000"/>
        </w:rPr>
        <w:t xml:space="preserve"> pública para las mujeres con discapacidad. En la medida que existe una deficiente planificación y ejecución de las estrategias y planes de acción nacional sobre la materia con enfoque de género. Tanto la Convención sobre los Derechos de las Personas con Discapacidad como la Ley General de las personas con Discapacidad </w:t>
      </w:r>
      <w:r>
        <w:rPr>
          <w:color w:val="000000"/>
        </w:rPr>
        <w:lastRenderedPageBreak/>
        <w:t xml:space="preserve">reconocen que las personas con discapacidad tienen el derecho a gozar del más alto nivel posible de salud sin discriminación por motivos de discapacidad y a la implementación de medidas de accesibilidad con enfoque de género para el acceso a los servicios de salud.  </w:t>
      </w:r>
    </w:p>
    <w:p w:rsidR="00301060" w:rsidRDefault="00301060">
      <w:pPr>
        <w:pBdr>
          <w:top w:val="nil"/>
          <w:left w:val="nil"/>
          <w:bottom w:val="nil"/>
          <w:right w:val="nil"/>
          <w:between w:val="nil"/>
        </w:pBdr>
        <w:spacing w:before="0" w:after="0" w:line="276" w:lineRule="auto"/>
        <w:ind w:left="1210"/>
        <w:rPr>
          <w:color w:val="000000"/>
        </w:rPr>
      </w:pPr>
    </w:p>
    <w:p w:rsidR="00301060" w:rsidRDefault="00AF28C6">
      <w:pPr>
        <w:numPr>
          <w:ilvl w:val="0"/>
          <w:numId w:val="4"/>
        </w:numPr>
        <w:pBdr>
          <w:top w:val="nil"/>
          <w:left w:val="nil"/>
          <w:bottom w:val="nil"/>
          <w:right w:val="nil"/>
          <w:between w:val="nil"/>
        </w:pBdr>
        <w:spacing w:before="0" w:after="0" w:line="276" w:lineRule="auto"/>
        <w:rPr>
          <w:color w:val="000000"/>
        </w:rPr>
      </w:pPr>
      <w:r>
        <w:rPr>
          <w:color w:val="000000"/>
        </w:rPr>
        <w:t>A pesar que existen normas, la atención en salud de las mujeres con discapacidad se enfrenta a diferentes dificultades para tener una atención adecuada, acceso a la información y de calidad en igual condiciones que los demás</w:t>
      </w:r>
      <w:r>
        <w:rPr>
          <w:color w:val="000000"/>
          <w:vertAlign w:val="superscript"/>
        </w:rPr>
        <w:footnoteReference w:id="25"/>
      </w:r>
      <w:r>
        <w:rPr>
          <w:color w:val="000000"/>
        </w:rPr>
        <w:t>. Así, desde hace muchos años, en nuestro país, el servicio público de salud es bastante deficiente para todas las personas. Esta situación, es más grave en el caso de las mujeres con discapacidad, tanto por cuestiones de inaccesibilidad, prejuicios, falta de servicios específicos</w:t>
      </w:r>
      <w:r w:rsidRPr="009A648A">
        <w:t xml:space="preserve">, ausencia de protocolos de atención diferenciada para las personas con discapacidad, específicamente mujeres con discapacidad y falta de conocimiento sobre los enfoques de género y discapacidad. Piénsese en una mujer con discapacidad </w:t>
      </w:r>
      <w:r>
        <w:rPr>
          <w:color w:val="000000"/>
        </w:rPr>
        <w:t xml:space="preserve">que </w:t>
      </w:r>
      <w:r>
        <w:t>soliciten</w:t>
      </w:r>
      <w:r>
        <w:rPr>
          <w:color w:val="000000"/>
        </w:rPr>
        <w:t xml:space="preserve"> información sobre educación sexual, en la falta de accesibilidad de los aparatos ginecológicos y las barreras actitudinales del personal de salud</w:t>
      </w:r>
      <w:r>
        <w:rPr>
          <w:color w:val="000000"/>
          <w:vertAlign w:val="superscript"/>
        </w:rPr>
        <w:footnoteReference w:id="26"/>
      </w:r>
      <w:r>
        <w:rPr>
          <w:color w:val="000000"/>
        </w:rPr>
        <w:t>.</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bookmarkStart w:id="5" w:name="_heading=h.qj24c8g4nt2p" w:colFirst="0" w:colLast="0"/>
      <w:bookmarkEnd w:id="5"/>
      <w:r>
        <w:rPr>
          <w:color w:val="000000"/>
        </w:rPr>
        <w:t>En esa línea, es importante resaltar que la información que reciben las mujeres con discapacidad respecto de su salud sexual y reproductiva es menor de la que reciben las mujeres en edad fértil (en adelante MEF).  En ese sentido, lo anterior se evidencia en las siguientes cifras estadísticas: (i) 43,8% MEF con discapacidad usan métodos anticonceptivos modernos para evitar embarazos no deseados frente a 54,6% de MEF sin discapacidad, (ii) 68,7% MEF con discapacidad usan condón para evitar contraer VIH frente a 80,8% de MEF sin discapacidad y (iii) 67.5% de MEF con discapacidad han sido víctimas de violencia alguna vez frente a 65,4% de MEF sin discapacidad</w:t>
      </w:r>
      <w:r>
        <w:rPr>
          <w:color w:val="000000"/>
          <w:vertAlign w:val="superscript"/>
        </w:rPr>
        <w:footnoteReference w:id="27"/>
      </w:r>
      <w:r>
        <w:rPr>
          <w:color w:val="000000"/>
        </w:rPr>
        <w:t>.</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Con la pandemia, ha quedado muy </w:t>
      </w:r>
      <w:r>
        <w:t>evidente que se ha</w:t>
      </w:r>
      <w:r>
        <w:rPr>
          <w:color w:val="000000"/>
        </w:rPr>
        <w:t xml:space="preserve"> incrementado la marginación de las personas con discapacidad y en especial, de la</w:t>
      </w:r>
      <w:r w:rsidR="00D62609">
        <w:rPr>
          <w:color w:val="000000"/>
        </w:rPr>
        <w:t>s mujeres con discapacidad, que en mayor medida</w:t>
      </w:r>
      <w:r>
        <w:rPr>
          <w:color w:val="000000"/>
        </w:rPr>
        <w:t xml:space="preserve"> son más dependientes económicamente. Así, por ejemplo, han tenido mayor dificultad para acceder a las citas virtuales, sobre todo, en aquellos casos de quienes tienen menos </w:t>
      </w:r>
      <w:r>
        <w:rPr>
          <w:color w:val="000000"/>
        </w:rPr>
        <w:lastRenderedPageBreak/>
        <w:t>experiencia en el uso de las plataformas virtuales o sencillamente, no c</w:t>
      </w:r>
      <w:r w:rsidR="00D62609">
        <w:rPr>
          <w:color w:val="000000"/>
        </w:rPr>
        <w:t>uentan</w:t>
      </w:r>
      <w:r>
        <w:rPr>
          <w:color w:val="000000"/>
        </w:rPr>
        <w:t xml:space="preserve"> con los recursos para citas online. Estas dificultades se han </w:t>
      </w:r>
      <w:r>
        <w:t>posicionado</w:t>
      </w:r>
      <w:r>
        <w:rPr>
          <w:color w:val="000000"/>
        </w:rPr>
        <w:t xml:space="preserve"> con mayor afectación en las zonas rurales, donde las mujeres con discapacidad no cuentan con cobertura a internet y transporte para acceder a los establecimientos de salud en caso de emergencia.</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Por otro lado, se aprobó la </w:t>
      </w:r>
      <w:r>
        <w:rPr>
          <w:i/>
          <w:color w:val="000000"/>
        </w:rPr>
        <w:t>Política Nacional Multisectorial de Salud al 2030 “Perú, país saludable”</w:t>
      </w:r>
      <w:r w:rsidR="00D62609">
        <w:rPr>
          <w:color w:val="000000"/>
        </w:rPr>
        <w:t xml:space="preserve">, la cual a pesar </w:t>
      </w:r>
      <w:r>
        <w:rPr>
          <w:color w:val="000000"/>
        </w:rPr>
        <w:t>que incluye en su redacción definiciones y normas coherentes con los estándares de derechos humanos, se aproxima a la discapacidad bajo preceptos biomédicos. De este modo, se menciona como una de sus metas: “Al año 2030, se han reducido los años de vida saludables perdidos por causas evitables en un 5%, disminuyendo así la prevalencia de discapacidad y muertes prematuras”</w:t>
      </w:r>
      <w:r>
        <w:rPr>
          <w:color w:val="000000"/>
          <w:vertAlign w:val="superscript"/>
        </w:rPr>
        <w:footnoteReference w:id="28"/>
      </w:r>
      <w:r>
        <w:rPr>
          <w:color w:val="000000"/>
        </w:rPr>
        <w:t>. En esta línea, la Defensoría del Pueblo afirma que este documento no incluye lineamientos en salud mental ni desarrolla un enfoque de discapacidad</w:t>
      </w:r>
      <w:r>
        <w:rPr>
          <w:color w:val="000000"/>
          <w:vertAlign w:val="superscript"/>
        </w:rPr>
        <w:footnoteReference w:id="29"/>
      </w:r>
      <w:r>
        <w:rPr>
          <w:color w:val="000000"/>
        </w:rPr>
        <w:t>.</w:t>
      </w:r>
    </w:p>
    <w:p w:rsidR="00301060" w:rsidRDefault="00301060">
      <w:pPr>
        <w:pBdr>
          <w:top w:val="nil"/>
          <w:left w:val="nil"/>
          <w:bottom w:val="nil"/>
          <w:right w:val="nil"/>
          <w:between w:val="nil"/>
        </w:pBdr>
        <w:spacing w:before="0" w:after="0" w:line="276" w:lineRule="auto"/>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Por último, la pandemia también ha hecho más evidente la urgencia de contar con estrategias para comunicarse en lengua de señas </w:t>
      </w:r>
      <w:r w:rsidR="00D62609">
        <w:rPr>
          <w:color w:val="000000"/>
        </w:rPr>
        <w:t xml:space="preserve">peruana </w:t>
      </w:r>
      <w:r>
        <w:rPr>
          <w:color w:val="000000"/>
        </w:rPr>
        <w:t xml:space="preserve">con las personas sordas que </w:t>
      </w:r>
      <w:r>
        <w:t>tienen</w:t>
      </w:r>
      <w:r>
        <w:rPr>
          <w:color w:val="000000"/>
        </w:rPr>
        <w:t xml:space="preserve"> que acceder a los servicios de salud. Igualmente, se ha hecho más visible el beneficio que habría significado para las personas con discapacidad psicosocial, que permanecen institucionalizadas en hospitales psiquiátricos, haber contado con programas de inclusión a la comunidad, hecho que las habría mantenido menos aisladas durante la pandemia.</w:t>
      </w:r>
    </w:p>
    <w:p w:rsidR="00301060" w:rsidRDefault="00301060">
      <w:pPr>
        <w:pBdr>
          <w:top w:val="nil"/>
          <w:left w:val="nil"/>
          <w:bottom w:val="nil"/>
          <w:right w:val="nil"/>
          <w:between w:val="nil"/>
        </w:pBdr>
        <w:spacing w:before="0" w:after="0" w:line="276" w:lineRule="auto"/>
        <w:ind w:left="720"/>
        <w:rPr>
          <w:color w:val="000000"/>
        </w:rPr>
      </w:pPr>
    </w:p>
    <w:p w:rsidR="00301060" w:rsidRPr="009A648A" w:rsidRDefault="00AF28C6">
      <w:pPr>
        <w:numPr>
          <w:ilvl w:val="0"/>
          <w:numId w:val="4"/>
        </w:numPr>
        <w:pBdr>
          <w:top w:val="nil"/>
          <w:left w:val="nil"/>
          <w:bottom w:val="nil"/>
          <w:right w:val="nil"/>
          <w:between w:val="nil"/>
        </w:pBdr>
        <w:spacing w:before="0" w:line="276" w:lineRule="auto"/>
        <w:rPr>
          <w:b/>
        </w:rPr>
      </w:pPr>
      <w:r>
        <w:rPr>
          <w:b/>
          <w:color w:val="000000"/>
        </w:rPr>
        <w:t>Por ello, solicitamos al Comité CEDAW que recomiende al Estado Peruano que (i) genere respuestas con enfoque de género y discapacidad en las diversas instancias y ser</w:t>
      </w:r>
      <w:r w:rsidR="009A648A">
        <w:rPr>
          <w:b/>
          <w:color w:val="000000"/>
        </w:rPr>
        <w:t>vicios del Ministerio de Salud,</w:t>
      </w:r>
      <w:r>
        <w:rPr>
          <w:b/>
          <w:color w:val="000000"/>
        </w:rPr>
        <w:t xml:space="preserve"> (ii) desagregue la data de contagios y fallecidos por COVID-19 tomando en cuenta las variables discapacidad, género, edad y ámbito </w:t>
      </w:r>
      <w:r w:rsidRPr="009A648A">
        <w:rPr>
          <w:b/>
        </w:rPr>
        <w:t>para conocer la magnitud del impacto hac</w:t>
      </w:r>
      <w:r w:rsidR="009A648A" w:rsidRPr="009A648A">
        <w:rPr>
          <w:b/>
        </w:rPr>
        <w:t>ia las mujeres con discapacidad y</w:t>
      </w:r>
      <w:r w:rsidRPr="009A648A">
        <w:rPr>
          <w:b/>
        </w:rPr>
        <w:t xml:space="preserve"> iii) la urgente necesidad de capacitación y actualización de los profesionales </w:t>
      </w:r>
      <w:r w:rsidRPr="009A648A">
        <w:rPr>
          <w:b/>
        </w:rPr>
        <w:lastRenderedPageBreak/>
        <w:t>de la salud de todos los niveles en el dominio del Modelo Social de la discapacidad con enfoque de género y perspectiva interseccional.</w:t>
      </w:r>
    </w:p>
    <w:p w:rsidR="00301060" w:rsidRDefault="00AF28C6">
      <w:pPr>
        <w:spacing w:line="276" w:lineRule="auto"/>
        <w:rPr>
          <w:b/>
          <w:color w:val="000000"/>
        </w:rPr>
      </w:pPr>
      <w:r>
        <w:rPr>
          <w:b/>
          <w:color w:val="000000"/>
        </w:rPr>
        <w:t>Mujeres del medio rural (CEDAW, artículo 14)</w:t>
      </w:r>
    </w:p>
    <w:p w:rsidR="00301060" w:rsidRPr="00D62609" w:rsidRDefault="00AF28C6" w:rsidP="00D62609">
      <w:pPr>
        <w:numPr>
          <w:ilvl w:val="0"/>
          <w:numId w:val="4"/>
        </w:numPr>
        <w:pBdr>
          <w:top w:val="nil"/>
          <w:left w:val="nil"/>
          <w:bottom w:val="nil"/>
          <w:right w:val="nil"/>
          <w:between w:val="nil"/>
        </w:pBdr>
        <w:spacing w:after="0" w:line="276" w:lineRule="auto"/>
        <w:rPr>
          <w:color w:val="000000"/>
        </w:rPr>
      </w:pPr>
      <w:r>
        <w:rPr>
          <w:color w:val="000000"/>
        </w:rPr>
        <w:t>En Perú, a nivel de área rural, el 8,7% (493 mil 369) son personas con discapacidad, siendo que 249 mil 860 son mujeres con discapacidad que en manifiestan con mayor proporción dificultades permanentes para realizar actividades diarias</w:t>
      </w:r>
      <w:r>
        <w:rPr>
          <w:color w:val="000000"/>
          <w:vertAlign w:val="superscript"/>
        </w:rPr>
        <w:footnoteReference w:id="30"/>
      </w:r>
      <w:r>
        <w:rPr>
          <w:color w:val="000000"/>
        </w:rPr>
        <w:t xml:space="preserve">. </w:t>
      </w:r>
      <w:r w:rsidRPr="00D62609">
        <w:rPr>
          <w:color w:val="000000"/>
        </w:rPr>
        <w:t xml:space="preserve">Encontramos que uno de los mayores obstáculos que afrontan las mujeres rurales y periurbanas con discapacidad </w:t>
      </w:r>
      <w:r>
        <w:t>es la</w:t>
      </w:r>
      <w:r w:rsidRPr="00D62609">
        <w:rPr>
          <w:color w:val="000000"/>
        </w:rPr>
        <w:t xml:space="preserve"> denuncia ante la violencia que sufren, la misma que se traduce en el reducido porcentaje de ella en el sistema de protección. </w:t>
      </w:r>
    </w:p>
    <w:p w:rsidR="00301060" w:rsidRDefault="00301060">
      <w:pPr>
        <w:pBdr>
          <w:top w:val="nil"/>
          <w:left w:val="nil"/>
          <w:bottom w:val="nil"/>
          <w:right w:val="nil"/>
          <w:between w:val="nil"/>
        </w:pBdr>
        <w:spacing w:before="0" w:after="0"/>
        <w:ind w:left="720"/>
        <w:rPr>
          <w:color w:val="000000"/>
        </w:rPr>
      </w:pPr>
    </w:p>
    <w:p w:rsidR="00301060" w:rsidRDefault="00AF28C6">
      <w:pPr>
        <w:numPr>
          <w:ilvl w:val="0"/>
          <w:numId w:val="4"/>
        </w:numPr>
        <w:pBdr>
          <w:top w:val="nil"/>
          <w:left w:val="nil"/>
          <w:bottom w:val="nil"/>
          <w:right w:val="nil"/>
          <w:between w:val="nil"/>
        </w:pBdr>
        <w:spacing w:before="0" w:after="0" w:line="276" w:lineRule="auto"/>
        <w:rPr>
          <w:color w:val="000000"/>
        </w:rPr>
      </w:pPr>
      <w:r>
        <w:rPr>
          <w:color w:val="000000"/>
        </w:rPr>
        <w:t>En esa línea, esta falta de registro tiene múltiples causas entre las que resaltamos el poco conocimiento de sus derechos frente a la violencia, la falta de accesibilidad para realizar la denuncia en comunidades campesinas o asentamientos que distan de la capital de provincia donde se encuentran, en su mayoría, las comisarías y los centros de emergencia mujer, el temor a denunciar a sus cuidadores y finalmente el poco conocimiento sobre la atención de estos casos por parte de los funcionarios y por ende la carencia de ajustes razonables.</w:t>
      </w:r>
    </w:p>
    <w:p w:rsidR="00301060" w:rsidRDefault="00301060">
      <w:pPr>
        <w:pBdr>
          <w:top w:val="nil"/>
          <w:left w:val="nil"/>
          <w:bottom w:val="nil"/>
          <w:right w:val="nil"/>
          <w:between w:val="nil"/>
        </w:pBdr>
        <w:spacing w:before="0" w:after="0"/>
        <w:ind w:left="720"/>
        <w:rPr>
          <w:color w:val="000000"/>
        </w:rPr>
      </w:pPr>
    </w:p>
    <w:p w:rsidR="00301060" w:rsidRDefault="00AF28C6">
      <w:pPr>
        <w:numPr>
          <w:ilvl w:val="0"/>
          <w:numId w:val="4"/>
        </w:numPr>
        <w:pBdr>
          <w:top w:val="nil"/>
          <w:left w:val="nil"/>
          <w:bottom w:val="nil"/>
          <w:right w:val="nil"/>
          <w:between w:val="nil"/>
        </w:pBdr>
        <w:spacing w:before="0" w:after="0" w:line="276" w:lineRule="auto"/>
        <w:rPr>
          <w:color w:val="000000"/>
        </w:rPr>
      </w:pPr>
      <w:bookmarkStart w:id="6" w:name="_heading=h.cmfvljyjmkr8" w:colFirst="0" w:colLast="0"/>
      <w:bookmarkEnd w:id="6"/>
      <w:r>
        <w:rPr>
          <w:color w:val="000000"/>
        </w:rPr>
        <w:t>En lo que va del año 2021 (de enero a noviembre) en la región del Cusco, el 5.2% de los casos atendidos por el CEM, lo tienen las personas con discapacidad</w:t>
      </w:r>
      <w:r>
        <w:rPr>
          <w:color w:val="000000"/>
          <w:vertAlign w:val="superscript"/>
        </w:rPr>
        <w:footnoteReference w:id="31"/>
      </w:r>
      <w:r>
        <w:rPr>
          <w:color w:val="000000"/>
        </w:rPr>
        <w:t>. Así, el subregistro de estos casos en las zonas rurales se agrava por la falta de data oportuna y de calidad, pues a diferencia del Programa Aurora y los servicios del CEM, las demás instituciones del sistema de protección no registran de forma sistemática estas denuncias, siendo que muchos de estos registros, si se llevan, son manuales.</w:t>
      </w:r>
    </w:p>
    <w:p w:rsidR="00301060" w:rsidRDefault="00301060">
      <w:pPr>
        <w:pBdr>
          <w:top w:val="nil"/>
          <w:left w:val="nil"/>
          <w:bottom w:val="nil"/>
          <w:right w:val="nil"/>
          <w:between w:val="nil"/>
        </w:pBdr>
        <w:spacing w:before="0" w:after="0"/>
        <w:ind w:left="720"/>
        <w:rPr>
          <w:color w:val="000000"/>
        </w:rPr>
      </w:pPr>
    </w:p>
    <w:p w:rsidR="00301060" w:rsidRPr="00D62609" w:rsidRDefault="00AF28C6" w:rsidP="00D62609">
      <w:pPr>
        <w:numPr>
          <w:ilvl w:val="0"/>
          <w:numId w:val="4"/>
        </w:numPr>
        <w:pBdr>
          <w:top w:val="nil"/>
          <w:left w:val="nil"/>
          <w:bottom w:val="nil"/>
          <w:right w:val="nil"/>
          <w:between w:val="nil"/>
        </w:pBdr>
        <w:spacing w:before="0" w:line="276" w:lineRule="auto"/>
        <w:rPr>
          <w:b/>
          <w:color w:val="000000"/>
        </w:rPr>
      </w:pPr>
      <w:r>
        <w:rPr>
          <w:b/>
          <w:color w:val="000000"/>
        </w:rPr>
        <w:t>Por ello, solicitamos al Comité CEDAW que recomiende al Estado Peruano que: (</w:t>
      </w:r>
      <w:r w:rsidR="009A648A">
        <w:rPr>
          <w:b/>
          <w:color w:val="000000"/>
        </w:rPr>
        <w:t xml:space="preserve">i) </w:t>
      </w:r>
      <w:r>
        <w:rPr>
          <w:b/>
        </w:rPr>
        <w:t>implemente</w:t>
      </w:r>
      <w:r>
        <w:rPr>
          <w:b/>
          <w:color w:val="000000"/>
        </w:rPr>
        <w:t xml:space="preserve"> más albergues en zonas rurales que permitan a las mujeres con discapacidad salir de espacios de violencia, (ii) generen espacios de participación que incluyan a las mujeres con discapacidad </w:t>
      </w:r>
      <w:r w:rsidR="009A648A">
        <w:rPr>
          <w:b/>
          <w:color w:val="000000"/>
        </w:rPr>
        <w:t xml:space="preserve">en zonas rurales, </w:t>
      </w:r>
      <w:r>
        <w:rPr>
          <w:b/>
          <w:color w:val="000000"/>
        </w:rPr>
        <w:t xml:space="preserve">(iii) </w:t>
      </w:r>
      <w:r w:rsidR="009A648A">
        <w:rPr>
          <w:b/>
          <w:color w:val="000000"/>
        </w:rPr>
        <w:t xml:space="preserve">implemente </w:t>
      </w:r>
      <w:r>
        <w:rPr>
          <w:b/>
          <w:color w:val="000000"/>
        </w:rPr>
        <w:t xml:space="preserve">un sistema de fiscalización a las instituciones ubicadas en zonas rurales para una </w:t>
      </w:r>
      <w:r>
        <w:rPr>
          <w:b/>
          <w:color w:val="000000"/>
        </w:rPr>
        <w:lastRenderedPageBreak/>
        <w:t>adecuada sistematización de denuncias de mujeres con discap</w:t>
      </w:r>
      <w:r w:rsidR="009A648A">
        <w:rPr>
          <w:b/>
          <w:color w:val="000000"/>
        </w:rPr>
        <w:t>a</w:t>
      </w:r>
      <w:r w:rsidR="00D62609">
        <w:rPr>
          <w:b/>
          <w:color w:val="000000"/>
        </w:rPr>
        <w:t xml:space="preserve">cidad sobre casos de violencia e </w:t>
      </w:r>
      <w:r w:rsidR="009A648A">
        <w:rPr>
          <w:b/>
          <w:color w:val="000000"/>
        </w:rPr>
        <w:t>(</w:t>
      </w:r>
      <w:r>
        <w:rPr>
          <w:b/>
          <w:color w:val="000000"/>
        </w:rPr>
        <w:t xml:space="preserve">iv) </w:t>
      </w:r>
      <w:r w:rsidR="009A648A" w:rsidRPr="009A648A">
        <w:rPr>
          <w:b/>
        </w:rPr>
        <w:t xml:space="preserve">implemente </w:t>
      </w:r>
      <w:r w:rsidRPr="009A648A">
        <w:rPr>
          <w:b/>
        </w:rPr>
        <w:t xml:space="preserve">la obligatoriedad </w:t>
      </w:r>
      <w:r w:rsidR="00D62609">
        <w:rPr>
          <w:b/>
        </w:rPr>
        <w:t xml:space="preserve">a </w:t>
      </w:r>
      <w:r w:rsidRPr="009A648A">
        <w:rPr>
          <w:b/>
        </w:rPr>
        <w:t>las instancias que atienden a mujeres violentadas de contemplar indicadores de discapacidad en los registros de atención, para contar con data desagregada.</w:t>
      </w:r>
    </w:p>
    <w:p w:rsidR="00301060" w:rsidRDefault="00AF28C6">
      <w:pPr>
        <w:spacing w:line="276" w:lineRule="auto"/>
        <w:rPr>
          <w:b/>
          <w:color w:val="000000"/>
        </w:rPr>
      </w:pPr>
      <w:r>
        <w:rPr>
          <w:b/>
          <w:color w:val="000000"/>
        </w:rPr>
        <w:t>Cambio climático y reducción del riesgo de desastres (CEDAW, artículos 02, 03, 24 y recomendación No. 37)</w:t>
      </w:r>
    </w:p>
    <w:p w:rsidR="00301060" w:rsidRDefault="00AF28C6">
      <w:pPr>
        <w:numPr>
          <w:ilvl w:val="0"/>
          <w:numId w:val="4"/>
        </w:numPr>
        <w:pBdr>
          <w:top w:val="nil"/>
          <w:left w:val="nil"/>
          <w:bottom w:val="nil"/>
          <w:right w:val="nil"/>
          <w:between w:val="nil"/>
        </w:pBdr>
        <w:spacing w:before="0" w:after="0" w:line="276" w:lineRule="auto"/>
      </w:pPr>
      <w:bookmarkStart w:id="7" w:name="_heading=h.3znysh7" w:colFirst="0" w:colLast="0"/>
      <w:bookmarkEnd w:id="7"/>
      <w:r>
        <w:rPr>
          <w:color w:val="000000"/>
        </w:rPr>
        <w:t>Reconocemos que el PLANAGERD 2014-2021</w:t>
      </w:r>
      <w:r>
        <w:rPr>
          <w:color w:val="000000"/>
          <w:vertAlign w:val="superscript"/>
        </w:rPr>
        <w:footnoteReference w:id="32"/>
      </w:r>
      <w:r>
        <w:rPr>
          <w:color w:val="000000"/>
        </w:rPr>
        <w:t xml:space="preserve"> bajo la responsabilidad de la Presidencia del Consejo de Ministros (PCM), ha incorporado una perspectiva de género con énfasis en los objetivos estratégicos y específicos 3 y 6, enfocados en desarrollar capacidad para la atención de emergencias y desastres, y en fortalecer la participación de la población y sociedad organizada para el desarrollo de una cultura de prevención.</w:t>
      </w:r>
    </w:p>
    <w:p w:rsidR="00301060" w:rsidRDefault="00301060">
      <w:pPr>
        <w:pBdr>
          <w:top w:val="nil"/>
          <w:left w:val="nil"/>
          <w:bottom w:val="nil"/>
          <w:right w:val="nil"/>
          <w:between w:val="nil"/>
        </w:pBdr>
        <w:spacing w:before="0" w:after="0" w:line="276" w:lineRule="auto"/>
        <w:ind w:left="1210"/>
      </w:pPr>
      <w:bookmarkStart w:id="8" w:name="_heading=h.q3cgnhhq41vc" w:colFirst="0" w:colLast="0"/>
      <w:bookmarkEnd w:id="8"/>
    </w:p>
    <w:p w:rsidR="00301060" w:rsidRDefault="00AF28C6">
      <w:pPr>
        <w:numPr>
          <w:ilvl w:val="0"/>
          <w:numId w:val="4"/>
        </w:numPr>
        <w:pBdr>
          <w:top w:val="nil"/>
          <w:left w:val="nil"/>
          <w:bottom w:val="nil"/>
          <w:right w:val="nil"/>
          <w:between w:val="nil"/>
        </w:pBdr>
        <w:spacing w:before="0" w:after="0" w:line="276" w:lineRule="auto"/>
      </w:pPr>
      <w:r>
        <w:rPr>
          <w:color w:val="000000"/>
        </w:rPr>
        <w:t>De igual forma, en la actualización y adecuación de la Política Nacional de Gestión del Riesgo de Desastres al 2050</w:t>
      </w:r>
      <w:r>
        <w:rPr>
          <w:color w:val="000000"/>
          <w:vertAlign w:val="superscript"/>
        </w:rPr>
        <w:footnoteReference w:id="33"/>
      </w:r>
      <w:r>
        <w:rPr>
          <w:color w:val="000000"/>
        </w:rPr>
        <w:t>, realizada durante el presente año 2021, la participación de las mujeres en la formulación e implementación de esta política ha sido evidente, no solo en la conformación de la comisión responsable o en la participación de otras instituciones del Estado MIMP, sino también en la participación de parte de sociedad civil en los diversos espacios de mesas de trabajo, en la que, por ejemplo, el SGT GIRD de la Mesa de Concertación de Lucha Contra la Pobreza ha sido partícipe promoviendo la participación de mujeres con discapacidad y, a la vez, buscando la creación de una política donde sus ejecutores estén más cerca la vida de la gente y respondan a la diversidad que tiene nuestro país.</w:t>
      </w:r>
    </w:p>
    <w:p w:rsidR="00301060" w:rsidRDefault="00301060">
      <w:pPr>
        <w:pBdr>
          <w:top w:val="nil"/>
          <w:left w:val="nil"/>
          <w:bottom w:val="nil"/>
          <w:right w:val="nil"/>
          <w:between w:val="nil"/>
        </w:pBdr>
        <w:spacing w:before="0" w:after="0" w:line="276" w:lineRule="auto"/>
        <w:ind w:left="121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Sin embargo, nos preocupa que posiblemente no se haya logrado una participación representativa de las mujeres de pueblos oriundos o mujeres afrodescendientes en la formulación e implementación de políticas y programas sobre la reducción del riesgo de desastres, la gestión posterior a los desastres y el cambio climático, aunque el objetivo estratégico seis, en </w:t>
      </w:r>
      <w:r>
        <w:rPr>
          <w:color w:val="000000"/>
        </w:rPr>
        <w:lastRenderedPageBreak/>
        <w:t>sus acciones, incluye el enfoque de interculturalidad como parte de las estrategias del fortalecimiento de la cultura de prevención.</w:t>
      </w:r>
    </w:p>
    <w:p w:rsidR="00301060" w:rsidRDefault="00301060">
      <w:pPr>
        <w:pBdr>
          <w:top w:val="nil"/>
          <w:left w:val="nil"/>
          <w:bottom w:val="nil"/>
          <w:right w:val="nil"/>
          <w:between w:val="nil"/>
        </w:pBdr>
        <w:spacing w:before="0" w:after="0"/>
        <w:ind w:left="720"/>
        <w:rPr>
          <w:b/>
          <w:color w:val="000000"/>
        </w:rPr>
      </w:pPr>
    </w:p>
    <w:p w:rsidR="009A648A" w:rsidRPr="009A648A" w:rsidRDefault="00AF28C6">
      <w:pPr>
        <w:numPr>
          <w:ilvl w:val="0"/>
          <w:numId w:val="4"/>
        </w:numPr>
        <w:pBdr>
          <w:top w:val="nil"/>
          <w:left w:val="nil"/>
          <w:bottom w:val="nil"/>
          <w:right w:val="nil"/>
          <w:between w:val="nil"/>
        </w:pBdr>
        <w:spacing w:before="0" w:after="160" w:line="276" w:lineRule="auto"/>
      </w:pPr>
      <w:r>
        <w:rPr>
          <w:b/>
          <w:color w:val="000000"/>
        </w:rPr>
        <w:t>Por ello, solicitamos al Comité CEDAW que recomiende al Estado Peruano</w:t>
      </w:r>
      <w:r w:rsidR="009A648A">
        <w:rPr>
          <w:b/>
          <w:color w:val="000000"/>
        </w:rPr>
        <w:t xml:space="preserve"> que: </w:t>
      </w:r>
    </w:p>
    <w:p w:rsidR="009A648A" w:rsidRPr="009A648A" w:rsidRDefault="009A648A" w:rsidP="009A648A">
      <w:pPr>
        <w:pStyle w:val="Prrafodelista"/>
        <w:numPr>
          <w:ilvl w:val="0"/>
          <w:numId w:val="5"/>
        </w:numPr>
        <w:pBdr>
          <w:top w:val="nil"/>
          <w:left w:val="nil"/>
          <w:bottom w:val="nil"/>
          <w:right w:val="nil"/>
          <w:between w:val="nil"/>
        </w:pBdr>
        <w:spacing w:before="0" w:after="160" w:line="276" w:lineRule="auto"/>
        <w:ind w:left="1843"/>
      </w:pPr>
      <w:r>
        <w:rPr>
          <w:b/>
        </w:rPr>
        <w:t>P</w:t>
      </w:r>
      <w:r w:rsidR="00AF28C6" w:rsidRPr="009A648A">
        <w:rPr>
          <w:b/>
        </w:rPr>
        <w:t xml:space="preserve">romueva </w:t>
      </w:r>
      <w:r w:rsidR="00AF28C6" w:rsidRPr="009A648A">
        <w:rPr>
          <w:b/>
          <w:color w:val="000000"/>
        </w:rPr>
        <w:t>el enfoque de do</w:t>
      </w:r>
      <w:r w:rsidR="00AF28C6" w:rsidRPr="009A648A">
        <w:rPr>
          <w:b/>
        </w:rPr>
        <w:t xml:space="preserve">ble </w:t>
      </w:r>
      <w:r w:rsidRPr="009A648A">
        <w:rPr>
          <w:b/>
        </w:rPr>
        <w:t>vía</w:t>
      </w:r>
      <w:r w:rsidR="00AF28C6" w:rsidRPr="009A648A">
        <w:rPr>
          <w:b/>
        </w:rPr>
        <w:t xml:space="preserve">, </w:t>
      </w:r>
      <w:r w:rsidR="00AF28C6" w:rsidRPr="009A648A">
        <w:rPr>
          <w:b/>
          <w:color w:val="000000"/>
        </w:rPr>
        <w:t xml:space="preserve">discapacidad, género, interculturalidad e interseccionalidad en todos los procesos de la Gestión del Riesgos de Desastres, teniendo en cuenta a las mujeres con discapacidad y sus organizaciones, ya que son fundamentales para evaluar el riesgo de desastres, y para diseñar y poner en práctica planes adaptados a requisitos específicos, teniendo en consideración, entre otras cosas, los principios del diseño universal como los refiere el Marco de Sendai. </w:t>
      </w:r>
    </w:p>
    <w:p w:rsidR="00301060" w:rsidRPr="009A648A" w:rsidRDefault="009A648A" w:rsidP="009A648A">
      <w:pPr>
        <w:pStyle w:val="Prrafodelista"/>
        <w:numPr>
          <w:ilvl w:val="0"/>
          <w:numId w:val="5"/>
        </w:numPr>
        <w:pBdr>
          <w:top w:val="nil"/>
          <w:left w:val="nil"/>
          <w:bottom w:val="nil"/>
          <w:right w:val="nil"/>
          <w:between w:val="nil"/>
        </w:pBdr>
        <w:spacing w:before="0" w:after="160" w:line="276" w:lineRule="auto"/>
        <w:ind w:left="1843"/>
      </w:pPr>
      <w:r w:rsidRPr="009A648A">
        <w:rPr>
          <w:b/>
        </w:rPr>
        <w:t>Cumpla y respete</w:t>
      </w:r>
      <w:r w:rsidR="00AF28C6" w:rsidRPr="009A648A">
        <w:rPr>
          <w:b/>
        </w:rPr>
        <w:t xml:space="preserve"> el Derecho a la Consulta Previa de las personas con discapacidad a toda propuesta, norma, política, programa o servicio que se oriente a </w:t>
      </w:r>
      <w:r w:rsidRPr="009A648A">
        <w:rPr>
          <w:b/>
        </w:rPr>
        <w:t>este colectivo</w:t>
      </w:r>
      <w:r w:rsidR="00AF28C6" w:rsidRPr="009A648A">
        <w:rPr>
          <w:b/>
        </w:rPr>
        <w:t>.</w:t>
      </w:r>
    </w:p>
    <w:p w:rsidR="00301060" w:rsidRDefault="00AF28C6">
      <w:pPr>
        <w:spacing w:line="276" w:lineRule="auto"/>
        <w:rPr>
          <w:b/>
          <w:color w:val="000000"/>
        </w:rPr>
      </w:pPr>
      <w:r>
        <w:rPr>
          <w:b/>
          <w:color w:val="000000"/>
        </w:rPr>
        <w:t>Educación (CEDAW, artículo 10)</w:t>
      </w:r>
    </w:p>
    <w:p w:rsidR="00301060" w:rsidRDefault="00AF28C6">
      <w:pPr>
        <w:numPr>
          <w:ilvl w:val="0"/>
          <w:numId w:val="4"/>
        </w:numPr>
        <w:pBdr>
          <w:top w:val="nil"/>
          <w:left w:val="nil"/>
          <w:bottom w:val="nil"/>
          <w:right w:val="nil"/>
          <w:between w:val="nil"/>
        </w:pBdr>
        <w:spacing w:after="0" w:line="276" w:lineRule="auto"/>
      </w:pPr>
      <w:r>
        <w:rPr>
          <w:color w:val="000000"/>
        </w:rPr>
        <w:t xml:space="preserve">La emergencia sanitaria en el Perú, incluyó el cierre de escuelas y paralización de clases presenciales desde el 16 de </w:t>
      </w:r>
      <w:r w:rsidRPr="009A648A">
        <w:t>marzo del 2020</w:t>
      </w:r>
      <w:r>
        <w:rPr>
          <w:color w:val="000000"/>
        </w:rPr>
        <w:t>. Ante esta situación el Gobierno peruano creó un sistema de aprendizaje virtual denominado “Aprendo en Casa”, que serviría para garantizar el derecho a la educación de todas y todos los estudiantes en el país.</w:t>
      </w:r>
    </w:p>
    <w:p w:rsidR="00301060" w:rsidRDefault="00301060">
      <w:pPr>
        <w:pBdr>
          <w:top w:val="nil"/>
          <w:left w:val="nil"/>
          <w:bottom w:val="nil"/>
          <w:right w:val="nil"/>
          <w:between w:val="nil"/>
        </w:pBdr>
        <w:spacing w:before="0" w:after="0" w:line="276" w:lineRule="auto"/>
        <w:ind w:left="121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El Ejecutivo promulgó el Decreto Legislativo </w:t>
      </w:r>
      <w:r w:rsidRPr="009A648A">
        <w:t>N°</w:t>
      </w:r>
      <w:r>
        <w:rPr>
          <w:color w:val="000000"/>
        </w:rPr>
        <w:t xml:space="preserve">1468, </w:t>
      </w:r>
      <w:r>
        <w:rPr>
          <w:i/>
          <w:color w:val="000000"/>
        </w:rPr>
        <w:t>Disposiciones de Prevención y Protección para las Personas con Discapacidad ante la Emergencia Sanitaria ocasionada por el COVID-19</w:t>
      </w:r>
      <w:r>
        <w:rPr>
          <w:color w:val="000000"/>
        </w:rPr>
        <w:t>, que establece la continuidad de los servicios educativos para las personas con discapacidad en sus diferentes etapas, niveles, modalidades, formas y programas, los cuales se deben prestar en formatos y medios accesibles, considerando las adaptaciones y procurando el acceso a los recursos educativos y apoyos que sean necesarios.</w:t>
      </w:r>
    </w:p>
    <w:p w:rsidR="00301060" w:rsidRDefault="00301060">
      <w:pPr>
        <w:pBdr>
          <w:top w:val="nil"/>
          <w:left w:val="nil"/>
          <w:bottom w:val="nil"/>
          <w:right w:val="nil"/>
          <w:between w:val="nil"/>
        </w:pBdr>
        <w:spacing w:before="0" w:after="0"/>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Igualmente, la Resolución Viceministerial </w:t>
      </w:r>
      <w:r>
        <w:rPr>
          <w:color w:val="1F3864"/>
        </w:rPr>
        <w:t>N°</w:t>
      </w:r>
      <w:r>
        <w:rPr>
          <w:color w:val="000000"/>
        </w:rPr>
        <w:t xml:space="preserve"> 93-2020 MINEDU, </w:t>
      </w:r>
      <w:r>
        <w:rPr>
          <w:i/>
          <w:color w:val="000000"/>
        </w:rPr>
        <w:t>Orientaciones pedagógicas para el servicio educativo de Educación Básica durante el año 2020 en el marco de la emergencia sanitaria por el Coronavirus COVID-19,</w:t>
      </w:r>
      <w:r>
        <w:rPr>
          <w:color w:val="000000"/>
        </w:rPr>
        <w:t xml:space="preserve"> estableció la obligación de proveer apoyos a las y los estudiantes a través del acompañamiento de los equipos </w:t>
      </w:r>
      <w:r>
        <w:t>SAANEE</w:t>
      </w:r>
      <w:r>
        <w:rPr>
          <w:color w:val="000000"/>
        </w:rPr>
        <w:t xml:space="preserve"> a las </w:t>
      </w:r>
      <w:r>
        <w:rPr>
          <w:color w:val="000000"/>
        </w:rPr>
        <w:lastRenderedPageBreak/>
        <w:t>y los docentes para “atender la diversidad”, así como también apoyar los contenidos de su plan curricular.</w:t>
      </w:r>
    </w:p>
    <w:p w:rsidR="00301060" w:rsidRDefault="00301060">
      <w:pPr>
        <w:pBdr>
          <w:top w:val="nil"/>
          <w:left w:val="nil"/>
          <w:bottom w:val="nil"/>
          <w:right w:val="nil"/>
          <w:between w:val="nil"/>
        </w:pBdr>
        <w:spacing w:before="0" w:after="0"/>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Sin embargo, de acuerdo con el mismo documento que presenta los principios del diseño del programa “Aprendo en Casa”, durante el inicio de la emergencia no se planteó una estrategia igualitaria e inclusiva hacia los estudiantes con discapacidad que asistían a la EBE. A diferencia de los demás niveles de educación básica regular (inicial, primaria y secundaria), la estrategia de virtualización para los PRITES y CEBES no incluyó la televisión como plataforma, únicamente a la radio nacional y radios regionales, teniendo el recurso web solo para el caso de PRITES y CEBES urbanos. Es decir, los CEBES del ámbito rural solo tenían acceso mediante la radio</w:t>
      </w:r>
      <w:r>
        <w:rPr>
          <w:color w:val="000000"/>
          <w:vertAlign w:val="superscript"/>
        </w:rPr>
        <w:footnoteReference w:id="34"/>
      </w:r>
      <w:r>
        <w:rPr>
          <w:color w:val="000000"/>
        </w:rPr>
        <w:t>.</w:t>
      </w:r>
    </w:p>
    <w:p w:rsidR="00301060" w:rsidRDefault="00301060">
      <w:pPr>
        <w:pBdr>
          <w:top w:val="nil"/>
          <w:left w:val="nil"/>
          <w:bottom w:val="nil"/>
          <w:right w:val="nil"/>
          <w:between w:val="nil"/>
        </w:pBdr>
        <w:spacing w:before="0" w:after="0"/>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Es a partir del 10 de agosto de 2020 (cuatro meses y medio de iniciada la emergencia sanitaria) que el Ministerio de Educación anuncia que “Aprendo en casa” empezará a transmitirse los sábados desde las 10:00 horas mediante la señal de TV Perú, incluyendo lengua de señas; es decir una versión del programa que estaría orientada a alumnos con necesidades educativas especiales (NEE) de inicial y primaria, apuntando a llegar a más de 15 000 estudiantes de entre 3 y 20 años, que tienen discapacidad severa o multidiscapacidad</w:t>
      </w:r>
      <w:r>
        <w:rPr>
          <w:color w:val="000000"/>
          <w:vertAlign w:val="superscript"/>
        </w:rPr>
        <w:footnoteReference w:id="35"/>
      </w:r>
      <w:r>
        <w:rPr>
          <w:color w:val="000000"/>
        </w:rPr>
        <w:t>.</w:t>
      </w:r>
    </w:p>
    <w:p w:rsidR="00301060" w:rsidRDefault="00301060">
      <w:pPr>
        <w:pBdr>
          <w:top w:val="nil"/>
          <w:left w:val="nil"/>
          <w:bottom w:val="nil"/>
          <w:right w:val="nil"/>
          <w:between w:val="nil"/>
        </w:pBdr>
        <w:spacing w:before="0" w:after="0"/>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Por ello, resaltamos que, pese a que se promueve en normas la educación inclusiva en Perú, en la práctica las niñas con discapacidad son excluidas o segregadas en las escuelas. Lo anterior, se debe a la falta de accesibilidad física, a las barreras actitudinales, a la falta de adaptación de los planes de estudios escolares y la enseñanza y a la falta de capacitación en enfoque de discapacidad a los docentes</w:t>
      </w:r>
      <w:r>
        <w:rPr>
          <w:color w:val="000000"/>
          <w:vertAlign w:val="superscript"/>
        </w:rPr>
        <w:footnoteReference w:id="36"/>
      </w:r>
      <w:r>
        <w:rPr>
          <w:color w:val="000000"/>
        </w:rPr>
        <w:t>.</w:t>
      </w:r>
    </w:p>
    <w:p w:rsidR="00301060" w:rsidRDefault="00301060">
      <w:pPr>
        <w:pBdr>
          <w:top w:val="nil"/>
          <w:left w:val="nil"/>
          <w:bottom w:val="nil"/>
          <w:right w:val="nil"/>
          <w:between w:val="nil"/>
        </w:pBdr>
        <w:spacing w:before="0" w:after="0"/>
        <w:ind w:left="720"/>
        <w:rPr>
          <w:color w:val="000000"/>
        </w:rPr>
      </w:pPr>
    </w:p>
    <w:p w:rsidR="00301060" w:rsidRDefault="00AF28C6">
      <w:pPr>
        <w:numPr>
          <w:ilvl w:val="0"/>
          <w:numId w:val="4"/>
        </w:numPr>
        <w:pBdr>
          <w:top w:val="nil"/>
          <w:left w:val="nil"/>
          <w:bottom w:val="nil"/>
          <w:right w:val="nil"/>
          <w:between w:val="nil"/>
        </w:pBdr>
        <w:spacing w:before="0" w:line="276" w:lineRule="auto"/>
        <w:rPr>
          <w:b/>
          <w:color w:val="000000"/>
        </w:rPr>
      </w:pPr>
      <w:r>
        <w:rPr>
          <w:b/>
          <w:color w:val="000000"/>
        </w:rPr>
        <w:lastRenderedPageBreak/>
        <w:t>Por ello, solicitamos al Comité CEDAW que recomiende al Estado Peruano que</w:t>
      </w:r>
      <w:r w:rsidR="009A648A">
        <w:rPr>
          <w:b/>
          <w:color w:val="000000"/>
        </w:rPr>
        <w:t>:</w:t>
      </w:r>
      <w:r>
        <w:rPr>
          <w:b/>
          <w:color w:val="000000"/>
        </w:rPr>
        <w:t xml:space="preserve"> (i) asegure estrategias inclusivas de aprendizaje a todas las personas con discapacidad, tomando en cue</w:t>
      </w:r>
      <w:r w:rsidR="009A648A">
        <w:rPr>
          <w:b/>
          <w:color w:val="000000"/>
        </w:rPr>
        <w:t>nta sus diferentes necesidades,</w:t>
      </w:r>
      <w:r>
        <w:rPr>
          <w:b/>
          <w:color w:val="000000"/>
        </w:rPr>
        <w:t xml:space="preserve"> (ii) diseñe e implemente una estrategia de seguimiento y recuperación de las niñas con discapacidad que hayan abandonado sus estudios</w:t>
      </w:r>
      <w:r w:rsidR="00D62609">
        <w:rPr>
          <w:b/>
        </w:rPr>
        <w:t xml:space="preserve"> e</w:t>
      </w:r>
      <w:r>
        <w:rPr>
          <w:b/>
        </w:rPr>
        <w:t xml:space="preserve"> iii) </w:t>
      </w:r>
      <w:r w:rsidR="009A648A" w:rsidRPr="009A648A">
        <w:rPr>
          <w:b/>
        </w:rPr>
        <w:t>i</w:t>
      </w:r>
      <w:r w:rsidRPr="009A648A">
        <w:rPr>
          <w:b/>
        </w:rPr>
        <w:t>mplemente un plan de cierre de brechas de desigualdad en el acceso escolar a niños, niñas y adolescentes con discapacidad con indicadores de logro anual a nivel nacional.</w:t>
      </w:r>
    </w:p>
    <w:p w:rsidR="00301060" w:rsidRDefault="00AF28C6">
      <w:pPr>
        <w:spacing w:line="276" w:lineRule="auto"/>
        <w:rPr>
          <w:b/>
        </w:rPr>
      </w:pPr>
      <w:r>
        <w:rPr>
          <w:b/>
        </w:rPr>
        <w:t>Acceso a la justicia (CEDAW, artículos 02 y 15)</w:t>
      </w:r>
    </w:p>
    <w:p w:rsidR="00301060" w:rsidRDefault="00AF28C6">
      <w:pPr>
        <w:numPr>
          <w:ilvl w:val="0"/>
          <w:numId w:val="4"/>
        </w:numPr>
        <w:pBdr>
          <w:top w:val="nil"/>
          <w:left w:val="nil"/>
          <w:bottom w:val="nil"/>
          <w:right w:val="nil"/>
          <w:between w:val="nil"/>
        </w:pBdr>
        <w:spacing w:after="0" w:line="276" w:lineRule="auto"/>
      </w:pPr>
      <w:r>
        <w:rPr>
          <w:color w:val="000000"/>
        </w:rPr>
        <w:t>Expresamos nuestra preocupación por las barreras arquitectónica</w:t>
      </w:r>
      <w:r>
        <w:rPr>
          <w:color w:val="000000"/>
          <w:vertAlign w:val="superscript"/>
        </w:rPr>
        <w:footnoteReference w:id="37"/>
      </w:r>
      <w:r>
        <w:rPr>
          <w:color w:val="000000"/>
        </w:rPr>
        <w:t xml:space="preserve">, </w:t>
      </w:r>
      <w:r w:rsidR="009A648A" w:rsidRPr="009A648A">
        <w:t>urbanísticas</w:t>
      </w:r>
      <w:r w:rsidRPr="009A648A">
        <w:t>, de transporte, actitudinales</w:t>
      </w:r>
      <w:r>
        <w:rPr>
          <w:color w:val="000000"/>
        </w:rPr>
        <w:t>, comunicacionales</w:t>
      </w:r>
      <w:r>
        <w:rPr>
          <w:color w:val="000000"/>
          <w:vertAlign w:val="superscript"/>
        </w:rPr>
        <w:footnoteReference w:id="38"/>
      </w:r>
      <w:r>
        <w:rPr>
          <w:color w:val="000000"/>
        </w:rPr>
        <w:t xml:space="preserve"> y legales que impiden el acceso a la justicia en casos de violencia de género de las mujeres con discapacidad. La falta de implementación de ajustes razonables, la presencia de estereotipos y la discriminación por parte de las autoridades dificulta que las mujeres con discapacidad generen confianza para denunciar casos de violencia</w:t>
      </w:r>
      <w:r>
        <w:rPr>
          <w:color w:val="000000"/>
          <w:vertAlign w:val="superscript"/>
        </w:rPr>
        <w:footnoteReference w:id="39"/>
      </w:r>
      <w:r>
        <w:rPr>
          <w:color w:val="000000"/>
        </w:rPr>
        <w:t xml:space="preserve">. </w:t>
      </w:r>
    </w:p>
    <w:p w:rsidR="00301060" w:rsidRDefault="00301060">
      <w:pPr>
        <w:pBdr>
          <w:top w:val="nil"/>
          <w:left w:val="nil"/>
          <w:bottom w:val="nil"/>
          <w:right w:val="nil"/>
          <w:between w:val="nil"/>
        </w:pBdr>
        <w:spacing w:before="0" w:after="0" w:line="276" w:lineRule="auto"/>
        <w:ind w:left="121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En efecto, dependiendo del tipo de discapacidad se genera una dinámica de vulnerabilidad e inacceso al sistema de justicia. Así, una mujer sorda no puede denunciar con facilidad un caso de violencia o iniciar un procedimiento sin constantes barreras comunicacionales, ya que el Estado Peruano no ha priorizado la inclusión de las mujeres sordas en el sistema de justicia o en las rutas de denuncia. </w:t>
      </w:r>
    </w:p>
    <w:p w:rsidR="00301060" w:rsidRDefault="00301060">
      <w:pPr>
        <w:pBdr>
          <w:top w:val="nil"/>
          <w:left w:val="nil"/>
          <w:bottom w:val="nil"/>
          <w:right w:val="nil"/>
          <w:between w:val="nil"/>
        </w:pBdr>
        <w:spacing w:before="0" w:after="0"/>
        <w:ind w:left="720"/>
        <w:rPr>
          <w:color w:val="000000"/>
        </w:rPr>
      </w:pPr>
    </w:p>
    <w:p w:rsidR="00301060" w:rsidRDefault="00AF28C6">
      <w:pPr>
        <w:numPr>
          <w:ilvl w:val="0"/>
          <w:numId w:val="4"/>
        </w:numPr>
        <w:pBdr>
          <w:top w:val="nil"/>
          <w:left w:val="nil"/>
          <w:bottom w:val="nil"/>
          <w:right w:val="nil"/>
          <w:between w:val="nil"/>
        </w:pBdr>
        <w:spacing w:before="0" w:after="0" w:line="276" w:lineRule="auto"/>
      </w:pPr>
      <w:r>
        <w:rPr>
          <w:color w:val="000000"/>
        </w:rPr>
        <w:t xml:space="preserve">Por otro lado, una mujer con </w:t>
      </w:r>
      <w:r w:rsidRPr="009A648A">
        <w:t xml:space="preserve">discapacidad intelectual y psicosocial </w:t>
      </w:r>
      <w:r>
        <w:rPr>
          <w:color w:val="000000"/>
        </w:rPr>
        <w:t xml:space="preserve">sufre de barreras actitudinales generadas por las autoridades al ser revictimizada si denuncia algún caso de violencia. Así, las autoridades dudan de la credibilidad de su testimonio debido a los estereotipos. </w:t>
      </w:r>
    </w:p>
    <w:p w:rsidR="00301060" w:rsidRDefault="00301060" w:rsidP="009A648A">
      <w:pPr>
        <w:pBdr>
          <w:top w:val="nil"/>
          <w:left w:val="nil"/>
          <w:bottom w:val="nil"/>
          <w:right w:val="nil"/>
          <w:between w:val="nil"/>
        </w:pBdr>
        <w:spacing w:before="0" w:after="0"/>
      </w:pPr>
    </w:p>
    <w:p w:rsidR="00301060" w:rsidRDefault="00AF28C6">
      <w:pPr>
        <w:numPr>
          <w:ilvl w:val="0"/>
          <w:numId w:val="4"/>
        </w:numPr>
        <w:pBdr>
          <w:top w:val="nil"/>
          <w:left w:val="nil"/>
          <w:bottom w:val="nil"/>
          <w:right w:val="nil"/>
          <w:between w:val="nil"/>
        </w:pBdr>
        <w:spacing w:before="0" w:after="0" w:line="276" w:lineRule="auto"/>
        <w:rPr>
          <w:b/>
          <w:color w:val="000000"/>
        </w:rPr>
      </w:pPr>
      <w:r>
        <w:rPr>
          <w:b/>
          <w:color w:val="000000"/>
        </w:rPr>
        <w:t xml:space="preserve">Por ello, solicitamos al Comité CEDAW que recomiende al Estado Peruano que: </w:t>
      </w:r>
    </w:p>
    <w:p w:rsidR="00301060" w:rsidRDefault="00301060">
      <w:pPr>
        <w:pBdr>
          <w:top w:val="nil"/>
          <w:left w:val="nil"/>
          <w:bottom w:val="nil"/>
          <w:right w:val="nil"/>
          <w:between w:val="nil"/>
        </w:pBdr>
        <w:spacing w:before="0" w:after="0"/>
        <w:ind w:left="720"/>
        <w:rPr>
          <w:b/>
          <w:color w:val="000000"/>
        </w:rPr>
      </w:pPr>
    </w:p>
    <w:p w:rsidR="00301060" w:rsidRDefault="00AF28C6">
      <w:pPr>
        <w:numPr>
          <w:ilvl w:val="0"/>
          <w:numId w:val="3"/>
        </w:numPr>
        <w:pBdr>
          <w:top w:val="nil"/>
          <w:left w:val="nil"/>
          <w:bottom w:val="nil"/>
          <w:right w:val="nil"/>
          <w:between w:val="nil"/>
        </w:pBdr>
        <w:spacing w:before="0" w:after="0" w:line="276" w:lineRule="auto"/>
        <w:rPr>
          <w:b/>
          <w:color w:val="000000"/>
        </w:rPr>
      </w:pPr>
      <w:r>
        <w:rPr>
          <w:b/>
          <w:color w:val="000000"/>
        </w:rPr>
        <w:t xml:space="preserve">Genere campañas informativas dirigidas a mujeres con discapacidad sobre sus derechos e información elemental para que den inicio a una denuncia por vulneración de sus derechos; </w:t>
      </w:r>
    </w:p>
    <w:p w:rsidR="00301060" w:rsidRDefault="00AF28C6" w:rsidP="00D62609">
      <w:pPr>
        <w:numPr>
          <w:ilvl w:val="0"/>
          <w:numId w:val="3"/>
        </w:numPr>
        <w:pBdr>
          <w:top w:val="nil"/>
          <w:left w:val="nil"/>
          <w:bottom w:val="nil"/>
          <w:right w:val="nil"/>
          <w:between w:val="nil"/>
        </w:pBdr>
        <w:spacing w:before="0" w:after="0" w:line="276" w:lineRule="auto"/>
        <w:rPr>
          <w:b/>
          <w:color w:val="000000"/>
        </w:rPr>
      </w:pPr>
      <w:r>
        <w:rPr>
          <w:b/>
          <w:color w:val="000000"/>
        </w:rPr>
        <w:t xml:space="preserve">Capacitar a operadores de justicia sobre el reconocimiento de la capacidad jurídica de las personas con discapacidad, el enfoque de género, discapacidad e interseccional y derechos reconocidos en la </w:t>
      </w:r>
      <w:r w:rsidR="00D62609" w:rsidRPr="00D62609">
        <w:rPr>
          <w:b/>
          <w:color w:val="000000"/>
        </w:rPr>
        <w:t>Convención sobre la Eliminación de Todas las Formas de Discriminación contra la Mujer</w:t>
      </w:r>
      <w:r>
        <w:rPr>
          <w:b/>
          <w:color w:val="000000"/>
        </w:rPr>
        <w:t xml:space="preserve">. </w:t>
      </w:r>
    </w:p>
    <w:p w:rsidR="00301060" w:rsidRDefault="00D62609" w:rsidP="009A648A">
      <w:pPr>
        <w:numPr>
          <w:ilvl w:val="0"/>
          <w:numId w:val="3"/>
        </w:numPr>
        <w:pBdr>
          <w:top w:val="nil"/>
          <w:left w:val="nil"/>
          <w:bottom w:val="nil"/>
          <w:right w:val="nil"/>
          <w:between w:val="nil"/>
        </w:pBdr>
        <w:spacing w:before="0" w:after="0" w:line="276" w:lineRule="auto"/>
        <w:rPr>
          <w:b/>
          <w:color w:val="000000"/>
        </w:rPr>
      </w:pPr>
      <w:bookmarkStart w:id="9" w:name="_heading=h.30j0zll" w:colFirst="0" w:colLast="0"/>
      <w:bookmarkEnd w:id="9"/>
      <w:r>
        <w:rPr>
          <w:b/>
          <w:color w:val="000000"/>
        </w:rPr>
        <w:t>Implemente</w:t>
      </w:r>
      <w:r w:rsidR="00AF28C6">
        <w:rPr>
          <w:b/>
          <w:color w:val="000000"/>
        </w:rPr>
        <w:t xml:space="preserve"> con carácter de urgencia medidas de accesibilidad y ajustes razonables a usuarias con discapacidad para eliminar las barreras que limitan su acceso a la justicia. </w:t>
      </w:r>
    </w:p>
    <w:p w:rsidR="00301060" w:rsidRDefault="00D62609" w:rsidP="00D62609">
      <w:pPr>
        <w:numPr>
          <w:ilvl w:val="0"/>
          <w:numId w:val="3"/>
        </w:numPr>
        <w:pBdr>
          <w:top w:val="nil"/>
          <w:left w:val="nil"/>
          <w:bottom w:val="nil"/>
          <w:right w:val="nil"/>
          <w:between w:val="nil"/>
        </w:pBdr>
        <w:spacing w:before="0" w:after="0" w:line="276" w:lineRule="auto"/>
      </w:pPr>
      <w:bookmarkStart w:id="10" w:name="_heading=h.ys21zoy64mk5" w:colFirst="0" w:colLast="0"/>
      <w:bookmarkEnd w:id="10"/>
      <w:r>
        <w:rPr>
          <w:b/>
        </w:rPr>
        <w:t>Un sistema de</w:t>
      </w:r>
      <w:r w:rsidR="00AF28C6" w:rsidRPr="009A648A">
        <w:rPr>
          <w:b/>
        </w:rPr>
        <w:t xml:space="preserve"> </w:t>
      </w:r>
      <w:r w:rsidR="009A648A" w:rsidRPr="009A648A">
        <w:rPr>
          <w:b/>
        </w:rPr>
        <w:t>fiscalización</w:t>
      </w:r>
      <w:r w:rsidR="00AF28C6" w:rsidRPr="009A648A">
        <w:rPr>
          <w:b/>
        </w:rPr>
        <w:t xml:space="preserve"> y sanci</w:t>
      </w:r>
      <w:r>
        <w:rPr>
          <w:b/>
        </w:rPr>
        <w:t>ón a las instancias</w:t>
      </w:r>
      <w:r w:rsidR="00CE5B53">
        <w:rPr>
          <w:b/>
        </w:rPr>
        <w:t xml:space="preserve"> y autoridades</w:t>
      </w:r>
      <w:r>
        <w:rPr>
          <w:b/>
        </w:rPr>
        <w:t xml:space="preserve"> que incumpla</w:t>
      </w:r>
      <w:r w:rsidR="00AF28C6" w:rsidRPr="009A648A">
        <w:rPr>
          <w:b/>
        </w:rPr>
        <w:t xml:space="preserve">n con la implementación de </w:t>
      </w:r>
      <w:r w:rsidR="00CE5B53">
        <w:rPr>
          <w:b/>
        </w:rPr>
        <w:t>las normas nacionales que protegen el acceso a la justicia de las mujeres con discapacidad.</w:t>
      </w:r>
    </w:p>
    <w:p w:rsidR="00301060" w:rsidRDefault="00301060">
      <w:pPr>
        <w:pBdr>
          <w:top w:val="nil"/>
          <w:left w:val="nil"/>
          <w:bottom w:val="nil"/>
          <w:right w:val="nil"/>
          <w:between w:val="nil"/>
        </w:pBdr>
        <w:spacing w:before="0" w:after="0" w:line="276" w:lineRule="auto"/>
        <w:jc w:val="left"/>
        <w:rPr>
          <w:color w:val="000000"/>
        </w:rPr>
      </w:pPr>
    </w:p>
    <w:p w:rsidR="00301060" w:rsidRDefault="00301060">
      <w:pPr>
        <w:spacing w:line="276" w:lineRule="auto"/>
        <w:ind w:left="851"/>
        <w:rPr>
          <w:b/>
        </w:rPr>
      </w:pPr>
    </w:p>
    <w:sectPr w:rsidR="00301060">
      <w:headerReference w:type="default" r:id="rId8"/>
      <w:footerReference w:type="default" r:id="rId9"/>
      <w:pgSz w:w="11906" w:h="16838"/>
      <w:pgMar w:top="1417" w:right="1701" w:bottom="1417" w:left="1701" w:header="68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B9D" w:rsidRDefault="00D20B9D">
      <w:pPr>
        <w:spacing w:before="0" w:after="0" w:line="240" w:lineRule="auto"/>
      </w:pPr>
      <w:r>
        <w:separator/>
      </w:r>
    </w:p>
  </w:endnote>
  <w:endnote w:type="continuationSeparator" w:id="0">
    <w:p w:rsidR="00D20B9D" w:rsidRDefault="00D20B9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060" w:rsidRDefault="00AF28C6">
    <w:pPr>
      <w:pBdr>
        <w:top w:val="nil"/>
        <w:left w:val="nil"/>
        <w:bottom w:val="nil"/>
        <w:right w:val="nil"/>
        <w:between w:val="nil"/>
      </w:pBdr>
      <w:tabs>
        <w:tab w:val="center" w:pos="4252"/>
        <w:tab w:val="right" w:pos="8504"/>
      </w:tabs>
      <w:spacing w:before="0" w:after="0" w:line="240" w:lineRule="auto"/>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F37EB3">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rsidR="00301060" w:rsidRDefault="00AF28C6">
    <w:pPr>
      <w:pBdr>
        <w:top w:val="nil"/>
        <w:left w:val="nil"/>
        <w:bottom w:val="nil"/>
        <w:right w:val="nil"/>
        <w:between w:val="nil"/>
      </w:pBdr>
      <w:tabs>
        <w:tab w:val="center" w:pos="4252"/>
        <w:tab w:val="right" w:pos="8504"/>
      </w:tabs>
      <w:spacing w:before="0" w:after="0" w:line="240" w:lineRule="auto"/>
      <w:jc w:val="center"/>
      <w:rPr>
        <w:rFonts w:ascii="Calibri" w:eastAsia="Calibri" w:hAnsi="Calibri" w:cs="Calibri"/>
        <w:i/>
        <w:color w:val="000000"/>
        <w:sz w:val="22"/>
        <w:szCs w:val="22"/>
      </w:rPr>
    </w:pPr>
    <w:r>
      <w:rPr>
        <w:rFonts w:ascii="Calibri" w:eastAsia="Calibri" w:hAnsi="Calibri" w:cs="Calibri"/>
        <w:i/>
        <w:color w:val="000000"/>
        <w:sz w:val="22"/>
        <w:szCs w:val="22"/>
      </w:rPr>
      <w:t>Informe Alternativo sobre la situación de mujeres con discapacidad en Perú</w:t>
    </w:r>
  </w:p>
  <w:p w:rsidR="00301060" w:rsidRDefault="00AF28C6">
    <w:pPr>
      <w:pBdr>
        <w:top w:val="nil"/>
        <w:left w:val="nil"/>
        <w:bottom w:val="nil"/>
        <w:right w:val="nil"/>
        <w:between w:val="nil"/>
      </w:pBdr>
      <w:tabs>
        <w:tab w:val="center" w:pos="4252"/>
        <w:tab w:val="right" w:pos="8504"/>
      </w:tabs>
      <w:spacing w:before="0" w:after="0" w:line="240" w:lineRule="auto"/>
      <w:jc w:val="center"/>
      <w:rPr>
        <w:rFonts w:ascii="Calibri" w:eastAsia="Calibri" w:hAnsi="Calibri" w:cs="Calibri"/>
        <w:color w:val="000000"/>
        <w:sz w:val="22"/>
        <w:szCs w:val="22"/>
      </w:rPr>
    </w:pPr>
    <w:r>
      <w:rPr>
        <w:rFonts w:ascii="Calibri" w:eastAsia="Calibri" w:hAnsi="Calibri" w:cs="Calibri"/>
        <w:color w:val="000000"/>
        <w:sz w:val="22"/>
        <w:szCs w:val="22"/>
      </w:rPr>
      <w:t>| Perú 2021 | Comité para la Eliminación de la Discriminación contra la Mujer (CEDAW) de Naciones Unidas</w:t>
    </w:r>
  </w:p>
  <w:p w:rsidR="00301060" w:rsidRDefault="00301060">
    <w:pPr>
      <w:pBdr>
        <w:top w:val="nil"/>
        <w:left w:val="nil"/>
        <w:bottom w:val="nil"/>
        <w:right w:val="nil"/>
        <w:between w:val="nil"/>
      </w:pBdr>
      <w:tabs>
        <w:tab w:val="center" w:pos="4252"/>
        <w:tab w:val="right" w:pos="8504"/>
      </w:tabs>
      <w:spacing w:before="0" w:after="0" w:line="240" w:lineRule="auto"/>
      <w:jc w:val="left"/>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B9D" w:rsidRDefault="00D20B9D">
      <w:pPr>
        <w:spacing w:before="0" w:after="0" w:line="240" w:lineRule="auto"/>
      </w:pPr>
      <w:r>
        <w:separator/>
      </w:r>
    </w:p>
  </w:footnote>
  <w:footnote w:type="continuationSeparator" w:id="0">
    <w:p w:rsidR="00D20B9D" w:rsidRDefault="00D20B9D">
      <w:pPr>
        <w:spacing w:before="0" w:after="0" w:line="240" w:lineRule="auto"/>
      </w:pPr>
      <w:r>
        <w:continuationSeparator/>
      </w:r>
    </w:p>
  </w:footnote>
  <w:footnote w:id="1">
    <w:p w:rsidR="00301060" w:rsidRDefault="00AF28C6">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INEI. (2019). “Censos Nacionales: XII de Población, VII de Vivienda y III de Comunidades Indígenas”. Lima: INEI, pág. 29. </w:t>
      </w:r>
    </w:p>
    <w:p w:rsidR="00301060" w:rsidRDefault="00AF28C6">
      <w:pPr>
        <w:pBdr>
          <w:top w:val="nil"/>
          <w:left w:val="nil"/>
          <w:bottom w:val="nil"/>
          <w:right w:val="nil"/>
          <w:between w:val="nil"/>
        </w:pBdr>
        <w:spacing w:before="0" w:after="0" w:line="240" w:lineRule="auto"/>
        <w:rPr>
          <w:color w:val="000000"/>
          <w:sz w:val="20"/>
          <w:szCs w:val="20"/>
        </w:rPr>
      </w:pPr>
      <w:r>
        <w:rPr>
          <w:color w:val="000000"/>
          <w:sz w:val="20"/>
          <w:szCs w:val="20"/>
        </w:rPr>
        <w:t>https://www.inei.gob.pe/media/MenuRecursivo/publicaciones_digitales/Est/Lib1675/cap03.pdf</w:t>
      </w:r>
    </w:p>
  </w:footnote>
  <w:footnote w:id="2">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Ídem</w:t>
      </w:r>
      <w:r>
        <w:rPr>
          <w:color w:val="000000"/>
          <w:sz w:val="20"/>
          <w:szCs w:val="20"/>
        </w:rPr>
        <w:t xml:space="preserve">. </w:t>
      </w:r>
    </w:p>
  </w:footnote>
  <w:footnote w:id="3">
    <w:p w:rsidR="00301060" w:rsidRDefault="00AF28C6">
      <w:pPr>
        <w:pBdr>
          <w:top w:val="nil"/>
          <w:left w:val="nil"/>
          <w:bottom w:val="nil"/>
          <w:right w:val="nil"/>
          <w:between w:val="nil"/>
        </w:pBdr>
        <w:spacing w:line="240" w:lineRule="auto"/>
        <w:rPr>
          <w:i/>
          <w:color w:val="000000"/>
          <w:sz w:val="20"/>
          <w:szCs w:val="20"/>
        </w:rPr>
      </w:pPr>
      <w:r>
        <w:rPr>
          <w:vertAlign w:val="superscript"/>
        </w:rPr>
        <w:footnoteRef/>
      </w:r>
      <w:r>
        <w:rPr>
          <w:color w:val="000000"/>
          <w:sz w:val="20"/>
          <w:szCs w:val="20"/>
        </w:rPr>
        <w:t xml:space="preserve"> </w:t>
      </w:r>
      <w:r>
        <w:rPr>
          <w:i/>
          <w:color w:val="000000"/>
          <w:sz w:val="20"/>
          <w:szCs w:val="20"/>
        </w:rPr>
        <w:t>Ídem.</w:t>
      </w:r>
    </w:p>
  </w:footnote>
  <w:footnote w:id="4">
    <w:p w:rsidR="00301060" w:rsidRDefault="00AF28C6">
      <w:pPr>
        <w:spacing w:before="0" w:line="240" w:lineRule="auto"/>
        <w:jc w:val="left"/>
        <w:rPr>
          <w:sz w:val="20"/>
          <w:szCs w:val="20"/>
        </w:rPr>
      </w:pPr>
      <w:r>
        <w:rPr>
          <w:vertAlign w:val="superscript"/>
        </w:rPr>
        <w:footnoteRef/>
      </w:r>
      <w:r>
        <w:rPr>
          <w:sz w:val="20"/>
          <w:szCs w:val="20"/>
        </w:rPr>
        <w:t xml:space="preserve"> INEI. (2018). “Perú: Caracterización de las Condiciones de Vida de la población con Discapacidad 2017”. Lima: INEI, pág. 61. https://www.inei.gob.pe/media/MenuRecursivo/publicaciones_digitales/Est/Lib1591/libro.pdf</w:t>
      </w:r>
    </w:p>
  </w:footnote>
  <w:footnote w:id="5">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INEI. (2019), </w:t>
      </w:r>
      <w:r>
        <w:rPr>
          <w:i/>
          <w:color w:val="000000"/>
          <w:sz w:val="20"/>
          <w:szCs w:val="20"/>
        </w:rPr>
        <w:t>op. cit</w:t>
      </w:r>
      <w:r>
        <w:rPr>
          <w:color w:val="000000"/>
          <w:sz w:val="20"/>
          <w:szCs w:val="20"/>
        </w:rPr>
        <w:t xml:space="preserve">, pág.30. </w:t>
      </w:r>
    </w:p>
  </w:footnote>
  <w:footnote w:id="6">
    <w:p w:rsidR="00301060" w:rsidRDefault="00AF28C6">
      <w:pPr>
        <w:pBdr>
          <w:top w:val="nil"/>
          <w:left w:val="nil"/>
          <w:bottom w:val="nil"/>
          <w:right w:val="nil"/>
          <w:between w:val="nil"/>
        </w:pBdr>
        <w:spacing w:before="0" w:after="0" w:line="240" w:lineRule="auto"/>
        <w:rPr>
          <w:color w:val="000000"/>
          <w:sz w:val="20"/>
          <w:szCs w:val="20"/>
        </w:rPr>
      </w:pPr>
      <w:r>
        <w:rPr>
          <w:vertAlign w:val="superscript"/>
        </w:rPr>
        <w:footnoteRef/>
      </w:r>
      <w:r>
        <w:rPr>
          <w:sz w:val="20"/>
          <w:szCs w:val="20"/>
        </w:rPr>
        <w:t xml:space="preserve"> </w:t>
      </w:r>
      <w:r>
        <w:rPr>
          <w:color w:val="000000"/>
          <w:sz w:val="20"/>
          <w:szCs w:val="20"/>
        </w:rPr>
        <w:t xml:space="preserve">COCEMFE, CODIP &amp; FCPED. (2020). </w:t>
      </w:r>
      <w:r>
        <w:rPr>
          <w:i/>
          <w:color w:val="000000"/>
          <w:sz w:val="20"/>
          <w:szCs w:val="20"/>
        </w:rPr>
        <w:t>Nueva pandemia, la discriminación de siempre.</w:t>
      </w:r>
      <w:r>
        <w:rPr>
          <w:color w:val="000000"/>
          <w:sz w:val="20"/>
          <w:szCs w:val="20"/>
        </w:rPr>
        <w:t xml:space="preserve"> </w:t>
      </w:r>
      <w:r>
        <w:rPr>
          <w:i/>
          <w:color w:val="000000"/>
          <w:sz w:val="20"/>
          <w:szCs w:val="20"/>
        </w:rPr>
        <w:t>Situación de las mujeres con discapacidad durante la emergencia sanitaria por COVID-19 en la ciudad de Lima-Perú</w:t>
      </w:r>
      <w:r>
        <w:rPr>
          <w:color w:val="000000"/>
          <w:sz w:val="20"/>
          <w:szCs w:val="20"/>
        </w:rPr>
        <w:t>. Primera Edición. Lima: Egoavil, pág. 10.</w:t>
      </w:r>
    </w:p>
    <w:p w:rsidR="00301060" w:rsidRDefault="00AF28C6">
      <w:pPr>
        <w:pBdr>
          <w:top w:val="nil"/>
          <w:left w:val="nil"/>
          <w:bottom w:val="nil"/>
          <w:right w:val="nil"/>
          <w:between w:val="nil"/>
        </w:pBdr>
        <w:spacing w:before="0" w:after="0" w:line="240" w:lineRule="auto"/>
        <w:rPr>
          <w:color w:val="000000"/>
          <w:sz w:val="20"/>
          <w:szCs w:val="20"/>
        </w:rPr>
      </w:pPr>
      <w:r>
        <w:rPr>
          <w:color w:val="000000"/>
          <w:sz w:val="20"/>
          <w:szCs w:val="20"/>
        </w:rPr>
        <w:t>https://www.cocemfe.es/wp-content/uploads/2021/09/estudio-mujeres-con-discapacidad-covid-19-lima-peru.pdf</w:t>
      </w:r>
    </w:p>
    <w:p w:rsidR="00301060" w:rsidRDefault="00301060">
      <w:pPr>
        <w:pBdr>
          <w:top w:val="nil"/>
          <w:left w:val="nil"/>
          <w:bottom w:val="nil"/>
          <w:right w:val="nil"/>
          <w:between w:val="nil"/>
        </w:pBdr>
        <w:spacing w:before="0" w:after="0" w:line="240" w:lineRule="auto"/>
        <w:rPr>
          <w:color w:val="000000"/>
          <w:sz w:val="20"/>
          <w:szCs w:val="20"/>
        </w:rPr>
      </w:pPr>
    </w:p>
  </w:footnote>
  <w:footnote w:id="7">
    <w:p w:rsidR="00301060" w:rsidRDefault="00AF28C6">
      <w:pPr>
        <w:pBdr>
          <w:top w:val="nil"/>
          <w:left w:val="nil"/>
          <w:bottom w:val="nil"/>
          <w:right w:val="nil"/>
          <w:between w:val="nil"/>
        </w:pBdr>
        <w:spacing w:before="0" w:after="0" w:line="240" w:lineRule="auto"/>
        <w:rPr>
          <w:i/>
          <w:color w:val="000000"/>
          <w:sz w:val="20"/>
          <w:szCs w:val="20"/>
        </w:rPr>
      </w:pPr>
      <w:r>
        <w:rPr>
          <w:vertAlign w:val="superscript"/>
        </w:rPr>
        <w:footnoteRef/>
      </w:r>
      <w:r>
        <w:rPr>
          <w:color w:val="000000"/>
          <w:sz w:val="20"/>
          <w:szCs w:val="20"/>
        </w:rPr>
        <w:t xml:space="preserve"> Defensoría del Pueblo. (2020).</w:t>
      </w:r>
      <w:r>
        <w:rPr>
          <w:i/>
          <w:color w:val="000000"/>
          <w:sz w:val="20"/>
          <w:szCs w:val="20"/>
        </w:rPr>
        <w:t xml:space="preserve"> Defensoría del Pueblo: </w:t>
      </w:r>
      <w:r>
        <w:rPr>
          <w:i/>
          <w:sz w:val="20"/>
          <w:szCs w:val="20"/>
        </w:rPr>
        <w:t>La situación</w:t>
      </w:r>
      <w:r>
        <w:rPr>
          <w:i/>
          <w:color w:val="000000"/>
          <w:sz w:val="20"/>
          <w:szCs w:val="20"/>
        </w:rPr>
        <w:t xml:space="preserve"> de las personas con discapacidad se agravó durante la pandemia. </w:t>
      </w:r>
    </w:p>
    <w:p w:rsidR="00301060" w:rsidRDefault="00AF28C6">
      <w:pPr>
        <w:pBdr>
          <w:top w:val="nil"/>
          <w:left w:val="nil"/>
          <w:bottom w:val="nil"/>
          <w:right w:val="nil"/>
          <w:between w:val="nil"/>
        </w:pBdr>
        <w:spacing w:before="0" w:after="0" w:line="240" w:lineRule="auto"/>
        <w:rPr>
          <w:color w:val="000000"/>
          <w:sz w:val="20"/>
          <w:szCs w:val="20"/>
        </w:rPr>
      </w:pPr>
      <w:r>
        <w:rPr>
          <w:color w:val="000000"/>
          <w:sz w:val="20"/>
          <w:szCs w:val="20"/>
        </w:rPr>
        <w:t>https://www.defensoria.gob.pe/defensoria-del-pueblo-situacion-de-las-personas-con-discapacidad-se-agravo-durante-la-pandemia/</w:t>
      </w:r>
    </w:p>
    <w:p w:rsidR="00301060" w:rsidRDefault="00301060">
      <w:pPr>
        <w:pBdr>
          <w:top w:val="nil"/>
          <w:left w:val="nil"/>
          <w:bottom w:val="nil"/>
          <w:right w:val="nil"/>
          <w:between w:val="nil"/>
        </w:pBdr>
        <w:spacing w:before="0" w:after="0" w:line="240" w:lineRule="auto"/>
        <w:rPr>
          <w:color w:val="000000"/>
          <w:sz w:val="20"/>
          <w:szCs w:val="20"/>
        </w:rPr>
      </w:pPr>
    </w:p>
  </w:footnote>
  <w:footnote w:id="8">
    <w:p w:rsidR="00301060" w:rsidRDefault="00AF28C6">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Save The Children. (2020). </w:t>
      </w:r>
      <w:r>
        <w:rPr>
          <w:i/>
          <w:color w:val="000000"/>
          <w:sz w:val="20"/>
          <w:szCs w:val="20"/>
        </w:rPr>
        <w:t>Pandemia e inclusión: Dos voces para visibilizar a las personas con discapacidad en el contexto COVID-19.</w:t>
      </w:r>
    </w:p>
    <w:p w:rsidR="00301060" w:rsidRDefault="00AF28C6">
      <w:pPr>
        <w:pBdr>
          <w:top w:val="nil"/>
          <w:left w:val="nil"/>
          <w:bottom w:val="nil"/>
          <w:right w:val="nil"/>
          <w:between w:val="nil"/>
        </w:pBdr>
        <w:spacing w:before="0" w:after="0" w:line="240" w:lineRule="auto"/>
        <w:rPr>
          <w:color w:val="000000"/>
          <w:sz w:val="20"/>
          <w:szCs w:val="20"/>
        </w:rPr>
      </w:pPr>
      <w:r>
        <w:rPr>
          <w:color w:val="000000"/>
          <w:sz w:val="20"/>
          <w:szCs w:val="20"/>
        </w:rPr>
        <w:t>https://www.savethechildren.org.pe/noticias/pandemia-e-inclusion-dos-voces-para-visibilizar-a-las-personas-con-discapacidad-en-el-contexto-covid-19/</w:t>
      </w:r>
    </w:p>
  </w:footnote>
  <w:footnote w:id="9">
    <w:p w:rsidR="00301060" w:rsidRDefault="00AF28C6">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COCEMFE, CODIP &amp; FCPED. (2020), </w:t>
      </w:r>
      <w:r>
        <w:rPr>
          <w:i/>
          <w:color w:val="000000"/>
          <w:sz w:val="20"/>
          <w:szCs w:val="20"/>
        </w:rPr>
        <w:t>op. cit</w:t>
      </w:r>
      <w:r>
        <w:rPr>
          <w:color w:val="000000"/>
          <w:sz w:val="20"/>
          <w:szCs w:val="20"/>
        </w:rPr>
        <w:t>, pág. 15.</w:t>
      </w:r>
    </w:p>
  </w:footnote>
  <w:footnote w:id="10">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MIMP. (2021). </w:t>
      </w:r>
      <w:r>
        <w:rPr>
          <w:i/>
          <w:color w:val="000000"/>
          <w:sz w:val="20"/>
          <w:szCs w:val="20"/>
        </w:rPr>
        <w:t>Manual con orientaciones técnicas para el adecuado procesamiento de casos de violencia de género en población con discapacidad en el marco del Sistema Nacional Especializado de Justicia para la Protección y Sanción de la Violencia contra las Mujeres e Integrantes del Grupo Familiar</w:t>
      </w:r>
      <w:r>
        <w:rPr>
          <w:color w:val="000000"/>
          <w:sz w:val="20"/>
          <w:szCs w:val="20"/>
        </w:rPr>
        <w:t>. Lima, pág. 14. https://peru.unfpa.org/es/publications/el-adecuado-procesamiento-de-casos-de-violencia-de-genero-en-poblacion-con-discapacidad</w:t>
      </w:r>
    </w:p>
  </w:footnote>
  <w:footnote w:id="11">
    <w:p w:rsidR="00301060" w:rsidRDefault="00AF28C6">
      <w:pPr>
        <w:spacing w:before="0" w:after="0" w:line="240" w:lineRule="auto"/>
        <w:rPr>
          <w:sz w:val="20"/>
          <w:szCs w:val="20"/>
        </w:rPr>
      </w:pPr>
      <w:r>
        <w:rPr>
          <w:vertAlign w:val="superscript"/>
        </w:rPr>
        <w:footnoteRef/>
      </w:r>
      <w:r>
        <w:rPr>
          <w:sz w:val="20"/>
          <w:szCs w:val="20"/>
        </w:rPr>
        <w:t xml:space="preserve"> </w:t>
      </w:r>
      <w:r>
        <w:rPr>
          <w:i/>
          <w:sz w:val="20"/>
          <w:szCs w:val="20"/>
        </w:rPr>
        <w:t>Ibídem.,</w:t>
      </w:r>
      <w:r>
        <w:rPr>
          <w:sz w:val="20"/>
          <w:szCs w:val="20"/>
        </w:rPr>
        <w:t xml:space="preserve"> pág. 15. </w:t>
      </w:r>
    </w:p>
  </w:footnote>
  <w:footnote w:id="12">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Comité CDPD, Observación General No. 3: Mujeres y Niñas con Discapacidad, CRPD/C/GC/3 (2016), párr. 38.</w:t>
      </w:r>
    </w:p>
  </w:footnote>
  <w:footnote w:id="13">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ONU. (2020). Covid-19 y los derechos de las personas con discapacidad: directrices, pág. 7.</w:t>
      </w:r>
    </w:p>
  </w:footnote>
  <w:footnote w:id="14">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sz w:val="20"/>
          <w:szCs w:val="20"/>
        </w:rPr>
        <w:t xml:space="preserve"> </w:t>
      </w:r>
      <w:r>
        <w:rPr>
          <w:color w:val="000000"/>
          <w:sz w:val="20"/>
          <w:szCs w:val="20"/>
        </w:rPr>
        <w:t>MIMP. (2021). Portal Estadístico de registro de casos a nivel nacional de personas con discapacidad del CEM/SISEGC/AURORA/MIMP. Periodo Enero-Noviembre 2021. https://portalestadistico.aurora.gob.pe/</w:t>
      </w:r>
    </w:p>
    <w:p w:rsidR="00301060" w:rsidRDefault="00301060">
      <w:pPr>
        <w:pBdr>
          <w:top w:val="nil"/>
          <w:left w:val="nil"/>
          <w:bottom w:val="nil"/>
          <w:right w:val="nil"/>
          <w:between w:val="nil"/>
        </w:pBdr>
        <w:spacing w:after="0" w:line="240" w:lineRule="auto"/>
        <w:rPr>
          <w:color w:val="000000"/>
          <w:sz w:val="20"/>
          <w:szCs w:val="20"/>
        </w:rPr>
      </w:pPr>
    </w:p>
  </w:footnote>
  <w:footnote w:id="15">
    <w:p w:rsidR="00301060" w:rsidRDefault="00AF28C6">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CEDAW; CRC &amp; Quinn Gerard. (2021). Taking action to eliminate gender-based violence against women and girls with disabilities, NOW, s/p.</w:t>
      </w:r>
    </w:p>
  </w:footnote>
  <w:footnote w:id="16">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MIMP. (2021), </w:t>
      </w:r>
      <w:r>
        <w:rPr>
          <w:i/>
          <w:color w:val="000000"/>
          <w:sz w:val="20"/>
          <w:szCs w:val="20"/>
        </w:rPr>
        <w:t>op. cit</w:t>
      </w:r>
      <w:r>
        <w:rPr>
          <w:color w:val="000000"/>
          <w:sz w:val="20"/>
          <w:szCs w:val="20"/>
        </w:rPr>
        <w:t>, s/p</w:t>
      </w:r>
      <w:r>
        <w:rPr>
          <w:i/>
          <w:color w:val="000000"/>
          <w:sz w:val="20"/>
          <w:szCs w:val="20"/>
        </w:rPr>
        <w:t xml:space="preserve">. </w:t>
      </w:r>
    </w:p>
  </w:footnote>
  <w:footnote w:id="17">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MIMP. (2020). Portal Estadístico de registro de casos a nivel nacional de personas con discapacidad del CEM/SISEGC/AURORA/MIMP. Periodo Enero-Diciembre 2020. https://portalestadistico.aurora.gob.pe/</w:t>
      </w:r>
    </w:p>
  </w:footnote>
  <w:footnote w:id="18">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Ídem.</w:t>
      </w:r>
    </w:p>
  </w:footnote>
  <w:footnote w:id="19">
    <w:p w:rsidR="00301060" w:rsidRDefault="00AF28C6">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20"/>
          <w:szCs w:val="20"/>
        </w:rPr>
        <w:t xml:space="preserve"> Véase: CEDAW. (2017). General Recommendation No. 35 on gender-based violence against women, updating general recommendation No. 19, 26 July 2017, UN Doc. CEDAW/C/GC/35, paras. 10 – 20; CEDAW. (2014). Observaciones finales sobre los informes periódicos séptimo y octavo combinados del Perú, párr. 43, CEDAW/C/PER/CO/7-8</w:t>
      </w:r>
    </w:p>
  </w:footnote>
  <w:footnote w:id="20">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INEI. (2020). </w:t>
      </w:r>
      <w:r>
        <w:rPr>
          <w:i/>
          <w:color w:val="000000"/>
          <w:sz w:val="20"/>
          <w:szCs w:val="20"/>
        </w:rPr>
        <w:t>Situación del mercado laboral en Lima Metropolitana. Informe técnico.</w:t>
      </w:r>
      <w:r>
        <w:rPr>
          <w:color w:val="000000"/>
          <w:sz w:val="20"/>
          <w:szCs w:val="20"/>
        </w:rPr>
        <w:t xml:space="preserve"> https://www.inei.gob.pe/media/MenuRecursivo/boletines/09-informe-tecnico-mercado-laboral-jun-jul-ago-2020.pdf</w:t>
      </w:r>
    </w:p>
  </w:footnote>
  <w:footnote w:id="21">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INEI. (2014</w:t>
      </w:r>
      <w:r>
        <w:rPr>
          <w:i/>
          <w:color w:val="000000"/>
          <w:sz w:val="20"/>
          <w:szCs w:val="20"/>
        </w:rPr>
        <w:t>). Primera Encuesta Nacional Especializada sobre Discapacidad 2012.</w:t>
      </w:r>
      <w:r>
        <w:rPr>
          <w:color w:val="000000"/>
          <w:sz w:val="20"/>
          <w:szCs w:val="20"/>
        </w:rPr>
        <w:t xml:space="preserve"> https://www.inei.gob.pe/media/MenuRecursivo/publicaciones_digitales/Est/Lib1171/ENEDIS%202012%20-%20COMPLETO.pdf</w:t>
      </w:r>
    </w:p>
  </w:footnote>
  <w:footnote w:id="22">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OIT. (2015). </w:t>
      </w:r>
      <w:r>
        <w:rPr>
          <w:i/>
          <w:color w:val="000000"/>
          <w:sz w:val="20"/>
          <w:szCs w:val="20"/>
        </w:rPr>
        <w:t>Trabajo decente de las personas con discapacidad</w:t>
      </w:r>
      <w:r>
        <w:rPr>
          <w:color w:val="000000"/>
          <w:sz w:val="20"/>
          <w:szCs w:val="20"/>
        </w:rPr>
        <w:t>. Ginebra: OIT, pág. 54.</w:t>
      </w:r>
    </w:p>
    <w:p w:rsidR="00301060" w:rsidRDefault="00AF28C6">
      <w:pPr>
        <w:pBdr>
          <w:top w:val="nil"/>
          <w:left w:val="nil"/>
          <w:bottom w:val="nil"/>
          <w:right w:val="nil"/>
          <w:between w:val="nil"/>
        </w:pBdr>
        <w:spacing w:after="0" w:line="240" w:lineRule="auto"/>
        <w:rPr>
          <w:color w:val="000000"/>
          <w:sz w:val="20"/>
          <w:szCs w:val="20"/>
        </w:rPr>
      </w:pPr>
      <w:r>
        <w:rPr>
          <w:color w:val="000000"/>
          <w:sz w:val="20"/>
          <w:szCs w:val="20"/>
        </w:rPr>
        <w:t>https://www.ilo.org/wcmsp5/groups/public/---dgreports/---dcomm/---publ/documents/publication/wcms_091966.pdf</w:t>
      </w:r>
    </w:p>
  </w:footnote>
  <w:footnote w:id="23">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CEDAW. (1991). Recomendación general núm. 18 (1991) sobre mujeres discapacitadas, s/p.</w:t>
      </w:r>
    </w:p>
  </w:footnote>
  <w:footnote w:id="24">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Defensoría del Pueblo. (2020). La Defensoría del Pueblo alerta sobre despidos a personas con discapacidad. https://www.defensoria.gob.pe/la-defensoria-del-pueblo-alerta-sobre-despidos-a-personas-con-discapacidad/#:~:text=En%20el%20contexto%20de%20la,el%20ejercicio%20de%20sus%20derechos.</w:t>
      </w:r>
    </w:p>
  </w:footnote>
  <w:footnote w:id="25">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CEDAW. (1999). Recomendación general Nº 24, artículo 12 la mujer y la salud, párrs: 24 y 25.</w:t>
      </w:r>
    </w:p>
  </w:footnote>
  <w:footnote w:id="26">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Comité CDPD</w:t>
      </w:r>
      <w:r>
        <w:rPr>
          <w:i/>
          <w:color w:val="000000"/>
          <w:sz w:val="20"/>
          <w:szCs w:val="20"/>
        </w:rPr>
        <w:t>, Observación General No. 3: Mujeres y Niñas con Discapacidad</w:t>
      </w:r>
      <w:r>
        <w:rPr>
          <w:color w:val="000000"/>
          <w:sz w:val="20"/>
          <w:szCs w:val="20"/>
        </w:rPr>
        <w:t>, CRPD/C/GC/3 (2016), pár. 40.</w:t>
      </w:r>
    </w:p>
  </w:footnote>
  <w:footnote w:id="27">
    <w:p w:rsidR="00301060" w:rsidRDefault="00AF28C6">
      <w:pPr>
        <w:spacing w:before="0" w:after="0" w:line="240" w:lineRule="auto"/>
        <w:rPr>
          <w:sz w:val="20"/>
          <w:szCs w:val="20"/>
        </w:rPr>
      </w:pPr>
      <w:r>
        <w:rPr>
          <w:vertAlign w:val="superscript"/>
        </w:rPr>
        <w:footnoteRef/>
      </w:r>
      <w:r>
        <w:rPr>
          <w:i/>
          <w:sz w:val="20"/>
          <w:szCs w:val="20"/>
        </w:rPr>
        <w:t xml:space="preserve"> </w:t>
      </w:r>
      <w:r>
        <w:rPr>
          <w:sz w:val="20"/>
          <w:szCs w:val="20"/>
        </w:rPr>
        <w:t xml:space="preserve">INEI. (2018), </w:t>
      </w:r>
      <w:r>
        <w:rPr>
          <w:i/>
          <w:sz w:val="20"/>
          <w:szCs w:val="20"/>
        </w:rPr>
        <w:t xml:space="preserve">op. cit, </w:t>
      </w:r>
      <w:r>
        <w:rPr>
          <w:sz w:val="20"/>
          <w:szCs w:val="20"/>
        </w:rPr>
        <w:t>pág. 13.</w:t>
      </w:r>
    </w:p>
  </w:footnote>
  <w:footnote w:id="28">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MINSA. (2020). </w:t>
      </w:r>
      <w:r>
        <w:rPr>
          <w:i/>
          <w:color w:val="000000"/>
          <w:sz w:val="20"/>
          <w:szCs w:val="20"/>
        </w:rPr>
        <w:t xml:space="preserve">Política Nacional Multisectorial de Salud al 2030 “Perú, País Saludable”, </w:t>
      </w:r>
      <w:r>
        <w:rPr>
          <w:color w:val="000000"/>
          <w:sz w:val="20"/>
          <w:szCs w:val="20"/>
        </w:rPr>
        <w:t>pág.135. https://cdn.www.gob.pe/uploads/document/file/1272348/Pol%C3%ADtica%20Nacional%20Multisectorial%20de%20Salud%20al%202030.pdf</w:t>
      </w:r>
    </w:p>
  </w:footnote>
  <w:footnote w:id="29">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Defensoría del Pueblo. (2020). </w:t>
      </w:r>
      <w:r>
        <w:rPr>
          <w:i/>
          <w:sz w:val="20"/>
          <w:szCs w:val="20"/>
        </w:rPr>
        <w:t>La situación</w:t>
      </w:r>
      <w:r>
        <w:rPr>
          <w:i/>
          <w:color w:val="000000"/>
          <w:sz w:val="20"/>
          <w:szCs w:val="20"/>
        </w:rPr>
        <w:t xml:space="preserve"> de las personas con discapacidad se agravó durante la pandemia.</w:t>
      </w:r>
      <w:r>
        <w:rPr>
          <w:color w:val="000000"/>
          <w:sz w:val="20"/>
          <w:szCs w:val="20"/>
        </w:rPr>
        <w:t xml:space="preserve"> https://www.defensoria.gob.pe/defensoria-del-pueblo-situacion-de-las-personas-con-discapacidad-se-agravo-durante-la-pandemia/</w:t>
      </w:r>
    </w:p>
  </w:footnote>
  <w:footnote w:id="30">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INEI. (2019), </w:t>
      </w:r>
      <w:r>
        <w:rPr>
          <w:i/>
          <w:color w:val="000000"/>
          <w:sz w:val="20"/>
          <w:szCs w:val="20"/>
        </w:rPr>
        <w:t>op. cit</w:t>
      </w:r>
      <w:r>
        <w:rPr>
          <w:color w:val="000000"/>
          <w:sz w:val="20"/>
          <w:szCs w:val="20"/>
        </w:rPr>
        <w:t>., pág. 29.</w:t>
      </w:r>
    </w:p>
  </w:footnote>
  <w:footnote w:id="31">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MIMP. (2021), </w:t>
      </w:r>
      <w:r>
        <w:rPr>
          <w:i/>
          <w:color w:val="000000"/>
          <w:sz w:val="20"/>
          <w:szCs w:val="20"/>
        </w:rPr>
        <w:t>op. cit</w:t>
      </w:r>
      <w:r>
        <w:rPr>
          <w:color w:val="000000"/>
          <w:sz w:val="20"/>
          <w:szCs w:val="20"/>
        </w:rPr>
        <w:t xml:space="preserve">. </w:t>
      </w:r>
    </w:p>
  </w:footnote>
  <w:footnote w:id="32">
    <w:p w:rsidR="00301060" w:rsidRDefault="00AF28C6">
      <w:pPr>
        <w:spacing w:after="0" w:line="240" w:lineRule="auto"/>
        <w:rPr>
          <w:sz w:val="20"/>
          <w:szCs w:val="20"/>
        </w:rPr>
      </w:pPr>
      <w:r>
        <w:rPr>
          <w:vertAlign w:val="superscript"/>
        </w:rPr>
        <w:footnoteRef/>
      </w:r>
      <w:r>
        <w:rPr>
          <w:sz w:val="20"/>
          <w:szCs w:val="20"/>
        </w:rPr>
        <w:t xml:space="preserve"> PCM. (2014). </w:t>
      </w:r>
      <w:r>
        <w:rPr>
          <w:i/>
          <w:color w:val="030303"/>
          <w:sz w:val="20"/>
          <w:szCs w:val="20"/>
        </w:rPr>
        <w:t>Plan Nacional de Gestión del Riesgo de Desastres 2014-2021</w:t>
      </w:r>
      <w:r>
        <w:rPr>
          <w:i/>
          <w:sz w:val="20"/>
          <w:szCs w:val="20"/>
        </w:rPr>
        <w:t>.</w:t>
      </w:r>
      <w:r>
        <w:rPr>
          <w:sz w:val="20"/>
          <w:szCs w:val="20"/>
        </w:rPr>
        <w:t xml:space="preserve"> </w:t>
      </w:r>
      <w:hyperlink r:id="rId1">
        <w:r>
          <w:rPr>
            <w:color w:val="1155CC"/>
            <w:sz w:val="20"/>
            <w:szCs w:val="20"/>
            <w:u w:val="single"/>
          </w:rPr>
          <w:t>https://www.preventionweb.net/files/37923_39462planagerd201420215b15d1.pdf</w:t>
        </w:r>
      </w:hyperlink>
    </w:p>
  </w:footnote>
  <w:footnote w:id="33">
    <w:p w:rsidR="00301060" w:rsidRDefault="00AF28C6">
      <w:pPr>
        <w:spacing w:after="0" w:line="240" w:lineRule="auto"/>
        <w:rPr>
          <w:sz w:val="20"/>
          <w:szCs w:val="20"/>
        </w:rPr>
      </w:pPr>
      <w:r>
        <w:rPr>
          <w:vertAlign w:val="superscript"/>
        </w:rPr>
        <w:footnoteRef/>
      </w:r>
      <w:r>
        <w:rPr>
          <w:sz w:val="20"/>
          <w:szCs w:val="20"/>
        </w:rPr>
        <w:t xml:space="preserve"> PCM. (2021). </w:t>
      </w:r>
      <w:r>
        <w:rPr>
          <w:i/>
          <w:color w:val="26292E"/>
          <w:sz w:val="20"/>
          <w:szCs w:val="20"/>
          <w:shd w:val="clear" w:color="auto" w:fill="FDFDFD"/>
        </w:rPr>
        <w:t>Política Nacional de Gestión del Riesgo de Desastres al 2050</w:t>
      </w:r>
      <w:r>
        <w:rPr>
          <w:i/>
          <w:sz w:val="20"/>
          <w:szCs w:val="20"/>
        </w:rPr>
        <w:t>.</w:t>
      </w:r>
      <w:r>
        <w:rPr>
          <w:sz w:val="20"/>
          <w:szCs w:val="20"/>
        </w:rPr>
        <w:t xml:space="preserve"> </w:t>
      </w:r>
      <w:hyperlink r:id="rId2">
        <w:r>
          <w:rPr>
            <w:color w:val="1155CC"/>
            <w:sz w:val="20"/>
            <w:szCs w:val="20"/>
            <w:u w:val="single"/>
          </w:rPr>
          <w:t>https://cdn.www.gob.pe/uploads/document/file/1703472/Pol%C3%ADtica%20Nacional%20GRD%20al%202050.pdf.pdf</w:t>
        </w:r>
      </w:hyperlink>
    </w:p>
    <w:p w:rsidR="00301060" w:rsidRDefault="00301060">
      <w:pPr>
        <w:spacing w:after="0" w:line="240" w:lineRule="auto"/>
        <w:rPr>
          <w:sz w:val="20"/>
          <w:szCs w:val="20"/>
        </w:rPr>
      </w:pPr>
    </w:p>
  </w:footnote>
  <w:footnote w:id="34">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MINEDU. (2020). </w:t>
      </w:r>
      <w:r>
        <w:rPr>
          <w:i/>
          <w:color w:val="000000"/>
          <w:sz w:val="20"/>
          <w:szCs w:val="20"/>
        </w:rPr>
        <w:t xml:space="preserve">Principios que guían el diseño de Aprendo en Casa. </w:t>
      </w:r>
      <w:r>
        <w:rPr>
          <w:color w:val="000000"/>
          <w:sz w:val="20"/>
          <w:szCs w:val="20"/>
        </w:rPr>
        <w:t>https://www.gereducusco.gob.pe/2020/04/03/principios-que-guian-el-diseno-de-aprendo-en-casa/</w:t>
      </w:r>
    </w:p>
  </w:footnote>
  <w:footnote w:id="35">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Andina. (2020). 15 mil escolares con alguna discapacidad podrán estudiar con Aprendo en casa. Agencia Peruana de Noticias. https://andina.pe/agencia/noticia-15-mil-escolares-alguna-discapacidad-podran-estudiar-aprendo-casa-809317.aspx</w:t>
      </w:r>
    </w:p>
  </w:footnote>
  <w:footnote w:id="36">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CEDAW. (2017). Recomendación General No. 36 (2017) sobre el derecho de las niñas y las mujeres a la educación. 27 de noviembre de 2017, párr.44.</w:t>
      </w:r>
    </w:p>
  </w:footnote>
  <w:footnote w:id="37">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CEDAW. (2017). Recomendación General No. 33 (2015) Acceso de las mujeres a la justicia, párr.13.</w:t>
      </w:r>
    </w:p>
  </w:footnote>
  <w:footnote w:id="38">
    <w:p w:rsidR="00301060" w:rsidRDefault="00AF28C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CEDAW. (2017). Recomendación General No. 35 (2017) sobre la violencia de género contra las mujeres, que actualiza la recomendación general núm. 19, 26 de julio de 2017, Doc. De la ONU. </w:t>
      </w:r>
      <w:r>
        <w:rPr>
          <w:color w:val="000000"/>
          <w:sz w:val="20"/>
          <w:szCs w:val="20"/>
          <w:shd w:val="clear" w:color="auto" w:fill="C9D7F1"/>
        </w:rPr>
        <w:t>CEDAW / C / GC / 35, párr. </w:t>
      </w:r>
      <w:r>
        <w:rPr>
          <w:color w:val="000000"/>
          <w:sz w:val="20"/>
          <w:szCs w:val="20"/>
        </w:rPr>
        <w:t>31.</w:t>
      </w:r>
    </w:p>
  </w:footnote>
  <w:footnote w:id="39">
    <w:p w:rsidR="00301060" w:rsidRDefault="00AF28C6">
      <w:pPr>
        <w:pBdr>
          <w:top w:val="nil"/>
          <w:left w:val="nil"/>
          <w:bottom w:val="nil"/>
          <w:right w:val="nil"/>
          <w:between w:val="nil"/>
        </w:pBdr>
        <w:spacing w:before="0" w:after="0" w:line="240" w:lineRule="auto"/>
        <w:rPr>
          <w:color w:val="000000"/>
          <w:sz w:val="20"/>
          <w:szCs w:val="20"/>
        </w:rPr>
      </w:pPr>
      <w:r>
        <w:rPr>
          <w:vertAlign w:val="superscript"/>
        </w:rPr>
        <w:footnoteRef/>
      </w:r>
      <w:r>
        <w:rPr>
          <w:sz w:val="20"/>
          <w:szCs w:val="20"/>
        </w:rPr>
        <w:t xml:space="preserve"> </w:t>
      </w:r>
      <w:r>
        <w:rPr>
          <w:color w:val="000000"/>
          <w:sz w:val="20"/>
          <w:szCs w:val="20"/>
        </w:rPr>
        <w:t>CEDAW. (2014). Observaciones finales sobre los informes periódicos séptimo y octavo combinados del Perú, CEDAW/C/PER/CO/7-8, párr. 11.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060" w:rsidRDefault="00AF28C6">
    <w:pPr>
      <w:pBdr>
        <w:top w:val="nil"/>
        <w:left w:val="nil"/>
        <w:bottom w:val="nil"/>
        <w:right w:val="nil"/>
        <w:between w:val="nil"/>
      </w:pBdr>
      <w:tabs>
        <w:tab w:val="center" w:pos="4252"/>
        <w:tab w:val="right" w:pos="8504"/>
      </w:tabs>
      <w:spacing w:before="0" w:after="0" w:line="240" w:lineRule="auto"/>
      <w:jc w:val="left"/>
      <w:rPr>
        <w:rFonts w:ascii="Calibri" w:eastAsia="Calibri" w:hAnsi="Calibri" w:cs="Calibri"/>
        <w:color w:val="000000"/>
        <w:sz w:val="22"/>
        <w:szCs w:val="22"/>
      </w:rPr>
    </w:pPr>
    <w:r>
      <w:rPr>
        <w:noProof/>
      </w:rPr>
      <w:drawing>
        <wp:anchor distT="0" distB="0" distL="114300" distR="114300" simplePos="0" relativeHeight="251658240" behindDoc="0" locked="0" layoutInCell="1" hidden="0" allowOverlap="1">
          <wp:simplePos x="0" y="0"/>
          <wp:positionH relativeFrom="column">
            <wp:posOffset>-184783</wp:posOffset>
          </wp:positionH>
          <wp:positionV relativeFrom="paragraph">
            <wp:posOffset>-269873</wp:posOffset>
          </wp:positionV>
          <wp:extent cx="5883008" cy="81216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83008" cy="8121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370294"/>
    <w:multiLevelType w:val="hybridMultilevel"/>
    <w:tmpl w:val="0A4C6F5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38F3108E"/>
    <w:multiLevelType w:val="multilevel"/>
    <w:tmpl w:val="B1D0136C"/>
    <w:lvl w:ilvl="0">
      <w:start w:val="1"/>
      <w:numFmt w:val="lowerLetter"/>
      <w:lvlText w:val="%1)"/>
      <w:lvlJc w:val="left"/>
      <w:pPr>
        <w:ind w:left="1930" w:hanging="360"/>
      </w:pPr>
    </w:lvl>
    <w:lvl w:ilvl="1">
      <w:start w:val="1"/>
      <w:numFmt w:val="lowerLetter"/>
      <w:lvlText w:val="%2."/>
      <w:lvlJc w:val="left"/>
      <w:pPr>
        <w:ind w:left="2650" w:hanging="360"/>
      </w:pPr>
    </w:lvl>
    <w:lvl w:ilvl="2">
      <w:start w:val="1"/>
      <w:numFmt w:val="lowerRoman"/>
      <w:lvlText w:val="%3."/>
      <w:lvlJc w:val="right"/>
      <w:pPr>
        <w:ind w:left="3370" w:hanging="180"/>
      </w:pPr>
    </w:lvl>
    <w:lvl w:ilvl="3">
      <w:start w:val="1"/>
      <w:numFmt w:val="decimal"/>
      <w:lvlText w:val="%4."/>
      <w:lvlJc w:val="left"/>
      <w:pPr>
        <w:ind w:left="4090" w:hanging="360"/>
      </w:pPr>
    </w:lvl>
    <w:lvl w:ilvl="4">
      <w:start w:val="1"/>
      <w:numFmt w:val="lowerLetter"/>
      <w:lvlText w:val="%5."/>
      <w:lvlJc w:val="left"/>
      <w:pPr>
        <w:ind w:left="4810" w:hanging="360"/>
      </w:pPr>
    </w:lvl>
    <w:lvl w:ilvl="5">
      <w:start w:val="1"/>
      <w:numFmt w:val="lowerRoman"/>
      <w:lvlText w:val="%6."/>
      <w:lvlJc w:val="right"/>
      <w:pPr>
        <w:ind w:left="5530" w:hanging="180"/>
      </w:pPr>
    </w:lvl>
    <w:lvl w:ilvl="6">
      <w:start w:val="1"/>
      <w:numFmt w:val="decimal"/>
      <w:lvlText w:val="%7."/>
      <w:lvlJc w:val="left"/>
      <w:pPr>
        <w:ind w:left="6250" w:hanging="360"/>
      </w:pPr>
    </w:lvl>
    <w:lvl w:ilvl="7">
      <w:start w:val="1"/>
      <w:numFmt w:val="lowerLetter"/>
      <w:lvlText w:val="%8."/>
      <w:lvlJc w:val="left"/>
      <w:pPr>
        <w:ind w:left="6970" w:hanging="360"/>
      </w:pPr>
    </w:lvl>
    <w:lvl w:ilvl="8">
      <w:start w:val="1"/>
      <w:numFmt w:val="lowerRoman"/>
      <w:lvlText w:val="%9."/>
      <w:lvlJc w:val="right"/>
      <w:pPr>
        <w:ind w:left="7690" w:hanging="180"/>
      </w:pPr>
    </w:lvl>
  </w:abstractNum>
  <w:abstractNum w:abstractNumId="2" w15:restartNumberingAfterBreak="0">
    <w:nsid w:val="4D4B0D5D"/>
    <w:multiLevelType w:val="multilevel"/>
    <w:tmpl w:val="A1DAAC76"/>
    <w:lvl w:ilvl="0">
      <w:start w:val="1"/>
      <w:numFmt w:val="lowerLetter"/>
      <w:lvlText w:val="%1)"/>
      <w:lvlJc w:val="left"/>
      <w:pPr>
        <w:ind w:left="1987" w:hanging="360"/>
      </w:pPr>
    </w:lvl>
    <w:lvl w:ilvl="1">
      <w:start w:val="1"/>
      <w:numFmt w:val="lowerLetter"/>
      <w:lvlText w:val="%2."/>
      <w:lvlJc w:val="left"/>
      <w:pPr>
        <w:ind w:left="2707" w:hanging="360"/>
      </w:pPr>
    </w:lvl>
    <w:lvl w:ilvl="2">
      <w:start w:val="1"/>
      <w:numFmt w:val="lowerRoman"/>
      <w:lvlText w:val="%3."/>
      <w:lvlJc w:val="right"/>
      <w:pPr>
        <w:ind w:left="3427" w:hanging="180"/>
      </w:pPr>
    </w:lvl>
    <w:lvl w:ilvl="3">
      <w:start w:val="1"/>
      <w:numFmt w:val="decimal"/>
      <w:lvlText w:val="%4."/>
      <w:lvlJc w:val="left"/>
      <w:pPr>
        <w:ind w:left="4147" w:hanging="360"/>
      </w:pPr>
    </w:lvl>
    <w:lvl w:ilvl="4">
      <w:start w:val="1"/>
      <w:numFmt w:val="lowerLetter"/>
      <w:lvlText w:val="%5."/>
      <w:lvlJc w:val="left"/>
      <w:pPr>
        <w:ind w:left="4867" w:hanging="360"/>
      </w:pPr>
    </w:lvl>
    <w:lvl w:ilvl="5">
      <w:start w:val="1"/>
      <w:numFmt w:val="lowerRoman"/>
      <w:lvlText w:val="%6."/>
      <w:lvlJc w:val="right"/>
      <w:pPr>
        <w:ind w:left="5587" w:hanging="180"/>
      </w:pPr>
    </w:lvl>
    <w:lvl w:ilvl="6">
      <w:start w:val="1"/>
      <w:numFmt w:val="decimal"/>
      <w:lvlText w:val="%7."/>
      <w:lvlJc w:val="left"/>
      <w:pPr>
        <w:ind w:left="6307" w:hanging="360"/>
      </w:pPr>
    </w:lvl>
    <w:lvl w:ilvl="7">
      <w:start w:val="1"/>
      <w:numFmt w:val="lowerLetter"/>
      <w:lvlText w:val="%8."/>
      <w:lvlJc w:val="left"/>
      <w:pPr>
        <w:ind w:left="7027" w:hanging="360"/>
      </w:pPr>
    </w:lvl>
    <w:lvl w:ilvl="8">
      <w:start w:val="1"/>
      <w:numFmt w:val="lowerRoman"/>
      <w:lvlText w:val="%9."/>
      <w:lvlJc w:val="right"/>
      <w:pPr>
        <w:ind w:left="7747" w:hanging="180"/>
      </w:pPr>
    </w:lvl>
  </w:abstractNum>
  <w:abstractNum w:abstractNumId="3" w15:restartNumberingAfterBreak="0">
    <w:nsid w:val="4EF25CA2"/>
    <w:multiLevelType w:val="multilevel"/>
    <w:tmpl w:val="E9CA93A2"/>
    <w:lvl w:ilvl="0">
      <w:start w:val="1"/>
      <w:numFmt w:val="decimal"/>
      <w:lvlText w:val="%1."/>
      <w:lvlJc w:val="left"/>
      <w:pPr>
        <w:ind w:left="1210" w:hanging="360"/>
      </w:pPr>
      <w:rPr>
        <w:b w:val="0"/>
      </w:rPr>
    </w:lvl>
    <w:lvl w:ilvl="1">
      <w:start w:val="1"/>
      <w:numFmt w:val="lowerLetter"/>
      <w:lvlText w:val="%2."/>
      <w:lvlJc w:val="left"/>
      <w:pPr>
        <w:ind w:left="1930" w:hanging="360"/>
      </w:pPr>
    </w:lvl>
    <w:lvl w:ilvl="2">
      <w:start w:val="1"/>
      <w:numFmt w:val="lowerRoman"/>
      <w:lvlText w:val="%3."/>
      <w:lvlJc w:val="right"/>
      <w:pPr>
        <w:ind w:left="2650" w:hanging="180"/>
      </w:pPr>
    </w:lvl>
    <w:lvl w:ilvl="3">
      <w:start w:val="1"/>
      <w:numFmt w:val="decimal"/>
      <w:lvlText w:val="%4."/>
      <w:lvlJc w:val="left"/>
      <w:pPr>
        <w:ind w:left="3370" w:hanging="360"/>
      </w:pPr>
    </w:lvl>
    <w:lvl w:ilvl="4">
      <w:start w:val="1"/>
      <w:numFmt w:val="lowerLetter"/>
      <w:lvlText w:val="%5."/>
      <w:lvlJc w:val="left"/>
      <w:pPr>
        <w:ind w:left="4090" w:hanging="360"/>
      </w:pPr>
    </w:lvl>
    <w:lvl w:ilvl="5">
      <w:start w:val="1"/>
      <w:numFmt w:val="lowerRoman"/>
      <w:lvlText w:val="%6."/>
      <w:lvlJc w:val="right"/>
      <w:pPr>
        <w:ind w:left="4810" w:hanging="180"/>
      </w:pPr>
    </w:lvl>
    <w:lvl w:ilvl="6">
      <w:start w:val="1"/>
      <w:numFmt w:val="decimal"/>
      <w:lvlText w:val="%7."/>
      <w:lvlJc w:val="left"/>
      <w:pPr>
        <w:ind w:left="5530" w:hanging="360"/>
      </w:pPr>
    </w:lvl>
    <w:lvl w:ilvl="7">
      <w:start w:val="1"/>
      <w:numFmt w:val="lowerLetter"/>
      <w:lvlText w:val="%8."/>
      <w:lvlJc w:val="left"/>
      <w:pPr>
        <w:ind w:left="6250" w:hanging="360"/>
      </w:pPr>
    </w:lvl>
    <w:lvl w:ilvl="8">
      <w:start w:val="1"/>
      <w:numFmt w:val="lowerRoman"/>
      <w:lvlText w:val="%9."/>
      <w:lvlJc w:val="right"/>
      <w:pPr>
        <w:ind w:left="6970" w:hanging="180"/>
      </w:pPr>
    </w:lvl>
  </w:abstractNum>
  <w:abstractNum w:abstractNumId="4" w15:restartNumberingAfterBreak="0">
    <w:nsid w:val="6A7721C1"/>
    <w:multiLevelType w:val="multilevel"/>
    <w:tmpl w:val="5DFC22E8"/>
    <w:lvl w:ilvl="0">
      <w:start w:val="1"/>
      <w:numFmt w:val="lowerLetter"/>
      <w:lvlText w:val="%1)"/>
      <w:lvlJc w:val="left"/>
      <w:pPr>
        <w:ind w:left="1983" w:hanging="360"/>
      </w:pPr>
    </w:lvl>
    <w:lvl w:ilvl="1">
      <w:start w:val="1"/>
      <w:numFmt w:val="lowerLetter"/>
      <w:lvlText w:val="%2."/>
      <w:lvlJc w:val="left"/>
      <w:pPr>
        <w:ind w:left="2703" w:hanging="360"/>
      </w:pPr>
    </w:lvl>
    <w:lvl w:ilvl="2">
      <w:start w:val="1"/>
      <w:numFmt w:val="lowerRoman"/>
      <w:lvlText w:val="%3."/>
      <w:lvlJc w:val="right"/>
      <w:pPr>
        <w:ind w:left="3423" w:hanging="180"/>
      </w:pPr>
    </w:lvl>
    <w:lvl w:ilvl="3">
      <w:start w:val="1"/>
      <w:numFmt w:val="decimal"/>
      <w:lvlText w:val="%4."/>
      <w:lvlJc w:val="left"/>
      <w:pPr>
        <w:ind w:left="4143" w:hanging="360"/>
      </w:pPr>
    </w:lvl>
    <w:lvl w:ilvl="4">
      <w:start w:val="1"/>
      <w:numFmt w:val="lowerLetter"/>
      <w:lvlText w:val="%5."/>
      <w:lvlJc w:val="left"/>
      <w:pPr>
        <w:ind w:left="4863" w:hanging="360"/>
      </w:pPr>
    </w:lvl>
    <w:lvl w:ilvl="5">
      <w:start w:val="1"/>
      <w:numFmt w:val="lowerRoman"/>
      <w:lvlText w:val="%6."/>
      <w:lvlJc w:val="right"/>
      <w:pPr>
        <w:ind w:left="5583" w:hanging="180"/>
      </w:pPr>
    </w:lvl>
    <w:lvl w:ilvl="6">
      <w:start w:val="1"/>
      <w:numFmt w:val="decimal"/>
      <w:lvlText w:val="%7."/>
      <w:lvlJc w:val="left"/>
      <w:pPr>
        <w:ind w:left="6303" w:hanging="360"/>
      </w:pPr>
    </w:lvl>
    <w:lvl w:ilvl="7">
      <w:start w:val="1"/>
      <w:numFmt w:val="lowerLetter"/>
      <w:lvlText w:val="%8."/>
      <w:lvlJc w:val="left"/>
      <w:pPr>
        <w:ind w:left="7023" w:hanging="360"/>
      </w:pPr>
    </w:lvl>
    <w:lvl w:ilvl="8">
      <w:start w:val="1"/>
      <w:numFmt w:val="lowerRoman"/>
      <w:lvlText w:val="%9."/>
      <w:lvlJc w:val="right"/>
      <w:pPr>
        <w:ind w:left="7743"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060"/>
    <w:rsid w:val="000A1855"/>
    <w:rsid w:val="00301060"/>
    <w:rsid w:val="009A648A"/>
    <w:rsid w:val="00AF28C6"/>
    <w:rsid w:val="00CE5B53"/>
    <w:rsid w:val="00D20B9D"/>
    <w:rsid w:val="00D62609"/>
    <w:rsid w:val="00F37EB3"/>
    <w:rsid w:val="00FC79C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4A7D1"/>
  <w15:docId w15:val="{B1DFD7B5-F5B0-4F6E-A076-BA7C08174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highlight w:val="white"/>
        <w:lang w:val="es-PE" w:eastAsia="es-PE" w:bidi="ar-SA"/>
      </w:rPr>
    </w:rPrDefault>
    <w:pPrDefault>
      <w:pPr>
        <w:spacing w:before="240" w:after="24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52F"/>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paragraph" w:styleId="NormalWeb">
    <w:name w:val="Normal (Web)"/>
    <w:basedOn w:val="Normal"/>
    <w:uiPriority w:val="99"/>
    <w:unhideWhenUsed/>
    <w:rsid w:val="008C0684"/>
    <w:pPr>
      <w:spacing w:before="100" w:beforeAutospacing="1" w:after="100" w:afterAutospacing="1" w:line="240" w:lineRule="auto"/>
    </w:pPr>
  </w:style>
  <w:style w:type="paragraph" w:styleId="Prrafodelista">
    <w:name w:val="List Paragraph"/>
    <w:basedOn w:val="Normal"/>
    <w:uiPriority w:val="34"/>
    <w:qFormat/>
    <w:rsid w:val="008C0684"/>
    <w:pPr>
      <w:ind w:left="720"/>
      <w:contextualSpacing/>
    </w:pPr>
  </w:style>
  <w:style w:type="paragraph" w:styleId="Encabezado">
    <w:name w:val="header"/>
    <w:basedOn w:val="Normal"/>
    <w:link w:val="EncabezadoCar"/>
    <w:uiPriority w:val="99"/>
    <w:unhideWhenUsed/>
    <w:rsid w:val="00DE2DE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E2DE0"/>
  </w:style>
  <w:style w:type="paragraph" w:styleId="Piedepgina">
    <w:name w:val="footer"/>
    <w:basedOn w:val="Normal"/>
    <w:link w:val="PiedepginaCar"/>
    <w:uiPriority w:val="99"/>
    <w:unhideWhenUsed/>
    <w:rsid w:val="00DE2DE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E2DE0"/>
  </w:style>
  <w:style w:type="paragraph" w:styleId="Textonotapie">
    <w:name w:val="footnote text"/>
    <w:basedOn w:val="Normal"/>
    <w:link w:val="TextonotapieCar"/>
    <w:uiPriority w:val="99"/>
    <w:unhideWhenUsed/>
    <w:rsid w:val="00B91785"/>
    <w:pPr>
      <w:spacing w:after="0" w:line="240" w:lineRule="auto"/>
    </w:pPr>
    <w:rPr>
      <w:sz w:val="20"/>
      <w:szCs w:val="20"/>
    </w:rPr>
  </w:style>
  <w:style w:type="character" w:customStyle="1" w:styleId="TextonotapieCar">
    <w:name w:val="Texto nota pie Car"/>
    <w:basedOn w:val="Fuentedeprrafopredeter"/>
    <w:link w:val="Textonotapie"/>
    <w:uiPriority w:val="99"/>
    <w:rsid w:val="00B91785"/>
    <w:rPr>
      <w:sz w:val="20"/>
      <w:szCs w:val="20"/>
    </w:rPr>
  </w:style>
  <w:style w:type="character" w:styleId="Refdenotaalpie">
    <w:name w:val="footnote reference"/>
    <w:basedOn w:val="Fuentedeprrafopredeter"/>
    <w:uiPriority w:val="99"/>
    <w:semiHidden/>
    <w:unhideWhenUsed/>
    <w:rsid w:val="00B91785"/>
    <w:rPr>
      <w:vertAlign w:val="superscri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0C40BA"/>
    <w:pPr>
      <w:spacing w:before="0"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40BA"/>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E22AC9"/>
    <w:rPr>
      <w:b/>
      <w:bCs/>
    </w:rPr>
  </w:style>
  <w:style w:type="character" w:customStyle="1" w:styleId="AsuntodelcomentarioCar">
    <w:name w:val="Asunto del comentario Car"/>
    <w:basedOn w:val="TextocomentarioCar"/>
    <w:link w:val="Asuntodelcomentario"/>
    <w:uiPriority w:val="99"/>
    <w:semiHidden/>
    <w:rsid w:val="00E22AC9"/>
    <w:rPr>
      <w:b/>
      <w:bCs/>
      <w:sz w:val="20"/>
      <w:szCs w:val="20"/>
    </w:rPr>
  </w:style>
  <w:style w:type="paragraph" w:customStyle="1" w:styleId="Default">
    <w:name w:val="Default"/>
    <w:rsid w:val="001E261E"/>
    <w:pPr>
      <w:autoSpaceDE w:val="0"/>
      <w:autoSpaceDN w:val="0"/>
      <w:adjustRightInd w:val="0"/>
      <w:spacing w:before="0" w:after="0" w:line="240" w:lineRule="auto"/>
      <w:jc w:val="left"/>
    </w:pPr>
    <w:rPr>
      <w:color w:val="000000"/>
      <w:highlight w:val="none"/>
    </w:rPr>
  </w:style>
  <w:style w:type="paragraph" w:styleId="Revisin">
    <w:name w:val="Revision"/>
    <w:hidden/>
    <w:uiPriority w:val="99"/>
    <w:semiHidden/>
    <w:rsid w:val="006D2E80"/>
    <w:pPr>
      <w:spacing w:before="0" w:after="0" w:line="240" w:lineRule="auto"/>
      <w:jc w:val="left"/>
    </w:pPr>
  </w:style>
  <w:style w:type="paragraph" w:styleId="Textonotaalfinal">
    <w:name w:val="endnote text"/>
    <w:basedOn w:val="Normal"/>
    <w:link w:val="TextonotaalfinalCar"/>
    <w:uiPriority w:val="99"/>
    <w:semiHidden/>
    <w:unhideWhenUsed/>
    <w:rsid w:val="009662CF"/>
    <w:pPr>
      <w:spacing w:before="0"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662CF"/>
    <w:rPr>
      <w:sz w:val="20"/>
      <w:szCs w:val="20"/>
    </w:rPr>
  </w:style>
  <w:style w:type="character" w:styleId="Refdenotaalfinal">
    <w:name w:val="endnote reference"/>
    <w:basedOn w:val="Fuentedeprrafopredeter"/>
    <w:uiPriority w:val="99"/>
    <w:semiHidden/>
    <w:unhideWhenUsed/>
    <w:rsid w:val="009662CF"/>
    <w:rPr>
      <w:vertAlign w:val="superscript"/>
    </w:rPr>
  </w:style>
  <w:style w:type="character" w:styleId="Hipervnculo">
    <w:name w:val="Hyperlink"/>
    <w:basedOn w:val="Fuentedeprrafopredeter"/>
    <w:uiPriority w:val="99"/>
    <w:unhideWhenUsed/>
    <w:rsid w:val="006B51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cdn.www.gob.pe/uploads/document/file/1703472/Pol%C3%ADtica%20Nacional%20GRD%20al%202050.pdf.pdf" TargetMode="External"/><Relationship Id="rId1" Type="http://schemas.openxmlformats.org/officeDocument/2006/relationships/hyperlink" Target="https://www.preventionweb.net/files/37923_39462planagerd201420215b15d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okeFSZlbXjYs5UxT2e6jcwJQSg==">AMUW2mUUMH/kxn5aK6XZ10F4GXfeI2O2vTN51BX2fJ48ZGmcaEhe2FrYXY3XJFeRgIkaAehY6DSoeFkZABblR1vcolLUMvA8I+M8EUVFIg8FpaFPmlKpHwJshRi/LAovzZT3YY+nbds5OHbrh9CCcF2LJEmqPxnXi5ol6/4lXp5KU119z9qdP8JVQT+3yIo4DegHhkYXf9N0nUrrYWiT4KPeHzeS52wkHIr9/+5jBXvdNwL+/AGv+Pw1+8gD2lGCWO1sVDYe7+pjSEPWRglgl99DHNjv/UEXr/HTPac+Nzjt6oKq2dFR6Lc=</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4DE11B2-8617-4EA9-96D2-9E392D3BAC29}"/>
</file>

<file path=customXml/itemProps3.xml><?xml version="1.0" encoding="utf-8"?>
<ds:datastoreItem xmlns:ds="http://schemas.openxmlformats.org/officeDocument/2006/customXml" ds:itemID="{2761FA03-3FA0-4C43-A8AD-4ED26EF932A6}"/>
</file>

<file path=customXml/itemProps4.xml><?xml version="1.0" encoding="utf-8"?>
<ds:datastoreItem xmlns:ds="http://schemas.openxmlformats.org/officeDocument/2006/customXml" ds:itemID="{06ED18D9-7182-4A47-9D45-412E18F174BB}"/>
</file>

<file path=docProps/app.xml><?xml version="1.0" encoding="utf-8"?>
<Properties xmlns="http://schemas.openxmlformats.org/officeDocument/2006/extended-properties" xmlns:vt="http://schemas.openxmlformats.org/officeDocument/2006/docPropsVTypes">
  <Template>Normal.dotm</Template>
  <TotalTime>0</TotalTime>
  <Pages>20</Pages>
  <Words>5409</Words>
  <Characters>29750</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Carolina Flores Huamani</dc:creator>
  <cp:lastModifiedBy>Astrid Carolina Flores Huamani</cp:lastModifiedBy>
  <cp:revision>2</cp:revision>
  <dcterms:created xsi:type="dcterms:W3CDTF">2021-12-28T00:35:00Z</dcterms:created>
  <dcterms:modified xsi:type="dcterms:W3CDTF">2021-12-28T00:35:00Z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