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2C00EB" w14:textId="77777777" w:rsidR="00312214" w:rsidRDefault="00312214">
      <w:pPr>
        <w:rPr>
          <w:color w:val="000000"/>
          <w:sz w:val="24"/>
          <w:szCs w:val="24"/>
        </w:rPr>
      </w:pPr>
    </w:p>
    <w:p w14:paraId="3F2C44B0" w14:textId="77777777" w:rsidR="000C2BD6" w:rsidRDefault="000C2BD6" w:rsidP="000C2BD6">
      <w:pPr>
        <w:rPr>
          <w:color w:val="000000"/>
          <w:sz w:val="24"/>
          <w:szCs w:val="24"/>
        </w:rPr>
      </w:pPr>
    </w:p>
    <w:p w14:paraId="2053F486" w14:textId="77777777" w:rsidR="000C2BD6" w:rsidRDefault="000C2BD6" w:rsidP="000C2BD6">
      <w:pPr>
        <w:tabs>
          <w:tab w:val="left" w:pos="5790"/>
        </w:tabs>
        <w:rPr>
          <w:sz w:val="24"/>
          <w:szCs w:val="24"/>
        </w:rPr>
      </w:pPr>
      <w:r>
        <w:rPr>
          <w:sz w:val="24"/>
          <w:szCs w:val="24"/>
        </w:rPr>
        <w:tab/>
      </w:r>
    </w:p>
    <w:p w14:paraId="4FD87153" w14:textId="77777777" w:rsidR="000C2BD6" w:rsidRDefault="000C2BD6" w:rsidP="000C2BD6">
      <w:pPr>
        <w:tabs>
          <w:tab w:val="left" w:pos="7740"/>
        </w:tabs>
        <w:rPr>
          <w:noProof/>
        </w:rPr>
      </w:pPr>
      <w:r>
        <w:rPr>
          <w:noProof/>
          <w:color w:val="000000"/>
          <w:sz w:val="24"/>
          <w:szCs w:val="24"/>
        </w:rPr>
        <w:drawing>
          <wp:anchor distT="0" distB="0" distL="0" distR="0" simplePos="0" relativeHeight="251660288" behindDoc="1" locked="0" layoutInCell="1" allowOverlap="1" wp14:anchorId="1D43D516" wp14:editId="4E526C4E">
            <wp:simplePos x="0" y="0"/>
            <wp:positionH relativeFrom="column">
              <wp:posOffset>2247900</wp:posOffset>
            </wp:positionH>
            <wp:positionV relativeFrom="paragraph">
              <wp:posOffset>157480</wp:posOffset>
            </wp:positionV>
            <wp:extent cx="1571625" cy="457200"/>
            <wp:effectExtent l="0" t="0" r="0" b="0"/>
            <wp:wrapNone/>
            <wp:docPr id="2" name="Image1" descr="Logo ECOM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Logo ECOM 2020"/>
                    <pic:cNvPicPr>
                      <a:picLocks noChangeAspect="1" noChangeArrowheads="1"/>
                    </pic:cNvPicPr>
                  </pic:nvPicPr>
                  <pic:blipFill>
                    <a:blip r:embed="rId7"/>
                    <a:stretch>
                      <a:fillRect/>
                    </a:stretch>
                  </pic:blipFill>
                  <pic:spPr bwMode="auto">
                    <a:xfrm>
                      <a:off x="0" y="0"/>
                      <a:ext cx="1571625" cy="457200"/>
                    </a:xfrm>
                    <a:prstGeom prst="rect">
                      <a:avLst/>
                    </a:prstGeom>
                  </pic:spPr>
                </pic:pic>
              </a:graphicData>
            </a:graphic>
          </wp:anchor>
        </w:drawing>
      </w:r>
      <w:r w:rsidRPr="008253C9">
        <w:rPr>
          <w:sz w:val="24"/>
          <w:szCs w:val="24"/>
        </w:rPr>
        <w:t xml:space="preserve">                                       </w:t>
      </w:r>
      <w:r>
        <w:rPr>
          <w:sz w:val="24"/>
          <w:szCs w:val="24"/>
        </w:rPr>
        <w:tab/>
      </w:r>
    </w:p>
    <w:p w14:paraId="3D806348" w14:textId="77777777" w:rsidR="000C2BD6" w:rsidRPr="00B9658F" w:rsidRDefault="000C2BD6" w:rsidP="000C2BD6">
      <w:pPr>
        <w:tabs>
          <w:tab w:val="left" w:pos="8715"/>
        </w:tabs>
        <w:rPr>
          <w:rFonts w:ascii="Tahoma" w:hAnsi="Tahoma" w:cs="Tahoma"/>
          <w:sz w:val="24"/>
          <w:szCs w:val="24"/>
        </w:rPr>
      </w:pPr>
      <w:r>
        <w:rPr>
          <w:rFonts w:ascii="Tahoma" w:hAnsi="Tahoma" w:cs="Tahoma"/>
          <w:sz w:val="24"/>
          <w:szCs w:val="24"/>
        </w:rPr>
        <w:tab/>
      </w:r>
    </w:p>
    <w:p w14:paraId="016D8ABD" w14:textId="77777777" w:rsidR="000C2BD6" w:rsidRPr="00B9658F" w:rsidRDefault="000C2BD6" w:rsidP="000C2BD6">
      <w:pPr>
        <w:rPr>
          <w:sz w:val="24"/>
          <w:szCs w:val="24"/>
        </w:rPr>
      </w:pPr>
    </w:p>
    <w:p w14:paraId="6270365F" w14:textId="77777777" w:rsidR="000C2BD6" w:rsidRDefault="000C2BD6" w:rsidP="000C2BD6">
      <w:pPr>
        <w:rPr>
          <w:sz w:val="24"/>
          <w:szCs w:val="24"/>
        </w:rPr>
      </w:pPr>
    </w:p>
    <w:p w14:paraId="05E2BFD2" w14:textId="77777777" w:rsidR="000C2BD6" w:rsidRDefault="000C2BD6" w:rsidP="000C2BD6">
      <w:pPr>
        <w:rPr>
          <w:sz w:val="24"/>
          <w:szCs w:val="24"/>
        </w:rPr>
      </w:pPr>
    </w:p>
    <w:p w14:paraId="66E58A0B" w14:textId="77777777" w:rsidR="000C2BD6" w:rsidRDefault="000C2BD6" w:rsidP="000C2BD6">
      <w:pPr>
        <w:rPr>
          <w:sz w:val="24"/>
          <w:szCs w:val="24"/>
        </w:rPr>
      </w:pPr>
    </w:p>
    <w:p w14:paraId="0EEDAF07" w14:textId="77777777" w:rsidR="000C2BD6" w:rsidRDefault="000C2BD6" w:rsidP="000C2BD6">
      <w:pPr>
        <w:rPr>
          <w:sz w:val="24"/>
          <w:szCs w:val="24"/>
        </w:rPr>
      </w:pPr>
    </w:p>
    <w:p w14:paraId="4F6049A7" w14:textId="77777777" w:rsidR="000C2BD6" w:rsidRDefault="000C2BD6" w:rsidP="000C2BD6">
      <w:pPr>
        <w:spacing w:before="120" w:after="120"/>
        <w:jc w:val="center"/>
        <w:rPr>
          <w:rFonts w:ascii="Tahoma" w:hAnsi="Tahoma" w:cs="Tahoma"/>
          <w:b/>
          <w:sz w:val="24"/>
          <w:szCs w:val="24"/>
        </w:rPr>
      </w:pPr>
      <w:r>
        <w:rPr>
          <w:rFonts w:ascii="Tahoma" w:hAnsi="Tahoma" w:cs="Tahoma"/>
          <w:b/>
          <w:sz w:val="32"/>
          <w:szCs w:val="24"/>
        </w:rPr>
        <w:t>Human Rights Violations Based on Sexual Orientation and Gender Identity in Armenia</w:t>
      </w:r>
    </w:p>
    <w:p w14:paraId="3BF668A8" w14:textId="77777777" w:rsidR="000C2BD6" w:rsidRDefault="000C2BD6" w:rsidP="000C2BD6">
      <w:pPr>
        <w:rPr>
          <w:sz w:val="24"/>
          <w:szCs w:val="24"/>
        </w:rPr>
      </w:pPr>
    </w:p>
    <w:p w14:paraId="7719B877" w14:textId="77777777" w:rsidR="000C2BD6" w:rsidRDefault="000C2BD6" w:rsidP="000C2BD6">
      <w:pPr>
        <w:rPr>
          <w:rFonts w:ascii="Tahoma" w:hAnsi="Tahoma" w:cs="Tahoma"/>
        </w:rPr>
      </w:pPr>
    </w:p>
    <w:p w14:paraId="30C6995A" w14:textId="77777777" w:rsidR="000C2BD6" w:rsidRPr="00CC3894" w:rsidRDefault="000C2BD6" w:rsidP="000C2BD6">
      <w:pPr>
        <w:ind w:right="15"/>
        <w:jc w:val="center"/>
        <w:rPr>
          <w:rFonts w:ascii="Tahoma" w:hAnsi="Tahoma" w:cs="Tahoma"/>
        </w:rPr>
      </w:pPr>
      <w:r w:rsidRPr="00CC3894">
        <w:rPr>
          <w:rFonts w:ascii="Tahoma" w:hAnsi="Tahoma" w:cs="Tahoma"/>
        </w:rPr>
        <w:t>An “alternative</w:t>
      </w:r>
      <w:r w:rsidRPr="00CC3894">
        <w:rPr>
          <w:rFonts w:ascii="Tahoma" w:hAnsi="Tahoma" w:cs="Tahoma"/>
          <w:color w:val="000000"/>
        </w:rPr>
        <w:t xml:space="preserve"> report</w:t>
      </w:r>
      <w:r w:rsidRPr="00CC3894">
        <w:rPr>
          <w:rFonts w:ascii="Tahoma" w:hAnsi="Tahoma" w:cs="Tahoma"/>
        </w:rPr>
        <w:t>”</w:t>
      </w:r>
    </w:p>
    <w:p w14:paraId="4DF5EFBB" w14:textId="77777777" w:rsidR="000C2BD6" w:rsidRPr="00E04C57" w:rsidRDefault="000C2BD6" w:rsidP="000C2BD6">
      <w:pPr>
        <w:ind w:right="15"/>
        <w:jc w:val="center"/>
        <w:rPr>
          <w:rFonts w:ascii="Tahoma" w:hAnsi="Tahoma" w:cs="Tahoma"/>
        </w:rPr>
      </w:pPr>
      <w:r>
        <w:rPr>
          <w:rFonts w:ascii="Tahoma" w:hAnsi="Tahoma" w:cs="Tahoma"/>
        </w:rPr>
        <w:t>Regarding Concluding Observations</w:t>
      </w:r>
    </w:p>
    <w:p w14:paraId="6EFAB132" w14:textId="77777777" w:rsidR="000C2BD6" w:rsidRPr="00E04C57" w:rsidRDefault="000C2BD6" w:rsidP="000C2BD6">
      <w:pPr>
        <w:ind w:right="15"/>
        <w:jc w:val="center"/>
        <w:rPr>
          <w:rFonts w:ascii="Tahoma" w:hAnsi="Tahoma" w:cs="Tahoma"/>
        </w:rPr>
      </w:pPr>
      <w:r>
        <w:rPr>
          <w:rFonts w:ascii="Tahoma" w:hAnsi="Tahoma" w:cs="Tahoma"/>
        </w:rPr>
        <w:t>CEDAW</w:t>
      </w:r>
      <w:r w:rsidRPr="00CC3894">
        <w:rPr>
          <w:rFonts w:ascii="Tahoma" w:hAnsi="Tahoma" w:cs="Tahoma"/>
        </w:rPr>
        <w:t>/C/</w:t>
      </w:r>
      <w:r>
        <w:rPr>
          <w:rFonts w:ascii="Tahoma" w:hAnsi="Tahoma" w:cs="Tahoma"/>
        </w:rPr>
        <w:t>ARM</w:t>
      </w:r>
      <w:r w:rsidRPr="00CC3894">
        <w:rPr>
          <w:rFonts w:ascii="Tahoma" w:hAnsi="Tahoma" w:cs="Tahoma"/>
        </w:rPr>
        <w:t>/CO/</w:t>
      </w:r>
      <w:r>
        <w:rPr>
          <w:rFonts w:ascii="Tahoma" w:hAnsi="Tahoma" w:cs="Tahoma"/>
        </w:rPr>
        <w:t>5-6</w:t>
      </w:r>
    </w:p>
    <w:p w14:paraId="226CCA52" w14:textId="77777777" w:rsidR="000C2BD6" w:rsidRDefault="000C2BD6" w:rsidP="000C2BD6">
      <w:pPr>
        <w:ind w:right="15"/>
        <w:jc w:val="center"/>
        <w:rPr>
          <w:color w:val="000000"/>
          <w:sz w:val="20"/>
          <w:szCs w:val="20"/>
        </w:rPr>
      </w:pPr>
    </w:p>
    <w:p w14:paraId="429A68B5" w14:textId="77777777" w:rsidR="000C2BD6" w:rsidRDefault="000C2BD6" w:rsidP="000C2BD6">
      <w:pPr>
        <w:spacing w:line="242" w:lineRule="auto"/>
        <w:rPr>
          <w:color w:val="000000"/>
          <w:sz w:val="24"/>
          <w:szCs w:val="24"/>
        </w:rPr>
      </w:pPr>
    </w:p>
    <w:p w14:paraId="38AFB515" w14:textId="77777777" w:rsidR="000C2BD6" w:rsidRDefault="000C2BD6" w:rsidP="000C2BD6">
      <w:pPr>
        <w:ind w:left="6140"/>
        <w:rPr>
          <w:color w:val="000000"/>
          <w:sz w:val="20"/>
          <w:szCs w:val="20"/>
        </w:rPr>
      </w:pPr>
    </w:p>
    <w:p w14:paraId="47C2AB7D" w14:textId="77777777" w:rsidR="000C2BD6" w:rsidRDefault="000C2BD6" w:rsidP="000C2BD6">
      <w:pPr>
        <w:ind w:left="6140"/>
        <w:rPr>
          <w:color w:val="000000"/>
          <w:sz w:val="20"/>
          <w:szCs w:val="20"/>
        </w:rPr>
      </w:pPr>
    </w:p>
    <w:p w14:paraId="1239B17B" w14:textId="77777777" w:rsidR="000C2BD6" w:rsidRDefault="000C2BD6" w:rsidP="000C2BD6">
      <w:pPr>
        <w:rPr>
          <w:color w:val="000000"/>
          <w:sz w:val="24"/>
          <w:szCs w:val="24"/>
        </w:rPr>
      </w:pPr>
    </w:p>
    <w:p w14:paraId="4A5A71B5" w14:textId="77777777" w:rsidR="000C2BD6" w:rsidRPr="00E04C57" w:rsidRDefault="000C2BD6" w:rsidP="000C2BD6">
      <w:pPr>
        <w:jc w:val="center"/>
        <w:rPr>
          <w:rFonts w:ascii="Tahoma" w:hAnsi="Tahoma" w:cs="Tahoma"/>
        </w:rPr>
      </w:pPr>
      <w:r w:rsidRPr="00E04C57">
        <w:rPr>
          <w:rFonts w:ascii="Tahoma" w:hAnsi="Tahoma" w:cs="Tahoma"/>
        </w:rPr>
        <w:t>81</w:t>
      </w:r>
      <w:r w:rsidRPr="00E04C57">
        <w:rPr>
          <w:rFonts w:ascii="Tahoma" w:hAnsi="Tahoma" w:cs="Tahoma"/>
          <w:vertAlign w:val="superscript"/>
        </w:rPr>
        <w:t>st</w:t>
      </w:r>
      <w:r w:rsidRPr="00E04C57">
        <w:rPr>
          <w:rFonts w:ascii="Tahoma" w:hAnsi="Tahoma" w:cs="Tahoma"/>
        </w:rPr>
        <w:t xml:space="preserve"> Pre-Sessional Working Group</w:t>
      </w:r>
    </w:p>
    <w:p w14:paraId="0AC9052C" w14:textId="77777777" w:rsidR="000C2BD6" w:rsidRPr="00E04C57" w:rsidRDefault="000C2BD6" w:rsidP="000C2BD6">
      <w:pPr>
        <w:pStyle w:val="NormalWeb"/>
        <w:spacing w:before="0" w:beforeAutospacing="0" w:after="0" w:afterAutospacing="0"/>
        <w:jc w:val="center"/>
        <w:rPr>
          <w:rFonts w:ascii="Tahoma" w:hAnsi="Tahoma" w:cs="Tahoma"/>
          <w:color w:val="000000"/>
          <w:sz w:val="22"/>
          <w:szCs w:val="22"/>
        </w:rPr>
      </w:pPr>
      <w:r w:rsidRPr="00E04C57">
        <w:rPr>
          <w:rFonts w:ascii="Tahoma" w:hAnsi="Tahoma" w:cs="Tahoma"/>
          <w:color w:val="000000"/>
          <w:sz w:val="22"/>
          <w:szCs w:val="22"/>
        </w:rPr>
        <w:t>Committee on the Elimination of Discrimination Against Women</w:t>
      </w:r>
    </w:p>
    <w:p w14:paraId="5CD82959" w14:textId="77777777" w:rsidR="000C2BD6" w:rsidRPr="00E04C57" w:rsidRDefault="000C2BD6" w:rsidP="000C2BD6">
      <w:pPr>
        <w:spacing w:after="240"/>
        <w:rPr>
          <w:sz w:val="24"/>
          <w:szCs w:val="24"/>
        </w:rPr>
      </w:pPr>
    </w:p>
    <w:p w14:paraId="6BB7164B" w14:textId="77777777" w:rsidR="000C2BD6" w:rsidRPr="00E04C57" w:rsidRDefault="000C2BD6" w:rsidP="000C2BD6">
      <w:pPr>
        <w:jc w:val="center"/>
        <w:rPr>
          <w:rFonts w:ascii="Tahoma" w:hAnsi="Tahoma" w:cs="Tahoma"/>
        </w:rPr>
      </w:pPr>
    </w:p>
    <w:p w14:paraId="69DF28B7" w14:textId="77777777" w:rsidR="000C2BD6" w:rsidRDefault="000C2BD6" w:rsidP="000C2BD6">
      <w:pPr>
        <w:rPr>
          <w:color w:val="000000"/>
          <w:sz w:val="24"/>
          <w:szCs w:val="24"/>
        </w:rPr>
      </w:pPr>
    </w:p>
    <w:p w14:paraId="3129DCDB" w14:textId="77777777" w:rsidR="000C2BD6" w:rsidRDefault="000C2BD6" w:rsidP="000C2BD6">
      <w:pPr>
        <w:rPr>
          <w:color w:val="000000"/>
          <w:sz w:val="24"/>
          <w:szCs w:val="24"/>
        </w:rPr>
      </w:pPr>
    </w:p>
    <w:p w14:paraId="2E0A9860" w14:textId="77777777" w:rsidR="000C2BD6" w:rsidRDefault="000C2BD6" w:rsidP="000C2BD6">
      <w:pPr>
        <w:rPr>
          <w:color w:val="000000"/>
          <w:sz w:val="24"/>
          <w:szCs w:val="24"/>
        </w:rPr>
      </w:pPr>
    </w:p>
    <w:p w14:paraId="6784540B" w14:textId="77777777" w:rsidR="000C2BD6" w:rsidRDefault="000C2BD6" w:rsidP="000C2BD6">
      <w:pPr>
        <w:rPr>
          <w:color w:val="000000"/>
          <w:sz w:val="24"/>
          <w:szCs w:val="24"/>
        </w:rPr>
      </w:pPr>
    </w:p>
    <w:p w14:paraId="5A991A89" w14:textId="77777777" w:rsidR="000C2BD6" w:rsidRDefault="000C2BD6" w:rsidP="000C2BD6">
      <w:pPr>
        <w:rPr>
          <w:color w:val="000000"/>
          <w:sz w:val="24"/>
          <w:szCs w:val="24"/>
        </w:rPr>
      </w:pPr>
    </w:p>
    <w:p w14:paraId="3E9BF33B" w14:textId="77777777" w:rsidR="000C2BD6" w:rsidRDefault="000C2BD6" w:rsidP="000C2BD6">
      <w:pPr>
        <w:rPr>
          <w:color w:val="000000"/>
          <w:sz w:val="24"/>
          <w:szCs w:val="24"/>
        </w:rPr>
      </w:pPr>
    </w:p>
    <w:p w14:paraId="7FCEE2C4" w14:textId="77777777" w:rsidR="000C2BD6" w:rsidRDefault="000C2BD6" w:rsidP="000C2BD6">
      <w:pPr>
        <w:rPr>
          <w:color w:val="000000"/>
          <w:sz w:val="24"/>
          <w:szCs w:val="24"/>
        </w:rPr>
      </w:pPr>
    </w:p>
    <w:p w14:paraId="3EDE6C38" w14:textId="77777777" w:rsidR="000C2BD6" w:rsidRDefault="000C2BD6" w:rsidP="000C2BD6">
      <w:pPr>
        <w:rPr>
          <w:color w:val="000000"/>
          <w:sz w:val="24"/>
          <w:szCs w:val="24"/>
        </w:rPr>
      </w:pPr>
    </w:p>
    <w:p w14:paraId="75EA7349" w14:textId="77777777" w:rsidR="000C2BD6" w:rsidRDefault="000C2BD6" w:rsidP="000C2BD6">
      <w:pPr>
        <w:rPr>
          <w:color w:val="000000"/>
          <w:sz w:val="24"/>
          <w:szCs w:val="24"/>
        </w:rPr>
      </w:pPr>
    </w:p>
    <w:p w14:paraId="3E55BAA5" w14:textId="77777777" w:rsidR="000C2BD6" w:rsidRDefault="000C2BD6" w:rsidP="000C2BD6">
      <w:pPr>
        <w:rPr>
          <w:color w:val="000000"/>
          <w:sz w:val="24"/>
          <w:szCs w:val="24"/>
        </w:rPr>
      </w:pPr>
    </w:p>
    <w:p w14:paraId="79E620FB" w14:textId="77777777" w:rsidR="000C2BD6" w:rsidRDefault="000C2BD6" w:rsidP="000C2BD6">
      <w:pPr>
        <w:rPr>
          <w:color w:val="000000"/>
          <w:sz w:val="24"/>
          <w:szCs w:val="24"/>
        </w:rPr>
      </w:pPr>
    </w:p>
    <w:p w14:paraId="0C8C439C" w14:textId="77777777" w:rsidR="000C2BD6" w:rsidRDefault="000C2BD6" w:rsidP="000C2BD6">
      <w:pPr>
        <w:rPr>
          <w:color w:val="000000"/>
          <w:sz w:val="24"/>
          <w:szCs w:val="24"/>
        </w:rPr>
      </w:pPr>
    </w:p>
    <w:p w14:paraId="7C0A660D" w14:textId="77777777" w:rsidR="000C2BD6" w:rsidRDefault="000C2BD6" w:rsidP="000C2BD6">
      <w:pPr>
        <w:rPr>
          <w:color w:val="000000"/>
          <w:sz w:val="24"/>
          <w:szCs w:val="24"/>
        </w:rPr>
      </w:pPr>
    </w:p>
    <w:p w14:paraId="35F9EB46" w14:textId="77777777" w:rsidR="000C2BD6" w:rsidRDefault="000C2BD6" w:rsidP="000C2BD6">
      <w:pPr>
        <w:rPr>
          <w:color w:val="000000"/>
          <w:sz w:val="24"/>
          <w:szCs w:val="24"/>
        </w:rPr>
      </w:pPr>
    </w:p>
    <w:p w14:paraId="4FC39B4B" w14:textId="77777777" w:rsidR="000C2BD6" w:rsidRDefault="000C2BD6" w:rsidP="000C2BD6">
      <w:pPr>
        <w:rPr>
          <w:color w:val="000000"/>
          <w:sz w:val="24"/>
          <w:szCs w:val="24"/>
        </w:rPr>
      </w:pPr>
    </w:p>
    <w:p w14:paraId="1E29754C" w14:textId="77777777" w:rsidR="000C2BD6" w:rsidRDefault="000C2BD6" w:rsidP="000C2BD6">
      <w:pPr>
        <w:rPr>
          <w:color w:val="000000"/>
          <w:sz w:val="24"/>
          <w:szCs w:val="24"/>
        </w:rPr>
      </w:pPr>
    </w:p>
    <w:p w14:paraId="3785B169" w14:textId="77777777" w:rsidR="000C2BD6" w:rsidRDefault="000C2BD6" w:rsidP="000C2BD6">
      <w:pPr>
        <w:rPr>
          <w:color w:val="000000"/>
          <w:sz w:val="24"/>
          <w:szCs w:val="24"/>
        </w:rPr>
      </w:pPr>
    </w:p>
    <w:p w14:paraId="1EF3E9F4" w14:textId="77777777" w:rsidR="000C2BD6" w:rsidRDefault="000C2BD6" w:rsidP="000C2BD6">
      <w:pPr>
        <w:rPr>
          <w:color w:val="000000"/>
          <w:sz w:val="24"/>
          <w:szCs w:val="24"/>
        </w:rPr>
      </w:pPr>
    </w:p>
    <w:p w14:paraId="0E630332" w14:textId="77777777" w:rsidR="000C2BD6" w:rsidRDefault="000C2BD6" w:rsidP="000C2BD6">
      <w:pPr>
        <w:rPr>
          <w:color w:val="000000"/>
          <w:sz w:val="24"/>
          <w:szCs w:val="24"/>
        </w:rPr>
      </w:pPr>
    </w:p>
    <w:p w14:paraId="077E4892" w14:textId="77777777" w:rsidR="000C2BD6" w:rsidRDefault="000C2BD6" w:rsidP="000C2BD6">
      <w:pPr>
        <w:widowControl w:val="0"/>
        <w:spacing w:line="276" w:lineRule="auto"/>
      </w:pPr>
    </w:p>
    <w:p w14:paraId="12B2AD62" w14:textId="77777777" w:rsidR="000C2BD6" w:rsidRDefault="000C2BD6" w:rsidP="000C2BD6">
      <w:pPr>
        <w:widowControl w:val="0"/>
        <w:spacing w:line="276" w:lineRule="auto"/>
      </w:pPr>
    </w:p>
    <w:p w14:paraId="6BB23FBF" w14:textId="77777777" w:rsidR="000C2BD6" w:rsidRDefault="000C2BD6" w:rsidP="000C2BD6">
      <w:pPr>
        <w:widowControl w:val="0"/>
        <w:spacing w:line="276" w:lineRule="auto"/>
      </w:pPr>
    </w:p>
    <w:p w14:paraId="3044769A" w14:textId="77777777" w:rsidR="000C2BD6" w:rsidRDefault="000C2BD6" w:rsidP="000C2BD6">
      <w:pPr>
        <w:widowControl w:val="0"/>
        <w:spacing w:line="276" w:lineRule="auto"/>
      </w:pPr>
    </w:p>
    <w:p w14:paraId="4D86C14B" w14:textId="77777777" w:rsidR="000C2BD6" w:rsidRDefault="000C2BD6" w:rsidP="000C2BD6">
      <w:pPr>
        <w:widowControl w:val="0"/>
        <w:spacing w:line="276" w:lineRule="auto"/>
      </w:pPr>
    </w:p>
    <w:p w14:paraId="45B241CC" w14:textId="77777777" w:rsidR="000C2BD6" w:rsidRDefault="000C2BD6" w:rsidP="000C2BD6">
      <w:pPr>
        <w:widowControl w:val="0"/>
        <w:spacing w:line="276" w:lineRule="auto"/>
      </w:pPr>
    </w:p>
    <w:p w14:paraId="629309FF" w14:textId="77777777" w:rsidR="000C2BD6" w:rsidRDefault="000C2BD6" w:rsidP="000C2BD6">
      <w:pPr>
        <w:widowControl w:val="0"/>
        <w:spacing w:line="276" w:lineRule="auto"/>
      </w:pPr>
    </w:p>
    <w:p w14:paraId="3DF36224" w14:textId="77777777" w:rsidR="000C2BD6" w:rsidRPr="00E04C57" w:rsidRDefault="000C2BD6" w:rsidP="000C2BD6">
      <w:pPr>
        <w:widowControl w:val="0"/>
        <w:spacing w:line="276" w:lineRule="auto"/>
        <w:jc w:val="center"/>
        <w:rPr>
          <w:rFonts w:ascii="Tahoma" w:hAnsi="Tahoma" w:cs="Tahoma"/>
        </w:rPr>
      </w:pPr>
      <w:r>
        <w:rPr>
          <w:rFonts w:ascii="Tahoma" w:hAnsi="Tahoma" w:cs="Tahoma"/>
        </w:rPr>
        <w:t>June 2021</w:t>
      </w:r>
    </w:p>
    <w:p w14:paraId="3D08C523" w14:textId="77777777" w:rsidR="000C2BD6" w:rsidRDefault="000C2BD6" w:rsidP="000C2BD6">
      <w:pPr>
        <w:ind w:right="15"/>
        <w:rPr>
          <w:rFonts w:ascii="Tahoma" w:hAnsi="Tahoma" w:cs="Tahoma"/>
          <w:sz w:val="20"/>
          <w:szCs w:val="20"/>
        </w:rPr>
      </w:pPr>
      <w:r>
        <w:rPr>
          <w:color w:val="000000"/>
          <w:sz w:val="24"/>
          <w:szCs w:val="24"/>
        </w:rPr>
        <w:br w:type="page"/>
      </w:r>
      <w:r>
        <w:rPr>
          <w:rFonts w:ascii="Tahoma" w:hAnsi="Tahoma" w:cs="Tahoma"/>
          <w:b/>
          <w:sz w:val="20"/>
        </w:rPr>
        <w:lastRenderedPageBreak/>
        <w:t>Human Rights Violations Based on Sexual Orientation and Gender Identity in Armenia</w:t>
      </w:r>
      <w:r w:rsidRPr="00C27516">
        <w:rPr>
          <w:rFonts w:ascii="Tahoma" w:hAnsi="Tahoma" w:cs="Tahoma"/>
          <w:b/>
          <w:sz w:val="20"/>
          <w:szCs w:val="20"/>
        </w:rPr>
        <w:t>.</w:t>
      </w:r>
      <w:r w:rsidRPr="00C27516">
        <w:rPr>
          <w:rFonts w:ascii="Tahoma" w:hAnsi="Tahoma" w:cs="Tahoma"/>
          <w:sz w:val="20"/>
          <w:szCs w:val="20"/>
        </w:rPr>
        <w:t xml:space="preserve">  </w:t>
      </w:r>
    </w:p>
    <w:p w14:paraId="147FA330" w14:textId="77777777" w:rsidR="000C2BD6" w:rsidRPr="00E04C57" w:rsidRDefault="000C2BD6" w:rsidP="000C2BD6">
      <w:pPr>
        <w:ind w:right="15"/>
        <w:rPr>
          <w:rFonts w:ascii="Tahoma" w:hAnsi="Tahoma" w:cs="Tahoma"/>
          <w:sz w:val="20"/>
          <w:szCs w:val="20"/>
        </w:rPr>
      </w:pPr>
      <w:r w:rsidRPr="00C27516">
        <w:rPr>
          <w:rFonts w:ascii="Tahoma" w:hAnsi="Tahoma" w:cs="Tahoma"/>
          <w:sz w:val="20"/>
          <w:szCs w:val="20"/>
        </w:rPr>
        <w:t xml:space="preserve">An </w:t>
      </w:r>
      <w:r w:rsidRPr="00CC3894">
        <w:rPr>
          <w:rFonts w:ascii="Tahoma" w:hAnsi="Tahoma" w:cs="Tahoma"/>
          <w:sz w:val="20"/>
          <w:szCs w:val="20"/>
        </w:rPr>
        <w:t>“alternative</w:t>
      </w:r>
      <w:r w:rsidRPr="00CC3894">
        <w:rPr>
          <w:rFonts w:ascii="Tahoma" w:hAnsi="Tahoma" w:cs="Tahoma"/>
          <w:color w:val="000000"/>
          <w:sz w:val="20"/>
          <w:szCs w:val="20"/>
        </w:rPr>
        <w:t xml:space="preserve"> report</w:t>
      </w:r>
      <w:r w:rsidRPr="00CC3894">
        <w:rPr>
          <w:rFonts w:ascii="Tahoma" w:hAnsi="Tahoma" w:cs="Tahoma"/>
          <w:sz w:val="20"/>
          <w:szCs w:val="20"/>
        </w:rPr>
        <w:t xml:space="preserve">” </w:t>
      </w:r>
      <w:r>
        <w:rPr>
          <w:rFonts w:ascii="Tahoma" w:hAnsi="Tahoma" w:cs="Tahoma"/>
          <w:sz w:val="20"/>
          <w:szCs w:val="20"/>
        </w:rPr>
        <w:t>regarding Concluding Observations</w:t>
      </w:r>
      <w:r w:rsidRPr="00CC3894">
        <w:rPr>
          <w:rFonts w:ascii="Tahoma" w:hAnsi="Tahoma" w:cs="Tahoma"/>
          <w:sz w:val="20"/>
          <w:szCs w:val="20"/>
        </w:rPr>
        <w:t xml:space="preserve"> C</w:t>
      </w:r>
      <w:r>
        <w:rPr>
          <w:rFonts w:ascii="Tahoma" w:hAnsi="Tahoma" w:cs="Tahoma"/>
          <w:sz w:val="20"/>
          <w:szCs w:val="20"/>
        </w:rPr>
        <w:t>EDAW</w:t>
      </w:r>
      <w:r w:rsidRPr="00CC3894">
        <w:rPr>
          <w:rFonts w:ascii="Tahoma" w:hAnsi="Tahoma" w:cs="Tahoma"/>
          <w:sz w:val="20"/>
          <w:szCs w:val="20"/>
        </w:rPr>
        <w:t>/C/</w:t>
      </w:r>
      <w:r>
        <w:rPr>
          <w:rFonts w:ascii="Tahoma" w:hAnsi="Tahoma" w:cs="Tahoma"/>
          <w:sz w:val="20"/>
          <w:szCs w:val="20"/>
        </w:rPr>
        <w:t>ARM</w:t>
      </w:r>
      <w:r w:rsidRPr="00CC3894">
        <w:rPr>
          <w:rFonts w:ascii="Tahoma" w:hAnsi="Tahoma" w:cs="Tahoma"/>
          <w:sz w:val="20"/>
          <w:szCs w:val="20"/>
        </w:rPr>
        <w:t>/</w:t>
      </w:r>
      <w:r>
        <w:rPr>
          <w:rFonts w:ascii="Tahoma" w:hAnsi="Tahoma" w:cs="Tahoma"/>
          <w:sz w:val="20"/>
          <w:szCs w:val="20"/>
        </w:rPr>
        <w:t xml:space="preserve">5-6. </w:t>
      </w:r>
      <w:r w:rsidRPr="00E04C57">
        <w:rPr>
          <w:rFonts w:ascii="Tahoma" w:hAnsi="Tahoma" w:cs="Tahoma"/>
          <w:sz w:val="20"/>
          <w:szCs w:val="20"/>
        </w:rPr>
        <w:t>81</w:t>
      </w:r>
      <w:r w:rsidRPr="00E04C57">
        <w:rPr>
          <w:rFonts w:ascii="Tahoma" w:hAnsi="Tahoma" w:cs="Tahoma"/>
          <w:sz w:val="20"/>
          <w:szCs w:val="20"/>
          <w:vertAlign w:val="superscript"/>
        </w:rPr>
        <w:t>th</w:t>
      </w:r>
      <w:r w:rsidRPr="00E04C57">
        <w:rPr>
          <w:rFonts w:ascii="Tahoma" w:hAnsi="Tahoma" w:cs="Tahoma"/>
          <w:sz w:val="20"/>
          <w:szCs w:val="20"/>
        </w:rPr>
        <w:t xml:space="preserve"> Pre-Sessional Working Group </w:t>
      </w:r>
      <w:r>
        <w:rPr>
          <w:rFonts w:ascii="Tahoma" w:hAnsi="Tahoma" w:cs="Tahoma"/>
          <w:sz w:val="20"/>
          <w:szCs w:val="20"/>
        </w:rPr>
        <w:t xml:space="preserve">of the </w:t>
      </w:r>
      <w:r w:rsidRPr="00E04C57">
        <w:rPr>
          <w:rFonts w:ascii="Tahoma" w:hAnsi="Tahoma" w:cs="Tahoma"/>
          <w:color w:val="000000"/>
          <w:sz w:val="20"/>
          <w:szCs w:val="20"/>
        </w:rPr>
        <w:t>Committee on the Elimination of Discrimination Against Women</w:t>
      </w:r>
      <w:r w:rsidRPr="00E04C57">
        <w:rPr>
          <w:rFonts w:ascii="Tahoma" w:hAnsi="Tahoma" w:cs="Tahoma"/>
          <w:sz w:val="20"/>
          <w:szCs w:val="20"/>
        </w:rPr>
        <w:t>.</w:t>
      </w:r>
    </w:p>
    <w:p w14:paraId="7FA4293F" w14:textId="77777777" w:rsidR="000C2BD6" w:rsidRPr="00CC3894" w:rsidRDefault="000C2BD6" w:rsidP="000C2BD6">
      <w:pPr>
        <w:ind w:right="15"/>
        <w:jc w:val="center"/>
        <w:rPr>
          <w:rFonts w:ascii="Tahoma" w:hAnsi="Tahoma" w:cs="Tahoma"/>
        </w:rPr>
      </w:pPr>
    </w:p>
    <w:p w14:paraId="57CF5AA9" w14:textId="77777777" w:rsidR="000C2BD6" w:rsidRDefault="000C2BD6" w:rsidP="000C2BD6">
      <w:pPr>
        <w:ind w:right="15"/>
        <w:rPr>
          <w:rFonts w:ascii="Tahoma" w:hAnsi="Tahoma" w:cs="Tahoma"/>
          <w:sz w:val="20"/>
          <w:szCs w:val="24"/>
        </w:rPr>
      </w:pPr>
    </w:p>
    <w:p w14:paraId="48D5DA23" w14:textId="77777777" w:rsidR="000C2BD6" w:rsidRDefault="000C2BD6" w:rsidP="000C2BD6">
      <w:pPr>
        <w:rPr>
          <w:rFonts w:ascii="Tahoma" w:hAnsi="Tahoma" w:cs="Tahoma"/>
          <w:sz w:val="20"/>
          <w:szCs w:val="24"/>
        </w:rPr>
      </w:pPr>
    </w:p>
    <w:tbl>
      <w:tblPr>
        <w:tblStyle w:val="TableGrid"/>
        <w:tblW w:w="5000" w:type="pct"/>
        <w:tblLook w:val="04A0" w:firstRow="1" w:lastRow="0" w:firstColumn="1" w:lastColumn="0" w:noHBand="0" w:noVBand="1"/>
      </w:tblPr>
      <w:tblGrid>
        <w:gridCol w:w="4606"/>
        <w:gridCol w:w="5028"/>
      </w:tblGrid>
      <w:tr w:rsidR="000C2BD6" w14:paraId="1549A4A6" w14:textId="77777777" w:rsidTr="00AB4361">
        <w:tc>
          <w:tcPr>
            <w:tcW w:w="4608" w:type="dxa"/>
            <w:tcBorders>
              <w:top w:val="nil"/>
              <w:left w:val="nil"/>
              <w:bottom w:val="nil"/>
              <w:right w:val="nil"/>
            </w:tcBorders>
            <w:shd w:val="clear" w:color="auto" w:fill="auto"/>
          </w:tcPr>
          <w:p w14:paraId="4F1E5B43" w14:textId="77777777" w:rsidR="000C2BD6" w:rsidRPr="00837D82" w:rsidRDefault="000C2BD6" w:rsidP="00AB4361">
            <w:pPr>
              <w:jc w:val="both"/>
              <w:rPr>
                <w:rFonts w:ascii="Tahoma" w:hAnsi="Tahoma" w:cs="Tahoma"/>
                <w:sz w:val="20"/>
              </w:rPr>
            </w:pPr>
            <w:r w:rsidRPr="00837D82">
              <w:rPr>
                <w:rFonts w:ascii="Tahoma" w:hAnsi="Tahoma" w:cs="Tahoma"/>
                <w:b/>
                <w:sz w:val="20"/>
              </w:rPr>
              <w:t>ECOM</w:t>
            </w:r>
            <w:r w:rsidRPr="00837D82">
              <w:rPr>
                <w:rFonts w:ascii="Tahoma" w:hAnsi="Tahoma" w:cs="Tahoma"/>
                <w:sz w:val="20"/>
              </w:rPr>
              <w:t xml:space="preserve"> - </w:t>
            </w:r>
            <w:r w:rsidRPr="00E04C57">
              <w:rPr>
                <w:rFonts w:ascii="Tahoma" w:hAnsi="Tahoma" w:cs="Tahoma"/>
                <w:b/>
                <w:bCs/>
                <w:sz w:val="20"/>
              </w:rPr>
              <w:t>Eurasian Coalition on Health, Rights, Gender and Sexual Diversity</w:t>
            </w:r>
          </w:p>
          <w:p w14:paraId="5A9FFE6B" w14:textId="77777777" w:rsidR="000C2BD6" w:rsidRPr="00837D82" w:rsidRDefault="00E932B7" w:rsidP="00AB4361">
            <w:pPr>
              <w:jc w:val="both"/>
            </w:pPr>
            <w:hyperlink r:id="rId8">
              <w:r w:rsidR="000C2BD6" w:rsidRPr="00837D82">
                <w:rPr>
                  <w:rStyle w:val="InternetLink"/>
                  <w:rFonts w:ascii="Tahoma" w:hAnsi="Tahoma" w:cs="Tahoma"/>
                  <w:sz w:val="20"/>
                </w:rPr>
                <w:t>www.ecom.ngo</w:t>
              </w:r>
            </w:hyperlink>
          </w:p>
          <w:p w14:paraId="46F029FC" w14:textId="77777777" w:rsidR="000C2BD6" w:rsidRPr="00837D82" w:rsidRDefault="000C2BD6" w:rsidP="00AB4361">
            <w:pPr>
              <w:jc w:val="both"/>
              <w:rPr>
                <w:rFonts w:ascii="Tahoma" w:hAnsi="Tahoma" w:cs="Tahoma"/>
                <w:sz w:val="20"/>
                <w:szCs w:val="24"/>
              </w:rPr>
            </w:pPr>
            <w:r w:rsidRPr="00837D82">
              <w:rPr>
                <w:rFonts w:ascii="Tahoma" w:hAnsi="Tahoma" w:cs="Tahoma"/>
                <w:sz w:val="20"/>
                <w:szCs w:val="24"/>
              </w:rPr>
              <w:t xml:space="preserve">Contact: Yuri Yoursky </w:t>
            </w:r>
          </w:p>
          <w:p w14:paraId="06877D98" w14:textId="77777777" w:rsidR="000C2BD6" w:rsidRPr="00837D82" w:rsidRDefault="00E932B7" w:rsidP="00AB4361">
            <w:pPr>
              <w:jc w:val="both"/>
            </w:pPr>
            <w:hyperlink r:id="rId9">
              <w:r w:rsidR="000C2BD6" w:rsidRPr="00837D82">
                <w:rPr>
                  <w:rStyle w:val="InternetLink"/>
                  <w:rFonts w:ascii="Tahoma" w:hAnsi="Tahoma" w:cs="Tahoma"/>
                  <w:sz w:val="20"/>
                  <w:szCs w:val="24"/>
                </w:rPr>
                <w:t>yuri@ecom.ngo</w:t>
              </w:r>
            </w:hyperlink>
          </w:p>
          <w:p w14:paraId="16E9E9EB" w14:textId="77777777" w:rsidR="000C2BD6" w:rsidRPr="00837D82" w:rsidRDefault="000C2BD6" w:rsidP="00AB4361">
            <w:pPr>
              <w:jc w:val="both"/>
              <w:rPr>
                <w:rFonts w:ascii="Tahoma" w:hAnsi="Tahoma" w:cs="Tahoma"/>
                <w:b/>
                <w:sz w:val="20"/>
                <w:szCs w:val="24"/>
              </w:rPr>
            </w:pPr>
            <w:r w:rsidRPr="00837D82">
              <w:rPr>
                <w:rFonts w:ascii="Tahoma" w:hAnsi="Tahoma" w:cs="Tahoma"/>
                <w:b/>
                <w:sz w:val="20"/>
                <w:szCs w:val="24"/>
              </w:rPr>
              <w:t xml:space="preserve"> </w:t>
            </w:r>
          </w:p>
          <w:p w14:paraId="26BF8A9B" w14:textId="77777777" w:rsidR="000C2BD6" w:rsidRPr="00837D82" w:rsidRDefault="000C2BD6" w:rsidP="00AB4361">
            <w:pPr>
              <w:jc w:val="both"/>
              <w:rPr>
                <w:rFonts w:ascii="Tahoma" w:hAnsi="Tahoma" w:cs="Tahoma"/>
                <w:b/>
                <w:sz w:val="20"/>
                <w:szCs w:val="24"/>
              </w:rPr>
            </w:pPr>
          </w:p>
          <w:p w14:paraId="1D35128F" w14:textId="77777777" w:rsidR="000C2BD6" w:rsidRPr="00837D82" w:rsidRDefault="000C2BD6" w:rsidP="00AB4361">
            <w:pPr>
              <w:jc w:val="both"/>
              <w:rPr>
                <w:rFonts w:ascii="Tahoma" w:hAnsi="Tahoma" w:cs="Tahoma"/>
                <w:sz w:val="20"/>
                <w:szCs w:val="24"/>
              </w:rPr>
            </w:pPr>
          </w:p>
        </w:tc>
        <w:tc>
          <w:tcPr>
            <w:tcW w:w="5031" w:type="dxa"/>
            <w:tcBorders>
              <w:top w:val="nil"/>
              <w:left w:val="nil"/>
              <w:bottom w:val="nil"/>
              <w:right w:val="nil"/>
            </w:tcBorders>
            <w:shd w:val="clear" w:color="auto" w:fill="auto"/>
          </w:tcPr>
          <w:p w14:paraId="1815BEE9" w14:textId="77777777" w:rsidR="000C2BD6" w:rsidRPr="00E04C57" w:rsidRDefault="000C2BD6" w:rsidP="000C2BD6">
            <w:pPr>
              <w:ind w:left="393"/>
              <w:jc w:val="both"/>
              <w:rPr>
                <w:rFonts w:ascii="Tahoma" w:hAnsi="Tahoma" w:cs="Tahoma"/>
                <w:b/>
                <w:sz w:val="20"/>
                <w:szCs w:val="24"/>
                <w:highlight w:val="yellow"/>
              </w:rPr>
            </w:pPr>
          </w:p>
        </w:tc>
      </w:tr>
    </w:tbl>
    <w:p w14:paraId="453E2A07" w14:textId="77777777" w:rsidR="000C2BD6" w:rsidRDefault="000C2BD6" w:rsidP="000C2BD6">
      <w:pPr>
        <w:rPr>
          <w:color w:val="000000"/>
          <w:sz w:val="24"/>
          <w:szCs w:val="24"/>
        </w:rPr>
      </w:pPr>
    </w:p>
    <w:p w14:paraId="7CDF3172" w14:textId="77777777" w:rsidR="000C2BD6" w:rsidRDefault="000C2BD6" w:rsidP="000C2BD6">
      <w:pPr>
        <w:rPr>
          <w:color w:val="000000"/>
          <w:sz w:val="24"/>
          <w:szCs w:val="24"/>
        </w:rPr>
      </w:pPr>
      <w:r>
        <w:rPr>
          <w:color w:val="000000"/>
          <w:sz w:val="24"/>
          <w:szCs w:val="24"/>
        </w:rPr>
        <w:br w:type="page"/>
      </w:r>
    </w:p>
    <w:p w14:paraId="1978D9A1" w14:textId="77777777" w:rsidR="00312214" w:rsidRPr="000C2BD6" w:rsidRDefault="005700EB">
      <w:pPr>
        <w:rPr>
          <w:rFonts w:ascii="Tahoma" w:hAnsi="Tahoma" w:cs="Tahoma"/>
          <w:color w:val="000000"/>
          <w:szCs w:val="20"/>
        </w:rPr>
      </w:pPr>
      <w:r w:rsidRPr="000C2BD6">
        <w:rPr>
          <w:rFonts w:ascii="Tahoma" w:hAnsi="Tahoma" w:cs="Tahoma"/>
          <w:b/>
          <w:color w:val="000000"/>
          <w:szCs w:val="20"/>
        </w:rPr>
        <w:lastRenderedPageBreak/>
        <w:t>Introduction</w:t>
      </w:r>
    </w:p>
    <w:p w14:paraId="594FEA3E" w14:textId="77777777" w:rsidR="00312214" w:rsidRPr="000C2BD6" w:rsidRDefault="00312214">
      <w:pPr>
        <w:rPr>
          <w:rFonts w:ascii="Tahoma" w:hAnsi="Tahoma" w:cs="Tahoma"/>
          <w:color w:val="000000"/>
          <w:sz w:val="20"/>
          <w:szCs w:val="20"/>
        </w:rPr>
      </w:pPr>
    </w:p>
    <w:p w14:paraId="74C743DF" w14:textId="77777777" w:rsidR="00312214" w:rsidRPr="000C2BD6" w:rsidRDefault="00312214">
      <w:pPr>
        <w:tabs>
          <w:tab w:val="left" w:pos="1689"/>
        </w:tabs>
        <w:spacing w:line="246" w:lineRule="auto"/>
        <w:ind w:right="826"/>
        <w:jc w:val="both"/>
        <w:rPr>
          <w:rFonts w:ascii="Tahoma" w:hAnsi="Tahoma" w:cs="Tahoma"/>
          <w:sz w:val="20"/>
          <w:szCs w:val="20"/>
        </w:rPr>
      </w:pPr>
    </w:p>
    <w:p w14:paraId="1B83BA0D" w14:textId="77777777" w:rsidR="00312214" w:rsidRPr="000C2BD6" w:rsidRDefault="005700EB">
      <w:pPr>
        <w:numPr>
          <w:ilvl w:val="1"/>
          <w:numId w:val="2"/>
        </w:numPr>
        <w:tabs>
          <w:tab w:val="left" w:pos="1689"/>
        </w:tabs>
        <w:spacing w:line="246" w:lineRule="auto"/>
        <w:ind w:left="1120" w:right="826" w:firstLine="5"/>
        <w:jc w:val="both"/>
        <w:rPr>
          <w:rFonts w:ascii="Tahoma" w:hAnsi="Tahoma" w:cs="Tahoma"/>
          <w:sz w:val="20"/>
          <w:szCs w:val="20"/>
        </w:rPr>
      </w:pPr>
      <w:r w:rsidRPr="000C2BD6">
        <w:rPr>
          <w:rFonts w:ascii="Tahoma" w:hAnsi="Tahoma" w:cs="Tahoma"/>
          <w:sz w:val="20"/>
          <w:szCs w:val="20"/>
        </w:rPr>
        <w:t>In its Concluding Observations CEDAW/C/ARM/CO/5-6 (hereinafter, CO), among other issues, the Committee emphasized the factual existence of declarations, hate speech, and hate acts against LBT women in Armenia</w:t>
      </w:r>
      <w:r w:rsidR="009C5BAF">
        <w:rPr>
          <w:rFonts w:ascii="Tahoma" w:hAnsi="Tahoma" w:cs="Tahoma"/>
          <w:sz w:val="20"/>
          <w:szCs w:val="20"/>
        </w:rPr>
        <w:t xml:space="preserve"> </w:t>
      </w:r>
      <w:r w:rsidRPr="000C2BD6">
        <w:rPr>
          <w:rFonts w:ascii="Tahoma" w:hAnsi="Tahoma" w:cs="Tahoma"/>
          <w:sz w:val="20"/>
          <w:szCs w:val="20"/>
        </w:rPr>
        <w:t>(CO № 44 (e)). Subsequently, the Committee advised that Armenia took action to counter and prevent such cases by criminalizing hate speech and hate acts against LBT women as well as provide respective victims with effective access to justice (CO №45). Unfortunately, such small attention devoted to such a large community and to such high levels of discrimination and stigma, including hate speec</w:t>
      </w:r>
      <w:r w:rsidR="00AE2BBC">
        <w:rPr>
          <w:rFonts w:ascii="Tahoma" w:hAnsi="Tahoma" w:cs="Tahoma"/>
          <w:sz w:val="20"/>
          <w:szCs w:val="20"/>
        </w:rPr>
        <w:t>h and violence, that befall LBT</w:t>
      </w:r>
      <w:r w:rsidRPr="000C2BD6">
        <w:rPr>
          <w:rFonts w:ascii="Tahoma" w:hAnsi="Tahoma" w:cs="Tahoma"/>
          <w:sz w:val="20"/>
          <w:szCs w:val="20"/>
        </w:rPr>
        <w:t xml:space="preserve"> women in Armenia is underwhelming. </w:t>
      </w:r>
    </w:p>
    <w:p w14:paraId="6BDEAC5A" w14:textId="03B68236" w:rsidR="00312214" w:rsidRPr="00DC0289" w:rsidRDefault="00312214">
      <w:pPr>
        <w:tabs>
          <w:tab w:val="left" w:pos="1689"/>
        </w:tabs>
        <w:spacing w:line="246" w:lineRule="auto"/>
        <w:ind w:right="826"/>
        <w:jc w:val="both"/>
        <w:rPr>
          <w:rFonts w:ascii="Tahoma" w:hAnsi="Tahoma" w:cs="Tahoma"/>
          <w:sz w:val="20"/>
          <w:szCs w:val="20"/>
          <w:lang w:val="ru-RU"/>
        </w:rPr>
      </w:pPr>
    </w:p>
    <w:p w14:paraId="5886EBC9" w14:textId="77777777" w:rsidR="00312214" w:rsidRPr="000C2BD6" w:rsidRDefault="005700EB">
      <w:pPr>
        <w:numPr>
          <w:ilvl w:val="1"/>
          <w:numId w:val="2"/>
        </w:numPr>
        <w:tabs>
          <w:tab w:val="left" w:pos="1689"/>
        </w:tabs>
        <w:spacing w:line="246" w:lineRule="auto"/>
        <w:ind w:left="1120" w:right="826" w:firstLine="5"/>
        <w:jc w:val="both"/>
        <w:rPr>
          <w:rFonts w:ascii="Tahoma" w:hAnsi="Tahoma" w:cs="Tahoma"/>
          <w:sz w:val="20"/>
          <w:szCs w:val="20"/>
        </w:rPr>
      </w:pPr>
      <w:r w:rsidRPr="000C2BD6">
        <w:rPr>
          <w:rFonts w:ascii="Tahoma" w:hAnsi="Tahoma" w:cs="Tahoma"/>
          <w:sz w:val="20"/>
          <w:szCs w:val="20"/>
        </w:rPr>
        <w:t>Considering the afore-mentioned, ECOM would like to emphasize the obvious misconception and misunderstanding when it comes to right to non-discrimination of people based on their sexual orientation, gender identi</w:t>
      </w:r>
      <w:r w:rsidR="000C2BD6" w:rsidRPr="000C2BD6">
        <w:rPr>
          <w:rFonts w:ascii="Tahoma" w:hAnsi="Tahoma" w:cs="Tahoma"/>
          <w:sz w:val="20"/>
          <w:szCs w:val="20"/>
        </w:rPr>
        <w:t>ty and expression (SOGI</w:t>
      </w:r>
      <w:r w:rsidRPr="000C2BD6">
        <w:rPr>
          <w:rFonts w:ascii="Tahoma" w:hAnsi="Tahoma" w:cs="Tahoma"/>
          <w:sz w:val="20"/>
          <w:szCs w:val="20"/>
        </w:rPr>
        <w:t xml:space="preserve">E) and the distorted way in which the Armenian government understands and approaches these concepts. Report CEDAW/C/ARM/7 (the Report), specifically, paragraph 120 states the following: </w:t>
      </w:r>
    </w:p>
    <w:p w14:paraId="4B1057DC" w14:textId="77777777" w:rsidR="009C5BAF" w:rsidRDefault="009C5BAF" w:rsidP="009C5BAF">
      <w:pPr>
        <w:tabs>
          <w:tab w:val="left" w:pos="1689"/>
        </w:tabs>
        <w:spacing w:line="246" w:lineRule="auto"/>
        <w:ind w:left="1689" w:right="826"/>
        <w:jc w:val="both"/>
        <w:rPr>
          <w:rFonts w:ascii="Tahoma" w:hAnsi="Tahoma" w:cs="Tahoma"/>
          <w:i/>
          <w:sz w:val="20"/>
          <w:szCs w:val="20"/>
        </w:rPr>
      </w:pPr>
    </w:p>
    <w:p w14:paraId="4D076498" w14:textId="77777777" w:rsidR="00312214" w:rsidRPr="009C5BAF" w:rsidRDefault="005700EB" w:rsidP="009C5BAF">
      <w:pPr>
        <w:tabs>
          <w:tab w:val="left" w:pos="1689"/>
        </w:tabs>
        <w:spacing w:line="246" w:lineRule="auto"/>
        <w:ind w:left="1689" w:right="826"/>
        <w:jc w:val="both"/>
        <w:rPr>
          <w:rFonts w:ascii="Tahoma" w:hAnsi="Tahoma" w:cs="Tahoma"/>
          <w:sz w:val="20"/>
          <w:szCs w:val="20"/>
        </w:rPr>
      </w:pPr>
      <w:r w:rsidRPr="009C5BAF">
        <w:rPr>
          <w:rFonts w:ascii="Tahoma" w:hAnsi="Tahoma" w:cs="Tahoma"/>
          <w:sz w:val="20"/>
          <w:szCs w:val="20"/>
        </w:rPr>
        <w:t xml:space="preserve">Part 1 of Article 140 of the Criminal Code prescribes that forcing a person to sexual intercourse, homosexuality, lesbianism or other sexual actions, by means of blackmail, threats to destroy, damage or seize property, or using the financial or other dependence of the aggrieved, shall be punished (...) by imprisonment for a term of one to three years. In other words, the </w:t>
      </w:r>
      <w:proofErr w:type="spellStart"/>
      <w:r w:rsidRPr="009C5BAF">
        <w:rPr>
          <w:rFonts w:ascii="Tahoma" w:hAnsi="Tahoma" w:cs="Tahoma"/>
          <w:sz w:val="20"/>
          <w:szCs w:val="20"/>
        </w:rPr>
        <w:t>Labour</w:t>
      </w:r>
      <w:proofErr w:type="spellEnd"/>
      <w:r w:rsidRPr="009C5BAF">
        <w:rPr>
          <w:rFonts w:ascii="Tahoma" w:hAnsi="Tahoma" w:cs="Tahoma"/>
          <w:sz w:val="20"/>
          <w:szCs w:val="20"/>
        </w:rPr>
        <w:t xml:space="preserve"> and Criminal Codes already enshrine regulations that prohibit all forms of violence, including forcing a person to sexual intercourse, homosexuality, lesbianism or other sexual actions, by means of blackmail, threats to destroy, damage or seize property, or using the financial or other dependence of the aggrieved, that is considered a criminally punishable act. </w:t>
      </w:r>
    </w:p>
    <w:p w14:paraId="2FAAF49C" w14:textId="77777777" w:rsidR="009C5BAF" w:rsidRPr="009C5BAF" w:rsidRDefault="009C5BAF" w:rsidP="009C5BAF">
      <w:pPr>
        <w:tabs>
          <w:tab w:val="left" w:pos="1689"/>
        </w:tabs>
        <w:spacing w:line="246" w:lineRule="auto"/>
        <w:ind w:left="1689" w:right="826"/>
        <w:jc w:val="both"/>
        <w:rPr>
          <w:rFonts w:ascii="Tahoma" w:hAnsi="Tahoma" w:cs="Tahoma"/>
          <w:i/>
          <w:sz w:val="20"/>
          <w:szCs w:val="20"/>
        </w:rPr>
      </w:pPr>
    </w:p>
    <w:p w14:paraId="4C76D2E6" w14:textId="582DF867" w:rsidR="00312214" w:rsidRPr="000C2BD6" w:rsidRDefault="005700EB">
      <w:pPr>
        <w:tabs>
          <w:tab w:val="left" w:pos="1689"/>
        </w:tabs>
        <w:spacing w:line="246" w:lineRule="auto"/>
        <w:ind w:left="1170" w:right="826"/>
        <w:jc w:val="both"/>
        <w:rPr>
          <w:rFonts w:ascii="Tahoma" w:hAnsi="Tahoma" w:cs="Tahoma"/>
          <w:sz w:val="20"/>
          <w:szCs w:val="20"/>
        </w:rPr>
      </w:pPr>
      <w:r w:rsidRPr="000C2BD6">
        <w:rPr>
          <w:rFonts w:ascii="Tahoma" w:hAnsi="Tahoma" w:cs="Tahoma"/>
          <w:sz w:val="20"/>
          <w:szCs w:val="20"/>
        </w:rPr>
        <w:t>Firstly, the wording “forcing a person to lesbianism” and “forcing a person to homosexuality” are degrading and homophobic in nature. Being lesbian and homosexual is put in the same category as “forcing a person to sexual intercourse” by the present Armenian Criminal Code and, evidently, is perceived as so by the Armenian government. Both of these norms have no effectiveness in providing LBT women with effective instruments of protection of their rights</w:t>
      </w:r>
      <w:r w:rsidR="000C2BD6" w:rsidRPr="000C2BD6">
        <w:rPr>
          <w:rFonts w:ascii="Tahoma" w:hAnsi="Tahoma" w:cs="Tahoma"/>
          <w:sz w:val="20"/>
          <w:szCs w:val="20"/>
        </w:rPr>
        <w:t xml:space="preserve"> if they become victims of SOGI</w:t>
      </w:r>
      <w:r w:rsidRPr="000C2BD6">
        <w:rPr>
          <w:rFonts w:ascii="Tahoma" w:hAnsi="Tahoma" w:cs="Tahoma"/>
          <w:sz w:val="20"/>
          <w:szCs w:val="20"/>
        </w:rPr>
        <w:t xml:space="preserve">E-based </w:t>
      </w:r>
      <w:r w:rsidR="009C5BAF" w:rsidRPr="000C2BD6">
        <w:rPr>
          <w:rFonts w:ascii="Tahoma" w:hAnsi="Tahoma" w:cs="Tahoma"/>
          <w:sz w:val="20"/>
          <w:szCs w:val="20"/>
        </w:rPr>
        <w:t>discrimination</w:t>
      </w:r>
      <w:r w:rsidRPr="000C2BD6">
        <w:rPr>
          <w:rFonts w:ascii="Tahoma" w:hAnsi="Tahoma" w:cs="Tahoma"/>
          <w:sz w:val="20"/>
          <w:szCs w:val="20"/>
        </w:rPr>
        <w:t xml:space="preserve">. </w:t>
      </w:r>
    </w:p>
    <w:p w14:paraId="05858D50" w14:textId="77777777" w:rsidR="00312214" w:rsidRPr="000C2BD6" w:rsidRDefault="00312214">
      <w:pPr>
        <w:tabs>
          <w:tab w:val="left" w:pos="1689"/>
        </w:tabs>
        <w:spacing w:line="246" w:lineRule="auto"/>
        <w:ind w:right="826"/>
        <w:jc w:val="both"/>
        <w:rPr>
          <w:rFonts w:ascii="Tahoma" w:hAnsi="Tahoma" w:cs="Tahoma"/>
          <w:sz w:val="20"/>
          <w:szCs w:val="20"/>
        </w:rPr>
      </w:pPr>
    </w:p>
    <w:p w14:paraId="3D1A5CBB" w14:textId="6998D5FD" w:rsidR="00312214" w:rsidRDefault="005700EB" w:rsidP="004116F1">
      <w:pPr>
        <w:numPr>
          <w:ilvl w:val="1"/>
          <w:numId w:val="2"/>
        </w:numPr>
        <w:tabs>
          <w:tab w:val="left" w:pos="1689"/>
        </w:tabs>
        <w:spacing w:line="246" w:lineRule="auto"/>
        <w:ind w:left="1120" w:right="826" w:firstLine="5"/>
        <w:jc w:val="both"/>
        <w:rPr>
          <w:rFonts w:ascii="Tahoma" w:hAnsi="Tahoma" w:cs="Tahoma"/>
          <w:sz w:val="20"/>
          <w:szCs w:val="20"/>
        </w:rPr>
      </w:pPr>
      <w:r w:rsidRPr="004116F1">
        <w:rPr>
          <w:rFonts w:ascii="Tahoma" w:hAnsi="Tahoma" w:cs="Tahoma"/>
          <w:sz w:val="20"/>
          <w:szCs w:val="20"/>
        </w:rPr>
        <w:t>Additiona</w:t>
      </w:r>
      <w:r w:rsidR="000C2BD6" w:rsidRPr="004116F1">
        <w:rPr>
          <w:rFonts w:ascii="Tahoma" w:hAnsi="Tahoma" w:cs="Tahoma"/>
          <w:sz w:val="20"/>
          <w:szCs w:val="20"/>
        </w:rPr>
        <w:t>lly, the entire section on LBT+</w:t>
      </w:r>
      <w:r w:rsidRPr="004116F1">
        <w:rPr>
          <w:rFonts w:ascii="Tahoma" w:hAnsi="Tahoma" w:cs="Tahoma"/>
          <w:sz w:val="20"/>
          <w:szCs w:val="20"/>
        </w:rPr>
        <w:t xml:space="preserve"> women (Report para 228-232) does not include a word on what the Armenian government has done to criminalize hate speech against LBT women and what has it done to provide them with effective access to justice. Effective access to justice means adopting an all-inclusive, open-ended yet specified anti-discrimination legislation that would ban all forms of discrimination, including discrimination based on sexual orientation, gender identity, and gender expression. </w:t>
      </w:r>
    </w:p>
    <w:p w14:paraId="1CF285A8" w14:textId="77777777" w:rsidR="00312214" w:rsidRPr="000C2BD6" w:rsidRDefault="00312214">
      <w:pPr>
        <w:tabs>
          <w:tab w:val="left" w:pos="1689"/>
        </w:tabs>
        <w:spacing w:line="246" w:lineRule="auto"/>
        <w:ind w:right="826"/>
        <w:jc w:val="both"/>
        <w:rPr>
          <w:rFonts w:ascii="Tahoma" w:hAnsi="Tahoma" w:cs="Tahoma"/>
          <w:sz w:val="20"/>
          <w:szCs w:val="20"/>
        </w:rPr>
      </w:pPr>
    </w:p>
    <w:p w14:paraId="1EFE44FE" w14:textId="77777777" w:rsidR="00312214" w:rsidRPr="000C2BD6" w:rsidRDefault="005700EB">
      <w:pPr>
        <w:numPr>
          <w:ilvl w:val="1"/>
          <w:numId w:val="2"/>
        </w:numPr>
        <w:tabs>
          <w:tab w:val="left" w:pos="1689"/>
        </w:tabs>
        <w:spacing w:line="246" w:lineRule="auto"/>
        <w:ind w:left="1120" w:right="826" w:firstLine="5"/>
        <w:jc w:val="both"/>
        <w:rPr>
          <w:rFonts w:ascii="Tahoma" w:hAnsi="Tahoma" w:cs="Tahoma"/>
          <w:sz w:val="20"/>
          <w:szCs w:val="20"/>
        </w:rPr>
      </w:pPr>
      <w:r w:rsidRPr="000C2BD6">
        <w:rPr>
          <w:rFonts w:ascii="Tahoma" w:hAnsi="Tahoma" w:cs="Tahoma"/>
          <w:sz w:val="20"/>
          <w:szCs w:val="20"/>
        </w:rPr>
        <w:t xml:space="preserve">Article 18 section 1 of the Convention outlines that “States Parties undertake to submit to the Secretary-General of the United Nations, for consideration by the Committee, a report on the legislative, judicial, administrative or other measures which they have adopted to give effect to the provisions of the present Convention and on the progress made in this respect.” ECOM considers that, within the scope of the right to equality (article 2 of the Convention) and the right to health (article 12 section 1; article 14 section 1 para (b) of the Convention), Armenia’s report does not provide the Committee with the ability to understand, in any capacity at all, the situation in the country regarding the right to health, considering the interests of the LBT community, especially trans </w:t>
      </w:r>
      <w:r w:rsidR="009C5BAF">
        <w:rPr>
          <w:rFonts w:ascii="Tahoma" w:hAnsi="Tahoma" w:cs="Tahoma"/>
          <w:sz w:val="20"/>
          <w:szCs w:val="20"/>
        </w:rPr>
        <w:t>people</w:t>
      </w:r>
      <w:r w:rsidRPr="000C2BD6">
        <w:rPr>
          <w:rFonts w:ascii="Tahoma" w:hAnsi="Tahoma" w:cs="Tahoma"/>
          <w:sz w:val="20"/>
          <w:szCs w:val="20"/>
        </w:rPr>
        <w:t xml:space="preserve">, as well as regarding their other rights. The given Alternative Report is meant to serve as additional data regarding the non-discrimination of trans </w:t>
      </w:r>
      <w:r w:rsidR="009C5BAF">
        <w:rPr>
          <w:rFonts w:ascii="Tahoma" w:hAnsi="Tahoma" w:cs="Tahoma"/>
          <w:sz w:val="20"/>
          <w:szCs w:val="20"/>
        </w:rPr>
        <w:t>people</w:t>
      </w:r>
      <w:r w:rsidRPr="000C2BD6">
        <w:rPr>
          <w:rFonts w:ascii="Tahoma" w:hAnsi="Tahoma" w:cs="Tahoma"/>
          <w:sz w:val="20"/>
          <w:szCs w:val="20"/>
        </w:rPr>
        <w:t xml:space="preserve"> in Armenia, the observation of their right to equality and right to health and as an instrument to advance positive changes to amend the current </w:t>
      </w:r>
      <w:r w:rsidR="009C5BAF" w:rsidRPr="000C2BD6">
        <w:rPr>
          <w:rFonts w:ascii="Tahoma" w:hAnsi="Tahoma" w:cs="Tahoma"/>
          <w:sz w:val="20"/>
          <w:szCs w:val="20"/>
        </w:rPr>
        <w:t>underwhelming</w:t>
      </w:r>
      <w:r w:rsidRPr="000C2BD6">
        <w:rPr>
          <w:rFonts w:ascii="Tahoma" w:hAnsi="Tahoma" w:cs="Tahoma"/>
          <w:sz w:val="20"/>
          <w:szCs w:val="20"/>
        </w:rPr>
        <w:t xml:space="preserve"> position in which the mentioned minority group tends to find itself. </w:t>
      </w:r>
    </w:p>
    <w:p w14:paraId="1BA97847" w14:textId="77777777" w:rsidR="00312214" w:rsidRPr="000C2BD6" w:rsidRDefault="00312214">
      <w:pPr>
        <w:tabs>
          <w:tab w:val="left" w:pos="1689"/>
        </w:tabs>
        <w:spacing w:line="246" w:lineRule="auto"/>
        <w:ind w:right="826"/>
        <w:jc w:val="both"/>
        <w:rPr>
          <w:rFonts w:ascii="Tahoma" w:hAnsi="Tahoma" w:cs="Tahoma"/>
          <w:sz w:val="20"/>
          <w:szCs w:val="20"/>
        </w:rPr>
      </w:pPr>
    </w:p>
    <w:p w14:paraId="4F77F184" w14:textId="77777777" w:rsidR="00312214" w:rsidRPr="000C2BD6" w:rsidRDefault="005700EB">
      <w:pPr>
        <w:tabs>
          <w:tab w:val="left" w:pos="1689"/>
        </w:tabs>
        <w:spacing w:line="246" w:lineRule="auto"/>
        <w:ind w:right="826"/>
        <w:jc w:val="both"/>
        <w:rPr>
          <w:rFonts w:ascii="Tahoma" w:hAnsi="Tahoma" w:cs="Tahoma"/>
          <w:b/>
          <w:sz w:val="20"/>
          <w:szCs w:val="20"/>
        </w:rPr>
      </w:pPr>
      <w:r w:rsidRPr="000C2BD6">
        <w:rPr>
          <w:rFonts w:ascii="Tahoma" w:hAnsi="Tahoma" w:cs="Tahoma"/>
          <w:b/>
          <w:sz w:val="20"/>
          <w:szCs w:val="20"/>
        </w:rPr>
        <w:t>Article 2 — Right to Equality</w:t>
      </w:r>
    </w:p>
    <w:p w14:paraId="477937DC" w14:textId="77777777" w:rsidR="00312214" w:rsidRPr="000C2BD6" w:rsidRDefault="00312214">
      <w:pPr>
        <w:tabs>
          <w:tab w:val="left" w:pos="1689"/>
        </w:tabs>
        <w:spacing w:line="246" w:lineRule="auto"/>
        <w:ind w:right="826"/>
        <w:jc w:val="both"/>
        <w:rPr>
          <w:rFonts w:ascii="Tahoma" w:hAnsi="Tahoma" w:cs="Tahoma"/>
          <w:sz w:val="20"/>
          <w:szCs w:val="20"/>
        </w:rPr>
      </w:pPr>
    </w:p>
    <w:p w14:paraId="1060C3C6" w14:textId="1798BDA1" w:rsidR="00312214" w:rsidRPr="000C2BD6" w:rsidRDefault="005700EB">
      <w:pPr>
        <w:numPr>
          <w:ilvl w:val="1"/>
          <w:numId w:val="2"/>
        </w:numPr>
        <w:tabs>
          <w:tab w:val="left" w:pos="1689"/>
        </w:tabs>
        <w:spacing w:line="246" w:lineRule="auto"/>
        <w:ind w:left="1120" w:right="826" w:firstLine="5"/>
        <w:jc w:val="both"/>
        <w:rPr>
          <w:rFonts w:ascii="Tahoma" w:hAnsi="Tahoma" w:cs="Tahoma"/>
          <w:sz w:val="20"/>
          <w:szCs w:val="20"/>
        </w:rPr>
      </w:pPr>
      <w:r w:rsidRPr="000C2BD6">
        <w:rPr>
          <w:rFonts w:ascii="Tahoma" w:hAnsi="Tahoma" w:cs="Tahoma"/>
          <w:sz w:val="20"/>
          <w:szCs w:val="20"/>
        </w:rPr>
        <w:t>The Armenian government does not view the notion of “gender” as defined and understood by the international community. Article 29 of Armenia’s Constitution states that “[d]</w:t>
      </w:r>
      <w:proofErr w:type="spellStart"/>
      <w:r w:rsidRPr="000C2BD6">
        <w:rPr>
          <w:rFonts w:ascii="Tahoma" w:hAnsi="Tahoma" w:cs="Tahoma"/>
          <w:sz w:val="20"/>
          <w:szCs w:val="20"/>
        </w:rPr>
        <w:t>iscrimination</w:t>
      </w:r>
      <w:proofErr w:type="spellEnd"/>
      <w:r w:rsidRPr="000C2BD6">
        <w:rPr>
          <w:rFonts w:ascii="Tahoma" w:hAnsi="Tahoma" w:cs="Tahoma"/>
          <w:sz w:val="20"/>
          <w:szCs w:val="20"/>
        </w:rPr>
        <w:t xml:space="preserve"> based on sex, race, skin </w:t>
      </w:r>
      <w:proofErr w:type="spellStart"/>
      <w:r w:rsidRPr="000C2BD6">
        <w:rPr>
          <w:rFonts w:ascii="Tahoma" w:hAnsi="Tahoma" w:cs="Tahoma"/>
          <w:sz w:val="20"/>
          <w:szCs w:val="20"/>
        </w:rPr>
        <w:t>colour</w:t>
      </w:r>
      <w:proofErr w:type="spellEnd"/>
      <w:r w:rsidRPr="000C2BD6">
        <w:rPr>
          <w:rFonts w:ascii="Tahoma" w:hAnsi="Tahoma" w:cs="Tahoma"/>
          <w:sz w:val="20"/>
          <w:szCs w:val="20"/>
        </w:rPr>
        <w:t xml:space="preserve">, ethnic or social origin, genetic features, language, religion, world view, political or other views, belonging to a national minority, property status, birth, disability, age, or other personal or social circumstances shall be prohibited.” Article 30 of the Armenian Constitution sets the legal equality of men and women. The Law “On Ensuring Equal Rights and Equal Opportunities of Men and Women” was adopted but it ensures equality in all spheres of life only based on birth-assigned sex for men and women. However, “gender” is not synonymous to “sex.” Gender and sex are different legal notions and imply different things, where “sex” </w:t>
      </w:r>
      <w:r w:rsidRPr="008B56DC">
        <w:rPr>
          <w:rFonts w:ascii="Tahoma" w:hAnsi="Tahoma" w:cs="Tahoma"/>
          <w:sz w:val="20"/>
          <w:szCs w:val="20"/>
        </w:rPr>
        <w:t xml:space="preserve">refers to a person’s biologically assigned sex, based on their </w:t>
      </w:r>
      <w:r w:rsidR="009C5BAF" w:rsidRPr="008B56DC">
        <w:rPr>
          <w:rFonts w:ascii="Tahoma" w:hAnsi="Tahoma" w:cs="Tahoma"/>
          <w:sz w:val="20"/>
          <w:szCs w:val="20"/>
        </w:rPr>
        <w:t xml:space="preserve">various </w:t>
      </w:r>
      <w:r w:rsidRPr="008B56DC">
        <w:rPr>
          <w:rFonts w:ascii="Tahoma" w:hAnsi="Tahoma" w:cs="Tahoma"/>
          <w:sz w:val="20"/>
          <w:szCs w:val="20"/>
        </w:rPr>
        <w:t xml:space="preserve">sex characteristics, while “gender” “refers to the roles, </w:t>
      </w:r>
      <w:proofErr w:type="spellStart"/>
      <w:r w:rsidRPr="008B56DC">
        <w:rPr>
          <w:rFonts w:ascii="Tahoma" w:hAnsi="Tahoma" w:cs="Tahoma"/>
          <w:sz w:val="20"/>
          <w:szCs w:val="20"/>
        </w:rPr>
        <w:t>behaviours</w:t>
      </w:r>
      <w:proofErr w:type="spellEnd"/>
      <w:r w:rsidRPr="008B56DC">
        <w:rPr>
          <w:rFonts w:ascii="Tahoma" w:hAnsi="Tahoma" w:cs="Tahoma"/>
          <w:sz w:val="20"/>
          <w:szCs w:val="20"/>
        </w:rPr>
        <w:t>, activities, attributes and opportunities that any society considers appropriate for girls and boys, and women and men. Gender interacts with, but is different from, the binary categories of biological sex.”</w:t>
      </w:r>
      <w:r w:rsidRPr="008B56DC">
        <w:rPr>
          <w:rFonts w:ascii="Tahoma" w:hAnsi="Tahoma" w:cs="Tahoma"/>
          <w:sz w:val="20"/>
          <w:szCs w:val="20"/>
          <w:vertAlign w:val="superscript"/>
        </w:rPr>
        <w:footnoteReference w:id="1"/>
      </w:r>
      <w:r w:rsidRPr="008B56DC">
        <w:rPr>
          <w:rFonts w:ascii="Tahoma" w:hAnsi="Tahoma" w:cs="Tahoma"/>
          <w:sz w:val="20"/>
          <w:szCs w:val="20"/>
        </w:rPr>
        <w:t xml:space="preserve"> Neither</w:t>
      </w:r>
      <w:r w:rsidRPr="000C2BD6">
        <w:rPr>
          <w:rFonts w:ascii="Tahoma" w:hAnsi="Tahoma" w:cs="Tahoma"/>
          <w:sz w:val="20"/>
          <w:szCs w:val="20"/>
        </w:rPr>
        <w:t xml:space="preserve"> the Constitution of Armenia, nor its general legislation define the words “gender” or “gender identity” anywhere as per the practice of UN Human Rights Treaties Bodies. The list of protected attributes in Armenia’s Constitution is open, yes, but the absence of effective mechanisms of interpreting them during law-enforcement and judicial procedu</w:t>
      </w:r>
      <w:r w:rsidR="000C2BD6" w:rsidRPr="000C2BD6">
        <w:rPr>
          <w:rFonts w:ascii="Tahoma" w:hAnsi="Tahoma" w:cs="Tahoma"/>
          <w:sz w:val="20"/>
          <w:szCs w:val="20"/>
        </w:rPr>
        <w:t>res as such that encompass SOGI</w:t>
      </w:r>
      <w:r w:rsidRPr="000C2BD6">
        <w:rPr>
          <w:rFonts w:ascii="Tahoma" w:hAnsi="Tahoma" w:cs="Tahoma"/>
          <w:sz w:val="20"/>
          <w:szCs w:val="20"/>
        </w:rPr>
        <w:t>E, as well as the profound acts of homophobia and transphobia exhibited by law-enforcement officers and medical professionals, renders the presence of this open list irrelevant. While the adoption of the Law “On Ensuring Equal Rights and Equal Opportunities of Men and Women” is highly commendable when it comes to en</w:t>
      </w:r>
      <w:r w:rsidR="009C5BAF">
        <w:rPr>
          <w:rFonts w:ascii="Tahoma" w:hAnsi="Tahoma" w:cs="Tahoma"/>
          <w:sz w:val="20"/>
          <w:szCs w:val="20"/>
        </w:rPr>
        <w:t>suring equality of heterosexual and</w:t>
      </w:r>
      <w:r w:rsidRPr="000C2BD6">
        <w:rPr>
          <w:rFonts w:ascii="Tahoma" w:hAnsi="Tahoma" w:cs="Tahoma"/>
          <w:sz w:val="20"/>
          <w:szCs w:val="20"/>
        </w:rPr>
        <w:t xml:space="preserve"> cisgender </w:t>
      </w:r>
      <w:r w:rsidR="009C5BAF">
        <w:rPr>
          <w:rFonts w:ascii="Tahoma" w:hAnsi="Tahoma" w:cs="Tahoma"/>
          <w:sz w:val="20"/>
          <w:szCs w:val="20"/>
        </w:rPr>
        <w:t>people</w:t>
      </w:r>
      <w:r w:rsidRPr="000C2BD6">
        <w:rPr>
          <w:rFonts w:ascii="Tahoma" w:hAnsi="Tahoma" w:cs="Tahoma"/>
          <w:sz w:val="20"/>
          <w:szCs w:val="20"/>
        </w:rPr>
        <w:t xml:space="preserve">, it has absolutely zero value for LBT </w:t>
      </w:r>
      <w:r w:rsidR="009C5BAF">
        <w:rPr>
          <w:rFonts w:ascii="Tahoma" w:hAnsi="Tahoma" w:cs="Tahoma"/>
          <w:sz w:val="20"/>
          <w:szCs w:val="20"/>
        </w:rPr>
        <w:t>people</w:t>
      </w:r>
      <w:r w:rsidRPr="000C2BD6">
        <w:rPr>
          <w:rFonts w:ascii="Tahoma" w:hAnsi="Tahoma" w:cs="Tahoma"/>
          <w:sz w:val="20"/>
          <w:szCs w:val="20"/>
        </w:rPr>
        <w:t>.</w:t>
      </w:r>
    </w:p>
    <w:p w14:paraId="6B433607" w14:textId="77777777" w:rsidR="00312214" w:rsidRPr="000C2BD6" w:rsidRDefault="00312214">
      <w:pPr>
        <w:tabs>
          <w:tab w:val="left" w:pos="1689"/>
        </w:tabs>
        <w:spacing w:line="246" w:lineRule="auto"/>
        <w:ind w:right="826"/>
        <w:jc w:val="both"/>
        <w:rPr>
          <w:rFonts w:ascii="Tahoma" w:hAnsi="Tahoma" w:cs="Tahoma"/>
          <w:sz w:val="20"/>
          <w:szCs w:val="20"/>
        </w:rPr>
      </w:pPr>
    </w:p>
    <w:p w14:paraId="0C7CA61A" w14:textId="77777777" w:rsidR="00312214" w:rsidRPr="000C2BD6" w:rsidRDefault="005700EB">
      <w:pPr>
        <w:numPr>
          <w:ilvl w:val="1"/>
          <w:numId w:val="2"/>
        </w:numPr>
        <w:tabs>
          <w:tab w:val="left" w:pos="1689"/>
        </w:tabs>
        <w:spacing w:line="246" w:lineRule="auto"/>
        <w:ind w:left="1120" w:right="826" w:firstLine="5"/>
        <w:jc w:val="both"/>
        <w:rPr>
          <w:rFonts w:ascii="Tahoma" w:hAnsi="Tahoma" w:cs="Tahoma"/>
          <w:sz w:val="20"/>
          <w:szCs w:val="20"/>
        </w:rPr>
      </w:pPr>
      <w:r w:rsidRPr="000C2BD6">
        <w:rPr>
          <w:rFonts w:ascii="Tahoma" w:hAnsi="Tahoma" w:cs="Tahoma"/>
          <w:sz w:val="20"/>
          <w:szCs w:val="20"/>
        </w:rPr>
        <w:t>ECOM would like to note that it is aware of the Armenian government’s attempts to present some sort of anti-discrimination law. Notably, the draft-law</w:t>
      </w:r>
      <w:r w:rsidR="009C5BAF">
        <w:rPr>
          <w:rFonts w:ascii="Tahoma" w:hAnsi="Tahoma" w:cs="Tahoma"/>
          <w:sz w:val="20"/>
          <w:szCs w:val="20"/>
        </w:rPr>
        <w:t xml:space="preserve"> </w:t>
      </w:r>
      <w:r w:rsidRPr="000C2BD6">
        <w:rPr>
          <w:rFonts w:ascii="Tahoma" w:hAnsi="Tahoma" w:cs="Tahoma"/>
          <w:sz w:val="20"/>
          <w:szCs w:val="20"/>
        </w:rPr>
        <w:t>“On Ensuring Equality,” which was meant to expand upon the above-mentioned Article 29 of the Armenian Constitution, was being considered by the parliament. The Law was supposedly derived from the Human Rights Action Plan of the Republic of Armenia (RA) and, coupled with it, was supposed to ensure equality and prohibition of discrimination. It is worth stating that the draft</w:t>
      </w:r>
      <w:r w:rsidRPr="000C2BD6">
        <w:rPr>
          <w:rFonts w:ascii="Tahoma" w:hAnsi="Tahoma" w:cs="Tahoma"/>
          <w:sz w:val="20"/>
          <w:szCs w:val="20"/>
          <w:vertAlign w:val="superscript"/>
        </w:rPr>
        <w:footnoteReference w:id="2"/>
      </w:r>
      <w:r w:rsidRPr="000C2BD6">
        <w:rPr>
          <w:rFonts w:ascii="Tahoma" w:hAnsi="Tahoma" w:cs="Tahoma"/>
          <w:sz w:val="20"/>
          <w:szCs w:val="20"/>
        </w:rPr>
        <w:t xml:space="preserve"> of said Law “On Ensuring Equality” had no mention of “sexual orientation” or “gender”, or “gender identity.” The civil society had also forwarded its recommendations to provide particular steps in the action plan regarding the implementation of the Human Rights Protection National Strategy 2017-2019, but they were rejected by the Ministry of Justice of RA. Among others, these recommendations included the adoption of comprehensive anti-discrimination legislation that would grant effective protection levers to the entirety of LGBT+ community.</w:t>
      </w:r>
    </w:p>
    <w:p w14:paraId="24FCFB27" w14:textId="77777777" w:rsidR="00312214" w:rsidRPr="000C2BD6" w:rsidRDefault="00312214">
      <w:pPr>
        <w:tabs>
          <w:tab w:val="left" w:pos="1689"/>
        </w:tabs>
        <w:spacing w:line="246" w:lineRule="auto"/>
        <w:ind w:right="826"/>
        <w:jc w:val="both"/>
        <w:rPr>
          <w:rFonts w:ascii="Tahoma" w:hAnsi="Tahoma" w:cs="Tahoma"/>
          <w:sz w:val="20"/>
          <w:szCs w:val="20"/>
        </w:rPr>
      </w:pPr>
    </w:p>
    <w:p w14:paraId="183BDA7E" w14:textId="59AF7C5D" w:rsidR="00312214" w:rsidRPr="000C2BD6" w:rsidRDefault="005700EB">
      <w:pPr>
        <w:numPr>
          <w:ilvl w:val="1"/>
          <w:numId w:val="2"/>
        </w:numPr>
        <w:tabs>
          <w:tab w:val="left" w:pos="1689"/>
        </w:tabs>
        <w:spacing w:line="246" w:lineRule="auto"/>
        <w:ind w:left="1120" w:right="826" w:firstLine="5"/>
        <w:jc w:val="both"/>
        <w:rPr>
          <w:rFonts w:ascii="Tahoma" w:hAnsi="Tahoma" w:cs="Tahoma"/>
          <w:sz w:val="20"/>
          <w:szCs w:val="20"/>
        </w:rPr>
      </w:pPr>
      <w:r w:rsidRPr="000C2BD6">
        <w:rPr>
          <w:rFonts w:ascii="Tahoma" w:hAnsi="Tahoma" w:cs="Tahoma"/>
          <w:sz w:val="20"/>
          <w:szCs w:val="20"/>
        </w:rPr>
        <w:t xml:space="preserve">At present, there is no possibility for trans </w:t>
      </w:r>
      <w:r w:rsidR="009C5BAF">
        <w:rPr>
          <w:rFonts w:ascii="Tahoma" w:hAnsi="Tahoma" w:cs="Tahoma"/>
          <w:sz w:val="20"/>
          <w:szCs w:val="20"/>
        </w:rPr>
        <w:t>people</w:t>
      </w:r>
      <w:r w:rsidRPr="000C2BD6">
        <w:rPr>
          <w:rFonts w:ascii="Tahoma" w:hAnsi="Tahoma" w:cs="Tahoma"/>
          <w:sz w:val="20"/>
          <w:szCs w:val="20"/>
        </w:rPr>
        <w:t xml:space="preserve"> to restore their rights that have be</w:t>
      </w:r>
      <w:r w:rsidR="000C2BD6" w:rsidRPr="000C2BD6">
        <w:rPr>
          <w:rFonts w:ascii="Tahoma" w:hAnsi="Tahoma" w:cs="Tahoma"/>
          <w:sz w:val="20"/>
          <w:szCs w:val="20"/>
        </w:rPr>
        <w:t>en violated based on their SOGI</w:t>
      </w:r>
      <w:r w:rsidRPr="000C2BD6">
        <w:rPr>
          <w:rFonts w:ascii="Tahoma" w:hAnsi="Tahoma" w:cs="Tahoma"/>
          <w:sz w:val="20"/>
          <w:szCs w:val="20"/>
        </w:rPr>
        <w:t>E. RA’s criminal legislation has no material and procedural provisions to prevent, investigate, and puni</w:t>
      </w:r>
      <w:r w:rsidR="000C2BD6" w:rsidRPr="000C2BD6">
        <w:rPr>
          <w:rFonts w:ascii="Tahoma" w:hAnsi="Tahoma" w:cs="Tahoma"/>
          <w:sz w:val="20"/>
          <w:szCs w:val="20"/>
        </w:rPr>
        <w:t>sh hate crimes, especially SOGI</w:t>
      </w:r>
      <w:r w:rsidRPr="000C2BD6">
        <w:rPr>
          <w:rFonts w:ascii="Tahoma" w:hAnsi="Tahoma" w:cs="Tahoma"/>
          <w:sz w:val="20"/>
          <w:szCs w:val="20"/>
        </w:rPr>
        <w:t>E-based hate crimes. Hate crimes as such are not even stipulated legislatively the way the international community understands them. Article 63 of the Criminal Code of RA</w:t>
      </w:r>
      <w:r w:rsidRPr="000C2BD6">
        <w:rPr>
          <w:rFonts w:ascii="Tahoma" w:hAnsi="Tahoma" w:cs="Tahoma"/>
          <w:sz w:val="20"/>
          <w:szCs w:val="20"/>
          <w:vertAlign w:val="superscript"/>
        </w:rPr>
        <w:footnoteReference w:id="3"/>
      </w:r>
      <w:r w:rsidRPr="000C2BD6">
        <w:rPr>
          <w:rFonts w:ascii="Tahoma" w:hAnsi="Tahoma" w:cs="Tahoma"/>
          <w:sz w:val="20"/>
          <w:szCs w:val="20"/>
        </w:rPr>
        <w:t xml:space="preserve"> provides for criminal responsibility and circumstances aggravating the punishment for the crimes on the grounds of ethnic, racial or religious hatred, fanaticism. There is even no article in the Criminal Code that would punish for discriminating against other attributes that would complement and be based on the open list of grounds that is enshrined in Article 29 of RA’s Constitution. Article 226 of the Criminal Code defines only national, racial, and religious hatred.</w:t>
      </w:r>
      <w:r w:rsidRPr="000C2BD6">
        <w:rPr>
          <w:rFonts w:ascii="Tahoma" w:hAnsi="Tahoma" w:cs="Tahoma"/>
          <w:sz w:val="20"/>
          <w:szCs w:val="20"/>
          <w:vertAlign w:val="superscript"/>
        </w:rPr>
        <w:footnoteReference w:id="4"/>
      </w:r>
      <w:r w:rsidRPr="000C2BD6">
        <w:rPr>
          <w:rFonts w:ascii="Tahoma" w:hAnsi="Tahoma" w:cs="Tahoma"/>
          <w:sz w:val="20"/>
          <w:szCs w:val="20"/>
        </w:rPr>
        <w:t xml:space="preserve"> That being said, the Criminal Code of Armenia, article 139, separates homosexual rape into an individual article, reading: “Homosexualism or other actions of sexual character enacted against the will of the victim [or female victim] with the use of violence or a threat to use to on the victim [or female victim] or on another person, or with the use of the helpless state of the victim </w:t>
      </w:r>
      <w:r w:rsidRPr="000C2BD6">
        <w:rPr>
          <w:rFonts w:ascii="Tahoma" w:hAnsi="Tahoma" w:cs="Tahoma"/>
          <w:sz w:val="20"/>
          <w:szCs w:val="20"/>
        </w:rPr>
        <w:lastRenderedPageBreak/>
        <w:t xml:space="preserve">[or female </w:t>
      </w:r>
      <w:r w:rsidR="009C5BAF" w:rsidRPr="000C2BD6">
        <w:rPr>
          <w:rFonts w:ascii="Tahoma" w:hAnsi="Tahoma" w:cs="Tahoma"/>
          <w:sz w:val="20"/>
          <w:szCs w:val="20"/>
        </w:rPr>
        <w:t>victim</w:t>
      </w:r>
      <w:r w:rsidRPr="000C2BD6">
        <w:rPr>
          <w:rFonts w:ascii="Tahoma" w:hAnsi="Tahoma" w:cs="Tahoma"/>
          <w:sz w:val="20"/>
          <w:szCs w:val="20"/>
        </w:rPr>
        <w:t>] is punished by imprisonment for a period of three to six years.”</w:t>
      </w:r>
      <w:r w:rsidRPr="000C2BD6">
        <w:rPr>
          <w:rFonts w:ascii="Tahoma" w:hAnsi="Tahoma" w:cs="Tahoma"/>
          <w:sz w:val="20"/>
          <w:szCs w:val="20"/>
          <w:vertAlign w:val="superscript"/>
        </w:rPr>
        <w:footnoteReference w:id="5"/>
      </w:r>
      <w:r w:rsidRPr="000C2BD6">
        <w:rPr>
          <w:rFonts w:ascii="Tahoma" w:hAnsi="Tahoma" w:cs="Tahoma"/>
          <w:sz w:val="20"/>
          <w:szCs w:val="20"/>
        </w:rPr>
        <w:t xml:space="preserve"> Article 138 called “Rape” criminalizes the same exact actions only for the man being the perpetrator and the woman being the victim. “Homosexualism” is a homophobic term and the existence of this article enforces the public stereotype about homosexuality being wrong, something distorted — the discrimination spills over to LBT women. The crime of rape should be universalized for every sex and gender, and for every person of age, in a single, comprehensive article.</w:t>
      </w:r>
    </w:p>
    <w:p w14:paraId="4B39C6A6" w14:textId="77777777" w:rsidR="00312214" w:rsidRPr="000C2BD6" w:rsidRDefault="00312214">
      <w:pPr>
        <w:tabs>
          <w:tab w:val="left" w:pos="1689"/>
        </w:tabs>
        <w:spacing w:line="246" w:lineRule="auto"/>
        <w:ind w:right="826"/>
        <w:jc w:val="both"/>
        <w:rPr>
          <w:rFonts w:ascii="Tahoma" w:hAnsi="Tahoma" w:cs="Tahoma"/>
          <w:sz w:val="20"/>
          <w:szCs w:val="20"/>
        </w:rPr>
      </w:pPr>
    </w:p>
    <w:p w14:paraId="04D8EF01" w14:textId="1A00740F" w:rsidR="00312214" w:rsidRDefault="005700EB" w:rsidP="004116F1">
      <w:pPr>
        <w:numPr>
          <w:ilvl w:val="1"/>
          <w:numId w:val="2"/>
        </w:numPr>
        <w:tabs>
          <w:tab w:val="left" w:pos="1689"/>
        </w:tabs>
        <w:spacing w:line="246" w:lineRule="auto"/>
        <w:ind w:left="1120" w:right="826" w:firstLine="5"/>
        <w:jc w:val="both"/>
        <w:rPr>
          <w:rFonts w:ascii="Tahoma" w:hAnsi="Tahoma" w:cs="Tahoma"/>
          <w:sz w:val="20"/>
          <w:szCs w:val="20"/>
        </w:rPr>
      </w:pPr>
      <w:r w:rsidRPr="004116F1">
        <w:rPr>
          <w:rFonts w:ascii="Tahoma" w:hAnsi="Tahoma" w:cs="Tahoma"/>
          <w:sz w:val="20"/>
          <w:szCs w:val="20"/>
        </w:rPr>
        <w:t>Hate speech is not commonly defined and regulated by the Armenian law, too. Article 397 of the Criminal Code additionally provides criminal liability for denial, mitigation, approval or justification of genocide and other crimes against peace and humanity on the grounds of race, skin color, national or ethnic origin and religious belief,</w:t>
      </w:r>
      <w:r w:rsidRPr="000C2BD6">
        <w:rPr>
          <w:rFonts w:ascii="Tahoma" w:hAnsi="Tahoma" w:cs="Tahoma"/>
          <w:sz w:val="20"/>
          <w:szCs w:val="20"/>
          <w:vertAlign w:val="superscript"/>
        </w:rPr>
        <w:footnoteReference w:id="6"/>
      </w:r>
      <w:r w:rsidRPr="004116F1">
        <w:rPr>
          <w:rFonts w:ascii="Tahoma" w:hAnsi="Tahoma" w:cs="Tahoma"/>
          <w:sz w:val="20"/>
          <w:szCs w:val="20"/>
        </w:rPr>
        <w:t xml:space="preserve"> however, again, the list is closed here and the object of such crimes is the public order and national security rather than the privacy and personal dignity of a private individual. Law-enforcement bodies deny victims in registering them being abused as hate-crime victims, which leads to further discrimination and utter ineffectiveness of investigation and punishment. </w:t>
      </w:r>
    </w:p>
    <w:p w14:paraId="5294AF3A" w14:textId="77777777" w:rsidR="00312214" w:rsidRPr="000C2BD6" w:rsidRDefault="00312214">
      <w:pPr>
        <w:tabs>
          <w:tab w:val="left" w:pos="1689"/>
        </w:tabs>
        <w:spacing w:line="246" w:lineRule="auto"/>
        <w:ind w:right="826"/>
        <w:jc w:val="both"/>
        <w:rPr>
          <w:rFonts w:ascii="Tahoma" w:hAnsi="Tahoma" w:cs="Tahoma"/>
          <w:sz w:val="20"/>
          <w:szCs w:val="20"/>
        </w:rPr>
      </w:pPr>
    </w:p>
    <w:p w14:paraId="2D133104" w14:textId="77777777" w:rsidR="00312214" w:rsidRPr="000C2BD6" w:rsidRDefault="005700EB">
      <w:pPr>
        <w:numPr>
          <w:ilvl w:val="1"/>
          <w:numId w:val="2"/>
        </w:numPr>
        <w:tabs>
          <w:tab w:val="left" w:pos="1689"/>
        </w:tabs>
        <w:spacing w:line="246" w:lineRule="auto"/>
        <w:ind w:left="1120" w:right="826" w:firstLine="5"/>
        <w:jc w:val="both"/>
        <w:rPr>
          <w:rFonts w:ascii="Tahoma" w:hAnsi="Tahoma" w:cs="Tahoma"/>
          <w:sz w:val="20"/>
          <w:szCs w:val="20"/>
        </w:rPr>
      </w:pPr>
      <w:r w:rsidRPr="000C2BD6">
        <w:rPr>
          <w:rFonts w:ascii="Tahoma" w:hAnsi="Tahoma" w:cs="Tahoma"/>
          <w:sz w:val="20"/>
          <w:szCs w:val="20"/>
        </w:rPr>
        <w:t xml:space="preserve">The predominant majority of trans women victims of hate crimes have no access to effective justice. Not only are they routinely subjected to degrading treatment by the general public, family, co-workers, and law-enforcement — the hate speech coming from public figures that goes unpunished further creates the sense that discrimination against the LBT is state-supported. Additionally, Armenia has no laws and no judicial practice to help trans </w:t>
      </w:r>
      <w:r w:rsidR="00653868">
        <w:rPr>
          <w:rFonts w:ascii="Tahoma" w:hAnsi="Tahoma" w:cs="Tahoma"/>
          <w:sz w:val="20"/>
          <w:szCs w:val="20"/>
        </w:rPr>
        <w:t>people</w:t>
      </w:r>
      <w:r w:rsidRPr="000C2BD6">
        <w:rPr>
          <w:rFonts w:ascii="Tahoma" w:hAnsi="Tahoma" w:cs="Tahoma"/>
          <w:sz w:val="20"/>
          <w:szCs w:val="20"/>
        </w:rPr>
        <w:t xml:space="preserve"> effectively use even the constitutional norms that apply to them as human beings, citizens of RA. Nobody should be above the law and everyone, regardless of their material and social status, should be punished for committing acts of discrimination and/or violence against the LBT, as prescribed by the law. More effort and more investment in the nearest future is necessary on the Armenian government’s part to address the serious imperfections and drawbacks of its existing legislation with regards to SOGIE.</w:t>
      </w:r>
    </w:p>
    <w:p w14:paraId="544C4456" w14:textId="77777777" w:rsidR="00312214" w:rsidRPr="000C2BD6" w:rsidRDefault="00312214">
      <w:pPr>
        <w:tabs>
          <w:tab w:val="left" w:pos="1689"/>
        </w:tabs>
        <w:spacing w:line="246" w:lineRule="auto"/>
        <w:ind w:right="826"/>
        <w:jc w:val="both"/>
        <w:rPr>
          <w:rFonts w:ascii="Tahoma" w:hAnsi="Tahoma" w:cs="Tahoma"/>
          <w:sz w:val="20"/>
          <w:szCs w:val="20"/>
        </w:rPr>
      </w:pPr>
    </w:p>
    <w:p w14:paraId="0CE687F0" w14:textId="77777777" w:rsidR="00312214" w:rsidRPr="000C2BD6" w:rsidRDefault="005700EB">
      <w:pPr>
        <w:tabs>
          <w:tab w:val="left" w:pos="1689"/>
        </w:tabs>
        <w:spacing w:line="246" w:lineRule="auto"/>
        <w:ind w:right="826"/>
        <w:jc w:val="both"/>
        <w:rPr>
          <w:rFonts w:ascii="Tahoma" w:hAnsi="Tahoma" w:cs="Tahoma"/>
          <w:b/>
          <w:sz w:val="20"/>
          <w:szCs w:val="20"/>
        </w:rPr>
      </w:pPr>
      <w:r w:rsidRPr="000C2BD6">
        <w:rPr>
          <w:rFonts w:ascii="Tahoma" w:hAnsi="Tahoma" w:cs="Tahoma"/>
          <w:b/>
          <w:sz w:val="20"/>
          <w:szCs w:val="20"/>
        </w:rPr>
        <w:t>Article 12 and 14 — Right to Health</w:t>
      </w:r>
    </w:p>
    <w:p w14:paraId="004C4036" w14:textId="77777777" w:rsidR="00312214" w:rsidRPr="000C2BD6" w:rsidRDefault="00312214">
      <w:pPr>
        <w:tabs>
          <w:tab w:val="left" w:pos="1689"/>
        </w:tabs>
        <w:spacing w:line="246" w:lineRule="auto"/>
        <w:ind w:right="826"/>
        <w:jc w:val="both"/>
        <w:rPr>
          <w:rFonts w:ascii="Tahoma" w:hAnsi="Tahoma" w:cs="Tahoma"/>
          <w:sz w:val="20"/>
          <w:szCs w:val="20"/>
        </w:rPr>
      </w:pPr>
    </w:p>
    <w:p w14:paraId="08480ED8" w14:textId="77777777" w:rsidR="00312214" w:rsidRPr="000C2BD6" w:rsidRDefault="005700EB">
      <w:pPr>
        <w:numPr>
          <w:ilvl w:val="1"/>
          <w:numId w:val="2"/>
        </w:numPr>
        <w:tabs>
          <w:tab w:val="left" w:pos="1689"/>
        </w:tabs>
        <w:spacing w:line="246" w:lineRule="auto"/>
        <w:ind w:left="1120" w:right="826" w:firstLine="5"/>
        <w:jc w:val="both"/>
        <w:rPr>
          <w:rFonts w:ascii="Tahoma" w:hAnsi="Tahoma" w:cs="Tahoma"/>
          <w:sz w:val="20"/>
          <w:szCs w:val="20"/>
        </w:rPr>
      </w:pPr>
      <w:r w:rsidRPr="000C2BD6">
        <w:rPr>
          <w:rFonts w:ascii="Tahoma" w:hAnsi="Tahoma" w:cs="Tahoma"/>
          <w:sz w:val="20"/>
          <w:szCs w:val="20"/>
        </w:rPr>
        <w:t xml:space="preserve">Trans </w:t>
      </w:r>
      <w:r w:rsidR="00865E74">
        <w:rPr>
          <w:rFonts w:ascii="Tahoma" w:hAnsi="Tahoma" w:cs="Tahoma"/>
          <w:sz w:val="20"/>
          <w:szCs w:val="20"/>
        </w:rPr>
        <w:t>people</w:t>
      </w:r>
      <w:r w:rsidRPr="000C2BD6">
        <w:rPr>
          <w:rFonts w:ascii="Tahoma" w:hAnsi="Tahoma" w:cs="Tahoma"/>
          <w:sz w:val="20"/>
          <w:szCs w:val="20"/>
        </w:rPr>
        <w:t xml:space="preserve"> cannot acquire satisfactory healthcare services because of the danger of the secrecy of their health, including their HIV status, being violated, or because of them being harassed or blackmailed by medical workers or law-enforcement officers. The Pink Armenia NGO conducted a survey, where participants completed an online anonymous questionnaire. The LGBT</w:t>
      </w:r>
      <w:r w:rsidR="000C2BD6" w:rsidRPr="000C2BD6">
        <w:rPr>
          <w:rFonts w:ascii="Tahoma" w:hAnsi="Tahoma" w:cs="Tahoma"/>
          <w:sz w:val="20"/>
          <w:szCs w:val="20"/>
        </w:rPr>
        <w:t>+</w:t>
      </w:r>
      <w:r w:rsidRPr="000C2BD6">
        <w:rPr>
          <w:rFonts w:ascii="Tahoma" w:hAnsi="Tahoma" w:cs="Tahoma"/>
          <w:sz w:val="20"/>
          <w:szCs w:val="20"/>
        </w:rPr>
        <w:t xml:space="preserve"> children, being the target of the survey, appear to be subjected to frequent bullying: 82% of the respondents had been subjected to bullying, 35% of which had been subjected to bullying multiple times. The survey reports not only cases of violence but blackmail, too. This is just when it comes to LGBT</w:t>
      </w:r>
      <w:r w:rsidR="000C2BD6" w:rsidRPr="00865E74">
        <w:rPr>
          <w:rFonts w:ascii="Tahoma" w:hAnsi="Tahoma" w:cs="Tahoma"/>
          <w:sz w:val="20"/>
          <w:szCs w:val="20"/>
        </w:rPr>
        <w:t>+</w:t>
      </w:r>
      <w:r w:rsidR="00865E74">
        <w:rPr>
          <w:rFonts w:ascii="Tahoma" w:hAnsi="Tahoma" w:cs="Tahoma"/>
          <w:sz w:val="20"/>
          <w:szCs w:val="20"/>
        </w:rPr>
        <w:t xml:space="preserve"> children</w:t>
      </w:r>
      <w:r w:rsidRPr="000C2BD6">
        <w:rPr>
          <w:rFonts w:ascii="Tahoma" w:hAnsi="Tahoma" w:cs="Tahoma"/>
          <w:sz w:val="20"/>
          <w:szCs w:val="20"/>
        </w:rPr>
        <w:t xml:space="preserve">. With this in mind, adult trans </w:t>
      </w:r>
      <w:r w:rsidR="00865E74">
        <w:rPr>
          <w:rFonts w:ascii="Tahoma" w:hAnsi="Tahoma" w:cs="Tahoma"/>
          <w:sz w:val="20"/>
          <w:szCs w:val="20"/>
        </w:rPr>
        <w:t>people</w:t>
      </w:r>
      <w:r w:rsidRPr="000C2BD6">
        <w:rPr>
          <w:rFonts w:ascii="Tahoma" w:hAnsi="Tahoma" w:cs="Tahoma"/>
          <w:sz w:val="20"/>
          <w:szCs w:val="20"/>
        </w:rPr>
        <w:t>, are often blackmailed or afraid of blackmail because they can lose their jobs, families or be subjected to public physical and verbal abuse. Apart from this, these minorities (being in any age group) are reluctant to turn to the police or other law-enforcers for protection because of the additional abuse they are afraid of being subjected to after disclosing their sexuality or HIV-positive status. The intersection of the mentioned factors creates a danger to the lives trans women since not only do they not receive regular healthcare and legal protection in case they are victims of discrimination, they are also discriminated against in receiving adequate sexual and reproductive education, as well as in receiving HIV-related services that the country is obliged to qualitatively provide to everyone.</w:t>
      </w:r>
    </w:p>
    <w:p w14:paraId="6AD74872" w14:textId="77777777" w:rsidR="00312214" w:rsidRPr="000C2BD6" w:rsidRDefault="00312214">
      <w:pPr>
        <w:tabs>
          <w:tab w:val="left" w:pos="1689"/>
        </w:tabs>
        <w:spacing w:line="246" w:lineRule="auto"/>
        <w:ind w:right="826"/>
        <w:jc w:val="both"/>
        <w:rPr>
          <w:rFonts w:ascii="Tahoma" w:hAnsi="Tahoma" w:cs="Tahoma"/>
          <w:sz w:val="20"/>
          <w:szCs w:val="20"/>
        </w:rPr>
      </w:pPr>
    </w:p>
    <w:p w14:paraId="60033C1E" w14:textId="77777777" w:rsidR="00312214" w:rsidRPr="000C2BD6" w:rsidRDefault="005700EB">
      <w:pPr>
        <w:numPr>
          <w:ilvl w:val="1"/>
          <w:numId w:val="2"/>
        </w:numPr>
        <w:tabs>
          <w:tab w:val="left" w:pos="1689"/>
        </w:tabs>
        <w:spacing w:line="246" w:lineRule="auto"/>
        <w:ind w:left="1120" w:right="826" w:firstLine="5"/>
        <w:jc w:val="both"/>
        <w:rPr>
          <w:rFonts w:ascii="Tahoma" w:hAnsi="Tahoma" w:cs="Tahoma"/>
          <w:sz w:val="20"/>
          <w:szCs w:val="20"/>
        </w:rPr>
      </w:pPr>
      <w:r w:rsidRPr="000C2BD6">
        <w:rPr>
          <w:rFonts w:ascii="Tahoma" w:hAnsi="Tahoma" w:cs="Tahoma"/>
          <w:sz w:val="20"/>
          <w:szCs w:val="20"/>
        </w:rPr>
        <w:t xml:space="preserve">In its Report, Armenia argues that its criminal and </w:t>
      </w:r>
      <w:proofErr w:type="spellStart"/>
      <w:r w:rsidRPr="000C2BD6">
        <w:rPr>
          <w:rFonts w:ascii="Tahoma" w:hAnsi="Tahoma" w:cs="Tahoma"/>
          <w:sz w:val="20"/>
          <w:szCs w:val="20"/>
        </w:rPr>
        <w:t>labour</w:t>
      </w:r>
      <w:proofErr w:type="spellEnd"/>
      <w:r w:rsidRPr="000C2BD6">
        <w:rPr>
          <w:rFonts w:ascii="Tahoma" w:hAnsi="Tahoma" w:cs="Tahoma"/>
          <w:sz w:val="20"/>
          <w:szCs w:val="20"/>
        </w:rPr>
        <w:t xml:space="preserve"> legislation has comprehensive protection for LBT women in place, however, ECOM asks the Committee to consider the following. Trans people in general, trans women especially, are highly stigmatized in the </w:t>
      </w:r>
      <w:proofErr w:type="spellStart"/>
      <w:r w:rsidRPr="000C2BD6">
        <w:rPr>
          <w:rFonts w:ascii="Tahoma" w:hAnsi="Tahoma" w:cs="Tahoma"/>
          <w:sz w:val="20"/>
          <w:szCs w:val="20"/>
        </w:rPr>
        <w:t>labour</w:t>
      </w:r>
      <w:proofErr w:type="spellEnd"/>
      <w:r w:rsidRPr="000C2BD6">
        <w:rPr>
          <w:rFonts w:ascii="Tahoma" w:hAnsi="Tahoma" w:cs="Tahoma"/>
          <w:sz w:val="20"/>
          <w:szCs w:val="20"/>
        </w:rPr>
        <w:t xml:space="preserve"> market. This often forces them to resort to providing sexual services undercover. There, they are left at the mercy (or viciousness) of those who turn for these services. For example, after having used the sexual services of the trans woman E.A., the visitor burned the former’s apartment and left. E.A. was left with severe </w:t>
      </w:r>
      <w:r w:rsidRPr="000C2BD6">
        <w:rPr>
          <w:rFonts w:ascii="Tahoma" w:hAnsi="Tahoma" w:cs="Tahoma"/>
          <w:sz w:val="20"/>
          <w:szCs w:val="20"/>
        </w:rPr>
        <w:lastRenderedPageBreak/>
        <w:t xml:space="preserve">corporal injuries and burns, not to mention the material damage. E.A. turned to the NGO New Generation. The NGO’s attorney filed a criminal lawsuit on 18 October 2018 pleading compensation for damages as a result of the crime. The case is under investigation, psychiatric examination has been assigned. In another case, K.G., a </w:t>
      </w:r>
      <w:proofErr w:type="gramStart"/>
      <w:r w:rsidRPr="000C2BD6">
        <w:rPr>
          <w:rFonts w:ascii="Tahoma" w:hAnsi="Tahoma" w:cs="Tahoma"/>
          <w:sz w:val="20"/>
          <w:szCs w:val="20"/>
        </w:rPr>
        <w:t>25 year-old</w:t>
      </w:r>
      <w:proofErr w:type="gramEnd"/>
      <w:r w:rsidRPr="000C2BD6">
        <w:rPr>
          <w:rFonts w:ascii="Tahoma" w:hAnsi="Tahoma" w:cs="Tahoma"/>
          <w:sz w:val="20"/>
          <w:szCs w:val="20"/>
        </w:rPr>
        <w:t xml:space="preserve"> trans woman, a sex worker, had her throat slit on June 2018 after the visitor had received sex services from her. He left her bleeding and left. The victim somehow was able to reach the </w:t>
      </w:r>
      <w:proofErr w:type="spellStart"/>
      <w:r w:rsidRPr="000C2BD6">
        <w:rPr>
          <w:rFonts w:ascii="Tahoma" w:hAnsi="Tahoma" w:cs="Tahoma"/>
          <w:sz w:val="20"/>
          <w:szCs w:val="20"/>
        </w:rPr>
        <w:t>neighbour's</w:t>
      </w:r>
      <w:proofErr w:type="spellEnd"/>
      <w:r w:rsidRPr="000C2BD6">
        <w:rPr>
          <w:rFonts w:ascii="Tahoma" w:hAnsi="Tahoma" w:cs="Tahoma"/>
          <w:sz w:val="20"/>
          <w:szCs w:val="20"/>
        </w:rPr>
        <w:t xml:space="preserve"> door; the ambulance arrived. The medical workers, having identified K.G. as a trans woman, exhibited disgust and other inhuman </w:t>
      </w:r>
      <w:proofErr w:type="spellStart"/>
      <w:r w:rsidRPr="000C2BD6">
        <w:rPr>
          <w:rFonts w:ascii="Tahoma" w:hAnsi="Tahoma" w:cs="Tahoma"/>
          <w:sz w:val="20"/>
          <w:szCs w:val="20"/>
        </w:rPr>
        <w:t>behaviour</w:t>
      </w:r>
      <w:proofErr w:type="spellEnd"/>
      <w:r w:rsidRPr="000C2BD6">
        <w:rPr>
          <w:rFonts w:ascii="Tahoma" w:hAnsi="Tahoma" w:cs="Tahoma"/>
          <w:sz w:val="20"/>
          <w:szCs w:val="20"/>
        </w:rPr>
        <w:t xml:space="preserve">, stalling the provision of emergency medical services. Other trans women and the NGO New Generation interfered and the victim was saved. Another victim of the national transphobia is M.T., aged 30. An unknown man approached the trans woman, M.T., on July 2018, asking for her sex services. Then he tried to assault her; she tried to defend herself. The assailant took a nearby-lying bottle and hit M.T. on the head, causing an open bleeding wound. M.T. turned to the Medical Centre after </w:t>
      </w:r>
      <w:proofErr w:type="spellStart"/>
      <w:r w:rsidRPr="000C2BD6">
        <w:rPr>
          <w:rFonts w:ascii="Tahoma" w:hAnsi="Tahoma" w:cs="Tahoma"/>
          <w:sz w:val="20"/>
          <w:szCs w:val="20"/>
        </w:rPr>
        <w:t>Armianets</w:t>
      </w:r>
      <w:proofErr w:type="spellEnd"/>
      <w:r w:rsidRPr="000C2BD6">
        <w:rPr>
          <w:rFonts w:ascii="Tahoma" w:hAnsi="Tahoma" w:cs="Tahoma"/>
          <w:sz w:val="20"/>
          <w:szCs w:val="20"/>
        </w:rPr>
        <w:t xml:space="preserve">, the staff denied her emergency aid, saying that the facility was under construction, although the victim saw no construction works being performed. She had to turn to another facility. The victim survived. These and many other registered cases are explicitly transphobic. Due to there being no adequate regulation of self-determining and </w:t>
      </w:r>
      <w:proofErr w:type="spellStart"/>
      <w:r w:rsidRPr="000C2BD6">
        <w:rPr>
          <w:rFonts w:ascii="Tahoma" w:hAnsi="Tahoma" w:cs="Tahoma"/>
          <w:sz w:val="20"/>
          <w:szCs w:val="20"/>
        </w:rPr>
        <w:t>legalising</w:t>
      </w:r>
      <w:proofErr w:type="spellEnd"/>
      <w:r w:rsidRPr="000C2BD6">
        <w:rPr>
          <w:rFonts w:ascii="Tahoma" w:hAnsi="Tahoma" w:cs="Tahoma"/>
          <w:sz w:val="20"/>
          <w:szCs w:val="20"/>
        </w:rPr>
        <w:t xml:space="preserve"> one’s gender identity and there being no protection of people from dis</w:t>
      </w:r>
      <w:r w:rsidR="000C2BD6" w:rsidRPr="000C2BD6">
        <w:rPr>
          <w:rFonts w:ascii="Tahoma" w:hAnsi="Tahoma" w:cs="Tahoma"/>
          <w:sz w:val="20"/>
          <w:szCs w:val="20"/>
        </w:rPr>
        <w:t>crimination based on their SOGI</w:t>
      </w:r>
      <w:r w:rsidRPr="000C2BD6">
        <w:rPr>
          <w:rFonts w:ascii="Tahoma" w:hAnsi="Tahoma" w:cs="Tahoma"/>
          <w:sz w:val="20"/>
          <w:szCs w:val="20"/>
        </w:rPr>
        <w:t xml:space="preserve">E, such horrible violations of human rights keep occurring and go unpunished. Additionally, the medical staff and the police are absolutely uneducated when it comes to dealing with trans victims and only subject them to cruel or degrading </w:t>
      </w:r>
      <w:proofErr w:type="spellStart"/>
      <w:r w:rsidRPr="000C2BD6">
        <w:rPr>
          <w:rFonts w:ascii="Tahoma" w:hAnsi="Tahoma" w:cs="Tahoma"/>
          <w:sz w:val="20"/>
          <w:szCs w:val="20"/>
        </w:rPr>
        <w:t>behaviour</w:t>
      </w:r>
      <w:proofErr w:type="spellEnd"/>
      <w:r w:rsidRPr="000C2BD6">
        <w:rPr>
          <w:rFonts w:ascii="Tahoma" w:hAnsi="Tahoma" w:cs="Tahoma"/>
          <w:sz w:val="20"/>
          <w:szCs w:val="20"/>
        </w:rPr>
        <w:t xml:space="preserve"> further.</w:t>
      </w:r>
    </w:p>
    <w:p w14:paraId="77262ABB" w14:textId="77777777" w:rsidR="00312214" w:rsidRPr="000C2BD6" w:rsidRDefault="00312214">
      <w:pPr>
        <w:tabs>
          <w:tab w:val="left" w:pos="1689"/>
        </w:tabs>
        <w:spacing w:line="246" w:lineRule="auto"/>
        <w:ind w:right="826"/>
        <w:jc w:val="both"/>
        <w:rPr>
          <w:rFonts w:ascii="Tahoma" w:hAnsi="Tahoma" w:cs="Tahoma"/>
          <w:sz w:val="20"/>
          <w:szCs w:val="20"/>
        </w:rPr>
      </w:pPr>
    </w:p>
    <w:p w14:paraId="0E422DFD" w14:textId="77777777" w:rsidR="00312214" w:rsidRPr="000C2BD6" w:rsidRDefault="005700EB">
      <w:pPr>
        <w:numPr>
          <w:ilvl w:val="1"/>
          <w:numId w:val="2"/>
        </w:numPr>
        <w:tabs>
          <w:tab w:val="left" w:pos="1689"/>
        </w:tabs>
        <w:spacing w:line="246" w:lineRule="auto"/>
        <w:ind w:left="1120" w:right="826" w:firstLine="5"/>
        <w:jc w:val="both"/>
        <w:rPr>
          <w:rFonts w:ascii="Tahoma" w:hAnsi="Tahoma" w:cs="Tahoma"/>
          <w:sz w:val="20"/>
          <w:szCs w:val="20"/>
        </w:rPr>
      </w:pPr>
      <w:r w:rsidRPr="000C2BD6">
        <w:rPr>
          <w:rFonts w:ascii="Tahoma" w:hAnsi="Tahoma" w:cs="Tahoma"/>
          <w:sz w:val="20"/>
          <w:szCs w:val="20"/>
        </w:rPr>
        <w:t>Another scandalous case happened on 18 August 2018. One citizen turned to an LGBT</w:t>
      </w:r>
      <w:r w:rsidR="000C2BD6" w:rsidRPr="000C2BD6">
        <w:rPr>
          <w:rFonts w:ascii="Tahoma" w:hAnsi="Tahoma" w:cs="Tahoma"/>
          <w:sz w:val="20"/>
          <w:szCs w:val="20"/>
        </w:rPr>
        <w:t>+</w:t>
      </w:r>
      <w:r w:rsidRPr="000C2BD6">
        <w:rPr>
          <w:rFonts w:ascii="Tahoma" w:hAnsi="Tahoma" w:cs="Tahoma"/>
          <w:sz w:val="20"/>
          <w:szCs w:val="20"/>
        </w:rPr>
        <w:t xml:space="preserve"> NGO, saying that an armed person approached 6 trans people, in Yerevan, and threatened to cause harm to their lives and health. The trans people got scared and fled to a nearby hotel to hide; the man followed them. The trans people got kicked out of the hotel. They applied to the </w:t>
      </w:r>
      <w:proofErr w:type="spellStart"/>
      <w:r w:rsidRPr="000C2BD6">
        <w:rPr>
          <w:rFonts w:ascii="Tahoma" w:hAnsi="Tahoma" w:cs="Tahoma"/>
          <w:sz w:val="20"/>
          <w:szCs w:val="20"/>
        </w:rPr>
        <w:t>Kentron</w:t>
      </w:r>
      <w:proofErr w:type="spellEnd"/>
      <w:r w:rsidRPr="000C2BD6">
        <w:rPr>
          <w:rFonts w:ascii="Tahoma" w:hAnsi="Tahoma" w:cs="Tahoma"/>
          <w:sz w:val="20"/>
          <w:szCs w:val="20"/>
        </w:rPr>
        <w:t xml:space="preserve"> Police Station, describing the situation. Two other trans people approached them; a conflict erupted between them and nearby flower sellers; the police also joined the conflict. A brawl erupted, both trans people and police officers got injured. The RA police brought charges against trans women Z.H. and M.K., and published an article on their website titled “Women at first sight, but in </w:t>
      </w:r>
      <w:proofErr w:type="gramStart"/>
      <w:r w:rsidRPr="000C2BD6">
        <w:rPr>
          <w:rFonts w:ascii="Tahoma" w:hAnsi="Tahoma" w:cs="Tahoma"/>
          <w:sz w:val="20"/>
          <w:szCs w:val="20"/>
        </w:rPr>
        <w:t>reality</w:t>
      </w:r>
      <w:proofErr w:type="gramEnd"/>
      <w:r w:rsidRPr="000C2BD6">
        <w:rPr>
          <w:rFonts w:ascii="Tahoma" w:hAnsi="Tahoma" w:cs="Tahoma"/>
          <w:sz w:val="20"/>
          <w:szCs w:val="20"/>
        </w:rPr>
        <w:t xml:space="preserve"> men in girls’ clothes and their supporters broke into the police station.” Not only did the police officers exacerbate the conflict, they also disclosed the identity of Z.H., infringing the presumption of innocence, not to mention the police distorting the entire situation. Z.H. was tortured at the </w:t>
      </w:r>
      <w:proofErr w:type="spellStart"/>
      <w:r w:rsidRPr="000C2BD6">
        <w:rPr>
          <w:rFonts w:ascii="Tahoma" w:hAnsi="Tahoma" w:cs="Tahoma"/>
          <w:sz w:val="20"/>
          <w:szCs w:val="20"/>
        </w:rPr>
        <w:t>Kentron</w:t>
      </w:r>
      <w:proofErr w:type="spellEnd"/>
      <w:r w:rsidRPr="000C2BD6">
        <w:rPr>
          <w:rFonts w:ascii="Tahoma" w:hAnsi="Tahoma" w:cs="Tahoma"/>
          <w:sz w:val="20"/>
          <w:szCs w:val="20"/>
        </w:rPr>
        <w:t xml:space="preserve"> Police Station. Z.H. was detained and her detention was prolonged during pre-trial. The NGO’s attorney filed a complaint from Z.H. about being subjected to torture, the court reported to the prosecutor’s office. Z.H. was visited by the prosecutor’s office and recognized as a victim of battery at the police station, during detention. The torture claim was not considered with full seriousness, the judicial battle continues. These and other trans women are subjected to transphobic </w:t>
      </w:r>
      <w:proofErr w:type="spellStart"/>
      <w:r w:rsidRPr="000C2BD6">
        <w:rPr>
          <w:rFonts w:ascii="Tahoma" w:hAnsi="Tahoma" w:cs="Tahoma"/>
          <w:sz w:val="20"/>
          <w:szCs w:val="20"/>
        </w:rPr>
        <w:t>behaviour</w:t>
      </w:r>
      <w:proofErr w:type="spellEnd"/>
      <w:r w:rsidRPr="000C2BD6">
        <w:rPr>
          <w:rFonts w:ascii="Tahoma" w:hAnsi="Tahoma" w:cs="Tahoma"/>
          <w:sz w:val="20"/>
          <w:szCs w:val="20"/>
        </w:rPr>
        <w:t xml:space="preserve"> on the parts of law-enforcement and medical staff on a regular basis since the latter feel immune to punishment; rightly so, as there are no norms to protect trans people. Apart from this, trans women are afraid to turn for regular medical services, as well as HIV-services, because they are afraid of being abused there, of their identity or health status being disclosed, or becoming a victim of blackmailing. The Armenian medical workers and law-enforcement officers are vastly uneducated about the nuances related to this minority group and keep exhibiting cruel </w:t>
      </w:r>
      <w:proofErr w:type="spellStart"/>
      <w:r w:rsidRPr="000C2BD6">
        <w:rPr>
          <w:rFonts w:ascii="Tahoma" w:hAnsi="Tahoma" w:cs="Tahoma"/>
          <w:sz w:val="20"/>
          <w:szCs w:val="20"/>
        </w:rPr>
        <w:t>behaviour</w:t>
      </w:r>
      <w:proofErr w:type="spellEnd"/>
      <w:r w:rsidRPr="000C2BD6">
        <w:rPr>
          <w:rFonts w:ascii="Tahoma" w:hAnsi="Tahoma" w:cs="Tahoma"/>
          <w:sz w:val="20"/>
          <w:szCs w:val="20"/>
        </w:rPr>
        <w:t xml:space="preserve"> towards them.</w:t>
      </w:r>
    </w:p>
    <w:p w14:paraId="1BEB05AC" w14:textId="77777777" w:rsidR="00312214" w:rsidRPr="000C2BD6" w:rsidRDefault="00312214">
      <w:pPr>
        <w:tabs>
          <w:tab w:val="left" w:pos="1689"/>
        </w:tabs>
        <w:spacing w:line="246" w:lineRule="auto"/>
        <w:ind w:right="826"/>
        <w:jc w:val="both"/>
        <w:rPr>
          <w:rFonts w:ascii="Tahoma" w:hAnsi="Tahoma" w:cs="Tahoma"/>
          <w:sz w:val="20"/>
          <w:szCs w:val="20"/>
        </w:rPr>
      </w:pPr>
    </w:p>
    <w:p w14:paraId="5C30794C" w14:textId="0FD49B67" w:rsidR="00312214" w:rsidRDefault="005700EB" w:rsidP="00BF662C">
      <w:pPr>
        <w:numPr>
          <w:ilvl w:val="1"/>
          <w:numId w:val="2"/>
        </w:numPr>
        <w:tabs>
          <w:tab w:val="left" w:pos="1689"/>
        </w:tabs>
        <w:spacing w:line="246" w:lineRule="auto"/>
        <w:ind w:left="1120" w:right="826" w:firstLine="5"/>
        <w:jc w:val="both"/>
        <w:rPr>
          <w:rFonts w:ascii="Tahoma" w:hAnsi="Tahoma" w:cs="Tahoma"/>
          <w:sz w:val="20"/>
          <w:szCs w:val="20"/>
        </w:rPr>
      </w:pPr>
      <w:r w:rsidRPr="00BF662C">
        <w:rPr>
          <w:rFonts w:ascii="Tahoma" w:hAnsi="Tahoma" w:cs="Tahoma"/>
          <w:sz w:val="20"/>
          <w:szCs w:val="20"/>
        </w:rPr>
        <w:t xml:space="preserve"> In another case, a trans woman A.A. came to a Yerevan medical facility </w:t>
      </w:r>
      <w:proofErr w:type="gramStart"/>
      <w:r w:rsidRPr="00BF662C">
        <w:rPr>
          <w:rFonts w:ascii="Tahoma" w:hAnsi="Tahoma" w:cs="Tahoma"/>
          <w:sz w:val="20"/>
          <w:szCs w:val="20"/>
        </w:rPr>
        <w:t>requiring  healthcare</w:t>
      </w:r>
      <w:proofErr w:type="gramEnd"/>
      <w:r w:rsidRPr="00BF662C">
        <w:rPr>
          <w:rFonts w:ascii="Tahoma" w:hAnsi="Tahoma" w:cs="Tahoma"/>
          <w:sz w:val="20"/>
          <w:szCs w:val="20"/>
        </w:rPr>
        <w:t xml:space="preserve"> in January 2019. The doctors at the medical facility guessed that the person was a trans woman based on her appearance and started mocking her. Then they started threatening her life. The victim did not provide any other details about this transphobic case. The victim was tended to by the attorney of NGO “New Generation” who explained the illegality of the incident and the ways to proceed with litigation. However, the victim refused to persecute the wrongdoers, fearing further discrimination and for her life.  In another January 2019 case, a trans sex worker got into an altercation with a passerby in a park in Yerevan. The man assaulted the trans woman. Ambulance was called. The doctor that arrived voiced he knew trans people would hang around this park and denied the trans woman medical aid. The trans woman victim was provided </w:t>
      </w:r>
      <w:r w:rsidRPr="00BF662C">
        <w:rPr>
          <w:rFonts w:ascii="Tahoma" w:hAnsi="Tahoma" w:cs="Tahoma"/>
          <w:sz w:val="20"/>
          <w:szCs w:val="20"/>
        </w:rPr>
        <w:lastRenderedPageBreak/>
        <w:t xml:space="preserve">with emergency medical aid by a worker of NGO “New Generation.” The victim refused to persecute the ones involved. In another case, a trans woman found out she had a stomach ulcer in February 2019, in Yerevan. She turned to a doctor. The doctor identified the patient as a trans woman based on her appearance and denied her medical or any kind of help. </w:t>
      </w:r>
    </w:p>
    <w:p w14:paraId="6A5A7244" w14:textId="77777777" w:rsidR="00BF662C" w:rsidRPr="00BF662C" w:rsidRDefault="00BF662C" w:rsidP="00BF662C">
      <w:pPr>
        <w:tabs>
          <w:tab w:val="left" w:pos="1689"/>
        </w:tabs>
        <w:spacing w:line="246" w:lineRule="auto"/>
        <w:ind w:left="1125" w:right="826"/>
        <w:jc w:val="both"/>
        <w:rPr>
          <w:rFonts w:ascii="Tahoma" w:hAnsi="Tahoma" w:cs="Tahoma"/>
          <w:sz w:val="20"/>
          <w:szCs w:val="20"/>
        </w:rPr>
      </w:pPr>
    </w:p>
    <w:p w14:paraId="6DD59BD5" w14:textId="13D4C8FF" w:rsidR="00312214" w:rsidRPr="00BF662C" w:rsidRDefault="005700EB" w:rsidP="00BF662C">
      <w:pPr>
        <w:numPr>
          <w:ilvl w:val="1"/>
          <w:numId w:val="2"/>
        </w:numPr>
        <w:tabs>
          <w:tab w:val="left" w:pos="1689"/>
        </w:tabs>
        <w:spacing w:line="246" w:lineRule="auto"/>
        <w:ind w:left="1120" w:right="826" w:firstLine="5"/>
        <w:jc w:val="both"/>
        <w:rPr>
          <w:rFonts w:ascii="Tahoma" w:hAnsi="Tahoma" w:cs="Tahoma"/>
          <w:sz w:val="20"/>
          <w:szCs w:val="20"/>
        </w:rPr>
      </w:pPr>
      <w:r w:rsidRPr="000C2BD6">
        <w:rPr>
          <w:rFonts w:ascii="Tahoma" w:hAnsi="Tahoma" w:cs="Tahoma"/>
          <w:sz w:val="20"/>
          <w:szCs w:val="20"/>
        </w:rPr>
        <w:t>According to ECOM’s Legis</w:t>
      </w:r>
      <w:r w:rsidR="000C2BD6" w:rsidRPr="000C2BD6">
        <w:rPr>
          <w:rFonts w:ascii="Tahoma" w:hAnsi="Tahoma" w:cs="Tahoma"/>
          <w:sz w:val="20"/>
          <w:szCs w:val="20"/>
        </w:rPr>
        <w:t>lative Analysis Related to LGBT+</w:t>
      </w:r>
      <w:r w:rsidRPr="000C2BD6">
        <w:rPr>
          <w:rFonts w:ascii="Tahoma" w:hAnsi="Tahoma" w:cs="Tahoma"/>
          <w:sz w:val="20"/>
          <w:szCs w:val="20"/>
        </w:rPr>
        <w:t xml:space="preserve"> Rights and HIV in 11 CEECA Countries (2018), there are no legal provisions that regulate the sex reassignment surgery in Armenia. Additionally, the RA Government Decision N 276, 27 March 2008, which outlines the types of medical care and services conducted for the people of Armenia, does not include sex/gender reassignment as a type of healthcare service available in the country. Trans people, as a result, face gruesome medical consequences. They either go abroad to perform the surgery and come back and do not have any ability to apply for post-surgery care and hormonal therapy. There is also danger of them not being able to re-enter Armenia because of the disparity between their new appearance and the old documents. They also sometimes invite doctors to Armenia (or turn to local doctors) and perform the surgery undercover, again, without any guarantee of a follow-up treatment and they are not protected in case the surgery is performed badly. The gender confirmation procedure should be akin to a regular administrative process without deeming trans women as psychiatrically ill and as having undergone the sex reassignment surgery to be the only reason for receiving identifying documents based on the trans person’s chosen new identity.</w:t>
      </w:r>
    </w:p>
    <w:p w14:paraId="24E9952B" w14:textId="77777777" w:rsidR="00312214" w:rsidRPr="000C2BD6" w:rsidRDefault="00312214">
      <w:pPr>
        <w:tabs>
          <w:tab w:val="left" w:pos="1689"/>
        </w:tabs>
        <w:spacing w:line="246" w:lineRule="auto"/>
        <w:ind w:right="826"/>
        <w:jc w:val="both"/>
        <w:rPr>
          <w:rFonts w:ascii="Tahoma" w:hAnsi="Tahoma" w:cs="Tahoma"/>
          <w:sz w:val="20"/>
          <w:szCs w:val="20"/>
        </w:rPr>
      </w:pPr>
    </w:p>
    <w:p w14:paraId="300C541C" w14:textId="77777777" w:rsidR="00312214" w:rsidRPr="000C2BD6" w:rsidRDefault="005700EB">
      <w:pPr>
        <w:tabs>
          <w:tab w:val="left" w:pos="1689"/>
        </w:tabs>
        <w:spacing w:line="246" w:lineRule="auto"/>
        <w:ind w:right="826"/>
        <w:jc w:val="both"/>
        <w:rPr>
          <w:rFonts w:ascii="Tahoma" w:hAnsi="Tahoma" w:cs="Tahoma"/>
          <w:b/>
          <w:sz w:val="20"/>
          <w:szCs w:val="20"/>
        </w:rPr>
      </w:pPr>
      <w:r w:rsidRPr="000C2BD6">
        <w:rPr>
          <w:rFonts w:ascii="Tahoma" w:hAnsi="Tahoma" w:cs="Tahoma"/>
          <w:b/>
          <w:sz w:val="20"/>
          <w:szCs w:val="20"/>
        </w:rPr>
        <w:t>Recommendations</w:t>
      </w:r>
    </w:p>
    <w:p w14:paraId="64038691" w14:textId="77777777" w:rsidR="00312214" w:rsidRPr="000C2BD6" w:rsidRDefault="00312214">
      <w:pPr>
        <w:tabs>
          <w:tab w:val="left" w:pos="1689"/>
        </w:tabs>
        <w:spacing w:line="246" w:lineRule="auto"/>
        <w:ind w:right="826"/>
        <w:jc w:val="both"/>
        <w:rPr>
          <w:rFonts w:ascii="Tahoma" w:hAnsi="Tahoma" w:cs="Tahoma"/>
          <w:sz w:val="20"/>
          <w:szCs w:val="20"/>
        </w:rPr>
      </w:pPr>
    </w:p>
    <w:p w14:paraId="3915A5B6" w14:textId="7B147C1B" w:rsidR="00312214" w:rsidRPr="000C2BD6" w:rsidRDefault="005700EB" w:rsidP="005700EB">
      <w:pPr>
        <w:tabs>
          <w:tab w:val="left" w:pos="1689"/>
        </w:tabs>
        <w:spacing w:line="246" w:lineRule="auto"/>
        <w:ind w:left="1080" w:right="826"/>
        <w:jc w:val="both"/>
        <w:rPr>
          <w:rFonts w:ascii="Tahoma" w:hAnsi="Tahoma" w:cs="Tahoma"/>
          <w:sz w:val="20"/>
          <w:szCs w:val="20"/>
        </w:rPr>
      </w:pPr>
      <w:r w:rsidRPr="000C2BD6">
        <w:rPr>
          <w:rFonts w:ascii="Tahoma" w:hAnsi="Tahoma" w:cs="Tahoma"/>
          <w:sz w:val="20"/>
          <w:szCs w:val="20"/>
        </w:rPr>
        <w:t xml:space="preserve">ECOM asks the Committee on the Elimination of Discrimination Against Women, during its </w:t>
      </w:r>
      <w:r w:rsidRPr="005700EB">
        <w:rPr>
          <w:rFonts w:ascii="Tahoma" w:hAnsi="Tahoma" w:cs="Tahoma"/>
          <w:sz w:val="20"/>
          <w:szCs w:val="20"/>
        </w:rPr>
        <w:t>81</w:t>
      </w:r>
      <w:r w:rsidRPr="005700EB">
        <w:rPr>
          <w:rFonts w:ascii="Tahoma" w:hAnsi="Tahoma" w:cs="Tahoma"/>
          <w:sz w:val="20"/>
          <w:szCs w:val="20"/>
          <w:vertAlign w:val="superscript"/>
        </w:rPr>
        <w:t>st</w:t>
      </w:r>
      <w:r w:rsidRPr="005700EB">
        <w:rPr>
          <w:rFonts w:ascii="Tahoma" w:hAnsi="Tahoma" w:cs="Tahoma"/>
          <w:sz w:val="20"/>
          <w:szCs w:val="20"/>
        </w:rPr>
        <w:t xml:space="preserve"> Pre-Sessional</w:t>
      </w:r>
      <w:r>
        <w:rPr>
          <w:rFonts w:ascii="Tahoma" w:hAnsi="Tahoma" w:cs="Tahoma"/>
          <w:sz w:val="20"/>
          <w:szCs w:val="20"/>
        </w:rPr>
        <w:t xml:space="preserve"> Working Group</w:t>
      </w:r>
      <w:r w:rsidRPr="000C2BD6">
        <w:rPr>
          <w:rFonts w:ascii="Tahoma" w:hAnsi="Tahoma" w:cs="Tahoma"/>
          <w:sz w:val="20"/>
          <w:szCs w:val="20"/>
        </w:rPr>
        <w:t>, to consider the following:</w:t>
      </w:r>
    </w:p>
    <w:p w14:paraId="0E8306C5" w14:textId="77777777" w:rsidR="00312214" w:rsidRPr="000C2BD6" w:rsidRDefault="00312214">
      <w:pPr>
        <w:tabs>
          <w:tab w:val="left" w:pos="1689"/>
        </w:tabs>
        <w:spacing w:line="246" w:lineRule="auto"/>
        <w:ind w:left="1080" w:right="826"/>
        <w:jc w:val="both"/>
        <w:rPr>
          <w:rFonts w:ascii="Tahoma" w:hAnsi="Tahoma" w:cs="Tahoma"/>
          <w:sz w:val="20"/>
          <w:szCs w:val="20"/>
        </w:rPr>
      </w:pPr>
    </w:p>
    <w:p w14:paraId="53A76A43" w14:textId="77777777" w:rsidR="00312214" w:rsidRPr="000C2BD6" w:rsidRDefault="005700EB">
      <w:pPr>
        <w:numPr>
          <w:ilvl w:val="0"/>
          <w:numId w:val="1"/>
        </w:numPr>
        <w:tabs>
          <w:tab w:val="left" w:pos="1689"/>
        </w:tabs>
        <w:spacing w:line="246" w:lineRule="auto"/>
        <w:ind w:right="826"/>
        <w:jc w:val="both"/>
        <w:rPr>
          <w:rFonts w:ascii="Tahoma" w:hAnsi="Tahoma" w:cs="Tahoma"/>
          <w:sz w:val="20"/>
          <w:szCs w:val="20"/>
        </w:rPr>
      </w:pPr>
      <w:r w:rsidRPr="000C2BD6">
        <w:rPr>
          <w:rFonts w:ascii="Tahoma" w:hAnsi="Tahoma" w:cs="Tahoma"/>
          <w:sz w:val="20"/>
          <w:szCs w:val="20"/>
        </w:rPr>
        <w:t>What measures has Armenia undertaken specifically to adopt legislation that would ban all forms of discrimination, including discrimination based on sexu</w:t>
      </w:r>
      <w:r>
        <w:rPr>
          <w:rFonts w:ascii="Tahoma" w:hAnsi="Tahoma" w:cs="Tahoma"/>
          <w:sz w:val="20"/>
          <w:szCs w:val="20"/>
        </w:rPr>
        <w:t>al orientation, gender identity</w:t>
      </w:r>
      <w:r w:rsidRPr="000C2BD6">
        <w:rPr>
          <w:rFonts w:ascii="Tahoma" w:hAnsi="Tahoma" w:cs="Tahoma"/>
          <w:sz w:val="20"/>
          <w:szCs w:val="20"/>
        </w:rPr>
        <w:t xml:space="preserve"> and expression?</w:t>
      </w:r>
    </w:p>
    <w:p w14:paraId="40D54F89" w14:textId="77777777" w:rsidR="00312214" w:rsidRPr="000C2BD6" w:rsidRDefault="005700EB">
      <w:pPr>
        <w:numPr>
          <w:ilvl w:val="0"/>
          <w:numId w:val="1"/>
        </w:numPr>
        <w:tabs>
          <w:tab w:val="left" w:pos="1689"/>
        </w:tabs>
        <w:spacing w:line="246" w:lineRule="auto"/>
        <w:ind w:right="826"/>
        <w:jc w:val="both"/>
        <w:rPr>
          <w:rFonts w:ascii="Tahoma" w:hAnsi="Tahoma" w:cs="Tahoma"/>
          <w:sz w:val="20"/>
          <w:szCs w:val="20"/>
        </w:rPr>
      </w:pPr>
      <w:r w:rsidRPr="000C2BD6">
        <w:rPr>
          <w:rFonts w:ascii="Tahoma" w:hAnsi="Tahoma" w:cs="Tahoma"/>
          <w:sz w:val="20"/>
          <w:szCs w:val="20"/>
        </w:rPr>
        <w:t>What activities h</w:t>
      </w:r>
      <w:r w:rsidR="000C2BD6" w:rsidRPr="000C2BD6">
        <w:rPr>
          <w:rFonts w:ascii="Tahoma" w:hAnsi="Tahoma" w:cs="Tahoma"/>
          <w:sz w:val="20"/>
          <w:szCs w:val="20"/>
        </w:rPr>
        <w:t>as Armenia done to include SOGI</w:t>
      </w:r>
      <w:r w:rsidRPr="000C2BD6">
        <w:rPr>
          <w:rFonts w:ascii="Tahoma" w:hAnsi="Tahoma" w:cs="Tahoma"/>
          <w:sz w:val="20"/>
          <w:szCs w:val="20"/>
        </w:rPr>
        <w:t>E as aggravating circumstances for committing a crime, to criminalize hate spe</w:t>
      </w:r>
      <w:r w:rsidR="000C2BD6" w:rsidRPr="000C2BD6">
        <w:rPr>
          <w:rFonts w:ascii="Tahoma" w:hAnsi="Tahoma" w:cs="Tahoma"/>
          <w:sz w:val="20"/>
          <w:szCs w:val="20"/>
        </w:rPr>
        <w:t>ech and hate acts based on SOGI</w:t>
      </w:r>
      <w:r w:rsidRPr="000C2BD6">
        <w:rPr>
          <w:rFonts w:ascii="Tahoma" w:hAnsi="Tahoma" w:cs="Tahoma"/>
          <w:sz w:val="20"/>
          <w:szCs w:val="20"/>
        </w:rPr>
        <w:t>E?</w:t>
      </w:r>
    </w:p>
    <w:p w14:paraId="5259088B" w14:textId="77777777" w:rsidR="00312214" w:rsidRPr="000C2BD6" w:rsidRDefault="005700EB">
      <w:pPr>
        <w:numPr>
          <w:ilvl w:val="0"/>
          <w:numId w:val="1"/>
        </w:numPr>
        <w:tabs>
          <w:tab w:val="left" w:pos="1689"/>
        </w:tabs>
        <w:spacing w:line="246" w:lineRule="auto"/>
        <w:ind w:right="826"/>
        <w:jc w:val="both"/>
        <w:rPr>
          <w:rFonts w:ascii="Tahoma" w:hAnsi="Tahoma" w:cs="Tahoma"/>
          <w:sz w:val="20"/>
          <w:szCs w:val="20"/>
        </w:rPr>
      </w:pPr>
      <w:r w:rsidRPr="000C2BD6">
        <w:rPr>
          <w:rFonts w:ascii="Tahoma" w:hAnsi="Tahoma" w:cs="Tahoma"/>
          <w:sz w:val="20"/>
          <w:szCs w:val="20"/>
        </w:rPr>
        <w:t xml:space="preserve">What steps has Armenia taken to exclude homosexuality, gender dysphoria, and </w:t>
      </w:r>
      <w:r>
        <w:rPr>
          <w:rFonts w:ascii="Tahoma" w:hAnsi="Tahoma" w:cs="Tahoma"/>
          <w:sz w:val="20"/>
          <w:szCs w:val="20"/>
        </w:rPr>
        <w:t>“</w:t>
      </w:r>
      <w:r w:rsidRPr="000C2BD6">
        <w:rPr>
          <w:rFonts w:ascii="Tahoma" w:hAnsi="Tahoma" w:cs="Tahoma"/>
          <w:sz w:val="20"/>
          <w:szCs w:val="20"/>
        </w:rPr>
        <w:t>transsexualism</w:t>
      </w:r>
      <w:r>
        <w:rPr>
          <w:rFonts w:ascii="Tahoma" w:hAnsi="Tahoma" w:cs="Tahoma"/>
          <w:sz w:val="20"/>
          <w:szCs w:val="20"/>
        </w:rPr>
        <w:t>”</w:t>
      </w:r>
      <w:r w:rsidRPr="000C2BD6">
        <w:rPr>
          <w:rFonts w:ascii="Tahoma" w:hAnsi="Tahoma" w:cs="Tahoma"/>
          <w:sz w:val="20"/>
          <w:szCs w:val="20"/>
        </w:rPr>
        <w:t xml:space="preserve"> or any other related terms from its list of psychiatric disorders as per the recommendations and data available in ICD-10 and ICD-11?</w:t>
      </w:r>
    </w:p>
    <w:p w14:paraId="54184EF6" w14:textId="77777777" w:rsidR="00312214" w:rsidRPr="000C2BD6" w:rsidRDefault="005700EB">
      <w:pPr>
        <w:numPr>
          <w:ilvl w:val="0"/>
          <w:numId w:val="1"/>
        </w:numPr>
        <w:tabs>
          <w:tab w:val="left" w:pos="1689"/>
        </w:tabs>
        <w:spacing w:line="246" w:lineRule="auto"/>
        <w:ind w:right="826"/>
        <w:jc w:val="both"/>
        <w:rPr>
          <w:rFonts w:ascii="Tahoma" w:hAnsi="Tahoma" w:cs="Tahoma"/>
          <w:sz w:val="20"/>
          <w:szCs w:val="20"/>
        </w:rPr>
      </w:pPr>
      <w:r w:rsidRPr="000C2BD6">
        <w:rPr>
          <w:rFonts w:ascii="Tahoma" w:hAnsi="Tahoma" w:cs="Tahoma"/>
          <w:sz w:val="20"/>
          <w:szCs w:val="20"/>
        </w:rPr>
        <w:t>What has Armenia undertaken to adopt an evidence-based, progressive national HIV-prevention plan that would include LBT women as individual key population groups, allocate the necessary resources for their HIV-coverage, and that would start gathering proper HIV-statistics in relation to LBT women?</w:t>
      </w:r>
    </w:p>
    <w:p w14:paraId="439A1200" w14:textId="77777777" w:rsidR="00312214" w:rsidRPr="000C2BD6" w:rsidRDefault="005700EB">
      <w:pPr>
        <w:numPr>
          <w:ilvl w:val="0"/>
          <w:numId w:val="1"/>
        </w:numPr>
        <w:tabs>
          <w:tab w:val="left" w:pos="1689"/>
        </w:tabs>
        <w:spacing w:line="246" w:lineRule="auto"/>
        <w:ind w:right="826"/>
        <w:jc w:val="both"/>
        <w:rPr>
          <w:rFonts w:ascii="Tahoma" w:hAnsi="Tahoma" w:cs="Tahoma"/>
          <w:sz w:val="20"/>
          <w:szCs w:val="20"/>
        </w:rPr>
      </w:pPr>
      <w:r w:rsidRPr="000C2BD6">
        <w:rPr>
          <w:rFonts w:ascii="Tahoma" w:hAnsi="Tahoma" w:cs="Tahoma"/>
          <w:sz w:val="20"/>
          <w:szCs w:val="20"/>
        </w:rPr>
        <w:t>What has Armenia done to create and adopt a progressive, evidence-based legislative framework for legal gender recognition and change of gender markers for trans people at large, making gender recognition akin to a regular administrative process, as well as eli</w:t>
      </w:r>
      <w:r>
        <w:rPr>
          <w:rFonts w:ascii="Tahoma" w:hAnsi="Tahoma" w:cs="Tahoma"/>
          <w:sz w:val="20"/>
          <w:szCs w:val="20"/>
        </w:rPr>
        <w:t>minating the need to undergo gender</w:t>
      </w:r>
      <w:r w:rsidRPr="000C2BD6">
        <w:rPr>
          <w:rFonts w:ascii="Tahoma" w:hAnsi="Tahoma" w:cs="Tahoma"/>
          <w:sz w:val="20"/>
          <w:szCs w:val="20"/>
        </w:rPr>
        <w:t xml:space="preserve"> reassignment surgery as the only valid reason</w:t>
      </w:r>
      <w:r>
        <w:rPr>
          <w:rFonts w:ascii="Tahoma" w:hAnsi="Tahoma" w:cs="Tahoma"/>
          <w:sz w:val="20"/>
          <w:szCs w:val="20"/>
        </w:rPr>
        <w:t>in</w:t>
      </w:r>
      <w:r w:rsidRPr="000C2BD6">
        <w:rPr>
          <w:rFonts w:ascii="Tahoma" w:hAnsi="Tahoma" w:cs="Tahoma"/>
          <w:sz w:val="20"/>
          <w:szCs w:val="20"/>
        </w:rPr>
        <w:t>g for changing one’s gender?</w:t>
      </w:r>
    </w:p>
    <w:p w14:paraId="2DBF4196" w14:textId="77777777" w:rsidR="00312214" w:rsidRDefault="00312214">
      <w:pPr>
        <w:tabs>
          <w:tab w:val="left" w:pos="1689"/>
        </w:tabs>
        <w:spacing w:line="246" w:lineRule="auto"/>
        <w:ind w:left="1440" w:right="826"/>
        <w:jc w:val="both"/>
        <w:rPr>
          <w:sz w:val="18"/>
          <w:szCs w:val="18"/>
        </w:rPr>
      </w:pPr>
    </w:p>
    <w:sectPr w:rsidR="00312214">
      <w:headerReference w:type="default" r:id="rId10"/>
      <w:headerReference w:type="first" r:id="rId11"/>
      <w:type w:val="continuous"/>
      <w:pgSz w:w="11900" w:h="16841"/>
      <w:pgMar w:top="650" w:right="1126" w:bottom="567" w:left="114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072BE3C" w14:textId="77777777" w:rsidR="00E932B7" w:rsidRDefault="00E932B7">
      <w:r>
        <w:separator/>
      </w:r>
    </w:p>
  </w:endnote>
  <w:endnote w:type="continuationSeparator" w:id="0">
    <w:p w14:paraId="0CFD85B5" w14:textId="77777777" w:rsidR="00E932B7" w:rsidRDefault="00E93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Georgia">
    <w:altName w:val="﷽﷽﷽﷽﷽﷽﷽﷽÷怀"/>
    <w:panose1 w:val="020405020504050203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23CA99" w14:textId="77777777" w:rsidR="00E932B7" w:rsidRDefault="00E932B7">
      <w:r>
        <w:separator/>
      </w:r>
    </w:p>
  </w:footnote>
  <w:footnote w:type="continuationSeparator" w:id="0">
    <w:p w14:paraId="339F1AD7" w14:textId="77777777" w:rsidR="00E932B7" w:rsidRDefault="00E932B7">
      <w:r>
        <w:continuationSeparator/>
      </w:r>
    </w:p>
  </w:footnote>
  <w:footnote w:id="1">
    <w:p w14:paraId="17843A79" w14:textId="77777777" w:rsidR="00312214" w:rsidRPr="009C5BAF" w:rsidRDefault="005700EB">
      <w:pPr>
        <w:rPr>
          <w:rFonts w:ascii="Tahoma" w:hAnsi="Tahoma" w:cs="Tahoma"/>
          <w:sz w:val="16"/>
          <w:szCs w:val="16"/>
        </w:rPr>
      </w:pPr>
      <w:r w:rsidRPr="009C5BAF">
        <w:rPr>
          <w:rFonts w:ascii="Tahoma" w:hAnsi="Tahoma" w:cs="Tahoma"/>
          <w:sz w:val="16"/>
          <w:szCs w:val="16"/>
          <w:vertAlign w:val="superscript"/>
        </w:rPr>
        <w:footnoteRef/>
      </w:r>
      <w:r w:rsidRPr="009C5BAF">
        <w:rPr>
          <w:rFonts w:ascii="Tahoma" w:hAnsi="Tahoma" w:cs="Tahoma"/>
          <w:sz w:val="16"/>
          <w:szCs w:val="16"/>
        </w:rPr>
        <w:t xml:space="preserve"> WHO on </w:t>
      </w:r>
      <w:proofErr w:type="gramStart"/>
      <w:r w:rsidRPr="009C5BAF">
        <w:rPr>
          <w:rFonts w:ascii="Tahoma" w:hAnsi="Tahoma" w:cs="Tahoma"/>
          <w:sz w:val="16"/>
          <w:szCs w:val="16"/>
        </w:rPr>
        <w:t>Gender,</w:t>
      </w:r>
      <w:proofErr w:type="gramEnd"/>
      <w:hyperlink r:id="rId1">
        <w:r w:rsidRPr="009C5BAF">
          <w:rPr>
            <w:rFonts w:ascii="Tahoma" w:hAnsi="Tahoma" w:cs="Tahoma"/>
            <w:sz w:val="16"/>
            <w:szCs w:val="16"/>
          </w:rPr>
          <w:t xml:space="preserve"> </w:t>
        </w:r>
      </w:hyperlink>
      <w:hyperlink r:id="rId2">
        <w:r w:rsidRPr="009C5BAF">
          <w:rPr>
            <w:rFonts w:ascii="Tahoma" w:hAnsi="Tahoma" w:cs="Tahoma"/>
            <w:color w:val="1155CC"/>
            <w:sz w:val="16"/>
            <w:szCs w:val="16"/>
            <w:u w:val="single"/>
          </w:rPr>
          <w:t>https://www.who.int/health-topics/gender</w:t>
        </w:r>
      </w:hyperlink>
    </w:p>
  </w:footnote>
  <w:footnote w:id="2">
    <w:p w14:paraId="46C3EFD3" w14:textId="77777777" w:rsidR="00312214" w:rsidRDefault="005700EB">
      <w:pPr>
        <w:rPr>
          <w:sz w:val="20"/>
          <w:szCs w:val="20"/>
        </w:rPr>
      </w:pPr>
      <w:r w:rsidRPr="009C5BAF">
        <w:rPr>
          <w:rFonts w:ascii="Tahoma" w:hAnsi="Tahoma" w:cs="Tahoma"/>
          <w:sz w:val="16"/>
          <w:szCs w:val="16"/>
          <w:vertAlign w:val="superscript"/>
        </w:rPr>
        <w:footnoteRef/>
      </w:r>
      <w:r w:rsidRPr="009C5BAF">
        <w:rPr>
          <w:rFonts w:ascii="Tahoma" w:hAnsi="Tahoma" w:cs="Tahoma"/>
          <w:sz w:val="16"/>
          <w:szCs w:val="16"/>
        </w:rPr>
        <w:t xml:space="preserve"> </w:t>
      </w:r>
      <w:hyperlink r:id="rId3">
        <w:r w:rsidRPr="009C5BAF">
          <w:rPr>
            <w:rFonts w:ascii="Tahoma" w:hAnsi="Tahoma" w:cs="Tahoma"/>
            <w:color w:val="0070C0"/>
            <w:sz w:val="16"/>
            <w:szCs w:val="16"/>
            <w:u w:val="single"/>
          </w:rPr>
          <w:t>https://www.e-draft.am/projects/1801/about</w:t>
        </w:r>
      </w:hyperlink>
    </w:p>
  </w:footnote>
  <w:footnote w:id="3">
    <w:p w14:paraId="65D45082" w14:textId="77777777" w:rsidR="00312214" w:rsidRPr="00653868" w:rsidRDefault="005700EB">
      <w:pPr>
        <w:rPr>
          <w:rFonts w:ascii="Tahoma" w:hAnsi="Tahoma" w:cs="Tahoma"/>
          <w:sz w:val="16"/>
          <w:szCs w:val="16"/>
        </w:rPr>
      </w:pPr>
      <w:r w:rsidRPr="00653868">
        <w:rPr>
          <w:rFonts w:ascii="Tahoma" w:hAnsi="Tahoma" w:cs="Tahoma"/>
          <w:sz w:val="16"/>
          <w:szCs w:val="16"/>
          <w:vertAlign w:val="superscript"/>
        </w:rPr>
        <w:footnoteRef/>
      </w:r>
      <w:r w:rsidRPr="00653868">
        <w:rPr>
          <w:rFonts w:ascii="Tahoma" w:hAnsi="Tahoma" w:cs="Tahoma"/>
          <w:sz w:val="16"/>
          <w:szCs w:val="16"/>
        </w:rPr>
        <w:t xml:space="preserve"> Criminal Code of Armenia,</w:t>
      </w:r>
      <w:hyperlink r:id="rId4">
        <w:r w:rsidRPr="00653868">
          <w:rPr>
            <w:rFonts w:ascii="Tahoma" w:hAnsi="Tahoma" w:cs="Tahoma"/>
            <w:sz w:val="16"/>
            <w:szCs w:val="16"/>
          </w:rPr>
          <w:t xml:space="preserve"> </w:t>
        </w:r>
      </w:hyperlink>
      <w:hyperlink r:id="rId5">
        <w:r w:rsidRPr="00653868">
          <w:rPr>
            <w:rFonts w:ascii="Tahoma" w:hAnsi="Tahoma" w:cs="Tahoma"/>
            <w:color w:val="1155CC"/>
            <w:sz w:val="16"/>
            <w:szCs w:val="16"/>
            <w:u w:val="single"/>
          </w:rPr>
          <w:t>http://www.parliament.am/legislation.php?sel=show&amp;ID=1349&amp;lang=rus</w:t>
        </w:r>
      </w:hyperlink>
    </w:p>
  </w:footnote>
  <w:footnote w:id="4">
    <w:p w14:paraId="1D2189C8" w14:textId="77777777" w:rsidR="00312214" w:rsidRPr="00653868" w:rsidRDefault="005700EB">
      <w:pPr>
        <w:rPr>
          <w:rFonts w:ascii="Tahoma" w:hAnsi="Tahoma" w:cs="Tahoma"/>
          <w:sz w:val="16"/>
          <w:szCs w:val="16"/>
        </w:rPr>
      </w:pPr>
      <w:r w:rsidRPr="00653868">
        <w:rPr>
          <w:rFonts w:ascii="Tahoma" w:hAnsi="Tahoma" w:cs="Tahoma"/>
          <w:sz w:val="16"/>
          <w:szCs w:val="16"/>
          <w:vertAlign w:val="superscript"/>
        </w:rPr>
        <w:footnoteRef/>
      </w:r>
      <w:r w:rsidRPr="00653868">
        <w:rPr>
          <w:rFonts w:ascii="Tahoma" w:hAnsi="Tahoma" w:cs="Tahoma"/>
          <w:sz w:val="16"/>
          <w:szCs w:val="16"/>
        </w:rPr>
        <w:t xml:space="preserve"> Ibid. </w:t>
      </w:r>
    </w:p>
  </w:footnote>
  <w:footnote w:id="5">
    <w:p w14:paraId="2AAF8F7B" w14:textId="77777777" w:rsidR="00312214" w:rsidRPr="00653868" w:rsidRDefault="005700EB">
      <w:pPr>
        <w:rPr>
          <w:rFonts w:ascii="Tahoma" w:hAnsi="Tahoma" w:cs="Tahoma"/>
          <w:sz w:val="16"/>
          <w:szCs w:val="16"/>
        </w:rPr>
      </w:pPr>
      <w:r w:rsidRPr="00653868">
        <w:rPr>
          <w:rFonts w:ascii="Tahoma" w:hAnsi="Tahoma" w:cs="Tahoma"/>
          <w:sz w:val="16"/>
          <w:szCs w:val="16"/>
          <w:vertAlign w:val="superscript"/>
        </w:rPr>
        <w:footnoteRef/>
      </w:r>
      <w:r w:rsidRPr="00653868">
        <w:rPr>
          <w:rFonts w:ascii="Tahoma" w:hAnsi="Tahoma" w:cs="Tahoma"/>
          <w:sz w:val="16"/>
          <w:szCs w:val="16"/>
        </w:rPr>
        <w:t xml:space="preserve">  Criminal Code of Armenia,</w:t>
      </w:r>
      <w:hyperlink r:id="rId6">
        <w:r w:rsidRPr="00653868">
          <w:rPr>
            <w:rFonts w:ascii="Tahoma" w:hAnsi="Tahoma" w:cs="Tahoma"/>
            <w:sz w:val="16"/>
            <w:szCs w:val="16"/>
          </w:rPr>
          <w:t xml:space="preserve"> </w:t>
        </w:r>
      </w:hyperlink>
      <w:hyperlink r:id="rId7">
        <w:r w:rsidRPr="00653868">
          <w:rPr>
            <w:rFonts w:ascii="Tahoma" w:hAnsi="Tahoma" w:cs="Tahoma"/>
            <w:color w:val="1155CC"/>
            <w:sz w:val="16"/>
            <w:szCs w:val="16"/>
            <w:u w:val="single"/>
          </w:rPr>
          <w:t>http://www.parliament.am/legislation.php?sel=show&amp;ID=1349&amp;lang=rus</w:t>
        </w:r>
      </w:hyperlink>
      <w:r w:rsidRPr="00653868">
        <w:rPr>
          <w:rFonts w:ascii="Tahoma" w:hAnsi="Tahoma" w:cs="Tahoma"/>
          <w:sz w:val="16"/>
          <w:szCs w:val="16"/>
        </w:rPr>
        <w:t xml:space="preserve"> </w:t>
      </w:r>
    </w:p>
  </w:footnote>
  <w:footnote w:id="6">
    <w:p w14:paraId="2C2022A6" w14:textId="77777777" w:rsidR="00312214" w:rsidRDefault="005700EB">
      <w:pPr>
        <w:rPr>
          <w:sz w:val="16"/>
          <w:szCs w:val="16"/>
        </w:rPr>
      </w:pPr>
      <w:r w:rsidRPr="00653868">
        <w:rPr>
          <w:rFonts w:ascii="Tahoma" w:hAnsi="Tahoma" w:cs="Tahoma"/>
          <w:sz w:val="16"/>
          <w:szCs w:val="16"/>
          <w:vertAlign w:val="superscript"/>
        </w:rPr>
        <w:footnoteRef/>
      </w:r>
      <w:r w:rsidRPr="00653868">
        <w:rPr>
          <w:rFonts w:ascii="Tahoma" w:hAnsi="Tahoma" w:cs="Tahoma"/>
          <w:sz w:val="16"/>
          <w:szCs w:val="16"/>
        </w:rPr>
        <w:t xml:space="preserve"> Ibid.</w:t>
      </w:r>
      <w:r>
        <w:rPr>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74A234" w14:textId="77777777" w:rsidR="000C2BD6" w:rsidRDefault="000C2BD6">
    <w:pPr>
      <w:pStyle w:val="Header"/>
    </w:pPr>
  </w:p>
  <w:p w14:paraId="4B7F66AD" w14:textId="77777777" w:rsidR="000C2BD6" w:rsidRDefault="000C2BD6">
    <w:pPr>
      <w:pStyle w:val="Header"/>
    </w:pPr>
  </w:p>
  <w:p w14:paraId="7192E71E" w14:textId="77777777" w:rsidR="000C2BD6" w:rsidRDefault="000C2BD6">
    <w:pPr>
      <w:pStyle w:val="Header"/>
    </w:pPr>
  </w:p>
  <w:p w14:paraId="2BB955CC" w14:textId="77777777" w:rsidR="000C2BD6" w:rsidRDefault="000C2BD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99F4EA" w14:textId="77777777" w:rsidR="00312214" w:rsidRDefault="00312214">
    <w:pP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5D427C"/>
    <w:multiLevelType w:val="multilevel"/>
    <w:tmpl w:val="BAD86056"/>
    <w:lvl w:ilvl="0">
      <w:start w:val="1"/>
      <w:numFmt w:val="upperLetter"/>
      <w:lvlText w:val="%1"/>
      <w:lvlJc w:val="left"/>
      <w:pPr>
        <w:ind w:left="0" w:firstLine="0"/>
      </w:pPr>
    </w:lvl>
    <w:lvl w:ilvl="1">
      <w:start w:val="1"/>
      <w:numFmt w:val="decimal"/>
      <w:lvlText w:val="%2."/>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2B1E5B0A"/>
    <w:multiLevelType w:val="multilevel"/>
    <w:tmpl w:val="C608C2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612E5ED1"/>
    <w:multiLevelType w:val="multilevel"/>
    <w:tmpl w:val="A3E27F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214"/>
    <w:rsid w:val="000C2BD6"/>
    <w:rsid w:val="002956BC"/>
    <w:rsid w:val="00312214"/>
    <w:rsid w:val="004116F1"/>
    <w:rsid w:val="005700EB"/>
    <w:rsid w:val="00653868"/>
    <w:rsid w:val="007B5247"/>
    <w:rsid w:val="00865E74"/>
    <w:rsid w:val="008B56DC"/>
    <w:rsid w:val="009C5BAF"/>
    <w:rsid w:val="00AE2BBC"/>
    <w:rsid w:val="00BF662C"/>
    <w:rsid w:val="00C43747"/>
    <w:rsid w:val="00CD3C9C"/>
    <w:rsid w:val="00CE20EA"/>
    <w:rsid w:val="00D42E04"/>
    <w:rsid w:val="00DC0289"/>
    <w:rsid w:val="00E932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7264F"/>
  <w15:docId w15:val="{9B155164-C1FB-4DC2-BBDA-CEB5F209D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0C2BD6"/>
    <w:pPr>
      <w:tabs>
        <w:tab w:val="center" w:pos="4844"/>
        <w:tab w:val="right" w:pos="9689"/>
      </w:tabs>
    </w:pPr>
  </w:style>
  <w:style w:type="character" w:customStyle="1" w:styleId="HeaderChar">
    <w:name w:val="Header Char"/>
    <w:basedOn w:val="DefaultParagraphFont"/>
    <w:link w:val="Header"/>
    <w:uiPriority w:val="99"/>
    <w:rsid w:val="000C2BD6"/>
  </w:style>
  <w:style w:type="paragraph" w:styleId="Footer">
    <w:name w:val="footer"/>
    <w:basedOn w:val="Normal"/>
    <w:link w:val="FooterChar"/>
    <w:uiPriority w:val="99"/>
    <w:unhideWhenUsed/>
    <w:rsid w:val="000C2BD6"/>
    <w:pPr>
      <w:tabs>
        <w:tab w:val="center" w:pos="4844"/>
        <w:tab w:val="right" w:pos="9689"/>
      </w:tabs>
    </w:pPr>
  </w:style>
  <w:style w:type="character" w:customStyle="1" w:styleId="FooterChar">
    <w:name w:val="Footer Char"/>
    <w:basedOn w:val="DefaultParagraphFont"/>
    <w:link w:val="Footer"/>
    <w:uiPriority w:val="99"/>
    <w:rsid w:val="000C2BD6"/>
  </w:style>
  <w:style w:type="paragraph" w:styleId="NormalWeb">
    <w:name w:val="Normal (Web)"/>
    <w:basedOn w:val="Normal"/>
    <w:uiPriority w:val="99"/>
    <w:unhideWhenUsed/>
    <w:rsid w:val="000C2BD6"/>
    <w:pPr>
      <w:spacing w:before="100" w:beforeAutospacing="1" w:after="100" w:afterAutospacing="1"/>
    </w:pPr>
    <w:rPr>
      <w:sz w:val="24"/>
      <w:szCs w:val="24"/>
      <w:lang w:eastAsia="en-GB"/>
    </w:rPr>
  </w:style>
  <w:style w:type="character" w:customStyle="1" w:styleId="InternetLink">
    <w:name w:val="Internet Link"/>
    <w:basedOn w:val="DefaultParagraphFont"/>
    <w:uiPriority w:val="99"/>
    <w:unhideWhenUsed/>
    <w:rsid w:val="000C2BD6"/>
    <w:rPr>
      <w:color w:val="0000FF" w:themeColor="hyperlink"/>
      <w:u w:val="single"/>
    </w:rPr>
  </w:style>
  <w:style w:type="table" w:styleId="TableGrid">
    <w:name w:val="Table Grid"/>
    <w:basedOn w:val="TableNormal"/>
    <w:uiPriority w:val="39"/>
    <w:rsid w:val="000C2B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116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ecom.ng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yuri@ecom.ngo" TargetMode="External"/><Relationship Id="rId14" Type="http://schemas.openxmlformats.org/officeDocument/2006/relationships/customXml" Target="../customXml/item1.xml"/></Relationships>
</file>

<file path=word/_rels/footnotes.xml.rels><?xml version="1.0" encoding="UTF-8" standalone="yes"?>
<Relationships xmlns="http://schemas.openxmlformats.org/package/2006/relationships"><Relationship Id="rId3" Type="http://schemas.openxmlformats.org/officeDocument/2006/relationships/hyperlink" Target="https://www.e-draft.am/projects/1801/about" TargetMode="External"/><Relationship Id="rId7" Type="http://schemas.openxmlformats.org/officeDocument/2006/relationships/hyperlink" Target="http://www.parliament.am/legislation.php?sel=show&amp;ID=1349&amp;lang=rus" TargetMode="External"/><Relationship Id="rId2" Type="http://schemas.openxmlformats.org/officeDocument/2006/relationships/hyperlink" Target="https://www.who.int/health-topics/gender" TargetMode="External"/><Relationship Id="rId1" Type="http://schemas.openxmlformats.org/officeDocument/2006/relationships/hyperlink" Target="https://www.who.int/health-topics/gender" TargetMode="External"/><Relationship Id="rId6" Type="http://schemas.openxmlformats.org/officeDocument/2006/relationships/hyperlink" Target="http://www.parliament.am/legislation.php?sel=show&amp;ID=1349&amp;lang=rus" TargetMode="External"/><Relationship Id="rId5" Type="http://schemas.openxmlformats.org/officeDocument/2006/relationships/hyperlink" Target="http://www.parliament.am/legislation.php?sel=show&amp;ID=1349&amp;lang=rus" TargetMode="External"/><Relationship Id="rId4" Type="http://schemas.openxmlformats.org/officeDocument/2006/relationships/hyperlink" Target="http://www.parliament.am/legislation.php?sel=show&amp;ID=1349&amp;lang=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0C634F-45B1-441D-A0CD-16004434DA78}"/>
</file>

<file path=customXml/itemProps2.xml><?xml version="1.0" encoding="utf-8"?>
<ds:datastoreItem xmlns:ds="http://schemas.openxmlformats.org/officeDocument/2006/customXml" ds:itemID="{96BDE72F-EF48-48D8-8DBD-61F12F092C69}"/>
</file>

<file path=customXml/itemProps3.xml><?xml version="1.0" encoding="utf-8"?>
<ds:datastoreItem xmlns:ds="http://schemas.openxmlformats.org/officeDocument/2006/customXml" ds:itemID="{953EF2EE-56F0-45F8-9073-0766AFF2274B}"/>
</file>

<file path=docProps/app.xml><?xml version="1.0" encoding="utf-8"?>
<Properties xmlns="http://schemas.openxmlformats.org/officeDocument/2006/extended-properties" xmlns:vt="http://schemas.openxmlformats.org/officeDocument/2006/docPropsVTypes">
  <Template>Normal.dotm</Template>
  <TotalTime>99</TotalTime>
  <Pages>7</Pages>
  <Words>3359</Words>
  <Characters>18413</Characters>
  <Application>Microsoft Office Word</Application>
  <DocSecurity>0</DocSecurity>
  <Lines>301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Yuri Yoursky</cp:lastModifiedBy>
  <cp:revision>8</cp:revision>
  <cp:lastPrinted>2021-06-07T12:54:00Z</cp:lastPrinted>
  <dcterms:created xsi:type="dcterms:W3CDTF">2021-06-07T11:41:00Z</dcterms:created>
  <dcterms:modified xsi:type="dcterms:W3CDTF">2021-06-09T08:58:00Z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