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E3C" w:rsidRPr="00EE6CCD" w:rsidRDefault="00A73E3C" w:rsidP="00CC64DC">
      <w:pPr>
        <w:bidi/>
        <w:rPr>
          <w:rFonts w:cs="Calibri"/>
          <w:b/>
          <w:bCs/>
          <w:i/>
          <w:iCs/>
          <w:rtl/>
          <w:lang w:bidi="ar-LB"/>
        </w:rPr>
      </w:pPr>
      <w:bookmarkStart w:id="0" w:name="_GoBack"/>
      <w:bookmarkEnd w:id="0"/>
      <w:r w:rsidRPr="00EE6CCD">
        <w:rPr>
          <w:rFonts w:cs="Calibri" w:hint="cs"/>
          <w:b/>
          <w:bCs/>
          <w:i/>
          <w:iCs/>
          <w:rtl/>
          <w:lang w:bidi="ar-LB"/>
        </w:rPr>
        <w:t>رد المنظمة الأوروبية السعودية لحقوق الإنسان على المعلومات التي قدمتها المملكة العربية السعودية إلى لجنة مناهضة التعذيب</w:t>
      </w:r>
    </w:p>
    <w:p w:rsidR="001351F0" w:rsidRPr="00EE6CCD" w:rsidRDefault="001351F0" w:rsidP="001351F0">
      <w:pPr>
        <w:bidi/>
        <w:rPr>
          <w:rFonts w:cs="Calibri"/>
          <w:b/>
          <w:bCs/>
          <w:rtl/>
          <w:lang w:bidi="ar-LB"/>
        </w:rPr>
      </w:pPr>
      <w:r w:rsidRPr="00EE6CCD">
        <w:rPr>
          <w:rFonts w:cs="Calibri" w:hint="cs"/>
          <w:b/>
          <w:bCs/>
          <w:rtl/>
          <w:lang w:bidi="ar-LB"/>
        </w:rPr>
        <w:t>المدافعين عن حقوق الإنسان والصحفيين</w:t>
      </w:r>
    </w:p>
    <w:p w:rsidR="00A73E3C" w:rsidRPr="00EE6CCD" w:rsidRDefault="00A73E3C" w:rsidP="00232B21">
      <w:pPr>
        <w:bidi/>
        <w:rPr>
          <w:rFonts w:cs="Calibri"/>
          <w:rtl/>
          <w:lang w:bidi="ar-LB"/>
        </w:rPr>
      </w:pPr>
      <w:r w:rsidRPr="00EE6CCD">
        <w:rPr>
          <w:rFonts w:cs="Calibri" w:hint="cs"/>
          <w:rtl/>
          <w:lang w:bidi="ar-LB"/>
        </w:rPr>
        <w:t>لم يقدم الرد السعودي</w:t>
      </w:r>
      <w:r w:rsidR="0065281D" w:rsidRPr="00EE6CCD">
        <w:rPr>
          <w:rFonts w:cs="Calibri" w:hint="cs"/>
          <w:rtl/>
          <w:lang w:bidi="ar-LB"/>
        </w:rPr>
        <w:t xml:space="preserve"> </w:t>
      </w:r>
      <w:r w:rsidR="00232B21" w:rsidRPr="00EE6CCD">
        <w:rPr>
          <w:rFonts w:cs="Calibri" w:hint="cs"/>
          <w:rtl/>
          <w:lang w:bidi="ar-LB"/>
        </w:rPr>
        <w:t xml:space="preserve">على لجنة مناهضة التعذيب، معلومات عن متابعة التوصيات، حيث لم ترد </w:t>
      </w:r>
      <w:r w:rsidR="0065281D" w:rsidRPr="00EE6CCD">
        <w:rPr>
          <w:rFonts w:cs="Calibri" w:hint="cs"/>
          <w:rtl/>
          <w:lang w:bidi="ar-LB"/>
        </w:rPr>
        <w:t xml:space="preserve"> على عدد من الطلبات الشفهية والخطية التي طلبتها اللجنة </w:t>
      </w:r>
      <w:r w:rsidR="00232B21" w:rsidRPr="00EE6CCD">
        <w:rPr>
          <w:rFonts w:cs="Calibri" w:hint="cs"/>
          <w:rtl/>
          <w:lang w:bidi="ar-LB"/>
        </w:rPr>
        <w:t>فيما يتعلق بقضية رائف بدوي</w:t>
      </w:r>
      <w:r w:rsidR="0065281D" w:rsidRPr="00EE6CCD">
        <w:rPr>
          <w:rFonts w:cs="Calibri" w:hint="cs"/>
          <w:rtl/>
          <w:lang w:bidi="ar-LB"/>
        </w:rPr>
        <w:t>. وعلى الرغم من عدم ظهور أي معلومات جديدة حول جلده بعد أول عملية جلد علني قامت بها الحكومة في يناير 2015 في مدينة جدة، إلا أنه لا زال معتقلا بموجب حكم صدر ضده بالسجن 10 سنوات والجلد 1000 جلدة.</w:t>
      </w:r>
    </w:p>
    <w:p w:rsidR="0065281D" w:rsidRDefault="0065281D" w:rsidP="001351F0">
      <w:pPr>
        <w:bidi/>
        <w:rPr>
          <w:rFonts w:cs="Calibri"/>
          <w:rtl/>
          <w:lang w:bidi="ar-LB"/>
        </w:rPr>
      </w:pPr>
      <w:r w:rsidRPr="00EE6CCD">
        <w:rPr>
          <w:rFonts w:cs="Calibri" w:hint="cs"/>
          <w:rtl/>
          <w:lang w:bidi="ar-LB"/>
        </w:rPr>
        <w:t>وحول سؤال المنظمة عن المدافعين عن حقوق الإنسان، لم تشر السعودية إلى ان الأسماء التي ذ</w:t>
      </w:r>
      <w:r w:rsidR="00DC1DED" w:rsidRPr="00EE6CCD">
        <w:rPr>
          <w:rFonts w:cs="Calibri" w:hint="cs"/>
          <w:rtl/>
          <w:lang w:bidi="ar-LB"/>
        </w:rPr>
        <w:t xml:space="preserve">كرتها اللجنة لا زالت معتقلة وهم </w:t>
      </w:r>
      <w:r w:rsidR="00DC1DED" w:rsidRPr="00DC1DED">
        <w:rPr>
          <w:rFonts w:cs="Calibri"/>
          <w:rtl/>
          <w:lang w:bidi="ar-LB"/>
        </w:rPr>
        <w:t>عبد الكريم الخضر</w:t>
      </w:r>
      <w:r w:rsidR="00DC1DED">
        <w:rPr>
          <w:rFonts w:cs="Calibri"/>
          <w:rtl/>
          <w:lang w:bidi="ar-LB"/>
        </w:rPr>
        <w:t>، ووليد أبو الخير، وعمر السعيد،</w:t>
      </w:r>
      <w:r w:rsidR="00DC1DED" w:rsidRPr="00DC1DED">
        <w:rPr>
          <w:rFonts w:cs="Calibri"/>
          <w:rtl/>
          <w:lang w:bidi="ar-LB"/>
        </w:rPr>
        <w:t>ومحمد صالح البجادي، ورائف بدوي</w:t>
      </w:r>
      <w:r w:rsidR="00DC1DED">
        <w:rPr>
          <w:rFonts w:cs="Calibri" w:hint="cs"/>
          <w:rtl/>
          <w:lang w:bidi="ar-LB"/>
        </w:rPr>
        <w:t xml:space="preserve">. وفي سبتمبر 2017 إعتقلت السعودية عيسى الحامد عضو جمعية الحقوق المدنية والسياسية أيضا بعد أن حكم عليه بالسجن 11 عاما. وفي ديسمبر 2017 صدر حكم بسجن المدافعة عن حقوق الإنسان نعيمة المطرود لست سنوات. وفي فبراير 2018 حكمت السعودية على عيسى النخيفي بالسجن 6 سنوات بسبب تعبيره عن رأيه </w:t>
      </w:r>
      <w:r w:rsidR="001351F0">
        <w:rPr>
          <w:rFonts w:cs="Calibri" w:hint="cs"/>
          <w:rtl/>
          <w:lang w:bidi="ar-LB"/>
        </w:rPr>
        <w:t>عبر وسائل التواصل الإجتماعي.</w:t>
      </w:r>
    </w:p>
    <w:p w:rsidR="005057C9" w:rsidRDefault="005057C9" w:rsidP="005057C9">
      <w:pPr>
        <w:bidi/>
        <w:rPr>
          <w:rFonts w:cs="Calibri"/>
          <w:rtl/>
          <w:lang w:bidi="ar-LB"/>
        </w:rPr>
      </w:pPr>
      <w:r w:rsidRPr="005057C9">
        <w:rPr>
          <w:rFonts w:cs="Calibri"/>
          <w:rtl/>
          <w:lang w:bidi="ar-LB"/>
        </w:rPr>
        <w:t>في يناير 2017 أصدرت محكمة الرياض حكم بسجن الكاتب نذير الماجد 7 سنوات وإعتقله على الفور بناء على تهم تتعلق بتعبيره عن رأيه، بينها «كتابات مؤيدة للمظاهر الاحتجاجية في منطقة القطيف، والمطالبة بإصلاحات سياسية ورفع التمييز".</w:t>
      </w:r>
    </w:p>
    <w:p w:rsidR="001351F0" w:rsidRPr="001351F0" w:rsidRDefault="001351F0" w:rsidP="001351F0">
      <w:pPr>
        <w:bidi/>
        <w:rPr>
          <w:rFonts w:cs="Calibri"/>
          <w:b/>
          <w:bCs/>
          <w:rtl/>
          <w:lang w:bidi="ar-LB"/>
        </w:rPr>
      </w:pPr>
      <w:r w:rsidRPr="001351F0">
        <w:rPr>
          <w:rFonts w:cs="Calibri" w:hint="cs"/>
          <w:b/>
          <w:bCs/>
          <w:rtl/>
          <w:lang w:bidi="ar-LB"/>
        </w:rPr>
        <w:t>تأسيس الجمعيات الأهلية والمنظمات</w:t>
      </w:r>
    </w:p>
    <w:p w:rsidR="00DC1DED" w:rsidRDefault="00DC1DED" w:rsidP="00DC1DED">
      <w:pPr>
        <w:bidi/>
        <w:rPr>
          <w:rFonts w:cs="Calibri"/>
          <w:rtl/>
          <w:lang w:bidi="ar-LB"/>
        </w:rPr>
      </w:pPr>
      <w:r>
        <w:rPr>
          <w:rFonts w:cs="Calibri" w:hint="cs"/>
          <w:rtl/>
          <w:lang w:bidi="ar-LB"/>
        </w:rPr>
        <w:t xml:space="preserve">في يناير 2018 </w:t>
      </w:r>
      <w:r w:rsidR="005057C9">
        <w:rPr>
          <w:rFonts w:cs="Calibri" w:hint="cs"/>
          <w:rtl/>
          <w:lang w:bidi="ar-LB"/>
        </w:rPr>
        <w:t>حكم</w:t>
      </w:r>
      <w:r w:rsidRPr="00DC1DED">
        <w:rPr>
          <w:rFonts w:cs="Calibri"/>
          <w:rtl/>
          <w:lang w:bidi="ar-LB"/>
        </w:rPr>
        <w:t>ت المحكمة الجزائية المتخصصة في السعودية بالسجن على كلّ من محمد العتيبي 14 سنة وعبد الله العطاوي 7 سنوات</w:t>
      </w:r>
      <w:r>
        <w:rPr>
          <w:rFonts w:cs="Calibri" w:hint="cs"/>
          <w:rtl/>
          <w:lang w:bidi="ar-LB"/>
        </w:rPr>
        <w:t xml:space="preserve"> بسبب </w:t>
      </w:r>
      <w:r w:rsidRPr="00DC1DED">
        <w:rPr>
          <w:rFonts w:cs="Calibri"/>
          <w:rtl/>
          <w:lang w:bidi="ar-LB"/>
        </w:rPr>
        <w:t xml:space="preserve"> المشاركة في إنشاء جمعية دون ترخيص</w:t>
      </w:r>
      <w:r>
        <w:rPr>
          <w:rFonts w:cs="Calibri" w:hint="cs"/>
          <w:rtl/>
          <w:lang w:bidi="ar-LB"/>
        </w:rPr>
        <w:t>، حيث كانوا قد أسسوا</w:t>
      </w:r>
      <w:r w:rsidRPr="00DC1DED">
        <w:rPr>
          <w:rFonts w:cs="Calibri"/>
          <w:rtl/>
          <w:lang w:bidi="ar-LB"/>
        </w:rPr>
        <w:t xml:space="preserve"> جمعية الإتحاد لحقوق الإنسان في العام 2013،  </w:t>
      </w:r>
      <w:r>
        <w:rPr>
          <w:rFonts w:cs="Calibri" w:hint="cs"/>
          <w:rtl/>
          <w:lang w:bidi="ar-LB"/>
        </w:rPr>
        <w:t>و</w:t>
      </w:r>
      <w:r w:rsidRPr="00DC1DED">
        <w:rPr>
          <w:rFonts w:cs="Calibri"/>
          <w:rtl/>
          <w:lang w:bidi="ar-LB"/>
        </w:rPr>
        <w:t>قدموا طلباً أولياً الى وزارة الشؤون الاجتماعية للحصول على ترخيصٍ رسمي في مارس 2013، لكن الوزارة رفضت الطلب</w:t>
      </w:r>
      <w:r>
        <w:rPr>
          <w:rFonts w:cs="Calibri" w:hint="cs"/>
          <w:rtl/>
          <w:lang w:bidi="ar-LB"/>
        </w:rPr>
        <w:t>.</w:t>
      </w:r>
    </w:p>
    <w:p w:rsidR="005057C9" w:rsidRDefault="005057C9" w:rsidP="005057C9">
      <w:pPr>
        <w:bidi/>
        <w:rPr>
          <w:rFonts w:cs="Calibri"/>
          <w:rtl/>
          <w:lang w:bidi="ar-LB"/>
        </w:rPr>
      </w:pPr>
      <w:r w:rsidRPr="005057C9">
        <w:rPr>
          <w:rFonts w:cs="Calibri"/>
          <w:rtl/>
          <w:lang w:bidi="ar-LB"/>
        </w:rPr>
        <w:t>إ</w:t>
      </w:r>
      <w:r w:rsidRPr="005057C9">
        <w:rPr>
          <w:rFonts w:cs="Calibri" w:hint="cs"/>
          <w:rtl/>
          <w:lang w:bidi="ar-LB"/>
        </w:rPr>
        <w:t>ﺿﺎﻓﺔ</w:t>
      </w:r>
      <w:r w:rsidRPr="005057C9">
        <w:rPr>
          <w:rFonts w:cs="Calibri"/>
          <w:rtl/>
          <w:lang w:bidi="ar-LB"/>
        </w:rPr>
        <w:t xml:space="preserve"> إ</w:t>
      </w:r>
      <w:r w:rsidRPr="005057C9">
        <w:rPr>
          <w:rFonts w:cs="Calibri" w:hint="cs"/>
          <w:rtl/>
          <w:lang w:bidi="ar-LB"/>
        </w:rPr>
        <w:t>ﻟﻰ</w:t>
      </w:r>
      <w:r w:rsidRPr="005057C9">
        <w:rPr>
          <w:rFonts w:cs="Calibri"/>
          <w:rtl/>
          <w:lang w:bidi="ar-LB"/>
        </w:rPr>
        <w:t xml:space="preserve"> ذ</w:t>
      </w:r>
      <w:r w:rsidRPr="005057C9">
        <w:rPr>
          <w:rFonts w:cs="Calibri" w:hint="cs"/>
          <w:rtl/>
          <w:lang w:bidi="ar-LB"/>
        </w:rPr>
        <w:t>ﻟ</w:t>
      </w:r>
      <w:r w:rsidRPr="005057C9">
        <w:rPr>
          <w:rFonts w:cs="Calibri" w:hint="eastAsia"/>
          <w:rtl/>
          <w:lang w:bidi="ar-LB"/>
        </w:rPr>
        <w:t>ك</w:t>
      </w:r>
      <w:r w:rsidRPr="005057C9">
        <w:rPr>
          <w:rFonts w:cs="Calibri"/>
          <w:rtl/>
          <w:lang w:bidi="ar-LB"/>
        </w:rPr>
        <w:t xml:space="preserve"> </w:t>
      </w:r>
      <w:r w:rsidRPr="005057C9">
        <w:rPr>
          <w:rFonts w:cs="Calibri" w:hint="cs"/>
          <w:rtl/>
          <w:lang w:bidi="ar-LB"/>
        </w:rPr>
        <w:t>ﺗﻘ</w:t>
      </w:r>
      <w:r w:rsidRPr="005057C9">
        <w:rPr>
          <w:rFonts w:cs="Calibri" w:hint="eastAsia"/>
          <w:rtl/>
          <w:lang w:bidi="ar-LB"/>
        </w:rPr>
        <w:t>د</w:t>
      </w:r>
      <w:r w:rsidRPr="005057C9">
        <w:rPr>
          <w:rFonts w:cs="Calibri" w:hint="cs"/>
          <w:rtl/>
          <w:lang w:bidi="ar-LB"/>
        </w:rPr>
        <w:t>ﻣ</w:t>
      </w:r>
      <w:r w:rsidRPr="005057C9">
        <w:rPr>
          <w:rFonts w:cs="Calibri" w:hint="eastAsia"/>
          <w:rtl/>
          <w:lang w:bidi="ar-LB"/>
        </w:rPr>
        <w:t>ت</w:t>
      </w:r>
      <w:r w:rsidRPr="005057C9">
        <w:rPr>
          <w:rFonts w:cs="Calibri"/>
          <w:rtl/>
          <w:lang w:bidi="ar-LB"/>
        </w:rPr>
        <w:t xml:space="preserve"> ا</w:t>
      </w:r>
      <w:r w:rsidRPr="005057C9">
        <w:rPr>
          <w:rFonts w:cs="Calibri" w:hint="cs"/>
          <w:rtl/>
          <w:lang w:bidi="ar-LB"/>
        </w:rPr>
        <w:t>ﻟﻣ</w:t>
      </w:r>
      <w:r w:rsidRPr="005057C9">
        <w:rPr>
          <w:rFonts w:cs="Calibri" w:hint="eastAsia"/>
          <w:rtl/>
          <w:lang w:bidi="ar-LB"/>
        </w:rPr>
        <w:t>دا</w:t>
      </w:r>
      <w:r w:rsidRPr="005057C9">
        <w:rPr>
          <w:rFonts w:cs="Calibri" w:hint="cs"/>
          <w:rtl/>
          <w:lang w:bidi="ar-LB"/>
        </w:rPr>
        <w:t>ﻓﻌﺔ</w:t>
      </w:r>
      <w:r w:rsidRPr="005057C9">
        <w:rPr>
          <w:rFonts w:cs="Calibri"/>
          <w:rtl/>
          <w:lang w:bidi="ar-LB"/>
        </w:rPr>
        <w:t xml:space="preserve"> </w:t>
      </w:r>
      <w:r w:rsidRPr="005057C9">
        <w:rPr>
          <w:rFonts w:cs="Calibri" w:hint="cs"/>
          <w:rtl/>
          <w:lang w:bidi="ar-LB"/>
        </w:rPr>
        <w:t>ﻋ</w:t>
      </w:r>
      <w:r w:rsidRPr="005057C9">
        <w:rPr>
          <w:rFonts w:cs="Calibri" w:hint="eastAsia"/>
          <w:rtl/>
          <w:lang w:bidi="ar-LB"/>
        </w:rPr>
        <w:t>ن</w:t>
      </w:r>
      <w:r w:rsidRPr="005057C9">
        <w:rPr>
          <w:rFonts w:cs="Calibri"/>
          <w:rtl/>
          <w:lang w:bidi="ar-LB"/>
        </w:rPr>
        <w:t xml:space="preserve"> </w:t>
      </w:r>
      <w:r w:rsidRPr="005057C9">
        <w:rPr>
          <w:rFonts w:cs="Calibri" w:hint="cs"/>
          <w:rtl/>
          <w:lang w:bidi="ar-LB"/>
        </w:rPr>
        <w:t>ﺣﻘ</w:t>
      </w:r>
      <w:r w:rsidRPr="005057C9">
        <w:rPr>
          <w:rFonts w:cs="Calibri" w:hint="eastAsia"/>
          <w:rtl/>
          <w:lang w:bidi="ar-LB"/>
        </w:rPr>
        <w:t>وق</w:t>
      </w:r>
      <w:r w:rsidRPr="005057C9">
        <w:rPr>
          <w:rFonts w:cs="Calibri"/>
          <w:rtl/>
          <w:lang w:bidi="ar-LB"/>
        </w:rPr>
        <w:t xml:space="preserve"> ا</w:t>
      </w:r>
      <w:r w:rsidRPr="005057C9">
        <w:rPr>
          <w:rFonts w:cs="Calibri" w:hint="cs"/>
          <w:rtl/>
          <w:lang w:bidi="ar-LB"/>
        </w:rPr>
        <w:t>ﻹﻧﺳﺎ</w:t>
      </w:r>
      <w:r w:rsidRPr="005057C9">
        <w:rPr>
          <w:rFonts w:cs="Calibri" w:hint="eastAsia"/>
          <w:rtl/>
          <w:lang w:bidi="ar-LB"/>
        </w:rPr>
        <w:t>ن</w:t>
      </w:r>
      <w:r w:rsidRPr="005057C9">
        <w:rPr>
          <w:rFonts w:cs="Calibri"/>
          <w:rtl/>
          <w:lang w:bidi="ar-LB"/>
        </w:rPr>
        <w:t xml:space="preserve"> </w:t>
      </w:r>
      <w:r w:rsidRPr="005057C9">
        <w:rPr>
          <w:rFonts w:cs="Calibri" w:hint="cs"/>
          <w:rtl/>
          <w:lang w:bidi="ar-LB"/>
        </w:rPr>
        <w:t>ﻧﺳﯾﻣﺔ</w:t>
      </w:r>
      <w:r w:rsidRPr="005057C9">
        <w:rPr>
          <w:rFonts w:cs="Calibri"/>
          <w:rtl/>
          <w:lang w:bidi="ar-LB"/>
        </w:rPr>
        <w:t xml:space="preserve"> ا</w:t>
      </w:r>
      <w:r w:rsidRPr="005057C9">
        <w:rPr>
          <w:rFonts w:cs="Calibri" w:hint="cs"/>
          <w:rtl/>
          <w:lang w:bidi="ar-LB"/>
        </w:rPr>
        <w:t>ﻟﺳﺎ</w:t>
      </w:r>
      <w:r w:rsidRPr="005057C9">
        <w:rPr>
          <w:rFonts w:cs="Calibri" w:hint="eastAsia"/>
          <w:rtl/>
          <w:lang w:bidi="ar-LB"/>
        </w:rPr>
        <w:t>دة</w:t>
      </w:r>
      <w:r w:rsidRPr="005057C9">
        <w:rPr>
          <w:rFonts w:cs="Calibri"/>
          <w:rtl/>
          <w:lang w:bidi="ar-LB"/>
        </w:rPr>
        <w:t xml:space="preserve"> </w:t>
      </w:r>
      <w:r w:rsidRPr="005057C9">
        <w:rPr>
          <w:rFonts w:cs="Calibri" w:hint="cs"/>
          <w:rtl/>
          <w:lang w:bidi="ar-LB"/>
        </w:rPr>
        <w:t>ﺑ</w:t>
      </w:r>
      <w:r w:rsidRPr="005057C9">
        <w:rPr>
          <w:rFonts w:cs="Calibri" w:hint="eastAsia"/>
          <w:rtl/>
          <w:lang w:bidi="ar-LB"/>
        </w:rPr>
        <w:t>ط</w:t>
      </w:r>
      <w:r w:rsidRPr="005057C9">
        <w:rPr>
          <w:rFonts w:cs="Calibri" w:hint="cs"/>
          <w:rtl/>
          <w:lang w:bidi="ar-LB"/>
        </w:rPr>
        <w:t>ﻠ</w:t>
      </w:r>
      <w:r w:rsidRPr="005057C9">
        <w:rPr>
          <w:rFonts w:cs="Calibri" w:hint="eastAsia"/>
          <w:rtl/>
          <w:lang w:bidi="ar-LB"/>
        </w:rPr>
        <w:t>ب</w:t>
      </w:r>
      <w:r w:rsidRPr="005057C9">
        <w:rPr>
          <w:rFonts w:cs="Calibri"/>
          <w:rtl/>
          <w:lang w:bidi="ar-LB"/>
        </w:rPr>
        <w:t xml:space="preserve"> </w:t>
      </w:r>
      <w:r w:rsidRPr="005057C9">
        <w:rPr>
          <w:rFonts w:cs="Calibri" w:hint="cs"/>
          <w:rtl/>
          <w:lang w:bidi="ar-LB"/>
        </w:rPr>
        <w:t>ﺗﺄﺳﯾ</w:t>
      </w:r>
      <w:r w:rsidRPr="005057C9">
        <w:rPr>
          <w:rFonts w:cs="Calibri" w:hint="eastAsia"/>
          <w:rtl/>
          <w:lang w:bidi="ar-LB"/>
        </w:rPr>
        <w:t>س</w:t>
      </w:r>
      <w:r w:rsidRPr="005057C9">
        <w:rPr>
          <w:rFonts w:cs="Calibri"/>
          <w:rtl/>
          <w:lang w:bidi="ar-LB"/>
        </w:rPr>
        <w:t xml:space="preserve"> </w:t>
      </w:r>
      <w:r w:rsidRPr="005057C9">
        <w:rPr>
          <w:rFonts w:cs="Calibri" w:hint="cs"/>
          <w:rtl/>
          <w:lang w:bidi="ar-LB"/>
        </w:rPr>
        <w:t>ﺟﻣﻌﯾﺔ</w:t>
      </w:r>
      <w:r w:rsidRPr="005057C9">
        <w:rPr>
          <w:rFonts w:cs="Calibri"/>
          <w:rtl/>
          <w:lang w:bidi="ar-LB"/>
        </w:rPr>
        <w:t xml:space="preserve"> 2017</w:t>
      </w:r>
      <w:r w:rsidRPr="005057C9">
        <w:rPr>
          <w:rFonts w:cs="Calibri" w:hint="cs"/>
          <w:rtl/>
          <w:lang w:bidi="ar-LB"/>
        </w:rPr>
        <w:t>ﻓﻣﻧ</w:t>
      </w:r>
      <w:r w:rsidRPr="005057C9">
        <w:rPr>
          <w:rFonts w:cs="Calibri" w:hint="eastAsia"/>
          <w:rtl/>
          <w:lang w:bidi="ar-LB"/>
        </w:rPr>
        <w:t>ذ</w:t>
      </w:r>
      <w:r w:rsidRPr="005057C9">
        <w:rPr>
          <w:rFonts w:cs="Calibri"/>
          <w:rtl/>
          <w:lang w:bidi="ar-LB"/>
        </w:rPr>
        <w:t xml:space="preserve"> </w:t>
      </w:r>
      <w:r w:rsidRPr="005057C9">
        <w:rPr>
          <w:rFonts w:cs="Calibri" w:hint="cs"/>
          <w:rtl/>
          <w:lang w:bidi="ar-LB"/>
        </w:rPr>
        <w:t>ﺑ</w:t>
      </w:r>
      <w:r w:rsidRPr="005057C9">
        <w:rPr>
          <w:rFonts w:cs="Calibri" w:hint="eastAsia"/>
          <w:rtl/>
          <w:lang w:bidi="ar-LB"/>
        </w:rPr>
        <w:t>دا</w:t>
      </w:r>
      <w:r w:rsidRPr="005057C9">
        <w:rPr>
          <w:rFonts w:cs="Calibri" w:hint="cs"/>
          <w:rtl/>
          <w:lang w:bidi="ar-LB"/>
        </w:rPr>
        <w:t>ﯾﺔ</w:t>
      </w:r>
      <w:r w:rsidRPr="005057C9">
        <w:rPr>
          <w:rFonts w:cs="Calibri"/>
          <w:rtl/>
          <w:lang w:bidi="ar-LB"/>
        </w:rPr>
        <w:t xml:space="preserve"> </w:t>
      </w:r>
      <w:r w:rsidRPr="005057C9">
        <w:rPr>
          <w:rFonts w:cs="Calibri" w:hint="cs"/>
          <w:rtl/>
          <w:lang w:bidi="ar-LB"/>
        </w:rPr>
        <w:t>ﺗﺣ</w:t>
      </w:r>
      <w:r w:rsidRPr="005057C9">
        <w:rPr>
          <w:rFonts w:cs="Calibri" w:hint="eastAsia"/>
          <w:rtl/>
          <w:lang w:bidi="ar-LB"/>
        </w:rPr>
        <w:t>ت</w:t>
      </w:r>
      <w:r w:rsidRPr="005057C9">
        <w:rPr>
          <w:rFonts w:cs="Calibri"/>
          <w:rtl/>
          <w:lang w:bidi="ar-LB"/>
        </w:rPr>
        <w:t xml:space="preserve"> إ</w:t>
      </w:r>
      <w:r w:rsidRPr="005057C9">
        <w:rPr>
          <w:rFonts w:cs="Calibri" w:hint="cs"/>
          <w:rtl/>
          <w:lang w:bidi="ar-LB"/>
        </w:rPr>
        <w:t>ﺳ</w:t>
      </w:r>
      <w:r w:rsidRPr="005057C9">
        <w:rPr>
          <w:rFonts w:cs="Calibri" w:hint="eastAsia"/>
          <w:rtl/>
          <w:lang w:bidi="ar-LB"/>
        </w:rPr>
        <w:t>م</w:t>
      </w:r>
      <w:r w:rsidRPr="005057C9">
        <w:rPr>
          <w:rFonts w:cs="Calibri"/>
          <w:rtl/>
          <w:lang w:bidi="ar-LB"/>
        </w:rPr>
        <w:t xml:space="preserve"> "</w:t>
      </w:r>
      <w:r w:rsidRPr="005057C9">
        <w:rPr>
          <w:rFonts w:cs="Calibri" w:hint="cs"/>
          <w:rtl/>
          <w:lang w:bidi="ar-LB"/>
        </w:rPr>
        <w:t>ﻧ</w:t>
      </w:r>
      <w:r w:rsidRPr="005057C9">
        <w:rPr>
          <w:rFonts w:cs="Calibri" w:hint="eastAsia"/>
          <w:rtl/>
          <w:lang w:bidi="ar-LB"/>
        </w:rPr>
        <w:t>ون</w:t>
      </w:r>
      <w:r w:rsidRPr="005057C9">
        <w:rPr>
          <w:rFonts w:cs="Calibri"/>
          <w:rtl/>
          <w:lang w:bidi="ar-LB"/>
        </w:rPr>
        <w:t xml:space="preserve">" </w:t>
      </w:r>
      <w:r w:rsidRPr="005057C9">
        <w:rPr>
          <w:rFonts w:cs="Calibri" w:hint="cs"/>
          <w:rtl/>
          <w:lang w:bidi="ar-LB"/>
        </w:rPr>
        <w:t>ﻟﻠ</w:t>
      </w:r>
      <w:r w:rsidRPr="005057C9">
        <w:rPr>
          <w:rFonts w:cs="Calibri" w:hint="eastAsia"/>
          <w:rtl/>
          <w:lang w:bidi="ar-LB"/>
        </w:rPr>
        <w:t>د</w:t>
      </w:r>
      <w:r w:rsidRPr="005057C9">
        <w:rPr>
          <w:rFonts w:cs="Calibri" w:hint="cs"/>
          <w:rtl/>
          <w:lang w:bidi="ar-LB"/>
        </w:rPr>
        <w:t>ﻓﺎ</w:t>
      </w:r>
      <w:r w:rsidRPr="005057C9">
        <w:rPr>
          <w:rFonts w:cs="Calibri" w:hint="eastAsia"/>
          <w:rtl/>
          <w:lang w:bidi="ar-LB"/>
        </w:rPr>
        <w:t>ع</w:t>
      </w:r>
      <w:r w:rsidRPr="005057C9">
        <w:rPr>
          <w:rFonts w:cs="Calibri"/>
          <w:rtl/>
          <w:lang w:bidi="ar-LB"/>
        </w:rPr>
        <w:t xml:space="preserve"> </w:t>
      </w:r>
      <w:r w:rsidRPr="005057C9">
        <w:rPr>
          <w:rFonts w:cs="Calibri" w:hint="cs"/>
          <w:rtl/>
          <w:lang w:bidi="ar-LB"/>
        </w:rPr>
        <w:t>ﻋ</w:t>
      </w:r>
      <w:r w:rsidRPr="005057C9">
        <w:rPr>
          <w:rFonts w:cs="Calibri" w:hint="eastAsia"/>
          <w:rtl/>
          <w:lang w:bidi="ar-LB"/>
        </w:rPr>
        <w:t>ن</w:t>
      </w:r>
      <w:r w:rsidRPr="005057C9">
        <w:rPr>
          <w:rFonts w:cs="Calibri"/>
          <w:rtl/>
          <w:lang w:bidi="ar-LB"/>
        </w:rPr>
        <w:t xml:space="preserve"> </w:t>
      </w:r>
      <w:r w:rsidRPr="005057C9">
        <w:rPr>
          <w:rFonts w:cs="Calibri" w:hint="cs"/>
          <w:rtl/>
          <w:lang w:bidi="ar-LB"/>
        </w:rPr>
        <w:t>ﺣﻘ</w:t>
      </w:r>
      <w:r w:rsidRPr="005057C9">
        <w:rPr>
          <w:rFonts w:cs="Calibri" w:hint="eastAsia"/>
          <w:rtl/>
          <w:lang w:bidi="ar-LB"/>
        </w:rPr>
        <w:t>وق</w:t>
      </w:r>
      <w:r w:rsidRPr="005057C9">
        <w:rPr>
          <w:rFonts w:cs="Calibri"/>
          <w:rtl/>
          <w:lang w:bidi="ar-LB"/>
        </w:rPr>
        <w:t xml:space="preserve"> ا</w:t>
      </w:r>
      <w:r w:rsidRPr="005057C9">
        <w:rPr>
          <w:rFonts w:cs="Calibri" w:hint="cs"/>
          <w:rtl/>
          <w:lang w:bidi="ar-LB"/>
        </w:rPr>
        <w:t>ﻟﻣ</w:t>
      </w:r>
      <w:r w:rsidRPr="005057C9">
        <w:rPr>
          <w:rFonts w:cs="Calibri" w:hint="eastAsia"/>
          <w:rtl/>
          <w:lang w:bidi="ar-LB"/>
        </w:rPr>
        <w:t>رأة</w:t>
      </w:r>
      <w:r w:rsidRPr="005057C9">
        <w:rPr>
          <w:rFonts w:cs="Calibri"/>
          <w:rtl/>
          <w:lang w:bidi="ar-LB"/>
        </w:rPr>
        <w:t xml:space="preserve"> إ</w:t>
      </w:r>
      <w:r w:rsidRPr="005057C9">
        <w:rPr>
          <w:rFonts w:cs="Calibri" w:hint="cs"/>
          <w:rtl/>
          <w:lang w:bidi="ar-LB"/>
        </w:rPr>
        <w:t>ﻻ</w:t>
      </w:r>
      <w:r w:rsidRPr="005057C9">
        <w:rPr>
          <w:rFonts w:cs="Calibri"/>
          <w:rtl/>
          <w:lang w:bidi="ar-LB"/>
        </w:rPr>
        <w:t xml:space="preserve"> ا</w:t>
      </w:r>
      <w:r w:rsidRPr="005057C9">
        <w:rPr>
          <w:rFonts w:cs="Calibri" w:hint="cs"/>
          <w:rtl/>
          <w:lang w:bidi="ar-LB"/>
        </w:rPr>
        <w:t>ﻧﮭﺎ</w:t>
      </w:r>
      <w:r w:rsidRPr="005057C9">
        <w:rPr>
          <w:rFonts w:cs="Calibri"/>
          <w:rtl/>
          <w:lang w:bidi="ar-LB"/>
        </w:rPr>
        <w:t xml:space="preserve"> </w:t>
      </w:r>
      <w:r w:rsidRPr="005057C9">
        <w:rPr>
          <w:rFonts w:cs="Calibri" w:hint="cs"/>
          <w:rtl/>
          <w:lang w:bidi="ar-LB"/>
        </w:rPr>
        <w:t>ﻟ</w:t>
      </w:r>
      <w:r w:rsidRPr="005057C9">
        <w:rPr>
          <w:rFonts w:cs="Calibri" w:hint="eastAsia"/>
          <w:rtl/>
          <w:lang w:bidi="ar-LB"/>
        </w:rPr>
        <w:t>م</w:t>
      </w:r>
      <w:r w:rsidRPr="005057C9">
        <w:rPr>
          <w:rFonts w:cs="Calibri"/>
          <w:rtl/>
          <w:lang w:bidi="ar-LB"/>
        </w:rPr>
        <w:t xml:space="preserve"> </w:t>
      </w:r>
      <w:r w:rsidRPr="005057C9">
        <w:rPr>
          <w:rFonts w:cs="Calibri" w:hint="cs"/>
          <w:rtl/>
          <w:lang w:bidi="ar-LB"/>
        </w:rPr>
        <w:t>ﺗﺗﻠﻖ</w:t>
      </w:r>
      <w:r w:rsidRPr="005057C9">
        <w:rPr>
          <w:rFonts w:cs="Calibri"/>
          <w:rtl/>
          <w:lang w:bidi="ar-LB"/>
        </w:rPr>
        <w:t xml:space="preserve"> أي </w:t>
      </w:r>
      <w:r w:rsidRPr="005057C9">
        <w:rPr>
          <w:rFonts w:cs="Calibri" w:hint="cs"/>
          <w:rtl/>
          <w:lang w:bidi="ar-LB"/>
        </w:rPr>
        <w:t>ﺟ</w:t>
      </w:r>
      <w:r w:rsidRPr="005057C9">
        <w:rPr>
          <w:rFonts w:cs="Calibri" w:hint="eastAsia"/>
          <w:rtl/>
          <w:lang w:bidi="ar-LB"/>
        </w:rPr>
        <w:t>واب</w:t>
      </w:r>
    </w:p>
    <w:p w:rsidR="001351F0" w:rsidRPr="001351F0" w:rsidRDefault="005057C9" w:rsidP="001351F0">
      <w:pPr>
        <w:bidi/>
        <w:rPr>
          <w:rFonts w:cs="Calibri"/>
          <w:b/>
          <w:bCs/>
          <w:rtl/>
          <w:lang w:bidi="ar-LB"/>
        </w:rPr>
      </w:pPr>
      <w:r>
        <w:rPr>
          <w:rFonts w:cs="Calibri" w:hint="cs"/>
          <w:b/>
          <w:bCs/>
          <w:rtl/>
          <w:lang w:bidi="ar-LB"/>
        </w:rPr>
        <w:t>سوء المعاملة والتعذيب</w:t>
      </w:r>
    </w:p>
    <w:p w:rsidR="001351F0" w:rsidRDefault="005944EF" w:rsidP="001351F0">
      <w:pPr>
        <w:bidi/>
        <w:rPr>
          <w:rFonts w:cs="Calibri"/>
          <w:rtl/>
          <w:lang w:bidi="ar-LB"/>
        </w:rPr>
      </w:pPr>
      <w:r>
        <w:rPr>
          <w:rFonts w:cs="Calibri" w:hint="cs"/>
          <w:rtl/>
          <w:lang w:bidi="ar-LB"/>
        </w:rPr>
        <w:t xml:space="preserve">لا زالت السعودية تستخدم أساليب مختلفة من التعذيب بحق الموقوفين وهذا ما يشمل الأطفال منهم. ففي </w:t>
      </w:r>
      <w:r w:rsidRPr="005944EF">
        <w:rPr>
          <w:rFonts w:cs="Calibri"/>
          <w:rtl/>
          <w:lang w:bidi="ar-LB"/>
        </w:rPr>
        <w:t xml:space="preserve"> أغسطس 2017 </w:t>
      </w:r>
      <w:r>
        <w:rPr>
          <w:rFonts w:cs="Calibri" w:hint="cs"/>
          <w:rtl/>
          <w:lang w:bidi="ar-LB"/>
        </w:rPr>
        <w:t xml:space="preserve">أعتقل محمد اللباد </w:t>
      </w:r>
      <w:r w:rsidRPr="005944EF">
        <w:rPr>
          <w:rFonts w:cs="Calibri"/>
          <w:rtl/>
          <w:lang w:bidi="ar-LB"/>
        </w:rPr>
        <w:t>حين كان يبلغ من العمر 16 عاما. عذب في مركز شرطة بالضرب على الوجه، والضرب على أماكن متفرقة من الجسد بعصا خشبية، وفي 22 أغسطس 2017 نقل إلى سجن المباحث في الدمام الغير مخصص للأطفال</w:t>
      </w:r>
      <w:r>
        <w:rPr>
          <w:rFonts w:cs="Calibri" w:hint="cs"/>
          <w:rtl/>
          <w:lang w:bidi="ar-LB"/>
        </w:rPr>
        <w:t xml:space="preserve">. لم تستطع العائلة </w:t>
      </w:r>
      <w:r w:rsidRPr="005944EF">
        <w:rPr>
          <w:rFonts w:cs="Calibri"/>
          <w:rtl/>
          <w:lang w:bidi="ar-LB"/>
        </w:rPr>
        <w:t xml:space="preserve"> </w:t>
      </w:r>
      <w:r>
        <w:rPr>
          <w:rFonts w:cs="Calibri" w:hint="cs"/>
          <w:rtl/>
          <w:lang w:bidi="ar-LB"/>
        </w:rPr>
        <w:t>زيارته إلا بعد مرورة 100 يوم على إعتقاله.</w:t>
      </w:r>
      <w:r w:rsidR="001351F0" w:rsidRPr="001351F0">
        <w:rPr>
          <w:rFonts w:cs="Calibri" w:hint="cs"/>
          <w:rtl/>
          <w:lang w:bidi="ar-LB"/>
        </w:rPr>
        <w:t xml:space="preserve"> </w:t>
      </w:r>
      <w:r w:rsidR="00232B21">
        <w:rPr>
          <w:rFonts w:cs="Calibri" w:hint="cs"/>
          <w:rtl/>
          <w:lang w:bidi="ar-LB"/>
        </w:rPr>
        <w:t>حرم اللباد من إكمال علمه على الرغم من طلب العائلة.</w:t>
      </w:r>
    </w:p>
    <w:p w:rsidR="005944EF" w:rsidRDefault="001351F0" w:rsidP="001351F0">
      <w:pPr>
        <w:bidi/>
        <w:rPr>
          <w:rFonts w:cs="Calibri"/>
          <w:rtl/>
          <w:lang w:bidi="ar-LB"/>
        </w:rPr>
      </w:pPr>
      <w:r>
        <w:rPr>
          <w:rFonts w:cs="Calibri" w:hint="cs"/>
          <w:rtl/>
          <w:lang w:bidi="ar-LB"/>
        </w:rPr>
        <w:t xml:space="preserve">في سبتمبر 2017 شنت الحكومة السعودية حملة إعتقالات طالت رجال دين ورجال أعمال. لم تستطع العائلات التواصل معهم، ما أثار مخاوف جدية على حياتهم. بحسب المعلومات </w:t>
      </w:r>
      <w:r w:rsidRPr="005944EF">
        <w:rPr>
          <w:rFonts w:cs="Calibri"/>
          <w:rtl/>
          <w:lang w:bidi="ar-LB"/>
        </w:rPr>
        <w:t>يعيش الباحث والأكاديمي الدكتور مصطفى الحسن الذي أعتقل ضمن الحملة، ظروفاً صحية سيئة داخل السجن بسبب إصابته بمرض السرطان.</w:t>
      </w:r>
    </w:p>
    <w:p w:rsidR="001351F0" w:rsidRPr="001351F0" w:rsidRDefault="001351F0" w:rsidP="001351F0">
      <w:pPr>
        <w:bidi/>
        <w:rPr>
          <w:rFonts w:cs="Calibri"/>
          <w:b/>
          <w:bCs/>
          <w:rtl/>
          <w:lang w:bidi="ar-LB"/>
        </w:rPr>
      </w:pPr>
      <w:r w:rsidRPr="001351F0">
        <w:rPr>
          <w:rFonts w:cs="Calibri" w:hint="cs"/>
          <w:b/>
          <w:bCs/>
          <w:rtl/>
          <w:lang w:bidi="ar-LB"/>
        </w:rPr>
        <w:t>الإعدام</w:t>
      </w:r>
      <w:r w:rsidR="00232B21">
        <w:rPr>
          <w:rFonts w:cs="Calibri" w:hint="cs"/>
          <w:b/>
          <w:bCs/>
          <w:rtl/>
          <w:lang w:bidi="ar-LB"/>
        </w:rPr>
        <w:t xml:space="preserve"> والجرائم الأشد خطورة</w:t>
      </w:r>
    </w:p>
    <w:p w:rsidR="005944EF" w:rsidRDefault="005944EF" w:rsidP="005944EF">
      <w:pPr>
        <w:bidi/>
        <w:rPr>
          <w:rFonts w:cs="Calibri"/>
          <w:rtl/>
          <w:lang w:bidi="ar-LB"/>
        </w:rPr>
      </w:pPr>
      <w:r>
        <w:rPr>
          <w:rFonts w:cs="Calibri" w:hint="cs"/>
          <w:rtl/>
          <w:lang w:bidi="ar-LB"/>
        </w:rPr>
        <w:lastRenderedPageBreak/>
        <w:t>يواجه 12 معتقلا خطر الإعدام في أي لحظة بتهم تتعلق بالتجسس على إيران بناء على إعترافات أنتزعت منهم تحت التعذيب. أكد المعتقلون الإثنا عشر أمام القاضي أنهم تعرضوا للتعذيب وأجبروا على الإدلاء بإعترافاتهم، وطالبوا بإحضار المحقيين وتسجيلات التحقيق إلا أن القاضي رفض.</w:t>
      </w:r>
    </w:p>
    <w:p w:rsidR="00232B21" w:rsidRDefault="00232B21" w:rsidP="00232B21">
      <w:pPr>
        <w:bidi/>
        <w:rPr>
          <w:rFonts w:cs="Calibri"/>
          <w:rtl/>
          <w:lang w:bidi="ar-LB"/>
        </w:rPr>
      </w:pPr>
      <w:r w:rsidRPr="00232B21">
        <w:rPr>
          <w:rFonts w:cs="Calibri"/>
          <w:rtl/>
          <w:lang w:bidi="ar-LB"/>
        </w:rPr>
        <w:t>في مايو 2017 صادقت المحكمة الجزائية المتخصصة على أحكام إعدام بحق 14 شابا. أكد الشبان أمام القضاة أنهم تعرضوا لمختلف أنواع التعذيب خلال التحقيق من أجل إنتزاع إعترافات منهم، إلا أنهم القضاة لم يستجبوا لذلك. إضافة إلى ذلك إفتقرت محاكماتهم إلى شروط العدالة وبينها حرمان المتهمين من توكيل محامي طوال فترة التحقيق، قامت الحكومة السعودية بوضعهم في زنزانات انفرادية في تلك الفترة لمدد طويلة وصلت في حالتين على الأقل إلى أكثر من عام كامل.</w:t>
      </w:r>
    </w:p>
    <w:p w:rsidR="00C033A1" w:rsidRDefault="00C033A1" w:rsidP="00C033A1">
      <w:pPr>
        <w:bidi/>
        <w:rPr>
          <w:rFonts w:cs="Calibri"/>
          <w:rtl/>
          <w:lang w:bidi="ar-LB"/>
        </w:rPr>
      </w:pPr>
      <w:r>
        <w:rPr>
          <w:rFonts w:cs="Calibri" w:hint="cs"/>
          <w:rtl/>
          <w:lang w:bidi="ar-LB"/>
        </w:rPr>
        <w:t>في ديسمبر 2017، أصدرت المحكمة الجزائية في القطيف حكما بالرجم على المواطن</w:t>
      </w:r>
      <w:r w:rsidR="00297C04">
        <w:rPr>
          <w:rFonts w:cs="Calibri" w:hint="cs"/>
          <w:rtl/>
          <w:lang w:bidi="ar-LB"/>
        </w:rPr>
        <w:t xml:space="preserve"> خالد زكي الشاخوري بالرجم حتى الموت بتهمة الزنا، على الرغم من أن محاميه قدم أوراقا صحية تؤكد أنه مريض نفسي وعصبي وهذا ما نتج عنه عدم إتزانه العقلي والنفسي والعصبي وهذا ما دفع المحكمة إلى رفع حد الرجم عنه في الإستنئاف.</w:t>
      </w:r>
    </w:p>
    <w:p w:rsidR="001351F0" w:rsidRDefault="001351F0" w:rsidP="001351F0">
      <w:pPr>
        <w:bidi/>
        <w:rPr>
          <w:rFonts w:cs="Calibri"/>
          <w:rtl/>
          <w:lang w:bidi="ar-LB"/>
        </w:rPr>
      </w:pPr>
      <w:r>
        <w:rPr>
          <w:rFonts w:cs="Calibri" w:hint="cs"/>
          <w:rtl/>
          <w:lang w:bidi="ar-LB"/>
        </w:rPr>
        <w:t xml:space="preserve">لا زالت السعودية تنفذ أحكام الإعدام بشكل سري، حيث لا زالت ترفض  الإفصاح عن عدد المعتقلين الذين يواجهون أحكام الإعدام. في يوليو 2017 أعدمت الحكومة السعودية كل من </w:t>
      </w:r>
      <w:r w:rsidRPr="001351F0">
        <w:rPr>
          <w:rFonts w:cs="Calibri"/>
          <w:rtl/>
          <w:lang w:bidi="ar-LB"/>
        </w:rPr>
        <w:t>: أمجد المعيبد، يوسف المشيخص، زاهر البصري، ومهدي الصايغ</w:t>
      </w:r>
      <w:r>
        <w:rPr>
          <w:rFonts w:cs="Calibri" w:hint="cs"/>
          <w:rtl/>
          <w:lang w:bidi="ar-LB"/>
        </w:rPr>
        <w:t xml:space="preserve">. لم يواجه الأربعة تهماتعد في القانون الدولي تهما جسمية كما أن من بين التهم التي واجهوها ما يتعلق بالمشاركة في المظاهرات. </w:t>
      </w:r>
    </w:p>
    <w:p w:rsidR="005057C9" w:rsidRDefault="001351F0" w:rsidP="001351F0">
      <w:pPr>
        <w:bidi/>
        <w:rPr>
          <w:rFonts w:cs="Calibri"/>
          <w:rtl/>
          <w:lang w:bidi="ar-LB"/>
        </w:rPr>
      </w:pPr>
      <w:r>
        <w:rPr>
          <w:rFonts w:cs="Calibri" w:hint="cs"/>
          <w:rtl/>
          <w:lang w:bidi="ar-LB"/>
        </w:rPr>
        <w:t xml:space="preserve">يواجه حاليا 8 معتقلين خطر الإعدام على الرغم من أنهم واجهوا تهما تعود إلى الفترة التي كانوا لا زالوا خلالها أحداثا، وهم: </w:t>
      </w:r>
      <w:r w:rsidR="005057C9">
        <w:rPr>
          <w:rFonts w:cs="Calibri" w:hint="cs"/>
          <w:rtl/>
          <w:lang w:bidi="ar-LB"/>
        </w:rPr>
        <w:t xml:space="preserve">علي النمر، عبد الله الزاهر، داوود المرهون، سعيد السكافي، سلمان آل قريش، مجتبى السويكت، عبد الله سلمان آل سريح، عبد الكريم الحواج. </w:t>
      </w:r>
    </w:p>
    <w:p w:rsidR="00232B21" w:rsidRDefault="005057C9" w:rsidP="00232B21">
      <w:pPr>
        <w:bidi/>
        <w:rPr>
          <w:rFonts w:cs="Calibri"/>
          <w:rtl/>
          <w:lang w:bidi="ar-LB"/>
        </w:rPr>
      </w:pPr>
      <w:r>
        <w:rPr>
          <w:rFonts w:cs="Calibri" w:hint="cs"/>
          <w:rtl/>
          <w:lang w:bidi="ar-LB"/>
        </w:rPr>
        <w:t>إلى جانب الذين يواجهون خطر الإعدام، تمارس السعودية عقوبة بحق عائلات الذين سبق أن تم إعدامهم، بحرمانهم من إستلام الجثامين</w:t>
      </w:r>
      <w:r w:rsidR="00232B21">
        <w:rPr>
          <w:rFonts w:cs="Calibri"/>
          <w:lang w:bidi="ar-LB"/>
        </w:rPr>
        <w:t xml:space="preserve"> </w:t>
      </w:r>
      <w:r w:rsidR="00232B21">
        <w:rPr>
          <w:rFonts w:cs="Calibri" w:hint="cs"/>
          <w:rtl/>
          <w:lang w:bidi="ar-LB"/>
        </w:rPr>
        <w:t>على الرغم من أن لجنة حقوق الإنسان ومقررين خاصين أكدوا أن هذه الممارسة تنطوي على إنتهاك للقانون الدولي.</w:t>
      </w:r>
    </w:p>
    <w:p w:rsidR="00D829E2" w:rsidRDefault="00232B21" w:rsidP="00232B21">
      <w:pPr>
        <w:bidi/>
        <w:rPr>
          <w:rFonts w:cs="Calibri"/>
          <w:rtl/>
          <w:lang w:bidi="ar-LB"/>
        </w:rPr>
      </w:pPr>
      <w:r>
        <w:rPr>
          <w:rFonts w:cs="Calibri" w:hint="cs"/>
          <w:rtl/>
          <w:lang w:bidi="ar-LB"/>
        </w:rPr>
        <w:t xml:space="preserve">رد السعودية على اللجنة أكد أنها لا تطبق عقوبة الإعدام على الجرائم الأشد خطورة، على الرغم من مضيها في تنفيذ أحكام الإعدام بجرائم مخدرات التي تعد غير جسيمة في القانون الدولي، فمنذ بداية العام 2018 حتى نهاية فبراير 2018 تم إعدام 32 شخصا، 15 منهم </w:t>
      </w:r>
      <w:r w:rsidR="00D829E2">
        <w:rPr>
          <w:rFonts w:cs="Calibri" w:hint="cs"/>
          <w:rtl/>
          <w:lang w:bidi="ar-LB"/>
        </w:rPr>
        <w:t>واجهوا تهم مخدرات. أعداد المحكومين بجرائم مخدرات يأتي في ظل إنتهاكات عديدة لشروط المحاكمة العادلة، حيث يواجه المواطن الأردني حسين أبو الخير المعتقل منذ مايو 2014 حكم الإعدام على الرغم من تأكيده أنه تعرض للتعذيب وعلى الرغم من عدم حصوله على محاكمة عادلة.</w:t>
      </w:r>
    </w:p>
    <w:p w:rsidR="00D829E2" w:rsidRDefault="00D829E2" w:rsidP="00232B21">
      <w:pPr>
        <w:bidi/>
        <w:rPr>
          <w:rFonts w:cs="Calibri"/>
          <w:rtl/>
          <w:lang w:bidi="ar-LB"/>
        </w:rPr>
      </w:pPr>
      <w:r>
        <w:rPr>
          <w:rFonts w:cs="Calibri"/>
          <w:rtl/>
          <w:lang w:bidi="ar-LB"/>
        </w:rPr>
        <w:br w:type="column"/>
      </w:r>
    </w:p>
    <w:p w:rsidR="00D829E2" w:rsidRDefault="00D829E2" w:rsidP="00D829E2">
      <w:pPr>
        <w:bidi/>
        <w:rPr>
          <w:rFonts w:cs="Calibri"/>
          <w:rtl/>
          <w:lang w:bidi="ar-LB"/>
        </w:rPr>
      </w:pPr>
      <w:r>
        <w:rPr>
          <w:rFonts w:cs="Calibri" w:hint="cs"/>
          <w:rtl/>
          <w:lang w:bidi="ar-LB"/>
        </w:rPr>
        <w:t>بموجب هذه المادة ردت السعودية:</w:t>
      </w:r>
    </w:p>
    <w:p w:rsidR="00D829E2" w:rsidRDefault="00D829E2" w:rsidP="00D829E2">
      <w:pPr>
        <w:bidi/>
        <w:rPr>
          <w:rFonts w:cs="Calibri"/>
          <w:rtl/>
          <w:lang w:bidi="ar-LB"/>
        </w:rPr>
      </w:pPr>
      <w:r w:rsidRPr="00D829E2">
        <w:rPr>
          <w:rFonts w:cs="Calibri"/>
          <w:lang w:bidi="ar-LB"/>
        </w:rPr>
        <w:t>http://tbinternet.ohchr.org/_layouts/treatybodyexternal/Download.aspx?symbolno=CAT/C/SAU/CO/2&amp;Lang=En</w:t>
      </w:r>
    </w:p>
    <w:p w:rsidR="00232B21" w:rsidRDefault="00D829E2" w:rsidP="00D829E2">
      <w:pPr>
        <w:bidi/>
        <w:rPr>
          <w:rFonts w:cs="Calibri"/>
          <w:rtl/>
          <w:lang w:bidi="ar-LB"/>
        </w:rPr>
      </w:pPr>
      <w:r>
        <w:rPr>
          <w:rFonts w:cs="Calibri" w:hint="cs"/>
          <w:rtl/>
          <w:lang w:bidi="ar-LB"/>
        </w:rPr>
        <w:t>52</w:t>
      </w:r>
      <w:r w:rsidRPr="00D829E2">
        <w:rPr>
          <w:rFonts w:cs="Calibri"/>
          <w:rtl/>
          <w:lang w:bidi="ar-LB"/>
        </w:rPr>
        <w:t>-</w:t>
      </w:r>
      <w:r w:rsidRPr="00D829E2">
        <w:rPr>
          <w:rFonts w:cs="Calibri"/>
          <w:rtl/>
          <w:lang w:bidi="ar-LB"/>
        </w:rPr>
        <w:tab/>
        <w:t>تطلب اللجنة إلى الدولة الطرف أن تقدم، بحلول 13 أيار/مايو 2017، معلومات عن متابعة توصيات اللجنة بشأن العقوبة البدنية، بما في ذلك قضية رائف بدوي، والأعمال الانتقامية ضد المدافعين عن حقوق الإنسان والصحفيين، وعقوبة الإعدام (انظر الفقرات 10 و12 و19 و42 أعلاه). وتدعو في هذا السياق الدولة الطرف إلى إطلاع اللجنة على خططها، خلال الفترة المشمولة بالتقرير المقبل، لتنفيذ بعض أو جميع التوصيات المتبقية في الملاحظات الختامية.</w:t>
      </w:r>
    </w:p>
    <w:p w:rsidR="00D829E2" w:rsidRDefault="00D829E2" w:rsidP="00D829E2">
      <w:pPr>
        <w:bidi/>
        <w:rPr>
          <w:rFonts w:cs="Calibri"/>
          <w:rtl/>
          <w:lang w:bidi="ar-LB"/>
        </w:rPr>
      </w:pPr>
      <w:r>
        <w:rPr>
          <w:rFonts w:cs="Calibri" w:hint="cs"/>
          <w:rtl/>
          <w:lang w:bidi="ar-LB"/>
        </w:rPr>
        <w:t>هذا هو الرد</w:t>
      </w:r>
    </w:p>
    <w:p w:rsidR="00CC64DC" w:rsidRPr="00EE6CCD" w:rsidRDefault="00CC64DC" w:rsidP="00232B21">
      <w:pPr>
        <w:bidi/>
        <w:rPr>
          <w:rFonts w:cs="Calibri"/>
          <w:lang w:bidi="ar-LB"/>
        </w:rPr>
      </w:pPr>
      <w:r w:rsidRPr="00EE6CCD">
        <w:rPr>
          <w:rFonts w:cs="Calibri" w:hint="cs"/>
          <w:rtl/>
          <w:lang w:bidi="ar-LB"/>
        </w:rPr>
        <w:t xml:space="preserve">المادة الثانية: </w:t>
      </w:r>
    </w:p>
    <w:p w:rsidR="00CC64DC" w:rsidRPr="00EE6CCD" w:rsidRDefault="00CC64DC" w:rsidP="00A73E3C">
      <w:pPr>
        <w:bidi/>
        <w:rPr>
          <w:rFonts w:cs="Calibri"/>
          <w:lang w:bidi="ar-LB"/>
        </w:rPr>
      </w:pPr>
      <w:r w:rsidRPr="00EE6CCD">
        <w:rPr>
          <w:rFonts w:cs="Calibri" w:hint="cs"/>
          <w:rtl/>
          <w:lang w:bidi="ar-LB"/>
        </w:rPr>
        <w:t xml:space="preserve">الملك يصدر عفو عن المحكومين بأحكام تعزير كل عام. </w:t>
      </w:r>
    </w:p>
    <w:p w:rsidR="00CC64DC" w:rsidRPr="00EE6CCD" w:rsidRDefault="00CC64DC" w:rsidP="00A73E3C">
      <w:pPr>
        <w:bidi/>
        <w:rPr>
          <w:rFonts w:cs="Calibri"/>
          <w:lang w:bidi="ar-LB"/>
        </w:rPr>
      </w:pPr>
      <w:r w:rsidRPr="00EE6CCD">
        <w:rPr>
          <w:rFonts w:cs="Calibri" w:hint="cs"/>
          <w:rtl/>
          <w:lang w:bidi="ar-LB"/>
        </w:rPr>
        <w:t>العقوبات المقررة بموجب أحكام الشريعة لا تملك الدولة أي سلطة لتغييرها.</w:t>
      </w:r>
    </w:p>
    <w:p w:rsidR="00CC64DC" w:rsidRPr="00EE6CCD" w:rsidRDefault="00CC64DC" w:rsidP="00A73E3C">
      <w:pPr>
        <w:bidi/>
        <w:rPr>
          <w:rFonts w:cs="Calibri"/>
          <w:rtl/>
          <w:lang w:bidi="ar-LB"/>
        </w:rPr>
      </w:pPr>
      <w:r w:rsidRPr="00EE6CCD">
        <w:rPr>
          <w:rFonts w:cs="Calibri" w:hint="cs"/>
          <w:rtl/>
          <w:lang w:bidi="ar-LB"/>
        </w:rPr>
        <w:t>العفو من قبل أولياء الدم.</w:t>
      </w:r>
    </w:p>
    <w:p w:rsidR="00CC64DC" w:rsidRPr="00EE6CCD" w:rsidRDefault="00CC64DC" w:rsidP="00A73E3C">
      <w:pPr>
        <w:bidi/>
        <w:rPr>
          <w:rFonts w:cs="Calibri"/>
          <w:rtl/>
          <w:lang w:bidi="ar-LB"/>
        </w:rPr>
      </w:pPr>
      <w:r w:rsidRPr="00EE6CCD">
        <w:rPr>
          <w:rFonts w:cs="Calibri" w:hint="cs"/>
          <w:rtl/>
          <w:lang w:bidi="ar-LB"/>
        </w:rPr>
        <w:t>نظام مكافحة المخدرات</w:t>
      </w:r>
    </w:p>
    <w:p w:rsidR="00CC64DC" w:rsidRPr="00EE6CCD" w:rsidRDefault="00CC64DC" w:rsidP="00CC64DC">
      <w:pPr>
        <w:jc w:val="right"/>
        <w:rPr>
          <w:rFonts w:cs="Calibri"/>
          <w:rtl/>
          <w:lang w:bidi="ar-LB"/>
        </w:rPr>
      </w:pPr>
    </w:p>
    <w:p w:rsidR="00CC64DC" w:rsidRPr="00EE6CCD" w:rsidRDefault="00CC64DC" w:rsidP="00CC64DC">
      <w:pPr>
        <w:jc w:val="right"/>
        <w:rPr>
          <w:rFonts w:cs="Calibri"/>
          <w:rtl/>
          <w:lang w:bidi="ar-LB"/>
        </w:rPr>
      </w:pPr>
      <w:r w:rsidRPr="00EE6CCD">
        <w:rPr>
          <w:rFonts w:cs="Calibri" w:hint="cs"/>
          <w:rtl/>
          <w:lang w:bidi="ar-LB"/>
        </w:rPr>
        <w:t>المادة الخامسة:</w:t>
      </w:r>
    </w:p>
    <w:p w:rsidR="00CC64DC" w:rsidRPr="00EE6CCD" w:rsidRDefault="00CC64DC" w:rsidP="00CC64DC">
      <w:pPr>
        <w:jc w:val="right"/>
        <w:rPr>
          <w:rFonts w:cs="Calibri"/>
          <w:rtl/>
          <w:lang w:bidi="ar-LB"/>
        </w:rPr>
      </w:pPr>
      <w:r w:rsidRPr="00EE6CCD">
        <w:rPr>
          <w:rFonts w:cs="Calibri" w:hint="cs"/>
          <w:rtl/>
          <w:lang w:bidi="ar-LB"/>
        </w:rPr>
        <w:t xml:space="preserve">كفلت المملكة لجميع السجناء والموقوفين دون تمييز حقوقا تشكل في مجملها منظومة العدالة الجنائية. </w:t>
      </w:r>
    </w:p>
    <w:p w:rsidR="00CC64DC" w:rsidRPr="00EE6CCD" w:rsidRDefault="00CC64DC" w:rsidP="00CC64DC">
      <w:pPr>
        <w:jc w:val="right"/>
        <w:rPr>
          <w:rFonts w:cs="Calibri"/>
          <w:rtl/>
          <w:lang w:bidi="ar-LB"/>
        </w:rPr>
      </w:pPr>
      <w:r w:rsidRPr="00EE6CCD">
        <w:rPr>
          <w:rFonts w:cs="Calibri" w:hint="cs"/>
          <w:rtl/>
          <w:lang w:bidi="ar-LB"/>
        </w:rPr>
        <w:t xml:space="preserve">كفلت الأنظمة للمواطنين والمقيمين الحق في التقاضي وعدم التعرض للتعذيب أو المعاملة المهينة أو اللاإنسانية، الحق في معرفة سبب الإعتقال . الحق في سماع أقواله والإستعانة بمحام, الحق في الرعاية الصحية والمحاكمة العلنية وسماع لائحة الدعوى والحصول على نسخة منها وفصل المتهمين مع المدانين. حق من تعرض للإيقاف غير المشروع أو التعذيب أو سوء المعاملة التعويض وإعادة التأهيل. </w:t>
      </w:r>
    </w:p>
    <w:p w:rsidR="00CC64DC" w:rsidRPr="00EE6CCD" w:rsidRDefault="00CC64DC" w:rsidP="00CC64DC">
      <w:pPr>
        <w:jc w:val="right"/>
        <w:rPr>
          <w:rFonts w:cs="Calibri"/>
          <w:rtl/>
          <w:lang w:bidi="ar-LB"/>
        </w:rPr>
      </w:pPr>
      <w:r w:rsidRPr="00EE6CCD">
        <w:rPr>
          <w:rFonts w:cs="Calibri" w:hint="cs"/>
          <w:rtl/>
          <w:lang w:bidi="ar-LB"/>
        </w:rPr>
        <w:t xml:space="preserve">المادة رقم سبعة: </w:t>
      </w:r>
    </w:p>
    <w:p w:rsidR="00CC64DC" w:rsidRPr="00EE6CCD" w:rsidRDefault="00CC64DC" w:rsidP="00CC64DC">
      <w:pPr>
        <w:jc w:val="right"/>
        <w:rPr>
          <w:rFonts w:cs="Calibri"/>
          <w:rtl/>
          <w:lang w:bidi="ar-LB"/>
        </w:rPr>
      </w:pPr>
      <w:r w:rsidRPr="00EE6CCD">
        <w:rPr>
          <w:rFonts w:cs="Calibri" w:hint="cs"/>
          <w:rtl/>
          <w:lang w:bidi="ar-LB"/>
        </w:rPr>
        <w:t>مؤسسات المجتمع المدني في المملكة شريك أساسي للأجهزة الحكومية في تعزيز حقوق الإنسان. نظام الجمعيات والمؤسسات الأهلية</w:t>
      </w:r>
      <w:r w:rsidR="00A73E3C" w:rsidRPr="00EE6CCD">
        <w:rPr>
          <w:rFonts w:cs="Calibri" w:hint="cs"/>
          <w:rtl/>
          <w:lang w:bidi="ar-LB"/>
        </w:rPr>
        <w:t>.</w:t>
      </w:r>
    </w:p>
    <w:p w:rsidR="00A73E3C" w:rsidRPr="00EE6CCD" w:rsidRDefault="00A73E3C" w:rsidP="00CC64DC">
      <w:pPr>
        <w:jc w:val="right"/>
        <w:rPr>
          <w:rFonts w:cs="Calibri"/>
          <w:rtl/>
          <w:lang w:bidi="ar-LB"/>
        </w:rPr>
      </w:pPr>
      <w:r w:rsidRPr="00EE6CCD">
        <w:rPr>
          <w:rFonts w:cs="Calibri" w:hint="cs"/>
          <w:rtl/>
          <w:lang w:bidi="ar-LB"/>
        </w:rPr>
        <w:t>المادة 11</w:t>
      </w:r>
    </w:p>
    <w:p w:rsidR="00A73E3C" w:rsidRPr="00EE6CCD" w:rsidRDefault="00A73E3C" w:rsidP="00CC64DC">
      <w:pPr>
        <w:jc w:val="right"/>
        <w:rPr>
          <w:rFonts w:cs="Calibri"/>
          <w:rtl/>
          <w:lang w:bidi="ar-LB"/>
        </w:rPr>
      </w:pPr>
      <w:r w:rsidRPr="00EE6CCD">
        <w:rPr>
          <w:rFonts w:cs="Calibri" w:hint="cs"/>
          <w:rtl/>
          <w:lang w:bidi="ar-LB"/>
        </w:rPr>
        <w:t xml:space="preserve">حرية الرأي والتعبير مكفولة بموجب الأنظمة </w:t>
      </w:r>
    </w:p>
    <w:p w:rsidR="00A73E3C" w:rsidRPr="00EE6CCD" w:rsidRDefault="00A73E3C" w:rsidP="00CC64DC">
      <w:pPr>
        <w:jc w:val="right"/>
        <w:rPr>
          <w:rFonts w:cs="Calibri"/>
          <w:lang w:bidi="ar-LB"/>
        </w:rPr>
      </w:pPr>
      <w:r w:rsidRPr="00EE6CCD">
        <w:rPr>
          <w:rFonts w:cs="Calibri" w:hint="cs"/>
          <w:rtl/>
          <w:lang w:bidi="ar-LB"/>
        </w:rPr>
        <w:t>المادة 13: عقوبة القتل في المملكة لا تفرض إلا على الجرائم الأشد خطورة.</w:t>
      </w:r>
    </w:p>
    <w:sectPr w:rsidR="00A73E3C" w:rsidRPr="00EE6C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A11CEC"/>
    <w:multiLevelType w:val="hybridMultilevel"/>
    <w:tmpl w:val="97807162"/>
    <w:lvl w:ilvl="0" w:tplc="AAFCF388">
      <w:start w:val="1"/>
      <w:numFmt w:val="decimal"/>
      <w:lvlText w:val="%1."/>
      <w:lvlJc w:val="center"/>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64DC"/>
    <w:rsid w:val="001351F0"/>
    <w:rsid w:val="00232B21"/>
    <w:rsid w:val="00297C04"/>
    <w:rsid w:val="005057C9"/>
    <w:rsid w:val="005944EF"/>
    <w:rsid w:val="0065281D"/>
    <w:rsid w:val="00770F11"/>
    <w:rsid w:val="00A73E3C"/>
    <w:rsid w:val="00B66271"/>
    <w:rsid w:val="00C033A1"/>
    <w:rsid w:val="00CC64DC"/>
    <w:rsid w:val="00D829E2"/>
    <w:rsid w:val="00DC1DED"/>
    <w:rsid w:val="00EE6CCD"/>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6373BE-CFB3-45E0-8669-F7BF682E6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64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A715DA-CDCE-41DF-86AB-235BA4EF0267}"/>
</file>

<file path=customXml/itemProps2.xml><?xml version="1.0" encoding="utf-8"?>
<ds:datastoreItem xmlns:ds="http://schemas.openxmlformats.org/officeDocument/2006/customXml" ds:itemID="{999DE44E-C8A8-4262-8F55-E6673FE8E347}"/>
</file>

<file path=customXml/itemProps3.xml><?xml version="1.0" encoding="utf-8"?>
<ds:datastoreItem xmlns:ds="http://schemas.openxmlformats.org/officeDocument/2006/customXml" ds:itemID="{65CFC64A-02AD-42A7-9B3D-339BB6D30498}"/>
</file>

<file path=docProps/app.xml><?xml version="1.0" encoding="utf-8"?>
<Properties xmlns="http://schemas.openxmlformats.org/officeDocument/2006/extended-properties" xmlns:vt="http://schemas.openxmlformats.org/officeDocument/2006/docPropsVTypes">
  <Template>Normal.dotm</Template>
  <TotalTime>1</TotalTime>
  <Pages>3</Pages>
  <Words>935</Words>
  <Characters>5332</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duaa</dc:creator>
  <cp:lastModifiedBy>Javier Leoz Invernón</cp:lastModifiedBy>
  <cp:revision>2</cp:revision>
  <dcterms:created xsi:type="dcterms:W3CDTF">2018-04-26T10:55:00Z</dcterms:created>
  <dcterms:modified xsi:type="dcterms:W3CDTF">2018-04-26T10:55:00Z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