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4B48B19" w:rsidR="00C17C05" w:rsidRDefault="00F77D3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noProof/>
          <w:sz w:val="24"/>
          <w:szCs w:val="24"/>
        </w:rPr>
        <w:drawing>
          <wp:anchor distT="0" distB="0" distL="114300" distR="114300" simplePos="0" relativeHeight="251658240" behindDoc="0" locked="0" layoutInCell="1" allowOverlap="1" wp14:anchorId="0725DB8E" wp14:editId="7D83DF5B">
            <wp:simplePos x="0" y="0"/>
            <wp:positionH relativeFrom="column">
              <wp:posOffset>243840</wp:posOffset>
            </wp:positionH>
            <wp:positionV relativeFrom="paragraph">
              <wp:posOffset>0</wp:posOffset>
            </wp:positionV>
            <wp:extent cx="5029200" cy="838200"/>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9200" cy="838200"/>
                    </a:xfrm>
                    <a:prstGeom prst="rect">
                      <a:avLst/>
                    </a:prstGeom>
                    <a:noFill/>
                    <a:ln>
                      <a:noFill/>
                    </a:ln>
                  </pic:spPr>
                </pic:pic>
              </a:graphicData>
            </a:graphic>
          </wp:anchor>
        </w:drawing>
      </w:r>
      <w:r w:rsidR="00A55875">
        <w:rPr>
          <w:rFonts w:ascii="Times New Roman" w:eastAsia="Times New Roman" w:hAnsi="Times New Roman" w:cs="Times New Roman"/>
          <w:b/>
          <w:sz w:val="24"/>
          <w:szCs w:val="24"/>
        </w:rPr>
        <w:t>Informe de cumplimiento de la Convención sobre la Eliminación de todas las formas de discriminación</w:t>
      </w:r>
      <w:r w:rsidR="002B47B6">
        <w:rPr>
          <w:rFonts w:ascii="Times New Roman" w:eastAsia="Times New Roman" w:hAnsi="Times New Roman" w:cs="Times New Roman"/>
          <w:b/>
          <w:sz w:val="24"/>
          <w:szCs w:val="24"/>
        </w:rPr>
        <w:t xml:space="preserve"> </w:t>
      </w:r>
      <w:r w:rsidR="00A55875">
        <w:rPr>
          <w:rFonts w:ascii="Times New Roman" w:eastAsia="Times New Roman" w:hAnsi="Times New Roman" w:cs="Times New Roman"/>
          <w:b/>
          <w:sz w:val="24"/>
          <w:szCs w:val="24"/>
        </w:rPr>
        <w:t>contra la mujer (CEDAW) en Venezuela.</w:t>
      </w:r>
      <w:r w:rsidR="00A55875">
        <w:rPr>
          <w:rFonts w:ascii="Times New Roman" w:eastAsia="Times New Roman" w:hAnsi="Times New Roman" w:cs="Times New Roman"/>
          <w:sz w:val="24"/>
          <w:szCs w:val="24"/>
        </w:rPr>
        <w:t xml:space="preserve"> (Informe presentado con ocasión del examen a la República Bolivariana de Venezuela en el marco del 85° período de sesiones del Comité de la CEDAW).</w:t>
      </w:r>
      <w:r w:rsidR="00BF748B">
        <w:rPr>
          <w:rFonts w:ascii="Times New Roman" w:eastAsia="Times New Roman" w:hAnsi="Times New Roman" w:cs="Times New Roman"/>
          <w:sz w:val="24"/>
          <w:szCs w:val="24"/>
        </w:rPr>
        <w:t xml:space="preserve"> </w:t>
      </w:r>
    </w:p>
    <w:p w14:paraId="00000002" w14:textId="77777777" w:rsidR="00C17C05" w:rsidRDefault="00C17C05">
      <w:pPr>
        <w:jc w:val="both"/>
        <w:rPr>
          <w:rFonts w:ascii="Times New Roman" w:eastAsia="Times New Roman" w:hAnsi="Times New Roman" w:cs="Times New Roman"/>
          <w:sz w:val="24"/>
          <w:szCs w:val="24"/>
        </w:rPr>
      </w:pPr>
    </w:p>
    <w:p w14:paraId="00000003" w14:textId="2ACD666B" w:rsidR="00C17C05" w:rsidRDefault="00A558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informe ofrece una contextualización general de la Emergencia Humanitaria Compleja (EHC) en Venezuela y de la situación de cada derecho planteado. En ausencia de estadísticas oficiales por denegación de acceso a la información, altos subregistros de data oficial y censura del Estado a la investigación independiente, la información utilizada para la elaboración de este informe es aportada por las Organizaciones de Sociedad Civil (OSC) venezolana y proviene del informe “Ser Mujer en Venezuela</w:t>
      </w:r>
      <w:r w:rsidR="00F77D3D">
        <w:rPr>
          <w:rFonts w:ascii="Times New Roman" w:eastAsia="Times New Roman" w:hAnsi="Times New Roman" w:cs="Times New Roman"/>
          <w:sz w:val="24"/>
          <w:szCs w:val="24"/>
          <w:vertAlign w:val="superscript"/>
        </w:rPr>
        <w:endnoteReference w:id="1"/>
      </w:r>
      <w:r w:rsidR="00F77D3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elaborado por la Alianza </w:t>
      </w:r>
      <w:proofErr w:type="spellStart"/>
      <w:r>
        <w:rPr>
          <w:rFonts w:ascii="Times New Roman" w:eastAsia="Times New Roman" w:hAnsi="Times New Roman" w:cs="Times New Roman"/>
          <w:sz w:val="24"/>
          <w:szCs w:val="24"/>
        </w:rPr>
        <w:t>ConEllas</w:t>
      </w:r>
      <w:proofErr w:type="spellEnd"/>
      <w:r>
        <w:rPr>
          <w:rFonts w:ascii="Times New Roman" w:eastAsia="Times New Roman" w:hAnsi="Times New Roman" w:cs="Times New Roman"/>
          <w:sz w:val="24"/>
          <w:szCs w:val="24"/>
        </w:rPr>
        <w:t xml:space="preserve"> que ofrece una perspectiva de género y diversidad a los datos recabados en diagnósticos comunitarios realizado en terrero a casi 6.500 hogares en 18 de los 24 estados del país, como parte del esfuerzo conjunto de las OSC para llenar los vacíos de información a través de la plataforma </w:t>
      </w:r>
      <w:proofErr w:type="spellStart"/>
      <w:r>
        <w:rPr>
          <w:rFonts w:ascii="Times New Roman" w:eastAsia="Times New Roman" w:hAnsi="Times New Roman" w:cs="Times New Roman"/>
          <w:sz w:val="24"/>
          <w:szCs w:val="24"/>
        </w:rPr>
        <w:t>HumVenezuela</w:t>
      </w:r>
      <w:proofErr w:type="spellEnd"/>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00000005" w14:textId="77777777" w:rsidR="00C17C05" w:rsidRDefault="00A5587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informe es presentado por la Alianza Con Ellas, conformada por las OSC:</w:t>
      </w:r>
    </w:p>
    <w:p w14:paraId="00000006" w14:textId="77777777" w:rsidR="00C17C05" w:rsidRDefault="00A55875">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Centro de Justicia y Paz (CEPAZ)</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w:t>
      </w:r>
    </w:p>
    <w:p w14:paraId="00000007" w14:textId="77777777" w:rsidR="00C17C05" w:rsidRDefault="00A55875">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Fundación de lucha contra el Cáncer de Mama (FUNCAMAMA)</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w:t>
      </w:r>
    </w:p>
    <w:p w14:paraId="00000008" w14:textId="77777777" w:rsidR="00C17C05" w:rsidRDefault="00A55875">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Prepara Familia</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w:t>
      </w:r>
    </w:p>
    <w:p w14:paraId="00000009" w14:textId="77777777" w:rsidR="00C17C05" w:rsidRDefault="00A55875">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UNIANDES</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w:t>
      </w:r>
    </w:p>
    <w:p w14:paraId="0000000A" w14:textId="77777777" w:rsidR="00C17C05" w:rsidRDefault="00A55875">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Acción Solidaria</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color w:val="000000"/>
          <w:sz w:val="24"/>
          <w:szCs w:val="24"/>
        </w:rPr>
        <w:t xml:space="preserve"> y;</w:t>
      </w:r>
    </w:p>
    <w:p w14:paraId="0000000F" w14:textId="1B577AB4" w:rsidR="00C17C05" w:rsidRPr="00F77D3D" w:rsidRDefault="00A55875" w:rsidP="00F77D3D">
      <w:pPr>
        <w:numPr>
          <w:ilvl w:val="0"/>
          <w:numId w:val="4"/>
        </w:numPr>
        <w:pBdr>
          <w:top w:val="nil"/>
          <w:left w:val="nil"/>
          <w:bottom w:val="nil"/>
          <w:right w:val="nil"/>
          <w:between w:val="nil"/>
        </w:pBdr>
        <w:jc w:val="both"/>
        <w:rPr>
          <w:rFonts w:ascii="Times New Roman" w:eastAsia="Times New Roman" w:hAnsi="Times New Roman" w:cs="Times New Roman"/>
          <w:sz w:val="24"/>
          <w:szCs w:val="24"/>
        </w:rPr>
      </w:pPr>
      <w:r w:rsidRPr="00F77D3D">
        <w:rPr>
          <w:rFonts w:ascii="Times New Roman" w:eastAsia="Times New Roman" w:hAnsi="Times New Roman" w:cs="Times New Roman"/>
          <w:color w:val="000000"/>
          <w:sz w:val="24"/>
          <w:szCs w:val="24"/>
        </w:rPr>
        <w:t>Unión Afirmativa</w:t>
      </w:r>
      <w:r>
        <w:rPr>
          <w:rFonts w:ascii="Times New Roman" w:eastAsia="Times New Roman" w:hAnsi="Times New Roman" w:cs="Times New Roman"/>
          <w:color w:val="000000"/>
          <w:sz w:val="24"/>
          <w:szCs w:val="24"/>
          <w:vertAlign w:val="superscript"/>
        </w:rPr>
        <w:footnoteReference w:id="7"/>
      </w:r>
    </w:p>
    <w:p w14:paraId="389EA6E6" w14:textId="77777777" w:rsidR="00BF748B" w:rsidRPr="00BF748B" w:rsidRDefault="00BF748B" w:rsidP="00BF748B">
      <w:pPr>
        <w:jc w:val="both"/>
        <w:rPr>
          <w:rFonts w:ascii="Times New Roman" w:eastAsia="Times New Roman" w:hAnsi="Times New Roman" w:cs="Times New Roman"/>
          <w:sz w:val="24"/>
          <w:szCs w:val="24"/>
        </w:rPr>
      </w:pPr>
      <w:r w:rsidRPr="00BF748B">
        <w:rPr>
          <w:rFonts w:ascii="Times New Roman" w:eastAsia="Times New Roman" w:hAnsi="Times New Roman" w:cs="Times New Roman"/>
          <w:sz w:val="24"/>
          <w:szCs w:val="24"/>
        </w:rPr>
        <w:t>Este documento puede ser divulgado en la página web de la OACNUDH con fines de divulgación pública</w:t>
      </w:r>
    </w:p>
    <w:p w14:paraId="060B1460" w14:textId="72195733" w:rsidR="00F77D3D" w:rsidRDefault="00F77D3D" w:rsidP="00BF748B">
      <w:pPr>
        <w:pBdr>
          <w:top w:val="nil"/>
          <w:left w:val="nil"/>
          <w:bottom w:val="nil"/>
          <w:right w:val="nil"/>
          <w:between w:val="nil"/>
        </w:pBdr>
        <w:ind w:left="360"/>
        <w:jc w:val="both"/>
        <w:rPr>
          <w:rFonts w:ascii="Times New Roman" w:eastAsia="Times New Roman" w:hAnsi="Times New Roman" w:cs="Times New Roman"/>
          <w:color w:val="000000"/>
          <w:sz w:val="24"/>
          <w:szCs w:val="24"/>
        </w:rPr>
      </w:pPr>
    </w:p>
    <w:p w14:paraId="513345CC" w14:textId="77777777" w:rsidR="00F77D3D" w:rsidRPr="00F77D3D" w:rsidRDefault="00F77D3D" w:rsidP="00F77D3D">
      <w:pPr>
        <w:pBdr>
          <w:top w:val="nil"/>
          <w:left w:val="nil"/>
          <w:bottom w:val="nil"/>
          <w:right w:val="nil"/>
          <w:between w:val="nil"/>
        </w:pBdr>
        <w:ind w:left="720"/>
        <w:jc w:val="both"/>
        <w:rPr>
          <w:rFonts w:ascii="Times New Roman" w:eastAsia="Times New Roman" w:hAnsi="Times New Roman" w:cs="Times New Roman"/>
          <w:sz w:val="24"/>
          <w:szCs w:val="24"/>
        </w:rPr>
      </w:pPr>
    </w:p>
    <w:p w14:paraId="00000010" w14:textId="77777777" w:rsidR="00C17C05" w:rsidRDefault="00A55875">
      <w:pPr>
        <w:numPr>
          <w:ilvl w:val="0"/>
          <w:numId w:val="5"/>
        </w:numPr>
        <w:pBdr>
          <w:top w:val="nil"/>
          <w:left w:val="nil"/>
          <w:bottom w:val="nil"/>
          <w:right w:val="nil"/>
          <w:between w:val="nil"/>
        </w:pBdr>
        <w:spacing w:after="0"/>
        <w:ind w:left="28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Presentación del contexto general </w:t>
      </w:r>
    </w:p>
    <w:p w14:paraId="00000011" w14:textId="77777777" w:rsidR="00C17C05" w:rsidRDefault="00C17C05">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14:paraId="00000012" w14:textId="79049F0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Venezuela atraviesa una EHC desde el año 2015, la cual ha tenido impactos notables en todas las esferas de la vida de </w:t>
      </w:r>
      <w:r>
        <w:rPr>
          <w:rFonts w:ascii="Times New Roman" w:eastAsia="Times New Roman" w:hAnsi="Times New Roman" w:cs="Times New Roman"/>
          <w:sz w:val="24"/>
          <w:szCs w:val="24"/>
        </w:rPr>
        <w:t>sus habitantes</w:t>
      </w:r>
      <w:r>
        <w:rPr>
          <w:rFonts w:ascii="Times New Roman" w:eastAsia="Times New Roman" w:hAnsi="Times New Roman" w:cs="Times New Roman"/>
          <w:color w:val="000000"/>
          <w:sz w:val="24"/>
          <w:szCs w:val="24"/>
        </w:rPr>
        <w:t xml:space="preserve">. Para marzo de 2022, había en </w:t>
      </w:r>
      <w:r>
        <w:rPr>
          <w:rFonts w:ascii="Times New Roman" w:eastAsia="Times New Roman" w:hAnsi="Times New Roman" w:cs="Times New Roman"/>
          <w:sz w:val="24"/>
          <w:szCs w:val="24"/>
        </w:rPr>
        <w:t>el país</w:t>
      </w:r>
      <w:r>
        <w:rPr>
          <w:rFonts w:ascii="Times New Roman" w:eastAsia="Times New Roman" w:hAnsi="Times New Roman" w:cs="Times New Roman"/>
          <w:color w:val="000000"/>
          <w:sz w:val="24"/>
          <w:szCs w:val="24"/>
        </w:rPr>
        <w:t xml:space="preserve"> al menos 18 millones de personas </w:t>
      </w:r>
      <w:r>
        <w:rPr>
          <w:rFonts w:ascii="Times New Roman" w:eastAsia="Times New Roman" w:hAnsi="Times New Roman" w:cs="Times New Roman"/>
          <w:sz w:val="24"/>
          <w:szCs w:val="24"/>
        </w:rPr>
        <w:t>con necesidades de asistencia</w:t>
      </w:r>
      <w:r>
        <w:rPr>
          <w:rFonts w:ascii="Times New Roman" w:eastAsia="Times New Roman" w:hAnsi="Times New Roman" w:cs="Times New Roman"/>
          <w:color w:val="000000"/>
          <w:sz w:val="24"/>
          <w:szCs w:val="24"/>
        </w:rPr>
        <w:t xml:space="preserve"> humanitaria por riesgo de daño a </w:t>
      </w:r>
      <w:r w:rsidR="00F77D3D">
        <w:rPr>
          <w:rFonts w:ascii="Times New Roman" w:eastAsia="Times New Roman" w:hAnsi="Times New Roman" w:cs="Times New Roman"/>
          <w:color w:val="000000"/>
          <w:sz w:val="24"/>
          <w:szCs w:val="24"/>
        </w:rPr>
        <w:t>su</w:t>
      </w:r>
      <w:r w:rsidR="00F77D3D">
        <w:rPr>
          <w:rFonts w:ascii="Times New Roman" w:eastAsia="Times New Roman" w:hAnsi="Times New Roman" w:cs="Times New Roman"/>
          <w:sz w:val="24"/>
          <w:szCs w:val="24"/>
        </w:rPr>
        <w:t xml:space="preserve"> </w:t>
      </w:r>
      <w:r w:rsidR="00F77D3D">
        <w:rPr>
          <w:rFonts w:ascii="Times New Roman" w:eastAsia="Times New Roman" w:hAnsi="Times New Roman" w:cs="Times New Roman"/>
          <w:color w:val="000000"/>
          <w:sz w:val="24"/>
          <w:szCs w:val="24"/>
        </w:rPr>
        <w:t>integridad</w:t>
      </w:r>
      <w:r>
        <w:rPr>
          <w:rFonts w:ascii="Times New Roman" w:eastAsia="Times New Roman" w:hAnsi="Times New Roman" w:cs="Times New Roman"/>
          <w:color w:val="000000"/>
          <w:sz w:val="24"/>
          <w:szCs w:val="24"/>
        </w:rPr>
        <w:t xml:space="preserve"> personal, vida, seguridad y medios de subsistencia. De todas estas personas, 9,5 millones son niñas, adolescentes y mujeres</w:t>
      </w:r>
      <w:r w:rsidR="00F77D3D">
        <w:rPr>
          <w:rFonts w:ascii="Times New Roman" w:eastAsia="Times New Roman" w:hAnsi="Times New Roman" w:cs="Times New Roman"/>
          <w:color w:val="000000"/>
          <w:sz w:val="24"/>
          <w:szCs w:val="24"/>
          <w:vertAlign w:val="superscript"/>
        </w:rPr>
        <w:endnoteReference w:id="2"/>
      </w:r>
      <w:r w:rsidR="00F77D3D">
        <w:rPr>
          <w:rFonts w:ascii="Times New Roman" w:eastAsia="Times New Roman" w:hAnsi="Times New Roman" w:cs="Times New Roman"/>
          <w:color w:val="000000"/>
          <w:sz w:val="24"/>
          <w:szCs w:val="24"/>
        </w:rPr>
        <w:t>.</w:t>
      </w:r>
    </w:p>
    <w:p w14:paraId="00000013" w14:textId="77777777" w:rsidR="00C17C05" w:rsidRDefault="00C17C05">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14"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situación de pobreza en Venezuela es generalizada y </w:t>
      </w:r>
      <w:r>
        <w:rPr>
          <w:rFonts w:ascii="Times New Roman" w:eastAsia="Times New Roman" w:hAnsi="Times New Roman" w:cs="Times New Roman"/>
          <w:sz w:val="24"/>
          <w:szCs w:val="24"/>
        </w:rPr>
        <w:t xml:space="preserve">en </w:t>
      </w:r>
      <w:r>
        <w:rPr>
          <w:rFonts w:ascii="Times New Roman" w:eastAsia="Times New Roman" w:hAnsi="Times New Roman" w:cs="Times New Roman"/>
          <w:color w:val="000000"/>
          <w:sz w:val="24"/>
          <w:szCs w:val="24"/>
        </w:rPr>
        <w:t xml:space="preserve">todos los estados del país hay </w:t>
      </w:r>
      <w:r>
        <w:rPr>
          <w:rFonts w:ascii="Times New Roman" w:eastAsia="Times New Roman" w:hAnsi="Times New Roman" w:cs="Times New Roman"/>
          <w:sz w:val="24"/>
          <w:szCs w:val="24"/>
        </w:rPr>
        <w:t>personas</w:t>
      </w:r>
      <w:r>
        <w:rPr>
          <w:rFonts w:ascii="Times New Roman" w:eastAsia="Times New Roman" w:hAnsi="Times New Roman" w:cs="Times New Roman"/>
          <w:color w:val="000000"/>
          <w:sz w:val="24"/>
          <w:szCs w:val="24"/>
        </w:rPr>
        <w:t xml:space="preserve"> severamente afectadas por el agotamiento de sus medios de vida, la inseguridad alimentaria moderada y severa, la falta de atención médica y medicinas y el severo deterioro de los servicios básicos. </w:t>
      </w:r>
    </w:p>
    <w:p w14:paraId="00000015" w14:textId="77777777" w:rsidR="00C17C05" w:rsidRDefault="00C17C05">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16"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2019 se creó Hum Venezuela, como iniciativa de las OSC para cerrar la brecha de datos oficiales y proporcionar información relevante sobre la escala de la emergencia y las necesidades de asistencia. A través de diagnósticos comunitarios se han recabado datos sobre 5 áreas: condiciones de vida, alimentación, agua y saneamiento, educación básica y salud. </w:t>
      </w:r>
    </w:p>
    <w:p w14:paraId="00000017" w14:textId="77777777" w:rsidR="00C17C05" w:rsidRDefault="00C17C05">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18"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sus esfuerzos, las OSC han identificado impactos diferenciados y más perjudiciales por razones de género y diversidad, así como la falta de un enfoque interseccional por actores claves que puedan dar respuestas más efectivas e integrales a esta problemática, todos los cuales serán expuestos en el presente informe. </w:t>
      </w:r>
    </w:p>
    <w:p w14:paraId="00000019" w14:textId="77777777" w:rsidR="00C17C05" w:rsidRDefault="00C17C05">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1A" w14:textId="77777777" w:rsidR="00C17C05" w:rsidRDefault="00A55875">
      <w:pPr>
        <w:numPr>
          <w:ilvl w:val="0"/>
          <w:numId w:val="5"/>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Sobre la discriminación y la Violencia Basada en Género (VBG) como forma de discriminación en contra de la mujer. (Artículos 1 - 5 de la CEDAW)</w:t>
      </w:r>
    </w:p>
    <w:p w14:paraId="0000001B" w14:textId="77777777" w:rsidR="00C17C05" w:rsidRDefault="00C17C05">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14:paraId="0000001C"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partir de 2007 hubo un avance en materia legislativa en lo que se refiere a la VBG, con la promulgación de la Ley Orgánica sobre el Derecho de las Mujeres a una a Vida Libre de Violencia</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sz w:val="24"/>
          <w:szCs w:val="24"/>
        </w:rPr>
        <w:t>(LODMVLV).</w:t>
      </w:r>
      <w:r>
        <w:rPr>
          <w:rFonts w:ascii="Times New Roman" w:eastAsia="Times New Roman" w:hAnsi="Times New Roman" w:cs="Times New Roman"/>
          <w:color w:val="000000"/>
          <w:sz w:val="24"/>
          <w:szCs w:val="24"/>
        </w:rPr>
        <w:t xml:space="preserve"> Sin embargo, el Estado no ha cumplido con las obligaciones orientadas a garantizar estos derechos. En la práctica las mujeres presentan múltiples limitaciones para acceder a mecanismos de prevención y protección, denuncia y un sistema de justicia diligente. </w:t>
      </w:r>
    </w:p>
    <w:p w14:paraId="0000001D" w14:textId="77777777" w:rsidR="00C17C05" w:rsidRDefault="00C17C05">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1E"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Así, en el país existen 72 oficinas fiscales de Atención a la Investigación Penal a los Delitos de Violencia contra la mujer, no obstante, las mujeres víctimas deben enfrentarse a instituciones y funcionarios que carecen de formación para brindar atención con una perspectiva de género, lo cual, genera situaciones en las que son </w:t>
      </w:r>
      <w:r>
        <w:rPr>
          <w:rFonts w:ascii="Times New Roman" w:eastAsia="Times New Roman" w:hAnsi="Times New Roman" w:cs="Times New Roman"/>
          <w:sz w:val="24"/>
          <w:szCs w:val="24"/>
        </w:rPr>
        <w:t>re victimizadas</w:t>
      </w:r>
      <w:r>
        <w:rPr>
          <w:rFonts w:ascii="Times New Roman" w:eastAsia="Times New Roman" w:hAnsi="Times New Roman" w:cs="Times New Roman"/>
          <w:color w:val="000000"/>
          <w:sz w:val="24"/>
          <w:szCs w:val="24"/>
        </w:rPr>
        <w:t xml:space="preserve">. Las mujeres reportan ser </w:t>
      </w:r>
      <w:r>
        <w:rPr>
          <w:rFonts w:ascii="Times New Roman" w:eastAsia="Times New Roman" w:hAnsi="Times New Roman" w:cs="Times New Roman"/>
          <w:sz w:val="24"/>
          <w:szCs w:val="24"/>
        </w:rPr>
        <w:t>víctimas</w:t>
      </w:r>
      <w:r>
        <w:rPr>
          <w:rFonts w:ascii="Times New Roman" w:eastAsia="Times New Roman" w:hAnsi="Times New Roman" w:cs="Times New Roman"/>
          <w:color w:val="000000"/>
          <w:sz w:val="24"/>
          <w:szCs w:val="24"/>
        </w:rPr>
        <w:t xml:space="preserve"> de </w:t>
      </w:r>
      <w:r>
        <w:rPr>
          <w:rFonts w:ascii="Times New Roman" w:eastAsia="Times New Roman" w:hAnsi="Times New Roman" w:cs="Times New Roman"/>
          <w:sz w:val="24"/>
          <w:szCs w:val="24"/>
        </w:rPr>
        <w:t>revictimización al ser atendidas en las instituciones, donde reportan en su mayoría ser víctimas de prácticas llenas de estereotipos y violencia.</w:t>
      </w:r>
    </w:p>
    <w:p w14:paraId="0000001F" w14:textId="77777777" w:rsidR="00C17C05" w:rsidRDefault="00C17C05">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20"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líneas generales, dentro del sistema de justicia en Venezuela existe desconocimiento casi absoluto de los derechos humanos de las mujeres, es común la estigmatización por parte de los funcionarios, tácticas dilatorias, falta de materiales para realizar trámites y en general un sistema de atención con profundas fallas estructurales. </w:t>
      </w:r>
    </w:p>
    <w:p w14:paraId="00000021" w14:textId="77777777" w:rsidR="00C17C05" w:rsidRDefault="00C17C05">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22" w14:textId="693A7D1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Asimismo, otro elemento importante para las mujeres que denuncian es la posibilidad de poder acudir a establecimientos que las reciban, toda vez que en su mayoría son dependientes económicamente de su agresor. </w:t>
      </w:r>
      <w:r w:rsidR="002B47B6">
        <w:rPr>
          <w:rFonts w:ascii="Times New Roman" w:eastAsia="Times New Roman" w:hAnsi="Times New Roman" w:cs="Times New Roman"/>
          <w:sz w:val="24"/>
          <w:szCs w:val="24"/>
        </w:rPr>
        <w:t xml:space="preserve">Las </w:t>
      </w:r>
      <w:r w:rsidR="002B47B6">
        <w:rPr>
          <w:rFonts w:ascii="Times New Roman" w:eastAsia="Times New Roman" w:hAnsi="Times New Roman" w:cs="Times New Roman"/>
          <w:color w:val="000000"/>
          <w:sz w:val="24"/>
          <w:szCs w:val="24"/>
        </w:rPr>
        <w:t>casas</w:t>
      </w:r>
      <w:r>
        <w:rPr>
          <w:rFonts w:ascii="Times New Roman" w:eastAsia="Times New Roman" w:hAnsi="Times New Roman" w:cs="Times New Roman"/>
          <w:color w:val="000000"/>
          <w:sz w:val="24"/>
          <w:szCs w:val="24"/>
        </w:rPr>
        <w:t xml:space="preserve"> abrigo que </w:t>
      </w:r>
      <w:r>
        <w:rPr>
          <w:rFonts w:ascii="Times New Roman" w:eastAsia="Times New Roman" w:hAnsi="Times New Roman" w:cs="Times New Roman"/>
          <w:sz w:val="24"/>
          <w:szCs w:val="24"/>
        </w:rPr>
        <w:t>prevé la LODMVLV</w:t>
      </w:r>
      <w:r>
        <w:rPr>
          <w:rFonts w:ascii="Times New Roman" w:eastAsia="Times New Roman" w:hAnsi="Times New Roman" w:cs="Times New Roman"/>
          <w:color w:val="000000"/>
          <w:sz w:val="24"/>
          <w:szCs w:val="24"/>
        </w:rPr>
        <w:t xml:space="preserve"> están desmanteladas y no existe información oficial sobre disponibilidad de este tipo de espacios para las víctimas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Las órdenes de protección no </w:t>
      </w:r>
      <w:r>
        <w:rPr>
          <w:rFonts w:ascii="Times New Roman" w:eastAsia="Times New Roman" w:hAnsi="Times New Roman" w:cs="Times New Roman"/>
          <w:sz w:val="24"/>
          <w:szCs w:val="24"/>
        </w:rPr>
        <w:t>son efectivas</w:t>
      </w:r>
      <w:r>
        <w:rPr>
          <w:rFonts w:ascii="Times New Roman" w:eastAsia="Times New Roman" w:hAnsi="Times New Roman" w:cs="Times New Roman"/>
          <w:color w:val="000000"/>
          <w:sz w:val="24"/>
          <w:szCs w:val="24"/>
        </w:rPr>
        <w:t xml:space="preserve"> debido a que no se hace el seguimiento correspondiente, ni se aplican sanciones ante el incumplimiento de estas. </w:t>
      </w:r>
    </w:p>
    <w:p w14:paraId="00000023" w14:textId="77777777" w:rsidR="00C17C05" w:rsidRDefault="00C17C05">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24" w14:textId="7F93B840"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El análisis de la alianza </w:t>
      </w:r>
      <w:proofErr w:type="spellStart"/>
      <w:r>
        <w:rPr>
          <w:rFonts w:ascii="Times New Roman" w:eastAsia="Times New Roman" w:hAnsi="Times New Roman" w:cs="Times New Roman"/>
          <w:sz w:val="24"/>
          <w:szCs w:val="24"/>
        </w:rPr>
        <w:t>ConEllas</w:t>
      </w:r>
      <w:proofErr w:type="spellEnd"/>
      <w:r>
        <w:rPr>
          <w:rFonts w:ascii="Times New Roman" w:eastAsia="Times New Roman" w:hAnsi="Times New Roman" w:cs="Times New Roman"/>
          <w:sz w:val="24"/>
          <w:szCs w:val="24"/>
        </w:rPr>
        <w:t xml:space="preserve"> del diagnóstico comunitario de </w:t>
      </w:r>
      <w:proofErr w:type="spellStart"/>
      <w:r>
        <w:rPr>
          <w:rFonts w:ascii="Times New Roman" w:eastAsia="Times New Roman" w:hAnsi="Times New Roman" w:cs="Times New Roman"/>
          <w:sz w:val="24"/>
          <w:szCs w:val="24"/>
        </w:rPr>
        <w:t>HumVenezuela</w:t>
      </w:r>
      <w:proofErr w:type="spellEnd"/>
      <w:r>
        <w:rPr>
          <w:rFonts w:ascii="Times New Roman" w:eastAsia="Times New Roman" w:hAnsi="Times New Roman" w:cs="Times New Roman"/>
          <w:sz w:val="24"/>
          <w:szCs w:val="24"/>
        </w:rPr>
        <w:t xml:space="preserve"> (2021-2022</w:t>
      </w:r>
      <w:r w:rsidR="00F77D3D">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arrojó que para 2021 el 7,3% de las mujeres entrevistadas hab</w:t>
      </w:r>
      <w:r>
        <w:rPr>
          <w:rFonts w:ascii="Times New Roman" w:eastAsia="Times New Roman" w:hAnsi="Times New Roman" w:cs="Times New Roman"/>
          <w:sz w:val="24"/>
          <w:szCs w:val="24"/>
        </w:rPr>
        <w:t>ía</w:t>
      </w:r>
      <w:r>
        <w:rPr>
          <w:rFonts w:ascii="Times New Roman" w:eastAsia="Times New Roman" w:hAnsi="Times New Roman" w:cs="Times New Roman"/>
          <w:color w:val="000000"/>
          <w:sz w:val="24"/>
          <w:szCs w:val="24"/>
        </w:rPr>
        <w:t xml:space="preserve"> sido víctima de violencia familiar. Los tipos de violencia fueron: psicológica (87,4%), simbólica (25,2%), económica (24,4%) y sexual (10,2%). El 66,5% de las víctimas eran mujeres adultas, 15,8% niñas y adolescentes, 9,8% mujeres mayores, 4% mujeres con discapacidad y 4% mujeres trans. Por otro lado, en el 64% de los casos de estas violencias en mujeres adultas, </w:t>
      </w:r>
      <w:r>
        <w:rPr>
          <w:rFonts w:ascii="Times New Roman" w:eastAsia="Times New Roman" w:hAnsi="Times New Roman" w:cs="Times New Roman"/>
          <w:sz w:val="24"/>
          <w:szCs w:val="24"/>
        </w:rPr>
        <w:t xml:space="preserve">el agresor era su pareja o ex </w:t>
      </w:r>
      <w:r w:rsidR="00F77D3D">
        <w:rPr>
          <w:rFonts w:ascii="Times New Roman" w:eastAsia="Times New Roman" w:hAnsi="Times New Roman" w:cs="Times New Roman"/>
          <w:sz w:val="24"/>
          <w:szCs w:val="24"/>
        </w:rPr>
        <w:t>pareja.</w:t>
      </w:r>
      <w:r>
        <w:rPr>
          <w:rFonts w:ascii="Times New Roman" w:eastAsia="Times New Roman" w:hAnsi="Times New Roman" w:cs="Times New Roman"/>
          <w:color w:val="000000"/>
          <w:sz w:val="24"/>
          <w:szCs w:val="24"/>
        </w:rPr>
        <w:t xml:space="preserve">  </w:t>
      </w:r>
    </w:p>
    <w:p w14:paraId="00000025" w14:textId="77777777" w:rsidR="00C17C05" w:rsidRDefault="00C17C05">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26" w14:textId="4A1C7DB2"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 todos estos casos señalados, solamente el 31% de las mujeres víctimas indicó haber hecho alguna denuncia, y no en todos los casos </w:t>
      </w:r>
      <w:r>
        <w:rPr>
          <w:rFonts w:ascii="Times New Roman" w:eastAsia="Times New Roman" w:hAnsi="Times New Roman" w:cs="Times New Roman"/>
          <w:sz w:val="24"/>
          <w:szCs w:val="24"/>
        </w:rPr>
        <w:t xml:space="preserve">fue </w:t>
      </w:r>
      <w:r w:rsidR="00F77D3D">
        <w:rPr>
          <w:rFonts w:ascii="Times New Roman" w:eastAsia="Times New Roman" w:hAnsi="Times New Roman" w:cs="Times New Roman"/>
          <w:sz w:val="24"/>
          <w:szCs w:val="24"/>
        </w:rPr>
        <w:t xml:space="preserve">ante </w:t>
      </w:r>
      <w:r w:rsidR="00F77D3D">
        <w:rPr>
          <w:rFonts w:ascii="Times New Roman" w:eastAsia="Times New Roman" w:hAnsi="Times New Roman" w:cs="Times New Roman"/>
          <w:color w:val="000000"/>
          <w:sz w:val="24"/>
          <w:szCs w:val="24"/>
        </w:rPr>
        <w:t>instituciones</w:t>
      </w:r>
      <w:r>
        <w:rPr>
          <w:rFonts w:ascii="Times New Roman" w:eastAsia="Times New Roman" w:hAnsi="Times New Roman" w:cs="Times New Roman"/>
          <w:color w:val="000000"/>
          <w:sz w:val="24"/>
          <w:szCs w:val="24"/>
        </w:rPr>
        <w:t xml:space="preserve"> del Estado. De hecho, el 60</w:t>
      </w:r>
      <w:r w:rsidR="00F77D3D">
        <w:rPr>
          <w:rFonts w:ascii="Times New Roman" w:eastAsia="Times New Roman" w:hAnsi="Times New Roman" w:cs="Times New Roman"/>
          <w:color w:val="000000"/>
          <w:sz w:val="24"/>
          <w:szCs w:val="24"/>
        </w:rPr>
        <w:t>% acudió</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a una institución pública, 29,6% optó por acudir a amigos o vecinos y 10,4% a organizaciones sociales.</w:t>
      </w:r>
    </w:p>
    <w:p w14:paraId="00000027" w14:textId="77777777" w:rsidR="00C17C05" w:rsidRDefault="00C17C05">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28"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Entre las principales razones para no realizar denuncia, 37,2% de las mujeres víctimas consideraron que los hechos no eran graves, el 35,9% no lo hizo por temor a represalias, 14,3% por la desconfianza y 9% porque los servicios de denuncia fueron inaccesibles para las víctimas. </w:t>
      </w:r>
    </w:p>
    <w:p w14:paraId="00000029" w14:textId="77777777" w:rsidR="00C17C05" w:rsidRDefault="00C17C05">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2A"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Estos datos dan cuenta del patrón que siguen las mujeres víctimas de no denunciar el hecho por no encontrar protección en las instituciones del Estado o por no contar con medios para hacerlo. El 60% de las mujeres que han sido víctima de abuso sexual, no lo denuncia. </w:t>
      </w:r>
    </w:p>
    <w:p w14:paraId="0000002B" w14:textId="77777777" w:rsidR="00C17C05" w:rsidRDefault="00C17C05">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2C"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el mismo orden de ideas, el 12,8% de las mujeres entrevistadas en el diagnóstico comunitario, manifestaron haber sido discriminadas, un 27,9% por ser mujeres y 2,9% por estar embarazada. El 50,9% de estos actos ocurrieron en </w:t>
      </w:r>
      <w:r>
        <w:rPr>
          <w:rFonts w:ascii="Times New Roman" w:eastAsia="Times New Roman" w:hAnsi="Times New Roman" w:cs="Times New Roman"/>
          <w:sz w:val="24"/>
          <w:szCs w:val="24"/>
        </w:rPr>
        <w:t>su</w:t>
      </w:r>
      <w:r>
        <w:rPr>
          <w:rFonts w:ascii="Times New Roman" w:eastAsia="Times New Roman" w:hAnsi="Times New Roman" w:cs="Times New Roman"/>
          <w:color w:val="000000"/>
          <w:sz w:val="24"/>
          <w:szCs w:val="24"/>
        </w:rPr>
        <w:t xml:space="preserve"> comunidad, 33,9% por expresarse o querer participar en alguna actividad, 19,7% en el trabajo, 17,2% en el grupo familiar, 11,7% en el algún programa del Estado, 10,5% en un centro de salud y 4% en un programa de asistencia humanitaria.</w:t>
      </w:r>
    </w:p>
    <w:p w14:paraId="0000002D" w14:textId="77777777" w:rsidR="00C17C05" w:rsidRDefault="00C17C05">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2E" w14:textId="0873FA2C" w:rsidR="00F77D3D"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Por otro lado, de acuerdo al Observatorio Digital</w:t>
      </w:r>
      <w:r>
        <w:rPr>
          <w:rFonts w:ascii="Times New Roman" w:eastAsia="Times New Roman" w:hAnsi="Times New Roman" w:cs="Times New Roman"/>
          <w:sz w:val="24"/>
          <w:szCs w:val="24"/>
        </w:rPr>
        <w:t xml:space="preserve"> de Femicidios de </w:t>
      </w:r>
      <w:proofErr w:type="spellStart"/>
      <w:r>
        <w:rPr>
          <w:rFonts w:ascii="Times New Roman" w:eastAsia="Times New Roman" w:hAnsi="Times New Roman" w:cs="Times New Roman"/>
          <w:sz w:val="24"/>
          <w:szCs w:val="24"/>
        </w:rPr>
        <w:t>Cepaz</w:t>
      </w:r>
      <w:proofErr w:type="spellEnd"/>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la tasa de feminicidios en el país revela el fracaso de las políticas públicas y la ineficacia de la Ley en esta materia. En el año 2019, 2020 y 2021 hubo, 163, 256, 290 feminicidios respectivamente, en 2022, entre enero y septiembre hubo 199 feminicidios y en enero de 2023 hubo 18. Es decir, desde el año 2019 al menos 926 mujeres han muerto en manos de feminicidas en el país</w:t>
      </w:r>
      <w:r w:rsidR="00F77D3D">
        <w:rPr>
          <w:rFonts w:ascii="Times New Roman" w:eastAsia="Times New Roman" w:hAnsi="Times New Roman" w:cs="Times New Roman"/>
          <w:color w:val="000000"/>
          <w:sz w:val="24"/>
          <w:szCs w:val="24"/>
          <w:vertAlign w:val="superscript"/>
        </w:rPr>
        <w:endnoteReference w:id="3"/>
      </w:r>
      <w:r w:rsidR="00F77D3D">
        <w:rPr>
          <w:rFonts w:ascii="Times New Roman" w:eastAsia="Times New Roman" w:hAnsi="Times New Roman" w:cs="Times New Roman"/>
          <w:color w:val="000000"/>
          <w:sz w:val="24"/>
          <w:szCs w:val="24"/>
        </w:rPr>
        <w:t xml:space="preserve">, cifras que revelan que lejos de atender la problemática, cada año las mujeres se encuentran más vulnerables a este delito. </w:t>
      </w:r>
    </w:p>
    <w:p w14:paraId="0000002F"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30"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abordaje de la problemática por parte del Estado ha sido vago, infértil y confuso. Desde el año 2016 no es posible tener acceso a información oficial precisa sobre VBG, ya que no existen datos oficiales que permitan establecer tasas de feminicidios. La escasa información disponible en cuanto datos de violencia, mecanismos de atención, protección y denuncia para las víctimas, da cuenta de las profundas deficiencias que existen en torno a las políticas del Estado para erradicar la VBG. </w:t>
      </w:r>
    </w:p>
    <w:p w14:paraId="00000031"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32" w14:textId="77777777" w:rsidR="00F77D3D" w:rsidRDefault="00F77D3D">
      <w:pPr>
        <w:numPr>
          <w:ilvl w:val="0"/>
          <w:numId w:val="5"/>
        </w:numPr>
        <w:pBdr>
          <w:top w:val="nil"/>
          <w:left w:val="nil"/>
          <w:bottom w:val="nil"/>
          <w:right w:val="nil"/>
          <w:between w:val="nil"/>
        </w:pBdr>
        <w:spacing w:after="0"/>
        <w:ind w:left="14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Sobre la discriminación en contra de mujeres lesbianas, bisexuales, trans e intersex (Artículo 1, 2, 3 y 5 de la CEDAW)</w:t>
      </w:r>
    </w:p>
    <w:p w14:paraId="00000033" w14:textId="77777777" w:rsidR="00F77D3D" w:rsidRDefault="00F77D3D">
      <w:pPr>
        <w:pBdr>
          <w:top w:val="nil"/>
          <w:left w:val="nil"/>
          <w:bottom w:val="nil"/>
          <w:right w:val="nil"/>
          <w:between w:val="nil"/>
        </w:pBdr>
        <w:spacing w:after="0"/>
        <w:ind w:left="142"/>
        <w:jc w:val="both"/>
        <w:rPr>
          <w:rFonts w:ascii="Times New Roman" w:eastAsia="Times New Roman" w:hAnsi="Times New Roman" w:cs="Times New Roman"/>
          <w:b/>
          <w:color w:val="000000"/>
          <w:sz w:val="24"/>
          <w:szCs w:val="24"/>
        </w:rPr>
      </w:pPr>
    </w:p>
    <w:p w14:paraId="00000034"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Venezuela no existen cifras oficiales de </w:t>
      </w:r>
      <w:r>
        <w:rPr>
          <w:rFonts w:ascii="Times New Roman" w:eastAsia="Times New Roman" w:hAnsi="Times New Roman" w:cs="Times New Roman"/>
          <w:sz w:val="24"/>
          <w:szCs w:val="24"/>
        </w:rPr>
        <w:t>cuántas</w:t>
      </w:r>
      <w:r>
        <w:rPr>
          <w:rFonts w:ascii="Times New Roman" w:eastAsia="Times New Roman" w:hAnsi="Times New Roman" w:cs="Times New Roman"/>
          <w:color w:val="000000"/>
          <w:sz w:val="24"/>
          <w:szCs w:val="24"/>
        </w:rPr>
        <w:t xml:space="preserve"> personas se identifican como lesbianas, </w:t>
      </w:r>
      <w:proofErr w:type="spellStart"/>
      <w:r>
        <w:rPr>
          <w:rFonts w:ascii="Times New Roman" w:eastAsia="Times New Roman" w:hAnsi="Times New Roman" w:cs="Times New Roman"/>
          <w:color w:val="000000"/>
          <w:sz w:val="24"/>
          <w:szCs w:val="24"/>
        </w:rPr>
        <w:t>gays</w:t>
      </w:r>
      <w:proofErr w:type="spellEnd"/>
      <w:r>
        <w:rPr>
          <w:rFonts w:ascii="Times New Roman" w:eastAsia="Times New Roman" w:hAnsi="Times New Roman" w:cs="Times New Roman"/>
          <w:color w:val="000000"/>
          <w:sz w:val="24"/>
          <w:szCs w:val="24"/>
        </w:rPr>
        <w:t>, bisexuales, trans o intersex, no obstante, de acuerdo con estimaciones en el país podría haber hasta 2,8 millones de personas LG</w:t>
      </w:r>
      <w:r>
        <w:rPr>
          <w:rFonts w:ascii="Times New Roman" w:eastAsia="Times New Roman" w:hAnsi="Times New Roman" w:cs="Times New Roman"/>
          <w:sz w:val="24"/>
          <w:szCs w:val="24"/>
        </w:rPr>
        <w:t>BT</w:t>
      </w:r>
      <w:r>
        <w:rPr>
          <w:rFonts w:ascii="Times New Roman" w:eastAsia="Times New Roman" w:hAnsi="Times New Roman" w:cs="Times New Roman"/>
          <w:color w:val="000000"/>
          <w:sz w:val="24"/>
          <w:szCs w:val="24"/>
        </w:rPr>
        <w:t>I.</w:t>
      </w:r>
    </w:p>
    <w:p w14:paraId="00000035" w14:textId="77777777" w:rsidR="00F77D3D" w:rsidRDefault="00F77D3D">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36"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Estado se ha negado a crear una ley amplia e integral contra la discriminación por razón de orientación sexual, identidad y expresión de género. Asimismo, ha habido rechazo y negatoria a las propuestas hechas desde las OSC relacionadas con emprender las modificaciones legales que permitan la protección legal de familias de parejas del mismo sexo (matrimonio civil), cambio de nombre y género a las personas trans e intersex, así como la prohibición de donación de sangre a personas que mantienen relaciones homosexuales. </w:t>
      </w:r>
    </w:p>
    <w:p w14:paraId="00000037"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38"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 acuerdo con datos recabados por Unión Afirmativa, en el país existe una carencia de preparación en la atención de mujeres lesbianas en los servicios de ginecología, pues priva la utilización de protocolos dirigidos a mujeres heterosexuales. Las mujeres lesbianas al identificarse como tales, son víctimas de discriminación y malos tratos por parte del personal médico</w:t>
      </w:r>
      <w:r>
        <w:rPr>
          <w:rFonts w:ascii="Times New Roman" w:eastAsia="Times New Roman" w:hAnsi="Times New Roman" w:cs="Times New Roman"/>
          <w:color w:val="000000"/>
          <w:sz w:val="24"/>
          <w:szCs w:val="24"/>
          <w:vertAlign w:val="superscript"/>
        </w:rPr>
        <w:endnoteReference w:id="4"/>
      </w:r>
      <w:r>
        <w:rPr>
          <w:rFonts w:ascii="Times New Roman" w:eastAsia="Times New Roman" w:hAnsi="Times New Roman" w:cs="Times New Roman"/>
          <w:color w:val="000000"/>
          <w:sz w:val="24"/>
          <w:szCs w:val="24"/>
        </w:rPr>
        <w:t xml:space="preserve">. </w:t>
      </w:r>
    </w:p>
    <w:p w14:paraId="00000039"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3A"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Medios de comunicación han reseñado que para 2017, Venezuela ocupaba el cuarto lugar entre los países de América Latina con el mayor índice de homicidios de personas LG</w:t>
      </w:r>
      <w:r>
        <w:rPr>
          <w:rFonts w:ascii="Times New Roman" w:eastAsia="Times New Roman" w:hAnsi="Times New Roman" w:cs="Times New Roman"/>
          <w:sz w:val="24"/>
          <w:szCs w:val="24"/>
        </w:rPr>
        <w:t>BT</w:t>
      </w:r>
      <w:r>
        <w:rPr>
          <w:rFonts w:ascii="Times New Roman" w:eastAsia="Times New Roman" w:hAnsi="Times New Roman" w:cs="Times New Roman"/>
          <w:color w:val="000000"/>
          <w:sz w:val="24"/>
          <w:szCs w:val="24"/>
        </w:rPr>
        <w:t>I. Entre enero de 2009 y mayo de 2017</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109 personas LG</w:t>
      </w:r>
      <w:r>
        <w:rPr>
          <w:rFonts w:ascii="Times New Roman" w:eastAsia="Times New Roman" w:hAnsi="Times New Roman" w:cs="Times New Roman"/>
          <w:sz w:val="24"/>
          <w:szCs w:val="24"/>
        </w:rPr>
        <w:t>BT</w:t>
      </w:r>
      <w:r>
        <w:rPr>
          <w:rFonts w:ascii="Times New Roman" w:eastAsia="Times New Roman" w:hAnsi="Times New Roman" w:cs="Times New Roman"/>
          <w:color w:val="000000"/>
          <w:sz w:val="24"/>
          <w:szCs w:val="24"/>
        </w:rPr>
        <w:t>I han sido asesinadas de acuerdo con cifras presentadas por el Observatorio de Personas Trans Asesinadas</w:t>
      </w:r>
      <w:r>
        <w:rPr>
          <w:rFonts w:ascii="Times New Roman" w:eastAsia="Times New Roman" w:hAnsi="Times New Roman" w:cs="Times New Roman"/>
          <w:color w:val="000000"/>
          <w:sz w:val="24"/>
          <w:szCs w:val="24"/>
          <w:vertAlign w:val="superscript"/>
        </w:rPr>
        <w:endnoteReference w:id="5"/>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 pesar de que las cifras de homicidios de mujeres lesbianas son significativamente inferiores en comparación con hombres gay y mujeres trans, también ocurren. </w:t>
      </w:r>
    </w:p>
    <w:p w14:paraId="0000003B"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3C"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En la mayoría de los casos, las mujeres lesbianas no denuncian por temor a ser </w:t>
      </w:r>
      <w:r>
        <w:rPr>
          <w:rFonts w:ascii="Times New Roman" w:eastAsia="Times New Roman" w:hAnsi="Times New Roman" w:cs="Times New Roman"/>
          <w:sz w:val="24"/>
          <w:szCs w:val="24"/>
        </w:rPr>
        <w:t>re victimizadas</w:t>
      </w:r>
      <w:r>
        <w:rPr>
          <w:rFonts w:ascii="Times New Roman" w:eastAsia="Times New Roman" w:hAnsi="Times New Roman" w:cs="Times New Roman"/>
          <w:color w:val="000000"/>
          <w:sz w:val="24"/>
          <w:szCs w:val="24"/>
        </w:rPr>
        <w:t xml:space="preserve"> por agentes del Estado y ante el estigma que existe en torno a su orientación sexual. La </w:t>
      </w:r>
      <w:r>
        <w:rPr>
          <w:rFonts w:ascii="Times New Roman" w:eastAsia="Times New Roman" w:hAnsi="Times New Roman" w:cs="Times New Roman"/>
          <w:sz w:val="24"/>
          <w:szCs w:val="24"/>
        </w:rPr>
        <w:t>LODMVLV</w:t>
      </w:r>
      <w:r>
        <w:rPr>
          <w:rFonts w:ascii="Times New Roman" w:eastAsia="Times New Roman" w:hAnsi="Times New Roman" w:cs="Times New Roman"/>
          <w:color w:val="000000"/>
          <w:sz w:val="24"/>
          <w:szCs w:val="24"/>
        </w:rPr>
        <w:t xml:space="preserve">, no contempla este tipo de violencia contra mujeres lesbianas como agravante o tipo de delito diferenciado, como tampoco contempla la violencia que ocurre entre mujeres, por no considerar el caso de mujeres agresoras. </w:t>
      </w:r>
    </w:p>
    <w:p w14:paraId="0000003D"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3E"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Cifras del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diagnóstico</w:t>
      </w:r>
      <w:r>
        <w:rPr>
          <w:rFonts w:ascii="Times New Roman" w:eastAsia="Times New Roman" w:hAnsi="Times New Roman" w:cs="Times New Roman"/>
          <w:color w:val="000000"/>
          <w:sz w:val="24"/>
          <w:szCs w:val="24"/>
        </w:rPr>
        <w:t xml:space="preserve"> comunitario (2021) </w:t>
      </w:r>
      <w:r>
        <w:rPr>
          <w:rFonts w:ascii="Times New Roman" w:eastAsia="Times New Roman" w:hAnsi="Times New Roman" w:cs="Times New Roman"/>
          <w:sz w:val="24"/>
          <w:szCs w:val="24"/>
        </w:rPr>
        <w:t>revelan</w:t>
      </w:r>
      <w:r>
        <w:rPr>
          <w:rFonts w:ascii="Times New Roman" w:eastAsia="Times New Roman" w:hAnsi="Times New Roman" w:cs="Times New Roman"/>
          <w:color w:val="000000"/>
          <w:sz w:val="24"/>
          <w:szCs w:val="24"/>
        </w:rPr>
        <w:t xml:space="preserve"> que el 47,8% de las mujeres lesbianas entrevistadas fue víctima de abuso de poder o violencia por </w:t>
      </w:r>
      <w:r>
        <w:rPr>
          <w:rFonts w:ascii="Times New Roman" w:eastAsia="Times New Roman" w:hAnsi="Times New Roman" w:cs="Times New Roman"/>
          <w:sz w:val="24"/>
          <w:szCs w:val="24"/>
        </w:rPr>
        <w:t>parte de un funcionario</w:t>
      </w:r>
      <w:r>
        <w:rPr>
          <w:rFonts w:ascii="Times New Roman" w:eastAsia="Times New Roman" w:hAnsi="Times New Roman" w:cs="Times New Roman"/>
          <w:color w:val="000000"/>
          <w:sz w:val="24"/>
          <w:szCs w:val="24"/>
        </w:rPr>
        <w:t xml:space="preserve"> policial; en el caso de mujeres bisexuales, el porcentaje fue de 28,6%. Existe igualmente abuso o violencia en otros entornos como en el trabajo, donde el 14,3% de las mujeres bisexuales manifestaron haber sido víctima de abuso o violencia en ese contexto.</w:t>
      </w:r>
    </w:p>
    <w:p w14:paraId="0000003F"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40"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Asimismo, este estudio permitió concluir que 6 de 10 personas LG</w:t>
      </w:r>
      <w:r>
        <w:rPr>
          <w:rFonts w:ascii="Times New Roman" w:eastAsia="Times New Roman" w:hAnsi="Times New Roman" w:cs="Times New Roman"/>
          <w:sz w:val="24"/>
          <w:szCs w:val="24"/>
        </w:rPr>
        <w:t>BT</w:t>
      </w:r>
      <w:r>
        <w:rPr>
          <w:rFonts w:ascii="Times New Roman" w:eastAsia="Times New Roman" w:hAnsi="Times New Roman" w:cs="Times New Roman"/>
          <w:color w:val="000000"/>
          <w:sz w:val="24"/>
          <w:szCs w:val="24"/>
        </w:rPr>
        <w:t xml:space="preserve">I encuestada ha sufrido algún tipo de violencia intrafamiliar, cuando se analiza con profundidad los datos se obtiene que las mujeres trans y las mujeres bisexuales se encuentran entre los grupos que más sufren de violencia económica, con 15,4% y 13,20% de los casos respectivamente. </w:t>
      </w:r>
    </w:p>
    <w:p w14:paraId="00000041"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42"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30,3% de las mujeres trans manifestaron haber sido víctima de violencia física, mientras que en el caso de las mujeres lesbianas fue de 19,4%. En cuanto a la violencia psicológica, el 36,8% de las mujeres bisexuales y 36,1% de mujeres lesbianas manifestó haber sido víctima de este tipo de violencia. Por último, el 7,7% de las mujeres trans manifestó haber sido víctima de violencia sexual, una cifra superior al promedio general en mujeres de 4,6%.</w:t>
      </w:r>
    </w:p>
    <w:p w14:paraId="00000043"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44"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72,7% de las personas LG</w:t>
      </w:r>
      <w:r>
        <w:rPr>
          <w:rFonts w:ascii="Times New Roman" w:eastAsia="Times New Roman" w:hAnsi="Times New Roman" w:cs="Times New Roman"/>
          <w:sz w:val="24"/>
          <w:szCs w:val="24"/>
        </w:rPr>
        <w:t>BT</w:t>
      </w:r>
      <w:r>
        <w:rPr>
          <w:rFonts w:ascii="Times New Roman" w:eastAsia="Times New Roman" w:hAnsi="Times New Roman" w:cs="Times New Roman"/>
          <w:color w:val="000000"/>
          <w:sz w:val="24"/>
          <w:szCs w:val="24"/>
        </w:rPr>
        <w:t xml:space="preserve">I que han sido víctimas de abuso o violencia, no denunció la situación por diversas razones, entre las cuales destacan: falta de acceso a las instancias correspondientes 18,8%, miedo a represalias 16,3%, desconfianza 15%, entre otras. </w:t>
      </w:r>
    </w:p>
    <w:p w14:paraId="00000045" w14:textId="77777777" w:rsidR="00F77D3D" w:rsidRDefault="00F77D3D">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46" w14:textId="77777777" w:rsidR="00F77D3D" w:rsidRDefault="00F77D3D" w:rsidP="002B47B6">
      <w:pPr>
        <w:numPr>
          <w:ilvl w:val="0"/>
          <w:numId w:val="1"/>
        </w:numPr>
        <w:pBdr>
          <w:top w:val="nil"/>
          <w:left w:val="nil"/>
          <w:bottom w:val="nil"/>
          <w:right w:val="nil"/>
          <w:between w:val="nil"/>
        </w:pBdr>
        <w:spacing w:after="0"/>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situación antes descrita revela además el incumplimiento de las recomendaciones dadas por el Comité al Estado Venezolano en las Observaciones finales sobre los informes periódicos séptimo y octavo combinados de la República Bolivariana de Venezuela, referidas a la eliminación de las barreras de acceso a la justicia por parte de las mujeres víctimas, de estereotipos en el sistema de justicia, acceso a reparación (11a, 11b, 11c, 17b, 17c) y las relativas a garantizar la plena efectividad de la LODMVLV, cifras sobre VBG, servicios de apoyo, entre otras (19a, 19b, 19c y 19e).</w:t>
      </w:r>
    </w:p>
    <w:p w14:paraId="00000048" w14:textId="77777777" w:rsidR="00F77D3D" w:rsidRDefault="00F77D3D" w:rsidP="002B47B6">
      <w:pPr>
        <w:numPr>
          <w:ilvl w:val="0"/>
          <w:numId w:val="5"/>
        </w:numPr>
        <w:spacing w:before="240" w:after="240"/>
        <w:ind w:left="14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Derechos de las mujeres en movilidad (Artículo 6 – CEDAW)</w:t>
      </w:r>
    </w:p>
    <w:p w14:paraId="0000004A" w14:textId="77777777" w:rsidR="00F77D3D" w:rsidRDefault="00F77D3D">
      <w:pPr>
        <w:numPr>
          <w:ilvl w:val="0"/>
          <w:numId w:val="1"/>
        </w:numPr>
        <w:spacing w:after="0"/>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Plataforma Interagencial de Coordinación para Refugiados y Migrantes (R4V) para marzo de 2023 estimaba en 7.239.953 de personas venezolanas migrantes o refugiadas, de los cuales 53,65% son mujeres o niñas. Un informe de la REDAC evidencia las violencias a las que se ven sometidas las mujeres venezolanas en situación de movilidad, que crecen ante el recrudecimiento de las políticas migratorias restrictivas y el incumplimiento de los estándares internacionales de Derechos Humanos por parte de los Estados. </w:t>
      </w:r>
    </w:p>
    <w:p w14:paraId="0000004B" w14:textId="77777777" w:rsidR="00F77D3D" w:rsidRDefault="00F77D3D">
      <w:pPr>
        <w:spacing w:after="0"/>
        <w:ind w:left="720"/>
        <w:jc w:val="both"/>
        <w:rPr>
          <w:rFonts w:ascii="Times New Roman" w:eastAsia="Times New Roman" w:hAnsi="Times New Roman" w:cs="Times New Roman"/>
          <w:sz w:val="24"/>
          <w:szCs w:val="24"/>
        </w:rPr>
      </w:pPr>
    </w:p>
    <w:p w14:paraId="0000004C"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Los estereotipos y roles de género inciden en las labores que regularmente desempeñan las mujeres en los países receptores, predominando el trabajo doméstico y de cuidado, tanto de NNA, como de adultos mayores, personas con discapacidad o personas con condiciones de salud</w:t>
      </w:r>
      <w:r>
        <w:rPr>
          <w:rFonts w:ascii="Times New Roman" w:eastAsia="Times New Roman" w:hAnsi="Times New Roman" w:cs="Times New Roman"/>
          <w:sz w:val="24"/>
          <w:szCs w:val="24"/>
          <w:vertAlign w:val="superscript"/>
        </w:rPr>
        <w:endnoteReference w:id="6"/>
      </w:r>
      <w:r>
        <w:rPr>
          <w:rFonts w:ascii="Times New Roman" w:eastAsia="Times New Roman" w:hAnsi="Times New Roman" w:cs="Times New Roman"/>
          <w:sz w:val="24"/>
          <w:szCs w:val="24"/>
        </w:rPr>
        <w:t>. Cuando la mujer es la que migra, se producen las cadenas globales de cuidado, donde para atender las necesidades de terceros, dejan a sus dependientes a cargo de otras mujeres, aumentando la falta de responsabilidad social, la invisibilidad y la distribución injusta de los trabajos</w:t>
      </w:r>
      <w:r>
        <w:rPr>
          <w:rFonts w:ascii="Times New Roman" w:eastAsia="Times New Roman" w:hAnsi="Times New Roman" w:cs="Times New Roman"/>
          <w:sz w:val="24"/>
          <w:szCs w:val="24"/>
          <w:vertAlign w:val="superscript"/>
        </w:rPr>
        <w:endnoteReference w:id="7"/>
      </w:r>
      <w:r>
        <w:rPr>
          <w:rFonts w:ascii="Times New Roman" w:eastAsia="Times New Roman" w:hAnsi="Times New Roman" w:cs="Times New Roman"/>
          <w:sz w:val="24"/>
          <w:szCs w:val="24"/>
        </w:rPr>
        <w:t>.</w:t>
      </w:r>
    </w:p>
    <w:p w14:paraId="0000004D" w14:textId="77777777" w:rsidR="00F77D3D" w:rsidRDefault="00F77D3D">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4E" w14:textId="522977FC"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Durante el diagnóstico comunitario (2021), se solicitó a las mujeres que indicaron que ellas o sus familias se hubieran mudado en los últimos 3 años, cuáles fueron las causas principales. Los motivos más comentados, fueron: conseguir o cambiar de trabajo y mejora de ingresos (32% de las respuestas), reunificación familiar (17%), y acceso a medicinas y servicios de salud y/ acceso a servicios públicos (16%).</w:t>
      </w:r>
    </w:p>
    <w:p w14:paraId="0000004F" w14:textId="77777777" w:rsidR="00F77D3D" w:rsidRDefault="00F77D3D">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50" w14:textId="1380D79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3 de cada 10 mujeres manifestaron que habían tenido dificultades en el proceso de mudarse solas o con su grupo familiar, siendo los costos la razón principal de dificultad (96% de las respuestas). Esta cifra contrasta con la de los hombres, ya que solamente el 29% respondió que el dinero había sido un inconveniente al momento de mudarse, dando cuenta de la vulnerabilidad económica de las mujeres. </w:t>
      </w:r>
    </w:p>
    <w:p w14:paraId="00000051" w14:textId="77777777" w:rsidR="00F77D3D" w:rsidRDefault="00F77D3D">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52"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brecha se relaciona con investigaciones que han encontrado que los recursos necesarios para mudarse suelen ser más altos para las mujeres que para los hombres, por lo general, asociado a sobrecostos por regulaciones y discriminaciones vinculadas a sesgos de género</w:t>
      </w:r>
      <w:r>
        <w:rPr>
          <w:rFonts w:ascii="Times New Roman" w:eastAsia="Times New Roman" w:hAnsi="Times New Roman" w:cs="Times New Roman"/>
          <w:sz w:val="24"/>
          <w:szCs w:val="24"/>
          <w:vertAlign w:val="superscript"/>
        </w:rPr>
        <w:endnoteReference w:id="8"/>
      </w:r>
      <w:r>
        <w:rPr>
          <w:rFonts w:ascii="Times New Roman" w:eastAsia="Times New Roman" w:hAnsi="Times New Roman" w:cs="Times New Roman"/>
          <w:sz w:val="24"/>
          <w:szCs w:val="24"/>
        </w:rPr>
        <w:t xml:space="preserve">. </w:t>
      </w:r>
    </w:p>
    <w:p w14:paraId="00000053" w14:textId="77777777" w:rsidR="00F77D3D" w:rsidRDefault="00F77D3D">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54"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comparar las respuestas de hombres y mujeres, se evidenció que las mujeres señalaron dentro de las dificultades para mudarse: responsabilidades de cuidado de adultos mayores, padres, nietos e hijos, colocando en evidencia cómo se reproducen los roles de género, en cambio las respuestas de los hombres estuvieron relacionadas con restricciones por la pandemia, documentación y traslado.</w:t>
      </w:r>
    </w:p>
    <w:p w14:paraId="00000055" w14:textId="77777777" w:rsidR="00F77D3D" w:rsidRDefault="00F77D3D">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56" w14:textId="0E4AB60B"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Igualmente, el 11% de las mujeres manifestó que ellas o sus grupos familiares tenían la intención de mudarse: de este grupo 64% prefiere mudarse a otro país. Las razones principales: mejora de ingresos (25% de las respuestas), acceso a medicinas o servicios de salud y/o servicios públicos (24%), conseguir o cambiar de trabajo (16%) y reunificación familiar (11,4%). </w:t>
      </w:r>
    </w:p>
    <w:p w14:paraId="00000057" w14:textId="77777777" w:rsidR="00F77D3D" w:rsidRDefault="00F77D3D">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58" w14:textId="3E07B24F"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Observatorio Digital de Feminicidios de CEPAZ ha denunciado una tendencia de alza en los feminicidios de mujeres en situación de movilidad humana, entre enero y octubre de 2021 fueron registrados 74 feminicidios.</w:t>
      </w:r>
    </w:p>
    <w:p w14:paraId="00000059" w14:textId="77777777" w:rsidR="00F77D3D" w:rsidRDefault="00F77D3D">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5A" w14:textId="4A97B55E"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 situación representa igualmente un incumplimiento de las recomendaciones dadas por Comité al Estado Venezolano en las Observaciones finales sobre los informes periódicos séptimo y octavo combinados de la República Bolivariana de Venezuela, referidas a la </w:t>
      </w:r>
      <w:r>
        <w:rPr>
          <w:rFonts w:ascii="Times New Roman" w:eastAsia="Times New Roman" w:hAnsi="Times New Roman" w:cs="Times New Roman"/>
          <w:sz w:val="24"/>
          <w:szCs w:val="24"/>
        </w:rPr>
        <w:lastRenderedPageBreak/>
        <w:t xml:space="preserve">adopción de medidas oportunas para atender a las necesidades de grupos desfavorecidos de mujeres, entre ellas las mujeres migrantes (37).  </w:t>
      </w:r>
    </w:p>
    <w:p w14:paraId="0000005B" w14:textId="77777777" w:rsidR="00F77D3D" w:rsidRDefault="00F77D3D">
      <w:pPr>
        <w:pBdr>
          <w:top w:val="nil"/>
          <w:left w:val="nil"/>
          <w:bottom w:val="nil"/>
          <w:right w:val="nil"/>
          <w:between w:val="nil"/>
        </w:pBdr>
        <w:spacing w:after="0"/>
        <w:ind w:left="720"/>
        <w:jc w:val="both"/>
        <w:rPr>
          <w:rFonts w:ascii="Times New Roman" w:eastAsia="Times New Roman" w:hAnsi="Times New Roman" w:cs="Times New Roman"/>
          <w:sz w:val="24"/>
          <w:szCs w:val="24"/>
        </w:rPr>
      </w:pPr>
    </w:p>
    <w:p w14:paraId="0000005C" w14:textId="133EA88A" w:rsidR="00F77D3D" w:rsidRDefault="00F77D3D">
      <w:pPr>
        <w:numPr>
          <w:ilvl w:val="0"/>
          <w:numId w:val="5"/>
        </w:numPr>
        <w:pBdr>
          <w:top w:val="nil"/>
          <w:left w:val="nil"/>
          <w:bottom w:val="nil"/>
          <w:right w:val="nil"/>
          <w:between w:val="nil"/>
        </w:pBdr>
        <w:spacing w:after="0"/>
        <w:ind w:left="14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Sobre el acceso de mujeres a bienes y servicios de salud (Artículo 12 de la CEDAW)</w:t>
      </w:r>
    </w:p>
    <w:p w14:paraId="0000005D"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5E"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EHC y la pandemia han profundizado las brechas de género en el país, siendo la dificultad de acceso a los servicios de salud una de las primeras formas de violación de los derechos de las mujeres y así lo han reconocido la Oficina del Alto Comisionado de Naciones Unidas para los Derechos Humanos</w:t>
      </w:r>
      <w:r>
        <w:rPr>
          <w:rFonts w:ascii="Times New Roman" w:eastAsia="Times New Roman" w:hAnsi="Times New Roman" w:cs="Times New Roman"/>
          <w:color w:val="000000"/>
          <w:sz w:val="24"/>
          <w:szCs w:val="24"/>
          <w:vertAlign w:val="superscript"/>
        </w:rPr>
        <w:endnoteReference w:id="9"/>
      </w:r>
      <w:r>
        <w:rPr>
          <w:rFonts w:ascii="Times New Roman" w:eastAsia="Times New Roman" w:hAnsi="Times New Roman" w:cs="Times New Roman"/>
          <w:color w:val="000000"/>
          <w:sz w:val="24"/>
          <w:szCs w:val="24"/>
        </w:rPr>
        <w:t>, la Comisión Interamericana de Derechos Humanos (CIDH)</w:t>
      </w:r>
      <w:r>
        <w:rPr>
          <w:rFonts w:ascii="Times New Roman" w:eastAsia="Times New Roman" w:hAnsi="Times New Roman" w:cs="Times New Roman"/>
          <w:color w:val="000000"/>
          <w:sz w:val="24"/>
          <w:szCs w:val="24"/>
          <w:vertAlign w:val="superscript"/>
        </w:rPr>
        <w:endnoteReference w:id="10"/>
      </w:r>
      <w:r>
        <w:rPr>
          <w:rFonts w:ascii="Times New Roman" w:eastAsia="Times New Roman" w:hAnsi="Times New Roman" w:cs="Times New Roman"/>
          <w:color w:val="000000"/>
          <w:sz w:val="24"/>
          <w:szCs w:val="24"/>
        </w:rPr>
        <w:t xml:space="preserve"> y la Misión Internacional Independiente de Determinación de Hechos</w:t>
      </w:r>
      <w:r>
        <w:rPr>
          <w:rFonts w:ascii="Times New Roman" w:eastAsia="Times New Roman" w:hAnsi="Times New Roman" w:cs="Times New Roman"/>
          <w:color w:val="000000"/>
          <w:sz w:val="24"/>
          <w:szCs w:val="24"/>
          <w:vertAlign w:val="superscript"/>
        </w:rPr>
        <w:endnoteReference w:id="11"/>
      </w:r>
      <w:r>
        <w:rPr>
          <w:rFonts w:ascii="Times New Roman" w:eastAsia="Times New Roman" w:hAnsi="Times New Roman" w:cs="Times New Roman"/>
          <w:color w:val="000000"/>
          <w:sz w:val="24"/>
          <w:szCs w:val="24"/>
        </w:rPr>
        <w:t xml:space="preserve">. </w:t>
      </w:r>
    </w:p>
    <w:p w14:paraId="0000005F" w14:textId="77777777" w:rsidR="00F77D3D" w:rsidRDefault="00F77D3D">
      <w:p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
    <w:p w14:paraId="00000060"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HumVenezuela</w:t>
      </w:r>
      <w:proofErr w:type="spellEnd"/>
      <w:r>
        <w:rPr>
          <w:rFonts w:ascii="Times New Roman" w:eastAsia="Times New Roman" w:hAnsi="Times New Roman" w:cs="Times New Roman"/>
          <w:color w:val="000000"/>
          <w:sz w:val="24"/>
          <w:szCs w:val="24"/>
        </w:rPr>
        <w:t xml:space="preserve"> estima que 9,5 millones de mujeres, niñas y adolescentes perdieron el acceso a servicios de salud por causa del deterioro del sistema sanitario público (SSP) en las últimas décadas.  La falta de garantías de atención en salud ha elevado la carga de enfermedad en la población venezolana, afectando igualmente a mujeres y hombres. Sin embargo, una mayor cantidad de personas con enfermedades genera un impacto desproporcionado para la vida de las mujeres, quienes frecuentemente ejercen el rol de cuidadoras</w:t>
      </w:r>
      <w:r>
        <w:rPr>
          <w:rFonts w:ascii="Times New Roman" w:eastAsia="Times New Roman" w:hAnsi="Times New Roman" w:cs="Times New Roman"/>
          <w:color w:val="000000"/>
          <w:sz w:val="24"/>
          <w:szCs w:val="24"/>
          <w:vertAlign w:val="superscript"/>
        </w:rPr>
        <w:endnoteReference w:id="12"/>
      </w:r>
      <w:r>
        <w:rPr>
          <w:rFonts w:ascii="Times New Roman" w:eastAsia="Times New Roman" w:hAnsi="Times New Roman" w:cs="Times New Roman"/>
          <w:color w:val="000000"/>
          <w:sz w:val="24"/>
          <w:szCs w:val="24"/>
        </w:rPr>
        <w:t xml:space="preserve">. </w:t>
      </w:r>
    </w:p>
    <w:p w14:paraId="00000061"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62"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 acuerdo con el </w:t>
      </w:r>
      <w:r>
        <w:rPr>
          <w:rFonts w:ascii="Times New Roman" w:eastAsia="Times New Roman" w:hAnsi="Times New Roman" w:cs="Times New Roman"/>
          <w:sz w:val="24"/>
          <w:szCs w:val="24"/>
        </w:rPr>
        <w:t>diagnóstico</w:t>
      </w:r>
      <w:r>
        <w:rPr>
          <w:rFonts w:ascii="Times New Roman" w:eastAsia="Times New Roman" w:hAnsi="Times New Roman" w:cs="Times New Roman"/>
          <w:color w:val="000000"/>
          <w:sz w:val="24"/>
          <w:szCs w:val="24"/>
        </w:rPr>
        <w:t xml:space="preserve"> comunitario en 2022, 32% de las mujeres indicaron que algún miembro de su familia (ellas incluidas), vivían con alguna condición crónica de salud y el 44% de ellas indicó que estas personas no habían tenido acceso a su tratamiento en los últimos meses, siendo el costo (59%) la principal razón.  </w:t>
      </w:r>
    </w:p>
    <w:p w14:paraId="00000063"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64" w14:textId="290CD672"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Hasta marzo de 2022, un 33% de las niñas, adolescentes y mujeres no recibieron atención médica para problemas crónicos de salud y un 28% tampoco recibieron atención para problemas agudos. Los diagnósticos comunitarios revelaron que un 26% de las mujeres y niñas manifestaron no haber contado con medicinas para atender sus problemas de salud</w:t>
      </w:r>
      <w:r>
        <w:rPr>
          <w:rFonts w:ascii="Times New Roman" w:eastAsia="Times New Roman" w:hAnsi="Times New Roman" w:cs="Times New Roman"/>
          <w:color w:val="000000"/>
          <w:sz w:val="24"/>
          <w:szCs w:val="24"/>
          <w:vertAlign w:val="superscript"/>
        </w:rPr>
        <w:endnoteReference w:id="13"/>
      </w:r>
      <w:r>
        <w:rPr>
          <w:rFonts w:ascii="Times New Roman" w:eastAsia="Times New Roman" w:hAnsi="Times New Roman" w:cs="Times New Roman"/>
          <w:color w:val="000000"/>
          <w:sz w:val="24"/>
          <w:szCs w:val="24"/>
        </w:rPr>
        <w:t xml:space="preserve">. </w:t>
      </w:r>
    </w:p>
    <w:p w14:paraId="00000065"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66"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Las </w:t>
      </w:r>
      <w:r>
        <w:rPr>
          <w:rFonts w:ascii="Times New Roman" w:eastAsia="Times New Roman" w:hAnsi="Times New Roman" w:cs="Times New Roman"/>
          <w:color w:val="000000"/>
          <w:sz w:val="24"/>
          <w:szCs w:val="24"/>
        </w:rPr>
        <w:t>mujeres con cáncer, no gozan del derecho a la vida ni a la salud por falta de garantía en la asequibilidad del tratamiento. En el caso del cáncer de mama, el costo de los tratamientos puede superar los 10.000 USD en gastos de bolsillo. De acuerdo con FUNCAMAMA, entre 2018 y 2020 el 100% de las mujeres con metástasis que asistieron a consulta ha tenido que usar recursos propios para sus tratamientos y 80% de las fallecidas no tuvo acceso a tratamientos paliativos para calmar el dolor en la etapa de agonía, ni tampoco oxígeno</w:t>
      </w:r>
      <w:r>
        <w:rPr>
          <w:rFonts w:ascii="Times New Roman" w:eastAsia="Times New Roman" w:hAnsi="Times New Roman" w:cs="Times New Roman"/>
          <w:color w:val="000000"/>
          <w:sz w:val="24"/>
          <w:szCs w:val="24"/>
          <w:vertAlign w:val="superscript"/>
        </w:rPr>
        <w:endnoteReference w:id="14"/>
      </w:r>
      <w:r>
        <w:rPr>
          <w:rFonts w:ascii="Times New Roman" w:eastAsia="Times New Roman" w:hAnsi="Times New Roman" w:cs="Times New Roman"/>
          <w:color w:val="000000"/>
          <w:sz w:val="24"/>
          <w:szCs w:val="24"/>
        </w:rPr>
        <w:t xml:space="preserve">. </w:t>
      </w:r>
    </w:p>
    <w:p w14:paraId="00000067"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68" w14:textId="4FA3953F"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de las 12 mujeres con cáncer de mama con medidas cautelares otorgadas por la CIDH (MC68-20), han fallecido a la espera de una respuesta del Estado venezolano</w:t>
      </w:r>
      <w:r>
        <w:rPr>
          <w:rFonts w:ascii="Times New Roman" w:eastAsia="Times New Roman" w:hAnsi="Times New Roman" w:cs="Times New Roman"/>
          <w:color w:val="000000"/>
          <w:sz w:val="24"/>
          <w:szCs w:val="24"/>
          <w:vertAlign w:val="superscript"/>
        </w:rPr>
        <w:endnoteReference w:id="15"/>
      </w:r>
      <w:r>
        <w:rPr>
          <w:rFonts w:ascii="Times New Roman" w:eastAsia="Times New Roman" w:hAnsi="Times New Roman" w:cs="Times New Roman"/>
          <w:color w:val="000000"/>
          <w:sz w:val="24"/>
          <w:szCs w:val="24"/>
        </w:rPr>
        <w:t xml:space="preserve">. Las precarias condiciones del SSP obligan a las mujeres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 recurrir a los centros asistenciales privados, y se estima que solamente el 6% de las </w:t>
      </w:r>
      <w:r>
        <w:rPr>
          <w:rFonts w:ascii="Times New Roman" w:eastAsia="Times New Roman" w:hAnsi="Times New Roman" w:cs="Times New Roman"/>
          <w:sz w:val="24"/>
          <w:szCs w:val="24"/>
        </w:rPr>
        <w:t>mujeres entre 35 y 75 años,</w:t>
      </w:r>
      <w:r>
        <w:rPr>
          <w:rFonts w:ascii="Times New Roman" w:eastAsia="Times New Roman" w:hAnsi="Times New Roman" w:cs="Times New Roman"/>
          <w:color w:val="000000"/>
          <w:sz w:val="24"/>
          <w:szCs w:val="24"/>
        </w:rPr>
        <w:t xml:space="preserve"> tiene la capacidad adquisitiva para pagar una mamografía</w:t>
      </w:r>
      <w:r>
        <w:rPr>
          <w:rFonts w:ascii="Times New Roman" w:eastAsia="Times New Roman" w:hAnsi="Times New Roman" w:cs="Times New Roman"/>
          <w:color w:val="000000"/>
          <w:sz w:val="24"/>
          <w:szCs w:val="24"/>
          <w:vertAlign w:val="superscript"/>
        </w:rPr>
        <w:endnoteReference w:id="16"/>
      </w:r>
      <w:r>
        <w:rPr>
          <w:rFonts w:ascii="Times New Roman" w:eastAsia="Times New Roman" w:hAnsi="Times New Roman" w:cs="Times New Roman"/>
          <w:color w:val="000000"/>
          <w:sz w:val="24"/>
          <w:szCs w:val="24"/>
        </w:rPr>
        <w:t xml:space="preserve">. </w:t>
      </w:r>
    </w:p>
    <w:p w14:paraId="00000069"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6A" w14:textId="39274AD0"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Esta situación deja alrededor de 5.471.390 mujeres sin otra opción que acudir a un centro público de salud para realizarse el examen</w:t>
      </w:r>
      <w:r>
        <w:rPr>
          <w:rFonts w:ascii="Times New Roman" w:eastAsia="Times New Roman" w:hAnsi="Times New Roman" w:cs="Times New Roman"/>
          <w:color w:val="000000"/>
          <w:sz w:val="24"/>
          <w:szCs w:val="24"/>
          <w:vertAlign w:val="superscript"/>
        </w:rPr>
        <w:endnoteReference w:id="17"/>
      </w:r>
      <w:r>
        <w:rPr>
          <w:rFonts w:ascii="Times New Roman" w:eastAsia="Times New Roman" w:hAnsi="Times New Roman" w:cs="Times New Roman"/>
          <w:color w:val="000000"/>
          <w:sz w:val="24"/>
          <w:szCs w:val="24"/>
        </w:rPr>
        <w:t>, donde la capacidad de atención es del 0,5%. De acuerdo con cifras de un ex ministro de salud, 55.000 personas con condiciones oncológicas en todo el país, están en riesgo por la escasez de f</w:t>
      </w:r>
      <w:r>
        <w:rPr>
          <w:rFonts w:ascii="Times New Roman" w:eastAsia="Times New Roman" w:hAnsi="Times New Roman" w:cs="Times New Roman"/>
          <w:sz w:val="24"/>
          <w:szCs w:val="24"/>
        </w:rPr>
        <w:t>ármacos para completar ciclos de tratamiento oncológico en el SSP</w:t>
      </w:r>
      <w:r>
        <w:rPr>
          <w:rFonts w:ascii="Times New Roman" w:eastAsia="Times New Roman" w:hAnsi="Times New Roman" w:cs="Times New Roman"/>
          <w:color w:val="000000"/>
          <w:sz w:val="24"/>
          <w:szCs w:val="24"/>
          <w:vertAlign w:val="superscript"/>
        </w:rPr>
        <w:endnoteReference w:id="18"/>
      </w:r>
      <w:r>
        <w:rPr>
          <w:rFonts w:ascii="Times New Roman" w:eastAsia="Times New Roman" w:hAnsi="Times New Roman" w:cs="Times New Roman"/>
          <w:color w:val="000000"/>
          <w:sz w:val="24"/>
          <w:szCs w:val="24"/>
        </w:rPr>
        <w:t>.</w:t>
      </w:r>
    </w:p>
    <w:p w14:paraId="0000006B"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6C"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cáncer de cuello uterino es el tipo de cáncer más frecuente entre mujeres en Venezuela</w:t>
      </w:r>
      <w:r>
        <w:rPr>
          <w:rFonts w:ascii="Times New Roman" w:eastAsia="Times New Roman" w:hAnsi="Times New Roman" w:cs="Times New Roman"/>
          <w:color w:val="000000"/>
          <w:sz w:val="24"/>
          <w:szCs w:val="24"/>
          <w:vertAlign w:val="superscript"/>
        </w:rPr>
        <w:endnoteReference w:id="19"/>
      </w:r>
      <w:r>
        <w:rPr>
          <w:rFonts w:ascii="Times New Roman" w:eastAsia="Times New Roman" w:hAnsi="Times New Roman" w:cs="Times New Roman"/>
          <w:color w:val="000000"/>
          <w:sz w:val="24"/>
          <w:szCs w:val="24"/>
        </w:rPr>
        <w:t>, entre las razones de esto destacan la falta de vacunas contra el VPH dentro del programa ampliado de inmunización del país</w:t>
      </w:r>
      <w:r>
        <w:rPr>
          <w:rFonts w:ascii="Times New Roman" w:eastAsia="Times New Roman" w:hAnsi="Times New Roman" w:cs="Times New Roman"/>
          <w:color w:val="000000"/>
          <w:sz w:val="24"/>
          <w:szCs w:val="24"/>
          <w:vertAlign w:val="superscript"/>
        </w:rPr>
        <w:endnoteReference w:id="20"/>
      </w:r>
      <w:r>
        <w:rPr>
          <w:rFonts w:ascii="Times New Roman" w:eastAsia="Times New Roman" w:hAnsi="Times New Roman" w:cs="Times New Roman"/>
          <w:color w:val="000000"/>
          <w:sz w:val="24"/>
          <w:szCs w:val="24"/>
        </w:rPr>
        <w:t>, sumado a la dificultad que tienen las venezolanas de costear gastos de exámenes como citologías</w:t>
      </w:r>
      <w:r>
        <w:rPr>
          <w:rFonts w:ascii="Times New Roman" w:eastAsia="Times New Roman" w:hAnsi="Times New Roman" w:cs="Times New Roman"/>
          <w:color w:val="000000"/>
          <w:sz w:val="24"/>
          <w:szCs w:val="24"/>
          <w:vertAlign w:val="superscript"/>
        </w:rPr>
        <w:endnoteReference w:id="21"/>
      </w:r>
      <w:r>
        <w:rPr>
          <w:rFonts w:ascii="Times New Roman" w:eastAsia="Times New Roman" w:hAnsi="Times New Roman" w:cs="Times New Roman"/>
          <w:color w:val="000000"/>
          <w:sz w:val="24"/>
          <w:szCs w:val="24"/>
        </w:rPr>
        <w:t xml:space="preserve">. </w:t>
      </w:r>
    </w:p>
    <w:p w14:paraId="0000006D"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6E"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 estudio hecho por Salud para Todas en 2021 entre 843 mujeres, arrojó que 2 de cada 10 mujeres viven con hipertensión. El 40% de ellas no podía adquirir el tratamiento para tratar la condición y el 58,6% tampoco podía costear los gastos de una consulta médica en el sector privado, ni de tratamiento ante una dolencia ginecológica sobrevenida. </w:t>
      </w:r>
    </w:p>
    <w:p w14:paraId="0000006F"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70" w14:textId="12186D0D"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 situación se repite en el caso de mujeres con condiciones renales crónicas. Entre los problemas más graves está que desde 2017 el Estado suspendió de forma indefinida el sistema de procura y trasplantes (SPOT). Estimaciones indican que, desde este hecho, se han perdido al menos 960 oportunidades de trasplantes</w:t>
      </w:r>
      <w:r>
        <w:rPr>
          <w:rFonts w:ascii="Times New Roman" w:eastAsia="Times New Roman" w:hAnsi="Times New Roman" w:cs="Times New Roman"/>
          <w:color w:val="000000"/>
          <w:sz w:val="24"/>
          <w:szCs w:val="24"/>
          <w:vertAlign w:val="superscript"/>
        </w:rPr>
        <w:endnoteReference w:id="22"/>
      </w:r>
      <w:r>
        <w:rPr>
          <w:rFonts w:ascii="Times New Roman" w:eastAsia="Times New Roman" w:hAnsi="Times New Roman" w:cs="Times New Roman"/>
          <w:color w:val="000000"/>
          <w:sz w:val="24"/>
          <w:szCs w:val="24"/>
        </w:rPr>
        <w:t xml:space="preserve">. </w:t>
      </w:r>
    </w:p>
    <w:p w14:paraId="00000071"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72"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Prepara Familia ha denunciado que cerca de 150 niños, niñas y adolescentes (NNA) tienen sus derechos a la salud, integridad física y a la vida comprometidos por la suspensión del SPOT. Entre los casos más conocido, está el de la adolescente Niurka Camacho, quien falleció a la espera de un trasplante de riñón 2 meses después de haber exigido ayuda ante los comisionados de la CIDH el 30 de junio de 2021</w:t>
      </w:r>
      <w:r>
        <w:rPr>
          <w:rFonts w:ascii="Times New Roman" w:eastAsia="Times New Roman" w:hAnsi="Times New Roman" w:cs="Times New Roman"/>
          <w:color w:val="000000"/>
          <w:sz w:val="24"/>
          <w:szCs w:val="24"/>
          <w:vertAlign w:val="superscript"/>
        </w:rPr>
        <w:endnoteReference w:id="23"/>
      </w:r>
      <w:r>
        <w:rPr>
          <w:rFonts w:ascii="Times New Roman" w:eastAsia="Times New Roman" w:hAnsi="Times New Roman" w:cs="Times New Roman"/>
          <w:color w:val="000000"/>
          <w:sz w:val="24"/>
          <w:szCs w:val="24"/>
        </w:rPr>
        <w:t>.</w:t>
      </w:r>
    </w:p>
    <w:p w14:paraId="00000073"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74"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Asimismo, Prepara Familia ha denunciado durante años la grave situación en la que se encuentra el Hospital J.M de los Ríos ubicado en Caracas y uno de los centros de atención pediátrica más importantes de Venezuela, por el suministro irregular de medicamentos e insumos, la migración del personal, la ausencia de reactivos y las fallas e inoperatividad de los equipos y servicios. Esto genera una afectación al derecho a la vida y a la salud de los NNA que allí se atienden, sino que tienen un impacto diferenciado y más perjudicial sobre las mujeres, ya que el 98% de quienes realizan las labores de cuidado y atención son mujeres, quienes soportan las condiciones de la infraestructura del hospital y también una carga emocional extrema, que pone en riesgo no solo su salud mental, sino que vulnera sus derechos fundamentales</w:t>
      </w:r>
      <w:r>
        <w:rPr>
          <w:rFonts w:ascii="Times New Roman" w:eastAsia="Times New Roman" w:hAnsi="Times New Roman" w:cs="Times New Roman"/>
          <w:color w:val="000000"/>
          <w:sz w:val="24"/>
          <w:szCs w:val="24"/>
          <w:vertAlign w:val="superscript"/>
        </w:rPr>
        <w:endnoteReference w:id="24"/>
      </w:r>
      <w:r>
        <w:rPr>
          <w:rFonts w:ascii="Times New Roman" w:eastAsia="Times New Roman" w:hAnsi="Times New Roman" w:cs="Times New Roman"/>
          <w:color w:val="000000"/>
          <w:sz w:val="24"/>
          <w:szCs w:val="24"/>
        </w:rPr>
        <w:t xml:space="preserve">. </w:t>
      </w:r>
    </w:p>
    <w:p w14:paraId="00000075"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76"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Las niñas, adolescentes y mujeres también </w:t>
      </w:r>
      <w:r>
        <w:rPr>
          <w:rFonts w:ascii="Times New Roman" w:eastAsia="Times New Roman" w:hAnsi="Times New Roman" w:cs="Times New Roman"/>
          <w:sz w:val="24"/>
          <w:szCs w:val="24"/>
        </w:rPr>
        <w:t>enfrentan</w:t>
      </w:r>
      <w:r>
        <w:rPr>
          <w:rFonts w:ascii="Times New Roman" w:eastAsia="Times New Roman" w:hAnsi="Times New Roman" w:cs="Times New Roman"/>
          <w:color w:val="000000"/>
          <w:sz w:val="24"/>
          <w:szCs w:val="24"/>
        </w:rPr>
        <w:t xml:space="preserve"> severos problemas por el aumento de los embarazos no deseados. Para marzo de 2020, Hum Venezuela estimó que 427 mil embarazadas, de las cuales 23% eran niñas y adolescentes se encontraban afectadas por la pérdida o deterioro de los servicios obstétricos en el SSP</w:t>
      </w:r>
      <w:r>
        <w:rPr>
          <w:rFonts w:ascii="Times New Roman" w:eastAsia="Times New Roman" w:hAnsi="Times New Roman" w:cs="Times New Roman"/>
          <w:color w:val="000000"/>
          <w:sz w:val="24"/>
          <w:szCs w:val="24"/>
          <w:vertAlign w:val="superscript"/>
        </w:rPr>
        <w:endnoteReference w:id="25"/>
      </w:r>
      <w:r>
        <w:rPr>
          <w:rFonts w:ascii="Times New Roman" w:eastAsia="Times New Roman" w:hAnsi="Times New Roman" w:cs="Times New Roman"/>
          <w:color w:val="000000"/>
          <w:sz w:val="24"/>
          <w:szCs w:val="24"/>
        </w:rPr>
        <w:t xml:space="preserve">. </w:t>
      </w:r>
    </w:p>
    <w:p w14:paraId="00000077"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78"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El desabastecimiento de anticonceptivos y de medicamentos para atender casos de infecciones de transmisión sexual es muy alto. Esto es uno de los principales factores del aumento en la tasa de embarazos adolescentes y de casos de sífilis congénita</w:t>
      </w:r>
      <w:r>
        <w:rPr>
          <w:rFonts w:ascii="Times New Roman" w:eastAsia="Times New Roman" w:hAnsi="Times New Roman" w:cs="Times New Roman"/>
          <w:color w:val="000000"/>
          <w:sz w:val="24"/>
          <w:szCs w:val="24"/>
          <w:vertAlign w:val="superscript"/>
        </w:rPr>
        <w:endnoteReference w:id="26"/>
      </w:r>
      <w:r>
        <w:rPr>
          <w:rFonts w:ascii="Times New Roman" w:eastAsia="Times New Roman" w:hAnsi="Times New Roman" w:cs="Times New Roman"/>
          <w:color w:val="000000"/>
          <w:sz w:val="24"/>
          <w:szCs w:val="24"/>
        </w:rPr>
        <w:t>.</w:t>
      </w:r>
    </w:p>
    <w:p w14:paraId="00000079"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7A"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Los embarazos no deseados pueden ocasionar riesgos para la salud de la madre, ciclos de gran fecundidad, reducción de posibilidades educativas y laborales, así como aumentar las probabilidades de caer en la pobreza</w:t>
      </w:r>
      <w:r>
        <w:rPr>
          <w:rFonts w:ascii="Times New Roman" w:eastAsia="Times New Roman" w:hAnsi="Times New Roman" w:cs="Times New Roman"/>
          <w:color w:val="000000"/>
          <w:sz w:val="24"/>
          <w:szCs w:val="24"/>
          <w:vertAlign w:val="superscript"/>
        </w:rPr>
        <w:endnoteReference w:id="27"/>
      </w:r>
      <w:r>
        <w:rPr>
          <w:rFonts w:ascii="Times New Roman" w:eastAsia="Times New Roman" w:hAnsi="Times New Roman" w:cs="Times New Roman"/>
          <w:color w:val="000000"/>
          <w:sz w:val="24"/>
          <w:szCs w:val="24"/>
        </w:rPr>
        <w:t xml:space="preserve">. En Venezuela la interrupción voluntaria del embarazo </w:t>
      </w:r>
      <w:r>
        <w:rPr>
          <w:rFonts w:ascii="Times New Roman" w:eastAsia="Times New Roman" w:hAnsi="Times New Roman" w:cs="Times New Roman"/>
          <w:sz w:val="24"/>
          <w:szCs w:val="24"/>
        </w:rPr>
        <w:t>solo</w:t>
      </w:r>
      <w:r>
        <w:rPr>
          <w:rFonts w:ascii="Times New Roman" w:eastAsia="Times New Roman" w:hAnsi="Times New Roman" w:cs="Times New Roman"/>
          <w:color w:val="000000"/>
          <w:sz w:val="24"/>
          <w:szCs w:val="24"/>
        </w:rPr>
        <w:t xml:space="preserve"> es posible si la vida de la madre corre peligro, esta legislación represiva ocasiona complicaciones de salud y pérdida de vidas de adolescentes y mujeres en procedimientos de abortos inseguros</w:t>
      </w:r>
      <w:r>
        <w:rPr>
          <w:rFonts w:ascii="Times New Roman" w:eastAsia="Times New Roman" w:hAnsi="Times New Roman" w:cs="Times New Roman"/>
          <w:color w:val="000000"/>
          <w:sz w:val="24"/>
          <w:szCs w:val="24"/>
          <w:vertAlign w:val="superscript"/>
        </w:rPr>
        <w:endnoteReference w:id="28"/>
      </w:r>
      <w:r>
        <w:rPr>
          <w:rFonts w:ascii="Times New Roman" w:eastAsia="Times New Roman" w:hAnsi="Times New Roman" w:cs="Times New Roman"/>
          <w:color w:val="000000"/>
          <w:sz w:val="24"/>
          <w:szCs w:val="24"/>
        </w:rPr>
        <w:t>.</w:t>
      </w:r>
    </w:p>
    <w:p w14:paraId="0000007B"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7C"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 último boletín epidemiológico publicado por el Ministerio del Poder popular para la Salud (MPPS) en 2016, mostró que el número de muertes durante el embarazo había subido 69,2% entre los años 2015 y 2016</w:t>
      </w:r>
      <w:r>
        <w:rPr>
          <w:rFonts w:ascii="Times New Roman" w:eastAsia="Times New Roman" w:hAnsi="Times New Roman" w:cs="Times New Roman"/>
          <w:color w:val="000000"/>
          <w:sz w:val="24"/>
          <w:szCs w:val="24"/>
          <w:vertAlign w:val="superscript"/>
        </w:rPr>
        <w:endnoteReference w:id="29"/>
      </w:r>
      <w:r>
        <w:rPr>
          <w:rFonts w:ascii="Times New Roman" w:eastAsia="Times New Roman" w:hAnsi="Times New Roman" w:cs="Times New Roman"/>
          <w:color w:val="000000"/>
          <w:sz w:val="24"/>
          <w:szCs w:val="24"/>
        </w:rPr>
        <w:t>.En 2021, el Ministerio del Popular para la Planificación confirmó que la tasa de mortalidad materna paso de 80,2 en 2015 a 130,8 en 2016, por cada 100.000 nacidos vivos</w:t>
      </w:r>
      <w:r>
        <w:rPr>
          <w:rFonts w:ascii="Times New Roman" w:eastAsia="Times New Roman" w:hAnsi="Times New Roman" w:cs="Times New Roman"/>
          <w:color w:val="000000"/>
          <w:sz w:val="24"/>
          <w:szCs w:val="24"/>
          <w:vertAlign w:val="superscript"/>
        </w:rPr>
        <w:endnoteReference w:id="30"/>
      </w:r>
      <w:r>
        <w:rPr>
          <w:rFonts w:ascii="Times New Roman" w:eastAsia="Times New Roman" w:hAnsi="Times New Roman" w:cs="Times New Roman"/>
          <w:color w:val="000000"/>
          <w:sz w:val="24"/>
          <w:szCs w:val="24"/>
        </w:rPr>
        <w:t xml:space="preserve">. </w:t>
      </w:r>
    </w:p>
    <w:p w14:paraId="0000007D"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7E"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ONU estima en 125 la tasa de mortalidad materna en Venezuela. En Lara, uno de los estados del país con mortalidad materna cercana al promedio nacional, el Laboratorio de Desarrollo Humano, encontró que la tasa había aumentado de 102,6 a 121,3 (15,4%) entre enero de 2018 y 2020, con el agravante de haber ocurrido entre mujeres de 20 a 34 años, con menores riesgos de complicaciones del embarazo. Esta tasa era 44% mayor a la estimada por el MPPS, que la situaba en 84,4% para 2020, lo cual indica una considerable subestimación oficial del </w:t>
      </w:r>
      <w:r>
        <w:rPr>
          <w:rFonts w:ascii="Times New Roman" w:eastAsia="Times New Roman" w:hAnsi="Times New Roman" w:cs="Times New Roman"/>
          <w:sz w:val="24"/>
          <w:szCs w:val="24"/>
        </w:rPr>
        <w:t>número de fallecimientos</w:t>
      </w:r>
      <w:r>
        <w:rPr>
          <w:rFonts w:ascii="Times New Roman" w:eastAsia="Times New Roman" w:hAnsi="Times New Roman" w:cs="Times New Roman"/>
          <w:color w:val="000000"/>
          <w:sz w:val="24"/>
          <w:szCs w:val="24"/>
        </w:rPr>
        <w:t>. Para 2021, LADESHU actualizó la tasa a 144, revelando el deterioro de los últimos años</w:t>
      </w:r>
      <w:r>
        <w:rPr>
          <w:rFonts w:ascii="Times New Roman" w:eastAsia="Times New Roman" w:hAnsi="Times New Roman" w:cs="Times New Roman"/>
          <w:color w:val="000000"/>
          <w:sz w:val="24"/>
          <w:szCs w:val="24"/>
          <w:vertAlign w:val="superscript"/>
        </w:rPr>
        <w:endnoteReference w:id="31"/>
      </w:r>
      <w:r>
        <w:rPr>
          <w:rFonts w:ascii="Times New Roman" w:eastAsia="Times New Roman" w:hAnsi="Times New Roman" w:cs="Times New Roman"/>
          <w:color w:val="000000"/>
          <w:sz w:val="24"/>
          <w:szCs w:val="24"/>
        </w:rPr>
        <w:t xml:space="preserve">. </w:t>
      </w:r>
    </w:p>
    <w:p w14:paraId="0000007F"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80" w14:textId="7777777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Otras situaciones de vulneración al derecho a salud de las mujeres es la falta de personal médico especializado para la atención de mujeres embarazadas, que les obliga a atender los partos únicamente en etapa expulsiva. Las gestantes deben esperar horas para ser atendidas en el SSP</w:t>
      </w:r>
      <w:r>
        <w:rPr>
          <w:rFonts w:ascii="Times New Roman" w:eastAsia="Times New Roman" w:hAnsi="Times New Roman" w:cs="Times New Roman"/>
          <w:color w:val="000000"/>
          <w:sz w:val="24"/>
          <w:szCs w:val="24"/>
          <w:vertAlign w:val="superscript"/>
        </w:rPr>
        <w:endnoteReference w:id="32"/>
      </w:r>
      <w:r>
        <w:rPr>
          <w:rFonts w:ascii="Times New Roman" w:eastAsia="Times New Roman" w:hAnsi="Times New Roman" w:cs="Times New Roman"/>
          <w:color w:val="000000"/>
          <w:sz w:val="24"/>
          <w:szCs w:val="24"/>
        </w:rPr>
        <w:t>, en ocasiones se han denunciado alumbramientos fuera de las instalaciones del SSP</w:t>
      </w:r>
      <w:r>
        <w:rPr>
          <w:rFonts w:ascii="Times New Roman" w:eastAsia="Times New Roman" w:hAnsi="Times New Roman" w:cs="Times New Roman"/>
          <w:color w:val="000000"/>
          <w:sz w:val="24"/>
          <w:szCs w:val="24"/>
          <w:vertAlign w:val="superscript"/>
        </w:rPr>
        <w:endnoteReference w:id="33"/>
      </w:r>
      <w:r>
        <w:rPr>
          <w:rFonts w:ascii="Times New Roman" w:eastAsia="Times New Roman" w:hAnsi="Times New Roman" w:cs="Times New Roman"/>
          <w:color w:val="000000"/>
          <w:sz w:val="24"/>
          <w:szCs w:val="24"/>
        </w:rPr>
        <w:t xml:space="preserve">. </w:t>
      </w:r>
    </w:p>
    <w:p w14:paraId="00000081"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82" w14:textId="7C6F25D7" w:rsidR="00F77D3D"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 situación se agrava en el caso de mujeres embarazadas con VIH, Acción Solidaria ha identificado denuncias sobre discriminación, violencia obstétrica, desabastecimiento de antirretrovirales y fórmulas lácteas, además de casos en donde las mujeres han sido forzadas a tener partos vaginales en vez de cesáreas</w:t>
      </w:r>
      <w:r>
        <w:rPr>
          <w:rFonts w:ascii="Times New Roman" w:eastAsia="Times New Roman" w:hAnsi="Times New Roman" w:cs="Times New Roman"/>
          <w:color w:val="000000"/>
          <w:sz w:val="24"/>
          <w:szCs w:val="24"/>
          <w:vertAlign w:val="superscript"/>
        </w:rPr>
        <w:endnoteReference w:id="34"/>
      </w:r>
      <w:r>
        <w:rPr>
          <w:rFonts w:ascii="Times New Roman" w:eastAsia="Times New Roman" w:hAnsi="Times New Roman" w:cs="Times New Roman"/>
          <w:color w:val="000000"/>
          <w:sz w:val="24"/>
          <w:szCs w:val="24"/>
        </w:rPr>
        <w:t>.</w:t>
      </w:r>
    </w:p>
    <w:p w14:paraId="00000083" w14:textId="77777777" w:rsidR="00F77D3D" w:rsidRDefault="00F77D3D">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84" w14:textId="77777777" w:rsidR="00C17C05" w:rsidRDefault="00F77D3D">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mujeres privadas de libertad también tienen serias dificultades para recibir atenciones médicas, entre ellos servicios de ginecología, y solo la reciben cuando se presenta alguna emergencia, aunque ha habido casos que no reciben atención aun estando en alguna emergencia</w:t>
      </w:r>
      <w:r>
        <w:rPr>
          <w:rFonts w:ascii="Times New Roman" w:eastAsia="Times New Roman" w:hAnsi="Times New Roman" w:cs="Times New Roman"/>
          <w:color w:val="000000"/>
          <w:sz w:val="24"/>
          <w:szCs w:val="24"/>
          <w:vertAlign w:val="superscript"/>
        </w:rPr>
        <w:endnoteReference w:id="35"/>
      </w:r>
      <w:r>
        <w:rPr>
          <w:rFonts w:ascii="Times New Roman" w:eastAsia="Times New Roman" w:hAnsi="Times New Roman" w:cs="Times New Roman"/>
          <w:color w:val="000000"/>
          <w:sz w:val="24"/>
          <w:szCs w:val="24"/>
        </w:rPr>
        <w:t>.</w:t>
      </w:r>
      <w:r w:rsidR="00A55875">
        <w:rPr>
          <w:rFonts w:ascii="Times New Roman" w:eastAsia="Times New Roman" w:hAnsi="Times New Roman" w:cs="Times New Roman"/>
          <w:color w:val="000000"/>
          <w:sz w:val="24"/>
          <w:szCs w:val="24"/>
        </w:rPr>
        <w:t xml:space="preserve"> </w:t>
      </w:r>
    </w:p>
    <w:p w14:paraId="00000085" w14:textId="77777777" w:rsidR="00C17C05" w:rsidRDefault="00C17C05">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86" w14:textId="77777777" w:rsidR="00C17C05" w:rsidRDefault="00A55875">
      <w:pPr>
        <w:numPr>
          <w:ilvl w:val="0"/>
          <w:numId w:val="1"/>
        </w:numPr>
        <w:pBdr>
          <w:top w:val="nil"/>
          <w:left w:val="nil"/>
          <w:bottom w:val="nil"/>
          <w:right w:val="nil"/>
          <w:between w:val="nil"/>
        </w:pBdr>
        <w:spacing w:after="0"/>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La falta de acceso a artículos de higiene menstrual también es un problema entre las mujeres y adolescentes. Los datos del </w:t>
      </w:r>
      <w:r>
        <w:rPr>
          <w:rFonts w:ascii="Times New Roman" w:eastAsia="Times New Roman" w:hAnsi="Times New Roman" w:cs="Times New Roman"/>
          <w:sz w:val="24"/>
          <w:szCs w:val="24"/>
        </w:rPr>
        <w:t>diagnóstico</w:t>
      </w:r>
      <w:r>
        <w:rPr>
          <w:rFonts w:ascii="Times New Roman" w:eastAsia="Times New Roman" w:hAnsi="Times New Roman" w:cs="Times New Roman"/>
          <w:color w:val="000000"/>
          <w:sz w:val="24"/>
          <w:szCs w:val="24"/>
        </w:rPr>
        <w:t xml:space="preserve"> comunitario hasta marzo de 2022 muestran que 1 de cada 4 mujeres no cuenta “nunca” o solo “algunas veces” con toallas desechables sanitarias. Cuando se les preguntó por otros productos para el período como: toallas sanitarias reusables, </w:t>
      </w:r>
      <w:r>
        <w:rPr>
          <w:rFonts w:ascii="Times New Roman" w:eastAsia="Times New Roman" w:hAnsi="Times New Roman" w:cs="Times New Roman"/>
          <w:sz w:val="24"/>
          <w:szCs w:val="24"/>
        </w:rPr>
        <w:t>tapones</w:t>
      </w:r>
      <w:r>
        <w:rPr>
          <w:rFonts w:ascii="Times New Roman" w:eastAsia="Times New Roman" w:hAnsi="Times New Roman" w:cs="Times New Roman"/>
          <w:color w:val="000000"/>
          <w:sz w:val="24"/>
          <w:szCs w:val="24"/>
        </w:rPr>
        <w:t xml:space="preserve"> o copas, la cifra empeora, con 3 de cada 5. </w:t>
      </w:r>
    </w:p>
    <w:p w14:paraId="00000087" w14:textId="77777777" w:rsidR="00C17C05" w:rsidRDefault="00C17C05">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88" w14:textId="666EBC8F"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Por otra parte, la OACNUDH en su informe sobre Venezuela de 2019 confirmó violaciones al derecho a alimentación, haciendo notar que el principal programa de asistencia alimentaria (cajas CLAP) no cubre las necesidades nutricionales de una persona. Cifras de la organización CARITAS en el país sostienen que el 51% de las mujeres embarazadas atendidas tenían deficiencias nutricionales y no cuentan con un debido control </w:t>
      </w:r>
      <w:r w:rsidR="00F77D3D">
        <w:rPr>
          <w:rFonts w:ascii="Times New Roman" w:eastAsia="Times New Roman" w:hAnsi="Times New Roman" w:cs="Times New Roman"/>
          <w:sz w:val="24"/>
          <w:szCs w:val="24"/>
        </w:rPr>
        <w:t>prenatal,</w:t>
      </w:r>
      <w:r>
        <w:rPr>
          <w:rFonts w:ascii="Times New Roman" w:eastAsia="Times New Roman" w:hAnsi="Times New Roman" w:cs="Times New Roman"/>
          <w:sz w:val="24"/>
          <w:szCs w:val="24"/>
        </w:rPr>
        <w:t xml:space="preserve"> el porcentaje de niños que llegó con retardo del crecimiento aumento de 18% en 2016 a 34% en </w:t>
      </w:r>
      <w:r w:rsidR="002B47B6">
        <w:rPr>
          <w:rFonts w:ascii="Times New Roman" w:eastAsia="Times New Roman" w:hAnsi="Times New Roman" w:cs="Times New Roman"/>
          <w:sz w:val="24"/>
          <w:szCs w:val="24"/>
        </w:rPr>
        <w:t>2022.</w:t>
      </w:r>
      <w:r>
        <w:rPr>
          <w:rFonts w:ascii="Times New Roman" w:eastAsia="Times New Roman" w:hAnsi="Times New Roman" w:cs="Times New Roman"/>
          <w:sz w:val="24"/>
          <w:szCs w:val="24"/>
        </w:rPr>
        <w:t xml:space="preserve"> </w:t>
      </w:r>
    </w:p>
    <w:p w14:paraId="00000089"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En este sentido, la información presentada representa un incumplimiento de las recomendaciones dadas por el Comité al Estado en las Observaciones finales sobre los informes periódicos séptimo y octavo combinados de la República Bolivariana de Venezuela, referidas a la reducción de mortalidad materna, donde se incluye mecanismos de vigilancia y servicios apropiados en materia de salud sexual y reproductiva, asignación de recursos adecuados para salud pública, en particular a mujeres con cáncer, reducción de la tasa de embarazo adolescente e interrupción voluntaria del embarazo (31a, 31b, 31c y 31d).  </w:t>
      </w:r>
    </w:p>
    <w:p w14:paraId="0000008B" w14:textId="6FC31906" w:rsidR="00C17C05" w:rsidRPr="00F77D3D" w:rsidRDefault="00A55875" w:rsidP="00F77D3D">
      <w:pPr>
        <w:numPr>
          <w:ilvl w:val="0"/>
          <w:numId w:val="3"/>
        </w:numPr>
        <w:pBdr>
          <w:top w:val="nil"/>
          <w:left w:val="nil"/>
          <w:bottom w:val="nil"/>
          <w:right w:val="nil"/>
          <w:between w:val="nil"/>
        </w:pBdr>
        <w:jc w:val="both"/>
        <w:rPr>
          <w:rFonts w:ascii="Times New Roman" w:eastAsia="Times New Roman" w:hAnsi="Times New Roman" w:cs="Times New Roman"/>
          <w:b/>
          <w:sz w:val="24"/>
          <w:szCs w:val="24"/>
        </w:rPr>
      </w:pPr>
      <w:r w:rsidRPr="00F77D3D">
        <w:rPr>
          <w:rFonts w:ascii="Times New Roman" w:eastAsia="Times New Roman" w:hAnsi="Times New Roman" w:cs="Times New Roman"/>
          <w:b/>
          <w:sz w:val="24"/>
          <w:szCs w:val="24"/>
        </w:rPr>
        <w:t>Conclusiones</w:t>
      </w:r>
    </w:p>
    <w:p w14:paraId="0000008C" w14:textId="405500D9"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datos presentados en este informe revelan una situación de violación sistemática de derechos humanos en relación a la salud, , derecho la igualdad, no </w:t>
      </w:r>
      <w:r w:rsidR="00F77D3D">
        <w:rPr>
          <w:rFonts w:ascii="Times New Roman" w:eastAsia="Times New Roman" w:hAnsi="Times New Roman" w:cs="Times New Roman"/>
          <w:sz w:val="24"/>
          <w:szCs w:val="24"/>
        </w:rPr>
        <w:t>discriminación</w:t>
      </w:r>
      <w:r>
        <w:rPr>
          <w:rFonts w:ascii="Times New Roman" w:eastAsia="Times New Roman" w:hAnsi="Times New Roman" w:cs="Times New Roman"/>
          <w:sz w:val="24"/>
          <w:szCs w:val="24"/>
        </w:rPr>
        <w:t xml:space="preserve"> y a una vida libre de violencia y movilidad de las mujeres, niñas y adolescentes en Venezuela. </w:t>
      </w:r>
    </w:p>
    <w:p w14:paraId="0000008D"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atención de salud necesita un cambio estructural tanto en la disponibilidad de la atención médica, acceso a insumos, calidad de la atención, como en los protocolos con los cuales es manejada la recepción de personas dentro de los centros hospitalarios. Especialmente, son necesarias políticas género-sensitivas que respondan a las necesidades más apremiantes de las mujeres, que se ven afectadas desproporcionadamente tanto por sus propias condiciones de salud, como por aquellas que aquejan a las personas para quienes fungen como cuidadoras.</w:t>
      </w:r>
    </w:p>
    <w:p w14:paraId="0000008E"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materia de alimentación, aunque la reactivación económica ha jugado un papel en los últimos años, la accesibilidad de alimentos resulta compleja para la población en situación de vulnerabilidad, afectando de manera desproporcionada a mujeres y personas LGTBI, por los altos precios, la inflación y la pobreza multidimensional.</w:t>
      </w:r>
    </w:p>
    <w:p w14:paraId="0000008F"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violencia basada en género sigue siendo una experiencia común entre muchas mujeres y la población LGBTI, por lo cual es inminente que exista no sólo una reforma al marco jurídico que debiera proteger a esta población, sino una sensibilización de los funcionarios públicos, judiciales y de seguridad, para que éstos puedan tener una aplicabilidad efectiva.</w:t>
      </w:r>
    </w:p>
    <w:p w14:paraId="00000090" w14:textId="5D48D553" w:rsidR="00C17C05" w:rsidRDefault="00A55875">
      <w:pPr>
        <w:numPr>
          <w:ilvl w:val="0"/>
          <w:numId w:val="2"/>
        </w:numPr>
        <w:spacing w:before="160" w:after="0"/>
        <w:ind w:left="14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Recomendaciones</w:t>
      </w:r>
    </w:p>
    <w:p w14:paraId="4E2CC477" w14:textId="77777777" w:rsidR="002B47B6" w:rsidRDefault="002B47B6" w:rsidP="002B47B6">
      <w:pPr>
        <w:spacing w:before="160" w:after="0"/>
        <w:ind w:left="141"/>
        <w:jc w:val="both"/>
        <w:rPr>
          <w:rFonts w:ascii="Times New Roman" w:eastAsia="Times New Roman" w:hAnsi="Times New Roman" w:cs="Times New Roman"/>
          <w:b/>
          <w:sz w:val="24"/>
          <w:szCs w:val="24"/>
        </w:rPr>
      </w:pPr>
    </w:p>
    <w:p w14:paraId="00000091"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 base en la información presentada anteriormente, solicitamos al Comité que se sirva a recomendar al Estado Venezolano a tomar las siguientes medidas de forma urgente, con la finalidad de priorizar la atención de la situación que atraviesan las mujeres, niñas y adolescentes en Venezuela: </w:t>
      </w:r>
    </w:p>
    <w:p w14:paraId="00000092" w14:textId="77777777" w:rsidR="00C17C05" w:rsidRDefault="00A55875">
      <w:pPr>
        <w:numPr>
          <w:ilvl w:val="0"/>
          <w:numId w:val="1"/>
        </w:numPr>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Reconocer las dimensiones reales de la EHC que atraviesa Venezuela, promoviendo el diálogo con los diferentes actores de la vida nacional, en especial, la discusión y aprobación de un presupuesto público de salud que cumpla con los principios de transparencia y rendición de cuentas.</w:t>
      </w:r>
    </w:p>
    <w:p w14:paraId="00000093"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Invitar a la Relatoría sobre el derecho a toda persona al disfrute del más alto nivel posible de salud física y mental y sobre el derecho a la alimentación de la ONU a una visita in loco a Venezuela como parte de la agenda acordada con la OACNUDH en el punto 5 del informe A/HRC/41/18.</w:t>
      </w:r>
    </w:p>
    <w:p w14:paraId="00000094"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Consolidar el establecimiento de la oficina permanente de la OACNUDH en el país, para que pueda continuar con su trabajo de monitoreo, en especial, de las vulneraciones a los DESCA.</w:t>
      </w:r>
    </w:p>
    <w:p w14:paraId="00000095"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Publicar periódicamente cifras actualizadas, auditables y desagregadas por zonas geográficas, edad, discapacidad, identidad de género y orientación sexual sobre la situación de las mujeres venezolanas, específicamente en las áreas de: salud, alimentación, agua y saneamiento, movilidad humana, educación y VBG.</w:t>
      </w:r>
    </w:p>
    <w:p w14:paraId="00000096"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Hacer cumplir la Ley Orgánica de Salud, y trabajar por diseñar y promulgar la Ley del Sistema Público Nacional de Salud conforme a las normas programáticas de los artículos 83, 84 y 85 de nuestra Constitución.</w:t>
      </w:r>
    </w:p>
    <w:p w14:paraId="00000097"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Favorecer la atención en el área de salud a las mujeres, en prevención, diagnóstico y tratamiento, tanto de condiciones de salud transmisibles y 3 no transmisibles, como crónicas y de alto costo.</w:t>
      </w:r>
    </w:p>
    <w:p w14:paraId="00000098"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Implementar políticas alimentarias con un enfoque de género y de diversidad, con especial atención a mujeres embarazadas y NNA. </w:t>
      </w:r>
    </w:p>
    <w:p w14:paraId="00000099"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Recopilar y publicar información y datos sobre personas LGBTI que permitan mostrar las dimensiones de las consecuencias de la crisis.</w:t>
      </w:r>
    </w:p>
    <w:p w14:paraId="0000009A" w14:textId="77777777"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Elaborar políticas para combatir la discriminación, violencia y los estereotipos de género, considerando las formas múltiples y entrecruzadas de violencia y discriminación.</w:t>
      </w:r>
    </w:p>
    <w:p w14:paraId="0000009B" w14:textId="4A78DA6D" w:rsidR="00C17C05" w:rsidRDefault="00A55875">
      <w:pPr>
        <w:numPr>
          <w:ilvl w:val="0"/>
          <w:numId w:val="1"/>
        </w:numPr>
        <w:pBdr>
          <w:top w:val="nil"/>
          <w:left w:val="nil"/>
          <w:bottom w:val="nil"/>
          <w:right w:val="nil"/>
          <w:between w:val="nil"/>
        </w:pBd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Desarrollar y ejecutar un plan de capacitación sobre derechos humanos de las </w:t>
      </w:r>
      <w:r w:rsidR="00F77D3D">
        <w:rPr>
          <w:rFonts w:ascii="Times New Roman" w:eastAsia="Times New Roman" w:hAnsi="Times New Roman" w:cs="Times New Roman"/>
          <w:sz w:val="24"/>
          <w:szCs w:val="24"/>
        </w:rPr>
        <w:t>mujeres de</w:t>
      </w:r>
      <w:r>
        <w:rPr>
          <w:rFonts w:ascii="Times New Roman" w:eastAsia="Times New Roman" w:hAnsi="Times New Roman" w:cs="Times New Roman"/>
          <w:sz w:val="24"/>
          <w:szCs w:val="24"/>
        </w:rPr>
        <w:t xml:space="preserve"> carácter obligatorio de la función pública, especialmente, para los órganos de protección de derechos de las mujeres en Venezuela.</w:t>
      </w:r>
    </w:p>
    <w:p w14:paraId="0000009C" w14:textId="77777777" w:rsidR="00C17C05" w:rsidRDefault="00C17C05">
      <w:pPr>
        <w:jc w:val="both"/>
        <w:rPr>
          <w:rFonts w:ascii="Times New Roman" w:eastAsia="Times New Roman" w:hAnsi="Times New Roman" w:cs="Times New Roman"/>
          <w:sz w:val="24"/>
          <w:szCs w:val="24"/>
        </w:rPr>
      </w:pPr>
    </w:p>
    <w:sectPr w:rsidR="00C17C05" w:rsidSect="00F77D3D">
      <w:footerReference w:type="default" r:id="rId9"/>
      <w:footnotePr>
        <w:numFmt w:val="upperRoman"/>
      </w:footnotePr>
      <w:endnotePr>
        <w:numFmt w:val="decimal"/>
      </w:endnotePr>
      <w:type w:val="continuous"/>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B1DBA" w14:textId="77777777" w:rsidR="001B0485" w:rsidRDefault="001B0485">
      <w:pPr>
        <w:spacing w:after="0" w:line="240" w:lineRule="auto"/>
      </w:pPr>
      <w:r>
        <w:separator/>
      </w:r>
    </w:p>
  </w:endnote>
  <w:endnote w:type="continuationSeparator" w:id="0">
    <w:p w14:paraId="0B2B8F40" w14:textId="77777777" w:rsidR="001B0485" w:rsidRDefault="001B0485">
      <w:pPr>
        <w:spacing w:after="0" w:line="240" w:lineRule="auto"/>
      </w:pPr>
      <w:r>
        <w:continuationSeparator/>
      </w:r>
    </w:p>
  </w:endnote>
  <w:endnote w:id="1">
    <w:p w14:paraId="12319B81" w14:textId="3332295E" w:rsidR="00F77D3D" w:rsidRPr="00F77D3D" w:rsidRDefault="00F77D3D">
      <w:pPr>
        <w:spacing w:after="0" w:line="240" w:lineRule="auto"/>
        <w:jc w:val="both"/>
        <w:rPr>
          <w:rFonts w:ascii="Times New Roman" w:eastAsia="Times New Roman" w:hAnsi="Times New Roman" w:cs="Times New Roman"/>
          <w:b/>
          <w:bCs/>
          <w:sz w:val="20"/>
          <w:szCs w:val="20"/>
        </w:rPr>
      </w:pPr>
      <w:r w:rsidRPr="00F77D3D">
        <w:rPr>
          <w:rFonts w:ascii="Times New Roman" w:eastAsia="Times New Roman" w:hAnsi="Times New Roman" w:cs="Times New Roman"/>
          <w:b/>
          <w:bCs/>
          <w:sz w:val="20"/>
          <w:szCs w:val="20"/>
        </w:rPr>
        <w:t>REFERENCIAS:</w:t>
      </w:r>
    </w:p>
    <w:p w14:paraId="2669CBD9" w14:textId="77777777" w:rsidR="00F77D3D" w:rsidRDefault="00F77D3D">
      <w:pPr>
        <w:spacing w:after="0" w:line="240" w:lineRule="auto"/>
        <w:jc w:val="both"/>
        <w:rPr>
          <w:rFonts w:ascii="Times New Roman" w:eastAsia="Times New Roman" w:hAnsi="Times New Roman" w:cs="Times New Roman"/>
          <w:sz w:val="20"/>
          <w:szCs w:val="20"/>
        </w:rPr>
      </w:pPr>
    </w:p>
    <w:p w14:paraId="000000C4" w14:textId="36AFD2AA" w:rsidR="00F77D3D" w:rsidRDefault="00F77D3D">
      <w:pPr>
        <w:spacing w:after="0" w:line="240" w:lineRule="auto"/>
        <w:jc w:val="both"/>
        <w:rPr>
          <w:rFonts w:ascii="Times New Roman" w:eastAsia="Times New Roman" w:hAnsi="Times New Roman" w:cs="Times New Roman"/>
          <w:sz w:val="20"/>
          <w:szCs w:val="20"/>
        </w:rPr>
      </w:pPr>
      <w:r>
        <w:rPr>
          <w:rStyle w:val="Refdenotaalfinal"/>
          <w:sz w:val="20"/>
          <w:szCs w:val="20"/>
        </w:rPr>
        <w:endnoteRef/>
      </w:r>
      <w:r>
        <w:rPr>
          <w:rFonts w:ascii="Times New Roman" w:eastAsia="Times New Roman" w:hAnsi="Times New Roman" w:cs="Times New Roman"/>
          <w:sz w:val="20"/>
          <w:szCs w:val="20"/>
        </w:rPr>
        <w:t xml:space="preserve"> Con Ellas. (Octubre, 2022). </w:t>
      </w:r>
      <w:r>
        <w:rPr>
          <w:rFonts w:ascii="Times New Roman" w:eastAsia="Times New Roman" w:hAnsi="Times New Roman" w:cs="Times New Roman"/>
          <w:i/>
          <w:sz w:val="20"/>
          <w:szCs w:val="20"/>
        </w:rPr>
        <w:t>Ser mujer en Venezuela: diagnóstico comunitario y propuestas para la acción humanitaria.</w:t>
      </w:r>
      <w:r>
        <w:rPr>
          <w:rFonts w:ascii="Times New Roman" w:eastAsia="Times New Roman" w:hAnsi="Times New Roman" w:cs="Times New Roman"/>
          <w:sz w:val="20"/>
          <w:szCs w:val="20"/>
        </w:rPr>
        <w:t xml:space="preserve">Obtenido de Acción Solidaria. Disponible en: </w:t>
      </w:r>
      <w:hyperlink r:id="rId1">
        <w:r>
          <w:rPr>
            <w:rFonts w:ascii="Times New Roman" w:eastAsia="Times New Roman" w:hAnsi="Times New Roman" w:cs="Times New Roman"/>
            <w:color w:val="1155CC"/>
            <w:sz w:val="20"/>
            <w:szCs w:val="20"/>
            <w:u w:val="single"/>
          </w:rPr>
          <w:t>https://accionsolidaria.info/project/ser-mujer-en-venezuela/</w:t>
        </w:r>
      </w:hyperlink>
      <w:r>
        <w:rPr>
          <w:rFonts w:ascii="Times New Roman" w:eastAsia="Times New Roman" w:hAnsi="Times New Roman" w:cs="Times New Roman"/>
          <w:sz w:val="20"/>
          <w:szCs w:val="20"/>
        </w:rPr>
        <w:t xml:space="preserve"> </w:t>
      </w:r>
    </w:p>
  </w:endnote>
  <w:endnote w:id="2">
    <w:p w14:paraId="000000A5"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Hum Venezuela. (Marzo 2022). </w:t>
      </w:r>
      <w:r>
        <w:rPr>
          <w:rFonts w:ascii="Times New Roman" w:eastAsia="Times New Roman" w:hAnsi="Times New Roman" w:cs="Times New Roman"/>
          <w:i/>
          <w:color w:val="000000"/>
          <w:sz w:val="18"/>
          <w:szCs w:val="18"/>
        </w:rPr>
        <w:t>Informe de seguimiento a los impactos de la Emergencia Humanitaria Compleja en Venezuela tras el confinamiento por la pandemia de COVID.</w:t>
      </w:r>
      <w:r>
        <w:rPr>
          <w:rFonts w:ascii="Times New Roman" w:eastAsia="Times New Roman" w:hAnsi="Times New Roman" w:cs="Times New Roman"/>
          <w:color w:val="000000"/>
          <w:sz w:val="18"/>
          <w:szCs w:val="18"/>
        </w:rPr>
        <w:t xml:space="preserve"> Obtenido de Hum Venezuela: </w:t>
      </w:r>
      <w:hyperlink r:id="rId2">
        <w:r>
          <w:rPr>
            <w:rFonts w:ascii="Times New Roman" w:eastAsia="Times New Roman" w:hAnsi="Times New Roman" w:cs="Times New Roman"/>
            <w:color w:val="0563C1"/>
            <w:sz w:val="18"/>
            <w:szCs w:val="18"/>
            <w:u w:val="single"/>
          </w:rPr>
          <w:t>https://humvenezuela.com/wp-content/uploads/2022/09/HumVenezuela-Informe-Marzo-2022.pdf</w:t>
        </w:r>
      </w:hyperlink>
      <w:r>
        <w:rPr>
          <w:rFonts w:ascii="Times New Roman" w:eastAsia="Times New Roman" w:hAnsi="Times New Roman" w:cs="Times New Roman"/>
          <w:color w:val="000000"/>
          <w:sz w:val="18"/>
          <w:szCs w:val="18"/>
        </w:rPr>
        <w:t xml:space="preserve"> </w:t>
      </w:r>
    </w:p>
  </w:endnote>
  <w:endnote w:id="3">
    <w:p w14:paraId="000000A6"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Para mayor información, consultar los monitoreos de feminicidios del Observatorio Digital de Femicidios de CEPAZ en: </w:t>
      </w:r>
      <w:hyperlink r:id="rId3">
        <w:r>
          <w:rPr>
            <w:rFonts w:ascii="Times New Roman" w:eastAsia="Times New Roman" w:hAnsi="Times New Roman" w:cs="Times New Roman"/>
            <w:color w:val="0563C1"/>
            <w:sz w:val="18"/>
            <w:szCs w:val="18"/>
            <w:u w:val="single"/>
          </w:rPr>
          <w:t>https://cepaz.org/tema/mujeres/</w:t>
        </w:r>
      </w:hyperlink>
      <w:r>
        <w:rPr>
          <w:rFonts w:ascii="Times New Roman" w:eastAsia="Times New Roman" w:hAnsi="Times New Roman" w:cs="Times New Roman"/>
          <w:color w:val="000000"/>
          <w:sz w:val="18"/>
          <w:szCs w:val="18"/>
        </w:rPr>
        <w:t xml:space="preserve"> </w:t>
      </w:r>
    </w:p>
  </w:endnote>
  <w:endnote w:id="4">
    <w:p w14:paraId="000000A7" w14:textId="77777777" w:rsidR="00F77D3D" w:rsidRDefault="00F77D3D">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18"/>
          <w:szCs w:val="18"/>
        </w:rPr>
        <w:t xml:space="preserve"> Franco, Q. (Diciembre, 2020). </w:t>
      </w:r>
      <w:r>
        <w:rPr>
          <w:rFonts w:ascii="Times New Roman" w:eastAsia="Times New Roman" w:hAnsi="Times New Roman" w:cs="Times New Roman"/>
          <w:i/>
          <w:color w:val="000000"/>
          <w:sz w:val="18"/>
          <w:szCs w:val="18"/>
        </w:rPr>
        <w:t xml:space="preserve">Situación de los Derechos Humanos de las mujeres lesbianas, bisexuales y trans en Venezuela. </w:t>
      </w:r>
      <w:r>
        <w:rPr>
          <w:rFonts w:ascii="Times New Roman" w:eastAsia="Times New Roman" w:hAnsi="Times New Roman" w:cs="Times New Roman"/>
          <w:color w:val="000000"/>
          <w:sz w:val="18"/>
          <w:szCs w:val="18"/>
        </w:rPr>
        <w:t xml:space="preserve">Obtenido de Unión Afirmativa: </w:t>
      </w:r>
      <w:hyperlink r:id="rId4">
        <w:r>
          <w:rPr>
            <w:rFonts w:ascii="Times New Roman" w:eastAsia="Times New Roman" w:hAnsi="Times New Roman" w:cs="Times New Roman"/>
            <w:color w:val="0563C1"/>
            <w:sz w:val="18"/>
            <w:szCs w:val="18"/>
            <w:u w:val="single"/>
          </w:rPr>
          <w:t>https://www.unionafirmativa.org.ve/unaf/wp-content/uploads/Situacion-de-los-ddhh-de-las-mujeres-lesbianas-bisexuales-y-trans-en-Venezuela-2020.pdf</w:t>
        </w:r>
      </w:hyperlink>
      <w:r>
        <w:rPr>
          <w:rFonts w:ascii="Times New Roman" w:eastAsia="Times New Roman" w:hAnsi="Times New Roman" w:cs="Times New Roman"/>
          <w:color w:val="000000"/>
          <w:sz w:val="18"/>
          <w:szCs w:val="18"/>
        </w:rPr>
        <w:t xml:space="preserve"> </w:t>
      </w:r>
    </w:p>
  </w:endnote>
  <w:endnote w:id="5">
    <w:p w14:paraId="000000A8" w14:textId="77777777" w:rsidR="00F77D3D" w:rsidRDefault="00F77D3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Nacional (Diciembre 03, 2017). Venezuela es el cuarto país con más asesinatos de personas LGBTI en América. Agosto 18, 2022 de El Nacional. Disponible en: </w:t>
      </w:r>
      <w:hyperlink r:id="rId5">
        <w:r>
          <w:rPr>
            <w:rFonts w:ascii="Times New Roman" w:eastAsia="Times New Roman" w:hAnsi="Times New Roman" w:cs="Times New Roman"/>
            <w:color w:val="0563C1"/>
            <w:sz w:val="18"/>
            <w:szCs w:val="18"/>
            <w:u w:val="single"/>
          </w:rPr>
          <w:t>http://www.el-nacional.com/noticias/sucesos/venezuela-cuarto-pais-con-mas-asesinatospersonas-lgbti-america_213937</w:t>
        </w:r>
      </w:hyperlink>
      <w:r>
        <w:rPr>
          <w:rFonts w:ascii="Times New Roman" w:eastAsia="Times New Roman" w:hAnsi="Times New Roman" w:cs="Times New Roman"/>
          <w:color w:val="000000"/>
          <w:sz w:val="18"/>
          <w:szCs w:val="18"/>
        </w:rPr>
        <w:t xml:space="preserve"> </w:t>
      </w:r>
    </w:p>
  </w:endnote>
  <w:endnote w:id="6">
    <w:p w14:paraId="000000C5" w14:textId="77777777" w:rsidR="00F77D3D" w:rsidRDefault="00F77D3D">
      <w:pPr>
        <w:spacing w:after="0" w:line="240" w:lineRule="auto"/>
        <w:jc w:val="both"/>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CIDH. (2015). </w:t>
      </w:r>
      <w:r>
        <w:rPr>
          <w:rFonts w:ascii="Times New Roman" w:eastAsia="Times New Roman" w:hAnsi="Times New Roman" w:cs="Times New Roman"/>
          <w:i/>
          <w:sz w:val="20"/>
          <w:szCs w:val="20"/>
        </w:rPr>
        <w:t xml:space="preserve">Movilidad Humana: estándares interamericanos. </w:t>
      </w:r>
      <w:r>
        <w:rPr>
          <w:rFonts w:ascii="Times New Roman" w:eastAsia="Times New Roman" w:hAnsi="Times New Roman" w:cs="Times New Roman"/>
          <w:sz w:val="20"/>
          <w:szCs w:val="20"/>
        </w:rPr>
        <w:t xml:space="preserve">Obtenido de CIDH. Disponible en: http://www.oas.org/es/cidh/informes/pdfs/MovilidadHumana.pdf </w:t>
      </w:r>
    </w:p>
  </w:endnote>
  <w:endnote w:id="7">
    <w:p w14:paraId="000000C6" w14:textId="77777777" w:rsidR="00F77D3D" w:rsidRDefault="00F77D3D">
      <w:pPr>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Banco Interamericano de Desarrollo. (2021). La migración desde una perspectiva de género. Obtenido del Banco Interamericano de Desarrollo. Pág. 35. Disponible en: </w:t>
      </w:r>
      <w:hyperlink r:id="rId6">
        <w:r>
          <w:rPr>
            <w:rFonts w:ascii="Times New Roman" w:eastAsia="Times New Roman" w:hAnsi="Times New Roman" w:cs="Times New Roman"/>
            <w:color w:val="1155CC"/>
            <w:sz w:val="18"/>
            <w:szCs w:val="18"/>
            <w:u w:val="single"/>
          </w:rPr>
          <w:t>https://publications.iadb.org/publications/spanish/document/La-migracion-desde-una-perspectiva-de-genero-Ideas-operativas-parasu-integracion-en-proyectos-de-desarrollo.pdf</w:t>
        </w:r>
      </w:hyperlink>
      <w:r>
        <w:rPr>
          <w:rFonts w:ascii="Times New Roman" w:eastAsia="Times New Roman" w:hAnsi="Times New Roman" w:cs="Times New Roman"/>
          <w:sz w:val="18"/>
          <w:szCs w:val="18"/>
        </w:rPr>
        <w:t xml:space="preserve"> </w:t>
      </w:r>
    </w:p>
  </w:endnote>
  <w:endnote w:id="8">
    <w:p w14:paraId="000000C7" w14:textId="77777777" w:rsidR="00F77D3D" w:rsidRDefault="00F77D3D">
      <w:pPr>
        <w:spacing w:after="0" w:line="240" w:lineRule="auto"/>
        <w:jc w:val="both"/>
        <w:rPr>
          <w:rFonts w:ascii="Times New Roman" w:eastAsia="Times New Roman" w:hAnsi="Times New Roman" w:cs="Times New Roman"/>
          <w:sz w:val="18"/>
          <w:szCs w:val="18"/>
        </w:rPr>
      </w:pPr>
      <w:r>
        <w:rPr>
          <w:vertAlign w:val="superscript"/>
        </w:rPr>
        <w:endnoteRef/>
      </w:r>
      <w:r w:rsidRPr="00F77D3D">
        <w:rPr>
          <w:rFonts w:ascii="Times New Roman" w:eastAsia="Times New Roman" w:hAnsi="Times New Roman" w:cs="Times New Roman"/>
          <w:sz w:val="18"/>
          <w:szCs w:val="18"/>
          <w:lang w:val="en-US"/>
        </w:rPr>
        <w:t xml:space="preserve"> </w:t>
      </w:r>
      <w:r w:rsidRPr="00F77D3D">
        <w:rPr>
          <w:rFonts w:ascii="Times New Roman" w:eastAsia="Times New Roman" w:hAnsi="Times New Roman" w:cs="Times New Roman"/>
          <w:sz w:val="18"/>
          <w:szCs w:val="18"/>
          <w:lang w:val="en-US"/>
        </w:rPr>
        <w:t xml:space="preserve">Dustmann, C. y Okatenko, A. (2014). Out - migration, Wealth Constraints, and the Quality of Local Amenities. Journal of Development Economics, 110, 52 – 63;  y Ferrant, G. y Tuccio, M. (2015). South – South Migration and Discrimination Against Women in Social Institutions: A Two - way Relationship. </w:t>
      </w:r>
      <w:r>
        <w:rPr>
          <w:rFonts w:ascii="Times New Roman" w:eastAsia="Times New Roman" w:hAnsi="Times New Roman" w:cs="Times New Roman"/>
          <w:sz w:val="18"/>
          <w:szCs w:val="18"/>
        </w:rPr>
        <w:t>World Development, 72, 240 – 254</w:t>
      </w:r>
    </w:p>
  </w:endnote>
  <w:endnote w:id="9">
    <w:p w14:paraId="000000A9" w14:textId="77777777" w:rsidR="00F77D3D" w:rsidRDefault="00F77D3D">
      <w:pPr>
        <w:pBdr>
          <w:top w:val="nil"/>
          <w:left w:val="nil"/>
          <w:bottom w:val="nil"/>
          <w:right w:val="nil"/>
          <w:between w:val="nil"/>
        </w:pBdr>
        <w:spacing w:after="0" w:line="240" w:lineRule="auto"/>
        <w:jc w:val="both"/>
        <w:rPr>
          <w:color w:val="000000"/>
          <w:sz w:val="20"/>
          <w:szCs w:val="20"/>
        </w:rPr>
      </w:pPr>
      <w:r>
        <w:rPr>
          <w:vertAlign w:val="superscript"/>
        </w:rPr>
        <w:endnoteRef/>
      </w:r>
      <w:r>
        <w:rPr>
          <w:rFonts w:ascii="Times New Roman" w:eastAsia="Times New Roman" w:hAnsi="Times New Roman" w:cs="Times New Roman"/>
          <w:color w:val="000000"/>
          <w:sz w:val="18"/>
          <w:szCs w:val="18"/>
        </w:rPr>
        <w:t xml:space="preserve"> OACNUDH (Julio, 2019). Informe de la Alta Comisionada de las Naciones Unidas para los Derechos Humanos sobre la situación de los derechos humanos en la República Bolivariana de Venezuela. Febrero 13, 2022, de OACNUDH. Pág. 5. Disponible en: https://reliefweb.int/attachments/149ae64b-7efe-3049-b4b7-1e7e28e5b694/A_HRC_41_18_SP.pdf</w:t>
      </w:r>
    </w:p>
  </w:endnote>
  <w:endnote w:id="10">
    <w:p w14:paraId="000000AA" w14:textId="77777777" w:rsidR="00F77D3D" w:rsidRDefault="00F77D3D">
      <w:pPr>
        <w:pBdr>
          <w:top w:val="nil"/>
          <w:left w:val="nil"/>
          <w:bottom w:val="nil"/>
          <w:right w:val="nil"/>
          <w:between w:val="nil"/>
        </w:pBdr>
        <w:spacing w:after="0" w:line="240" w:lineRule="auto"/>
        <w:jc w:val="both"/>
        <w:rPr>
          <w:color w:val="000000"/>
          <w:sz w:val="20"/>
          <w:szCs w:val="20"/>
        </w:rPr>
      </w:pPr>
      <w:r>
        <w:rPr>
          <w:vertAlign w:val="superscript"/>
        </w:rPr>
        <w:endnoteRef/>
      </w:r>
      <w:r>
        <w:rPr>
          <w:rFonts w:ascii="Times New Roman" w:eastAsia="Times New Roman" w:hAnsi="Times New Roman" w:cs="Times New Roman"/>
          <w:color w:val="000000"/>
          <w:sz w:val="18"/>
          <w:szCs w:val="18"/>
        </w:rPr>
        <w:t xml:space="preserve"> CIDH (Diciembre 31, 2017). Situación de derechos humanos en Venezuela. Págs. 23, 25, 236. Disponible en: </w:t>
      </w:r>
      <w:hyperlink r:id="rId7">
        <w:r>
          <w:rPr>
            <w:rFonts w:ascii="Times New Roman" w:eastAsia="Times New Roman" w:hAnsi="Times New Roman" w:cs="Times New Roman"/>
            <w:color w:val="0563C1"/>
            <w:sz w:val="18"/>
            <w:szCs w:val="18"/>
            <w:u w:val="single"/>
          </w:rPr>
          <w:t>https://www.oas.org/es/cidh/informes/pdfs/Venezuela2018-es.pdf</w:t>
        </w:r>
      </w:hyperlink>
      <w:r>
        <w:rPr>
          <w:rFonts w:ascii="Times New Roman" w:eastAsia="Times New Roman" w:hAnsi="Times New Roman" w:cs="Times New Roman"/>
          <w:color w:val="000000"/>
          <w:sz w:val="18"/>
          <w:szCs w:val="18"/>
        </w:rPr>
        <w:t xml:space="preserve"> </w:t>
      </w:r>
    </w:p>
  </w:endnote>
  <w:endnote w:id="11">
    <w:p w14:paraId="000000AB"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18"/>
          <w:szCs w:val="18"/>
        </w:rPr>
        <w:t xml:space="preserve"> MIIDH (Octubre, 2021). Informe de la Misión internacional independiente de determinación de los hechos sobre la República Bolivariana de Venezuela. Febrero 14, 2022, de CDH. Pág. 14. Disponible en: </w:t>
      </w:r>
      <w:hyperlink r:id="rId8">
        <w:r>
          <w:rPr>
            <w:rFonts w:ascii="Times New Roman" w:eastAsia="Times New Roman" w:hAnsi="Times New Roman" w:cs="Times New Roman"/>
            <w:color w:val="0563C1"/>
            <w:sz w:val="18"/>
            <w:szCs w:val="18"/>
            <w:u w:val="single"/>
          </w:rPr>
          <w:t>https://www.ohchr.org/sites/default/files/Documents/HRBodies/HRCouncil/FFMV/A.HRC.48.69_ES.pdf</w:t>
        </w:r>
      </w:hyperlink>
      <w:r>
        <w:rPr>
          <w:rFonts w:ascii="Times New Roman" w:eastAsia="Times New Roman" w:hAnsi="Times New Roman" w:cs="Times New Roman"/>
          <w:color w:val="000000"/>
          <w:sz w:val="18"/>
          <w:szCs w:val="18"/>
        </w:rPr>
        <w:t xml:space="preserve"> </w:t>
      </w:r>
    </w:p>
  </w:endnote>
  <w:endnote w:id="12">
    <w:p w14:paraId="000000AC" w14:textId="77777777" w:rsidR="00F77D3D" w:rsidRP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lang w:val="en-US"/>
        </w:rPr>
      </w:pPr>
      <w:r>
        <w:rPr>
          <w:vertAlign w:val="superscript"/>
        </w:rPr>
        <w:endnoteRef/>
      </w:r>
      <w:r w:rsidRPr="00F77D3D">
        <w:rPr>
          <w:rFonts w:ascii="Times New Roman" w:eastAsia="Times New Roman" w:hAnsi="Times New Roman" w:cs="Times New Roman"/>
          <w:color w:val="000000"/>
          <w:sz w:val="18"/>
          <w:szCs w:val="18"/>
          <w:lang w:val="pt-PT"/>
        </w:rPr>
        <w:t xml:space="preserve"> </w:t>
      </w:r>
      <w:r w:rsidRPr="00F77D3D">
        <w:rPr>
          <w:rFonts w:ascii="Times New Roman" w:eastAsia="Times New Roman" w:hAnsi="Times New Roman" w:cs="Times New Roman"/>
          <w:color w:val="000000"/>
          <w:sz w:val="18"/>
          <w:szCs w:val="18"/>
          <w:lang w:val="pt-PT"/>
        </w:rPr>
        <w:t xml:space="preserve">Sharma. N, Chakrabarti. S y Grover. </w:t>
      </w:r>
      <w:r w:rsidRPr="00F77D3D">
        <w:rPr>
          <w:rFonts w:ascii="Times New Roman" w:eastAsia="Times New Roman" w:hAnsi="Times New Roman" w:cs="Times New Roman"/>
          <w:color w:val="000000"/>
          <w:sz w:val="18"/>
          <w:szCs w:val="18"/>
          <w:lang w:val="en-US"/>
        </w:rPr>
        <w:t xml:space="preserve">S (Marzo 22, 2016). Gender differences in caregiving among family - caregivers of people with mental illnesses. Febrero 02, 2022 de World Journal of Psychiatry. Disponible en: </w:t>
      </w:r>
      <w:hyperlink r:id="rId9">
        <w:r w:rsidRPr="00F77D3D">
          <w:rPr>
            <w:rFonts w:ascii="Times New Roman" w:eastAsia="Times New Roman" w:hAnsi="Times New Roman" w:cs="Times New Roman"/>
            <w:color w:val="0563C1"/>
            <w:sz w:val="18"/>
            <w:szCs w:val="18"/>
            <w:u w:val="single"/>
            <w:lang w:val="en-US"/>
          </w:rPr>
          <w:t>https://www.ncbi.nlm.nih.gov/pmc/articles/PMC4804270/</w:t>
        </w:r>
      </w:hyperlink>
      <w:r w:rsidRPr="00F77D3D">
        <w:rPr>
          <w:rFonts w:ascii="Times New Roman" w:eastAsia="Times New Roman" w:hAnsi="Times New Roman" w:cs="Times New Roman"/>
          <w:color w:val="000000"/>
          <w:sz w:val="18"/>
          <w:szCs w:val="18"/>
          <w:lang w:val="en-US"/>
        </w:rPr>
        <w:t xml:space="preserve"> </w:t>
      </w:r>
    </w:p>
  </w:endnote>
  <w:endnote w:id="13">
    <w:p w14:paraId="000000AD" w14:textId="77777777" w:rsidR="00F77D3D" w:rsidRDefault="00F77D3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 xml:space="preserve">HumVenezuela (Marzo, 2022). Informe Nacional de Seguimiento de la Emergencia Humanitaria Compleja en Venezuela: Impactos, Respuesta y Factores de Complejidad. Obtenido de HumVenezuela. Pág. 23. Disponible en: </w:t>
      </w:r>
      <w:hyperlink r:id="rId10">
        <w:r>
          <w:rPr>
            <w:rFonts w:ascii="Times New Roman" w:eastAsia="Times New Roman" w:hAnsi="Times New Roman" w:cs="Times New Roman"/>
            <w:color w:val="0563C1"/>
            <w:sz w:val="18"/>
            <w:szCs w:val="18"/>
            <w:u w:val="single"/>
          </w:rPr>
          <w:t>https://humvenezuela.com/wpcontent/uploads/2021/09/Informe-de-Seguimiento-HumVenezuela-Marzo-2020.pdf</w:t>
        </w:r>
      </w:hyperlink>
      <w:r>
        <w:rPr>
          <w:rFonts w:ascii="Times New Roman" w:eastAsia="Times New Roman" w:hAnsi="Times New Roman" w:cs="Times New Roman"/>
          <w:color w:val="000000"/>
          <w:sz w:val="18"/>
          <w:szCs w:val="18"/>
        </w:rPr>
        <w:t xml:space="preserve"> </w:t>
      </w:r>
    </w:p>
  </w:endnote>
  <w:endnote w:id="14">
    <w:p w14:paraId="000000AE" w14:textId="77777777" w:rsidR="00F77D3D" w:rsidRDefault="00F77D3D">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Funcamama (Junio, 2021). Mujeres con Cáncer de Mama metastásico en Venezuela: Un sufrimiento sin límites. Mayo 1, 2022, de Funcamama. Disponible en: http://www.funcamama.org/wp-content/uploads/2021/07/Informe-final-FUNCAMAMA.pdf</w:t>
      </w:r>
    </w:p>
  </w:endnote>
  <w:endnote w:id="15">
    <w:p w14:paraId="000000AF"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Delgado, A. (Febrero 11, 2022). Cuando una medida cautelar no es suficiente: mujeres y cáncer de mama en Venezuela. Septiembre 01, 2022 de Agenda Estado de Derecho. Disponible en: </w:t>
      </w:r>
      <w:hyperlink r:id="rId11">
        <w:r>
          <w:rPr>
            <w:rFonts w:ascii="Times New Roman" w:eastAsia="Times New Roman" w:hAnsi="Times New Roman" w:cs="Times New Roman"/>
            <w:color w:val="0563C1"/>
            <w:sz w:val="18"/>
            <w:szCs w:val="18"/>
            <w:u w:val="single"/>
          </w:rPr>
          <w:t>https://agendaestadodederecho.com/una-medida-cautelar-no-es-suficientemujeres-y-cancer-de-mama-en-venezuela/</w:t>
        </w:r>
      </w:hyperlink>
      <w:r>
        <w:rPr>
          <w:rFonts w:ascii="Times New Roman" w:eastAsia="Times New Roman" w:hAnsi="Times New Roman" w:cs="Times New Roman"/>
          <w:color w:val="000000"/>
          <w:sz w:val="18"/>
          <w:szCs w:val="18"/>
        </w:rPr>
        <w:t xml:space="preserve"> </w:t>
      </w:r>
    </w:p>
  </w:endnote>
  <w:endnote w:id="16">
    <w:p w14:paraId="000000C8" w14:textId="77777777" w:rsidR="00F77D3D" w:rsidRDefault="00F77D3D">
      <w:pPr>
        <w:spacing w:after="0" w:line="240" w:lineRule="auto"/>
        <w:jc w:val="both"/>
        <w:rPr>
          <w:rFonts w:ascii="Times New Roman" w:eastAsia="Times New Roman" w:hAnsi="Times New Roman" w:cs="Times New Roman"/>
          <w:sz w:val="16"/>
          <w:szCs w:val="16"/>
        </w:rPr>
      </w:pPr>
      <w:r>
        <w:rPr>
          <w:vertAlign w:val="superscript"/>
        </w:rPr>
        <w:end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Funcamama en Runrunes (Marzo, 2021). Las mujeres quedaron relegadas debido a la crisis en Venezuela. Obtenido de Runrunes. Disponible en: </w:t>
      </w:r>
      <w:hyperlink r:id="rId12">
        <w:r>
          <w:rPr>
            <w:rFonts w:ascii="Times New Roman" w:eastAsia="Times New Roman" w:hAnsi="Times New Roman" w:cs="Times New Roman"/>
            <w:color w:val="1155CC"/>
            <w:sz w:val="16"/>
            <w:szCs w:val="16"/>
            <w:u w:val="single"/>
          </w:rPr>
          <w:t>https://runrun.es/noticias/439616/las-mujeres-quedaron-relegadas-debido-a-la-crisis-en-venezuela/</w:t>
        </w:r>
      </w:hyperlink>
      <w:r>
        <w:rPr>
          <w:rFonts w:ascii="Times New Roman" w:eastAsia="Times New Roman" w:hAnsi="Times New Roman" w:cs="Times New Roman"/>
          <w:sz w:val="16"/>
          <w:szCs w:val="16"/>
        </w:rPr>
        <w:t xml:space="preserve">  </w:t>
      </w:r>
    </w:p>
  </w:endnote>
  <w:endnote w:id="17">
    <w:p w14:paraId="000000B0"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 xml:space="preserve">Pedicini, V. (Marzo 31, 2021). </w:t>
      </w:r>
      <w:r>
        <w:rPr>
          <w:rFonts w:ascii="Times New Roman" w:eastAsia="Times New Roman" w:hAnsi="Times New Roman" w:cs="Times New Roman"/>
          <w:i/>
          <w:color w:val="000000"/>
          <w:sz w:val="18"/>
          <w:szCs w:val="18"/>
        </w:rPr>
        <w:t>Las mujeres quedaron relegadas debido a la crisis en Venezuela</w:t>
      </w:r>
      <w:r>
        <w:rPr>
          <w:rFonts w:ascii="Times New Roman" w:eastAsia="Times New Roman" w:hAnsi="Times New Roman" w:cs="Times New Roman"/>
          <w:color w:val="000000"/>
          <w:sz w:val="18"/>
          <w:szCs w:val="18"/>
        </w:rPr>
        <w:t xml:space="preserve">. Obtenido de Runrunes. Disponible en: </w:t>
      </w:r>
      <w:hyperlink r:id="rId13">
        <w:r>
          <w:rPr>
            <w:rFonts w:ascii="Times New Roman" w:eastAsia="Times New Roman" w:hAnsi="Times New Roman" w:cs="Times New Roman"/>
            <w:color w:val="0563C1"/>
            <w:sz w:val="18"/>
            <w:szCs w:val="18"/>
            <w:u w:val="single"/>
          </w:rPr>
          <w:t>https://runrun.es/noticias/439616/las-mujeres-quedaron-relegadas-debido-a-la-crisis-en-venezuela/</w:t>
        </w:r>
      </w:hyperlink>
      <w:r>
        <w:rPr>
          <w:rFonts w:ascii="Times New Roman" w:eastAsia="Times New Roman" w:hAnsi="Times New Roman" w:cs="Times New Roman"/>
          <w:color w:val="000000"/>
          <w:sz w:val="18"/>
          <w:szCs w:val="18"/>
        </w:rPr>
        <w:t xml:space="preserve"> </w:t>
      </w:r>
    </w:p>
  </w:endnote>
  <w:endnote w:id="18">
    <w:p w14:paraId="000000B1"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Nacional (Octubre 11, 2017). 55 pacientes con cáncer ya no cuentan con tratamiento. Declaraciones de José Félix </w:t>
      </w:r>
      <w:r>
        <w:rPr>
          <w:rFonts w:ascii="Times New Roman" w:eastAsia="Times New Roman" w:hAnsi="Times New Roman" w:cs="Times New Roman"/>
          <w:color w:val="000000"/>
          <w:sz w:val="18"/>
          <w:szCs w:val="18"/>
        </w:rPr>
        <w:t>Oletta. Mayo 2022, en El Nacional. Disponible en: https://www.elnacional.com/crisis-humanitaria/55000-pacientes-con-cancer-cuentan-contratamiento_207112/</w:t>
      </w:r>
    </w:p>
  </w:endnote>
  <w:endnote w:id="19">
    <w:p w14:paraId="000000B2"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Souquett, M. (2022). Vacuna contra VPH: la deuda de Venezuela frente al cáncer de cuello uterino. Mayo 21, 2022, de Efecto Cocuyo. Disponible en: https://efectococuyo.com/salud/cancer-cuello-uterino-venezuela-vacuna-vph/</w:t>
      </w:r>
    </w:p>
  </w:endnote>
  <w:endnote w:id="20">
    <w:p w14:paraId="000000B3"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García, M. (Octubre 23, 2021). </w:t>
      </w:r>
      <w:r>
        <w:rPr>
          <w:rFonts w:ascii="Times New Roman" w:eastAsia="Times New Roman" w:hAnsi="Times New Roman" w:cs="Times New Roman"/>
          <w:i/>
          <w:color w:val="000000"/>
          <w:sz w:val="18"/>
          <w:szCs w:val="18"/>
        </w:rPr>
        <w:t>Venezuela es uno de los seis países de América que no tiene la vacuna de VPH en su plan ampliado de inmunizaciones</w:t>
      </w:r>
      <w:r>
        <w:rPr>
          <w:rFonts w:ascii="Times New Roman" w:eastAsia="Times New Roman" w:hAnsi="Times New Roman" w:cs="Times New Roman"/>
          <w:color w:val="000000"/>
          <w:sz w:val="18"/>
          <w:szCs w:val="18"/>
        </w:rPr>
        <w:t xml:space="preserve">. Obtenido de Crónica Uno. Disponible en: </w:t>
      </w:r>
      <w:hyperlink r:id="rId14" w:anchor=":~:text=Venezuela%20es%20uno%20de%20los,su%20plan%20ampliado%20de%20inmunizaciones">
        <w:r>
          <w:rPr>
            <w:rFonts w:ascii="Times New Roman" w:eastAsia="Times New Roman" w:hAnsi="Times New Roman" w:cs="Times New Roman"/>
            <w:color w:val="0563C1"/>
            <w:sz w:val="18"/>
            <w:szCs w:val="18"/>
            <w:u w:val="single"/>
          </w:rPr>
          <w:t>https://cronica.uno/venezuela-es-uno-de-los-seis-paises-de-americaque-no-tiene-la-vacuna-de-vph-en-su-plan-ampliadodeinmunizaciones/#:~:text=Venezuela%20es%20uno%20de%20los,su%20plan%20ampliado%20de%20inmunizaciones</w:t>
        </w:r>
      </w:hyperlink>
      <w:r>
        <w:rPr>
          <w:rFonts w:ascii="Times New Roman" w:eastAsia="Times New Roman" w:hAnsi="Times New Roman" w:cs="Times New Roman"/>
          <w:color w:val="000000"/>
          <w:sz w:val="18"/>
          <w:szCs w:val="18"/>
        </w:rPr>
        <w:t xml:space="preserve"> </w:t>
      </w:r>
    </w:p>
  </w:endnote>
  <w:endnote w:id="21">
    <w:p w14:paraId="000000B4"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Salud para Todas (Abril, 2021). </w:t>
      </w:r>
      <w:r>
        <w:rPr>
          <w:rFonts w:ascii="Times New Roman" w:eastAsia="Times New Roman" w:hAnsi="Times New Roman" w:cs="Times New Roman"/>
          <w:i/>
          <w:color w:val="000000"/>
          <w:sz w:val="18"/>
          <w:szCs w:val="18"/>
        </w:rPr>
        <w:t>La salud de las mujeres en Venezuela: crisis del sistema sanitario y Covid-19</w:t>
      </w:r>
      <w:r>
        <w:rPr>
          <w:rFonts w:ascii="Times New Roman" w:eastAsia="Times New Roman" w:hAnsi="Times New Roman" w:cs="Times New Roman"/>
          <w:color w:val="000000"/>
          <w:sz w:val="18"/>
          <w:szCs w:val="18"/>
        </w:rPr>
        <w:t xml:space="preserve">. Obtenido de Salud para Todas. Disponible en: </w:t>
      </w:r>
      <w:hyperlink r:id="rId15">
        <w:r>
          <w:rPr>
            <w:rFonts w:ascii="Times New Roman" w:eastAsia="Times New Roman" w:hAnsi="Times New Roman" w:cs="Times New Roman"/>
            <w:color w:val="0563C1"/>
            <w:sz w:val="18"/>
            <w:szCs w:val="18"/>
            <w:u w:val="single"/>
          </w:rPr>
          <w:t>https://avesawordpress.files.wordpress.com/2021/04/la-salud-de-las-mujeres-en-venezuela.pdf</w:t>
        </w:r>
      </w:hyperlink>
      <w:r>
        <w:rPr>
          <w:rFonts w:ascii="Times New Roman" w:eastAsia="Times New Roman" w:hAnsi="Times New Roman" w:cs="Times New Roman"/>
          <w:color w:val="000000"/>
          <w:sz w:val="18"/>
          <w:szCs w:val="18"/>
        </w:rPr>
        <w:t xml:space="preserve"> </w:t>
      </w:r>
    </w:p>
  </w:endnote>
  <w:endnote w:id="22">
    <w:p w14:paraId="000000B5" w14:textId="77777777" w:rsidR="00F77D3D" w:rsidRDefault="00F77D3D">
      <w:pPr>
        <w:pBdr>
          <w:top w:val="nil"/>
          <w:left w:val="nil"/>
          <w:bottom w:val="nil"/>
          <w:right w:val="nil"/>
          <w:between w:val="nil"/>
        </w:pBdr>
        <w:spacing w:after="0" w:line="240" w:lineRule="auto"/>
        <w:jc w:val="both"/>
        <w:rPr>
          <w:color w:val="000000"/>
          <w:sz w:val="20"/>
          <w:szCs w:val="20"/>
        </w:rPr>
      </w:pPr>
      <w:r>
        <w:rPr>
          <w:vertAlign w:val="superscript"/>
        </w:rPr>
        <w:endnoteRef/>
      </w:r>
      <w:r>
        <w:rPr>
          <w:rFonts w:ascii="Times New Roman" w:eastAsia="Times New Roman" w:hAnsi="Times New Roman" w:cs="Times New Roman"/>
          <w:color w:val="000000"/>
          <w:sz w:val="18"/>
          <w:szCs w:val="18"/>
        </w:rPr>
        <w:t xml:space="preserve"> Civilis DDHH. (Junio 01, 2021). </w:t>
      </w:r>
      <w:r>
        <w:rPr>
          <w:rFonts w:ascii="Times New Roman" w:eastAsia="Times New Roman" w:hAnsi="Times New Roman" w:cs="Times New Roman"/>
          <w:i/>
          <w:color w:val="000000"/>
          <w:sz w:val="18"/>
          <w:szCs w:val="18"/>
        </w:rPr>
        <w:t>Comunicado Conjunto: A 4 años de la suspensión del Programa de Procura de Órganos y Trasplantes en Venezuela</w:t>
      </w:r>
      <w:r>
        <w:rPr>
          <w:rFonts w:ascii="Times New Roman" w:eastAsia="Times New Roman" w:hAnsi="Times New Roman" w:cs="Times New Roman"/>
          <w:color w:val="000000"/>
          <w:sz w:val="18"/>
          <w:szCs w:val="18"/>
        </w:rPr>
        <w:t xml:space="preserve">. Obtenido  de Civilis DDHH. Disponible en: https://www.civilisac.org/alertas/comunicado-conjunto-a-4-anos-de-lasuspension-del-programa-de-procura-de-organos-y-trasplantes-en-venezuela y Prepara Familia. (Agosto 31, 2021). </w:t>
      </w:r>
      <w:r>
        <w:rPr>
          <w:rFonts w:ascii="Times New Roman" w:eastAsia="Times New Roman" w:hAnsi="Times New Roman" w:cs="Times New Roman"/>
          <w:i/>
          <w:color w:val="000000"/>
          <w:sz w:val="18"/>
          <w:szCs w:val="18"/>
        </w:rPr>
        <w:t>Informe sobre el Impacto de la Suspensión del Programa de Procura de Órganos (SPOT) y los Trasplantes de Médula Ósea en los Niños, Niñas y Adolescentes en Venezuela</w:t>
      </w:r>
      <w:r>
        <w:rPr>
          <w:rFonts w:ascii="Times New Roman" w:eastAsia="Times New Roman" w:hAnsi="Times New Roman" w:cs="Times New Roman"/>
          <w:color w:val="000000"/>
          <w:sz w:val="18"/>
          <w:szCs w:val="18"/>
        </w:rPr>
        <w:t xml:space="preserve">. Obtenido de </w:t>
      </w:r>
      <w:r>
        <w:rPr>
          <w:rFonts w:ascii="Times New Roman" w:eastAsia="Times New Roman" w:hAnsi="Times New Roman" w:cs="Times New Roman"/>
          <w:color w:val="000000"/>
          <w:sz w:val="18"/>
          <w:szCs w:val="18"/>
        </w:rPr>
        <w:t xml:space="preserve">Prepara Familia. Pág. 12, 13, 33. Disponible en: </w:t>
      </w:r>
      <w:hyperlink r:id="rId16">
        <w:r>
          <w:rPr>
            <w:rFonts w:ascii="Times New Roman" w:eastAsia="Times New Roman" w:hAnsi="Times New Roman" w:cs="Times New Roman"/>
            <w:color w:val="0563C1"/>
            <w:sz w:val="18"/>
            <w:szCs w:val="18"/>
            <w:u w:val="single"/>
          </w:rPr>
          <w:t>https://preparafamilia.org/wpcontent/uploads/2021/09/Informe-sobre-el-Impacto-de-la-Suspensio%CC%81n-del-Programa-de-Procura-de-O%CC%81rganos-y-LosTrasplantes-de-Me%CC%81dula-O%CC%81sea.pdf</w:t>
        </w:r>
      </w:hyperlink>
      <w:r>
        <w:rPr>
          <w:color w:val="000000"/>
          <w:sz w:val="20"/>
          <w:szCs w:val="20"/>
        </w:rPr>
        <w:t xml:space="preserve"> </w:t>
      </w:r>
    </w:p>
  </w:endnote>
  <w:endnote w:id="23">
    <w:p w14:paraId="000000B6"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CIDH. (Junio 30, 2021).</w:t>
      </w:r>
      <w:r>
        <w:rPr>
          <w:rFonts w:ascii="Times New Roman" w:eastAsia="Times New Roman" w:hAnsi="Times New Roman" w:cs="Times New Roman"/>
          <w:i/>
          <w:color w:val="000000"/>
          <w:sz w:val="18"/>
          <w:szCs w:val="18"/>
        </w:rPr>
        <w:t>VE: Situación del derecho a la salud de niñas, niños y adolescentes en Venezuela.</w:t>
      </w:r>
      <w:r>
        <w:rPr>
          <w:rFonts w:ascii="Times New Roman" w:eastAsia="Times New Roman" w:hAnsi="Times New Roman" w:cs="Times New Roman"/>
          <w:color w:val="000000"/>
          <w:sz w:val="18"/>
          <w:szCs w:val="18"/>
        </w:rPr>
        <w:t xml:space="preserve"> Obtenido de CIDH. Disponible en: </w:t>
      </w:r>
      <w:hyperlink r:id="rId17">
        <w:r>
          <w:rPr>
            <w:rFonts w:ascii="Times New Roman" w:eastAsia="Times New Roman" w:hAnsi="Times New Roman" w:cs="Times New Roman"/>
            <w:color w:val="0563C1"/>
            <w:sz w:val="18"/>
            <w:szCs w:val="18"/>
            <w:u w:val="single"/>
          </w:rPr>
          <w:t>https://www.youtube.com/watch?v=pAjuWaev9pg</w:t>
        </w:r>
      </w:hyperlink>
      <w:r>
        <w:rPr>
          <w:rFonts w:ascii="Times New Roman" w:eastAsia="Times New Roman" w:hAnsi="Times New Roman" w:cs="Times New Roman"/>
          <w:color w:val="000000"/>
          <w:sz w:val="18"/>
          <w:szCs w:val="18"/>
        </w:rPr>
        <w:t xml:space="preserve"> </w:t>
      </w:r>
    </w:p>
  </w:endnote>
  <w:endnote w:id="24">
    <w:p w14:paraId="000000B7"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Prepara Familia. (Abril 21, 2021). </w:t>
      </w:r>
      <w:r>
        <w:rPr>
          <w:rFonts w:ascii="Times New Roman" w:eastAsia="Times New Roman" w:hAnsi="Times New Roman" w:cs="Times New Roman"/>
          <w:i/>
          <w:color w:val="000000"/>
          <w:sz w:val="18"/>
          <w:szCs w:val="18"/>
        </w:rPr>
        <w:t>Mujeres cuidadoras del J.M. de los Ríos tienen tres años sin suministro de alimentación</w:t>
      </w:r>
      <w:r>
        <w:rPr>
          <w:rFonts w:ascii="Times New Roman" w:eastAsia="Times New Roman" w:hAnsi="Times New Roman" w:cs="Times New Roman"/>
          <w:color w:val="000000"/>
          <w:sz w:val="18"/>
          <w:szCs w:val="18"/>
        </w:rPr>
        <w:t xml:space="preserve">. Obtenido de </w:t>
      </w:r>
      <w:r>
        <w:rPr>
          <w:rFonts w:ascii="Times New Roman" w:eastAsia="Times New Roman" w:hAnsi="Times New Roman" w:cs="Times New Roman"/>
          <w:color w:val="000000"/>
          <w:sz w:val="18"/>
          <w:szCs w:val="18"/>
        </w:rPr>
        <w:t>de Prepara Familia. Disponible en: https://preparafamilia.org/2021/04/21/mujeres-cuidadoras-del-j-m-de-los-rios-tienen-tres-anos-sinsuministro-de-alimentacion/</w:t>
      </w:r>
    </w:p>
  </w:endnote>
  <w:endnote w:id="25">
    <w:p w14:paraId="000000B8"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 xml:space="preserve">HumVenezuela (Marzo, 2020). </w:t>
      </w:r>
      <w:r>
        <w:rPr>
          <w:rFonts w:ascii="Times New Roman" w:eastAsia="Times New Roman" w:hAnsi="Times New Roman" w:cs="Times New Roman"/>
          <w:i/>
          <w:color w:val="000000"/>
          <w:sz w:val="18"/>
          <w:szCs w:val="18"/>
        </w:rPr>
        <w:t>Informe Nacional de Seguimiento de la Emergencia Humanitaria Compleja en Venezuela: Impactos, Respuesta y Factores de Complejidad</w:t>
      </w:r>
      <w:r>
        <w:rPr>
          <w:rFonts w:ascii="Times New Roman" w:eastAsia="Times New Roman" w:hAnsi="Times New Roman" w:cs="Times New Roman"/>
          <w:color w:val="000000"/>
          <w:sz w:val="18"/>
          <w:szCs w:val="18"/>
        </w:rPr>
        <w:t>. Obtenido de HumVenezuela. Pág. 23. Disponible en: https://humvenezuela.com/wpcontent/uploads/2021/09/Informe-de-Seguimiento-HumVenezuela-Marzo-2020.pdf</w:t>
      </w:r>
    </w:p>
  </w:endnote>
  <w:endnote w:id="26">
    <w:p w14:paraId="000000B9"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Sarmiento, M. (Diciembre 26, 2020). </w:t>
      </w:r>
      <w:r>
        <w:rPr>
          <w:rFonts w:ascii="Times New Roman" w:eastAsia="Times New Roman" w:hAnsi="Times New Roman" w:cs="Times New Roman"/>
          <w:i/>
          <w:color w:val="000000"/>
          <w:sz w:val="18"/>
          <w:szCs w:val="18"/>
        </w:rPr>
        <w:t>La pandemia empeoró la crisis humanitaria (I).</w:t>
      </w:r>
      <w:r>
        <w:rPr>
          <w:rFonts w:ascii="Times New Roman" w:eastAsia="Times New Roman" w:hAnsi="Times New Roman" w:cs="Times New Roman"/>
          <w:color w:val="000000"/>
          <w:sz w:val="18"/>
          <w:szCs w:val="18"/>
        </w:rPr>
        <w:t xml:space="preserve"> Obtenido de Crónica Uno. Disponible en: </w:t>
      </w:r>
      <w:hyperlink r:id="rId18">
        <w:r>
          <w:rPr>
            <w:rFonts w:ascii="Times New Roman" w:eastAsia="Times New Roman" w:hAnsi="Times New Roman" w:cs="Times New Roman"/>
            <w:color w:val="0563C1"/>
            <w:sz w:val="18"/>
            <w:szCs w:val="18"/>
            <w:u w:val="single"/>
          </w:rPr>
          <w:t>https://cronica.uno/la-pandemia-empeoro-la-crisis-humanitaria-i/</w:t>
        </w:r>
      </w:hyperlink>
      <w:r>
        <w:rPr>
          <w:rFonts w:ascii="Times New Roman" w:eastAsia="Times New Roman" w:hAnsi="Times New Roman" w:cs="Times New Roman"/>
          <w:color w:val="000000"/>
          <w:sz w:val="18"/>
          <w:szCs w:val="18"/>
        </w:rPr>
        <w:t xml:space="preserve"> </w:t>
      </w:r>
    </w:p>
  </w:endnote>
  <w:endnote w:id="27">
    <w:p w14:paraId="000000BA" w14:textId="77777777" w:rsidR="00F77D3D" w:rsidRDefault="00F77D3D">
      <w:pPr>
        <w:pBdr>
          <w:top w:val="nil"/>
          <w:left w:val="nil"/>
          <w:bottom w:val="nil"/>
          <w:right w:val="nil"/>
          <w:between w:val="nil"/>
        </w:pBdr>
        <w:spacing w:after="0" w:line="240" w:lineRule="auto"/>
        <w:jc w:val="both"/>
        <w:rPr>
          <w:color w:val="000000"/>
          <w:sz w:val="20"/>
          <w:szCs w:val="20"/>
        </w:rPr>
      </w:pPr>
      <w:r>
        <w:rPr>
          <w:vertAlign w:val="superscript"/>
        </w:rPr>
        <w:endnoteRef/>
      </w:r>
      <w:r w:rsidRPr="00F77D3D">
        <w:rPr>
          <w:rFonts w:ascii="Times New Roman" w:eastAsia="Times New Roman" w:hAnsi="Times New Roman" w:cs="Times New Roman"/>
          <w:color w:val="000000"/>
          <w:sz w:val="18"/>
          <w:szCs w:val="18"/>
          <w:lang w:val="en-US"/>
        </w:rPr>
        <w:t xml:space="preserve"> OMS (</w:t>
      </w:r>
      <w:r w:rsidRPr="00F77D3D">
        <w:rPr>
          <w:rFonts w:ascii="Times New Roman" w:eastAsia="Times New Roman" w:hAnsi="Times New Roman" w:cs="Times New Roman"/>
          <w:color w:val="000000"/>
          <w:sz w:val="18"/>
          <w:szCs w:val="18"/>
          <w:lang w:val="en-US"/>
        </w:rPr>
        <w:t xml:space="preserve">Octubre 25, 2019). </w:t>
      </w:r>
      <w:r w:rsidRPr="00F77D3D">
        <w:rPr>
          <w:rFonts w:ascii="Times New Roman" w:eastAsia="Times New Roman" w:hAnsi="Times New Roman" w:cs="Times New Roman"/>
          <w:i/>
          <w:color w:val="000000"/>
          <w:sz w:val="18"/>
          <w:szCs w:val="18"/>
          <w:lang w:val="en-US"/>
        </w:rPr>
        <w:t xml:space="preserve">High rates of unintended pregnancies linked to gaps in family planning services: New WHO study. </w:t>
      </w:r>
      <w:r>
        <w:rPr>
          <w:rFonts w:ascii="Times New Roman" w:eastAsia="Times New Roman" w:hAnsi="Times New Roman" w:cs="Times New Roman"/>
          <w:i/>
          <w:color w:val="000000"/>
          <w:sz w:val="18"/>
          <w:szCs w:val="18"/>
        </w:rPr>
        <w:t>Obtenido de OMS</w:t>
      </w:r>
      <w:r>
        <w:rPr>
          <w:rFonts w:ascii="Times New Roman" w:eastAsia="Times New Roman" w:hAnsi="Times New Roman" w:cs="Times New Roman"/>
          <w:color w:val="000000"/>
          <w:sz w:val="18"/>
          <w:szCs w:val="18"/>
        </w:rPr>
        <w:t>. Disponible en: https://www.who.int/news/item/25-10-2019-high-rates-of-unintended-pregnancies-linked-togaps-in-family-planning-services-new-who-study</w:t>
      </w:r>
    </w:p>
  </w:endnote>
  <w:endnote w:id="28">
    <w:p w14:paraId="000000BB"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OMS (Noviembre 25, 2021). </w:t>
      </w:r>
      <w:r>
        <w:rPr>
          <w:rFonts w:ascii="Times New Roman" w:eastAsia="Times New Roman" w:hAnsi="Times New Roman" w:cs="Times New Roman"/>
          <w:i/>
          <w:color w:val="000000"/>
          <w:sz w:val="18"/>
          <w:szCs w:val="18"/>
        </w:rPr>
        <w:t>Prevenir Abortos Inseguros. Obtenido de OMS.</w:t>
      </w:r>
      <w:r>
        <w:rPr>
          <w:rFonts w:ascii="Times New Roman" w:eastAsia="Times New Roman" w:hAnsi="Times New Roman" w:cs="Times New Roman"/>
          <w:color w:val="000000"/>
          <w:sz w:val="18"/>
          <w:szCs w:val="18"/>
        </w:rPr>
        <w:t xml:space="preserve"> Disponible en: </w:t>
      </w:r>
      <w:hyperlink r:id="rId19">
        <w:r>
          <w:rPr>
            <w:rFonts w:ascii="Times New Roman" w:eastAsia="Times New Roman" w:hAnsi="Times New Roman" w:cs="Times New Roman"/>
            <w:color w:val="0563C1"/>
            <w:sz w:val="18"/>
            <w:szCs w:val="18"/>
            <w:u w:val="single"/>
          </w:rPr>
          <w:t>https://www.who.int/es/newsroom/fact-sheets/detail/preventing-unsafe-abortion</w:t>
        </w:r>
      </w:hyperlink>
      <w:r>
        <w:rPr>
          <w:rFonts w:ascii="Times New Roman" w:eastAsia="Times New Roman" w:hAnsi="Times New Roman" w:cs="Times New Roman"/>
          <w:color w:val="000000"/>
          <w:sz w:val="18"/>
          <w:szCs w:val="18"/>
        </w:rPr>
        <w:t xml:space="preserve">   </w:t>
      </w:r>
    </w:p>
  </w:endnote>
  <w:endnote w:id="29">
    <w:p w14:paraId="000000BC"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MPPS (Diciembre, 2016). </w:t>
      </w:r>
      <w:r>
        <w:rPr>
          <w:rFonts w:ascii="Times New Roman" w:eastAsia="Times New Roman" w:hAnsi="Times New Roman" w:cs="Times New Roman"/>
          <w:i/>
          <w:color w:val="000000"/>
          <w:sz w:val="18"/>
          <w:szCs w:val="18"/>
        </w:rPr>
        <w:t>Boletín Epidemiológico. Obtenido de SCRIB.</w:t>
      </w:r>
      <w:r>
        <w:rPr>
          <w:rFonts w:ascii="Times New Roman" w:eastAsia="Times New Roman" w:hAnsi="Times New Roman" w:cs="Times New Roman"/>
          <w:color w:val="000000"/>
          <w:sz w:val="18"/>
          <w:szCs w:val="18"/>
        </w:rPr>
        <w:t xml:space="preserve"> Disponible en: </w:t>
      </w:r>
      <w:hyperlink r:id="rId20">
        <w:r>
          <w:rPr>
            <w:rFonts w:ascii="Times New Roman" w:eastAsia="Times New Roman" w:hAnsi="Times New Roman" w:cs="Times New Roman"/>
            <w:color w:val="0563C1"/>
            <w:sz w:val="18"/>
            <w:szCs w:val="18"/>
            <w:u w:val="single"/>
          </w:rPr>
          <w:t>https://es.scribd.com/document/347856274/Boletin-Epidemiologico-el-Ministerio-del-Poder-Popular-para-la-Salud</w:t>
        </w:r>
      </w:hyperlink>
      <w:r>
        <w:rPr>
          <w:rFonts w:ascii="Times New Roman" w:eastAsia="Times New Roman" w:hAnsi="Times New Roman" w:cs="Times New Roman"/>
          <w:color w:val="000000"/>
          <w:sz w:val="18"/>
          <w:szCs w:val="18"/>
        </w:rPr>
        <w:t xml:space="preserve">  </w:t>
      </w:r>
    </w:p>
  </w:endnote>
  <w:endnote w:id="30">
    <w:p w14:paraId="000000BD" w14:textId="77777777" w:rsidR="00F77D3D" w:rsidRDefault="00F77D3D">
      <w:pPr>
        <w:pBdr>
          <w:top w:val="nil"/>
          <w:left w:val="nil"/>
          <w:bottom w:val="nil"/>
          <w:right w:val="nil"/>
          <w:between w:val="nil"/>
        </w:pBdr>
        <w:spacing w:after="0" w:line="240" w:lineRule="auto"/>
        <w:jc w:val="both"/>
        <w:rPr>
          <w:color w:val="000000"/>
          <w:sz w:val="20"/>
          <w:szCs w:val="20"/>
        </w:rPr>
      </w:pPr>
      <w:r>
        <w:rPr>
          <w:vertAlign w:val="superscript"/>
        </w:rPr>
        <w:endnoteRef/>
      </w:r>
      <w:r>
        <w:rPr>
          <w:rFonts w:ascii="Times New Roman" w:eastAsia="Times New Roman" w:hAnsi="Times New Roman" w:cs="Times New Roman"/>
          <w:color w:val="000000"/>
          <w:sz w:val="18"/>
          <w:szCs w:val="18"/>
        </w:rPr>
        <w:t xml:space="preserve"> MPPP (Enero, 2021). </w:t>
      </w:r>
      <w:r>
        <w:rPr>
          <w:rFonts w:ascii="Times New Roman" w:eastAsia="Times New Roman" w:hAnsi="Times New Roman" w:cs="Times New Roman"/>
          <w:i/>
          <w:color w:val="000000"/>
          <w:sz w:val="18"/>
          <w:szCs w:val="18"/>
        </w:rPr>
        <w:t>Venezuela en Cifras. Obtenido de MPPP.</w:t>
      </w:r>
      <w:r>
        <w:rPr>
          <w:rFonts w:ascii="Times New Roman" w:eastAsia="Times New Roman" w:hAnsi="Times New Roman" w:cs="Times New Roman"/>
          <w:color w:val="000000"/>
          <w:sz w:val="18"/>
          <w:szCs w:val="18"/>
        </w:rPr>
        <w:t xml:space="preserve"> Disponible en: </w:t>
      </w:r>
      <w:hyperlink r:id="rId21">
        <w:r>
          <w:rPr>
            <w:rFonts w:ascii="Times New Roman" w:eastAsia="Times New Roman" w:hAnsi="Times New Roman" w:cs="Times New Roman"/>
            <w:color w:val="0563C1"/>
            <w:sz w:val="18"/>
            <w:szCs w:val="18"/>
            <w:u w:val="single"/>
          </w:rPr>
          <w:t>http://www.mppp.gob.ve/wpcontent/uploads/2021/01/Venezuela-en-cifras-2021-26-enero-1.pdf</w:t>
        </w:r>
      </w:hyperlink>
      <w:r>
        <w:rPr>
          <w:rFonts w:ascii="Times New Roman" w:eastAsia="Times New Roman" w:hAnsi="Times New Roman" w:cs="Times New Roman"/>
          <w:color w:val="000000"/>
          <w:sz w:val="18"/>
          <w:szCs w:val="18"/>
        </w:rPr>
        <w:t xml:space="preserve">   </w:t>
      </w:r>
    </w:p>
  </w:endnote>
  <w:endnote w:id="31">
    <w:p w14:paraId="000000BE"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 xml:space="preserve">Ladeshu. (Mayo, 2021). Informe sobre la mortalidad materna en el estado Lara (2019-2020). Obtenido de Ladeshu. Disponible en: </w:t>
      </w:r>
      <w:hyperlink r:id="rId22">
        <w:r>
          <w:rPr>
            <w:rFonts w:ascii="Times New Roman" w:eastAsia="Times New Roman" w:hAnsi="Times New Roman" w:cs="Times New Roman"/>
            <w:color w:val="0563C1"/>
            <w:sz w:val="18"/>
            <w:szCs w:val="18"/>
            <w:u w:val="single"/>
          </w:rPr>
          <w:t>https://ladeshu.org/2021/06/02/informe-mortalidad-materna-lara-2019-2020/</w:t>
        </w:r>
      </w:hyperlink>
      <w:r>
        <w:rPr>
          <w:rFonts w:ascii="Times New Roman" w:eastAsia="Times New Roman" w:hAnsi="Times New Roman" w:cs="Times New Roman"/>
          <w:color w:val="000000"/>
          <w:sz w:val="18"/>
          <w:szCs w:val="18"/>
        </w:rPr>
        <w:t xml:space="preserve"> </w:t>
      </w:r>
    </w:p>
  </w:endnote>
  <w:endnote w:id="32">
    <w:p w14:paraId="000000BF"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Suarez, E. (Febrero 18, 2020). </w:t>
      </w:r>
      <w:r>
        <w:rPr>
          <w:rFonts w:ascii="Times New Roman" w:eastAsia="Times New Roman" w:hAnsi="Times New Roman" w:cs="Times New Roman"/>
          <w:i/>
          <w:color w:val="000000"/>
          <w:sz w:val="18"/>
          <w:szCs w:val="18"/>
        </w:rPr>
        <w:t>Hasta doce horas esperan parturientas en el Pastor Oropeza para ser atendidas.</w:t>
      </w:r>
      <w:r>
        <w:rPr>
          <w:rFonts w:ascii="Times New Roman" w:eastAsia="Times New Roman" w:hAnsi="Times New Roman" w:cs="Times New Roman"/>
          <w:color w:val="000000"/>
          <w:sz w:val="18"/>
          <w:szCs w:val="18"/>
        </w:rPr>
        <w:t xml:space="preserve"> Obtenido de El Impulso. Disponible en: </w:t>
      </w:r>
      <w:hyperlink r:id="rId23">
        <w:r>
          <w:rPr>
            <w:rFonts w:ascii="Times New Roman" w:eastAsia="Times New Roman" w:hAnsi="Times New Roman" w:cs="Times New Roman"/>
            <w:color w:val="0563C1"/>
            <w:sz w:val="18"/>
            <w:szCs w:val="18"/>
            <w:u w:val="single"/>
          </w:rPr>
          <w:t>https://www.elimpulso.com/2020/02/18/hasta-doce-horas-esperan-parturientas-en-el-pastororopeza-paraser-atendidas-18feb/amp</w:t>
        </w:r>
      </w:hyperlink>
      <w:r>
        <w:rPr>
          <w:rFonts w:ascii="Times New Roman" w:eastAsia="Times New Roman" w:hAnsi="Times New Roman" w:cs="Times New Roman"/>
          <w:color w:val="000000"/>
          <w:sz w:val="18"/>
          <w:szCs w:val="18"/>
        </w:rPr>
        <w:t xml:space="preserve"> </w:t>
      </w:r>
    </w:p>
  </w:endnote>
  <w:endnote w:id="33">
    <w:p w14:paraId="000000C0"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Acción Solidaria. (Agosto, 2021). </w:t>
      </w:r>
      <w:r>
        <w:rPr>
          <w:rFonts w:ascii="Times New Roman" w:eastAsia="Times New Roman" w:hAnsi="Times New Roman" w:cs="Times New Roman"/>
          <w:i/>
          <w:color w:val="000000"/>
          <w:sz w:val="18"/>
          <w:szCs w:val="18"/>
        </w:rPr>
        <w:t>Salud en Emergencia: El caso de Venezuela.</w:t>
      </w:r>
      <w:r>
        <w:rPr>
          <w:rFonts w:ascii="Times New Roman" w:eastAsia="Times New Roman" w:hAnsi="Times New Roman" w:cs="Times New Roman"/>
          <w:color w:val="000000"/>
          <w:sz w:val="18"/>
          <w:szCs w:val="18"/>
        </w:rPr>
        <w:t xml:space="preserve"> Obtenido de Acción Solidaria. Pág. 25. Disponible en: </w:t>
      </w:r>
      <w:hyperlink r:id="rId24">
        <w:r>
          <w:rPr>
            <w:rFonts w:ascii="Times New Roman" w:eastAsia="Times New Roman" w:hAnsi="Times New Roman" w:cs="Times New Roman"/>
            <w:color w:val="0563C1"/>
            <w:sz w:val="18"/>
            <w:szCs w:val="18"/>
            <w:u w:val="single"/>
          </w:rPr>
          <w:t>https://accionsolidaria.info/wp-content/uploads/2021/08/20210824InformeSaludenEmergencia.pdf</w:t>
        </w:r>
      </w:hyperlink>
      <w:r>
        <w:rPr>
          <w:rFonts w:ascii="Times New Roman" w:eastAsia="Times New Roman" w:hAnsi="Times New Roman" w:cs="Times New Roman"/>
          <w:color w:val="000000"/>
          <w:sz w:val="18"/>
          <w:szCs w:val="18"/>
        </w:rPr>
        <w:t xml:space="preserve"> </w:t>
      </w:r>
    </w:p>
  </w:endnote>
  <w:endnote w:id="34">
    <w:p w14:paraId="000000C1" w14:textId="77777777" w:rsidR="00F77D3D" w:rsidRDefault="00F77D3D">
      <w:pPr>
        <w:pBdr>
          <w:top w:val="nil"/>
          <w:left w:val="nil"/>
          <w:bottom w:val="nil"/>
          <w:right w:val="nil"/>
          <w:between w:val="nil"/>
        </w:pBdr>
        <w:spacing w:after="0" w:line="240" w:lineRule="auto"/>
        <w:rPr>
          <w:color w:val="000000"/>
          <w:sz w:val="20"/>
          <w:szCs w:val="20"/>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Op. Cit 30.</w:t>
      </w:r>
      <w:r>
        <w:rPr>
          <w:color w:val="000000"/>
          <w:sz w:val="20"/>
          <w:szCs w:val="20"/>
        </w:rPr>
        <w:t xml:space="preserve"> </w:t>
      </w:r>
    </w:p>
  </w:endnote>
  <w:endnote w:id="35">
    <w:p w14:paraId="000000C2" w14:textId="77777777" w:rsidR="00F77D3D"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El Pitazo (21 de octubre de 2020). </w:t>
      </w:r>
      <w:r>
        <w:rPr>
          <w:rFonts w:ascii="Times New Roman" w:eastAsia="Times New Roman" w:hAnsi="Times New Roman" w:cs="Times New Roman"/>
          <w:i/>
          <w:color w:val="000000"/>
          <w:sz w:val="18"/>
          <w:szCs w:val="18"/>
        </w:rPr>
        <w:t>“No quiero morir encerrada” clama una presa del INOF con Cáncer de Seno</w:t>
      </w:r>
      <w:r>
        <w:rPr>
          <w:rFonts w:ascii="Times New Roman" w:eastAsia="Times New Roman" w:hAnsi="Times New Roman" w:cs="Times New Roman"/>
          <w:color w:val="000000"/>
          <w:sz w:val="18"/>
          <w:szCs w:val="18"/>
        </w:rPr>
        <w:t xml:space="preserve">. Obtenido de El Pitazo: https://elpitazo.net/gran-caracas/no-quiero-morirencerrada-clama-una-presa-del-inof-con-cancer-de-seno/ ; y Observatorio Venezolano de Prisiones. (Junio 2021). </w:t>
      </w:r>
      <w:r>
        <w:rPr>
          <w:rFonts w:ascii="Times New Roman" w:eastAsia="Times New Roman" w:hAnsi="Times New Roman" w:cs="Times New Roman"/>
          <w:i/>
          <w:color w:val="000000"/>
          <w:sz w:val="18"/>
          <w:szCs w:val="18"/>
        </w:rPr>
        <w:t>Informe – Mujeres privadas de la libertad en Venezuela. Las voces de las mujeres detrás de las rejas</w:t>
      </w:r>
      <w:r>
        <w:rPr>
          <w:rFonts w:ascii="Times New Roman" w:eastAsia="Times New Roman" w:hAnsi="Times New Roman" w:cs="Times New Roman"/>
          <w:color w:val="000000"/>
          <w:sz w:val="18"/>
          <w:szCs w:val="18"/>
        </w:rPr>
        <w:t>. Obtenido de OVP. Disponible en: https://oveprisiones.com/informe-mujeres-privadas-de-la-libertad-envenezuela-las-voces-de-las-mujeres-detras-de-las-rejas/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3" w14:textId="77777777" w:rsidR="00C17C05" w:rsidRDefault="00C17C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F60A3" w14:textId="77777777" w:rsidR="001B0485" w:rsidRDefault="001B0485">
      <w:pPr>
        <w:spacing w:after="0" w:line="240" w:lineRule="auto"/>
      </w:pPr>
      <w:r>
        <w:separator/>
      </w:r>
    </w:p>
  </w:footnote>
  <w:footnote w:type="continuationSeparator" w:id="0">
    <w:p w14:paraId="21D21DEC" w14:textId="77777777" w:rsidR="001B0485" w:rsidRDefault="001B0485">
      <w:pPr>
        <w:spacing w:after="0" w:line="240" w:lineRule="auto"/>
      </w:pPr>
      <w:r>
        <w:continuationSeparator/>
      </w:r>
    </w:p>
  </w:footnote>
  <w:footnote w:id="1">
    <w:p w14:paraId="0000009D" w14:textId="7DEBFFA7" w:rsidR="00C17C05" w:rsidRDefault="00F77D3D">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Style w:val="Refdenotaalpie"/>
          <w:sz w:val="20"/>
          <w:szCs w:val="20"/>
        </w:rPr>
        <w:footnoteRef/>
      </w:r>
      <w:r w:rsidR="00A55875">
        <w:rPr>
          <w:vertAlign w:val="superscript"/>
        </w:rPr>
        <w:footnoteRef/>
      </w:r>
      <w:r w:rsidR="00A55875">
        <w:rPr>
          <w:rFonts w:ascii="Times New Roman" w:eastAsia="Times New Roman" w:hAnsi="Times New Roman" w:cs="Times New Roman"/>
          <w:color w:val="000000"/>
          <w:sz w:val="18"/>
          <w:szCs w:val="18"/>
        </w:rPr>
        <w:t xml:space="preserve"> Plataforma que trabaja los derechos a la asistencia y protección de todas las personas con necesidades humanitarias por los impactos de la EHC en Venezuela y que recoge información de 87 organizaciones de la sociedad civil venezolana en 18 estados de Venezuela sobre la crisis, para ver los datos completos puede visitar: www.humvenezuela.com </w:t>
      </w:r>
    </w:p>
  </w:footnote>
  <w:footnote w:id="2">
    <w:p w14:paraId="0000009E" w14:textId="77777777" w:rsidR="00C17C05" w:rsidRDefault="00A55875">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hyperlink r:id="rId1">
        <w:r>
          <w:rPr>
            <w:rFonts w:ascii="Times New Roman" w:eastAsia="Times New Roman" w:hAnsi="Times New Roman" w:cs="Times New Roman"/>
            <w:color w:val="0563C1"/>
            <w:sz w:val="18"/>
            <w:szCs w:val="18"/>
            <w:u w:val="single"/>
          </w:rPr>
          <w:t>https://cepaz.org/</w:t>
        </w:r>
      </w:hyperlink>
      <w:r>
        <w:rPr>
          <w:rFonts w:ascii="Times New Roman" w:eastAsia="Times New Roman" w:hAnsi="Times New Roman" w:cs="Times New Roman"/>
          <w:color w:val="000000"/>
          <w:sz w:val="18"/>
          <w:szCs w:val="18"/>
        </w:rPr>
        <w:t xml:space="preserve"> </w:t>
      </w:r>
    </w:p>
  </w:footnote>
  <w:footnote w:id="3">
    <w:p w14:paraId="0000009F" w14:textId="77777777" w:rsidR="00C17C05" w:rsidRDefault="00A55875">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hyperlink r:id="rId2">
        <w:r>
          <w:rPr>
            <w:rFonts w:ascii="Times New Roman" w:eastAsia="Times New Roman" w:hAnsi="Times New Roman" w:cs="Times New Roman"/>
            <w:color w:val="0563C1"/>
            <w:sz w:val="18"/>
            <w:szCs w:val="18"/>
            <w:u w:val="single"/>
          </w:rPr>
          <w:t>https://www.funcamama.org/</w:t>
        </w:r>
      </w:hyperlink>
      <w:r>
        <w:rPr>
          <w:rFonts w:ascii="Times New Roman" w:eastAsia="Times New Roman" w:hAnsi="Times New Roman" w:cs="Times New Roman"/>
          <w:color w:val="000000"/>
          <w:sz w:val="18"/>
          <w:szCs w:val="18"/>
        </w:rPr>
        <w:t xml:space="preserve"> </w:t>
      </w:r>
    </w:p>
  </w:footnote>
  <w:footnote w:id="4">
    <w:p w14:paraId="000000A0" w14:textId="77777777" w:rsidR="00C17C05" w:rsidRDefault="00A55875">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hyperlink r:id="rId3">
        <w:r>
          <w:rPr>
            <w:rFonts w:ascii="Times New Roman" w:eastAsia="Times New Roman" w:hAnsi="Times New Roman" w:cs="Times New Roman"/>
            <w:color w:val="0563C1"/>
            <w:sz w:val="18"/>
            <w:szCs w:val="18"/>
            <w:u w:val="single"/>
          </w:rPr>
          <w:t>https://preparafamilia.org/</w:t>
        </w:r>
      </w:hyperlink>
      <w:r>
        <w:rPr>
          <w:rFonts w:ascii="Times New Roman" w:eastAsia="Times New Roman" w:hAnsi="Times New Roman" w:cs="Times New Roman"/>
          <w:color w:val="000000"/>
          <w:sz w:val="18"/>
          <w:szCs w:val="18"/>
        </w:rPr>
        <w:t xml:space="preserve"> </w:t>
      </w:r>
    </w:p>
  </w:footnote>
  <w:footnote w:id="5">
    <w:p w14:paraId="000000A1" w14:textId="77777777" w:rsidR="00C17C05" w:rsidRDefault="00A55875">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hyperlink r:id="rId4">
        <w:r>
          <w:rPr>
            <w:rFonts w:ascii="Times New Roman" w:eastAsia="Times New Roman" w:hAnsi="Times New Roman" w:cs="Times New Roman"/>
            <w:color w:val="0563C1"/>
            <w:sz w:val="18"/>
            <w:szCs w:val="18"/>
            <w:u w:val="single"/>
          </w:rPr>
          <w:t>http://uniandes.org/#</w:t>
        </w:r>
      </w:hyperlink>
      <w:r>
        <w:rPr>
          <w:rFonts w:ascii="Times New Roman" w:eastAsia="Times New Roman" w:hAnsi="Times New Roman" w:cs="Times New Roman"/>
          <w:color w:val="000000"/>
          <w:sz w:val="18"/>
          <w:szCs w:val="18"/>
        </w:rPr>
        <w:t xml:space="preserve"> </w:t>
      </w:r>
    </w:p>
  </w:footnote>
  <w:footnote w:id="6">
    <w:p w14:paraId="000000A2" w14:textId="77777777" w:rsidR="00C17C05" w:rsidRDefault="00A55875">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hyperlink r:id="rId5">
        <w:r>
          <w:rPr>
            <w:rFonts w:ascii="Times New Roman" w:eastAsia="Times New Roman" w:hAnsi="Times New Roman" w:cs="Times New Roman"/>
            <w:color w:val="0563C1"/>
            <w:sz w:val="18"/>
            <w:szCs w:val="18"/>
            <w:u w:val="single"/>
          </w:rPr>
          <w:t>https://accionsolidaria.info/</w:t>
        </w:r>
      </w:hyperlink>
      <w:r>
        <w:rPr>
          <w:rFonts w:ascii="Times New Roman" w:eastAsia="Times New Roman" w:hAnsi="Times New Roman" w:cs="Times New Roman"/>
          <w:color w:val="000000"/>
          <w:sz w:val="18"/>
          <w:szCs w:val="18"/>
        </w:rPr>
        <w:t xml:space="preserve"> </w:t>
      </w:r>
    </w:p>
  </w:footnote>
  <w:footnote w:id="7">
    <w:p w14:paraId="000000A3" w14:textId="77777777" w:rsidR="00C17C05" w:rsidRDefault="00A55875">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18"/>
          <w:szCs w:val="18"/>
        </w:rPr>
        <w:t xml:space="preserve"> </w:t>
      </w:r>
      <w:hyperlink r:id="rId6">
        <w:r>
          <w:rPr>
            <w:rFonts w:ascii="Times New Roman" w:eastAsia="Times New Roman" w:hAnsi="Times New Roman" w:cs="Times New Roman"/>
            <w:color w:val="0563C1"/>
            <w:sz w:val="18"/>
            <w:szCs w:val="18"/>
            <w:u w:val="single"/>
          </w:rPr>
          <w:t>https://www.unionafirmativa.org.ve/</w:t>
        </w:r>
      </w:hyperlink>
      <w:r>
        <w:rPr>
          <w:color w:val="000000"/>
          <w:sz w:val="20"/>
          <w:szCs w:val="20"/>
        </w:rPr>
        <w:t xml:space="preserve"> </w:t>
      </w:r>
    </w:p>
  </w:footnote>
  <w:footnote w:id="8">
    <w:p w14:paraId="000000A4" w14:textId="77777777" w:rsidR="00C17C05" w:rsidRDefault="00A55875">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Esta sufrió 2 reformas en el año 2014 y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31E08"/>
    <w:multiLevelType w:val="multilevel"/>
    <w:tmpl w:val="B4F6DF58"/>
    <w:lvl w:ilvl="0">
      <w:start w:val="6"/>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F56DF6"/>
    <w:multiLevelType w:val="multilevel"/>
    <w:tmpl w:val="877AEA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DC6537"/>
    <w:multiLevelType w:val="multilevel"/>
    <w:tmpl w:val="6E90147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E3C44C0"/>
    <w:multiLevelType w:val="multilevel"/>
    <w:tmpl w:val="68FACF4A"/>
    <w:lvl w:ilvl="0">
      <w:start w:val="7"/>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E7604E2"/>
    <w:multiLevelType w:val="multilevel"/>
    <w:tmpl w:val="FECC88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numFmt w:val="upperRoman"/>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C05"/>
    <w:rsid w:val="001B0485"/>
    <w:rsid w:val="002B47B6"/>
    <w:rsid w:val="00A55875"/>
    <w:rsid w:val="00BF748B"/>
    <w:rsid w:val="00C17C05"/>
    <w:rsid w:val="00F77D3D"/>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86435"/>
  <w15:docId w15:val="{00C686AF-3AB2-4146-ABAB-6C1BF1FE1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VE" w:eastAsia="es-V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E48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notapie">
    <w:name w:val="footnote text"/>
    <w:basedOn w:val="Normal"/>
    <w:link w:val="TextonotapieCar"/>
    <w:uiPriority w:val="99"/>
    <w:semiHidden/>
    <w:unhideWhenUsed/>
    <w:rsid w:val="008F0E2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F0E24"/>
    <w:rPr>
      <w:sz w:val="20"/>
      <w:szCs w:val="20"/>
    </w:rPr>
  </w:style>
  <w:style w:type="character" w:styleId="Refdenotaalpie">
    <w:name w:val="footnote reference"/>
    <w:basedOn w:val="Fuentedeprrafopredeter"/>
    <w:uiPriority w:val="99"/>
    <w:semiHidden/>
    <w:unhideWhenUsed/>
    <w:rsid w:val="008F0E24"/>
    <w:rPr>
      <w:vertAlign w:val="superscript"/>
    </w:rPr>
  </w:style>
  <w:style w:type="paragraph" w:styleId="Prrafodelista">
    <w:name w:val="List Paragraph"/>
    <w:basedOn w:val="Normal"/>
    <w:uiPriority w:val="34"/>
    <w:qFormat/>
    <w:rsid w:val="00F71363"/>
    <w:pPr>
      <w:ind w:left="720"/>
      <w:contextualSpacing/>
    </w:pPr>
  </w:style>
  <w:style w:type="character" w:styleId="Hipervnculo">
    <w:name w:val="Hyperlink"/>
    <w:basedOn w:val="Fuentedeprrafopredeter"/>
    <w:uiPriority w:val="99"/>
    <w:unhideWhenUsed/>
    <w:rsid w:val="00F71363"/>
    <w:rPr>
      <w:color w:val="0563C1" w:themeColor="hyperlink"/>
      <w:u w:val="single"/>
    </w:rPr>
  </w:style>
  <w:style w:type="character" w:styleId="Mencinsinresolver">
    <w:name w:val="Unresolved Mention"/>
    <w:basedOn w:val="Fuentedeprrafopredeter"/>
    <w:uiPriority w:val="99"/>
    <w:semiHidden/>
    <w:unhideWhenUsed/>
    <w:rsid w:val="00F71363"/>
    <w:rPr>
      <w:color w:val="605E5C"/>
      <w:shd w:val="clear" w:color="auto" w:fill="E1DFDD"/>
    </w:rPr>
  </w:style>
  <w:style w:type="paragraph" w:styleId="Textonotaalfinal">
    <w:name w:val="endnote text"/>
    <w:basedOn w:val="Normal"/>
    <w:link w:val="TextonotaalfinalCar"/>
    <w:uiPriority w:val="99"/>
    <w:unhideWhenUsed/>
    <w:rsid w:val="00421CA0"/>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421CA0"/>
    <w:rPr>
      <w:sz w:val="20"/>
      <w:szCs w:val="20"/>
    </w:rPr>
  </w:style>
  <w:style w:type="character" w:styleId="Refdenotaalfinal">
    <w:name w:val="endnote reference"/>
    <w:basedOn w:val="Fuentedeprrafopredeter"/>
    <w:uiPriority w:val="99"/>
    <w:semiHidden/>
    <w:unhideWhenUsed/>
    <w:rsid w:val="00421CA0"/>
    <w:rPr>
      <w:vertAlign w:val="superscript"/>
    </w:rPr>
  </w:style>
  <w:style w:type="character" w:customStyle="1" w:styleId="Ttulo1Car">
    <w:name w:val="Título 1 Car"/>
    <w:basedOn w:val="Fuentedeprrafopredeter"/>
    <w:link w:val="Ttulo1"/>
    <w:uiPriority w:val="9"/>
    <w:rsid w:val="000E481F"/>
    <w:rPr>
      <w:rFonts w:asciiTheme="majorHAnsi" w:eastAsiaTheme="majorEastAsia" w:hAnsiTheme="majorHAnsi" w:cstheme="majorBidi"/>
      <w:color w:val="2F5496" w:themeColor="accent1" w:themeShade="BF"/>
      <w:sz w:val="32"/>
      <w:szCs w:val="32"/>
      <w:lang w:eastAsia="es-VE"/>
    </w:rPr>
  </w:style>
  <w:style w:type="paragraph" w:styleId="Bibliografa">
    <w:name w:val="Bibliography"/>
    <w:basedOn w:val="Normal"/>
    <w:next w:val="Normal"/>
    <w:uiPriority w:val="37"/>
    <w:unhideWhenUsed/>
    <w:rsid w:val="000E481F"/>
  </w:style>
  <w:style w:type="character" w:styleId="Hipervnculovisitado">
    <w:name w:val="FollowedHyperlink"/>
    <w:basedOn w:val="Fuentedeprrafopredeter"/>
    <w:uiPriority w:val="99"/>
    <w:semiHidden/>
    <w:unhideWhenUsed/>
    <w:rsid w:val="00245837"/>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www.ohchr.org/sites/default/files/Documents/HRBodies/HRCouncil/FFMV/A.HRC.48.69_ES.pdf" TargetMode="External"/><Relationship Id="rId13" Type="http://schemas.openxmlformats.org/officeDocument/2006/relationships/hyperlink" Target="https://runrun.es/noticias/439616/las-mujeres-quedaron-relegadas-debido-a-la-crisis-en-venezuela/" TargetMode="External"/><Relationship Id="rId18" Type="http://schemas.openxmlformats.org/officeDocument/2006/relationships/hyperlink" Target="https://cronica.uno/la-pandemia-empeoro-la-crisis-humanitaria-i/" TargetMode="External"/><Relationship Id="rId3" Type="http://schemas.openxmlformats.org/officeDocument/2006/relationships/hyperlink" Target="https://cepaz.org/tema/mujeres/" TargetMode="External"/><Relationship Id="rId21" Type="http://schemas.openxmlformats.org/officeDocument/2006/relationships/hyperlink" Target="http://www.mppp.gob.ve/wpcontent/uploads/2021/01/Venezuela-en-cifras-2021-26-enero-1.pdf" TargetMode="External"/><Relationship Id="rId7" Type="http://schemas.openxmlformats.org/officeDocument/2006/relationships/hyperlink" Target="https://www.oas.org/es/cidh/informes/pdfs/Venezuela2018-es.pdf" TargetMode="External"/><Relationship Id="rId12" Type="http://schemas.openxmlformats.org/officeDocument/2006/relationships/hyperlink" Target="https://runrun.es/noticias/439616/las-mujeres-quedaron-relegadas-debido-a-la-crisis-en-venezuela/" TargetMode="External"/><Relationship Id="rId17" Type="http://schemas.openxmlformats.org/officeDocument/2006/relationships/hyperlink" Target="https://www.youtube.com/watch?v=pAjuWaev9pg" TargetMode="External"/><Relationship Id="rId2" Type="http://schemas.openxmlformats.org/officeDocument/2006/relationships/hyperlink" Target="https://humvenezuela.com/wp-content/uploads/2022/09/HumVenezuela-Informe-Marzo-2022.pdf" TargetMode="External"/><Relationship Id="rId16" Type="http://schemas.openxmlformats.org/officeDocument/2006/relationships/hyperlink" Target="https://preparafamilia.org/wpcontent/uploads/2021/09/Informe-sobre-el-Impacto-de-la-Suspensio%CC%81n-del-Programa-de-Procura-de-O%CC%81rganos-y-LosTrasplantes-de-Me%CC%81dula-O%CC%81sea.pdf" TargetMode="External"/><Relationship Id="rId20" Type="http://schemas.openxmlformats.org/officeDocument/2006/relationships/hyperlink" Target="https://es.scribd.com/document/347856274/Boletin-Epidemiologico-el-Ministerio-del-Poder-Popular-para-la-Salud" TargetMode="External"/><Relationship Id="rId1" Type="http://schemas.openxmlformats.org/officeDocument/2006/relationships/hyperlink" Target="https://accionsolidaria.info/project/ser-mujer-en-venezuela/" TargetMode="External"/><Relationship Id="rId6" Type="http://schemas.openxmlformats.org/officeDocument/2006/relationships/hyperlink" Target="https://publications.iadb.org/publications/spanish/document/La-migracion-desde-una-perspectiva-de-genero-Ideas-operativas-parasu-integracion-en-proyectos-de-desarrollo.pdf" TargetMode="External"/><Relationship Id="rId11" Type="http://schemas.openxmlformats.org/officeDocument/2006/relationships/hyperlink" Target="https://agendaestadodederecho.com/una-medida-cautelar-no-es-suficientemujeres-y-cancer-de-mama-en-venezuela/" TargetMode="External"/><Relationship Id="rId24" Type="http://schemas.openxmlformats.org/officeDocument/2006/relationships/hyperlink" Target="https://accionsolidaria.info/wp-content/uploads/2021/08/20210824InformeSaludenEmergencia.pdf" TargetMode="External"/><Relationship Id="rId5" Type="http://schemas.openxmlformats.org/officeDocument/2006/relationships/hyperlink" Target="http://www.el-nacional.com/noticias/sucesos/venezuela-cuarto-pais-con-mas-asesinatospersonas-lgbti-america_213937" TargetMode="External"/><Relationship Id="rId15" Type="http://schemas.openxmlformats.org/officeDocument/2006/relationships/hyperlink" Target="https://avesawordpress.files.wordpress.com/2021/04/la-salud-de-las-mujeres-en-venezuela.pdf" TargetMode="External"/><Relationship Id="rId23" Type="http://schemas.openxmlformats.org/officeDocument/2006/relationships/hyperlink" Target="https://www.elimpulso.com/2020/02/18/hasta-doce-horas-esperan-parturientas-en-el-pastororopeza-paraser-atendidas-18feb/amp" TargetMode="External"/><Relationship Id="rId10" Type="http://schemas.openxmlformats.org/officeDocument/2006/relationships/hyperlink" Target="https://humvenezuela.com/wpcontent/uploads/2021/09/Informe-de-Seguimiento-HumVenezuela-Marzo-2020.pdf" TargetMode="External"/><Relationship Id="rId19" Type="http://schemas.openxmlformats.org/officeDocument/2006/relationships/hyperlink" Target="https://www.who.int/es/newsroom/fact-sheets/detail/preventing-unsafe-abortion" TargetMode="External"/><Relationship Id="rId4" Type="http://schemas.openxmlformats.org/officeDocument/2006/relationships/hyperlink" Target="https://www.unionafirmativa.org.ve/unaf/wp-content/uploads/Situacion-de-los-ddhh-de-las-mujeres-lesbianas-bisexuales-y-trans-en-Venezuela-2020.pdf" TargetMode="External"/><Relationship Id="rId9" Type="http://schemas.openxmlformats.org/officeDocument/2006/relationships/hyperlink" Target="https://www.ncbi.nlm.nih.gov/pmc/articles/PMC4804270/" TargetMode="External"/><Relationship Id="rId14" Type="http://schemas.openxmlformats.org/officeDocument/2006/relationships/hyperlink" Target="https://cronica.uno/venezuela-es-uno-de-los-seis-paises-de-americaque-no-tiene-la-vacuna-de-vph-en-su-plan-ampliadodeinmunizaciones/" TargetMode="External"/><Relationship Id="rId22" Type="http://schemas.openxmlformats.org/officeDocument/2006/relationships/hyperlink" Target="https://ladeshu.org/2021/06/02/informe-mortalidad-materna-lara-2019-202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reparafamilia.org/" TargetMode="External"/><Relationship Id="rId2" Type="http://schemas.openxmlformats.org/officeDocument/2006/relationships/hyperlink" Target="https://www.funcamama.org/" TargetMode="External"/><Relationship Id="rId1" Type="http://schemas.openxmlformats.org/officeDocument/2006/relationships/hyperlink" Target="https://cepaz.org/" TargetMode="External"/><Relationship Id="rId6" Type="http://schemas.openxmlformats.org/officeDocument/2006/relationships/hyperlink" Target="https://www.unionafirmativa.org.ve/" TargetMode="External"/><Relationship Id="rId5" Type="http://schemas.openxmlformats.org/officeDocument/2006/relationships/hyperlink" Target="https://accionsolidaria.info/" TargetMode="External"/><Relationship Id="rId4" Type="http://schemas.openxmlformats.org/officeDocument/2006/relationships/hyperlink" Target="http://uniandes.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4U1BLh7gmSFqUTNrdyOdTWNsVWA==">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4542</Words>
  <Characters>24981</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Departamento de Exigibilidad de Derechos Humanos</dc:creator>
  <cp:lastModifiedBy>Departamento de Exigibilidad de Derechos Humanos</cp:lastModifiedBy>
  <cp:revision>3</cp:revision>
  <dcterms:created xsi:type="dcterms:W3CDTF">2023-04-10T18:15:00Z</dcterms:created>
  <dcterms:modified xsi:type="dcterms:W3CDTF">2023-04-10T18:26:00Z</dcterms:modified>
</cp:coreProperties>
</file>