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0D53" w:rsidRPr="00BB405B" w:rsidRDefault="00220733" w:rsidP="006642FC">
      <w:pPr>
        <w:spacing w:before="100" w:beforeAutospacing="1" w:after="100" w:afterAutospacing="1" w:line="240" w:lineRule="auto"/>
        <w:rPr>
          <w:rFonts w:asciiTheme="majorBidi" w:eastAsia="Times New Roman" w:hAnsiTheme="majorBidi" w:cstheme="majorBidi"/>
          <w:b/>
          <w:bCs/>
          <w:sz w:val="24"/>
          <w:szCs w:val="24"/>
        </w:rPr>
      </w:pPr>
      <w:r w:rsidRPr="00BB405B">
        <w:rPr>
          <w:rFonts w:asciiTheme="majorBidi" w:eastAsia="Times New Roman" w:hAnsiTheme="majorBidi" w:cstheme="majorBidi"/>
          <w:b/>
          <w:bCs/>
          <w:noProof/>
          <w:sz w:val="24"/>
          <w:szCs w:val="24"/>
        </w:rPr>
        <mc:AlternateContent>
          <mc:Choice Requires="wps">
            <w:drawing>
              <wp:anchor distT="0" distB="0" distL="114300" distR="114300" simplePos="0" relativeHeight="251663360" behindDoc="0" locked="0" layoutInCell="1" allowOverlap="1">
                <wp:simplePos x="0" y="0"/>
                <wp:positionH relativeFrom="column">
                  <wp:posOffset>4761781</wp:posOffset>
                </wp:positionH>
                <wp:positionV relativeFrom="paragraph">
                  <wp:posOffset>-681487</wp:posOffset>
                </wp:positionV>
                <wp:extent cx="1880870" cy="9636125"/>
                <wp:effectExtent l="0" t="0" r="5080" b="3175"/>
                <wp:wrapNone/>
                <wp:docPr id="14"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0870" cy="9636125"/>
                        </a:xfrm>
                        <a:prstGeom prst="rect">
                          <a:avLst/>
                        </a:prstGeom>
                        <a:solidFill>
                          <a:srgbClr val="44546A"/>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F52795" w:rsidRDefault="00F52795" w:rsidP="00B87009">
                            <w:pPr>
                              <w:bidi/>
                              <w:jc w:val="center"/>
                              <w:rPr>
                                <w:rFonts w:eastAsiaTheme="minorEastAsia" w:cs="Arial"/>
                                <w:b/>
                                <w:bCs/>
                                <w:color w:val="FFFFFF"/>
                                <w:spacing w:val="15"/>
                                <w:sz w:val="52"/>
                                <w:szCs w:val="52"/>
                              </w:rPr>
                            </w:pPr>
                            <w:r w:rsidRPr="00240345">
                              <w:rPr>
                                <w:rFonts w:eastAsiaTheme="minorEastAsia" w:cs="Arial"/>
                                <w:b/>
                                <w:bCs/>
                                <w:color w:val="FFFFFF"/>
                                <w:spacing w:val="15"/>
                                <w:sz w:val="52"/>
                                <w:szCs w:val="52"/>
                              </w:rPr>
                              <w:t xml:space="preserve">Iraqi </w:t>
                            </w:r>
                            <w:r>
                              <w:rPr>
                                <w:rFonts w:eastAsiaTheme="minorEastAsia" w:cs="Arial"/>
                                <w:b/>
                                <w:bCs/>
                                <w:color w:val="FFFFFF"/>
                                <w:spacing w:val="15"/>
                                <w:sz w:val="52"/>
                                <w:szCs w:val="52"/>
                              </w:rPr>
                              <w:t>High Commission for Human Rights</w:t>
                            </w:r>
                          </w:p>
                          <w:p w:rsidR="00F52795" w:rsidRPr="00B87009" w:rsidRDefault="00F52795" w:rsidP="00B87009">
                            <w:pPr>
                              <w:bidi/>
                              <w:jc w:val="center"/>
                              <w:rPr>
                                <w:rFonts w:eastAsiaTheme="minorEastAsia" w:cs="Arial"/>
                                <w:b/>
                                <w:bCs/>
                                <w:color w:val="FFFFFF"/>
                                <w:spacing w:val="15"/>
                                <w:sz w:val="52"/>
                                <w:szCs w:val="52"/>
                              </w:rPr>
                            </w:pPr>
                            <w:r>
                              <w:rPr>
                                <w:rFonts w:eastAsiaTheme="minorEastAsia" w:cs="Arial"/>
                                <w:b/>
                                <w:bCs/>
                                <w:color w:val="FFFFFF"/>
                                <w:spacing w:val="15"/>
                                <w:sz w:val="52"/>
                                <w:szCs w:val="52"/>
                              </w:rPr>
                              <w:t>IHCHR</w:t>
                            </w:r>
                            <w:r w:rsidRPr="00240345">
                              <w:rPr>
                                <w:rFonts w:eastAsiaTheme="minorEastAsia" w:cs="Arial"/>
                                <w:b/>
                                <w:bCs/>
                                <w:color w:val="FFFFFF"/>
                                <w:spacing w:val="15"/>
                                <w:sz w:val="52"/>
                                <w:szCs w:val="52"/>
                              </w:rPr>
                              <w:t xml:space="preserve">  </w:t>
                            </w:r>
                          </w:p>
                          <w:p w:rsidR="00F52795" w:rsidRPr="00240345" w:rsidRDefault="00F52795" w:rsidP="00240345">
                            <w:pPr>
                              <w:bidi/>
                              <w:rPr>
                                <w:rFonts w:eastAsiaTheme="minorEastAsia" w:cs="Arial"/>
                                <w:sz w:val="52"/>
                                <w:szCs w:val="52"/>
                              </w:rPr>
                            </w:pPr>
                          </w:p>
                        </w:txbxContent>
                      </wps:txbx>
                      <wps:bodyPr rot="0" vert="vert270" wrap="square" lIns="182880" tIns="45720" rIns="182880" bIns="45720" anchor="ctr" anchorCtr="0" upright="1">
                        <a:noAutofit/>
                      </wps:bodyPr>
                    </wps:wsp>
                  </a:graphicData>
                </a:graphic>
              </wp:anchor>
            </w:drawing>
          </mc:Choice>
          <mc:Fallback>
            <w:pict>
              <v:rect id="Rectangle 472" o:spid="_x0000_s1026" style="position:absolute;margin-left:374.95pt;margin-top:-53.65pt;width:148.1pt;height:75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" fillcolor="#44546a" stroked="f" strokeweight="1pt">
                <v:path arrowok="t"/>
                <v:textbox style="layout-flow:vertical;mso-layout-flow-alt:bottom-to-top" inset="14.4pt,,14.4pt">
                  <w:txbxContent>
                    <w:p w:rsidR="00F52795" w:rsidRDefault="00F52795" w:rsidP="00B87009">
                      <w:pPr>
                        <w:bidi/>
                        <w:jc w:val="center"/>
                        <w:rPr>
                          <w:rFonts w:eastAsiaTheme="minorEastAsia" w:cs="Arial"/>
                          <w:b/>
                          <w:bCs/>
                          <w:color w:val="FFFFFF"/>
                          <w:spacing w:val="15"/>
                          <w:sz w:val="52"/>
                          <w:szCs w:val="52"/>
                        </w:rPr>
                      </w:pPr>
                      <w:r w:rsidRPr="00240345">
                        <w:rPr>
                          <w:rFonts w:eastAsiaTheme="minorEastAsia" w:cs="Arial"/>
                          <w:b/>
                          <w:bCs/>
                          <w:color w:val="FFFFFF"/>
                          <w:spacing w:val="15"/>
                          <w:sz w:val="52"/>
                          <w:szCs w:val="52"/>
                        </w:rPr>
                        <w:t xml:space="preserve">Iraqi </w:t>
                      </w:r>
                      <w:r>
                        <w:rPr>
                          <w:rFonts w:eastAsiaTheme="minorEastAsia" w:cs="Arial"/>
                          <w:b/>
                          <w:bCs/>
                          <w:color w:val="FFFFFF"/>
                          <w:spacing w:val="15"/>
                          <w:sz w:val="52"/>
                          <w:szCs w:val="52"/>
                        </w:rPr>
                        <w:t>High Commission for Human Rights</w:t>
                      </w:r>
                    </w:p>
                    <w:p w:rsidR="00F52795" w:rsidRPr="00B87009" w:rsidRDefault="00F52795" w:rsidP="00B87009">
                      <w:pPr>
                        <w:bidi/>
                        <w:jc w:val="center"/>
                        <w:rPr>
                          <w:rFonts w:eastAsiaTheme="minorEastAsia" w:cs="Arial"/>
                          <w:b/>
                          <w:bCs/>
                          <w:color w:val="FFFFFF"/>
                          <w:spacing w:val="15"/>
                          <w:sz w:val="52"/>
                          <w:szCs w:val="52"/>
                        </w:rPr>
                      </w:pPr>
                      <w:r>
                        <w:rPr>
                          <w:rFonts w:eastAsiaTheme="minorEastAsia" w:cs="Arial"/>
                          <w:b/>
                          <w:bCs/>
                          <w:color w:val="FFFFFF"/>
                          <w:spacing w:val="15"/>
                          <w:sz w:val="52"/>
                          <w:szCs w:val="52"/>
                        </w:rPr>
                        <w:t>IHCHR</w:t>
                      </w:r>
                      <w:r w:rsidRPr="00240345">
                        <w:rPr>
                          <w:rFonts w:eastAsiaTheme="minorEastAsia" w:cs="Arial"/>
                          <w:b/>
                          <w:bCs/>
                          <w:color w:val="FFFFFF"/>
                          <w:spacing w:val="15"/>
                          <w:sz w:val="52"/>
                          <w:szCs w:val="52"/>
                        </w:rPr>
                        <w:t xml:space="preserve">  </w:t>
                      </w:r>
                    </w:p>
                    <w:p w:rsidR="00F52795" w:rsidRPr="00240345" w:rsidRDefault="00F52795" w:rsidP="00240345">
                      <w:pPr>
                        <w:bidi/>
                        <w:rPr>
                          <w:rFonts w:eastAsiaTheme="minorEastAsia" w:cs="Arial"/>
                          <w:sz w:val="52"/>
                          <w:szCs w:val="52"/>
                        </w:rPr>
                      </w:pPr>
                    </w:p>
                  </w:txbxContent>
                </v:textbox>
              </v:rect>
            </w:pict>
          </mc:Fallback>
        </mc:AlternateContent>
      </w:r>
      <w:r w:rsidRPr="00BB405B">
        <w:rPr>
          <w:rFonts w:asciiTheme="majorBidi" w:eastAsia="Times New Roman" w:hAnsiTheme="majorBidi" w:cstheme="majorBidi"/>
          <w:b/>
          <w:bCs/>
          <w:noProof/>
          <w:sz w:val="24"/>
          <w:szCs w:val="24"/>
        </w:rPr>
        <w:drawing>
          <wp:anchor distT="0" distB="0" distL="114300" distR="114300" simplePos="0" relativeHeight="251664384" behindDoc="0" locked="0" layoutInCell="1" allowOverlap="1">
            <wp:simplePos x="0" y="0"/>
            <wp:positionH relativeFrom="column">
              <wp:posOffset>4781466</wp:posOffset>
            </wp:positionH>
            <wp:positionV relativeFrom="paragraph">
              <wp:posOffset>-681487</wp:posOffset>
            </wp:positionV>
            <wp:extent cx="1828800" cy="1699260"/>
            <wp:effectExtent l="0" t="0" r="0" b="0"/>
            <wp:wrapNone/>
            <wp:docPr id="1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Picture 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169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r w:rsidRPr="00BB405B">
        <w:rPr>
          <w:rFonts w:asciiTheme="majorBidi" w:eastAsia="Times New Roman" w:hAnsiTheme="majorBidi" w:cstheme="majorBidi"/>
          <w:b/>
          <w:bCs/>
          <w:noProof/>
          <w:sz w:val="24"/>
          <w:szCs w:val="24"/>
        </w:rPr>
        <mc:AlternateContent>
          <mc:Choice Requires="wps">
            <w:drawing>
              <wp:anchor distT="0" distB="0" distL="114300" distR="114300" simplePos="0" relativeHeight="251661312" behindDoc="0" locked="0" layoutInCell="1" allowOverlap="1">
                <wp:simplePos x="0" y="0"/>
                <wp:positionH relativeFrom="page">
                  <wp:posOffset>158750</wp:posOffset>
                </wp:positionH>
                <wp:positionV relativeFrom="page">
                  <wp:posOffset>202565</wp:posOffset>
                </wp:positionV>
                <wp:extent cx="5363210" cy="9652000"/>
                <wp:effectExtent l="0" t="0" r="8890" b="254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2000"/>
                        </a:xfrm>
                        <a:prstGeom prst="rect">
                          <a:avLst/>
                        </a:prstGeom>
                        <a:solidFill>
                          <a:srgbClr val="5B9BD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imes New Roman" w:eastAsia="Times New Roman" w:hAnsi="Times New Roman" w:cs="Times New Roman"/>
                                <w:b/>
                                <w:bCs/>
                                <w:color w:val="FFFFFF" w:themeColor="background1"/>
                                <w:sz w:val="32"/>
                                <w:szCs w:val="32"/>
                              </w:rPr>
                              <w:alias w:val="Title"/>
                              <w:id w:val="2032837536"/>
                              <w:dataBinding w:prefixMappings="xmlns:ns0='http://schemas.openxmlformats.org/package/2006/metadata/core-properties' xmlns:ns1='http://purl.org/dc/elements/1.1/'" w:xpath="/ns0:coreProperties[1]/ns1:title[1]" w:storeItemID="{6C3C8BC8-F283-45AE-878A-BAB7291924A1}"/>
                              <w:text/>
                            </w:sdtPr>
                            <w:sdtEndPr/>
                            <w:sdtContent>
                              <w:p w:rsidR="00F52795" w:rsidRPr="00F56911" w:rsidRDefault="00F52795" w:rsidP="00B87009">
                                <w:pPr>
                                  <w:pStyle w:val="Title"/>
                                  <w:jc w:val="center"/>
                                  <w:rPr>
                                    <w:caps/>
                                    <w:color w:val="FFFFFF" w:themeColor="background1"/>
                                    <w:sz w:val="144"/>
                                    <w:szCs w:val="144"/>
                                  </w:rPr>
                                </w:pPr>
                                <w:r w:rsidRPr="00F56911">
                                  <w:rPr>
                                    <w:rFonts w:ascii="Times New Roman" w:eastAsia="Times New Roman" w:hAnsi="Times New Roman" w:cs="Times New Roman"/>
                                    <w:b/>
                                    <w:bCs/>
                                    <w:color w:val="FFFFFF" w:themeColor="background1"/>
                                    <w:sz w:val="32"/>
                                    <w:szCs w:val="32"/>
                                  </w:rPr>
                                  <w:t>Report on the Extent of Iraq’s Compliance with the Provisions of the International Convention for the Protection of All Persons from Enforced Disappearance</w:t>
                                </w:r>
                              </w:p>
                            </w:sdtContent>
                          </w:sdt>
                          <w:p w:rsidR="00F52795" w:rsidRPr="00400754" w:rsidRDefault="00F52795" w:rsidP="0088201F">
                            <w:pPr>
                              <w:pStyle w:val="Title"/>
                              <w:jc w:val="center"/>
                              <w:rPr>
                                <w:caps/>
                                <w:color w:val="FFFFFF"/>
                                <w:sz w:val="80"/>
                                <w:szCs w:val="80"/>
                              </w:rPr>
                            </w:pPr>
                          </w:p>
                          <w:p w:rsidR="00F52795" w:rsidRPr="00400754" w:rsidRDefault="00F52795" w:rsidP="0088201F">
                            <w:pPr>
                              <w:spacing w:before="240"/>
                              <w:ind w:left="720"/>
                              <w:jc w:val="right"/>
                              <w:rPr>
                                <w:color w:val="FFFFFF"/>
                                <w:rtl/>
                              </w:rPr>
                            </w:pPr>
                          </w:p>
                          <w:p w:rsidR="00F52795" w:rsidRPr="00400754" w:rsidRDefault="00F52795" w:rsidP="0088201F">
                            <w:pPr>
                              <w:spacing w:before="240"/>
                              <w:ind w:left="720"/>
                              <w:jc w:val="right"/>
                              <w:rPr>
                                <w:color w:val="FFFFFF"/>
                                <w:rtl/>
                              </w:rPr>
                            </w:pPr>
                          </w:p>
                          <w:p w:rsidR="00F52795" w:rsidRPr="00400754" w:rsidRDefault="00F52795" w:rsidP="0088201F">
                            <w:pPr>
                              <w:spacing w:before="240"/>
                              <w:ind w:left="720"/>
                              <w:jc w:val="right"/>
                              <w:rPr>
                                <w:color w:val="FFFFFF"/>
                                <w:rtl/>
                              </w:rPr>
                            </w:pPr>
                          </w:p>
                          <w:p w:rsidR="00F52795" w:rsidRPr="00400754" w:rsidRDefault="00F52795" w:rsidP="0088201F">
                            <w:pPr>
                              <w:spacing w:before="240"/>
                              <w:ind w:left="1008"/>
                              <w:jc w:val="center"/>
                              <w:rPr>
                                <w:color w:val="FFFFFF"/>
                                <w:rtl/>
                              </w:rPr>
                            </w:pPr>
                          </w:p>
                          <w:p w:rsidR="00F52795" w:rsidRPr="00400754" w:rsidRDefault="00F52795" w:rsidP="0088201F">
                            <w:pPr>
                              <w:spacing w:before="240"/>
                              <w:ind w:left="1008"/>
                              <w:jc w:val="center"/>
                              <w:rPr>
                                <w:color w:val="FFFFFF"/>
                                <w:rtl/>
                              </w:rPr>
                            </w:pPr>
                          </w:p>
                          <w:p w:rsidR="00F52795" w:rsidRPr="00F15FC3" w:rsidRDefault="00F52795" w:rsidP="008853B0">
                            <w:pPr>
                              <w:spacing w:before="240"/>
                              <w:ind w:left="1008"/>
                              <w:jc w:val="center"/>
                              <w:rPr>
                                <w:color w:val="FFFFFF"/>
                                <w:sz w:val="28"/>
                                <w:szCs w:val="28"/>
                                <w:rtl/>
                              </w:rPr>
                            </w:pPr>
                            <w:r w:rsidRPr="00F15FC3">
                              <w:rPr>
                                <w:rStyle w:val="Strong"/>
                                <w:sz w:val="28"/>
                                <w:szCs w:val="28"/>
                              </w:rPr>
                              <w:t>Report Submitted to</w:t>
                            </w:r>
                            <w:r w:rsidRPr="00F15FC3">
                              <w:rPr>
                                <w:sz w:val="28"/>
                                <w:szCs w:val="28"/>
                              </w:rPr>
                              <w:br/>
                            </w:r>
                            <w:proofErr w:type="gramStart"/>
                            <w:r>
                              <w:rPr>
                                <w:rStyle w:val="Strong"/>
                                <w:sz w:val="28"/>
                                <w:szCs w:val="28"/>
                              </w:rPr>
                              <w:t>The</w:t>
                            </w:r>
                            <w:proofErr w:type="gramEnd"/>
                            <w:r>
                              <w:rPr>
                                <w:rStyle w:val="Strong"/>
                                <w:sz w:val="28"/>
                                <w:szCs w:val="28"/>
                              </w:rPr>
                              <w:t xml:space="preserve"> </w:t>
                            </w:r>
                            <w:r w:rsidR="00453284">
                              <w:rPr>
                                <w:rStyle w:val="Strong"/>
                                <w:sz w:val="28"/>
                                <w:szCs w:val="28"/>
                              </w:rPr>
                              <w:t xml:space="preserve">UN </w:t>
                            </w:r>
                            <w:bookmarkStart w:id="0" w:name="_GoBack"/>
                            <w:bookmarkEnd w:id="0"/>
                            <w:r w:rsidRPr="00F15FC3">
                              <w:rPr>
                                <w:rStyle w:val="Strong"/>
                                <w:sz w:val="28"/>
                                <w:szCs w:val="28"/>
                              </w:rPr>
                              <w:t xml:space="preserve">Committee on Enforced Disappearances </w:t>
                            </w:r>
                            <w:r w:rsidRPr="00F15FC3">
                              <w:rPr>
                                <w:sz w:val="28"/>
                                <w:szCs w:val="28"/>
                              </w:rPr>
                              <w:br/>
                            </w:r>
                            <w:r w:rsidRPr="00F15FC3">
                              <w:rPr>
                                <w:rStyle w:val="Emphasis"/>
                                <w:sz w:val="28"/>
                                <w:szCs w:val="28"/>
                              </w:rPr>
                              <w:t>(Information on the Implementation of Previous Concluding Observations)</w:t>
                            </w:r>
                          </w:p>
                          <w:p w:rsidR="00F52795" w:rsidRPr="00400754" w:rsidRDefault="00F52795" w:rsidP="0088201F">
                            <w:pPr>
                              <w:spacing w:before="240"/>
                              <w:ind w:left="1008"/>
                              <w:jc w:val="center"/>
                              <w:rPr>
                                <w:color w:val="FFFFFF"/>
                                <w:rtl/>
                              </w:rPr>
                            </w:pPr>
                          </w:p>
                          <w:p w:rsidR="00F52795" w:rsidRPr="00400754" w:rsidRDefault="00F52795" w:rsidP="0088201F">
                            <w:pPr>
                              <w:spacing w:before="240"/>
                              <w:ind w:left="1008"/>
                              <w:jc w:val="center"/>
                              <w:rPr>
                                <w:color w:val="FFFFFF"/>
                                <w:rtl/>
                              </w:rPr>
                            </w:pPr>
                          </w:p>
                          <w:p w:rsidR="00F52795" w:rsidRPr="00400754" w:rsidRDefault="00F52795" w:rsidP="0088201F">
                            <w:pPr>
                              <w:spacing w:before="240"/>
                              <w:ind w:left="1008"/>
                              <w:jc w:val="center"/>
                              <w:rPr>
                                <w:color w:val="FFFFFF"/>
                                <w:rtl/>
                              </w:rPr>
                            </w:pPr>
                          </w:p>
                          <w:p w:rsidR="00F52795" w:rsidRPr="00400754" w:rsidRDefault="00F52795" w:rsidP="0088201F">
                            <w:pPr>
                              <w:spacing w:before="240"/>
                              <w:ind w:left="1008"/>
                              <w:jc w:val="center"/>
                              <w:rPr>
                                <w:color w:val="FFFFFF"/>
                                <w:rtl/>
                              </w:rPr>
                            </w:pPr>
                          </w:p>
                          <w:p w:rsidR="00F52795" w:rsidRPr="00400754" w:rsidRDefault="00F52795" w:rsidP="0088201F">
                            <w:pPr>
                              <w:spacing w:before="240"/>
                              <w:ind w:left="1008"/>
                              <w:jc w:val="center"/>
                              <w:rPr>
                                <w:color w:val="FFFFFF"/>
                                <w:rtl/>
                              </w:rPr>
                            </w:pPr>
                          </w:p>
                          <w:p w:rsidR="00F52795" w:rsidRPr="00400754" w:rsidRDefault="00F52795" w:rsidP="0088201F">
                            <w:pPr>
                              <w:spacing w:before="240"/>
                              <w:ind w:left="1008"/>
                              <w:jc w:val="center"/>
                              <w:rPr>
                                <w:color w:val="FFFFFF"/>
                                <w:rtl/>
                              </w:rPr>
                            </w:pPr>
                          </w:p>
                          <w:p w:rsidR="00F52795" w:rsidRPr="00400754" w:rsidRDefault="00F52795" w:rsidP="00901495">
                            <w:pPr>
                              <w:spacing w:before="240"/>
                              <w:ind w:left="1008"/>
                              <w:jc w:val="center"/>
                              <w:rPr>
                                <w:b/>
                                <w:bCs/>
                                <w:color w:val="FFFFFF"/>
                                <w:sz w:val="30"/>
                                <w:szCs w:val="30"/>
                                <w:rtl/>
                              </w:rPr>
                            </w:pPr>
                            <w:r>
                              <w:rPr>
                                <w:b/>
                                <w:bCs/>
                                <w:color w:val="FFFFFF"/>
                                <w:sz w:val="30"/>
                                <w:szCs w:val="30"/>
                              </w:rPr>
                              <w:t>Baghdad - 2025</w:t>
                            </w:r>
                          </w:p>
                          <w:p w:rsidR="00F52795" w:rsidRPr="00400754" w:rsidRDefault="00F52795" w:rsidP="0088201F">
                            <w:pPr>
                              <w:spacing w:before="240"/>
                              <w:ind w:left="1008"/>
                              <w:rPr>
                                <w:b/>
                                <w:bCs/>
                                <w:color w:val="FFFFFF"/>
                                <w:sz w:val="28"/>
                                <w:szCs w:val="28"/>
                                <w:rtl/>
                              </w:rPr>
                            </w:pPr>
                          </w:p>
                          <w:p w:rsidR="00F52795" w:rsidRPr="00400754" w:rsidRDefault="00F52795" w:rsidP="0088201F">
                            <w:pPr>
                              <w:spacing w:before="240"/>
                              <w:ind w:left="1008"/>
                              <w:jc w:val="center"/>
                              <w:rPr>
                                <w:b/>
                                <w:bCs/>
                                <w:color w:val="FFFFFF"/>
                                <w:sz w:val="28"/>
                                <w:szCs w:val="28"/>
                                <w:rtl/>
                              </w:rPr>
                            </w:pPr>
                          </w:p>
                          <w:p w:rsidR="00F52795" w:rsidRPr="00400754" w:rsidRDefault="00F52795" w:rsidP="0088201F">
                            <w:pPr>
                              <w:spacing w:before="240"/>
                              <w:ind w:left="1008"/>
                              <w:jc w:val="center"/>
                              <w:rPr>
                                <w:b/>
                                <w:bCs/>
                                <w:color w:val="FFFFFF"/>
                                <w:sz w:val="28"/>
                                <w:szCs w:val="28"/>
                                <w:rtl/>
                              </w:rPr>
                            </w:pPr>
                          </w:p>
                          <w:p w:rsidR="00F52795" w:rsidRPr="00400754" w:rsidRDefault="00F52795" w:rsidP="0088201F">
                            <w:pPr>
                              <w:spacing w:before="240"/>
                              <w:ind w:left="1008"/>
                              <w:jc w:val="center"/>
                              <w:rPr>
                                <w:b/>
                                <w:bCs/>
                                <w:color w:val="FFFFFF"/>
                                <w:sz w:val="28"/>
                                <w:szCs w:val="28"/>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8" o:spid="_x0000_s1027" style="position:absolute;margin-left:12.5pt;margin-top:15.95pt;width:422.3pt;height:760pt;z-index:251661312;visibility:visible;mso-wrap-style:square;mso-width-percent:690;mso-height-percent:960;mso-wrap-distance-left:9pt;mso-wrap-distance-top:0;mso-wrap-distance-right:9pt;mso-wrap-distance-bottom:0;mso-position-horizontal:absolute;mso-position-horizontal-relative:page;mso-position-vertical:absolute;mso-position-vertical-relative:page;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" fillcolor="#5b9bd5" stroked="f">
                <v:path arrowok="t"/>
                <v:textbox inset="21.6pt,1in,21.6pt">
                  <w:txbxContent>
                    <w:sdt>
                      <w:sdtPr>
                        <w:rPr>
                          <w:rFonts w:ascii="Times New Roman" w:eastAsia="Times New Roman" w:hAnsi="Times New Roman" w:cs="Times New Roman"/>
                          <w:b/>
                          <w:bCs/>
                          <w:color w:val="FFFFFF" w:themeColor="background1"/>
                          <w:sz w:val="32"/>
                          <w:szCs w:val="32"/>
                        </w:rPr>
                        <w:alias w:val="Title"/>
                        <w:id w:val="2032837536"/>
                        <w:dataBinding w:prefixMappings="xmlns:ns0='http://schemas.openxmlformats.org/package/2006/metadata/core-properties' xmlns:ns1='http://purl.org/dc/elements/1.1/'" w:xpath="/ns0:coreProperties[1]/ns1:title[1]" w:storeItemID="{6C3C8BC8-F283-45AE-878A-BAB7291924A1}"/>
                        <w:text/>
                      </w:sdtPr>
                      <w:sdtEndPr/>
                      <w:sdtContent>
                        <w:p w:rsidR="00F52795" w:rsidRPr="00F56911" w:rsidRDefault="00F52795" w:rsidP="00B87009">
                          <w:pPr>
                            <w:pStyle w:val="Title"/>
                            <w:jc w:val="center"/>
                            <w:rPr>
                              <w:caps/>
                              <w:color w:val="FFFFFF" w:themeColor="background1"/>
                              <w:sz w:val="144"/>
                              <w:szCs w:val="144"/>
                            </w:rPr>
                          </w:pPr>
                          <w:r w:rsidRPr="00F56911">
                            <w:rPr>
                              <w:rFonts w:ascii="Times New Roman" w:eastAsia="Times New Roman" w:hAnsi="Times New Roman" w:cs="Times New Roman"/>
                              <w:b/>
                              <w:bCs/>
                              <w:color w:val="FFFFFF" w:themeColor="background1"/>
                              <w:sz w:val="32"/>
                              <w:szCs w:val="32"/>
                            </w:rPr>
                            <w:t>Report on the Extent of Iraq’s Compliance with the Provisions of the International Convention for the Protection of All Persons from Enforced Disappearance</w:t>
                          </w:r>
                        </w:p>
                      </w:sdtContent>
                    </w:sdt>
                    <w:p w:rsidR="00F52795" w:rsidRPr="00400754" w:rsidRDefault="00F52795" w:rsidP="0088201F">
                      <w:pPr>
                        <w:pStyle w:val="Title"/>
                        <w:jc w:val="center"/>
                        <w:rPr>
                          <w:caps/>
                          <w:color w:val="FFFFFF"/>
                          <w:sz w:val="80"/>
                          <w:szCs w:val="80"/>
                        </w:rPr>
                      </w:pPr>
                    </w:p>
                    <w:p w:rsidR="00F52795" w:rsidRPr="00400754" w:rsidRDefault="00F52795" w:rsidP="0088201F">
                      <w:pPr>
                        <w:spacing w:before="240"/>
                        <w:ind w:left="720"/>
                        <w:jc w:val="right"/>
                        <w:rPr>
                          <w:color w:val="FFFFFF"/>
                          <w:rtl/>
                        </w:rPr>
                      </w:pPr>
                    </w:p>
                    <w:p w:rsidR="00F52795" w:rsidRPr="00400754" w:rsidRDefault="00F52795" w:rsidP="0088201F">
                      <w:pPr>
                        <w:spacing w:before="240"/>
                        <w:ind w:left="720"/>
                        <w:jc w:val="right"/>
                        <w:rPr>
                          <w:color w:val="FFFFFF"/>
                          <w:rtl/>
                        </w:rPr>
                      </w:pPr>
                    </w:p>
                    <w:p w:rsidR="00F52795" w:rsidRPr="00400754" w:rsidRDefault="00F52795" w:rsidP="0088201F">
                      <w:pPr>
                        <w:spacing w:before="240"/>
                        <w:ind w:left="720"/>
                        <w:jc w:val="right"/>
                        <w:rPr>
                          <w:color w:val="FFFFFF"/>
                          <w:rtl/>
                        </w:rPr>
                      </w:pPr>
                    </w:p>
                    <w:p w:rsidR="00F52795" w:rsidRPr="00400754" w:rsidRDefault="00F52795" w:rsidP="0088201F">
                      <w:pPr>
                        <w:spacing w:before="240"/>
                        <w:ind w:left="1008"/>
                        <w:jc w:val="center"/>
                        <w:rPr>
                          <w:color w:val="FFFFFF"/>
                          <w:rtl/>
                        </w:rPr>
                      </w:pPr>
                    </w:p>
                    <w:p w:rsidR="00F52795" w:rsidRPr="00400754" w:rsidRDefault="00F52795" w:rsidP="0088201F">
                      <w:pPr>
                        <w:spacing w:before="240"/>
                        <w:ind w:left="1008"/>
                        <w:jc w:val="center"/>
                        <w:rPr>
                          <w:color w:val="FFFFFF"/>
                          <w:rtl/>
                        </w:rPr>
                      </w:pPr>
                    </w:p>
                    <w:p w:rsidR="00F52795" w:rsidRPr="00F15FC3" w:rsidRDefault="00F52795" w:rsidP="008853B0">
                      <w:pPr>
                        <w:spacing w:before="240"/>
                        <w:ind w:left="1008"/>
                        <w:jc w:val="center"/>
                        <w:rPr>
                          <w:color w:val="FFFFFF"/>
                          <w:sz w:val="28"/>
                          <w:szCs w:val="28"/>
                          <w:rtl/>
                        </w:rPr>
                      </w:pPr>
                      <w:r w:rsidRPr="00F15FC3">
                        <w:rPr>
                          <w:rStyle w:val="Strong"/>
                          <w:sz w:val="28"/>
                          <w:szCs w:val="28"/>
                        </w:rPr>
                        <w:t>Report Submitted to</w:t>
                      </w:r>
                      <w:r w:rsidRPr="00F15FC3">
                        <w:rPr>
                          <w:sz w:val="28"/>
                          <w:szCs w:val="28"/>
                        </w:rPr>
                        <w:br/>
                      </w:r>
                      <w:proofErr w:type="gramStart"/>
                      <w:r>
                        <w:rPr>
                          <w:rStyle w:val="Strong"/>
                          <w:sz w:val="28"/>
                          <w:szCs w:val="28"/>
                        </w:rPr>
                        <w:t>The</w:t>
                      </w:r>
                      <w:proofErr w:type="gramEnd"/>
                      <w:r>
                        <w:rPr>
                          <w:rStyle w:val="Strong"/>
                          <w:sz w:val="28"/>
                          <w:szCs w:val="28"/>
                        </w:rPr>
                        <w:t xml:space="preserve"> </w:t>
                      </w:r>
                      <w:r w:rsidR="00453284">
                        <w:rPr>
                          <w:rStyle w:val="Strong"/>
                          <w:sz w:val="28"/>
                          <w:szCs w:val="28"/>
                        </w:rPr>
                        <w:t xml:space="preserve">UN </w:t>
                      </w:r>
                      <w:bookmarkStart w:id="1" w:name="_GoBack"/>
                      <w:bookmarkEnd w:id="1"/>
                      <w:r w:rsidRPr="00F15FC3">
                        <w:rPr>
                          <w:rStyle w:val="Strong"/>
                          <w:sz w:val="28"/>
                          <w:szCs w:val="28"/>
                        </w:rPr>
                        <w:t xml:space="preserve">Committee on Enforced Disappearances </w:t>
                      </w:r>
                      <w:r w:rsidRPr="00F15FC3">
                        <w:rPr>
                          <w:sz w:val="28"/>
                          <w:szCs w:val="28"/>
                        </w:rPr>
                        <w:br/>
                      </w:r>
                      <w:r w:rsidRPr="00F15FC3">
                        <w:rPr>
                          <w:rStyle w:val="Emphasis"/>
                          <w:sz w:val="28"/>
                          <w:szCs w:val="28"/>
                        </w:rPr>
                        <w:t>(Information on the Implementation of Previous Concluding Observations)</w:t>
                      </w:r>
                    </w:p>
                    <w:p w:rsidR="00F52795" w:rsidRPr="00400754" w:rsidRDefault="00F52795" w:rsidP="0088201F">
                      <w:pPr>
                        <w:spacing w:before="240"/>
                        <w:ind w:left="1008"/>
                        <w:jc w:val="center"/>
                        <w:rPr>
                          <w:color w:val="FFFFFF"/>
                          <w:rtl/>
                        </w:rPr>
                      </w:pPr>
                    </w:p>
                    <w:p w:rsidR="00F52795" w:rsidRPr="00400754" w:rsidRDefault="00F52795" w:rsidP="0088201F">
                      <w:pPr>
                        <w:spacing w:before="240"/>
                        <w:ind w:left="1008"/>
                        <w:jc w:val="center"/>
                        <w:rPr>
                          <w:color w:val="FFFFFF"/>
                          <w:rtl/>
                        </w:rPr>
                      </w:pPr>
                    </w:p>
                    <w:p w:rsidR="00F52795" w:rsidRPr="00400754" w:rsidRDefault="00F52795" w:rsidP="0088201F">
                      <w:pPr>
                        <w:spacing w:before="240"/>
                        <w:ind w:left="1008"/>
                        <w:jc w:val="center"/>
                        <w:rPr>
                          <w:color w:val="FFFFFF"/>
                          <w:rtl/>
                        </w:rPr>
                      </w:pPr>
                    </w:p>
                    <w:p w:rsidR="00F52795" w:rsidRPr="00400754" w:rsidRDefault="00F52795" w:rsidP="0088201F">
                      <w:pPr>
                        <w:spacing w:before="240"/>
                        <w:ind w:left="1008"/>
                        <w:jc w:val="center"/>
                        <w:rPr>
                          <w:color w:val="FFFFFF"/>
                          <w:rtl/>
                        </w:rPr>
                      </w:pPr>
                    </w:p>
                    <w:p w:rsidR="00F52795" w:rsidRPr="00400754" w:rsidRDefault="00F52795" w:rsidP="0088201F">
                      <w:pPr>
                        <w:spacing w:before="240"/>
                        <w:ind w:left="1008"/>
                        <w:jc w:val="center"/>
                        <w:rPr>
                          <w:color w:val="FFFFFF"/>
                          <w:rtl/>
                        </w:rPr>
                      </w:pPr>
                    </w:p>
                    <w:p w:rsidR="00F52795" w:rsidRPr="00400754" w:rsidRDefault="00F52795" w:rsidP="0088201F">
                      <w:pPr>
                        <w:spacing w:before="240"/>
                        <w:ind w:left="1008"/>
                        <w:jc w:val="center"/>
                        <w:rPr>
                          <w:color w:val="FFFFFF"/>
                          <w:rtl/>
                        </w:rPr>
                      </w:pPr>
                    </w:p>
                    <w:p w:rsidR="00F52795" w:rsidRPr="00400754" w:rsidRDefault="00F52795" w:rsidP="00901495">
                      <w:pPr>
                        <w:spacing w:before="240"/>
                        <w:ind w:left="1008"/>
                        <w:jc w:val="center"/>
                        <w:rPr>
                          <w:b/>
                          <w:bCs/>
                          <w:color w:val="FFFFFF"/>
                          <w:sz w:val="30"/>
                          <w:szCs w:val="30"/>
                          <w:rtl/>
                        </w:rPr>
                      </w:pPr>
                      <w:r>
                        <w:rPr>
                          <w:b/>
                          <w:bCs/>
                          <w:color w:val="FFFFFF"/>
                          <w:sz w:val="30"/>
                          <w:szCs w:val="30"/>
                        </w:rPr>
                        <w:t>Baghdad - 2025</w:t>
                      </w:r>
                    </w:p>
                    <w:p w:rsidR="00F52795" w:rsidRPr="00400754" w:rsidRDefault="00F52795" w:rsidP="0088201F">
                      <w:pPr>
                        <w:spacing w:before="240"/>
                        <w:ind w:left="1008"/>
                        <w:rPr>
                          <w:b/>
                          <w:bCs/>
                          <w:color w:val="FFFFFF"/>
                          <w:sz w:val="28"/>
                          <w:szCs w:val="28"/>
                          <w:rtl/>
                        </w:rPr>
                      </w:pPr>
                    </w:p>
                    <w:p w:rsidR="00F52795" w:rsidRPr="00400754" w:rsidRDefault="00F52795" w:rsidP="0088201F">
                      <w:pPr>
                        <w:spacing w:before="240"/>
                        <w:ind w:left="1008"/>
                        <w:jc w:val="center"/>
                        <w:rPr>
                          <w:b/>
                          <w:bCs/>
                          <w:color w:val="FFFFFF"/>
                          <w:sz w:val="28"/>
                          <w:szCs w:val="28"/>
                          <w:rtl/>
                        </w:rPr>
                      </w:pPr>
                    </w:p>
                    <w:p w:rsidR="00F52795" w:rsidRPr="00400754" w:rsidRDefault="00F52795" w:rsidP="0088201F">
                      <w:pPr>
                        <w:spacing w:before="240"/>
                        <w:ind w:left="1008"/>
                        <w:jc w:val="center"/>
                        <w:rPr>
                          <w:b/>
                          <w:bCs/>
                          <w:color w:val="FFFFFF"/>
                          <w:sz w:val="28"/>
                          <w:szCs w:val="28"/>
                          <w:rtl/>
                        </w:rPr>
                      </w:pPr>
                    </w:p>
                    <w:p w:rsidR="00F52795" w:rsidRPr="00400754" w:rsidRDefault="00F52795" w:rsidP="0088201F">
                      <w:pPr>
                        <w:spacing w:before="240"/>
                        <w:ind w:left="1008"/>
                        <w:jc w:val="center"/>
                        <w:rPr>
                          <w:b/>
                          <w:bCs/>
                          <w:color w:val="FFFFFF"/>
                          <w:sz w:val="28"/>
                          <w:szCs w:val="28"/>
                        </w:rPr>
                      </w:pPr>
                    </w:p>
                  </w:txbxContent>
                </v:textbox>
                <w10:wrap anchorx="page" anchory="page"/>
              </v:rect>
            </w:pict>
          </mc:Fallback>
        </mc:AlternateContent>
      </w: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Pr>
      </w:pPr>
    </w:p>
    <w:p w:rsidR="0088201F" w:rsidRPr="00BB405B" w:rsidRDefault="0088201F" w:rsidP="006642FC">
      <w:pPr>
        <w:spacing w:before="100" w:beforeAutospacing="1" w:after="100" w:afterAutospacing="1" w:line="240" w:lineRule="auto"/>
        <w:rPr>
          <w:rFonts w:asciiTheme="majorBidi" w:eastAsia="Times New Roman" w:hAnsiTheme="majorBidi" w:cstheme="majorBidi"/>
          <w:b/>
          <w:bCs/>
          <w:sz w:val="24"/>
          <w:szCs w:val="24"/>
          <w:rtl/>
        </w:rPr>
      </w:pPr>
    </w:p>
    <w:p w:rsidR="00FC0D53" w:rsidRPr="00BB405B" w:rsidRDefault="00FC0D53" w:rsidP="006642FC">
      <w:pPr>
        <w:spacing w:before="100" w:beforeAutospacing="1" w:after="100" w:afterAutospacing="1" w:line="240" w:lineRule="auto"/>
        <w:rPr>
          <w:rFonts w:asciiTheme="majorBidi" w:eastAsia="Times New Roman" w:hAnsiTheme="majorBidi" w:cstheme="majorBidi"/>
          <w:b/>
          <w:bCs/>
          <w:sz w:val="24"/>
          <w:szCs w:val="24"/>
          <w:rtl/>
        </w:rPr>
      </w:pPr>
    </w:p>
    <w:p w:rsidR="00FC0D53" w:rsidRPr="00BB405B" w:rsidRDefault="00FC0D53" w:rsidP="006642FC">
      <w:pPr>
        <w:spacing w:before="100" w:beforeAutospacing="1" w:after="100" w:afterAutospacing="1" w:line="240" w:lineRule="auto"/>
        <w:rPr>
          <w:rFonts w:asciiTheme="majorBidi" w:eastAsia="Times New Roman" w:hAnsiTheme="majorBidi" w:cstheme="majorBidi"/>
          <w:b/>
          <w:bCs/>
          <w:sz w:val="24"/>
          <w:szCs w:val="24"/>
          <w:rtl/>
        </w:rPr>
      </w:pPr>
    </w:p>
    <w:sdt>
      <w:sdtPr>
        <w:id w:val="2080640790"/>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5E3801" w:rsidRPr="005E3801" w:rsidRDefault="005E3801">
          <w:pPr>
            <w:pStyle w:val="TOCHeading"/>
            <w:rPr>
              <w:b/>
              <w:bCs/>
            </w:rPr>
          </w:pPr>
          <w:r w:rsidRPr="005E3801">
            <w:rPr>
              <w:b/>
              <w:bCs/>
            </w:rPr>
            <w:t>Contents</w:t>
          </w:r>
        </w:p>
        <w:p w:rsidR="005E3801" w:rsidRPr="005E3801" w:rsidRDefault="005E3801" w:rsidP="005E3801"/>
        <w:p w:rsidR="005E3801" w:rsidRDefault="005E3801">
          <w:pPr>
            <w:pStyle w:val="TOC1"/>
            <w:tabs>
              <w:tab w:val="right" w:leader="dot" w:pos="9350"/>
            </w:tabs>
            <w:rPr>
              <w:rFonts w:cstheme="minorBidi"/>
              <w:noProof/>
            </w:rPr>
          </w:pPr>
          <w:r>
            <w:rPr>
              <w:b/>
              <w:bCs/>
              <w:noProof/>
            </w:rPr>
            <w:fldChar w:fldCharType="begin"/>
          </w:r>
          <w:r>
            <w:rPr>
              <w:b/>
              <w:bCs/>
              <w:noProof/>
            </w:rPr>
            <w:instrText xml:space="preserve"> TOC \o "1-3" \h \z \u </w:instrText>
          </w:r>
          <w:r>
            <w:rPr>
              <w:b/>
              <w:bCs/>
              <w:noProof/>
            </w:rPr>
            <w:fldChar w:fldCharType="separate"/>
          </w:r>
          <w:hyperlink w:anchor="_Toc202559454" w:history="1">
            <w:r w:rsidRPr="00820885">
              <w:rPr>
                <w:rStyle w:val="Hyperlink"/>
                <w:rFonts w:asciiTheme="majorBidi" w:eastAsia="Times New Roman" w:hAnsiTheme="majorBidi"/>
                <w:b/>
                <w:bCs/>
                <w:noProof/>
              </w:rPr>
              <w:t>Introduction</w:t>
            </w:r>
            <w:r>
              <w:rPr>
                <w:noProof/>
                <w:webHidden/>
              </w:rPr>
              <w:tab/>
            </w:r>
            <w:r>
              <w:rPr>
                <w:noProof/>
                <w:webHidden/>
              </w:rPr>
              <w:fldChar w:fldCharType="begin"/>
            </w:r>
            <w:r>
              <w:rPr>
                <w:noProof/>
                <w:webHidden/>
              </w:rPr>
              <w:instrText xml:space="preserve"> PAGEREF _Toc202559454 \h </w:instrText>
            </w:r>
            <w:r>
              <w:rPr>
                <w:noProof/>
                <w:webHidden/>
              </w:rPr>
            </w:r>
            <w:r>
              <w:rPr>
                <w:noProof/>
                <w:webHidden/>
              </w:rPr>
              <w:fldChar w:fldCharType="separate"/>
            </w:r>
            <w:r w:rsidR="007E6AE6">
              <w:rPr>
                <w:noProof/>
                <w:webHidden/>
              </w:rPr>
              <w:t>2</w:t>
            </w:r>
            <w:r>
              <w:rPr>
                <w:noProof/>
                <w:webHidden/>
              </w:rPr>
              <w:fldChar w:fldCharType="end"/>
            </w:r>
          </w:hyperlink>
        </w:p>
        <w:p w:rsidR="005E3801" w:rsidRDefault="005E3801">
          <w:pPr>
            <w:pStyle w:val="TOC1"/>
            <w:tabs>
              <w:tab w:val="right" w:leader="dot" w:pos="9350"/>
            </w:tabs>
            <w:rPr>
              <w:rFonts w:cstheme="minorBidi"/>
              <w:noProof/>
            </w:rPr>
          </w:pPr>
          <w:hyperlink w:anchor="_Toc202559455" w:history="1">
            <w:r w:rsidRPr="00820885">
              <w:rPr>
                <w:rStyle w:val="Hyperlink"/>
                <w:rFonts w:asciiTheme="majorBidi" w:eastAsia="Times New Roman" w:hAnsiTheme="majorBidi"/>
                <w:b/>
                <w:bCs/>
                <w:noProof/>
              </w:rPr>
              <w:t>I. Establishment of a Nationwide Database of Missing Persons</w:t>
            </w:r>
            <w:r>
              <w:rPr>
                <w:noProof/>
                <w:webHidden/>
              </w:rPr>
              <w:tab/>
            </w:r>
            <w:r>
              <w:rPr>
                <w:noProof/>
                <w:webHidden/>
              </w:rPr>
              <w:fldChar w:fldCharType="begin"/>
            </w:r>
            <w:r>
              <w:rPr>
                <w:noProof/>
                <w:webHidden/>
              </w:rPr>
              <w:instrText xml:space="preserve"> PAGEREF _Toc202559455 \h </w:instrText>
            </w:r>
            <w:r>
              <w:rPr>
                <w:noProof/>
                <w:webHidden/>
              </w:rPr>
            </w:r>
            <w:r>
              <w:rPr>
                <w:noProof/>
                <w:webHidden/>
              </w:rPr>
              <w:fldChar w:fldCharType="separate"/>
            </w:r>
            <w:r w:rsidR="007E6AE6">
              <w:rPr>
                <w:noProof/>
                <w:webHidden/>
              </w:rPr>
              <w:t>3</w:t>
            </w:r>
            <w:r>
              <w:rPr>
                <w:noProof/>
                <w:webHidden/>
              </w:rPr>
              <w:fldChar w:fldCharType="end"/>
            </w:r>
          </w:hyperlink>
        </w:p>
        <w:p w:rsidR="005E3801" w:rsidRDefault="005E3801">
          <w:pPr>
            <w:pStyle w:val="TOC2"/>
            <w:tabs>
              <w:tab w:val="right" w:leader="dot" w:pos="9350"/>
            </w:tabs>
            <w:rPr>
              <w:rFonts w:cstheme="minorBidi"/>
              <w:noProof/>
            </w:rPr>
          </w:pPr>
          <w:hyperlink w:anchor="_Toc202559456" w:history="1">
            <w:r w:rsidRPr="00820885">
              <w:rPr>
                <w:rStyle w:val="Hyperlink"/>
                <w:rFonts w:asciiTheme="majorBidi" w:eastAsia="Times New Roman" w:hAnsiTheme="majorBidi"/>
                <w:b/>
                <w:bCs/>
                <w:noProof/>
              </w:rPr>
              <w:t>Recommendations:</w:t>
            </w:r>
            <w:r>
              <w:rPr>
                <w:noProof/>
                <w:webHidden/>
              </w:rPr>
              <w:tab/>
            </w:r>
            <w:r>
              <w:rPr>
                <w:noProof/>
                <w:webHidden/>
              </w:rPr>
              <w:fldChar w:fldCharType="begin"/>
            </w:r>
            <w:r>
              <w:rPr>
                <w:noProof/>
                <w:webHidden/>
              </w:rPr>
              <w:instrText xml:space="preserve"> PAGEREF _Toc202559456 \h </w:instrText>
            </w:r>
            <w:r>
              <w:rPr>
                <w:noProof/>
                <w:webHidden/>
              </w:rPr>
            </w:r>
            <w:r>
              <w:rPr>
                <w:noProof/>
                <w:webHidden/>
              </w:rPr>
              <w:fldChar w:fldCharType="separate"/>
            </w:r>
            <w:r w:rsidR="007E6AE6">
              <w:rPr>
                <w:noProof/>
                <w:webHidden/>
              </w:rPr>
              <w:t>4</w:t>
            </w:r>
            <w:r>
              <w:rPr>
                <w:noProof/>
                <w:webHidden/>
              </w:rPr>
              <w:fldChar w:fldCharType="end"/>
            </w:r>
          </w:hyperlink>
        </w:p>
        <w:p w:rsidR="005E3801" w:rsidRDefault="005E3801">
          <w:pPr>
            <w:pStyle w:val="TOC1"/>
            <w:tabs>
              <w:tab w:val="right" w:leader="dot" w:pos="9350"/>
            </w:tabs>
            <w:rPr>
              <w:rFonts w:cstheme="minorBidi"/>
              <w:noProof/>
            </w:rPr>
          </w:pPr>
          <w:hyperlink w:anchor="_Toc202559457" w:history="1">
            <w:r w:rsidRPr="00820885">
              <w:rPr>
                <w:rStyle w:val="Hyperlink"/>
                <w:rFonts w:asciiTheme="majorBidi" w:eastAsia="Times New Roman" w:hAnsiTheme="majorBidi"/>
                <w:b/>
                <w:bCs/>
                <w:noProof/>
              </w:rPr>
              <w:t>II. Definition of Enforced Disappearance and Appropriate Penalties</w:t>
            </w:r>
            <w:r>
              <w:rPr>
                <w:noProof/>
                <w:webHidden/>
              </w:rPr>
              <w:tab/>
            </w:r>
            <w:r>
              <w:rPr>
                <w:noProof/>
                <w:webHidden/>
              </w:rPr>
              <w:fldChar w:fldCharType="begin"/>
            </w:r>
            <w:r>
              <w:rPr>
                <w:noProof/>
                <w:webHidden/>
              </w:rPr>
              <w:instrText xml:space="preserve"> PAGEREF _Toc202559457 \h </w:instrText>
            </w:r>
            <w:r>
              <w:rPr>
                <w:noProof/>
                <w:webHidden/>
              </w:rPr>
            </w:r>
            <w:r>
              <w:rPr>
                <w:noProof/>
                <w:webHidden/>
              </w:rPr>
              <w:fldChar w:fldCharType="separate"/>
            </w:r>
            <w:r w:rsidR="007E6AE6">
              <w:rPr>
                <w:noProof/>
                <w:webHidden/>
              </w:rPr>
              <w:t>4</w:t>
            </w:r>
            <w:r>
              <w:rPr>
                <w:noProof/>
                <w:webHidden/>
              </w:rPr>
              <w:fldChar w:fldCharType="end"/>
            </w:r>
          </w:hyperlink>
        </w:p>
        <w:p w:rsidR="005E3801" w:rsidRDefault="005E3801">
          <w:pPr>
            <w:pStyle w:val="TOC2"/>
            <w:tabs>
              <w:tab w:val="right" w:leader="dot" w:pos="9350"/>
            </w:tabs>
            <w:rPr>
              <w:rFonts w:cstheme="minorBidi"/>
              <w:noProof/>
            </w:rPr>
          </w:pPr>
          <w:hyperlink w:anchor="_Toc202559458" w:history="1">
            <w:r w:rsidRPr="00820885">
              <w:rPr>
                <w:rStyle w:val="Hyperlink"/>
                <w:rFonts w:asciiTheme="majorBidi" w:eastAsia="Times New Roman" w:hAnsiTheme="majorBidi"/>
                <w:b/>
                <w:bCs/>
                <w:noProof/>
              </w:rPr>
              <w:t>Recommendations:</w:t>
            </w:r>
            <w:r>
              <w:rPr>
                <w:noProof/>
                <w:webHidden/>
              </w:rPr>
              <w:tab/>
            </w:r>
            <w:r>
              <w:rPr>
                <w:noProof/>
                <w:webHidden/>
              </w:rPr>
              <w:fldChar w:fldCharType="begin"/>
            </w:r>
            <w:r>
              <w:rPr>
                <w:noProof/>
                <w:webHidden/>
              </w:rPr>
              <w:instrText xml:space="preserve"> PAGEREF _Toc202559458 \h </w:instrText>
            </w:r>
            <w:r>
              <w:rPr>
                <w:noProof/>
                <w:webHidden/>
              </w:rPr>
            </w:r>
            <w:r>
              <w:rPr>
                <w:noProof/>
                <w:webHidden/>
              </w:rPr>
              <w:fldChar w:fldCharType="separate"/>
            </w:r>
            <w:r w:rsidR="007E6AE6">
              <w:rPr>
                <w:noProof/>
                <w:webHidden/>
              </w:rPr>
              <w:t>5</w:t>
            </w:r>
            <w:r>
              <w:rPr>
                <w:noProof/>
                <w:webHidden/>
              </w:rPr>
              <w:fldChar w:fldCharType="end"/>
            </w:r>
          </w:hyperlink>
        </w:p>
        <w:p w:rsidR="005E3801" w:rsidRDefault="005E3801">
          <w:pPr>
            <w:pStyle w:val="TOC1"/>
            <w:tabs>
              <w:tab w:val="right" w:leader="dot" w:pos="9350"/>
            </w:tabs>
            <w:rPr>
              <w:rFonts w:cstheme="minorBidi"/>
              <w:noProof/>
            </w:rPr>
          </w:pPr>
          <w:hyperlink w:anchor="_Toc202559459" w:history="1">
            <w:r w:rsidRPr="00820885">
              <w:rPr>
                <w:rStyle w:val="Hyperlink"/>
                <w:rFonts w:asciiTheme="majorBidi" w:eastAsia="Times New Roman" w:hAnsiTheme="majorBidi"/>
                <w:b/>
                <w:bCs/>
                <w:noProof/>
              </w:rPr>
              <w:t>III. Acts Committed by the So-Called Islamic State in Iraq and the Levant (ISIL) and Affiliated Groups</w:t>
            </w:r>
            <w:r>
              <w:rPr>
                <w:noProof/>
                <w:webHidden/>
              </w:rPr>
              <w:tab/>
            </w:r>
            <w:r>
              <w:rPr>
                <w:noProof/>
                <w:webHidden/>
              </w:rPr>
              <w:fldChar w:fldCharType="begin"/>
            </w:r>
            <w:r>
              <w:rPr>
                <w:noProof/>
                <w:webHidden/>
              </w:rPr>
              <w:instrText xml:space="preserve"> PAGEREF _Toc202559459 \h </w:instrText>
            </w:r>
            <w:r>
              <w:rPr>
                <w:noProof/>
                <w:webHidden/>
              </w:rPr>
            </w:r>
            <w:r>
              <w:rPr>
                <w:noProof/>
                <w:webHidden/>
              </w:rPr>
              <w:fldChar w:fldCharType="separate"/>
            </w:r>
            <w:r w:rsidR="007E6AE6">
              <w:rPr>
                <w:noProof/>
                <w:webHidden/>
              </w:rPr>
              <w:t>5</w:t>
            </w:r>
            <w:r>
              <w:rPr>
                <w:noProof/>
                <w:webHidden/>
              </w:rPr>
              <w:fldChar w:fldCharType="end"/>
            </w:r>
          </w:hyperlink>
        </w:p>
        <w:p w:rsidR="005E3801" w:rsidRDefault="005E3801">
          <w:pPr>
            <w:pStyle w:val="TOC2"/>
            <w:tabs>
              <w:tab w:val="right" w:leader="dot" w:pos="9350"/>
            </w:tabs>
            <w:rPr>
              <w:rFonts w:cstheme="minorBidi"/>
              <w:noProof/>
            </w:rPr>
          </w:pPr>
          <w:hyperlink w:anchor="_Toc202559460" w:history="1">
            <w:r w:rsidRPr="00820885">
              <w:rPr>
                <w:rStyle w:val="Hyperlink"/>
                <w:rFonts w:asciiTheme="majorBidi" w:eastAsia="Times New Roman" w:hAnsiTheme="majorBidi"/>
                <w:b/>
                <w:bCs/>
                <w:noProof/>
              </w:rPr>
              <w:t>Recommendations:</w:t>
            </w:r>
            <w:r>
              <w:rPr>
                <w:noProof/>
                <w:webHidden/>
              </w:rPr>
              <w:tab/>
            </w:r>
            <w:r>
              <w:rPr>
                <w:noProof/>
                <w:webHidden/>
              </w:rPr>
              <w:fldChar w:fldCharType="begin"/>
            </w:r>
            <w:r>
              <w:rPr>
                <w:noProof/>
                <w:webHidden/>
              </w:rPr>
              <w:instrText xml:space="preserve"> PAGEREF _Toc202559460 \h </w:instrText>
            </w:r>
            <w:r>
              <w:rPr>
                <w:noProof/>
                <w:webHidden/>
              </w:rPr>
            </w:r>
            <w:r>
              <w:rPr>
                <w:noProof/>
                <w:webHidden/>
              </w:rPr>
              <w:fldChar w:fldCharType="separate"/>
            </w:r>
            <w:r w:rsidR="007E6AE6">
              <w:rPr>
                <w:noProof/>
                <w:webHidden/>
              </w:rPr>
              <w:t>6</w:t>
            </w:r>
            <w:r>
              <w:rPr>
                <w:noProof/>
                <w:webHidden/>
              </w:rPr>
              <w:fldChar w:fldCharType="end"/>
            </w:r>
          </w:hyperlink>
        </w:p>
        <w:p w:rsidR="005E3801" w:rsidRDefault="005E3801">
          <w:pPr>
            <w:pStyle w:val="TOC1"/>
            <w:tabs>
              <w:tab w:val="right" w:leader="dot" w:pos="9350"/>
            </w:tabs>
            <w:rPr>
              <w:rFonts w:cstheme="minorBidi"/>
              <w:noProof/>
            </w:rPr>
          </w:pPr>
          <w:hyperlink w:anchor="_Toc202559461" w:history="1">
            <w:r w:rsidRPr="00820885">
              <w:rPr>
                <w:rStyle w:val="Hyperlink"/>
                <w:rFonts w:asciiTheme="majorBidi" w:eastAsia="Times New Roman" w:hAnsiTheme="majorBidi"/>
                <w:b/>
                <w:bCs/>
                <w:noProof/>
              </w:rPr>
              <w:t>IV. Criminal Responsibility of Superiors and Due Obedience</w:t>
            </w:r>
            <w:r>
              <w:rPr>
                <w:noProof/>
                <w:webHidden/>
              </w:rPr>
              <w:tab/>
            </w:r>
            <w:r>
              <w:rPr>
                <w:noProof/>
                <w:webHidden/>
              </w:rPr>
              <w:fldChar w:fldCharType="begin"/>
            </w:r>
            <w:r>
              <w:rPr>
                <w:noProof/>
                <w:webHidden/>
              </w:rPr>
              <w:instrText xml:space="preserve"> PAGEREF _Toc202559461 \h </w:instrText>
            </w:r>
            <w:r>
              <w:rPr>
                <w:noProof/>
                <w:webHidden/>
              </w:rPr>
            </w:r>
            <w:r>
              <w:rPr>
                <w:noProof/>
                <w:webHidden/>
              </w:rPr>
              <w:fldChar w:fldCharType="separate"/>
            </w:r>
            <w:r w:rsidR="007E6AE6">
              <w:rPr>
                <w:noProof/>
                <w:webHidden/>
              </w:rPr>
              <w:t>6</w:t>
            </w:r>
            <w:r>
              <w:rPr>
                <w:noProof/>
                <w:webHidden/>
              </w:rPr>
              <w:fldChar w:fldCharType="end"/>
            </w:r>
          </w:hyperlink>
        </w:p>
        <w:p w:rsidR="005E3801" w:rsidRDefault="005E3801">
          <w:pPr>
            <w:pStyle w:val="TOC2"/>
            <w:tabs>
              <w:tab w:val="right" w:leader="dot" w:pos="9350"/>
            </w:tabs>
            <w:rPr>
              <w:rFonts w:cstheme="minorBidi"/>
              <w:noProof/>
            </w:rPr>
          </w:pPr>
          <w:hyperlink w:anchor="_Toc202559462" w:history="1">
            <w:r w:rsidRPr="00820885">
              <w:rPr>
                <w:rStyle w:val="Hyperlink"/>
                <w:rFonts w:asciiTheme="majorBidi" w:eastAsia="Times New Roman" w:hAnsiTheme="majorBidi"/>
                <w:b/>
                <w:bCs/>
                <w:noProof/>
              </w:rPr>
              <w:t>Recommendations:</w:t>
            </w:r>
            <w:r>
              <w:rPr>
                <w:noProof/>
                <w:webHidden/>
              </w:rPr>
              <w:tab/>
            </w:r>
            <w:r>
              <w:rPr>
                <w:noProof/>
                <w:webHidden/>
              </w:rPr>
              <w:fldChar w:fldCharType="begin"/>
            </w:r>
            <w:r>
              <w:rPr>
                <w:noProof/>
                <w:webHidden/>
              </w:rPr>
              <w:instrText xml:space="preserve"> PAGEREF _Toc202559462 \h </w:instrText>
            </w:r>
            <w:r>
              <w:rPr>
                <w:noProof/>
                <w:webHidden/>
              </w:rPr>
            </w:r>
            <w:r>
              <w:rPr>
                <w:noProof/>
                <w:webHidden/>
              </w:rPr>
              <w:fldChar w:fldCharType="separate"/>
            </w:r>
            <w:r w:rsidR="007E6AE6">
              <w:rPr>
                <w:noProof/>
                <w:webHidden/>
              </w:rPr>
              <w:t>7</w:t>
            </w:r>
            <w:r>
              <w:rPr>
                <w:noProof/>
                <w:webHidden/>
              </w:rPr>
              <w:fldChar w:fldCharType="end"/>
            </w:r>
          </w:hyperlink>
        </w:p>
        <w:p w:rsidR="005E3801" w:rsidRDefault="005E3801">
          <w:pPr>
            <w:pStyle w:val="TOC1"/>
            <w:tabs>
              <w:tab w:val="right" w:leader="dot" w:pos="9350"/>
            </w:tabs>
            <w:rPr>
              <w:rFonts w:cstheme="minorBidi"/>
              <w:noProof/>
            </w:rPr>
          </w:pPr>
          <w:hyperlink w:anchor="_Toc202559463" w:history="1">
            <w:r w:rsidRPr="00820885">
              <w:rPr>
                <w:rStyle w:val="Hyperlink"/>
                <w:rFonts w:asciiTheme="majorBidi" w:eastAsia="Times New Roman" w:hAnsiTheme="majorBidi"/>
                <w:b/>
                <w:bCs/>
                <w:noProof/>
              </w:rPr>
              <w:t>V. Measures Taken by the State to Prevent Enforced Disappearance, Locate Disappeared Persons, and Protect Complainants and Persons Involved in the Investigation</w:t>
            </w:r>
            <w:r>
              <w:rPr>
                <w:noProof/>
                <w:webHidden/>
              </w:rPr>
              <w:tab/>
            </w:r>
            <w:r>
              <w:rPr>
                <w:noProof/>
                <w:webHidden/>
              </w:rPr>
              <w:fldChar w:fldCharType="begin"/>
            </w:r>
            <w:r>
              <w:rPr>
                <w:noProof/>
                <w:webHidden/>
              </w:rPr>
              <w:instrText xml:space="preserve"> PAGEREF _Toc202559463 \h </w:instrText>
            </w:r>
            <w:r>
              <w:rPr>
                <w:noProof/>
                <w:webHidden/>
              </w:rPr>
            </w:r>
            <w:r>
              <w:rPr>
                <w:noProof/>
                <w:webHidden/>
              </w:rPr>
              <w:fldChar w:fldCharType="separate"/>
            </w:r>
            <w:r w:rsidR="007E6AE6">
              <w:rPr>
                <w:noProof/>
                <w:webHidden/>
              </w:rPr>
              <w:t>7</w:t>
            </w:r>
            <w:r>
              <w:rPr>
                <w:noProof/>
                <w:webHidden/>
              </w:rPr>
              <w:fldChar w:fldCharType="end"/>
            </w:r>
          </w:hyperlink>
        </w:p>
        <w:p w:rsidR="005E3801" w:rsidRDefault="005E3801">
          <w:pPr>
            <w:pStyle w:val="TOC2"/>
            <w:tabs>
              <w:tab w:val="right" w:leader="dot" w:pos="9350"/>
            </w:tabs>
            <w:rPr>
              <w:rFonts w:cstheme="minorBidi"/>
              <w:noProof/>
            </w:rPr>
          </w:pPr>
          <w:hyperlink w:anchor="_Toc202559464" w:history="1">
            <w:r w:rsidRPr="00820885">
              <w:rPr>
                <w:rStyle w:val="Hyperlink"/>
                <w:rFonts w:asciiTheme="majorBidi" w:eastAsia="Times New Roman" w:hAnsiTheme="majorBidi"/>
                <w:b/>
                <w:bCs/>
                <w:noProof/>
              </w:rPr>
              <w:t>Recommendations:</w:t>
            </w:r>
            <w:r>
              <w:rPr>
                <w:noProof/>
                <w:webHidden/>
              </w:rPr>
              <w:tab/>
            </w:r>
            <w:r>
              <w:rPr>
                <w:noProof/>
                <w:webHidden/>
              </w:rPr>
              <w:fldChar w:fldCharType="begin"/>
            </w:r>
            <w:r>
              <w:rPr>
                <w:noProof/>
                <w:webHidden/>
              </w:rPr>
              <w:instrText xml:space="preserve"> PAGEREF _Toc202559464 \h </w:instrText>
            </w:r>
            <w:r>
              <w:rPr>
                <w:noProof/>
                <w:webHidden/>
              </w:rPr>
            </w:r>
            <w:r>
              <w:rPr>
                <w:noProof/>
                <w:webHidden/>
              </w:rPr>
              <w:fldChar w:fldCharType="separate"/>
            </w:r>
            <w:r w:rsidR="007E6AE6">
              <w:rPr>
                <w:noProof/>
                <w:webHidden/>
              </w:rPr>
              <w:t>10</w:t>
            </w:r>
            <w:r>
              <w:rPr>
                <w:noProof/>
                <w:webHidden/>
              </w:rPr>
              <w:fldChar w:fldCharType="end"/>
            </w:r>
          </w:hyperlink>
        </w:p>
        <w:p w:rsidR="005E3801" w:rsidRDefault="005E3801">
          <w:pPr>
            <w:pStyle w:val="TOC1"/>
            <w:tabs>
              <w:tab w:val="right" w:leader="dot" w:pos="9350"/>
            </w:tabs>
            <w:rPr>
              <w:rFonts w:cstheme="minorBidi"/>
              <w:noProof/>
            </w:rPr>
          </w:pPr>
          <w:hyperlink w:anchor="_Toc202559465" w:history="1">
            <w:r w:rsidRPr="00820885">
              <w:rPr>
                <w:rStyle w:val="Hyperlink"/>
                <w:rFonts w:asciiTheme="majorBidi" w:eastAsia="Times New Roman" w:hAnsiTheme="majorBidi"/>
                <w:b/>
                <w:bCs/>
                <w:noProof/>
              </w:rPr>
              <w:t>VI. Reporting and Investigation of Enforced Disappearance Cases</w:t>
            </w:r>
            <w:r>
              <w:rPr>
                <w:noProof/>
                <w:webHidden/>
              </w:rPr>
              <w:tab/>
            </w:r>
            <w:r>
              <w:rPr>
                <w:noProof/>
                <w:webHidden/>
              </w:rPr>
              <w:fldChar w:fldCharType="begin"/>
            </w:r>
            <w:r>
              <w:rPr>
                <w:noProof/>
                <w:webHidden/>
              </w:rPr>
              <w:instrText xml:space="preserve"> PAGEREF _Toc202559465 \h </w:instrText>
            </w:r>
            <w:r>
              <w:rPr>
                <w:noProof/>
                <w:webHidden/>
              </w:rPr>
            </w:r>
            <w:r>
              <w:rPr>
                <w:noProof/>
                <w:webHidden/>
              </w:rPr>
              <w:fldChar w:fldCharType="separate"/>
            </w:r>
            <w:r w:rsidR="007E6AE6">
              <w:rPr>
                <w:noProof/>
                <w:webHidden/>
              </w:rPr>
              <w:t>12</w:t>
            </w:r>
            <w:r>
              <w:rPr>
                <w:noProof/>
                <w:webHidden/>
              </w:rPr>
              <w:fldChar w:fldCharType="end"/>
            </w:r>
          </w:hyperlink>
        </w:p>
        <w:p w:rsidR="005E3801" w:rsidRDefault="005E3801">
          <w:pPr>
            <w:pStyle w:val="TOC2"/>
            <w:tabs>
              <w:tab w:val="right" w:leader="dot" w:pos="9350"/>
            </w:tabs>
            <w:rPr>
              <w:rFonts w:cstheme="minorBidi"/>
              <w:noProof/>
            </w:rPr>
          </w:pPr>
          <w:hyperlink w:anchor="_Toc202559466" w:history="1">
            <w:r w:rsidRPr="00820885">
              <w:rPr>
                <w:rStyle w:val="Hyperlink"/>
                <w:rFonts w:asciiTheme="majorBidi" w:eastAsia="Times New Roman" w:hAnsiTheme="majorBidi"/>
                <w:b/>
                <w:bCs/>
                <w:noProof/>
              </w:rPr>
              <w:t>Recommendations:</w:t>
            </w:r>
            <w:r>
              <w:rPr>
                <w:noProof/>
                <w:webHidden/>
              </w:rPr>
              <w:tab/>
            </w:r>
            <w:r>
              <w:rPr>
                <w:noProof/>
                <w:webHidden/>
              </w:rPr>
              <w:fldChar w:fldCharType="begin"/>
            </w:r>
            <w:r>
              <w:rPr>
                <w:noProof/>
                <w:webHidden/>
              </w:rPr>
              <w:instrText xml:space="preserve"> PAGEREF _Toc202559466 \h </w:instrText>
            </w:r>
            <w:r>
              <w:rPr>
                <w:noProof/>
                <w:webHidden/>
              </w:rPr>
            </w:r>
            <w:r>
              <w:rPr>
                <w:noProof/>
                <w:webHidden/>
              </w:rPr>
              <w:fldChar w:fldCharType="separate"/>
            </w:r>
            <w:r w:rsidR="007E6AE6">
              <w:rPr>
                <w:noProof/>
                <w:webHidden/>
              </w:rPr>
              <w:t>14</w:t>
            </w:r>
            <w:r>
              <w:rPr>
                <w:noProof/>
                <w:webHidden/>
              </w:rPr>
              <w:fldChar w:fldCharType="end"/>
            </w:r>
          </w:hyperlink>
        </w:p>
        <w:p w:rsidR="005E3801" w:rsidRDefault="005E3801">
          <w:pPr>
            <w:pStyle w:val="TOC1"/>
            <w:tabs>
              <w:tab w:val="right" w:leader="dot" w:pos="9350"/>
            </w:tabs>
            <w:rPr>
              <w:rFonts w:cstheme="minorBidi"/>
              <w:noProof/>
            </w:rPr>
          </w:pPr>
          <w:hyperlink w:anchor="_Toc202559467" w:history="1">
            <w:r w:rsidRPr="00820885">
              <w:rPr>
                <w:rStyle w:val="Hyperlink"/>
                <w:rFonts w:asciiTheme="majorBidi" w:hAnsiTheme="majorBidi"/>
                <w:b/>
                <w:bCs/>
                <w:noProof/>
              </w:rPr>
              <w:t>VII. Secret Detention</w:t>
            </w:r>
            <w:r>
              <w:rPr>
                <w:noProof/>
                <w:webHidden/>
              </w:rPr>
              <w:tab/>
            </w:r>
            <w:r>
              <w:rPr>
                <w:noProof/>
                <w:webHidden/>
              </w:rPr>
              <w:fldChar w:fldCharType="begin"/>
            </w:r>
            <w:r>
              <w:rPr>
                <w:noProof/>
                <w:webHidden/>
              </w:rPr>
              <w:instrText xml:space="preserve"> PAGEREF _Toc202559467 \h </w:instrText>
            </w:r>
            <w:r>
              <w:rPr>
                <w:noProof/>
                <w:webHidden/>
              </w:rPr>
            </w:r>
            <w:r>
              <w:rPr>
                <w:noProof/>
                <w:webHidden/>
              </w:rPr>
              <w:fldChar w:fldCharType="separate"/>
            </w:r>
            <w:r w:rsidR="007E6AE6">
              <w:rPr>
                <w:noProof/>
                <w:webHidden/>
              </w:rPr>
              <w:t>15</w:t>
            </w:r>
            <w:r>
              <w:rPr>
                <w:noProof/>
                <w:webHidden/>
              </w:rPr>
              <w:fldChar w:fldCharType="end"/>
            </w:r>
          </w:hyperlink>
        </w:p>
        <w:p w:rsidR="005E3801" w:rsidRDefault="005E3801">
          <w:pPr>
            <w:pStyle w:val="TOC2"/>
            <w:tabs>
              <w:tab w:val="right" w:leader="dot" w:pos="9350"/>
            </w:tabs>
            <w:rPr>
              <w:rFonts w:cstheme="minorBidi"/>
              <w:noProof/>
            </w:rPr>
          </w:pPr>
          <w:hyperlink w:anchor="_Toc202559468" w:history="1">
            <w:r w:rsidRPr="00820885">
              <w:rPr>
                <w:rStyle w:val="Hyperlink"/>
                <w:rFonts w:asciiTheme="majorBidi" w:hAnsiTheme="majorBidi"/>
                <w:b/>
                <w:bCs/>
                <w:noProof/>
              </w:rPr>
              <w:t>Recommendations:</w:t>
            </w:r>
            <w:r>
              <w:rPr>
                <w:noProof/>
                <w:webHidden/>
              </w:rPr>
              <w:tab/>
            </w:r>
            <w:r>
              <w:rPr>
                <w:noProof/>
                <w:webHidden/>
              </w:rPr>
              <w:fldChar w:fldCharType="begin"/>
            </w:r>
            <w:r>
              <w:rPr>
                <w:noProof/>
                <w:webHidden/>
              </w:rPr>
              <w:instrText xml:space="preserve"> PAGEREF _Toc202559468 \h </w:instrText>
            </w:r>
            <w:r>
              <w:rPr>
                <w:noProof/>
                <w:webHidden/>
              </w:rPr>
            </w:r>
            <w:r>
              <w:rPr>
                <w:noProof/>
                <w:webHidden/>
              </w:rPr>
              <w:fldChar w:fldCharType="separate"/>
            </w:r>
            <w:r w:rsidR="007E6AE6">
              <w:rPr>
                <w:noProof/>
                <w:webHidden/>
              </w:rPr>
              <w:t>16</w:t>
            </w:r>
            <w:r>
              <w:rPr>
                <w:noProof/>
                <w:webHidden/>
              </w:rPr>
              <w:fldChar w:fldCharType="end"/>
            </w:r>
          </w:hyperlink>
        </w:p>
        <w:p w:rsidR="005E3801" w:rsidRDefault="005E3801">
          <w:pPr>
            <w:pStyle w:val="TOC1"/>
            <w:tabs>
              <w:tab w:val="right" w:leader="dot" w:pos="9350"/>
            </w:tabs>
            <w:rPr>
              <w:rFonts w:cstheme="minorBidi"/>
              <w:noProof/>
            </w:rPr>
          </w:pPr>
          <w:hyperlink w:anchor="_Toc202559469" w:history="1">
            <w:r w:rsidRPr="00820885">
              <w:rPr>
                <w:rStyle w:val="Hyperlink"/>
                <w:rFonts w:asciiTheme="majorBidi" w:eastAsia="Times New Roman" w:hAnsiTheme="majorBidi"/>
                <w:b/>
                <w:bCs/>
                <w:noProof/>
              </w:rPr>
              <w:t>VIII. Definition of Victims and Reparations</w:t>
            </w:r>
            <w:r>
              <w:rPr>
                <w:noProof/>
                <w:webHidden/>
              </w:rPr>
              <w:tab/>
            </w:r>
            <w:r>
              <w:rPr>
                <w:noProof/>
                <w:webHidden/>
              </w:rPr>
              <w:fldChar w:fldCharType="begin"/>
            </w:r>
            <w:r>
              <w:rPr>
                <w:noProof/>
                <w:webHidden/>
              </w:rPr>
              <w:instrText xml:space="preserve"> PAGEREF _Toc202559469 \h </w:instrText>
            </w:r>
            <w:r>
              <w:rPr>
                <w:noProof/>
                <w:webHidden/>
              </w:rPr>
            </w:r>
            <w:r>
              <w:rPr>
                <w:noProof/>
                <w:webHidden/>
              </w:rPr>
              <w:fldChar w:fldCharType="separate"/>
            </w:r>
            <w:r w:rsidR="007E6AE6">
              <w:rPr>
                <w:noProof/>
                <w:webHidden/>
              </w:rPr>
              <w:t>17</w:t>
            </w:r>
            <w:r>
              <w:rPr>
                <w:noProof/>
                <w:webHidden/>
              </w:rPr>
              <w:fldChar w:fldCharType="end"/>
            </w:r>
          </w:hyperlink>
        </w:p>
        <w:p w:rsidR="005E3801" w:rsidRDefault="005E3801">
          <w:pPr>
            <w:pStyle w:val="TOC2"/>
            <w:tabs>
              <w:tab w:val="right" w:leader="dot" w:pos="9350"/>
            </w:tabs>
            <w:rPr>
              <w:rFonts w:cstheme="minorBidi"/>
              <w:noProof/>
            </w:rPr>
          </w:pPr>
          <w:hyperlink w:anchor="_Toc202559470" w:history="1">
            <w:r w:rsidRPr="00820885">
              <w:rPr>
                <w:rStyle w:val="Hyperlink"/>
                <w:rFonts w:asciiTheme="majorBidi" w:eastAsia="Times New Roman" w:hAnsiTheme="majorBidi"/>
                <w:b/>
                <w:bCs/>
                <w:noProof/>
              </w:rPr>
              <w:t>Recommendations:</w:t>
            </w:r>
            <w:r>
              <w:rPr>
                <w:noProof/>
                <w:webHidden/>
              </w:rPr>
              <w:tab/>
            </w:r>
            <w:r>
              <w:rPr>
                <w:noProof/>
                <w:webHidden/>
              </w:rPr>
              <w:fldChar w:fldCharType="begin"/>
            </w:r>
            <w:r>
              <w:rPr>
                <w:noProof/>
                <w:webHidden/>
              </w:rPr>
              <w:instrText xml:space="preserve"> PAGEREF _Toc202559470 \h </w:instrText>
            </w:r>
            <w:r>
              <w:rPr>
                <w:noProof/>
                <w:webHidden/>
              </w:rPr>
            </w:r>
            <w:r>
              <w:rPr>
                <w:noProof/>
                <w:webHidden/>
              </w:rPr>
              <w:fldChar w:fldCharType="separate"/>
            </w:r>
            <w:r w:rsidR="007E6AE6">
              <w:rPr>
                <w:noProof/>
                <w:webHidden/>
              </w:rPr>
              <w:t>17</w:t>
            </w:r>
            <w:r>
              <w:rPr>
                <w:noProof/>
                <w:webHidden/>
              </w:rPr>
              <w:fldChar w:fldCharType="end"/>
            </w:r>
          </w:hyperlink>
        </w:p>
        <w:p w:rsidR="005E3801" w:rsidRDefault="005E3801">
          <w:r>
            <w:rPr>
              <w:b/>
              <w:bCs/>
              <w:noProof/>
            </w:rPr>
            <w:fldChar w:fldCharType="end"/>
          </w:r>
        </w:p>
      </w:sdtContent>
    </w:sdt>
    <w:p w:rsidR="00F0345E" w:rsidRDefault="00F0345E"/>
    <w:p w:rsidR="00BB405B" w:rsidRPr="00BB405B" w:rsidRDefault="00BB405B" w:rsidP="006642FC">
      <w:pPr>
        <w:spacing w:before="100" w:beforeAutospacing="1" w:after="100" w:afterAutospacing="1" w:line="240" w:lineRule="auto"/>
        <w:rPr>
          <w:rFonts w:asciiTheme="majorBidi" w:eastAsia="Times New Roman" w:hAnsiTheme="majorBidi" w:cstheme="majorBidi"/>
          <w:b/>
          <w:bCs/>
          <w:sz w:val="24"/>
          <w:szCs w:val="24"/>
        </w:rPr>
      </w:pPr>
    </w:p>
    <w:p w:rsidR="00BB405B" w:rsidRPr="00BB405B" w:rsidRDefault="00BB405B" w:rsidP="006642FC">
      <w:pPr>
        <w:spacing w:before="100" w:beforeAutospacing="1" w:after="100" w:afterAutospacing="1" w:line="240" w:lineRule="auto"/>
        <w:rPr>
          <w:rFonts w:asciiTheme="majorBidi" w:eastAsia="Times New Roman" w:hAnsiTheme="majorBidi" w:cstheme="majorBidi"/>
          <w:b/>
          <w:bCs/>
          <w:sz w:val="24"/>
          <w:szCs w:val="24"/>
        </w:rPr>
      </w:pPr>
    </w:p>
    <w:p w:rsidR="00BB405B" w:rsidRPr="00BB405B" w:rsidRDefault="00BB405B" w:rsidP="006642FC">
      <w:pPr>
        <w:spacing w:before="100" w:beforeAutospacing="1" w:after="100" w:afterAutospacing="1" w:line="240" w:lineRule="auto"/>
        <w:rPr>
          <w:rFonts w:asciiTheme="majorBidi" w:eastAsia="Times New Roman" w:hAnsiTheme="majorBidi" w:cstheme="majorBidi"/>
          <w:b/>
          <w:bCs/>
          <w:sz w:val="24"/>
          <w:szCs w:val="24"/>
        </w:rPr>
      </w:pPr>
    </w:p>
    <w:p w:rsidR="00BB405B" w:rsidRPr="00BB405B" w:rsidRDefault="00BB405B" w:rsidP="006642FC">
      <w:pPr>
        <w:spacing w:before="100" w:beforeAutospacing="1" w:after="100" w:afterAutospacing="1" w:line="240" w:lineRule="auto"/>
        <w:rPr>
          <w:rFonts w:asciiTheme="majorBidi" w:eastAsia="Times New Roman" w:hAnsiTheme="majorBidi" w:cstheme="majorBidi"/>
          <w:b/>
          <w:bCs/>
          <w:sz w:val="24"/>
          <w:szCs w:val="24"/>
        </w:rPr>
      </w:pPr>
    </w:p>
    <w:p w:rsidR="00BB405B" w:rsidRPr="00BB405B" w:rsidRDefault="00BB405B" w:rsidP="006642FC">
      <w:pPr>
        <w:spacing w:before="100" w:beforeAutospacing="1" w:after="100" w:afterAutospacing="1" w:line="240" w:lineRule="auto"/>
        <w:rPr>
          <w:rFonts w:asciiTheme="majorBidi" w:eastAsia="Times New Roman" w:hAnsiTheme="majorBidi" w:cstheme="majorBidi"/>
          <w:b/>
          <w:bCs/>
          <w:sz w:val="24"/>
          <w:szCs w:val="24"/>
        </w:rPr>
      </w:pPr>
    </w:p>
    <w:p w:rsidR="00BB405B" w:rsidRPr="00BB405B" w:rsidRDefault="00BB405B" w:rsidP="006642FC">
      <w:pPr>
        <w:spacing w:before="100" w:beforeAutospacing="1" w:after="100" w:afterAutospacing="1" w:line="240" w:lineRule="auto"/>
        <w:rPr>
          <w:rFonts w:asciiTheme="majorBidi" w:eastAsia="Times New Roman" w:hAnsiTheme="majorBidi" w:cstheme="majorBidi"/>
          <w:b/>
          <w:bCs/>
          <w:sz w:val="24"/>
          <w:szCs w:val="24"/>
        </w:rPr>
      </w:pPr>
    </w:p>
    <w:p w:rsidR="00BB405B" w:rsidRPr="00BB405B" w:rsidRDefault="00BB405B" w:rsidP="006642FC">
      <w:pPr>
        <w:spacing w:before="100" w:beforeAutospacing="1" w:after="100" w:afterAutospacing="1" w:line="240" w:lineRule="auto"/>
        <w:rPr>
          <w:rFonts w:asciiTheme="majorBidi" w:eastAsia="Times New Roman" w:hAnsiTheme="majorBidi" w:cstheme="majorBidi"/>
          <w:b/>
          <w:bCs/>
          <w:sz w:val="24"/>
          <w:szCs w:val="24"/>
        </w:rPr>
      </w:pPr>
    </w:p>
    <w:p w:rsidR="00C107C6" w:rsidRPr="00380E3B" w:rsidRDefault="00C107C6" w:rsidP="00380E3B">
      <w:pPr>
        <w:pStyle w:val="Heading1"/>
        <w:rPr>
          <w:rFonts w:asciiTheme="majorBidi" w:eastAsia="Times New Roman" w:hAnsiTheme="majorBidi"/>
          <w:b/>
          <w:bCs/>
          <w:sz w:val="24"/>
          <w:szCs w:val="24"/>
        </w:rPr>
      </w:pPr>
      <w:bookmarkStart w:id="2" w:name="_Toc202559273"/>
      <w:bookmarkStart w:id="3" w:name="_Toc202559454"/>
      <w:r w:rsidRPr="00380E3B">
        <w:rPr>
          <w:rFonts w:asciiTheme="majorBidi" w:eastAsia="Times New Roman" w:hAnsiTheme="majorBidi"/>
          <w:b/>
          <w:bCs/>
          <w:sz w:val="24"/>
          <w:szCs w:val="24"/>
        </w:rPr>
        <w:lastRenderedPageBreak/>
        <w:t>Introduction</w:t>
      </w:r>
      <w:bookmarkEnd w:id="2"/>
      <w:bookmarkEnd w:id="3"/>
    </w:p>
    <w:p w:rsidR="00C107C6" w:rsidRPr="00BB405B" w:rsidRDefault="00C107C6" w:rsidP="00B23627">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The Iraqi High Commission for Human Rights (IHCHR) was established purs</w:t>
      </w:r>
      <w:r w:rsidR="00B23627">
        <w:rPr>
          <w:rFonts w:asciiTheme="majorBidi" w:eastAsia="Times New Roman" w:hAnsiTheme="majorBidi" w:cstheme="majorBidi"/>
          <w:sz w:val="24"/>
          <w:szCs w:val="24"/>
        </w:rPr>
        <w:t xml:space="preserve">uant to Law No. (53) </w:t>
      </w:r>
      <w:proofErr w:type="gramStart"/>
      <w:r w:rsidR="00B23627">
        <w:rPr>
          <w:rFonts w:asciiTheme="majorBidi" w:eastAsia="Times New Roman" w:hAnsiTheme="majorBidi" w:cstheme="majorBidi"/>
          <w:sz w:val="24"/>
          <w:szCs w:val="24"/>
        </w:rPr>
        <w:t>of</w:t>
      </w:r>
      <w:proofErr w:type="gramEnd"/>
      <w:r w:rsidR="00B23627">
        <w:rPr>
          <w:rFonts w:asciiTheme="majorBidi" w:eastAsia="Times New Roman" w:hAnsiTheme="majorBidi" w:cstheme="majorBidi"/>
          <w:sz w:val="24"/>
          <w:szCs w:val="24"/>
        </w:rPr>
        <w:t xml:space="preserve"> 2008</w:t>
      </w:r>
      <w:r w:rsidRPr="00BB405B">
        <w:rPr>
          <w:rFonts w:asciiTheme="majorBidi" w:eastAsia="Times New Roman" w:hAnsiTheme="majorBidi" w:cstheme="majorBidi"/>
          <w:sz w:val="24"/>
          <w:szCs w:val="24"/>
        </w:rPr>
        <w:t xml:space="preserve"> amended, in implementation of Article (102) of the Iraqi Constitution of 2005. Its members were selected and voted in by the Council of Re</w:t>
      </w:r>
      <w:r w:rsidR="004A355D">
        <w:rPr>
          <w:rFonts w:asciiTheme="majorBidi" w:eastAsia="Times New Roman" w:hAnsiTheme="majorBidi" w:cstheme="majorBidi"/>
          <w:sz w:val="24"/>
          <w:szCs w:val="24"/>
        </w:rPr>
        <w:t>presentatives on 9 April 2012</w:t>
      </w:r>
      <w:r w:rsidRPr="00BB405B">
        <w:rPr>
          <w:rFonts w:asciiTheme="majorBidi" w:eastAsia="Times New Roman" w:hAnsiTheme="majorBidi" w:cstheme="majorBidi"/>
          <w:sz w:val="24"/>
          <w:szCs w:val="24"/>
        </w:rPr>
        <w:t>, thereby becoming the first national human rights institution in the history of Iraq.</w:t>
      </w:r>
    </w:p>
    <w:p w:rsidR="00C107C6" w:rsidRPr="00BB405B" w:rsidRDefault="00C107C6" w:rsidP="00EC4B3D">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 xml:space="preserve">Under its founding law, the Commission has been entrusted with several mandates, foremost of which is ensuring the respect for and promotion of human rights as stipulated in the Constitution, national legislation, and international </w:t>
      </w:r>
      <w:r w:rsidR="00EC4B3D">
        <w:rPr>
          <w:rFonts w:asciiTheme="majorBidi" w:eastAsia="Times New Roman" w:hAnsiTheme="majorBidi" w:cstheme="majorBidi"/>
          <w:sz w:val="24"/>
          <w:szCs w:val="24"/>
        </w:rPr>
        <w:t>conventions</w:t>
      </w:r>
      <w:r w:rsidRPr="00BB405B">
        <w:rPr>
          <w:rFonts w:asciiTheme="majorBidi" w:eastAsia="Times New Roman" w:hAnsiTheme="majorBidi" w:cstheme="majorBidi"/>
          <w:sz w:val="24"/>
          <w:szCs w:val="24"/>
        </w:rPr>
        <w:t xml:space="preserve"> ratified by Iraq. The law authorizes the Commission to receive complaints from individuals, groups, and civil society organizations regarding human rights violations, whether prior or subsequent to its entry into force. It is also empowered to conduct preliminary investigations and refer related cases to the Public Prosecution.</w:t>
      </w:r>
    </w:p>
    <w:p w:rsidR="00C107C6" w:rsidRPr="00BB405B" w:rsidRDefault="00C107C6" w:rsidP="00BB405B">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The Commission expresses its appreciation to the Committee on Enforced Disappearances for its efforts in monitoring the implementation of the Convention for the Protection of All Persons from Enforced Disappearance. Believing in the importance of this mechanism, the Commission submits this report containing its key observations and views regarding the extent of implementation of the International Convention for the Protection of All Persons from Enforced Disappearance in Iraq, in light of the Committee’s concluding observations. The report also includes updated and specific information on the measures taken to implement the previous recommendations.</w:t>
      </w:r>
    </w:p>
    <w:p w:rsidR="00C107C6" w:rsidRDefault="00C107C6" w:rsidP="00BB405B">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 xml:space="preserve">It is worth noting that the Commission has previously submitted three reports to your esteemed Committee in earlier sessions: </w:t>
      </w:r>
      <w:r w:rsidR="00734EE7">
        <w:rPr>
          <w:rFonts w:asciiTheme="majorBidi" w:eastAsia="Times New Roman" w:hAnsiTheme="majorBidi" w:cstheme="majorBidi"/>
          <w:sz w:val="24"/>
          <w:szCs w:val="24"/>
        </w:rPr>
        <w:t>(</w:t>
      </w:r>
      <w:r w:rsidRPr="00BB405B">
        <w:rPr>
          <w:rFonts w:asciiTheme="majorBidi" w:eastAsia="Times New Roman" w:hAnsiTheme="majorBidi" w:cstheme="majorBidi"/>
          <w:sz w:val="24"/>
          <w:szCs w:val="24"/>
        </w:rPr>
        <w:t>a report for the 2015 session, a report on the list of issues for 2015, an</w:t>
      </w:r>
      <w:r w:rsidR="00734EE7">
        <w:rPr>
          <w:rFonts w:asciiTheme="majorBidi" w:eastAsia="Times New Roman" w:hAnsiTheme="majorBidi" w:cstheme="majorBidi"/>
          <w:sz w:val="24"/>
          <w:szCs w:val="24"/>
        </w:rPr>
        <w:t>d a report for the 2020 session)</w:t>
      </w:r>
      <w:r w:rsidR="00734EE7">
        <w:rPr>
          <w:rStyle w:val="FootnoteReference"/>
          <w:rFonts w:asciiTheme="majorBidi" w:eastAsia="Times New Roman" w:hAnsiTheme="majorBidi" w:cstheme="majorBidi"/>
          <w:sz w:val="24"/>
          <w:szCs w:val="24"/>
        </w:rPr>
        <w:footnoteReference w:id="1"/>
      </w:r>
    </w:p>
    <w:p w:rsidR="00E777EF" w:rsidRPr="00BB405B" w:rsidRDefault="00E777EF" w:rsidP="00BB405B">
      <w:pPr>
        <w:spacing w:before="100" w:beforeAutospacing="1" w:after="100" w:afterAutospacing="1" w:line="240" w:lineRule="auto"/>
        <w:jc w:val="both"/>
        <w:rPr>
          <w:rFonts w:asciiTheme="majorBidi" w:eastAsia="Times New Roman" w:hAnsiTheme="majorBidi" w:cstheme="majorBidi"/>
          <w:sz w:val="24"/>
          <w:szCs w:val="24"/>
          <w:lang w:bidi="ar-IQ"/>
        </w:rPr>
      </w:pPr>
    </w:p>
    <w:p w:rsidR="00C107C6" w:rsidRDefault="00C107C6"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Default="000800FC" w:rsidP="00BB405B">
      <w:pPr>
        <w:spacing w:after="0" w:line="240" w:lineRule="auto"/>
        <w:jc w:val="both"/>
        <w:rPr>
          <w:rFonts w:asciiTheme="majorBidi" w:eastAsia="Times New Roman" w:hAnsiTheme="majorBidi" w:cstheme="majorBidi"/>
          <w:sz w:val="24"/>
          <w:szCs w:val="24"/>
        </w:rPr>
      </w:pPr>
    </w:p>
    <w:p w:rsidR="000800FC" w:rsidRPr="00BB405B" w:rsidRDefault="000800FC" w:rsidP="00BB405B">
      <w:pPr>
        <w:spacing w:after="0" w:line="240" w:lineRule="auto"/>
        <w:jc w:val="both"/>
        <w:rPr>
          <w:rFonts w:asciiTheme="majorBidi" w:eastAsia="Times New Roman" w:hAnsiTheme="majorBidi" w:cstheme="majorBidi"/>
          <w:sz w:val="24"/>
          <w:szCs w:val="24"/>
        </w:rPr>
      </w:pPr>
    </w:p>
    <w:p w:rsidR="00C107C6" w:rsidRPr="00380E3B" w:rsidRDefault="00C107C6" w:rsidP="00380E3B">
      <w:pPr>
        <w:pStyle w:val="Heading1"/>
        <w:rPr>
          <w:rFonts w:asciiTheme="majorBidi" w:eastAsia="Times New Roman" w:hAnsiTheme="majorBidi"/>
          <w:b/>
          <w:bCs/>
          <w:sz w:val="24"/>
          <w:szCs w:val="24"/>
        </w:rPr>
      </w:pPr>
      <w:bookmarkStart w:id="4" w:name="_Toc202559274"/>
      <w:bookmarkStart w:id="5" w:name="_Toc202559455"/>
      <w:r w:rsidRPr="00380E3B">
        <w:rPr>
          <w:rFonts w:asciiTheme="majorBidi" w:eastAsia="Times New Roman" w:hAnsiTheme="majorBidi"/>
          <w:b/>
          <w:bCs/>
          <w:sz w:val="24"/>
          <w:szCs w:val="24"/>
        </w:rPr>
        <w:lastRenderedPageBreak/>
        <w:t>I. Esta</w:t>
      </w:r>
      <w:r w:rsidR="00EC63FC" w:rsidRPr="00380E3B">
        <w:rPr>
          <w:rFonts w:asciiTheme="majorBidi" w:eastAsia="Times New Roman" w:hAnsiTheme="majorBidi"/>
          <w:b/>
          <w:bCs/>
          <w:sz w:val="24"/>
          <w:szCs w:val="24"/>
        </w:rPr>
        <w:t>blishment of a Nationwide Database</w:t>
      </w:r>
      <w:r w:rsidRPr="00380E3B">
        <w:rPr>
          <w:rFonts w:asciiTheme="majorBidi" w:eastAsia="Times New Roman" w:hAnsiTheme="majorBidi"/>
          <w:b/>
          <w:bCs/>
          <w:sz w:val="24"/>
          <w:szCs w:val="24"/>
        </w:rPr>
        <w:t xml:space="preserve"> of Missing Persons</w:t>
      </w:r>
      <w:bookmarkEnd w:id="4"/>
      <w:bookmarkEnd w:id="5"/>
    </w:p>
    <w:p w:rsidR="00C107C6" w:rsidRPr="00BB405B" w:rsidRDefault="00C107C6" w:rsidP="0016273F">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Despite measures taken by the Government to respond to the recommendation concerning the est</w:t>
      </w:r>
      <w:r w:rsidR="00753297">
        <w:rPr>
          <w:rFonts w:asciiTheme="majorBidi" w:eastAsia="Times New Roman" w:hAnsiTheme="majorBidi" w:cstheme="majorBidi"/>
          <w:sz w:val="24"/>
          <w:szCs w:val="24"/>
        </w:rPr>
        <w:t>ablishment of a unified nationwide</w:t>
      </w:r>
      <w:r w:rsidRPr="00BB405B">
        <w:rPr>
          <w:rFonts w:asciiTheme="majorBidi" w:eastAsia="Times New Roman" w:hAnsiTheme="majorBidi" w:cstheme="majorBidi"/>
          <w:sz w:val="24"/>
          <w:szCs w:val="24"/>
        </w:rPr>
        <w:t xml:space="preserve"> database for all </w:t>
      </w:r>
      <w:r w:rsidR="002360E3">
        <w:rPr>
          <w:rFonts w:asciiTheme="majorBidi" w:eastAsia="Times New Roman" w:hAnsiTheme="majorBidi" w:cstheme="majorBidi"/>
          <w:sz w:val="24"/>
          <w:szCs w:val="24"/>
        </w:rPr>
        <w:t xml:space="preserve">cases of enforced disappearance, </w:t>
      </w:r>
      <w:r w:rsidRPr="00BB405B">
        <w:rPr>
          <w:rFonts w:asciiTheme="majorBidi" w:eastAsia="Times New Roman" w:hAnsiTheme="majorBidi" w:cstheme="majorBidi"/>
          <w:sz w:val="24"/>
          <w:szCs w:val="24"/>
        </w:rPr>
        <w:t xml:space="preserve">through the Human Rights Department at the Ministry of Justice and the formation of a National Committee on Missing Persons composed of most relevant ministerial entities, including a representative of the Kurdistan Regional Government and a representative of the </w:t>
      </w:r>
      <w:r w:rsidR="004C1068">
        <w:rPr>
          <w:rFonts w:asciiTheme="majorBidi" w:eastAsia="Times New Roman" w:hAnsiTheme="majorBidi" w:cstheme="majorBidi"/>
          <w:sz w:val="24"/>
          <w:szCs w:val="24"/>
        </w:rPr>
        <w:t>IHCHR</w:t>
      </w:r>
      <w:r w:rsidRPr="00BB405B">
        <w:rPr>
          <w:rFonts w:asciiTheme="majorBidi" w:eastAsia="Times New Roman" w:hAnsiTheme="majorBidi" w:cstheme="majorBidi"/>
          <w:sz w:val="24"/>
          <w:szCs w:val="24"/>
        </w:rPr>
        <w:t>, and tasked with</w:t>
      </w:r>
      <w:r w:rsidR="0016273F">
        <w:rPr>
          <w:rFonts w:asciiTheme="majorBidi" w:eastAsia="Times New Roman" w:hAnsiTheme="majorBidi" w:cstheme="majorBidi"/>
          <w:sz w:val="24"/>
          <w:szCs w:val="24"/>
        </w:rPr>
        <w:t xml:space="preserve"> establishing a unified nationwide</w:t>
      </w:r>
      <w:r w:rsidRPr="00BB405B">
        <w:rPr>
          <w:rFonts w:asciiTheme="majorBidi" w:eastAsia="Times New Roman" w:hAnsiTheme="majorBidi" w:cstheme="majorBidi"/>
          <w:sz w:val="24"/>
          <w:szCs w:val="24"/>
        </w:rPr>
        <w:t xml:space="preserve"> </w:t>
      </w:r>
      <w:r w:rsidR="0016273F">
        <w:rPr>
          <w:rFonts w:asciiTheme="majorBidi" w:eastAsia="Times New Roman" w:hAnsiTheme="majorBidi" w:cstheme="majorBidi"/>
          <w:sz w:val="24"/>
          <w:szCs w:val="24"/>
        </w:rPr>
        <w:t>database</w:t>
      </w:r>
      <w:r w:rsidRPr="00BB405B">
        <w:rPr>
          <w:rFonts w:asciiTheme="majorBidi" w:eastAsia="Times New Roman" w:hAnsiTheme="majorBidi" w:cstheme="majorBidi"/>
          <w:sz w:val="24"/>
          <w:szCs w:val="24"/>
        </w:rPr>
        <w:t xml:space="preserve"> of missing persons and developin</w:t>
      </w:r>
      <w:r w:rsidR="002360E3">
        <w:rPr>
          <w:rFonts w:asciiTheme="majorBidi" w:eastAsia="Times New Roman" w:hAnsiTheme="majorBidi" w:cstheme="majorBidi"/>
          <w:sz w:val="24"/>
          <w:szCs w:val="24"/>
        </w:rPr>
        <w:t>g a mechanism for locating them</w:t>
      </w:r>
      <w:r w:rsidRPr="00BB405B">
        <w:rPr>
          <w:rFonts w:asciiTheme="majorBidi" w:eastAsia="Times New Roman" w:hAnsiTheme="majorBidi" w:cstheme="majorBidi"/>
          <w:sz w:val="24"/>
          <w:szCs w:val="24"/>
        </w:rPr>
        <w:t xml:space="preserve">, the Commission observed that the Committee’s efforts have thus far resulted only in drafting a national form for missing persons in Iraq, which has neither been </w:t>
      </w:r>
      <w:proofErr w:type="gramStart"/>
      <w:r w:rsidRPr="00BB405B">
        <w:rPr>
          <w:rFonts w:asciiTheme="majorBidi" w:eastAsia="Times New Roman" w:hAnsiTheme="majorBidi" w:cstheme="majorBidi"/>
          <w:sz w:val="24"/>
          <w:szCs w:val="24"/>
        </w:rPr>
        <w:t>issued</w:t>
      </w:r>
      <w:proofErr w:type="gramEnd"/>
      <w:r w:rsidRPr="00BB405B">
        <w:rPr>
          <w:rFonts w:asciiTheme="majorBidi" w:eastAsia="Times New Roman" w:hAnsiTheme="majorBidi" w:cstheme="majorBidi"/>
          <w:sz w:val="24"/>
          <w:szCs w:val="24"/>
        </w:rPr>
        <w:t xml:space="preserve"> nor implemented.</w:t>
      </w:r>
    </w:p>
    <w:p w:rsidR="00591BAC" w:rsidRPr="00076C4C" w:rsidRDefault="00C107C6" w:rsidP="00076C4C">
      <w:pPr>
        <w:spacing w:before="100" w:beforeAutospacing="1" w:after="100" w:afterAutospacing="1" w:line="240" w:lineRule="auto"/>
        <w:jc w:val="both"/>
        <w:rPr>
          <w:rFonts w:ascii="Arial" w:hAnsi="Arial"/>
          <w:sz w:val="28"/>
          <w:szCs w:val="28"/>
          <w:lang w:bidi="ar-IQ"/>
        </w:rPr>
      </w:pPr>
      <w:r w:rsidRPr="00BB405B">
        <w:rPr>
          <w:rFonts w:asciiTheme="majorBidi" w:eastAsia="Times New Roman" w:hAnsiTheme="majorBidi" w:cstheme="majorBidi"/>
          <w:sz w:val="24"/>
          <w:szCs w:val="24"/>
        </w:rPr>
        <w:t xml:space="preserve">Furthermore, the </w:t>
      </w:r>
      <w:r w:rsidR="00CE48D3">
        <w:rPr>
          <w:rFonts w:asciiTheme="majorBidi" w:eastAsia="Times New Roman" w:hAnsiTheme="majorBidi" w:cstheme="majorBidi"/>
          <w:sz w:val="24"/>
          <w:szCs w:val="24"/>
        </w:rPr>
        <w:t>IHCHR</w:t>
      </w:r>
      <w:r w:rsidRPr="00BB405B">
        <w:rPr>
          <w:rFonts w:asciiTheme="majorBidi" w:eastAsia="Times New Roman" w:hAnsiTheme="majorBidi" w:cstheme="majorBidi"/>
          <w:sz w:val="24"/>
          <w:szCs w:val="24"/>
        </w:rPr>
        <w:t xml:space="preserve"> notes that most security agencies maintain their own individual databases and that no integrated database exists for persons allegedly subjected to enforced disappearance. The Commission also expresses concern regarding the continued use of the term “missing</w:t>
      </w:r>
      <w:r w:rsidR="00F731A6">
        <w:rPr>
          <w:rFonts w:asciiTheme="majorBidi" w:eastAsia="Times New Roman" w:hAnsiTheme="majorBidi" w:cstheme="majorBidi"/>
          <w:sz w:val="24"/>
          <w:szCs w:val="24"/>
        </w:rPr>
        <w:t xml:space="preserve"> persons” instead of “enforced</w:t>
      </w:r>
      <w:r w:rsidR="00731195">
        <w:rPr>
          <w:rFonts w:asciiTheme="majorBidi" w:eastAsia="Times New Roman" w:hAnsiTheme="majorBidi" w:cstheme="majorBidi"/>
          <w:sz w:val="24"/>
          <w:szCs w:val="24"/>
        </w:rPr>
        <w:t>ly</w:t>
      </w:r>
      <w:r w:rsidRPr="00BB405B">
        <w:rPr>
          <w:rFonts w:asciiTheme="majorBidi" w:eastAsia="Times New Roman" w:hAnsiTheme="majorBidi" w:cstheme="majorBidi"/>
          <w:sz w:val="24"/>
          <w:szCs w:val="24"/>
        </w:rPr>
        <w:t xml:space="preserve"> disappeared persons,” as the two terms carry different legal implications and indicators. Iraq continues to lack centralized information on such persons due to the multiplicity of authorities legally empowered to issue arrest and detention orders. In addition, the information systems of security agencies in the Kurdistan Region remain disconnected from those of the federal government.</w:t>
      </w:r>
      <w:r w:rsidR="00591BAC" w:rsidRPr="00F02429">
        <w:rPr>
          <w:rFonts w:ascii="Arial" w:hAnsi="Arial"/>
          <w:sz w:val="28"/>
          <w:szCs w:val="28"/>
          <w:rtl/>
          <w:lang w:bidi="ar-IQ"/>
        </w:rPr>
        <w:t xml:space="preserve"> </w:t>
      </w:r>
    </w:p>
    <w:p w:rsidR="00076C4C" w:rsidRPr="00BB405B" w:rsidRDefault="00C107C6" w:rsidP="00E61181">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 xml:space="preserve">The Commission also observed that the Martyrs Foundation convened a meeting attended by the </w:t>
      </w:r>
      <w:r w:rsidR="00076C4C">
        <w:rPr>
          <w:rFonts w:asciiTheme="majorBidi" w:eastAsia="Times New Roman" w:hAnsiTheme="majorBidi" w:cstheme="majorBidi"/>
          <w:sz w:val="24"/>
          <w:szCs w:val="24"/>
        </w:rPr>
        <w:t>IHCHR</w:t>
      </w:r>
      <w:r w:rsidRPr="00BB405B">
        <w:rPr>
          <w:rFonts w:asciiTheme="majorBidi" w:eastAsia="Times New Roman" w:hAnsiTheme="majorBidi" w:cstheme="majorBidi"/>
          <w:sz w:val="24"/>
          <w:szCs w:val="24"/>
        </w:rPr>
        <w:t xml:space="preserve"> to discuss establishing a </w:t>
      </w:r>
      <w:r w:rsidR="00E66E07">
        <w:rPr>
          <w:rFonts w:asciiTheme="majorBidi" w:eastAsia="Times New Roman" w:hAnsiTheme="majorBidi" w:cstheme="majorBidi"/>
          <w:sz w:val="24"/>
          <w:szCs w:val="24"/>
        </w:rPr>
        <w:t>unified nationwide</w:t>
      </w:r>
      <w:r w:rsidRPr="00BB405B">
        <w:rPr>
          <w:rFonts w:asciiTheme="majorBidi" w:eastAsia="Times New Roman" w:hAnsiTheme="majorBidi" w:cstheme="majorBidi"/>
          <w:sz w:val="24"/>
          <w:szCs w:val="24"/>
        </w:rPr>
        <w:t xml:space="preserve"> </w:t>
      </w:r>
      <w:r w:rsidR="00E66E07">
        <w:rPr>
          <w:rFonts w:asciiTheme="majorBidi" w:eastAsia="Times New Roman" w:hAnsiTheme="majorBidi" w:cstheme="majorBidi"/>
          <w:sz w:val="24"/>
          <w:szCs w:val="24"/>
        </w:rPr>
        <w:t>database</w:t>
      </w:r>
      <w:r w:rsidRPr="00BB405B">
        <w:rPr>
          <w:rFonts w:asciiTheme="majorBidi" w:eastAsia="Times New Roman" w:hAnsiTheme="majorBidi" w:cstheme="majorBidi"/>
          <w:sz w:val="24"/>
          <w:szCs w:val="24"/>
        </w:rPr>
        <w:t xml:space="preserve"> of missing persons, including the launch of an electronic form in cooperation with the International Commission on Missing Persons (ICMP). However, this initiative remains in its early stages, limited to training technical personnel and building the capacities of sectoral entities involved in the </w:t>
      </w:r>
      <w:r w:rsidR="00E66E07">
        <w:rPr>
          <w:rFonts w:asciiTheme="majorBidi" w:eastAsia="Times New Roman" w:hAnsiTheme="majorBidi" w:cstheme="majorBidi"/>
          <w:sz w:val="24"/>
          <w:szCs w:val="24"/>
        </w:rPr>
        <w:t>database</w:t>
      </w:r>
      <w:r w:rsidRPr="00BB405B">
        <w:rPr>
          <w:rFonts w:asciiTheme="majorBidi" w:eastAsia="Times New Roman" w:hAnsiTheme="majorBidi" w:cstheme="majorBidi"/>
          <w:sz w:val="24"/>
          <w:szCs w:val="24"/>
        </w:rPr>
        <w:t>. The electronic form has not yet been launched as of the date of this report, and the initiative may not include victims of enforced disappearance, focusing instead on general cases of missing persons.</w:t>
      </w:r>
    </w:p>
    <w:p w:rsidR="00E61181" w:rsidRPr="00BB405B" w:rsidRDefault="00C107C6" w:rsidP="00526B2E">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The Government has submitted a draft law on combating enforced disappearanc</w:t>
      </w:r>
      <w:r w:rsidR="0052524F">
        <w:rPr>
          <w:rFonts w:asciiTheme="majorBidi" w:eastAsia="Times New Roman" w:hAnsiTheme="majorBidi" w:cstheme="majorBidi"/>
          <w:sz w:val="24"/>
          <w:szCs w:val="24"/>
        </w:rPr>
        <w:t>e to the Parliament. Article (3\Third</w:t>
      </w:r>
      <w:r w:rsidRPr="00BB405B">
        <w:rPr>
          <w:rFonts w:asciiTheme="majorBidi" w:eastAsia="Times New Roman" w:hAnsiTheme="majorBidi" w:cstheme="majorBidi"/>
          <w:sz w:val="24"/>
          <w:szCs w:val="24"/>
        </w:rPr>
        <w:t xml:space="preserve">) of the draft refers to the creation of a </w:t>
      </w:r>
      <w:r w:rsidR="00BE78F3">
        <w:rPr>
          <w:rFonts w:asciiTheme="majorBidi" w:eastAsia="Times New Roman" w:hAnsiTheme="majorBidi" w:cstheme="majorBidi"/>
          <w:sz w:val="24"/>
          <w:szCs w:val="24"/>
        </w:rPr>
        <w:t>database</w:t>
      </w:r>
      <w:r w:rsidRPr="00BB405B">
        <w:rPr>
          <w:rFonts w:asciiTheme="majorBidi" w:eastAsia="Times New Roman" w:hAnsiTheme="majorBidi" w:cstheme="majorBidi"/>
          <w:sz w:val="24"/>
          <w:szCs w:val="24"/>
        </w:rPr>
        <w:t xml:space="preserve"> that includes the names of persons deprived of their liberty, as well as their identity, date, time and place of disappearance, the authority responsible for or that ordered the disappearance, the person’s health condition, and cause of death where applicable.</w:t>
      </w:r>
    </w:p>
    <w:p w:rsidR="00C107C6" w:rsidRDefault="00C107C6" w:rsidP="00E971B5">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 xml:space="preserve">In this regard, the </w:t>
      </w:r>
      <w:r w:rsidRPr="00526B2E">
        <w:rPr>
          <w:rFonts w:asciiTheme="majorBidi" w:eastAsia="Times New Roman" w:hAnsiTheme="majorBidi" w:cstheme="majorBidi"/>
          <w:b/>
          <w:bCs/>
          <w:sz w:val="24"/>
          <w:szCs w:val="24"/>
        </w:rPr>
        <w:t>Commission recommends</w:t>
      </w:r>
      <w:r w:rsidRPr="00BB405B">
        <w:rPr>
          <w:rFonts w:asciiTheme="majorBidi" w:eastAsia="Times New Roman" w:hAnsiTheme="majorBidi" w:cstheme="majorBidi"/>
          <w:sz w:val="24"/>
          <w:szCs w:val="24"/>
        </w:rPr>
        <w:t xml:space="preserve"> that the article be amended to read as follows</w:t>
      </w:r>
      <w:proofErr w:type="gramStart"/>
      <w:r w:rsidRPr="00BB405B">
        <w:rPr>
          <w:rFonts w:asciiTheme="majorBidi" w:eastAsia="Times New Roman" w:hAnsiTheme="majorBidi" w:cstheme="majorBidi"/>
          <w:sz w:val="24"/>
          <w:szCs w:val="24"/>
        </w:rPr>
        <w:t>:</w:t>
      </w:r>
      <w:proofErr w:type="gramEnd"/>
      <w:r w:rsidRPr="00BB405B">
        <w:rPr>
          <w:rFonts w:asciiTheme="majorBidi" w:eastAsia="Times New Roman" w:hAnsiTheme="majorBidi" w:cstheme="majorBidi"/>
          <w:sz w:val="24"/>
          <w:szCs w:val="24"/>
        </w:rPr>
        <w:br/>
        <w:t>“...the he</w:t>
      </w:r>
      <w:r w:rsidR="00731195">
        <w:rPr>
          <w:rFonts w:asciiTheme="majorBidi" w:eastAsia="Times New Roman" w:hAnsiTheme="majorBidi" w:cstheme="majorBidi"/>
          <w:sz w:val="24"/>
          <w:szCs w:val="24"/>
        </w:rPr>
        <w:t>alth condition of the enforcedly</w:t>
      </w:r>
      <w:r w:rsidRPr="00BB405B">
        <w:rPr>
          <w:rFonts w:asciiTheme="majorBidi" w:eastAsia="Times New Roman" w:hAnsiTheme="majorBidi" w:cstheme="majorBidi"/>
          <w:sz w:val="24"/>
          <w:szCs w:val="24"/>
        </w:rPr>
        <w:t xml:space="preserve"> disappeared person, the cause of death where applicable, the date and time of release or transfer to another detention location, the place of transfer, and the authority responsible for the transfer.”</w:t>
      </w:r>
      <w:r w:rsidR="00E971B5">
        <w:rPr>
          <w:rFonts w:asciiTheme="majorBidi" w:eastAsia="Times New Roman" w:hAnsiTheme="majorBidi" w:cstheme="majorBidi"/>
          <w:sz w:val="24"/>
          <w:szCs w:val="24"/>
        </w:rPr>
        <w:t xml:space="preserve"> </w:t>
      </w:r>
      <w:r w:rsidRPr="00BB405B">
        <w:rPr>
          <w:rFonts w:asciiTheme="majorBidi" w:eastAsia="Times New Roman" w:hAnsiTheme="majorBidi" w:cstheme="majorBidi"/>
          <w:sz w:val="24"/>
          <w:szCs w:val="24"/>
        </w:rPr>
        <w:t>Furthermore, the following sentence should be added:</w:t>
      </w:r>
      <w:r w:rsidRPr="00BB405B">
        <w:rPr>
          <w:rFonts w:asciiTheme="majorBidi" w:eastAsia="Times New Roman" w:hAnsiTheme="majorBidi" w:cstheme="majorBidi"/>
          <w:sz w:val="24"/>
          <w:szCs w:val="24"/>
        </w:rPr>
        <w:br/>
        <w:t>“All relevant entities and institutions—including the Ministries of Justice, Defense, and Interior; all security agencies responsible for managing detention centers; and health and other institutions responsible for searching for missing or enforcedly disappeared persons in accordance with their mandates—shall provide the Commission with the information they possess and assist in locating the missing or disappeared persons by providing clear and adequate responses on their fate.”</w:t>
      </w:r>
    </w:p>
    <w:p w:rsidR="00726837" w:rsidRPr="00726837" w:rsidRDefault="00726837" w:rsidP="00726837">
      <w:pPr>
        <w:spacing w:before="100" w:beforeAutospacing="1" w:after="100" w:afterAutospacing="1" w:line="240" w:lineRule="auto"/>
        <w:jc w:val="both"/>
        <w:rPr>
          <w:rFonts w:ascii="Times New Roman" w:eastAsia="Times New Roman" w:hAnsi="Times New Roman" w:cs="Times New Roman"/>
          <w:sz w:val="24"/>
          <w:szCs w:val="24"/>
        </w:rPr>
      </w:pPr>
      <w:r w:rsidRPr="00726837">
        <w:rPr>
          <w:rFonts w:ascii="Times New Roman" w:eastAsia="Times New Roman" w:hAnsi="Times New Roman" w:cs="Times New Roman"/>
          <w:sz w:val="24"/>
          <w:szCs w:val="24"/>
        </w:rPr>
        <w:lastRenderedPageBreak/>
        <w:t>The assignment of this role to the Commission is based on its status as the independent national institution that has dedicated a specific file to the protection of all persons from enforced disappearance. The Commission maintains offices in Baghdad and all governorates, as well as a permanent committee in the Kurdistan Region, which facilitates access for the families of the forcibly disappeared to submit complaints. Moreover, the procedures it follows for documenting, investigating, and communicating with the victims' families are straightforward and accessible.</w:t>
      </w:r>
    </w:p>
    <w:p w:rsidR="00C107C6" w:rsidRPr="00BB405B" w:rsidRDefault="00C107C6" w:rsidP="00BB405B">
      <w:pPr>
        <w:spacing w:after="0" w:line="240" w:lineRule="auto"/>
        <w:jc w:val="both"/>
        <w:rPr>
          <w:rFonts w:asciiTheme="majorBidi" w:eastAsia="Times New Roman" w:hAnsiTheme="majorBidi" w:cstheme="majorBidi"/>
          <w:sz w:val="24"/>
          <w:szCs w:val="24"/>
        </w:rPr>
      </w:pPr>
    </w:p>
    <w:p w:rsidR="00C107C6" w:rsidRPr="00380E3B" w:rsidRDefault="00C107C6" w:rsidP="00380E3B">
      <w:pPr>
        <w:pStyle w:val="Heading2"/>
        <w:rPr>
          <w:rFonts w:asciiTheme="majorBidi" w:eastAsia="Times New Roman" w:hAnsiTheme="majorBidi"/>
          <w:b/>
          <w:bCs/>
          <w:sz w:val="24"/>
          <w:szCs w:val="24"/>
        </w:rPr>
      </w:pPr>
      <w:bookmarkStart w:id="6" w:name="_Toc202559275"/>
      <w:bookmarkStart w:id="7" w:name="_Toc202559456"/>
      <w:r w:rsidRPr="00380E3B">
        <w:rPr>
          <w:rFonts w:asciiTheme="majorBidi" w:eastAsia="Times New Roman" w:hAnsiTheme="majorBidi"/>
          <w:b/>
          <w:bCs/>
          <w:sz w:val="24"/>
          <w:szCs w:val="24"/>
        </w:rPr>
        <w:t>Recommendations:</w:t>
      </w:r>
      <w:bookmarkEnd w:id="6"/>
      <w:bookmarkEnd w:id="7"/>
    </w:p>
    <w:p w:rsidR="00C107C6" w:rsidRPr="00BB405B" w:rsidRDefault="00C107C6" w:rsidP="00702F18">
      <w:pPr>
        <w:numPr>
          <w:ilvl w:val="0"/>
          <w:numId w:val="1"/>
        </w:num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 xml:space="preserve">Urge the Government to coordinate efforts among all relevant ministries and institutions to establish a centralized </w:t>
      </w:r>
      <w:r w:rsidR="003C6F97">
        <w:rPr>
          <w:rFonts w:asciiTheme="majorBidi" w:eastAsia="Times New Roman" w:hAnsiTheme="majorBidi" w:cstheme="majorBidi"/>
          <w:sz w:val="24"/>
          <w:szCs w:val="24"/>
        </w:rPr>
        <w:t xml:space="preserve">database of missing persons and </w:t>
      </w:r>
      <w:r w:rsidRPr="00BB405B">
        <w:rPr>
          <w:rFonts w:asciiTheme="majorBidi" w:eastAsia="Times New Roman" w:hAnsiTheme="majorBidi" w:cstheme="majorBidi"/>
          <w:sz w:val="24"/>
          <w:szCs w:val="24"/>
        </w:rPr>
        <w:t xml:space="preserve">those who meet the criteria for enforced disappearance. The database should be disaggregated by sex, age, ethnic and religious affiliation, place and date of disappearance, and the entity or entities allegedly responsible for the disappearance. A clear mechanism should also be established to ensure coordination </w:t>
      </w:r>
      <w:r w:rsidR="00702F18">
        <w:rPr>
          <w:rFonts w:asciiTheme="majorBidi" w:eastAsia="Times New Roman" w:hAnsiTheme="majorBidi" w:cstheme="majorBidi"/>
          <w:sz w:val="24"/>
          <w:szCs w:val="24"/>
        </w:rPr>
        <w:t>between</w:t>
      </w:r>
      <w:r w:rsidR="00CA0310">
        <w:rPr>
          <w:rFonts w:asciiTheme="majorBidi" w:eastAsia="Times New Roman" w:hAnsiTheme="majorBidi" w:cstheme="majorBidi"/>
          <w:sz w:val="24"/>
          <w:szCs w:val="24"/>
        </w:rPr>
        <w:t xml:space="preserve"> </w:t>
      </w:r>
      <w:r w:rsidRPr="00BB405B">
        <w:rPr>
          <w:rFonts w:asciiTheme="majorBidi" w:eastAsia="Times New Roman" w:hAnsiTheme="majorBidi" w:cstheme="majorBidi"/>
          <w:sz w:val="24"/>
          <w:szCs w:val="24"/>
        </w:rPr>
        <w:t xml:space="preserve">security </w:t>
      </w:r>
      <w:r w:rsidR="00CA0310">
        <w:rPr>
          <w:rFonts w:asciiTheme="majorBidi" w:eastAsia="Times New Roman" w:hAnsiTheme="majorBidi" w:cstheme="majorBidi"/>
          <w:sz w:val="24"/>
          <w:szCs w:val="24"/>
        </w:rPr>
        <w:t xml:space="preserve">Ministries and </w:t>
      </w:r>
      <w:r w:rsidRPr="00BB405B">
        <w:rPr>
          <w:rFonts w:asciiTheme="majorBidi" w:eastAsia="Times New Roman" w:hAnsiTheme="majorBidi" w:cstheme="majorBidi"/>
          <w:sz w:val="24"/>
          <w:szCs w:val="24"/>
        </w:rPr>
        <w:t>institutions</w:t>
      </w:r>
      <w:r w:rsidR="00CA0310" w:rsidRPr="00CA0310">
        <w:rPr>
          <w:rFonts w:asciiTheme="majorBidi" w:eastAsia="Times New Roman" w:hAnsiTheme="majorBidi" w:cstheme="majorBidi"/>
          <w:sz w:val="24"/>
          <w:szCs w:val="24"/>
        </w:rPr>
        <w:t xml:space="preserve"> </w:t>
      </w:r>
      <w:r w:rsidR="00CA0310">
        <w:rPr>
          <w:rFonts w:asciiTheme="majorBidi" w:eastAsia="Times New Roman" w:hAnsiTheme="majorBidi" w:cstheme="majorBidi"/>
          <w:sz w:val="24"/>
          <w:szCs w:val="24"/>
        </w:rPr>
        <w:t>in Kurdistan region</w:t>
      </w:r>
      <w:r w:rsidRPr="00BB405B">
        <w:rPr>
          <w:rFonts w:asciiTheme="majorBidi" w:eastAsia="Times New Roman" w:hAnsiTheme="majorBidi" w:cstheme="majorBidi"/>
          <w:sz w:val="24"/>
          <w:szCs w:val="24"/>
        </w:rPr>
        <w:t>, as well as between federal and Kurdistan Region judicial bodies, to receive, unify, and follow up on reports and to conduct joint investigations into the fate of disappeared persons and bring perpetrators to justice.</w:t>
      </w:r>
    </w:p>
    <w:p w:rsidR="006642FC" w:rsidRPr="009A3126" w:rsidRDefault="00C107C6" w:rsidP="009A3126">
      <w:pPr>
        <w:numPr>
          <w:ilvl w:val="0"/>
          <w:numId w:val="1"/>
        </w:numPr>
        <w:spacing w:before="100" w:beforeAutospacing="1" w:after="100" w:afterAutospacing="1" w:line="240" w:lineRule="auto"/>
        <w:jc w:val="both"/>
        <w:rPr>
          <w:rFonts w:asciiTheme="majorBidi" w:eastAsia="Times New Roman" w:hAnsiTheme="majorBidi" w:cstheme="majorBidi"/>
          <w:sz w:val="24"/>
          <w:szCs w:val="24"/>
          <w:rtl/>
        </w:rPr>
      </w:pPr>
      <w:r w:rsidRPr="00BB405B">
        <w:rPr>
          <w:rFonts w:asciiTheme="majorBidi" w:eastAsia="Times New Roman" w:hAnsiTheme="majorBidi" w:cstheme="majorBidi"/>
          <w:sz w:val="24"/>
          <w:szCs w:val="24"/>
        </w:rPr>
        <w:t>Ensure the regular exchange of updated data and information among the aforementioned institutions and provide a copy to the Iraqi High Commission for Human Rights, as the national institution mandated to receive and document complaints and reports of human rights violations, including allegations of enforced disappearance. The data should be periodically updated and categorized by sex, age, ethnic and religious affiliation, place and date of disappearance, and the alleged responsible entity.</w:t>
      </w:r>
    </w:p>
    <w:p w:rsidR="00C107C6" w:rsidRPr="00BB405B" w:rsidRDefault="00C107C6" w:rsidP="00BB405B">
      <w:pPr>
        <w:spacing w:before="100" w:beforeAutospacing="1" w:after="100" w:afterAutospacing="1" w:line="240" w:lineRule="auto"/>
        <w:jc w:val="both"/>
        <w:rPr>
          <w:rFonts w:asciiTheme="majorBidi" w:eastAsia="Times New Roman" w:hAnsiTheme="majorBidi" w:cstheme="majorBidi"/>
          <w:sz w:val="24"/>
          <w:szCs w:val="24"/>
          <w:rtl/>
          <w:lang w:bidi="ar-IQ"/>
        </w:rPr>
      </w:pPr>
    </w:p>
    <w:p w:rsidR="00C107C6" w:rsidRPr="00380E3B" w:rsidRDefault="00C107C6" w:rsidP="00380E3B">
      <w:pPr>
        <w:pStyle w:val="Heading1"/>
        <w:rPr>
          <w:rFonts w:asciiTheme="majorBidi" w:eastAsia="Times New Roman" w:hAnsiTheme="majorBidi"/>
          <w:b/>
          <w:bCs/>
          <w:sz w:val="24"/>
          <w:szCs w:val="24"/>
        </w:rPr>
      </w:pPr>
      <w:bookmarkStart w:id="8" w:name="_Toc202559276"/>
      <w:bookmarkStart w:id="9" w:name="_Toc202559457"/>
      <w:r w:rsidRPr="00380E3B">
        <w:rPr>
          <w:rFonts w:asciiTheme="majorBidi" w:eastAsia="Times New Roman" w:hAnsiTheme="majorBidi"/>
          <w:b/>
          <w:bCs/>
          <w:sz w:val="24"/>
          <w:szCs w:val="24"/>
        </w:rPr>
        <w:t xml:space="preserve">II. Definition of Enforced Disappearance and Appropriate </w:t>
      </w:r>
      <w:r w:rsidR="0077644D" w:rsidRPr="00380E3B">
        <w:rPr>
          <w:rFonts w:asciiTheme="majorBidi" w:eastAsia="Times New Roman" w:hAnsiTheme="majorBidi"/>
          <w:b/>
          <w:bCs/>
          <w:sz w:val="24"/>
          <w:szCs w:val="24"/>
        </w:rPr>
        <w:t>Penalties</w:t>
      </w:r>
      <w:bookmarkEnd w:id="8"/>
      <w:bookmarkEnd w:id="9"/>
    </w:p>
    <w:p w:rsidR="009A3126" w:rsidRPr="00F0345E" w:rsidRDefault="00525123" w:rsidP="00F0345E">
      <w:pPr>
        <w:jc w:val="both"/>
        <w:rPr>
          <w:rFonts w:asciiTheme="majorBidi" w:hAnsiTheme="majorBidi" w:cstheme="majorBidi"/>
          <w:sz w:val="24"/>
          <w:szCs w:val="24"/>
        </w:rPr>
      </w:pPr>
      <w:bookmarkStart w:id="10" w:name="_Toc201355158"/>
      <w:bookmarkStart w:id="11" w:name="_Toc202559277"/>
      <w:r w:rsidRPr="00F0345E">
        <w:rPr>
          <w:rFonts w:asciiTheme="majorBidi" w:hAnsiTheme="majorBidi" w:cstheme="majorBidi"/>
          <w:sz w:val="24"/>
          <w:szCs w:val="24"/>
        </w:rPr>
        <w:t>The Iraqi legal system does not recognize enforced disappearance as a crime. Under the applicable Iraqi Penal Code, enforced disappearance is not considered a crime in the precise sense defined in Article 2 of the Convention. The penal provisions that criminalize acts of abduction and unlawful deprivation of liberty cannot be relied upon, as they do not encompass the crime of enforced disappearance as stipulated in the aforementioned Article 2."</w:t>
      </w:r>
      <w:bookmarkEnd w:id="10"/>
      <w:bookmarkEnd w:id="11"/>
    </w:p>
    <w:p w:rsidR="00664926" w:rsidRPr="00123069" w:rsidRDefault="00C107C6" w:rsidP="00123069">
      <w:pPr>
        <w:spacing w:before="100" w:beforeAutospacing="1" w:after="100" w:afterAutospacing="1" w:line="240" w:lineRule="auto"/>
        <w:jc w:val="both"/>
        <w:rPr>
          <w:rFonts w:ascii="Arial" w:hAnsi="Arial"/>
          <w:sz w:val="28"/>
          <w:szCs w:val="28"/>
        </w:rPr>
      </w:pPr>
      <w:r w:rsidRPr="00BB405B">
        <w:rPr>
          <w:rFonts w:asciiTheme="majorBidi" w:eastAsia="Times New Roman" w:hAnsiTheme="majorBidi" w:cstheme="majorBidi"/>
          <w:sz w:val="24"/>
          <w:szCs w:val="24"/>
        </w:rPr>
        <w:t xml:space="preserve">Regarding the classification of enforced disappearance as a crime against humanity, the Iraqi legal framework lacks any general legal definition or characterization of this crime. The only reference is found in Article 12 of the Law of the Iraqi High Criminal Court No. (10) </w:t>
      </w:r>
      <w:proofErr w:type="gramStart"/>
      <w:r w:rsidRPr="00BB405B">
        <w:rPr>
          <w:rFonts w:asciiTheme="majorBidi" w:eastAsia="Times New Roman" w:hAnsiTheme="majorBidi" w:cstheme="majorBidi"/>
          <w:sz w:val="24"/>
          <w:szCs w:val="24"/>
        </w:rPr>
        <w:t>of</w:t>
      </w:r>
      <w:proofErr w:type="gramEnd"/>
      <w:r w:rsidRPr="00BB405B">
        <w:rPr>
          <w:rFonts w:asciiTheme="majorBidi" w:eastAsia="Times New Roman" w:hAnsiTheme="majorBidi" w:cstheme="majorBidi"/>
          <w:sz w:val="24"/>
          <w:szCs w:val="24"/>
        </w:rPr>
        <w:t xml:space="preserve"> 2005, which recognizes enforced disappearance as a crime against humanity but only for the period between 17 July 1968 and 1 May 2003. This temporal limitation renders the provision inapplicable to crimes committed after that date. The Commission </w:t>
      </w:r>
      <w:r w:rsidR="00072F10">
        <w:rPr>
          <w:rFonts w:asciiTheme="majorBidi" w:eastAsia="Times New Roman" w:hAnsiTheme="majorBidi" w:cstheme="majorBidi"/>
          <w:sz w:val="24"/>
          <w:szCs w:val="24"/>
        </w:rPr>
        <w:t>sees</w:t>
      </w:r>
      <w:r w:rsidRPr="00BB405B">
        <w:rPr>
          <w:rFonts w:asciiTheme="majorBidi" w:eastAsia="Times New Roman" w:hAnsiTheme="majorBidi" w:cstheme="majorBidi"/>
          <w:sz w:val="24"/>
          <w:szCs w:val="24"/>
        </w:rPr>
        <w:t xml:space="preserve"> this as a legislative gap that must be addressed through a clear and explicit provision in the draft law on the protection of persons from enforced disappearance, expressly classifying enforced disappearance as a crime against humanity. Accordingly, the </w:t>
      </w:r>
      <w:r w:rsidR="00123069">
        <w:rPr>
          <w:rFonts w:asciiTheme="majorBidi" w:eastAsia="Times New Roman" w:hAnsiTheme="majorBidi" w:cstheme="majorBidi"/>
          <w:sz w:val="24"/>
          <w:szCs w:val="24"/>
        </w:rPr>
        <w:t>IHCHR</w:t>
      </w:r>
      <w:r w:rsidRPr="00BB405B">
        <w:rPr>
          <w:rFonts w:asciiTheme="majorBidi" w:eastAsia="Times New Roman" w:hAnsiTheme="majorBidi" w:cstheme="majorBidi"/>
          <w:sz w:val="24"/>
          <w:szCs w:val="24"/>
        </w:rPr>
        <w:t xml:space="preserve"> affirms that Article 5 of the Convention is not currently implemented in Iraq.</w:t>
      </w:r>
    </w:p>
    <w:p w:rsidR="00C107C6" w:rsidRPr="00BB405B" w:rsidRDefault="00C107C6" w:rsidP="00BB405B">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lastRenderedPageBreak/>
        <w:t>The Government of Iraq continues to make efforts to enact the draft Law on the Protection of All Persons from Enforced Disappearance. The Ministry of Justice has prepared the draft law and referred it to Parliament following review by the State Council. The draft includes provisions aligned with the International Convention, defining enforced disappearance in Article 1 as:</w:t>
      </w:r>
      <w:r w:rsidRPr="00BB405B">
        <w:rPr>
          <w:rFonts w:asciiTheme="majorBidi" w:eastAsia="Times New Roman" w:hAnsiTheme="majorBidi" w:cstheme="majorBidi"/>
          <w:sz w:val="24"/>
          <w:szCs w:val="24"/>
        </w:rPr>
        <w:br/>
      </w:r>
      <w:r w:rsidRPr="00BB405B">
        <w:rPr>
          <w:rFonts w:asciiTheme="majorBidi" w:eastAsia="Times New Roman" w:hAnsiTheme="majorBidi" w:cstheme="majorBidi"/>
          <w:i/>
          <w:iCs/>
          <w:sz w:val="24"/>
          <w:szCs w:val="24"/>
        </w:rPr>
        <w:t>"Arrest, detention, abduction, or any form of deprivation of liberty committed by state officials or individuals acting with the authorization, support, or acquiescence of the state, followed by a refusal to acknowledge the deprivation of liberty or concealment of the fate or whereabouts of the disappeared person, thereby placing the person outside the protection of the law."</w:t>
      </w:r>
    </w:p>
    <w:p w:rsidR="00123069" w:rsidRPr="00F02429" w:rsidRDefault="00C107C6" w:rsidP="009B7A1C">
      <w:pPr>
        <w:spacing w:before="100" w:beforeAutospacing="1" w:after="100" w:afterAutospacing="1" w:line="240" w:lineRule="auto"/>
        <w:jc w:val="both"/>
        <w:rPr>
          <w:rFonts w:ascii="Arial" w:hAnsi="Arial"/>
          <w:sz w:val="28"/>
          <w:szCs w:val="28"/>
          <w:rtl/>
        </w:rPr>
      </w:pPr>
      <w:r w:rsidRPr="00BB405B">
        <w:rPr>
          <w:rFonts w:asciiTheme="majorBidi" w:eastAsia="Times New Roman" w:hAnsiTheme="majorBidi" w:cstheme="majorBidi"/>
          <w:sz w:val="24"/>
          <w:szCs w:val="24"/>
        </w:rPr>
        <w:t xml:space="preserve">The </w:t>
      </w:r>
      <w:r w:rsidR="00FC1D7A">
        <w:rPr>
          <w:rFonts w:asciiTheme="majorBidi" w:eastAsia="Times New Roman" w:hAnsiTheme="majorBidi" w:cstheme="majorBidi"/>
          <w:sz w:val="24"/>
          <w:szCs w:val="24"/>
        </w:rPr>
        <w:t>IHCHR</w:t>
      </w:r>
      <w:r w:rsidRPr="00BB405B">
        <w:rPr>
          <w:rFonts w:asciiTheme="majorBidi" w:eastAsia="Times New Roman" w:hAnsiTheme="majorBidi" w:cstheme="majorBidi"/>
          <w:sz w:val="24"/>
          <w:szCs w:val="24"/>
        </w:rPr>
        <w:t xml:space="preserve"> considers that, if enacted, the law would represent a significant step forward in criminalizing and punishing enforced disappearance through a dedicated legal framework. However, the Commission also stresses that many of the draft’s provisions require review, revision, and amendment to ensure full compliance with the Convention.</w:t>
      </w:r>
    </w:p>
    <w:p w:rsidR="00123069" w:rsidRPr="004B7EE1" w:rsidRDefault="00123069" w:rsidP="00123069">
      <w:pPr>
        <w:pStyle w:val="ListParagraph"/>
        <w:tabs>
          <w:tab w:val="left" w:pos="2891"/>
        </w:tabs>
        <w:bidi/>
        <w:spacing w:after="0" w:line="240" w:lineRule="auto"/>
        <w:ind w:left="1080"/>
        <w:jc w:val="lowKashida"/>
        <w:rPr>
          <w:rFonts w:ascii="Arial" w:hAnsi="Arial"/>
          <w:sz w:val="28"/>
          <w:szCs w:val="28"/>
          <w:rtl/>
        </w:rPr>
      </w:pPr>
    </w:p>
    <w:p w:rsidR="00C107C6" w:rsidRPr="00380E3B" w:rsidRDefault="00C107C6" w:rsidP="00380E3B">
      <w:pPr>
        <w:pStyle w:val="Heading2"/>
        <w:rPr>
          <w:rFonts w:asciiTheme="majorBidi" w:eastAsia="Times New Roman" w:hAnsiTheme="majorBidi"/>
          <w:b/>
          <w:bCs/>
          <w:sz w:val="24"/>
          <w:szCs w:val="24"/>
        </w:rPr>
      </w:pPr>
      <w:bookmarkStart w:id="12" w:name="_Toc202559278"/>
      <w:bookmarkStart w:id="13" w:name="_Toc202559458"/>
      <w:r w:rsidRPr="00380E3B">
        <w:rPr>
          <w:rFonts w:asciiTheme="majorBidi" w:eastAsia="Times New Roman" w:hAnsiTheme="majorBidi"/>
          <w:b/>
          <w:bCs/>
          <w:sz w:val="24"/>
          <w:szCs w:val="24"/>
        </w:rPr>
        <w:t>Recommendations:</w:t>
      </w:r>
      <w:bookmarkEnd w:id="12"/>
      <w:bookmarkEnd w:id="13"/>
    </w:p>
    <w:p w:rsidR="00AB3A35" w:rsidRDefault="00AB3A35" w:rsidP="005452B8">
      <w:pPr>
        <w:pStyle w:val="NormalWeb"/>
        <w:numPr>
          <w:ilvl w:val="0"/>
          <w:numId w:val="12"/>
        </w:numPr>
        <w:jc w:val="both"/>
        <w:rPr>
          <w:rFonts w:asciiTheme="majorBidi" w:hAnsiTheme="majorBidi" w:cstheme="majorBidi"/>
        </w:rPr>
      </w:pPr>
      <w:r>
        <w:rPr>
          <w:rStyle w:val="Strong"/>
          <w:rFonts w:asciiTheme="majorBidi" w:hAnsiTheme="majorBidi" w:cstheme="majorBidi"/>
          <w:b w:val="0"/>
          <w:bCs w:val="0"/>
        </w:rPr>
        <w:t>Urge</w:t>
      </w:r>
      <w:r w:rsidRPr="00AB3A35">
        <w:rPr>
          <w:rStyle w:val="Strong"/>
          <w:rFonts w:asciiTheme="majorBidi" w:hAnsiTheme="majorBidi" w:cstheme="majorBidi"/>
          <w:b w:val="0"/>
          <w:bCs w:val="0"/>
        </w:rPr>
        <w:t xml:space="preserve"> the Iraqi Council of Representatives to expedite the reading of the </w:t>
      </w:r>
      <w:r w:rsidR="005452B8">
        <w:rPr>
          <w:rStyle w:val="Strong"/>
          <w:rFonts w:asciiTheme="majorBidi" w:hAnsiTheme="majorBidi" w:cstheme="majorBidi"/>
          <w:b w:val="0"/>
          <w:bCs w:val="0"/>
        </w:rPr>
        <w:t>draft</w:t>
      </w:r>
      <w:r w:rsidRPr="00AB3A35">
        <w:rPr>
          <w:rStyle w:val="Strong"/>
          <w:rFonts w:asciiTheme="majorBidi" w:hAnsiTheme="majorBidi" w:cstheme="majorBidi"/>
          <w:b w:val="0"/>
          <w:bCs w:val="0"/>
        </w:rPr>
        <w:t xml:space="preserve"> Law on the Protection of Persons from Enforced Disappearance, in a manner that ensures the recognition of enforced disappearance as a distinct crime within the Iraqi legal system, and in conformity with the provisions of Article 2 of the Convention.</w:t>
      </w:r>
    </w:p>
    <w:p w:rsidR="00AB3A35" w:rsidRPr="00AB3A35" w:rsidRDefault="00AB3A35" w:rsidP="00AB3A35">
      <w:pPr>
        <w:pStyle w:val="NormalWeb"/>
        <w:numPr>
          <w:ilvl w:val="0"/>
          <w:numId w:val="12"/>
        </w:numPr>
        <w:jc w:val="both"/>
        <w:rPr>
          <w:rFonts w:asciiTheme="majorBidi" w:hAnsiTheme="majorBidi" w:cstheme="majorBidi"/>
        </w:rPr>
      </w:pPr>
      <w:r>
        <w:rPr>
          <w:rStyle w:val="Strong"/>
          <w:rFonts w:asciiTheme="majorBidi" w:hAnsiTheme="majorBidi" w:cstheme="majorBidi"/>
          <w:b w:val="0"/>
          <w:bCs w:val="0"/>
        </w:rPr>
        <w:t>Urge</w:t>
      </w:r>
      <w:r w:rsidRPr="00AB3A35">
        <w:rPr>
          <w:rStyle w:val="Strong"/>
          <w:rFonts w:asciiTheme="majorBidi" w:hAnsiTheme="majorBidi" w:cstheme="majorBidi"/>
          <w:b w:val="0"/>
          <w:bCs w:val="0"/>
        </w:rPr>
        <w:t xml:space="preserve"> the Government and the Council of Representatives to take into account the views of the Iraqi High Commission for Human Rights regarding the draft law, in a manner that ensures the inclusion of international standards set forth in the International Convention for the Protection of All Persons from Enforced Disappearance.</w:t>
      </w:r>
    </w:p>
    <w:p w:rsidR="009B7A1C" w:rsidRPr="00BB405B" w:rsidRDefault="009B7A1C" w:rsidP="00BB405B">
      <w:pPr>
        <w:spacing w:after="0" w:line="240" w:lineRule="auto"/>
        <w:jc w:val="both"/>
        <w:rPr>
          <w:rFonts w:asciiTheme="majorBidi" w:eastAsia="Times New Roman" w:hAnsiTheme="majorBidi" w:cstheme="majorBidi"/>
          <w:sz w:val="24"/>
          <w:szCs w:val="24"/>
        </w:rPr>
      </w:pPr>
    </w:p>
    <w:p w:rsidR="00C107C6" w:rsidRPr="00380E3B" w:rsidRDefault="00C107C6" w:rsidP="00380E3B">
      <w:pPr>
        <w:pStyle w:val="Heading1"/>
        <w:jc w:val="both"/>
        <w:rPr>
          <w:rFonts w:asciiTheme="majorBidi" w:eastAsia="Times New Roman" w:hAnsiTheme="majorBidi"/>
          <w:b/>
          <w:bCs/>
          <w:sz w:val="24"/>
          <w:szCs w:val="24"/>
        </w:rPr>
      </w:pPr>
      <w:bookmarkStart w:id="14" w:name="_Toc202559279"/>
      <w:bookmarkStart w:id="15" w:name="_Toc202559459"/>
      <w:r w:rsidRPr="00380E3B">
        <w:rPr>
          <w:rFonts w:asciiTheme="majorBidi" w:eastAsia="Times New Roman" w:hAnsiTheme="majorBidi"/>
          <w:b/>
          <w:bCs/>
          <w:sz w:val="24"/>
          <w:szCs w:val="24"/>
        </w:rPr>
        <w:t>III. Acts Committed by the So-Called Islamic State in Iraq and the Levant (ISIL) and Affiliated Groups</w:t>
      </w:r>
      <w:bookmarkEnd w:id="14"/>
      <w:bookmarkEnd w:id="15"/>
    </w:p>
    <w:p w:rsidR="00C107C6" w:rsidRPr="00BB405B" w:rsidRDefault="00C107C6" w:rsidP="00BB405B">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The acts committed by individuals affiliated with the so-called Islamic State in Iraq and the Levant (ISIL) constitute crimes under Iraqi legislation, including the Penal Code No. 111 of 1969, the Anti-Terrorism Law No. 13 of 2005, and the Anti-Terrorism Law of the Kurdistan Region No. 8 of 2010.</w:t>
      </w:r>
    </w:p>
    <w:p w:rsidR="00A4384D" w:rsidRPr="00754FB3" w:rsidRDefault="00C107C6" w:rsidP="00754FB3">
      <w:pPr>
        <w:spacing w:before="100" w:beforeAutospacing="1" w:after="100" w:afterAutospacing="1" w:line="240" w:lineRule="auto"/>
        <w:jc w:val="both"/>
      </w:pPr>
      <w:r w:rsidRPr="00BB405B">
        <w:rPr>
          <w:rFonts w:asciiTheme="majorBidi" w:eastAsia="Times New Roman" w:hAnsiTheme="majorBidi" w:cstheme="majorBidi"/>
          <w:sz w:val="24"/>
          <w:szCs w:val="24"/>
        </w:rPr>
        <w:t>Although the Federal Gover</w:t>
      </w:r>
      <w:r w:rsidR="00E610B1">
        <w:rPr>
          <w:rFonts w:asciiTheme="majorBidi" w:eastAsia="Times New Roman" w:hAnsiTheme="majorBidi" w:cstheme="majorBidi"/>
          <w:sz w:val="24"/>
          <w:szCs w:val="24"/>
        </w:rPr>
        <w:t>nment and the Kurdistan Region</w:t>
      </w:r>
      <w:r w:rsidRPr="00BB405B">
        <w:rPr>
          <w:rFonts w:asciiTheme="majorBidi" w:eastAsia="Times New Roman" w:hAnsiTheme="majorBidi" w:cstheme="majorBidi"/>
          <w:sz w:val="24"/>
          <w:szCs w:val="24"/>
        </w:rPr>
        <w:t xml:space="preserve"> Government have taken several steps to hold ISIL accountable, including the issuance of Council of Ministers Resolution No. (92 of 2014) recognizing the crimes committed against Iraqi components such as the Yazidis, Turkmen, Christians, and </w:t>
      </w:r>
      <w:proofErr w:type="spellStart"/>
      <w:r w:rsidRPr="00BB405B">
        <w:rPr>
          <w:rFonts w:asciiTheme="majorBidi" w:eastAsia="Times New Roman" w:hAnsiTheme="majorBidi" w:cstheme="majorBidi"/>
          <w:sz w:val="24"/>
          <w:szCs w:val="24"/>
        </w:rPr>
        <w:t>Shabak</w:t>
      </w:r>
      <w:proofErr w:type="spellEnd"/>
      <w:r w:rsidRPr="00BB405B">
        <w:rPr>
          <w:rFonts w:asciiTheme="majorBidi" w:eastAsia="Times New Roman" w:hAnsiTheme="majorBidi" w:cstheme="majorBidi"/>
          <w:sz w:val="24"/>
          <w:szCs w:val="24"/>
        </w:rPr>
        <w:t xml:space="preserve"> as acts of genocide,</w:t>
      </w:r>
      <w:r w:rsidR="00826A04">
        <w:rPr>
          <w:rFonts w:asciiTheme="majorBidi" w:eastAsia="Times New Roman" w:hAnsiTheme="majorBidi" w:cstheme="majorBidi"/>
          <w:sz w:val="28"/>
          <w:szCs w:val="28"/>
        </w:rPr>
        <w:t xml:space="preserve"> </w:t>
      </w:r>
      <w:r w:rsidR="00826A04" w:rsidRPr="00826A04">
        <w:rPr>
          <w:rFonts w:asciiTheme="majorBidi" w:eastAsia="Times New Roman" w:hAnsiTheme="majorBidi" w:cstheme="majorBidi"/>
          <w:sz w:val="24"/>
          <w:szCs w:val="24"/>
        </w:rPr>
        <w:t>and</w:t>
      </w:r>
      <w:r w:rsidR="0042795B" w:rsidRPr="00826A04">
        <w:rPr>
          <w:rFonts w:asciiTheme="majorBidi" w:hAnsiTheme="majorBidi" w:cstheme="majorBidi"/>
        </w:rPr>
        <w:t xml:space="preserve"> </w:t>
      </w:r>
      <w:r w:rsidR="0042795B" w:rsidRPr="00826A04">
        <w:rPr>
          <w:rFonts w:asciiTheme="majorBidi" w:hAnsiTheme="majorBidi" w:cstheme="majorBidi"/>
          <w:sz w:val="24"/>
          <w:szCs w:val="24"/>
        </w:rPr>
        <w:t xml:space="preserve">the issuance of Iraqi Council of Representatives Resolution No. (43 of 2016), which called on the Government to take the necessary measures to liberate abducted Yazidi women, and to instruct the reconstruction of Sinjar District and the restoration of services and infrastructure therein, as well as the establishment by the United Nations of the Investigative Team to Promote Accountability for Crimes Committed by </w:t>
      </w:r>
      <w:proofErr w:type="spellStart"/>
      <w:r w:rsidR="0042795B" w:rsidRPr="00826A04">
        <w:rPr>
          <w:rFonts w:asciiTheme="majorBidi" w:hAnsiTheme="majorBidi" w:cstheme="majorBidi"/>
          <w:sz w:val="24"/>
          <w:szCs w:val="24"/>
        </w:rPr>
        <w:t>Da’esh</w:t>
      </w:r>
      <w:proofErr w:type="spellEnd"/>
      <w:r w:rsidR="0042795B" w:rsidRPr="00826A04">
        <w:rPr>
          <w:rFonts w:asciiTheme="majorBidi" w:hAnsiTheme="majorBidi" w:cstheme="majorBidi"/>
          <w:sz w:val="24"/>
          <w:szCs w:val="24"/>
        </w:rPr>
        <w:t xml:space="preserve">/ISIL (UNITAD), the </w:t>
      </w:r>
      <w:r w:rsidR="005E0D57">
        <w:rPr>
          <w:rFonts w:asciiTheme="majorBidi" w:hAnsiTheme="majorBidi" w:cstheme="majorBidi"/>
          <w:sz w:val="24"/>
          <w:szCs w:val="24"/>
        </w:rPr>
        <w:t>IHCHR</w:t>
      </w:r>
      <w:r w:rsidR="0042795B" w:rsidRPr="00826A04">
        <w:rPr>
          <w:rFonts w:asciiTheme="majorBidi" w:hAnsiTheme="majorBidi" w:cstheme="majorBidi"/>
          <w:sz w:val="24"/>
          <w:szCs w:val="24"/>
        </w:rPr>
        <w:t xml:space="preserve"> affirms that the measures taken to hold accountable those responsible for the crimes committed by the so-called Islamic State in Iraq and the Levant fall short of the gravity </w:t>
      </w:r>
      <w:r w:rsidR="0042795B" w:rsidRPr="00826A04">
        <w:rPr>
          <w:rFonts w:asciiTheme="majorBidi" w:hAnsiTheme="majorBidi" w:cstheme="majorBidi"/>
          <w:sz w:val="24"/>
          <w:szCs w:val="24"/>
        </w:rPr>
        <w:lastRenderedPageBreak/>
        <w:t>and scale of those criminal acts. The procedures and measures taken to search for persons who went missing during the control of those terrorist groups remain extremely limited, and many individuals are still unaccounted for as of the date of this report."</w:t>
      </w:r>
    </w:p>
    <w:p w:rsidR="00C107C6" w:rsidRPr="00BB405B" w:rsidRDefault="00C107C6" w:rsidP="003A676E">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The Co</w:t>
      </w:r>
      <w:r w:rsidR="003A676E">
        <w:rPr>
          <w:rFonts w:asciiTheme="majorBidi" w:eastAsia="Times New Roman" w:hAnsiTheme="majorBidi" w:cstheme="majorBidi"/>
          <w:sz w:val="24"/>
          <w:szCs w:val="24"/>
        </w:rPr>
        <w:t>mmission also notes</w:t>
      </w:r>
      <w:r w:rsidRPr="00BB405B">
        <w:rPr>
          <w:rFonts w:asciiTheme="majorBidi" w:eastAsia="Times New Roman" w:hAnsiTheme="majorBidi" w:cstheme="majorBidi"/>
          <w:sz w:val="24"/>
          <w:szCs w:val="24"/>
        </w:rPr>
        <w:t xml:space="preserve"> that the Government's decision to terminate UNITAD’s mandate—following allegations of non-cooperation—came prematurely, before investigations had been completed, at a time when vic</w:t>
      </w:r>
      <w:r w:rsidR="003A676E">
        <w:rPr>
          <w:rFonts w:asciiTheme="majorBidi" w:eastAsia="Times New Roman" w:hAnsiTheme="majorBidi" w:cstheme="majorBidi"/>
          <w:sz w:val="24"/>
          <w:szCs w:val="24"/>
        </w:rPr>
        <w:t>tims continue to await justice.</w:t>
      </w:r>
    </w:p>
    <w:p w:rsidR="002226FE" w:rsidRDefault="002226FE" w:rsidP="00BB405B">
      <w:pPr>
        <w:spacing w:before="100" w:beforeAutospacing="1" w:after="100" w:afterAutospacing="1" w:line="240" w:lineRule="auto"/>
        <w:jc w:val="both"/>
        <w:rPr>
          <w:rFonts w:asciiTheme="majorBidi" w:eastAsia="Times New Roman" w:hAnsiTheme="majorBidi" w:cstheme="majorBidi"/>
          <w:b/>
          <w:bCs/>
          <w:sz w:val="24"/>
          <w:szCs w:val="24"/>
        </w:rPr>
      </w:pPr>
    </w:p>
    <w:p w:rsidR="00C107C6" w:rsidRPr="00380E3B" w:rsidRDefault="00C107C6" w:rsidP="00380E3B">
      <w:pPr>
        <w:pStyle w:val="Heading2"/>
        <w:rPr>
          <w:rFonts w:asciiTheme="majorBidi" w:eastAsia="Times New Roman" w:hAnsiTheme="majorBidi"/>
          <w:b/>
          <w:bCs/>
          <w:sz w:val="24"/>
          <w:szCs w:val="24"/>
        </w:rPr>
      </w:pPr>
      <w:bookmarkStart w:id="16" w:name="_Toc202559280"/>
      <w:bookmarkStart w:id="17" w:name="_Toc202559460"/>
      <w:r w:rsidRPr="00380E3B">
        <w:rPr>
          <w:rFonts w:asciiTheme="majorBidi" w:eastAsia="Times New Roman" w:hAnsiTheme="majorBidi"/>
          <w:b/>
          <w:bCs/>
          <w:sz w:val="24"/>
          <w:szCs w:val="24"/>
        </w:rPr>
        <w:t>Recommendations:</w:t>
      </w:r>
      <w:bookmarkEnd w:id="16"/>
      <w:bookmarkEnd w:id="17"/>
    </w:p>
    <w:p w:rsidR="002226FE" w:rsidRDefault="005F6906" w:rsidP="002226FE">
      <w:pPr>
        <w:pStyle w:val="NormalWeb"/>
        <w:numPr>
          <w:ilvl w:val="0"/>
          <w:numId w:val="14"/>
        </w:numPr>
        <w:jc w:val="both"/>
        <w:rPr>
          <w:rFonts w:asciiTheme="majorBidi" w:hAnsiTheme="majorBidi" w:cstheme="majorBidi"/>
        </w:rPr>
      </w:pPr>
      <w:r>
        <w:rPr>
          <w:rStyle w:val="Strong"/>
          <w:rFonts w:asciiTheme="majorBidi" w:hAnsiTheme="majorBidi" w:cstheme="majorBidi"/>
          <w:b w:val="0"/>
          <w:bCs w:val="0"/>
        </w:rPr>
        <w:t>Urge</w:t>
      </w:r>
      <w:r w:rsidR="002226FE" w:rsidRPr="002226FE">
        <w:rPr>
          <w:rStyle w:val="Strong"/>
          <w:rFonts w:asciiTheme="majorBidi" w:hAnsiTheme="majorBidi" w:cstheme="majorBidi"/>
          <w:b w:val="0"/>
          <w:bCs w:val="0"/>
        </w:rPr>
        <w:t xml:space="preserve"> the Government to follow up on the work of the investigative committees established to determine the fate of missing and disappeared persons, and to ascertain whether they are missing or victims of enforced disappearance, in preparation for taking the appropriate legal measures and judicial proceedings based on their respective legal status.</w:t>
      </w:r>
    </w:p>
    <w:p w:rsidR="002226FE" w:rsidRPr="00000466" w:rsidRDefault="005F6906" w:rsidP="002226FE">
      <w:pPr>
        <w:pStyle w:val="NormalWeb"/>
        <w:numPr>
          <w:ilvl w:val="0"/>
          <w:numId w:val="14"/>
        </w:numPr>
        <w:jc w:val="both"/>
        <w:rPr>
          <w:rFonts w:asciiTheme="majorBidi" w:hAnsiTheme="majorBidi" w:cstheme="majorBidi"/>
        </w:rPr>
      </w:pPr>
      <w:r>
        <w:rPr>
          <w:rStyle w:val="Strong"/>
          <w:rFonts w:asciiTheme="majorBidi" w:hAnsiTheme="majorBidi" w:cstheme="majorBidi"/>
          <w:b w:val="0"/>
          <w:bCs w:val="0"/>
        </w:rPr>
        <w:t>Urge</w:t>
      </w:r>
      <w:r w:rsidR="002226FE" w:rsidRPr="002226FE">
        <w:rPr>
          <w:rStyle w:val="Strong"/>
          <w:rFonts w:asciiTheme="majorBidi" w:hAnsiTheme="majorBidi" w:cstheme="majorBidi"/>
          <w:b w:val="0"/>
          <w:bCs w:val="0"/>
        </w:rPr>
        <w:t xml:space="preserve"> the Government and the Parliament to enact national legislation that defines the crimes of genocide and crimes against humanity, imposes appropriate penalties on perpetrators, and recognizes the practice of enforced disappearance</w:t>
      </w:r>
      <w:r w:rsidR="00000466">
        <w:rPr>
          <w:rStyle w:val="Strong"/>
          <w:rFonts w:asciiTheme="majorBidi" w:hAnsiTheme="majorBidi" w:cstheme="majorBidi"/>
          <w:b w:val="0"/>
          <w:bCs w:val="0"/>
        </w:rPr>
        <w:t xml:space="preserve"> as a crime</w:t>
      </w:r>
      <w:r w:rsidR="002226FE" w:rsidRPr="002226FE">
        <w:rPr>
          <w:rStyle w:val="Strong"/>
          <w:rFonts w:asciiTheme="majorBidi" w:hAnsiTheme="majorBidi" w:cstheme="majorBidi"/>
          <w:b w:val="0"/>
          <w:bCs w:val="0"/>
        </w:rPr>
        <w:t xml:space="preserve"> on a widespread and </w:t>
      </w:r>
      <w:r w:rsidR="002226FE" w:rsidRPr="00000466">
        <w:rPr>
          <w:rStyle w:val="Strong"/>
          <w:rFonts w:asciiTheme="majorBidi" w:hAnsiTheme="majorBidi" w:cstheme="majorBidi"/>
          <w:b w:val="0"/>
          <w:bCs w:val="0"/>
        </w:rPr>
        <w:t>systematic scale as constituting such crimes in accordance with the aforementioned characterization.</w:t>
      </w:r>
    </w:p>
    <w:p w:rsidR="003A676E" w:rsidRPr="00BB405B" w:rsidRDefault="003A676E" w:rsidP="00BB405B">
      <w:pPr>
        <w:spacing w:after="0" w:line="240" w:lineRule="auto"/>
        <w:jc w:val="both"/>
        <w:rPr>
          <w:rFonts w:asciiTheme="majorBidi" w:eastAsia="Times New Roman" w:hAnsiTheme="majorBidi" w:cstheme="majorBidi"/>
          <w:sz w:val="24"/>
          <w:szCs w:val="24"/>
          <w:lang w:bidi="ar-IQ"/>
        </w:rPr>
      </w:pPr>
    </w:p>
    <w:p w:rsidR="00C107C6" w:rsidRPr="00380E3B" w:rsidRDefault="00C107C6" w:rsidP="00380E3B">
      <w:pPr>
        <w:pStyle w:val="Heading1"/>
        <w:rPr>
          <w:rFonts w:asciiTheme="majorBidi" w:eastAsia="Times New Roman" w:hAnsiTheme="majorBidi"/>
          <w:b/>
          <w:bCs/>
          <w:sz w:val="24"/>
          <w:szCs w:val="24"/>
        </w:rPr>
      </w:pPr>
      <w:bookmarkStart w:id="18" w:name="_Toc202559281"/>
      <w:bookmarkStart w:id="19" w:name="_Toc202559461"/>
      <w:r w:rsidRPr="00380E3B">
        <w:rPr>
          <w:rFonts w:asciiTheme="majorBidi" w:eastAsia="Times New Roman" w:hAnsiTheme="majorBidi"/>
          <w:b/>
          <w:bCs/>
          <w:sz w:val="24"/>
          <w:szCs w:val="24"/>
        </w:rPr>
        <w:t>IV. Criminal Re</w:t>
      </w:r>
      <w:r w:rsidR="000C6470" w:rsidRPr="00380E3B">
        <w:rPr>
          <w:rFonts w:asciiTheme="majorBidi" w:eastAsia="Times New Roman" w:hAnsiTheme="majorBidi"/>
          <w:b/>
          <w:bCs/>
          <w:sz w:val="24"/>
          <w:szCs w:val="24"/>
        </w:rPr>
        <w:t>sponsibility of Superiors</w:t>
      </w:r>
      <w:r w:rsidRPr="00380E3B">
        <w:rPr>
          <w:rFonts w:asciiTheme="majorBidi" w:eastAsia="Times New Roman" w:hAnsiTheme="majorBidi"/>
          <w:b/>
          <w:bCs/>
          <w:sz w:val="24"/>
          <w:szCs w:val="24"/>
        </w:rPr>
        <w:t xml:space="preserve"> an</w:t>
      </w:r>
      <w:r w:rsidR="00783471" w:rsidRPr="00380E3B">
        <w:rPr>
          <w:rFonts w:asciiTheme="majorBidi" w:eastAsia="Times New Roman" w:hAnsiTheme="majorBidi"/>
          <w:b/>
          <w:bCs/>
          <w:sz w:val="24"/>
          <w:szCs w:val="24"/>
        </w:rPr>
        <w:t>d Due Obedience</w:t>
      </w:r>
      <w:bookmarkEnd w:id="18"/>
      <w:bookmarkEnd w:id="19"/>
    </w:p>
    <w:p w:rsidR="000C6470" w:rsidRPr="00BB405B" w:rsidRDefault="00C107C6" w:rsidP="00BE6518">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 xml:space="preserve">The </w:t>
      </w:r>
      <w:r w:rsidR="00783471">
        <w:rPr>
          <w:rFonts w:asciiTheme="majorBidi" w:eastAsia="Times New Roman" w:hAnsiTheme="majorBidi" w:cstheme="majorBidi"/>
          <w:sz w:val="24"/>
          <w:szCs w:val="24"/>
        </w:rPr>
        <w:t>IHCHR</w:t>
      </w:r>
      <w:r w:rsidR="0041145B" w:rsidRPr="0041145B">
        <w:rPr>
          <w:rFonts w:asciiTheme="majorBidi" w:hAnsiTheme="majorBidi" w:cstheme="majorBidi"/>
          <w:sz w:val="24"/>
          <w:szCs w:val="24"/>
        </w:rPr>
        <w:t xml:space="preserve"> noted that the applicable national legislation remains inconsistent with the Convention regarding the responsibility of </w:t>
      </w:r>
      <w:r w:rsidR="00BF29B3" w:rsidRPr="00BF29B3">
        <w:rPr>
          <w:rFonts w:asciiTheme="majorBidi" w:eastAsia="Times New Roman" w:hAnsiTheme="majorBidi" w:cstheme="majorBidi"/>
          <w:sz w:val="24"/>
          <w:szCs w:val="24"/>
        </w:rPr>
        <w:t>Superiors</w:t>
      </w:r>
      <w:r w:rsidR="00BF29B3" w:rsidRPr="00BB405B">
        <w:rPr>
          <w:rFonts w:asciiTheme="majorBidi" w:eastAsia="Times New Roman" w:hAnsiTheme="majorBidi" w:cstheme="majorBidi"/>
          <w:b/>
          <w:bCs/>
          <w:sz w:val="24"/>
          <w:szCs w:val="24"/>
        </w:rPr>
        <w:t xml:space="preserve"> </w:t>
      </w:r>
      <w:r w:rsidR="0041145B" w:rsidRPr="0041145B">
        <w:rPr>
          <w:rFonts w:asciiTheme="majorBidi" w:hAnsiTheme="majorBidi" w:cstheme="majorBidi"/>
          <w:sz w:val="24"/>
          <w:szCs w:val="24"/>
        </w:rPr>
        <w:t>who issue orders, and is not fully aligned with the obligations arising under Article 6 of the Convention. Article 40 of the Iraqi</w:t>
      </w:r>
      <w:r w:rsidR="00BF29B3">
        <w:rPr>
          <w:rFonts w:asciiTheme="majorBidi" w:hAnsiTheme="majorBidi" w:cstheme="majorBidi"/>
          <w:sz w:val="24"/>
          <w:szCs w:val="24"/>
        </w:rPr>
        <w:t xml:space="preserve"> Penal Code No. (111 of 1969</w:t>
      </w:r>
      <w:r w:rsidR="0041145B" w:rsidRPr="0041145B">
        <w:rPr>
          <w:rFonts w:asciiTheme="majorBidi" w:hAnsiTheme="majorBidi" w:cstheme="majorBidi"/>
          <w:sz w:val="24"/>
          <w:szCs w:val="24"/>
        </w:rPr>
        <w:t xml:space="preserve"> amended), which states that 'no crime is deemed to have occurred if the act was committed pursuant to an order issued by a superio</w:t>
      </w:r>
      <w:r w:rsidR="00E12DD4">
        <w:rPr>
          <w:rFonts w:asciiTheme="majorBidi" w:hAnsiTheme="majorBidi" w:cstheme="majorBidi"/>
          <w:sz w:val="24"/>
          <w:szCs w:val="24"/>
        </w:rPr>
        <w:t>r whose obedience is mandatory</w:t>
      </w:r>
      <w:r w:rsidR="00E12DD4">
        <w:rPr>
          <w:rStyle w:val="FootnoteReference"/>
          <w:rFonts w:asciiTheme="majorBidi" w:hAnsiTheme="majorBidi" w:cstheme="majorBidi"/>
          <w:sz w:val="24"/>
          <w:szCs w:val="24"/>
        </w:rPr>
        <w:footnoteReference w:id="2"/>
      </w:r>
      <w:r w:rsidR="00E12DD4">
        <w:rPr>
          <w:rFonts w:asciiTheme="majorBidi" w:hAnsiTheme="majorBidi" w:cstheme="majorBidi"/>
          <w:sz w:val="24"/>
          <w:szCs w:val="24"/>
        </w:rPr>
        <w:t>,</w:t>
      </w:r>
      <w:r w:rsidR="0041145B" w:rsidRPr="0041145B">
        <w:rPr>
          <w:rFonts w:asciiTheme="majorBidi" w:hAnsiTheme="majorBidi" w:cstheme="majorBidi"/>
          <w:sz w:val="24"/>
          <w:szCs w:val="24"/>
        </w:rPr>
        <w:t xml:space="preserve"> remains in force. Furthermore, a public official or a member of the security forces is not brought to justice for committing a punishable offense during the performance of his assigned duties unless his immediate superior grants approval, in accordance with the internal regulations issued by the respective security agencies."</w:t>
      </w:r>
    </w:p>
    <w:p w:rsidR="00C107C6" w:rsidRPr="00BB405B" w:rsidRDefault="00C41106" w:rsidP="00C41106">
      <w:pPr>
        <w:spacing w:before="100" w:beforeAutospacing="1" w:after="100" w:afterAutospacing="1" w:line="24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While t</w:t>
      </w:r>
      <w:r w:rsidR="00C107C6" w:rsidRPr="00BB405B">
        <w:rPr>
          <w:rFonts w:asciiTheme="majorBidi" w:eastAsia="Times New Roman" w:hAnsiTheme="majorBidi" w:cstheme="majorBidi"/>
          <w:sz w:val="24"/>
          <w:szCs w:val="24"/>
        </w:rPr>
        <w:t>he Commission observes that Article 14 of the draft Law on Combating Enforced Disappearance is consistent with Article 6 of the Convention, it recommends the inclusion of an additional provision stipulating that:</w:t>
      </w:r>
      <w:r>
        <w:rPr>
          <w:rFonts w:asciiTheme="majorBidi" w:eastAsia="Times New Roman" w:hAnsiTheme="majorBidi" w:cstheme="majorBidi"/>
          <w:sz w:val="24"/>
          <w:szCs w:val="24"/>
        </w:rPr>
        <w:t xml:space="preserve"> </w:t>
      </w:r>
      <w:r w:rsidR="00C107C6" w:rsidRPr="00BB405B">
        <w:rPr>
          <w:rFonts w:asciiTheme="majorBidi" w:eastAsia="Times New Roman" w:hAnsiTheme="majorBidi" w:cstheme="majorBidi"/>
          <w:i/>
          <w:iCs/>
          <w:sz w:val="24"/>
          <w:szCs w:val="24"/>
        </w:rPr>
        <w:t>"No order or instruction from any public, civilian, or military authority may be invoked to justify enforced disappearance, whether under exceptional or ordinary circumstances, as an exception to Articles 39 and 40 of the Iraqi Penal Code No. 111 of 1969."</w:t>
      </w:r>
    </w:p>
    <w:p w:rsidR="00BE6518" w:rsidRPr="00BB405B" w:rsidRDefault="00C107C6" w:rsidP="003D2E16">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lastRenderedPageBreak/>
        <w:t xml:space="preserve">The Commission </w:t>
      </w:r>
      <w:r w:rsidR="00F23059">
        <w:rPr>
          <w:rFonts w:asciiTheme="majorBidi" w:eastAsia="Times New Roman" w:hAnsiTheme="majorBidi" w:cstheme="majorBidi"/>
          <w:sz w:val="24"/>
          <w:szCs w:val="24"/>
        </w:rPr>
        <w:t>sees</w:t>
      </w:r>
      <w:r w:rsidRPr="00BB405B">
        <w:rPr>
          <w:rFonts w:asciiTheme="majorBidi" w:eastAsia="Times New Roman" w:hAnsiTheme="majorBidi" w:cstheme="majorBidi"/>
          <w:sz w:val="24"/>
          <w:szCs w:val="24"/>
        </w:rPr>
        <w:t xml:space="preserve"> that the provisions on criminal responsibility outlined in Article 6 of the Convention cannot be effectively applied in Iraq in the absence of legislation explicitly criminalizing enforced disappearance. As a result, current criminal responsibility is limited to acts of abduction and unlawful deprivation of liberty as defined in the Penal Code.</w:t>
      </w:r>
    </w:p>
    <w:p w:rsidR="00C107C6" w:rsidRPr="00BB405B" w:rsidRDefault="00C107C6" w:rsidP="00BB405B">
      <w:pPr>
        <w:spacing w:after="0" w:line="240" w:lineRule="auto"/>
        <w:jc w:val="both"/>
        <w:rPr>
          <w:rFonts w:asciiTheme="majorBidi" w:eastAsia="Times New Roman" w:hAnsiTheme="majorBidi" w:cstheme="majorBidi"/>
          <w:sz w:val="24"/>
          <w:szCs w:val="24"/>
        </w:rPr>
      </w:pPr>
    </w:p>
    <w:p w:rsidR="00C107C6" w:rsidRPr="00380E3B" w:rsidRDefault="00C107C6" w:rsidP="00380E3B">
      <w:pPr>
        <w:pStyle w:val="Heading2"/>
        <w:rPr>
          <w:rFonts w:asciiTheme="majorBidi" w:eastAsia="Times New Roman" w:hAnsiTheme="majorBidi"/>
          <w:b/>
          <w:bCs/>
          <w:sz w:val="24"/>
          <w:szCs w:val="24"/>
        </w:rPr>
      </w:pPr>
      <w:bookmarkStart w:id="20" w:name="_Toc202559282"/>
      <w:bookmarkStart w:id="21" w:name="_Toc202559462"/>
      <w:r w:rsidRPr="00380E3B">
        <w:rPr>
          <w:rFonts w:asciiTheme="majorBidi" w:eastAsia="Times New Roman" w:hAnsiTheme="majorBidi"/>
          <w:b/>
          <w:bCs/>
          <w:sz w:val="24"/>
          <w:szCs w:val="24"/>
        </w:rPr>
        <w:t>Recommendations:</w:t>
      </w:r>
      <w:bookmarkEnd w:id="20"/>
      <w:bookmarkEnd w:id="21"/>
    </w:p>
    <w:p w:rsidR="00C107C6" w:rsidRPr="00BB405B" w:rsidRDefault="00C107C6" w:rsidP="00BB405B">
      <w:pPr>
        <w:numPr>
          <w:ilvl w:val="0"/>
          <w:numId w:val="4"/>
        </w:num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 xml:space="preserve">Urge the Iraqi Council of Representatives to amend Article 40 of the </w:t>
      </w:r>
      <w:r w:rsidR="00B14918">
        <w:rPr>
          <w:rFonts w:asciiTheme="majorBidi" w:eastAsia="Times New Roman" w:hAnsiTheme="majorBidi" w:cstheme="majorBidi"/>
          <w:sz w:val="24"/>
          <w:szCs w:val="24"/>
        </w:rPr>
        <w:t xml:space="preserve">Iraqi </w:t>
      </w:r>
      <w:r w:rsidRPr="00BB405B">
        <w:rPr>
          <w:rFonts w:asciiTheme="majorBidi" w:eastAsia="Times New Roman" w:hAnsiTheme="majorBidi" w:cstheme="majorBidi"/>
          <w:sz w:val="24"/>
          <w:szCs w:val="24"/>
        </w:rPr>
        <w:t>Penal Code to bring it into conformity with Article 6 of the Convention.</w:t>
      </w:r>
    </w:p>
    <w:p w:rsidR="00C107C6" w:rsidRDefault="00C107C6" w:rsidP="00BB405B">
      <w:pPr>
        <w:numPr>
          <w:ilvl w:val="0"/>
          <w:numId w:val="4"/>
        </w:num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Recommend the inclusion of a provision in the draft Law on Combating Enforced Disappearance explicitly stating that no order or instruction issued by any public, civilian, or military authority may be invoked to justify acts of enforced disappearance, whether in exceptional or ordinary circumstances, as an exception to Articles 39 and 40 of the Iraqi Penal Code No. 111 of 1969.</w:t>
      </w:r>
    </w:p>
    <w:p w:rsidR="00C107C6" w:rsidRPr="00BB405B" w:rsidRDefault="00C107C6" w:rsidP="00BB405B">
      <w:pPr>
        <w:spacing w:before="100" w:beforeAutospacing="1" w:after="100" w:afterAutospacing="1" w:line="240" w:lineRule="auto"/>
        <w:jc w:val="both"/>
        <w:rPr>
          <w:rFonts w:asciiTheme="majorBidi" w:eastAsia="Times New Roman" w:hAnsiTheme="majorBidi" w:cstheme="majorBidi"/>
          <w:sz w:val="24"/>
          <w:szCs w:val="24"/>
          <w:rtl/>
          <w:lang w:bidi="ar-IQ"/>
        </w:rPr>
      </w:pPr>
    </w:p>
    <w:p w:rsidR="006C0072" w:rsidRPr="00380E3B" w:rsidRDefault="006C0072" w:rsidP="00380E3B">
      <w:pPr>
        <w:pStyle w:val="Heading1"/>
        <w:rPr>
          <w:rFonts w:asciiTheme="majorBidi" w:eastAsia="Times New Roman" w:hAnsiTheme="majorBidi"/>
          <w:b/>
          <w:bCs/>
          <w:sz w:val="24"/>
          <w:szCs w:val="24"/>
        </w:rPr>
      </w:pPr>
      <w:bookmarkStart w:id="22" w:name="_Toc202559283"/>
      <w:bookmarkStart w:id="23" w:name="_Toc202559463"/>
      <w:r w:rsidRPr="00380E3B">
        <w:rPr>
          <w:rFonts w:asciiTheme="majorBidi" w:eastAsia="Times New Roman" w:hAnsiTheme="majorBidi"/>
          <w:b/>
          <w:bCs/>
          <w:sz w:val="24"/>
          <w:szCs w:val="24"/>
        </w:rPr>
        <w:t xml:space="preserve">V. Measures Taken by the State to Prevent Enforced Disappearance, Locate Disappeared Persons, and Protect Complainants and Persons Involved in </w:t>
      </w:r>
      <w:r w:rsidR="0023031D" w:rsidRPr="00380E3B">
        <w:rPr>
          <w:rFonts w:asciiTheme="majorBidi" w:eastAsia="Times New Roman" w:hAnsiTheme="majorBidi"/>
          <w:b/>
          <w:bCs/>
          <w:sz w:val="24"/>
          <w:szCs w:val="24"/>
        </w:rPr>
        <w:t>the Investigation</w:t>
      </w:r>
      <w:bookmarkEnd w:id="22"/>
      <w:bookmarkEnd w:id="23"/>
    </w:p>
    <w:p w:rsidR="006C0072" w:rsidRPr="00BB405B" w:rsidRDefault="006C0072" w:rsidP="00901914">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 xml:space="preserve">Article </w:t>
      </w:r>
      <w:r w:rsidR="005B0C8F">
        <w:rPr>
          <w:rFonts w:asciiTheme="majorBidi" w:eastAsia="Times New Roman" w:hAnsiTheme="majorBidi" w:cstheme="majorBidi"/>
          <w:sz w:val="24"/>
          <w:szCs w:val="24"/>
        </w:rPr>
        <w:t>(19\ Twelfth</w:t>
      </w:r>
      <w:r w:rsidR="003C4456">
        <w:rPr>
          <w:rFonts w:asciiTheme="majorBidi" w:eastAsia="Times New Roman" w:hAnsiTheme="majorBidi" w:cstheme="majorBidi"/>
          <w:sz w:val="24"/>
          <w:szCs w:val="24"/>
        </w:rPr>
        <w:t xml:space="preserve"> - </w:t>
      </w:r>
      <w:r w:rsidRPr="00BB405B">
        <w:rPr>
          <w:rFonts w:asciiTheme="majorBidi" w:eastAsia="Times New Roman" w:hAnsiTheme="majorBidi" w:cstheme="majorBidi"/>
          <w:sz w:val="24"/>
          <w:szCs w:val="24"/>
        </w:rPr>
        <w:t xml:space="preserve">b) of the Iraqi Constitution prohibits the detention or arrest of any person outside legally designated places of detention. However, the Commission has observed that the administration of prisons and detention centers is distributed among multiple authorities, including the Ministry of Justice (represented by the Iraqi </w:t>
      </w:r>
      <w:r w:rsidR="00901914">
        <w:rPr>
          <w:rFonts w:asciiTheme="majorBidi" w:eastAsia="Times New Roman" w:hAnsiTheme="majorBidi" w:cstheme="majorBidi"/>
          <w:sz w:val="24"/>
          <w:szCs w:val="24"/>
        </w:rPr>
        <w:t>Reform</w:t>
      </w:r>
      <w:r w:rsidRPr="00BB405B">
        <w:rPr>
          <w:rFonts w:asciiTheme="majorBidi" w:eastAsia="Times New Roman" w:hAnsiTheme="majorBidi" w:cstheme="majorBidi"/>
          <w:sz w:val="24"/>
          <w:szCs w:val="24"/>
        </w:rPr>
        <w:t xml:space="preserve"> Directorate and the Juvenile Reform Directorate), the Ministry of Defense (in Baghdad and other governorates, excluding the Kurdistan Region, which operates its own security system and pretrial detention facilities), and the Ministry of Interior, which, pursuant to Inmates and Detainees Reform Law No. 14 of 2018, manages a number of prisons and pretrial detention facilities with legal legitimacy.</w:t>
      </w:r>
    </w:p>
    <w:p w:rsidR="00726EB5" w:rsidRPr="00BB405B" w:rsidRDefault="006C0072" w:rsidP="00D0150C">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It is worth noting that while the Ministry of Interior is responsible for executing judicial arrest warrants, its involvement in investigations contradicts the principle of separation of powers as established in Article 47 of the 2005 Constitution. Investigation is the exclusive competence of the judiciary. Moreover, the administration of prisons and detention facilities by the Ministry of Defense or any other security entity constitutes a clear violation of the aforementioned law.</w:t>
      </w:r>
    </w:p>
    <w:p w:rsidR="00D0150C" w:rsidRPr="002C0C8D" w:rsidRDefault="00117B91" w:rsidP="002C0C8D">
      <w:pPr>
        <w:spacing w:before="100" w:beforeAutospacing="1" w:after="100" w:afterAutospacing="1" w:line="240" w:lineRule="auto"/>
        <w:jc w:val="both"/>
        <w:rPr>
          <w:rFonts w:asciiTheme="majorBidi" w:eastAsia="Times New Roman" w:hAnsiTheme="majorBidi" w:cstheme="majorBidi"/>
          <w:sz w:val="28"/>
          <w:szCs w:val="28"/>
        </w:rPr>
      </w:pPr>
      <w:r w:rsidRPr="00117B91">
        <w:rPr>
          <w:rFonts w:asciiTheme="majorBidi" w:hAnsiTheme="majorBidi" w:cstheme="majorBidi"/>
          <w:sz w:val="24"/>
          <w:szCs w:val="24"/>
        </w:rPr>
        <w:t>It is noted that many convicted adults and juveniles who have received custodial sentences remain held in prisons operated by the Ministry of Interior,</w:t>
      </w:r>
      <w:r w:rsidR="008573BC">
        <w:rPr>
          <w:rFonts w:asciiTheme="majorBidi" w:hAnsiTheme="majorBidi" w:cstheme="majorBidi"/>
          <w:sz w:val="24"/>
          <w:szCs w:val="24"/>
        </w:rPr>
        <w:t xml:space="preserve"> due to the limited capacity of</w:t>
      </w:r>
      <w:r w:rsidRPr="00117B91">
        <w:rPr>
          <w:rFonts w:asciiTheme="majorBidi" w:hAnsiTheme="majorBidi" w:cstheme="majorBidi"/>
          <w:sz w:val="24"/>
          <w:szCs w:val="24"/>
        </w:rPr>
        <w:t xml:space="preserve"> the Iraqi </w:t>
      </w:r>
      <w:r w:rsidR="008573BC">
        <w:rPr>
          <w:rFonts w:asciiTheme="majorBidi" w:hAnsiTheme="majorBidi" w:cstheme="majorBidi"/>
          <w:sz w:val="24"/>
          <w:szCs w:val="24"/>
        </w:rPr>
        <w:t>Reform</w:t>
      </w:r>
      <w:r w:rsidRPr="00117B91">
        <w:rPr>
          <w:rFonts w:asciiTheme="majorBidi" w:hAnsiTheme="majorBidi" w:cstheme="majorBidi"/>
          <w:sz w:val="24"/>
          <w:szCs w:val="24"/>
        </w:rPr>
        <w:t xml:space="preserve"> Directorate. This has led to overcrowding, which negatively affects the overall functions and responsibilities of these institutions, foremost among them the rehabilitation and </w:t>
      </w:r>
      <w:r w:rsidR="00B142A2">
        <w:rPr>
          <w:rFonts w:asciiTheme="majorBidi" w:hAnsiTheme="majorBidi" w:cstheme="majorBidi"/>
          <w:sz w:val="24"/>
          <w:szCs w:val="24"/>
        </w:rPr>
        <w:t>reform</w:t>
      </w:r>
      <w:r w:rsidRPr="00117B91">
        <w:rPr>
          <w:rFonts w:asciiTheme="majorBidi" w:hAnsiTheme="majorBidi" w:cstheme="majorBidi"/>
          <w:sz w:val="24"/>
          <w:szCs w:val="24"/>
        </w:rPr>
        <w:t xml:space="preserve"> of inmates and detainees. In this regard, the </w:t>
      </w:r>
      <w:r w:rsidR="00FA73A9">
        <w:rPr>
          <w:rFonts w:asciiTheme="majorBidi" w:hAnsiTheme="majorBidi" w:cstheme="majorBidi"/>
          <w:sz w:val="24"/>
          <w:szCs w:val="24"/>
        </w:rPr>
        <w:t>IHCHR</w:t>
      </w:r>
      <w:r w:rsidRPr="00117B91">
        <w:rPr>
          <w:rFonts w:asciiTheme="majorBidi" w:hAnsiTheme="majorBidi" w:cstheme="majorBidi"/>
          <w:sz w:val="24"/>
          <w:szCs w:val="24"/>
        </w:rPr>
        <w:t xml:space="preserve"> reaffirms the necessity for the Ministry of Justice to fulfill its legal obligations by receiving the large numbers of convicted adults and juveniles from the Ministry of Interior's prisons, in accordance </w:t>
      </w:r>
      <w:r w:rsidR="002C0C8D">
        <w:rPr>
          <w:rFonts w:asciiTheme="majorBidi" w:hAnsiTheme="majorBidi" w:cstheme="majorBidi"/>
          <w:sz w:val="24"/>
          <w:szCs w:val="24"/>
        </w:rPr>
        <w:t>with the provisions of the law.</w:t>
      </w:r>
    </w:p>
    <w:p w:rsidR="006C0072" w:rsidRPr="00BB405B" w:rsidRDefault="006C0072" w:rsidP="008C5F47">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 xml:space="preserve">The </w:t>
      </w:r>
      <w:r w:rsidR="008C5F47">
        <w:rPr>
          <w:rFonts w:asciiTheme="majorBidi" w:eastAsia="Times New Roman" w:hAnsiTheme="majorBidi" w:cstheme="majorBidi"/>
          <w:sz w:val="24"/>
          <w:szCs w:val="24"/>
        </w:rPr>
        <w:t>IHCHR</w:t>
      </w:r>
      <w:r w:rsidRPr="00BB405B">
        <w:rPr>
          <w:rFonts w:asciiTheme="majorBidi" w:eastAsia="Times New Roman" w:hAnsiTheme="majorBidi" w:cstheme="majorBidi"/>
          <w:sz w:val="24"/>
          <w:szCs w:val="24"/>
        </w:rPr>
        <w:t xml:space="preserve"> further notes that prison authorities do not cons</w:t>
      </w:r>
      <w:r w:rsidR="005B0C8F">
        <w:rPr>
          <w:rFonts w:asciiTheme="majorBidi" w:eastAsia="Times New Roman" w:hAnsiTheme="majorBidi" w:cstheme="majorBidi"/>
          <w:sz w:val="24"/>
          <w:szCs w:val="24"/>
        </w:rPr>
        <w:t>istently comply with Article 5/ Fifth</w:t>
      </w:r>
      <w:r w:rsidRPr="00BB405B">
        <w:rPr>
          <w:rFonts w:asciiTheme="majorBidi" w:eastAsia="Times New Roman" w:hAnsiTheme="majorBidi" w:cstheme="majorBidi"/>
          <w:sz w:val="24"/>
          <w:szCs w:val="24"/>
        </w:rPr>
        <w:t xml:space="preserve"> of the Commission’s Law No. 53 of 2008, which stipulates:</w:t>
      </w:r>
      <w:r w:rsidR="00FA73A9">
        <w:rPr>
          <w:rFonts w:asciiTheme="majorBidi" w:eastAsia="Times New Roman" w:hAnsiTheme="majorBidi" w:cstheme="majorBidi"/>
          <w:sz w:val="24"/>
          <w:szCs w:val="24"/>
        </w:rPr>
        <w:t xml:space="preserve"> </w:t>
      </w:r>
      <w:r w:rsidRPr="00BB405B">
        <w:rPr>
          <w:rFonts w:asciiTheme="majorBidi" w:eastAsia="Times New Roman" w:hAnsiTheme="majorBidi" w:cstheme="majorBidi"/>
          <w:i/>
          <w:iCs/>
          <w:sz w:val="24"/>
          <w:szCs w:val="24"/>
        </w:rPr>
        <w:t xml:space="preserve">"The Commission shall conduct visits </w:t>
      </w:r>
      <w:r w:rsidRPr="00BB405B">
        <w:rPr>
          <w:rFonts w:asciiTheme="majorBidi" w:eastAsia="Times New Roman" w:hAnsiTheme="majorBidi" w:cstheme="majorBidi"/>
          <w:i/>
          <w:iCs/>
          <w:sz w:val="24"/>
          <w:szCs w:val="24"/>
        </w:rPr>
        <w:lastRenderedPageBreak/>
        <w:t xml:space="preserve">to prisons, social reform centers, detention facilities, and all other places without the need for prior </w:t>
      </w:r>
      <w:r w:rsidR="008C5F47">
        <w:rPr>
          <w:rFonts w:asciiTheme="majorBidi" w:eastAsia="Times New Roman" w:hAnsiTheme="majorBidi" w:cstheme="majorBidi"/>
          <w:i/>
          <w:iCs/>
          <w:sz w:val="24"/>
          <w:szCs w:val="24"/>
        </w:rPr>
        <w:t>permission</w:t>
      </w:r>
      <w:r w:rsidR="008C5F47" w:rsidRPr="00BB405B">
        <w:rPr>
          <w:rFonts w:asciiTheme="majorBidi" w:eastAsia="Times New Roman" w:hAnsiTheme="majorBidi" w:cstheme="majorBidi"/>
          <w:i/>
          <w:iCs/>
          <w:sz w:val="24"/>
          <w:szCs w:val="24"/>
        </w:rPr>
        <w:t xml:space="preserve"> </w:t>
      </w:r>
      <w:r w:rsidRPr="00BB405B">
        <w:rPr>
          <w:rFonts w:asciiTheme="majorBidi" w:eastAsia="Times New Roman" w:hAnsiTheme="majorBidi" w:cstheme="majorBidi"/>
          <w:i/>
          <w:iCs/>
          <w:sz w:val="24"/>
          <w:szCs w:val="24"/>
        </w:rPr>
        <w:t>from the concerned authorities, to meet with detainees and prisoners, document human rights violations, and refer such findings to the competent authorities for appropriate legal action."</w:t>
      </w:r>
      <w:r w:rsidR="00FA73A9">
        <w:rPr>
          <w:rFonts w:asciiTheme="majorBidi" w:eastAsia="Times New Roman" w:hAnsiTheme="majorBidi" w:cstheme="majorBidi"/>
          <w:i/>
          <w:iCs/>
          <w:sz w:val="24"/>
          <w:szCs w:val="24"/>
        </w:rPr>
        <w:t xml:space="preserve"> </w:t>
      </w:r>
      <w:r w:rsidRPr="00BB405B">
        <w:rPr>
          <w:rFonts w:asciiTheme="majorBidi" w:eastAsia="Times New Roman" w:hAnsiTheme="majorBidi" w:cstheme="majorBidi"/>
          <w:sz w:val="24"/>
          <w:szCs w:val="24"/>
        </w:rPr>
        <w:t>This provision is only implemented in a very limited manner.</w:t>
      </w:r>
    </w:p>
    <w:p w:rsidR="00351B55" w:rsidRPr="00F128A2" w:rsidRDefault="008A2D38" w:rsidP="00351B55">
      <w:pPr>
        <w:spacing w:line="240" w:lineRule="auto"/>
        <w:jc w:val="both"/>
        <w:rPr>
          <w:rFonts w:ascii="Arial" w:eastAsia="Times New Roman" w:hAnsi="Arial"/>
          <w:sz w:val="28"/>
          <w:szCs w:val="28"/>
          <w:lang w:bidi="ar-AE"/>
        </w:rPr>
      </w:pPr>
      <w:r w:rsidRPr="00157EC1">
        <w:rPr>
          <w:rFonts w:asciiTheme="majorBidi" w:hAnsiTheme="majorBidi" w:cstheme="majorBidi"/>
          <w:sz w:val="24"/>
          <w:szCs w:val="24"/>
        </w:rPr>
        <w:t>While the Commission’s monitoring teams observed that prison administrations generally comply with the maintenance of various records as stipulated in Article (8/Fourth) of the Law on the Reform of Inmates and Detainees—wherein records such as the main register, inmate name register, daily inspection register, detainee transfer register, medical examination register, communication register, family visitation register, food provision register, charge notification register, and others are usually maintained by the administration, whether printed or organized, and often electronically archived—the Commission also noted that certain entities, particularly the Ministries of Interior and Defense, do not maintain records that meet the aforementioned standards in most of the prisons and pretrial detention facilities under their administration. This practice is inconsistent with the requirements of the said article, as manually entered records are susceptible to data manipulation, including erasure, overwriting, and number alteration. These records constitute essential safeguards that contribute to preventing cases of administrative (unlawful) detention, secret detention, enforced disappearance, and d</w:t>
      </w:r>
      <w:r w:rsidR="00157EC1">
        <w:rPr>
          <w:rFonts w:asciiTheme="majorBidi" w:hAnsiTheme="majorBidi" w:cstheme="majorBidi"/>
          <w:sz w:val="24"/>
          <w:szCs w:val="24"/>
        </w:rPr>
        <w:t>eprivation of legal protection.</w:t>
      </w:r>
      <w:r w:rsidR="007C098C" w:rsidRPr="00F02429">
        <w:rPr>
          <w:rFonts w:ascii="Arial" w:eastAsia="Times New Roman" w:hAnsi="Arial"/>
          <w:sz w:val="28"/>
          <w:szCs w:val="28"/>
          <w:rtl/>
          <w:lang w:bidi="ar-AE"/>
        </w:rPr>
        <w:t xml:space="preserve"> </w:t>
      </w:r>
    </w:p>
    <w:p w:rsidR="000762B0" w:rsidRDefault="006C0072" w:rsidP="000762B0">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The Commission further notes that full implementation of Article 17 of the Convention faces significant obstacles in Iraq due to the multiplicity of security bodies authorized by law to arrest and detain individuals. This fragmentation makes it difficult to ascertain the fate or whereabouts of detainees and to share such information with their relatives or legal representatives. Moreover, there is no unified system or centralized database covering all inmates an</w:t>
      </w:r>
      <w:r w:rsidR="000762B0">
        <w:rPr>
          <w:rFonts w:asciiTheme="majorBidi" w:eastAsia="Times New Roman" w:hAnsiTheme="majorBidi" w:cstheme="majorBidi"/>
          <w:sz w:val="24"/>
          <w:szCs w:val="24"/>
        </w:rPr>
        <w:t>d detainees across the country.</w:t>
      </w:r>
    </w:p>
    <w:p w:rsidR="003F10BF" w:rsidRDefault="000762B0" w:rsidP="00000466">
      <w:pPr>
        <w:spacing w:before="100" w:beforeAutospacing="1" w:after="100" w:afterAutospacing="1" w:line="240" w:lineRule="auto"/>
        <w:jc w:val="both"/>
        <w:rPr>
          <w:rFonts w:asciiTheme="majorBidi" w:eastAsia="Times New Roman" w:hAnsiTheme="majorBidi" w:cstheme="majorBidi"/>
          <w:sz w:val="24"/>
          <w:szCs w:val="24"/>
        </w:rPr>
      </w:pPr>
      <w:r w:rsidRPr="000762B0">
        <w:rPr>
          <w:rFonts w:asciiTheme="majorBidi" w:hAnsiTheme="majorBidi" w:cstheme="majorBidi"/>
          <w:sz w:val="24"/>
          <w:szCs w:val="24"/>
        </w:rPr>
        <w:t>The Commission has, on multiple occasions, requested to be provided with a database of inmates, detainees, and persons in pretrial detention in order to conduct searches for victims of enforced disappearance through information cross-checking, and to ensure that no secret detention centers or individuals held incommunicado exist within these prisons and pretrial detention facilities. However, these requests have been met with refusal by the National Security Advisory and other relevant detention authorities</w:t>
      </w:r>
      <w:r w:rsidR="002C0C8D">
        <w:rPr>
          <w:rStyle w:val="FootnoteReference"/>
          <w:rFonts w:asciiTheme="majorBidi" w:hAnsiTheme="majorBidi" w:cstheme="majorBidi"/>
          <w:sz w:val="24"/>
          <w:szCs w:val="24"/>
        </w:rPr>
        <w:footnoteReference w:id="3"/>
      </w:r>
      <w:r w:rsidRPr="000762B0">
        <w:rPr>
          <w:rFonts w:asciiTheme="majorBidi" w:hAnsiTheme="majorBidi" w:cstheme="majorBidi"/>
          <w:sz w:val="24"/>
          <w:szCs w:val="24"/>
        </w:rPr>
        <w:t>, despite the fact that such a procedure had previously been in place with the now-de</w:t>
      </w:r>
      <w:r>
        <w:rPr>
          <w:rFonts w:asciiTheme="majorBidi" w:hAnsiTheme="majorBidi" w:cstheme="majorBidi"/>
          <w:sz w:val="24"/>
          <w:szCs w:val="24"/>
        </w:rPr>
        <w:t>funct Ministry of Human Rights.</w:t>
      </w:r>
    </w:p>
    <w:p w:rsidR="00000466" w:rsidRDefault="00000466" w:rsidP="00000466">
      <w:pPr>
        <w:spacing w:before="100" w:beforeAutospacing="1" w:after="100" w:afterAutospacing="1" w:line="240" w:lineRule="auto"/>
        <w:jc w:val="both"/>
        <w:rPr>
          <w:rFonts w:asciiTheme="majorBidi" w:eastAsia="Times New Roman" w:hAnsiTheme="majorBidi" w:cstheme="majorBidi"/>
          <w:sz w:val="24"/>
          <w:szCs w:val="24"/>
        </w:rPr>
      </w:pPr>
    </w:p>
    <w:p w:rsidR="00000466" w:rsidRDefault="00000466" w:rsidP="00000466">
      <w:pPr>
        <w:spacing w:before="100" w:beforeAutospacing="1" w:after="100" w:afterAutospacing="1" w:line="240" w:lineRule="auto"/>
        <w:jc w:val="both"/>
        <w:rPr>
          <w:rFonts w:asciiTheme="majorBidi" w:eastAsia="Times New Roman" w:hAnsiTheme="majorBidi" w:cstheme="majorBidi"/>
          <w:sz w:val="24"/>
          <w:szCs w:val="24"/>
        </w:rPr>
      </w:pPr>
    </w:p>
    <w:p w:rsidR="00000466" w:rsidRDefault="00000466" w:rsidP="00000466">
      <w:pPr>
        <w:spacing w:before="100" w:beforeAutospacing="1" w:after="100" w:afterAutospacing="1" w:line="240" w:lineRule="auto"/>
        <w:jc w:val="both"/>
        <w:rPr>
          <w:rFonts w:asciiTheme="majorBidi" w:eastAsia="Times New Roman" w:hAnsiTheme="majorBidi" w:cstheme="majorBidi"/>
          <w:sz w:val="24"/>
          <w:szCs w:val="24"/>
        </w:rPr>
      </w:pPr>
    </w:p>
    <w:p w:rsidR="009E34CA" w:rsidRPr="009E34CA" w:rsidRDefault="009E34CA" w:rsidP="009E34CA">
      <w:pPr>
        <w:spacing w:before="100" w:beforeAutospacing="1" w:after="100" w:afterAutospacing="1" w:line="240" w:lineRule="auto"/>
        <w:jc w:val="both"/>
        <w:rPr>
          <w:rFonts w:ascii="Times New Roman" w:eastAsia="Times New Roman" w:hAnsi="Times New Roman" w:cs="Times New Roman"/>
          <w:sz w:val="24"/>
          <w:szCs w:val="24"/>
        </w:rPr>
      </w:pPr>
      <w:r w:rsidRPr="009E34CA">
        <w:rPr>
          <w:rFonts w:ascii="Times New Roman" w:eastAsia="Times New Roman" w:hAnsi="Times New Roman" w:cs="Times New Roman"/>
          <w:sz w:val="24"/>
          <w:szCs w:val="24"/>
        </w:rPr>
        <w:lastRenderedPageBreak/>
        <w:t>"The Commission’s monitoring teams have documented numerous practices indicating that detainees who have been accused but not convicted are not afforded legal protection, which may amount to indicators of enforced disappearance. These include</w:t>
      </w:r>
      <w:r w:rsidR="00C031E8">
        <w:rPr>
          <w:rStyle w:val="FootnoteReference"/>
          <w:rFonts w:ascii="Times New Roman" w:eastAsia="Times New Roman" w:hAnsi="Times New Roman" w:cs="Times New Roman"/>
          <w:sz w:val="24"/>
          <w:szCs w:val="24"/>
        </w:rPr>
        <w:footnoteReference w:id="4"/>
      </w:r>
      <w:r w:rsidRPr="009E34CA">
        <w:rPr>
          <w:rFonts w:ascii="Times New Roman" w:eastAsia="Times New Roman" w:hAnsi="Times New Roman" w:cs="Times New Roman"/>
          <w:sz w:val="24"/>
          <w:szCs w:val="24"/>
        </w:rPr>
        <w:t>:</w:t>
      </w:r>
    </w:p>
    <w:p w:rsidR="009E34CA" w:rsidRPr="009E34CA" w:rsidRDefault="009E34CA" w:rsidP="009E34CA">
      <w:pPr>
        <w:numPr>
          <w:ilvl w:val="0"/>
          <w:numId w:val="17"/>
        </w:numPr>
        <w:spacing w:before="100" w:beforeAutospacing="1" w:after="100" w:afterAutospacing="1" w:line="240" w:lineRule="auto"/>
        <w:jc w:val="both"/>
        <w:rPr>
          <w:rFonts w:ascii="Times New Roman" w:eastAsia="Times New Roman" w:hAnsi="Times New Roman" w:cs="Times New Roman"/>
          <w:sz w:val="24"/>
          <w:szCs w:val="24"/>
        </w:rPr>
      </w:pPr>
      <w:r w:rsidRPr="009E34CA">
        <w:rPr>
          <w:rFonts w:ascii="Times New Roman" w:eastAsia="Times New Roman" w:hAnsi="Times New Roman" w:cs="Times New Roman"/>
          <w:sz w:val="24"/>
          <w:szCs w:val="24"/>
        </w:rPr>
        <w:t>Arresting individuals without duly issued judicial arrest warrants.</w:t>
      </w:r>
    </w:p>
    <w:p w:rsidR="009E34CA" w:rsidRPr="009E34CA" w:rsidRDefault="009E34CA" w:rsidP="009E34CA">
      <w:pPr>
        <w:numPr>
          <w:ilvl w:val="0"/>
          <w:numId w:val="17"/>
        </w:numPr>
        <w:spacing w:before="100" w:beforeAutospacing="1" w:after="100" w:afterAutospacing="1" w:line="240" w:lineRule="auto"/>
        <w:jc w:val="both"/>
        <w:rPr>
          <w:rFonts w:ascii="Times New Roman" w:eastAsia="Times New Roman" w:hAnsi="Times New Roman" w:cs="Times New Roman"/>
          <w:sz w:val="24"/>
          <w:szCs w:val="24"/>
        </w:rPr>
      </w:pPr>
      <w:r w:rsidRPr="009E34CA">
        <w:rPr>
          <w:rFonts w:ascii="Times New Roman" w:eastAsia="Times New Roman" w:hAnsi="Times New Roman" w:cs="Times New Roman"/>
          <w:sz w:val="24"/>
          <w:szCs w:val="24"/>
        </w:rPr>
        <w:t>The Ministry of Defense, the Counter-Terrorism Service, and other security formations operating prisons and pretrial detention facilities in violation of the law.</w:t>
      </w:r>
    </w:p>
    <w:p w:rsidR="009E34CA" w:rsidRPr="009E34CA" w:rsidRDefault="009E34CA" w:rsidP="009E34CA">
      <w:pPr>
        <w:numPr>
          <w:ilvl w:val="0"/>
          <w:numId w:val="17"/>
        </w:numPr>
        <w:spacing w:before="100" w:beforeAutospacing="1" w:after="100" w:afterAutospacing="1" w:line="240" w:lineRule="auto"/>
        <w:jc w:val="both"/>
        <w:rPr>
          <w:rFonts w:ascii="Times New Roman" w:eastAsia="Times New Roman" w:hAnsi="Times New Roman" w:cs="Times New Roman"/>
          <w:sz w:val="24"/>
          <w:szCs w:val="24"/>
        </w:rPr>
      </w:pPr>
      <w:r w:rsidRPr="009E34CA">
        <w:rPr>
          <w:rFonts w:ascii="Times New Roman" w:eastAsia="Times New Roman" w:hAnsi="Times New Roman" w:cs="Times New Roman"/>
          <w:sz w:val="24"/>
          <w:szCs w:val="24"/>
        </w:rPr>
        <w:t>Failure to promptly notify the families of detainees about the location of their detention, with such information only being disclosed after the completion of preliminary investigations, which often take an extended period.</w:t>
      </w:r>
    </w:p>
    <w:p w:rsidR="009E34CA" w:rsidRPr="009E34CA" w:rsidRDefault="009E34CA" w:rsidP="009E34CA">
      <w:pPr>
        <w:numPr>
          <w:ilvl w:val="0"/>
          <w:numId w:val="17"/>
        </w:numPr>
        <w:spacing w:before="100" w:beforeAutospacing="1" w:after="100" w:afterAutospacing="1" w:line="240" w:lineRule="auto"/>
        <w:jc w:val="both"/>
        <w:rPr>
          <w:rFonts w:ascii="Times New Roman" w:eastAsia="Times New Roman" w:hAnsi="Times New Roman" w:cs="Times New Roman"/>
          <w:sz w:val="24"/>
          <w:szCs w:val="24"/>
        </w:rPr>
      </w:pPr>
      <w:r w:rsidRPr="009E34CA">
        <w:rPr>
          <w:rFonts w:ascii="Times New Roman" w:eastAsia="Times New Roman" w:hAnsi="Times New Roman" w:cs="Times New Roman"/>
          <w:sz w:val="24"/>
          <w:szCs w:val="24"/>
        </w:rPr>
        <w:t>Preventing lawyers from meeting their clients and attending preliminary investigation sessions.</w:t>
      </w:r>
    </w:p>
    <w:p w:rsidR="009E34CA" w:rsidRPr="009E34CA" w:rsidRDefault="009E34CA" w:rsidP="00BD007C">
      <w:pPr>
        <w:numPr>
          <w:ilvl w:val="0"/>
          <w:numId w:val="17"/>
        </w:numPr>
        <w:spacing w:before="100" w:beforeAutospacing="1" w:after="100" w:afterAutospacing="1" w:line="240" w:lineRule="auto"/>
        <w:jc w:val="both"/>
        <w:rPr>
          <w:rFonts w:ascii="Times New Roman" w:eastAsia="Times New Roman" w:hAnsi="Times New Roman" w:cs="Times New Roman"/>
          <w:sz w:val="24"/>
          <w:szCs w:val="24"/>
        </w:rPr>
      </w:pPr>
      <w:r w:rsidRPr="009E34CA">
        <w:rPr>
          <w:rFonts w:ascii="Times New Roman" w:eastAsia="Times New Roman" w:hAnsi="Times New Roman" w:cs="Times New Roman"/>
          <w:sz w:val="24"/>
          <w:szCs w:val="24"/>
        </w:rPr>
        <w:t>Prohibiting family visits during the preliminary investigation phase.</w:t>
      </w:r>
    </w:p>
    <w:p w:rsidR="009E34CA" w:rsidRPr="009E34CA" w:rsidRDefault="009E34CA" w:rsidP="00EF0E96">
      <w:pPr>
        <w:numPr>
          <w:ilvl w:val="0"/>
          <w:numId w:val="17"/>
        </w:numPr>
        <w:spacing w:before="100" w:beforeAutospacing="1" w:after="100" w:afterAutospacing="1" w:line="240" w:lineRule="auto"/>
        <w:jc w:val="both"/>
        <w:rPr>
          <w:rFonts w:ascii="Times New Roman" w:eastAsia="Times New Roman" w:hAnsi="Times New Roman" w:cs="Times New Roman"/>
          <w:sz w:val="24"/>
          <w:szCs w:val="24"/>
        </w:rPr>
      </w:pPr>
      <w:r w:rsidRPr="009E34CA">
        <w:rPr>
          <w:rFonts w:ascii="Times New Roman" w:eastAsia="Times New Roman" w:hAnsi="Times New Roman" w:cs="Times New Roman"/>
          <w:sz w:val="24"/>
          <w:szCs w:val="24"/>
        </w:rPr>
        <w:t xml:space="preserve">Denying the Iraqi High Commission for Human Rights access to certain prisons and pretrial detention facilities without obtaining </w:t>
      </w:r>
      <w:r w:rsidR="006523C6">
        <w:rPr>
          <w:rFonts w:ascii="Times New Roman" w:eastAsia="Times New Roman" w:hAnsi="Times New Roman" w:cs="Times New Roman"/>
          <w:sz w:val="24"/>
          <w:szCs w:val="24"/>
        </w:rPr>
        <w:t>permission</w:t>
      </w:r>
      <w:r w:rsidR="00EF0E96">
        <w:rPr>
          <w:rFonts w:ascii="Times New Roman" w:eastAsia="Times New Roman" w:hAnsi="Times New Roman" w:cs="Times New Roman"/>
          <w:sz w:val="24"/>
          <w:szCs w:val="24"/>
        </w:rPr>
        <w:t>s</w:t>
      </w:r>
      <w:r w:rsidRPr="009E34CA">
        <w:rPr>
          <w:rFonts w:ascii="Times New Roman" w:eastAsia="Times New Roman" w:hAnsi="Times New Roman" w:cs="Times New Roman"/>
          <w:sz w:val="24"/>
          <w:szCs w:val="24"/>
        </w:rPr>
        <w:t xml:space="preserve"> from the relevant authorities, in contravention of Article (6) of the Commission’s Law; in addition to the refusal to provide lists containing the data and information of inmates, detainees, and persons in custody.</w:t>
      </w:r>
    </w:p>
    <w:p w:rsidR="009E34CA" w:rsidRPr="009E34CA" w:rsidRDefault="009E34CA" w:rsidP="009E34CA">
      <w:pPr>
        <w:numPr>
          <w:ilvl w:val="0"/>
          <w:numId w:val="17"/>
        </w:numPr>
        <w:spacing w:before="100" w:beforeAutospacing="1" w:after="100" w:afterAutospacing="1" w:line="240" w:lineRule="auto"/>
        <w:jc w:val="both"/>
        <w:rPr>
          <w:rFonts w:ascii="Times New Roman" w:eastAsia="Times New Roman" w:hAnsi="Times New Roman" w:cs="Times New Roman"/>
          <w:sz w:val="24"/>
          <w:szCs w:val="24"/>
        </w:rPr>
      </w:pPr>
      <w:r w:rsidRPr="009E34CA">
        <w:rPr>
          <w:rFonts w:ascii="Times New Roman" w:eastAsia="Times New Roman" w:hAnsi="Times New Roman" w:cs="Times New Roman"/>
          <w:sz w:val="24"/>
          <w:szCs w:val="24"/>
        </w:rPr>
        <w:t>Failure to present detainees before the judiciary within the time limits prescribed by law.</w:t>
      </w:r>
    </w:p>
    <w:p w:rsidR="009E34CA" w:rsidRPr="009E34CA" w:rsidRDefault="009E34CA" w:rsidP="009E34CA">
      <w:pPr>
        <w:numPr>
          <w:ilvl w:val="0"/>
          <w:numId w:val="17"/>
        </w:numPr>
        <w:spacing w:before="100" w:beforeAutospacing="1" w:after="100" w:afterAutospacing="1" w:line="240" w:lineRule="auto"/>
        <w:jc w:val="both"/>
        <w:rPr>
          <w:rFonts w:ascii="Times New Roman" w:eastAsia="Times New Roman" w:hAnsi="Times New Roman" w:cs="Times New Roman"/>
          <w:sz w:val="24"/>
          <w:szCs w:val="24"/>
        </w:rPr>
      </w:pPr>
      <w:r w:rsidRPr="009E34CA">
        <w:rPr>
          <w:rFonts w:ascii="Times New Roman" w:eastAsia="Times New Roman" w:hAnsi="Times New Roman" w:cs="Times New Roman"/>
          <w:sz w:val="24"/>
          <w:szCs w:val="24"/>
        </w:rPr>
        <w:t>The failure of all pretrial detention facility administrations to maintain structured, numbered, and printed registers; some rely on registers that do not meet these requirements, while others use only electronic systems to record information related to each inmate or detainee.</w:t>
      </w:r>
    </w:p>
    <w:p w:rsidR="00BD007C" w:rsidRPr="009E34CA" w:rsidRDefault="009E34CA" w:rsidP="00E442E0">
      <w:pPr>
        <w:numPr>
          <w:ilvl w:val="0"/>
          <w:numId w:val="17"/>
        </w:numPr>
        <w:spacing w:before="100" w:beforeAutospacing="1" w:after="100" w:afterAutospacing="1" w:line="240" w:lineRule="auto"/>
        <w:jc w:val="both"/>
        <w:rPr>
          <w:rFonts w:ascii="Times New Roman" w:eastAsia="Times New Roman" w:hAnsi="Times New Roman" w:cs="Times New Roman"/>
          <w:sz w:val="24"/>
          <w:szCs w:val="24"/>
        </w:rPr>
      </w:pPr>
      <w:r w:rsidRPr="009E34CA">
        <w:rPr>
          <w:rFonts w:ascii="Times New Roman" w:eastAsia="Times New Roman" w:hAnsi="Times New Roman" w:cs="Times New Roman"/>
          <w:sz w:val="24"/>
          <w:szCs w:val="24"/>
        </w:rPr>
        <w:t>Delays in resolving the cases of detainees in prisons and pretrial detention facilities, along with increasing levels of overcrowding therein.</w:t>
      </w:r>
    </w:p>
    <w:p w:rsidR="00A664D3" w:rsidRDefault="00A664D3" w:rsidP="00E22253">
      <w:pPr>
        <w:spacing w:before="100" w:beforeAutospacing="1" w:after="100" w:afterAutospacing="1" w:line="240" w:lineRule="auto"/>
        <w:jc w:val="both"/>
        <w:rPr>
          <w:rFonts w:asciiTheme="majorBidi" w:eastAsia="Times New Roman" w:hAnsiTheme="majorBidi" w:cstheme="majorBidi"/>
          <w:sz w:val="24"/>
          <w:szCs w:val="24"/>
          <w:rtl/>
        </w:rPr>
      </w:pPr>
    </w:p>
    <w:p w:rsidR="00A664D3" w:rsidRPr="00A664D3" w:rsidRDefault="00A664D3" w:rsidP="00A664D3">
      <w:pPr>
        <w:pStyle w:val="NormalWeb"/>
        <w:jc w:val="both"/>
        <w:rPr>
          <w:b/>
          <w:bCs/>
        </w:rPr>
      </w:pPr>
      <w:r w:rsidRPr="00A664D3">
        <w:rPr>
          <w:rStyle w:val="Strong"/>
          <w:b w:val="0"/>
          <w:bCs w:val="0"/>
        </w:rPr>
        <w:t>With regard to the protection of persons involved in investigations</w:t>
      </w:r>
      <w:r w:rsidRPr="00A664D3">
        <w:rPr>
          <w:b/>
          <w:bCs/>
        </w:rPr>
        <w:t>,</w:t>
      </w:r>
      <w:r>
        <w:t xml:space="preserve"> the Commission noted the enactment of the </w:t>
      </w:r>
      <w:r w:rsidRPr="00A664D3">
        <w:rPr>
          <w:rStyle w:val="Strong"/>
          <w:b w:val="0"/>
          <w:bCs w:val="0"/>
        </w:rPr>
        <w:t>Law on the Protection of Witnesses, Experts, Informants, and Victims No. 58 of 2017</w:t>
      </w:r>
      <w:r w:rsidRPr="00A664D3">
        <w:rPr>
          <w:b/>
          <w:bCs/>
        </w:rPr>
        <w:t>,</w:t>
      </w:r>
      <w:r>
        <w:t xml:space="preserve"> under which the State is obliged to provide protection to anyone who offers testimony, expertise, or assistance in identifying perpetrators of crimes in general, particularly crimes of terrorism and corruption. The law also provides for the granting of financial rewards for supplying such information, in line with the provisions of </w:t>
      </w:r>
      <w:r w:rsidRPr="00A664D3">
        <w:rPr>
          <w:rStyle w:val="Strong"/>
          <w:b w:val="0"/>
          <w:bCs w:val="0"/>
        </w:rPr>
        <w:t xml:space="preserve">Article </w:t>
      </w:r>
      <w:r w:rsidR="00A63B1E">
        <w:rPr>
          <w:rStyle w:val="Strong"/>
          <w:b w:val="0"/>
          <w:bCs w:val="0"/>
        </w:rPr>
        <w:t>(12\ First</w:t>
      </w:r>
      <w:r w:rsidRPr="00A664D3">
        <w:rPr>
          <w:rStyle w:val="Strong"/>
          <w:b w:val="0"/>
          <w:bCs w:val="0"/>
        </w:rPr>
        <w:t>)</w:t>
      </w:r>
      <w:r w:rsidRPr="00A664D3">
        <w:rPr>
          <w:b/>
          <w:bCs/>
        </w:rPr>
        <w:t xml:space="preserve"> </w:t>
      </w:r>
      <w:r w:rsidRPr="00A63B1E">
        <w:t>of the</w:t>
      </w:r>
      <w:r w:rsidRPr="00A664D3">
        <w:rPr>
          <w:b/>
          <w:bCs/>
        </w:rPr>
        <w:t xml:space="preserve"> </w:t>
      </w:r>
      <w:r w:rsidRPr="00A664D3">
        <w:rPr>
          <w:rStyle w:val="Strong"/>
          <w:b w:val="0"/>
          <w:bCs w:val="0"/>
        </w:rPr>
        <w:t>International Convention for the Protection of All Persons from Enforced Disappearance</w:t>
      </w:r>
      <w:r w:rsidRPr="00A664D3">
        <w:rPr>
          <w:b/>
          <w:bCs/>
        </w:rPr>
        <w:t>.</w:t>
      </w:r>
    </w:p>
    <w:p w:rsidR="00A664D3" w:rsidRDefault="00A664D3" w:rsidP="00A664D3">
      <w:pPr>
        <w:pStyle w:val="NormalWeb"/>
        <w:jc w:val="both"/>
      </w:pPr>
      <w:r>
        <w:t xml:space="preserve">The Commission considers the enactment of this law a significant step forward in fulfilling Iraq’s international obligations and a safeguard mechanism for the protection of witnesses, especially since the issuance of implementing regulations related to this law includes the facilitation of protection procedures, the provision of necessary support, and the determination of criteria and amounts for compensation and rewards for those covered by the law. These regulations also </w:t>
      </w:r>
      <w:r>
        <w:lastRenderedPageBreak/>
        <w:t>include the allocation of independent spaces within courts to address cases of violence against women and the provision of legal counseling for victims of violence.</w:t>
      </w:r>
    </w:p>
    <w:p w:rsidR="00E442E0" w:rsidRPr="00BB405B" w:rsidRDefault="006C0072" w:rsidP="00126770">
      <w:pPr>
        <w:spacing w:before="100" w:beforeAutospacing="1" w:after="100" w:afterAutospacing="1" w:line="240" w:lineRule="auto"/>
        <w:jc w:val="both"/>
        <w:rPr>
          <w:rFonts w:asciiTheme="majorBidi" w:eastAsia="Times New Roman" w:hAnsiTheme="majorBidi" w:cstheme="majorBidi"/>
          <w:sz w:val="24"/>
          <w:szCs w:val="24"/>
          <w:rtl/>
        </w:rPr>
      </w:pPr>
      <w:r w:rsidRPr="00AD73F6">
        <w:rPr>
          <w:rFonts w:asciiTheme="majorBidi" w:eastAsia="Times New Roman" w:hAnsiTheme="majorBidi" w:cstheme="majorBidi"/>
          <w:b/>
          <w:bCs/>
          <w:sz w:val="24"/>
          <w:szCs w:val="24"/>
        </w:rPr>
        <w:t>T</w:t>
      </w:r>
      <w:r w:rsidR="009D6A42" w:rsidRPr="00AD73F6">
        <w:rPr>
          <w:rFonts w:asciiTheme="majorBidi" w:eastAsia="Times New Roman" w:hAnsiTheme="majorBidi" w:cstheme="majorBidi"/>
          <w:b/>
          <w:bCs/>
          <w:sz w:val="24"/>
          <w:szCs w:val="24"/>
        </w:rPr>
        <w:t>he Commission noted</w:t>
      </w:r>
      <w:r w:rsidRPr="00BB405B">
        <w:rPr>
          <w:rFonts w:asciiTheme="majorBidi" w:eastAsia="Times New Roman" w:hAnsiTheme="majorBidi" w:cstheme="majorBidi"/>
          <w:sz w:val="24"/>
          <w:szCs w:val="24"/>
        </w:rPr>
        <w:t xml:space="preserve"> the absence of standardized procedures for reporting cases of disappearance. The multiplicity of institutions working on missing persons and the fragmented legal framework have led to a lack of accurate statistics and conflicting data across governmental bodies, creating an added burden on families of the missing.</w:t>
      </w:r>
    </w:p>
    <w:p w:rsidR="00B6540C" w:rsidRPr="0081669E" w:rsidRDefault="006C0072" w:rsidP="0081669E">
      <w:pPr>
        <w:pStyle w:val="NormalWeb"/>
        <w:jc w:val="both"/>
      </w:pPr>
      <w:r w:rsidRPr="00AD73F6">
        <w:rPr>
          <w:rFonts w:asciiTheme="majorBidi" w:hAnsiTheme="majorBidi" w:cstheme="majorBidi"/>
          <w:b/>
          <w:bCs/>
        </w:rPr>
        <w:t>The Commission also</w:t>
      </w:r>
      <w:r w:rsidR="00D447DF">
        <w:rPr>
          <w:rFonts w:asciiTheme="majorBidi" w:hAnsiTheme="majorBidi" w:cstheme="majorBidi"/>
          <w:b/>
          <w:bCs/>
        </w:rPr>
        <w:t xml:space="preserve"> noted</w:t>
      </w:r>
      <w:r w:rsidR="00057F89">
        <w:t xml:space="preserve"> that adopting a general policy for the search for persons subjected to enforced disappearance and the establishment of a database on their cases requires sustained efforts in uncovering the fate of the missing, and the use of available scientific means—particularly in the field of mass graves.</w:t>
      </w:r>
      <w:r w:rsidR="0081669E">
        <w:t xml:space="preserve"> </w:t>
      </w:r>
      <w:r w:rsidR="00057F89">
        <w:t xml:space="preserve">Despite the amendment of the </w:t>
      </w:r>
      <w:r w:rsidR="00057F89" w:rsidRPr="0081669E">
        <w:rPr>
          <w:rStyle w:val="Strong"/>
          <w:b w:val="0"/>
          <w:bCs w:val="0"/>
        </w:rPr>
        <w:t>Law on the Protection of Mass Graves No. 5 of 2006</w:t>
      </w:r>
      <w:r w:rsidR="00057F89" w:rsidRPr="0081669E">
        <w:rPr>
          <w:b/>
          <w:bCs/>
        </w:rPr>
        <w:t>,</w:t>
      </w:r>
      <w:r w:rsidR="00057F89">
        <w:t xml:space="preserve"> and the extension of its scope to include crimes committed after 2003, the Commission observed delays in the procedures related to the exhumation of mass graves and the identification of victims.</w:t>
      </w:r>
    </w:p>
    <w:p w:rsidR="008C2FC3" w:rsidRDefault="006C0072" w:rsidP="00660B4A">
      <w:pPr>
        <w:pStyle w:val="NormalWeb"/>
        <w:jc w:val="both"/>
      </w:pPr>
      <w:r w:rsidRPr="003655A0">
        <w:rPr>
          <w:rFonts w:asciiTheme="majorBidi" w:hAnsiTheme="majorBidi" w:cstheme="majorBidi"/>
          <w:b/>
          <w:bCs/>
        </w:rPr>
        <w:t>The Commission has followed</w:t>
      </w:r>
      <w:r w:rsidRPr="00BB405B">
        <w:rPr>
          <w:rFonts w:asciiTheme="majorBidi" w:hAnsiTheme="majorBidi" w:cstheme="majorBidi"/>
        </w:rPr>
        <w:t xml:space="preserve"> the work of search and excavation teams, whose tasks include not only exhuming remains but also developing a database of missing persons. This database is based on forms completed by family members and is intended to aid in investigations and the identification of victims. </w:t>
      </w:r>
      <w:r w:rsidR="006E69B1">
        <w:t>Based on the Commission’s review of the work of the entities responsible for establishing this database, it noted delays in launching the national campaign to collect information from the families of the missing and to obtain blood samples. It is worth noting that this campaign was previously launched in 2012 but was suspended in mid-2014.</w:t>
      </w:r>
      <w:r w:rsidR="006E69B1">
        <w:rPr>
          <w:rFonts w:hint="cs"/>
          <w:rtl/>
        </w:rPr>
        <w:t xml:space="preserve"> </w:t>
      </w:r>
      <w:r w:rsidR="006E69B1">
        <w:t xml:space="preserve">The Mass Graves Affairs and Protection </w:t>
      </w:r>
      <w:r w:rsidR="004F7E04">
        <w:t>Directorate and the Forensic</w:t>
      </w:r>
      <w:r w:rsidR="006E69B1">
        <w:t xml:space="preserve"> Directorate have since initiated an information collection campaign in Sinjar in two phases. However, a large number of families of the missing have yet to provide information due to their continued presence in displacement camps and the difficulty of contacting the relevant committees. This necessitates that the competent authorities take the initiative to reach out to these families as a form of moral reparation and to alleviate their suffering. Moreover, the </w:t>
      </w:r>
      <w:r w:rsidR="00506DB2">
        <w:t>available capacity of the Forensic</w:t>
      </w:r>
      <w:r w:rsidR="006E69B1">
        <w:t xml:space="preserve"> Directorate—given its extensive responsibilities related to victims of explosions, traffic accidents, criminal cases, drug-related incidents, and others—has rendered the process of identification slow and inconsistent. This is compounded by the lack of a complete database of ante-disappearance information. The Commission notes that, while there are significant and ongoing efforts, the results achieved thus far fall short of the required or expected level.</w:t>
      </w:r>
    </w:p>
    <w:p w:rsidR="00660B4A" w:rsidRPr="00660B4A" w:rsidRDefault="00660B4A" w:rsidP="00660B4A">
      <w:pPr>
        <w:pStyle w:val="NormalWeb"/>
        <w:jc w:val="both"/>
      </w:pPr>
    </w:p>
    <w:p w:rsidR="006C0072" w:rsidRPr="00380E3B" w:rsidRDefault="006C0072" w:rsidP="00380E3B">
      <w:pPr>
        <w:pStyle w:val="Heading2"/>
        <w:rPr>
          <w:rFonts w:asciiTheme="majorBidi" w:eastAsia="Times New Roman" w:hAnsiTheme="majorBidi"/>
          <w:b/>
          <w:bCs/>
          <w:sz w:val="24"/>
          <w:szCs w:val="24"/>
        </w:rPr>
      </w:pPr>
      <w:bookmarkStart w:id="24" w:name="_Toc202559284"/>
      <w:bookmarkStart w:id="25" w:name="_Toc202559464"/>
      <w:r w:rsidRPr="00380E3B">
        <w:rPr>
          <w:rFonts w:asciiTheme="majorBidi" w:eastAsia="Times New Roman" w:hAnsiTheme="majorBidi"/>
          <w:b/>
          <w:bCs/>
          <w:sz w:val="24"/>
          <w:szCs w:val="24"/>
        </w:rPr>
        <w:t>Recommendations:</w:t>
      </w:r>
      <w:bookmarkEnd w:id="24"/>
      <w:bookmarkEnd w:id="25"/>
    </w:p>
    <w:p w:rsidR="006C0072" w:rsidRPr="00BB405B" w:rsidRDefault="006C0072" w:rsidP="00BB405B">
      <w:pPr>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Urge the Council of Ministers to issue the implementing regulations of Law No. 58 of 2017 on the Protection of Witnesses, including a provision explicitly covering cases of enforced disappearance under Article 2 of the aforementioned law.</w:t>
      </w:r>
    </w:p>
    <w:p w:rsidR="006C0072" w:rsidRPr="00BB405B" w:rsidRDefault="006C0072" w:rsidP="00BB405B">
      <w:pPr>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Urge the Government to establish a special unit to protect witnesses and others involved in investigations of enforced disappearance, in accordance with Article 10 of the same law.</w:t>
      </w:r>
    </w:p>
    <w:p w:rsidR="00E509F9" w:rsidRDefault="006C0072" w:rsidP="002437B4">
      <w:pPr>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E509F9">
        <w:rPr>
          <w:rFonts w:asciiTheme="majorBidi" w:eastAsia="Times New Roman" w:hAnsiTheme="majorBidi" w:cstheme="majorBidi"/>
          <w:sz w:val="24"/>
          <w:szCs w:val="24"/>
        </w:rPr>
        <w:lastRenderedPageBreak/>
        <w:t>Urge the Government to require all authorities managing detention ce</w:t>
      </w:r>
      <w:r w:rsidR="009520AA" w:rsidRPr="00E509F9">
        <w:rPr>
          <w:rFonts w:asciiTheme="majorBidi" w:eastAsia="Times New Roman" w:hAnsiTheme="majorBidi" w:cstheme="majorBidi"/>
          <w:sz w:val="24"/>
          <w:szCs w:val="24"/>
        </w:rPr>
        <w:t>nters to comply with Article (5\ Fifth)</w:t>
      </w:r>
      <w:r w:rsidRPr="00E509F9">
        <w:rPr>
          <w:rFonts w:asciiTheme="majorBidi" w:eastAsia="Times New Roman" w:hAnsiTheme="majorBidi" w:cstheme="majorBidi"/>
          <w:sz w:val="24"/>
          <w:szCs w:val="24"/>
        </w:rPr>
        <w:t xml:space="preserve"> of Law No. 53</w:t>
      </w:r>
      <w:r w:rsidR="00E509F9">
        <w:rPr>
          <w:rFonts w:asciiTheme="majorBidi" w:eastAsia="Times New Roman" w:hAnsiTheme="majorBidi" w:cstheme="majorBidi"/>
          <w:sz w:val="24"/>
          <w:szCs w:val="24"/>
        </w:rPr>
        <w:t xml:space="preserve"> of 2008,</w:t>
      </w:r>
      <w:r w:rsidR="00E509F9" w:rsidRPr="00E509F9">
        <w:rPr>
          <w:rFonts w:asciiTheme="majorBidi" w:eastAsia="Times New Roman" w:hAnsiTheme="majorBidi" w:cstheme="majorBidi"/>
          <w:sz w:val="24"/>
          <w:szCs w:val="24"/>
        </w:rPr>
        <w:t xml:space="preserve"> to allow </w:t>
      </w:r>
      <w:r w:rsidR="002437B4">
        <w:rPr>
          <w:rFonts w:asciiTheme="majorBidi" w:eastAsia="Times New Roman" w:hAnsiTheme="majorBidi" w:cstheme="majorBidi"/>
          <w:sz w:val="24"/>
          <w:szCs w:val="24"/>
        </w:rPr>
        <w:t>the IHCHR’s</w:t>
      </w:r>
      <w:r w:rsidR="00E509F9" w:rsidRPr="00E509F9">
        <w:rPr>
          <w:rFonts w:asciiTheme="majorBidi" w:eastAsia="Times New Roman" w:hAnsiTheme="majorBidi" w:cstheme="majorBidi"/>
          <w:sz w:val="24"/>
          <w:szCs w:val="24"/>
        </w:rPr>
        <w:t xml:space="preserve"> monitoring teams to visit places of detention without prior permission.</w:t>
      </w:r>
    </w:p>
    <w:p w:rsidR="002437B4" w:rsidRDefault="002437B4" w:rsidP="002437B4">
      <w:pPr>
        <w:pStyle w:val="NormalWeb"/>
        <w:numPr>
          <w:ilvl w:val="0"/>
          <w:numId w:val="6"/>
        </w:numPr>
      </w:pPr>
      <w:r>
        <w:t>Urge the government to direct and oblige the competent authorities to implement arrest and detention warrants against accused persons who have not been convicted, by requiring that their families or legal representatives be notified of their place of detention within a period not exceeding 24 hours.</w:t>
      </w:r>
    </w:p>
    <w:p w:rsidR="002437B4" w:rsidRDefault="002437B4" w:rsidP="002437B4">
      <w:pPr>
        <w:pStyle w:val="NormalWeb"/>
        <w:numPr>
          <w:ilvl w:val="0"/>
          <w:numId w:val="6"/>
        </w:numPr>
      </w:pPr>
      <w:r>
        <w:t>Amend the Law on the Reform of Inmates and Detainees No. 14 of 2018 to ensure that the Ministry of Interior and other security formations are not granted the authority to detain individuals, as the role of the Ministry of Interior is limited to the execution of judicial decisions on detention.</w:t>
      </w:r>
    </w:p>
    <w:p w:rsidR="002437B4" w:rsidRDefault="002437B4" w:rsidP="002437B4">
      <w:pPr>
        <w:pStyle w:val="NormalWeb"/>
        <w:numPr>
          <w:ilvl w:val="0"/>
          <w:numId w:val="6"/>
        </w:numPr>
      </w:pPr>
      <w:r>
        <w:t>Urge the Council of Representatives to repeal any provision in the amended Iraqi Code of Criminal Procedure No. 23 of 1971 that allows non-judicial authorities to exercise investigative powers.</w:t>
      </w:r>
    </w:p>
    <w:p w:rsidR="00BA3837" w:rsidRDefault="002437B4" w:rsidP="00BA3837">
      <w:pPr>
        <w:pStyle w:val="NormalWeb"/>
        <w:numPr>
          <w:ilvl w:val="0"/>
          <w:numId w:val="6"/>
        </w:numPr>
      </w:pPr>
      <w:r>
        <w:t>Ensure that the draft law on combating enforced disappearance explicitly states that witnesses, informants, complainants, their family members or relatives of the disappeared person, or those defending them, are fully protected under the Law on the Protection of Witnesses, Experts, Informants, and Victims No. 58 of 2017.</w:t>
      </w:r>
    </w:p>
    <w:p w:rsidR="00BA3837" w:rsidRDefault="00BA3837" w:rsidP="00BA3837">
      <w:pPr>
        <w:pStyle w:val="NormalWeb"/>
        <w:numPr>
          <w:ilvl w:val="0"/>
          <w:numId w:val="6"/>
        </w:numPr>
        <w:jc w:val="both"/>
        <w:rPr>
          <w:b/>
          <w:bCs/>
        </w:rPr>
      </w:pPr>
      <w:r>
        <w:rPr>
          <w:rStyle w:val="Strong"/>
          <w:b w:val="0"/>
          <w:bCs w:val="0"/>
        </w:rPr>
        <w:t>Urge</w:t>
      </w:r>
      <w:r w:rsidR="002D6797" w:rsidRPr="00BA3837">
        <w:rPr>
          <w:rStyle w:val="Strong"/>
          <w:b w:val="0"/>
          <w:bCs w:val="0"/>
        </w:rPr>
        <w:t xml:space="preserve"> the government to adopt a public policy aimed at searching for missing and disappeared persons based on complaints submitted to the Commission and other entities that receive requests from citizens concerning their missing relatives and persons allegedly subjected to enforced disappearance. The search policy should take into account the following:</w:t>
      </w:r>
    </w:p>
    <w:p w:rsidR="00576637" w:rsidRDefault="002D6797" w:rsidP="00576637">
      <w:pPr>
        <w:pStyle w:val="NormalWeb"/>
        <w:numPr>
          <w:ilvl w:val="0"/>
          <w:numId w:val="21"/>
        </w:numPr>
        <w:jc w:val="both"/>
        <w:rPr>
          <w:b/>
          <w:bCs/>
        </w:rPr>
      </w:pPr>
      <w:r>
        <w:t>Conducting the search for a disappeared person under the presumption that he or she is alive.</w:t>
      </w:r>
    </w:p>
    <w:p w:rsidR="00576637" w:rsidRDefault="002D6797" w:rsidP="00576637">
      <w:pPr>
        <w:pStyle w:val="NormalWeb"/>
        <w:numPr>
          <w:ilvl w:val="0"/>
          <w:numId w:val="21"/>
        </w:numPr>
        <w:jc w:val="both"/>
        <w:rPr>
          <w:b/>
          <w:bCs/>
        </w:rPr>
      </w:pPr>
      <w:r>
        <w:t>Ensuring that the primary objective of the public policy is prevention, protection, and the provision of comprehensive support to victims and their relatives.</w:t>
      </w:r>
    </w:p>
    <w:p w:rsidR="00576637" w:rsidRDefault="002D6797" w:rsidP="00576637">
      <w:pPr>
        <w:pStyle w:val="NormalWeb"/>
        <w:numPr>
          <w:ilvl w:val="0"/>
          <w:numId w:val="21"/>
        </w:numPr>
        <w:jc w:val="both"/>
        <w:rPr>
          <w:b/>
          <w:bCs/>
        </w:rPr>
      </w:pPr>
      <w:r>
        <w:t>Promoting cooperation and coordination among all state bodies in the search for disappeared persons, and ensuring that the policy is clear, transparent, consistent, and based on a comprehensive search strategy.</w:t>
      </w:r>
    </w:p>
    <w:p w:rsidR="006F73F9" w:rsidRPr="008B45F5" w:rsidRDefault="002D6797" w:rsidP="008B45F5">
      <w:pPr>
        <w:pStyle w:val="NormalWeb"/>
        <w:numPr>
          <w:ilvl w:val="0"/>
          <w:numId w:val="21"/>
        </w:numPr>
        <w:jc w:val="both"/>
        <w:rPr>
          <w:b/>
          <w:bCs/>
        </w:rPr>
      </w:pPr>
      <w:r>
        <w:t>Guaranteeing, through the relevant laws, that the initiation of investigative activities to determine the fate and whereabouts of missing persons and those allegedly subjected to enforced disappearance is not delayed and is carried out as swiftly as possible.</w:t>
      </w:r>
    </w:p>
    <w:p w:rsidR="002F028B" w:rsidRPr="002F028B" w:rsidRDefault="002F028B" w:rsidP="002F028B">
      <w:pPr>
        <w:pStyle w:val="NormalWeb"/>
        <w:numPr>
          <w:ilvl w:val="0"/>
          <w:numId w:val="21"/>
        </w:numPr>
        <w:jc w:val="both"/>
        <w:rPr>
          <w:b/>
          <w:bCs/>
        </w:rPr>
      </w:pPr>
      <w:r w:rsidRPr="002F028B">
        <w:rPr>
          <w:rStyle w:val="Strong"/>
          <w:b w:val="0"/>
          <w:bCs w:val="0"/>
        </w:rPr>
        <w:t xml:space="preserve">Lack of information from family members or </w:t>
      </w:r>
      <w:proofErr w:type="spellStart"/>
      <w:r w:rsidRPr="002F028B">
        <w:rPr>
          <w:rStyle w:val="Strong"/>
          <w:b w:val="0"/>
          <w:bCs w:val="0"/>
        </w:rPr>
        <w:t>unconvicted</w:t>
      </w:r>
      <w:proofErr w:type="spellEnd"/>
      <w:r w:rsidRPr="002F028B">
        <w:rPr>
          <w:rStyle w:val="Strong"/>
          <w:b w:val="0"/>
          <w:bCs w:val="0"/>
        </w:rPr>
        <w:t xml:space="preserve"> suspects may not be invoked to justify the failure to initiate activities to search for the disappeared person and determine their whereabouts, nor to justify a decision to suspend, halt, or postpone investigations. Allegations submitted by relatives of persons at risk of disappearance may not be classified as cases of missing persons unless verified.</w:t>
      </w:r>
    </w:p>
    <w:p w:rsidR="002F028B" w:rsidRPr="002F028B" w:rsidRDefault="002F028B" w:rsidP="002F028B">
      <w:pPr>
        <w:pStyle w:val="NormalWeb"/>
        <w:numPr>
          <w:ilvl w:val="0"/>
          <w:numId w:val="21"/>
        </w:numPr>
        <w:jc w:val="both"/>
        <w:rPr>
          <w:b/>
          <w:bCs/>
        </w:rPr>
      </w:pPr>
      <w:r w:rsidRPr="002F028B">
        <w:rPr>
          <w:rStyle w:val="Strong"/>
          <w:b w:val="0"/>
          <w:bCs w:val="0"/>
        </w:rPr>
        <w:t>The public policy must ensure a high level of focus on identifying the perpetrator and ensuring that impunity is not tolerated.</w:t>
      </w:r>
    </w:p>
    <w:p w:rsidR="002F028B" w:rsidRPr="002F028B" w:rsidRDefault="002F028B" w:rsidP="002F028B">
      <w:pPr>
        <w:pStyle w:val="NormalWeb"/>
        <w:numPr>
          <w:ilvl w:val="0"/>
          <w:numId w:val="21"/>
        </w:numPr>
        <w:jc w:val="both"/>
        <w:rPr>
          <w:b/>
          <w:bCs/>
        </w:rPr>
      </w:pPr>
      <w:r w:rsidRPr="002F028B">
        <w:rPr>
          <w:rStyle w:val="Strong"/>
          <w:b w:val="0"/>
          <w:bCs w:val="0"/>
        </w:rPr>
        <w:t>The authorities responsible for conducting searches must be provided with adequate human and professional resources, including sufficient professional training and access to modern logistical, technical, and scientific resources.</w:t>
      </w:r>
    </w:p>
    <w:p w:rsidR="002F028B" w:rsidRPr="002F028B" w:rsidRDefault="002F028B" w:rsidP="002F028B">
      <w:pPr>
        <w:pStyle w:val="NormalWeb"/>
        <w:numPr>
          <w:ilvl w:val="0"/>
          <w:numId w:val="21"/>
        </w:numPr>
        <w:jc w:val="both"/>
        <w:rPr>
          <w:b/>
          <w:bCs/>
        </w:rPr>
      </w:pPr>
      <w:r w:rsidRPr="002F028B">
        <w:rPr>
          <w:rStyle w:val="Strong"/>
          <w:b w:val="0"/>
          <w:bCs w:val="0"/>
        </w:rPr>
        <w:lastRenderedPageBreak/>
        <w:t>The public policy must be based on a database and genetic data registries that enable the rapid generation of results during the search.</w:t>
      </w:r>
    </w:p>
    <w:p w:rsidR="002F028B" w:rsidRPr="002F028B" w:rsidRDefault="002F028B" w:rsidP="002F028B">
      <w:pPr>
        <w:pStyle w:val="NormalWeb"/>
        <w:numPr>
          <w:ilvl w:val="0"/>
          <w:numId w:val="21"/>
        </w:numPr>
        <w:jc w:val="both"/>
        <w:rPr>
          <w:b/>
          <w:bCs/>
        </w:rPr>
      </w:pPr>
      <w:r w:rsidRPr="002F028B">
        <w:rPr>
          <w:rStyle w:val="Strong"/>
          <w:b w:val="0"/>
          <w:bCs w:val="0"/>
        </w:rPr>
        <w:t>The public policy must cover all territories of the Republic of Iraq, including the Kurdistan Region of Iraq.</w:t>
      </w:r>
    </w:p>
    <w:p w:rsidR="005B3D18" w:rsidRDefault="002F028B" w:rsidP="005B3D18">
      <w:pPr>
        <w:pStyle w:val="NormalWeb"/>
        <w:numPr>
          <w:ilvl w:val="0"/>
          <w:numId w:val="21"/>
        </w:numPr>
        <w:jc w:val="both"/>
        <w:rPr>
          <w:b/>
          <w:bCs/>
        </w:rPr>
      </w:pPr>
      <w:r w:rsidRPr="002F028B">
        <w:rPr>
          <w:rStyle w:val="Strong"/>
          <w:b w:val="0"/>
          <w:bCs w:val="0"/>
        </w:rPr>
        <w:t>The search for a disappeared person must continue until his or her fate and/or whereabouts are determined with certainty. Under no circumstances may the search be terminated as a justification for suspending or ending the investigation into the crime of enforced disappearance.</w:t>
      </w:r>
    </w:p>
    <w:p w:rsidR="00F551EF" w:rsidRDefault="00F551EF" w:rsidP="004315A8">
      <w:pPr>
        <w:pStyle w:val="ListParagraph"/>
        <w:numPr>
          <w:ilvl w:val="0"/>
          <w:numId w:val="6"/>
        </w:numPr>
        <w:jc w:val="both"/>
        <w:rPr>
          <w:rFonts w:ascii="Arial" w:hAnsi="Arial"/>
          <w:sz w:val="28"/>
          <w:szCs w:val="28"/>
          <w:lang w:bidi="ar-IQ"/>
        </w:rPr>
      </w:pPr>
      <w:r w:rsidRPr="00F551EF">
        <w:rPr>
          <w:rFonts w:asciiTheme="majorBidi" w:hAnsiTheme="majorBidi" w:cstheme="majorBidi"/>
          <w:sz w:val="24"/>
          <w:szCs w:val="24"/>
        </w:rPr>
        <w:t>Urge the government to establish a national center for missing and disappeared persons, functioning as a specialized body that brings together all relevant competencies and entities. The center shall oversee the entire process, starting fr</w:t>
      </w:r>
      <w:r w:rsidR="008F53FC">
        <w:rPr>
          <w:rFonts w:asciiTheme="majorBidi" w:hAnsiTheme="majorBidi" w:cstheme="majorBidi"/>
          <w:sz w:val="24"/>
          <w:szCs w:val="24"/>
        </w:rPr>
        <w:t>om the</w:t>
      </w:r>
      <w:r w:rsidRPr="00F551EF">
        <w:rPr>
          <w:rFonts w:asciiTheme="majorBidi" w:hAnsiTheme="majorBidi" w:cstheme="majorBidi"/>
          <w:sz w:val="24"/>
          <w:szCs w:val="24"/>
        </w:rPr>
        <w:t xml:space="preserve"> </w:t>
      </w:r>
      <w:r w:rsidR="004315A8">
        <w:rPr>
          <w:rFonts w:asciiTheme="majorBidi" w:hAnsiTheme="majorBidi" w:cstheme="majorBidi"/>
          <w:sz w:val="24"/>
          <w:szCs w:val="24"/>
        </w:rPr>
        <w:t>declaration</w:t>
      </w:r>
      <w:r w:rsidR="008F53FC">
        <w:rPr>
          <w:rFonts w:asciiTheme="majorBidi" w:hAnsiTheme="majorBidi" w:cstheme="majorBidi"/>
          <w:sz w:val="24"/>
          <w:szCs w:val="24"/>
        </w:rPr>
        <w:t xml:space="preserve"> and</w:t>
      </w:r>
      <w:r w:rsidR="00D659DC">
        <w:rPr>
          <w:rFonts w:asciiTheme="majorBidi" w:hAnsiTheme="majorBidi" w:cstheme="majorBidi"/>
          <w:sz w:val="24"/>
          <w:szCs w:val="24"/>
        </w:rPr>
        <w:t xml:space="preserve"> reporting</w:t>
      </w:r>
      <w:r w:rsidRPr="00F551EF">
        <w:rPr>
          <w:rFonts w:asciiTheme="majorBidi" w:hAnsiTheme="majorBidi" w:cstheme="majorBidi"/>
          <w:sz w:val="24"/>
          <w:szCs w:val="24"/>
        </w:rPr>
        <w:t xml:space="preserve"> of disappearance, through search and investigation, exhumation of graves, identification of remains, handover of remains, fair trial proceedings, reparation, and concluding with the rehabilitation of the victims’ families.</w:t>
      </w:r>
    </w:p>
    <w:p w:rsidR="00C107C6" w:rsidRDefault="00C107C6" w:rsidP="00900DE5">
      <w:pPr>
        <w:pStyle w:val="ListParagraph"/>
        <w:jc w:val="both"/>
        <w:rPr>
          <w:rFonts w:ascii="Arial" w:hAnsi="Arial"/>
          <w:sz w:val="28"/>
          <w:szCs w:val="28"/>
          <w:lang w:bidi="ar-IQ"/>
        </w:rPr>
      </w:pPr>
    </w:p>
    <w:p w:rsidR="00900DE5" w:rsidRPr="00900DE5" w:rsidRDefault="00900DE5" w:rsidP="00900DE5">
      <w:pPr>
        <w:pStyle w:val="ListParagraph"/>
        <w:jc w:val="both"/>
        <w:rPr>
          <w:rFonts w:ascii="Arial" w:hAnsi="Arial"/>
          <w:sz w:val="28"/>
          <w:szCs w:val="28"/>
          <w:rtl/>
          <w:lang w:bidi="ar-IQ"/>
        </w:rPr>
      </w:pPr>
    </w:p>
    <w:p w:rsidR="001F26CD" w:rsidRPr="00380E3B" w:rsidRDefault="001F26CD" w:rsidP="00380E3B">
      <w:pPr>
        <w:pStyle w:val="Heading1"/>
        <w:rPr>
          <w:rFonts w:asciiTheme="majorBidi" w:eastAsia="Times New Roman" w:hAnsiTheme="majorBidi"/>
          <w:b/>
          <w:bCs/>
          <w:sz w:val="24"/>
          <w:szCs w:val="24"/>
        </w:rPr>
      </w:pPr>
      <w:bookmarkStart w:id="26" w:name="_Toc202559285"/>
      <w:bookmarkStart w:id="27" w:name="_Toc202559465"/>
      <w:r w:rsidRPr="00380E3B">
        <w:rPr>
          <w:rFonts w:asciiTheme="majorBidi" w:eastAsia="Times New Roman" w:hAnsiTheme="majorBidi"/>
          <w:b/>
          <w:bCs/>
          <w:sz w:val="24"/>
          <w:szCs w:val="24"/>
        </w:rPr>
        <w:t>VI. Reporting and Investigation of Enforced Disappearance Cases</w:t>
      </w:r>
      <w:bookmarkEnd w:id="26"/>
      <w:bookmarkEnd w:id="27"/>
    </w:p>
    <w:p w:rsidR="00E5602E" w:rsidRPr="00BB405B" w:rsidRDefault="001F26CD" w:rsidP="006F0C4D">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 xml:space="preserve">The </w:t>
      </w:r>
      <w:r w:rsidR="00B44FA7">
        <w:rPr>
          <w:rFonts w:asciiTheme="majorBidi" w:eastAsia="Times New Roman" w:hAnsiTheme="majorBidi" w:cstheme="majorBidi"/>
          <w:sz w:val="24"/>
          <w:szCs w:val="24"/>
        </w:rPr>
        <w:t>IHCHR</w:t>
      </w:r>
      <w:r w:rsidRPr="00BB405B">
        <w:rPr>
          <w:rFonts w:asciiTheme="majorBidi" w:eastAsia="Times New Roman" w:hAnsiTheme="majorBidi" w:cstheme="majorBidi"/>
          <w:sz w:val="24"/>
          <w:szCs w:val="24"/>
        </w:rPr>
        <w:t xml:space="preserve"> affirms the absence of a national database concerning cases of enforced disappearance, whether related to allegations or confirmed incidents. It further notes that the multiplicity of authorities and security agencies responsible for executing arrest and detention orders has directly hindered efforts to ascertain the fate of detained or arrested persons and to determine their whereabouts or provide any relevant information to concerned parties, such as family members or legal representatives. Despite the Commission’s repeated communications with the competent executive bodies urging the establishment of a unified database for all detainees across Iraq’s prisons, no positive cooperation has been received in this regard. Consequently, the lack of a unified system or database for all detainees in detention facilities or prisons has significantly impeded efforts to locate individuals whose families allege that they have been subjected to enforced disappearance.</w:t>
      </w:r>
    </w:p>
    <w:p w:rsidR="001F26CD" w:rsidRPr="00BB405B" w:rsidRDefault="001F26CD" w:rsidP="00F81964">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 xml:space="preserve">The Commission receives complaints in accordance with Article </w:t>
      </w:r>
      <w:r w:rsidR="006B3A6A">
        <w:rPr>
          <w:rFonts w:asciiTheme="majorBidi" w:eastAsia="Times New Roman" w:hAnsiTheme="majorBidi" w:cstheme="majorBidi"/>
          <w:sz w:val="24"/>
          <w:szCs w:val="24"/>
        </w:rPr>
        <w:t>(5\ Fourth)</w:t>
      </w:r>
      <w:r w:rsidRPr="00BB405B">
        <w:rPr>
          <w:rFonts w:asciiTheme="majorBidi" w:eastAsia="Times New Roman" w:hAnsiTheme="majorBidi" w:cstheme="majorBidi"/>
          <w:sz w:val="24"/>
          <w:szCs w:val="24"/>
        </w:rPr>
        <w:t xml:space="preserve"> of </w:t>
      </w:r>
      <w:r w:rsidR="00831D6C">
        <w:rPr>
          <w:rFonts w:asciiTheme="majorBidi" w:eastAsia="Times New Roman" w:hAnsiTheme="majorBidi" w:cstheme="majorBidi"/>
          <w:sz w:val="24"/>
          <w:szCs w:val="24"/>
        </w:rPr>
        <w:t xml:space="preserve">its </w:t>
      </w:r>
      <w:r w:rsidRPr="00BB405B">
        <w:rPr>
          <w:rFonts w:asciiTheme="majorBidi" w:eastAsia="Times New Roman" w:hAnsiTheme="majorBidi" w:cstheme="majorBidi"/>
          <w:sz w:val="24"/>
          <w:szCs w:val="24"/>
        </w:rPr>
        <w:t>Law No. 53 of 2008</w:t>
      </w:r>
      <w:r w:rsidR="00831D6C">
        <w:rPr>
          <w:rStyle w:val="FootnoteReference"/>
          <w:rFonts w:asciiTheme="majorBidi" w:eastAsia="Times New Roman" w:hAnsiTheme="majorBidi" w:cstheme="majorBidi"/>
          <w:sz w:val="24"/>
          <w:szCs w:val="24"/>
        </w:rPr>
        <w:footnoteReference w:id="5"/>
      </w:r>
      <w:r w:rsidRPr="00BB405B">
        <w:rPr>
          <w:rFonts w:asciiTheme="majorBidi" w:eastAsia="Times New Roman" w:hAnsiTheme="majorBidi" w:cstheme="majorBidi"/>
          <w:sz w:val="24"/>
          <w:szCs w:val="24"/>
        </w:rPr>
        <w:t xml:space="preserve">. It documented the disappearance of numerous civilians during and following the military </w:t>
      </w:r>
      <w:r w:rsidRPr="00BB405B">
        <w:rPr>
          <w:rFonts w:asciiTheme="majorBidi" w:eastAsia="Times New Roman" w:hAnsiTheme="majorBidi" w:cstheme="majorBidi"/>
          <w:sz w:val="24"/>
          <w:szCs w:val="24"/>
        </w:rPr>
        <w:lastRenderedPageBreak/>
        <w:t xml:space="preserve">operations to liberate areas from the so-called Islamic State in Iraq and the Levant (ISIL), based on allegations submitted by the families of victims from those regions. While the Commission lacks detailed information on the causes of these disappearances, it is apparent that the majority of victims disappeared at </w:t>
      </w:r>
      <w:r w:rsidRPr="00753B07">
        <w:rPr>
          <w:rFonts w:asciiTheme="majorBidi" w:eastAsia="Times New Roman" w:hAnsiTheme="majorBidi" w:cstheme="majorBidi"/>
          <w:sz w:val="24"/>
          <w:szCs w:val="24"/>
        </w:rPr>
        <w:t xml:space="preserve">the </w:t>
      </w:r>
      <w:r w:rsidR="0013001D" w:rsidRPr="00753B07">
        <w:rPr>
          <w:rFonts w:asciiTheme="majorBidi" w:eastAsia="Times New Roman" w:hAnsiTheme="majorBidi" w:cstheme="majorBidi"/>
          <w:sz w:val="24"/>
          <w:szCs w:val="24"/>
        </w:rPr>
        <w:t>hands of the</w:t>
      </w:r>
      <w:r w:rsidR="0013001D">
        <w:rPr>
          <w:rFonts w:asciiTheme="majorBidi" w:eastAsia="Times New Roman" w:hAnsiTheme="majorBidi" w:cstheme="majorBidi"/>
          <w:sz w:val="24"/>
          <w:szCs w:val="24"/>
        </w:rPr>
        <w:t xml:space="preserve"> so-called Islamic State in Iraq and the Levant</w:t>
      </w:r>
      <w:r w:rsidR="00753B07">
        <w:rPr>
          <w:rFonts w:asciiTheme="majorBidi" w:eastAsia="Times New Roman" w:hAnsiTheme="majorBidi" w:cstheme="majorBidi"/>
          <w:sz w:val="24"/>
          <w:szCs w:val="24"/>
        </w:rPr>
        <w:t xml:space="preserve"> (ISIL).</w:t>
      </w:r>
    </w:p>
    <w:p w:rsidR="001F26CD" w:rsidRDefault="001F26CD" w:rsidP="00C9217A">
      <w:pPr>
        <w:spacing w:before="100" w:beforeAutospacing="1" w:after="100" w:afterAutospacing="1" w:line="240" w:lineRule="auto"/>
        <w:jc w:val="both"/>
        <w:rPr>
          <w:rFonts w:asciiTheme="majorBidi" w:eastAsia="Times New Roman" w:hAnsiTheme="majorBidi" w:cstheme="majorBidi"/>
          <w:sz w:val="24"/>
          <w:szCs w:val="24"/>
          <w:rtl/>
        </w:rPr>
      </w:pPr>
      <w:r w:rsidRPr="00BB405B">
        <w:rPr>
          <w:rFonts w:asciiTheme="majorBidi" w:eastAsia="Times New Roman" w:hAnsiTheme="majorBidi" w:cstheme="majorBidi"/>
          <w:sz w:val="24"/>
          <w:szCs w:val="24"/>
        </w:rPr>
        <w:t xml:space="preserve">Regarding complaints submitted to the </w:t>
      </w:r>
      <w:r w:rsidR="00C9217A">
        <w:rPr>
          <w:rFonts w:asciiTheme="majorBidi" w:eastAsia="Times New Roman" w:hAnsiTheme="majorBidi" w:cstheme="majorBidi"/>
          <w:sz w:val="24"/>
          <w:szCs w:val="24"/>
        </w:rPr>
        <w:t>IHCHR</w:t>
      </w:r>
      <w:r w:rsidRPr="00BB405B">
        <w:rPr>
          <w:rFonts w:asciiTheme="majorBidi" w:eastAsia="Times New Roman" w:hAnsiTheme="majorBidi" w:cstheme="majorBidi"/>
          <w:sz w:val="24"/>
          <w:szCs w:val="24"/>
        </w:rPr>
        <w:t xml:space="preserve"> concerning cases of disappearance and alleged enforced disappearance, the Commission has received complaints alleging widespread cases of abduction and enforced disappearance during and after the liberation operations. The table below outlines the number of complaints and requests received by the Commission in relation to individuals whose whereabouts are unknown. While some families claimed that their relatives were abducted by members of the so-called ISIL, others asserted that official security forces arrested their loved ones without disclosing their places of detention.</w:t>
      </w:r>
    </w:p>
    <w:p w:rsidR="006B3A6A" w:rsidRPr="00BB405B" w:rsidRDefault="006B3A6A" w:rsidP="00BB405B">
      <w:pPr>
        <w:spacing w:before="100" w:beforeAutospacing="1" w:after="100" w:afterAutospacing="1" w:line="240" w:lineRule="auto"/>
        <w:jc w:val="both"/>
        <w:rPr>
          <w:rFonts w:asciiTheme="majorBidi" w:eastAsia="Times New Roman" w:hAnsiTheme="majorBidi" w:cstheme="majorBidi"/>
          <w:sz w:val="24"/>
          <w:szCs w:val="24"/>
          <w:lang w:bidi="ar-IQ"/>
        </w:rPr>
      </w:pPr>
    </w:p>
    <w:tbl>
      <w:tblPr>
        <w:tblStyle w:val="TableGrid"/>
        <w:tblpPr w:leftFromText="180" w:rightFromText="180" w:vertAnchor="text" w:tblpXSpec="center" w:tblpY="1"/>
        <w:tblOverlap w:val="never"/>
        <w:tblW w:w="9997" w:type="dxa"/>
        <w:jc w:val="center"/>
        <w:tblLook w:val="04A0" w:firstRow="1" w:lastRow="0" w:firstColumn="1" w:lastColumn="0" w:noHBand="0" w:noVBand="1"/>
      </w:tblPr>
      <w:tblGrid>
        <w:gridCol w:w="1345"/>
        <w:gridCol w:w="1896"/>
        <w:gridCol w:w="2127"/>
        <w:gridCol w:w="1245"/>
        <w:gridCol w:w="3384"/>
      </w:tblGrid>
      <w:tr w:rsidR="001F26CD" w:rsidRPr="00BB405B" w:rsidTr="00490AB2">
        <w:trPr>
          <w:trHeight w:val="1261"/>
          <w:jc w:val="center"/>
        </w:trPr>
        <w:tc>
          <w:tcPr>
            <w:tcW w:w="1345" w:type="dxa"/>
            <w:shd w:val="clear" w:color="auto" w:fill="BDD6EE" w:themeFill="accent1" w:themeFillTint="66"/>
            <w:vAlign w:val="center"/>
            <w:hideMark/>
          </w:tcPr>
          <w:p w:rsidR="001F26CD" w:rsidRPr="00BB405B" w:rsidRDefault="001F26CD" w:rsidP="00490AB2">
            <w:pPr>
              <w:jc w:val="center"/>
              <w:rPr>
                <w:rFonts w:asciiTheme="majorBidi" w:eastAsia="Times New Roman" w:hAnsiTheme="majorBidi" w:cstheme="majorBidi"/>
                <w:b/>
                <w:bCs/>
                <w:sz w:val="24"/>
                <w:szCs w:val="24"/>
              </w:rPr>
            </w:pPr>
            <w:r w:rsidRPr="00BB405B">
              <w:rPr>
                <w:rFonts w:asciiTheme="majorBidi" w:eastAsia="Times New Roman" w:hAnsiTheme="majorBidi" w:cstheme="majorBidi"/>
                <w:b/>
                <w:bCs/>
                <w:sz w:val="24"/>
                <w:szCs w:val="24"/>
              </w:rPr>
              <w:t>Year</w:t>
            </w:r>
          </w:p>
        </w:tc>
        <w:tc>
          <w:tcPr>
            <w:tcW w:w="1896" w:type="dxa"/>
            <w:shd w:val="clear" w:color="auto" w:fill="BDD6EE" w:themeFill="accent1" w:themeFillTint="66"/>
            <w:vAlign w:val="center"/>
            <w:hideMark/>
          </w:tcPr>
          <w:p w:rsidR="001F26CD" w:rsidRPr="00BB405B" w:rsidRDefault="001F26CD" w:rsidP="00490AB2">
            <w:pPr>
              <w:jc w:val="center"/>
              <w:rPr>
                <w:rFonts w:asciiTheme="majorBidi" w:eastAsia="Times New Roman" w:hAnsiTheme="majorBidi" w:cstheme="majorBidi"/>
                <w:b/>
                <w:bCs/>
                <w:sz w:val="24"/>
                <w:szCs w:val="24"/>
              </w:rPr>
            </w:pPr>
            <w:r w:rsidRPr="00BB405B">
              <w:rPr>
                <w:rFonts w:asciiTheme="majorBidi" w:eastAsia="Times New Roman" w:hAnsiTheme="majorBidi" w:cstheme="majorBidi"/>
                <w:b/>
                <w:bCs/>
                <w:sz w:val="24"/>
                <w:szCs w:val="24"/>
              </w:rPr>
              <w:t>Total Complaints Received by the Commission</w:t>
            </w:r>
          </w:p>
        </w:tc>
        <w:tc>
          <w:tcPr>
            <w:tcW w:w="0" w:type="auto"/>
            <w:shd w:val="clear" w:color="auto" w:fill="BDD6EE" w:themeFill="accent1" w:themeFillTint="66"/>
            <w:vAlign w:val="center"/>
            <w:hideMark/>
          </w:tcPr>
          <w:p w:rsidR="001F26CD" w:rsidRPr="00BB405B" w:rsidRDefault="001F26CD" w:rsidP="00490AB2">
            <w:pPr>
              <w:jc w:val="center"/>
              <w:rPr>
                <w:rFonts w:asciiTheme="majorBidi" w:eastAsia="Times New Roman" w:hAnsiTheme="majorBidi" w:cstheme="majorBidi"/>
                <w:b/>
                <w:bCs/>
                <w:sz w:val="24"/>
                <w:szCs w:val="24"/>
              </w:rPr>
            </w:pPr>
            <w:r w:rsidRPr="00BB405B">
              <w:rPr>
                <w:rFonts w:asciiTheme="majorBidi" w:eastAsia="Times New Roman" w:hAnsiTheme="majorBidi" w:cstheme="majorBidi"/>
                <w:b/>
                <w:bCs/>
                <w:sz w:val="24"/>
                <w:szCs w:val="24"/>
              </w:rPr>
              <w:t>Resolved Complaints (upon full response)</w:t>
            </w:r>
          </w:p>
        </w:tc>
        <w:tc>
          <w:tcPr>
            <w:tcW w:w="0" w:type="auto"/>
            <w:shd w:val="clear" w:color="auto" w:fill="BDD6EE" w:themeFill="accent1" w:themeFillTint="66"/>
            <w:vAlign w:val="center"/>
            <w:hideMark/>
          </w:tcPr>
          <w:p w:rsidR="001F26CD" w:rsidRPr="00BB405B" w:rsidRDefault="001F26CD" w:rsidP="00490AB2">
            <w:pPr>
              <w:jc w:val="center"/>
              <w:rPr>
                <w:rFonts w:asciiTheme="majorBidi" w:eastAsia="Times New Roman" w:hAnsiTheme="majorBidi" w:cstheme="majorBidi"/>
                <w:b/>
                <w:bCs/>
                <w:sz w:val="24"/>
                <w:szCs w:val="24"/>
              </w:rPr>
            </w:pPr>
            <w:r w:rsidRPr="00BB405B">
              <w:rPr>
                <w:rFonts w:asciiTheme="majorBidi" w:eastAsia="Times New Roman" w:hAnsiTheme="majorBidi" w:cstheme="majorBidi"/>
                <w:b/>
                <w:bCs/>
                <w:sz w:val="24"/>
                <w:szCs w:val="24"/>
              </w:rPr>
              <w:t>Persons Located</w:t>
            </w:r>
          </w:p>
        </w:tc>
        <w:tc>
          <w:tcPr>
            <w:tcW w:w="0" w:type="auto"/>
            <w:shd w:val="clear" w:color="auto" w:fill="BDD6EE" w:themeFill="accent1" w:themeFillTint="66"/>
            <w:vAlign w:val="center"/>
            <w:hideMark/>
          </w:tcPr>
          <w:p w:rsidR="001F26CD" w:rsidRPr="00BB405B" w:rsidRDefault="001F26CD" w:rsidP="00490AB2">
            <w:pPr>
              <w:jc w:val="center"/>
              <w:rPr>
                <w:rFonts w:asciiTheme="majorBidi" w:eastAsia="Times New Roman" w:hAnsiTheme="majorBidi" w:cstheme="majorBidi"/>
                <w:b/>
                <w:bCs/>
                <w:sz w:val="24"/>
                <w:szCs w:val="24"/>
              </w:rPr>
            </w:pPr>
            <w:r w:rsidRPr="00BB405B">
              <w:rPr>
                <w:rFonts w:asciiTheme="majorBidi" w:eastAsia="Times New Roman" w:hAnsiTheme="majorBidi" w:cstheme="majorBidi"/>
                <w:b/>
                <w:bCs/>
                <w:sz w:val="24"/>
                <w:szCs w:val="24"/>
              </w:rPr>
              <w:t>Complaints Referred to Public Prosecution</w:t>
            </w:r>
          </w:p>
        </w:tc>
      </w:tr>
      <w:tr w:rsidR="001F26CD" w:rsidRPr="00BB405B" w:rsidTr="00490AB2">
        <w:trPr>
          <w:trHeight w:val="629"/>
          <w:jc w:val="center"/>
        </w:trPr>
        <w:tc>
          <w:tcPr>
            <w:tcW w:w="1345" w:type="dxa"/>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2017–2018</w:t>
            </w:r>
          </w:p>
        </w:tc>
        <w:tc>
          <w:tcPr>
            <w:tcW w:w="1896" w:type="dxa"/>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6,752</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96</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1,192</w:t>
            </w:r>
          </w:p>
        </w:tc>
      </w:tr>
      <w:tr w:rsidR="001F26CD" w:rsidRPr="00BB405B" w:rsidTr="00490AB2">
        <w:trPr>
          <w:trHeight w:val="314"/>
          <w:jc w:val="center"/>
        </w:trPr>
        <w:tc>
          <w:tcPr>
            <w:tcW w:w="1345" w:type="dxa"/>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2019</w:t>
            </w:r>
          </w:p>
        </w:tc>
        <w:tc>
          <w:tcPr>
            <w:tcW w:w="1896" w:type="dxa"/>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1,414</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1,344</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70</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1,344</w:t>
            </w:r>
          </w:p>
        </w:tc>
      </w:tr>
      <w:tr w:rsidR="001F26CD" w:rsidRPr="00BB405B" w:rsidTr="00490AB2">
        <w:trPr>
          <w:trHeight w:val="314"/>
          <w:jc w:val="center"/>
        </w:trPr>
        <w:tc>
          <w:tcPr>
            <w:tcW w:w="1345" w:type="dxa"/>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2020</w:t>
            </w:r>
          </w:p>
        </w:tc>
        <w:tc>
          <w:tcPr>
            <w:tcW w:w="1896" w:type="dxa"/>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569</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533</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36</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533</w:t>
            </w:r>
          </w:p>
        </w:tc>
      </w:tr>
      <w:tr w:rsidR="001F26CD" w:rsidRPr="00BB405B" w:rsidTr="00490AB2">
        <w:trPr>
          <w:trHeight w:val="1246"/>
          <w:jc w:val="center"/>
        </w:trPr>
        <w:tc>
          <w:tcPr>
            <w:tcW w:w="1345" w:type="dxa"/>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2021</w:t>
            </w:r>
          </w:p>
        </w:tc>
        <w:tc>
          <w:tcPr>
            <w:tcW w:w="1896" w:type="dxa"/>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2,275</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2,226</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49</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Only 250 complaints were referred; referrals were suspended per the Public Prosecution's request</w:t>
            </w:r>
          </w:p>
        </w:tc>
      </w:tr>
      <w:tr w:rsidR="001F26CD" w:rsidRPr="00BB405B" w:rsidTr="00490AB2">
        <w:trPr>
          <w:trHeight w:val="314"/>
          <w:jc w:val="center"/>
        </w:trPr>
        <w:tc>
          <w:tcPr>
            <w:tcW w:w="1345" w:type="dxa"/>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2022</w:t>
            </w:r>
          </w:p>
        </w:tc>
        <w:tc>
          <w:tcPr>
            <w:tcW w:w="1896" w:type="dxa"/>
            <w:vAlign w:val="center"/>
            <w:hideMark/>
          </w:tcPr>
          <w:p w:rsidR="001F26CD" w:rsidRPr="00BB405B" w:rsidRDefault="006A38C7" w:rsidP="00490AB2">
            <w:pPr>
              <w:jc w:val="center"/>
              <w:rPr>
                <w:rFonts w:asciiTheme="majorBidi" w:eastAsia="Times New Roman" w:hAnsiTheme="majorBidi" w:cstheme="majorBidi"/>
                <w:sz w:val="24"/>
                <w:szCs w:val="24"/>
              </w:rPr>
            </w:pPr>
            <w:r>
              <w:rPr>
                <w:rFonts w:asciiTheme="majorBidi" w:eastAsia="Times New Roman" w:hAnsiTheme="majorBidi" w:cstheme="majorBidi"/>
                <w:sz w:val="24"/>
                <w:szCs w:val="24"/>
              </w:rPr>
              <w:t>805</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442</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10</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None</w:t>
            </w:r>
          </w:p>
        </w:tc>
      </w:tr>
      <w:tr w:rsidR="001F26CD" w:rsidRPr="00BB405B" w:rsidTr="00490AB2">
        <w:trPr>
          <w:trHeight w:val="314"/>
          <w:jc w:val="center"/>
        </w:trPr>
        <w:tc>
          <w:tcPr>
            <w:tcW w:w="1345" w:type="dxa"/>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2023</w:t>
            </w:r>
          </w:p>
        </w:tc>
        <w:tc>
          <w:tcPr>
            <w:tcW w:w="1896" w:type="dxa"/>
            <w:vAlign w:val="center"/>
            <w:hideMark/>
          </w:tcPr>
          <w:p w:rsidR="001F26CD" w:rsidRPr="00BB405B" w:rsidRDefault="006A38C7" w:rsidP="00490AB2">
            <w:pPr>
              <w:jc w:val="center"/>
              <w:rPr>
                <w:rFonts w:asciiTheme="majorBidi" w:eastAsia="Times New Roman" w:hAnsiTheme="majorBidi" w:cstheme="majorBidi"/>
                <w:sz w:val="24"/>
                <w:szCs w:val="24"/>
              </w:rPr>
            </w:pPr>
            <w:r>
              <w:rPr>
                <w:rFonts w:asciiTheme="majorBidi" w:eastAsia="Times New Roman" w:hAnsiTheme="majorBidi" w:cstheme="majorBidi"/>
                <w:sz w:val="24"/>
                <w:szCs w:val="24"/>
              </w:rPr>
              <w:t>335</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303</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7</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None</w:t>
            </w:r>
          </w:p>
        </w:tc>
      </w:tr>
      <w:tr w:rsidR="001F26CD" w:rsidRPr="00BB405B" w:rsidTr="00490AB2">
        <w:trPr>
          <w:trHeight w:val="314"/>
          <w:jc w:val="center"/>
        </w:trPr>
        <w:tc>
          <w:tcPr>
            <w:tcW w:w="1345" w:type="dxa"/>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2024</w:t>
            </w:r>
          </w:p>
        </w:tc>
        <w:tc>
          <w:tcPr>
            <w:tcW w:w="1896" w:type="dxa"/>
            <w:vAlign w:val="center"/>
            <w:hideMark/>
          </w:tcPr>
          <w:p w:rsidR="001F26CD" w:rsidRPr="00BB405B" w:rsidRDefault="006A38C7" w:rsidP="00490AB2">
            <w:pPr>
              <w:jc w:val="center"/>
              <w:rPr>
                <w:rFonts w:asciiTheme="majorBidi" w:eastAsia="Times New Roman" w:hAnsiTheme="majorBidi" w:cstheme="majorBidi"/>
                <w:sz w:val="24"/>
                <w:szCs w:val="24"/>
              </w:rPr>
            </w:pPr>
            <w:r>
              <w:rPr>
                <w:rFonts w:asciiTheme="majorBidi" w:eastAsia="Times New Roman" w:hAnsiTheme="majorBidi" w:cstheme="majorBidi"/>
                <w:sz w:val="24"/>
                <w:szCs w:val="24"/>
              </w:rPr>
              <w:t>208</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99</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2</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None</w:t>
            </w:r>
          </w:p>
        </w:tc>
      </w:tr>
      <w:tr w:rsidR="001F26CD" w:rsidRPr="00BB405B" w:rsidTr="00490AB2">
        <w:trPr>
          <w:trHeight w:val="314"/>
          <w:jc w:val="center"/>
        </w:trPr>
        <w:tc>
          <w:tcPr>
            <w:tcW w:w="1345" w:type="dxa"/>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2025</w:t>
            </w:r>
          </w:p>
        </w:tc>
        <w:tc>
          <w:tcPr>
            <w:tcW w:w="1896" w:type="dxa"/>
            <w:vAlign w:val="center"/>
            <w:hideMark/>
          </w:tcPr>
          <w:p w:rsidR="001F26CD" w:rsidRPr="00BB405B" w:rsidRDefault="006A38C7" w:rsidP="00490AB2">
            <w:pPr>
              <w:jc w:val="center"/>
              <w:rPr>
                <w:rFonts w:asciiTheme="majorBidi" w:eastAsia="Times New Roman" w:hAnsiTheme="majorBidi" w:cstheme="majorBidi"/>
                <w:sz w:val="24"/>
                <w:szCs w:val="24"/>
              </w:rPr>
            </w:pPr>
            <w:r>
              <w:rPr>
                <w:rFonts w:asciiTheme="majorBidi" w:eastAsia="Times New Roman" w:hAnsiTheme="majorBidi" w:cstheme="majorBidi"/>
                <w:sz w:val="24"/>
                <w:szCs w:val="24"/>
              </w:rPr>
              <w:t>82</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w:t>
            </w:r>
          </w:p>
        </w:tc>
        <w:tc>
          <w:tcPr>
            <w:tcW w:w="0" w:type="auto"/>
            <w:vAlign w:val="center"/>
            <w:hideMark/>
          </w:tcPr>
          <w:p w:rsidR="001F26CD" w:rsidRPr="00BB405B" w:rsidRDefault="001F26CD" w:rsidP="00490AB2">
            <w:pPr>
              <w:jc w:val="center"/>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w:t>
            </w:r>
          </w:p>
        </w:tc>
      </w:tr>
    </w:tbl>
    <w:p w:rsidR="00490AB2" w:rsidRDefault="00490AB2" w:rsidP="00BB405B">
      <w:pPr>
        <w:spacing w:before="100" w:beforeAutospacing="1" w:after="100" w:afterAutospacing="1" w:line="240" w:lineRule="auto"/>
        <w:jc w:val="both"/>
        <w:rPr>
          <w:rFonts w:asciiTheme="majorBidi" w:eastAsia="Times New Roman" w:hAnsiTheme="majorBidi" w:cstheme="majorBidi"/>
          <w:sz w:val="24"/>
          <w:szCs w:val="24"/>
        </w:rPr>
      </w:pPr>
    </w:p>
    <w:p w:rsidR="001F26CD" w:rsidRDefault="001F26CD" w:rsidP="00BB405B">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In response, the Commission contacted the competent security authorities managin</w:t>
      </w:r>
      <w:r w:rsidR="000937A3">
        <w:rPr>
          <w:rFonts w:asciiTheme="majorBidi" w:eastAsia="Times New Roman" w:hAnsiTheme="majorBidi" w:cstheme="majorBidi"/>
          <w:sz w:val="24"/>
          <w:szCs w:val="24"/>
        </w:rPr>
        <w:t>g pretrial detention</w:t>
      </w:r>
      <w:r w:rsidRPr="00BB405B">
        <w:rPr>
          <w:rFonts w:asciiTheme="majorBidi" w:eastAsia="Times New Roman" w:hAnsiTheme="majorBidi" w:cstheme="majorBidi"/>
          <w:sz w:val="24"/>
          <w:szCs w:val="24"/>
        </w:rPr>
        <w:t xml:space="preserve"> facilities</w:t>
      </w:r>
      <w:r w:rsidR="000937A3">
        <w:rPr>
          <w:rFonts w:asciiTheme="majorBidi" w:eastAsia="Times New Roman" w:hAnsiTheme="majorBidi" w:cstheme="majorBidi"/>
          <w:sz w:val="24"/>
          <w:szCs w:val="24"/>
        </w:rPr>
        <w:t xml:space="preserve"> and prisons</w:t>
      </w:r>
      <w:r w:rsidRPr="00BB405B">
        <w:rPr>
          <w:rFonts w:asciiTheme="majorBidi" w:eastAsia="Times New Roman" w:hAnsiTheme="majorBidi" w:cstheme="majorBidi"/>
          <w:sz w:val="24"/>
          <w:szCs w:val="24"/>
        </w:rPr>
        <w:t xml:space="preserve"> or those allegedly responsible for detaining individuals, ba</w:t>
      </w:r>
      <w:r w:rsidR="000937A3">
        <w:rPr>
          <w:rFonts w:asciiTheme="majorBidi" w:eastAsia="Times New Roman" w:hAnsiTheme="majorBidi" w:cstheme="majorBidi"/>
          <w:sz w:val="24"/>
          <w:szCs w:val="24"/>
        </w:rPr>
        <w:t>sed on complainants’ statements, t</w:t>
      </w:r>
      <w:r w:rsidRPr="00BB405B">
        <w:rPr>
          <w:rFonts w:asciiTheme="majorBidi" w:eastAsia="Times New Roman" w:hAnsiTheme="majorBidi" w:cstheme="majorBidi"/>
          <w:sz w:val="24"/>
          <w:szCs w:val="24"/>
        </w:rPr>
        <w:t xml:space="preserve">hese authorities include: </w:t>
      </w:r>
      <w:r w:rsidR="009923FB">
        <w:rPr>
          <w:rFonts w:asciiTheme="majorBidi" w:eastAsia="Times New Roman" w:hAnsiTheme="majorBidi" w:cstheme="majorBidi"/>
          <w:sz w:val="24"/>
          <w:szCs w:val="24"/>
        </w:rPr>
        <w:t>(the Ministry of Justice\ Iraqi Reform Department</w:t>
      </w:r>
      <w:r w:rsidRPr="00BB405B">
        <w:rPr>
          <w:rFonts w:asciiTheme="majorBidi" w:eastAsia="Times New Roman" w:hAnsiTheme="majorBidi" w:cstheme="majorBidi"/>
          <w:sz w:val="24"/>
          <w:szCs w:val="24"/>
        </w:rPr>
        <w:t>, Ministry of Defense, Ministry of Interior, National Intelligence Service, National Security Advisory, Popular Mobilization Commission, and the security forces of the Kurdistan Region through its representative office in Baghdad</w:t>
      </w:r>
      <w:r w:rsidR="002F725A">
        <w:rPr>
          <w:rFonts w:asciiTheme="majorBidi" w:eastAsia="Times New Roman" w:hAnsiTheme="majorBidi" w:cstheme="majorBidi"/>
          <w:sz w:val="24"/>
          <w:szCs w:val="24"/>
        </w:rPr>
        <w:t>)</w:t>
      </w:r>
      <w:r w:rsidRPr="00BB405B">
        <w:rPr>
          <w:rFonts w:asciiTheme="majorBidi" w:eastAsia="Times New Roman" w:hAnsiTheme="majorBidi" w:cstheme="majorBidi"/>
          <w:sz w:val="24"/>
          <w:szCs w:val="24"/>
        </w:rPr>
        <w:t>. These efforts are considered part of the procedures to search for missing persons. However, the statistical data above indicate that only a very limited number of missing persons have been located.</w:t>
      </w:r>
    </w:p>
    <w:p w:rsidR="006E3713" w:rsidRPr="006E3713" w:rsidRDefault="006E3713" w:rsidP="003E11DF">
      <w:pPr>
        <w:spacing w:before="100" w:beforeAutospacing="1" w:after="100" w:afterAutospacing="1" w:line="240" w:lineRule="auto"/>
        <w:jc w:val="both"/>
        <w:rPr>
          <w:rFonts w:asciiTheme="majorBidi" w:hAnsiTheme="majorBidi" w:cstheme="majorBidi"/>
          <w:sz w:val="24"/>
          <w:szCs w:val="24"/>
          <w:rtl/>
        </w:rPr>
      </w:pPr>
      <w:r w:rsidRPr="006E3713">
        <w:rPr>
          <w:rStyle w:val="Strong"/>
          <w:rFonts w:asciiTheme="majorBidi" w:hAnsiTheme="majorBidi" w:cstheme="majorBidi"/>
          <w:b w:val="0"/>
          <w:bCs w:val="0"/>
          <w:sz w:val="24"/>
          <w:szCs w:val="24"/>
        </w:rPr>
        <w:t xml:space="preserve">It is worth noting that the Presidency of the Public Prosecution issued instructions not to initiate proceedings in cases of disappearance and missing persons as of November 2021, pursuant to its </w:t>
      </w:r>
      <w:r w:rsidRPr="006E3713">
        <w:rPr>
          <w:rStyle w:val="Strong"/>
          <w:rFonts w:asciiTheme="majorBidi" w:hAnsiTheme="majorBidi" w:cstheme="majorBidi"/>
          <w:b w:val="0"/>
          <w:bCs w:val="0"/>
          <w:sz w:val="24"/>
          <w:szCs w:val="24"/>
        </w:rPr>
        <w:lastRenderedPageBreak/>
        <w:t>official letter</w:t>
      </w:r>
      <w:r w:rsidR="007D5052">
        <w:rPr>
          <w:rStyle w:val="Strong"/>
          <w:rFonts w:asciiTheme="majorBidi" w:hAnsiTheme="majorBidi" w:cstheme="majorBidi"/>
          <w:b w:val="0"/>
          <w:bCs w:val="0"/>
          <w:sz w:val="24"/>
          <w:szCs w:val="24"/>
        </w:rPr>
        <w:t xml:space="preserve"> (ref</w:t>
      </w:r>
      <w:r w:rsidR="007D5052" w:rsidRPr="006E3713">
        <w:rPr>
          <w:rStyle w:val="Strong"/>
          <w:rFonts w:asciiTheme="majorBidi" w:hAnsiTheme="majorBidi" w:cstheme="majorBidi"/>
          <w:b w:val="0"/>
          <w:bCs w:val="0"/>
          <w:sz w:val="24"/>
          <w:szCs w:val="24"/>
        </w:rPr>
        <w:t xml:space="preserve">. 5609 </w:t>
      </w:r>
      <w:r w:rsidR="007D5052">
        <w:rPr>
          <w:rStyle w:val="Strong"/>
          <w:rFonts w:asciiTheme="majorBidi" w:hAnsiTheme="majorBidi" w:cstheme="majorBidi"/>
          <w:b w:val="0"/>
          <w:bCs w:val="0"/>
          <w:sz w:val="24"/>
          <w:szCs w:val="24"/>
        </w:rPr>
        <w:t>on</w:t>
      </w:r>
      <w:r w:rsidR="007D5052" w:rsidRPr="006E3713">
        <w:rPr>
          <w:rStyle w:val="Strong"/>
          <w:rFonts w:asciiTheme="majorBidi" w:hAnsiTheme="majorBidi" w:cstheme="majorBidi"/>
          <w:b w:val="0"/>
          <w:bCs w:val="0"/>
          <w:sz w:val="24"/>
          <w:szCs w:val="24"/>
        </w:rPr>
        <w:t xml:space="preserve"> 10 November 2021</w:t>
      </w:r>
      <w:r w:rsidR="007D5052">
        <w:rPr>
          <w:rStyle w:val="Strong"/>
          <w:rFonts w:asciiTheme="majorBidi" w:hAnsiTheme="majorBidi" w:cstheme="majorBidi"/>
          <w:b w:val="0"/>
          <w:bCs w:val="0"/>
          <w:sz w:val="24"/>
          <w:szCs w:val="24"/>
        </w:rPr>
        <w:t>)</w:t>
      </w:r>
      <w:r w:rsidRPr="006E3713">
        <w:rPr>
          <w:rStyle w:val="Strong"/>
          <w:rFonts w:asciiTheme="majorBidi" w:hAnsiTheme="majorBidi" w:cstheme="majorBidi"/>
          <w:b w:val="0"/>
          <w:bCs w:val="0"/>
          <w:sz w:val="24"/>
          <w:szCs w:val="24"/>
        </w:rPr>
        <w:t xml:space="preserve"> addressed to our Commission</w:t>
      </w:r>
      <w:r w:rsidR="003E11DF">
        <w:rPr>
          <w:rStyle w:val="Strong"/>
          <w:rFonts w:asciiTheme="majorBidi" w:hAnsiTheme="majorBidi" w:cstheme="majorBidi"/>
          <w:b w:val="0"/>
          <w:bCs w:val="0"/>
          <w:sz w:val="24"/>
          <w:szCs w:val="24"/>
        </w:rPr>
        <w:t>.</w:t>
      </w:r>
      <w:r w:rsidRPr="006E3713">
        <w:rPr>
          <w:rStyle w:val="Strong"/>
          <w:rFonts w:asciiTheme="majorBidi" w:hAnsiTheme="majorBidi" w:cstheme="majorBidi"/>
          <w:b w:val="0"/>
          <w:bCs w:val="0"/>
          <w:sz w:val="24"/>
          <w:szCs w:val="24"/>
        </w:rPr>
        <w:t xml:space="preserve"> </w:t>
      </w:r>
      <w:r w:rsidR="003E11DF">
        <w:rPr>
          <w:rStyle w:val="Strong"/>
          <w:rFonts w:asciiTheme="majorBidi" w:hAnsiTheme="majorBidi" w:cstheme="majorBidi"/>
          <w:b w:val="0"/>
          <w:bCs w:val="0"/>
          <w:sz w:val="24"/>
          <w:szCs w:val="24"/>
        </w:rPr>
        <w:t xml:space="preserve"> </w:t>
      </w:r>
      <w:r w:rsidRPr="006E3713">
        <w:rPr>
          <w:rFonts w:asciiTheme="majorBidi" w:hAnsiTheme="majorBidi" w:cstheme="majorBidi"/>
          <w:sz w:val="24"/>
          <w:szCs w:val="24"/>
        </w:rPr>
        <w:t>The letter instructed that citizens submitting requests and complaints be informed to refer to the headquarters of the Presidency of the Public Prosecution in Baghdad, or to the offices of public prosecutors in the provinces within the geographical area of their residence, for the purpose of submitting their requests concerning the fate of their relatives.</w:t>
      </w:r>
    </w:p>
    <w:p w:rsidR="001F26CD" w:rsidRPr="00BB405B" w:rsidRDefault="001F26CD" w:rsidP="00BB405B">
      <w:pPr>
        <w:spacing w:before="100" w:beforeAutospacing="1" w:after="100" w:afterAutospacing="1" w:line="240" w:lineRule="auto"/>
        <w:jc w:val="both"/>
        <w:rPr>
          <w:rFonts w:asciiTheme="majorBidi" w:eastAsia="Times New Roman" w:hAnsiTheme="majorBidi" w:cstheme="majorBidi"/>
          <w:sz w:val="24"/>
          <w:szCs w:val="24"/>
        </w:rPr>
      </w:pPr>
      <w:r w:rsidRPr="00BB405B">
        <w:rPr>
          <w:rFonts w:asciiTheme="majorBidi" w:eastAsia="Times New Roman" w:hAnsiTheme="majorBidi" w:cstheme="majorBidi"/>
          <w:sz w:val="24"/>
          <w:szCs w:val="24"/>
        </w:rPr>
        <w:t>Given the volume of complaints received by the Commission alleging that security forces arrested individuals without disclosing their places of detention and denying them their right to family visitation or legal counsel, thus depriving them of legal protection and access to legal assistance, the Commission expresses its deep concern in this regard.</w:t>
      </w:r>
    </w:p>
    <w:p w:rsidR="00FA6D66" w:rsidRPr="00BB405B" w:rsidRDefault="004E5B53" w:rsidP="00AA26C9">
      <w:pPr>
        <w:spacing w:before="100" w:beforeAutospacing="1" w:after="100" w:afterAutospacing="1" w:line="240" w:lineRule="auto"/>
        <w:jc w:val="both"/>
        <w:rPr>
          <w:rFonts w:asciiTheme="majorBidi" w:eastAsia="Times New Roman" w:hAnsiTheme="majorBidi" w:cstheme="majorBidi"/>
          <w:sz w:val="24"/>
          <w:szCs w:val="24"/>
        </w:rPr>
      </w:pPr>
      <w:r w:rsidRPr="00687E7F">
        <w:rPr>
          <w:rFonts w:asciiTheme="majorBidi" w:eastAsia="Times New Roman" w:hAnsiTheme="majorBidi" w:cstheme="majorBidi"/>
          <w:b/>
          <w:bCs/>
          <w:sz w:val="24"/>
          <w:szCs w:val="24"/>
        </w:rPr>
        <w:t>The IHCHR notes</w:t>
      </w:r>
      <w:r w:rsidRPr="00687E7F">
        <w:rPr>
          <w:rFonts w:asciiTheme="majorBidi" w:eastAsia="Times New Roman" w:hAnsiTheme="majorBidi" w:cstheme="majorBidi"/>
          <w:sz w:val="24"/>
          <w:szCs w:val="24"/>
        </w:rPr>
        <w:t xml:space="preserve"> </w:t>
      </w:r>
      <w:r w:rsidR="00687E7F" w:rsidRPr="00D42BBB">
        <w:rPr>
          <w:rStyle w:val="Strong"/>
          <w:rFonts w:asciiTheme="majorBidi" w:hAnsiTheme="majorBidi" w:cstheme="majorBidi"/>
          <w:b w:val="0"/>
          <w:bCs w:val="0"/>
          <w:sz w:val="24"/>
          <w:szCs w:val="24"/>
        </w:rPr>
        <w:t>that the Draft Law on Combating Enforced Disappearance, submitted by the Ministry of Justice, stipulates in Article (2) the establishment of a “Department for Combating Enforced Disappearance” that shall be affiliated with the Iraqi High Commission for Human Rights</w:t>
      </w:r>
      <w:r w:rsidR="00687E7F" w:rsidRPr="00687E7F">
        <w:rPr>
          <w:rStyle w:val="Strong"/>
          <w:rFonts w:asciiTheme="majorBidi" w:hAnsiTheme="majorBidi" w:cstheme="majorBidi"/>
          <w:sz w:val="24"/>
          <w:szCs w:val="24"/>
        </w:rPr>
        <w:t>.</w:t>
      </w:r>
      <w:r w:rsidR="00687E7F">
        <w:rPr>
          <w:rStyle w:val="Strong"/>
          <w:rFonts w:asciiTheme="majorBidi" w:hAnsiTheme="majorBidi" w:cstheme="majorBidi"/>
          <w:sz w:val="24"/>
          <w:szCs w:val="24"/>
        </w:rPr>
        <w:t xml:space="preserve"> </w:t>
      </w:r>
      <w:r w:rsidR="00687E7F" w:rsidRPr="00687E7F">
        <w:rPr>
          <w:rFonts w:asciiTheme="majorBidi" w:hAnsiTheme="majorBidi" w:cstheme="majorBidi"/>
          <w:sz w:val="24"/>
          <w:szCs w:val="24"/>
        </w:rPr>
        <w:t>This constitutes a significant development, as it grants the Commission, in its capacity as the national human rights institution, a formal role in addressing cases of enforced disappearance and reinforces the mechanisms referenced in Article 5 of Law No. 53 of 2008, which authorizes the Commission to receive complaints and initiate legal action in relation to human rights violations committed both prior and subsequent to the enactment of its law.</w:t>
      </w:r>
    </w:p>
    <w:p w:rsidR="001F26CD" w:rsidRPr="00380E3B" w:rsidRDefault="001F26CD" w:rsidP="00380E3B">
      <w:pPr>
        <w:pStyle w:val="Heading2"/>
        <w:rPr>
          <w:rFonts w:asciiTheme="majorBidi" w:eastAsia="Times New Roman" w:hAnsiTheme="majorBidi"/>
          <w:b/>
          <w:bCs/>
          <w:sz w:val="24"/>
          <w:szCs w:val="24"/>
        </w:rPr>
      </w:pPr>
      <w:bookmarkStart w:id="28" w:name="_Toc202559286"/>
      <w:bookmarkStart w:id="29" w:name="_Toc202559466"/>
      <w:r w:rsidRPr="00380E3B">
        <w:rPr>
          <w:rFonts w:asciiTheme="majorBidi" w:eastAsia="Times New Roman" w:hAnsiTheme="majorBidi"/>
          <w:b/>
          <w:bCs/>
          <w:sz w:val="24"/>
          <w:szCs w:val="24"/>
        </w:rPr>
        <w:t>Recommendations:</w:t>
      </w:r>
      <w:bookmarkEnd w:id="28"/>
      <w:bookmarkEnd w:id="29"/>
    </w:p>
    <w:p w:rsidR="00A660C1" w:rsidRDefault="00A660C1" w:rsidP="00A660C1">
      <w:pPr>
        <w:pStyle w:val="NormalWeb"/>
        <w:numPr>
          <w:ilvl w:val="0"/>
          <w:numId w:val="24"/>
        </w:numPr>
        <w:jc w:val="both"/>
        <w:rPr>
          <w:rFonts w:asciiTheme="majorBidi" w:hAnsiTheme="majorBidi" w:cstheme="majorBidi"/>
          <w:b/>
          <w:bCs/>
        </w:rPr>
      </w:pPr>
      <w:r w:rsidRPr="00A660C1">
        <w:rPr>
          <w:rStyle w:val="Strong"/>
          <w:rFonts w:asciiTheme="majorBidi" w:hAnsiTheme="majorBidi" w:cstheme="majorBidi"/>
          <w:b w:val="0"/>
          <w:bCs w:val="0"/>
        </w:rPr>
        <w:t>Urge the Commander-in-Chief of the Armed Forces and the security leaderships to adopt genuine security plans and policies that ensure the protection of citizens and reduce incidents of abduction, and to investigate allegations of arrests carried out without disclosing the detainees’ whereabouts and depriving them of legal protection.</w:t>
      </w:r>
    </w:p>
    <w:p w:rsidR="00C24EED" w:rsidRPr="00DE0255" w:rsidRDefault="00A660C1" w:rsidP="00DE0255">
      <w:pPr>
        <w:pStyle w:val="NormalWeb"/>
        <w:numPr>
          <w:ilvl w:val="0"/>
          <w:numId w:val="24"/>
        </w:numPr>
        <w:jc w:val="both"/>
        <w:rPr>
          <w:rFonts w:asciiTheme="majorBidi" w:hAnsiTheme="majorBidi" w:cstheme="majorBidi"/>
          <w:b/>
          <w:bCs/>
        </w:rPr>
      </w:pPr>
      <w:r w:rsidRPr="00A660C1">
        <w:rPr>
          <w:rStyle w:val="Strong"/>
          <w:rFonts w:asciiTheme="majorBidi" w:hAnsiTheme="majorBidi" w:cstheme="majorBidi"/>
          <w:b w:val="0"/>
          <w:bCs w:val="0"/>
        </w:rPr>
        <w:t>Urge the Government and its security agenc</w:t>
      </w:r>
      <w:r w:rsidR="0060228B">
        <w:rPr>
          <w:rStyle w:val="Strong"/>
          <w:rFonts w:asciiTheme="majorBidi" w:hAnsiTheme="majorBidi" w:cstheme="majorBidi"/>
          <w:b w:val="0"/>
          <w:bCs w:val="0"/>
        </w:rPr>
        <w:t>ies to cooperate with the IHCHR</w:t>
      </w:r>
      <w:r w:rsidRPr="00A660C1">
        <w:rPr>
          <w:rStyle w:val="Strong"/>
          <w:rFonts w:asciiTheme="majorBidi" w:hAnsiTheme="majorBidi" w:cstheme="majorBidi"/>
          <w:b w:val="0"/>
          <w:bCs w:val="0"/>
        </w:rPr>
        <w:t>, as an independent national human rights institution, and to provide it with a database containing the names of detainees, prisoners, and inmates, along with their legal status, places of detention, and dates of entry or release.</w:t>
      </w:r>
      <w:r w:rsidR="005926C1">
        <w:rPr>
          <w:rStyle w:val="Strong"/>
          <w:rFonts w:asciiTheme="majorBidi" w:hAnsiTheme="majorBidi" w:cstheme="majorBidi"/>
          <w:b w:val="0"/>
          <w:bCs w:val="0"/>
        </w:rPr>
        <w:t xml:space="preserve"> </w:t>
      </w:r>
      <w:r w:rsidRPr="00A660C1">
        <w:rPr>
          <w:rFonts w:asciiTheme="majorBidi" w:hAnsiTheme="majorBidi" w:cstheme="majorBidi"/>
        </w:rPr>
        <w:t>This should be in accordance with the provisions of Article (6) of Law No. (53) of 2008</w:t>
      </w:r>
      <w:r w:rsidR="005926C1">
        <w:rPr>
          <w:rStyle w:val="FootnoteReference"/>
          <w:rFonts w:asciiTheme="majorBidi" w:hAnsiTheme="majorBidi" w:cstheme="majorBidi"/>
        </w:rPr>
        <w:footnoteReference w:id="6"/>
      </w:r>
      <w:r w:rsidRPr="00A660C1">
        <w:rPr>
          <w:rFonts w:asciiTheme="majorBidi" w:hAnsiTheme="majorBidi" w:cstheme="majorBidi"/>
        </w:rPr>
        <w:t>, and such data should also be made accessible to the families of detainees, prisoners, and inmates, as well as their legal representatives, oversight bodies, and relevant civil society organizations, in a manner that guarantees legal safeguards for persons deprived of their liberty, enables them to access legal protection, and aligns with the provisions of Article (24) of the Convention under review.</w:t>
      </w:r>
    </w:p>
    <w:p w:rsidR="00A660C1" w:rsidRDefault="00A660C1" w:rsidP="00A660C1">
      <w:pPr>
        <w:pStyle w:val="NormalWeb"/>
        <w:numPr>
          <w:ilvl w:val="0"/>
          <w:numId w:val="24"/>
        </w:numPr>
        <w:jc w:val="both"/>
        <w:rPr>
          <w:rFonts w:asciiTheme="majorBidi" w:hAnsiTheme="majorBidi" w:cstheme="majorBidi"/>
          <w:b/>
          <w:bCs/>
        </w:rPr>
      </w:pPr>
      <w:r w:rsidRPr="00A660C1">
        <w:rPr>
          <w:rStyle w:val="Strong"/>
          <w:rFonts w:asciiTheme="majorBidi" w:hAnsiTheme="majorBidi" w:cstheme="majorBidi"/>
          <w:b w:val="0"/>
          <w:bCs w:val="0"/>
        </w:rPr>
        <w:t>Urge the Council of Representatives to enact a special law that ensures reparation and compensation for victims, and to include in the Law on Combating Enforced Disappearance a clear and explicit provision defining the term “victim” in line with Article (3) of the relevant international convention.</w:t>
      </w:r>
    </w:p>
    <w:p w:rsidR="00A660C1" w:rsidRDefault="00A660C1" w:rsidP="00A660C1">
      <w:pPr>
        <w:pStyle w:val="NormalWeb"/>
        <w:numPr>
          <w:ilvl w:val="0"/>
          <w:numId w:val="24"/>
        </w:numPr>
        <w:jc w:val="both"/>
        <w:rPr>
          <w:rFonts w:asciiTheme="majorBidi" w:hAnsiTheme="majorBidi" w:cstheme="majorBidi"/>
          <w:b/>
          <w:bCs/>
        </w:rPr>
      </w:pPr>
      <w:r w:rsidRPr="00A660C1">
        <w:rPr>
          <w:rStyle w:val="Strong"/>
          <w:rFonts w:asciiTheme="majorBidi" w:hAnsiTheme="majorBidi" w:cstheme="majorBidi"/>
          <w:b w:val="0"/>
          <w:bCs w:val="0"/>
        </w:rPr>
        <w:lastRenderedPageBreak/>
        <w:t>Urge the Judiciary and the Presidency of the Public Prosecution to expedite investigations into allegations of enforced disappearance contained in complaints submitted to them by the Commission, to resolve them, and to notify the Commission of the outcomes.</w:t>
      </w:r>
    </w:p>
    <w:p w:rsidR="00A660C1" w:rsidRPr="00A660C1" w:rsidRDefault="00A660C1" w:rsidP="00A660C1">
      <w:pPr>
        <w:pStyle w:val="NormalWeb"/>
        <w:numPr>
          <w:ilvl w:val="0"/>
          <w:numId w:val="24"/>
        </w:numPr>
        <w:jc w:val="both"/>
        <w:rPr>
          <w:rFonts w:asciiTheme="majorBidi" w:hAnsiTheme="majorBidi" w:cstheme="majorBidi"/>
          <w:b/>
          <w:bCs/>
        </w:rPr>
      </w:pPr>
      <w:r w:rsidRPr="00A660C1">
        <w:rPr>
          <w:rStyle w:val="Strong"/>
          <w:rFonts w:asciiTheme="majorBidi" w:hAnsiTheme="majorBidi" w:cstheme="majorBidi"/>
          <w:b w:val="0"/>
          <w:bCs w:val="0"/>
        </w:rPr>
        <w:t>Urge the Government to c</w:t>
      </w:r>
      <w:r w:rsidR="00B546C0">
        <w:rPr>
          <w:rStyle w:val="Strong"/>
          <w:rFonts w:asciiTheme="majorBidi" w:hAnsiTheme="majorBidi" w:cstheme="majorBidi"/>
          <w:b w:val="0"/>
          <w:bCs w:val="0"/>
        </w:rPr>
        <w:t>ooperate with the International</w:t>
      </w:r>
      <w:r w:rsidRPr="00A660C1">
        <w:rPr>
          <w:rStyle w:val="Strong"/>
          <w:rFonts w:asciiTheme="majorBidi" w:hAnsiTheme="majorBidi" w:cstheme="majorBidi"/>
          <w:b w:val="0"/>
          <w:bCs w:val="0"/>
        </w:rPr>
        <w:t xml:space="preserve"> Committee on Enforced Disappearances and to recognize its competence to receive and consider communications from individuals and States Parties under Articles (31 and 32) of the Convention, with a view to strengthening protection against enforced disappearance.</w:t>
      </w:r>
    </w:p>
    <w:p w:rsidR="006C0072" w:rsidRPr="00BB405B" w:rsidRDefault="006C0072" w:rsidP="00BB405B">
      <w:pPr>
        <w:spacing w:before="100" w:beforeAutospacing="1" w:after="100" w:afterAutospacing="1" w:line="240" w:lineRule="auto"/>
        <w:jc w:val="both"/>
        <w:rPr>
          <w:rFonts w:asciiTheme="majorBidi" w:eastAsia="Times New Roman" w:hAnsiTheme="majorBidi" w:cstheme="majorBidi"/>
          <w:sz w:val="24"/>
          <w:szCs w:val="24"/>
          <w:rtl/>
          <w:lang w:bidi="ar-IQ"/>
        </w:rPr>
      </w:pPr>
    </w:p>
    <w:p w:rsidR="001F26CD" w:rsidRPr="00380E3B" w:rsidRDefault="001F26CD" w:rsidP="00380E3B">
      <w:pPr>
        <w:pStyle w:val="Heading1"/>
        <w:rPr>
          <w:sz w:val="24"/>
          <w:szCs w:val="24"/>
        </w:rPr>
      </w:pPr>
      <w:bookmarkStart w:id="30" w:name="_Toc202559287"/>
      <w:bookmarkStart w:id="31" w:name="_Toc202559467"/>
      <w:r w:rsidRPr="00380E3B">
        <w:rPr>
          <w:rStyle w:val="Strong"/>
          <w:rFonts w:asciiTheme="majorBidi" w:hAnsiTheme="majorBidi"/>
          <w:sz w:val="24"/>
          <w:szCs w:val="24"/>
        </w:rPr>
        <w:t>VII. Secret Detention</w:t>
      </w:r>
      <w:bookmarkEnd w:id="30"/>
      <w:bookmarkEnd w:id="31"/>
    </w:p>
    <w:p w:rsidR="001F26CD" w:rsidRPr="00BB405B" w:rsidRDefault="00276380" w:rsidP="00F330DC">
      <w:pPr>
        <w:pStyle w:val="NormalWeb"/>
        <w:jc w:val="both"/>
        <w:rPr>
          <w:rFonts w:asciiTheme="majorBidi" w:hAnsiTheme="majorBidi" w:cstheme="majorBidi"/>
        </w:rPr>
      </w:pPr>
      <w:r>
        <w:rPr>
          <w:rFonts w:asciiTheme="majorBidi" w:hAnsiTheme="majorBidi" w:cstheme="majorBidi"/>
        </w:rPr>
        <w:t>Article (19\ Twelfth-</w:t>
      </w:r>
      <w:r w:rsidR="001F26CD" w:rsidRPr="00BB405B">
        <w:rPr>
          <w:rFonts w:asciiTheme="majorBidi" w:hAnsiTheme="majorBidi" w:cstheme="majorBidi"/>
        </w:rPr>
        <w:t>b) of the Iraqi Constitution prohibits the detention or arrest of any person outside the places designated for that purpose. However, the Commission notes that the management of prisons and detention centers falls under the authority of several entities, including: the Ministry of Justice, represented b</w:t>
      </w:r>
      <w:r w:rsidR="00EE7D4F">
        <w:rPr>
          <w:rFonts w:asciiTheme="majorBidi" w:hAnsiTheme="majorBidi" w:cstheme="majorBidi"/>
        </w:rPr>
        <w:t>y the Iraqi Reform Department</w:t>
      </w:r>
      <w:r w:rsidR="001F26CD" w:rsidRPr="00BB405B">
        <w:rPr>
          <w:rFonts w:asciiTheme="majorBidi" w:hAnsiTheme="majorBidi" w:cstheme="majorBidi"/>
        </w:rPr>
        <w:t xml:space="preserve"> and the Juvenile Reform </w:t>
      </w:r>
      <w:r w:rsidR="00F330DC">
        <w:rPr>
          <w:rFonts w:asciiTheme="majorBidi" w:hAnsiTheme="majorBidi" w:cstheme="majorBidi"/>
        </w:rPr>
        <w:t>Department; the Ministry of Defense</w:t>
      </w:r>
      <w:r w:rsidR="001F26CD" w:rsidRPr="00BB405B">
        <w:rPr>
          <w:rFonts w:asciiTheme="majorBidi" w:hAnsiTheme="majorBidi" w:cstheme="majorBidi"/>
        </w:rPr>
        <w:t xml:space="preserve"> in Baghdad and across all governorates except for the Kurdistan Region of Iraq, which operates under an independent security system with its own pretrial detention facilities. Additionally, the Ministry of Interior, pursuant to the Law on the </w:t>
      </w:r>
      <w:r w:rsidR="00695A7A">
        <w:rPr>
          <w:rFonts w:asciiTheme="majorBidi" w:hAnsiTheme="majorBidi" w:cstheme="majorBidi"/>
        </w:rPr>
        <w:t xml:space="preserve">Reform of Inmates and </w:t>
      </w:r>
      <w:r w:rsidR="009F3028">
        <w:rPr>
          <w:rFonts w:asciiTheme="majorBidi" w:hAnsiTheme="majorBidi" w:cstheme="majorBidi"/>
        </w:rPr>
        <w:t>Detainees</w:t>
      </w:r>
      <w:r w:rsidR="001F26CD" w:rsidRPr="00BB405B">
        <w:rPr>
          <w:rFonts w:asciiTheme="majorBidi" w:hAnsiTheme="majorBidi" w:cstheme="majorBidi"/>
        </w:rPr>
        <w:t xml:space="preserve"> No. (14) </w:t>
      </w:r>
      <w:proofErr w:type="gramStart"/>
      <w:r w:rsidR="001F26CD" w:rsidRPr="00BB405B">
        <w:rPr>
          <w:rFonts w:asciiTheme="majorBidi" w:hAnsiTheme="majorBidi" w:cstheme="majorBidi"/>
        </w:rPr>
        <w:t>of</w:t>
      </w:r>
      <w:proofErr w:type="gramEnd"/>
      <w:r w:rsidR="001F26CD" w:rsidRPr="00BB405B">
        <w:rPr>
          <w:rFonts w:asciiTheme="majorBidi" w:hAnsiTheme="majorBidi" w:cstheme="majorBidi"/>
        </w:rPr>
        <w:t xml:space="preserve"> 2018, operates a number of prisons and pretrial detention centers.</w:t>
      </w:r>
    </w:p>
    <w:p w:rsidR="00A17C4E" w:rsidRPr="00BB405B" w:rsidRDefault="001F26CD" w:rsidP="007158BE">
      <w:pPr>
        <w:pStyle w:val="NormalWeb"/>
        <w:jc w:val="both"/>
        <w:rPr>
          <w:rFonts w:asciiTheme="majorBidi" w:hAnsiTheme="majorBidi" w:cstheme="majorBidi"/>
        </w:rPr>
      </w:pPr>
      <w:r w:rsidRPr="00BB405B">
        <w:rPr>
          <w:rFonts w:asciiTheme="majorBidi" w:hAnsiTheme="majorBidi" w:cstheme="majorBidi"/>
        </w:rPr>
        <w:t>It should be noted that the Ministry of Interior is responsible for executing judicial arrest warrants. How</w:t>
      </w:r>
      <w:r w:rsidR="00D2035C">
        <w:rPr>
          <w:rFonts w:asciiTheme="majorBidi" w:hAnsiTheme="majorBidi" w:cstheme="majorBidi"/>
        </w:rPr>
        <w:t>ever, its engagement in</w:t>
      </w:r>
      <w:r w:rsidRPr="00BB405B">
        <w:rPr>
          <w:rFonts w:asciiTheme="majorBidi" w:hAnsiTheme="majorBidi" w:cstheme="majorBidi"/>
        </w:rPr>
        <w:t xml:space="preserve"> investigations contradicts a core principle of the Iraqi Constitution of 2005—specifically Article 47—which enshrines the separation of powers and designates investigation as the sole prerogative of the judiciary. Furthermore, the administration of prisons and pretrial detention facilities by the Ministry of Defense or any other security agency constitutes a clear violation of the aforementioned law.</w:t>
      </w:r>
    </w:p>
    <w:p w:rsidR="001F26CD" w:rsidRPr="00BB405B" w:rsidRDefault="001F26CD" w:rsidP="00BB405B">
      <w:pPr>
        <w:pStyle w:val="NormalWeb"/>
        <w:jc w:val="both"/>
        <w:rPr>
          <w:rFonts w:asciiTheme="majorBidi" w:hAnsiTheme="majorBidi" w:cstheme="majorBidi"/>
        </w:rPr>
      </w:pPr>
      <w:r w:rsidRPr="00BB405B">
        <w:rPr>
          <w:rFonts w:asciiTheme="majorBidi" w:hAnsiTheme="majorBidi" w:cstheme="majorBidi"/>
        </w:rPr>
        <w:t>The Commission observes that many adult and juvenile convicts serving custodial sentences remain detained in facilities operated by the Ministry of Interior. This is primarily due to the insufficient capacity o</w:t>
      </w:r>
      <w:r w:rsidR="0056318F">
        <w:rPr>
          <w:rFonts w:asciiTheme="majorBidi" w:hAnsiTheme="majorBidi" w:cstheme="majorBidi"/>
        </w:rPr>
        <w:t>f the Iraqi Reform Department</w:t>
      </w:r>
      <w:r w:rsidRPr="00BB405B">
        <w:rPr>
          <w:rFonts w:asciiTheme="majorBidi" w:hAnsiTheme="majorBidi" w:cstheme="majorBidi"/>
        </w:rPr>
        <w:t>’s prisons, leading to overcrowding, which in turn undermines their ability to fulfill their core mission of rehabilitation and reintegration of inmates. The Commission reiterates the necessity for the Ministry of Justice to fulfill its legal responsibilities by receiving the large number of adult and juvenile convicts currently held in Ministry of Interior facilities, in accordance with the applicable legal provisions.</w:t>
      </w:r>
    </w:p>
    <w:p w:rsidR="00146EB6" w:rsidRDefault="00146EB6" w:rsidP="00857555">
      <w:pPr>
        <w:pStyle w:val="NormalWeb"/>
        <w:jc w:val="both"/>
      </w:pPr>
      <w:r w:rsidRPr="00857555">
        <w:rPr>
          <w:rStyle w:val="Strong"/>
        </w:rPr>
        <w:t>The Commission noted</w:t>
      </w:r>
      <w:r w:rsidRPr="00146EB6">
        <w:rPr>
          <w:rStyle w:val="Strong"/>
          <w:b w:val="0"/>
          <w:bCs w:val="0"/>
        </w:rPr>
        <w:t xml:space="preserve"> the failure of prison administrations to comply with the provisions of Article (5/Fifth) of Law No. (53) of 2008 on the Commission, which states:</w:t>
      </w:r>
      <w:r w:rsidR="00B34076">
        <w:rPr>
          <w:rStyle w:val="Strong"/>
          <w:b w:val="0"/>
          <w:bCs w:val="0"/>
        </w:rPr>
        <w:t xml:space="preserve"> </w:t>
      </w:r>
      <w:r w:rsidRPr="00146EB6">
        <w:rPr>
          <w:rStyle w:val="Strong"/>
          <w:b w:val="0"/>
          <w:bCs w:val="0"/>
        </w:rPr>
        <w:t xml:space="preserve">“To conduct visits to prisons, social rehabilitation centers, detention facilities, and all other places without the need for prior </w:t>
      </w:r>
      <w:r w:rsidR="00857555">
        <w:rPr>
          <w:rStyle w:val="Strong"/>
          <w:b w:val="0"/>
          <w:bCs w:val="0"/>
        </w:rPr>
        <w:t>permission</w:t>
      </w:r>
      <w:r w:rsidRPr="00146EB6">
        <w:rPr>
          <w:rStyle w:val="Strong"/>
          <w:b w:val="0"/>
          <w:bCs w:val="0"/>
        </w:rPr>
        <w:t xml:space="preserve"> from the aforementioned entities, and to meet with convicted and detained persons, document human rights violations, and notify the competent authorities to take appropriate legal action.”</w:t>
      </w:r>
      <w:r>
        <w:rPr>
          <w:rStyle w:val="Strong"/>
        </w:rPr>
        <w:t xml:space="preserve"> </w:t>
      </w:r>
      <w:r>
        <w:t>This provision has only been implemented in a very limited manner.</w:t>
      </w:r>
    </w:p>
    <w:p w:rsidR="007158BE" w:rsidRPr="00F51773" w:rsidRDefault="00146EB6" w:rsidP="00F51773">
      <w:pPr>
        <w:pStyle w:val="NormalWeb"/>
        <w:jc w:val="both"/>
      </w:pPr>
      <w:r>
        <w:t xml:space="preserve">While the Commission’s monitoring teams observed that prison administrations do comply with recordkeeping requirements as referenced in Article (8/Fourth) of the Law on the Reform of </w:t>
      </w:r>
      <w:r>
        <w:lastRenderedPageBreak/>
        <w:t>Inmates and Detainees, it was noted that these prisons generally maintain records such as:</w:t>
      </w:r>
      <w:r>
        <w:br/>
      </w:r>
      <w:r w:rsidR="00431951">
        <w:t>(</w:t>
      </w:r>
      <w:r>
        <w:t xml:space="preserve">the basic register, the list of inmates, the daily inspection register, the register of detainee transfers, the medical examination register, the contact register, the family visit register, the food distribution register, and the register of charges notification, </w:t>
      </w:r>
      <w:r w:rsidR="00431951">
        <w:t>and</w:t>
      </w:r>
      <w:r>
        <w:t xml:space="preserve"> others</w:t>
      </w:r>
      <w:r w:rsidR="00431951">
        <w:t>)</w:t>
      </w:r>
      <w:r>
        <w:t>.</w:t>
      </w:r>
      <w:r w:rsidR="00574313">
        <w:t xml:space="preserve"> </w:t>
      </w:r>
      <w:r>
        <w:t>These records are often printed or indexed and are also electronically archived.</w:t>
      </w:r>
      <w:r w:rsidR="002C0A50">
        <w:t xml:space="preserve"> </w:t>
      </w:r>
      <w:r>
        <w:t>However, the Commission observed that some entities—specifically the Ministries of Interior and Defense—do not maintain registers that meet the aforementioned standards in most prisons and pretrial detention facilities under their administration. This practice is inconsistent with the aforementioned legal provision.</w:t>
      </w:r>
      <w:r>
        <w:br/>
        <w:t>Such manually entered records are susceptible to data manipulation, including erasure, overwriting, and alteration of numbers. These records and registers represent essential safeguards that help prevent unlawful administrative detention, secret detention, enforced disappearance, and deprivation of legal protection.</w:t>
      </w:r>
    </w:p>
    <w:p w:rsidR="00F51773" w:rsidRPr="00BB405B" w:rsidRDefault="001F26CD" w:rsidP="0026548A">
      <w:pPr>
        <w:pStyle w:val="NormalWeb"/>
        <w:jc w:val="both"/>
        <w:rPr>
          <w:rFonts w:asciiTheme="majorBidi" w:hAnsiTheme="majorBidi" w:cstheme="majorBidi"/>
          <w:rtl/>
          <w:lang w:bidi="ar-IQ"/>
        </w:rPr>
      </w:pPr>
      <w:r w:rsidRPr="009677A5">
        <w:rPr>
          <w:rFonts w:asciiTheme="majorBidi" w:hAnsiTheme="majorBidi" w:cstheme="majorBidi"/>
          <w:b/>
          <w:bCs/>
        </w:rPr>
        <w:t>The Commission notes</w:t>
      </w:r>
      <w:r w:rsidRPr="00BB405B">
        <w:rPr>
          <w:rFonts w:asciiTheme="majorBidi" w:hAnsiTheme="majorBidi" w:cstheme="majorBidi"/>
        </w:rPr>
        <w:t xml:space="preserve"> that full implementation of Article 17 of the Convention faces several obstacles in Iraq, most notably the multiplicity of entities and security agencies legally authorized to execute arrest and detention orders. This results in significant difficulty in determining the fate and whereabouts of detainees, as well as in providing information to their families or legal representatives.</w:t>
      </w:r>
    </w:p>
    <w:p w:rsidR="001F26CD" w:rsidRPr="00BB405B" w:rsidRDefault="001F26CD" w:rsidP="003B5535">
      <w:pPr>
        <w:pStyle w:val="NormalWeb"/>
        <w:jc w:val="both"/>
        <w:rPr>
          <w:rFonts w:asciiTheme="majorBidi" w:hAnsiTheme="majorBidi" w:cstheme="majorBidi"/>
        </w:rPr>
      </w:pPr>
      <w:r w:rsidRPr="00BB405B">
        <w:rPr>
          <w:rFonts w:asciiTheme="majorBidi" w:hAnsiTheme="majorBidi" w:cstheme="majorBidi"/>
        </w:rPr>
        <w:t xml:space="preserve">Additionally, the </w:t>
      </w:r>
      <w:r w:rsidR="003B5535">
        <w:rPr>
          <w:rFonts w:asciiTheme="majorBidi" w:hAnsiTheme="majorBidi" w:cstheme="majorBidi"/>
        </w:rPr>
        <w:t>new</w:t>
      </w:r>
      <w:r w:rsidRPr="00BB405B">
        <w:rPr>
          <w:rFonts w:asciiTheme="majorBidi" w:hAnsiTheme="majorBidi" w:cstheme="majorBidi"/>
        </w:rPr>
        <w:t xml:space="preserve"> legal framework still lacks a unified system or database encompassing all prisoners, detainees, and individuals held in pretrial detention facilities. The Commission has repeatedly requested to be provided with such a database, in order to facilitate data cross-matching and the search for persons subjected to enforced disappearance, and to ensure that no secret detention facilities or secretly held individuals exist in those prisons and detention centers. However, these requests have been rejected by the National Security Advisory and the relevant detention authorities</w:t>
      </w:r>
      <w:r w:rsidR="0026548A">
        <w:rPr>
          <w:rStyle w:val="FootnoteReference"/>
          <w:rFonts w:asciiTheme="majorBidi" w:hAnsiTheme="majorBidi" w:cstheme="majorBidi"/>
        </w:rPr>
        <w:footnoteReference w:id="7"/>
      </w:r>
      <w:r w:rsidRPr="00BB405B">
        <w:rPr>
          <w:rFonts w:asciiTheme="majorBidi" w:hAnsiTheme="majorBidi" w:cstheme="majorBidi"/>
        </w:rPr>
        <w:t>, despite the fact that this procedure was previously followed with the now-defunct Ministry of Human Rights.</w:t>
      </w:r>
    </w:p>
    <w:p w:rsidR="001F26CD" w:rsidRPr="00380E3B" w:rsidRDefault="001F26CD" w:rsidP="00380E3B">
      <w:pPr>
        <w:pStyle w:val="Heading2"/>
        <w:rPr>
          <w:rFonts w:asciiTheme="majorBidi" w:hAnsiTheme="majorBidi"/>
          <w:sz w:val="24"/>
          <w:szCs w:val="24"/>
        </w:rPr>
      </w:pPr>
      <w:bookmarkStart w:id="32" w:name="_Toc202559288"/>
      <w:bookmarkStart w:id="33" w:name="_Toc202559468"/>
      <w:r w:rsidRPr="00380E3B">
        <w:rPr>
          <w:rStyle w:val="Strong"/>
          <w:rFonts w:asciiTheme="majorBidi" w:hAnsiTheme="majorBidi"/>
          <w:sz w:val="24"/>
          <w:szCs w:val="24"/>
        </w:rPr>
        <w:t>Recommendations:</w:t>
      </w:r>
      <w:bookmarkEnd w:id="32"/>
      <w:bookmarkEnd w:id="33"/>
    </w:p>
    <w:p w:rsidR="00CC4CAC" w:rsidRDefault="00CC4CAC" w:rsidP="009E1B58">
      <w:pPr>
        <w:pStyle w:val="NormalWeb"/>
        <w:numPr>
          <w:ilvl w:val="0"/>
          <w:numId w:val="27"/>
        </w:numPr>
        <w:jc w:val="both"/>
        <w:rPr>
          <w:rFonts w:asciiTheme="majorBidi" w:hAnsiTheme="majorBidi" w:cstheme="majorBidi"/>
        </w:rPr>
      </w:pPr>
      <w:r w:rsidRPr="00CC4CAC">
        <w:rPr>
          <w:rStyle w:val="Strong"/>
          <w:rFonts w:asciiTheme="majorBidi" w:hAnsiTheme="majorBidi" w:cstheme="majorBidi"/>
          <w:b w:val="0"/>
          <w:bCs w:val="0"/>
        </w:rPr>
        <w:t>Urge the Government to require the relevant authorities responsible for managing detention</w:t>
      </w:r>
      <w:r w:rsidR="00844E61">
        <w:rPr>
          <w:rStyle w:val="Strong"/>
          <w:rFonts w:asciiTheme="majorBidi" w:hAnsiTheme="majorBidi" w:cstheme="majorBidi"/>
          <w:b w:val="0"/>
          <w:bCs w:val="0"/>
        </w:rPr>
        <w:t xml:space="preserve"> centers</w:t>
      </w:r>
      <w:r w:rsidRPr="00CC4CAC">
        <w:rPr>
          <w:rStyle w:val="Strong"/>
          <w:rFonts w:asciiTheme="majorBidi" w:hAnsiTheme="majorBidi" w:cstheme="majorBidi"/>
          <w:b w:val="0"/>
          <w:bCs w:val="0"/>
        </w:rPr>
        <w:t xml:space="preserve"> and </w:t>
      </w:r>
      <w:r w:rsidR="00844E61">
        <w:rPr>
          <w:rStyle w:val="Strong"/>
          <w:rFonts w:asciiTheme="majorBidi" w:hAnsiTheme="majorBidi" w:cstheme="majorBidi"/>
          <w:b w:val="0"/>
          <w:bCs w:val="0"/>
        </w:rPr>
        <w:t>prisons</w:t>
      </w:r>
      <w:r w:rsidRPr="00CC4CAC">
        <w:rPr>
          <w:rStyle w:val="Strong"/>
          <w:rFonts w:asciiTheme="majorBidi" w:hAnsiTheme="majorBidi" w:cstheme="majorBidi"/>
          <w:b w:val="0"/>
          <w:bCs w:val="0"/>
        </w:rPr>
        <w:t xml:space="preserve"> to implement the provisions of Article (5/Fifth) of Law No. (53) </w:t>
      </w:r>
      <w:proofErr w:type="gramStart"/>
      <w:r w:rsidRPr="00CC4CAC">
        <w:rPr>
          <w:rStyle w:val="Strong"/>
          <w:rFonts w:asciiTheme="majorBidi" w:hAnsiTheme="majorBidi" w:cstheme="majorBidi"/>
          <w:b w:val="0"/>
          <w:bCs w:val="0"/>
        </w:rPr>
        <w:t>of</w:t>
      </w:r>
      <w:proofErr w:type="gramEnd"/>
      <w:r w:rsidRPr="00CC4CAC">
        <w:rPr>
          <w:rStyle w:val="Strong"/>
          <w:rFonts w:asciiTheme="majorBidi" w:hAnsiTheme="majorBidi" w:cstheme="majorBidi"/>
          <w:b w:val="0"/>
          <w:bCs w:val="0"/>
        </w:rPr>
        <w:t xml:space="preserve"> 2008 on the Iraqi High Commission for Human Rights, which guarantees the Commission’s monitoring teams the right to visit places of detention without prior </w:t>
      </w:r>
      <w:r w:rsidR="009E1B58">
        <w:rPr>
          <w:rStyle w:val="Strong"/>
          <w:rFonts w:asciiTheme="majorBidi" w:hAnsiTheme="majorBidi" w:cstheme="majorBidi"/>
          <w:b w:val="0"/>
          <w:bCs w:val="0"/>
        </w:rPr>
        <w:t>permission</w:t>
      </w:r>
      <w:r w:rsidRPr="00CC4CAC">
        <w:rPr>
          <w:rStyle w:val="Strong"/>
          <w:rFonts w:asciiTheme="majorBidi" w:hAnsiTheme="majorBidi" w:cstheme="majorBidi"/>
          <w:b w:val="0"/>
          <w:bCs w:val="0"/>
        </w:rPr>
        <w:t>.</w:t>
      </w:r>
    </w:p>
    <w:p w:rsidR="00CC4CAC" w:rsidRDefault="00CC4CAC" w:rsidP="00CC4CAC">
      <w:pPr>
        <w:pStyle w:val="NormalWeb"/>
        <w:numPr>
          <w:ilvl w:val="0"/>
          <w:numId w:val="27"/>
        </w:numPr>
        <w:jc w:val="both"/>
        <w:rPr>
          <w:rFonts w:asciiTheme="majorBidi" w:hAnsiTheme="majorBidi" w:cstheme="majorBidi"/>
        </w:rPr>
      </w:pPr>
      <w:r w:rsidRPr="00CC4CAC">
        <w:rPr>
          <w:rStyle w:val="Strong"/>
          <w:rFonts w:asciiTheme="majorBidi" w:hAnsiTheme="majorBidi" w:cstheme="majorBidi"/>
          <w:b w:val="0"/>
          <w:bCs w:val="0"/>
        </w:rPr>
        <w:t xml:space="preserve">Urge the Government to instruct and obligate the relevant authorities responsible for executing arrest and detention warrants against </w:t>
      </w:r>
      <w:proofErr w:type="spellStart"/>
      <w:r w:rsidRPr="00CC4CAC">
        <w:rPr>
          <w:rStyle w:val="Strong"/>
          <w:rFonts w:asciiTheme="majorBidi" w:hAnsiTheme="majorBidi" w:cstheme="majorBidi"/>
          <w:b w:val="0"/>
          <w:bCs w:val="0"/>
        </w:rPr>
        <w:t>unconvicted</w:t>
      </w:r>
      <w:proofErr w:type="spellEnd"/>
      <w:r w:rsidRPr="00CC4CAC">
        <w:rPr>
          <w:rStyle w:val="Strong"/>
          <w:rFonts w:asciiTheme="majorBidi" w:hAnsiTheme="majorBidi" w:cstheme="majorBidi"/>
          <w:b w:val="0"/>
          <w:bCs w:val="0"/>
        </w:rPr>
        <w:t xml:space="preserve"> individuals to notify their families or legal representatives of their places of detention within no more than 24 hours.</w:t>
      </w:r>
    </w:p>
    <w:p w:rsidR="00CC4CAC" w:rsidRDefault="00CC4CAC" w:rsidP="00CC4CAC">
      <w:pPr>
        <w:pStyle w:val="NormalWeb"/>
        <w:numPr>
          <w:ilvl w:val="0"/>
          <w:numId w:val="27"/>
        </w:numPr>
        <w:jc w:val="both"/>
        <w:rPr>
          <w:rFonts w:asciiTheme="majorBidi" w:hAnsiTheme="majorBidi" w:cstheme="majorBidi"/>
        </w:rPr>
      </w:pPr>
      <w:r w:rsidRPr="00CC4CAC">
        <w:rPr>
          <w:rStyle w:val="Strong"/>
          <w:rFonts w:asciiTheme="majorBidi" w:hAnsiTheme="majorBidi" w:cstheme="majorBidi"/>
          <w:b w:val="0"/>
          <w:bCs w:val="0"/>
        </w:rPr>
        <w:t xml:space="preserve">Amend Law No. (14) </w:t>
      </w:r>
      <w:proofErr w:type="gramStart"/>
      <w:r w:rsidRPr="00CC4CAC">
        <w:rPr>
          <w:rStyle w:val="Strong"/>
          <w:rFonts w:asciiTheme="majorBidi" w:hAnsiTheme="majorBidi" w:cstheme="majorBidi"/>
          <w:b w:val="0"/>
          <w:bCs w:val="0"/>
        </w:rPr>
        <w:t>of</w:t>
      </w:r>
      <w:proofErr w:type="gramEnd"/>
      <w:r w:rsidRPr="00CC4CAC">
        <w:rPr>
          <w:rStyle w:val="Strong"/>
          <w:rFonts w:asciiTheme="majorBidi" w:hAnsiTheme="majorBidi" w:cstheme="majorBidi"/>
          <w:b w:val="0"/>
          <w:bCs w:val="0"/>
        </w:rPr>
        <w:t xml:space="preserve"> 2018 on the Reform of Inmates and Detainees to ensure that the Ministry of Interior and other security formations are not granted the authority to hold</w:t>
      </w:r>
      <w:r w:rsidRPr="00CC4CAC">
        <w:rPr>
          <w:rStyle w:val="Strong"/>
          <w:rFonts w:asciiTheme="majorBidi" w:hAnsiTheme="majorBidi" w:cstheme="majorBidi"/>
        </w:rPr>
        <w:t xml:space="preserve"> </w:t>
      </w:r>
      <w:r w:rsidRPr="00CC4CAC">
        <w:rPr>
          <w:rStyle w:val="Strong"/>
          <w:rFonts w:asciiTheme="majorBidi" w:hAnsiTheme="majorBidi" w:cstheme="majorBidi"/>
          <w:b w:val="0"/>
          <w:bCs w:val="0"/>
        </w:rPr>
        <w:t>detainees, as the Ministry of Interior is solely responsible for executing judicial decisions regarding detention.</w:t>
      </w:r>
    </w:p>
    <w:p w:rsidR="00CC4CAC" w:rsidRPr="00CC4CAC" w:rsidRDefault="00CC4CAC" w:rsidP="00CC4CAC">
      <w:pPr>
        <w:pStyle w:val="NormalWeb"/>
        <w:numPr>
          <w:ilvl w:val="0"/>
          <w:numId w:val="27"/>
        </w:numPr>
        <w:jc w:val="both"/>
        <w:rPr>
          <w:rFonts w:asciiTheme="majorBidi" w:hAnsiTheme="majorBidi" w:cstheme="majorBidi"/>
        </w:rPr>
      </w:pPr>
      <w:r w:rsidRPr="00CC4CAC">
        <w:rPr>
          <w:rStyle w:val="Strong"/>
          <w:rFonts w:asciiTheme="majorBidi" w:hAnsiTheme="majorBidi" w:cstheme="majorBidi"/>
          <w:b w:val="0"/>
          <w:bCs w:val="0"/>
        </w:rPr>
        <w:lastRenderedPageBreak/>
        <w:t xml:space="preserve">Urge the Council of Representatives to repeal any provision in the amended Iraqi Code of Criminal Procedure No. (23) </w:t>
      </w:r>
      <w:proofErr w:type="gramStart"/>
      <w:r w:rsidRPr="00CC4CAC">
        <w:rPr>
          <w:rStyle w:val="Strong"/>
          <w:rFonts w:asciiTheme="majorBidi" w:hAnsiTheme="majorBidi" w:cstheme="majorBidi"/>
          <w:b w:val="0"/>
          <w:bCs w:val="0"/>
        </w:rPr>
        <w:t>of</w:t>
      </w:r>
      <w:proofErr w:type="gramEnd"/>
      <w:r w:rsidRPr="00CC4CAC">
        <w:rPr>
          <w:rStyle w:val="Strong"/>
          <w:rFonts w:asciiTheme="majorBidi" w:hAnsiTheme="majorBidi" w:cstheme="majorBidi"/>
          <w:b w:val="0"/>
          <w:bCs w:val="0"/>
        </w:rPr>
        <w:t xml:space="preserve"> 1971 that permits non-judicial entities to exercise investigative authority.</w:t>
      </w:r>
    </w:p>
    <w:p w:rsidR="001F26CD" w:rsidRPr="00BB405B" w:rsidRDefault="001F26CD" w:rsidP="00BB405B">
      <w:pPr>
        <w:spacing w:before="100" w:beforeAutospacing="1" w:after="100" w:afterAutospacing="1" w:line="240" w:lineRule="auto"/>
        <w:jc w:val="both"/>
        <w:rPr>
          <w:rFonts w:asciiTheme="majorBidi" w:eastAsia="Times New Roman" w:hAnsiTheme="majorBidi" w:cstheme="majorBidi"/>
          <w:sz w:val="24"/>
          <w:szCs w:val="24"/>
          <w:rtl/>
          <w:lang w:bidi="ar-IQ"/>
        </w:rPr>
      </w:pPr>
    </w:p>
    <w:p w:rsidR="001F26CD" w:rsidRPr="00380E3B" w:rsidRDefault="001F26CD" w:rsidP="00380E3B">
      <w:pPr>
        <w:pStyle w:val="Heading1"/>
        <w:rPr>
          <w:rFonts w:asciiTheme="majorBidi" w:eastAsia="Times New Roman" w:hAnsiTheme="majorBidi"/>
          <w:b/>
          <w:bCs/>
          <w:sz w:val="24"/>
          <w:szCs w:val="24"/>
        </w:rPr>
      </w:pPr>
      <w:bookmarkStart w:id="34" w:name="_Toc202559289"/>
      <w:bookmarkStart w:id="35" w:name="_Toc202559469"/>
      <w:r w:rsidRPr="00380E3B">
        <w:rPr>
          <w:rFonts w:asciiTheme="majorBidi" w:eastAsia="Times New Roman" w:hAnsiTheme="majorBidi"/>
          <w:b/>
          <w:bCs/>
          <w:sz w:val="24"/>
          <w:szCs w:val="24"/>
        </w:rPr>
        <w:t xml:space="preserve">VIII. Definition of Victims and </w:t>
      </w:r>
      <w:r w:rsidR="005B052A" w:rsidRPr="00380E3B">
        <w:rPr>
          <w:rFonts w:asciiTheme="majorBidi" w:eastAsia="Times New Roman" w:hAnsiTheme="majorBidi"/>
          <w:b/>
          <w:bCs/>
          <w:sz w:val="24"/>
          <w:szCs w:val="24"/>
        </w:rPr>
        <w:t>Reparations</w:t>
      </w:r>
      <w:bookmarkEnd w:id="34"/>
      <w:bookmarkEnd w:id="35"/>
    </w:p>
    <w:p w:rsidR="00412073" w:rsidRPr="004A332C" w:rsidRDefault="001F26CD" w:rsidP="004A332C">
      <w:pPr>
        <w:pStyle w:val="NormalWeb"/>
        <w:jc w:val="both"/>
        <w:rPr>
          <w:b/>
          <w:bCs/>
        </w:rPr>
      </w:pPr>
      <w:r w:rsidRPr="00BB405B">
        <w:rPr>
          <w:rFonts w:asciiTheme="majorBidi" w:hAnsiTheme="majorBidi" w:cstheme="majorBidi"/>
        </w:rPr>
        <w:t xml:space="preserve">The </w:t>
      </w:r>
      <w:r w:rsidR="00B8371B">
        <w:rPr>
          <w:rFonts w:asciiTheme="majorBidi" w:hAnsiTheme="majorBidi" w:cstheme="majorBidi"/>
        </w:rPr>
        <w:t>IHCHR</w:t>
      </w:r>
      <w:r w:rsidR="00412073">
        <w:rPr>
          <w:rFonts w:asciiTheme="majorBidi" w:hAnsiTheme="majorBidi" w:cstheme="majorBidi"/>
        </w:rPr>
        <w:t xml:space="preserve"> observes</w:t>
      </w:r>
      <w:r w:rsidR="00412073" w:rsidRPr="00412073">
        <w:rPr>
          <w:rStyle w:val="Strong"/>
          <w:b w:val="0"/>
          <w:bCs w:val="0"/>
        </w:rPr>
        <w:t xml:space="preserve"> that Iraqi legislation does not provide a clear and specific definition of victims </w:t>
      </w:r>
      <w:r w:rsidR="00412073">
        <w:rPr>
          <w:rStyle w:val="Strong"/>
          <w:b w:val="0"/>
          <w:bCs w:val="0"/>
        </w:rPr>
        <w:t>in accordance with Article (24/ First</w:t>
      </w:r>
      <w:r w:rsidR="00412073" w:rsidRPr="00412073">
        <w:rPr>
          <w:rStyle w:val="Strong"/>
          <w:b w:val="0"/>
          <w:bCs w:val="0"/>
        </w:rPr>
        <w:t>) of the Convention, nor does it grant any legal entitlements to victims of enforced disappearance in the areas of reparation, compensation, or rehabilitation.</w:t>
      </w:r>
      <w:r w:rsidR="00412073">
        <w:rPr>
          <w:rStyle w:val="Strong"/>
        </w:rPr>
        <w:t xml:space="preserve"> </w:t>
      </w:r>
      <w:r w:rsidR="004A332C">
        <w:rPr>
          <w:rStyle w:val="Strong"/>
        </w:rPr>
        <w:t xml:space="preserve"> </w:t>
      </w:r>
      <w:r w:rsidR="00412073">
        <w:t>The general provisions on compensation do not offer mechanisms for prompt compensation, restoration of dignity, rehabilitation, or guarantees of non-repetition. The reparations provided by transitional justice institutions in Iraq have been limited to victims prior to 9 April 2003 and have not extended to victims after that date.</w:t>
      </w:r>
    </w:p>
    <w:p w:rsidR="00412073" w:rsidRDefault="00412073" w:rsidP="00BA19E6">
      <w:pPr>
        <w:pStyle w:val="NormalWeb"/>
        <w:jc w:val="both"/>
      </w:pPr>
      <w:r>
        <w:t xml:space="preserve">Claims for </w:t>
      </w:r>
      <w:r w:rsidR="00752D82">
        <w:t>financial</w:t>
      </w:r>
      <w:r>
        <w:t xml:space="preserve"> and moral damages resulting from any crime—including the crime of enforced disappearance—are subject to the victim or their legal representative requesting compensation at any stage of the investigation or trial, except during the cassation stage, in accordance with Article (10) of the amended Iraqi Code of Criminal Procedure No. (23) </w:t>
      </w:r>
      <w:proofErr w:type="gramStart"/>
      <w:r>
        <w:t>of</w:t>
      </w:r>
      <w:proofErr w:type="gramEnd"/>
      <w:r>
        <w:t xml:space="preserve"> 1971.</w:t>
      </w:r>
      <w:r w:rsidR="00BA19E6">
        <w:t xml:space="preserve"> </w:t>
      </w:r>
      <w:r>
        <w:t>This process does not impose any financial obligation on the State, as the judgment for compensation is rendered against the perpetrator of the crime.</w:t>
      </w:r>
      <w:r w:rsidR="00BA19E6">
        <w:t xml:space="preserve"> </w:t>
      </w:r>
      <w:r>
        <w:t>The Commission considers that this system fails to provide prompt redress, victim rehabilitation, restoration of dignity, or guarantees of non-repetition.</w:t>
      </w:r>
    </w:p>
    <w:p w:rsidR="00BE4E18" w:rsidRDefault="00412073" w:rsidP="00F66974">
      <w:pPr>
        <w:pStyle w:val="NormalWeb"/>
        <w:jc w:val="both"/>
      </w:pPr>
      <w:r>
        <w:t xml:space="preserve">Furthermore, the Draft Law on Combating Enforced Disappearance does not include a clear definition of the term "victim," nor does it refer to compensation, except for what is stated in Article </w:t>
      </w:r>
      <w:r w:rsidR="00DB7755">
        <w:t>(3/Ninth)</w:t>
      </w:r>
      <w:r>
        <w:t>, which concerns proposing to the government mechanisms for redressing the forcibly disappeared and their families. This, in itself, does not constitute a legal guarantee of compensation.</w:t>
      </w:r>
    </w:p>
    <w:p w:rsidR="00F66974" w:rsidRPr="00F66974" w:rsidRDefault="00F66974" w:rsidP="00F66974">
      <w:pPr>
        <w:pStyle w:val="NormalWeb"/>
        <w:jc w:val="both"/>
        <w:rPr>
          <w:rtl/>
          <w:lang w:bidi="ar-IQ"/>
        </w:rPr>
      </w:pPr>
    </w:p>
    <w:p w:rsidR="001F26CD" w:rsidRPr="00380E3B" w:rsidRDefault="001F26CD" w:rsidP="00380E3B">
      <w:pPr>
        <w:pStyle w:val="Heading2"/>
        <w:rPr>
          <w:rFonts w:asciiTheme="majorBidi" w:eastAsia="Times New Roman" w:hAnsiTheme="majorBidi"/>
          <w:b/>
          <w:bCs/>
          <w:sz w:val="24"/>
          <w:szCs w:val="24"/>
        </w:rPr>
      </w:pPr>
      <w:bookmarkStart w:id="36" w:name="_Toc202559290"/>
      <w:bookmarkStart w:id="37" w:name="_Toc202559470"/>
      <w:r w:rsidRPr="00380E3B">
        <w:rPr>
          <w:rFonts w:asciiTheme="majorBidi" w:eastAsia="Times New Roman" w:hAnsiTheme="majorBidi"/>
          <w:b/>
          <w:bCs/>
          <w:sz w:val="24"/>
          <w:szCs w:val="24"/>
        </w:rPr>
        <w:t>Recommendations:</w:t>
      </w:r>
      <w:bookmarkEnd w:id="36"/>
      <w:bookmarkEnd w:id="37"/>
    </w:p>
    <w:p w:rsidR="007E35D9" w:rsidRDefault="007E35D9" w:rsidP="007E35D9">
      <w:pPr>
        <w:pStyle w:val="NormalWeb"/>
        <w:numPr>
          <w:ilvl w:val="0"/>
          <w:numId w:val="28"/>
        </w:numPr>
        <w:jc w:val="both"/>
        <w:rPr>
          <w:rFonts w:asciiTheme="majorBidi" w:hAnsiTheme="majorBidi" w:cstheme="majorBidi"/>
        </w:rPr>
      </w:pPr>
      <w:r w:rsidRPr="007E35D9">
        <w:rPr>
          <w:rFonts w:asciiTheme="majorBidi" w:hAnsiTheme="majorBidi" w:cstheme="majorBidi"/>
        </w:rPr>
        <w:t>Urge the government and parliament to adopt legal provisions for compensation and reparations that are consistent with the nature and gravity of the crime of enforced disappearance, and in line with the provisions of Article 24 of the Convention.</w:t>
      </w:r>
    </w:p>
    <w:p w:rsidR="00B25FD0" w:rsidRDefault="007E35D9" w:rsidP="00B25FD0">
      <w:pPr>
        <w:pStyle w:val="NormalWeb"/>
        <w:numPr>
          <w:ilvl w:val="0"/>
          <w:numId w:val="28"/>
        </w:numPr>
        <w:jc w:val="both"/>
        <w:rPr>
          <w:rFonts w:asciiTheme="majorBidi" w:hAnsiTheme="majorBidi" w:cstheme="majorBidi"/>
        </w:rPr>
      </w:pPr>
      <w:r w:rsidRPr="007E35D9">
        <w:rPr>
          <w:rFonts w:asciiTheme="majorBidi" w:hAnsiTheme="majorBidi" w:cstheme="majorBidi"/>
        </w:rPr>
        <w:t>Urge the government to include in the draft Law on the Protection of Persons from Enforced Disappearance provisions that ensure the compensation of victims of enforced disappearance, the establishment of institutions and centers for physical and psychological rehabilitation, and the reintegration of victims into society, with the State bearing the associated costs. The Commission proposes the addition of a chapter or article stating the following:</w:t>
      </w:r>
    </w:p>
    <w:p w:rsidR="00F8159A" w:rsidRDefault="007E35D9" w:rsidP="00F8159A">
      <w:pPr>
        <w:pStyle w:val="NormalWeb"/>
        <w:numPr>
          <w:ilvl w:val="0"/>
          <w:numId w:val="31"/>
        </w:numPr>
        <w:jc w:val="both"/>
        <w:rPr>
          <w:rFonts w:asciiTheme="majorBidi" w:hAnsiTheme="majorBidi" w:cstheme="majorBidi"/>
        </w:rPr>
      </w:pPr>
      <w:r w:rsidRPr="00B25FD0">
        <w:rPr>
          <w:rFonts w:asciiTheme="majorBidi" w:hAnsiTheme="majorBidi" w:cstheme="majorBidi"/>
        </w:rPr>
        <w:t xml:space="preserve">The State shall be obligated to compensate victims of enforced disappearance </w:t>
      </w:r>
      <w:r w:rsidR="00731C9B">
        <w:rPr>
          <w:rFonts w:asciiTheme="majorBidi" w:hAnsiTheme="majorBidi" w:cstheme="majorBidi"/>
        </w:rPr>
        <w:t>financially</w:t>
      </w:r>
      <w:r w:rsidRPr="00B25FD0">
        <w:rPr>
          <w:rFonts w:asciiTheme="majorBidi" w:hAnsiTheme="majorBidi" w:cstheme="majorBidi"/>
        </w:rPr>
        <w:t xml:space="preserve"> and morally, in accordance with the Law No. 20 of 2015 on </w:t>
      </w:r>
      <w:r w:rsidRPr="00B25FD0">
        <w:rPr>
          <w:rFonts w:asciiTheme="majorBidi" w:hAnsiTheme="majorBidi" w:cstheme="majorBidi"/>
        </w:rPr>
        <w:lastRenderedPageBreak/>
        <w:t>Compensation for Victims of Military Operations, Military Mistakes, and Terrorist Attacks and its amendments. This includes the restitution of rights, rehabilitation, and restoration of the dignity and reputation of the disappeared person.</w:t>
      </w:r>
    </w:p>
    <w:p w:rsidR="003F5144" w:rsidRDefault="007E35D9" w:rsidP="003F5144">
      <w:pPr>
        <w:pStyle w:val="NormalWeb"/>
        <w:numPr>
          <w:ilvl w:val="0"/>
          <w:numId w:val="31"/>
        </w:numPr>
        <w:jc w:val="both"/>
        <w:rPr>
          <w:rFonts w:asciiTheme="majorBidi" w:hAnsiTheme="majorBidi" w:cstheme="majorBidi"/>
        </w:rPr>
      </w:pPr>
      <w:r w:rsidRPr="00F8159A">
        <w:rPr>
          <w:rFonts w:asciiTheme="majorBidi" w:hAnsiTheme="majorBidi" w:cstheme="majorBidi"/>
        </w:rPr>
        <w:t>The amount of compensation shall be determined based on the duration of the enforced disappearance. The forcibly disappeared person shall be entitled to a cash compensation of IQD 300,000 (three hundred thousand Iraqi dinars) for each month of disappearance.</w:t>
      </w:r>
    </w:p>
    <w:p w:rsidR="003F5144" w:rsidRDefault="007E35D9" w:rsidP="003F5144">
      <w:pPr>
        <w:pStyle w:val="NormalWeb"/>
        <w:numPr>
          <w:ilvl w:val="0"/>
          <w:numId w:val="31"/>
        </w:numPr>
        <w:jc w:val="both"/>
        <w:rPr>
          <w:rFonts w:asciiTheme="majorBidi" w:hAnsiTheme="majorBidi" w:cstheme="majorBidi"/>
        </w:rPr>
      </w:pPr>
      <w:r w:rsidRPr="003F5144">
        <w:rPr>
          <w:rFonts w:asciiTheme="majorBidi" w:hAnsiTheme="majorBidi" w:cstheme="majorBidi"/>
        </w:rPr>
        <w:t>The salary and allowances of the disappeared employee shall continue to be paid throughout the period of disappearance for a maximum of three years. This period shall be counted as service for all purposes. Afterward, the employee shall be referred to retirement regardless of the total duration of service and shall be reinstated if forced to leave their job for reasons related to this law.</w:t>
      </w:r>
    </w:p>
    <w:p w:rsidR="003F5144" w:rsidRDefault="007E35D9" w:rsidP="003F5144">
      <w:pPr>
        <w:pStyle w:val="NormalWeb"/>
        <w:numPr>
          <w:ilvl w:val="0"/>
          <w:numId w:val="31"/>
        </w:numPr>
        <w:jc w:val="both"/>
        <w:rPr>
          <w:rFonts w:asciiTheme="majorBidi" w:hAnsiTheme="majorBidi" w:cstheme="majorBidi"/>
        </w:rPr>
      </w:pPr>
      <w:r w:rsidRPr="003F5144">
        <w:rPr>
          <w:rFonts w:asciiTheme="majorBidi" w:hAnsiTheme="majorBidi" w:cstheme="majorBidi"/>
        </w:rPr>
        <w:t>If a non-employee dies as a result of enforced disappearance, their dependents shall be entitled to a retirement pension not less than the minimum pension provided under the Unified Retirement Law No. 9 of 2014, as an exception.</w:t>
      </w:r>
    </w:p>
    <w:p w:rsidR="003F5144" w:rsidRDefault="007E35D9" w:rsidP="003F5144">
      <w:pPr>
        <w:pStyle w:val="NormalWeb"/>
        <w:numPr>
          <w:ilvl w:val="0"/>
          <w:numId w:val="31"/>
        </w:numPr>
        <w:jc w:val="both"/>
        <w:rPr>
          <w:rFonts w:asciiTheme="majorBidi" w:hAnsiTheme="majorBidi" w:cstheme="majorBidi"/>
        </w:rPr>
      </w:pPr>
      <w:r w:rsidRPr="003F5144">
        <w:rPr>
          <w:rFonts w:asciiTheme="majorBidi" w:hAnsiTheme="majorBidi" w:cstheme="majorBidi"/>
        </w:rPr>
        <w:t>If a non-employee sustains full or partial disability as a result of enforced disappearance, based on a report by a competent medical committee, they shall be entitled to a retirement pension not less than the minimum pension provided under the Unified Retirement Law No. 9 of 2014 and the applicable laws, as an exception.</w:t>
      </w:r>
    </w:p>
    <w:p w:rsidR="007E35D9" w:rsidRDefault="007E35D9" w:rsidP="003F5144">
      <w:pPr>
        <w:pStyle w:val="NormalWeb"/>
        <w:numPr>
          <w:ilvl w:val="0"/>
          <w:numId w:val="31"/>
        </w:numPr>
        <w:jc w:val="both"/>
        <w:rPr>
          <w:rFonts w:asciiTheme="majorBidi" w:hAnsiTheme="majorBidi" w:cstheme="majorBidi"/>
        </w:rPr>
      </w:pPr>
      <w:r w:rsidRPr="003F5144">
        <w:rPr>
          <w:rFonts w:asciiTheme="majorBidi" w:hAnsiTheme="majorBidi" w:cstheme="majorBidi"/>
        </w:rPr>
        <w:t>Any student who was deprived of education for reasons related to this law shall be reinstated to their educational institution in accordance with a mechanism determined by the competent educational authorities.</w:t>
      </w:r>
    </w:p>
    <w:p w:rsidR="003F5144" w:rsidRDefault="003F5144" w:rsidP="003F5144">
      <w:pPr>
        <w:pStyle w:val="NormalWeb"/>
        <w:jc w:val="both"/>
        <w:rPr>
          <w:rFonts w:asciiTheme="majorBidi" w:hAnsiTheme="majorBidi" w:cstheme="majorBidi"/>
        </w:rPr>
      </w:pPr>
    </w:p>
    <w:p w:rsidR="00F51C8A" w:rsidRDefault="00F51C8A" w:rsidP="003F5144">
      <w:pPr>
        <w:pStyle w:val="NormalWeb"/>
        <w:jc w:val="both"/>
        <w:rPr>
          <w:rFonts w:asciiTheme="majorBidi" w:hAnsiTheme="majorBidi" w:cstheme="majorBidi"/>
        </w:rPr>
      </w:pPr>
    </w:p>
    <w:p w:rsidR="00F51C8A" w:rsidRPr="003F5144" w:rsidRDefault="00F51C8A" w:rsidP="003F5144">
      <w:pPr>
        <w:pStyle w:val="NormalWeb"/>
        <w:jc w:val="both"/>
        <w:rPr>
          <w:rFonts w:asciiTheme="majorBidi" w:hAnsiTheme="majorBidi" w:cstheme="majorBidi"/>
        </w:rPr>
      </w:pPr>
    </w:p>
    <w:p w:rsidR="001F26CD" w:rsidRPr="00BB405B" w:rsidRDefault="001F26CD" w:rsidP="00BB405B">
      <w:pPr>
        <w:spacing w:after="0" w:line="240" w:lineRule="auto"/>
        <w:jc w:val="both"/>
        <w:rPr>
          <w:rFonts w:asciiTheme="majorBidi" w:eastAsia="Times New Roman" w:hAnsiTheme="majorBidi" w:cstheme="majorBidi"/>
          <w:sz w:val="24"/>
          <w:szCs w:val="24"/>
        </w:rPr>
      </w:pPr>
    </w:p>
    <w:p w:rsidR="00F51C8A" w:rsidRDefault="00F51C8A" w:rsidP="00F51C8A">
      <w:pPr>
        <w:spacing w:after="0" w:line="240" w:lineRule="auto"/>
        <w:jc w:val="right"/>
        <w:rPr>
          <w:rFonts w:asciiTheme="majorBidi" w:eastAsia="Times New Roman" w:hAnsiTheme="majorBidi" w:cstheme="majorBidi"/>
          <w:b/>
          <w:bCs/>
          <w:sz w:val="24"/>
          <w:szCs w:val="24"/>
        </w:rPr>
      </w:pPr>
      <w:r>
        <w:rPr>
          <w:rFonts w:asciiTheme="majorBidi" w:eastAsia="Times New Roman" w:hAnsiTheme="majorBidi" w:cstheme="majorBidi"/>
          <w:b/>
          <w:bCs/>
          <w:sz w:val="24"/>
          <w:szCs w:val="24"/>
        </w:rPr>
        <w:t xml:space="preserve">Iraqi </w:t>
      </w:r>
      <w:r w:rsidR="001F26CD" w:rsidRPr="00BB405B">
        <w:rPr>
          <w:rFonts w:asciiTheme="majorBidi" w:eastAsia="Times New Roman" w:hAnsiTheme="majorBidi" w:cstheme="majorBidi"/>
          <w:b/>
          <w:bCs/>
          <w:sz w:val="24"/>
          <w:szCs w:val="24"/>
        </w:rPr>
        <w:t>High C</w:t>
      </w:r>
      <w:r>
        <w:rPr>
          <w:rFonts w:asciiTheme="majorBidi" w:eastAsia="Times New Roman" w:hAnsiTheme="majorBidi" w:cstheme="majorBidi"/>
          <w:b/>
          <w:bCs/>
          <w:sz w:val="24"/>
          <w:szCs w:val="24"/>
        </w:rPr>
        <w:t>ommission for Human Rights</w:t>
      </w:r>
    </w:p>
    <w:p w:rsidR="001F26CD" w:rsidRPr="00BB405B" w:rsidRDefault="00F51C8A" w:rsidP="00753B07">
      <w:pPr>
        <w:spacing w:after="0" w:line="240" w:lineRule="auto"/>
        <w:jc w:val="center"/>
        <w:rPr>
          <w:rFonts w:asciiTheme="majorBidi" w:eastAsia="Times New Roman" w:hAnsiTheme="majorBidi" w:cstheme="majorBidi"/>
          <w:sz w:val="24"/>
          <w:szCs w:val="24"/>
        </w:rPr>
      </w:pPr>
      <w:r>
        <w:rPr>
          <w:rFonts w:asciiTheme="majorBidi" w:eastAsia="Times New Roman" w:hAnsiTheme="majorBidi" w:cstheme="majorBidi"/>
          <w:b/>
          <w:bCs/>
          <w:sz w:val="24"/>
          <w:szCs w:val="24"/>
        </w:rPr>
        <w:t xml:space="preserve">                                                                                       Baghdad -</w:t>
      </w:r>
      <w:r w:rsidR="001F26CD" w:rsidRPr="00BB405B">
        <w:rPr>
          <w:rFonts w:asciiTheme="majorBidi" w:eastAsia="Times New Roman" w:hAnsiTheme="majorBidi" w:cstheme="majorBidi"/>
          <w:b/>
          <w:bCs/>
          <w:sz w:val="24"/>
          <w:szCs w:val="24"/>
        </w:rPr>
        <w:t xml:space="preserve"> </w:t>
      </w:r>
      <w:r w:rsidR="00753B07">
        <w:rPr>
          <w:rFonts w:asciiTheme="majorBidi" w:eastAsia="Times New Roman" w:hAnsiTheme="majorBidi" w:cstheme="majorBidi"/>
          <w:b/>
          <w:bCs/>
          <w:sz w:val="24"/>
          <w:szCs w:val="24"/>
        </w:rPr>
        <w:t>July</w:t>
      </w:r>
      <w:r w:rsidR="001F26CD" w:rsidRPr="00BB405B">
        <w:rPr>
          <w:rFonts w:asciiTheme="majorBidi" w:eastAsia="Times New Roman" w:hAnsiTheme="majorBidi" w:cstheme="majorBidi"/>
          <w:b/>
          <w:bCs/>
          <w:sz w:val="24"/>
          <w:szCs w:val="24"/>
        </w:rPr>
        <w:t xml:space="preserve"> 2025</w:t>
      </w:r>
    </w:p>
    <w:p w:rsidR="001F26CD" w:rsidRPr="00BB405B" w:rsidRDefault="001F26CD" w:rsidP="00F51C8A">
      <w:pPr>
        <w:spacing w:before="100" w:beforeAutospacing="1" w:after="100" w:afterAutospacing="1" w:line="240" w:lineRule="auto"/>
        <w:jc w:val="right"/>
        <w:rPr>
          <w:rFonts w:asciiTheme="majorBidi" w:eastAsia="Times New Roman" w:hAnsiTheme="majorBidi" w:cstheme="majorBidi"/>
          <w:sz w:val="24"/>
          <w:szCs w:val="24"/>
          <w:rtl/>
          <w:lang w:bidi="ar-IQ"/>
        </w:rPr>
      </w:pPr>
    </w:p>
    <w:p w:rsidR="004F5F75" w:rsidRPr="00BB405B" w:rsidRDefault="004F5F75">
      <w:pPr>
        <w:rPr>
          <w:rFonts w:asciiTheme="majorBidi" w:eastAsia="Times New Roman" w:hAnsiTheme="majorBidi" w:cstheme="majorBidi"/>
          <w:vanish/>
          <w:sz w:val="16"/>
          <w:szCs w:val="16"/>
        </w:rPr>
      </w:pPr>
    </w:p>
    <w:p w:rsidR="006642FC" w:rsidRPr="00BB405B" w:rsidRDefault="006642FC">
      <w:pPr>
        <w:rPr>
          <w:rFonts w:asciiTheme="majorBidi" w:eastAsia="Times New Roman" w:hAnsiTheme="majorBidi" w:cstheme="majorBidi"/>
          <w:vanish/>
          <w:sz w:val="16"/>
          <w:szCs w:val="16"/>
        </w:rPr>
      </w:pPr>
    </w:p>
    <w:p w:rsidR="006642FC" w:rsidRPr="00BB405B" w:rsidRDefault="006642FC">
      <w:pPr>
        <w:rPr>
          <w:rFonts w:asciiTheme="majorBidi" w:eastAsia="Times New Roman" w:hAnsiTheme="majorBidi" w:cstheme="majorBidi"/>
          <w:vanish/>
          <w:sz w:val="16"/>
          <w:szCs w:val="16"/>
        </w:rPr>
      </w:pPr>
    </w:p>
    <w:p w:rsidR="006642FC" w:rsidRPr="00BB405B" w:rsidRDefault="006642FC">
      <w:pPr>
        <w:rPr>
          <w:rFonts w:asciiTheme="majorBidi" w:eastAsia="Times New Roman" w:hAnsiTheme="majorBidi" w:cstheme="majorBidi"/>
          <w:vanish/>
          <w:sz w:val="16"/>
          <w:szCs w:val="16"/>
        </w:rPr>
      </w:pPr>
    </w:p>
    <w:p w:rsidR="006642FC" w:rsidRPr="00BB405B" w:rsidRDefault="006642FC">
      <w:pPr>
        <w:rPr>
          <w:rFonts w:asciiTheme="majorBidi" w:eastAsia="Times New Roman" w:hAnsiTheme="majorBidi" w:cstheme="majorBidi"/>
          <w:vanish/>
          <w:sz w:val="16"/>
          <w:szCs w:val="16"/>
        </w:rPr>
      </w:pPr>
    </w:p>
    <w:p w:rsidR="006642FC" w:rsidRPr="00BB405B" w:rsidRDefault="006642FC">
      <w:pPr>
        <w:rPr>
          <w:rFonts w:asciiTheme="majorBidi" w:eastAsia="Times New Roman" w:hAnsiTheme="majorBidi" w:cstheme="majorBidi"/>
          <w:vanish/>
          <w:sz w:val="16"/>
          <w:szCs w:val="16"/>
        </w:rPr>
      </w:pPr>
    </w:p>
    <w:sectPr w:rsidR="006642FC" w:rsidRPr="00BB405B" w:rsidSect="00EE14F6">
      <w:footerReference w:type="default" r:id="rId10"/>
      <w:pgSz w:w="12240" w:h="15840"/>
      <w:pgMar w:top="1440" w:right="1440" w:bottom="1440" w:left="1440" w:header="720" w:footer="720" w:gutter="0"/>
      <w:pgBorders w:display="notFirstPage"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4D9F" w:rsidRDefault="007E4D9F" w:rsidP="00DA582B">
      <w:pPr>
        <w:spacing w:after="0" w:line="240" w:lineRule="auto"/>
      </w:pPr>
      <w:r>
        <w:separator/>
      </w:r>
    </w:p>
  </w:endnote>
  <w:endnote w:type="continuationSeparator" w:id="0">
    <w:p w:rsidR="007E4D9F" w:rsidRDefault="007E4D9F" w:rsidP="00DA5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729867"/>
      <w:docPartObj>
        <w:docPartGallery w:val="Page Numbers (Bottom of Page)"/>
        <w:docPartUnique/>
      </w:docPartObj>
    </w:sdtPr>
    <w:sdtEndPr>
      <w:rPr>
        <w:noProof/>
      </w:rPr>
    </w:sdtEndPr>
    <w:sdtContent>
      <w:p w:rsidR="00F52795" w:rsidRDefault="00F52795">
        <w:pPr>
          <w:pStyle w:val="Footer"/>
          <w:jc w:val="center"/>
        </w:pPr>
        <w:r>
          <w:fldChar w:fldCharType="begin"/>
        </w:r>
        <w:r>
          <w:instrText xml:space="preserve"> PAGE   \* MERGEFORMAT </w:instrText>
        </w:r>
        <w:r>
          <w:fldChar w:fldCharType="separate"/>
        </w:r>
        <w:r w:rsidR="007E6AE6">
          <w:rPr>
            <w:noProof/>
          </w:rPr>
          <w:t>18</w:t>
        </w:r>
        <w:r>
          <w:rPr>
            <w:noProof/>
          </w:rPr>
          <w:fldChar w:fldCharType="end"/>
        </w:r>
      </w:p>
    </w:sdtContent>
  </w:sdt>
  <w:p w:rsidR="00F52795" w:rsidRDefault="00F527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4D9F" w:rsidRDefault="007E4D9F" w:rsidP="00DA582B">
      <w:pPr>
        <w:spacing w:after="0" w:line="240" w:lineRule="auto"/>
      </w:pPr>
      <w:r>
        <w:separator/>
      </w:r>
    </w:p>
  </w:footnote>
  <w:footnote w:type="continuationSeparator" w:id="0">
    <w:p w:rsidR="007E4D9F" w:rsidRDefault="007E4D9F" w:rsidP="00DA582B">
      <w:pPr>
        <w:spacing w:after="0" w:line="240" w:lineRule="auto"/>
      </w:pPr>
      <w:r>
        <w:continuationSeparator/>
      </w:r>
    </w:p>
  </w:footnote>
  <w:footnote w:id="1">
    <w:p w:rsidR="00F52795" w:rsidRDefault="00F52795">
      <w:pPr>
        <w:pStyle w:val="FootnoteText"/>
      </w:pPr>
      <w:r>
        <w:rPr>
          <w:rStyle w:val="FootnoteReference"/>
        </w:rPr>
        <w:footnoteRef/>
      </w:r>
      <w:r>
        <w:t xml:space="preserve"> The Commission’s reports are available at the following link :  </w:t>
      </w:r>
      <w:hyperlink r:id="rId1" w:history="1">
        <w:r>
          <w:rPr>
            <w:rStyle w:val="Hyperlink"/>
          </w:rPr>
          <w:t>https://tbinternet.ohchr.org/_layouts/15/TreatyBodyExternal/Countries.aspx?CountryCode=IRQ&amp;Lang=AR</w:t>
        </w:r>
      </w:hyperlink>
    </w:p>
  </w:footnote>
  <w:footnote w:id="2">
    <w:p w:rsidR="00F52795" w:rsidRDefault="00F52795">
      <w:pPr>
        <w:pStyle w:val="FootnoteText"/>
        <w:rPr>
          <w:rtl/>
          <w:lang w:bidi="ar-IQ"/>
        </w:rPr>
      </w:pPr>
      <w:r>
        <w:rPr>
          <w:rStyle w:val="FootnoteReference"/>
        </w:rPr>
        <w:footnoteRef/>
      </w:r>
      <w:r>
        <w:t xml:space="preserve"> Article 40 of the Iraqi Penal Code No. 111 of 1969 amended</w:t>
      </w:r>
    </w:p>
  </w:footnote>
  <w:footnote w:id="3">
    <w:p w:rsidR="00F52795" w:rsidRDefault="00F52795">
      <w:pPr>
        <w:pStyle w:val="FootnoteText"/>
      </w:pPr>
      <w:r>
        <w:rPr>
          <w:rStyle w:val="FootnoteReference"/>
        </w:rPr>
        <w:footnoteRef/>
      </w:r>
      <w:r>
        <w:t xml:space="preserve"> Letter of the Ministry of Justice / Office of the Minister No. S/1800 dated 28/07/2015, and the letter of the National Security Council / National Security Advisory No. 5/1/614 dated 14/05/2014. </w:t>
      </w:r>
    </w:p>
  </w:footnote>
  <w:footnote w:id="4">
    <w:p w:rsidR="00F52795" w:rsidRDefault="00F52795" w:rsidP="002E2C30">
      <w:pPr>
        <w:pStyle w:val="FootnoteText"/>
        <w:jc w:val="both"/>
      </w:pPr>
      <w:r>
        <w:rPr>
          <w:rStyle w:val="FootnoteReference"/>
        </w:rPr>
        <w:footnoteRef/>
      </w:r>
      <w:r>
        <w:t xml:space="preserve"> Report of the Criminal Justice Monitoring Team at the Iraqi High Commission for Human Rights. See: Annual Report on the Human Rights Situation in Iraq for the year 2018, issued by the Board of Commissioners pursuant to Article (4, Paragraph 8) of Law No. 53 of 2008, p. 30. Published on the official website of the Commission at: </w:t>
      </w:r>
      <w:hyperlink r:id="rId2" w:tgtFrame="_new" w:history="1">
        <w:r>
          <w:rPr>
            <w:rStyle w:val="Hyperlink"/>
          </w:rPr>
          <w:t>http://ihchr.iq/upload/upfile/ar/77.pdf</w:t>
        </w:r>
      </w:hyperlink>
    </w:p>
  </w:footnote>
  <w:footnote w:id="5">
    <w:p w:rsidR="00F52795" w:rsidRPr="00872802" w:rsidRDefault="00F52795" w:rsidP="00872802">
      <w:pPr>
        <w:jc w:val="both"/>
        <w:rPr>
          <w:rFonts w:asciiTheme="majorBidi" w:hAnsiTheme="majorBidi" w:cstheme="majorBidi"/>
          <w:b/>
          <w:bCs/>
        </w:rPr>
      </w:pPr>
      <w:r w:rsidRPr="00872802">
        <w:rPr>
          <w:rStyle w:val="FootnoteReference"/>
          <w:rFonts w:asciiTheme="majorBidi" w:hAnsiTheme="majorBidi" w:cstheme="majorBidi"/>
        </w:rPr>
        <w:footnoteRef/>
      </w:r>
      <w:r w:rsidRPr="00872802">
        <w:rPr>
          <w:rFonts w:asciiTheme="majorBidi" w:hAnsiTheme="majorBidi" w:cstheme="majorBidi"/>
        </w:rPr>
        <w:t xml:space="preserve"> </w:t>
      </w:r>
      <w:r w:rsidRPr="00872802">
        <w:rPr>
          <w:rFonts w:asciiTheme="majorBidi" w:hAnsiTheme="majorBidi" w:cstheme="majorBidi"/>
          <w:b/>
          <w:bCs/>
        </w:rPr>
        <w:t>Article 5</w:t>
      </w:r>
      <w:r>
        <w:rPr>
          <w:rFonts w:asciiTheme="majorBidi" w:hAnsiTheme="majorBidi" w:cstheme="majorBidi"/>
          <w:b/>
          <w:bCs/>
        </w:rPr>
        <w:t xml:space="preserve"> of the Law 53 of 2008</w:t>
      </w:r>
      <w:r w:rsidRPr="00872802">
        <w:rPr>
          <w:rFonts w:asciiTheme="majorBidi" w:hAnsiTheme="majorBidi" w:cstheme="majorBidi"/>
          <w:b/>
          <w:bCs/>
        </w:rPr>
        <w:t xml:space="preserve"> </w:t>
      </w:r>
      <w:r>
        <w:rPr>
          <w:rFonts w:asciiTheme="majorBidi" w:hAnsiTheme="majorBidi" w:cstheme="majorBidi"/>
          <w:b/>
          <w:bCs/>
        </w:rPr>
        <w:t>(</w:t>
      </w:r>
      <w:r w:rsidRPr="00872802">
        <w:rPr>
          <w:rFonts w:asciiTheme="majorBidi" w:hAnsiTheme="majorBidi" w:cstheme="majorBidi"/>
        </w:rPr>
        <w:t>The Commission shall:</w:t>
      </w:r>
      <w:r w:rsidRPr="00872802">
        <w:rPr>
          <w:rFonts w:asciiTheme="majorBidi" w:hAnsiTheme="majorBidi" w:cstheme="majorBidi"/>
          <w:b/>
          <w:bCs/>
        </w:rPr>
        <w:t xml:space="preserve"> </w:t>
      </w:r>
      <w:r w:rsidRPr="00872802">
        <w:rPr>
          <w:rFonts w:asciiTheme="majorBidi" w:hAnsiTheme="majorBidi" w:cstheme="majorBidi"/>
          <w:b/>
          <w:bCs/>
          <w:u w:val="single"/>
        </w:rPr>
        <w:t>First</w:t>
      </w:r>
      <w:r w:rsidRPr="00872802">
        <w:rPr>
          <w:rFonts w:asciiTheme="majorBidi" w:hAnsiTheme="majorBidi" w:cstheme="majorBidi"/>
        </w:rPr>
        <w:t>: Receive complaints from individuals, groups and civil society organizations regarding violations before and after the passing of this law while maintaining absolute confidentiality of names of those submitting the complaints.</w:t>
      </w:r>
      <w:r w:rsidRPr="00872802">
        <w:rPr>
          <w:rFonts w:asciiTheme="majorBidi" w:hAnsiTheme="majorBidi" w:cstheme="majorBidi"/>
          <w:b/>
          <w:bCs/>
        </w:rPr>
        <w:t xml:space="preserve"> </w:t>
      </w:r>
      <w:r w:rsidRPr="00872802">
        <w:rPr>
          <w:rFonts w:asciiTheme="majorBidi" w:hAnsiTheme="majorBidi" w:cstheme="majorBidi"/>
          <w:b/>
          <w:bCs/>
          <w:u w:val="single"/>
        </w:rPr>
        <w:t>Second</w:t>
      </w:r>
      <w:r w:rsidRPr="00872802">
        <w:rPr>
          <w:rFonts w:asciiTheme="majorBidi" w:hAnsiTheme="majorBidi" w:cstheme="majorBidi"/>
        </w:rPr>
        <w:t>: Conduct initial investigations regarding human rights violations based on information.</w:t>
      </w:r>
      <w:r w:rsidRPr="00872802">
        <w:rPr>
          <w:rFonts w:asciiTheme="majorBidi" w:hAnsiTheme="majorBidi" w:cstheme="majorBidi"/>
          <w:b/>
          <w:bCs/>
        </w:rPr>
        <w:t xml:space="preserve"> </w:t>
      </w:r>
      <w:r w:rsidRPr="00872802">
        <w:rPr>
          <w:rFonts w:asciiTheme="majorBidi" w:hAnsiTheme="majorBidi" w:cstheme="majorBidi"/>
          <w:b/>
          <w:bCs/>
          <w:u w:val="single"/>
        </w:rPr>
        <w:t>Third</w:t>
      </w:r>
      <w:r w:rsidRPr="00872802">
        <w:rPr>
          <w:rFonts w:asciiTheme="majorBidi" w:hAnsiTheme="majorBidi" w:cstheme="majorBidi"/>
        </w:rPr>
        <w:t xml:space="preserve">: Verify the correctness of the complaints received by the Commission and conduct initial investigations if necessary. </w:t>
      </w:r>
      <w:r w:rsidRPr="00872802">
        <w:rPr>
          <w:rFonts w:asciiTheme="majorBidi" w:hAnsiTheme="majorBidi" w:cstheme="majorBidi"/>
          <w:b/>
          <w:bCs/>
        </w:rPr>
        <w:t xml:space="preserve"> </w:t>
      </w:r>
      <w:r w:rsidRPr="00872802">
        <w:rPr>
          <w:rFonts w:asciiTheme="majorBidi" w:hAnsiTheme="majorBidi" w:cstheme="majorBidi"/>
          <w:b/>
          <w:bCs/>
          <w:u w:val="single"/>
        </w:rPr>
        <w:t>Fourth</w:t>
      </w:r>
      <w:r w:rsidRPr="00872802">
        <w:rPr>
          <w:rFonts w:asciiTheme="majorBidi" w:hAnsiTheme="majorBidi" w:cstheme="majorBidi"/>
        </w:rPr>
        <w:t>: Move claims of human rights violations and refer them to the prosecution to take legal action and notify the Commission of the results.</w:t>
      </w:r>
      <w:r w:rsidRPr="00872802">
        <w:rPr>
          <w:rFonts w:asciiTheme="majorBidi" w:hAnsiTheme="majorBidi" w:cstheme="majorBidi"/>
          <w:b/>
          <w:bCs/>
        </w:rPr>
        <w:t xml:space="preserve"> </w:t>
      </w:r>
      <w:r w:rsidRPr="00872802">
        <w:rPr>
          <w:rFonts w:asciiTheme="majorBidi" w:hAnsiTheme="majorBidi" w:cstheme="majorBidi"/>
          <w:b/>
          <w:bCs/>
          <w:u w:val="single"/>
        </w:rPr>
        <w:t>Fifth</w:t>
      </w:r>
      <w:r w:rsidRPr="00872802">
        <w:rPr>
          <w:rFonts w:asciiTheme="majorBidi" w:hAnsiTheme="majorBidi" w:cstheme="majorBidi"/>
        </w:rPr>
        <w:t xml:space="preserve">: Visit prisons, social reform centers, detain places and all other places without prior permission from the mentioned entities, meet with convicted persons and detainees, document cases of human rights violations and notify the competent authorities to take appropriate legal measures. </w:t>
      </w:r>
    </w:p>
    <w:p w:rsidR="00F52795" w:rsidRDefault="00F52795">
      <w:pPr>
        <w:pStyle w:val="FootnoteText"/>
      </w:pPr>
    </w:p>
  </w:footnote>
  <w:footnote w:id="6">
    <w:p w:rsidR="00483A36" w:rsidRPr="00483A36" w:rsidRDefault="005926C1" w:rsidP="00483A36">
      <w:pPr>
        <w:jc w:val="both"/>
        <w:rPr>
          <w:rFonts w:asciiTheme="majorBidi" w:hAnsiTheme="majorBidi" w:cstheme="majorBidi"/>
        </w:rPr>
      </w:pPr>
      <w:r>
        <w:rPr>
          <w:rStyle w:val="FootnoteReference"/>
        </w:rPr>
        <w:footnoteRef/>
      </w:r>
      <w:r>
        <w:t xml:space="preserve"> </w:t>
      </w:r>
      <w:r w:rsidR="00483A36" w:rsidRPr="001770C6">
        <w:rPr>
          <w:rFonts w:asciiTheme="majorBidi" w:hAnsiTheme="majorBidi" w:cstheme="majorBidi"/>
        </w:rPr>
        <w:t>Article 6</w:t>
      </w:r>
      <w:r w:rsidR="00483A36">
        <w:rPr>
          <w:rFonts w:asciiTheme="majorBidi" w:hAnsiTheme="majorBidi" w:cstheme="majorBidi"/>
        </w:rPr>
        <w:t xml:space="preserve"> </w:t>
      </w:r>
      <w:r w:rsidR="001770C6">
        <w:rPr>
          <w:rFonts w:asciiTheme="majorBidi" w:hAnsiTheme="majorBidi" w:cstheme="majorBidi"/>
        </w:rPr>
        <w:t>of the IHCHR law no. 53 of 2088 stipulates: (</w:t>
      </w:r>
      <w:r w:rsidR="00483A36" w:rsidRPr="00483A36">
        <w:rPr>
          <w:rFonts w:asciiTheme="majorBidi" w:hAnsiTheme="majorBidi" w:cstheme="majorBidi"/>
        </w:rPr>
        <w:t>Ministries, entities not affiliated with ministries and independent bodies shall commit to submit documents, data, statistics and information relevant to the activities and tasks of the Commission on a specific date. The Commission shall notify the COR in case of lack of adherence</w:t>
      </w:r>
      <w:r w:rsidR="001770C6">
        <w:rPr>
          <w:rFonts w:asciiTheme="majorBidi" w:hAnsiTheme="majorBidi" w:cstheme="majorBidi"/>
        </w:rPr>
        <w:t xml:space="preserve"> by the abovementioned entities).</w:t>
      </w:r>
      <w:r w:rsidR="00483A36" w:rsidRPr="00483A36">
        <w:rPr>
          <w:rFonts w:asciiTheme="majorBidi" w:hAnsiTheme="majorBidi" w:cstheme="majorBidi"/>
        </w:rPr>
        <w:t xml:space="preserve"> </w:t>
      </w:r>
    </w:p>
    <w:p w:rsidR="005926C1" w:rsidRDefault="005926C1">
      <w:pPr>
        <w:pStyle w:val="FootnoteText"/>
      </w:pPr>
    </w:p>
  </w:footnote>
  <w:footnote w:id="7">
    <w:p w:rsidR="0026548A" w:rsidRDefault="0026548A">
      <w:pPr>
        <w:pStyle w:val="FootnoteText"/>
      </w:pPr>
      <w:r>
        <w:rPr>
          <w:rStyle w:val="FootnoteReference"/>
        </w:rPr>
        <w:footnoteRef/>
      </w:r>
      <w:r w:rsidRPr="00CC4CAC">
        <w:rPr>
          <w:rFonts w:asciiTheme="majorBidi" w:hAnsiTheme="majorBidi" w:cstheme="majorBidi"/>
          <w:sz w:val="22"/>
          <w:szCs w:val="22"/>
        </w:rPr>
        <w:t xml:space="preserve"> </w:t>
      </w:r>
      <w:r w:rsidR="00CC4CAC" w:rsidRPr="00CC4CAC">
        <w:rPr>
          <w:rFonts w:asciiTheme="majorBidi" w:hAnsiTheme="majorBidi" w:cstheme="majorBidi"/>
          <w:sz w:val="22"/>
          <w:szCs w:val="22"/>
        </w:rPr>
        <w:t>Letter of the Ministry of Justice / Office of the Minister No. S/1800 dated 28 July 2015, and Letter of the National Security Council / National Security Advisory No. 5/1/614 dated 14 May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24915"/>
    <w:multiLevelType w:val="multilevel"/>
    <w:tmpl w:val="B528461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4878A4"/>
    <w:multiLevelType w:val="hybridMultilevel"/>
    <w:tmpl w:val="8BE8EF02"/>
    <w:lvl w:ilvl="0" w:tplc="9F2A7482">
      <w:start w:val="1"/>
      <w:numFmt w:val="decimal"/>
      <w:lvlText w:val="%1."/>
      <w:lvlJc w:val="left"/>
      <w:pPr>
        <w:ind w:left="720" w:hanging="360"/>
      </w:pPr>
      <w:rPr>
        <w:rFonts w:ascii="Times New Roman" w:hAnsi="Symbol" w:cs="Times New Roma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4663D"/>
    <w:multiLevelType w:val="hybridMultilevel"/>
    <w:tmpl w:val="533452BE"/>
    <w:lvl w:ilvl="0" w:tplc="DCBA4C88">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F6637FD"/>
    <w:multiLevelType w:val="multilevel"/>
    <w:tmpl w:val="426E0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E334CA"/>
    <w:multiLevelType w:val="multilevel"/>
    <w:tmpl w:val="C284DA2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750860"/>
    <w:multiLevelType w:val="hybridMultilevel"/>
    <w:tmpl w:val="E0F0F6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B3D6CBD"/>
    <w:multiLevelType w:val="hybridMultilevel"/>
    <w:tmpl w:val="1D0A6372"/>
    <w:lvl w:ilvl="0" w:tplc="DB784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ED675F"/>
    <w:multiLevelType w:val="multilevel"/>
    <w:tmpl w:val="F006DE5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D66B6E"/>
    <w:multiLevelType w:val="multilevel"/>
    <w:tmpl w:val="410E3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993D93"/>
    <w:multiLevelType w:val="hybridMultilevel"/>
    <w:tmpl w:val="E048A84E"/>
    <w:lvl w:ilvl="0" w:tplc="56986C84">
      <w:start w:val="1"/>
      <w:numFmt w:val="decimal"/>
      <w:lvlText w:val="%1-"/>
      <w:lvlJc w:val="left"/>
      <w:pPr>
        <w:ind w:left="720" w:hanging="360"/>
      </w:pPr>
      <w:rPr>
        <w:rFonts w:hint="default"/>
        <w:color w:val="auto"/>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B35988"/>
    <w:multiLevelType w:val="multilevel"/>
    <w:tmpl w:val="E2FC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B12CC9"/>
    <w:multiLevelType w:val="multilevel"/>
    <w:tmpl w:val="46D81D90"/>
    <w:lvl w:ilvl="0">
      <w:start w:val="1"/>
      <w:numFmt w:val="decimal"/>
      <w:lvlText w:val="%1."/>
      <w:lvlJc w:val="left"/>
      <w:pPr>
        <w:tabs>
          <w:tab w:val="num" w:pos="720"/>
        </w:tabs>
        <w:ind w:left="720" w:hanging="360"/>
      </w:pPr>
      <w:rPr>
        <w:rFonts w:asciiTheme="majorBidi" w:hAnsiTheme="majorBidi" w:cstheme="majorBidi" w:hint="default"/>
        <w:b/>
        <w:bCs/>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640D4E"/>
    <w:multiLevelType w:val="hybridMultilevel"/>
    <w:tmpl w:val="3306B29C"/>
    <w:lvl w:ilvl="0" w:tplc="CCEE5016">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0B6AA2"/>
    <w:multiLevelType w:val="hybridMultilevel"/>
    <w:tmpl w:val="1158CAEA"/>
    <w:lvl w:ilvl="0" w:tplc="CCEE501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371453"/>
    <w:multiLevelType w:val="hybridMultilevel"/>
    <w:tmpl w:val="CB4008A4"/>
    <w:lvl w:ilvl="0" w:tplc="CCEE5016">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D770DE"/>
    <w:multiLevelType w:val="hybridMultilevel"/>
    <w:tmpl w:val="307C5E20"/>
    <w:lvl w:ilvl="0" w:tplc="68BEB502">
      <w:start w:val="1"/>
      <w:numFmt w:val="decimal"/>
      <w:lvlText w:val="%1."/>
      <w:lvlJc w:val="left"/>
      <w:pPr>
        <w:ind w:left="720" w:hanging="360"/>
      </w:pPr>
      <w:rPr>
        <w:rFonts w:ascii="Times New Roman" w:hAnsi="Symbol" w:cs="Times New Roma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1754E1"/>
    <w:multiLevelType w:val="multilevel"/>
    <w:tmpl w:val="FB4C1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723A6A"/>
    <w:multiLevelType w:val="hybridMultilevel"/>
    <w:tmpl w:val="5492C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807082"/>
    <w:multiLevelType w:val="hybridMultilevel"/>
    <w:tmpl w:val="9C7A8F06"/>
    <w:lvl w:ilvl="0" w:tplc="DE4219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000605"/>
    <w:multiLevelType w:val="hybridMultilevel"/>
    <w:tmpl w:val="1F6CDA8A"/>
    <w:lvl w:ilvl="0" w:tplc="0CF6883E">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7B7D8B"/>
    <w:multiLevelType w:val="hybridMultilevel"/>
    <w:tmpl w:val="D83644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92C3E3D"/>
    <w:multiLevelType w:val="hybridMultilevel"/>
    <w:tmpl w:val="00145732"/>
    <w:lvl w:ilvl="0" w:tplc="7ACEB94C">
      <w:start w:val="1"/>
      <w:numFmt w:val="arabicAlpha"/>
      <w:lvlText w:val="%1-"/>
      <w:lvlJc w:val="center"/>
      <w:pPr>
        <w:ind w:left="720" w:hanging="360"/>
      </w:pPr>
      <w:rPr>
        <w:rFonts w:hint="default"/>
        <w:color w:val="auto"/>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225ED0"/>
    <w:multiLevelType w:val="multilevel"/>
    <w:tmpl w:val="D20229D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F627FCA"/>
    <w:multiLevelType w:val="multilevel"/>
    <w:tmpl w:val="90044CD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92B541C"/>
    <w:multiLevelType w:val="hybridMultilevel"/>
    <w:tmpl w:val="4C76E170"/>
    <w:lvl w:ilvl="0" w:tplc="B7C22DCC">
      <w:start w:val="4"/>
      <w:numFmt w:val="bullet"/>
      <w:lvlText w:val="-"/>
      <w:lvlJc w:val="left"/>
      <w:pPr>
        <w:ind w:left="420" w:hanging="360"/>
      </w:pPr>
      <w:rPr>
        <w:rFonts w:ascii="Calibri" w:eastAsiaTheme="minorEastAsia" w:hAnsi="Calibri" w:cstheme="minorBid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6D2B5668"/>
    <w:multiLevelType w:val="hybridMultilevel"/>
    <w:tmpl w:val="5EBCBEF6"/>
    <w:lvl w:ilvl="0" w:tplc="CCEE50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692F95"/>
    <w:multiLevelType w:val="hybridMultilevel"/>
    <w:tmpl w:val="363ACDEC"/>
    <w:lvl w:ilvl="0" w:tplc="9598836E">
      <w:start w:val="1"/>
      <w:numFmt w:val="bullet"/>
      <w:lvlText w:val=""/>
      <w:lvlJc w:val="left"/>
      <w:pPr>
        <w:ind w:left="720" w:hanging="360"/>
      </w:pPr>
      <w:rPr>
        <w:rFonts w:ascii="Symbol" w:hAnsi="Symbo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F16E05"/>
    <w:multiLevelType w:val="multilevel"/>
    <w:tmpl w:val="1724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F863D4"/>
    <w:multiLevelType w:val="hybridMultilevel"/>
    <w:tmpl w:val="055041FE"/>
    <w:lvl w:ilvl="0" w:tplc="38E885AE">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C175F5"/>
    <w:multiLevelType w:val="hybridMultilevel"/>
    <w:tmpl w:val="B688F586"/>
    <w:lvl w:ilvl="0" w:tplc="A99C3ACC">
      <w:start w:val="1"/>
      <w:numFmt w:val="decimal"/>
      <w:lvlText w:val="%1."/>
      <w:lvlJc w:val="left"/>
      <w:pPr>
        <w:ind w:left="720" w:hanging="360"/>
      </w:pPr>
      <w:rPr>
        <w:rFonts w:ascii="Times New Roman" w:hAnsi="Symbol" w:cs="Times New Roma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733CC8"/>
    <w:multiLevelType w:val="multilevel"/>
    <w:tmpl w:val="A0F8C12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4"/>
  </w:num>
  <w:num w:numId="3">
    <w:abstractNumId w:val="22"/>
  </w:num>
  <w:num w:numId="4">
    <w:abstractNumId w:val="0"/>
  </w:num>
  <w:num w:numId="5">
    <w:abstractNumId w:val="3"/>
  </w:num>
  <w:num w:numId="6">
    <w:abstractNumId w:val="11"/>
  </w:num>
  <w:num w:numId="7">
    <w:abstractNumId w:val="23"/>
  </w:num>
  <w:num w:numId="8">
    <w:abstractNumId w:val="16"/>
  </w:num>
  <w:num w:numId="9">
    <w:abstractNumId w:val="8"/>
  </w:num>
  <w:num w:numId="10">
    <w:abstractNumId w:val="6"/>
  </w:num>
  <w:num w:numId="11">
    <w:abstractNumId w:val="12"/>
  </w:num>
  <w:num w:numId="12">
    <w:abstractNumId w:val="1"/>
  </w:num>
  <w:num w:numId="13">
    <w:abstractNumId w:val="13"/>
  </w:num>
  <w:num w:numId="14">
    <w:abstractNumId w:val="29"/>
  </w:num>
  <w:num w:numId="15">
    <w:abstractNumId w:val="28"/>
  </w:num>
  <w:num w:numId="16">
    <w:abstractNumId w:val="18"/>
  </w:num>
  <w:num w:numId="17">
    <w:abstractNumId w:val="7"/>
  </w:num>
  <w:num w:numId="18">
    <w:abstractNumId w:val="20"/>
  </w:num>
  <w:num w:numId="19">
    <w:abstractNumId w:val="19"/>
  </w:num>
  <w:num w:numId="20">
    <w:abstractNumId w:val="27"/>
  </w:num>
  <w:num w:numId="21">
    <w:abstractNumId w:val="5"/>
  </w:num>
  <w:num w:numId="22">
    <w:abstractNumId w:val="10"/>
  </w:num>
  <w:num w:numId="23">
    <w:abstractNumId w:val="24"/>
  </w:num>
  <w:num w:numId="24">
    <w:abstractNumId w:val="17"/>
  </w:num>
  <w:num w:numId="25">
    <w:abstractNumId w:val="9"/>
  </w:num>
  <w:num w:numId="26">
    <w:abstractNumId w:val="25"/>
  </w:num>
  <w:num w:numId="27">
    <w:abstractNumId w:val="15"/>
  </w:num>
  <w:num w:numId="28">
    <w:abstractNumId w:val="26"/>
  </w:num>
  <w:num w:numId="29">
    <w:abstractNumId w:val="14"/>
  </w:num>
  <w:num w:numId="30">
    <w:abstractNumId w:val="21"/>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D3E"/>
    <w:rsid w:val="00000466"/>
    <w:rsid w:val="0001783F"/>
    <w:rsid w:val="000576ED"/>
    <w:rsid w:val="00057F89"/>
    <w:rsid w:val="00072F10"/>
    <w:rsid w:val="000762B0"/>
    <w:rsid w:val="00076C4C"/>
    <w:rsid w:val="000800FC"/>
    <w:rsid w:val="00080D7C"/>
    <w:rsid w:val="000937A3"/>
    <w:rsid w:val="000B64F8"/>
    <w:rsid w:val="000B7306"/>
    <w:rsid w:val="000C29F2"/>
    <w:rsid w:val="000C6470"/>
    <w:rsid w:val="000D3417"/>
    <w:rsid w:val="000E6669"/>
    <w:rsid w:val="00117B91"/>
    <w:rsid w:val="00120EA1"/>
    <w:rsid w:val="00123069"/>
    <w:rsid w:val="00126770"/>
    <w:rsid w:val="0013001D"/>
    <w:rsid w:val="00146EB6"/>
    <w:rsid w:val="00157EC1"/>
    <w:rsid w:val="00161FC8"/>
    <w:rsid w:val="00162233"/>
    <w:rsid w:val="0016273F"/>
    <w:rsid w:val="001770C6"/>
    <w:rsid w:val="00177802"/>
    <w:rsid w:val="00186B34"/>
    <w:rsid w:val="001A4D79"/>
    <w:rsid w:val="001A6E89"/>
    <w:rsid w:val="001B59AD"/>
    <w:rsid w:val="001C2652"/>
    <w:rsid w:val="001E761A"/>
    <w:rsid w:val="001F26CD"/>
    <w:rsid w:val="00216611"/>
    <w:rsid w:val="00220733"/>
    <w:rsid w:val="002226FE"/>
    <w:rsid w:val="002251F8"/>
    <w:rsid w:val="0023031D"/>
    <w:rsid w:val="002360E3"/>
    <w:rsid w:val="00237C13"/>
    <w:rsid w:val="00240345"/>
    <w:rsid w:val="002437B4"/>
    <w:rsid w:val="00260F2F"/>
    <w:rsid w:val="0026548A"/>
    <w:rsid w:val="00276380"/>
    <w:rsid w:val="00285738"/>
    <w:rsid w:val="00290348"/>
    <w:rsid w:val="002932D5"/>
    <w:rsid w:val="002C0A50"/>
    <w:rsid w:val="002C0C8D"/>
    <w:rsid w:val="002C47BA"/>
    <w:rsid w:val="002D6797"/>
    <w:rsid w:val="002E2C30"/>
    <w:rsid w:val="002E3BDC"/>
    <w:rsid w:val="002F028B"/>
    <w:rsid w:val="002F725A"/>
    <w:rsid w:val="00313C64"/>
    <w:rsid w:val="00317D3E"/>
    <w:rsid w:val="0034251D"/>
    <w:rsid w:val="00351B55"/>
    <w:rsid w:val="0036396A"/>
    <w:rsid w:val="003655A0"/>
    <w:rsid w:val="00380E3B"/>
    <w:rsid w:val="003A676E"/>
    <w:rsid w:val="003B5535"/>
    <w:rsid w:val="003C4456"/>
    <w:rsid w:val="003C6F97"/>
    <w:rsid w:val="003D2E16"/>
    <w:rsid w:val="003E11DF"/>
    <w:rsid w:val="003F10BF"/>
    <w:rsid w:val="003F38F3"/>
    <w:rsid w:val="003F5144"/>
    <w:rsid w:val="0041145B"/>
    <w:rsid w:val="00412073"/>
    <w:rsid w:val="004167F0"/>
    <w:rsid w:val="0042795B"/>
    <w:rsid w:val="004315A8"/>
    <w:rsid w:val="00431951"/>
    <w:rsid w:val="004406FE"/>
    <w:rsid w:val="00453284"/>
    <w:rsid w:val="00483A36"/>
    <w:rsid w:val="00490AB2"/>
    <w:rsid w:val="004A332C"/>
    <w:rsid w:val="004A355D"/>
    <w:rsid w:val="004A6CB4"/>
    <w:rsid w:val="004C1068"/>
    <w:rsid w:val="004C3FA6"/>
    <w:rsid w:val="004D5D13"/>
    <w:rsid w:val="004E5315"/>
    <w:rsid w:val="004E5B53"/>
    <w:rsid w:val="004E66C7"/>
    <w:rsid w:val="004F5F75"/>
    <w:rsid w:val="004F7E04"/>
    <w:rsid w:val="00506DB2"/>
    <w:rsid w:val="00525123"/>
    <w:rsid w:val="0052524F"/>
    <w:rsid w:val="00526B2E"/>
    <w:rsid w:val="005452B8"/>
    <w:rsid w:val="0056318F"/>
    <w:rsid w:val="00574313"/>
    <w:rsid w:val="00576637"/>
    <w:rsid w:val="00591BAC"/>
    <w:rsid w:val="005926C1"/>
    <w:rsid w:val="005B052A"/>
    <w:rsid w:val="005B0C8F"/>
    <w:rsid w:val="005B3D18"/>
    <w:rsid w:val="005B4A96"/>
    <w:rsid w:val="005E0D57"/>
    <w:rsid w:val="005E3801"/>
    <w:rsid w:val="005F6906"/>
    <w:rsid w:val="0060228B"/>
    <w:rsid w:val="006523C6"/>
    <w:rsid w:val="00654597"/>
    <w:rsid w:val="00660B4A"/>
    <w:rsid w:val="00663B31"/>
    <w:rsid w:val="006642FC"/>
    <w:rsid w:val="00664926"/>
    <w:rsid w:val="00687E7F"/>
    <w:rsid w:val="00695A7A"/>
    <w:rsid w:val="006A38C7"/>
    <w:rsid w:val="006B1445"/>
    <w:rsid w:val="006B3A6A"/>
    <w:rsid w:val="006C0072"/>
    <w:rsid w:val="006E3713"/>
    <w:rsid w:val="006E69B1"/>
    <w:rsid w:val="006F0C4D"/>
    <w:rsid w:val="006F5AA5"/>
    <w:rsid w:val="006F73F9"/>
    <w:rsid w:val="00702F18"/>
    <w:rsid w:val="007158BE"/>
    <w:rsid w:val="00726837"/>
    <w:rsid w:val="00726EB5"/>
    <w:rsid w:val="00731195"/>
    <w:rsid w:val="00731B7F"/>
    <w:rsid w:val="00731C9B"/>
    <w:rsid w:val="00734EE7"/>
    <w:rsid w:val="007435E0"/>
    <w:rsid w:val="00752D82"/>
    <w:rsid w:val="00753297"/>
    <w:rsid w:val="00753B07"/>
    <w:rsid w:val="00753B46"/>
    <w:rsid w:val="00754FB3"/>
    <w:rsid w:val="007647FC"/>
    <w:rsid w:val="0077644D"/>
    <w:rsid w:val="00783471"/>
    <w:rsid w:val="00791289"/>
    <w:rsid w:val="007A137F"/>
    <w:rsid w:val="007C098C"/>
    <w:rsid w:val="007D099F"/>
    <w:rsid w:val="007D4152"/>
    <w:rsid w:val="007D5052"/>
    <w:rsid w:val="007E35D9"/>
    <w:rsid w:val="007E4D9F"/>
    <w:rsid w:val="007E6AE6"/>
    <w:rsid w:val="007F2813"/>
    <w:rsid w:val="0081669E"/>
    <w:rsid w:val="008242D9"/>
    <w:rsid w:val="00826A04"/>
    <w:rsid w:val="00831D6C"/>
    <w:rsid w:val="00844E61"/>
    <w:rsid w:val="008573BC"/>
    <w:rsid w:val="00857555"/>
    <w:rsid w:val="00867234"/>
    <w:rsid w:val="00872802"/>
    <w:rsid w:val="0088201F"/>
    <w:rsid w:val="008853B0"/>
    <w:rsid w:val="008A1A5A"/>
    <w:rsid w:val="008A2D38"/>
    <w:rsid w:val="008B3F80"/>
    <w:rsid w:val="008B45F5"/>
    <w:rsid w:val="008C27EE"/>
    <w:rsid w:val="008C2FC3"/>
    <w:rsid w:val="008C5F47"/>
    <w:rsid w:val="008D10AA"/>
    <w:rsid w:val="008F4685"/>
    <w:rsid w:val="008F53FC"/>
    <w:rsid w:val="00900DE5"/>
    <w:rsid w:val="00901495"/>
    <w:rsid w:val="00901914"/>
    <w:rsid w:val="00911AB5"/>
    <w:rsid w:val="009520AA"/>
    <w:rsid w:val="00960E05"/>
    <w:rsid w:val="009677A5"/>
    <w:rsid w:val="00980223"/>
    <w:rsid w:val="0098455C"/>
    <w:rsid w:val="009923FB"/>
    <w:rsid w:val="009A3126"/>
    <w:rsid w:val="009B6F95"/>
    <w:rsid w:val="009B7A1C"/>
    <w:rsid w:val="009C460B"/>
    <w:rsid w:val="009D6A42"/>
    <w:rsid w:val="009E1B58"/>
    <w:rsid w:val="009E34CA"/>
    <w:rsid w:val="009F3028"/>
    <w:rsid w:val="00A0604B"/>
    <w:rsid w:val="00A17C4E"/>
    <w:rsid w:val="00A22635"/>
    <w:rsid w:val="00A4384D"/>
    <w:rsid w:val="00A502C2"/>
    <w:rsid w:val="00A572D4"/>
    <w:rsid w:val="00A63B1E"/>
    <w:rsid w:val="00A660C1"/>
    <w:rsid w:val="00A664D3"/>
    <w:rsid w:val="00A7431F"/>
    <w:rsid w:val="00A86309"/>
    <w:rsid w:val="00A93CAC"/>
    <w:rsid w:val="00AA26C9"/>
    <w:rsid w:val="00AB1301"/>
    <w:rsid w:val="00AB3A35"/>
    <w:rsid w:val="00AC2AED"/>
    <w:rsid w:val="00AC7357"/>
    <w:rsid w:val="00AD73F6"/>
    <w:rsid w:val="00B0532B"/>
    <w:rsid w:val="00B142A2"/>
    <w:rsid w:val="00B14918"/>
    <w:rsid w:val="00B21268"/>
    <w:rsid w:val="00B23627"/>
    <w:rsid w:val="00B25FD0"/>
    <w:rsid w:val="00B34076"/>
    <w:rsid w:val="00B44FA7"/>
    <w:rsid w:val="00B546C0"/>
    <w:rsid w:val="00B6540C"/>
    <w:rsid w:val="00B8371B"/>
    <w:rsid w:val="00B87009"/>
    <w:rsid w:val="00B93A6C"/>
    <w:rsid w:val="00BA19E6"/>
    <w:rsid w:val="00BA3837"/>
    <w:rsid w:val="00BA6F28"/>
    <w:rsid w:val="00BB405B"/>
    <w:rsid w:val="00BD007C"/>
    <w:rsid w:val="00BE4E18"/>
    <w:rsid w:val="00BE6518"/>
    <w:rsid w:val="00BE78F3"/>
    <w:rsid w:val="00BF29B3"/>
    <w:rsid w:val="00BF6B67"/>
    <w:rsid w:val="00C031E8"/>
    <w:rsid w:val="00C107C6"/>
    <w:rsid w:val="00C20B7E"/>
    <w:rsid w:val="00C24EED"/>
    <w:rsid w:val="00C41106"/>
    <w:rsid w:val="00C4730A"/>
    <w:rsid w:val="00C53C0A"/>
    <w:rsid w:val="00C9217A"/>
    <w:rsid w:val="00CA0310"/>
    <w:rsid w:val="00CC44DF"/>
    <w:rsid w:val="00CC4CAC"/>
    <w:rsid w:val="00CE48D3"/>
    <w:rsid w:val="00CE6DDE"/>
    <w:rsid w:val="00D0150C"/>
    <w:rsid w:val="00D2035C"/>
    <w:rsid w:val="00D42BBB"/>
    <w:rsid w:val="00D447DF"/>
    <w:rsid w:val="00D642E2"/>
    <w:rsid w:val="00D659DC"/>
    <w:rsid w:val="00D9740F"/>
    <w:rsid w:val="00DA33F2"/>
    <w:rsid w:val="00DA582B"/>
    <w:rsid w:val="00DB7755"/>
    <w:rsid w:val="00DD46FB"/>
    <w:rsid w:val="00DE0255"/>
    <w:rsid w:val="00E12DD4"/>
    <w:rsid w:val="00E22253"/>
    <w:rsid w:val="00E23375"/>
    <w:rsid w:val="00E4238B"/>
    <w:rsid w:val="00E442E0"/>
    <w:rsid w:val="00E50352"/>
    <w:rsid w:val="00E509F9"/>
    <w:rsid w:val="00E5602E"/>
    <w:rsid w:val="00E610B1"/>
    <w:rsid w:val="00E61181"/>
    <w:rsid w:val="00E64FFD"/>
    <w:rsid w:val="00E65069"/>
    <w:rsid w:val="00E66E07"/>
    <w:rsid w:val="00E777EF"/>
    <w:rsid w:val="00E971B5"/>
    <w:rsid w:val="00EC4B3D"/>
    <w:rsid w:val="00EC63FC"/>
    <w:rsid w:val="00EE14F6"/>
    <w:rsid w:val="00EE7D4F"/>
    <w:rsid w:val="00EF0E96"/>
    <w:rsid w:val="00F0345E"/>
    <w:rsid w:val="00F128A2"/>
    <w:rsid w:val="00F15FC3"/>
    <w:rsid w:val="00F23059"/>
    <w:rsid w:val="00F330DC"/>
    <w:rsid w:val="00F51773"/>
    <w:rsid w:val="00F51C8A"/>
    <w:rsid w:val="00F52795"/>
    <w:rsid w:val="00F551EF"/>
    <w:rsid w:val="00F56911"/>
    <w:rsid w:val="00F64C4F"/>
    <w:rsid w:val="00F66974"/>
    <w:rsid w:val="00F731A6"/>
    <w:rsid w:val="00F8159A"/>
    <w:rsid w:val="00F81964"/>
    <w:rsid w:val="00FA6D66"/>
    <w:rsid w:val="00FA73A9"/>
    <w:rsid w:val="00FC0D53"/>
    <w:rsid w:val="00FC1D7A"/>
    <w:rsid w:val="00FC6317"/>
    <w:rsid w:val="00FF63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45D5B7-A830-493B-A05E-52C12B38F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A58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80E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107C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42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42FC"/>
    <w:rPr>
      <w:b/>
      <w:bCs/>
    </w:rPr>
  </w:style>
  <w:style w:type="character" w:styleId="Emphasis">
    <w:name w:val="Emphasis"/>
    <w:basedOn w:val="DefaultParagraphFont"/>
    <w:uiPriority w:val="20"/>
    <w:qFormat/>
    <w:rsid w:val="006642FC"/>
    <w:rPr>
      <w:i/>
      <w:iCs/>
    </w:rPr>
  </w:style>
  <w:style w:type="character" w:customStyle="1" w:styleId="sr-only">
    <w:name w:val="sr-only"/>
    <w:basedOn w:val="DefaultParagraphFont"/>
    <w:rsid w:val="006642FC"/>
  </w:style>
  <w:style w:type="paragraph" w:styleId="z-TopofForm">
    <w:name w:val="HTML Top of Form"/>
    <w:basedOn w:val="Normal"/>
    <w:next w:val="Normal"/>
    <w:link w:val="z-TopofFormChar"/>
    <w:hidden/>
    <w:uiPriority w:val="99"/>
    <w:semiHidden/>
    <w:unhideWhenUsed/>
    <w:rsid w:val="006642F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6642FC"/>
    <w:rPr>
      <w:rFonts w:ascii="Arial" w:eastAsia="Times New Roman" w:hAnsi="Arial" w:cs="Arial"/>
      <w:vanish/>
      <w:sz w:val="16"/>
      <w:szCs w:val="16"/>
    </w:rPr>
  </w:style>
  <w:style w:type="paragraph" w:customStyle="1" w:styleId="placeholder">
    <w:name w:val="placeholder"/>
    <w:basedOn w:val="Normal"/>
    <w:rsid w:val="006642FC"/>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6642F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6642FC"/>
    <w:rPr>
      <w:rFonts w:ascii="Arial" w:eastAsia="Times New Roman" w:hAnsi="Arial" w:cs="Arial"/>
      <w:vanish/>
      <w:sz w:val="16"/>
      <w:szCs w:val="16"/>
    </w:rPr>
  </w:style>
  <w:style w:type="character" w:customStyle="1" w:styleId="Heading3Char">
    <w:name w:val="Heading 3 Char"/>
    <w:basedOn w:val="DefaultParagraphFont"/>
    <w:link w:val="Heading3"/>
    <w:uiPriority w:val="9"/>
    <w:rsid w:val="00C107C6"/>
    <w:rPr>
      <w:rFonts w:ascii="Times New Roman" w:eastAsia="Times New Roman" w:hAnsi="Times New Roman" w:cs="Times New Roman"/>
      <w:b/>
      <w:bCs/>
      <w:sz w:val="27"/>
      <w:szCs w:val="27"/>
    </w:rPr>
  </w:style>
  <w:style w:type="paragraph" w:styleId="Title">
    <w:name w:val="Title"/>
    <w:basedOn w:val="Normal"/>
    <w:next w:val="Normal"/>
    <w:link w:val="TitleChar"/>
    <w:uiPriority w:val="10"/>
    <w:qFormat/>
    <w:rsid w:val="00EE14F6"/>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EE14F6"/>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EE14F6"/>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EE14F6"/>
    <w:rPr>
      <w:rFonts w:eastAsiaTheme="minorEastAsia" w:cs="Times New Roman"/>
      <w:color w:val="5A5A5A" w:themeColor="text1" w:themeTint="A5"/>
      <w:spacing w:val="15"/>
    </w:rPr>
  </w:style>
  <w:style w:type="paragraph" w:styleId="Header">
    <w:name w:val="header"/>
    <w:basedOn w:val="Normal"/>
    <w:link w:val="HeaderChar"/>
    <w:uiPriority w:val="99"/>
    <w:unhideWhenUsed/>
    <w:rsid w:val="00DA58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582B"/>
  </w:style>
  <w:style w:type="paragraph" w:styleId="Footer">
    <w:name w:val="footer"/>
    <w:basedOn w:val="Normal"/>
    <w:link w:val="FooterChar"/>
    <w:uiPriority w:val="99"/>
    <w:unhideWhenUsed/>
    <w:rsid w:val="00DA58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582B"/>
  </w:style>
  <w:style w:type="character" w:customStyle="1" w:styleId="Heading1Char">
    <w:name w:val="Heading 1 Char"/>
    <w:basedOn w:val="DefaultParagraphFont"/>
    <w:link w:val="Heading1"/>
    <w:uiPriority w:val="9"/>
    <w:rsid w:val="00DA582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A582B"/>
    <w:pPr>
      <w:outlineLvl w:val="9"/>
    </w:pPr>
  </w:style>
  <w:style w:type="paragraph" w:styleId="TOC2">
    <w:name w:val="toc 2"/>
    <w:basedOn w:val="Normal"/>
    <w:next w:val="Normal"/>
    <w:autoRedefine/>
    <w:uiPriority w:val="39"/>
    <w:unhideWhenUsed/>
    <w:rsid w:val="00DA582B"/>
    <w:pPr>
      <w:spacing w:after="100"/>
      <w:ind w:left="220"/>
    </w:pPr>
    <w:rPr>
      <w:rFonts w:eastAsiaTheme="minorEastAsia" w:cs="Times New Roman"/>
    </w:rPr>
  </w:style>
  <w:style w:type="paragraph" w:styleId="TOC1">
    <w:name w:val="toc 1"/>
    <w:basedOn w:val="Normal"/>
    <w:next w:val="Normal"/>
    <w:autoRedefine/>
    <w:uiPriority w:val="39"/>
    <w:unhideWhenUsed/>
    <w:rsid w:val="00DA582B"/>
    <w:pPr>
      <w:spacing w:after="100"/>
    </w:pPr>
    <w:rPr>
      <w:rFonts w:eastAsiaTheme="minorEastAsia" w:cs="Times New Roman"/>
    </w:rPr>
  </w:style>
  <w:style w:type="paragraph" w:styleId="TOC3">
    <w:name w:val="toc 3"/>
    <w:basedOn w:val="Normal"/>
    <w:next w:val="Normal"/>
    <w:autoRedefine/>
    <w:uiPriority w:val="39"/>
    <w:unhideWhenUsed/>
    <w:rsid w:val="00DA582B"/>
    <w:pPr>
      <w:spacing w:after="100"/>
      <w:ind w:left="440"/>
    </w:pPr>
    <w:rPr>
      <w:rFonts w:eastAsiaTheme="minorEastAsia" w:cs="Times New Roman"/>
    </w:rPr>
  </w:style>
  <w:style w:type="paragraph" w:styleId="FootnoteText">
    <w:name w:val="footnote text"/>
    <w:basedOn w:val="Normal"/>
    <w:link w:val="FootnoteTextChar"/>
    <w:uiPriority w:val="99"/>
    <w:semiHidden/>
    <w:unhideWhenUsed/>
    <w:rsid w:val="00E777EF"/>
    <w:pPr>
      <w:spacing w:after="0" w:line="240" w:lineRule="auto"/>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E777EF"/>
    <w:rPr>
      <w:rFonts w:ascii="Calibri" w:eastAsia="Calibri" w:hAnsi="Calibri" w:cs="Arial"/>
      <w:sz w:val="20"/>
      <w:szCs w:val="20"/>
    </w:rPr>
  </w:style>
  <w:style w:type="character" w:styleId="FootnoteReference">
    <w:name w:val="footnote reference"/>
    <w:uiPriority w:val="99"/>
    <w:semiHidden/>
    <w:unhideWhenUsed/>
    <w:rsid w:val="00E777EF"/>
    <w:rPr>
      <w:vertAlign w:val="superscript"/>
    </w:rPr>
  </w:style>
  <w:style w:type="character" w:styleId="Hyperlink">
    <w:name w:val="Hyperlink"/>
    <w:uiPriority w:val="99"/>
    <w:unhideWhenUsed/>
    <w:rsid w:val="00E777EF"/>
    <w:rPr>
      <w:color w:val="0563C1"/>
      <w:u w:val="single"/>
    </w:rPr>
  </w:style>
  <w:style w:type="paragraph" w:styleId="ListParagraph">
    <w:name w:val="List Paragraph"/>
    <w:basedOn w:val="Normal"/>
    <w:link w:val="ListParagraphChar"/>
    <w:uiPriority w:val="34"/>
    <w:qFormat/>
    <w:rsid w:val="004167F0"/>
    <w:pPr>
      <w:ind w:left="720"/>
      <w:contextualSpacing/>
    </w:pPr>
    <w:rPr>
      <w:rFonts w:ascii="Calibri" w:eastAsia="Calibri" w:hAnsi="Calibri" w:cs="Arial"/>
    </w:rPr>
  </w:style>
  <w:style w:type="character" w:customStyle="1" w:styleId="ListParagraphChar">
    <w:name w:val="List Paragraph Char"/>
    <w:link w:val="ListParagraph"/>
    <w:uiPriority w:val="34"/>
    <w:rsid w:val="004167F0"/>
    <w:rPr>
      <w:rFonts w:ascii="Calibri" w:eastAsia="Calibri" w:hAnsi="Calibri" w:cs="Arial"/>
    </w:rPr>
  </w:style>
  <w:style w:type="table" w:styleId="TableGrid">
    <w:name w:val="Table Grid"/>
    <w:basedOn w:val="TableNormal"/>
    <w:uiPriority w:val="39"/>
    <w:rsid w:val="007D4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E3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048848">
      <w:bodyDiv w:val="1"/>
      <w:marLeft w:val="0"/>
      <w:marRight w:val="0"/>
      <w:marTop w:val="0"/>
      <w:marBottom w:val="0"/>
      <w:divBdr>
        <w:top w:val="none" w:sz="0" w:space="0" w:color="auto"/>
        <w:left w:val="none" w:sz="0" w:space="0" w:color="auto"/>
        <w:bottom w:val="none" w:sz="0" w:space="0" w:color="auto"/>
        <w:right w:val="none" w:sz="0" w:space="0" w:color="auto"/>
      </w:divBdr>
    </w:div>
    <w:div w:id="216673843">
      <w:bodyDiv w:val="1"/>
      <w:marLeft w:val="0"/>
      <w:marRight w:val="0"/>
      <w:marTop w:val="0"/>
      <w:marBottom w:val="0"/>
      <w:divBdr>
        <w:top w:val="none" w:sz="0" w:space="0" w:color="auto"/>
        <w:left w:val="none" w:sz="0" w:space="0" w:color="auto"/>
        <w:bottom w:val="none" w:sz="0" w:space="0" w:color="auto"/>
        <w:right w:val="none" w:sz="0" w:space="0" w:color="auto"/>
      </w:divBdr>
      <w:divsChild>
        <w:div w:id="1093824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2613759">
      <w:bodyDiv w:val="1"/>
      <w:marLeft w:val="0"/>
      <w:marRight w:val="0"/>
      <w:marTop w:val="0"/>
      <w:marBottom w:val="0"/>
      <w:divBdr>
        <w:top w:val="none" w:sz="0" w:space="0" w:color="auto"/>
        <w:left w:val="none" w:sz="0" w:space="0" w:color="auto"/>
        <w:bottom w:val="none" w:sz="0" w:space="0" w:color="auto"/>
        <w:right w:val="none" w:sz="0" w:space="0" w:color="auto"/>
      </w:divBdr>
    </w:div>
    <w:div w:id="294529420">
      <w:bodyDiv w:val="1"/>
      <w:marLeft w:val="0"/>
      <w:marRight w:val="0"/>
      <w:marTop w:val="0"/>
      <w:marBottom w:val="0"/>
      <w:divBdr>
        <w:top w:val="none" w:sz="0" w:space="0" w:color="auto"/>
        <w:left w:val="none" w:sz="0" w:space="0" w:color="auto"/>
        <w:bottom w:val="none" w:sz="0" w:space="0" w:color="auto"/>
        <w:right w:val="none" w:sz="0" w:space="0" w:color="auto"/>
      </w:divBdr>
    </w:div>
    <w:div w:id="296186944">
      <w:bodyDiv w:val="1"/>
      <w:marLeft w:val="0"/>
      <w:marRight w:val="0"/>
      <w:marTop w:val="0"/>
      <w:marBottom w:val="0"/>
      <w:divBdr>
        <w:top w:val="none" w:sz="0" w:space="0" w:color="auto"/>
        <w:left w:val="none" w:sz="0" w:space="0" w:color="auto"/>
        <w:bottom w:val="none" w:sz="0" w:space="0" w:color="auto"/>
        <w:right w:val="none" w:sz="0" w:space="0" w:color="auto"/>
      </w:divBdr>
    </w:div>
    <w:div w:id="483592319">
      <w:bodyDiv w:val="1"/>
      <w:marLeft w:val="0"/>
      <w:marRight w:val="0"/>
      <w:marTop w:val="0"/>
      <w:marBottom w:val="0"/>
      <w:divBdr>
        <w:top w:val="none" w:sz="0" w:space="0" w:color="auto"/>
        <w:left w:val="none" w:sz="0" w:space="0" w:color="auto"/>
        <w:bottom w:val="none" w:sz="0" w:space="0" w:color="auto"/>
        <w:right w:val="none" w:sz="0" w:space="0" w:color="auto"/>
      </w:divBdr>
    </w:div>
    <w:div w:id="588808071">
      <w:bodyDiv w:val="1"/>
      <w:marLeft w:val="0"/>
      <w:marRight w:val="0"/>
      <w:marTop w:val="0"/>
      <w:marBottom w:val="0"/>
      <w:divBdr>
        <w:top w:val="none" w:sz="0" w:space="0" w:color="auto"/>
        <w:left w:val="none" w:sz="0" w:space="0" w:color="auto"/>
        <w:bottom w:val="none" w:sz="0" w:space="0" w:color="auto"/>
        <w:right w:val="none" w:sz="0" w:space="0" w:color="auto"/>
      </w:divBdr>
    </w:div>
    <w:div w:id="600911984">
      <w:bodyDiv w:val="1"/>
      <w:marLeft w:val="0"/>
      <w:marRight w:val="0"/>
      <w:marTop w:val="0"/>
      <w:marBottom w:val="0"/>
      <w:divBdr>
        <w:top w:val="none" w:sz="0" w:space="0" w:color="auto"/>
        <w:left w:val="none" w:sz="0" w:space="0" w:color="auto"/>
        <w:bottom w:val="none" w:sz="0" w:space="0" w:color="auto"/>
        <w:right w:val="none" w:sz="0" w:space="0" w:color="auto"/>
      </w:divBdr>
    </w:div>
    <w:div w:id="718742824">
      <w:bodyDiv w:val="1"/>
      <w:marLeft w:val="0"/>
      <w:marRight w:val="0"/>
      <w:marTop w:val="0"/>
      <w:marBottom w:val="0"/>
      <w:divBdr>
        <w:top w:val="none" w:sz="0" w:space="0" w:color="auto"/>
        <w:left w:val="none" w:sz="0" w:space="0" w:color="auto"/>
        <w:bottom w:val="none" w:sz="0" w:space="0" w:color="auto"/>
        <w:right w:val="none" w:sz="0" w:space="0" w:color="auto"/>
      </w:divBdr>
      <w:divsChild>
        <w:div w:id="835800395">
          <w:marLeft w:val="0"/>
          <w:marRight w:val="0"/>
          <w:marTop w:val="0"/>
          <w:marBottom w:val="0"/>
          <w:divBdr>
            <w:top w:val="none" w:sz="0" w:space="0" w:color="auto"/>
            <w:left w:val="none" w:sz="0" w:space="0" w:color="auto"/>
            <w:bottom w:val="none" w:sz="0" w:space="0" w:color="auto"/>
            <w:right w:val="none" w:sz="0" w:space="0" w:color="auto"/>
          </w:divBdr>
          <w:divsChild>
            <w:div w:id="87785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926505">
      <w:bodyDiv w:val="1"/>
      <w:marLeft w:val="0"/>
      <w:marRight w:val="0"/>
      <w:marTop w:val="0"/>
      <w:marBottom w:val="0"/>
      <w:divBdr>
        <w:top w:val="none" w:sz="0" w:space="0" w:color="auto"/>
        <w:left w:val="none" w:sz="0" w:space="0" w:color="auto"/>
        <w:bottom w:val="none" w:sz="0" w:space="0" w:color="auto"/>
        <w:right w:val="none" w:sz="0" w:space="0" w:color="auto"/>
      </w:divBdr>
    </w:div>
    <w:div w:id="961107092">
      <w:bodyDiv w:val="1"/>
      <w:marLeft w:val="0"/>
      <w:marRight w:val="0"/>
      <w:marTop w:val="0"/>
      <w:marBottom w:val="0"/>
      <w:divBdr>
        <w:top w:val="none" w:sz="0" w:space="0" w:color="auto"/>
        <w:left w:val="none" w:sz="0" w:space="0" w:color="auto"/>
        <w:bottom w:val="none" w:sz="0" w:space="0" w:color="auto"/>
        <w:right w:val="none" w:sz="0" w:space="0" w:color="auto"/>
      </w:divBdr>
    </w:div>
    <w:div w:id="978001720">
      <w:bodyDiv w:val="1"/>
      <w:marLeft w:val="0"/>
      <w:marRight w:val="0"/>
      <w:marTop w:val="0"/>
      <w:marBottom w:val="0"/>
      <w:divBdr>
        <w:top w:val="none" w:sz="0" w:space="0" w:color="auto"/>
        <w:left w:val="none" w:sz="0" w:space="0" w:color="auto"/>
        <w:bottom w:val="none" w:sz="0" w:space="0" w:color="auto"/>
        <w:right w:val="none" w:sz="0" w:space="0" w:color="auto"/>
      </w:divBdr>
    </w:div>
    <w:div w:id="1081606552">
      <w:bodyDiv w:val="1"/>
      <w:marLeft w:val="0"/>
      <w:marRight w:val="0"/>
      <w:marTop w:val="0"/>
      <w:marBottom w:val="0"/>
      <w:divBdr>
        <w:top w:val="none" w:sz="0" w:space="0" w:color="auto"/>
        <w:left w:val="none" w:sz="0" w:space="0" w:color="auto"/>
        <w:bottom w:val="none" w:sz="0" w:space="0" w:color="auto"/>
        <w:right w:val="none" w:sz="0" w:space="0" w:color="auto"/>
      </w:divBdr>
    </w:div>
    <w:div w:id="1094210395">
      <w:bodyDiv w:val="1"/>
      <w:marLeft w:val="0"/>
      <w:marRight w:val="0"/>
      <w:marTop w:val="0"/>
      <w:marBottom w:val="0"/>
      <w:divBdr>
        <w:top w:val="none" w:sz="0" w:space="0" w:color="auto"/>
        <w:left w:val="none" w:sz="0" w:space="0" w:color="auto"/>
        <w:bottom w:val="none" w:sz="0" w:space="0" w:color="auto"/>
        <w:right w:val="none" w:sz="0" w:space="0" w:color="auto"/>
      </w:divBdr>
    </w:div>
    <w:div w:id="1389381332">
      <w:bodyDiv w:val="1"/>
      <w:marLeft w:val="0"/>
      <w:marRight w:val="0"/>
      <w:marTop w:val="0"/>
      <w:marBottom w:val="0"/>
      <w:divBdr>
        <w:top w:val="none" w:sz="0" w:space="0" w:color="auto"/>
        <w:left w:val="none" w:sz="0" w:space="0" w:color="auto"/>
        <w:bottom w:val="none" w:sz="0" w:space="0" w:color="auto"/>
        <w:right w:val="none" w:sz="0" w:space="0" w:color="auto"/>
      </w:divBdr>
    </w:div>
    <w:div w:id="1398699504">
      <w:bodyDiv w:val="1"/>
      <w:marLeft w:val="0"/>
      <w:marRight w:val="0"/>
      <w:marTop w:val="0"/>
      <w:marBottom w:val="0"/>
      <w:divBdr>
        <w:top w:val="none" w:sz="0" w:space="0" w:color="auto"/>
        <w:left w:val="none" w:sz="0" w:space="0" w:color="auto"/>
        <w:bottom w:val="none" w:sz="0" w:space="0" w:color="auto"/>
        <w:right w:val="none" w:sz="0" w:space="0" w:color="auto"/>
      </w:divBdr>
    </w:div>
    <w:div w:id="1556547436">
      <w:bodyDiv w:val="1"/>
      <w:marLeft w:val="0"/>
      <w:marRight w:val="0"/>
      <w:marTop w:val="0"/>
      <w:marBottom w:val="0"/>
      <w:divBdr>
        <w:top w:val="none" w:sz="0" w:space="0" w:color="auto"/>
        <w:left w:val="none" w:sz="0" w:space="0" w:color="auto"/>
        <w:bottom w:val="none" w:sz="0" w:space="0" w:color="auto"/>
        <w:right w:val="none" w:sz="0" w:space="0" w:color="auto"/>
      </w:divBdr>
    </w:div>
    <w:div w:id="1706518678">
      <w:bodyDiv w:val="1"/>
      <w:marLeft w:val="0"/>
      <w:marRight w:val="0"/>
      <w:marTop w:val="0"/>
      <w:marBottom w:val="0"/>
      <w:divBdr>
        <w:top w:val="none" w:sz="0" w:space="0" w:color="auto"/>
        <w:left w:val="none" w:sz="0" w:space="0" w:color="auto"/>
        <w:bottom w:val="none" w:sz="0" w:space="0" w:color="auto"/>
        <w:right w:val="none" w:sz="0" w:space="0" w:color="auto"/>
      </w:divBdr>
      <w:divsChild>
        <w:div w:id="2089496267">
          <w:marLeft w:val="0"/>
          <w:marRight w:val="0"/>
          <w:marTop w:val="0"/>
          <w:marBottom w:val="0"/>
          <w:divBdr>
            <w:top w:val="none" w:sz="0" w:space="0" w:color="auto"/>
            <w:left w:val="none" w:sz="0" w:space="0" w:color="auto"/>
            <w:bottom w:val="none" w:sz="0" w:space="0" w:color="auto"/>
            <w:right w:val="none" w:sz="0" w:space="0" w:color="auto"/>
          </w:divBdr>
          <w:divsChild>
            <w:div w:id="1076780232">
              <w:marLeft w:val="0"/>
              <w:marRight w:val="0"/>
              <w:marTop w:val="0"/>
              <w:marBottom w:val="0"/>
              <w:divBdr>
                <w:top w:val="none" w:sz="0" w:space="0" w:color="auto"/>
                <w:left w:val="none" w:sz="0" w:space="0" w:color="auto"/>
                <w:bottom w:val="none" w:sz="0" w:space="0" w:color="auto"/>
                <w:right w:val="none" w:sz="0" w:space="0" w:color="auto"/>
              </w:divBdr>
              <w:divsChild>
                <w:div w:id="508912795">
                  <w:marLeft w:val="0"/>
                  <w:marRight w:val="0"/>
                  <w:marTop w:val="0"/>
                  <w:marBottom w:val="0"/>
                  <w:divBdr>
                    <w:top w:val="none" w:sz="0" w:space="0" w:color="auto"/>
                    <w:left w:val="none" w:sz="0" w:space="0" w:color="auto"/>
                    <w:bottom w:val="none" w:sz="0" w:space="0" w:color="auto"/>
                    <w:right w:val="none" w:sz="0" w:space="0" w:color="auto"/>
                  </w:divBdr>
                  <w:divsChild>
                    <w:div w:id="1349140312">
                      <w:marLeft w:val="0"/>
                      <w:marRight w:val="0"/>
                      <w:marTop w:val="0"/>
                      <w:marBottom w:val="0"/>
                      <w:divBdr>
                        <w:top w:val="none" w:sz="0" w:space="0" w:color="auto"/>
                        <w:left w:val="none" w:sz="0" w:space="0" w:color="auto"/>
                        <w:bottom w:val="none" w:sz="0" w:space="0" w:color="auto"/>
                        <w:right w:val="none" w:sz="0" w:space="0" w:color="auto"/>
                      </w:divBdr>
                      <w:divsChild>
                        <w:div w:id="167446811">
                          <w:marLeft w:val="0"/>
                          <w:marRight w:val="0"/>
                          <w:marTop w:val="0"/>
                          <w:marBottom w:val="0"/>
                          <w:divBdr>
                            <w:top w:val="none" w:sz="0" w:space="0" w:color="auto"/>
                            <w:left w:val="none" w:sz="0" w:space="0" w:color="auto"/>
                            <w:bottom w:val="none" w:sz="0" w:space="0" w:color="auto"/>
                            <w:right w:val="none" w:sz="0" w:space="0" w:color="auto"/>
                          </w:divBdr>
                          <w:divsChild>
                            <w:div w:id="954365573">
                              <w:marLeft w:val="0"/>
                              <w:marRight w:val="0"/>
                              <w:marTop w:val="0"/>
                              <w:marBottom w:val="0"/>
                              <w:divBdr>
                                <w:top w:val="none" w:sz="0" w:space="0" w:color="auto"/>
                                <w:left w:val="none" w:sz="0" w:space="0" w:color="auto"/>
                                <w:bottom w:val="none" w:sz="0" w:space="0" w:color="auto"/>
                                <w:right w:val="none" w:sz="0" w:space="0" w:color="auto"/>
                              </w:divBdr>
                              <w:divsChild>
                                <w:div w:id="597371878">
                                  <w:marLeft w:val="0"/>
                                  <w:marRight w:val="0"/>
                                  <w:marTop w:val="0"/>
                                  <w:marBottom w:val="0"/>
                                  <w:divBdr>
                                    <w:top w:val="none" w:sz="0" w:space="0" w:color="auto"/>
                                    <w:left w:val="none" w:sz="0" w:space="0" w:color="auto"/>
                                    <w:bottom w:val="none" w:sz="0" w:space="0" w:color="auto"/>
                                    <w:right w:val="none" w:sz="0" w:space="0" w:color="auto"/>
                                  </w:divBdr>
                                  <w:divsChild>
                                    <w:div w:id="669523073">
                                      <w:marLeft w:val="0"/>
                                      <w:marRight w:val="0"/>
                                      <w:marTop w:val="0"/>
                                      <w:marBottom w:val="0"/>
                                      <w:divBdr>
                                        <w:top w:val="none" w:sz="0" w:space="0" w:color="auto"/>
                                        <w:left w:val="none" w:sz="0" w:space="0" w:color="auto"/>
                                        <w:bottom w:val="none" w:sz="0" w:space="0" w:color="auto"/>
                                        <w:right w:val="none" w:sz="0" w:space="0" w:color="auto"/>
                                      </w:divBdr>
                                      <w:divsChild>
                                        <w:div w:id="1268809566">
                                          <w:marLeft w:val="0"/>
                                          <w:marRight w:val="0"/>
                                          <w:marTop w:val="0"/>
                                          <w:marBottom w:val="0"/>
                                          <w:divBdr>
                                            <w:top w:val="none" w:sz="0" w:space="0" w:color="auto"/>
                                            <w:left w:val="none" w:sz="0" w:space="0" w:color="auto"/>
                                            <w:bottom w:val="none" w:sz="0" w:space="0" w:color="auto"/>
                                            <w:right w:val="none" w:sz="0" w:space="0" w:color="auto"/>
                                          </w:divBdr>
                                          <w:divsChild>
                                            <w:div w:id="1352494890">
                                              <w:marLeft w:val="0"/>
                                              <w:marRight w:val="0"/>
                                              <w:marTop w:val="0"/>
                                              <w:marBottom w:val="0"/>
                                              <w:divBdr>
                                                <w:top w:val="none" w:sz="0" w:space="0" w:color="auto"/>
                                                <w:left w:val="none" w:sz="0" w:space="0" w:color="auto"/>
                                                <w:bottom w:val="none" w:sz="0" w:space="0" w:color="auto"/>
                                                <w:right w:val="none" w:sz="0" w:space="0" w:color="auto"/>
                                              </w:divBdr>
                                              <w:divsChild>
                                                <w:div w:id="1694571480">
                                                  <w:marLeft w:val="0"/>
                                                  <w:marRight w:val="0"/>
                                                  <w:marTop w:val="0"/>
                                                  <w:marBottom w:val="0"/>
                                                  <w:divBdr>
                                                    <w:top w:val="none" w:sz="0" w:space="0" w:color="auto"/>
                                                    <w:left w:val="none" w:sz="0" w:space="0" w:color="auto"/>
                                                    <w:bottom w:val="none" w:sz="0" w:space="0" w:color="auto"/>
                                                    <w:right w:val="none" w:sz="0" w:space="0" w:color="auto"/>
                                                  </w:divBdr>
                                                  <w:divsChild>
                                                    <w:div w:id="100297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438768">
                                          <w:marLeft w:val="0"/>
                                          <w:marRight w:val="0"/>
                                          <w:marTop w:val="0"/>
                                          <w:marBottom w:val="0"/>
                                          <w:divBdr>
                                            <w:top w:val="none" w:sz="0" w:space="0" w:color="auto"/>
                                            <w:left w:val="none" w:sz="0" w:space="0" w:color="auto"/>
                                            <w:bottom w:val="none" w:sz="0" w:space="0" w:color="auto"/>
                                            <w:right w:val="none" w:sz="0" w:space="0" w:color="auto"/>
                                          </w:divBdr>
                                          <w:divsChild>
                                            <w:div w:id="817571022">
                                              <w:marLeft w:val="0"/>
                                              <w:marRight w:val="0"/>
                                              <w:marTop w:val="0"/>
                                              <w:marBottom w:val="0"/>
                                              <w:divBdr>
                                                <w:top w:val="none" w:sz="0" w:space="0" w:color="auto"/>
                                                <w:left w:val="none" w:sz="0" w:space="0" w:color="auto"/>
                                                <w:bottom w:val="none" w:sz="0" w:space="0" w:color="auto"/>
                                                <w:right w:val="none" w:sz="0" w:space="0" w:color="auto"/>
                                              </w:divBdr>
                                              <w:divsChild>
                                                <w:div w:id="287399260">
                                                  <w:marLeft w:val="0"/>
                                                  <w:marRight w:val="0"/>
                                                  <w:marTop w:val="0"/>
                                                  <w:marBottom w:val="0"/>
                                                  <w:divBdr>
                                                    <w:top w:val="none" w:sz="0" w:space="0" w:color="auto"/>
                                                    <w:left w:val="none" w:sz="0" w:space="0" w:color="auto"/>
                                                    <w:bottom w:val="none" w:sz="0" w:space="0" w:color="auto"/>
                                                    <w:right w:val="none" w:sz="0" w:space="0" w:color="auto"/>
                                                  </w:divBdr>
                                                  <w:divsChild>
                                                    <w:div w:id="1493521261">
                                                      <w:marLeft w:val="0"/>
                                                      <w:marRight w:val="0"/>
                                                      <w:marTop w:val="0"/>
                                                      <w:marBottom w:val="0"/>
                                                      <w:divBdr>
                                                        <w:top w:val="none" w:sz="0" w:space="0" w:color="auto"/>
                                                        <w:left w:val="none" w:sz="0" w:space="0" w:color="auto"/>
                                                        <w:bottom w:val="none" w:sz="0" w:space="0" w:color="auto"/>
                                                        <w:right w:val="none" w:sz="0" w:space="0" w:color="auto"/>
                                                      </w:divBdr>
                                                      <w:divsChild>
                                                        <w:div w:id="147896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6191832">
                                      <w:marLeft w:val="0"/>
                                      <w:marRight w:val="0"/>
                                      <w:marTop w:val="0"/>
                                      <w:marBottom w:val="0"/>
                                      <w:divBdr>
                                        <w:top w:val="none" w:sz="0" w:space="0" w:color="auto"/>
                                        <w:left w:val="none" w:sz="0" w:space="0" w:color="auto"/>
                                        <w:bottom w:val="none" w:sz="0" w:space="0" w:color="auto"/>
                                        <w:right w:val="none" w:sz="0" w:space="0" w:color="auto"/>
                                      </w:divBdr>
                                      <w:divsChild>
                                        <w:div w:id="15954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6638886">
          <w:marLeft w:val="0"/>
          <w:marRight w:val="0"/>
          <w:marTop w:val="0"/>
          <w:marBottom w:val="0"/>
          <w:divBdr>
            <w:top w:val="none" w:sz="0" w:space="0" w:color="auto"/>
            <w:left w:val="none" w:sz="0" w:space="0" w:color="auto"/>
            <w:bottom w:val="none" w:sz="0" w:space="0" w:color="auto"/>
            <w:right w:val="none" w:sz="0" w:space="0" w:color="auto"/>
          </w:divBdr>
          <w:divsChild>
            <w:div w:id="1690064538">
              <w:marLeft w:val="0"/>
              <w:marRight w:val="0"/>
              <w:marTop w:val="0"/>
              <w:marBottom w:val="0"/>
              <w:divBdr>
                <w:top w:val="none" w:sz="0" w:space="0" w:color="auto"/>
                <w:left w:val="none" w:sz="0" w:space="0" w:color="auto"/>
                <w:bottom w:val="none" w:sz="0" w:space="0" w:color="auto"/>
                <w:right w:val="none" w:sz="0" w:space="0" w:color="auto"/>
              </w:divBdr>
              <w:divsChild>
                <w:div w:id="43144330">
                  <w:marLeft w:val="0"/>
                  <w:marRight w:val="0"/>
                  <w:marTop w:val="0"/>
                  <w:marBottom w:val="0"/>
                  <w:divBdr>
                    <w:top w:val="none" w:sz="0" w:space="0" w:color="auto"/>
                    <w:left w:val="none" w:sz="0" w:space="0" w:color="auto"/>
                    <w:bottom w:val="none" w:sz="0" w:space="0" w:color="auto"/>
                    <w:right w:val="none" w:sz="0" w:space="0" w:color="auto"/>
                  </w:divBdr>
                  <w:divsChild>
                    <w:div w:id="2121486799">
                      <w:marLeft w:val="0"/>
                      <w:marRight w:val="0"/>
                      <w:marTop w:val="0"/>
                      <w:marBottom w:val="0"/>
                      <w:divBdr>
                        <w:top w:val="none" w:sz="0" w:space="0" w:color="auto"/>
                        <w:left w:val="none" w:sz="0" w:space="0" w:color="auto"/>
                        <w:bottom w:val="none" w:sz="0" w:space="0" w:color="auto"/>
                        <w:right w:val="none" w:sz="0" w:space="0" w:color="auto"/>
                      </w:divBdr>
                      <w:divsChild>
                        <w:div w:id="129983668">
                          <w:marLeft w:val="0"/>
                          <w:marRight w:val="0"/>
                          <w:marTop w:val="0"/>
                          <w:marBottom w:val="0"/>
                          <w:divBdr>
                            <w:top w:val="none" w:sz="0" w:space="0" w:color="auto"/>
                            <w:left w:val="none" w:sz="0" w:space="0" w:color="auto"/>
                            <w:bottom w:val="none" w:sz="0" w:space="0" w:color="auto"/>
                            <w:right w:val="none" w:sz="0" w:space="0" w:color="auto"/>
                          </w:divBdr>
                          <w:divsChild>
                            <w:div w:id="212428854">
                              <w:marLeft w:val="0"/>
                              <w:marRight w:val="0"/>
                              <w:marTop w:val="0"/>
                              <w:marBottom w:val="0"/>
                              <w:divBdr>
                                <w:top w:val="none" w:sz="0" w:space="0" w:color="auto"/>
                                <w:left w:val="none" w:sz="0" w:space="0" w:color="auto"/>
                                <w:bottom w:val="none" w:sz="0" w:space="0" w:color="auto"/>
                                <w:right w:val="none" w:sz="0" w:space="0" w:color="auto"/>
                              </w:divBdr>
                              <w:divsChild>
                                <w:div w:id="1020474786">
                                  <w:marLeft w:val="0"/>
                                  <w:marRight w:val="0"/>
                                  <w:marTop w:val="0"/>
                                  <w:marBottom w:val="0"/>
                                  <w:divBdr>
                                    <w:top w:val="none" w:sz="0" w:space="0" w:color="auto"/>
                                    <w:left w:val="none" w:sz="0" w:space="0" w:color="auto"/>
                                    <w:bottom w:val="none" w:sz="0" w:space="0" w:color="auto"/>
                                    <w:right w:val="none" w:sz="0" w:space="0" w:color="auto"/>
                                  </w:divBdr>
                                  <w:divsChild>
                                    <w:div w:id="1930382960">
                                      <w:marLeft w:val="0"/>
                                      <w:marRight w:val="0"/>
                                      <w:marTop w:val="0"/>
                                      <w:marBottom w:val="0"/>
                                      <w:divBdr>
                                        <w:top w:val="none" w:sz="0" w:space="0" w:color="auto"/>
                                        <w:left w:val="none" w:sz="0" w:space="0" w:color="auto"/>
                                        <w:bottom w:val="none" w:sz="0" w:space="0" w:color="auto"/>
                                        <w:right w:val="none" w:sz="0" w:space="0" w:color="auto"/>
                                      </w:divBdr>
                                      <w:divsChild>
                                        <w:div w:id="1880436362">
                                          <w:marLeft w:val="0"/>
                                          <w:marRight w:val="0"/>
                                          <w:marTop w:val="0"/>
                                          <w:marBottom w:val="0"/>
                                          <w:divBdr>
                                            <w:top w:val="none" w:sz="0" w:space="0" w:color="auto"/>
                                            <w:left w:val="none" w:sz="0" w:space="0" w:color="auto"/>
                                            <w:bottom w:val="none" w:sz="0" w:space="0" w:color="auto"/>
                                            <w:right w:val="none" w:sz="0" w:space="0" w:color="auto"/>
                                          </w:divBdr>
                                          <w:divsChild>
                                            <w:div w:id="1578788514">
                                              <w:marLeft w:val="0"/>
                                              <w:marRight w:val="0"/>
                                              <w:marTop w:val="0"/>
                                              <w:marBottom w:val="0"/>
                                              <w:divBdr>
                                                <w:top w:val="none" w:sz="0" w:space="0" w:color="auto"/>
                                                <w:left w:val="none" w:sz="0" w:space="0" w:color="auto"/>
                                                <w:bottom w:val="none" w:sz="0" w:space="0" w:color="auto"/>
                                                <w:right w:val="none" w:sz="0" w:space="0" w:color="auto"/>
                                              </w:divBdr>
                                              <w:divsChild>
                                                <w:div w:id="1920360073">
                                                  <w:marLeft w:val="0"/>
                                                  <w:marRight w:val="0"/>
                                                  <w:marTop w:val="0"/>
                                                  <w:marBottom w:val="0"/>
                                                  <w:divBdr>
                                                    <w:top w:val="none" w:sz="0" w:space="0" w:color="auto"/>
                                                    <w:left w:val="none" w:sz="0" w:space="0" w:color="auto"/>
                                                    <w:bottom w:val="none" w:sz="0" w:space="0" w:color="auto"/>
                                                    <w:right w:val="none" w:sz="0" w:space="0" w:color="auto"/>
                                                  </w:divBdr>
                                                  <w:divsChild>
                                                    <w:div w:id="1887831247">
                                                      <w:marLeft w:val="0"/>
                                                      <w:marRight w:val="0"/>
                                                      <w:marTop w:val="0"/>
                                                      <w:marBottom w:val="0"/>
                                                      <w:divBdr>
                                                        <w:top w:val="none" w:sz="0" w:space="0" w:color="auto"/>
                                                        <w:left w:val="none" w:sz="0" w:space="0" w:color="auto"/>
                                                        <w:bottom w:val="none" w:sz="0" w:space="0" w:color="auto"/>
                                                        <w:right w:val="none" w:sz="0" w:space="0" w:color="auto"/>
                                                      </w:divBdr>
                                                      <w:divsChild>
                                                        <w:div w:id="268702801">
                                                          <w:marLeft w:val="0"/>
                                                          <w:marRight w:val="0"/>
                                                          <w:marTop w:val="0"/>
                                                          <w:marBottom w:val="0"/>
                                                          <w:divBdr>
                                                            <w:top w:val="none" w:sz="0" w:space="0" w:color="auto"/>
                                                            <w:left w:val="none" w:sz="0" w:space="0" w:color="auto"/>
                                                            <w:bottom w:val="none" w:sz="0" w:space="0" w:color="auto"/>
                                                            <w:right w:val="none" w:sz="0" w:space="0" w:color="auto"/>
                                                          </w:divBdr>
                                                          <w:divsChild>
                                                            <w:div w:id="1010715920">
                                                              <w:marLeft w:val="0"/>
                                                              <w:marRight w:val="0"/>
                                                              <w:marTop w:val="0"/>
                                                              <w:marBottom w:val="0"/>
                                                              <w:divBdr>
                                                                <w:top w:val="none" w:sz="0" w:space="0" w:color="auto"/>
                                                                <w:left w:val="none" w:sz="0" w:space="0" w:color="auto"/>
                                                                <w:bottom w:val="none" w:sz="0" w:space="0" w:color="auto"/>
                                                                <w:right w:val="none" w:sz="0" w:space="0" w:color="auto"/>
                                                              </w:divBdr>
                                                              <w:divsChild>
                                                                <w:div w:id="101253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4450351">
      <w:bodyDiv w:val="1"/>
      <w:marLeft w:val="0"/>
      <w:marRight w:val="0"/>
      <w:marTop w:val="0"/>
      <w:marBottom w:val="0"/>
      <w:divBdr>
        <w:top w:val="none" w:sz="0" w:space="0" w:color="auto"/>
        <w:left w:val="none" w:sz="0" w:space="0" w:color="auto"/>
        <w:bottom w:val="none" w:sz="0" w:space="0" w:color="auto"/>
        <w:right w:val="none" w:sz="0" w:space="0" w:color="auto"/>
      </w:divBdr>
      <w:divsChild>
        <w:div w:id="310525302">
          <w:marLeft w:val="0"/>
          <w:marRight w:val="0"/>
          <w:marTop w:val="0"/>
          <w:marBottom w:val="0"/>
          <w:divBdr>
            <w:top w:val="none" w:sz="0" w:space="0" w:color="auto"/>
            <w:left w:val="none" w:sz="0" w:space="0" w:color="auto"/>
            <w:bottom w:val="none" w:sz="0" w:space="0" w:color="auto"/>
            <w:right w:val="none" w:sz="0" w:space="0" w:color="auto"/>
          </w:divBdr>
          <w:divsChild>
            <w:div w:id="1962372040">
              <w:marLeft w:val="0"/>
              <w:marRight w:val="0"/>
              <w:marTop w:val="0"/>
              <w:marBottom w:val="0"/>
              <w:divBdr>
                <w:top w:val="none" w:sz="0" w:space="0" w:color="auto"/>
                <w:left w:val="none" w:sz="0" w:space="0" w:color="auto"/>
                <w:bottom w:val="none" w:sz="0" w:space="0" w:color="auto"/>
                <w:right w:val="none" w:sz="0" w:space="0" w:color="auto"/>
              </w:divBdr>
              <w:divsChild>
                <w:div w:id="365447163">
                  <w:marLeft w:val="0"/>
                  <w:marRight w:val="0"/>
                  <w:marTop w:val="0"/>
                  <w:marBottom w:val="0"/>
                  <w:divBdr>
                    <w:top w:val="none" w:sz="0" w:space="0" w:color="auto"/>
                    <w:left w:val="none" w:sz="0" w:space="0" w:color="auto"/>
                    <w:bottom w:val="none" w:sz="0" w:space="0" w:color="auto"/>
                    <w:right w:val="none" w:sz="0" w:space="0" w:color="auto"/>
                  </w:divBdr>
                  <w:divsChild>
                    <w:div w:id="452674141">
                      <w:marLeft w:val="0"/>
                      <w:marRight w:val="0"/>
                      <w:marTop w:val="0"/>
                      <w:marBottom w:val="0"/>
                      <w:divBdr>
                        <w:top w:val="none" w:sz="0" w:space="0" w:color="auto"/>
                        <w:left w:val="none" w:sz="0" w:space="0" w:color="auto"/>
                        <w:bottom w:val="none" w:sz="0" w:space="0" w:color="auto"/>
                        <w:right w:val="none" w:sz="0" w:space="0" w:color="auto"/>
                      </w:divBdr>
                      <w:divsChild>
                        <w:div w:id="1181896320">
                          <w:marLeft w:val="0"/>
                          <w:marRight w:val="0"/>
                          <w:marTop w:val="0"/>
                          <w:marBottom w:val="0"/>
                          <w:divBdr>
                            <w:top w:val="none" w:sz="0" w:space="0" w:color="auto"/>
                            <w:left w:val="none" w:sz="0" w:space="0" w:color="auto"/>
                            <w:bottom w:val="none" w:sz="0" w:space="0" w:color="auto"/>
                            <w:right w:val="none" w:sz="0" w:space="0" w:color="auto"/>
                          </w:divBdr>
                          <w:divsChild>
                            <w:div w:id="784927670">
                              <w:marLeft w:val="0"/>
                              <w:marRight w:val="0"/>
                              <w:marTop w:val="0"/>
                              <w:marBottom w:val="0"/>
                              <w:divBdr>
                                <w:top w:val="none" w:sz="0" w:space="0" w:color="auto"/>
                                <w:left w:val="none" w:sz="0" w:space="0" w:color="auto"/>
                                <w:bottom w:val="none" w:sz="0" w:space="0" w:color="auto"/>
                                <w:right w:val="none" w:sz="0" w:space="0" w:color="auto"/>
                              </w:divBdr>
                              <w:divsChild>
                                <w:div w:id="1823161820">
                                  <w:marLeft w:val="0"/>
                                  <w:marRight w:val="0"/>
                                  <w:marTop w:val="0"/>
                                  <w:marBottom w:val="0"/>
                                  <w:divBdr>
                                    <w:top w:val="none" w:sz="0" w:space="0" w:color="auto"/>
                                    <w:left w:val="none" w:sz="0" w:space="0" w:color="auto"/>
                                    <w:bottom w:val="none" w:sz="0" w:space="0" w:color="auto"/>
                                    <w:right w:val="none" w:sz="0" w:space="0" w:color="auto"/>
                                  </w:divBdr>
                                  <w:divsChild>
                                    <w:div w:id="799421400">
                                      <w:marLeft w:val="0"/>
                                      <w:marRight w:val="0"/>
                                      <w:marTop w:val="0"/>
                                      <w:marBottom w:val="0"/>
                                      <w:divBdr>
                                        <w:top w:val="none" w:sz="0" w:space="0" w:color="auto"/>
                                        <w:left w:val="none" w:sz="0" w:space="0" w:color="auto"/>
                                        <w:bottom w:val="none" w:sz="0" w:space="0" w:color="auto"/>
                                        <w:right w:val="none" w:sz="0" w:space="0" w:color="auto"/>
                                      </w:divBdr>
                                      <w:divsChild>
                                        <w:div w:id="982275953">
                                          <w:marLeft w:val="0"/>
                                          <w:marRight w:val="0"/>
                                          <w:marTop w:val="0"/>
                                          <w:marBottom w:val="0"/>
                                          <w:divBdr>
                                            <w:top w:val="none" w:sz="0" w:space="0" w:color="auto"/>
                                            <w:left w:val="none" w:sz="0" w:space="0" w:color="auto"/>
                                            <w:bottom w:val="none" w:sz="0" w:space="0" w:color="auto"/>
                                            <w:right w:val="none" w:sz="0" w:space="0" w:color="auto"/>
                                          </w:divBdr>
                                          <w:divsChild>
                                            <w:div w:id="1213619805">
                                              <w:marLeft w:val="0"/>
                                              <w:marRight w:val="0"/>
                                              <w:marTop w:val="0"/>
                                              <w:marBottom w:val="0"/>
                                              <w:divBdr>
                                                <w:top w:val="none" w:sz="0" w:space="0" w:color="auto"/>
                                                <w:left w:val="none" w:sz="0" w:space="0" w:color="auto"/>
                                                <w:bottom w:val="none" w:sz="0" w:space="0" w:color="auto"/>
                                                <w:right w:val="none" w:sz="0" w:space="0" w:color="auto"/>
                                              </w:divBdr>
                                              <w:divsChild>
                                                <w:div w:id="442724565">
                                                  <w:marLeft w:val="0"/>
                                                  <w:marRight w:val="0"/>
                                                  <w:marTop w:val="0"/>
                                                  <w:marBottom w:val="0"/>
                                                  <w:divBdr>
                                                    <w:top w:val="none" w:sz="0" w:space="0" w:color="auto"/>
                                                    <w:left w:val="none" w:sz="0" w:space="0" w:color="auto"/>
                                                    <w:bottom w:val="none" w:sz="0" w:space="0" w:color="auto"/>
                                                    <w:right w:val="none" w:sz="0" w:space="0" w:color="auto"/>
                                                  </w:divBdr>
                                                  <w:divsChild>
                                                    <w:div w:id="166049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327835">
                                      <w:marLeft w:val="0"/>
                                      <w:marRight w:val="0"/>
                                      <w:marTop w:val="0"/>
                                      <w:marBottom w:val="0"/>
                                      <w:divBdr>
                                        <w:top w:val="none" w:sz="0" w:space="0" w:color="auto"/>
                                        <w:left w:val="none" w:sz="0" w:space="0" w:color="auto"/>
                                        <w:bottom w:val="none" w:sz="0" w:space="0" w:color="auto"/>
                                        <w:right w:val="none" w:sz="0" w:space="0" w:color="auto"/>
                                      </w:divBdr>
                                      <w:divsChild>
                                        <w:div w:id="8199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3246575">
          <w:marLeft w:val="0"/>
          <w:marRight w:val="0"/>
          <w:marTop w:val="0"/>
          <w:marBottom w:val="0"/>
          <w:divBdr>
            <w:top w:val="none" w:sz="0" w:space="0" w:color="auto"/>
            <w:left w:val="none" w:sz="0" w:space="0" w:color="auto"/>
            <w:bottom w:val="none" w:sz="0" w:space="0" w:color="auto"/>
            <w:right w:val="none" w:sz="0" w:space="0" w:color="auto"/>
          </w:divBdr>
          <w:divsChild>
            <w:div w:id="250430571">
              <w:marLeft w:val="0"/>
              <w:marRight w:val="0"/>
              <w:marTop w:val="0"/>
              <w:marBottom w:val="0"/>
              <w:divBdr>
                <w:top w:val="none" w:sz="0" w:space="0" w:color="auto"/>
                <w:left w:val="none" w:sz="0" w:space="0" w:color="auto"/>
                <w:bottom w:val="none" w:sz="0" w:space="0" w:color="auto"/>
                <w:right w:val="none" w:sz="0" w:space="0" w:color="auto"/>
              </w:divBdr>
              <w:divsChild>
                <w:div w:id="797646023">
                  <w:marLeft w:val="0"/>
                  <w:marRight w:val="0"/>
                  <w:marTop w:val="0"/>
                  <w:marBottom w:val="0"/>
                  <w:divBdr>
                    <w:top w:val="none" w:sz="0" w:space="0" w:color="auto"/>
                    <w:left w:val="none" w:sz="0" w:space="0" w:color="auto"/>
                    <w:bottom w:val="none" w:sz="0" w:space="0" w:color="auto"/>
                    <w:right w:val="none" w:sz="0" w:space="0" w:color="auto"/>
                  </w:divBdr>
                  <w:divsChild>
                    <w:div w:id="305553623">
                      <w:marLeft w:val="0"/>
                      <w:marRight w:val="0"/>
                      <w:marTop w:val="0"/>
                      <w:marBottom w:val="0"/>
                      <w:divBdr>
                        <w:top w:val="none" w:sz="0" w:space="0" w:color="auto"/>
                        <w:left w:val="none" w:sz="0" w:space="0" w:color="auto"/>
                        <w:bottom w:val="none" w:sz="0" w:space="0" w:color="auto"/>
                        <w:right w:val="none" w:sz="0" w:space="0" w:color="auto"/>
                      </w:divBdr>
                      <w:divsChild>
                        <w:div w:id="488984549">
                          <w:marLeft w:val="0"/>
                          <w:marRight w:val="0"/>
                          <w:marTop w:val="0"/>
                          <w:marBottom w:val="0"/>
                          <w:divBdr>
                            <w:top w:val="none" w:sz="0" w:space="0" w:color="auto"/>
                            <w:left w:val="none" w:sz="0" w:space="0" w:color="auto"/>
                            <w:bottom w:val="none" w:sz="0" w:space="0" w:color="auto"/>
                            <w:right w:val="none" w:sz="0" w:space="0" w:color="auto"/>
                          </w:divBdr>
                          <w:divsChild>
                            <w:div w:id="1309281014">
                              <w:marLeft w:val="0"/>
                              <w:marRight w:val="0"/>
                              <w:marTop w:val="0"/>
                              <w:marBottom w:val="0"/>
                              <w:divBdr>
                                <w:top w:val="none" w:sz="0" w:space="0" w:color="auto"/>
                                <w:left w:val="none" w:sz="0" w:space="0" w:color="auto"/>
                                <w:bottom w:val="none" w:sz="0" w:space="0" w:color="auto"/>
                                <w:right w:val="none" w:sz="0" w:space="0" w:color="auto"/>
                              </w:divBdr>
                              <w:divsChild>
                                <w:div w:id="1812405812">
                                  <w:marLeft w:val="0"/>
                                  <w:marRight w:val="0"/>
                                  <w:marTop w:val="0"/>
                                  <w:marBottom w:val="0"/>
                                  <w:divBdr>
                                    <w:top w:val="none" w:sz="0" w:space="0" w:color="auto"/>
                                    <w:left w:val="none" w:sz="0" w:space="0" w:color="auto"/>
                                    <w:bottom w:val="none" w:sz="0" w:space="0" w:color="auto"/>
                                    <w:right w:val="none" w:sz="0" w:space="0" w:color="auto"/>
                                  </w:divBdr>
                                  <w:divsChild>
                                    <w:div w:id="1291086665">
                                      <w:marLeft w:val="0"/>
                                      <w:marRight w:val="0"/>
                                      <w:marTop w:val="0"/>
                                      <w:marBottom w:val="0"/>
                                      <w:divBdr>
                                        <w:top w:val="none" w:sz="0" w:space="0" w:color="auto"/>
                                        <w:left w:val="none" w:sz="0" w:space="0" w:color="auto"/>
                                        <w:bottom w:val="none" w:sz="0" w:space="0" w:color="auto"/>
                                        <w:right w:val="none" w:sz="0" w:space="0" w:color="auto"/>
                                      </w:divBdr>
                                      <w:divsChild>
                                        <w:div w:id="573783470">
                                          <w:marLeft w:val="0"/>
                                          <w:marRight w:val="0"/>
                                          <w:marTop w:val="0"/>
                                          <w:marBottom w:val="0"/>
                                          <w:divBdr>
                                            <w:top w:val="none" w:sz="0" w:space="0" w:color="auto"/>
                                            <w:left w:val="none" w:sz="0" w:space="0" w:color="auto"/>
                                            <w:bottom w:val="none" w:sz="0" w:space="0" w:color="auto"/>
                                            <w:right w:val="none" w:sz="0" w:space="0" w:color="auto"/>
                                          </w:divBdr>
                                          <w:divsChild>
                                            <w:div w:id="744766422">
                                              <w:marLeft w:val="0"/>
                                              <w:marRight w:val="0"/>
                                              <w:marTop w:val="0"/>
                                              <w:marBottom w:val="0"/>
                                              <w:divBdr>
                                                <w:top w:val="none" w:sz="0" w:space="0" w:color="auto"/>
                                                <w:left w:val="none" w:sz="0" w:space="0" w:color="auto"/>
                                                <w:bottom w:val="none" w:sz="0" w:space="0" w:color="auto"/>
                                                <w:right w:val="none" w:sz="0" w:space="0" w:color="auto"/>
                                              </w:divBdr>
                                              <w:divsChild>
                                                <w:div w:id="1411193205">
                                                  <w:marLeft w:val="0"/>
                                                  <w:marRight w:val="0"/>
                                                  <w:marTop w:val="0"/>
                                                  <w:marBottom w:val="0"/>
                                                  <w:divBdr>
                                                    <w:top w:val="none" w:sz="0" w:space="0" w:color="auto"/>
                                                    <w:left w:val="none" w:sz="0" w:space="0" w:color="auto"/>
                                                    <w:bottom w:val="none" w:sz="0" w:space="0" w:color="auto"/>
                                                    <w:right w:val="none" w:sz="0" w:space="0" w:color="auto"/>
                                                  </w:divBdr>
                                                  <w:divsChild>
                                                    <w:div w:id="1189639936">
                                                      <w:marLeft w:val="0"/>
                                                      <w:marRight w:val="0"/>
                                                      <w:marTop w:val="0"/>
                                                      <w:marBottom w:val="0"/>
                                                      <w:divBdr>
                                                        <w:top w:val="none" w:sz="0" w:space="0" w:color="auto"/>
                                                        <w:left w:val="none" w:sz="0" w:space="0" w:color="auto"/>
                                                        <w:bottom w:val="none" w:sz="0" w:space="0" w:color="auto"/>
                                                        <w:right w:val="none" w:sz="0" w:space="0" w:color="auto"/>
                                                      </w:divBdr>
                                                      <w:divsChild>
                                                        <w:div w:id="1983532980">
                                                          <w:marLeft w:val="0"/>
                                                          <w:marRight w:val="0"/>
                                                          <w:marTop w:val="0"/>
                                                          <w:marBottom w:val="0"/>
                                                          <w:divBdr>
                                                            <w:top w:val="none" w:sz="0" w:space="0" w:color="auto"/>
                                                            <w:left w:val="none" w:sz="0" w:space="0" w:color="auto"/>
                                                            <w:bottom w:val="none" w:sz="0" w:space="0" w:color="auto"/>
                                                            <w:right w:val="none" w:sz="0" w:space="0" w:color="auto"/>
                                                          </w:divBdr>
                                                          <w:divsChild>
                                                            <w:div w:id="1545365401">
                                                              <w:marLeft w:val="0"/>
                                                              <w:marRight w:val="0"/>
                                                              <w:marTop w:val="0"/>
                                                              <w:marBottom w:val="0"/>
                                                              <w:divBdr>
                                                                <w:top w:val="none" w:sz="0" w:space="0" w:color="auto"/>
                                                                <w:left w:val="none" w:sz="0" w:space="0" w:color="auto"/>
                                                                <w:bottom w:val="none" w:sz="0" w:space="0" w:color="auto"/>
                                                                <w:right w:val="none" w:sz="0" w:space="0" w:color="auto"/>
                                                              </w:divBdr>
                                                              <w:divsChild>
                                                                <w:div w:id="8442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65945971">
      <w:bodyDiv w:val="1"/>
      <w:marLeft w:val="0"/>
      <w:marRight w:val="0"/>
      <w:marTop w:val="0"/>
      <w:marBottom w:val="0"/>
      <w:divBdr>
        <w:top w:val="none" w:sz="0" w:space="0" w:color="auto"/>
        <w:left w:val="none" w:sz="0" w:space="0" w:color="auto"/>
        <w:bottom w:val="none" w:sz="0" w:space="0" w:color="auto"/>
        <w:right w:val="none" w:sz="0" w:space="0" w:color="auto"/>
      </w:divBdr>
    </w:div>
    <w:div w:id="1942030974">
      <w:bodyDiv w:val="1"/>
      <w:marLeft w:val="0"/>
      <w:marRight w:val="0"/>
      <w:marTop w:val="0"/>
      <w:marBottom w:val="0"/>
      <w:divBdr>
        <w:top w:val="none" w:sz="0" w:space="0" w:color="auto"/>
        <w:left w:val="none" w:sz="0" w:space="0" w:color="auto"/>
        <w:bottom w:val="none" w:sz="0" w:space="0" w:color="auto"/>
        <w:right w:val="none" w:sz="0" w:space="0" w:color="auto"/>
      </w:divBdr>
    </w:div>
    <w:div w:id="1982348661">
      <w:bodyDiv w:val="1"/>
      <w:marLeft w:val="0"/>
      <w:marRight w:val="0"/>
      <w:marTop w:val="0"/>
      <w:marBottom w:val="0"/>
      <w:divBdr>
        <w:top w:val="none" w:sz="0" w:space="0" w:color="auto"/>
        <w:left w:val="none" w:sz="0" w:space="0" w:color="auto"/>
        <w:bottom w:val="none" w:sz="0" w:space="0" w:color="auto"/>
        <w:right w:val="none" w:sz="0" w:space="0" w:color="auto"/>
      </w:divBdr>
      <w:divsChild>
        <w:div w:id="92821312">
          <w:marLeft w:val="0"/>
          <w:marRight w:val="0"/>
          <w:marTop w:val="0"/>
          <w:marBottom w:val="0"/>
          <w:divBdr>
            <w:top w:val="none" w:sz="0" w:space="0" w:color="auto"/>
            <w:left w:val="none" w:sz="0" w:space="0" w:color="auto"/>
            <w:bottom w:val="none" w:sz="0" w:space="0" w:color="auto"/>
            <w:right w:val="none" w:sz="0" w:space="0" w:color="auto"/>
          </w:divBdr>
          <w:divsChild>
            <w:div w:id="1733000027">
              <w:marLeft w:val="0"/>
              <w:marRight w:val="0"/>
              <w:marTop w:val="0"/>
              <w:marBottom w:val="0"/>
              <w:divBdr>
                <w:top w:val="none" w:sz="0" w:space="0" w:color="auto"/>
                <w:left w:val="none" w:sz="0" w:space="0" w:color="auto"/>
                <w:bottom w:val="none" w:sz="0" w:space="0" w:color="auto"/>
                <w:right w:val="none" w:sz="0" w:space="0" w:color="auto"/>
              </w:divBdr>
              <w:divsChild>
                <w:div w:id="342318072">
                  <w:marLeft w:val="0"/>
                  <w:marRight w:val="0"/>
                  <w:marTop w:val="0"/>
                  <w:marBottom w:val="0"/>
                  <w:divBdr>
                    <w:top w:val="none" w:sz="0" w:space="0" w:color="auto"/>
                    <w:left w:val="none" w:sz="0" w:space="0" w:color="auto"/>
                    <w:bottom w:val="none" w:sz="0" w:space="0" w:color="auto"/>
                    <w:right w:val="none" w:sz="0" w:space="0" w:color="auto"/>
                  </w:divBdr>
                  <w:divsChild>
                    <w:div w:id="372266718">
                      <w:marLeft w:val="0"/>
                      <w:marRight w:val="0"/>
                      <w:marTop w:val="0"/>
                      <w:marBottom w:val="0"/>
                      <w:divBdr>
                        <w:top w:val="none" w:sz="0" w:space="0" w:color="auto"/>
                        <w:left w:val="none" w:sz="0" w:space="0" w:color="auto"/>
                        <w:bottom w:val="none" w:sz="0" w:space="0" w:color="auto"/>
                        <w:right w:val="none" w:sz="0" w:space="0" w:color="auto"/>
                      </w:divBdr>
                      <w:divsChild>
                        <w:div w:id="1773435833">
                          <w:marLeft w:val="0"/>
                          <w:marRight w:val="0"/>
                          <w:marTop w:val="0"/>
                          <w:marBottom w:val="0"/>
                          <w:divBdr>
                            <w:top w:val="none" w:sz="0" w:space="0" w:color="auto"/>
                            <w:left w:val="none" w:sz="0" w:space="0" w:color="auto"/>
                            <w:bottom w:val="none" w:sz="0" w:space="0" w:color="auto"/>
                            <w:right w:val="none" w:sz="0" w:space="0" w:color="auto"/>
                          </w:divBdr>
                          <w:divsChild>
                            <w:div w:id="741365879">
                              <w:marLeft w:val="0"/>
                              <w:marRight w:val="0"/>
                              <w:marTop w:val="0"/>
                              <w:marBottom w:val="0"/>
                              <w:divBdr>
                                <w:top w:val="none" w:sz="0" w:space="0" w:color="auto"/>
                                <w:left w:val="none" w:sz="0" w:space="0" w:color="auto"/>
                                <w:bottom w:val="none" w:sz="0" w:space="0" w:color="auto"/>
                                <w:right w:val="none" w:sz="0" w:space="0" w:color="auto"/>
                              </w:divBdr>
                              <w:divsChild>
                                <w:div w:id="1593271407">
                                  <w:marLeft w:val="0"/>
                                  <w:marRight w:val="0"/>
                                  <w:marTop w:val="0"/>
                                  <w:marBottom w:val="0"/>
                                  <w:divBdr>
                                    <w:top w:val="none" w:sz="0" w:space="0" w:color="auto"/>
                                    <w:left w:val="none" w:sz="0" w:space="0" w:color="auto"/>
                                    <w:bottom w:val="none" w:sz="0" w:space="0" w:color="auto"/>
                                    <w:right w:val="none" w:sz="0" w:space="0" w:color="auto"/>
                                  </w:divBdr>
                                  <w:divsChild>
                                    <w:div w:id="1288774519">
                                      <w:marLeft w:val="0"/>
                                      <w:marRight w:val="0"/>
                                      <w:marTop w:val="0"/>
                                      <w:marBottom w:val="0"/>
                                      <w:divBdr>
                                        <w:top w:val="none" w:sz="0" w:space="0" w:color="auto"/>
                                        <w:left w:val="none" w:sz="0" w:space="0" w:color="auto"/>
                                        <w:bottom w:val="none" w:sz="0" w:space="0" w:color="auto"/>
                                        <w:right w:val="none" w:sz="0" w:space="0" w:color="auto"/>
                                      </w:divBdr>
                                      <w:divsChild>
                                        <w:div w:id="857624166">
                                          <w:marLeft w:val="0"/>
                                          <w:marRight w:val="0"/>
                                          <w:marTop w:val="0"/>
                                          <w:marBottom w:val="0"/>
                                          <w:divBdr>
                                            <w:top w:val="none" w:sz="0" w:space="0" w:color="auto"/>
                                            <w:left w:val="none" w:sz="0" w:space="0" w:color="auto"/>
                                            <w:bottom w:val="none" w:sz="0" w:space="0" w:color="auto"/>
                                            <w:right w:val="none" w:sz="0" w:space="0" w:color="auto"/>
                                          </w:divBdr>
                                          <w:divsChild>
                                            <w:div w:id="2024822057">
                                              <w:marLeft w:val="0"/>
                                              <w:marRight w:val="0"/>
                                              <w:marTop w:val="0"/>
                                              <w:marBottom w:val="0"/>
                                              <w:divBdr>
                                                <w:top w:val="none" w:sz="0" w:space="0" w:color="auto"/>
                                                <w:left w:val="none" w:sz="0" w:space="0" w:color="auto"/>
                                                <w:bottom w:val="none" w:sz="0" w:space="0" w:color="auto"/>
                                                <w:right w:val="none" w:sz="0" w:space="0" w:color="auto"/>
                                              </w:divBdr>
                                              <w:divsChild>
                                                <w:div w:id="1162550173">
                                                  <w:marLeft w:val="0"/>
                                                  <w:marRight w:val="0"/>
                                                  <w:marTop w:val="0"/>
                                                  <w:marBottom w:val="0"/>
                                                  <w:divBdr>
                                                    <w:top w:val="none" w:sz="0" w:space="0" w:color="auto"/>
                                                    <w:left w:val="none" w:sz="0" w:space="0" w:color="auto"/>
                                                    <w:bottom w:val="none" w:sz="0" w:space="0" w:color="auto"/>
                                                    <w:right w:val="none" w:sz="0" w:space="0" w:color="auto"/>
                                                  </w:divBdr>
                                                  <w:divsChild>
                                                    <w:div w:id="13723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795390">
                                      <w:marLeft w:val="0"/>
                                      <w:marRight w:val="0"/>
                                      <w:marTop w:val="0"/>
                                      <w:marBottom w:val="0"/>
                                      <w:divBdr>
                                        <w:top w:val="none" w:sz="0" w:space="0" w:color="auto"/>
                                        <w:left w:val="none" w:sz="0" w:space="0" w:color="auto"/>
                                        <w:bottom w:val="none" w:sz="0" w:space="0" w:color="auto"/>
                                        <w:right w:val="none" w:sz="0" w:space="0" w:color="auto"/>
                                      </w:divBdr>
                                      <w:divsChild>
                                        <w:div w:id="59698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0375119">
          <w:marLeft w:val="0"/>
          <w:marRight w:val="0"/>
          <w:marTop w:val="0"/>
          <w:marBottom w:val="0"/>
          <w:divBdr>
            <w:top w:val="none" w:sz="0" w:space="0" w:color="auto"/>
            <w:left w:val="none" w:sz="0" w:space="0" w:color="auto"/>
            <w:bottom w:val="none" w:sz="0" w:space="0" w:color="auto"/>
            <w:right w:val="none" w:sz="0" w:space="0" w:color="auto"/>
          </w:divBdr>
          <w:divsChild>
            <w:div w:id="1546335631">
              <w:marLeft w:val="0"/>
              <w:marRight w:val="0"/>
              <w:marTop w:val="0"/>
              <w:marBottom w:val="0"/>
              <w:divBdr>
                <w:top w:val="none" w:sz="0" w:space="0" w:color="auto"/>
                <w:left w:val="none" w:sz="0" w:space="0" w:color="auto"/>
                <w:bottom w:val="none" w:sz="0" w:space="0" w:color="auto"/>
                <w:right w:val="none" w:sz="0" w:space="0" w:color="auto"/>
              </w:divBdr>
              <w:divsChild>
                <w:div w:id="215941526">
                  <w:marLeft w:val="0"/>
                  <w:marRight w:val="0"/>
                  <w:marTop w:val="0"/>
                  <w:marBottom w:val="0"/>
                  <w:divBdr>
                    <w:top w:val="none" w:sz="0" w:space="0" w:color="auto"/>
                    <w:left w:val="none" w:sz="0" w:space="0" w:color="auto"/>
                    <w:bottom w:val="none" w:sz="0" w:space="0" w:color="auto"/>
                    <w:right w:val="none" w:sz="0" w:space="0" w:color="auto"/>
                  </w:divBdr>
                  <w:divsChild>
                    <w:div w:id="701713614">
                      <w:marLeft w:val="0"/>
                      <w:marRight w:val="0"/>
                      <w:marTop w:val="0"/>
                      <w:marBottom w:val="0"/>
                      <w:divBdr>
                        <w:top w:val="none" w:sz="0" w:space="0" w:color="auto"/>
                        <w:left w:val="none" w:sz="0" w:space="0" w:color="auto"/>
                        <w:bottom w:val="none" w:sz="0" w:space="0" w:color="auto"/>
                        <w:right w:val="none" w:sz="0" w:space="0" w:color="auto"/>
                      </w:divBdr>
                      <w:divsChild>
                        <w:div w:id="492795139">
                          <w:marLeft w:val="0"/>
                          <w:marRight w:val="0"/>
                          <w:marTop w:val="0"/>
                          <w:marBottom w:val="0"/>
                          <w:divBdr>
                            <w:top w:val="none" w:sz="0" w:space="0" w:color="auto"/>
                            <w:left w:val="none" w:sz="0" w:space="0" w:color="auto"/>
                            <w:bottom w:val="none" w:sz="0" w:space="0" w:color="auto"/>
                            <w:right w:val="none" w:sz="0" w:space="0" w:color="auto"/>
                          </w:divBdr>
                          <w:divsChild>
                            <w:div w:id="1070735189">
                              <w:marLeft w:val="0"/>
                              <w:marRight w:val="0"/>
                              <w:marTop w:val="0"/>
                              <w:marBottom w:val="0"/>
                              <w:divBdr>
                                <w:top w:val="none" w:sz="0" w:space="0" w:color="auto"/>
                                <w:left w:val="none" w:sz="0" w:space="0" w:color="auto"/>
                                <w:bottom w:val="none" w:sz="0" w:space="0" w:color="auto"/>
                                <w:right w:val="none" w:sz="0" w:space="0" w:color="auto"/>
                              </w:divBdr>
                              <w:divsChild>
                                <w:div w:id="2061055662">
                                  <w:marLeft w:val="0"/>
                                  <w:marRight w:val="0"/>
                                  <w:marTop w:val="0"/>
                                  <w:marBottom w:val="0"/>
                                  <w:divBdr>
                                    <w:top w:val="none" w:sz="0" w:space="0" w:color="auto"/>
                                    <w:left w:val="none" w:sz="0" w:space="0" w:color="auto"/>
                                    <w:bottom w:val="none" w:sz="0" w:space="0" w:color="auto"/>
                                    <w:right w:val="none" w:sz="0" w:space="0" w:color="auto"/>
                                  </w:divBdr>
                                  <w:divsChild>
                                    <w:div w:id="1465389704">
                                      <w:marLeft w:val="0"/>
                                      <w:marRight w:val="0"/>
                                      <w:marTop w:val="0"/>
                                      <w:marBottom w:val="0"/>
                                      <w:divBdr>
                                        <w:top w:val="none" w:sz="0" w:space="0" w:color="auto"/>
                                        <w:left w:val="none" w:sz="0" w:space="0" w:color="auto"/>
                                        <w:bottom w:val="none" w:sz="0" w:space="0" w:color="auto"/>
                                        <w:right w:val="none" w:sz="0" w:space="0" w:color="auto"/>
                                      </w:divBdr>
                                      <w:divsChild>
                                        <w:div w:id="1613054005">
                                          <w:marLeft w:val="0"/>
                                          <w:marRight w:val="0"/>
                                          <w:marTop w:val="0"/>
                                          <w:marBottom w:val="0"/>
                                          <w:divBdr>
                                            <w:top w:val="none" w:sz="0" w:space="0" w:color="auto"/>
                                            <w:left w:val="none" w:sz="0" w:space="0" w:color="auto"/>
                                            <w:bottom w:val="none" w:sz="0" w:space="0" w:color="auto"/>
                                            <w:right w:val="none" w:sz="0" w:space="0" w:color="auto"/>
                                          </w:divBdr>
                                          <w:divsChild>
                                            <w:div w:id="313798301">
                                              <w:marLeft w:val="0"/>
                                              <w:marRight w:val="0"/>
                                              <w:marTop w:val="0"/>
                                              <w:marBottom w:val="0"/>
                                              <w:divBdr>
                                                <w:top w:val="none" w:sz="0" w:space="0" w:color="auto"/>
                                                <w:left w:val="none" w:sz="0" w:space="0" w:color="auto"/>
                                                <w:bottom w:val="none" w:sz="0" w:space="0" w:color="auto"/>
                                                <w:right w:val="none" w:sz="0" w:space="0" w:color="auto"/>
                                              </w:divBdr>
                                              <w:divsChild>
                                                <w:div w:id="555163677">
                                                  <w:marLeft w:val="0"/>
                                                  <w:marRight w:val="0"/>
                                                  <w:marTop w:val="0"/>
                                                  <w:marBottom w:val="0"/>
                                                  <w:divBdr>
                                                    <w:top w:val="none" w:sz="0" w:space="0" w:color="auto"/>
                                                    <w:left w:val="none" w:sz="0" w:space="0" w:color="auto"/>
                                                    <w:bottom w:val="none" w:sz="0" w:space="0" w:color="auto"/>
                                                    <w:right w:val="none" w:sz="0" w:space="0" w:color="auto"/>
                                                  </w:divBdr>
                                                  <w:divsChild>
                                                    <w:div w:id="75518422">
                                                      <w:marLeft w:val="0"/>
                                                      <w:marRight w:val="0"/>
                                                      <w:marTop w:val="0"/>
                                                      <w:marBottom w:val="0"/>
                                                      <w:divBdr>
                                                        <w:top w:val="none" w:sz="0" w:space="0" w:color="auto"/>
                                                        <w:left w:val="none" w:sz="0" w:space="0" w:color="auto"/>
                                                        <w:bottom w:val="none" w:sz="0" w:space="0" w:color="auto"/>
                                                        <w:right w:val="none" w:sz="0" w:space="0" w:color="auto"/>
                                                      </w:divBdr>
                                                      <w:divsChild>
                                                        <w:div w:id="1827669629">
                                                          <w:marLeft w:val="0"/>
                                                          <w:marRight w:val="0"/>
                                                          <w:marTop w:val="0"/>
                                                          <w:marBottom w:val="0"/>
                                                          <w:divBdr>
                                                            <w:top w:val="none" w:sz="0" w:space="0" w:color="auto"/>
                                                            <w:left w:val="none" w:sz="0" w:space="0" w:color="auto"/>
                                                            <w:bottom w:val="none" w:sz="0" w:space="0" w:color="auto"/>
                                                            <w:right w:val="none" w:sz="0" w:space="0" w:color="auto"/>
                                                          </w:divBdr>
                                                          <w:divsChild>
                                                            <w:div w:id="1312825833">
                                                              <w:marLeft w:val="0"/>
                                                              <w:marRight w:val="0"/>
                                                              <w:marTop w:val="0"/>
                                                              <w:marBottom w:val="0"/>
                                                              <w:divBdr>
                                                                <w:top w:val="none" w:sz="0" w:space="0" w:color="auto"/>
                                                                <w:left w:val="none" w:sz="0" w:space="0" w:color="auto"/>
                                                                <w:bottom w:val="none" w:sz="0" w:space="0" w:color="auto"/>
                                                                <w:right w:val="none" w:sz="0" w:space="0" w:color="auto"/>
                                                              </w:divBdr>
                                                              <w:divsChild>
                                                                <w:div w:id="153827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86009591">
      <w:bodyDiv w:val="1"/>
      <w:marLeft w:val="0"/>
      <w:marRight w:val="0"/>
      <w:marTop w:val="0"/>
      <w:marBottom w:val="0"/>
      <w:divBdr>
        <w:top w:val="none" w:sz="0" w:space="0" w:color="auto"/>
        <w:left w:val="none" w:sz="0" w:space="0" w:color="auto"/>
        <w:bottom w:val="none" w:sz="0" w:space="0" w:color="auto"/>
        <w:right w:val="none" w:sz="0" w:space="0" w:color="auto"/>
      </w:divBdr>
    </w:div>
    <w:div w:id="2043824190">
      <w:bodyDiv w:val="1"/>
      <w:marLeft w:val="0"/>
      <w:marRight w:val="0"/>
      <w:marTop w:val="0"/>
      <w:marBottom w:val="0"/>
      <w:divBdr>
        <w:top w:val="none" w:sz="0" w:space="0" w:color="auto"/>
        <w:left w:val="none" w:sz="0" w:space="0" w:color="auto"/>
        <w:bottom w:val="none" w:sz="0" w:space="0" w:color="auto"/>
        <w:right w:val="none" w:sz="0" w:space="0" w:color="auto"/>
      </w:divBdr>
    </w:div>
    <w:div w:id="2092382584">
      <w:bodyDiv w:val="1"/>
      <w:marLeft w:val="0"/>
      <w:marRight w:val="0"/>
      <w:marTop w:val="0"/>
      <w:marBottom w:val="0"/>
      <w:divBdr>
        <w:top w:val="none" w:sz="0" w:space="0" w:color="auto"/>
        <w:left w:val="none" w:sz="0" w:space="0" w:color="auto"/>
        <w:bottom w:val="none" w:sz="0" w:space="0" w:color="auto"/>
        <w:right w:val="none" w:sz="0" w:space="0" w:color="auto"/>
      </w:divBdr>
    </w:div>
    <w:div w:id="213367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2" Type="http://schemas.openxmlformats.org/officeDocument/2006/relationships/hyperlink" Target="http://ihchr.iq/upload/upfile/ar/77.pdf" TargetMode="External"/><Relationship Id="rId1" Type="http://schemas.openxmlformats.org/officeDocument/2006/relationships/hyperlink" Target="https://tbinternet.ohchr.org/_layouts/15/TreatyBodyExternal/Countries.aspx?CountryCode=IRQ&amp;Lang=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Submitted toThe United Nations Committee on Enforced Disappearances (Information on the Implementation of Previous Concluding Observations)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5C6132-986F-420D-A375-7F11F31ED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19</Pages>
  <Words>7458</Words>
  <Characters>42516</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Report on the Extent of Iraq’s Compliance with the Provisions of the International Convention for the Protection of All Persons from Enforced Disappearance</vt:lpstr>
    </vt:vector>
  </TitlesOfParts>
  <Company/>
  <LinksUpToDate>false</LinksUpToDate>
  <CharactersWithSpaces>49875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Extent of Iraq’s Compliance with the Provisions of the International Convention for the Protection of All Persons from Enforced Disappearance</dc:title>
  <dc:subject/>
  <dc:creator>hp</dc:creator>
  <cp:keywords/>
  <dc:description/>
  <cp:lastModifiedBy>hp</cp:lastModifiedBy>
  <cp:revision>30</cp:revision>
  <cp:lastPrinted>2025-07-04T19:53:00Z</cp:lastPrinted>
  <dcterms:created xsi:type="dcterms:W3CDTF">2025-06-30T07:44:00Z</dcterms:created>
  <dcterms:modified xsi:type="dcterms:W3CDTF">2025-07-04T19:53:00Z</dcterms:modified>
</cp:coreProperties>
</file>