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0003A" w14:textId="77777777" w:rsidR="008A2E8F" w:rsidRPr="00647B2E" w:rsidRDefault="008A2E8F" w:rsidP="00647B2E">
      <w:pPr>
        <w:jc w:val="center"/>
        <w:rPr>
          <w:rFonts w:asciiTheme="majorBidi" w:hAnsiTheme="majorBidi" w:cstheme="majorBidi"/>
          <w:b/>
          <w:bCs/>
          <w:sz w:val="28"/>
          <w:szCs w:val="28"/>
        </w:rPr>
      </w:pPr>
      <w:bookmarkStart w:id="0" w:name="OLE_LINK130"/>
      <w:bookmarkStart w:id="1" w:name="OLE_LINK129"/>
      <w:r w:rsidRPr="00647B2E">
        <w:rPr>
          <w:rFonts w:asciiTheme="majorBidi" w:hAnsiTheme="majorBidi" w:cstheme="majorBidi"/>
          <w:b/>
          <w:bCs/>
          <w:sz w:val="28"/>
          <w:szCs w:val="28"/>
        </w:rPr>
        <w:t xml:space="preserve">Mandela and </w:t>
      </w:r>
      <w:proofErr w:type="spellStart"/>
      <w:r w:rsidRPr="00647B2E">
        <w:rPr>
          <w:rFonts w:asciiTheme="majorBidi" w:hAnsiTheme="majorBidi" w:cstheme="majorBidi"/>
          <w:b/>
          <w:bCs/>
          <w:sz w:val="28"/>
          <w:szCs w:val="28"/>
        </w:rPr>
        <w:t>Misr</w:t>
      </w:r>
      <w:proofErr w:type="spellEnd"/>
      <w:r w:rsidRPr="00647B2E">
        <w:rPr>
          <w:rFonts w:asciiTheme="majorBidi" w:hAnsiTheme="majorBidi" w:cstheme="majorBidi"/>
          <w:b/>
          <w:bCs/>
          <w:sz w:val="28"/>
          <w:szCs w:val="28"/>
        </w:rPr>
        <w:t xml:space="preserve"> El Salam </w:t>
      </w:r>
      <w:bookmarkEnd w:id="0"/>
      <w:bookmarkEnd w:id="1"/>
      <w:r w:rsidRPr="00647B2E">
        <w:rPr>
          <w:rFonts w:asciiTheme="majorBidi" w:hAnsiTheme="majorBidi" w:cstheme="majorBidi"/>
          <w:b/>
          <w:bCs/>
          <w:sz w:val="28"/>
          <w:szCs w:val="28"/>
        </w:rPr>
        <w:t xml:space="preserve">reports </w:t>
      </w:r>
      <w:r w:rsidR="009D4232" w:rsidRPr="00647B2E">
        <w:rPr>
          <w:rFonts w:asciiTheme="majorBidi" w:hAnsiTheme="majorBidi" w:cstheme="majorBidi"/>
          <w:b/>
          <w:bCs/>
          <w:sz w:val="28"/>
          <w:szCs w:val="28"/>
        </w:rPr>
        <w:t>to</w:t>
      </w:r>
      <w:r w:rsidRPr="00647B2E">
        <w:rPr>
          <w:rFonts w:asciiTheme="majorBidi" w:hAnsiTheme="majorBidi" w:cstheme="majorBidi"/>
          <w:b/>
          <w:bCs/>
          <w:sz w:val="28"/>
          <w:szCs w:val="28"/>
        </w:rPr>
        <w:t xml:space="preserve"> the Committee to Combat All Forms of Discrimination against Women </w:t>
      </w:r>
      <w:r w:rsidR="009D4232" w:rsidRPr="00647B2E">
        <w:rPr>
          <w:rFonts w:asciiTheme="majorBidi" w:hAnsiTheme="majorBidi" w:cstheme="majorBidi"/>
          <w:b/>
          <w:bCs/>
          <w:sz w:val="28"/>
          <w:szCs w:val="28"/>
        </w:rPr>
        <w:t>regarding</w:t>
      </w:r>
      <w:r w:rsidRPr="00647B2E">
        <w:rPr>
          <w:rFonts w:asciiTheme="majorBidi" w:hAnsiTheme="majorBidi" w:cstheme="majorBidi"/>
          <w:b/>
          <w:bCs/>
          <w:sz w:val="28"/>
          <w:szCs w:val="28"/>
        </w:rPr>
        <w:t xml:space="preserve"> Egypt Review</w:t>
      </w:r>
    </w:p>
    <w:p w14:paraId="7F85922C" w14:textId="77777777" w:rsidR="008A2E8F" w:rsidRPr="00647B2E" w:rsidRDefault="008A2E8F" w:rsidP="00647B2E">
      <w:pPr>
        <w:jc w:val="both"/>
        <w:rPr>
          <w:rFonts w:asciiTheme="majorBidi" w:hAnsiTheme="majorBidi" w:cstheme="majorBidi"/>
          <w:b/>
          <w:bCs/>
          <w:color w:val="FFC000" w:themeColor="accent4"/>
          <w:sz w:val="24"/>
          <w:szCs w:val="24"/>
        </w:rPr>
      </w:pPr>
      <w:r w:rsidRPr="00647B2E">
        <w:rPr>
          <w:rFonts w:asciiTheme="majorBidi" w:hAnsiTheme="majorBidi" w:cstheme="majorBidi"/>
          <w:b/>
          <w:bCs/>
          <w:color w:val="FFC000" w:themeColor="accent4"/>
          <w:sz w:val="24"/>
          <w:szCs w:val="24"/>
        </w:rPr>
        <w:t xml:space="preserve">Introduction </w:t>
      </w:r>
    </w:p>
    <w:p w14:paraId="4245B1C6"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Egyptian women's issues constitute an important multi-concern focus, and perhaps women's rights in particular are the most prominent of these concerns, given that all international conventions guarantee and protect these rights. Here, comes the role of international and national organizations concerned with defending human rights in general, and women's rights in particular, to enact legislation, agreements and treaties for ensuring the protection and promotion of women’s rights. Thus, both international and voluntary efforts managed to achieve multiple reforms followed by improving practices and enhancing their rights, so that Egyptian women can achieve notable progress in freedoms and equality.</w:t>
      </w:r>
    </w:p>
    <w:p w14:paraId="06C1C24A"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In recent year, Egypt has exhorted remarkable </w:t>
      </w:r>
      <w:bookmarkStart w:id="2" w:name="OLE_LINK134"/>
      <w:r w:rsidRPr="00647B2E">
        <w:rPr>
          <w:rFonts w:asciiTheme="majorBidi" w:hAnsiTheme="majorBidi" w:cstheme="majorBidi"/>
          <w:sz w:val="24"/>
          <w:szCs w:val="24"/>
        </w:rPr>
        <w:t xml:space="preserve">efforts to enhance the status of the Egyptian women and empower </w:t>
      </w:r>
      <w:bookmarkEnd w:id="2"/>
      <w:r w:rsidRPr="00647B2E">
        <w:rPr>
          <w:rFonts w:asciiTheme="majorBidi" w:hAnsiTheme="majorBidi" w:cstheme="majorBidi"/>
          <w:sz w:val="24"/>
          <w:szCs w:val="24"/>
        </w:rPr>
        <w:t xml:space="preserve">them politically, economically and in social areas. This was proven by declaring 2017 as a year of Egyptian women. Such efforts have led to a noticeable increase in the number of women who have been assigned leadership and political positions in various state institutions. In addition, </w:t>
      </w:r>
      <w:bookmarkStart w:id="3" w:name="OLE_LINK138"/>
      <w:bookmarkStart w:id="4" w:name="OLE_LINK137"/>
      <w:r w:rsidRPr="00647B2E">
        <w:rPr>
          <w:rFonts w:asciiTheme="majorBidi" w:hAnsiTheme="majorBidi" w:cstheme="majorBidi"/>
          <w:sz w:val="24"/>
          <w:szCs w:val="24"/>
        </w:rPr>
        <w:t>Law No. 30 of 2018 on regulating the activities of the National Council for Women (NCW) was signed. The law declared the council’s independence from the President of the Republic and its freedom to make decisions and select its members, and also expanded its competencies to include monitoring the extent of Egypt's commitment to the application of international conventions and charters</w:t>
      </w:r>
      <w:bookmarkEnd w:id="3"/>
      <w:bookmarkEnd w:id="4"/>
      <w:r w:rsidRPr="00647B2E">
        <w:rPr>
          <w:rFonts w:asciiTheme="majorBidi" w:hAnsiTheme="majorBidi" w:cstheme="majorBidi"/>
          <w:sz w:val="24"/>
          <w:szCs w:val="24"/>
        </w:rPr>
        <w:t xml:space="preserve">. </w:t>
      </w:r>
      <w:bookmarkStart w:id="5" w:name="OLE_LINK139"/>
      <w:r w:rsidRPr="00647B2E">
        <w:rPr>
          <w:rFonts w:asciiTheme="majorBidi" w:hAnsiTheme="majorBidi" w:cstheme="majorBidi"/>
          <w:sz w:val="24"/>
          <w:szCs w:val="24"/>
        </w:rPr>
        <w:t xml:space="preserve">A new support mechanism was also created to receive and handle complaints related </w:t>
      </w:r>
      <w:bookmarkEnd w:id="5"/>
      <w:r w:rsidRPr="00647B2E">
        <w:rPr>
          <w:rFonts w:asciiTheme="majorBidi" w:hAnsiTheme="majorBidi" w:cstheme="majorBidi"/>
          <w:sz w:val="24"/>
          <w:szCs w:val="24"/>
        </w:rPr>
        <w:t>to women’s rights violation and gender discrimination</w:t>
      </w:r>
      <w:r w:rsidRPr="00647B2E">
        <w:rPr>
          <w:rStyle w:val="FootnoteReference"/>
          <w:rFonts w:asciiTheme="majorBidi" w:hAnsiTheme="majorBidi" w:cstheme="majorBidi"/>
          <w:sz w:val="24"/>
          <w:szCs w:val="24"/>
        </w:rPr>
        <w:footnoteReference w:id="1"/>
      </w:r>
      <w:r w:rsidRPr="00647B2E">
        <w:rPr>
          <w:rFonts w:asciiTheme="majorBidi" w:hAnsiTheme="majorBidi" w:cstheme="majorBidi"/>
          <w:sz w:val="24"/>
          <w:szCs w:val="24"/>
        </w:rPr>
        <w:t>. In addition to the adoption of the National Strategy for the Empowerment of Women 2030, which is mainly based on three dimensions; economic, social and environmental, all of which seek to achieve sustainable development.</w:t>
      </w:r>
    </w:p>
    <w:p w14:paraId="52473DB0"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The launch of the National Strategy for the Empowerment of Women came in line with the sustainable development goals that were approved by the international community years ago. The strategy includes 34 indicators of the sustainable development goals, and consists of four main axes: Political empowerment and leadership, economic empowerment, social empowerment, and protection, along with legislation and culture as pillars intersecting with those four axes. </w:t>
      </w:r>
      <w:r w:rsidRPr="00647B2E">
        <w:rPr>
          <w:rStyle w:val="FootnoteReference"/>
          <w:rFonts w:asciiTheme="majorBidi" w:hAnsiTheme="majorBidi" w:cstheme="majorBidi"/>
          <w:sz w:val="24"/>
          <w:szCs w:val="24"/>
        </w:rPr>
        <w:footnoteReference w:id="2"/>
      </w:r>
    </w:p>
    <w:p w14:paraId="12167A9B"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Therefore, </w:t>
      </w:r>
      <w:bookmarkStart w:id="6" w:name="OLE_LINK145"/>
      <w:bookmarkStart w:id="7" w:name="OLE_LINK144"/>
      <w:r w:rsidRPr="00647B2E">
        <w:rPr>
          <w:rFonts w:asciiTheme="majorBidi" w:hAnsiTheme="majorBidi" w:cstheme="majorBidi"/>
          <w:sz w:val="24"/>
          <w:szCs w:val="24"/>
        </w:rPr>
        <w:t xml:space="preserve">both Nelson Mandela for Rights and Democracy </w:t>
      </w:r>
      <w:bookmarkEnd w:id="6"/>
      <w:bookmarkEnd w:id="7"/>
      <w:r w:rsidRPr="00647B2E">
        <w:rPr>
          <w:rFonts w:asciiTheme="majorBidi" w:hAnsiTheme="majorBidi" w:cstheme="majorBidi"/>
          <w:sz w:val="24"/>
          <w:szCs w:val="24"/>
        </w:rPr>
        <w:t xml:space="preserve">and </w:t>
      </w:r>
      <w:proofErr w:type="spellStart"/>
      <w:r w:rsidRPr="00647B2E">
        <w:rPr>
          <w:rFonts w:asciiTheme="majorBidi" w:hAnsiTheme="majorBidi" w:cstheme="majorBidi"/>
          <w:sz w:val="24"/>
          <w:szCs w:val="24"/>
        </w:rPr>
        <w:t>Misr</w:t>
      </w:r>
      <w:proofErr w:type="spellEnd"/>
      <w:r w:rsidRPr="00647B2E">
        <w:rPr>
          <w:rFonts w:asciiTheme="majorBidi" w:hAnsiTheme="majorBidi" w:cstheme="majorBidi"/>
          <w:sz w:val="24"/>
          <w:szCs w:val="24"/>
        </w:rPr>
        <w:t>-El Salam for Development and Human Rights submitted this report to the 79</w:t>
      </w:r>
      <w:r w:rsidRPr="00647B2E">
        <w:rPr>
          <w:rFonts w:asciiTheme="majorBidi" w:hAnsiTheme="majorBidi" w:cstheme="majorBidi"/>
          <w:sz w:val="24"/>
          <w:szCs w:val="24"/>
          <w:vertAlign w:val="superscript"/>
        </w:rPr>
        <w:t>th</w:t>
      </w:r>
      <w:r w:rsidRPr="00647B2E">
        <w:rPr>
          <w:rFonts w:asciiTheme="majorBidi" w:hAnsiTheme="majorBidi" w:cstheme="majorBidi"/>
          <w:sz w:val="24"/>
          <w:szCs w:val="24"/>
        </w:rPr>
        <w:t xml:space="preserve"> session of the Committee on the Elimination of all forms of Discrimination Against Women to clarify the latest developments since the last report submitted to the committee, as well as the most important challenges facing the actual and full implementation of women's rights in Egypt.</w:t>
      </w:r>
    </w:p>
    <w:p w14:paraId="036A54D8" w14:textId="77777777" w:rsidR="008A2E8F" w:rsidRPr="00647B2E" w:rsidRDefault="008A2E8F" w:rsidP="00647B2E">
      <w:pPr>
        <w:jc w:val="both"/>
        <w:rPr>
          <w:rFonts w:asciiTheme="majorBidi" w:hAnsiTheme="majorBidi" w:cstheme="majorBidi"/>
          <w:b/>
          <w:bCs/>
          <w:color w:val="FFC000"/>
          <w:sz w:val="24"/>
          <w:szCs w:val="24"/>
          <w:rtl/>
        </w:rPr>
      </w:pPr>
      <w:r w:rsidRPr="00647B2E">
        <w:rPr>
          <w:rFonts w:asciiTheme="majorBidi" w:hAnsiTheme="majorBidi" w:cstheme="majorBidi"/>
          <w:b/>
          <w:bCs/>
          <w:color w:val="FFC000"/>
          <w:sz w:val="24"/>
          <w:szCs w:val="24"/>
        </w:rPr>
        <w:t>Legal &amp; Constitutional Framework</w:t>
      </w:r>
    </w:p>
    <w:p w14:paraId="21458F5A"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lastRenderedPageBreak/>
        <w:t xml:space="preserve">Egypt has acceded to a number of conventions related to women's rights, taking into account its reservation on some articles. Egypt ratified the Convention on the Elimination of All Forms of Racial Discrimination against Women in 1980, the Universal Declaration on the Elimination of Violence against Women in 1993, and </w:t>
      </w:r>
      <w:bookmarkStart w:id="8" w:name="OLE_LINK147"/>
      <w:bookmarkStart w:id="9" w:name="OLE_LINK146"/>
      <w:r w:rsidRPr="00647B2E">
        <w:rPr>
          <w:rFonts w:asciiTheme="majorBidi" w:hAnsiTheme="majorBidi" w:cstheme="majorBidi"/>
          <w:sz w:val="24"/>
          <w:szCs w:val="24"/>
        </w:rPr>
        <w:t>the Beijing Declaration and Platform for Action (</w:t>
      </w:r>
      <w:proofErr w:type="spellStart"/>
      <w:r w:rsidRPr="00647B2E">
        <w:rPr>
          <w:rFonts w:asciiTheme="majorBidi" w:hAnsiTheme="majorBidi" w:cstheme="majorBidi"/>
          <w:sz w:val="24"/>
          <w:szCs w:val="24"/>
        </w:rPr>
        <w:t>BPfA</w:t>
      </w:r>
      <w:proofErr w:type="spellEnd"/>
      <w:r w:rsidRPr="00647B2E">
        <w:rPr>
          <w:rFonts w:asciiTheme="majorBidi" w:hAnsiTheme="majorBidi" w:cstheme="majorBidi"/>
          <w:sz w:val="24"/>
          <w:szCs w:val="24"/>
        </w:rPr>
        <w:t>) of 1995.</w:t>
      </w:r>
    </w:p>
    <w:bookmarkEnd w:id="8"/>
    <w:bookmarkEnd w:id="9"/>
    <w:p w14:paraId="049941F8"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Egypt has also guaranteed equality between men and women in its legislation. In 2014 Constitution, 14 articles on gender-based equality and non-discrimination in all civil, political, economic and legislative rights were included. Moreover, </w:t>
      </w:r>
      <w:bookmarkStart w:id="10" w:name="OLE_LINK149"/>
      <w:bookmarkStart w:id="11" w:name="OLE_LINK148"/>
      <w:r w:rsidRPr="00647B2E">
        <w:rPr>
          <w:rFonts w:asciiTheme="majorBidi" w:hAnsiTheme="majorBidi" w:cstheme="majorBidi"/>
          <w:sz w:val="24"/>
          <w:szCs w:val="24"/>
        </w:rPr>
        <w:t>Article 180 of the 2014 Constitution requires allocating one quarter of the local council seats for women. However, no elections have been held so far and no election date has been set. Therefore, an electoral system must be developed to ensure the realization of the allocated percentage and work to increase women’s representation in the near future</w:t>
      </w:r>
      <w:bookmarkEnd w:id="10"/>
      <w:bookmarkEnd w:id="11"/>
      <w:r w:rsidRPr="00647B2E">
        <w:rPr>
          <w:rFonts w:asciiTheme="majorBidi" w:hAnsiTheme="majorBidi" w:cstheme="majorBidi"/>
          <w:sz w:val="24"/>
          <w:szCs w:val="24"/>
        </w:rPr>
        <w:t>.</w:t>
      </w:r>
    </w:p>
    <w:p w14:paraId="06848B82"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With regard to violence against women, amendments have been made in the Penal Code to include any act that may cause psychological, physical or sexual harm to women, represented by the laws of harassment, female circumcision and underage marriage. In 2011, Presidential Decree Promulgating Law No. 11 of 2011 enhanced the penalties under the Criminal Code for multiple offenses against women, including sexual assault, rape, kidnapping, and public sexual harassment. The penalty imposed under article 289 of the Code for kidnapping a woman was enhanced to “aggravated imprisonment” (imprisonment with hard labor) of not less than twenty years, and to life imprisonment or death if the offender committed sexual assault against the kidnaped female. Moreover, the penalty for rape under article 267 of the Code was increased from aggravated imprisonment to life imprisonment or death.</w:t>
      </w:r>
    </w:p>
    <w:p w14:paraId="25E8A77C"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Egypt also approved Presidential Decree No. 50 of 2014, which modified articles 306 (bis)(a) and 306 (bis)(b) of the Criminal Code by creating enhanced penalties for the act of sexual harassment. The amended version of article 306 (bis)(a) provides that individuals who engage in any kind of sexually obscene behavior, whether by physical gestures or material transmitted by modern means of communication, are punishable by imprisonment for not less than six months or a fine of 3,000 Egyptian pounds (EGP). </w:t>
      </w:r>
    </w:p>
    <w:p w14:paraId="696E0ECB"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According to </w:t>
      </w:r>
      <w:bookmarkStart w:id="12" w:name="OLE_LINK154"/>
      <w:r w:rsidRPr="00647B2E">
        <w:rPr>
          <w:rFonts w:asciiTheme="majorBidi" w:hAnsiTheme="majorBidi" w:cstheme="majorBidi"/>
          <w:sz w:val="24"/>
          <w:szCs w:val="24"/>
        </w:rPr>
        <w:t>Law No. 78 of 2016</w:t>
      </w:r>
      <w:bookmarkEnd w:id="12"/>
      <w:r w:rsidRPr="00647B2E">
        <w:rPr>
          <w:rFonts w:asciiTheme="majorBidi" w:hAnsiTheme="majorBidi" w:cstheme="majorBidi"/>
          <w:sz w:val="24"/>
          <w:szCs w:val="24"/>
        </w:rPr>
        <w:t xml:space="preserve">, Article 242 (bis) of the Penal Code has been amended to punish with imprisonment from five to seven years whoever engages in female genital mutilation. Furthermore, the law punishes the crime with up to 15 years’ imprisonment if the act of FGM leads to the death of the victim or a permanent deformity. </w:t>
      </w:r>
      <w:proofErr w:type="gramStart"/>
      <w:r w:rsidRPr="00647B2E">
        <w:rPr>
          <w:rFonts w:asciiTheme="majorBidi" w:hAnsiTheme="majorBidi" w:cstheme="majorBidi"/>
          <w:sz w:val="24"/>
          <w:szCs w:val="24"/>
        </w:rPr>
        <w:t>Also</w:t>
      </w:r>
      <w:proofErr w:type="gramEnd"/>
      <w:r w:rsidRPr="00647B2E">
        <w:rPr>
          <w:rFonts w:asciiTheme="majorBidi" w:hAnsiTheme="majorBidi" w:cstheme="majorBidi"/>
          <w:sz w:val="24"/>
          <w:szCs w:val="24"/>
        </w:rPr>
        <w:t xml:space="preserve"> a term of imprisonment shall be levied against anyone who seeks the circumcision of a female and a circumcision is performed pursuant to his request as set forth in Article 242 (bis) of this law.</w:t>
      </w:r>
    </w:p>
    <w:p w14:paraId="3E3A7E47"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The Egyptian law has begun to abandon the male-oriented tendency in its texts and provisions. A number of laws have been issued in the last decade and other laws have been amended to empower women socially and economically. For example, female breadwinners have been recognized. </w:t>
      </w:r>
      <w:bookmarkStart w:id="13" w:name="OLE_LINK159"/>
      <w:r w:rsidRPr="00647B2E">
        <w:rPr>
          <w:rFonts w:asciiTheme="majorBidi" w:hAnsiTheme="majorBidi" w:cstheme="majorBidi"/>
          <w:sz w:val="24"/>
          <w:szCs w:val="24"/>
        </w:rPr>
        <w:t xml:space="preserve">Law No. 23 of 2012 made important improvements to the health coverage of working women, by obliging the General Authority for Health Insurance to provide health treatment and medical care services for working women or family breadwinners, who were defined </w:t>
      </w:r>
      <w:r w:rsidRPr="00647B2E">
        <w:rPr>
          <w:rFonts w:asciiTheme="majorBidi" w:hAnsiTheme="majorBidi" w:cstheme="majorBidi"/>
          <w:sz w:val="24"/>
          <w:szCs w:val="24"/>
        </w:rPr>
        <w:lastRenderedPageBreak/>
        <w:t xml:space="preserve">as those who support themselves or their families and are registered with the Ministry of Insurance and Social Affairs. </w:t>
      </w:r>
    </w:p>
    <w:p w14:paraId="650B3F49"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Regarding </w:t>
      </w:r>
      <w:bookmarkEnd w:id="13"/>
      <w:r w:rsidRPr="00647B2E">
        <w:rPr>
          <w:rFonts w:asciiTheme="majorBidi" w:hAnsiTheme="majorBidi" w:cstheme="majorBidi"/>
          <w:sz w:val="24"/>
          <w:szCs w:val="24"/>
        </w:rPr>
        <w:t xml:space="preserve">the economic empowerment of Egyptian women, the provisions of law guarantee job security for working women, so the provisions of the Labor Law apply to them in relation to contractual work. Pursuant to Article (110) of the Labor Law, the employer can terminate an indefinite term contract based on two grounds; if employee is deemed inefficient according to the provisions of the employer's endorsed work regulations; or if he committed gross misconduct which justifies dismissal. Terminating an indefinite term contract requires a prior written termination notice to be sent to the employee two months according to Article 111. </w:t>
      </w:r>
    </w:p>
    <w:p w14:paraId="7B87B705"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Article 116 stipulates the right of the worker to authorize absenteeism for a full day per week </w:t>
      </w:r>
      <w:r w:rsidR="00D80C34" w:rsidRPr="00647B2E">
        <w:rPr>
          <w:rFonts w:asciiTheme="majorBidi" w:hAnsiTheme="majorBidi" w:cstheme="majorBidi"/>
          <w:sz w:val="24"/>
          <w:szCs w:val="24"/>
        </w:rPr>
        <w:t xml:space="preserve">or eight hours during the week, to </w:t>
      </w:r>
      <w:r w:rsidRPr="00647B2E">
        <w:rPr>
          <w:rFonts w:asciiTheme="majorBidi" w:hAnsiTheme="majorBidi" w:cstheme="majorBidi"/>
          <w:sz w:val="24"/>
          <w:szCs w:val="24"/>
        </w:rPr>
        <w:t>search for another job and with his entitlement to his wages for the day or hours of absence.</w:t>
      </w:r>
      <w:r w:rsidRPr="00647B2E">
        <w:rPr>
          <w:rStyle w:val="FootnoteReference"/>
          <w:rFonts w:asciiTheme="majorBidi" w:hAnsiTheme="majorBidi" w:cstheme="majorBidi"/>
          <w:sz w:val="24"/>
          <w:szCs w:val="24"/>
        </w:rPr>
        <w:footnoteReference w:id="3"/>
      </w:r>
    </w:p>
    <w:p w14:paraId="2085436A"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The Egyptian Labor Law affirms the equality of women and men, as Article 88 of the Labor Law stipulates that all provisions regulating the employment of workers shall be applied without discrimination. The labor law included a section for the employment of women regulating the number of working hours, and obliging the employer, whether in the public or private sector, to hang a sign in the workplace indicating the working hours, between seven p.m. and seven a.m. at the minimum, in the case of employing five women or more pursuant to Article 95. Women are entitled, both in the public and private sectors, to paid leave after childbirth for a period of up to three months, and it is prohibited to employ a woman during the forty-five days following childbirth. The Penal Code No. 93 of 1995 stipulated in its Article 306 the application of imprisonment for a period of no less than two years and not more than five years and a fine of not less than twenty thousand and not more than fifty thousand in the event that the holder of the occupational authority harassed one of his workers.</w:t>
      </w:r>
    </w:p>
    <w:p w14:paraId="3377F214" w14:textId="77777777" w:rsidR="008A2E8F" w:rsidRPr="00647B2E" w:rsidRDefault="008A2E8F" w:rsidP="00647B2E">
      <w:pPr>
        <w:ind w:firstLine="720"/>
        <w:jc w:val="both"/>
        <w:rPr>
          <w:rFonts w:asciiTheme="majorBidi" w:hAnsiTheme="majorBidi" w:cstheme="majorBidi"/>
          <w:sz w:val="24"/>
          <w:szCs w:val="24"/>
          <w:rtl/>
        </w:rPr>
      </w:pPr>
      <w:r w:rsidRPr="00647B2E">
        <w:rPr>
          <w:rFonts w:asciiTheme="majorBidi" w:hAnsiTheme="majorBidi" w:cstheme="majorBidi"/>
          <w:sz w:val="24"/>
          <w:szCs w:val="24"/>
        </w:rPr>
        <w:t>The employer is also prohibited from dismissing the woman during that leave, and is punished with a fine in cases of violation to the law. Pursuant to Article 91 of the Labor Law, women are entitled to such leave twice throughout their work period. Article 93 also recognizes the right of breastfeeding women to two breaks of no less than half an hour each</w:t>
      </w:r>
      <w:r w:rsidRPr="00647B2E">
        <w:rPr>
          <w:rStyle w:val="FootnoteReference"/>
          <w:rFonts w:asciiTheme="majorBidi" w:hAnsiTheme="majorBidi" w:cstheme="majorBidi"/>
          <w:sz w:val="24"/>
          <w:szCs w:val="24"/>
        </w:rPr>
        <w:footnoteReference w:id="4"/>
      </w:r>
      <w:r w:rsidRPr="00647B2E">
        <w:rPr>
          <w:rFonts w:asciiTheme="majorBidi" w:hAnsiTheme="majorBidi" w:cstheme="majorBidi"/>
          <w:sz w:val="24"/>
          <w:szCs w:val="24"/>
        </w:rPr>
        <w:t>.</w:t>
      </w:r>
    </w:p>
    <w:p w14:paraId="1B8EC86D"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In December 2017, the Parliament finally approved the draft law submitted by the government on the amendment of the "inheritance law", which was considered a form of violence against women. </w:t>
      </w:r>
      <w:r w:rsidR="00C9634D" w:rsidRPr="00647B2E">
        <w:rPr>
          <w:rFonts w:asciiTheme="majorBidi" w:hAnsiTheme="majorBidi" w:cstheme="majorBidi"/>
          <w:sz w:val="24"/>
          <w:szCs w:val="24"/>
        </w:rPr>
        <w:t>Article 49 of the new law stipulates that anyone who deliberately denies the heir, be it a male or a female, their legal share of the inheritance or confiscates a document confirming this share shall be imprisoned for at least six months and be subject to a fine ranging between EGP 20,000- 100,000</w:t>
      </w:r>
      <w:r w:rsidRPr="00647B2E">
        <w:rPr>
          <w:rFonts w:asciiTheme="majorBidi" w:hAnsiTheme="majorBidi" w:cstheme="majorBidi"/>
          <w:sz w:val="24"/>
          <w:szCs w:val="24"/>
        </w:rPr>
        <w:t>.</w:t>
      </w:r>
      <w:r w:rsidR="00543230" w:rsidRPr="00647B2E">
        <w:rPr>
          <w:rFonts w:asciiTheme="majorBidi" w:hAnsiTheme="majorBidi" w:cstheme="majorBidi"/>
          <w:sz w:val="24"/>
          <w:szCs w:val="24"/>
        </w:rPr>
        <w:t xml:space="preserve"> In case of recidivism, the prison sentence shall be no less than one year.</w:t>
      </w:r>
      <w:r w:rsidR="00543230" w:rsidRPr="00647B2E">
        <w:rPr>
          <w:rStyle w:val="FootnoteReference"/>
          <w:rFonts w:asciiTheme="majorBidi" w:hAnsiTheme="majorBidi" w:cstheme="majorBidi"/>
          <w:sz w:val="24"/>
          <w:szCs w:val="24"/>
        </w:rPr>
        <w:footnoteReference w:id="5"/>
      </w:r>
    </w:p>
    <w:p w14:paraId="4FABCB4C" w14:textId="77777777" w:rsidR="008A2E8F" w:rsidRPr="00647B2E" w:rsidRDefault="008A2E8F" w:rsidP="00647B2E">
      <w:pPr>
        <w:ind w:firstLine="720"/>
        <w:jc w:val="both"/>
        <w:rPr>
          <w:rFonts w:asciiTheme="majorBidi" w:hAnsiTheme="majorBidi" w:cstheme="majorBidi"/>
          <w:sz w:val="24"/>
          <w:szCs w:val="24"/>
        </w:rPr>
      </w:pPr>
      <w:proofErr w:type="gramStart"/>
      <w:r w:rsidRPr="00647B2E">
        <w:rPr>
          <w:rFonts w:asciiTheme="majorBidi" w:hAnsiTheme="majorBidi" w:cstheme="majorBidi"/>
          <w:sz w:val="24"/>
          <w:szCs w:val="24"/>
        </w:rPr>
        <w:t>Also</w:t>
      </w:r>
      <w:proofErr w:type="gramEnd"/>
      <w:r w:rsidRPr="00647B2E">
        <w:rPr>
          <w:rFonts w:asciiTheme="majorBidi" w:hAnsiTheme="majorBidi" w:cstheme="majorBidi"/>
          <w:sz w:val="24"/>
          <w:szCs w:val="24"/>
        </w:rPr>
        <w:t xml:space="preserve"> recently, some provisions of the Criminal Procedure Law have been amended, </w:t>
      </w:r>
      <w:r w:rsidR="00543230" w:rsidRPr="00647B2E">
        <w:rPr>
          <w:rFonts w:asciiTheme="majorBidi" w:hAnsiTheme="majorBidi" w:cstheme="majorBidi"/>
          <w:sz w:val="24"/>
          <w:szCs w:val="24"/>
        </w:rPr>
        <w:t>to protect</w:t>
      </w:r>
      <w:r w:rsidRPr="00647B2E">
        <w:rPr>
          <w:rFonts w:asciiTheme="majorBidi" w:hAnsiTheme="majorBidi" w:cstheme="majorBidi"/>
          <w:sz w:val="24"/>
          <w:szCs w:val="24"/>
        </w:rPr>
        <w:t xml:space="preserve"> the victim's data </w:t>
      </w:r>
      <w:r w:rsidR="00543230" w:rsidRPr="00647B2E">
        <w:rPr>
          <w:rFonts w:asciiTheme="majorBidi" w:hAnsiTheme="majorBidi" w:cstheme="majorBidi"/>
          <w:sz w:val="24"/>
          <w:szCs w:val="24"/>
        </w:rPr>
        <w:t xml:space="preserve">in </w:t>
      </w:r>
      <w:r w:rsidRPr="00647B2E">
        <w:rPr>
          <w:rFonts w:asciiTheme="majorBidi" w:hAnsiTheme="majorBidi" w:cstheme="majorBidi"/>
          <w:sz w:val="24"/>
          <w:szCs w:val="24"/>
        </w:rPr>
        <w:t>sexual harassment</w:t>
      </w:r>
      <w:r w:rsidR="00543230" w:rsidRPr="00647B2E">
        <w:rPr>
          <w:rFonts w:asciiTheme="majorBidi" w:hAnsiTheme="majorBidi" w:cstheme="majorBidi"/>
          <w:sz w:val="24"/>
          <w:szCs w:val="24"/>
        </w:rPr>
        <w:t>-related cases</w:t>
      </w:r>
      <w:r w:rsidRPr="00647B2E">
        <w:rPr>
          <w:rFonts w:asciiTheme="majorBidi" w:hAnsiTheme="majorBidi" w:cstheme="majorBidi"/>
          <w:sz w:val="24"/>
          <w:szCs w:val="24"/>
        </w:rPr>
        <w:t xml:space="preserve">, provided that a sub-file will be created that guarantees the complete confidentiality of the victim's data, and is presented to the court, the </w:t>
      </w:r>
      <w:r w:rsidRPr="00647B2E">
        <w:rPr>
          <w:rFonts w:asciiTheme="majorBidi" w:hAnsiTheme="majorBidi" w:cstheme="majorBidi"/>
          <w:sz w:val="24"/>
          <w:szCs w:val="24"/>
        </w:rPr>
        <w:lastRenderedPageBreak/>
        <w:t xml:space="preserve">accused, and the defense whenever requested. The amendment aims to protect the reputation of the victims, by not revealing their identity in the crimes related to indecent assault, corruption of morals, exposure to others and harassment contained in the Penal Code and the Child Law, for fear of the victims' reluctance to report these crimes, and this comes in light of the legislator’s philosophy </w:t>
      </w:r>
      <w:r w:rsidR="00F4318C" w:rsidRPr="00647B2E">
        <w:rPr>
          <w:rFonts w:asciiTheme="majorBidi" w:hAnsiTheme="majorBidi" w:cstheme="majorBidi"/>
          <w:sz w:val="24"/>
          <w:szCs w:val="24"/>
        </w:rPr>
        <w:t xml:space="preserve">to amend and approve </w:t>
      </w:r>
      <w:r w:rsidRPr="00647B2E">
        <w:rPr>
          <w:rFonts w:asciiTheme="majorBidi" w:hAnsiTheme="majorBidi" w:cstheme="majorBidi"/>
          <w:sz w:val="24"/>
          <w:szCs w:val="24"/>
        </w:rPr>
        <w:t>legislation</w:t>
      </w:r>
      <w:r w:rsidR="00F4318C" w:rsidRPr="00647B2E">
        <w:rPr>
          <w:rFonts w:asciiTheme="majorBidi" w:hAnsiTheme="majorBidi" w:cstheme="majorBidi"/>
          <w:sz w:val="24"/>
          <w:szCs w:val="24"/>
        </w:rPr>
        <w:t>s</w:t>
      </w:r>
      <w:r w:rsidRPr="00647B2E">
        <w:rPr>
          <w:rFonts w:asciiTheme="majorBidi" w:hAnsiTheme="majorBidi" w:cstheme="majorBidi"/>
          <w:sz w:val="24"/>
          <w:szCs w:val="24"/>
        </w:rPr>
        <w:t xml:space="preserve"> according to the new developments in society, and the monitoring of the changes produced by the practical reality and the reasons that prevent the detection of crimes, access to the perpetrators and the application of the punishment due on them, in addition to filling the judicial gaps through which the perpetrator can </w:t>
      </w:r>
      <w:r w:rsidR="00F4318C" w:rsidRPr="00647B2E">
        <w:rPr>
          <w:rFonts w:asciiTheme="majorBidi" w:hAnsiTheme="majorBidi" w:cstheme="majorBidi"/>
          <w:sz w:val="24"/>
          <w:szCs w:val="24"/>
        </w:rPr>
        <w:t>evade</w:t>
      </w:r>
      <w:r w:rsidRPr="00647B2E">
        <w:rPr>
          <w:rFonts w:asciiTheme="majorBidi" w:hAnsiTheme="majorBidi" w:cstheme="majorBidi"/>
          <w:sz w:val="24"/>
          <w:szCs w:val="24"/>
        </w:rPr>
        <w:t xml:space="preserve"> punishment.</w:t>
      </w:r>
    </w:p>
    <w:p w14:paraId="0CA30A50"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Although legislative steps have been taken to better empower Egyptian women, there are still many challenges that face women in many aspects of their lives, and there are legal challenges. In spite of the state’s attempts to prevent violence against women in society, some provisions of relevant laws need to criminalize violent practices and increase the penalties of the perpetrator to prevent their occurrence once and for all. For example, Article 60 of the Egyptian Penal Code still affirms that </w:t>
      </w:r>
      <w:r w:rsidR="00045BBE" w:rsidRPr="00647B2E">
        <w:rPr>
          <w:rFonts w:asciiTheme="majorBidi" w:hAnsiTheme="majorBidi" w:cstheme="majorBidi"/>
          <w:sz w:val="24"/>
          <w:szCs w:val="24"/>
        </w:rPr>
        <w:t xml:space="preserve">the provisions of the Penal Code shall not apply to any deed committed in good faith, pursuant to a right determined by virtue of the </w:t>
      </w:r>
      <w:proofErr w:type="spellStart"/>
      <w:r w:rsidR="00045BBE" w:rsidRPr="00647B2E">
        <w:rPr>
          <w:rFonts w:asciiTheme="majorBidi" w:hAnsiTheme="majorBidi" w:cstheme="majorBidi"/>
          <w:sz w:val="24"/>
          <w:szCs w:val="24"/>
        </w:rPr>
        <w:t>Shari'a</w:t>
      </w:r>
      <w:proofErr w:type="spellEnd"/>
      <w:r w:rsidRPr="00647B2E">
        <w:rPr>
          <w:rFonts w:asciiTheme="majorBidi" w:hAnsiTheme="majorBidi" w:cstheme="majorBidi"/>
          <w:sz w:val="24"/>
          <w:szCs w:val="24"/>
        </w:rPr>
        <w:t>, which justifies many violent practices and gives them a “religious” charac</w:t>
      </w:r>
      <w:r w:rsidR="00045BBE" w:rsidRPr="00647B2E">
        <w:rPr>
          <w:rFonts w:asciiTheme="majorBidi" w:hAnsiTheme="majorBidi" w:cstheme="majorBidi"/>
          <w:sz w:val="24"/>
          <w:szCs w:val="24"/>
        </w:rPr>
        <w:t>ter, especially with regard to d</w:t>
      </w:r>
      <w:r w:rsidRPr="00647B2E">
        <w:rPr>
          <w:rFonts w:asciiTheme="majorBidi" w:hAnsiTheme="majorBidi" w:cstheme="majorBidi"/>
          <w:sz w:val="24"/>
          <w:szCs w:val="24"/>
        </w:rPr>
        <w:t>omestic violence.</w:t>
      </w:r>
    </w:p>
    <w:p w14:paraId="65CF6186"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With regard to the marriage of minors, there is nothing in Egyptian law that criminalizes the act itself. Article 80 of the Egyptian Constitution stipulates that anyone who has not reached the age of eighteen is considered a child, and the Personal Status Law No. 126 of 2008 prohibits the marriage of persons who have not reached the age of 18 years. There is nothing in the law that criminalizes the marriage of minors or inflicts a penalty on the perpetrator except in the case of forging the documents of the minor when doc</w:t>
      </w:r>
      <w:r w:rsidR="00045BBE" w:rsidRPr="00647B2E">
        <w:rPr>
          <w:rFonts w:asciiTheme="majorBidi" w:hAnsiTheme="majorBidi" w:cstheme="majorBidi"/>
          <w:sz w:val="24"/>
          <w:szCs w:val="24"/>
        </w:rPr>
        <w:t xml:space="preserve">umenting the marriage contract. </w:t>
      </w:r>
      <w:r w:rsidRPr="00647B2E">
        <w:rPr>
          <w:rFonts w:asciiTheme="majorBidi" w:hAnsiTheme="majorBidi" w:cstheme="majorBidi"/>
          <w:sz w:val="24"/>
          <w:szCs w:val="24"/>
        </w:rPr>
        <w:t xml:space="preserve">Article 227 of the Penal Code provides for the punishment of anyone who appears before the competent authority with the intention of </w:t>
      </w:r>
      <w:r w:rsidR="00EA76C0" w:rsidRPr="00647B2E">
        <w:rPr>
          <w:rFonts w:asciiTheme="majorBidi" w:hAnsiTheme="majorBidi" w:cstheme="majorBidi"/>
          <w:sz w:val="24"/>
          <w:szCs w:val="24"/>
        </w:rPr>
        <w:t xml:space="preserve">lying and </w:t>
      </w:r>
      <w:r w:rsidRPr="00647B2E">
        <w:rPr>
          <w:rFonts w:asciiTheme="majorBidi" w:hAnsiTheme="majorBidi" w:cstheme="majorBidi"/>
          <w:sz w:val="24"/>
          <w:szCs w:val="24"/>
        </w:rPr>
        <w:t xml:space="preserve">proving that one of the spouses has reached the legally specified age to </w:t>
      </w:r>
      <w:r w:rsidR="00EA76C0" w:rsidRPr="00647B2E">
        <w:rPr>
          <w:rFonts w:asciiTheme="majorBidi" w:hAnsiTheme="majorBidi" w:cstheme="majorBidi"/>
          <w:sz w:val="24"/>
          <w:szCs w:val="24"/>
        </w:rPr>
        <w:t xml:space="preserve">marry </w:t>
      </w:r>
      <w:r w:rsidRPr="00647B2E">
        <w:rPr>
          <w:rFonts w:asciiTheme="majorBidi" w:hAnsiTheme="majorBidi" w:cstheme="majorBidi"/>
          <w:sz w:val="24"/>
          <w:szCs w:val="24"/>
        </w:rPr>
        <w:t xml:space="preserve">with imprisonment for a period not exceeding two years or a fine not exceeding three hundred pounds. </w:t>
      </w:r>
      <w:r w:rsidR="00EA76C0" w:rsidRPr="00647B2E">
        <w:rPr>
          <w:rFonts w:asciiTheme="majorBidi" w:hAnsiTheme="majorBidi" w:cstheme="majorBidi"/>
          <w:sz w:val="24"/>
          <w:szCs w:val="24"/>
        </w:rPr>
        <w:t>And a penalty of detention or a fine not exceeding five hundred pounds shall be inflicted upon every person authorized by law to control the marriage contract knowing that one of the parties has not reached the age specified in the law.</w:t>
      </w:r>
    </w:p>
    <w:p w14:paraId="5FDD2FF0"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With regard to women's right to work in terms of care and job security, the Egyptian law still lacks provisions that guarantee a set of basic rights, as the law did not stipulate the rights of workers in general and women in particular in the informal sector, especially the agricultural sector</w:t>
      </w:r>
      <w:r w:rsidR="001C60A9" w:rsidRPr="00647B2E">
        <w:rPr>
          <w:rFonts w:asciiTheme="majorBidi" w:hAnsiTheme="majorBidi" w:cstheme="majorBidi"/>
          <w:sz w:val="24"/>
          <w:szCs w:val="24"/>
        </w:rPr>
        <w:t xml:space="preserve"> and the households</w:t>
      </w:r>
      <w:r w:rsidRPr="00647B2E">
        <w:rPr>
          <w:rFonts w:asciiTheme="majorBidi" w:hAnsiTheme="majorBidi" w:cstheme="majorBidi"/>
          <w:sz w:val="24"/>
          <w:szCs w:val="24"/>
        </w:rPr>
        <w:t xml:space="preserve">. This </w:t>
      </w:r>
      <w:r w:rsidR="001C60A9" w:rsidRPr="00647B2E">
        <w:rPr>
          <w:rFonts w:asciiTheme="majorBidi" w:hAnsiTheme="majorBidi" w:cstheme="majorBidi"/>
          <w:sz w:val="24"/>
          <w:szCs w:val="24"/>
        </w:rPr>
        <w:t>undermines</w:t>
      </w:r>
      <w:r w:rsidRPr="00647B2E">
        <w:rPr>
          <w:rFonts w:asciiTheme="majorBidi" w:hAnsiTheme="majorBidi" w:cstheme="majorBidi"/>
          <w:sz w:val="24"/>
          <w:szCs w:val="24"/>
        </w:rPr>
        <w:t xml:space="preserve"> job security and makes them vulnerable to dismissal from work at any time, especially pregnant and lactating women who are subject to dismissal from work during maternity leave without obtaining any dues or the right to litigation. Women in the informal sector may be </w:t>
      </w:r>
      <w:r w:rsidR="001C60A9" w:rsidRPr="00647B2E">
        <w:rPr>
          <w:rFonts w:asciiTheme="majorBidi" w:hAnsiTheme="majorBidi" w:cstheme="majorBidi"/>
          <w:sz w:val="24"/>
          <w:szCs w:val="24"/>
        </w:rPr>
        <w:t xml:space="preserve">required </w:t>
      </w:r>
      <w:r w:rsidRPr="00647B2E">
        <w:rPr>
          <w:rFonts w:asciiTheme="majorBidi" w:hAnsiTheme="majorBidi" w:cstheme="majorBidi"/>
          <w:sz w:val="24"/>
          <w:szCs w:val="24"/>
        </w:rPr>
        <w:t xml:space="preserve">to </w:t>
      </w:r>
      <w:r w:rsidR="001C60A9" w:rsidRPr="00647B2E">
        <w:rPr>
          <w:rFonts w:asciiTheme="majorBidi" w:hAnsiTheme="majorBidi" w:cstheme="majorBidi"/>
          <w:sz w:val="24"/>
          <w:szCs w:val="24"/>
        </w:rPr>
        <w:t xml:space="preserve">perform </w:t>
      </w:r>
      <w:r w:rsidRPr="00647B2E">
        <w:rPr>
          <w:rFonts w:asciiTheme="majorBidi" w:hAnsiTheme="majorBidi" w:cstheme="majorBidi"/>
          <w:sz w:val="24"/>
          <w:szCs w:val="24"/>
        </w:rPr>
        <w:t>jobs that do not fit their nature without having the slightest right to claim their rights.</w:t>
      </w:r>
    </w:p>
    <w:p w14:paraId="4384F75C" w14:textId="77777777" w:rsidR="008A2E8F" w:rsidRPr="00647B2E" w:rsidRDefault="008A2E8F" w:rsidP="00647B2E">
      <w:pPr>
        <w:jc w:val="both"/>
        <w:rPr>
          <w:rFonts w:asciiTheme="majorBidi" w:hAnsiTheme="majorBidi" w:cstheme="majorBidi"/>
          <w:b/>
          <w:bCs/>
          <w:color w:val="FFC000"/>
          <w:sz w:val="24"/>
          <w:szCs w:val="24"/>
          <w:rtl/>
        </w:rPr>
      </w:pPr>
      <w:r w:rsidRPr="00647B2E">
        <w:rPr>
          <w:rFonts w:asciiTheme="majorBidi" w:hAnsiTheme="majorBidi" w:cstheme="majorBidi"/>
          <w:b/>
          <w:bCs/>
          <w:color w:val="FFC000"/>
          <w:sz w:val="24"/>
          <w:szCs w:val="24"/>
        </w:rPr>
        <w:t>Women's political empowerment</w:t>
      </w:r>
    </w:p>
    <w:p w14:paraId="5F1250D9"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Regarding the political empowerment of women and assuming leadership positions in Egypt, recent years have witnessed progress in the number of women participating in elections, whether by election or candidacy, as well as the number of women in senior positions. 44% of women participated in the elections, which is close to the 50% target in the 2030 Women </w:t>
      </w:r>
      <w:r w:rsidRPr="00647B2E">
        <w:rPr>
          <w:rFonts w:asciiTheme="majorBidi" w:hAnsiTheme="majorBidi" w:cstheme="majorBidi"/>
          <w:sz w:val="24"/>
          <w:szCs w:val="24"/>
        </w:rPr>
        <w:lastRenderedPageBreak/>
        <w:t xml:space="preserve">Empowerment Strategy. The percentage of women’s representation in the </w:t>
      </w:r>
      <w:r w:rsidR="00256B0B" w:rsidRPr="00647B2E">
        <w:rPr>
          <w:rFonts w:asciiTheme="majorBidi" w:hAnsiTheme="majorBidi" w:cstheme="majorBidi"/>
          <w:sz w:val="24"/>
          <w:szCs w:val="24"/>
        </w:rPr>
        <w:t xml:space="preserve">2015 </w:t>
      </w:r>
      <w:r w:rsidRPr="00647B2E">
        <w:rPr>
          <w:rFonts w:asciiTheme="majorBidi" w:hAnsiTheme="majorBidi" w:cstheme="majorBidi"/>
          <w:sz w:val="24"/>
          <w:szCs w:val="24"/>
        </w:rPr>
        <w:t xml:space="preserve">House of Representatives reached 15% by 90 seats, and the strategy </w:t>
      </w:r>
      <w:r w:rsidR="00256B0B" w:rsidRPr="00647B2E">
        <w:rPr>
          <w:rFonts w:asciiTheme="majorBidi" w:hAnsiTheme="majorBidi" w:cstheme="majorBidi"/>
          <w:sz w:val="24"/>
          <w:szCs w:val="24"/>
        </w:rPr>
        <w:t>aims</w:t>
      </w:r>
      <w:r w:rsidRPr="00647B2E">
        <w:rPr>
          <w:rFonts w:asciiTheme="majorBidi" w:hAnsiTheme="majorBidi" w:cstheme="majorBidi"/>
          <w:sz w:val="24"/>
          <w:szCs w:val="24"/>
        </w:rPr>
        <w:t xml:space="preserve"> to raise the number of women representatives to 35% in 2030.</w:t>
      </w:r>
    </w:p>
    <w:p w14:paraId="5CB47929"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According to the constitution, the share of women in local councils </w:t>
      </w:r>
      <w:r w:rsidR="00256B0B" w:rsidRPr="00647B2E">
        <w:rPr>
          <w:rFonts w:asciiTheme="majorBidi" w:hAnsiTheme="majorBidi" w:cstheme="majorBidi"/>
          <w:sz w:val="24"/>
          <w:szCs w:val="24"/>
        </w:rPr>
        <w:t>shall not fall under</w:t>
      </w:r>
      <w:r w:rsidRPr="00647B2E">
        <w:rPr>
          <w:rFonts w:asciiTheme="majorBidi" w:hAnsiTheme="majorBidi" w:cstheme="majorBidi"/>
          <w:sz w:val="24"/>
          <w:szCs w:val="24"/>
        </w:rPr>
        <w:t xml:space="preserve"> 25%, and the strategy aims to reach 35%.</w:t>
      </w:r>
      <w:r w:rsidR="00256B0B" w:rsidRPr="00647B2E">
        <w:rPr>
          <w:rStyle w:val="FootnoteReference"/>
          <w:rFonts w:asciiTheme="majorBidi" w:hAnsiTheme="majorBidi" w:cstheme="majorBidi"/>
          <w:sz w:val="24"/>
          <w:szCs w:val="24"/>
        </w:rPr>
        <w:footnoteReference w:id="6"/>
      </w:r>
      <w:r w:rsidRPr="00647B2E">
        <w:rPr>
          <w:rFonts w:asciiTheme="majorBidi" w:hAnsiTheme="majorBidi" w:cstheme="majorBidi"/>
          <w:sz w:val="24"/>
          <w:szCs w:val="24"/>
        </w:rPr>
        <w:t xml:space="preserve"> As for political and leadership positions, the percentage of females in senior management positions is 19%, and the target in 2030 is 27%. The number of women in senior management positions has increased in recent years, as for the first time in Egypt eight women hold ministerial </w:t>
      </w:r>
      <w:r w:rsidR="00256B0B" w:rsidRPr="00647B2E">
        <w:rPr>
          <w:rFonts w:asciiTheme="majorBidi" w:hAnsiTheme="majorBidi" w:cstheme="majorBidi"/>
          <w:sz w:val="24"/>
          <w:szCs w:val="24"/>
        </w:rPr>
        <w:t>posts</w:t>
      </w:r>
      <w:r w:rsidRPr="00647B2E">
        <w:rPr>
          <w:rFonts w:asciiTheme="majorBidi" w:hAnsiTheme="majorBidi" w:cstheme="majorBidi"/>
          <w:sz w:val="24"/>
          <w:szCs w:val="24"/>
        </w:rPr>
        <w:t>, some of which are held by women for the first time, such as the Ministry of Health and Housing, the Ministry of Environment and the Ministry of Tourism, with 24% of ministerial portfolios.</w:t>
      </w:r>
    </w:p>
    <w:p w14:paraId="1298FC0E"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For the first time a woman assumed the position of governor in 2017, </w:t>
      </w:r>
      <w:r w:rsidR="00256B0B" w:rsidRPr="00647B2E">
        <w:rPr>
          <w:rFonts w:asciiTheme="majorBidi" w:hAnsiTheme="majorBidi" w:cstheme="majorBidi"/>
          <w:sz w:val="24"/>
          <w:szCs w:val="24"/>
        </w:rPr>
        <w:t xml:space="preserve">Egypt appointed its first-ever female governor, </w:t>
      </w:r>
      <w:r w:rsidRPr="00647B2E">
        <w:rPr>
          <w:rFonts w:asciiTheme="majorBidi" w:hAnsiTheme="majorBidi" w:cstheme="majorBidi"/>
          <w:sz w:val="24"/>
          <w:szCs w:val="24"/>
        </w:rPr>
        <w:t>Nadia Abdo</w:t>
      </w:r>
      <w:r w:rsidR="00256B0B" w:rsidRPr="00647B2E">
        <w:rPr>
          <w:rFonts w:asciiTheme="majorBidi" w:hAnsiTheme="majorBidi" w:cstheme="majorBidi"/>
          <w:sz w:val="24"/>
          <w:szCs w:val="24"/>
        </w:rPr>
        <w:t>, governor of Al-</w:t>
      </w:r>
      <w:proofErr w:type="spellStart"/>
      <w:r w:rsidR="00256B0B" w:rsidRPr="00647B2E">
        <w:rPr>
          <w:rFonts w:asciiTheme="majorBidi" w:hAnsiTheme="majorBidi" w:cstheme="majorBidi"/>
          <w:sz w:val="24"/>
          <w:szCs w:val="24"/>
        </w:rPr>
        <w:t>Behira</w:t>
      </w:r>
      <w:proofErr w:type="spellEnd"/>
      <w:r w:rsidR="00256B0B" w:rsidRPr="00647B2E">
        <w:rPr>
          <w:rStyle w:val="FootnoteReference"/>
          <w:rFonts w:asciiTheme="majorBidi" w:hAnsiTheme="majorBidi" w:cstheme="majorBidi"/>
          <w:sz w:val="24"/>
          <w:szCs w:val="24"/>
        </w:rPr>
        <w:footnoteReference w:id="7"/>
      </w:r>
      <w:r w:rsidRPr="00647B2E">
        <w:rPr>
          <w:rFonts w:asciiTheme="majorBidi" w:hAnsiTheme="majorBidi" w:cstheme="majorBidi"/>
          <w:sz w:val="24"/>
          <w:szCs w:val="24"/>
        </w:rPr>
        <w:t xml:space="preserve">. </w:t>
      </w:r>
      <w:r w:rsidR="0017534D" w:rsidRPr="00647B2E">
        <w:rPr>
          <w:rFonts w:asciiTheme="majorBidi" w:hAnsiTheme="majorBidi" w:cstheme="majorBidi"/>
          <w:sz w:val="24"/>
          <w:szCs w:val="24"/>
        </w:rPr>
        <w:t xml:space="preserve">In 2018, Dr. Manal </w:t>
      </w:r>
      <w:proofErr w:type="spellStart"/>
      <w:r w:rsidR="0017534D" w:rsidRPr="00647B2E">
        <w:rPr>
          <w:rFonts w:asciiTheme="majorBidi" w:hAnsiTheme="majorBidi" w:cstheme="majorBidi"/>
          <w:sz w:val="24"/>
          <w:szCs w:val="24"/>
        </w:rPr>
        <w:t>Awad</w:t>
      </w:r>
      <w:proofErr w:type="spellEnd"/>
      <w:r w:rsidR="0017534D" w:rsidRPr="00647B2E">
        <w:rPr>
          <w:rFonts w:asciiTheme="majorBidi" w:hAnsiTheme="majorBidi" w:cstheme="majorBidi"/>
          <w:sz w:val="24"/>
          <w:szCs w:val="24"/>
        </w:rPr>
        <w:t xml:space="preserve"> Mikhail was appointed governor of Damietta, to become the second ever female governor in Egypt.</w:t>
      </w:r>
      <w:r w:rsidRPr="00647B2E">
        <w:rPr>
          <w:rFonts w:asciiTheme="majorBidi" w:hAnsiTheme="majorBidi" w:cstheme="majorBidi"/>
          <w:sz w:val="24"/>
          <w:szCs w:val="24"/>
        </w:rPr>
        <w:t xml:space="preserve"> Five women served as deputy governor in Giza, the Red Sea, </w:t>
      </w:r>
      <w:proofErr w:type="spellStart"/>
      <w:r w:rsidRPr="00647B2E">
        <w:rPr>
          <w:rFonts w:asciiTheme="majorBidi" w:hAnsiTheme="majorBidi" w:cstheme="majorBidi"/>
          <w:sz w:val="24"/>
          <w:szCs w:val="24"/>
        </w:rPr>
        <w:t>Beheira</w:t>
      </w:r>
      <w:proofErr w:type="spellEnd"/>
      <w:r w:rsidRPr="00647B2E">
        <w:rPr>
          <w:rFonts w:asciiTheme="majorBidi" w:hAnsiTheme="majorBidi" w:cstheme="majorBidi"/>
          <w:sz w:val="24"/>
          <w:szCs w:val="24"/>
        </w:rPr>
        <w:t xml:space="preserve">, </w:t>
      </w:r>
      <w:proofErr w:type="spellStart"/>
      <w:r w:rsidRPr="00647B2E">
        <w:rPr>
          <w:rFonts w:asciiTheme="majorBidi" w:hAnsiTheme="majorBidi" w:cstheme="majorBidi"/>
          <w:sz w:val="24"/>
          <w:szCs w:val="24"/>
        </w:rPr>
        <w:t>Qalyubia</w:t>
      </w:r>
      <w:proofErr w:type="spellEnd"/>
      <w:r w:rsidRPr="00647B2E">
        <w:rPr>
          <w:rFonts w:asciiTheme="majorBidi" w:hAnsiTheme="majorBidi" w:cstheme="majorBidi"/>
          <w:sz w:val="24"/>
          <w:szCs w:val="24"/>
        </w:rPr>
        <w:t xml:space="preserve"> and the New Valley. Ironically, the Ministry of Justice recorded the highest percentage of women holding leadership positions, </w:t>
      </w:r>
      <w:r w:rsidR="0017534D" w:rsidRPr="00647B2E">
        <w:rPr>
          <w:rFonts w:asciiTheme="majorBidi" w:hAnsiTheme="majorBidi" w:cstheme="majorBidi"/>
          <w:sz w:val="24"/>
          <w:szCs w:val="24"/>
        </w:rPr>
        <w:t>which reached</w:t>
      </w:r>
      <w:r w:rsidRPr="00647B2E">
        <w:rPr>
          <w:rFonts w:asciiTheme="majorBidi" w:hAnsiTheme="majorBidi" w:cstheme="majorBidi"/>
          <w:sz w:val="24"/>
          <w:szCs w:val="24"/>
        </w:rPr>
        <w:t xml:space="preserve"> 48%.</w:t>
      </w:r>
      <w:r w:rsidR="0017534D" w:rsidRPr="00647B2E">
        <w:rPr>
          <w:rStyle w:val="FootnoteReference"/>
          <w:rFonts w:asciiTheme="majorBidi" w:hAnsiTheme="majorBidi" w:cstheme="majorBidi"/>
          <w:sz w:val="24"/>
          <w:szCs w:val="24"/>
        </w:rPr>
        <w:footnoteReference w:id="8"/>
      </w:r>
    </w:p>
    <w:p w14:paraId="120A569E"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Also, </w:t>
      </w:r>
      <w:r w:rsidR="008F362C" w:rsidRPr="00647B2E">
        <w:rPr>
          <w:rFonts w:asciiTheme="majorBidi" w:hAnsiTheme="majorBidi" w:cstheme="majorBidi"/>
          <w:sz w:val="24"/>
          <w:szCs w:val="24"/>
        </w:rPr>
        <w:t xml:space="preserve">in 2018, Chancellor </w:t>
      </w:r>
      <w:proofErr w:type="spellStart"/>
      <w:r w:rsidR="008F362C" w:rsidRPr="00647B2E">
        <w:rPr>
          <w:rFonts w:asciiTheme="majorBidi" w:hAnsiTheme="majorBidi" w:cstheme="majorBidi"/>
          <w:sz w:val="24"/>
          <w:szCs w:val="24"/>
        </w:rPr>
        <w:t>Hasna</w:t>
      </w:r>
      <w:proofErr w:type="spellEnd"/>
      <w:r w:rsidR="008F362C" w:rsidRPr="00647B2E">
        <w:rPr>
          <w:rFonts w:asciiTheme="majorBidi" w:hAnsiTheme="majorBidi" w:cstheme="majorBidi"/>
          <w:sz w:val="24"/>
          <w:szCs w:val="24"/>
        </w:rPr>
        <w:t xml:space="preserve"> Shaaban was promoted as the head judge of Tanta Economic Court. She became the first female judge to assume the presidency of a court in Egypt. However, women are still poorly represented in the judiciary compared to men, as the number of female judges reached 66 out of 9694</w:t>
      </w:r>
      <w:r w:rsidRPr="00647B2E">
        <w:rPr>
          <w:rFonts w:asciiTheme="majorBidi" w:hAnsiTheme="majorBidi" w:cstheme="majorBidi"/>
          <w:sz w:val="24"/>
          <w:szCs w:val="24"/>
        </w:rPr>
        <w:t>. Six other women were</w:t>
      </w:r>
      <w:r w:rsidR="008F362C" w:rsidRPr="00647B2E">
        <w:rPr>
          <w:rFonts w:asciiTheme="majorBidi" w:hAnsiTheme="majorBidi" w:cstheme="majorBidi"/>
          <w:sz w:val="24"/>
          <w:szCs w:val="24"/>
        </w:rPr>
        <w:t xml:space="preserve"> appointed as</w:t>
      </w:r>
      <w:r w:rsidRPr="00647B2E">
        <w:rPr>
          <w:rFonts w:asciiTheme="majorBidi" w:hAnsiTheme="majorBidi" w:cstheme="majorBidi"/>
          <w:sz w:val="24"/>
          <w:szCs w:val="24"/>
        </w:rPr>
        <w:t xml:space="preserve"> female vice-presidents of the State Cases Authority for the first time in Egypt. The Supreme Judicial Council also appointed, for the first time, a woman to the position of Assistant Minister of Justice, and four female judges in the secretariat of the Supreme Elections Committee. In addition, 6 </w:t>
      </w:r>
      <w:r w:rsidR="001A47D6" w:rsidRPr="00647B2E">
        <w:rPr>
          <w:rFonts w:asciiTheme="majorBidi" w:hAnsiTheme="majorBidi" w:cstheme="majorBidi"/>
          <w:sz w:val="24"/>
          <w:szCs w:val="24"/>
        </w:rPr>
        <w:t>female</w:t>
      </w:r>
      <w:r w:rsidRPr="00647B2E">
        <w:rPr>
          <w:rFonts w:asciiTheme="majorBidi" w:hAnsiTheme="majorBidi" w:cstheme="majorBidi"/>
          <w:sz w:val="24"/>
          <w:szCs w:val="24"/>
        </w:rPr>
        <w:t xml:space="preserve"> </w:t>
      </w:r>
      <w:r w:rsidR="001A47D6" w:rsidRPr="00647B2E">
        <w:rPr>
          <w:rFonts w:asciiTheme="majorBidi" w:hAnsiTheme="majorBidi" w:cstheme="majorBidi"/>
          <w:sz w:val="24"/>
          <w:szCs w:val="24"/>
        </w:rPr>
        <w:t xml:space="preserve">Marriage registrars </w:t>
      </w:r>
      <w:r w:rsidRPr="00647B2E">
        <w:rPr>
          <w:rFonts w:asciiTheme="majorBidi" w:hAnsiTheme="majorBidi" w:cstheme="majorBidi"/>
          <w:sz w:val="24"/>
          <w:szCs w:val="24"/>
        </w:rPr>
        <w:t xml:space="preserve">were appointed in the governorates of Aswan, </w:t>
      </w:r>
      <w:r w:rsidR="001A47D6" w:rsidRPr="00647B2E">
        <w:rPr>
          <w:rFonts w:asciiTheme="majorBidi" w:hAnsiTheme="majorBidi" w:cstheme="majorBidi"/>
          <w:sz w:val="24"/>
          <w:szCs w:val="24"/>
        </w:rPr>
        <w:t>Al-</w:t>
      </w:r>
      <w:proofErr w:type="spellStart"/>
      <w:r w:rsidR="001A47D6" w:rsidRPr="00647B2E">
        <w:rPr>
          <w:rFonts w:asciiTheme="majorBidi" w:hAnsiTheme="majorBidi" w:cstheme="majorBidi"/>
          <w:sz w:val="24"/>
          <w:szCs w:val="24"/>
        </w:rPr>
        <w:t>Sharqia</w:t>
      </w:r>
      <w:proofErr w:type="spellEnd"/>
      <w:r w:rsidRPr="00647B2E">
        <w:rPr>
          <w:rFonts w:asciiTheme="majorBidi" w:hAnsiTheme="majorBidi" w:cstheme="majorBidi"/>
          <w:sz w:val="24"/>
          <w:szCs w:val="24"/>
        </w:rPr>
        <w:t xml:space="preserve">, </w:t>
      </w:r>
      <w:r w:rsidR="001A47D6" w:rsidRPr="00647B2E">
        <w:rPr>
          <w:rFonts w:asciiTheme="majorBidi" w:hAnsiTheme="majorBidi" w:cstheme="majorBidi"/>
          <w:sz w:val="24"/>
          <w:szCs w:val="24"/>
        </w:rPr>
        <w:t>Al-</w:t>
      </w:r>
      <w:r w:rsidRPr="00647B2E">
        <w:rPr>
          <w:rFonts w:asciiTheme="majorBidi" w:hAnsiTheme="majorBidi" w:cstheme="majorBidi"/>
          <w:sz w:val="24"/>
          <w:szCs w:val="24"/>
        </w:rPr>
        <w:t xml:space="preserve">Ismailia, </w:t>
      </w:r>
      <w:r w:rsidR="001A47D6" w:rsidRPr="00647B2E">
        <w:rPr>
          <w:rFonts w:asciiTheme="majorBidi" w:hAnsiTheme="majorBidi" w:cstheme="majorBidi"/>
          <w:sz w:val="24"/>
          <w:szCs w:val="24"/>
        </w:rPr>
        <w:t xml:space="preserve">Al- </w:t>
      </w:r>
      <w:r w:rsidRPr="00647B2E">
        <w:rPr>
          <w:rFonts w:asciiTheme="majorBidi" w:hAnsiTheme="majorBidi" w:cstheme="majorBidi"/>
          <w:sz w:val="24"/>
          <w:szCs w:val="24"/>
        </w:rPr>
        <w:t>Minya and Port Said.</w:t>
      </w:r>
      <w:r w:rsidR="001A47D6" w:rsidRPr="00647B2E">
        <w:rPr>
          <w:rStyle w:val="FootnoteReference"/>
          <w:rFonts w:asciiTheme="majorBidi" w:hAnsiTheme="majorBidi" w:cstheme="majorBidi"/>
          <w:sz w:val="24"/>
          <w:szCs w:val="24"/>
        </w:rPr>
        <w:footnoteReference w:id="9"/>
      </w:r>
    </w:p>
    <w:p w14:paraId="31A9A159" w14:textId="77777777" w:rsidR="008A2E8F" w:rsidRPr="00647B2E" w:rsidRDefault="008A2E8F" w:rsidP="00647B2E">
      <w:pPr>
        <w:jc w:val="both"/>
        <w:rPr>
          <w:rFonts w:asciiTheme="majorBidi" w:hAnsiTheme="majorBidi" w:cstheme="majorBidi"/>
          <w:b/>
          <w:bCs/>
          <w:color w:val="FFC000"/>
          <w:sz w:val="24"/>
          <w:szCs w:val="24"/>
          <w:rtl/>
        </w:rPr>
      </w:pPr>
      <w:r w:rsidRPr="00647B2E">
        <w:rPr>
          <w:rFonts w:asciiTheme="majorBidi" w:hAnsiTheme="majorBidi" w:cstheme="majorBidi"/>
          <w:b/>
          <w:bCs/>
          <w:color w:val="FFC000"/>
          <w:sz w:val="24"/>
          <w:szCs w:val="24"/>
        </w:rPr>
        <w:t>Women's economic empowerment</w:t>
      </w:r>
    </w:p>
    <w:p w14:paraId="539FA4C7"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The percentage of women working in the formal sector reaches 60% of the total number of working women nationwide, and the percentage of those participating in social insurance reached 72% compared to 43.2% of men, which means that women are more keen on job security.</w:t>
      </w:r>
      <w:r w:rsidR="001A47D6" w:rsidRPr="00647B2E">
        <w:rPr>
          <w:rStyle w:val="FootnoteReference"/>
          <w:rFonts w:asciiTheme="majorBidi" w:hAnsiTheme="majorBidi" w:cstheme="majorBidi"/>
          <w:sz w:val="24"/>
          <w:szCs w:val="24"/>
        </w:rPr>
        <w:footnoteReference w:id="10"/>
      </w:r>
      <w:r w:rsidRPr="00647B2E">
        <w:rPr>
          <w:rFonts w:asciiTheme="majorBidi" w:hAnsiTheme="majorBidi" w:cstheme="majorBidi"/>
          <w:sz w:val="24"/>
          <w:szCs w:val="24"/>
        </w:rPr>
        <w:t xml:space="preserve"> Although these percentages are high, most of them are concentrated mainly in urban areas where there are largely equal employment opportunities for both sexes.</w:t>
      </w:r>
    </w:p>
    <w:p w14:paraId="2E815124" w14:textId="77777777" w:rsidR="008A2E8F" w:rsidRPr="00647B2E" w:rsidRDefault="00326569"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In this context, to support </w:t>
      </w:r>
      <w:r w:rsidR="008A2E8F" w:rsidRPr="00647B2E">
        <w:rPr>
          <w:rFonts w:asciiTheme="majorBidi" w:hAnsiTheme="majorBidi" w:cstheme="majorBidi"/>
          <w:sz w:val="24"/>
          <w:szCs w:val="24"/>
        </w:rPr>
        <w:t xml:space="preserve">women </w:t>
      </w:r>
      <w:r w:rsidRPr="00647B2E">
        <w:rPr>
          <w:rFonts w:asciiTheme="majorBidi" w:hAnsiTheme="majorBidi" w:cstheme="majorBidi"/>
          <w:sz w:val="24"/>
          <w:szCs w:val="24"/>
        </w:rPr>
        <w:t xml:space="preserve">engagement </w:t>
      </w:r>
      <w:r w:rsidR="008A2E8F" w:rsidRPr="00647B2E">
        <w:rPr>
          <w:rFonts w:asciiTheme="majorBidi" w:hAnsiTheme="majorBidi" w:cstheme="majorBidi"/>
          <w:sz w:val="24"/>
          <w:szCs w:val="24"/>
        </w:rPr>
        <w:t>into the labor market in rural and marginalized areas, the Egyptian government provided training and assistance in the field of entrepreneurship and the establishment of small and micro enterprises targeting</w:t>
      </w:r>
      <w:r w:rsidRPr="00647B2E">
        <w:rPr>
          <w:rFonts w:asciiTheme="majorBidi" w:hAnsiTheme="majorBidi" w:cstheme="majorBidi"/>
          <w:sz w:val="24"/>
          <w:szCs w:val="24"/>
        </w:rPr>
        <w:t xml:space="preserve"> female</w:t>
      </w:r>
      <w:r w:rsidR="008A2E8F" w:rsidRPr="00647B2E">
        <w:rPr>
          <w:rFonts w:asciiTheme="majorBidi" w:hAnsiTheme="majorBidi" w:cstheme="majorBidi"/>
          <w:sz w:val="24"/>
          <w:szCs w:val="24"/>
        </w:rPr>
        <w:t xml:space="preserve"> </w:t>
      </w:r>
      <w:r w:rsidR="008A2E8F" w:rsidRPr="00647B2E">
        <w:rPr>
          <w:rFonts w:asciiTheme="majorBidi" w:hAnsiTheme="majorBidi" w:cstheme="majorBidi"/>
          <w:sz w:val="24"/>
          <w:szCs w:val="24"/>
        </w:rPr>
        <w:lastRenderedPageBreak/>
        <w:t xml:space="preserve">breadwinner and women in rural areas where women </w:t>
      </w:r>
      <w:r w:rsidRPr="00647B2E">
        <w:rPr>
          <w:rFonts w:asciiTheme="majorBidi" w:hAnsiTheme="majorBidi" w:cstheme="majorBidi"/>
          <w:sz w:val="24"/>
          <w:szCs w:val="24"/>
        </w:rPr>
        <w:t>are not encouraged to</w:t>
      </w:r>
      <w:r w:rsidR="008A2E8F" w:rsidRPr="00647B2E">
        <w:rPr>
          <w:rFonts w:asciiTheme="majorBidi" w:hAnsiTheme="majorBidi" w:cstheme="majorBidi"/>
          <w:sz w:val="24"/>
          <w:szCs w:val="24"/>
        </w:rPr>
        <w:t xml:space="preserve"> leave </w:t>
      </w:r>
      <w:r w:rsidRPr="00647B2E">
        <w:rPr>
          <w:rFonts w:asciiTheme="majorBidi" w:hAnsiTheme="majorBidi" w:cstheme="majorBidi"/>
          <w:sz w:val="24"/>
          <w:szCs w:val="24"/>
        </w:rPr>
        <w:t xml:space="preserve">their homes </w:t>
      </w:r>
      <w:r w:rsidR="008A2E8F" w:rsidRPr="00647B2E">
        <w:rPr>
          <w:rFonts w:asciiTheme="majorBidi" w:hAnsiTheme="majorBidi" w:cstheme="majorBidi"/>
          <w:sz w:val="24"/>
          <w:szCs w:val="24"/>
        </w:rPr>
        <w:t xml:space="preserve">and work </w:t>
      </w:r>
      <w:r w:rsidRPr="00647B2E">
        <w:rPr>
          <w:rFonts w:asciiTheme="majorBidi" w:hAnsiTheme="majorBidi" w:cstheme="majorBidi"/>
          <w:sz w:val="24"/>
          <w:szCs w:val="24"/>
        </w:rPr>
        <w:t xml:space="preserve">far from urban areas, so getting and maintain a job would be very </w:t>
      </w:r>
      <w:r w:rsidR="008A2E8F" w:rsidRPr="00647B2E">
        <w:rPr>
          <w:rFonts w:asciiTheme="majorBidi" w:hAnsiTheme="majorBidi" w:cstheme="majorBidi"/>
          <w:sz w:val="24"/>
          <w:szCs w:val="24"/>
        </w:rPr>
        <w:t>difficult.</w:t>
      </w:r>
    </w:p>
    <w:p w14:paraId="3212ACAB" w14:textId="77777777" w:rsidR="008A2E8F" w:rsidRPr="00647B2E" w:rsidRDefault="008A2E8F" w:rsidP="00647B2E">
      <w:pPr>
        <w:jc w:val="both"/>
        <w:rPr>
          <w:rFonts w:asciiTheme="majorBidi" w:hAnsiTheme="majorBidi" w:cstheme="majorBidi"/>
          <w:sz w:val="24"/>
          <w:szCs w:val="24"/>
        </w:rPr>
      </w:pPr>
      <w:r w:rsidRPr="00647B2E">
        <w:rPr>
          <w:rFonts w:asciiTheme="majorBidi" w:hAnsiTheme="majorBidi" w:cstheme="majorBidi"/>
          <w:sz w:val="24"/>
          <w:szCs w:val="24"/>
        </w:rPr>
        <w:t xml:space="preserve">         With fewer job opportunities in the public sector and a gap between the required skills and the labor market, the Egyptian government - represented by its ministries and universities and the National Council for Women - has focused on the areas of entrepreneurship and vocational training for women. And this contributed to the issuance of the Unified Investment Law No. 72 of 2017, which stipulated in its second article on gender equality in investment opportunities, and the establishment of an office for women and businesswomen to facilitate procedures for them.</w:t>
      </w:r>
      <w:r w:rsidR="00326569" w:rsidRPr="00647B2E">
        <w:rPr>
          <w:rStyle w:val="FootnoteReference"/>
          <w:rFonts w:asciiTheme="majorBidi" w:hAnsiTheme="majorBidi" w:cstheme="majorBidi"/>
          <w:sz w:val="24"/>
          <w:szCs w:val="24"/>
        </w:rPr>
        <w:footnoteReference w:id="11"/>
      </w:r>
      <w:r w:rsidRPr="00647B2E">
        <w:rPr>
          <w:rFonts w:asciiTheme="majorBidi" w:hAnsiTheme="majorBidi" w:cstheme="majorBidi"/>
          <w:sz w:val="24"/>
          <w:szCs w:val="24"/>
        </w:rPr>
        <w:t xml:space="preserve"> In this context, the Ministry of Social Solidarity funded 61,500 micro-projects for women in rural and informal areas out of a total of 81,000 projects. </w:t>
      </w:r>
      <w:r w:rsidR="00326569" w:rsidRPr="00647B2E">
        <w:rPr>
          <w:rFonts w:asciiTheme="majorBidi" w:hAnsiTheme="majorBidi" w:cstheme="majorBidi"/>
          <w:sz w:val="24"/>
          <w:szCs w:val="24"/>
        </w:rPr>
        <w:t xml:space="preserve">It also provided vocational </w:t>
      </w:r>
      <w:r w:rsidRPr="00647B2E">
        <w:rPr>
          <w:rFonts w:asciiTheme="majorBidi" w:hAnsiTheme="majorBidi" w:cstheme="majorBidi"/>
          <w:sz w:val="24"/>
          <w:szCs w:val="24"/>
        </w:rPr>
        <w:t>training to 22,500 women in the poorest regions of Egypt and trained 9,300 women in 430 productive family centers.</w:t>
      </w:r>
    </w:p>
    <w:p w14:paraId="1176E6C1" w14:textId="77777777" w:rsidR="008A2E8F" w:rsidRPr="00647B2E" w:rsidRDefault="008A2E8F" w:rsidP="00647B2E">
      <w:pPr>
        <w:jc w:val="both"/>
        <w:rPr>
          <w:rFonts w:asciiTheme="majorBidi" w:hAnsiTheme="majorBidi" w:cstheme="majorBidi"/>
          <w:sz w:val="24"/>
          <w:szCs w:val="24"/>
        </w:rPr>
      </w:pPr>
      <w:r w:rsidRPr="00647B2E">
        <w:rPr>
          <w:rFonts w:asciiTheme="majorBidi" w:hAnsiTheme="majorBidi" w:cstheme="majorBidi"/>
          <w:sz w:val="24"/>
          <w:szCs w:val="24"/>
        </w:rPr>
        <w:t xml:space="preserve">         The Ministry is also helping women to sell their products, as a number of productive </w:t>
      </w:r>
      <w:proofErr w:type="gramStart"/>
      <w:r w:rsidRPr="00647B2E">
        <w:rPr>
          <w:rFonts w:asciiTheme="majorBidi" w:hAnsiTheme="majorBidi" w:cstheme="majorBidi"/>
          <w:sz w:val="24"/>
          <w:szCs w:val="24"/>
        </w:rPr>
        <w:t>families</w:t>
      </w:r>
      <w:proofErr w:type="gramEnd"/>
      <w:r w:rsidRPr="00647B2E">
        <w:rPr>
          <w:rFonts w:asciiTheme="majorBidi" w:hAnsiTheme="majorBidi" w:cstheme="majorBidi"/>
          <w:sz w:val="24"/>
          <w:szCs w:val="24"/>
        </w:rPr>
        <w:t xml:space="preserve"> exhibitions are held, with sales in March 2019 reaching 33 million pounds</w:t>
      </w:r>
      <w:r w:rsidR="00326569" w:rsidRPr="00647B2E">
        <w:rPr>
          <w:rStyle w:val="FootnoteReference"/>
          <w:rFonts w:asciiTheme="majorBidi" w:hAnsiTheme="majorBidi" w:cstheme="majorBidi"/>
          <w:sz w:val="24"/>
          <w:szCs w:val="24"/>
        </w:rPr>
        <w:footnoteReference w:id="12"/>
      </w:r>
      <w:r w:rsidRPr="00647B2E">
        <w:rPr>
          <w:rFonts w:asciiTheme="majorBidi" w:hAnsiTheme="majorBidi" w:cstheme="majorBidi"/>
          <w:sz w:val="24"/>
          <w:szCs w:val="24"/>
        </w:rPr>
        <w:t xml:space="preserve">. Nasser Social Bank </w:t>
      </w:r>
      <w:r w:rsidR="00A236F9" w:rsidRPr="00647B2E">
        <w:rPr>
          <w:rFonts w:asciiTheme="majorBidi" w:hAnsiTheme="majorBidi" w:cstheme="majorBidi"/>
          <w:sz w:val="24"/>
          <w:szCs w:val="24"/>
        </w:rPr>
        <w:t>grants</w:t>
      </w:r>
      <w:r w:rsidRPr="00647B2E">
        <w:rPr>
          <w:rFonts w:asciiTheme="majorBidi" w:hAnsiTheme="majorBidi" w:cstheme="majorBidi"/>
          <w:sz w:val="24"/>
          <w:szCs w:val="24"/>
        </w:rPr>
        <w:t xml:space="preserve"> </w:t>
      </w:r>
      <w:r w:rsidR="00A236F9" w:rsidRPr="00647B2E">
        <w:rPr>
          <w:rFonts w:asciiTheme="majorBidi" w:hAnsiTheme="majorBidi" w:cstheme="majorBidi"/>
          <w:sz w:val="24"/>
          <w:szCs w:val="24"/>
        </w:rPr>
        <w:t>soft loans and microfinance for low and middle-income citizens, including women, to help them being active</w:t>
      </w:r>
      <w:r w:rsidRPr="00647B2E">
        <w:rPr>
          <w:rFonts w:asciiTheme="majorBidi" w:hAnsiTheme="majorBidi" w:cstheme="majorBidi"/>
          <w:sz w:val="24"/>
          <w:szCs w:val="24"/>
        </w:rPr>
        <w:t xml:space="preserve"> </w:t>
      </w:r>
      <w:r w:rsidR="00A236F9" w:rsidRPr="00647B2E">
        <w:rPr>
          <w:rFonts w:asciiTheme="majorBidi" w:hAnsiTheme="majorBidi" w:cstheme="majorBidi"/>
          <w:sz w:val="24"/>
          <w:szCs w:val="24"/>
        </w:rPr>
        <w:t xml:space="preserve">members </w:t>
      </w:r>
      <w:r w:rsidRPr="00647B2E">
        <w:rPr>
          <w:rFonts w:asciiTheme="majorBidi" w:hAnsiTheme="majorBidi" w:cstheme="majorBidi"/>
          <w:sz w:val="24"/>
          <w:szCs w:val="24"/>
        </w:rPr>
        <w:t>in society.</w:t>
      </w:r>
      <w:r w:rsidR="00A236F9" w:rsidRPr="00647B2E">
        <w:rPr>
          <w:rStyle w:val="FootnoteReference"/>
          <w:rFonts w:asciiTheme="majorBidi" w:hAnsiTheme="majorBidi" w:cstheme="majorBidi"/>
          <w:sz w:val="24"/>
          <w:szCs w:val="24"/>
        </w:rPr>
        <w:footnoteReference w:id="13"/>
      </w:r>
      <w:r w:rsidRPr="00647B2E">
        <w:rPr>
          <w:rFonts w:asciiTheme="majorBidi" w:hAnsiTheme="majorBidi" w:cstheme="majorBidi"/>
          <w:sz w:val="24"/>
          <w:szCs w:val="24"/>
        </w:rPr>
        <w:t xml:space="preserve"> In the same context, the National Council for Women is training women to establish small enterprises through the Skills Development Center, which holds courses on marketing and administrative skills. The council also provided programs to qualify women with special needs to enter the labor market by setting up small enterprises. In 2017, a group of women with special needs were trained to plant rooftops.</w:t>
      </w:r>
      <w:r w:rsidR="00A236F9" w:rsidRPr="00647B2E">
        <w:rPr>
          <w:rStyle w:val="FootnoteReference"/>
          <w:rFonts w:asciiTheme="majorBidi" w:hAnsiTheme="majorBidi" w:cstheme="majorBidi"/>
          <w:sz w:val="24"/>
          <w:szCs w:val="24"/>
        </w:rPr>
        <w:footnoteReference w:id="14"/>
      </w:r>
    </w:p>
    <w:p w14:paraId="197F2A4B" w14:textId="77777777" w:rsidR="008A2E8F" w:rsidRPr="00647B2E" w:rsidRDefault="008A2E8F" w:rsidP="00647B2E">
      <w:pPr>
        <w:jc w:val="both"/>
        <w:rPr>
          <w:rFonts w:asciiTheme="majorBidi" w:hAnsiTheme="majorBidi" w:cstheme="majorBidi"/>
          <w:sz w:val="24"/>
          <w:szCs w:val="24"/>
        </w:rPr>
      </w:pPr>
      <w:r w:rsidRPr="00647B2E">
        <w:rPr>
          <w:rFonts w:asciiTheme="majorBidi" w:hAnsiTheme="majorBidi" w:cstheme="majorBidi"/>
          <w:sz w:val="24"/>
          <w:szCs w:val="24"/>
        </w:rPr>
        <w:t xml:space="preserve">          Governmental agencies provide support for working women by helping them balance between their work and their domestic duties through legal legislation that obliges the employer who employs one hundred workers or more in one place to establish a nursery or entrusts a nursery to take care of the children of workers in accordance with Article 96 of the Labor Law.</w:t>
      </w:r>
      <w:r w:rsidR="00761F20" w:rsidRPr="00647B2E">
        <w:rPr>
          <w:rStyle w:val="FootnoteReference"/>
          <w:rFonts w:asciiTheme="majorBidi" w:hAnsiTheme="majorBidi" w:cstheme="majorBidi"/>
          <w:sz w:val="24"/>
          <w:szCs w:val="24"/>
        </w:rPr>
        <w:footnoteReference w:id="15"/>
      </w:r>
      <w:r w:rsidRPr="00647B2E">
        <w:rPr>
          <w:rFonts w:asciiTheme="majorBidi" w:hAnsiTheme="majorBidi" w:cstheme="majorBidi"/>
          <w:sz w:val="24"/>
          <w:szCs w:val="24"/>
        </w:rPr>
        <w:t xml:space="preserve"> The Ministry of Social Solidarity also encourages entrepreneurs to establish nurseries and develop existing nurseries by providing financing from 20 thousand to 500 thousand pounds to be repaid over four years without interest through loans provided by Nasser Social Bank. The Ministry provides 42 centers to serve working women by providing ready meals, washing, ironing and babysitting services for the elderly and children. The </w:t>
      </w:r>
      <w:r w:rsidR="00761F20" w:rsidRPr="00647B2E">
        <w:rPr>
          <w:rFonts w:asciiTheme="majorBidi" w:hAnsiTheme="majorBidi" w:cstheme="majorBidi"/>
          <w:sz w:val="24"/>
          <w:szCs w:val="24"/>
        </w:rPr>
        <w:t xml:space="preserve">total </w:t>
      </w:r>
      <w:r w:rsidRPr="00647B2E">
        <w:rPr>
          <w:rFonts w:asciiTheme="majorBidi" w:hAnsiTheme="majorBidi" w:cstheme="majorBidi"/>
          <w:sz w:val="24"/>
          <w:szCs w:val="24"/>
        </w:rPr>
        <w:t>number of beneficiaries of these services is</w:t>
      </w:r>
      <w:r w:rsidR="00761F20" w:rsidRPr="00647B2E">
        <w:rPr>
          <w:rFonts w:asciiTheme="majorBidi" w:hAnsiTheme="majorBidi" w:cstheme="majorBidi"/>
          <w:sz w:val="24"/>
          <w:szCs w:val="24"/>
        </w:rPr>
        <w:t xml:space="preserve"> estimated by</w:t>
      </w:r>
      <w:r w:rsidRPr="00647B2E">
        <w:rPr>
          <w:rFonts w:asciiTheme="majorBidi" w:hAnsiTheme="majorBidi" w:cstheme="majorBidi"/>
          <w:sz w:val="24"/>
          <w:szCs w:val="24"/>
        </w:rPr>
        <w:t xml:space="preserve"> 165,000 women in 22 governorates.</w:t>
      </w:r>
      <w:r w:rsidR="00761F20" w:rsidRPr="00647B2E">
        <w:rPr>
          <w:rStyle w:val="FootnoteReference"/>
          <w:rFonts w:asciiTheme="majorBidi" w:hAnsiTheme="majorBidi" w:cstheme="majorBidi"/>
          <w:sz w:val="24"/>
          <w:szCs w:val="24"/>
        </w:rPr>
        <w:footnoteReference w:id="16"/>
      </w:r>
    </w:p>
    <w:p w14:paraId="3E865138" w14:textId="77777777" w:rsidR="008A2E8F" w:rsidRPr="00647B2E" w:rsidRDefault="008A2E8F" w:rsidP="00647B2E">
      <w:pPr>
        <w:jc w:val="both"/>
        <w:rPr>
          <w:rFonts w:asciiTheme="majorBidi" w:hAnsiTheme="majorBidi" w:cstheme="majorBidi"/>
          <w:sz w:val="24"/>
          <w:szCs w:val="24"/>
        </w:rPr>
      </w:pPr>
      <w:r w:rsidRPr="00647B2E">
        <w:rPr>
          <w:rFonts w:asciiTheme="majorBidi" w:hAnsiTheme="majorBidi" w:cstheme="majorBidi"/>
          <w:sz w:val="24"/>
          <w:szCs w:val="24"/>
        </w:rPr>
        <w:t xml:space="preserve">           Despite the efforts made to encourage women to participate in the labor market, their participation rate is still very small compared to men, as the percentage of women’s participation in the labor market still does not exceed 24.1%. This may be due to several reasons related to the availability of work in the different governorates and the extent to which employers accept employing women, as most employers prefer to employ men. Culture, customs and traditions also </w:t>
      </w:r>
      <w:r w:rsidRPr="00647B2E">
        <w:rPr>
          <w:rFonts w:asciiTheme="majorBidi" w:hAnsiTheme="majorBidi" w:cstheme="majorBidi"/>
          <w:sz w:val="24"/>
          <w:szCs w:val="24"/>
        </w:rPr>
        <w:lastRenderedPageBreak/>
        <w:t>play a</w:t>
      </w:r>
      <w:r w:rsidR="00761F20" w:rsidRPr="00647B2E">
        <w:rPr>
          <w:rFonts w:asciiTheme="majorBidi" w:hAnsiTheme="majorBidi" w:cstheme="majorBidi"/>
          <w:sz w:val="24"/>
          <w:szCs w:val="24"/>
        </w:rPr>
        <w:t xml:space="preserve">n undeniable </w:t>
      </w:r>
      <w:r w:rsidRPr="00647B2E">
        <w:rPr>
          <w:rFonts w:asciiTheme="majorBidi" w:hAnsiTheme="majorBidi" w:cstheme="majorBidi"/>
          <w:sz w:val="24"/>
          <w:szCs w:val="24"/>
        </w:rPr>
        <w:t xml:space="preserve">role in dealing with women, as many husbands refuse to allow their wives to work, especially in rural areas. National legislation also lacks laws that protect women working in the informal sector, especially the agricultural sector and domestic workers, and with the lack of jobs in the formal sector, women may refrain from working permanently. More effort is required to contribute to changing society's perception of women, </w:t>
      </w:r>
      <w:r w:rsidR="00761F20" w:rsidRPr="00647B2E">
        <w:rPr>
          <w:rFonts w:asciiTheme="majorBidi" w:hAnsiTheme="majorBidi" w:cstheme="majorBidi"/>
          <w:sz w:val="24"/>
          <w:szCs w:val="24"/>
        </w:rPr>
        <w:t>a target that</w:t>
      </w:r>
      <w:r w:rsidRPr="00647B2E">
        <w:rPr>
          <w:rFonts w:asciiTheme="majorBidi" w:hAnsiTheme="majorBidi" w:cstheme="majorBidi"/>
          <w:sz w:val="24"/>
          <w:szCs w:val="24"/>
        </w:rPr>
        <w:t xml:space="preserve"> the Nationa</w:t>
      </w:r>
      <w:r w:rsidR="00761F20" w:rsidRPr="00647B2E">
        <w:rPr>
          <w:rFonts w:asciiTheme="majorBidi" w:hAnsiTheme="majorBidi" w:cstheme="majorBidi"/>
          <w:sz w:val="24"/>
          <w:szCs w:val="24"/>
        </w:rPr>
        <w:t>l Council for Women has been working on through</w:t>
      </w:r>
      <w:r w:rsidRPr="00647B2E">
        <w:rPr>
          <w:rFonts w:asciiTheme="majorBidi" w:hAnsiTheme="majorBidi" w:cstheme="majorBidi"/>
          <w:sz w:val="24"/>
          <w:szCs w:val="24"/>
        </w:rPr>
        <w:t xml:space="preserve"> campaigns that contribute to better socially empowering women.</w:t>
      </w:r>
    </w:p>
    <w:p w14:paraId="41E6A03E" w14:textId="77777777" w:rsidR="008A2E8F" w:rsidRPr="00647B2E" w:rsidRDefault="008A2E8F" w:rsidP="00647B2E">
      <w:pPr>
        <w:jc w:val="both"/>
        <w:rPr>
          <w:rFonts w:asciiTheme="majorBidi" w:hAnsiTheme="majorBidi" w:cstheme="majorBidi"/>
          <w:b/>
          <w:bCs/>
          <w:color w:val="FFC000"/>
          <w:sz w:val="24"/>
          <w:szCs w:val="24"/>
          <w:rtl/>
        </w:rPr>
      </w:pPr>
      <w:r w:rsidRPr="00647B2E">
        <w:rPr>
          <w:rFonts w:asciiTheme="majorBidi" w:hAnsiTheme="majorBidi" w:cstheme="majorBidi"/>
          <w:b/>
          <w:bCs/>
          <w:color w:val="FFC000"/>
          <w:sz w:val="24"/>
          <w:szCs w:val="24"/>
        </w:rPr>
        <w:t>Social empowerment of women</w:t>
      </w:r>
    </w:p>
    <w:p w14:paraId="479E4EA1"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With regard to women's social empowerment, recent years have seen </w:t>
      </w:r>
      <w:r w:rsidR="00FF5096" w:rsidRPr="00647B2E">
        <w:rPr>
          <w:rFonts w:asciiTheme="majorBidi" w:hAnsiTheme="majorBidi" w:cstheme="majorBidi"/>
          <w:sz w:val="24"/>
          <w:szCs w:val="24"/>
        </w:rPr>
        <w:t>remarkable progress. T</w:t>
      </w:r>
      <w:r w:rsidRPr="00647B2E">
        <w:rPr>
          <w:rFonts w:asciiTheme="majorBidi" w:hAnsiTheme="majorBidi" w:cstheme="majorBidi"/>
          <w:sz w:val="24"/>
          <w:szCs w:val="24"/>
        </w:rPr>
        <w:t>he Nat</w:t>
      </w:r>
      <w:r w:rsidR="00FF5096" w:rsidRPr="00647B2E">
        <w:rPr>
          <w:rFonts w:asciiTheme="majorBidi" w:hAnsiTheme="majorBidi" w:cstheme="majorBidi"/>
          <w:sz w:val="24"/>
          <w:szCs w:val="24"/>
        </w:rPr>
        <w:t>ional Council for Women has organized</w:t>
      </w:r>
      <w:r w:rsidRPr="00647B2E">
        <w:rPr>
          <w:rFonts w:asciiTheme="majorBidi" w:hAnsiTheme="majorBidi" w:cstheme="majorBidi"/>
          <w:sz w:val="24"/>
          <w:szCs w:val="24"/>
        </w:rPr>
        <w:t xml:space="preserve"> widespread campaigns in various governorates aimed at highlighting women's problems, identifying their needs and providing support to them by reshaping community awareness about women's issues and dealing with them. Among the most prominent of these issues are harassment, violence against women, child marriage, and the challenges that rural women face. The National Council for Women implemented these campaigns in partnership with state officials, including ministers, governors, heads of government universities, and representatives of civil society organizations. The National Council for Women also relied on communicating with the public, which greatly contributes to influencing societal awareness and shaping its view of women. The number of beneficiaries of the programs of the National Council for Women increased from 393,272 women in 2014 to 7,555,559 women in 2018, </w:t>
      </w:r>
      <w:r w:rsidR="00FF5096" w:rsidRPr="00647B2E">
        <w:rPr>
          <w:rFonts w:asciiTheme="majorBidi" w:hAnsiTheme="majorBidi" w:cstheme="majorBidi"/>
          <w:sz w:val="24"/>
          <w:szCs w:val="24"/>
        </w:rPr>
        <w:t>indicating</w:t>
      </w:r>
      <w:r w:rsidRPr="00647B2E">
        <w:rPr>
          <w:rFonts w:asciiTheme="majorBidi" w:hAnsiTheme="majorBidi" w:cstheme="majorBidi"/>
          <w:sz w:val="24"/>
          <w:szCs w:val="24"/>
        </w:rPr>
        <w:t xml:space="preserve"> the expansion of the Council’s activity and its many contributions to society.</w:t>
      </w:r>
      <w:r w:rsidR="00FF5096" w:rsidRPr="00647B2E">
        <w:rPr>
          <w:rStyle w:val="FootnoteReference"/>
          <w:rFonts w:asciiTheme="majorBidi" w:hAnsiTheme="majorBidi" w:cstheme="majorBidi"/>
          <w:sz w:val="24"/>
          <w:szCs w:val="24"/>
        </w:rPr>
        <w:footnoteReference w:id="17"/>
      </w:r>
    </w:p>
    <w:p w14:paraId="1F3B43BE"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Since 2016, many campaigns have been organized in different governorates. For example, during 2016, the “Knock on the Doors” campaign was launched and visited 393 villages, hamlets and marginalized areas in all Egyptian governorates, to </w:t>
      </w:r>
      <w:r w:rsidR="00DB3705" w:rsidRPr="00647B2E">
        <w:rPr>
          <w:rFonts w:asciiTheme="majorBidi" w:hAnsiTheme="majorBidi" w:cstheme="majorBidi"/>
          <w:sz w:val="24"/>
          <w:szCs w:val="24"/>
        </w:rPr>
        <w:t>identify</w:t>
      </w:r>
      <w:r w:rsidRPr="00647B2E">
        <w:rPr>
          <w:rFonts w:asciiTheme="majorBidi" w:hAnsiTheme="majorBidi" w:cstheme="majorBidi"/>
          <w:sz w:val="24"/>
          <w:szCs w:val="24"/>
        </w:rPr>
        <w:t xml:space="preserve"> the problems and needs of about 72 thousand women of different age groups. Many awareness campaigns were also broadcast on social media, television screens, and public gatherings aimed at communicating with different groups of audiences, raising awareness of women's needs and societal problems, and combating violence against women. Among those campaigns, the "Ta-</w:t>
      </w:r>
      <w:proofErr w:type="spellStart"/>
      <w:r w:rsidRPr="00647B2E">
        <w:rPr>
          <w:rFonts w:asciiTheme="majorBidi" w:hAnsiTheme="majorBidi" w:cstheme="majorBidi"/>
          <w:sz w:val="24"/>
          <w:szCs w:val="24"/>
        </w:rPr>
        <w:t>Marbouta</w:t>
      </w:r>
      <w:proofErr w:type="spellEnd"/>
      <w:r w:rsidRPr="00647B2E">
        <w:rPr>
          <w:rFonts w:asciiTheme="majorBidi" w:hAnsiTheme="majorBidi" w:cstheme="majorBidi"/>
          <w:sz w:val="24"/>
          <w:szCs w:val="24"/>
        </w:rPr>
        <w:t>", which has expanded greatly in recent years, through organizing awareness activities in various institutions and media materials that are broadcast on social media. Several Egyptian universities and civil society organizations contributed to its implementation and achieved more than 40 million views on social media.</w:t>
      </w:r>
    </w:p>
    <w:p w14:paraId="3FA28DEA"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The "16 Days to Combat Violence against Women" campaign also achieved widespread popularity, as nearly 19,000 women were contacted at the national level. In partnership with different universities and schools in different governorates, especially Upper Egypt, about 10,000 male and female students have been contacted through </w:t>
      </w:r>
      <w:r w:rsidR="004B103B" w:rsidRPr="00647B2E">
        <w:rPr>
          <w:rFonts w:asciiTheme="majorBidi" w:hAnsiTheme="majorBidi" w:cstheme="majorBidi"/>
          <w:sz w:val="24"/>
          <w:szCs w:val="24"/>
        </w:rPr>
        <w:t>various</w:t>
      </w:r>
      <w:r w:rsidRPr="00647B2E">
        <w:rPr>
          <w:rFonts w:asciiTheme="majorBidi" w:hAnsiTheme="majorBidi" w:cstheme="majorBidi"/>
          <w:sz w:val="24"/>
          <w:szCs w:val="24"/>
        </w:rPr>
        <w:t xml:space="preserve"> sports, artistic and awareness activities to combat violence against women</w:t>
      </w:r>
      <w:r w:rsidR="004B103B" w:rsidRPr="00647B2E">
        <w:rPr>
          <w:rStyle w:val="FootnoteReference"/>
          <w:rFonts w:asciiTheme="majorBidi" w:hAnsiTheme="majorBidi" w:cstheme="majorBidi"/>
          <w:sz w:val="24"/>
          <w:szCs w:val="24"/>
        </w:rPr>
        <w:footnoteReference w:id="18"/>
      </w:r>
      <w:r w:rsidR="004B103B" w:rsidRPr="00647B2E">
        <w:rPr>
          <w:rFonts w:asciiTheme="majorBidi" w:hAnsiTheme="majorBidi" w:cstheme="majorBidi"/>
          <w:sz w:val="24"/>
          <w:szCs w:val="24"/>
        </w:rPr>
        <w:t>. In addition to the campaign of “</w:t>
      </w:r>
      <w:r w:rsidRPr="00647B2E">
        <w:rPr>
          <w:rFonts w:asciiTheme="majorBidi" w:hAnsiTheme="majorBidi" w:cstheme="majorBidi"/>
          <w:sz w:val="24"/>
          <w:szCs w:val="24"/>
        </w:rPr>
        <w:t>The 17 Days of Activism to Empower Rural Women and Their Society", the campaign ran from 1 to 17 October 2</w:t>
      </w:r>
      <w:r w:rsidR="004B103B" w:rsidRPr="00647B2E">
        <w:rPr>
          <w:rFonts w:asciiTheme="majorBidi" w:hAnsiTheme="majorBidi" w:cstheme="majorBidi"/>
          <w:sz w:val="24"/>
          <w:szCs w:val="24"/>
        </w:rPr>
        <w:t>016. During the campaign, video clips of</w:t>
      </w:r>
      <w:r w:rsidRPr="00647B2E">
        <w:rPr>
          <w:rFonts w:asciiTheme="majorBidi" w:hAnsiTheme="majorBidi" w:cstheme="majorBidi"/>
          <w:sz w:val="24"/>
          <w:szCs w:val="24"/>
        </w:rPr>
        <w:t xml:space="preserve"> short stories about meetings with rural women describing the nature of their lives</w:t>
      </w:r>
      <w:r w:rsidR="004B103B" w:rsidRPr="00647B2E">
        <w:rPr>
          <w:rFonts w:asciiTheme="majorBidi" w:hAnsiTheme="majorBidi" w:cstheme="majorBidi"/>
          <w:sz w:val="24"/>
          <w:szCs w:val="24"/>
        </w:rPr>
        <w:t xml:space="preserve"> were displayed</w:t>
      </w:r>
      <w:r w:rsidRPr="00647B2E">
        <w:rPr>
          <w:rFonts w:asciiTheme="majorBidi" w:hAnsiTheme="majorBidi" w:cstheme="majorBidi"/>
          <w:sz w:val="24"/>
          <w:szCs w:val="24"/>
        </w:rPr>
        <w:t xml:space="preserve"> in order to identify their challenges, daily </w:t>
      </w:r>
      <w:r w:rsidRPr="00647B2E">
        <w:rPr>
          <w:rFonts w:asciiTheme="majorBidi" w:hAnsiTheme="majorBidi" w:cstheme="majorBidi"/>
          <w:sz w:val="24"/>
          <w:szCs w:val="24"/>
        </w:rPr>
        <w:lastRenderedPageBreak/>
        <w:t>practices and aspirations. Activities were provided that aim to spread the culture of environmental awareness and environmental investment through the application of environmental activities such as separating waste from the source, recycling of waste, and agriculture without soil using nutrient solutions and using fish. Six governorates benefited from the campaign</w:t>
      </w:r>
      <w:r w:rsidR="00552751" w:rsidRPr="00647B2E">
        <w:rPr>
          <w:rFonts w:asciiTheme="majorBidi" w:hAnsiTheme="majorBidi" w:cstheme="majorBidi"/>
          <w:sz w:val="24"/>
          <w:szCs w:val="24"/>
        </w:rPr>
        <w:t>, including</w:t>
      </w:r>
      <w:r w:rsidRPr="00647B2E">
        <w:rPr>
          <w:rFonts w:asciiTheme="majorBidi" w:hAnsiTheme="majorBidi" w:cstheme="majorBidi"/>
          <w:sz w:val="24"/>
          <w:szCs w:val="24"/>
        </w:rPr>
        <w:t xml:space="preserve">: </w:t>
      </w:r>
      <w:proofErr w:type="spellStart"/>
      <w:r w:rsidRPr="00647B2E">
        <w:rPr>
          <w:rFonts w:asciiTheme="majorBidi" w:hAnsiTheme="majorBidi" w:cstheme="majorBidi"/>
          <w:sz w:val="24"/>
          <w:szCs w:val="24"/>
        </w:rPr>
        <w:t>Sohag</w:t>
      </w:r>
      <w:proofErr w:type="spellEnd"/>
      <w:r w:rsidRPr="00647B2E">
        <w:rPr>
          <w:rFonts w:asciiTheme="majorBidi" w:hAnsiTheme="majorBidi" w:cstheme="majorBidi"/>
          <w:sz w:val="24"/>
          <w:szCs w:val="24"/>
        </w:rPr>
        <w:t xml:space="preserve">, Assiut, Minya, Fayoum, </w:t>
      </w:r>
      <w:proofErr w:type="spellStart"/>
      <w:r w:rsidRPr="00647B2E">
        <w:rPr>
          <w:rFonts w:asciiTheme="majorBidi" w:hAnsiTheme="majorBidi" w:cstheme="majorBidi"/>
          <w:sz w:val="24"/>
          <w:szCs w:val="24"/>
        </w:rPr>
        <w:t>Kafr</w:t>
      </w:r>
      <w:proofErr w:type="spellEnd"/>
      <w:r w:rsidRPr="00647B2E">
        <w:rPr>
          <w:rFonts w:asciiTheme="majorBidi" w:hAnsiTheme="majorBidi" w:cstheme="majorBidi"/>
          <w:sz w:val="24"/>
          <w:szCs w:val="24"/>
        </w:rPr>
        <w:t xml:space="preserve"> El Sheikh and </w:t>
      </w:r>
      <w:r w:rsidR="00552751" w:rsidRPr="00647B2E">
        <w:rPr>
          <w:rFonts w:asciiTheme="majorBidi" w:hAnsiTheme="majorBidi" w:cstheme="majorBidi"/>
          <w:sz w:val="24"/>
          <w:szCs w:val="24"/>
        </w:rPr>
        <w:t>Al-</w:t>
      </w:r>
      <w:proofErr w:type="spellStart"/>
      <w:r w:rsidRPr="00647B2E">
        <w:rPr>
          <w:rFonts w:asciiTheme="majorBidi" w:hAnsiTheme="majorBidi" w:cstheme="majorBidi"/>
          <w:sz w:val="24"/>
          <w:szCs w:val="24"/>
        </w:rPr>
        <w:t>Beheira</w:t>
      </w:r>
      <w:proofErr w:type="spellEnd"/>
      <w:r w:rsidRPr="00647B2E">
        <w:rPr>
          <w:rFonts w:asciiTheme="majorBidi" w:hAnsiTheme="majorBidi" w:cstheme="majorBidi"/>
          <w:sz w:val="24"/>
          <w:szCs w:val="24"/>
        </w:rPr>
        <w:t>.</w:t>
      </w:r>
      <w:r w:rsidR="00552751" w:rsidRPr="00647B2E">
        <w:rPr>
          <w:rStyle w:val="FootnoteReference"/>
          <w:rFonts w:asciiTheme="majorBidi" w:hAnsiTheme="majorBidi" w:cstheme="majorBidi"/>
          <w:sz w:val="24"/>
          <w:szCs w:val="24"/>
        </w:rPr>
        <w:footnoteReference w:id="19"/>
      </w:r>
      <w:r w:rsidRPr="00647B2E">
        <w:rPr>
          <w:rFonts w:asciiTheme="majorBidi" w:hAnsiTheme="majorBidi" w:cstheme="majorBidi"/>
          <w:sz w:val="24"/>
          <w:szCs w:val="24"/>
        </w:rPr>
        <w:t xml:space="preserve"> In late 2017, the National Council for Women launched the "Because I'm a Man" campaign in partnership with UN Women, Gender Equality and the Swedish government. The campaign aims to promote the principles of gender equality and emphasize the essential role of men in supporting his women and achieving their equality with him. A group of artists, football players, media professionals and many public figures participated in that campaign.</w:t>
      </w:r>
      <w:r w:rsidR="00552751" w:rsidRPr="00647B2E">
        <w:rPr>
          <w:rStyle w:val="FootnoteReference"/>
          <w:rFonts w:asciiTheme="majorBidi" w:hAnsiTheme="majorBidi" w:cstheme="majorBidi"/>
          <w:sz w:val="24"/>
          <w:szCs w:val="24"/>
        </w:rPr>
        <w:footnoteReference w:id="20"/>
      </w:r>
    </w:p>
    <w:p w14:paraId="5A2B2532" w14:textId="77777777" w:rsidR="008A2E8F" w:rsidRPr="00647B2E" w:rsidRDefault="008A2E8F" w:rsidP="00647B2E">
      <w:pPr>
        <w:jc w:val="both"/>
        <w:rPr>
          <w:rFonts w:asciiTheme="majorBidi" w:hAnsiTheme="majorBidi" w:cstheme="majorBidi"/>
          <w:b/>
          <w:bCs/>
          <w:color w:val="FFC000"/>
          <w:sz w:val="24"/>
          <w:szCs w:val="24"/>
          <w:rtl/>
        </w:rPr>
      </w:pPr>
      <w:r w:rsidRPr="00647B2E">
        <w:rPr>
          <w:rFonts w:asciiTheme="majorBidi" w:hAnsiTheme="majorBidi" w:cstheme="majorBidi"/>
          <w:b/>
          <w:bCs/>
          <w:color w:val="FFC000"/>
          <w:sz w:val="24"/>
          <w:szCs w:val="24"/>
        </w:rPr>
        <w:t>Technology empowerment for women</w:t>
      </w:r>
    </w:p>
    <w:p w14:paraId="443ECB2D"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In recent years, the gap between males and females in the use of technology in Egypt has decreased. For example, the rates of mobile phone use in Egypt are equal for males and females as indicated by the statistics of the year 2018/2019. This means taking serious steps to raise the level of technology use in Egypt without discrimination based on gen</w:t>
      </w:r>
      <w:r w:rsidR="00552751" w:rsidRPr="00647B2E">
        <w:rPr>
          <w:rFonts w:asciiTheme="majorBidi" w:hAnsiTheme="majorBidi" w:cstheme="majorBidi"/>
          <w:sz w:val="24"/>
          <w:szCs w:val="24"/>
        </w:rPr>
        <w:t>der</w:t>
      </w:r>
      <w:r w:rsidRPr="00647B2E">
        <w:rPr>
          <w:rFonts w:asciiTheme="majorBidi" w:hAnsiTheme="majorBidi" w:cstheme="majorBidi"/>
          <w:sz w:val="24"/>
          <w:szCs w:val="24"/>
        </w:rPr>
        <w:t>. Technology plays a pivotal role in creating new opportunities for both young men and women, especially in the Egyptian context, which is characterized in its last years by its openness to the outside world and the emergence of major challenges in the business market.</w:t>
      </w:r>
      <w:r w:rsidR="00552751" w:rsidRPr="00647B2E">
        <w:rPr>
          <w:rStyle w:val="FootnoteReference"/>
          <w:rFonts w:asciiTheme="majorBidi" w:hAnsiTheme="majorBidi" w:cstheme="majorBidi"/>
          <w:sz w:val="24"/>
          <w:szCs w:val="24"/>
        </w:rPr>
        <w:footnoteReference w:id="21"/>
      </w:r>
    </w:p>
    <w:p w14:paraId="38055949"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For Egyptian women, the digital economy in general provides decent and permanent job opportunities to fulfill their aspirations in line with the nature of Egyptian society and its cultural legacies that may impede women's ability to move and </w:t>
      </w:r>
      <w:r w:rsidR="00A80D96" w:rsidRPr="00647B2E">
        <w:rPr>
          <w:rFonts w:asciiTheme="majorBidi" w:hAnsiTheme="majorBidi" w:cstheme="majorBidi"/>
          <w:sz w:val="24"/>
          <w:szCs w:val="24"/>
        </w:rPr>
        <w:t>develop</w:t>
      </w:r>
      <w:r w:rsidRPr="00647B2E">
        <w:rPr>
          <w:rFonts w:asciiTheme="majorBidi" w:hAnsiTheme="majorBidi" w:cstheme="majorBidi"/>
          <w:sz w:val="24"/>
          <w:szCs w:val="24"/>
        </w:rPr>
        <w:t xml:space="preserve">, especially in rural areas. In this Egyptian context, information technology can play a catalytic role in empowering women by providing economic opportunities through access to markets and the </w:t>
      </w:r>
      <w:r w:rsidR="00A80D96" w:rsidRPr="00647B2E">
        <w:rPr>
          <w:rFonts w:asciiTheme="majorBidi" w:hAnsiTheme="majorBidi" w:cstheme="majorBidi"/>
          <w:sz w:val="24"/>
          <w:szCs w:val="24"/>
        </w:rPr>
        <w:t>creation of new forms of income</w:t>
      </w:r>
      <w:r w:rsidRPr="00647B2E">
        <w:rPr>
          <w:rFonts w:asciiTheme="majorBidi" w:hAnsiTheme="majorBidi" w:cstheme="majorBidi"/>
          <w:sz w:val="24"/>
          <w:szCs w:val="24"/>
        </w:rPr>
        <w:t>. Technology also enables the most marginalized groups to integrate and have better opportunities for training, learning, and then work</w:t>
      </w:r>
      <w:r w:rsidR="00A80D96" w:rsidRPr="00647B2E">
        <w:rPr>
          <w:rFonts w:asciiTheme="majorBidi" w:hAnsiTheme="majorBidi" w:cstheme="majorBidi"/>
          <w:sz w:val="24"/>
          <w:szCs w:val="24"/>
        </w:rPr>
        <w:t>ing</w:t>
      </w:r>
      <w:r w:rsidRPr="00647B2E">
        <w:rPr>
          <w:rFonts w:asciiTheme="majorBidi" w:hAnsiTheme="majorBidi" w:cstheme="majorBidi"/>
          <w:sz w:val="24"/>
          <w:szCs w:val="24"/>
        </w:rPr>
        <w:t>, especially female breadwinners in marginalized areas.</w:t>
      </w:r>
      <w:r w:rsidR="00A80D96" w:rsidRPr="00647B2E">
        <w:rPr>
          <w:rStyle w:val="FootnoteReference"/>
          <w:rFonts w:asciiTheme="majorBidi" w:hAnsiTheme="majorBidi" w:cstheme="majorBidi"/>
          <w:sz w:val="24"/>
          <w:szCs w:val="24"/>
        </w:rPr>
        <w:footnoteReference w:id="22"/>
      </w:r>
    </w:p>
    <w:p w14:paraId="403F1A7D"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In general, the number of females enrolled in colleges of computer science and technology has increased in recent years. Six women </w:t>
      </w:r>
      <w:r w:rsidR="00A80D96" w:rsidRPr="00647B2E">
        <w:rPr>
          <w:rFonts w:asciiTheme="majorBidi" w:hAnsiTheme="majorBidi" w:cstheme="majorBidi"/>
          <w:sz w:val="24"/>
          <w:szCs w:val="24"/>
        </w:rPr>
        <w:t>promoted to the dean of</w:t>
      </w:r>
      <w:r w:rsidRPr="00647B2E">
        <w:rPr>
          <w:rFonts w:asciiTheme="majorBidi" w:hAnsiTheme="majorBidi" w:cstheme="majorBidi"/>
          <w:sz w:val="24"/>
          <w:szCs w:val="24"/>
        </w:rPr>
        <w:t xml:space="preserve"> </w:t>
      </w:r>
      <w:r w:rsidR="00A80D96" w:rsidRPr="00647B2E">
        <w:rPr>
          <w:rFonts w:asciiTheme="majorBidi" w:hAnsiTheme="majorBidi" w:cstheme="majorBidi"/>
          <w:sz w:val="24"/>
          <w:szCs w:val="24"/>
        </w:rPr>
        <w:t>f</w:t>
      </w:r>
      <w:r w:rsidRPr="00647B2E">
        <w:rPr>
          <w:rFonts w:asciiTheme="majorBidi" w:hAnsiTheme="majorBidi" w:cstheme="majorBidi"/>
          <w:sz w:val="24"/>
          <w:szCs w:val="24"/>
        </w:rPr>
        <w:t xml:space="preserve">aculties of Computers and Information in six government universities. Three women also took over the executive presidency of three government organizations working in the field of information technology, namely: The Information Technology Industry Development Authority, the Institute Information Technology, </w:t>
      </w:r>
      <w:r w:rsidR="00D240F0" w:rsidRPr="00647B2E">
        <w:rPr>
          <w:rStyle w:val="FootnoteReference"/>
          <w:rFonts w:asciiTheme="majorBidi" w:hAnsiTheme="majorBidi" w:cstheme="majorBidi"/>
          <w:sz w:val="24"/>
          <w:szCs w:val="24"/>
        </w:rPr>
        <w:footnoteReference w:id="23"/>
      </w:r>
      <w:r w:rsidRPr="00647B2E">
        <w:rPr>
          <w:rFonts w:asciiTheme="majorBidi" w:hAnsiTheme="majorBidi" w:cstheme="majorBidi"/>
          <w:sz w:val="24"/>
          <w:szCs w:val="24"/>
        </w:rPr>
        <w:t>National Telecommunications Institute. The inclusion of women and their assumption of leadership positions in the field of information technology indicates the steps taken to improve the situation of women and enable them to benefit from it in the labor market.</w:t>
      </w:r>
      <w:r w:rsidR="00A80D96" w:rsidRPr="00647B2E">
        <w:rPr>
          <w:rFonts w:asciiTheme="majorBidi" w:hAnsiTheme="majorBidi" w:cstheme="majorBidi"/>
          <w:sz w:val="24"/>
          <w:szCs w:val="24"/>
        </w:rPr>
        <w:t xml:space="preserve"> </w:t>
      </w:r>
    </w:p>
    <w:p w14:paraId="4FE80680" w14:textId="77777777" w:rsidR="008A2E8F" w:rsidRPr="00647B2E" w:rsidRDefault="00D240F0"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lastRenderedPageBreak/>
        <w:t>Regarding</w:t>
      </w:r>
      <w:r w:rsidR="008A2E8F" w:rsidRPr="00647B2E">
        <w:rPr>
          <w:rFonts w:asciiTheme="majorBidi" w:hAnsiTheme="majorBidi" w:cstheme="majorBidi"/>
          <w:sz w:val="24"/>
          <w:szCs w:val="24"/>
        </w:rPr>
        <w:t xml:space="preserve"> the steps taken to support women to benefit from technological advancements, the Ministry of Communications and Information Technology pays special attention to women and girls to enable them to use technology </w:t>
      </w:r>
      <w:r w:rsidR="00EB16C0" w:rsidRPr="00647B2E">
        <w:rPr>
          <w:rFonts w:asciiTheme="majorBidi" w:hAnsiTheme="majorBidi" w:cstheme="majorBidi"/>
          <w:sz w:val="24"/>
          <w:szCs w:val="24"/>
        </w:rPr>
        <w:t>as part</w:t>
      </w:r>
      <w:r w:rsidR="008A2E8F" w:rsidRPr="00647B2E">
        <w:rPr>
          <w:rFonts w:asciiTheme="majorBidi" w:hAnsiTheme="majorBidi" w:cstheme="majorBidi"/>
          <w:sz w:val="24"/>
          <w:szCs w:val="24"/>
        </w:rPr>
        <w:t xml:space="preserve"> of the Ministry’s plan to bridge the growing gap between the workforce and the skills required in the labor market. In 2017, </w:t>
      </w:r>
      <w:r w:rsidRPr="00647B2E">
        <w:rPr>
          <w:rFonts w:asciiTheme="majorBidi" w:hAnsiTheme="majorBidi" w:cstheme="majorBidi"/>
          <w:sz w:val="24"/>
          <w:szCs w:val="24"/>
        </w:rPr>
        <w:t>which was</w:t>
      </w:r>
      <w:r w:rsidR="008A2E8F" w:rsidRPr="00647B2E">
        <w:rPr>
          <w:rFonts w:asciiTheme="majorBidi" w:hAnsiTheme="majorBidi" w:cstheme="majorBidi"/>
          <w:sz w:val="24"/>
          <w:szCs w:val="24"/>
        </w:rPr>
        <w:t xml:space="preserve"> </w:t>
      </w:r>
      <w:r w:rsidRPr="00647B2E">
        <w:rPr>
          <w:rFonts w:asciiTheme="majorBidi" w:hAnsiTheme="majorBidi" w:cstheme="majorBidi"/>
          <w:sz w:val="24"/>
          <w:szCs w:val="24"/>
        </w:rPr>
        <w:t>declared</w:t>
      </w:r>
      <w:r w:rsidR="008A2E8F" w:rsidRPr="00647B2E">
        <w:rPr>
          <w:rFonts w:asciiTheme="majorBidi" w:hAnsiTheme="majorBidi" w:cstheme="majorBidi"/>
          <w:sz w:val="24"/>
          <w:szCs w:val="24"/>
        </w:rPr>
        <w:t xml:space="preserve"> </w:t>
      </w:r>
      <w:r w:rsidRPr="00647B2E">
        <w:rPr>
          <w:rFonts w:asciiTheme="majorBidi" w:hAnsiTheme="majorBidi" w:cstheme="majorBidi"/>
          <w:sz w:val="24"/>
          <w:szCs w:val="24"/>
        </w:rPr>
        <w:t>by the President as the</w:t>
      </w:r>
      <w:r w:rsidR="008A2E8F" w:rsidRPr="00647B2E">
        <w:rPr>
          <w:rFonts w:asciiTheme="majorBidi" w:hAnsiTheme="majorBidi" w:cstheme="majorBidi"/>
          <w:sz w:val="24"/>
          <w:szCs w:val="24"/>
        </w:rPr>
        <w:t xml:space="preserve"> Year of Women, the </w:t>
      </w:r>
      <w:r w:rsidR="00DC7424" w:rsidRPr="00647B2E">
        <w:rPr>
          <w:rFonts w:asciiTheme="majorBidi" w:hAnsiTheme="majorBidi" w:cstheme="majorBidi"/>
          <w:sz w:val="24"/>
          <w:szCs w:val="24"/>
        </w:rPr>
        <w:t>Ministry of Communication and Information Technology’s program ICT for Women launched a competition called "Women in ICT" for Egyptian women who got a bachelor degree. Women who may apply for the competition are either founders of startups or individuals who made products or application with social or economic impact. Awards are presented for the top two individuals and companies</w:t>
      </w:r>
      <w:r w:rsidR="008A2E8F" w:rsidRPr="00647B2E">
        <w:rPr>
          <w:rFonts w:asciiTheme="majorBidi" w:hAnsiTheme="majorBidi" w:cstheme="majorBidi"/>
          <w:sz w:val="24"/>
          <w:szCs w:val="24"/>
        </w:rPr>
        <w:t>.</w:t>
      </w:r>
      <w:r w:rsidRPr="00647B2E">
        <w:rPr>
          <w:rStyle w:val="FootnoteReference"/>
          <w:rFonts w:asciiTheme="majorBidi" w:hAnsiTheme="majorBidi" w:cstheme="majorBidi"/>
          <w:sz w:val="24"/>
          <w:szCs w:val="24"/>
        </w:rPr>
        <w:footnoteReference w:id="24"/>
      </w:r>
    </w:p>
    <w:p w14:paraId="134E3538" w14:textId="77777777" w:rsidR="008A2E8F" w:rsidRPr="00647B2E" w:rsidRDefault="00EB16C0"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Since the beginning of this year, MCIT launched the initiative “Women and Information Technology.'' In March 2019, MCIT launched a program named "Digital Skills in Arabic" in cooperation with Google, which was attended by more than 100 students from the faculties of computer engineering and computers and information of the universities of Cairo and Ain Shams.</w:t>
      </w:r>
      <w:r w:rsidRPr="00647B2E">
        <w:rPr>
          <w:rStyle w:val="FootnoteReference"/>
          <w:rFonts w:asciiTheme="majorBidi" w:hAnsiTheme="majorBidi" w:cstheme="majorBidi"/>
          <w:sz w:val="24"/>
          <w:szCs w:val="24"/>
        </w:rPr>
        <w:footnoteReference w:id="25"/>
      </w:r>
      <w:r w:rsidRPr="00647B2E">
        <w:rPr>
          <w:rFonts w:asciiTheme="majorBidi" w:hAnsiTheme="majorBidi" w:cstheme="majorBidi"/>
          <w:sz w:val="24"/>
          <w:szCs w:val="24"/>
        </w:rPr>
        <w:t xml:space="preserve">  In July it launched its first e-marketing training program targeting women who want to market their products via social media.  The training program included several topics by which women can be able to develop a marketing plan for their products, including analysis of external and internal factors affecting products; the development of the objectives of the marketing plan and converting them into marketing and advertising material on social media such as Facebook, YouTube and Instagram; and the development of the plans of the advertising content for those channels. The Egyptian Post also participated in a panel discussion on financial inclusion and banking and the postal services it provides in support of women entrepreneurs</w:t>
      </w:r>
      <w:r w:rsidR="008A2E8F" w:rsidRPr="00647B2E">
        <w:rPr>
          <w:rFonts w:asciiTheme="majorBidi" w:hAnsiTheme="majorBidi" w:cstheme="majorBidi"/>
          <w:sz w:val="24"/>
          <w:szCs w:val="24"/>
        </w:rPr>
        <w:t>.</w:t>
      </w:r>
      <w:r w:rsidRPr="00647B2E">
        <w:rPr>
          <w:rStyle w:val="FootnoteReference"/>
          <w:rFonts w:asciiTheme="majorBidi" w:hAnsiTheme="majorBidi" w:cstheme="majorBidi"/>
          <w:sz w:val="24"/>
          <w:szCs w:val="24"/>
        </w:rPr>
        <w:footnoteReference w:id="26"/>
      </w:r>
    </w:p>
    <w:p w14:paraId="3A5C5B38" w14:textId="77777777" w:rsidR="008A2E8F" w:rsidRPr="00647B2E" w:rsidRDefault="008A2E8F" w:rsidP="00647B2E">
      <w:pPr>
        <w:jc w:val="both"/>
        <w:rPr>
          <w:rFonts w:asciiTheme="majorBidi" w:hAnsiTheme="majorBidi" w:cstheme="majorBidi"/>
          <w:b/>
          <w:bCs/>
          <w:color w:val="FFC000"/>
          <w:sz w:val="24"/>
          <w:szCs w:val="24"/>
          <w:rtl/>
        </w:rPr>
      </w:pPr>
      <w:r w:rsidRPr="00647B2E">
        <w:rPr>
          <w:rFonts w:asciiTheme="majorBidi" w:hAnsiTheme="majorBidi" w:cstheme="majorBidi"/>
          <w:b/>
          <w:bCs/>
          <w:color w:val="FFC000"/>
          <w:sz w:val="24"/>
          <w:szCs w:val="24"/>
        </w:rPr>
        <w:t>Challenges facing Egyptian women</w:t>
      </w:r>
    </w:p>
    <w:p w14:paraId="04243DD4"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b/>
          <w:bCs/>
          <w:sz w:val="24"/>
          <w:szCs w:val="24"/>
        </w:rPr>
        <w:t>At the legal level</w:t>
      </w:r>
      <w:r w:rsidRPr="00647B2E">
        <w:rPr>
          <w:rFonts w:asciiTheme="majorBidi" w:hAnsiTheme="majorBidi" w:cstheme="majorBidi"/>
          <w:sz w:val="24"/>
          <w:szCs w:val="24"/>
        </w:rPr>
        <w:t xml:space="preserve">: Although the constitution provides, through its articles, many opportunities that achieve quantitative and qualitative transmission in achieving gender equality and promoting women's rights, as well as reducing the existing gender gap, the activation of these articles requires a comprehensive vision, not </w:t>
      </w:r>
      <w:r w:rsidR="00862032" w:rsidRPr="00647B2E">
        <w:rPr>
          <w:rFonts w:asciiTheme="majorBidi" w:hAnsiTheme="majorBidi" w:cstheme="majorBidi"/>
          <w:sz w:val="24"/>
          <w:szCs w:val="24"/>
        </w:rPr>
        <w:t>only limited to enacting laws, o</w:t>
      </w:r>
      <w:r w:rsidRPr="00647B2E">
        <w:rPr>
          <w:rFonts w:asciiTheme="majorBidi" w:hAnsiTheme="majorBidi" w:cstheme="majorBidi"/>
          <w:sz w:val="24"/>
          <w:szCs w:val="24"/>
        </w:rPr>
        <w:t>r amending existing ones to conform to the constitution, but also social, economic and cultural policies that lead to real change in the different societal contexts that feed</w:t>
      </w:r>
      <w:r w:rsidR="00862032" w:rsidRPr="00647B2E">
        <w:rPr>
          <w:rFonts w:asciiTheme="majorBidi" w:hAnsiTheme="majorBidi" w:cstheme="majorBidi"/>
          <w:sz w:val="24"/>
          <w:szCs w:val="24"/>
        </w:rPr>
        <w:t xml:space="preserve"> gender-based discrimination</w:t>
      </w:r>
      <w:r w:rsidRPr="00647B2E">
        <w:rPr>
          <w:rFonts w:asciiTheme="majorBidi" w:hAnsiTheme="majorBidi" w:cstheme="majorBidi"/>
          <w:sz w:val="24"/>
          <w:szCs w:val="24"/>
        </w:rPr>
        <w:t>.</w:t>
      </w:r>
    </w:p>
    <w:p w14:paraId="7D649041"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In Egypt, the crime of assault and violence against women is still dealt with according to the penal code, which may allow a husband to punish his wife. So far, no law has been issued to criminalize violence against women, despite the National Council for Women announcing that there are about 1.5 million Egyptian women subjected to domestic violence annually. According to a field study that he conducted, </w:t>
      </w:r>
      <w:r w:rsidR="00862032" w:rsidRPr="00647B2E">
        <w:rPr>
          <w:rFonts w:asciiTheme="majorBidi" w:hAnsiTheme="majorBidi" w:cstheme="majorBidi"/>
          <w:sz w:val="24"/>
          <w:szCs w:val="24"/>
        </w:rPr>
        <w:t xml:space="preserve">about 1.5 million Egyptian women are subjected to domestic violence annually and about 70% of cases wives abuse is caused by their husbands, 20% of abuse cases are caused by fathers, and 10% by brothers, a real alarming issue that needs urgent </w:t>
      </w:r>
      <w:r w:rsidR="00862032" w:rsidRPr="00647B2E">
        <w:rPr>
          <w:rFonts w:asciiTheme="majorBidi" w:hAnsiTheme="majorBidi" w:cstheme="majorBidi"/>
          <w:sz w:val="24"/>
          <w:szCs w:val="24"/>
        </w:rPr>
        <w:lastRenderedPageBreak/>
        <w:t>intervention by the Egyptian government.</w:t>
      </w:r>
      <w:r w:rsidRPr="00647B2E">
        <w:rPr>
          <w:rFonts w:asciiTheme="majorBidi" w:hAnsiTheme="majorBidi" w:cstheme="majorBidi"/>
          <w:sz w:val="24"/>
          <w:szCs w:val="24"/>
        </w:rPr>
        <w:t xml:space="preserve"> This comes in light of the existence of Article 11 of the Egyptian Constitution, which states that “the state is obligated to protect women against all forms of violence.” It is an implicit recognition of the existence of violence against women in our Egyptian society, which requires the protection of women through the issuance of legislation </w:t>
      </w:r>
      <w:r w:rsidR="00862032" w:rsidRPr="00647B2E">
        <w:rPr>
          <w:rFonts w:asciiTheme="majorBidi" w:hAnsiTheme="majorBidi" w:cstheme="majorBidi"/>
          <w:sz w:val="24"/>
          <w:szCs w:val="24"/>
        </w:rPr>
        <w:t>in line with the requirements of t</w:t>
      </w:r>
      <w:r w:rsidRPr="00647B2E">
        <w:rPr>
          <w:rFonts w:asciiTheme="majorBidi" w:hAnsiTheme="majorBidi" w:cstheme="majorBidi"/>
          <w:sz w:val="24"/>
          <w:szCs w:val="24"/>
        </w:rPr>
        <w:t xml:space="preserve">he constitution, and </w:t>
      </w:r>
      <w:r w:rsidR="00862032" w:rsidRPr="00647B2E">
        <w:rPr>
          <w:rFonts w:asciiTheme="majorBidi" w:hAnsiTheme="majorBidi" w:cstheme="majorBidi"/>
          <w:sz w:val="24"/>
          <w:szCs w:val="24"/>
        </w:rPr>
        <w:t>the</w:t>
      </w:r>
      <w:r w:rsidRPr="00647B2E">
        <w:rPr>
          <w:rFonts w:asciiTheme="majorBidi" w:hAnsiTheme="majorBidi" w:cstheme="majorBidi"/>
          <w:sz w:val="24"/>
          <w:szCs w:val="24"/>
        </w:rPr>
        <w:t xml:space="preserve"> international treaties signed by Egypt in the field of human rights.</w:t>
      </w:r>
    </w:p>
    <w:p w14:paraId="15FF0E31"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Also, until now, there is no awareness-raising media strategy about women's rights, and there are many problems in implementing laws, in addition to not issuing many laws that concern women, such as the Personal Status Law, in addition to the absence of a vision regarding the integration of politics Educational for women. The unemployment rate among women has reached more than</w:t>
      </w:r>
      <w:r w:rsidR="00B07441" w:rsidRPr="00647B2E">
        <w:rPr>
          <w:rFonts w:asciiTheme="majorBidi" w:hAnsiTheme="majorBidi" w:cstheme="majorBidi"/>
          <w:sz w:val="24"/>
          <w:szCs w:val="24"/>
        </w:rPr>
        <w:t xml:space="preserve"> four times the rate among men. And a</w:t>
      </w:r>
      <w:r w:rsidRPr="00647B2E">
        <w:rPr>
          <w:rFonts w:asciiTheme="majorBidi" w:hAnsiTheme="majorBidi" w:cstheme="majorBidi"/>
          <w:sz w:val="24"/>
          <w:szCs w:val="24"/>
        </w:rPr>
        <w:t>s a result of the lack of interest in most economic sectors in the private sector to employ women under the pretext of high absenteeism rates for working women as a result of their social duties, and the inevitable result of this is that the percentage of women working in the informal sector is 46.7 %</w:t>
      </w:r>
      <w:r w:rsidR="00B07441" w:rsidRPr="00647B2E">
        <w:rPr>
          <w:rFonts w:asciiTheme="majorBidi" w:hAnsiTheme="majorBidi" w:cstheme="majorBidi"/>
          <w:sz w:val="24"/>
          <w:szCs w:val="24"/>
        </w:rPr>
        <w:t>.</w:t>
      </w:r>
      <w:r w:rsidRPr="00647B2E">
        <w:rPr>
          <w:rFonts w:asciiTheme="majorBidi" w:hAnsiTheme="majorBidi" w:cstheme="majorBidi"/>
          <w:sz w:val="24"/>
          <w:szCs w:val="24"/>
        </w:rPr>
        <w:t xml:space="preserve"> That is, a very large percentage of women work without any legal protection, and there is no doubt that this precarious economic situation of working women has a negative impact on their participation.</w:t>
      </w:r>
    </w:p>
    <w:p w14:paraId="74D03BF3" w14:textId="77777777" w:rsidR="008A2E8F" w:rsidRPr="00647B2E" w:rsidRDefault="008A2E8F" w:rsidP="00647B2E">
      <w:pPr>
        <w:jc w:val="both"/>
        <w:rPr>
          <w:rFonts w:asciiTheme="majorBidi" w:hAnsiTheme="majorBidi" w:cstheme="majorBidi"/>
          <w:sz w:val="24"/>
          <w:szCs w:val="24"/>
        </w:rPr>
      </w:pPr>
      <w:r w:rsidRPr="00647B2E">
        <w:rPr>
          <w:rFonts w:asciiTheme="majorBidi" w:hAnsiTheme="majorBidi" w:cstheme="majorBidi"/>
          <w:sz w:val="24"/>
          <w:szCs w:val="24"/>
        </w:rPr>
        <w:t xml:space="preserve"> </w:t>
      </w:r>
      <w:r w:rsidR="00B07441" w:rsidRPr="00647B2E">
        <w:rPr>
          <w:rFonts w:asciiTheme="majorBidi" w:hAnsiTheme="majorBidi" w:cstheme="majorBidi"/>
          <w:sz w:val="24"/>
          <w:szCs w:val="24"/>
        </w:rPr>
        <w:tab/>
      </w:r>
      <w:r w:rsidRPr="00647B2E">
        <w:rPr>
          <w:rFonts w:asciiTheme="majorBidi" w:hAnsiTheme="majorBidi" w:cstheme="majorBidi"/>
          <w:sz w:val="24"/>
          <w:szCs w:val="24"/>
        </w:rPr>
        <w:t xml:space="preserve">Therefore, the Egyptian government must issue laws that work to promote women's rights and combat violence against </w:t>
      </w:r>
      <w:r w:rsidR="001E4A67" w:rsidRPr="00647B2E">
        <w:rPr>
          <w:rFonts w:asciiTheme="majorBidi" w:hAnsiTheme="majorBidi" w:cstheme="majorBidi"/>
          <w:sz w:val="24"/>
          <w:szCs w:val="24"/>
        </w:rPr>
        <w:t>them</w:t>
      </w:r>
      <w:r w:rsidRPr="00647B2E">
        <w:rPr>
          <w:rFonts w:asciiTheme="majorBidi" w:hAnsiTheme="majorBidi" w:cstheme="majorBidi"/>
          <w:sz w:val="24"/>
          <w:szCs w:val="24"/>
        </w:rPr>
        <w:t xml:space="preserve">, such as issuing a law to combat violence against women and criminalizing its perpetrators, in addition to increasing the number of shelters for women who have been victims of violence, and </w:t>
      </w:r>
      <w:r w:rsidR="001E4A67" w:rsidRPr="00647B2E">
        <w:rPr>
          <w:rFonts w:asciiTheme="majorBidi" w:hAnsiTheme="majorBidi" w:cstheme="majorBidi"/>
          <w:sz w:val="24"/>
          <w:szCs w:val="24"/>
        </w:rPr>
        <w:t xml:space="preserve">providing rehabilitation for those fell victims to </w:t>
      </w:r>
      <w:r w:rsidRPr="00647B2E">
        <w:rPr>
          <w:rFonts w:asciiTheme="majorBidi" w:hAnsiTheme="majorBidi" w:cstheme="majorBidi"/>
          <w:sz w:val="24"/>
          <w:szCs w:val="24"/>
        </w:rPr>
        <w:t>violence, including police agencies, doctors, and social and psychological workers. And intensifying awareness programs in various media outlets, as well as through schools and places of worship, providing accurate statistics on violence in general and encouraging families to report these crimes, preparing programs to provide psychological and social support to victims and working on their reintegration and rehabilitation within society, reviewing family court systems and finding appropriate solutions</w:t>
      </w:r>
      <w:r w:rsidR="001E4A67" w:rsidRPr="00647B2E">
        <w:rPr>
          <w:rFonts w:asciiTheme="majorBidi" w:hAnsiTheme="majorBidi" w:cstheme="majorBidi"/>
          <w:sz w:val="24"/>
          <w:szCs w:val="24"/>
        </w:rPr>
        <w:t xml:space="preserve"> for</w:t>
      </w:r>
      <w:r w:rsidRPr="00647B2E">
        <w:rPr>
          <w:rFonts w:asciiTheme="majorBidi" w:hAnsiTheme="majorBidi" w:cstheme="majorBidi"/>
          <w:sz w:val="24"/>
          <w:szCs w:val="24"/>
        </w:rPr>
        <w:t xml:space="preserve"> alimony problems, and women's right to inheritance as a form of violence.</w:t>
      </w:r>
    </w:p>
    <w:p w14:paraId="7398C46C"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b/>
          <w:bCs/>
          <w:sz w:val="24"/>
          <w:szCs w:val="24"/>
          <w:u w:val="single"/>
        </w:rPr>
        <w:t>At the level of the role assigned to the National Council for Women</w:t>
      </w:r>
      <w:r w:rsidRPr="00647B2E">
        <w:rPr>
          <w:rFonts w:asciiTheme="majorBidi" w:hAnsiTheme="majorBidi" w:cstheme="majorBidi"/>
          <w:sz w:val="24"/>
          <w:szCs w:val="24"/>
        </w:rPr>
        <w:t xml:space="preserve">: Although the National Council for Women is working to </w:t>
      </w:r>
      <w:r w:rsidR="001E4A67" w:rsidRPr="00647B2E">
        <w:rPr>
          <w:rFonts w:asciiTheme="majorBidi" w:hAnsiTheme="majorBidi" w:cstheme="majorBidi"/>
          <w:sz w:val="24"/>
          <w:szCs w:val="24"/>
        </w:rPr>
        <w:t>provide more opportunities for women</w:t>
      </w:r>
      <w:r w:rsidRPr="00647B2E">
        <w:rPr>
          <w:rFonts w:asciiTheme="majorBidi" w:hAnsiTheme="majorBidi" w:cstheme="majorBidi"/>
          <w:sz w:val="24"/>
          <w:szCs w:val="24"/>
        </w:rPr>
        <w:t xml:space="preserve">, and to </w:t>
      </w:r>
      <w:r w:rsidR="001E4A67" w:rsidRPr="00647B2E">
        <w:rPr>
          <w:rFonts w:asciiTheme="majorBidi" w:hAnsiTheme="majorBidi" w:cstheme="majorBidi"/>
          <w:sz w:val="24"/>
          <w:szCs w:val="24"/>
        </w:rPr>
        <w:t xml:space="preserve">introduce different cultures that </w:t>
      </w:r>
      <w:r w:rsidR="008E6E2A" w:rsidRPr="00647B2E">
        <w:rPr>
          <w:rFonts w:asciiTheme="majorBidi" w:hAnsiTheme="majorBidi" w:cstheme="majorBidi"/>
          <w:sz w:val="24"/>
          <w:szCs w:val="24"/>
        </w:rPr>
        <w:t>aim to change the image of women in</w:t>
      </w:r>
      <w:r w:rsidR="001E4A67" w:rsidRPr="00647B2E">
        <w:rPr>
          <w:rFonts w:asciiTheme="majorBidi" w:hAnsiTheme="majorBidi" w:cstheme="majorBidi"/>
          <w:sz w:val="24"/>
          <w:szCs w:val="24"/>
        </w:rPr>
        <w:t xml:space="preserve"> society</w:t>
      </w:r>
      <w:r w:rsidR="008E6E2A" w:rsidRPr="00647B2E">
        <w:rPr>
          <w:rFonts w:asciiTheme="majorBidi" w:hAnsiTheme="majorBidi" w:cstheme="majorBidi"/>
          <w:sz w:val="24"/>
          <w:szCs w:val="24"/>
        </w:rPr>
        <w:t xml:space="preserve"> and make it more acceptable</w:t>
      </w:r>
      <w:r w:rsidR="001E4A67" w:rsidRPr="00647B2E">
        <w:rPr>
          <w:rFonts w:asciiTheme="majorBidi" w:hAnsiTheme="majorBidi" w:cstheme="majorBidi"/>
          <w:sz w:val="24"/>
          <w:szCs w:val="24"/>
        </w:rPr>
        <w:t xml:space="preserve"> </w:t>
      </w:r>
      <w:r w:rsidR="008E6E2A" w:rsidRPr="00647B2E">
        <w:rPr>
          <w:rFonts w:asciiTheme="majorBidi" w:hAnsiTheme="majorBidi" w:cstheme="majorBidi"/>
          <w:sz w:val="24"/>
          <w:szCs w:val="24"/>
        </w:rPr>
        <w:t xml:space="preserve">and </w:t>
      </w:r>
      <w:r w:rsidR="001E4A67" w:rsidRPr="00647B2E">
        <w:rPr>
          <w:rFonts w:asciiTheme="majorBidi" w:hAnsiTheme="majorBidi" w:cstheme="majorBidi"/>
          <w:sz w:val="24"/>
          <w:szCs w:val="24"/>
        </w:rPr>
        <w:t xml:space="preserve">trust </w:t>
      </w:r>
      <w:r w:rsidR="008E6E2A" w:rsidRPr="00647B2E">
        <w:rPr>
          <w:rFonts w:asciiTheme="majorBidi" w:hAnsiTheme="majorBidi" w:cstheme="majorBidi"/>
          <w:sz w:val="24"/>
          <w:szCs w:val="24"/>
        </w:rPr>
        <w:t>worthy, the backward thoughts and beliefs remain the</w:t>
      </w:r>
      <w:r w:rsidRPr="00647B2E">
        <w:rPr>
          <w:rFonts w:asciiTheme="majorBidi" w:hAnsiTheme="majorBidi" w:cstheme="majorBidi"/>
          <w:sz w:val="24"/>
          <w:szCs w:val="24"/>
        </w:rPr>
        <w:t xml:space="preserve"> biggest challenge facing women </w:t>
      </w:r>
      <w:r w:rsidR="008E6E2A" w:rsidRPr="00647B2E">
        <w:rPr>
          <w:rFonts w:asciiTheme="majorBidi" w:hAnsiTheme="majorBidi" w:cstheme="majorBidi"/>
          <w:sz w:val="24"/>
          <w:szCs w:val="24"/>
        </w:rPr>
        <w:t>and their enjoyment of full</w:t>
      </w:r>
      <w:r w:rsidRPr="00647B2E">
        <w:rPr>
          <w:rFonts w:asciiTheme="majorBidi" w:hAnsiTheme="majorBidi" w:cstheme="majorBidi"/>
          <w:sz w:val="24"/>
          <w:szCs w:val="24"/>
        </w:rPr>
        <w:t xml:space="preserve"> rights.</w:t>
      </w:r>
      <w:r w:rsidR="008E6E2A" w:rsidRPr="00647B2E">
        <w:rPr>
          <w:rStyle w:val="FootnoteReference"/>
          <w:rFonts w:asciiTheme="majorBidi" w:hAnsiTheme="majorBidi" w:cstheme="majorBidi"/>
          <w:sz w:val="24"/>
          <w:szCs w:val="24"/>
        </w:rPr>
        <w:footnoteReference w:id="27"/>
      </w:r>
    </w:p>
    <w:p w14:paraId="46B459D9"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There are also many deficiencies that the council’s policies and strategies suffer from in terms of content and application. Over the past years, the National Council for Women’s implementation of the policies and strategies it adopts have been restricted due to its limited powers, and the lack of transparency in presenting the council’s tasks.</w:t>
      </w:r>
    </w:p>
    <w:p w14:paraId="0FE7A1FE"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sz w:val="24"/>
          <w:szCs w:val="24"/>
        </w:rPr>
        <w:t xml:space="preserve">Although the new law gave the National Council for Women the right to follow up on what has been ratified under international conventions and covenants on women, monitor the implementation of their provisions, and work to integrate them into national legislation. This means placing a greater commitment on the National Council for Women to endeavor to activate </w:t>
      </w:r>
      <w:r w:rsidRPr="00647B2E">
        <w:rPr>
          <w:rFonts w:asciiTheme="majorBidi" w:hAnsiTheme="majorBidi" w:cstheme="majorBidi"/>
          <w:sz w:val="24"/>
          <w:szCs w:val="24"/>
        </w:rPr>
        <w:lastRenderedPageBreak/>
        <w:t>these entitlements and to review and revise national legislation that consecrates discrimination against women. Following up on the Council’s efforts to monitor the state’s implementation of its obligations towards women has become a requirement for all parties concerned with women's issues. One of the challenges facing the work of the National Council for Women is the absence of mechanisms for monitoring the state’s strategies, which have always been demanded by civil society organizations, in which civil society is a basic partner.</w:t>
      </w:r>
      <w:r w:rsidR="00D80576" w:rsidRPr="00647B2E">
        <w:rPr>
          <w:rStyle w:val="FootnoteReference"/>
          <w:rFonts w:asciiTheme="majorBidi" w:hAnsiTheme="majorBidi" w:cstheme="majorBidi"/>
          <w:sz w:val="24"/>
          <w:szCs w:val="24"/>
        </w:rPr>
        <w:footnoteReference w:id="28"/>
      </w:r>
    </w:p>
    <w:p w14:paraId="443E3DAD"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b/>
          <w:bCs/>
          <w:sz w:val="24"/>
          <w:szCs w:val="24"/>
          <w:u w:val="single"/>
        </w:rPr>
        <w:t>On the economic level, women face many challenges in the field of entrepreneurship</w:t>
      </w:r>
      <w:r w:rsidRPr="00647B2E">
        <w:rPr>
          <w:rFonts w:asciiTheme="majorBidi" w:hAnsiTheme="majorBidi" w:cstheme="majorBidi"/>
          <w:sz w:val="24"/>
          <w:szCs w:val="24"/>
        </w:rPr>
        <w:t>: as some financing institutions still entrench gender differences in obtaining financing in some governorates in Egypt, and also despite the amendment of the inheritance law No. 219 of 2017, which imposed stricter penalties for those who withhold inheritance from women. Customs and traditions, especially in Upper Egypt, still give women little control over their assets or private property, so it is difficult to use these assets as collateral. In addition, the guarantee requirements and conditions for inappropriate loans imposed by banks on women, as well as the lack of women and youth, adequate awareness of the available financing mechanisms, the lack of investors and the limited funding in all stages of the start-up companies, and these challenges increase for women, as they find it difficult to reach investors compared to men. Investors show that the risk rate in women-led enterprises is higher than in other investments, in addition to some preferring to work with men over women.</w:t>
      </w:r>
      <w:r w:rsidR="00D80576" w:rsidRPr="00647B2E">
        <w:rPr>
          <w:rStyle w:val="FootnoteReference"/>
          <w:rFonts w:asciiTheme="majorBidi" w:hAnsiTheme="majorBidi" w:cstheme="majorBidi"/>
          <w:sz w:val="24"/>
          <w:szCs w:val="24"/>
        </w:rPr>
        <w:footnoteReference w:id="29"/>
      </w:r>
    </w:p>
    <w:p w14:paraId="22D0FCBA" w14:textId="77777777" w:rsidR="008A2E8F" w:rsidRPr="00647B2E" w:rsidRDefault="008A2E8F" w:rsidP="00647B2E">
      <w:pPr>
        <w:ind w:firstLine="720"/>
        <w:jc w:val="both"/>
        <w:rPr>
          <w:rFonts w:asciiTheme="majorBidi" w:hAnsiTheme="majorBidi" w:cstheme="majorBidi"/>
          <w:sz w:val="24"/>
          <w:szCs w:val="24"/>
          <w:rtl/>
        </w:rPr>
      </w:pPr>
      <w:r w:rsidRPr="00647B2E">
        <w:rPr>
          <w:rFonts w:asciiTheme="majorBidi" w:hAnsiTheme="majorBidi" w:cstheme="majorBidi"/>
          <w:b/>
          <w:bCs/>
          <w:sz w:val="24"/>
          <w:szCs w:val="24"/>
          <w:u w:val="single"/>
        </w:rPr>
        <w:t>On the level of discrimination in work:</w:t>
      </w:r>
      <w:r w:rsidRPr="00647B2E">
        <w:rPr>
          <w:rFonts w:asciiTheme="majorBidi" w:hAnsiTheme="majorBidi" w:cstheme="majorBidi"/>
          <w:sz w:val="24"/>
          <w:szCs w:val="24"/>
        </w:rPr>
        <w:t xml:space="preserve"> The marginalization of women in judicial positions and even preventing them from appointing to specific judicial bodies is one of the most prominent aspects of discrimination practiced by the Egyptian state against women in the </w:t>
      </w:r>
      <w:r w:rsidR="00D80576" w:rsidRPr="00647B2E">
        <w:rPr>
          <w:rFonts w:asciiTheme="majorBidi" w:hAnsiTheme="majorBidi" w:cstheme="majorBidi"/>
          <w:sz w:val="24"/>
          <w:szCs w:val="24"/>
        </w:rPr>
        <w:t>work. Th</w:t>
      </w:r>
      <w:r w:rsidRPr="00647B2E">
        <w:rPr>
          <w:rFonts w:asciiTheme="majorBidi" w:hAnsiTheme="majorBidi" w:cstheme="majorBidi"/>
          <w:sz w:val="24"/>
          <w:szCs w:val="24"/>
        </w:rPr>
        <w:t>ere is no legal text preventing women from holding judicial p</w:t>
      </w:r>
      <w:r w:rsidR="00D80576" w:rsidRPr="00647B2E">
        <w:rPr>
          <w:rFonts w:asciiTheme="majorBidi" w:hAnsiTheme="majorBidi" w:cstheme="majorBidi"/>
          <w:sz w:val="24"/>
          <w:szCs w:val="24"/>
        </w:rPr>
        <w:t>ositions despite the fact that t</w:t>
      </w:r>
      <w:r w:rsidRPr="00647B2E">
        <w:rPr>
          <w:rFonts w:asciiTheme="majorBidi" w:hAnsiTheme="majorBidi" w:cstheme="majorBidi"/>
          <w:sz w:val="24"/>
          <w:szCs w:val="24"/>
        </w:rPr>
        <w:t>his practice contradicts the text of Article 11 of the Constitution, as well as the state’s appointment of a small percentage of women in the judiciary. However, reaching a permanent systematic mechanism for appointing women and recognizing a specific appointment rate is something that needs a lot of work within state institutions and a real political will to achieve it.</w:t>
      </w:r>
    </w:p>
    <w:p w14:paraId="467C2E1B" w14:textId="77777777" w:rsidR="008A2E8F" w:rsidRPr="00647B2E" w:rsidRDefault="008A2E8F" w:rsidP="00647B2E">
      <w:pPr>
        <w:ind w:firstLine="720"/>
        <w:jc w:val="both"/>
        <w:rPr>
          <w:rFonts w:asciiTheme="majorBidi" w:hAnsiTheme="majorBidi" w:cstheme="majorBidi"/>
          <w:sz w:val="24"/>
          <w:szCs w:val="24"/>
        </w:rPr>
      </w:pPr>
      <w:r w:rsidRPr="00647B2E">
        <w:rPr>
          <w:rFonts w:asciiTheme="majorBidi" w:hAnsiTheme="majorBidi" w:cstheme="majorBidi"/>
          <w:b/>
          <w:bCs/>
          <w:sz w:val="24"/>
          <w:szCs w:val="24"/>
          <w:u w:val="single"/>
        </w:rPr>
        <w:t>At the level of combating violence against women</w:t>
      </w:r>
      <w:r w:rsidRPr="00647B2E">
        <w:rPr>
          <w:rFonts w:asciiTheme="majorBidi" w:hAnsiTheme="majorBidi" w:cstheme="majorBidi"/>
          <w:sz w:val="24"/>
          <w:szCs w:val="24"/>
        </w:rPr>
        <w:t>: Despite the adoption of the strategy to combat violence against women, there are many shortcomings in terms of combating violence against women despite the existence of these strategies. Among them is the lack of a comprehensive system that responds to the needs of survivors of violence, whether in terms of the quality of services provided to survivors (safe houses, forensic medicine, etc.) or the absence of referral and linkages between these services, as well as legal problems in defining violence Egyptian legislation suffers from clear deficiencies in its definition. Violence as indicated in international conventions, and most importantly, the absence of mechanisms for monitoring and monitoring the state's strategies, which have long been demanded by civil society organization</w:t>
      </w:r>
      <w:r w:rsidR="00D80576" w:rsidRPr="00647B2E">
        <w:rPr>
          <w:rFonts w:asciiTheme="majorBidi" w:hAnsiTheme="majorBidi" w:cstheme="majorBidi"/>
          <w:sz w:val="24"/>
          <w:szCs w:val="24"/>
        </w:rPr>
        <w:t>s, along w</w:t>
      </w:r>
      <w:r w:rsidRPr="00647B2E">
        <w:rPr>
          <w:rFonts w:asciiTheme="majorBidi" w:hAnsiTheme="majorBidi" w:cstheme="majorBidi"/>
          <w:sz w:val="24"/>
          <w:szCs w:val="24"/>
        </w:rPr>
        <w:t>ith recent amendments to the National Council for Women law.</w:t>
      </w:r>
      <w:r w:rsidR="00D80576" w:rsidRPr="00647B2E">
        <w:rPr>
          <w:rStyle w:val="FootnoteReference"/>
          <w:rFonts w:asciiTheme="majorBidi" w:hAnsiTheme="majorBidi" w:cstheme="majorBidi"/>
          <w:sz w:val="24"/>
          <w:szCs w:val="24"/>
        </w:rPr>
        <w:footnoteReference w:id="30"/>
      </w:r>
    </w:p>
    <w:p w14:paraId="2501A70A" w14:textId="77777777" w:rsidR="008A2E8F" w:rsidRPr="00647B2E" w:rsidRDefault="008A2E8F" w:rsidP="00647B2E">
      <w:pPr>
        <w:jc w:val="both"/>
        <w:rPr>
          <w:rFonts w:asciiTheme="majorBidi" w:hAnsiTheme="majorBidi" w:cstheme="majorBidi"/>
          <w:sz w:val="24"/>
          <w:szCs w:val="24"/>
        </w:rPr>
      </w:pPr>
    </w:p>
    <w:p w14:paraId="4B71ED52" w14:textId="77777777" w:rsidR="008A2E8F" w:rsidRPr="00647B2E" w:rsidRDefault="008A2E8F" w:rsidP="00647B2E">
      <w:pPr>
        <w:jc w:val="both"/>
        <w:rPr>
          <w:rFonts w:asciiTheme="majorBidi" w:hAnsiTheme="majorBidi" w:cstheme="majorBidi"/>
          <w:b/>
          <w:bCs/>
          <w:color w:val="FFC000"/>
          <w:sz w:val="24"/>
          <w:szCs w:val="24"/>
        </w:rPr>
      </w:pPr>
      <w:r w:rsidRPr="00647B2E">
        <w:rPr>
          <w:rFonts w:asciiTheme="majorBidi" w:hAnsiTheme="majorBidi" w:cstheme="majorBidi"/>
          <w:b/>
          <w:bCs/>
          <w:color w:val="FFC000"/>
          <w:sz w:val="24"/>
          <w:szCs w:val="24"/>
        </w:rPr>
        <w:lastRenderedPageBreak/>
        <w:t>Recommendations</w:t>
      </w:r>
    </w:p>
    <w:p w14:paraId="6CAA2F97"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 xml:space="preserve">Reconsider the reservations previously </w:t>
      </w:r>
      <w:r w:rsidR="00E3231E" w:rsidRPr="00647B2E">
        <w:rPr>
          <w:rFonts w:asciiTheme="majorBidi" w:hAnsiTheme="majorBidi" w:cstheme="majorBidi"/>
          <w:sz w:val="24"/>
          <w:szCs w:val="24"/>
        </w:rPr>
        <w:t>made</w:t>
      </w:r>
      <w:r w:rsidRPr="00647B2E">
        <w:rPr>
          <w:rFonts w:asciiTheme="majorBidi" w:hAnsiTheme="majorBidi" w:cstheme="majorBidi"/>
          <w:sz w:val="24"/>
          <w:szCs w:val="24"/>
        </w:rPr>
        <w:t xml:space="preserve"> by Egypt to the Convention on the Elimination of All Forms of Discrimination Against Women, and accede to its Optional Protocol.</w:t>
      </w:r>
    </w:p>
    <w:p w14:paraId="57F094A9"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 xml:space="preserve"> Join Convention No. 3 on Maternity Protection and the Domestic Workers Convention No. 189 issued by the International Labor Organization.</w:t>
      </w:r>
    </w:p>
    <w:p w14:paraId="43840B4F"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Work to revise and remove all suspicions of discrimination in Egyptian laws and legislation that entrench discrimination against women and contradict constitutional texts that guarantee equality between the sexes.</w:t>
      </w:r>
    </w:p>
    <w:p w14:paraId="3BB2AF77"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Combating sexual harassment and violence through comprehensive legislative reform and the adoption of a national strategy. Adopt comprehensive measures to address violence against women and girls, and ensure effective accountability for perpetrators of violence against women.</w:t>
      </w:r>
    </w:p>
    <w:p w14:paraId="510232EF"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Passing a law that criminalizes domestic violence and includes any act that inflicts psychological or physical harm on a woman or child within the family.</w:t>
      </w:r>
    </w:p>
    <w:p w14:paraId="5C68D855"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Replace the text of “female circumcision” with a crime that reads “female genital mutilation”, so that the Egyptian law’s definition of this phenomenon conforms to the definition of the World Health Organization. The word “circumcision” gives a “legitimate” impression of these practices when in reality it is a crime that cannot be reconciled with.</w:t>
      </w:r>
    </w:p>
    <w:p w14:paraId="3D402918"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Reconsider Article 227 of the Penal Code, stating explicitly that child marriage is a crime with which the law is not reconciled. We also recommend that the penalty be increased for anyone who contributes in one way or another to the marriage contract of a minor girl.</w:t>
      </w:r>
    </w:p>
    <w:p w14:paraId="61754CFE"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Continuing efforts made to combat violence against women, and continuing to work to empower women economically, socially and politically.</w:t>
      </w:r>
    </w:p>
    <w:p w14:paraId="6C178CDB"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Issue laws for women working in domestic and agricultural sectors to determine the number of working hours, vacations, minimum wages, and provide a social protection network by providing them with their own insurance system.</w:t>
      </w:r>
    </w:p>
    <w:p w14:paraId="5E838C91"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Activating the role of the Agricultural Solidarity Fund, which a decision was issued to establish in 2014 AD, as this guarantees the rights of agricultural workers, including women who are among the most vulnerable groups in society.</w:t>
      </w:r>
    </w:p>
    <w:p w14:paraId="77B47CCD" w14:textId="77777777" w:rsidR="008A2E8F" w:rsidRPr="00647B2E" w:rsidRDefault="008A2E8F" w:rsidP="00647B2E">
      <w:pPr>
        <w:pStyle w:val="ListParagraph"/>
        <w:numPr>
          <w:ilvl w:val="0"/>
          <w:numId w:val="1"/>
        </w:numPr>
        <w:jc w:val="both"/>
        <w:rPr>
          <w:rFonts w:asciiTheme="majorBidi" w:hAnsiTheme="majorBidi" w:cstheme="majorBidi"/>
          <w:sz w:val="24"/>
          <w:szCs w:val="24"/>
        </w:rPr>
      </w:pPr>
      <w:r w:rsidRPr="00647B2E">
        <w:rPr>
          <w:rFonts w:asciiTheme="majorBidi" w:hAnsiTheme="majorBidi" w:cstheme="majorBidi"/>
          <w:sz w:val="24"/>
          <w:szCs w:val="24"/>
        </w:rPr>
        <w:t>Adoption of mechanisms for monitoring, and evaluation of the extent of implementation of the strategy and plans adopted by the state in the field of promoting and protecting women's rights through enhancing community participation in this regard.</w:t>
      </w:r>
    </w:p>
    <w:p w14:paraId="6224B46A" w14:textId="77777777" w:rsidR="008A2E8F" w:rsidRPr="00647B2E" w:rsidRDefault="008A2E8F" w:rsidP="00647B2E">
      <w:pPr>
        <w:jc w:val="both"/>
        <w:rPr>
          <w:rFonts w:asciiTheme="majorBidi" w:hAnsiTheme="majorBidi" w:cstheme="majorBidi"/>
          <w:sz w:val="24"/>
          <w:szCs w:val="24"/>
          <w:rtl/>
        </w:rPr>
      </w:pPr>
    </w:p>
    <w:p w14:paraId="352A2EBC" w14:textId="77777777" w:rsidR="008A2E8F" w:rsidRPr="00647B2E" w:rsidRDefault="008A2E8F" w:rsidP="00647B2E">
      <w:pPr>
        <w:jc w:val="both"/>
        <w:rPr>
          <w:rFonts w:asciiTheme="majorBidi" w:hAnsiTheme="majorBidi" w:cstheme="majorBidi"/>
          <w:sz w:val="24"/>
          <w:szCs w:val="24"/>
          <w:rtl/>
        </w:rPr>
      </w:pPr>
    </w:p>
    <w:p w14:paraId="2E4FAF2D" w14:textId="77777777" w:rsidR="00BC556B" w:rsidRPr="00647B2E" w:rsidRDefault="00BC556B" w:rsidP="00647B2E">
      <w:pPr>
        <w:jc w:val="both"/>
        <w:rPr>
          <w:rFonts w:asciiTheme="majorBidi" w:hAnsiTheme="majorBidi" w:cstheme="majorBidi"/>
          <w:sz w:val="24"/>
          <w:szCs w:val="24"/>
        </w:rPr>
      </w:pPr>
    </w:p>
    <w:sectPr w:rsidR="00BC556B" w:rsidRPr="00647B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4D3A7" w14:textId="77777777" w:rsidR="00574CB9" w:rsidRDefault="00574CB9" w:rsidP="008A2E8F">
      <w:pPr>
        <w:spacing w:after="0" w:line="240" w:lineRule="auto"/>
      </w:pPr>
      <w:r>
        <w:separator/>
      </w:r>
    </w:p>
  </w:endnote>
  <w:endnote w:type="continuationSeparator" w:id="0">
    <w:p w14:paraId="00B1A6B4" w14:textId="77777777" w:rsidR="00574CB9" w:rsidRDefault="00574CB9" w:rsidP="008A2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D7B622" w14:textId="77777777" w:rsidR="00574CB9" w:rsidRDefault="00574CB9" w:rsidP="008A2E8F">
      <w:pPr>
        <w:spacing w:after="0" w:line="240" w:lineRule="auto"/>
      </w:pPr>
      <w:r>
        <w:separator/>
      </w:r>
    </w:p>
  </w:footnote>
  <w:footnote w:type="continuationSeparator" w:id="0">
    <w:p w14:paraId="12C60D14" w14:textId="77777777" w:rsidR="00574CB9" w:rsidRDefault="00574CB9" w:rsidP="008A2E8F">
      <w:pPr>
        <w:spacing w:after="0" w:line="240" w:lineRule="auto"/>
      </w:pPr>
      <w:r>
        <w:continuationSeparator/>
      </w:r>
    </w:p>
  </w:footnote>
  <w:footnote w:id="1">
    <w:p w14:paraId="1670A232" w14:textId="77777777" w:rsidR="008A2E8F" w:rsidRDefault="008A2E8F" w:rsidP="008A2E8F">
      <w:pPr>
        <w:pStyle w:val="FootnoteText"/>
        <w:bidi/>
      </w:pPr>
      <w:r>
        <w:rPr>
          <w:rStyle w:val="FootnoteReference"/>
        </w:rPr>
        <w:footnoteRef/>
      </w:r>
      <w:r>
        <w:t xml:space="preserve"> </w:t>
      </w:r>
      <w:r>
        <w:rPr>
          <w:rFonts w:ascii="Sakkal Majalla" w:hAnsi="Sakkal Majalla" w:cs="Sakkal Majalla"/>
          <w:rtl/>
          <w:lang w:bidi="ar-EG"/>
        </w:rPr>
        <w:t xml:space="preserve">نظرة للدراسات النسوية، ماذا بعد تعديل صلاحياته.. تعليق نسوي على القانون الجديد لعمل المجلس القومي للمرأة، نظرة للدراسات النسوية، 9 ديسمبر 2018، </w:t>
      </w:r>
      <w:r>
        <w:rPr>
          <w:rFonts w:ascii="Sakkal Majalla" w:hAnsi="Sakkal Majalla" w:cs="Sakkal Majalla"/>
          <w:u w:val="single"/>
          <w:lang w:bidi="ar-EG"/>
        </w:rPr>
        <w:t>https://bit.ly/2B90HQz</w:t>
      </w:r>
    </w:p>
  </w:footnote>
  <w:footnote w:id="2">
    <w:p w14:paraId="7A0B1634" w14:textId="77777777" w:rsidR="008A2E8F" w:rsidRDefault="008A2E8F" w:rsidP="008A2E8F">
      <w:pPr>
        <w:pStyle w:val="FootnoteText"/>
      </w:pPr>
      <w:r>
        <w:rPr>
          <w:rStyle w:val="FootnoteReference"/>
        </w:rPr>
        <w:footnoteRef/>
      </w:r>
      <w:r>
        <w:t xml:space="preserve"> </w:t>
      </w:r>
      <w:r>
        <w:rPr>
          <w:rFonts w:ascii="Sakkal Majalla" w:hAnsi="Sakkal Majalla" w:cs="Sakkal Majalla"/>
          <w:rtl/>
          <w:lang w:bidi="ar-EG"/>
        </w:rPr>
        <w:t xml:space="preserve">حنان جرجس، الصورة الذهنية للمصريين حول حقوق المرأة، مركز بصيرة، مايو 2019، الرابط، </w:t>
      </w:r>
      <w:hyperlink r:id="rId1" w:history="1">
        <w:r>
          <w:rPr>
            <w:rStyle w:val="Hyperlink"/>
            <w:rFonts w:ascii="Sakkal Majalla" w:hAnsi="Sakkal Majalla" w:cs="Sakkal Majalla"/>
            <w:lang w:bidi="ar-EG"/>
          </w:rPr>
          <w:t>http://www.enow.gov.eg/Report/08.pdf</w:t>
        </w:r>
      </w:hyperlink>
    </w:p>
  </w:footnote>
  <w:footnote w:id="3">
    <w:p w14:paraId="165FB205" w14:textId="77777777" w:rsidR="008A2E8F" w:rsidRDefault="008A2E8F" w:rsidP="002B12F0">
      <w:pPr>
        <w:pStyle w:val="FootnoteText"/>
        <w:bidi/>
      </w:pPr>
      <w:r>
        <w:rPr>
          <w:rStyle w:val="FootnoteReference"/>
        </w:rPr>
        <w:footnoteRef/>
      </w:r>
      <w:r>
        <w:t xml:space="preserve"> </w:t>
      </w:r>
      <w:r w:rsidR="002B12F0">
        <w:rPr>
          <w:rFonts w:ascii="Sakkal Majalla" w:hAnsi="Sakkal Majalla" w:cs="Sakkal Majalla"/>
          <w:rtl/>
          <w:lang w:bidi="ar-EG"/>
        </w:rPr>
        <w:t xml:space="preserve">6 سنوات فتحت افاق جديدة للمرأة المصرية في عهد الرئيس السيسي، اليوم السابع، 11 يونيو 2020، الرابط، </w:t>
      </w:r>
      <w:hyperlink r:id="rId2" w:history="1">
        <w:r w:rsidR="002B12F0">
          <w:rPr>
            <w:rStyle w:val="Hyperlink"/>
            <w:rFonts w:ascii="Sakkal Majalla" w:hAnsi="Sakkal Majalla" w:cs="Sakkal Majalla"/>
            <w:lang w:bidi="ar-EG"/>
          </w:rPr>
          <w:t>https://bit.ly/35uhM8a</w:t>
        </w:r>
      </w:hyperlink>
    </w:p>
  </w:footnote>
  <w:footnote w:id="4">
    <w:p w14:paraId="703D174C" w14:textId="77777777" w:rsidR="008A2E8F" w:rsidRDefault="008A2E8F" w:rsidP="008A2E8F">
      <w:pPr>
        <w:pStyle w:val="FootnoteText"/>
      </w:pPr>
      <w:r>
        <w:rPr>
          <w:rStyle w:val="FootnoteReference"/>
        </w:rPr>
        <w:footnoteRef/>
      </w:r>
      <w:r>
        <w:t xml:space="preserve"> </w:t>
      </w:r>
    </w:p>
  </w:footnote>
  <w:footnote w:id="5">
    <w:p w14:paraId="72B3A243" w14:textId="77777777" w:rsidR="00543230" w:rsidRDefault="00543230">
      <w:pPr>
        <w:pStyle w:val="FootnoteText"/>
      </w:pPr>
      <w:r>
        <w:rPr>
          <w:rStyle w:val="FootnoteReference"/>
        </w:rPr>
        <w:footnoteRef/>
      </w:r>
      <w:r>
        <w:t xml:space="preserve"> </w:t>
      </w:r>
    </w:p>
  </w:footnote>
  <w:footnote w:id="6">
    <w:p w14:paraId="7064D4A8" w14:textId="77777777" w:rsidR="00256B0B" w:rsidRDefault="00256B0B">
      <w:pPr>
        <w:pStyle w:val="FootnoteText"/>
      </w:pPr>
      <w:r>
        <w:rPr>
          <w:rStyle w:val="FootnoteReference"/>
        </w:rPr>
        <w:footnoteRef/>
      </w:r>
      <w:r>
        <w:t xml:space="preserve"> </w:t>
      </w:r>
    </w:p>
  </w:footnote>
  <w:footnote w:id="7">
    <w:p w14:paraId="673F15A8" w14:textId="77777777" w:rsidR="00256B0B" w:rsidRDefault="00256B0B" w:rsidP="001A47D6">
      <w:pPr>
        <w:pStyle w:val="FootnoteText"/>
        <w:bidi/>
      </w:pPr>
      <w:r>
        <w:rPr>
          <w:rStyle w:val="FootnoteReference"/>
        </w:rPr>
        <w:footnoteRef/>
      </w:r>
      <w:r>
        <w:t xml:space="preserve"> </w:t>
      </w:r>
      <w:r w:rsidR="001A47D6">
        <w:rPr>
          <w:rFonts w:ascii="Sakkal Majalla" w:hAnsi="Sakkal Majalla" w:cs="Sakkal Majalla"/>
          <w:rtl/>
          <w:lang w:bidi="ar-EG"/>
        </w:rPr>
        <w:t xml:space="preserve">منشور على موقع مبتدا، وللمزيد من التفاصيل على الرابط التالي: </w:t>
      </w:r>
      <w:hyperlink r:id="rId3" w:history="1">
        <w:r w:rsidR="001A47D6">
          <w:rPr>
            <w:rStyle w:val="Hyperlink"/>
            <w:rFonts w:ascii="Sakkal Majalla" w:hAnsi="Sakkal Majalla" w:cs="Sakkal Majalla"/>
            <w:lang w:bidi="ar-EG"/>
          </w:rPr>
          <w:t>https://www.mobtada.com/details/571558</w:t>
        </w:r>
      </w:hyperlink>
    </w:p>
  </w:footnote>
  <w:footnote w:id="8">
    <w:p w14:paraId="7A2ECC22" w14:textId="77777777" w:rsidR="0017534D" w:rsidRDefault="0017534D" w:rsidP="001A47D6">
      <w:pPr>
        <w:pStyle w:val="FootnoteText"/>
        <w:bidi/>
      </w:pPr>
      <w:r>
        <w:rPr>
          <w:rStyle w:val="FootnoteReference"/>
        </w:rPr>
        <w:footnoteRef/>
      </w:r>
      <w:r>
        <w:t xml:space="preserve"> </w:t>
      </w:r>
      <w:r w:rsidR="001A47D6">
        <w:rPr>
          <w:rFonts w:ascii="Sakkal Majalla" w:hAnsi="Sakkal Majalla" w:cs="Sakkal Majalla"/>
          <w:rtl/>
        </w:rPr>
        <w:t xml:space="preserve">تقــــريــــر متابعة دور الوزارات والجامعات والجهات المختلفة في تنفيذ الاستراتيجية الوطنية لتمكين المرأة المصرية 2030، ديسمبر 2018، </w:t>
      </w:r>
      <w:hyperlink r:id="rId4" w:history="1">
        <w:r w:rsidR="001A47D6">
          <w:rPr>
            <w:rStyle w:val="Hyperlink"/>
            <w:rFonts w:ascii="Sakkal Majalla" w:hAnsi="Sakkal Majalla" w:cs="Sakkal Majalla"/>
          </w:rPr>
          <w:t>https://bit.ly/2TIf4nw</w:t>
        </w:r>
      </w:hyperlink>
    </w:p>
  </w:footnote>
  <w:footnote w:id="9">
    <w:p w14:paraId="705A2916" w14:textId="77777777" w:rsidR="001A47D6" w:rsidRDefault="001A47D6" w:rsidP="001A47D6">
      <w:pPr>
        <w:pStyle w:val="FootnoteText"/>
        <w:bidi/>
      </w:pPr>
      <w:r>
        <w:rPr>
          <w:rStyle w:val="FootnoteReference"/>
        </w:rPr>
        <w:footnoteRef/>
      </w:r>
      <w:r>
        <w:t xml:space="preserve"> </w:t>
      </w:r>
      <w:r>
        <w:rPr>
          <w:rFonts w:ascii="Sakkal Majalla" w:hAnsi="Sakkal Majalla" w:cs="Sakkal Majalla"/>
          <w:rtl/>
          <w:lang w:bidi="ar-EG"/>
        </w:rPr>
        <w:t xml:space="preserve">8 وزيرات في حكومة واحدة.. 2018 عام الانطلاق للمرأة المصرية، بوابة الأهرام، </w:t>
      </w:r>
      <w:hyperlink r:id="rId5" w:history="1">
        <w:r>
          <w:rPr>
            <w:rStyle w:val="Hyperlink"/>
            <w:rFonts w:ascii="Sakkal Majalla" w:hAnsi="Sakkal Majalla" w:cs="Sakkal Majalla"/>
            <w:lang w:bidi="ar-EG"/>
          </w:rPr>
          <w:t>https://bit.ly/2pnX6eF</w:t>
        </w:r>
      </w:hyperlink>
    </w:p>
  </w:footnote>
  <w:footnote w:id="10">
    <w:p w14:paraId="4DE73132" w14:textId="77777777" w:rsidR="001A47D6" w:rsidRDefault="001A47D6" w:rsidP="001A47D6">
      <w:pPr>
        <w:pStyle w:val="FootnoteText"/>
        <w:bidi/>
      </w:pPr>
      <w:r>
        <w:rPr>
          <w:rStyle w:val="FootnoteReference"/>
        </w:rPr>
        <w:footnoteRef/>
      </w:r>
      <w:r>
        <w:t xml:space="preserve"> </w:t>
      </w:r>
      <w:r>
        <w:rPr>
          <w:rFonts w:ascii="Sakkal Majalla" w:eastAsia="Sakkal Majalla" w:hAnsi="Sakkal Majalla" w:cs="Sakkal Majalla"/>
          <w:color w:val="000000"/>
          <w:rtl/>
        </w:rPr>
        <w:t xml:space="preserve">في تقرير أطلق اليوم: 60% من النساء العاملات بمصر موظفات بالقطاع الرسمي، تاريخ النشر: 3 مارس 2019، تاريخ الدخول: 21 أغسطس 2019، </w:t>
      </w:r>
      <w:hyperlink r:id="rId6" w:history="1">
        <w:r>
          <w:rPr>
            <w:rStyle w:val="Hyperlink"/>
            <w:rFonts w:ascii="Sakkal Majalla" w:eastAsia="Sakkal Majalla" w:hAnsi="Sakkal Majalla" w:cs="Sakkal Majalla"/>
            <w:color w:val="0000FF"/>
          </w:rPr>
          <w:t>https://bit.ly/2KO5P2m</w:t>
        </w:r>
      </w:hyperlink>
    </w:p>
  </w:footnote>
  <w:footnote w:id="11">
    <w:p w14:paraId="39571CE9" w14:textId="77777777" w:rsidR="00326569" w:rsidRDefault="00326569" w:rsidP="00A236F9">
      <w:pPr>
        <w:pStyle w:val="FootnoteText"/>
      </w:pPr>
      <w:r>
        <w:rPr>
          <w:rStyle w:val="FootnoteReference"/>
        </w:rPr>
        <w:footnoteRef/>
      </w:r>
      <w:r>
        <w:t xml:space="preserve"> </w:t>
      </w:r>
      <w:r w:rsidR="00A236F9">
        <w:rPr>
          <w:rFonts w:ascii="Sakkal Majalla" w:eastAsia="Sakkal Majalla" w:hAnsi="Sakkal Majalla" w:cs="Sakkal Majalla"/>
          <w:color w:val="000000"/>
          <w:rtl/>
        </w:rPr>
        <w:t xml:space="preserve">متابعة دور الوزارات والجامعات والجهات المختلفة في تنفيذ الاستراتيجية الوطنية لتمكين المرأة المصرية 2030، تقرير، المجلس القومي للمرأة، ديسمبر 2018، ص 10، </w:t>
      </w:r>
      <w:hyperlink r:id="rId7" w:history="1">
        <w:r w:rsidR="00A236F9">
          <w:rPr>
            <w:rStyle w:val="Hyperlink"/>
            <w:rFonts w:ascii="Sakkal Majalla" w:eastAsia="Sakkal Majalla" w:hAnsi="Sakkal Majalla" w:cs="Sakkal Majalla"/>
            <w:color w:val="0563C1"/>
          </w:rPr>
          <w:t>https://bit.ly/2zjQq3j</w:t>
        </w:r>
      </w:hyperlink>
    </w:p>
  </w:footnote>
  <w:footnote w:id="12">
    <w:p w14:paraId="5DFCF700" w14:textId="77777777" w:rsidR="00326569" w:rsidRDefault="00326569">
      <w:pPr>
        <w:pStyle w:val="FootnoteText"/>
      </w:pPr>
      <w:r>
        <w:rPr>
          <w:rStyle w:val="FootnoteReference"/>
        </w:rPr>
        <w:footnoteRef/>
      </w:r>
      <w:r>
        <w:t xml:space="preserve"> </w:t>
      </w:r>
      <w:r w:rsidR="00A236F9">
        <w:rPr>
          <w:rFonts w:ascii="Sakkal Majalla" w:eastAsia="Sakkal Majalla" w:hAnsi="Sakkal Majalla" w:cs="Sakkal Majalla"/>
          <w:color w:val="000000"/>
          <w:rtl/>
        </w:rPr>
        <w:t>وزارة التضامن الاجتماعي، حماية وتنمية المرأة، تقرير، مارس 2019، ص 4</w:t>
      </w:r>
    </w:p>
  </w:footnote>
  <w:footnote w:id="13">
    <w:p w14:paraId="4C9CAB78" w14:textId="77777777" w:rsidR="00A236F9" w:rsidRDefault="00A236F9">
      <w:pPr>
        <w:pStyle w:val="FootnoteText"/>
      </w:pPr>
      <w:r>
        <w:rPr>
          <w:rStyle w:val="FootnoteReference"/>
        </w:rPr>
        <w:footnoteRef/>
      </w:r>
      <w:r>
        <w:t xml:space="preserve"> </w:t>
      </w:r>
      <w:r>
        <w:rPr>
          <w:rFonts w:ascii="Sakkal Majalla" w:eastAsia="Sakkal Majalla" w:hAnsi="Sakkal Majalla" w:cs="Sakkal Majalla"/>
          <w:color w:val="000000"/>
          <w:rtl/>
        </w:rPr>
        <w:t xml:space="preserve">وزارة </w:t>
      </w:r>
      <w:r>
        <w:rPr>
          <w:rFonts w:ascii="Sakkal Majalla" w:eastAsia="Sakkal Majalla" w:hAnsi="Sakkal Majalla" w:cs="Sakkal Majalla"/>
          <w:color w:val="000000"/>
          <w:rtl/>
        </w:rPr>
        <w:t xml:space="preserve">التضامن الاجتماعي، برنامج التمويل متناهي الصغر للمرأة المعيلة، </w:t>
      </w:r>
      <w:hyperlink r:id="rId8" w:history="1">
        <w:r>
          <w:rPr>
            <w:rStyle w:val="Hyperlink"/>
            <w:rFonts w:ascii="Sakkal Majalla" w:eastAsia="Sakkal Majalla" w:hAnsi="Sakkal Majalla" w:cs="Sakkal Majalla"/>
            <w:color w:val="0563C1"/>
          </w:rPr>
          <w:t>https://bit.ly/2KIxa5</w:t>
        </w:r>
      </w:hyperlink>
      <w:r>
        <w:rPr>
          <w:rFonts w:ascii="Sakkal Majalla" w:eastAsia="Sakkal Majalla" w:hAnsi="Sakkal Majalla" w:cs="Sakkal Majalla"/>
          <w:color w:val="000000"/>
        </w:rPr>
        <w:t>R</w:t>
      </w:r>
    </w:p>
  </w:footnote>
  <w:footnote w:id="14">
    <w:p w14:paraId="316AE6B9" w14:textId="77777777" w:rsidR="00A236F9" w:rsidRDefault="00A236F9" w:rsidP="00761F20">
      <w:pPr>
        <w:pStyle w:val="FootnoteText"/>
        <w:bidi/>
      </w:pPr>
      <w:r>
        <w:rPr>
          <w:rStyle w:val="FootnoteReference"/>
        </w:rPr>
        <w:footnoteRef/>
      </w:r>
      <w:r>
        <w:t xml:space="preserve"> </w:t>
      </w:r>
      <w:r>
        <w:rPr>
          <w:rFonts w:ascii="Sakkal Majalla" w:eastAsia="Sakkal Majalla" w:hAnsi="Sakkal Majalla" w:cs="Sakkal Majalla"/>
          <w:color w:val="000000"/>
          <w:rtl/>
        </w:rPr>
        <w:t xml:space="preserve">المجلس القومي للمرأة، تقرير، 2017، ص 90، </w:t>
      </w:r>
      <w:hyperlink r:id="rId9" w:history="1">
        <w:r>
          <w:rPr>
            <w:rStyle w:val="Hyperlink"/>
            <w:rFonts w:ascii="Sakkal Majalla" w:eastAsia="Sakkal Majalla" w:hAnsi="Sakkal Majalla" w:cs="Sakkal Majalla"/>
            <w:color w:val="0563C1"/>
          </w:rPr>
          <w:t>https://bit.ly/2HfSy0d</w:t>
        </w:r>
      </w:hyperlink>
    </w:p>
  </w:footnote>
  <w:footnote w:id="15">
    <w:p w14:paraId="6D220FA9" w14:textId="77777777" w:rsidR="00761F20" w:rsidRDefault="00761F20" w:rsidP="00761F20">
      <w:pPr>
        <w:pStyle w:val="FootnoteText"/>
        <w:bidi/>
      </w:pPr>
      <w:r>
        <w:rPr>
          <w:rStyle w:val="FootnoteReference"/>
        </w:rPr>
        <w:footnoteRef/>
      </w:r>
      <w:r>
        <w:t xml:space="preserve"> </w:t>
      </w:r>
      <w:r>
        <w:rPr>
          <w:rFonts w:ascii="Sakkal Majalla" w:eastAsia="Sakkal Majalla" w:hAnsi="Sakkal Majalla" w:cs="Sakkal Majalla"/>
          <w:color w:val="000000"/>
          <w:rtl/>
        </w:rPr>
        <w:t>قانون العمل المصري رقم 12 لعام 2003</w:t>
      </w:r>
    </w:p>
  </w:footnote>
  <w:footnote w:id="16">
    <w:p w14:paraId="4EBFB909" w14:textId="77777777" w:rsidR="00761F20" w:rsidRDefault="00761F20" w:rsidP="00761F20">
      <w:pPr>
        <w:pStyle w:val="FootnoteText"/>
        <w:bidi/>
      </w:pPr>
      <w:r>
        <w:rPr>
          <w:rStyle w:val="FootnoteReference"/>
        </w:rPr>
        <w:footnoteRef/>
      </w:r>
      <w:r>
        <w:t xml:space="preserve"> </w:t>
      </w:r>
      <w:r>
        <w:rPr>
          <w:rFonts w:ascii="Sakkal Majalla" w:eastAsia="Sakkal Majalla" w:hAnsi="Sakkal Majalla" w:cs="Sakkal Majalla"/>
          <w:color w:val="000000"/>
          <w:rtl/>
        </w:rPr>
        <w:t xml:space="preserve">خدمات </w:t>
      </w:r>
      <w:r>
        <w:rPr>
          <w:rFonts w:ascii="Sakkal Majalla" w:eastAsia="Sakkal Majalla" w:hAnsi="Sakkal Majalla" w:cs="Sakkal Majalla"/>
          <w:color w:val="000000"/>
          <w:rtl/>
        </w:rPr>
        <w:t>وزارة اتضامن الاجتماعي في مجال المرأة، تقرير، مارس 2019، ص2</w:t>
      </w:r>
    </w:p>
  </w:footnote>
  <w:footnote w:id="17">
    <w:p w14:paraId="2C2A64D0" w14:textId="77777777" w:rsidR="00FF5096" w:rsidRDefault="00FF5096">
      <w:pPr>
        <w:pStyle w:val="FootnoteText"/>
      </w:pPr>
      <w:r>
        <w:rPr>
          <w:rStyle w:val="FootnoteReference"/>
        </w:rPr>
        <w:footnoteRef/>
      </w:r>
      <w:r>
        <w:t xml:space="preserve"> </w:t>
      </w:r>
    </w:p>
  </w:footnote>
  <w:footnote w:id="18">
    <w:p w14:paraId="716A5188" w14:textId="77777777" w:rsidR="004B103B" w:rsidRDefault="004B103B" w:rsidP="00552751">
      <w:pPr>
        <w:pStyle w:val="FootnoteText"/>
        <w:bidi/>
      </w:pPr>
      <w:r>
        <w:rPr>
          <w:rStyle w:val="FootnoteReference"/>
        </w:rPr>
        <w:footnoteRef/>
      </w:r>
      <w:r>
        <w:t xml:space="preserve"> </w:t>
      </w:r>
      <w:r w:rsidR="00552751">
        <w:rPr>
          <w:rFonts w:ascii="Sakkal Majalla" w:hAnsi="Sakkal Majalla" w:cs="Sakkal Majalla"/>
          <w:rtl/>
          <w:lang w:bidi="ar-EG"/>
        </w:rPr>
        <w:t xml:space="preserve">الاستراتيجية الوطنية لتمكين المرأة المصرية 2030، الرؤية ومحاور العمل، </w:t>
      </w:r>
      <w:hyperlink r:id="rId10" w:history="1">
        <w:r w:rsidR="00552751">
          <w:rPr>
            <w:rStyle w:val="Hyperlink"/>
            <w:rFonts w:ascii="Sakkal Majalla" w:hAnsi="Sakkal Majalla" w:cs="Sakkal Majalla"/>
            <w:lang w:bidi="ar-EG"/>
          </w:rPr>
          <w:t>https://bit.ly/33zW6Dn</w:t>
        </w:r>
      </w:hyperlink>
    </w:p>
  </w:footnote>
  <w:footnote w:id="19">
    <w:p w14:paraId="16C6C3AC" w14:textId="77777777" w:rsidR="00552751" w:rsidRDefault="00552751" w:rsidP="00552751">
      <w:pPr>
        <w:pStyle w:val="FootnoteText"/>
        <w:bidi/>
      </w:pPr>
      <w:r>
        <w:rPr>
          <w:rStyle w:val="FootnoteReference"/>
        </w:rPr>
        <w:footnoteRef/>
      </w:r>
      <w:r>
        <w:t xml:space="preserve"> </w:t>
      </w:r>
      <w:r>
        <w:rPr>
          <w:rFonts w:ascii="Sakkal Majalla" w:hAnsi="Sakkal Majalla" w:cs="Sakkal Majalla"/>
          <w:rtl/>
        </w:rPr>
        <w:t xml:space="preserve">حملة ال17 يوم للمرأة الريفية، المجلس القومي للمرأة، 29 نوفمبر 2016، </w:t>
      </w:r>
      <w:hyperlink r:id="rId11" w:history="1">
        <w:r>
          <w:rPr>
            <w:rStyle w:val="Hyperlink"/>
            <w:rFonts w:ascii="Sakkal Majalla" w:hAnsi="Sakkal Majalla" w:cs="Sakkal Majalla"/>
          </w:rPr>
          <w:t>https://bit.ly/31hifVg</w:t>
        </w:r>
      </w:hyperlink>
    </w:p>
  </w:footnote>
  <w:footnote w:id="20">
    <w:p w14:paraId="624D5B4C" w14:textId="77777777" w:rsidR="00552751" w:rsidRDefault="00552751" w:rsidP="00552751">
      <w:pPr>
        <w:pStyle w:val="FootnoteText"/>
        <w:bidi/>
      </w:pPr>
      <w:r>
        <w:rPr>
          <w:rStyle w:val="FootnoteReference"/>
        </w:rPr>
        <w:footnoteRef/>
      </w:r>
      <w:r>
        <w:t xml:space="preserve"> </w:t>
      </w:r>
      <w:r>
        <w:rPr>
          <w:rFonts w:ascii="Sakkal Majalla" w:eastAsia="Sakkal Majalla" w:hAnsi="Sakkal Majalla" w:cs="Sakkal Majalla"/>
          <w:color w:val="000000"/>
          <w:rtl/>
        </w:rPr>
        <w:t xml:space="preserve">حملة لأني رجل، فيديو، المجلس القومي للمرأة، تاريخ النشر: 22 نوفمبر 2017، تاريخ الدخول: 20 أغسطس 2019،      </w:t>
      </w:r>
      <w:hyperlink r:id="rId12" w:history="1">
        <w:r>
          <w:rPr>
            <w:rStyle w:val="Hyperlink"/>
            <w:rFonts w:ascii="Sakkal Majalla" w:eastAsia="Sakkal Majalla" w:hAnsi="Sakkal Majalla" w:cs="Sakkal Majalla"/>
            <w:color w:val="0563C1"/>
          </w:rPr>
          <w:t>https://bit.ly/33OXaDZ</w:t>
        </w:r>
      </w:hyperlink>
    </w:p>
  </w:footnote>
  <w:footnote w:id="21">
    <w:p w14:paraId="4CB46D31" w14:textId="77777777" w:rsidR="00552751" w:rsidRDefault="00552751" w:rsidP="002B12F0">
      <w:pPr>
        <w:pStyle w:val="FootnoteText"/>
        <w:bidi/>
      </w:pPr>
      <w:r>
        <w:rPr>
          <w:rStyle w:val="FootnoteReference"/>
        </w:rPr>
        <w:footnoteRef/>
      </w:r>
      <w:r>
        <w:t xml:space="preserve"> </w:t>
      </w:r>
      <w:r w:rsidR="00D240F0">
        <w:rPr>
          <w:rFonts w:ascii="Sakkal Majalla" w:eastAsia="Sakkal Majalla" w:hAnsi="Sakkal Majalla" w:cs="Sakkal Majalla"/>
          <w:color w:val="000000"/>
          <w:rtl/>
        </w:rPr>
        <w:t xml:space="preserve">المرأة في مجال تكنولوجيا المعلومات، تقرير، مايو 2019، ص 8، </w:t>
      </w:r>
      <w:hyperlink r:id="rId13" w:history="1">
        <w:r w:rsidR="00D240F0">
          <w:rPr>
            <w:rStyle w:val="Hyperlink"/>
            <w:rFonts w:ascii="Sakkal Majalla" w:eastAsia="Sakkal Majalla" w:hAnsi="Sakkal Majalla" w:cs="Sakkal Majalla"/>
            <w:color w:val="0563C1"/>
          </w:rPr>
          <w:t>http://www.enow.gov.eg/Report/12.pdf</w:t>
        </w:r>
      </w:hyperlink>
    </w:p>
  </w:footnote>
  <w:footnote w:id="22">
    <w:p w14:paraId="40CDD0EF" w14:textId="77777777" w:rsidR="00A80D96" w:rsidRPr="00D240F0" w:rsidRDefault="00A80D96" w:rsidP="002B12F0">
      <w:pPr>
        <w:bidi/>
        <w:spacing w:before="120" w:after="0" w:line="240" w:lineRule="auto"/>
        <w:ind w:left="-58"/>
        <w:rPr>
          <w:rFonts w:ascii="Sakkal Majalla" w:eastAsia="Sakkal Majalla" w:hAnsi="Sakkal Majalla" w:cs="Sakkal Majalla"/>
          <w:color w:val="000000"/>
          <w:sz w:val="20"/>
          <w:szCs w:val="20"/>
        </w:rPr>
      </w:pPr>
      <w:r>
        <w:rPr>
          <w:rStyle w:val="FootnoteReference"/>
        </w:rPr>
        <w:footnoteRef/>
      </w:r>
      <w:r>
        <w:t xml:space="preserve"> </w:t>
      </w:r>
      <w:r w:rsidR="00D240F0">
        <w:rPr>
          <w:rFonts w:ascii="Sakkal Majalla" w:eastAsia="Sakkal Majalla" w:hAnsi="Sakkal Majalla" w:cs="Sakkal Majalla"/>
          <w:color w:val="000000"/>
          <w:sz w:val="20"/>
          <w:szCs w:val="20"/>
          <w:rtl/>
        </w:rPr>
        <w:t xml:space="preserve">المرجع السابق، ص 5 </w:t>
      </w:r>
    </w:p>
  </w:footnote>
  <w:footnote w:id="23">
    <w:p w14:paraId="32D53C63" w14:textId="77777777" w:rsidR="00D240F0" w:rsidRDefault="00D240F0" w:rsidP="002B12F0">
      <w:pPr>
        <w:pStyle w:val="FootnoteText"/>
        <w:bidi/>
      </w:pPr>
      <w:r>
        <w:rPr>
          <w:rStyle w:val="FootnoteReference"/>
        </w:rPr>
        <w:footnoteRef/>
      </w:r>
      <w:r>
        <w:t xml:space="preserve"> </w:t>
      </w:r>
      <w:r>
        <w:rPr>
          <w:rFonts w:ascii="Sakkal Majalla" w:eastAsia="Sakkal Majalla" w:hAnsi="Sakkal Majalla" w:cs="Sakkal Majalla"/>
          <w:color w:val="000000"/>
          <w:rtl/>
        </w:rPr>
        <w:t xml:space="preserve">المرجع </w:t>
      </w:r>
      <w:r>
        <w:rPr>
          <w:rFonts w:ascii="Sakkal Majalla" w:eastAsia="Sakkal Majalla" w:hAnsi="Sakkal Majalla" w:cs="Sakkal Majalla"/>
          <w:color w:val="000000"/>
          <w:rtl/>
        </w:rPr>
        <w:t>السابق، ص</w:t>
      </w:r>
    </w:p>
  </w:footnote>
  <w:footnote w:id="24">
    <w:p w14:paraId="397A7A75" w14:textId="77777777" w:rsidR="00D240F0" w:rsidRDefault="00D240F0" w:rsidP="002B12F0">
      <w:pPr>
        <w:pStyle w:val="FootnoteText"/>
        <w:bidi/>
      </w:pPr>
      <w:r>
        <w:rPr>
          <w:rStyle w:val="FootnoteReference"/>
        </w:rPr>
        <w:footnoteRef/>
      </w:r>
      <w:r>
        <w:t xml:space="preserve"> </w:t>
      </w:r>
      <w:r>
        <w:rPr>
          <w:rFonts w:ascii="Sakkal Majalla" w:eastAsia="Sakkal Majalla" w:hAnsi="Sakkal Majalla" w:cs="Sakkal Majalla"/>
          <w:color w:val="000000"/>
          <w:rtl/>
        </w:rPr>
        <w:t xml:space="preserve">إبداع </w:t>
      </w:r>
      <w:r>
        <w:rPr>
          <w:rFonts w:ascii="Sakkal Majalla" w:eastAsia="Sakkal Majalla" w:hAnsi="Sakkal Majalla" w:cs="Sakkal Majalla"/>
          <w:color w:val="000000"/>
          <w:rtl/>
        </w:rPr>
        <w:t xml:space="preserve">مصر، مسابقة "نساء في تكنولوجيا المعلومات والاتصالات"، </w:t>
      </w:r>
      <w:hyperlink r:id="rId14" w:history="1">
        <w:r>
          <w:rPr>
            <w:rStyle w:val="Hyperlink"/>
            <w:rFonts w:ascii="Sakkal Majalla" w:eastAsia="Sakkal Majalla" w:hAnsi="Sakkal Majalla" w:cs="Sakkal Majalla"/>
            <w:color w:val="0563C1"/>
          </w:rPr>
          <w:t>https://bit.ly/31KFRCk</w:t>
        </w:r>
      </w:hyperlink>
    </w:p>
  </w:footnote>
  <w:footnote w:id="25">
    <w:p w14:paraId="2AB8A1D6" w14:textId="77777777" w:rsidR="00EB16C0" w:rsidRDefault="00EB16C0" w:rsidP="002B12F0">
      <w:pPr>
        <w:pStyle w:val="FootnoteText"/>
        <w:bidi/>
      </w:pPr>
      <w:r>
        <w:rPr>
          <w:rStyle w:val="FootnoteReference"/>
        </w:rPr>
        <w:footnoteRef/>
      </w:r>
      <w:r>
        <w:t xml:space="preserve"> </w:t>
      </w:r>
      <w:r w:rsidR="002B12F0">
        <w:rPr>
          <w:rFonts w:ascii="Sakkal Majalla" w:eastAsia="Sakkal Majalla" w:hAnsi="Sakkal Majalla" w:cs="Sakkal Majalla"/>
          <w:color w:val="000000"/>
          <w:rtl/>
        </w:rPr>
        <w:t xml:space="preserve">وزارة الاتصالات وتكنولوجيا المعلومات، وزارة الاتصالات وجوجل تطلقان البرنامج التدريبي "مهارات رقمية باللغة العربية"، تاريخ النشر: 7 مارس 2019، تاريخ الدخول: 19 أغسطس 2019، </w:t>
      </w:r>
      <w:hyperlink r:id="rId15" w:history="1">
        <w:r w:rsidR="002B12F0">
          <w:rPr>
            <w:rStyle w:val="Hyperlink"/>
            <w:rFonts w:ascii="Sakkal Majalla" w:eastAsia="Sakkal Majalla" w:hAnsi="Sakkal Majalla" w:cs="Sakkal Majalla"/>
            <w:color w:val="0563C1"/>
          </w:rPr>
          <w:t>http://www.mcit.gov.eg/Ar/Media_Center/Latest_News/News/31163</w:t>
        </w:r>
      </w:hyperlink>
    </w:p>
  </w:footnote>
  <w:footnote w:id="26">
    <w:p w14:paraId="08256596" w14:textId="77777777" w:rsidR="00EB16C0" w:rsidRPr="002B12F0" w:rsidRDefault="00EB16C0" w:rsidP="002B12F0">
      <w:pPr>
        <w:bidi/>
        <w:spacing w:before="120" w:after="0" w:line="240" w:lineRule="auto"/>
        <w:ind w:left="-58"/>
        <w:rPr>
          <w:rFonts w:ascii="Sakkal Majalla" w:eastAsia="Sakkal Majalla" w:hAnsi="Sakkal Majalla" w:cs="Sakkal Majalla"/>
          <w:color w:val="000000"/>
          <w:sz w:val="20"/>
          <w:szCs w:val="20"/>
        </w:rPr>
      </w:pPr>
      <w:r>
        <w:rPr>
          <w:rStyle w:val="FootnoteReference"/>
        </w:rPr>
        <w:footnoteRef/>
      </w:r>
      <w:r>
        <w:t xml:space="preserve"> </w:t>
      </w:r>
      <w:r w:rsidR="002B12F0">
        <w:rPr>
          <w:rFonts w:ascii="Sakkal Majalla" w:eastAsia="Sakkal Majalla" w:hAnsi="Sakkal Majalla" w:cs="Sakkal Majalla"/>
          <w:color w:val="000000"/>
          <w:sz w:val="20"/>
          <w:szCs w:val="20"/>
          <w:rtl/>
        </w:rPr>
        <w:t xml:space="preserve">وزارة الاتصالات وتكنولوجيا المعلومات، وزارة الاتصالات تطلق أول برنامج تدريبي للتسويق الإلكتروني لرائدات الأعمال بالتعاون مع جامعة النيل، </w:t>
      </w:r>
      <w:hyperlink r:id="rId16" w:history="1">
        <w:r w:rsidR="002B12F0">
          <w:rPr>
            <w:rStyle w:val="Hyperlink"/>
            <w:rFonts w:ascii="Sakkal Majalla" w:eastAsia="Sakkal Majalla" w:hAnsi="Sakkal Majalla" w:cs="Sakkal Majalla"/>
            <w:color w:val="0563C1"/>
            <w:sz w:val="20"/>
            <w:szCs w:val="20"/>
          </w:rPr>
          <w:t>http://www.mcit.gov.eg/Ar/Media_Center/Press_Room/Press_Releases/36300</w:t>
        </w:r>
      </w:hyperlink>
      <w:r w:rsidR="002B12F0">
        <w:rPr>
          <w:rFonts w:ascii="Sakkal Majalla" w:eastAsia="Sakkal Majalla" w:hAnsi="Sakkal Majalla" w:cs="Sakkal Majalla"/>
          <w:color w:val="000000"/>
          <w:sz w:val="20"/>
          <w:szCs w:val="20"/>
        </w:rPr>
        <w:t xml:space="preserve"> </w:t>
      </w:r>
    </w:p>
  </w:footnote>
  <w:footnote w:id="27">
    <w:p w14:paraId="1DB6F2FA" w14:textId="77777777" w:rsidR="008E6E2A" w:rsidRDefault="008E6E2A" w:rsidP="002B12F0">
      <w:pPr>
        <w:pStyle w:val="FootnoteText"/>
        <w:bidi/>
      </w:pPr>
      <w:r>
        <w:rPr>
          <w:rStyle w:val="FootnoteReference"/>
        </w:rPr>
        <w:footnoteRef/>
      </w:r>
      <w:r>
        <w:t xml:space="preserve"> </w:t>
      </w:r>
      <w:r w:rsidR="00D80576">
        <w:rPr>
          <w:rFonts w:ascii="Sakkal Majalla" w:hAnsi="Sakkal Majalla" w:cs="Sakkal Majalla"/>
          <w:rtl/>
          <w:lang w:bidi="ar-EG"/>
        </w:rPr>
        <w:t xml:space="preserve">منى مكرم عبيد، المجلس القومي للمرأة 20 عاما من التحديات، المصري اليوم، مارس 2020، الرابط، </w:t>
      </w:r>
      <w:hyperlink r:id="rId17" w:history="1">
        <w:r w:rsidR="00D80576">
          <w:rPr>
            <w:rStyle w:val="Hyperlink"/>
            <w:rFonts w:ascii="Sakkal Majalla" w:hAnsi="Sakkal Majalla" w:cs="Sakkal Majalla"/>
            <w:lang w:bidi="ar-EG"/>
          </w:rPr>
          <w:t>https://bit.ly/3hh7U3y</w:t>
        </w:r>
      </w:hyperlink>
    </w:p>
  </w:footnote>
  <w:footnote w:id="28">
    <w:p w14:paraId="0E941F3D" w14:textId="77777777" w:rsidR="00D80576" w:rsidRDefault="00D80576" w:rsidP="002B12F0">
      <w:pPr>
        <w:pStyle w:val="FootnoteText"/>
        <w:bidi/>
      </w:pPr>
      <w:r>
        <w:rPr>
          <w:rStyle w:val="FootnoteReference"/>
        </w:rPr>
        <w:footnoteRef/>
      </w:r>
      <w:r>
        <w:t xml:space="preserve"> </w:t>
      </w:r>
      <w:r>
        <w:rPr>
          <w:rFonts w:ascii="Sakkal Majalla" w:eastAsia="Times New Roman" w:hAnsi="Sakkal Majalla" w:cs="Sakkal Majalla"/>
          <w:color w:val="000000"/>
          <w:rtl/>
        </w:rPr>
        <w:t xml:space="preserve">ماذا بعد تعديل صلاحياته؟ تعليق نسوي على القانون الجديد لعمل المجلس القومي للمرأة، مركز نظرة، 9 ديسمبر 2018، الرابط، </w:t>
      </w:r>
      <w:hyperlink r:id="rId18" w:history="1">
        <w:r>
          <w:rPr>
            <w:rStyle w:val="Hyperlink"/>
            <w:rFonts w:ascii="Sakkal Majalla" w:eastAsia="Times New Roman" w:hAnsi="Sakkal Majalla" w:cs="Sakkal Majalla"/>
          </w:rPr>
          <w:t>https://bit.ly/2Rh3cbH</w:t>
        </w:r>
      </w:hyperlink>
    </w:p>
  </w:footnote>
  <w:footnote w:id="29">
    <w:p w14:paraId="637F2666" w14:textId="77777777" w:rsidR="00D80576" w:rsidRDefault="00D80576" w:rsidP="00D80576">
      <w:pPr>
        <w:pStyle w:val="FootnoteText"/>
        <w:bidi/>
      </w:pPr>
      <w:r>
        <w:rPr>
          <w:rStyle w:val="FootnoteReference"/>
        </w:rPr>
        <w:footnoteRef/>
      </w:r>
      <w:r>
        <w:t xml:space="preserve"> </w:t>
      </w:r>
      <w:r>
        <w:rPr>
          <w:rFonts w:ascii="Sakkal Majalla" w:hAnsi="Sakkal Majalla" w:cs="Sakkal Majalla"/>
          <w:rtl/>
          <w:lang w:bidi="ar-EG"/>
        </w:rPr>
        <w:t xml:space="preserve">مايا مرسي 18 الف سيدة مستفيدة من برنامج الادخار والاقراض في القرى، نوابة الوطن الالكترونية، 20 يوليو 2020، الرابط، </w:t>
      </w:r>
      <w:hyperlink r:id="rId19" w:history="1">
        <w:r>
          <w:rPr>
            <w:rStyle w:val="Hyperlink"/>
            <w:rFonts w:ascii="Sakkal Majalla" w:hAnsi="Sakkal Majalla" w:cs="Sakkal Majalla"/>
            <w:lang w:bidi="ar-EG"/>
          </w:rPr>
          <w:t>https://bit.ly/2ZEsLYX</w:t>
        </w:r>
      </w:hyperlink>
    </w:p>
  </w:footnote>
  <w:footnote w:id="30">
    <w:p w14:paraId="1FF0FC96" w14:textId="77777777" w:rsidR="00D80576" w:rsidRDefault="00D80576" w:rsidP="00D80576">
      <w:pPr>
        <w:pStyle w:val="FootnoteText"/>
        <w:bidi/>
      </w:pPr>
      <w:r>
        <w:rPr>
          <w:rStyle w:val="FootnoteReference"/>
        </w:rPr>
        <w:footnoteRef/>
      </w:r>
      <w:r>
        <w:t xml:space="preserve"> </w:t>
      </w:r>
      <w:r>
        <w:rPr>
          <w:rFonts w:ascii="Sakkal Majalla" w:eastAsia="Times New Roman" w:hAnsi="Sakkal Majalla" w:cs="Sakkal Majalla"/>
          <w:color w:val="000000"/>
          <w:rtl/>
        </w:rPr>
        <w:t xml:space="preserve">ماذا بعد تعديل صلاحياته؟ تعليق نسوي على القانون الجديد لعمل المجلس القومي للمرأة، مركز نظرة، 9 ديسمبر 2018، الرابط، </w:t>
      </w:r>
      <w:hyperlink r:id="rId20" w:history="1">
        <w:r>
          <w:rPr>
            <w:rStyle w:val="Hyperlink"/>
            <w:rFonts w:ascii="Sakkal Majalla" w:eastAsia="Times New Roman" w:hAnsi="Sakkal Majalla" w:cs="Sakkal Majalla"/>
          </w:rPr>
          <w:t>https://bit.ly/2Rh3cbH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627F79"/>
    <w:multiLevelType w:val="hybridMultilevel"/>
    <w:tmpl w:val="29CCE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E8F"/>
    <w:rsid w:val="00045BBE"/>
    <w:rsid w:val="0016628B"/>
    <w:rsid w:val="0017534D"/>
    <w:rsid w:val="001A47D6"/>
    <w:rsid w:val="001C60A9"/>
    <w:rsid w:val="001C71F9"/>
    <w:rsid w:val="001E4A67"/>
    <w:rsid w:val="00256B0B"/>
    <w:rsid w:val="002B12F0"/>
    <w:rsid w:val="00326569"/>
    <w:rsid w:val="004B103B"/>
    <w:rsid w:val="00543230"/>
    <w:rsid w:val="00552751"/>
    <w:rsid w:val="00574CB9"/>
    <w:rsid w:val="005A261B"/>
    <w:rsid w:val="00647B2E"/>
    <w:rsid w:val="00761F20"/>
    <w:rsid w:val="00862032"/>
    <w:rsid w:val="008A2E8F"/>
    <w:rsid w:val="008E6E2A"/>
    <w:rsid w:val="008F362C"/>
    <w:rsid w:val="009D4232"/>
    <w:rsid w:val="00A236F9"/>
    <w:rsid w:val="00A80D96"/>
    <w:rsid w:val="00B07441"/>
    <w:rsid w:val="00BC556B"/>
    <w:rsid w:val="00C9634D"/>
    <w:rsid w:val="00D240F0"/>
    <w:rsid w:val="00D80576"/>
    <w:rsid w:val="00D80C34"/>
    <w:rsid w:val="00DB3705"/>
    <w:rsid w:val="00DC7424"/>
    <w:rsid w:val="00E3231E"/>
    <w:rsid w:val="00EA76C0"/>
    <w:rsid w:val="00EB16C0"/>
    <w:rsid w:val="00F4318C"/>
    <w:rsid w:val="00FF50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4B7C7"/>
  <w15:chartTrackingRefBased/>
  <w15:docId w15:val="{3087F375-9490-4164-9390-98C1DEAA2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E8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2E8F"/>
    <w:rPr>
      <w:color w:val="0563C1" w:themeColor="hyperlink"/>
      <w:u w:val="single"/>
    </w:rPr>
  </w:style>
  <w:style w:type="paragraph" w:styleId="FootnoteText">
    <w:name w:val="footnote text"/>
    <w:basedOn w:val="Normal"/>
    <w:link w:val="FootnoteTextChar"/>
    <w:uiPriority w:val="99"/>
    <w:semiHidden/>
    <w:unhideWhenUsed/>
    <w:rsid w:val="008A2E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2E8F"/>
    <w:rPr>
      <w:sz w:val="20"/>
      <w:szCs w:val="20"/>
    </w:rPr>
  </w:style>
  <w:style w:type="character" w:styleId="FootnoteReference">
    <w:name w:val="footnote reference"/>
    <w:basedOn w:val="DefaultParagraphFont"/>
    <w:uiPriority w:val="99"/>
    <w:semiHidden/>
    <w:unhideWhenUsed/>
    <w:rsid w:val="008A2E8F"/>
    <w:rPr>
      <w:vertAlign w:val="superscript"/>
    </w:rPr>
  </w:style>
  <w:style w:type="paragraph" w:styleId="ListParagraph">
    <w:name w:val="List Paragraph"/>
    <w:basedOn w:val="Normal"/>
    <w:uiPriority w:val="34"/>
    <w:qFormat/>
    <w:rsid w:val="00E32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6906682">
      <w:bodyDiv w:val="1"/>
      <w:marLeft w:val="0"/>
      <w:marRight w:val="0"/>
      <w:marTop w:val="0"/>
      <w:marBottom w:val="0"/>
      <w:divBdr>
        <w:top w:val="none" w:sz="0" w:space="0" w:color="auto"/>
        <w:left w:val="none" w:sz="0" w:space="0" w:color="auto"/>
        <w:bottom w:val="none" w:sz="0" w:space="0" w:color="auto"/>
        <w:right w:val="none" w:sz="0" w:space="0" w:color="auto"/>
      </w:divBdr>
    </w:div>
    <w:div w:id="1763720502">
      <w:bodyDiv w:val="1"/>
      <w:marLeft w:val="0"/>
      <w:marRight w:val="0"/>
      <w:marTop w:val="0"/>
      <w:marBottom w:val="0"/>
      <w:divBdr>
        <w:top w:val="none" w:sz="0" w:space="0" w:color="auto"/>
        <w:left w:val="none" w:sz="0" w:space="0" w:color="auto"/>
        <w:bottom w:val="none" w:sz="0" w:space="0" w:color="auto"/>
        <w:right w:val="none" w:sz="0" w:space="0" w:color="auto"/>
      </w:divBdr>
    </w:div>
    <w:div w:id="1855411616">
      <w:bodyDiv w:val="1"/>
      <w:marLeft w:val="0"/>
      <w:marRight w:val="0"/>
      <w:marTop w:val="0"/>
      <w:marBottom w:val="0"/>
      <w:divBdr>
        <w:top w:val="none" w:sz="0" w:space="0" w:color="auto"/>
        <w:left w:val="none" w:sz="0" w:space="0" w:color="auto"/>
        <w:bottom w:val="none" w:sz="0" w:space="0" w:color="auto"/>
        <w:right w:val="none" w:sz="0" w:space="0" w:color="auto"/>
      </w:divBdr>
    </w:div>
    <w:div w:id="194642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2KIxa5" TargetMode="External"/><Relationship Id="rId13" Type="http://schemas.openxmlformats.org/officeDocument/2006/relationships/hyperlink" Target="http://www.enow.gov.eg/Report/12.pdf" TargetMode="External"/><Relationship Id="rId18" Type="http://schemas.openxmlformats.org/officeDocument/2006/relationships/hyperlink" Target="https://bit.ly/2Rh3cbH" TargetMode="External"/><Relationship Id="rId3" Type="http://schemas.openxmlformats.org/officeDocument/2006/relationships/hyperlink" Target="https://www.mobtada.com/details/571558" TargetMode="External"/><Relationship Id="rId7" Type="http://schemas.openxmlformats.org/officeDocument/2006/relationships/hyperlink" Target="https://bit.ly/2zjQq3j" TargetMode="External"/><Relationship Id="rId12" Type="http://schemas.openxmlformats.org/officeDocument/2006/relationships/hyperlink" Target="https://bit.ly/33OXaDZ" TargetMode="External"/><Relationship Id="rId17" Type="http://schemas.openxmlformats.org/officeDocument/2006/relationships/hyperlink" Target="https://bit.ly/3hh7U3y" TargetMode="External"/><Relationship Id="rId2" Type="http://schemas.openxmlformats.org/officeDocument/2006/relationships/hyperlink" Target="https://bit.ly/35uhM8a" TargetMode="External"/><Relationship Id="rId16" Type="http://schemas.openxmlformats.org/officeDocument/2006/relationships/hyperlink" Target="http://www.mcit.gov.eg/Ar/Media_Center/Press_Room/Press_Releases/36300" TargetMode="External"/><Relationship Id="rId20" Type="http://schemas.openxmlformats.org/officeDocument/2006/relationships/hyperlink" Target="https://bit.ly/2Rh3cbH" TargetMode="External"/><Relationship Id="rId1" Type="http://schemas.openxmlformats.org/officeDocument/2006/relationships/hyperlink" Target="http://www.enow.gov.eg/Report/08.pdf" TargetMode="External"/><Relationship Id="rId6" Type="http://schemas.openxmlformats.org/officeDocument/2006/relationships/hyperlink" Target="https://bit.ly/2KO5P2m" TargetMode="External"/><Relationship Id="rId11" Type="http://schemas.openxmlformats.org/officeDocument/2006/relationships/hyperlink" Target="https://bit.ly/31hifVg" TargetMode="External"/><Relationship Id="rId5" Type="http://schemas.openxmlformats.org/officeDocument/2006/relationships/hyperlink" Target="https://bit.ly/2pnX6eF" TargetMode="External"/><Relationship Id="rId15" Type="http://schemas.openxmlformats.org/officeDocument/2006/relationships/hyperlink" Target="http://www.mcit.gov.eg/Ar/Media_Center/Latest_News/News/31163" TargetMode="External"/><Relationship Id="rId10" Type="http://schemas.openxmlformats.org/officeDocument/2006/relationships/hyperlink" Target="https://bit.ly/33zW6Dn" TargetMode="External"/><Relationship Id="rId19" Type="http://schemas.openxmlformats.org/officeDocument/2006/relationships/hyperlink" Target="https://bit.ly/2ZEsLYX" TargetMode="External"/><Relationship Id="rId4" Type="http://schemas.openxmlformats.org/officeDocument/2006/relationships/hyperlink" Target="https://bit.ly/2TIf4nw" TargetMode="External"/><Relationship Id="rId9" Type="http://schemas.openxmlformats.org/officeDocument/2006/relationships/hyperlink" Target="https://bit.ly/2HfSy0d" TargetMode="External"/><Relationship Id="rId14" Type="http://schemas.openxmlformats.org/officeDocument/2006/relationships/hyperlink" Target="https://bit.ly/31KFR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7D8CB2-8D47-44FC-8464-A795035D7E5D}">
  <ds:schemaRefs>
    <ds:schemaRef ds:uri="http://schemas.openxmlformats.org/officeDocument/2006/bibliography"/>
  </ds:schemaRefs>
</ds:datastoreItem>
</file>

<file path=customXml/itemProps2.xml><?xml version="1.0" encoding="utf-8"?>
<ds:datastoreItem xmlns:ds="http://schemas.openxmlformats.org/officeDocument/2006/customXml" ds:itemID="{97EC8229-0FFE-4456-823D-C57A7BBDA5AD}"/>
</file>

<file path=customXml/itemProps3.xml><?xml version="1.0" encoding="utf-8"?>
<ds:datastoreItem xmlns:ds="http://schemas.openxmlformats.org/officeDocument/2006/customXml" ds:itemID="{1EF8BCCA-E985-4457-A00D-948E65D855CE}"/>
</file>

<file path=customXml/itemProps4.xml><?xml version="1.0" encoding="utf-8"?>
<ds:datastoreItem xmlns:ds="http://schemas.openxmlformats.org/officeDocument/2006/customXml" ds:itemID="{64838568-9832-4AF1-B04F-22539D177209}"/>
</file>

<file path=docProps/app.xml><?xml version="1.0" encoding="utf-8"?>
<Properties xmlns="http://schemas.openxmlformats.org/officeDocument/2006/extended-properties" xmlns:vt="http://schemas.openxmlformats.org/officeDocument/2006/docPropsVTypes">
  <Template>Normal</Template>
  <TotalTime>165</TotalTime>
  <Pages>12</Pages>
  <Words>5680</Words>
  <Characters>32382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monica el-komos</cp:lastModifiedBy>
  <cp:revision>6</cp:revision>
  <dcterms:created xsi:type="dcterms:W3CDTF">2020-10-13T09:53:00Z</dcterms:created>
  <dcterms:modified xsi:type="dcterms:W3CDTF">2020-10-13T14:42:00Z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