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201E65" w14:textId="5B902E67" w:rsidR="009D12EB" w:rsidRDefault="009D12EB" w:rsidP="00985EFA">
      <w:pPr>
        <w:spacing w:line="276" w:lineRule="auto"/>
        <w:rPr>
          <w:lang w:val="es-ES_tradnl" w:eastAsia="ja-JP"/>
        </w:rPr>
      </w:pPr>
    </w:p>
    <w:tbl>
      <w:tblPr>
        <w:tblW w:w="1000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26"/>
        <w:gridCol w:w="3680"/>
      </w:tblGrid>
      <w:tr w:rsidR="009D12EB" w:rsidRPr="002914C9" w14:paraId="5B7D20BA" w14:textId="77777777" w:rsidTr="00FF66B6">
        <w:trPr>
          <w:trHeight w:val="524"/>
        </w:trPr>
        <w:tc>
          <w:tcPr>
            <w:tcW w:w="6326" w:type="dxa"/>
          </w:tcPr>
          <w:p w14:paraId="1C3AF39E" w14:textId="430D3F5B" w:rsidR="009D12EB" w:rsidRPr="00557DD2" w:rsidRDefault="009D12EB" w:rsidP="00985EFA">
            <w:pPr>
              <w:spacing w:line="276" w:lineRule="auto"/>
              <w:rPr>
                <w:lang w:val="es-ES_tradnl"/>
              </w:rPr>
            </w:pPr>
            <w:r>
              <w:rPr>
                <w:b/>
                <w:sz w:val="32"/>
                <w:szCs w:val="32"/>
                <w:lang w:val="es-ES_tradnl"/>
              </w:rPr>
              <w:t>Colombia:</w:t>
            </w:r>
            <w:r w:rsidRPr="00557DD2">
              <w:rPr>
                <w:b/>
                <w:sz w:val="32"/>
                <w:szCs w:val="32"/>
                <w:lang w:val="es-ES_tradnl"/>
              </w:rPr>
              <w:t xml:space="preserve"> INFORME DE SEGUIMIENTO DE </w:t>
            </w:r>
            <w:r>
              <w:rPr>
                <w:b/>
                <w:sz w:val="32"/>
                <w:szCs w:val="32"/>
                <w:lang w:val="es-ES_tradnl"/>
              </w:rPr>
              <w:t>el Instituto Internacional sobre Raza, Igualdad y Derechos Humanos</w:t>
            </w:r>
          </w:p>
        </w:tc>
        <w:tc>
          <w:tcPr>
            <w:tcW w:w="3680" w:type="dxa"/>
          </w:tcPr>
          <w:p w14:paraId="1CA0AF98" w14:textId="3023F166" w:rsidR="009D12EB" w:rsidRPr="00985EFA" w:rsidRDefault="009D12EB" w:rsidP="00985EFA">
            <w:pPr>
              <w:spacing w:line="276" w:lineRule="auto"/>
              <w:rPr>
                <w:lang w:val="es-ES"/>
              </w:rPr>
            </w:pPr>
            <w:r w:rsidRPr="00985EFA">
              <w:rPr>
                <w:lang w:val="es-ES"/>
              </w:rPr>
              <w:t xml:space="preserve">CEDAW/C/COL/CO/9 </w:t>
            </w:r>
            <w:r w:rsidRPr="00557DD2">
              <w:rPr>
                <w:lang w:val="es-ES_tradnl"/>
              </w:rPr>
              <w:t>(</w:t>
            </w:r>
            <w:r>
              <w:rPr>
                <w:lang w:val="es-ES_tradnl"/>
              </w:rPr>
              <w:t>marzo de 2019</w:t>
            </w:r>
            <w:r w:rsidRPr="00557DD2">
              <w:rPr>
                <w:lang w:val="es-ES_tradnl"/>
              </w:rPr>
              <w:t>)</w:t>
            </w:r>
          </w:p>
        </w:tc>
      </w:tr>
      <w:tr w:rsidR="009D12EB" w:rsidRPr="002914C9" w14:paraId="19CBC7DD" w14:textId="77777777" w:rsidTr="00FF66B6">
        <w:trPr>
          <w:trHeight w:val="261"/>
        </w:trPr>
        <w:tc>
          <w:tcPr>
            <w:tcW w:w="10006" w:type="dxa"/>
            <w:gridSpan w:val="2"/>
          </w:tcPr>
          <w:p w14:paraId="6A5D567C" w14:textId="3CEAAA23" w:rsidR="009D12EB" w:rsidRPr="00557DD2" w:rsidRDefault="009D12EB" w:rsidP="00985EFA">
            <w:pPr>
              <w:spacing w:line="276" w:lineRule="auto"/>
              <w:rPr>
                <w:lang w:val="es-ES_tradnl"/>
              </w:rPr>
            </w:pPr>
            <w:r w:rsidRPr="00557DD2">
              <w:rPr>
                <w:lang w:val="es-ES_tradnl"/>
              </w:rPr>
              <w:t xml:space="preserve">Presentado por: </w:t>
            </w:r>
            <w:r>
              <w:rPr>
                <w:lang w:val="es-ES_tradnl"/>
              </w:rPr>
              <w:t xml:space="preserve">el </w:t>
            </w:r>
            <w:bookmarkStart w:id="0" w:name="_GoBack"/>
            <w:r>
              <w:rPr>
                <w:lang w:val="es-ES_tradnl"/>
              </w:rPr>
              <w:t>Instituto International sobre Raza, Igualdad y Derechos Humanos</w:t>
            </w:r>
            <w:bookmarkEnd w:id="0"/>
            <w:r>
              <w:rPr>
                <w:lang w:val="es-ES_tradnl"/>
              </w:rPr>
              <w:t xml:space="preserve">; </w:t>
            </w:r>
            <w:hyperlink r:id="rId8" w:history="1">
              <w:r w:rsidRPr="005A581B">
                <w:rPr>
                  <w:rStyle w:val="Hyperlink"/>
                  <w:lang w:val="es-ES_tradnl"/>
                </w:rPr>
                <w:t>legal@raceandequality.org</w:t>
              </w:r>
            </w:hyperlink>
            <w:r>
              <w:rPr>
                <w:lang w:val="es-ES_tradnl"/>
              </w:rPr>
              <w:t xml:space="preserve"> y </w:t>
            </w:r>
            <w:hyperlink r:id="rId9" w:history="1">
              <w:r w:rsidR="00B73B61" w:rsidRPr="001859E5">
                <w:rPr>
                  <w:rStyle w:val="Hyperlink"/>
                  <w:lang w:val="es-ES_tradnl"/>
                </w:rPr>
                <w:t>agosti@raceandequality.org</w:t>
              </w:r>
            </w:hyperlink>
            <w:r w:rsidR="00B73B61">
              <w:rPr>
                <w:lang w:val="es-ES_tradnl"/>
              </w:rPr>
              <w:t xml:space="preserve"> </w:t>
            </w:r>
          </w:p>
        </w:tc>
      </w:tr>
      <w:tr w:rsidR="009D12EB" w:rsidRPr="002914C9" w14:paraId="74C4CABD" w14:textId="77777777" w:rsidTr="00FF66B6">
        <w:trPr>
          <w:gridBefore w:val="1"/>
          <w:wBefore w:w="6326" w:type="dxa"/>
          <w:trHeight w:val="308"/>
        </w:trPr>
        <w:tc>
          <w:tcPr>
            <w:tcW w:w="3680" w:type="dxa"/>
          </w:tcPr>
          <w:p w14:paraId="39BF2395" w14:textId="42BEC1AF" w:rsidR="009D12EB" w:rsidRPr="00985EFA" w:rsidRDefault="009D12EB" w:rsidP="00985EFA">
            <w:pPr>
              <w:spacing w:line="276" w:lineRule="auto"/>
              <w:rPr>
                <w:lang w:val="es-ES"/>
              </w:rPr>
            </w:pPr>
            <w:r w:rsidRPr="00985EFA">
              <w:rPr>
                <w:lang w:val="es-ES"/>
              </w:rPr>
              <w:t>Fecha de Presentación: 3 de junio de 202</w:t>
            </w:r>
            <w:r>
              <w:rPr>
                <w:lang w:val="es-ES"/>
              </w:rPr>
              <w:t>1</w:t>
            </w:r>
          </w:p>
        </w:tc>
      </w:tr>
    </w:tbl>
    <w:p w14:paraId="1C370400" w14:textId="77777777" w:rsidR="008E39FB" w:rsidRDefault="008E39FB" w:rsidP="00985EFA">
      <w:pPr>
        <w:spacing w:line="276" w:lineRule="auto"/>
        <w:jc w:val="both"/>
        <w:rPr>
          <w:lang w:val="es-419"/>
        </w:rPr>
      </w:pPr>
    </w:p>
    <w:p w14:paraId="71DC3707" w14:textId="77777777" w:rsidR="00454E16" w:rsidRDefault="00B9275E" w:rsidP="008C3379">
      <w:pPr>
        <w:spacing w:line="276" w:lineRule="auto"/>
        <w:jc w:val="both"/>
        <w:rPr>
          <w:lang w:val="es-419"/>
        </w:rPr>
      </w:pPr>
      <w:r w:rsidRPr="00836DE2">
        <w:rPr>
          <w:lang w:val="es-419"/>
        </w:rPr>
        <w:t>E</w:t>
      </w:r>
      <w:r w:rsidR="00056A80" w:rsidRPr="00836DE2">
        <w:rPr>
          <w:lang w:val="es-419"/>
        </w:rPr>
        <w:t xml:space="preserve">l Instituto Internacional sobre Raza, Igualdad y Derechos Humanos </w:t>
      </w:r>
      <w:r w:rsidR="003A41D1" w:rsidRPr="00836DE2">
        <w:rPr>
          <w:lang w:val="es-419"/>
        </w:rPr>
        <w:t xml:space="preserve">– Raza e Igualdad, se permite presentar a continuación un Informe alternativo a la información suministrada por Colombia en relación con el seguimiento de las observaciones finales </w:t>
      </w:r>
      <w:r w:rsidRPr="00836DE2">
        <w:rPr>
          <w:lang w:val="es-419"/>
        </w:rPr>
        <w:t>del</w:t>
      </w:r>
      <w:r w:rsidR="003A41D1" w:rsidRPr="00836DE2">
        <w:rPr>
          <w:lang w:val="es-419"/>
        </w:rPr>
        <w:t xml:space="preserve"> noveno informe periódico</w:t>
      </w:r>
      <w:r w:rsidRPr="00836DE2">
        <w:rPr>
          <w:lang w:val="es-419"/>
        </w:rPr>
        <w:t xml:space="preserve"> del Comité para la Eliminación de la Discriminación contra la Mujer (en adelante CEDAW), publicado en marzo de 2019 en el marco de sus sesiones 1661ª y 1662ª celebradas el 19 de febrero de 2019</w:t>
      </w:r>
      <w:r w:rsidR="003A41D1" w:rsidRPr="00836DE2">
        <w:rPr>
          <w:lang w:val="es-419"/>
        </w:rPr>
        <w:t xml:space="preserve">. </w:t>
      </w:r>
    </w:p>
    <w:p w14:paraId="28D1F8C7" w14:textId="54443FFA" w:rsidR="00D772D6" w:rsidRDefault="005E42D0" w:rsidP="008C3379">
      <w:pPr>
        <w:spacing w:line="276" w:lineRule="auto"/>
        <w:jc w:val="both"/>
        <w:rPr>
          <w:lang w:val="es-419"/>
        </w:rPr>
      </w:pPr>
      <w:r>
        <w:rPr>
          <w:lang w:val="es-419"/>
        </w:rPr>
        <w:t>Este aporte</w:t>
      </w:r>
      <w:r w:rsidR="003A41D1" w:rsidRPr="00836DE2">
        <w:rPr>
          <w:lang w:val="es-419"/>
        </w:rPr>
        <w:t xml:space="preserve">, </w:t>
      </w:r>
      <w:r w:rsidR="00FD083D">
        <w:rPr>
          <w:lang w:val="es-419"/>
        </w:rPr>
        <w:t>quiere mostrar</w:t>
      </w:r>
      <w:r w:rsidR="003A41D1" w:rsidRPr="00836DE2">
        <w:rPr>
          <w:lang w:val="es-419"/>
        </w:rPr>
        <w:t xml:space="preserve"> el </w:t>
      </w:r>
      <w:r w:rsidR="00B9275E" w:rsidRPr="00836DE2">
        <w:rPr>
          <w:lang w:val="es-419"/>
        </w:rPr>
        <w:t>estado de c</w:t>
      </w:r>
      <w:r w:rsidR="003A41D1" w:rsidRPr="00836DE2">
        <w:rPr>
          <w:lang w:val="es-419"/>
        </w:rPr>
        <w:t>umplimiento de las obligaciones derivadas de la Convención sobre la Eliminación de Todas las Formas de Discriminación contra la Mujer</w:t>
      </w:r>
      <w:r w:rsidR="00B9275E" w:rsidRPr="00836DE2">
        <w:rPr>
          <w:lang w:val="es-419"/>
        </w:rPr>
        <w:t xml:space="preserve"> </w:t>
      </w:r>
      <w:r w:rsidR="003A41D1" w:rsidRPr="00836DE2">
        <w:rPr>
          <w:lang w:val="es-419"/>
        </w:rPr>
        <w:t xml:space="preserve">por parte de Colombia </w:t>
      </w:r>
      <w:r w:rsidR="00FD083D">
        <w:rPr>
          <w:lang w:val="es-419"/>
        </w:rPr>
        <w:t xml:space="preserve">relacionadas con </w:t>
      </w:r>
      <w:r w:rsidR="003A41D1" w:rsidRPr="00836DE2">
        <w:rPr>
          <w:lang w:val="es-419"/>
        </w:rPr>
        <w:t xml:space="preserve">las recomendaciones </w:t>
      </w:r>
      <w:r w:rsidR="00B9275E" w:rsidRPr="00836DE2">
        <w:rPr>
          <w:lang w:val="es-419"/>
        </w:rPr>
        <w:t>y los principales motivos de preocupación expuestos por la CEDAW</w:t>
      </w:r>
      <w:r w:rsidR="003A41D1" w:rsidRPr="00836DE2">
        <w:rPr>
          <w:lang w:val="es-419"/>
        </w:rPr>
        <w:t xml:space="preserve"> </w:t>
      </w:r>
      <w:r w:rsidR="00B9275E" w:rsidRPr="00836DE2">
        <w:rPr>
          <w:lang w:val="es-419"/>
        </w:rPr>
        <w:t>en su</w:t>
      </w:r>
      <w:r w:rsidR="003A41D1" w:rsidRPr="00836DE2">
        <w:rPr>
          <w:lang w:val="es-419"/>
        </w:rPr>
        <w:t xml:space="preserve">s observaciones </w:t>
      </w:r>
      <w:r w:rsidR="008C3379" w:rsidRPr="008C3379">
        <w:rPr>
          <w:lang w:val="es-419"/>
        </w:rPr>
        <w:t>finales so</w:t>
      </w:r>
      <w:r w:rsidR="008C3379">
        <w:rPr>
          <w:lang w:val="es-419"/>
        </w:rPr>
        <w:t xml:space="preserve">bre el noveno informe periódico </w:t>
      </w:r>
      <w:r w:rsidR="008C3379" w:rsidRPr="008C3379">
        <w:rPr>
          <w:lang w:val="es-419"/>
        </w:rPr>
        <w:t>de Colombia</w:t>
      </w:r>
      <w:r w:rsidR="00FD083D">
        <w:rPr>
          <w:lang w:val="es-419"/>
        </w:rPr>
        <w:t xml:space="preserve">. </w:t>
      </w:r>
      <w:r w:rsidR="00BD3E0C">
        <w:rPr>
          <w:lang w:val="es-419"/>
        </w:rPr>
        <w:t xml:space="preserve">Dicha </w:t>
      </w:r>
      <w:r w:rsidR="00411E82">
        <w:rPr>
          <w:lang w:val="es-419"/>
        </w:rPr>
        <w:t xml:space="preserve">calificación se hará </w:t>
      </w:r>
      <w:r w:rsidR="00D772D6">
        <w:rPr>
          <w:lang w:val="es-419"/>
        </w:rPr>
        <w:t>de acuerdo al siguiente sistema de calificación:</w:t>
      </w:r>
    </w:p>
    <w:p w14:paraId="66E32B79" w14:textId="0ACC200D" w:rsidR="00D772D6" w:rsidRPr="00D772D6" w:rsidRDefault="00D772D6" w:rsidP="00411E82">
      <w:pPr>
        <w:spacing w:line="276" w:lineRule="auto"/>
        <w:ind w:left="720"/>
        <w:jc w:val="both"/>
        <w:rPr>
          <w:lang w:val="es-ES_tradnl"/>
        </w:rPr>
      </w:pPr>
      <w:r w:rsidRPr="00985EFA">
        <w:rPr>
          <w:b/>
          <w:lang w:val="es-ES_tradnl"/>
        </w:rPr>
        <w:t>A</w:t>
      </w:r>
      <w:r w:rsidRPr="00D772D6">
        <w:rPr>
          <w:lang w:val="es-ES_tradnl"/>
        </w:rPr>
        <w:t>:</w:t>
      </w:r>
      <w:r>
        <w:rPr>
          <w:lang w:val="es-ES_tradnl"/>
        </w:rPr>
        <w:t xml:space="preserve"> </w:t>
      </w:r>
      <w:r w:rsidRPr="00D772D6">
        <w:rPr>
          <w:lang w:val="es-ES_tradnl"/>
        </w:rPr>
        <w:t xml:space="preserve">La respuesta por parte del gobierno a la medida recomendada es satisfactoria. </w:t>
      </w:r>
    </w:p>
    <w:p w14:paraId="3407A0F1" w14:textId="289F9355" w:rsidR="00D772D6" w:rsidRPr="00D772D6" w:rsidRDefault="00D772D6" w:rsidP="00411E82">
      <w:pPr>
        <w:spacing w:line="276" w:lineRule="auto"/>
        <w:ind w:left="720"/>
        <w:jc w:val="both"/>
        <w:rPr>
          <w:lang w:val="es-ES_tradnl"/>
        </w:rPr>
      </w:pPr>
      <w:r w:rsidRPr="00985EFA">
        <w:rPr>
          <w:b/>
          <w:lang w:val="es-ES_tradnl"/>
        </w:rPr>
        <w:t>B:</w:t>
      </w:r>
      <w:r>
        <w:rPr>
          <w:b/>
          <w:lang w:val="es-ES_tradnl"/>
        </w:rPr>
        <w:t xml:space="preserve"> </w:t>
      </w:r>
      <w:r w:rsidRPr="00D772D6">
        <w:rPr>
          <w:lang w:val="es-ES_tradnl"/>
        </w:rPr>
        <w:t xml:space="preserve">La respuesta por parte del gobierno a la medida recomendada es parcial y no satisfactoria. </w:t>
      </w:r>
    </w:p>
    <w:p w14:paraId="23B60B2E" w14:textId="09F01F5A" w:rsidR="00D772D6" w:rsidRPr="00D772D6" w:rsidRDefault="00D772D6" w:rsidP="00411E82">
      <w:pPr>
        <w:spacing w:line="276" w:lineRule="auto"/>
        <w:ind w:left="720"/>
        <w:jc w:val="both"/>
        <w:rPr>
          <w:lang w:val="es-ES_tradnl"/>
        </w:rPr>
      </w:pPr>
      <w:r w:rsidRPr="00985EFA">
        <w:rPr>
          <w:b/>
          <w:lang w:val="es-ES_tradnl"/>
        </w:rPr>
        <w:lastRenderedPageBreak/>
        <w:t>C:</w:t>
      </w:r>
      <w:r>
        <w:rPr>
          <w:b/>
          <w:lang w:val="es-ES_tradnl"/>
        </w:rPr>
        <w:t xml:space="preserve"> </w:t>
      </w:r>
      <w:r w:rsidRPr="00D772D6">
        <w:rPr>
          <w:lang w:val="es-ES_tradnl"/>
        </w:rPr>
        <w:t>El gobierno no ha adoptado ninguna medida con el fin de implementar la medida.</w:t>
      </w:r>
    </w:p>
    <w:p w14:paraId="19D79E15" w14:textId="6959ABD1" w:rsidR="00D772D6" w:rsidRDefault="00D772D6" w:rsidP="00411E82">
      <w:pPr>
        <w:spacing w:line="276" w:lineRule="auto"/>
        <w:ind w:left="720"/>
        <w:jc w:val="both"/>
        <w:rPr>
          <w:lang w:val="es-ES_tradnl"/>
        </w:rPr>
      </w:pPr>
      <w:r w:rsidRPr="00985EFA">
        <w:rPr>
          <w:b/>
          <w:lang w:val="es-ES_tradnl"/>
        </w:rPr>
        <w:t>D:</w:t>
      </w:r>
      <w:r>
        <w:rPr>
          <w:lang w:val="es-ES_tradnl"/>
        </w:rPr>
        <w:t xml:space="preserve"> </w:t>
      </w:r>
      <w:r w:rsidRPr="00D772D6">
        <w:rPr>
          <w:lang w:val="es-ES_tradnl"/>
        </w:rPr>
        <w:t xml:space="preserve">Las acciones que el gobierno ha llevado a cabo son contrarias a la recomendación. </w:t>
      </w:r>
    </w:p>
    <w:p w14:paraId="5E654661" w14:textId="77777777" w:rsidR="00BC39A0" w:rsidRDefault="00BC39A0" w:rsidP="00411E82">
      <w:pPr>
        <w:spacing w:line="276" w:lineRule="auto"/>
        <w:ind w:left="720"/>
        <w:jc w:val="both"/>
        <w:rPr>
          <w:lang w:val="es-ES_tradnl"/>
        </w:rPr>
      </w:pPr>
    </w:p>
    <w:p w14:paraId="6E49E2FC" w14:textId="77777777" w:rsidR="00BC39A0" w:rsidRDefault="00BC39A0" w:rsidP="00411E82">
      <w:pPr>
        <w:spacing w:line="276" w:lineRule="auto"/>
        <w:ind w:left="720"/>
        <w:jc w:val="both"/>
        <w:rPr>
          <w:lang w:val="es-ES_tradnl"/>
        </w:rPr>
      </w:pPr>
    </w:p>
    <w:p w14:paraId="2395BF08" w14:textId="77777777" w:rsidR="00BC39A0" w:rsidRDefault="00BC39A0" w:rsidP="00411E82">
      <w:pPr>
        <w:spacing w:line="276" w:lineRule="auto"/>
        <w:ind w:left="720"/>
        <w:jc w:val="both"/>
        <w:rPr>
          <w:lang w:val="es-ES_tradnl"/>
        </w:rPr>
      </w:pPr>
    </w:p>
    <w:p w14:paraId="42CE5585" w14:textId="77777777" w:rsidR="00BC39A0" w:rsidRDefault="00BC39A0" w:rsidP="00411E82">
      <w:pPr>
        <w:spacing w:line="276" w:lineRule="auto"/>
        <w:ind w:left="720"/>
        <w:jc w:val="both"/>
        <w:rPr>
          <w:lang w:val="es-ES_tradnl"/>
        </w:rPr>
      </w:pPr>
    </w:p>
    <w:p w14:paraId="694CFAFB" w14:textId="77777777" w:rsidR="00BC39A0" w:rsidRDefault="00BC39A0" w:rsidP="00BD3E0C">
      <w:pPr>
        <w:spacing w:line="276" w:lineRule="auto"/>
        <w:jc w:val="both"/>
        <w:rPr>
          <w:lang w:val="es-ES_tradnl"/>
        </w:rPr>
      </w:pPr>
    </w:p>
    <w:p w14:paraId="49456FD6" w14:textId="77777777" w:rsidR="00BC39A0" w:rsidRPr="00D772D6" w:rsidRDefault="00BC39A0" w:rsidP="00411E82">
      <w:pPr>
        <w:spacing w:line="276" w:lineRule="auto"/>
        <w:ind w:left="720"/>
        <w:jc w:val="both"/>
        <w:rPr>
          <w:lang w:val="es-ES_tradnl"/>
        </w:rPr>
      </w:pPr>
    </w:p>
    <w:tbl>
      <w:tblPr>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72"/>
        <w:gridCol w:w="693"/>
      </w:tblGrid>
      <w:tr w:rsidR="00D772D6" w:rsidRPr="002914C9" w14:paraId="2CC09A7F" w14:textId="77777777" w:rsidTr="00985EFA">
        <w:trPr>
          <w:trHeight w:val="389"/>
        </w:trPr>
        <w:tc>
          <w:tcPr>
            <w:tcW w:w="9465" w:type="dxa"/>
            <w:gridSpan w:val="2"/>
            <w:tcBorders>
              <w:bottom w:val="single" w:sz="4" w:space="0" w:color="000000"/>
            </w:tcBorders>
            <w:shd w:val="clear" w:color="auto" w:fill="FFFFFF"/>
            <w:vAlign w:val="bottom"/>
          </w:tcPr>
          <w:p w14:paraId="3BE71FED" w14:textId="094E8FBD" w:rsidR="00D772D6" w:rsidRPr="00D772D6" w:rsidRDefault="00D772D6" w:rsidP="00985EFA">
            <w:pPr>
              <w:spacing w:after="0" w:line="276" w:lineRule="auto"/>
              <w:rPr>
                <w:lang w:val="es-ES_tradnl" w:eastAsia="ja-JP"/>
              </w:rPr>
            </w:pPr>
            <w:r w:rsidRPr="00D772D6">
              <w:rPr>
                <w:b/>
                <w:lang w:val="es-ES_tradnl"/>
              </w:rPr>
              <w:t>Párrafo 1</w:t>
            </w:r>
            <w:r w:rsidR="00FF66B6">
              <w:rPr>
                <w:b/>
                <w:lang w:val="es-ES_tradnl"/>
              </w:rPr>
              <w:t>0</w:t>
            </w:r>
            <w:r w:rsidRPr="00D772D6">
              <w:rPr>
                <w:b/>
                <w:lang w:val="es-ES_tradnl"/>
              </w:rPr>
              <w:t xml:space="preserve">: </w:t>
            </w:r>
            <w:r w:rsidR="00FF66B6">
              <w:rPr>
                <w:b/>
                <w:lang w:val="es-ES_tradnl"/>
              </w:rPr>
              <w:t>Enfoque de género en Acuerdos de Paz</w:t>
            </w:r>
            <w:r w:rsidR="00AE182F">
              <w:rPr>
                <w:b/>
                <w:lang w:val="es-ES_tradnl"/>
              </w:rPr>
              <w:t xml:space="preserve"> y Plan Nacional de Desarrollo</w:t>
            </w:r>
            <w:r w:rsidR="00961028">
              <w:rPr>
                <w:rStyle w:val="FootnoteReference"/>
                <w:b/>
                <w:lang w:val="es-ES_tradnl"/>
              </w:rPr>
              <w:footnoteReference w:id="1"/>
            </w:r>
          </w:p>
        </w:tc>
      </w:tr>
      <w:tr w:rsidR="00D772D6" w:rsidRPr="002914C9" w14:paraId="674C86B6" w14:textId="77777777" w:rsidTr="00985EFA">
        <w:tc>
          <w:tcPr>
            <w:tcW w:w="9465" w:type="dxa"/>
            <w:gridSpan w:val="2"/>
            <w:shd w:val="clear" w:color="auto" w:fill="F2F2F2" w:themeFill="background1" w:themeFillShade="F2"/>
          </w:tcPr>
          <w:p w14:paraId="73F3B3FB" w14:textId="42912AC8" w:rsidR="00D772D6" w:rsidRPr="00985EFA" w:rsidRDefault="00FF66B6" w:rsidP="00985EFA">
            <w:pPr>
              <w:spacing w:line="276" w:lineRule="auto"/>
              <w:jc w:val="both"/>
              <w:rPr>
                <w:i/>
                <w:lang w:val="es-CO" w:eastAsia="ja-JP"/>
              </w:rPr>
            </w:pPr>
            <w:r w:rsidRPr="00836DE2">
              <w:rPr>
                <w:b/>
                <w:i/>
                <w:lang w:val="es-419"/>
              </w:rPr>
              <w:t>El Comité recomienda al Estado parte que, con carácter prioritario, acelere la aplicación de las disposiciones del acuerdo de paz relativas a las cuestiones de género y las armonice con el plan nacional de desarrollo, a fin de garantizar la protección y el acceso a la justicia de sus grupos de mujeres más vulnerables.</w:t>
            </w:r>
          </w:p>
        </w:tc>
      </w:tr>
      <w:tr w:rsidR="00D772D6" w:rsidRPr="00D772D6" w14:paraId="30ED2348" w14:textId="77777777" w:rsidTr="00985EFA">
        <w:trPr>
          <w:trHeight w:val="422"/>
        </w:trPr>
        <w:tc>
          <w:tcPr>
            <w:tcW w:w="8772" w:type="dxa"/>
            <w:vAlign w:val="bottom"/>
          </w:tcPr>
          <w:p w14:paraId="7DD8EEEC" w14:textId="77777777" w:rsidR="00D772D6" w:rsidRPr="00D772D6" w:rsidRDefault="00D772D6" w:rsidP="00985EFA">
            <w:pPr>
              <w:spacing w:line="276" w:lineRule="auto"/>
              <w:rPr>
                <w:lang w:val="es-ES_tradnl"/>
              </w:rPr>
            </w:pPr>
            <w:r w:rsidRPr="00D772D6">
              <w:rPr>
                <w:b/>
                <w:color w:val="0070C0"/>
                <w:lang w:val="es-ES_tradnl"/>
              </w:rPr>
              <w:t>Calificación propuesta por la organización de la sociedad civil</w:t>
            </w:r>
          </w:p>
        </w:tc>
        <w:tc>
          <w:tcPr>
            <w:tcW w:w="693" w:type="dxa"/>
            <w:vAlign w:val="bottom"/>
          </w:tcPr>
          <w:p w14:paraId="0652C8C7" w14:textId="43351A88" w:rsidR="00D772D6" w:rsidRPr="00D772D6" w:rsidRDefault="002659CA" w:rsidP="00985EFA">
            <w:pPr>
              <w:spacing w:line="276" w:lineRule="auto"/>
            </w:pPr>
            <w:r>
              <w:rPr>
                <w:b/>
                <w:color w:val="0070C0"/>
              </w:rPr>
              <w:t>C</w:t>
            </w:r>
          </w:p>
        </w:tc>
      </w:tr>
      <w:tr w:rsidR="00D772D6" w:rsidRPr="002914C9" w14:paraId="0B5104DC" w14:textId="77777777" w:rsidTr="00985EFA">
        <w:trPr>
          <w:trHeight w:val="413"/>
        </w:trPr>
        <w:tc>
          <w:tcPr>
            <w:tcW w:w="9465" w:type="dxa"/>
            <w:gridSpan w:val="2"/>
            <w:vAlign w:val="bottom"/>
          </w:tcPr>
          <w:p w14:paraId="146F4259" w14:textId="77777777" w:rsidR="00D772D6" w:rsidRPr="00D772D6" w:rsidRDefault="00D772D6" w:rsidP="00985EFA">
            <w:pPr>
              <w:spacing w:line="276" w:lineRule="auto"/>
              <w:rPr>
                <w:b/>
                <w:lang w:val="es-ES_tradnl"/>
              </w:rPr>
            </w:pPr>
            <w:r w:rsidRPr="00D772D6">
              <w:rPr>
                <w:b/>
                <w:lang w:val="fr-FR" w:eastAsia="ja-JP"/>
              </w:rPr>
              <w:t xml:space="preserve">1. </w:t>
            </w:r>
            <w:r w:rsidRPr="00D772D6">
              <w:rPr>
                <w:b/>
                <w:lang w:val="es-ES_tradnl"/>
              </w:rPr>
              <w:t>Medidas adoptadas de conformidad con la recomendación y consecuencias</w:t>
            </w:r>
          </w:p>
        </w:tc>
      </w:tr>
      <w:tr w:rsidR="00D772D6" w:rsidRPr="002914C9" w14:paraId="728B27DE" w14:textId="77777777" w:rsidTr="00985EFA">
        <w:trPr>
          <w:trHeight w:val="1299"/>
        </w:trPr>
        <w:tc>
          <w:tcPr>
            <w:tcW w:w="9465" w:type="dxa"/>
            <w:gridSpan w:val="2"/>
          </w:tcPr>
          <w:p w14:paraId="3E342C10" w14:textId="6AA5BE2F" w:rsidR="00D772D6" w:rsidRPr="00985EFA" w:rsidRDefault="00FF66B6" w:rsidP="00985EFA">
            <w:pPr>
              <w:spacing w:line="276" w:lineRule="auto"/>
              <w:jc w:val="both"/>
              <w:rPr>
                <w:lang w:val="es-419" w:eastAsia="ja-JP"/>
              </w:rPr>
            </w:pPr>
            <w:r w:rsidRPr="00FF66B6">
              <w:rPr>
                <w:lang w:val="es-CO"/>
              </w:rPr>
              <w:t>El</w:t>
            </w:r>
            <w:r w:rsidRPr="00FF66B6">
              <w:rPr>
                <w:lang w:val="es-419"/>
              </w:rPr>
              <w:t xml:space="preserve"> Plan Nacional de Desarrollo (en adelante PND) 2018-2022 “</w:t>
            </w:r>
            <w:r w:rsidRPr="00FF66B6">
              <w:rPr>
                <w:i/>
                <w:lang w:val="es-419"/>
              </w:rPr>
              <w:t>Pacto por Colombia, pacto por la equidad</w:t>
            </w:r>
            <w:r w:rsidRPr="00FF66B6">
              <w:rPr>
                <w:lang w:val="es-419"/>
              </w:rPr>
              <w:t>”, incluye por primera vez en un documento de este tipo, en su capítulo XIV, el denominado “</w:t>
            </w:r>
            <w:r w:rsidRPr="00FF66B6">
              <w:rPr>
                <w:i/>
                <w:lang w:val="es-419"/>
              </w:rPr>
              <w:t>Pacto para la equidad para las mujeres</w:t>
            </w:r>
            <w:r w:rsidRPr="00FF66B6">
              <w:rPr>
                <w:lang w:val="es-419"/>
              </w:rPr>
              <w:t xml:space="preserve">” orientado a diseñar o robustecer políticas orientadas a la igualdad de oportunidades entre mujeres y hombres, y a garantizar que las mujeres lleven una vida libre de </w:t>
            </w:r>
            <w:r w:rsidRPr="00FF66B6">
              <w:rPr>
                <w:lang w:val="es-419"/>
              </w:rPr>
              <w:lastRenderedPageBreak/>
              <w:t>violencias</w:t>
            </w:r>
            <w:r>
              <w:rPr>
                <w:rStyle w:val="FootnoteReference"/>
                <w:lang w:val="es-419"/>
              </w:rPr>
              <w:footnoteReference w:id="2"/>
            </w:r>
            <w:r w:rsidRPr="00FF66B6">
              <w:rPr>
                <w:lang w:val="es-419"/>
              </w:rPr>
              <w:t xml:space="preserve">. </w:t>
            </w:r>
            <w:r>
              <w:rPr>
                <w:lang w:val="es-419"/>
              </w:rPr>
              <w:t>El</w:t>
            </w:r>
            <w:r w:rsidRPr="008A1668">
              <w:rPr>
                <w:lang w:val="es-419"/>
              </w:rPr>
              <w:t xml:space="preserve"> documento contempla los derechos de las mujeres atravesadas por el conflicto</w:t>
            </w:r>
            <w:r>
              <w:rPr>
                <w:lang w:val="es-419"/>
              </w:rPr>
              <w:t xml:space="preserve"> armado y se </w:t>
            </w:r>
            <w:r w:rsidRPr="008A1668">
              <w:rPr>
                <w:lang w:val="es-419"/>
              </w:rPr>
              <w:t>compromete a mantener el enfoque de género del Acuerdo Final</w:t>
            </w:r>
            <w:r>
              <w:rPr>
                <w:lang w:val="es-419"/>
              </w:rPr>
              <w:t xml:space="preserve"> de Paz firmado en La Habana (en adelante AF)</w:t>
            </w:r>
            <w:r w:rsidRPr="008A1668">
              <w:rPr>
                <w:lang w:val="es-419"/>
              </w:rPr>
              <w:t xml:space="preserve">, atendiendo </w:t>
            </w:r>
            <w:r>
              <w:rPr>
                <w:lang w:val="es-419"/>
              </w:rPr>
              <w:t>a</w:t>
            </w:r>
            <w:r w:rsidRPr="008A1668">
              <w:rPr>
                <w:lang w:val="es-419"/>
              </w:rPr>
              <w:t xml:space="preserve"> la aplicación del mismo en lo relacionado con la Reforma Rural Integral</w:t>
            </w:r>
            <w:r>
              <w:rPr>
                <w:lang w:val="es-419"/>
              </w:rPr>
              <w:t xml:space="preserve"> (en adelante RRI)</w:t>
            </w:r>
            <w:r>
              <w:rPr>
                <w:rStyle w:val="FootnoteReference"/>
                <w:lang w:val="es-419"/>
              </w:rPr>
              <w:footnoteReference w:id="3"/>
            </w:r>
            <w:r w:rsidRPr="008A1668">
              <w:rPr>
                <w:lang w:val="es-419"/>
              </w:rPr>
              <w:t>.</w:t>
            </w:r>
            <w:r>
              <w:rPr>
                <w:lang w:val="es-419"/>
              </w:rPr>
              <w:t xml:space="preserve"> </w:t>
            </w:r>
          </w:p>
        </w:tc>
      </w:tr>
      <w:tr w:rsidR="00D772D6" w:rsidRPr="002914C9" w14:paraId="1C2C7B03" w14:textId="77777777" w:rsidTr="00985EFA">
        <w:trPr>
          <w:trHeight w:val="50"/>
        </w:trPr>
        <w:tc>
          <w:tcPr>
            <w:tcW w:w="9465" w:type="dxa"/>
            <w:gridSpan w:val="2"/>
            <w:vAlign w:val="bottom"/>
          </w:tcPr>
          <w:p w14:paraId="5F85697B" w14:textId="77777777" w:rsidR="00D772D6" w:rsidRPr="00D772D6" w:rsidRDefault="00D772D6" w:rsidP="00985EFA">
            <w:pPr>
              <w:spacing w:line="276" w:lineRule="auto"/>
              <w:rPr>
                <w:b/>
                <w:lang w:val="es-ES_tradnl"/>
              </w:rPr>
            </w:pPr>
            <w:r w:rsidRPr="00D772D6">
              <w:rPr>
                <w:b/>
                <w:lang w:val="es-ES_tradnl" w:eastAsia="ja-JP"/>
              </w:rPr>
              <w:lastRenderedPageBreak/>
              <w:t xml:space="preserve">2. </w:t>
            </w:r>
            <w:r w:rsidRPr="00D772D6">
              <w:rPr>
                <w:b/>
                <w:lang w:val="es-ES_tradnl"/>
              </w:rPr>
              <w:t>Cualquier tipo de medida adoptada que contravenga los propósitos de la recomendación</w:t>
            </w:r>
          </w:p>
        </w:tc>
      </w:tr>
      <w:tr w:rsidR="00D772D6" w:rsidRPr="002914C9" w14:paraId="200EED68" w14:textId="77777777" w:rsidTr="00985EFA">
        <w:trPr>
          <w:trHeight w:val="95"/>
        </w:trPr>
        <w:tc>
          <w:tcPr>
            <w:tcW w:w="9465" w:type="dxa"/>
            <w:gridSpan w:val="2"/>
          </w:tcPr>
          <w:p w14:paraId="7177E812" w14:textId="694FF588" w:rsidR="00D772D6" w:rsidRPr="00985EFA" w:rsidRDefault="00D772D6" w:rsidP="00985EFA">
            <w:pPr>
              <w:spacing w:line="276" w:lineRule="auto"/>
              <w:rPr>
                <w:lang w:val="es-419" w:eastAsia="ja-JP"/>
              </w:rPr>
            </w:pPr>
          </w:p>
        </w:tc>
      </w:tr>
      <w:tr w:rsidR="00D772D6" w:rsidRPr="002914C9" w14:paraId="2D84F163" w14:textId="77777777" w:rsidTr="00985EFA">
        <w:tc>
          <w:tcPr>
            <w:tcW w:w="9465" w:type="dxa"/>
            <w:gridSpan w:val="2"/>
          </w:tcPr>
          <w:p w14:paraId="77B673CA" w14:textId="77777777" w:rsidR="00D772D6" w:rsidRPr="00D772D6" w:rsidRDefault="00D772D6" w:rsidP="00985EFA">
            <w:pPr>
              <w:spacing w:line="276" w:lineRule="auto"/>
              <w:rPr>
                <w:b/>
                <w:lang w:val="es-ES_tradnl"/>
              </w:rPr>
            </w:pPr>
            <w:r w:rsidRPr="00D772D6">
              <w:rPr>
                <w:b/>
                <w:lang w:val="es-ES_tradnl" w:eastAsia="ja-JP"/>
              </w:rPr>
              <w:t xml:space="preserve">3. </w:t>
            </w:r>
            <w:r w:rsidRPr="00D772D6">
              <w:rPr>
                <w:b/>
                <w:lang w:val="es-ES_tradnl"/>
              </w:rPr>
              <w:t>Estado actual del problema (en especial, cambios ocurridos después de la adopción de las conclusiones finales)</w:t>
            </w:r>
          </w:p>
        </w:tc>
      </w:tr>
      <w:tr w:rsidR="00D772D6" w:rsidRPr="002914C9" w14:paraId="6607F0EC" w14:textId="77777777" w:rsidTr="00985EFA">
        <w:trPr>
          <w:trHeight w:val="651"/>
        </w:trPr>
        <w:tc>
          <w:tcPr>
            <w:tcW w:w="9465" w:type="dxa"/>
            <w:gridSpan w:val="2"/>
          </w:tcPr>
          <w:p w14:paraId="607C5A71" w14:textId="72C366FC" w:rsidR="00FF66B6" w:rsidRDefault="00FF66B6" w:rsidP="00985EFA">
            <w:pPr>
              <w:spacing w:line="276" w:lineRule="auto"/>
              <w:jc w:val="both"/>
              <w:rPr>
                <w:lang w:val="es-419"/>
              </w:rPr>
            </w:pPr>
            <w:r w:rsidRPr="00FF66B6">
              <w:rPr>
                <w:lang w:val="es-ES_tradnl"/>
              </w:rPr>
              <w:t xml:space="preserve">El único </w:t>
            </w:r>
            <w:r w:rsidRPr="00FF66B6">
              <w:rPr>
                <w:lang w:val="es-419"/>
              </w:rPr>
              <w:t>pronunciamiento que consta en el documento acerca de la implementación del Acuerdo de Paz en clave de garantizar los derechos de las mujeres víctimas</w:t>
            </w:r>
            <w:r w:rsidR="00BD3E0C">
              <w:rPr>
                <w:lang w:val="es-419"/>
              </w:rPr>
              <w:t>,</w:t>
            </w:r>
            <w:r w:rsidRPr="00FF66B6">
              <w:rPr>
                <w:lang w:val="es-419"/>
              </w:rPr>
              <w:t xml:space="preserve"> se refiere a la RRI pero no menciona medidas concretas para la implementación de los demás puntos del Acuerdo</w:t>
            </w:r>
            <w:r>
              <w:rPr>
                <w:rStyle w:val="FootnoteReference"/>
                <w:lang w:val="es-419"/>
              </w:rPr>
              <w:footnoteReference w:id="4"/>
            </w:r>
            <w:r w:rsidRPr="00FF66B6">
              <w:rPr>
                <w:lang w:val="es-419"/>
              </w:rPr>
              <w:t>. De igual manera, este reconocimiento del enfoque de género en el Acuerdo de Paz en el PND resulta hacerse de manera superflua, generando que, por ejemplo, en lo relativo a la RRI, sobre la que el AF enfatizó en la necesidad de la participación activa de las mujeres en espacios de concertación relacionados con los Planes de Desarrollo con Enfoque Territorial</w:t>
            </w:r>
            <w:r>
              <w:rPr>
                <w:rStyle w:val="FootnoteReference"/>
                <w:lang w:val="es-419"/>
              </w:rPr>
              <w:footnoteReference w:id="5"/>
            </w:r>
            <w:r w:rsidRPr="00FF66B6">
              <w:rPr>
                <w:lang w:val="es-419"/>
              </w:rPr>
              <w:t xml:space="preserve"> (en adelante PDET), no se haga explícita la garantía de dicha participación. En el caso de las mujeres lesbianas, bisexuales y transgénero que se reconocen como afrodescendientes (en adelante AfroLBT) víctimas del conflicto armado no se prevén medidas especiales para su atención y reparación. Las mujeres AfroLBT no están reconocidas dentro del PND ni dentro del Acuerdo de Paz y no se contemplan medidas diferenciales para ellas.</w:t>
            </w:r>
          </w:p>
          <w:p w14:paraId="41A80656" w14:textId="4178DB5E" w:rsidR="00D772D6" w:rsidRPr="00985EFA" w:rsidRDefault="00FF66B6" w:rsidP="00985EFA">
            <w:pPr>
              <w:spacing w:line="276" w:lineRule="auto"/>
              <w:jc w:val="both"/>
              <w:rPr>
                <w:lang w:val="es-419"/>
              </w:rPr>
            </w:pPr>
            <w:r>
              <w:rPr>
                <w:lang w:val="es-419"/>
              </w:rPr>
              <w:lastRenderedPageBreak/>
              <w:t xml:space="preserve">Las </w:t>
            </w:r>
            <w:r w:rsidRPr="00534BA4">
              <w:rPr>
                <w:lang w:val="es-419"/>
              </w:rPr>
              <w:t>mujeres lesbianas que transgredían la idea hipersexualizada de las mujeres afro en razón de su orientación sexual,</w:t>
            </w:r>
            <w:r>
              <w:rPr>
                <w:lang w:val="es-419"/>
              </w:rPr>
              <w:t xml:space="preserve"> sufrieron violaciones a sus derechos humanos que tuvieron como base el cruce de distintos sistemas de opresión relacionados con el racismo, la lesbofobia y la misoginia, exacerbados en un contexto de conflicto armado</w:t>
            </w:r>
            <w:r>
              <w:rPr>
                <w:rStyle w:val="FootnoteReference"/>
                <w:lang w:val="es-419"/>
              </w:rPr>
              <w:footnoteReference w:id="6"/>
            </w:r>
            <w:r>
              <w:rPr>
                <w:lang w:val="es-419"/>
              </w:rPr>
              <w:t>. La falta de reconocimiento de este cruce, tanto en el Acuerdo de Paz como en el PND, conlleva a la falta de medidas, instituciones y programas que aborden adecuadamente la protección de las mujeres más vulnerables.</w:t>
            </w:r>
          </w:p>
        </w:tc>
      </w:tr>
    </w:tbl>
    <w:p w14:paraId="57321469" w14:textId="77777777" w:rsidR="00AE182F" w:rsidRDefault="00FF66B6" w:rsidP="00985EFA">
      <w:pPr>
        <w:spacing w:line="276" w:lineRule="auto"/>
        <w:jc w:val="both"/>
        <w:rPr>
          <w:b/>
          <w:lang w:val="es-419"/>
        </w:rPr>
      </w:pPr>
      <w:r w:rsidRPr="00836DE2" w:rsidDel="00FF66B6">
        <w:rPr>
          <w:b/>
          <w:lang w:val="es-419"/>
        </w:rPr>
        <w:lastRenderedPageBreak/>
        <w:t xml:space="preserve"> </w:t>
      </w:r>
    </w:p>
    <w:tbl>
      <w:tblPr>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776"/>
        <w:gridCol w:w="689"/>
      </w:tblGrid>
      <w:tr w:rsidR="00AE182F" w:rsidRPr="002914C9" w14:paraId="1040CDC5" w14:textId="77777777" w:rsidTr="00ED3668">
        <w:trPr>
          <w:trHeight w:val="389"/>
        </w:trPr>
        <w:tc>
          <w:tcPr>
            <w:tcW w:w="0" w:type="auto"/>
            <w:gridSpan w:val="2"/>
            <w:tcBorders>
              <w:bottom w:val="single" w:sz="4" w:space="0" w:color="000000"/>
            </w:tcBorders>
            <w:shd w:val="clear" w:color="auto" w:fill="FFFFFF"/>
            <w:vAlign w:val="bottom"/>
          </w:tcPr>
          <w:p w14:paraId="3745EA78" w14:textId="67A46D34" w:rsidR="00AE182F" w:rsidRPr="00ED3668" w:rsidRDefault="00AE182F">
            <w:pPr>
              <w:spacing w:after="0" w:line="276" w:lineRule="auto"/>
              <w:rPr>
                <w:lang w:val="es-ES_tradnl" w:eastAsia="ja-JP"/>
              </w:rPr>
            </w:pPr>
            <w:r w:rsidRPr="00ED3668">
              <w:rPr>
                <w:b/>
                <w:lang w:val="es-ES_tradnl"/>
              </w:rPr>
              <w:t>Párrafo 1</w:t>
            </w:r>
            <w:r>
              <w:rPr>
                <w:b/>
                <w:lang w:val="es-ES_tradnl"/>
              </w:rPr>
              <w:t>6</w:t>
            </w:r>
            <w:r w:rsidRPr="00ED3668">
              <w:rPr>
                <w:b/>
                <w:lang w:val="es-ES_tradnl"/>
              </w:rPr>
              <w:t xml:space="preserve">: </w:t>
            </w:r>
            <w:r w:rsidRPr="00AE182F">
              <w:rPr>
                <w:b/>
                <w:lang w:val="es-ES_tradnl"/>
              </w:rPr>
              <w:t>Las mujeres y la paz y la seguridad</w:t>
            </w:r>
          </w:p>
        </w:tc>
      </w:tr>
      <w:tr w:rsidR="00AE182F" w:rsidRPr="002914C9" w14:paraId="4D204A21" w14:textId="77777777" w:rsidTr="00ED3668">
        <w:tc>
          <w:tcPr>
            <w:tcW w:w="0" w:type="auto"/>
            <w:gridSpan w:val="2"/>
            <w:shd w:val="clear" w:color="auto" w:fill="F2F2F2" w:themeFill="background1" w:themeFillShade="F2"/>
          </w:tcPr>
          <w:p w14:paraId="213D3046" w14:textId="77777777" w:rsidR="00AE182F" w:rsidRPr="00534BA4" w:rsidRDefault="00AE182F">
            <w:pPr>
              <w:spacing w:line="276" w:lineRule="auto"/>
              <w:jc w:val="both"/>
              <w:rPr>
                <w:b/>
                <w:i/>
                <w:lang w:val="es-419"/>
              </w:rPr>
            </w:pPr>
            <w:r w:rsidRPr="00534BA4">
              <w:rPr>
                <w:b/>
                <w:i/>
                <w:lang w:val="es-419"/>
              </w:rPr>
              <w:t>Recordando su recomendación general núm. 30 (2013) sobre las mujeres en la prevención de conflictos y en situaciones de conflicto y posteriores a conflictos, el Comité recomienda al Estado parte que:</w:t>
            </w:r>
          </w:p>
          <w:p w14:paraId="4371AAF2" w14:textId="77777777" w:rsidR="00AE182F" w:rsidRPr="00534BA4" w:rsidRDefault="00AE182F">
            <w:pPr>
              <w:spacing w:line="276" w:lineRule="auto"/>
              <w:jc w:val="both"/>
              <w:rPr>
                <w:b/>
                <w:i/>
                <w:lang w:val="es-419"/>
              </w:rPr>
            </w:pPr>
            <w:r w:rsidRPr="00534BA4">
              <w:rPr>
                <w:b/>
                <w:i/>
                <w:lang w:val="es-419"/>
              </w:rPr>
              <w:t>(…)</w:t>
            </w:r>
          </w:p>
          <w:p w14:paraId="2122BFAE" w14:textId="29FE6272" w:rsidR="00AE182F" w:rsidRPr="00985EFA" w:rsidRDefault="00AE182F">
            <w:pPr>
              <w:spacing w:line="276" w:lineRule="auto"/>
              <w:jc w:val="both"/>
              <w:rPr>
                <w:i/>
                <w:lang w:val="es-419" w:eastAsia="ja-JP"/>
              </w:rPr>
            </w:pPr>
            <w:r w:rsidRPr="00534BA4">
              <w:rPr>
                <w:b/>
                <w:i/>
                <w:lang w:val="es-419"/>
              </w:rPr>
              <w:t>c) Aumente la presencia de las instituciones del Estado y el acceso a los servicios básicos en las antiguas zonas de conflicto, teniendo en cuenta las necesidades específicas de las mujeres afrocolombianas, las mujeres indígenas y las mujeres con discapacidad, y garantice la protección de la población afectada en las antiguas zonas de conflicto y la prevención del reclutamiento de niños y niñas por parte de los grupos armados.</w:t>
            </w:r>
          </w:p>
        </w:tc>
      </w:tr>
      <w:tr w:rsidR="00AE182F" w:rsidRPr="00ED3668" w14:paraId="288333FD" w14:textId="77777777" w:rsidTr="00ED3668">
        <w:trPr>
          <w:trHeight w:val="422"/>
        </w:trPr>
        <w:tc>
          <w:tcPr>
            <w:tcW w:w="0" w:type="auto"/>
            <w:vAlign w:val="bottom"/>
          </w:tcPr>
          <w:p w14:paraId="6AC8BE9C" w14:textId="77777777" w:rsidR="00AE182F" w:rsidRPr="00ED3668" w:rsidRDefault="00AE182F">
            <w:pPr>
              <w:spacing w:line="276" w:lineRule="auto"/>
              <w:rPr>
                <w:lang w:val="es-ES_tradnl"/>
              </w:rPr>
            </w:pPr>
            <w:r w:rsidRPr="00ED3668">
              <w:rPr>
                <w:b/>
                <w:color w:val="0070C0"/>
                <w:lang w:val="es-ES_tradnl"/>
              </w:rPr>
              <w:t>Calificación propuesta por la organización de la sociedad civil</w:t>
            </w:r>
          </w:p>
        </w:tc>
        <w:tc>
          <w:tcPr>
            <w:tcW w:w="0" w:type="auto"/>
            <w:vAlign w:val="bottom"/>
          </w:tcPr>
          <w:p w14:paraId="324552B8" w14:textId="3D910B9C" w:rsidR="00AE182F" w:rsidRPr="00ED3668" w:rsidRDefault="00AE182F">
            <w:pPr>
              <w:spacing w:line="276" w:lineRule="auto"/>
            </w:pPr>
            <w:r>
              <w:rPr>
                <w:b/>
                <w:color w:val="0070C0"/>
              </w:rPr>
              <w:t>C</w:t>
            </w:r>
          </w:p>
        </w:tc>
      </w:tr>
      <w:tr w:rsidR="00AE182F" w:rsidRPr="002914C9" w14:paraId="39E3CB37" w14:textId="77777777" w:rsidTr="00ED3668">
        <w:trPr>
          <w:trHeight w:val="413"/>
        </w:trPr>
        <w:tc>
          <w:tcPr>
            <w:tcW w:w="0" w:type="auto"/>
            <w:gridSpan w:val="2"/>
            <w:vAlign w:val="bottom"/>
          </w:tcPr>
          <w:p w14:paraId="4C6E2DE7" w14:textId="77777777" w:rsidR="00AE182F" w:rsidRPr="00ED3668" w:rsidRDefault="00AE182F">
            <w:pPr>
              <w:spacing w:line="276" w:lineRule="auto"/>
              <w:rPr>
                <w:b/>
                <w:lang w:val="es-ES_tradnl"/>
              </w:rPr>
            </w:pPr>
            <w:r w:rsidRPr="00ED3668">
              <w:rPr>
                <w:rFonts w:hint="eastAsia"/>
                <w:b/>
                <w:lang w:val="fr-FR" w:eastAsia="ja-JP"/>
              </w:rPr>
              <w:t xml:space="preserve">1. </w:t>
            </w:r>
            <w:r w:rsidRPr="00ED3668">
              <w:rPr>
                <w:b/>
                <w:lang w:val="es-ES_tradnl"/>
              </w:rPr>
              <w:t>Medidas adoptadas de conformidad con la recomendación y consecuencias</w:t>
            </w:r>
          </w:p>
        </w:tc>
      </w:tr>
      <w:tr w:rsidR="00AE182F" w:rsidRPr="002914C9" w14:paraId="25361349" w14:textId="77777777" w:rsidTr="008B0C5A">
        <w:trPr>
          <w:trHeight w:val="800"/>
        </w:trPr>
        <w:tc>
          <w:tcPr>
            <w:tcW w:w="0" w:type="auto"/>
            <w:gridSpan w:val="2"/>
          </w:tcPr>
          <w:p w14:paraId="72F7BDB7" w14:textId="6E68D2D7" w:rsidR="00AE182F" w:rsidRPr="00ED3668" w:rsidRDefault="00BC3FAC">
            <w:pPr>
              <w:spacing w:line="276" w:lineRule="auto"/>
              <w:jc w:val="both"/>
              <w:rPr>
                <w:lang w:val="es-419" w:eastAsia="ja-JP"/>
              </w:rPr>
            </w:pPr>
            <w:r>
              <w:rPr>
                <w:lang w:val="es-419"/>
              </w:rPr>
              <w:t>El Estado Colombiano cuenta con dos herramientas muy importantes para la territorialización de las políticas de víctimas. La primera de ellas, l</w:t>
            </w:r>
            <w:r w:rsidRPr="00114CFD">
              <w:rPr>
                <w:lang w:val="es-419"/>
              </w:rPr>
              <w:t xml:space="preserve">a Unidad para la Atención y Reparación Integral a las Víctimas (UARIV), por su parte </w:t>
            </w:r>
            <w:r>
              <w:rPr>
                <w:lang w:val="es-419"/>
              </w:rPr>
              <w:t>es la entidad encargada de la ejecución y puesta en marcha de la política de reparación para las víctimas del conflicto armado y tiene el deber de territorializar sus acciones a fin de llegar a todas las víctimas y fue creada en 2011 con la Ley 1448</w:t>
            </w:r>
            <w:r w:rsidRPr="00114CFD">
              <w:rPr>
                <w:lang w:val="es-419"/>
              </w:rPr>
              <w:t>.</w:t>
            </w:r>
            <w:r>
              <w:rPr>
                <w:lang w:val="es-419"/>
              </w:rPr>
              <w:t xml:space="preserve"> La segunda de ellas, es a</w:t>
            </w:r>
            <w:r w:rsidR="00AE182F" w:rsidRPr="00AE75B2">
              <w:rPr>
                <w:lang w:val="es-419"/>
              </w:rPr>
              <w:t xml:space="preserve"> través de los Planes de Desarrollo con Enfoque Territorial (PDET) </w:t>
            </w:r>
            <w:r>
              <w:rPr>
                <w:lang w:val="es-419"/>
              </w:rPr>
              <w:t xml:space="preserve">establecidos en el Acuerdo de Paz firmado en la Habana, mediante los que </w:t>
            </w:r>
            <w:r w:rsidR="00AE182F" w:rsidRPr="00AE75B2">
              <w:rPr>
                <w:lang w:val="es-419"/>
              </w:rPr>
              <w:t>el Gobierno Nacional</w:t>
            </w:r>
            <w:r>
              <w:rPr>
                <w:lang w:val="es-419"/>
              </w:rPr>
              <w:t xml:space="preserve"> adelanta</w:t>
            </w:r>
            <w:r w:rsidR="00AE182F" w:rsidRPr="00AE75B2">
              <w:rPr>
                <w:lang w:val="es-419"/>
              </w:rPr>
              <w:t xml:space="preserve"> un proceso participativo con las comunidades</w:t>
            </w:r>
            <w:r w:rsidR="00AE182F">
              <w:rPr>
                <w:lang w:val="es-419"/>
              </w:rPr>
              <w:t xml:space="preserve"> y las instituciones a nivel local</w:t>
            </w:r>
            <w:r w:rsidR="00AE182F" w:rsidRPr="00AE75B2">
              <w:rPr>
                <w:lang w:val="es-419"/>
              </w:rPr>
              <w:t xml:space="preserve">, </w:t>
            </w:r>
            <w:r>
              <w:rPr>
                <w:lang w:val="es-419"/>
              </w:rPr>
              <w:t>a fin</w:t>
            </w:r>
            <w:r w:rsidR="00AE182F">
              <w:rPr>
                <w:lang w:val="es-419"/>
              </w:rPr>
              <w:t xml:space="preserve"> de identificar</w:t>
            </w:r>
            <w:r w:rsidR="00AE182F" w:rsidRPr="00AE75B2">
              <w:rPr>
                <w:lang w:val="es-419"/>
              </w:rPr>
              <w:t xml:space="preserve"> las necesidades de desar</w:t>
            </w:r>
            <w:r w:rsidR="00AE182F">
              <w:rPr>
                <w:lang w:val="es-419"/>
              </w:rPr>
              <w:t>rollo de la población y definir</w:t>
            </w:r>
            <w:r w:rsidR="00AE182F" w:rsidRPr="00AE75B2">
              <w:rPr>
                <w:lang w:val="es-419"/>
              </w:rPr>
              <w:t xml:space="preserve"> acciones integrales para la transformación de los territorios</w:t>
            </w:r>
            <w:r w:rsidR="00AE182F">
              <w:rPr>
                <w:lang w:val="es-419"/>
              </w:rPr>
              <w:t>, en especial, las antiguas zonas de conflicto</w:t>
            </w:r>
            <w:r w:rsidR="00AE182F" w:rsidRPr="00AE75B2">
              <w:rPr>
                <w:lang w:val="es-419"/>
              </w:rPr>
              <w:t>.</w:t>
            </w:r>
          </w:p>
        </w:tc>
      </w:tr>
      <w:tr w:rsidR="00AE182F" w:rsidRPr="002914C9" w14:paraId="4B1469A5" w14:textId="77777777" w:rsidTr="00ED3668">
        <w:trPr>
          <w:trHeight w:val="50"/>
        </w:trPr>
        <w:tc>
          <w:tcPr>
            <w:tcW w:w="0" w:type="auto"/>
            <w:gridSpan w:val="2"/>
            <w:vAlign w:val="bottom"/>
          </w:tcPr>
          <w:p w14:paraId="268EB076" w14:textId="77777777" w:rsidR="00AE182F" w:rsidRPr="00ED3668" w:rsidRDefault="00AE182F">
            <w:pPr>
              <w:spacing w:line="276" w:lineRule="auto"/>
              <w:rPr>
                <w:b/>
                <w:lang w:val="es-ES_tradnl"/>
              </w:rPr>
            </w:pPr>
            <w:r w:rsidRPr="00ED3668">
              <w:rPr>
                <w:rFonts w:hint="eastAsia"/>
                <w:b/>
                <w:lang w:val="es-ES_tradnl" w:eastAsia="ja-JP"/>
              </w:rPr>
              <w:t xml:space="preserve">2. </w:t>
            </w:r>
            <w:r w:rsidRPr="00ED3668">
              <w:rPr>
                <w:b/>
                <w:lang w:val="es-ES_tradnl"/>
              </w:rPr>
              <w:t>Cualquier tipo de medida adoptada que contravenga los propósitos de la recomendación</w:t>
            </w:r>
          </w:p>
        </w:tc>
      </w:tr>
      <w:tr w:rsidR="00AE182F" w:rsidRPr="002914C9" w14:paraId="68C6CFF6" w14:textId="77777777" w:rsidTr="00ED3668">
        <w:trPr>
          <w:trHeight w:val="95"/>
        </w:trPr>
        <w:tc>
          <w:tcPr>
            <w:tcW w:w="0" w:type="auto"/>
            <w:gridSpan w:val="2"/>
          </w:tcPr>
          <w:p w14:paraId="6925C36B" w14:textId="77777777" w:rsidR="00AE182F" w:rsidRPr="00ED3668" w:rsidRDefault="00AE182F">
            <w:pPr>
              <w:spacing w:line="276" w:lineRule="auto"/>
              <w:rPr>
                <w:lang w:val="es-419" w:eastAsia="ja-JP"/>
              </w:rPr>
            </w:pPr>
          </w:p>
        </w:tc>
      </w:tr>
      <w:tr w:rsidR="00AE182F" w:rsidRPr="002914C9" w14:paraId="5D72944C" w14:textId="77777777" w:rsidTr="00ED3668">
        <w:tc>
          <w:tcPr>
            <w:tcW w:w="0" w:type="auto"/>
            <w:gridSpan w:val="2"/>
          </w:tcPr>
          <w:p w14:paraId="2E250661" w14:textId="77777777" w:rsidR="00AE182F" w:rsidRPr="00ED3668" w:rsidRDefault="00AE182F">
            <w:pPr>
              <w:spacing w:line="276" w:lineRule="auto"/>
              <w:rPr>
                <w:b/>
                <w:lang w:val="es-ES_tradnl"/>
              </w:rPr>
            </w:pPr>
            <w:r w:rsidRPr="00ED3668">
              <w:rPr>
                <w:rFonts w:hint="eastAsia"/>
                <w:b/>
                <w:lang w:val="es-ES_tradnl" w:eastAsia="ja-JP"/>
              </w:rPr>
              <w:t xml:space="preserve">3. </w:t>
            </w:r>
            <w:r w:rsidRPr="00ED3668">
              <w:rPr>
                <w:b/>
                <w:lang w:val="es-ES_tradnl"/>
              </w:rPr>
              <w:t>Estado actual del problema (en especial, cambios ocurridos después de la adopción de las conclusiones finales)</w:t>
            </w:r>
          </w:p>
        </w:tc>
      </w:tr>
      <w:tr w:rsidR="00AE182F" w:rsidRPr="002914C9" w14:paraId="3C0F29B6" w14:textId="77777777" w:rsidTr="00BD7608">
        <w:trPr>
          <w:trHeight w:val="872"/>
        </w:trPr>
        <w:tc>
          <w:tcPr>
            <w:tcW w:w="0" w:type="auto"/>
            <w:gridSpan w:val="2"/>
          </w:tcPr>
          <w:p w14:paraId="2FE722FF" w14:textId="1A89FC8E" w:rsidR="00AE182F" w:rsidRDefault="00AE182F" w:rsidP="00985EFA">
            <w:pPr>
              <w:spacing w:line="276" w:lineRule="auto"/>
              <w:jc w:val="both"/>
              <w:rPr>
                <w:lang w:val="es-419"/>
              </w:rPr>
            </w:pPr>
            <w:r w:rsidRPr="006B7E72">
              <w:rPr>
                <w:lang w:val="es-419"/>
              </w:rPr>
              <w:lastRenderedPageBreak/>
              <w:t>Dentro de las normas que regulan la implementación de los PDET no existen mecanismos para el monitoreo de la articulación de las entidades locales</w:t>
            </w:r>
            <w:r w:rsidR="002914C9" w:rsidRPr="006B7E72">
              <w:rPr>
                <w:lang w:val="es-419"/>
              </w:rPr>
              <w:t xml:space="preserve">. Esto </w:t>
            </w:r>
            <w:r w:rsidR="007A03E1" w:rsidRPr="006B7E72">
              <w:rPr>
                <w:lang w:val="es-419"/>
              </w:rPr>
              <w:t>conlleva a que las secretarí</w:t>
            </w:r>
            <w:r w:rsidRPr="006B7E72">
              <w:rPr>
                <w:lang w:val="es-419"/>
              </w:rPr>
              <w:t xml:space="preserve">as locales desconozcan </w:t>
            </w:r>
            <w:r w:rsidR="002914C9" w:rsidRPr="006B7E72">
              <w:rPr>
                <w:lang w:val="es-419"/>
              </w:rPr>
              <w:t>cual es su rol</w:t>
            </w:r>
            <w:r w:rsidRPr="006B7E72">
              <w:rPr>
                <w:lang w:val="es-419"/>
              </w:rPr>
              <w:t xml:space="preserve"> en la implementación de los PDET, </w:t>
            </w:r>
            <w:r w:rsidR="002914C9" w:rsidRPr="006B7E72">
              <w:rPr>
                <w:lang w:val="es-419"/>
              </w:rPr>
              <w:t>el cual</w:t>
            </w:r>
            <w:r w:rsidRPr="006B7E72">
              <w:rPr>
                <w:lang w:val="es-419"/>
              </w:rPr>
              <w:t xml:space="preserve"> recae en su mayoría en las secretarías de gobierno, de planeación o de un enlace PDET. </w:t>
            </w:r>
            <w:r w:rsidR="002914C9" w:rsidRPr="006B7E72">
              <w:rPr>
                <w:lang w:val="es-419"/>
              </w:rPr>
              <w:t>Esto</w:t>
            </w:r>
            <w:r w:rsidRPr="006B7E72">
              <w:rPr>
                <w:lang w:val="es-419"/>
              </w:rPr>
              <w:t xml:space="preserve"> resulta problemático, si se tiene en cuenta que estas herramientas de planeación tienen previstos ocho pilares que fungen como ejes temáticos</w:t>
            </w:r>
            <w:r w:rsidRPr="006B7E72">
              <w:rPr>
                <w:rStyle w:val="FootnoteReference"/>
                <w:lang w:val="es-419"/>
              </w:rPr>
              <w:footnoteReference w:id="7"/>
            </w:r>
            <w:r w:rsidRPr="006B7E72">
              <w:rPr>
                <w:lang w:val="es-419"/>
              </w:rPr>
              <w:t xml:space="preserve"> con los cuales se deben articular las dependencias municipales de salud, educación, cultura, vivienda, los enlaces de juventudes, LGBTI, de campesinos/as, afro, étnico, de la mujer o equidad de género, etc.</w:t>
            </w:r>
            <w:r w:rsidRPr="00AE75B2">
              <w:rPr>
                <w:lang w:val="es-419"/>
              </w:rPr>
              <w:t xml:space="preserve"> </w:t>
            </w:r>
          </w:p>
          <w:p w14:paraId="51366B86" w14:textId="460D5024" w:rsidR="00AE182F" w:rsidRDefault="00AE182F" w:rsidP="00985EFA">
            <w:pPr>
              <w:spacing w:line="276" w:lineRule="auto"/>
              <w:jc w:val="both"/>
              <w:rPr>
                <w:lang w:val="es-419"/>
              </w:rPr>
            </w:pPr>
            <w:r>
              <w:rPr>
                <w:lang w:val="es-419"/>
              </w:rPr>
              <w:t>Frente al cambio de autoridades locales el 01 de enero de 2019, como resultado de las elecciones locales de 2018, se tiene conocimiento que</w:t>
            </w:r>
            <w:r w:rsidR="00BC3FAC">
              <w:rPr>
                <w:lang w:val="es-419"/>
              </w:rPr>
              <w:t xml:space="preserve"> muchas</w:t>
            </w:r>
            <w:r w:rsidRPr="00AE75B2">
              <w:rPr>
                <w:lang w:val="es-419"/>
              </w:rPr>
              <w:t xml:space="preserve"> de las administraciones entrantes de estos municipios </w:t>
            </w:r>
            <w:r w:rsidR="00BC3FAC">
              <w:rPr>
                <w:lang w:val="es-419"/>
              </w:rPr>
              <w:t>no hicieron</w:t>
            </w:r>
            <w:r w:rsidRPr="00AE75B2">
              <w:rPr>
                <w:lang w:val="es-419"/>
              </w:rPr>
              <w:t xml:space="preserve"> ningún tipo de empalme con las salientes</w:t>
            </w:r>
            <w:r>
              <w:rPr>
                <w:lang w:val="es-419"/>
              </w:rPr>
              <w:t xml:space="preserve">. Esto conllevó a que mujeres lideresas que hicieron parte de la construcción de estos PDET </w:t>
            </w:r>
            <w:r w:rsidR="00B02C5D">
              <w:rPr>
                <w:lang w:val="es-419"/>
              </w:rPr>
              <w:t>con la administración anterior, considere</w:t>
            </w:r>
            <w:r>
              <w:rPr>
                <w:lang w:val="es-419"/>
              </w:rPr>
              <w:t>n</w:t>
            </w:r>
            <w:r w:rsidRPr="00AE75B2">
              <w:rPr>
                <w:lang w:val="es-419"/>
              </w:rPr>
              <w:t xml:space="preserve"> que el nivel de participación de la sociedad civil en el proceso de implementación ha sido mucho más reducido</w:t>
            </w:r>
            <w:r w:rsidR="00B02C5D">
              <w:rPr>
                <w:lang w:val="es-419"/>
              </w:rPr>
              <w:t>. S</w:t>
            </w:r>
            <w:r w:rsidRPr="00AE75B2">
              <w:rPr>
                <w:lang w:val="es-419"/>
              </w:rPr>
              <w:t>ienten que no se les ha tenido en cuenta en el proceso de ejecución de las iniciativas que ayudaron a construir</w:t>
            </w:r>
            <w:r>
              <w:rPr>
                <w:rStyle w:val="FootnoteReference"/>
                <w:lang w:val="es-419"/>
              </w:rPr>
              <w:footnoteReference w:id="8"/>
            </w:r>
            <w:r w:rsidRPr="00AE75B2">
              <w:rPr>
                <w:lang w:val="es-419"/>
              </w:rPr>
              <w:t xml:space="preserve">. </w:t>
            </w:r>
          </w:p>
          <w:p w14:paraId="2FC7DA2F" w14:textId="05E8FFCA" w:rsidR="00AE182F" w:rsidRDefault="00AE182F" w:rsidP="00985EFA">
            <w:pPr>
              <w:spacing w:line="276" w:lineRule="auto"/>
              <w:jc w:val="both"/>
              <w:rPr>
                <w:lang w:val="es-419"/>
              </w:rPr>
            </w:pPr>
            <w:r w:rsidRPr="00CB1B78">
              <w:rPr>
                <w:lang w:val="es-419"/>
              </w:rPr>
              <w:t xml:space="preserve">Frente a la falta de procesos de socialización y divulgación de los espacios de participación de la sociedad civil para la implementación de los PDET, las autoridades locales </w:t>
            </w:r>
            <w:r w:rsidR="002914C9" w:rsidRPr="00CB1B78">
              <w:rPr>
                <w:lang w:val="es-419"/>
              </w:rPr>
              <w:t>han tenido una participación procedimental en la implementación del PDET</w:t>
            </w:r>
            <w:r w:rsidRPr="00CB1B78">
              <w:rPr>
                <w:lang w:val="es-419"/>
              </w:rPr>
              <w:t>, ya que no ha habido una involucración directa de estos con sus comunidades</w:t>
            </w:r>
            <w:r w:rsidRPr="00CB1B78">
              <w:rPr>
                <w:rStyle w:val="FootnoteReference"/>
                <w:lang w:val="es-419"/>
              </w:rPr>
              <w:footnoteReference w:id="9"/>
            </w:r>
            <w:r w:rsidRPr="00CB1B78">
              <w:rPr>
                <w:lang w:val="es-419"/>
              </w:rPr>
              <w:t>.</w:t>
            </w:r>
            <w:r w:rsidRPr="00AE75B2">
              <w:rPr>
                <w:lang w:val="es-419"/>
              </w:rPr>
              <w:t xml:space="preserve"> </w:t>
            </w:r>
          </w:p>
          <w:p w14:paraId="71A402DF" w14:textId="1D6BACAB" w:rsidR="00AE182F" w:rsidRPr="00ED3668" w:rsidRDefault="00BC3FAC" w:rsidP="00FC3928">
            <w:pPr>
              <w:spacing w:line="276" w:lineRule="auto"/>
              <w:jc w:val="both"/>
              <w:rPr>
                <w:lang w:val="es-419"/>
              </w:rPr>
            </w:pPr>
            <w:r>
              <w:rPr>
                <w:lang w:val="es-419"/>
              </w:rPr>
              <w:t>Por otro lado, d</w:t>
            </w:r>
            <w:r w:rsidR="00AE182F" w:rsidRPr="00114CFD">
              <w:rPr>
                <w:lang w:val="es-419"/>
              </w:rPr>
              <w:t>ada la metodología del sistema de recopilación de información</w:t>
            </w:r>
            <w:r>
              <w:rPr>
                <w:lang w:val="es-419"/>
              </w:rPr>
              <w:t xml:space="preserve"> de la UARIV</w:t>
            </w:r>
            <w:r w:rsidR="00AE182F">
              <w:rPr>
                <w:lang w:val="es-419"/>
              </w:rPr>
              <w:t>, es imposible evidenciar los diferentes cruces de discriminación que pueden recaer sob</w:t>
            </w:r>
            <w:r w:rsidR="00FC3928">
              <w:rPr>
                <w:lang w:val="es-419"/>
              </w:rPr>
              <w:t xml:space="preserve">re las víctimas. Así, en este </w:t>
            </w:r>
            <w:r w:rsidR="00AE182F">
              <w:rPr>
                <w:lang w:val="es-419"/>
              </w:rPr>
              <w:t xml:space="preserve"> sistema no se reconocen las violencias, impactos diferenciales ni las </w:t>
            </w:r>
            <w:r w:rsidR="00AE182F">
              <w:rPr>
                <w:lang w:val="es-419"/>
              </w:rPr>
              <w:lastRenderedPageBreak/>
              <w:t>necesidades específicas del conflicto armado en las mujeres más vulnerables como las mujeres afrodescendientes, mujeres LBT o mujeres AfroLBT</w:t>
            </w:r>
            <w:r w:rsidR="00AE182F">
              <w:rPr>
                <w:rStyle w:val="FootnoteReference"/>
                <w:lang w:val="es-419"/>
              </w:rPr>
              <w:footnoteReference w:id="10"/>
            </w:r>
            <w:r w:rsidR="00AE182F" w:rsidRPr="00114CFD">
              <w:rPr>
                <w:lang w:val="es-419"/>
              </w:rPr>
              <w:t>.</w:t>
            </w:r>
            <w:r w:rsidR="00AE182F">
              <w:rPr>
                <w:lang w:val="es-419"/>
              </w:rPr>
              <w:t xml:space="preserve"> </w:t>
            </w:r>
          </w:p>
        </w:tc>
      </w:tr>
    </w:tbl>
    <w:p w14:paraId="205E6967" w14:textId="77777777" w:rsidR="00BC3FAC" w:rsidRDefault="00BC3FAC" w:rsidP="00985EFA">
      <w:pPr>
        <w:spacing w:line="276" w:lineRule="auto"/>
        <w:ind w:left="720"/>
        <w:jc w:val="both"/>
        <w:rPr>
          <w:b/>
          <w:lang w:val="es-419"/>
        </w:rPr>
      </w:pPr>
    </w:p>
    <w:tbl>
      <w:tblPr>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775"/>
        <w:gridCol w:w="690"/>
      </w:tblGrid>
      <w:tr w:rsidR="00BC3FAC" w:rsidRPr="002914C9" w14:paraId="16E224D0" w14:textId="77777777" w:rsidTr="00ED3668">
        <w:trPr>
          <w:trHeight w:val="389"/>
        </w:trPr>
        <w:tc>
          <w:tcPr>
            <w:tcW w:w="0" w:type="auto"/>
            <w:gridSpan w:val="2"/>
            <w:tcBorders>
              <w:bottom w:val="single" w:sz="4" w:space="0" w:color="000000"/>
            </w:tcBorders>
            <w:shd w:val="clear" w:color="auto" w:fill="FFFFFF"/>
            <w:vAlign w:val="bottom"/>
          </w:tcPr>
          <w:p w14:paraId="60FE4D23" w14:textId="605BFDB7" w:rsidR="00BC3FAC" w:rsidRPr="00985EFA" w:rsidRDefault="00BC3FAC">
            <w:pPr>
              <w:spacing w:after="0" w:line="276" w:lineRule="auto"/>
              <w:rPr>
                <w:lang w:val="es-419" w:eastAsia="ja-JP"/>
              </w:rPr>
            </w:pPr>
            <w:r>
              <w:rPr>
                <w:b/>
                <w:lang w:val="es-ES_tradnl"/>
              </w:rPr>
              <w:t>Párrafo 43</w:t>
            </w:r>
            <w:r w:rsidRPr="00ED3668">
              <w:rPr>
                <w:b/>
                <w:lang w:val="es-ES_tradnl"/>
              </w:rPr>
              <w:t xml:space="preserve">: </w:t>
            </w:r>
            <w:r w:rsidRPr="00BC3FAC">
              <w:rPr>
                <w:b/>
                <w:lang w:val="es-ES_tradnl"/>
              </w:rPr>
              <w:t>Mujeres lesbianas, bisexuales y transgénero</w:t>
            </w:r>
            <w:r w:rsidR="00FC7885">
              <w:rPr>
                <w:rStyle w:val="FootnoteReference"/>
                <w:b/>
                <w:lang w:val="es-ES_tradnl"/>
              </w:rPr>
              <w:footnoteReference w:id="11"/>
            </w:r>
          </w:p>
        </w:tc>
      </w:tr>
      <w:tr w:rsidR="00BC3FAC" w:rsidRPr="002914C9" w14:paraId="3432BB34" w14:textId="77777777" w:rsidTr="00ED3668">
        <w:tc>
          <w:tcPr>
            <w:tcW w:w="0" w:type="auto"/>
            <w:gridSpan w:val="2"/>
            <w:shd w:val="clear" w:color="auto" w:fill="F2F2F2" w:themeFill="background1" w:themeFillShade="F2"/>
          </w:tcPr>
          <w:p w14:paraId="347DC089" w14:textId="77777777" w:rsidR="00BC3FAC" w:rsidRPr="00534BA4" w:rsidRDefault="00BC3FAC">
            <w:pPr>
              <w:spacing w:line="276" w:lineRule="auto"/>
              <w:jc w:val="both"/>
              <w:rPr>
                <w:b/>
                <w:i/>
                <w:lang w:val="es-419"/>
              </w:rPr>
            </w:pPr>
            <w:r w:rsidRPr="00534BA4">
              <w:rPr>
                <w:b/>
                <w:i/>
                <w:lang w:val="es-419"/>
              </w:rPr>
              <w:t xml:space="preserve">El Comité recomienda al Estado parte que: </w:t>
            </w:r>
          </w:p>
          <w:p w14:paraId="55F507A2" w14:textId="3B23008A" w:rsidR="00BC3FAC" w:rsidRPr="00ED3668" w:rsidRDefault="00BC3FAC">
            <w:pPr>
              <w:spacing w:line="276" w:lineRule="auto"/>
              <w:jc w:val="both"/>
              <w:rPr>
                <w:i/>
                <w:lang w:val="es-419" w:eastAsia="ja-JP"/>
              </w:rPr>
            </w:pPr>
            <w:r w:rsidRPr="00534BA4">
              <w:rPr>
                <w:b/>
                <w:i/>
                <w:lang w:val="es-419"/>
              </w:rPr>
              <w:t>a) Proteja de forma efectiva a las mujeres lesbianas, bisexuales y transgénero frente a los actos de violencia y discriminación, y garantice su acceso a la justicia, mediante el tratamiento adecuado de sus denuncias, el castigo de quienes cometen esos actos y la concesión de indemnizaciones a las víctimas, y adopte medidas para prevenir los delitos de odio;</w:t>
            </w:r>
          </w:p>
        </w:tc>
      </w:tr>
      <w:tr w:rsidR="00B24836" w:rsidRPr="00ED3668" w14:paraId="6AE4B807" w14:textId="77777777" w:rsidTr="00ED3668">
        <w:trPr>
          <w:trHeight w:val="422"/>
        </w:trPr>
        <w:tc>
          <w:tcPr>
            <w:tcW w:w="0" w:type="auto"/>
            <w:vAlign w:val="bottom"/>
          </w:tcPr>
          <w:p w14:paraId="19447C34" w14:textId="77777777" w:rsidR="00BC3FAC" w:rsidRPr="00ED3668" w:rsidRDefault="00BC3FAC">
            <w:pPr>
              <w:spacing w:line="276" w:lineRule="auto"/>
              <w:rPr>
                <w:lang w:val="es-ES_tradnl"/>
              </w:rPr>
            </w:pPr>
            <w:r w:rsidRPr="00ED3668">
              <w:rPr>
                <w:b/>
                <w:color w:val="0070C0"/>
                <w:lang w:val="es-ES_tradnl"/>
              </w:rPr>
              <w:t>Calificación propuesta por la organización de la sociedad civil</w:t>
            </w:r>
          </w:p>
        </w:tc>
        <w:tc>
          <w:tcPr>
            <w:tcW w:w="0" w:type="auto"/>
            <w:vAlign w:val="bottom"/>
          </w:tcPr>
          <w:p w14:paraId="735DA736" w14:textId="77777777" w:rsidR="00BC3FAC" w:rsidRPr="00ED3668" w:rsidRDefault="00BC3FAC">
            <w:pPr>
              <w:spacing w:line="276" w:lineRule="auto"/>
            </w:pPr>
            <w:r>
              <w:rPr>
                <w:b/>
                <w:color w:val="0070C0"/>
              </w:rPr>
              <w:t>C</w:t>
            </w:r>
          </w:p>
        </w:tc>
      </w:tr>
      <w:tr w:rsidR="00BC3FAC" w:rsidRPr="002914C9" w14:paraId="145BDD73" w14:textId="77777777" w:rsidTr="00ED3668">
        <w:trPr>
          <w:trHeight w:val="413"/>
        </w:trPr>
        <w:tc>
          <w:tcPr>
            <w:tcW w:w="0" w:type="auto"/>
            <w:gridSpan w:val="2"/>
            <w:vAlign w:val="bottom"/>
          </w:tcPr>
          <w:p w14:paraId="6374D6A8" w14:textId="77777777" w:rsidR="00BC3FAC" w:rsidRPr="00ED3668" w:rsidRDefault="00BC3FAC">
            <w:pPr>
              <w:spacing w:line="276" w:lineRule="auto"/>
              <w:rPr>
                <w:b/>
                <w:lang w:val="es-ES_tradnl"/>
              </w:rPr>
            </w:pPr>
            <w:r w:rsidRPr="00ED3668">
              <w:rPr>
                <w:rFonts w:hint="eastAsia"/>
                <w:b/>
                <w:lang w:val="fr-FR" w:eastAsia="ja-JP"/>
              </w:rPr>
              <w:t xml:space="preserve">1. </w:t>
            </w:r>
            <w:r w:rsidRPr="00ED3668">
              <w:rPr>
                <w:b/>
                <w:lang w:val="es-ES_tradnl"/>
              </w:rPr>
              <w:t>Medidas adoptadas de conformidad con la recomendación y consecuencias</w:t>
            </w:r>
          </w:p>
        </w:tc>
      </w:tr>
      <w:tr w:rsidR="00BC3FAC" w:rsidRPr="002914C9" w14:paraId="19D36F1B" w14:textId="77777777" w:rsidTr="00ED3668">
        <w:trPr>
          <w:trHeight w:val="1299"/>
        </w:trPr>
        <w:tc>
          <w:tcPr>
            <w:tcW w:w="0" w:type="auto"/>
            <w:gridSpan w:val="2"/>
          </w:tcPr>
          <w:p w14:paraId="23894DF0" w14:textId="42DAD7BA" w:rsidR="00BC3FAC" w:rsidRDefault="006C200A">
            <w:pPr>
              <w:spacing w:line="276" w:lineRule="auto"/>
              <w:jc w:val="both"/>
              <w:rPr>
                <w:lang w:val="es-419"/>
              </w:rPr>
            </w:pPr>
            <w:r>
              <w:rPr>
                <w:lang w:val="es-419" w:eastAsia="ja-JP"/>
              </w:rPr>
              <w:t>En el año 2014, fue creado el Equipo de Género y Enfoque Diferencial de la Fiscalía General de la Nación, el cual desarrolla acciones para fortalecer la investigación adecuada de las violencias en que la orientación sexual, identidad de género (real o percibida) y/o la expresión de género han motivado el hecho. Para el apoyo de estas investigaciones y como entidad adscrita a la Fiscalía, e</w:t>
            </w:r>
            <w:r w:rsidR="00B73B61">
              <w:rPr>
                <w:lang w:val="es-419" w:eastAsia="ja-JP"/>
              </w:rPr>
              <w:t xml:space="preserve">l Instituto de </w:t>
            </w:r>
            <w:r w:rsidR="001027FD" w:rsidRPr="00845E36">
              <w:rPr>
                <w:lang w:val="es-419"/>
              </w:rPr>
              <w:t xml:space="preserve">Medicina Legal es la entidad encargada de </w:t>
            </w:r>
            <w:r>
              <w:rPr>
                <w:lang w:val="es-419"/>
              </w:rPr>
              <w:t xml:space="preserve">realizar los exámenes de valoración física y psicológica correspondientes y de </w:t>
            </w:r>
            <w:r w:rsidR="001027FD" w:rsidRPr="00845E36">
              <w:rPr>
                <w:lang w:val="es-419"/>
              </w:rPr>
              <w:t xml:space="preserve">garantizar la cadena de custodia de los elementos materia de prueba en el proceso penal.  </w:t>
            </w:r>
            <w:r w:rsidR="008575C6">
              <w:rPr>
                <w:lang w:val="es-419"/>
              </w:rPr>
              <w:t>Esta entidad</w:t>
            </w:r>
            <w:r>
              <w:rPr>
                <w:lang w:val="es-419"/>
              </w:rPr>
              <w:t xml:space="preserve">, cuenta </w:t>
            </w:r>
            <w:r w:rsidR="00902DC8">
              <w:rPr>
                <w:lang w:val="es-419"/>
              </w:rPr>
              <w:t xml:space="preserve">desde agosto de 2019 con </w:t>
            </w:r>
            <w:r>
              <w:rPr>
                <w:lang w:val="es-419"/>
              </w:rPr>
              <w:t>un documento de r</w:t>
            </w:r>
            <w:r w:rsidRPr="00985EFA">
              <w:rPr>
                <w:lang w:val="es-419"/>
              </w:rPr>
              <w:t>ecomendaciones para la aplicación del enfoque diferencial en el servicio forense</w:t>
            </w:r>
            <w:r>
              <w:rPr>
                <w:lang w:val="es-419"/>
              </w:rPr>
              <w:t xml:space="preserve"> de 2019</w:t>
            </w:r>
            <w:r>
              <w:rPr>
                <w:rStyle w:val="FootnoteReference"/>
                <w:lang w:val="es-419"/>
              </w:rPr>
              <w:footnoteReference w:id="12"/>
            </w:r>
            <w:r>
              <w:rPr>
                <w:lang w:val="es-419"/>
              </w:rPr>
              <w:t xml:space="preserve">. </w:t>
            </w:r>
          </w:p>
          <w:p w14:paraId="234B4644" w14:textId="53800ECD" w:rsidR="006C200A" w:rsidRPr="006C200A" w:rsidRDefault="006C200A">
            <w:pPr>
              <w:spacing w:line="276" w:lineRule="auto"/>
              <w:jc w:val="both"/>
              <w:rPr>
                <w:lang w:val="es-419" w:eastAsia="ja-JP"/>
              </w:rPr>
            </w:pPr>
            <w:r>
              <w:rPr>
                <w:lang w:val="es-419"/>
              </w:rPr>
              <w:t xml:space="preserve">En el ámbito disciplinario de la Policía Nacional, la </w:t>
            </w:r>
            <w:r w:rsidRPr="006C200A">
              <w:rPr>
                <w:lang w:val="es-419"/>
              </w:rPr>
              <w:t>Directiva 006 del 24 de febrero de 2010 compromete a los miembros de esta institución a defender y proteger los derechos de la población LGBTI.</w:t>
            </w:r>
          </w:p>
        </w:tc>
      </w:tr>
      <w:tr w:rsidR="00BC3FAC" w:rsidRPr="002914C9" w14:paraId="1CE9B2CA" w14:textId="77777777" w:rsidTr="00ED3668">
        <w:trPr>
          <w:trHeight w:val="50"/>
        </w:trPr>
        <w:tc>
          <w:tcPr>
            <w:tcW w:w="0" w:type="auto"/>
            <w:gridSpan w:val="2"/>
            <w:vAlign w:val="bottom"/>
          </w:tcPr>
          <w:p w14:paraId="5F5A0E76" w14:textId="77777777" w:rsidR="00BC3FAC" w:rsidRPr="00ED3668" w:rsidRDefault="00BC3FAC">
            <w:pPr>
              <w:spacing w:line="276" w:lineRule="auto"/>
              <w:rPr>
                <w:b/>
                <w:lang w:val="es-ES_tradnl"/>
              </w:rPr>
            </w:pPr>
            <w:r w:rsidRPr="00ED3668">
              <w:rPr>
                <w:rFonts w:hint="eastAsia"/>
                <w:b/>
                <w:lang w:val="es-ES_tradnl" w:eastAsia="ja-JP"/>
              </w:rPr>
              <w:t xml:space="preserve">2. </w:t>
            </w:r>
            <w:r w:rsidRPr="00ED3668">
              <w:rPr>
                <w:b/>
                <w:lang w:val="es-ES_tradnl"/>
              </w:rPr>
              <w:t>Cualquier tipo de medida adoptada que contravenga los propósitos de la recomendación</w:t>
            </w:r>
          </w:p>
        </w:tc>
      </w:tr>
      <w:tr w:rsidR="00BC3FAC" w:rsidRPr="002914C9" w14:paraId="672FA4AF" w14:textId="77777777" w:rsidTr="00ED3668">
        <w:trPr>
          <w:trHeight w:val="95"/>
        </w:trPr>
        <w:tc>
          <w:tcPr>
            <w:tcW w:w="0" w:type="auto"/>
            <w:gridSpan w:val="2"/>
          </w:tcPr>
          <w:p w14:paraId="4C7CB4C4" w14:textId="77777777" w:rsidR="00BC3FAC" w:rsidRPr="00ED3668" w:rsidRDefault="00BC3FAC">
            <w:pPr>
              <w:spacing w:line="276" w:lineRule="auto"/>
              <w:rPr>
                <w:lang w:val="es-419" w:eastAsia="ja-JP"/>
              </w:rPr>
            </w:pPr>
          </w:p>
        </w:tc>
      </w:tr>
      <w:tr w:rsidR="00BC3FAC" w:rsidRPr="002914C9" w14:paraId="536B2A5B" w14:textId="77777777" w:rsidTr="00ED3668">
        <w:tc>
          <w:tcPr>
            <w:tcW w:w="0" w:type="auto"/>
            <w:gridSpan w:val="2"/>
          </w:tcPr>
          <w:p w14:paraId="29CDB37A" w14:textId="77777777" w:rsidR="00BC3FAC" w:rsidRPr="00ED3668" w:rsidRDefault="00BC3FAC">
            <w:pPr>
              <w:spacing w:line="276" w:lineRule="auto"/>
              <w:rPr>
                <w:b/>
                <w:lang w:val="es-ES_tradnl"/>
              </w:rPr>
            </w:pPr>
            <w:r w:rsidRPr="00ED3668">
              <w:rPr>
                <w:rFonts w:hint="eastAsia"/>
                <w:b/>
                <w:lang w:val="es-ES_tradnl" w:eastAsia="ja-JP"/>
              </w:rPr>
              <w:t xml:space="preserve">3. </w:t>
            </w:r>
            <w:r w:rsidRPr="00ED3668">
              <w:rPr>
                <w:b/>
                <w:lang w:val="es-ES_tradnl"/>
              </w:rPr>
              <w:t>Estado actual del problema (en especial, cambios ocurridos después de la adopción de las conclusiones finales)</w:t>
            </w:r>
          </w:p>
        </w:tc>
      </w:tr>
      <w:tr w:rsidR="002659CA" w:rsidRPr="002914C9" w14:paraId="0257EDFC" w14:textId="77777777" w:rsidTr="00ED3668">
        <w:tc>
          <w:tcPr>
            <w:tcW w:w="0" w:type="auto"/>
            <w:gridSpan w:val="2"/>
          </w:tcPr>
          <w:p w14:paraId="135DC25A" w14:textId="04B578E3" w:rsidR="00716258" w:rsidRDefault="00716258" w:rsidP="00985EFA">
            <w:pPr>
              <w:spacing w:line="276" w:lineRule="auto"/>
              <w:jc w:val="both"/>
              <w:rPr>
                <w:lang w:val="es-419"/>
              </w:rPr>
            </w:pPr>
            <w:r>
              <w:rPr>
                <w:lang w:val="es-419"/>
              </w:rPr>
              <w:lastRenderedPageBreak/>
              <w:t xml:space="preserve">En el marco de un caso de abuso policial en contra de cuatro mujeres trans migrantes trabajadoras sexuales </w:t>
            </w:r>
            <w:r w:rsidR="00845E36">
              <w:rPr>
                <w:lang w:val="es-419"/>
              </w:rPr>
              <w:t xml:space="preserve">ocurrido en junio de 2019 </w:t>
            </w:r>
            <w:r>
              <w:rPr>
                <w:lang w:val="es-419"/>
              </w:rPr>
              <w:t>acompañado por Raza e Igualdad</w:t>
            </w:r>
            <w:r>
              <w:rPr>
                <w:rStyle w:val="FootnoteReference"/>
                <w:lang w:val="es-419"/>
              </w:rPr>
              <w:footnoteReference w:id="13"/>
            </w:r>
            <w:r>
              <w:rPr>
                <w:lang w:val="es-419"/>
              </w:rPr>
              <w:t>, hemos identificado diversas barreras</w:t>
            </w:r>
            <w:r w:rsidR="00845E36">
              <w:rPr>
                <w:lang w:val="es-419"/>
              </w:rPr>
              <w:t xml:space="preserve"> frente a</w:t>
            </w:r>
            <w:r w:rsidR="007837E0">
              <w:rPr>
                <w:lang w:val="es-419"/>
              </w:rPr>
              <w:t>l acceso a la justicia</w:t>
            </w:r>
            <w:r w:rsidR="005B42BD">
              <w:rPr>
                <w:lang w:val="es-419"/>
              </w:rPr>
              <w:t xml:space="preserve"> con graves fallas en el proceso penal y disciplinario iniciados.</w:t>
            </w:r>
          </w:p>
          <w:p w14:paraId="6FF364ED" w14:textId="36FAEB01" w:rsidR="00845E36" w:rsidRDefault="002659CA">
            <w:pPr>
              <w:spacing w:line="276" w:lineRule="auto"/>
              <w:jc w:val="both"/>
              <w:rPr>
                <w:lang w:val="es-419"/>
              </w:rPr>
            </w:pPr>
            <w:r>
              <w:rPr>
                <w:lang w:val="es-419"/>
              </w:rPr>
              <w:t>Frente a la garantía de</w:t>
            </w:r>
            <w:r w:rsidR="00716258">
              <w:rPr>
                <w:lang w:val="es-419"/>
              </w:rPr>
              <w:t xml:space="preserve"> acceso a la</w:t>
            </w:r>
            <w:r>
              <w:rPr>
                <w:lang w:val="es-419"/>
              </w:rPr>
              <w:t xml:space="preserve"> justicia </w:t>
            </w:r>
            <w:r w:rsidR="00716258">
              <w:rPr>
                <w:lang w:val="es-419"/>
              </w:rPr>
              <w:t xml:space="preserve">en el proceso penal, </w:t>
            </w:r>
            <w:r w:rsidR="006C200A">
              <w:rPr>
                <w:lang w:val="es-419"/>
              </w:rPr>
              <w:t xml:space="preserve">las barreras identificadas se dan </w:t>
            </w:r>
            <w:r w:rsidR="004B622C">
              <w:rPr>
                <w:lang w:val="es-419"/>
              </w:rPr>
              <w:t>en especial</w:t>
            </w:r>
            <w:r>
              <w:rPr>
                <w:lang w:val="es-419"/>
              </w:rPr>
              <w:t xml:space="preserve"> en la fase indagatoria</w:t>
            </w:r>
            <w:r w:rsidR="00716258">
              <w:rPr>
                <w:lang w:val="es-419"/>
              </w:rPr>
              <w:t>, etapa inicial del proceso penal en donde la Fiscalía debe recopilar el material probatorio necesario para determinar si es pertinente o no iniciar dar apertura a una investigación penal formal</w:t>
            </w:r>
            <w:r>
              <w:rPr>
                <w:lang w:val="es-419"/>
              </w:rPr>
              <w:t xml:space="preserve">. </w:t>
            </w:r>
            <w:r w:rsidR="00845E36">
              <w:rPr>
                <w:lang w:val="es-419"/>
              </w:rPr>
              <w:t>La preocupación más urgente se relaciona con la no aparición de las primeras valoraciones de medicina legal que se realizaron a las víctimas una vez se interpuso la denuncia penal contra los agentes involucrados</w:t>
            </w:r>
            <w:r w:rsidR="00B73B61">
              <w:rPr>
                <w:lang w:val="es-419"/>
              </w:rPr>
              <w:t>, realizada</w:t>
            </w:r>
            <w:r w:rsidR="00845E36">
              <w:rPr>
                <w:lang w:val="es-419"/>
              </w:rPr>
              <w:t>s en julio de 2019</w:t>
            </w:r>
            <w:r w:rsidR="005B42BD">
              <w:rPr>
                <w:lang w:val="es-419"/>
              </w:rPr>
              <w:t xml:space="preserve"> y la revictimización </w:t>
            </w:r>
            <w:r w:rsidR="00D96789">
              <w:rPr>
                <w:lang w:val="es-419"/>
              </w:rPr>
              <w:t>a las que se han visto sometidas.</w:t>
            </w:r>
          </w:p>
          <w:p w14:paraId="0729D631" w14:textId="52EED692" w:rsidR="00845E36" w:rsidRPr="00985EFA" w:rsidRDefault="00B73B61">
            <w:pPr>
              <w:spacing w:line="276" w:lineRule="auto"/>
              <w:jc w:val="both"/>
              <w:rPr>
                <w:lang w:val="es-CO"/>
              </w:rPr>
            </w:pPr>
            <w:r>
              <w:rPr>
                <w:lang w:val="es-419"/>
              </w:rPr>
              <w:t>La no aparición</w:t>
            </w:r>
            <w:r w:rsidR="00845E36" w:rsidRPr="00845E36">
              <w:rPr>
                <w:lang w:val="es-419"/>
              </w:rPr>
              <w:t xml:space="preserve"> del primer examen de medicina legal que se practicó cuando las víctimas presentaban signos visibles de las lesiones en sus cuerpos, es motivo de preocupación de las víctimas y sus representantes legales que temen que esta falta de diligencia conlleve a inconsistencias y malinterpretaciones en la valoración del material probatorio a lo largo del proceso penal en curso.</w:t>
            </w:r>
            <w:r w:rsidR="00845E36">
              <w:rPr>
                <w:lang w:val="es-419"/>
              </w:rPr>
              <w:t xml:space="preserve"> A pesar de haber solicitado directamente a la Fiscalía copias de estos exámenes, la Fiscalía niega la entrega de los documentos y no da explicación alguna sobre la pérdida de los exámenes.</w:t>
            </w:r>
            <w:r w:rsidR="00845E36" w:rsidRPr="00845E36">
              <w:rPr>
                <w:lang w:val="es-419"/>
              </w:rPr>
              <w:t xml:space="preserve"> </w:t>
            </w:r>
          </w:p>
          <w:p w14:paraId="7BC59315" w14:textId="32AC78F6" w:rsidR="00716258" w:rsidRDefault="001027FD">
            <w:pPr>
              <w:spacing w:line="276" w:lineRule="auto"/>
              <w:jc w:val="both"/>
              <w:rPr>
                <w:lang w:val="es-419"/>
              </w:rPr>
            </w:pPr>
            <w:r>
              <w:rPr>
                <w:lang w:val="es-CO"/>
              </w:rPr>
              <w:t>Posterior a este suceso, se dio</w:t>
            </w:r>
            <w:r w:rsidR="00716258">
              <w:rPr>
                <w:lang w:val="es-419"/>
              </w:rPr>
              <w:t xml:space="preserve"> la calificación del delito </w:t>
            </w:r>
            <w:r w:rsidR="00845E36">
              <w:rPr>
                <w:lang w:val="es-419"/>
              </w:rPr>
              <w:t xml:space="preserve">por parte de la Fiscalía </w:t>
            </w:r>
            <w:r w:rsidR="00716258">
              <w:rPr>
                <w:lang w:val="es-419"/>
              </w:rPr>
              <w:t xml:space="preserve">como </w:t>
            </w:r>
            <w:r w:rsidR="00716258">
              <w:rPr>
                <w:i/>
                <w:lang w:val="es-419"/>
              </w:rPr>
              <w:t>tortura</w:t>
            </w:r>
            <w:r>
              <w:rPr>
                <w:i/>
                <w:lang w:val="es-419"/>
              </w:rPr>
              <w:t xml:space="preserve">, </w:t>
            </w:r>
            <w:r w:rsidR="002C110F">
              <w:rPr>
                <w:lang w:val="es-419"/>
              </w:rPr>
              <w:t>s</w:t>
            </w:r>
            <w:r>
              <w:rPr>
                <w:lang w:val="es-419"/>
              </w:rPr>
              <w:t>in embargo,</w:t>
            </w:r>
            <w:r w:rsidR="00716258">
              <w:rPr>
                <w:lang w:val="es-419"/>
              </w:rPr>
              <w:t xml:space="preserve"> los exámenes físicos y psicológicos que deben </w:t>
            </w:r>
            <w:r w:rsidR="00845E36">
              <w:rPr>
                <w:lang w:val="es-419"/>
              </w:rPr>
              <w:t>practicarse en concordancia con e</w:t>
            </w:r>
            <w:r w:rsidR="00716258">
              <w:rPr>
                <w:lang w:val="es-419"/>
              </w:rPr>
              <w:t>l</w:t>
            </w:r>
            <w:r w:rsidR="00845E36">
              <w:rPr>
                <w:lang w:val="es-419"/>
              </w:rPr>
              <w:t xml:space="preserve"> Protocolo de Estambul provisto para estas si</w:t>
            </w:r>
            <w:r w:rsidR="000D1CDA">
              <w:rPr>
                <w:lang w:val="es-419"/>
              </w:rPr>
              <w:t xml:space="preserve">tuaciones, han sido dilatados, </w:t>
            </w:r>
            <w:r w:rsidR="00845E36">
              <w:rPr>
                <w:lang w:val="es-419"/>
              </w:rPr>
              <w:t xml:space="preserve">denegados </w:t>
            </w:r>
            <w:r w:rsidR="000D1CDA">
              <w:rPr>
                <w:lang w:val="es-419"/>
              </w:rPr>
              <w:t>en le práctica lo que ha supuesto</w:t>
            </w:r>
            <w:r w:rsidR="002C110F">
              <w:rPr>
                <w:lang w:val="es-419"/>
              </w:rPr>
              <w:t xml:space="preserve"> </w:t>
            </w:r>
            <w:r w:rsidR="000D1CDA">
              <w:rPr>
                <w:lang w:val="es-419"/>
              </w:rPr>
              <w:t>una</w:t>
            </w:r>
            <w:r w:rsidR="002C110F">
              <w:rPr>
                <w:lang w:val="es-419"/>
              </w:rPr>
              <w:t xml:space="preserve"> acarga adicional económica y psicológica paras las víctimas.</w:t>
            </w:r>
          </w:p>
          <w:p w14:paraId="3DE9D718" w14:textId="6D4BB68E" w:rsidR="00F433E4" w:rsidRPr="000D11FD" w:rsidRDefault="00274784">
            <w:pPr>
              <w:spacing w:line="276" w:lineRule="auto"/>
              <w:jc w:val="both"/>
              <w:rPr>
                <w:lang w:val="es-CO"/>
              </w:rPr>
            </w:pPr>
            <w:r>
              <w:rPr>
                <w:lang w:val="es-CO"/>
              </w:rPr>
              <w:t xml:space="preserve">Las mujeres victimas de tortura, han sido impedidas de ingresar al Instituto de Medicina legal </w:t>
            </w:r>
            <w:r w:rsidR="00F433E4">
              <w:rPr>
                <w:lang w:val="es-CO"/>
              </w:rPr>
              <w:t>pues</w:t>
            </w:r>
            <w:r w:rsidR="00D37DC6">
              <w:rPr>
                <w:lang w:val="es-CO"/>
              </w:rPr>
              <w:t xml:space="preserve"> la seguridad del centro les niega</w:t>
            </w:r>
            <w:r w:rsidR="00F433E4">
              <w:rPr>
                <w:lang w:val="es-CO"/>
              </w:rPr>
              <w:t xml:space="preserve"> la entrada a estos centros aduciendo indebida presentación personal por la forma como se visten </w:t>
            </w:r>
            <w:r w:rsidR="00D37DC6">
              <w:rPr>
                <w:lang w:val="es-CO"/>
              </w:rPr>
              <w:t>o excusas sobre el horario de atención.</w:t>
            </w:r>
            <w:r w:rsidR="00F433E4">
              <w:rPr>
                <w:lang w:val="es-CO"/>
              </w:rPr>
              <w:t xml:space="preserve"> </w:t>
            </w:r>
            <w:r w:rsidR="0088129D">
              <w:rPr>
                <w:lang w:val="es-CO"/>
              </w:rPr>
              <w:t xml:space="preserve">En otras ocasiones, ha sido el propio </w:t>
            </w:r>
            <w:r w:rsidR="00F433E4">
              <w:rPr>
                <w:lang w:val="es-CO"/>
              </w:rPr>
              <w:t>personal médico el que dilata el proceso, negándose a practicar los exámenes aduciendo desconocimiento del caso o señalando que es necesario para la realización del examen la primera valoraci</w:t>
            </w:r>
            <w:r w:rsidR="0088129D">
              <w:rPr>
                <w:lang w:val="es-CO"/>
              </w:rPr>
              <w:t>ón física (</w:t>
            </w:r>
            <w:r w:rsidR="00F433E4">
              <w:rPr>
                <w:lang w:val="es-CO"/>
              </w:rPr>
              <w:t>documento que como señalamos anteriormente, no está registrado en ninguno de los sistemas de información de la Fiscalía o de Medicina Legal</w:t>
            </w:r>
            <w:r w:rsidR="0088129D">
              <w:rPr>
                <w:lang w:val="es-CO"/>
              </w:rPr>
              <w:t>)</w:t>
            </w:r>
            <w:r w:rsidR="00F433E4">
              <w:rPr>
                <w:lang w:val="es-CO"/>
              </w:rPr>
              <w:t xml:space="preserve">. En algunos casos, el personal médico ha solicitado a las mujeres que lleven ellas mismas una copia de su historia clínica o epicrisis, lo que representa una carga adicional a las mujeres víctimas, teniendo en cuenta que es la Fiscalía la entidad que debería asumir la responsabilidad de recaudar el material probatorio. </w:t>
            </w:r>
            <w:r w:rsidR="000D11FD">
              <w:rPr>
                <w:lang w:val="es-CO"/>
              </w:rPr>
              <w:t>Ante estas fallas</w:t>
            </w:r>
            <w:r w:rsidR="00F433E4">
              <w:rPr>
                <w:lang w:val="es-CO"/>
              </w:rPr>
              <w:t>, no se han podido identificar rutas claras para la interposición de quejas disciplinarias en contra del personal de Medicina Legal.</w:t>
            </w:r>
          </w:p>
          <w:p w14:paraId="13F20311" w14:textId="0CA74EDD" w:rsidR="00F433E4" w:rsidRDefault="00F433E4">
            <w:pPr>
              <w:spacing w:line="276" w:lineRule="auto"/>
              <w:jc w:val="both"/>
              <w:rPr>
                <w:lang w:val="es-CO"/>
              </w:rPr>
            </w:pPr>
            <w:r>
              <w:rPr>
                <w:lang w:val="es-CO"/>
              </w:rPr>
              <w:lastRenderedPageBreak/>
              <w:t>Como resultado, l</w:t>
            </w:r>
            <w:r w:rsidR="001027FD">
              <w:rPr>
                <w:lang w:val="es-CO"/>
              </w:rPr>
              <w:t>os exámenes físicos de las lesiones ocasionadas contra las víctimas</w:t>
            </w:r>
            <w:r w:rsidR="000D11FD">
              <w:rPr>
                <w:lang w:val="es-CO"/>
              </w:rPr>
              <w:t>,</w:t>
            </w:r>
            <w:r w:rsidR="001027FD">
              <w:rPr>
                <w:lang w:val="es-CO"/>
              </w:rPr>
              <w:t xml:space="preserve"> son recuentos narrativos de los testimonios de las víctimas,</w:t>
            </w:r>
            <w:r w:rsidR="00B24836" w:rsidRPr="00B24836">
              <w:rPr>
                <w:lang w:val="es-CO"/>
              </w:rPr>
              <w:t xml:space="preserve"> </w:t>
            </w:r>
            <w:r>
              <w:rPr>
                <w:lang w:val="es-CO"/>
              </w:rPr>
              <w:t xml:space="preserve">que además </w:t>
            </w:r>
            <w:r w:rsidR="003A3481">
              <w:rPr>
                <w:lang w:val="es-CO"/>
              </w:rPr>
              <w:t xml:space="preserve">contienen información errónea, </w:t>
            </w:r>
            <w:r w:rsidR="00B24836" w:rsidRPr="00B24836">
              <w:rPr>
                <w:lang w:val="es-CO"/>
              </w:rPr>
              <w:t>no da</w:t>
            </w:r>
            <w:r w:rsidR="001027FD">
              <w:rPr>
                <w:lang w:val="es-CO"/>
              </w:rPr>
              <w:t>n</w:t>
            </w:r>
            <w:r w:rsidR="00B24836" w:rsidRPr="00B24836">
              <w:rPr>
                <w:lang w:val="es-CO"/>
              </w:rPr>
              <w:t xml:space="preserve"> cuenta de las afectaciones psicosociales y se refiere</w:t>
            </w:r>
            <w:r w:rsidR="001027FD">
              <w:rPr>
                <w:lang w:val="es-CO"/>
              </w:rPr>
              <w:t>n</w:t>
            </w:r>
            <w:r w:rsidR="00B24836" w:rsidRPr="00B24836">
              <w:rPr>
                <w:lang w:val="es-CO"/>
              </w:rPr>
              <w:t xml:space="preserve"> a </w:t>
            </w:r>
            <w:r w:rsidR="001027FD" w:rsidRPr="00B24836">
              <w:rPr>
                <w:lang w:val="es-CO"/>
              </w:rPr>
              <w:t>las víctimas</w:t>
            </w:r>
            <w:r w:rsidR="00B24836" w:rsidRPr="00B24836">
              <w:rPr>
                <w:lang w:val="es-CO"/>
              </w:rPr>
              <w:t xml:space="preserve"> con su nombre legal</w:t>
            </w:r>
            <w:r w:rsidR="001027FD">
              <w:rPr>
                <w:lang w:val="es-CO"/>
              </w:rPr>
              <w:t>, no con su nombre identitario</w:t>
            </w:r>
            <w:r w:rsidR="00B24836" w:rsidRPr="00B24836">
              <w:rPr>
                <w:lang w:val="es-CO"/>
              </w:rPr>
              <w:t xml:space="preserve">. </w:t>
            </w:r>
          </w:p>
          <w:p w14:paraId="59074760" w14:textId="5BE27EC5" w:rsidR="00B24836" w:rsidRPr="00DC5B00" w:rsidRDefault="00B73B61" w:rsidP="00985EFA">
            <w:pPr>
              <w:spacing w:line="276" w:lineRule="auto"/>
              <w:jc w:val="both"/>
              <w:rPr>
                <w:lang w:val="es-419"/>
              </w:rPr>
            </w:pPr>
            <w:r>
              <w:rPr>
                <w:lang w:val="es-419"/>
              </w:rPr>
              <w:t>F</w:t>
            </w:r>
            <w:r w:rsidR="002659CA">
              <w:rPr>
                <w:lang w:val="es-419"/>
              </w:rPr>
              <w:t xml:space="preserve">rente a la garantía de acceso a la justicia en ámbitos disciplinarios, preocupa la falta de </w:t>
            </w:r>
            <w:r w:rsidR="00B24836">
              <w:rPr>
                <w:lang w:val="es-419"/>
              </w:rPr>
              <w:t>garantías para que las mujeres transgénero puedan aportar al esclarecimiento de los hechos y pueda darse una sanción disciplinaria contra los age</w:t>
            </w:r>
            <w:r>
              <w:rPr>
                <w:lang w:val="es-419"/>
              </w:rPr>
              <w:t xml:space="preserve">ntes involucrados en los hechos. </w:t>
            </w:r>
            <w:r w:rsidR="000D11FD">
              <w:rPr>
                <w:lang w:val="es-419"/>
              </w:rPr>
              <w:t xml:space="preserve">La </w:t>
            </w:r>
            <w:r>
              <w:rPr>
                <w:lang w:val="es-419"/>
              </w:rPr>
              <w:t xml:space="preserve">Policía no </w:t>
            </w:r>
            <w:r>
              <w:rPr>
                <w:rFonts w:ascii="Calibri" w:hAnsi="Calibri" w:cs="Calibri"/>
                <w:lang w:val="es-CO"/>
              </w:rPr>
              <w:t xml:space="preserve">reconoce </w:t>
            </w:r>
            <w:r w:rsidR="00C22C3A">
              <w:rPr>
                <w:rFonts w:ascii="Calibri" w:hAnsi="Calibri" w:cs="Calibri"/>
                <w:lang w:val="es-CO"/>
              </w:rPr>
              <w:t>que</w:t>
            </w:r>
            <w:r w:rsidR="00B24836">
              <w:rPr>
                <w:rFonts w:ascii="Calibri" w:hAnsi="Calibri" w:cs="Calibri"/>
                <w:lang w:val="es-CO"/>
              </w:rPr>
              <w:t xml:space="preserve"> existió una vuln</w:t>
            </w:r>
            <w:r w:rsidR="00BF7DC3">
              <w:rPr>
                <w:rFonts w:ascii="Calibri" w:hAnsi="Calibri" w:cs="Calibri"/>
                <w:lang w:val="es-CO"/>
              </w:rPr>
              <w:t xml:space="preserve">eración de los derechos humanos y que </w:t>
            </w:r>
            <w:r w:rsidR="00C22C3A">
              <w:rPr>
                <w:rFonts w:ascii="Calibri" w:hAnsi="Calibri" w:cs="Calibri"/>
                <w:lang w:val="es-CO"/>
              </w:rPr>
              <w:t xml:space="preserve">esos mismos </w:t>
            </w:r>
            <w:r w:rsidR="00BF7DC3">
              <w:rPr>
                <w:rFonts w:ascii="Calibri" w:hAnsi="Calibri" w:cs="Calibri"/>
                <w:lang w:val="es-CO"/>
              </w:rPr>
              <w:t>hechos están siendo investigados penalmente como un delito de tortura.</w:t>
            </w:r>
            <w:r w:rsidRPr="003A3481">
              <w:rPr>
                <w:rFonts w:ascii="Calibri" w:hAnsi="Calibri" w:cs="Calibri"/>
                <w:lang w:val="es-CO"/>
              </w:rPr>
              <w:t xml:space="preserve"> </w:t>
            </w:r>
          </w:p>
          <w:p w14:paraId="27A6A5A5" w14:textId="76995D87" w:rsidR="003A3481" w:rsidRDefault="00EE5AA2" w:rsidP="00985EFA">
            <w:pPr>
              <w:spacing w:after="0" w:line="276" w:lineRule="auto"/>
              <w:jc w:val="both"/>
              <w:rPr>
                <w:rFonts w:ascii="Calibri" w:hAnsi="Calibri" w:cs="Calibri"/>
                <w:lang w:val="es-CO"/>
              </w:rPr>
            </w:pPr>
            <w:r>
              <w:rPr>
                <w:rFonts w:ascii="Calibri" w:hAnsi="Calibri" w:cs="Calibri"/>
                <w:lang w:val="es-CO"/>
              </w:rPr>
              <w:t xml:space="preserve">También representa una preocupación que en el marco del proceso disciplinario no se reconozca </w:t>
            </w:r>
            <w:r w:rsidRPr="00ED3668">
              <w:rPr>
                <w:rFonts w:ascii="Calibri" w:hAnsi="Calibri" w:cs="Calibri"/>
                <w:lang w:val="es-CO"/>
              </w:rPr>
              <w:t>como sujetos procesales</w:t>
            </w:r>
            <w:r>
              <w:rPr>
                <w:rFonts w:ascii="Calibri" w:hAnsi="Calibri" w:cs="Calibri"/>
                <w:lang w:val="es-CO"/>
              </w:rPr>
              <w:t xml:space="preserve"> a las mujeres </w:t>
            </w:r>
            <w:r w:rsidR="00B24836" w:rsidRPr="00985EFA">
              <w:rPr>
                <w:rFonts w:ascii="Calibri" w:hAnsi="Calibri" w:cs="Calibri"/>
                <w:lang w:val="es-CO"/>
              </w:rPr>
              <w:t xml:space="preserve">trans </w:t>
            </w:r>
            <w:r>
              <w:rPr>
                <w:rFonts w:ascii="Calibri" w:hAnsi="Calibri" w:cs="Calibri"/>
                <w:lang w:val="es-CO"/>
              </w:rPr>
              <w:t>ni a la organización que las representa ante instancias nacionales</w:t>
            </w:r>
            <w:r w:rsidR="003A3481">
              <w:rPr>
                <w:rStyle w:val="FootnoteReference"/>
                <w:rFonts w:ascii="Calibri" w:hAnsi="Calibri" w:cs="Calibri"/>
                <w:lang w:val="es-CO"/>
              </w:rPr>
              <w:footnoteReference w:id="14"/>
            </w:r>
            <w:r>
              <w:rPr>
                <w:rFonts w:ascii="Calibri" w:hAnsi="Calibri" w:cs="Calibri"/>
                <w:lang w:val="es-CO"/>
              </w:rPr>
              <w:t>. Lo anterior a pesar de que l</w:t>
            </w:r>
            <w:r w:rsidR="00B24836" w:rsidRPr="00985EFA">
              <w:rPr>
                <w:rFonts w:ascii="Calibri" w:hAnsi="Calibri" w:cs="Calibri"/>
                <w:lang w:val="es-CO"/>
              </w:rPr>
              <w:t xml:space="preserve">a Corte Constitucional </w:t>
            </w:r>
            <w:r>
              <w:rPr>
                <w:rFonts w:ascii="Calibri" w:hAnsi="Calibri" w:cs="Calibri"/>
                <w:lang w:val="es-CO"/>
              </w:rPr>
              <w:t xml:space="preserve">de Colombia </w:t>
            </w:r>
            <w:r w:rsidR="00B24836" w:rsidRPr="00985EFA">
              <w:rPr>
                <w:rFonts w:ascii="Calibri" w:hAnsi="Calibri" w:cs="Calibri"/>
                <w:lang w:val="es-CO"/>
              </w:rPr>
              <w:t>ha reconocido que las víctimas o perjudicados con una falta disciplinaria constitutiva de una violación del derecho internacional de los derechos humanos están legitimadas para intervenir en el proceso disciplinario para que en éste se esclarezca la verdad de lo ocurrido y para que en ese específico ámbito de control esas faltas no queden en la impunidad</w:t>
            </w:r>
            <w:r w:rsidR="003A3481">
              <w:rPr>
                <w:rStyle w:val="FootnoteReference"/>
                <w:rFonts w:ascii="Calibri" w:hAnsi="Calibri" w:cs="Calibri"/>
                <w:lang w:val="es-CO"/>
              </w:rPr>
              <w:footnoteReference w:id="15"/>
            </w:r>
            <w:r w:rsidR="00B24836" w:rsidRPr="00985EFA">
              <w:rPr>
                <w:rFonts w:ascii="Calibri" w:hAnsi="Calibri" w:cs="Calibri"/>
                <w:lang w:val="es-CO"/>
              </w:rPr>
              <w:t xml:space="preserve">. </w:t>
            </w:r>
          </w:p>
          <w:p w14:paraId="4D43A13F" w14:textId="77777777" w:rsidR="003A3481" w:rsidRDefault="003A3481" w:rsidP="00985EFA">
            <w:pPr>
              <w:spacing w:after="0" w:line="276" w:lineRule="auto"/>
              <w:jc w:val="both"/>
              <w:rPr>
                <w:rFonts w:ascii="Calibri" w:hAnsi="Calibri" w:cs="Calibri"/>
                <w:lang w:val="es-CO"/>
              </w:rPr>
            </w:pPr>
          </w:p>
          <w:p w14:paraId="201FE319" w14:textId="5DCF4CCA" w:rsidR="003A3481" w:rsidRPr="00985EFA" w:rsidRDefault="00B24836" w:rsidP="00DE2C4E">
            <w:pPr>
              <w:spacing w:after="0" w:line="276" w:lineRule="auto"/>
              <w:jc w:val="both"/>
              <w:rPr>
                <w:b/>
                <w:lang w:val="es-419" w:eastAsia="ja-JP"/>
              </w:rPr>
            </w:pPr>
            <w:r w:rsidRPr="00823AF8">
              <w:rPr>
                <w:rFonts w:ascii="Calibri" w:hAnsi="Calibri" w:cs="Calibri"/>
                <w:lang w:val="es-CO"/>
              </w:rPr>
              <w:t>A pesar de las continuas solicitudes para la integración efectiva de un enfoque de género y de diversidad sexual</w:t>
            </w:r>
            <w:r w:rsidR="003A3481">
              <w:rPr>
                <w:rFonts w:ascii="Calibri" w:hAnsi="Calibri" w:cs="Calibri"/>
                <w:lang w:val="es-CO"/>
              </w:rPr>
              <w:t xml:space="preserve"> en el proceso disciplinario, </w:t>
            </w:r>
            <w:r w:rsidR="00EE5AA2">
              <w:rPr>
                <w:rFonts w:ascii="Calibri" w:hAnsi="Calibri" w:cs="Calibri"/>
                <w:lang w:val="es-CO"/>
              </w:rPr>
              <w:t xml:space="preserve">las conductas de las autoridades de Policía que llevan el proceso </w:t>
            </w:r>
            <w:r w:rsidR="003A3481">
              <w:rPr>
                <w:rFonts w:ascii="Calibri" w:hAnsi="Calibri" w:cs="Calibri"/>
                <w:lang w:val="es-CO"/>
              </w:rPr>
              <w:t>van en contravía del respeto por los derechos de las víctimas. En varias citaciones, se refieren a las mujeres trans con sus nombres legales, no por sus nombres identitarios. En otras ocasiones, las han citado a la toma de declaraciones dentro de estaciones de policía, desconociendo que los hechos de abuso policial ocurrieron dentro de una estación de policía. También han pretendido que las mujeres trans declaren frente al abogado de los agentes de policías que las victimizaron sin presencia de un representante de víctimas</w:t>
            </w:r>
            <w:r w:rsidR="003A3481">
              <w:rPr>
                <w:rFonts w:ascii="Calibri" w:hAnsi="Calibri" w:cs="Calibri"/>
                <w:b/>
                <w:lang w:val="es-CO"/>
              </w:rPr>
              <w:t>.</w:t>
            </w:r>
            <w:r>
              <w:rPr>
                <w:rFonts w:ascii="Calibri" w:hAnsi="Calibri" w:cs="Calibri"/>
                <w:lang w:val="es-CO"/>
              </w:rPr>
              <w:t xml:space="preserve"> Ante el temor de las mujeres de acudir a los centros de policía y la falta de disposición de las autoridades de policía para integrar al proceso medidas mínimas de respeto y seguridad por </w:t>
            </w:r>
            <w:r w:rsidR="00DE2C4E">
              <w:rPr>
                <w:rFonts w:ascii="Calibri" w:hAnsi="Calibri" w:cs="Calibri"/>
                <w:lang w:val="es-CO"/>
              </w:rPr>
              <w:t xml:space="preserve">la integridad de las víctimas, exixte el temor de que </w:t>
            </w:r>
            <w:r>
              <w:rPr>
                <w:rFonts w:ascii="Calibri" w:hAnsi="Calibri" w:cs="Calibri"/>
                <w:lang w:val="es-CO"/>
              </w:rPr>
              <w:t xml:space="preserve">el proceso quede en completa impunidad. </w:t>
            </w:r>
          </w:p>
        </w:tc>
      </w:tr>
    </w:tbl>
    <w:p w14:paraId="152D7315" w14:textId="73161F45" w:rsidR="00AE182F" w:rsidRDefault="00AE182F" w:rsidP="00202226">
      <w:pPr>
        <w:spacing w:line="276" w:lineRule="auto"/>
        <w:jc w:val="both"/>
        <w:rPr>
          <w:lang w:val="es-419"/>
        </w:rPr>
      </w:pPr>
    </w:p>
    <w:p w14:paraId="2173B203" w14:textId="77777777" w:rsidR="00C20425" w:rsidRPr="00836DE2" w:rsidRDefault="00C20425" w:rsidP="00985EFA">
      <w:pPr>
        <w:spacing w:line="276" w:lineRule="auto"/>
        <w:jc w:val="both"/>
        <w:rPr>
          <w:lang w:val="es-419"/>
        </w:rPr>
      </w:pPr>
    </w:p>
    <w:sectPr w:rsidR="00C20425" w:rsidRPr="00836DE2">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779B49" w14:textId="77777777" w:rsidR="001F1165" w:rsidRDefault="001F1165" w:rsidP="00F307EC">
      <w:pPr>
        <w:spacing w:after="0" w:line="240" w:lineRule="auto"/>
      </w:pPr>
      <w:r>
        <w:separator/>
      </w:r>
    </w:p>
  </w:endnote>
  <w:endnote w:type="continuationSeparator" w:id="0">
    <w:p w14:paraId="54DE4461" w14:textId="77777777" w:rsidR="001F1165" w:rsidRDefault="001F1165" w:rsidP="00F307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E474B0" w14:textId="77777777" w:rsidR="001F1165" w:rsidRDefault="001F1165" w:rsidP="00F307EC">
      <w:pPr>
        <w:spacing w:after="0" w:line="240" w:lineRule="auto"/>
      </w:pPr>
      <w:r>
        <w:separator/>
      </w:r>
    </w:p>
  </w:footnote>
  <w:footnote w:type="continuationSeparator" w:id="0">
    <w:p w14:paraId="2BBC0854" w14:textId="77777777" w:rsidR="001F1165" w:rsidRDefault="001F1165" w:rsidP="00F307EC">
      <w:pPr>
        <w:spacing w:after="0" w:line="240" w:lineRule="auto"/>
      </w:pPr>
      <w:r>
        <w:continuationSeparator/>
      </w:r>
    </w:p>
  </w:footnote>
  <w:footnote w:id="1">
    <w:p w14:paraId="25ECF5FE" w14:textId="3D976888" w:rsidR="00961028" w:rsidRPr="00E255DC" w:rsidRDefault="00961028">
      <w:pPr>
        <w:pStyle w:val="FootnoteText"/>
        <w:rPr>
          <w:rFonts w:ascii="Calibri" w:hAnsi="Calibri" w:cs="Calibri"/>
          <w:sz w:val="18"/>
          <w:szCs w:val="18"/>
          <w:lang w:val="es-419"/>
        </w:rPr>
      </w:pPr>
      <w:r>
        <w:rPr>
          <w:rStyle w:val="FootnoteReference"/>
        </w:rPr>
        <w:footnoteRef/>
      </w:r>
      <w:r w:rsidRPr="002914C9">
        <w:rPr>
          <w:lang w:val="es-ES"/>
        </w:rPr>
        <w:t xml:space="preserve"> </w:t>
      </w:r>
      <w:r w:rsidRPr="00E255DC">
        <w:rPr>
          <w:rFonts w:ascii="Calibri" w:hAnsi="Calibri" w:cs="Calibri"/>
          <w:sz w:val="18"/>
          <w:szCs w:val="18"/>
          <w:lang w:val="es-419"/>
        </w:rPr>
        <w:t xml:space="preserve">Se hace referencia a esta recomendación por su relación con la recomendación </w:t>
      </w:r>
      <w:r w:rsidR="0007175C" w:rsidRPr="00E255DC">
        <w:rPr>
          <w:rFonts w:ascii="Calibri" w:hAnsi="Calibri" w:cs="Calibri"/>
          <w:sz w:val="18"/>
          <w:szCs w:val="18"/>
          <w:lang w:val="es-419"/>
        </w:rPr>
        <w:t>16a) y 16c)</w:t>
      </w:r>
      <w:r w:rsidR="00E255DC">
        <w:rPr>
          <w:rFonts w:ascii="Calibri" w:hAnsi="Calibri" w:cs="Calibri"/>
          <w:sz w:val="18"/>
          <w:szCs w:val="18"/>
          <w:lang w:val="es-419"/>
        </w:rPr>
        <w:t xml:space="preserve"> sobre </w:t>
      </w:r>
    </w:p>
  </w:footnote>
  <w:footnote w:id="2">
    <w:p w14:paraId="2D262B4C" w14:textId="30DF2B0D" w:rsidR="00FF66B6" w:rsidRPr="00695248" w:rsidRDefault="00FF66B6" w:rsidP="00EC4993">
      <w:pPr>
        <w:pStyle w:val="FootnoteText"/>
        <w:jc w:val="both"/>
        <w:rPr>
          <w:rFonts w:ascii="Calibri" w:hAnsi="Calibri" w:cs="Calibri"/>
          <w:sz w:val="18"/>
          <w:szCs w:val="18"/>
          <w:lang w:val="es-419"/>
        </w:rPr>
      </w:pPr>
      <w:r w:rsidRPr="00695248">
        <w:rPr>
          <w:rStyle w:val="FootnoteReference"/>
          <w:rFonts w:ascii="Calibri" w:hAnsi="Calibri" w:cs="Calibri"/>
          <w:sz w:val="18"/>
          <w:szCs w:val="18"/>
        </w:rPr>
        <w:footnoteRef/>
      </w:r>
      <w:r w:rsidRPr="00695248">
        <w:rPr>
          <w:rFonts w:ascii="Calibri" w:hAnsi="Calibri" w:cs="Calibri"/>
          <w:sz w:val="18"/>
          <w:szCs w:val="18"/>
          <w:lang w:val="es-419"/>
        </w:rPr>
        <w:t xml:space="preserve"> </w:t>
      </w:r>
      <w:r w:rsidR="00EC4993" w:rsidRPr="00695248">
        <w:rPr>
          <w:rFonts w:ascii="Calibri" w:hAnsi="Calibri" w:cs="Calibri"/>
          <w:sz w:val="18"/>
          <w:szCs w:val="18"/>
          <w:lang w:val="es-419"/>
        </w:rPr>
        <w:t>Congreso de Colombia,</w:t>
      </w:r>
      <w:r w:rsidR="00EC4993" w:rsidRPr="00985EFA">
        <w:rPr>
          <w:rFonts w:ascii="Calibri" w:hAnsi="Calibri" w:cs="Calibri"/>
          <w:i/>
          <w:sz w:val="18"/>
          <w:szCs w:val="18"/>
          <w:lang w:val="es-419"/>
        </w:rPr>
        <w:t xml:space="preserve"> </w:t>
      </w:r>
      <w:r w:rsidR="00EC4993" w:rsidRPr="00695248">
        <w:rPr>
          <w:rFonts w:ascii="Calibri" w:hAnsi="Calibri" w:cs="Calibri"/>
          <w:i/>
          <w:sz w:val="18"/>
          <w:szCs w:val="18"/>
          <w:lang w:val="es-419"/>
        </w:rPr>
        <w:t>“</w:t>
      </w:r>
      <w:r w:rsidR="00EC4993" w:rsidRPr="00985EFA">
        <w:rPr>
          <w:i/>
          <w:sz w:val="18"/>
          <w:szCs w:val="18"/>
          <w:lang w:val="es-419"/>
        </w:rPr>
        <w:t>por el cual se expide el Plan Nacional de Desarrollo 2018-2022. "Pacto por Colombia, Pacto por la Equidad"</w:t>
      </w:r>
      <w:r w:rsidR="00EC4993" w:rsidRPr="00985EFA">
        <w:rPr>
          <w:sz w:val="18"/>
          <w:szCs w:val="18"/>
          <w:lang w:val="es-419"/>
        </w:rPr>
        <w:t xml:space="preserve"> (25 de mayo de 2019). Disponible en: </w:t>
      </w:r>
      <w:hyperlink r:id="rId1" w:history="1">
        <w:r w:rsidRPr="00695248">
          <w:rPr>
            <w:rStyle w:val="Hyperlink"/>
            <w:rFonts w:ascii="Calibri" w:hAnsi="Calibri" w:cs="Calibri"/>
            <w:sz w:val="18"/>
            <w:szCs w:val="18"/>
            <w:lang w:val="es-419"/>
          </w:rPr>
          <w:t>https://dapre.presidencia.gov.co/normativa/normativa/LEY%201955%20DEL%2025%20DE%20MAYO%20DE%202019.pdf</w:t>
        </w:r>
      </w:hyperlink>
      <w:r w:rsidRPr="00695248">
        <w:rPr>
          <w:rFonts w:ascii="Calibri" w:hAnsi="Calibri" w:cs="Calibri"/>
          <w:sz w:val="18"/>
          <w:szCs w:val="18"/>
          <w:lang w:val="es-419"/>
        </w:rPr>
        <w:t xml:space="preserve"> </w:t>
      </w:r>
    </w:p>
  </w:footnote>
  <w:footnote w:id="3">
    <w:p w14:paraId="2C57CD8A" w14:textId="578C954F" w:rsidR="00FF66B6" w:rsidRPr="00695248" w:rsidRDefault="00EC4993">
      <w:pPr>
        <w:pStyle w:val="FootnoteText"/>
        <w:jc w:val="both"/>
        <w:rPr>
          <w:rFonts w:ascii="Calibri" w:hAnsi="Calibri" w:cs="Calibri"/>
          <w:sz w:val="18"/>
          <w:szCs w:val="18"/>
          <w:lang w:val="es-419"/>
        </w:rPr>
      </w:pPr>
      <w:r w:rsidRPr="00695248">
        <w:rPr>
          <w:rFonts w:ascii="Calibri" w:hAnsi="Calibri" w:cs="Calibri"/>
          <w:sz w:val="18"/>
          <w:szCs w:val="18"/>
          <w:lang w:val="es-419"/>
        </w:rPr>
        <w:t>Congreso de Colombia,</w:t>
      </w:r>
      <w:r w:rsidRPr="00695248">
        <w:rPr>
          <w:rFonts w:ascii="Calibri" w:hAnsi="Calibri" w:cs="Calibri"/>
          <w:i/>
          <w:sz w:val="18"/>
          <w:szCs w:val="18"/>
          <w:lang w:val="es-419"/>
        </w:rPr>
        <w:t xml:space="preserve"> “</w:t>
      </w:r>
      <w:r w:rsidRPr="00985EFA">
        <w:rPr>
          <w:i/>
          <w:sz w:val="18"/>
          <w:szCs w:val="18"/>
          <w:lang w:val="es-419"/>
        </w:rPr>
        <w:t>por el cual se expide el Plan Nacional de Desarrollo 2018-2022. "Pacto por Colombia, Pacto por la Equidad"</w:t>
      </w:r>
      <w:r w:rsidRPr="00985EFA">
        <w:rPr>
          <w:sz w:val="18"/>
          <w:szCs w:val="18"/>
          <w:lang w:val="es-419"/>
        </w:rPr>
        <w:t xml:space="preserve"> (25 de mayo de 2019). Disponible en: </w:t>
      </w:r>
      <w:hyperlink r:id="rId2" w:history="1">
        <w:r w:rsidRPr="00695248">
          <w:rPr>
            <w:rStyle w:val="Hyperlink"/>
            <w:rFonts w:ascii="Calibri" w:hAnsi="Calibri" w:cs="Calibri"/>
            <w:sz w:val="18"/>
            <w:szCs w:val="18"/>
            <w:lang w:val="es-419"/>
          </w:rPr>
          <w:t>https://dapre.presidencia.gov.co/normativa/normativa/LEY%201955%20DEL%2025%20DE%20MAYO%20DE%202019.pdf</w:t>
        </w:r>
      </w:hyperlink>
      <w:r w:rsidR="00FF66B6" w:rsidRPr="00695248">
        <w:rPr>
          <w:rFonts w:ascii="Calibri" w:hAnsi="Calibri" w:cs="Calibri"/>
          <w:sz w:val="18"/>
          <w:szCs w:val="18"/>
          <w:lang w:val="es-419"/>
        </w:rPr>
        <w:t xml:space="preserve"> </w:t>
      </w:r>
    </w:p>
  </w:footnote>
  <w:footnote w:id="4">
    <w:p w14:paraId="1C504814" w14:textId="724ED213" w:rsidR="00FF66B6" w:rsidRPr="00695248" w:rsidRDefault="00FF66B6">
      <w:pPr>
        <w:pStyle w:val="FootnoteText"/>
        <w:jc w:val="both"/>
        <w:rPr>
          <w:rFonts w:ascii="Calibri" w:hAnsi="Calibri" w:cs="Calibri"/>
          <w:sz w:val="18"/>
          <w:szCs w:val="18"/>
          <w:lang w:val="es-419"/>
        </w:rPr>
      </w:pPr>
      <w:r w:rsidRPr="00695248">
        <w:rPr>
          <w:rStyle w:val="FootnoteReference"/>
          <w:rFonts w:ascii="Calibri" w:hAnsi="Calibri" w:cs="Calibri"/>
          <w:sz w:val="18"/>
          <w:szCs w:val="18"/>
        </w:rPr>
        <w:footnoteRef/>
      </w:r>
      <w:r w:rsidRPr="00695248">
        <w:rPr>
          <w:rFonts w:ascii="Calibri" w:hAnsi="Calibri" w:cs="Calibri"/>
          <w:sz w:val="18"/>
          <w:szCs w:val="18"/>
          <w:lang w:val="es-419"/>
        </w:rPr>
        <w:t xml:space="preserve"> </w:t>
      </w:r>
      <w:r w:rsidR="00EC4993" w:rsidRPr="00985EFA">
        <w:rPr>
          <w:sz w:val="18"/>
          <w:szCs w:val="18"/>
          <w:lang w:val="es-419"/>
        </w:rPr>
        <w:t xml:space="preserve">Secretaría Técnica del Componente Internacional de Verificación CINEP/PPP-CERAC </w:t>
      </w:r>
      <w:r w:rsidR="00EC4993" w:rsidRPr="00985EFA">
        <w:rPr>
          <w:i/>
          <w:sz w:val="18"/>
          <w:szCs w:val="18"/>
          <w:lang w:val="es-419"/>
        </w:rPr>
        <w:t>“Séptimo informe de verificación de la implementación del Acuerdo Final de Paz en Colombia”</w:t>
      </w:r>
      <w:r w:rsidR="00EC4993" w:rsidRPr="00985EFA">
        <w:rPr>
          <w:sz w:val="18"/>
          <w:szCs w:val="18"/>
          <w:lang w:val="es-419"/>
        </w:rPr>
        <w:t xml:space="preserve"> </w:t>
      </w:r>
      <w:r w:rsidR="00EC4993" w:rsidRPr="00695248">
        <w:rPr>
          <w:sz w:val="18"/>
          <w:szCs w:val="18"/>
          <w:lang w:val="es-419"/>
        </w:rPr>
        <w:t>(s</w:t>
      </w:r>
      <w:r w:rsidR="00EC4993" w:rsidRPr="00985EFA">
        <w:rPr>
          <w:sz w:val="18"/>
          <w:szCs w:val="18"/>
          <w:lang w:val="es-419"/>
        </w:rPr>
        <w:t>eptiembre de 2020). Disponible en:</w:t>
      </w:r>
      <w:r w:rsidR="00EC4993" w:rsidRPr="00985EFA">
        <w:rPr>
          <w:sz w:val="18"/>
          <w:szCs w:val="18"/>
          <w:lang w:val="es-419"/>
        </w:rPr>
        <w:cr/>
        <w:t xml:space="preserve"> </w:t>
      </w:r>
      <w:hyperlink r:id="rId3" w:history="1">
        <w:r w:rsidRPr="00695248">
          <w:rPr>
            <w:rStyle w:val="Hyperlink"/>
            <w:rFonts w:ascii="Calibri" w:hAnsi="Calibri" w:cs="Calibri"/>
            <w:sz w:val="18"/>
            <w:szCs w:val="18"/>
            <w:lang w:val="es-419"/>
          </w:rPr>
          <w:t>https://www.verificacion.cerac.org.co/wp-content/uploads/2020/09/Septimo-Informe-de-Verificacion-STCVI-22-Sept-2020.pdf</w:t>
        </w:r>
      </w:hyperlink>
      <w:r w:rsidRPr="00695248">
        <w:rPr>
          <w:rFonts w:ascii="Calibri" w:hAnsi="Calibri" w:cs="Calibri"/>
          <w:sz w:val="18"/>
          <w:szCs w:val="18"/>
          <w:lang w:val="es-419"/>
        </w:rPr>
        <w:t xml:space="preserve"> </w:t>
      </w:r>
    </w:p>
  </w:footnote>
  <w:footnote w:id="5">
    <w:p w14:paraId="4EE9F591" w14:textId="248312F1" w:rsidR="00FF66B6" w:rsidRPr="00695248" w:rsidRDefault="00FF66B6">
      <w:pPr>
        <w:pStyle w:val="FootnoteText"/>
        <w:jc w:val="both"/>
        <w:rPr>
          <w:rFonts w:ascii="Calibri" w:hAnsi="Calibri" w:cs="Calibri"/>
          <w:sz w:val="18"/>
          <w:szCs w:val="18"/>
          <w:lang w:val="es-419"/>
        </w:rPr>
      </w:pPr>
      <w:r w:rsidRPr="00695248">
        <w:rPr>
          <w:rStyle w:val="FootnoteReference"/>
          <w:rFonts w:ascii="Calibri" w:hAnsi="Calibri" w:cs="Calibri"/>
          <w:sz w:val="18"/>
          <w:szCs w:val="18"/>
        </w:rPr>
        <w:footnoteRef/>
      </w:r>
      <w:r w:rsidRPr="00695248">
        <w:rPr>
          <w:rFonts w:ascii="Calibri" w:hAnsi="Calibri" w:cs="Calibri"/>
          <w:sz w:val="18"/>
          <w:szCs w:val="18"/>
          <w:lang w:val="es-419"/>
        </w:rPr>
        <w:t xml:space="preserve"> </w:t>
      </w:r>
      <w:r w:rsidR="00EC4993" w:rsidRPr="00695248">
        <w:rPr>
          <w:rFonts w:ascii="Calibri" w:hAnsi="Calibri" w:cs="Calibri"/>
          <w:sz w:val="18"/>
          <w:szCs w:val="18"/>
          <w:lang w:val="es-419"/>
        </w:rPr>
        <w:t>Caribe Afirmativo,</w:t>
      </w:r>
      <w:r w:rsidR="00EC4993" w:rsidRPr="00985EFA">
        <w:rPr>
          <w:rFonts w:ascii="Calibri" w:hAnsi="Calibri" w:cs="Calibri"/>
          <w:i/>
          <w:sz w:val="18"/>
          <w:szCs w:val="18"/>
          <w:lang w:val="es-419"/>
        </w:rPr>
        <w:t xml:space="preserve"> “El nuevo Plan de Desarrollo y los derechos LGBT: sin herramientas para la implementación de la política pública.”</w:t>
      </w:r>
      <w:r w:rsidR="00EC4993" w:rsidRPr="00695248">
        <w:rPr>
          <w:rFonts w:ascii="Calibri" w:hAnsi="Calibri" w:cs="Calibri"/>
          <w:i/>
          <w:sz w:val="18"/>
          <w:szCs w:val="18"/>
          <w:lang w:val="es-419"/>
        </w:rPr>
        <w:t xml:space="preserve"> </w:t>
      </w:r>
      <w:r w:rsidR="00EC4993" w:rsidRPr="00695248">
        <w:rPr>
          <w:rFonts w:ascii="Calibri" w:hAnsi="Calibri" w:cs="Calibri"/>
          <w:sz w:val="18"/>
          <w:szCs w:val="18"/>
          <w:lang w:val="es-419"/>
        </w:rPr>
        <w:t xml:space="preserve">(19 de febrero de 2019). Disponible en: </w:t>
      </w:r>
      <w:hyperlink r:id="rId4" w:history="1">
        <w:r w:rsidRPr="00695248">
          <w:rPr>
            <w:rStyle w:val="Hyperlink"/>
            <w:rFonts w:ascii="Calibri" w:hAnsi="Calibri" w:cs="Calibri"/>
            <w:sz w:val="18"/>
            <w:szCs w:val="18"/>
            <w:lang w:val="es-419"/>
          </w:rPr>
          <w:t>https://caribeafirmativo.lgbt/informe-plan-nacional-desarrollo-2018-2022/</w:t>
        </w:r>
      </w:hyperlink>
      <w:r w:rsidRPr="00695248">
        <w:rPr>
          <w:rFonts w:ascii="Calibri" w:hAnsi="Calibri" w:cs="Calibri"/>
          <w:sz w:val="18"/>
          <w:szCs w:val="18"/>
          <w:lang w:val="es-419"/>
        </w:rPr>
        <w:t xml:space="preserve"> </w:t>
      </w:r>
    </w:p>
  </w:footnote>
  <w:footnote w:id="6">
    <w:p w14:paraId="20DF0CDE" w14:textId="7AF7FADC" w:rsidR="00FF66B6" w:rsidRPr="00695248" w:rsidRDefault="00FF66B6">
      <w:pPr>
        <w:pStyle w:val="FootnoteText"/>
        <w:jc w:val="both"/>
        <w:rPr>
          <w:rFonts w:ascii="Calibri" w:hAnsi="Calibri" w:cs="Calibri"/>
          <w:sz w:val="18"/>
          <w:szCs w:val="18"/>
          <w:lang w:val="es-419"/>
        </w:rPr>
      </w:pPr>
      <w:r w:rsidRPr="00695248">
        <w:rPr>
          <w:rStyle w:val="FootnoteReference"/>
          <w:rFonts w:ascii="Calibri" w:hAnsi="Calibri" w:cs="Calibri"/>
          <w:sz w:val="18"/>
          <w:szCs w:val="18"/>
        </w:rPr>
        <w:footnoteRef/>
      </w:r>
      <w:r w:rsidRPr="00695248">
        <w:rPr>
          <w:rFonts w:ascii="Calibri" w:hAnsi="Calibri" w:cs="Calibri"/>
          <w:sz w:val="18"/>
          <w:szCs w:val="18"/>
          <w:lang w:val="es-419"/>
        </w:rPr>
        <w:t xml:space="preserve"> </w:t>
      </w:r>
      <w:r w:rsidR="00EC4993" w:rsidRPr="00695248">
        <w:rPr>
          <w:rFonts w:ascii="Calibri" w:hAnsi="Calibri" w:cs="Calibri"/>
          <w:sz w:val="18"/>
          <w:szCs w:val="18"/>
          <w:lang w:val="es-419"/>
        </w:rPr>
        <w:t xml:space="preserve">Raza e Igualdad, </w:t>
      </w:r>
      <w:r w:rsidR="00EC4993" w:rsidRPr="00985EFA">
        <w:rPr>
          <w:rFonts w:ascii="Calibri" w:hAnsi="Calibri" w:cs="Calibri"/>
          <w:i/>
          <w:sz w:val="18"/>
          <w:szCs w:val="18"/>
          <w:lang w:val="es-419"/>
        </w:rPr>
        <w:t>“Colombia: Raza e Igualdad y organizaciones aliadas presentan a la Comisión de la Verdad primer informe sobre impacto del conflicto armado en la población Afro-LGBT”</w:t>
      </w:r>
      <w:r w:rsidR="00EC4993" w:rsidRPr="00695248">
        <w:rPr>
          <w:rFonts w:ascii="Calibri" w:hAnsi="Calibri" w:cs="Calibri"/>
          <w:sz w:val="18"/>
          <w:szCs w:val="18"/>
          <w:lang w:val="es-419"/>
        </w:rPr>
        <w:t xml:space="preserve"> (Abril de 2021) Disponible en: </w:t>
      </w:r>
      <w:hyperlink r:id="rId5" w:history="1">
        <w:r w:rsidR="00EC4993" w:rsidRPr="00695248">
          <w:rPr>
            <w:rStyle w:val="Hyperlink"/>
            <w:rFonts w:ascii="Calibri" w:hAnsi="Calibri" w:cs="Calibri"/>
            <w:sz w:val="18"/>
            <w:szCs w:val="18"/>
            <w:lang w:val="es-419"/>
          </w:rPr>
          <w:t>https://raceandequality.org/es/espanol/colombia-informe-impacto-conflicto-armado-poblacion-afro-lgbt/</w:t>
        </w:r>
      </w:hyperlink>
      <w:r w:rsidR="00EC4993" w:rsidRPr="00695248">
        <w:rPr>
          <w:rFonts w:ascii="Calibri" w:hAnsi="Calibri" w:cs="Calibri"/>
          <w:sz w:val="18"/>
          <w:szCs w:val="18"/>
          <w:lang w:val="es-419"/>
        </w:rPr>
        <w:t xml:space="preserve"> </w:t>
      </w:r>
      <w:r w:rsidRPr="00695248">
        <w:rPr>
          <w:rFonts w:ascii="Calibri" w:hAnsi="Calibri" w:cs="Calibri"/>
          <w:sz w:val="18"/>
          <w:szCs w:val="18"/>
          <w:lang w:val="es-419"/>
        </w:rPr>
        <w:t xml:space="preserve"> </w:t>
      </w:r>
    </w:p>
  </w:footnote>
  <w:footnote w:id="7">
    <w:p w14:paraId="182702D3" w14:textId="77777777" w:rsidR="00AE182F" w:rsidRPr="00695248" w:rsidRDefault="00AE182F">
      <w:pPr>
        <w:pStyle w:val="FootnoteText"/>
        <w:jc w:val="both"/>
        <w:rPr>
          <w:rFonts w:ascii="Calibri" w:hAnsi="Calibri" w:cs="Calibri"/>
          <w:sz w:val="18"/>
          <w:szCs w:val="18"/>
          <w:lang w:val="es-419"/>
        </w:rPr>
      </w:pPr>
      <w:r w:rsidRPr="00695248">
        <w:rPr>
          <w:rStyle w:val="FootnoteReference"/>
          <w:rFonts w:ascii="Calibri" w:hAnsi="Calibri" w:cs="Calibri"/>
          <w:sz w:val="18"/>
          <w:szCs w:val="18"/>
        </w:rPr>
        <w:footnoteRef/>
      </w:r>
      <w:r w:rsidRPr="00695248">
        <w:rPr>
          <w:rFonts w:ascii="Calibri" w:hAnsi="Calibri" w:cs="Calibri"/>
          <w:sz w:val="18"/>
          <w:szCs w:val="18"/>
          <w:lang w:val="es-419"/>
        </w:rPr>
        <w:t xml:space="preserve"> Los pilares son los ejes temáticos que orientarán la formulación de los Planes de Acción para la Transformación Regional (PATR) y alrededor de los cuales se concentrarán los procesos de planeación participativa de los Planes de Desarrollo con Enfoque Territorial (PDET). Los pilares representan temas centrales para lograr la superación de la pobreza rural y mejorar la calidad de vida de las y los colombianos. Estos temas se definieron a partir de lo establecido en el Acuerdo Final para la Terminación del Conflicto y la Construcción de una Paz Estable y Duradera. Los pilares son i) Ordenamiento Social de la Propiedad Rural y Uso del Suelo, ii) Infraestructura y adecuación de tierras, iii) Salud, iv) Educación rural y primera infancia, v) Vivienda rural, agua potable y saneamiento básico rural, vi) Reactivación económica y producción agropecuaria, vii) Sistema para la garantía progresiva del derecho a la alimentación y viii) Reconciliación, convivencia y construcción de paz. </w:t>
      </w:r>
    </w:p>
  </w:footnote>
  <w:footnote w:id="8">
    <w:p w14:paraId="2BA41978" w14:textId="6D88B544" w:rsidR="00AE182F" w:rsidRPr="00695248" w:rsidRDefault="00AE182F">
      <w:pPr>
        <w:pStyle w:val="FootnoteText"/>
        <w:jc w:val="both"/>
        <w:rPr>
          <w:rFonts w:ascii="Calibri" w:hAnsi="Calibri" w:cs="Calibri"/>
          <w:sz w:val="18"/>
          <w:szCs w:val="18"/>
          <w:lang w:val="es-419"/>
        </w:rPr>
      </w:pPr>
      <w:r w:rsidRPr="00695248">
        <w:rPr>
          <w:rStyle w:val="FootnoteReference"/>
          <w:rFonts w:ascii="Calibri" w:hAnsi="Calibri" w:cs="Calibri"/>
          <w:sz w:val="18"/>
          <w:szCs w:val="18"/>
        </w:rPr>
        <w:footnoteRef/>
      </w:r>
      <w:r w:rsidRPr="00695248">
        <w:rPr>
          <w:rFonts w:ascii="Calibri" w:hAnsi="Calibri" w:cs="Calibri"/>
          <w:sz w:val="18"/>
          <w:szCs w:val="18"/>
          <w:lang w:val="es-419"/>
        </w:rPr>
        <w:t xml:space="preserve"> </w:t>
      </w:r>
      <w:r w:rsidR="00657306" w:rsidRPr="00695248">
        <w:rPr>
          <w:rFonts w:ascii="Calibri" w:hAnsi="Calibri" w:cs="Calibri"/>
          <w:sz w:val="18"/>
          <w:szCs w:val="18"/>
          <w:lang w:val="es-419"/>
        </w:rPr>
        <w:t>Caribe Afirmativo,</w:t>
      </w:r>
      <w:r w:rsidR="00657306" w:rsidRPr="00985EFA">
        <w:rPr>
          <w:rFonts w:ascii="Calibri" w:hAnsi="Calibri" w:cs="Calibri"/>
          <w:i/>
          <w:sz w:val="18"/>
          <w:szCs w:val="18"/>
          <w:lang w:val="es-419"/>
        </w:rPr>
        <w:t xml:space="preserve"> “</w:t>
      </w:r>
      <w:r w:rsidR="00657306" w:rsidRPr="00985EFA">
        <w:rPr>
          <w:i/>
          <w:sz w:val="18"/>
          <w:szCs w:val="18"/>
          <w:lang w:val="es-419"/>
        </w:rPr>
        <w:t>Participación de las autoridades locales y liderazgos de la sociedad civil en el proceso de implementación de los PDET”</w:t>
      </w:r>
      <w:r w:rsidR="00657306" w:rsidRPr="00695248">
        <w:rPr>
          <w:sz w:val="18"/>
          <w:szCs w:val="18"/>
          <w:lang w:val="es-419"/>
        </w:rPr>
        <w:t xml:space="preserve"> (marzo de 2021). Disponible en: </w:t>
      </w:r>
      <w:hyperlink r:id="rId6" w:history="1">
        <w:r w:rsidRPr="00695248">
          <w:rPr>
            <w:rStyle w:val="Hyperlink"/>
            <w:rFonts w:ascii="Calibri" w:hAnsi="Calibri" w:cs="Calibri"/>
            <w:sz w:val="18"/>
            <w:szCs w:val="18"/>
            <w:lang w:val="es-419"/>
          </w:rPr>
          <w:t>https://caribeafirmativo.lgbt/wp-content/uploads/2021/03/PARTICIPACION-AUTORIDADES-LOCALES-PDET.pdf</w:t>
        </w:r>
      </w:hyperlink>
      <w:r w:rsidRPr="00695248">
        <w:rPr>
          <w:rFonts w:ascii="Calibri" w:hAnsi="Calibri" w:cs="Calibri"/>
          <w:sz w:val="18"/>
          <w:szCs w:val="18"/>
          <w:lang w:val="es-419"/>
        </w:rPr>
        <w:t xml:space="preserve"> </w:t>
      </w:r>
    </w:p>
  </w:footnote>
  <w:footnote w:id="9">
    <w:p w14:paraId="5171C8A4" w14:textId="745A7BCD" w:rsidR="00AE182F" w:rsidRPr="00695248" w:rsidRDefault="00AE182F">
      <w:pPr>
        <w:pStyle w:val="FootnoteText"/>
        <w:jc w:val="both"/>
        <w:rPr>
          <w:rFonts w:ascii="Calibri" w:hAnsi="Calibri" w:cs="Calibri"/>
          <w:sz w:val="18"/>
          <w:szCs w:val="18"/>
          <w:lang w:val="es-419"/>
        </w:rPr>
      </w:pPr>
      <w:r w:rsidRPr="00695248">
        <w:rPr>
          <w:rStyle w:val="FootnoteReference"/>
          <w:rFonts w:ascii="Calibri" w:hAnsi="Calibri" w:cs="Calibri"/>
          <w:sz w:val="18"/>
          <w:szCs w:val="18"/>
        </w:rPr>
        <w:footnoteRef/>
      </w:r>
      <w:r w:rsidRPr="00695248">
        <w:rPr>
          <w:rFonts w:ascii="Calibri" w:hAnsi="Calibri" w:cs="Calibri"/>
          <w:sz w:val="18"/>
          <w:szCs w:val="18"/>
          <w:lang w:val="es-419"/>
        </w:rPr>
        <w:t xml:space="preserve"> </w:t>
      </w:r>
      <w:r w:rsidR="00657306" w:rsidRPr="00695248">
        <w:rPr>
          <w:rFonts w:ascii="Calibri" w:hAnsi="Calibri" w:cs="Calibri"/>
          <w:sz w:val="18"/>
          <w:szCs w:val="18"/>
          <w:lang w:val="es-419"/>
        </w:rPr>
        <w:t>Caribe Afirmativo,</w:t>
      </w:r>
      <w:r w:rsidR="00657306" w:rsidRPr="00695248">
        <w:rPr>
          <w:rFonts w:ascii="Calibri" w:hAnsi="Calibri" w:cs="Calibri"/>
          <w:i/>
          <w:sz w:val="18"/>
          <w:szCs w:val="18"/>
          <w:lang w:val="es-419"/>
        </w:rPr>
        <w:t xml:space="preserve"> “</w:t>
      </w:r>
      <w:r w:rsidR="00657306" w:rsidRPr="00695248">
        <w:rPr>
          <w:i/>
          <w:sz w:val="18"/>
          <w:szCs w:val="18"/>
          <w:lang w:val="es-419"/>
        </w:rPr>
        <w:t>Participación de las autoridades locales y liderazgos de la sociedad civil en el proceso de implementación de los PDET”</w:t>
      </w:r>
      <w:r w:rsidR="00657306" w:rsidRPr="00695248">
        <w:rPr>
          <w:sz w:val="18"/>
          <w:szCs w:val="18"/>
          <w:lang w:val="es-419"/>
        </w:rPr>
        <w:t xml:space="preserve"> (marzo de 2021). Disponible en: </w:t>
      </w:r>
      <w:hyperlink r:id="rId7" w:history="1">
        <w:r w:rsidR="00657306" w:rsidRPr="00695248">
          <w:rPr>
            <w:rStyle w:val="Hyperlink"/>
            <w:rFonts w:ascii="Calibri" w:hAnsi="Calibri" w:cs="Calibri"/>
            <w:sz w:val="18"/>
            <w:szCs w:val="18"/>
            <w:lang w:val="es-419"/>
          </w:rPr>
          <w:t>https://caribeafirmativo.lgbt/wp-content/uploads/2021/03/PARTICIPACION-AUTORIDADES-LOCALES-PDET.pdf</w:t>
        </w:r>
      </w:hyperlink>
    </w:p>
  </w:footnote>
  <w:footnote w:id="10">
    <w:p w14:paraId="152B1053" w14:textId="080B514C" w:rsidR="00AE182F" w:rsidRPr="00695248" w:rsidRDefault="00AE182F">
      <w:pPr>
        <w:pStyle w:val="FootnoteText"/>
        <w:jc w:val="both"/>
        <w:rPr>
          <w:rFonts w:ascii="Calibri" w:hAnsi="Calibri" w:cs="Calibri"/>
          <w:sz w:val="18"/>
          <w:szCs w:val="18"/>
          <w:lang w:val="es-419"/>
        </w:rPr>
      </w:pPr>
      <w:r w:rsidRPr="00695248">
        <w:rPr>
          <w:rStyle w:val="FootnoteReference"/>
          <w:rFonts w:ascii="Calibri" w:hAnsi="Calibri" w:cs="Calibri"/>
          <w:sz w:val="18"/>
          <w:szCs w:val="18"/>
        </w:rPr>
        <w:footnoteRef/>
      </w:r>
      <w:r w:rsidRPr="00695248">
        <w:rPr>
          <w:rFonts w:ascii="Calibri" w:hAnsi="Calibri" w:cs="Calibri"/>
          <w:sz w:val="18"/>
          <w:szCs w:val="18"/>
          <w:lang w:val="es-419"/>
        </w:rPr>
        <w:t xml:space="preserve"> </w:t>
      </w:r>
      <w:r w:rsidR="00EC4993" w:rsidRPr="00695248">
        <w:rPr>
          <w:rFonts w:ascii="Calibri" w:hAnsi="Calibri" w:cs="Calibri"/>
          <w:sz w:val="18"/>
          <w:szCs w:val="18"/>
          <w:lang w:val="es-419"/>
        </w:rPr>
        <w:t xml:space="preserve">Raza e Igualdad, </w:t>
      </w:r>
      <w:r w:rsidR="00EC4993" w:rsidRPr="00695248">
        <w:rPr>
          <w:rFonts w:ascii="Calibri" w:hAnsi="Calibri" w:cs="Calibri"/>
          <w:i/>
          <w:sz w:val="18"/>
          <w:szCs w:val="18"/>
          <w:lang w:val="es-419"/>
        </w:rPr>
        <w:t>“Colombia: Raza e Igualdad y organizaciones aliadas presentan a la Comisión de la Verdad primer informe sobre impacto del conflicto armado en la población Afro-LGBT”</w:t>
      </w:r>
      <w:r w:rsidR="00EC4993" w:rsidRPr="00695248">
        <w:rPr>
          <w:rFonts w:ascii="Calibri" w:hAnsi="Calibri" w:cs="Calibri"/>
          <w:sz w:val="18"/>
          <w:szCs w:val="18"/>
          <w:lang w:val="es-419"/>
        </w:rPr>
        <w:t xml:space="preserve"> (Abril de 2021) Disponible en: </w:t>
      </w:r>
      <w:hyperlink r:id="rId8" w:history="1">
        <w:r w:rsidR="00EC4993" w:rsidRPr="00695248">
          <w:rPr>
            <w:rStyle w:val="Hyperlink"/>
            <w:rFonts w:ascii="Calibri" w:hAnsi="Calibri" w:cs="Calibri"/>
            <w:sz w:val="18"/>
            <w:szCs w:val="18"/>
            <w:lang w:val="es-419"/>
          </w:rPr>
          <w:t>https://raceandequality.org/es/espanol/colombia-informe-impacto-conflicto-armado-poblacion-afro-lgbt/</w:t>
        </w:r>
      </w:hyperlink>
      <w:r w:rsidR="00EC4993" w:rsidRPr="00695248">
        <w:rPr>
          <w:rFonts w:ascii="Calibri" w:hAnsi="Calibri" w:cs="Calibri"/>
          <w:sz w:val="18"/>
          <w:szCs w:val="18"/>
          <w:lang w:val="es-419"/>
        </w:rPr>
        <w:t xml:space="preserve">   </w:t>
      </w:r>
    </w:p>
  </w:footnote>
  <w:footnote w:id="11">
    <w:p w14:paraId="44213A69" w14:textId="3CF71F00" w:rsidR="00FC7885" w:rsidRPr="00202226" w:rsidRDefault="00FC7885">
      <w:pPr>
        <w:pStyle w:val="FootnoteText"/>
        <w:rPr>
          <w:rFonts w:ascii="Calibri" w:hAnsi="Calibri" w:cs="Calibri"/>
          <w:sz w:val="18"/>
          <w:szCs w:val="18"/>
          <w:lang w:val="es-419"/>
        </w:rPr>
      </w:pPr>
      <w:r>
        <w:rPr>
          <w:rStyle w:val="FootnoteReference"/>
        </w:rPr>
        <w:footnoteRef/>
      </w:r>
      <w:r w:rsidRPr="002914C9">
        <w:rPr>
          <w:lang w:val="es-ES"/>
        </w:rPr>
        <w:t xml:space="preserve"> </w:t>
      </w:r>
      <w:r w:rsidRPr="00202226">
        <w:rPr>
          <w:rFonts w:ascii="Calibri" w:hAnsi="Calibri" w:cs="Calibri"/>
          <w:sz w:val="18"/>
          <w:szCs w:val="18"/>
          <w:lang w:val="es-419"/>
        </w:rPr>
        <w:t xml:space="preserve">Se hace mención expresa de esta recomendación por su relación con la recomendación </w:t>
      </w:r>
      <w:r w:rsidR="00202226" w:rsidRPr="00202226">
        <w:rPr>
          <w:rFonts w:ascii="Calibri" w:hAnsi="Calibri" w:cs="Calibri"/>
          <w:sz w:val="18"/>
          <w:szCs w:val="18"/>
          <w:lang w:val="es-419"/>
        </w:rPr>
        <w:t>26 c y d</w:t>
      </w:r>
    </w:p>
  </w:footnote>
  <w:footnote w:id="12">
    <w:p w14:paraId="1DC0FBFA" w14:textId="27F60AAC" w:rsidR="006C200A" w:rsidRPr="00985EFA" w:rsidRDefault="006C200A" w:rsidP="00985EFA">
      <w:pPr>
        <w:pStyle w:val="FootnoteText"/>
        <w:jc w:val="both"/>
        <w:rPr>
          <w:sz w:val="18"/>
          <w:szCs w:val="18"/>
          <w:lang w:val="es-419"/>
        </w:rPr>
      </w:pPr>
      <w:r w:rsidRPr="00985EFA">
        <w:rPr>
          <w:rStyle w:val="FootnoteReference"/>
          <w:sz w:val="18"/>
          <w:szCs w:val="18"/>
        </w:rPr>
        <w:footnoteRef/>
      </w:r>
      <w:r w:rsidRPr="00985EFA">
        <w:rPr>
          <w:sz w:val="18"/>
          <w:szCs w:val="18"/>
          <w:lang w:val="es-419"/>
        </w:rPr>
        <w:t xml:space="preserve"> </w:t>
      </w:r>
      <w:r w:rsidR="00657306" w:rsidRPr="00985EFA">
        <w:rPr>
          <w:sz w:val="18"/>
          <w:szCs w:val="18"/>
          <w:lang w:val="es-419"/>
        </w:rPr>
        <w:t>Instituto Nacional de Medicina Legal</w:t>
      </w:r>
      <w:r w:rsidR="00657306" w:rsidRPr="00695248">
        <w:rPr>
          <w:sz w:val="18"/>
          <w:szCs w:val="18"/>
          <w:lang w:val="es-419"/>
        </w:rPr>
        <w:t xml:space="preserve">, </w:t>
      </w:r>
      <w:r w:rsidR="00657306" w:rsidRPr="00985EFA">
        <w:rPr>
          <w:i/>
          <w:sz w:val="18"/>
          <w:szCs w:val="18"/>
          <w:lang w:val="es-419"/>
        </w:rPr>
        <w:t>“Recomendaciones para la aplicación del enfoque diferencial en el servicio forense”</w:t>
      </w:r>
      <w:r w:rsidR="00657306" w:rsidRPr="00985EFA">
        <w:rPr>
          <w:i/>
          <w:sz w:val="18"/>
          <w:szCs w:val="18"/>
          <w:lang w:val="es-419"/>
        </w:rPr>
        <w:cr/>
      </w:r>
      <w:r w:rsidR="00657306" w:rsidRPr="00695248">
        <w:rPr>
          <w:sz w:val="18"/>
          <w:szCs w:val="18"/>
          <w:lang w:val="es-419"/>
        </w:rPr>
        <w:t xml:space="preserve">(01 de agosto de 2019), Disponible en: </w:t>
      </w:r>
      <w:hyperlink r:id="rId9" w:history="1">
        <w:r w:rsidR="00657306" w:rsidRPr="00695248">
          <w:rPr>
            <w:rStyle w:val="Hyperlink"/>
            <w:sz w:val="18"/>
            <w:szCs w:val="18"/>
            <w:lang w:val="es-419"/>
          </w:rPr>
          <w:t>https://www.medicinalegal.gov.co/documents/20143/415875/Recomendaciones+Enfoque+Diferencial.pdf/948b3e04-0476-4058-681c-4307e239017a</w:t>
        </w:r>
      </w:hyperlink>
      <w:r w:rsidR="00657306" w:rsidRPr="00695248">
        <w:rPr>
          <w:sz w:val="18"/>
          <w:szCs w:val="18"/>
          <w:lang w:val="es-419"/>
        </w:rPr>
        <w:t xml:space="preserve"> </w:t>
      </w:r>
    </w:p>
  </w:footnote>
  <w:footnote w:id="13">
    <w:p w14:paraId="0AB166ED" w14:textId="1D71702B" w:rsidR="00716258" w:rsidRPr="00985EFA" w:rsidRDefault="00716258" w:rsidP="00985EFA">
      <w:pPr>
        <w:pStyle w:val="FootnoteText"/>
        <w:jc w:val="both"/>
        <w:rPr>
          <w:sz w:val="18"/>
          <w:szCs w:val="18"/>
          <w:lang w:val="es-419"/>
        </w:rPr>
      </w:pPr>
      <w:r w:rsidRPr="00985EFA">
        <w:rPr>
          <w:rStyle w:val="FootnoteReference"/>
          <w:sz w:val="18"/>
          <w:szCs w:val="18"/>
        </w:rPr>
        <w:footnoteRef/>
      </w:r>
      <w:r w:rsidRPr="00985EFA">
        <w:rPr>
          <w:sz w:val="18"/>
          <w:szCs w:val="18"/>
          <w:lang w:val="es-419"/>
        </w:rPr>
        <w:t xml:space="preserve"> </w:t>
      </w:r>
      <w:r w:rsidR="00657306" w:rsidRPr="00985EFA">
        <w:rPr>
          <w:sz w:val="18"/>
          <w:szCs w:val="18"/>
          <w:lang w:val="es-419"/>
        </w:rPr>
        <w:t>Grupo de Trabajo sobre la discriminación contra las mujeres y las niñas</w:t>
      </w:r>
      <w:r w:rsidR="00F65669" w:rsidRPr="00695248">
        <w:rPr>
          <w:sz w:val="18"/>
          <w:szCs w:val="18"/>
          <w:lang w:val="es-419"/>
        </w:rPr>
        <w:t>,</w:t>
      </w:r>
      <w:r w:rsidR="00657306" w:rsidRPr="00985EFA">
        <w:rPr>
          <w:sz w:val="18"/>
          <w:szCs w:val="18"/>
          <w:lang w:val="es-419"/>
        </w:rPr>
        <w:t xml:space="preserve"> Grupo de Trabajo</w:t>
      </w:r>
      <w:r w:rsidR="00F65669" w:rsidRPr="00695248">
        <w:rPr>
          <w:sz w:val="18"/>
          <w:szCs w:val="18"/>
          <w:lang w:val="es-419"/>
        </w:rPr>
        <w:t xml:space="preserve"> sobre la Detención Arbitraria, </w:t>
      </w:r>
      <w:r w:rsidR="00657306" w:rsidRPr="00985EFA">
        <w:rPr>
          <w:sz w:val="18"/>
          <w:szCs w:val="18"/>
          <w:lang w:val="es-419"/>
        </w:rPr>
        <w:t>Relator Especial sobre los derechos humanos de los migrantes</w:t>
      </w:r>
      <w:r w:rsidR="00F65669" w:rsidRPr="00695248">
        <w:rPr>
          <w:sz w:val="18"/>
          <w:szCs w:val="18"/>
          <w:lang w:val="es-419"/>
        </w:rPr>
        <w:t xml:space="preserve">, </w:t>
      </w:r>
      <w:r w:rsidR="00657306" w:rsidRPr="00985EFA">
        <w:rPr>
          <w:sz w:val="18"/>
          <w:szCs w:val="18"/>
          <w:lang w:val="es-419"/>
        </w:rPr>
        <w:t>Experto Independiente sobre la protección contra la violencia y la discriminación por motivos de orientación sexual o identidad de género</w:t>
      </w:r>
      <w:r w:rsidR="00F65669" w:rsidRPr="00695248">
        <w:rPr>
          <w:sz w:val="18"/>
          <w:szCs w:val="18"/>
          <w:lang w:val="es-419"/>
        </w:rPr>
        <w:t>,</w:t>
      </w:r>
      <w:r w:rsidR="00657306" w:rsidRPr="00985EFA">
        <w:rPr>
          <w:sz w:val="18"/>
          <w:szCs w:val="18"/>
          <w:lang w:val="es-419"/>
        </w:rPr>
        <w:t xml:space="preserve"> Relator Especial sobre la tortura y otros tratos o penas crueles, inhumanos o degradantes y Relatora Especial sobre la violencia contra la mujer, sus causas y consecuencias, </w:t>
      </w:r>
      <w:r w:rsidR="00657306" w:rsidRPr="00985EFA">
        <w:rPr>
          <w:i/>
          <w:sz w:val="18"/>
          <w:szCs w:val="18"/>
          <w:lang w:val="es-419"/>
        </w:rPr>
        <w:t xml:space="preserve">Comunicación </w:t>
      </w:r>
      <w:r w:rsidR="009C0AEF" w:rsidRPr="00695248">
        <w:rPr>
          <w:i/>
          <w:sz w:val="18"/>
          <w:szCs w:val="18"/>
          <w:lang w:val="es-419"/>
        </w:rPr>
        <w:t>A</w:t>
      </w:r>
      <w:r w:rsidR="00657306" w:rsidRPr="00985EFA">
        <w:rPr>
          <w:i/>
          <w:sz w:val="18"/>
          <w:szCs w:val="18"/>
          <w:lang w:val="es-419"/>
        </w:rPr>
        <w:t>L COL 6/2020</w:t>
      </w:r>
      <w:r w:rsidR="00F65669" w:rsidRPr="00695248">
        <w:rPr>
          <w:i/>
          <w:sz w:val="18"/>
          <w:szCs w:val="18"/>
          <w:lang w:val="es-419"/>
        </w:rPr>
        <w:t xml:space="preserve">, relativa a la situación de cuatro mujeres trans originarias de Venezuela </w:t>
      </w:r>
      <w:r w:rsidR="00F65669" w:rsidRPr="00695248">
        <w:rPr>
          <w:sz w:val="18"/>
          <w:szCs w:val="18"/>
          <w:lang w:val="es-419"/>
        </w:rPr>
        <w:t xml:space="preserve">(Noviembre 20 de 2020), Disponible en: </w:t>
      </w:r>
      <w:hyperlink r:id="rId10" w:history="1">
        <w:r w:rsidR="00F65669" w:rsidRPr="00695248">
          <w:rPr>
            <w:rStyle w:val="Hyperlink"/>
            <w:sz w:val="18"/>
            <w:szCs w:val="18"/>
            <w:lang w:val="es-419"/>
          </w:rPr>
          <w:t>https://spcommreports.ohchr.org/TMResultsBase/DownLoadPublicCommunicationFile?gId=25414</w:t>
        </w:r>
      </w:hyperlink>
      <w:r w:rsidR="00F65669" w:rsidRPr="00695248">
        <w:rPr>
          <w:sz w:val="18"/>
          <w:szCs w:val="18"/>
          <w:lang w:val="es-419"/>
        </w:rPr>
        <w:t xml:space="preserve"> </w:t>
      </w:r>
    </w:p>
  </w:footnote>
  <w:footnote w:id="14">
    <w:p w14:paraId="15EE786A" w14:textId="4AF94801" w:rsidR="003A3481" w:rsidRPr="00985EFA" w:rsidRDefault="003A3481" w:rsidP="00985EFA">
      <w:pPr>
        <w:pStyle w:val="FootnoteText"/>
        <w:jc w:val="both"/>
        <w:rPr>
          <w:sz w:val="18"/>
          <w:szCs w:val="18"/>
          <w:lang w:val="es-419"/>
        </w:rPr>
      </w:pPr>
      <w:r w:rsidRPr="00985EFA">
        <w:rPr>
          <w:rStyle w:val="FootnoteReference"/>
          <w:sz w:val="18"/>
          <w:szCs w:val="18"/>
        </w:rPr>
        <w:footnoteRef/>
      </w:r>
      <w:r w:rsidRPr="00985EFA">
        <w:rPr>
          <w:sz w:val="18"/>
          <w:szCs w:val="18"/>
          <w:lang w:val="es-419"/>
        </w:rPr>
        <w:t xml:space="preserve"> </w:t>
      </w:r>
      <w:r w:rsidR="009C0AEF" w:rsidRPr="00695248">
        <w:rPr>
          <w:sz w:val="18"/>
          <w:szCs w:val="18"/>
          <w:lang w:val="es-419"/>
        </w:rPr>
        <w:t xml:space="preserve">La organización Caribe Afirmativo es la encargada de acompañar las acciones penales y disciplinarias que se adelantan en el marco de este caso. </w:t>
      </w:r>
      <w:r w:rsidR="00695248" w:rsidRPr="00695248">
        <w:rPr>
          <w:sz w:val="18"/>
          <w:szCs w:val="18"/>
          <w:lang w:val="es-419"/>
        </w:rPr>
        <w:t xml:space="preserve">Esta es una </w:t>
      </w:r>
      <w:r w:rsidR="009C0AEF" w:rsidRPr="00985EFA">
        <w:rPr>
          <w:sz w:val="18"/>
          <w:szCs w:val="18"/>
          <w:lang w:val="es-419"/>
        </w:rPr>
        <w:t>organización LGBT que vela por la defensa y promoción de los derechos de las personas de orientaciones sexuales e identidades de género diversas en Colombia, con especial énfasis en el Caribe Colombiano.</w:t>
      </w:r>
    </w:p>
  </w:footnote>
  <w:footnote w:id="15">
    <w:p w14:paraId="74A5EFC9" w14:textId="37CB93A4" w:rsidR="003A3481" w:rsidRPr="00985EFA" w:rsidRDefault="003A3481" w:rsidP="00985EFA">
      <w:pPr>
        <w:pStyle w:val="FootnoteText"/>
        <w:jc w:val="both"/>
        <w:rPr>
          <w:sz w:val="18"/>
          <w:szCs w:val="18"/>
          <w:lang w:val="es-419"/>
        </w:rPr>
      </w:pPr>
      <w:r w:rsidRPr="00985EFA">
        <w:rPr>
          <w:rStyle w:val="FootnoteReference"/>
          <w:sz w:val="18"/>
          <w:szCs w:val="18"/>
        </w:rPr>
        <w:footnoteRef/>
      </w:r>
      <w:r w:rsidRPr="00985EFA">
        <w:rPr>
          <w:sz w:val="18"/>
          <w:szCs w:val="18"/>
          <w:lang w:val="es-419"/>
        </w:rPr>
        <w:t xml:space="preserve"> </w:t>
      </w:r>
      <w:r w:rsidR="00695248" w:rsidRPr="00695248">
        <w:rPr>
          <w:sz w:val="18"/>
          <w:szCs w:val="18"/>
          <w:lang w:val="es-419"/>
        </w:rPr>
        <w:t xml:space="preserve">Corte Constitucional de Colombia, Sentencia C-014 de 2004, Disponible en: </w:t>
      </w:r>
      <w:hyperlink r:id="rId11" w:history="1">
        <w:r w:rsidR="00695248" w:rsidRPr="00695248">
          <w:rPr>
            <w:rStyle w:val="Hyperlink"/>
            <w:sz w:val="18"/>
            <w:szCs w:val="18"/>
            <w:lang w:val="es-419"/>
          </w:rPr>
          <w:t>https://www.corteconstitucional.gov.co/RELATORIA/2004/C-014-04.htm</w:t>
        </w:r>
      </w:hyperlink>
      <w:r w:rsidR="00695248" w:rsidRPr="00695248">
        <w:rPr>
          <w:sz w:val="18"/>
          <w:szCs w:val="18"/>
          <w:lang w:val="es-419"/>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9F31AD" w14:textId="43458EF5" w:rsidR="009D12EB" w:rsidRDefault="009D12EB" w:rsidP="009D12EB">
    <w:pPr>
      <w:pStyle w:val="Header"/>
      <w:jc w:val="center"/>
    </w:pPr>
    <w:r>
      <w:rPr>
        <w:noProof/>
        <w:lang w:val="en-GB" w:eastAsia="en-GB"/>
      </w:rPr>
      <w:drawing>
        <wp:inline distT="0" distB="0" distL="0" distR="0" wp14:anchorId="5E8A36BA" wp14:editId="68AE8980">
          <wp:extent cx="3183928" cy="846667"/>
          <wp:effectExtent l="0" t="0" r="3810" b="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234445" cy="8601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A7044"/>
    <w:multiLevelType w:val="hybridMultilevel"/>
    <w:tmpl w:val="FEB86BBA"/>
    <w:lvl w:ilvl="0" w:tplc="73EED5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C1777E9"/>
    <w:multiLevelType w:val="hybridMultilevel"/>
    <w:tmpl w:val="37620602"/>
    <w:lvl w:ilvl="0" w:tplc="BDCCDFF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D667F3F"/>
    <w:multiLevelType w:val="hybridMultilevel"/>
    <w:tmpl w:val="B1102B5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0425"/>
    <w:rsid w:val="000020F6"/>
    <w:rsid w:val="0001725D"/>
    <w:rsid w:val="000530F7"/>
    <w:rsid w:val="00056A80"/>
    <w:rsid w:val="0007175C"/>
    <w:rsid w:val="000C556A"/>
    <w:rsid w:val="000D11FD"/>
    <w:rsid w:val="000D1CDA"/>
    <w:rsid w:val="001027FD"/>
    <w:rsid w:val="00114CFD"/>
    <w:rsid w:val="00147FFC"/>
    <w:rsid w:val="001C7867"/>
    <w:rsid w:val="001F1165"/>
    <w:rsid w:val="00202226"/>
    <w:rsid w:val="002324E4"/>
    <w:rsid w:val="002659CA"/>
    <w:rsid w:val="00274784"/>
    <w:rsid w:val="002914C9"/>
    <w:rsid w:val="00295A92"/>
    <w:rsid w:val="002C110F"/>
    <w:rsid w:val="00315551"/>
    <w:rsid w:val="00344900"/>
    <w:rsid w:val="003A3481"/>
    <w:rsid w:val="003A41D1"/>
    <w:rsid w:val="003E5D9F"/>
    <w:rsid w:val="00411E82"/>
    <w:rsid w:val="00454E16"/>
    <w:rsid w:val="004A508F"/>
    <w:rsid w:val="004B622C"/>
    <w:rsid w:val="0052675C"/>
    <w:rsid w:val="00527965"/>
    <w:rsid w:val="00534BA4"/>
    <w:rsid w:val="005B42BD"/>
    <w:rsid w:val="005E42D0"/>
    <w:rsid w:val="00657306"/>
    <w:rsid w:val="00662C1C"/>
    <w:rsid w:val="006828D3"/>
    <w:rsid w:val="00682D82"/>
    <w:rsid w:val="00683459"/>
    <w:rsid w:val="00695248"/>
    <w:rsid w:val="00697766"/>
    <w:rsid w:val="006B7E72"/>
    <w:rsid w:val="006C200A"/>
    <w:rsid w:val="006D6908"/>
    <w:rsid w:val="0071569C"/>
    <w:rsid w:val="00716258"/>
    <w:rsid w:val="00734B29"/>
    <w:rsid w:val="00760979"/>
    <w:rsid w:val="007830BD"/>
    <w:rsid w:val="007837E0"/>
    <w:rsid w:val="007848BA"/>
    <w:rsid w:val="007A03E1"/>
    <w:rsid w:val="007E3251"/>
    <w:rsid w:val="00836DE2"/>
    <w:rsid w:val="00845E36"/>
    <w:rsid w:val="008575C6"/>
    <w:rsid w:val="0088129D"/>
    <w:rsid w:val="008A1668"/>
    <w:rsid w:val="008B0C5A"/>
    <w:rsid w:val="008C3379"/>
    <w:rsid w:val="008D5773"/>
    <w:rsid w:val="008E39FB"/>
    <w:rsid w:val="008F19D1"/>
    <w:rsid w:val="00902DC8"/>
    <w:rsid w:val="00961028"/>
    <w:rsid w:val="009709F2"/>
    <w:rsid w:val="00985EFA"/>
    <w:rsid w:val="009A3F5F"/>
    <w:rsid w:val="009C0AEF"/>
    <w:rsid w:val="009C6207"/>
    <w:rsid w:val="009D12EB"/>
    <w:rsid w:val="00A05EF6"/>
    <w:rsid w:val="00A60A5A"/>
    <w:rsid w:val="00AE182F"/>
    <w:rsid w:val="00AE75B2"/>
    <w:rsid w:val="00B02C5D"/>
    <w:rsid w:val="00B119CF"/>
    <w:rsid w:val="00B24836"/>
    <w:rsid w:val="00B73B61"/>
    <w:rsid w:val="00B8603B"/>
    <w:rsid w:val="00B9275E"/>
    <w:rsid w:val="00BA583D"/>
    <w:rsid w:val="00BC39A0"/>
    <w:rsid w:val="00BC3FAC"/>
    <w:rsid w:val="00BD3E0C"/>
    <w:rsid w:val="00BD7608"/>
    <w:rsid w:val="00BF7DC3"/>
    <w:rsid w:val="00C20425"/>
    <w:rsid w:val="00C22C3A"/>
    <w:rsid w:val="00C46598"/>
    <w:rsid w:val="00C64B51"/>
    <w:rsid w:val="00CB177C"/>
    <w:rsid w:val="00CB1B78"/>
    <w:rsid w:val="00CB7198"/>
    <w:rsid w:val="00CD196C"/>
    <w:rsid w:val="00CD6D4E"/>
    <w:rsid w:val="00D1035D"/>
    <w:rsid w:val="00D37DC6"/>
    <w:rsid w:val="00D6297E"/>
    <w:rsid w:val="00D62AB5"/>
    <w:rsid w:val="00D772D6"/>
    <w:rsid w:val="00D862A7"/>
    <w:rsid w:val="00D96789"/>
    <w:rsid w:val="00DC23C7"/>
    <w:rsid w:val="00DC5B00"/>
    <w:rsid w:val="00DE2C4E"/>
    <w:rsid w:val="00E255DC"/>
    <w:rsid w:val="00E9629C"/>
    <w:rsid w:val="00EC4993"/>
    <w:rsid w:val="00EE5AA2"/>
    <w:rsid w:val="00F307EC"/>
    <w:rsid w:val="00F433E4"/>
    <w:rsid w:val="00F65669"/>
    <w:rsid w:val="00FA7FB8"/>
    <w:rsid w:val="00FB4835"/>
    <w:rsid w:val="00FC3928"/>
    <w:rsid w:val="00FC61FA"/>
    <w:rsid w:val="00FC7885"/>
    <w:rsid w:val="00FD083D"/>
    <w:rsid w:val="00FF66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75310"/>
  <w15:chartTrackingRefBased/>
  <w15:docId w15:val="{7DA3AA83-4AD9-4C51-A9DA-D67A0D373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3A41D1"/>
    <w:pPr>
      <w:spacing w:after="0" w:line="240" w:lineRule="auto"/>
    </w:pPr>
    <w:rPr>
      <w:sz w:val="20"/>
      <w:szCs w:val="20"/>
    </w:rPr>
  </w:style>
  <w:style w:type="character" w:customStyle="1" w:styleId="FootnoteTextChar">
    <w:name w:val="Footnote Text Char"/>
    <w:basedOn w:val="DefaultParagraphFont"/>
    <w:link w:val="FootnoteText"/>
    <w:uiPriority w:val="99"/>
    <w:rsid w:val="003A41D1"/>
    <w:rPr>
      <w:sz w:val="20"/>
      <w:szCs w:val="20"/>
    </w:rPr>
  </w:style>
  <w:style w:type="character" w:styleId="FootnoteReference">
    <w:name w:val="footnote reference"/>
    <w:basedOn w:val="DefaultParagraphFont"/>
    <w:uiPriority w:val="99"/>
    <w:unhideWhenUsed/>
    <w:rsid w:val="003A41D1"/>
    <w:rPr>
      <w:vertAlign w:val="superscript"/>
    </w:rPr>
  </w:style>
  <w:style w:type="paragraph" w:styleId="ListParagraph">
    <w:name w:val="List Paragraph"/>
    <w:basedOn w:val="Normal"/>
    <w:qFormat/>
    <w:rsid w:val="00FB4835"/>
    <w:pPr>
      <w:ind w:left="720"/>
      <w:contextualSpacing/>
    </w:pPr>
  </w:style>
  <w:style w:type="character" w:styleId="Hyperlink">
    <w:name w:val="Hyperlink"/>
    <w:basedOn w:val="DefaultParagraphFont"/>
    <w:uiPriority w:val="99"/>
    <w:unhideWhenUsed/>
    <w:rsid w:val="001C7867"/>
    <w:rPr>
      <w:color w:val="0563C1" w:themeColor="hyperlink"/>
      <w:u w:val="single"/>
    </w:rPr>
  </w:style>
  <w:style w:type="paragraph" w:styleId="Header">
    <w:name w:val="header"/>
    <w:basedOn w:val="Normal"/>
    <w:link w:val="HeaderChar"/>
    <w:uiPriority w:val="99"/>
    <w:unhideWhenUsed/>
    <w:rsid w:val="009D12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12EB"/>
  </w:style>
  <w:style w:type="paragraph" w:styleId="Footer">
    <w:name w:val="footer"/>
    <w:basedOn w:val="Normal"/>
    <w:link w:val="FooterChar"/>
    <w:uiPriority w:val="99"/>
    <w:unhideWhenUsed/>
    <w:rsid w:val="009D12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2EB"/>
  </w:style>
  <w:style w:type="character" w:styleId="CommentReference">
    <w:name w:val="annotation reference"/>
    <w:basedOn w:val="DefaultParagraphFont"/>
    <w:uiPriority w:val="99"/>
    <w:semiHidden/>
    <w:unhideWhenUsed/>
    <w:rsid w:val="009D12EB"/>
    <w:rPr>
      <w:sz w:val="16"/>
      <w:szCs w:val="16"/>
    </w:rPr>
  </w:style>
  <w:style w:type="paragraph" w:styleId="CommentText">
    <w:name w:val="annotation text"/>
    <w:basedOn w:val="Normal"/>
    <w:link w:val="CommentTextChar"/>
    <w:uiPriority w:val="99"/>
    <w:semiHidden/>
    <w:unhideWhenUsed/>
    <w:rsid w:val="009D12EB"/>
    <w:pPr>
      <w:spacing w:line="240" w:lineRule="auto"/>
    </w:pPr>
    <w:rPr>
      <w:sz w:val="20"/>
      <w:szCs w:val="20"/>
    </w:rPr>
  </w:style>
  <w:style w:type="character" w:customStyle="1" w:styleId="CommentTextChar">
    <w:name w:val="Comment Text Char"/>
    <w:basedOn w:val="DefaultParagraphFont"/>
    <w:link w:val="CommentText"/>
    <w:uiPriority w:val="99"/>
    <w:semiHidden/>
    <w:rsid w:val="009D12EB"/>
    <w:rPr>
      <w:sz w:val="20"/>
      <w:szCs w:val="20"/>
    </w:rPr>
  </w:style>
  <w:style w:type="paragraph" w:styleId="CommentSubject">
    <w:name w:val="annotation subject"/>
    <w:basedOn w:val="CommentText"/>
    <w:next w:val="CommentText"/>
    <w:link w:val="CommentSubjectChar"/>
    <w:uiPriority w:val="99"/>
    <w:semiHidden/>
    <w:unhideWhenUsed/>
    <w:rsid w:val="009D12EB"/>
    <w:rPr>
      <w:b/>
      <w:bCs/>
    </w:rPr>
  </w:style>
  <w:style w:type="character" w:customStyle="1" w:styleId="CommentSubjectChar">
    <w:name w:val="Comment Subject Char"/>
    <w:basedOn w:val="CommentTextChar"/>
    <w:link w:val="CommentSubject"/>
    <w:uiPriority w:val="99"/>
    <w:semiHidden/>
    <w:rsid w:val="009D12EB"/>
    <w:rPr>
      <w:b/>
      <w:bCs/>
      <w:sz w:val="20"/>
      <w:szCs w:val="20"/>
    </w:rPr>
  </w:style>
  <w:style w:type="character" w:customStyle="1" w:styleId="UnresolvedMention1">
    <w:name w:val="Unresolved Mention1"/>
    <w:basedOn w:val="DefaultParagraphFont"/>
    <w:uiPriority w:val="99"/>
    <w:semiHidden/>
    <w:unhideWhenUsed/>
    <w:rsid w:val="009D12EB"/>
    <w:rPr>
      <w:color w:val="605E5C"/>
      <w:shd w:val="clear" w:color="auto" w:fill="E1DFDD"/>
    </w:rPr>
  </w:style>
  <w:style w:type="paragraph" w:styleId="BalloonText">
    <w:name w:val="Balloon Text"/>
    <w:basedOn w:val="Normal"/>
    <w:link w:val="BalloonTextChar"/>
    <w:uiPriority w:val="99"/>
    <w:semiHidden/>
    <w:unhideWhenUsed/>
    <w:rsid w:val="00D772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72D6"/>
    <w:rPr>
      <w:rFonts w:ascii="Segoe UI" w:hAnsi="Segoe UI" w:cs="Segoe UI"/>
      <w:sz w:val="18"/>
      <w:szCs w:val="18"/>
    </w:rPr>
  </w:style>
  <w:style w:type="character" w:styleId="FollowedHyperlink">
    <w:name w:val="FollowedHyperlink"/>
    <w:basedOn w:val="DefaultParagraphFont"/>
    <w:uiPriority w:val="99"/>
    <w:semiHidden/>
    <w:unhideWhenUsed/>
    <w:rsid w:val="00EC4993"/>
    <w:rPr>
      <w:color w:val="954F72" w:themeColor="followedHyperlink"/>
      <w:u w:val="single"/>
    </w:rPr>
  </w:style>
  <w:style w:type="paragraph" w:styleId="Revision">
    <w:name w:val="Revision"/>
    <w:hidden/>
    <w:uiPriority w:val="99"/>
    <w:semiHidden/>
    <w:rsid w:val="00985EF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6920581">
      <w:bodyDiv w:val="1"/>
      <w:marLeft w:val="0"/>
      <w:marRight w:val="0"/>
      <w:marTop w:val="0"/>
      <w:marBottom w:val="0"/>
      <w:divBdr>
        <w:top w:val="none" w:sz="0" w:space="0" w:color="auto"/>
        <w:left w:val="none" w:sz="0" w:space="0" w:color="auto"/>
        <w:bottom w:val="none" w:sz="0" w:space="0" w:color="auto"/>
        <w:right w:val="none" w:sz="0" w:space="0" w:color="auto"/>
      </w:divBdr>
    </w:div>
    <w:div w:id="829518035">
      <w:bodyDiv w:val="1"/>
      <w:marLeft w:val="0"/>
      <w:marRight w:val="0"/>
      <w:marTop w:val="0"/>
      <w:marBottom w:val="0"/>
      <w:divBdr>
        <w:top w:val="none" w:sz="0" w:space="0" w:color="auto"/>
        <w:left w:val="none" w:sz="0" w:space="0" w:color="auto"/>
        <w:bottom w:val="none" w:sz="0" w:space="0" w:color="auto"/>
        <w:right w:val="none" w:sz="0" w:space="0" w:color="auto"/>
      </w:divBdr>
    </w:div>
    <w:div w:id="909118148">
      <w:bodyDiv w:val="1"/>
      <w:marLeft w:val="0"/>
      <w:marRight w:val="0"/>
      <w:marTop w:val="0"/>
      <w:marBottom w:val="0"/>
      <w:divBdr>
        <w:top w:val="none" w:sz="0" w:space="0" w:color="auto"/>
        <w:left w:val="none" w:sz="0" w:space="0" w:color="auto"/>
        <w:bottom w:val="none" w:sz="0" w:space="0" w:color="auto"/>
        <w:right w:val="none" w:sz="0" w:space="0" w:color="auto"/>
      </w:divBdr>
    </w:div>
    <w:div w:id="1156606306">
      <w:bodyDiv w:val="1"/>
      <w:marLeft w:val="0"/>
      <w:marRight w:val="0"/>
      <w:marTop w:val="0"/>
      <w:marBottom w:val="0"/>
      <w:divBdr>
        <w:top w:val="none" w:sz="0" w:space="0" w:color="auto"/>
        <w:left w:val="none" w:sz="0" w:space="0" w:color="auto"/>
        <w:bottom w:val="none" w:sz="0" w:space="0" w:color="auto"/>
        <w:right w:val="none" w:sz="0" w:space="0" w:color="auto"/>
      </w:divBdr>
    </w:div>
    <w:div w:id="1487742812">
      <w:bodyDiv w:val="1"/>
      <w:marLeft w:val="0"/>
      <w:marRight w:val="0"/>
      <w:marTop w:val="0"/>
      <w:marBottom w:val="0"/>
      <w:divBdr>
        <w:top w:val="none" w:sz="0" w:space="0" w:color="auto"/>
        <w:left w:val="none" w:sz="0" w:space="0" w:color="auto"/>
        <w:bottom w:val="none" w:sz="0" w:space="0" w:color="auto"/>
        <w:right w:val="none" w:sz="0" w:space="0" w:color="auto"/>
      </w:divBdr>
    </w:div>
    <w:div w:id="1566188237">
      <w:bodyDiv w:val="1"/>
      <w:marLeft w:val="0"/>
      <w:marRight w:val="0"/>
      <w:marTop w:val="0"/>
      <w:marBottom w:val="0"/>
      <w:divBdr>
        <w:top w:val="none" w:sz="0" w:space="0" w:color="auto"/>
        <w:left w:val="none" w:sz="0" w:space="0" w:color="auto"/>
        <w:bottom w:val="none" w:sz="0" w:space="0" w:color="auto"/>
        <w:right w:val="none" w:sz="0" w:space="0" w:color="auto"/>
      </w:divBdr>
    </w:div>
    <w:div w:id="2086761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gal@raceandequality.org"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gosti@raceandequality.org"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raceandequality.org/es/espanol/colombia-informe-impacto-conflicto-armado-poblacion-afro-lgbt/" TargetMode="External"/><Relationship Id="rId3" Type="http://schemas.openxmlformats.org/officeDocument/2006/relationships/hyperlink" Target="https://www.verificacion.cerac.org.co/wp-content/uploads/2020/09/Septimo-Informe-de-Verificacion-STCVI-22-Sept-2020.pdf" TargetMode="External"/><Relationship Id="rId7" Type="http://schemas.openxmlformats.org/officeDocument/2006/relationships/hyperlink" Target="https://caribeafirmativo.lgbt/wp-content/uploads/2021/03/PARTICIPACION-AUTORIDADES-LOCALES-PDET.pdf" TargetMode="External"/><Relationship Id="rId2" Type="http://schemas.openxmlformats.org/officeDocument/2006/relationships/hyperlink" Target="https://dapre.presidencia.gov.co/normativa/normativa/LEY%201955%20DEL%2025%20DE%20MAYO%20DE%202019.pdf" TargetMode="External"/><Relationship Id="rId1" Type="http://schemas.openxmlformats.org/officeDocument/2006/relationships/hyperlink" Target="https://dapre.presidencia.gov.co/normativa/normativa/LEY%201955%20DEL%2025%20DE%20MAYO%20DE%202019.pdf" TargetMode="External"/><Relationship Id="rId6" Type="http://schemas.openxmlformats.org/officeDocument/2006/relationships/hyperlink" Target="https://caribeafirmativo.lgbt/wp-content/uploads/2021/03/PARTICIPACION-AUTORIDADES-LOCALES-PDET.pdf" TargetMode="External"/><Relationship Id="rId11" Type="http://schemas.openxmlformats.org/officeDocument/2006/relationships/hyperlink" Target="https://www.corteconstitucional.gov.co/RELATORIA/2004/C-014-04.htm" TargetMode="External"/><Relationship Id="rId5" Type="http://schemas.openxmlformats.org/officeDocument/2006/relationships/hyperlink" Target="https://raceandequality.org/es/espanol/colombia-informe-impacto-conflicto-armado-poblacion-afro-lgbt/" TargetMode="External"/><Relationship Id="rId10" Type="http://schemas.openxmlformats.org/officeDocument/2006/relationships/hyperlink" Target="https://spcommreports.ohchr.org/TMResultsBase/DownLoadPublicCommunicationFile?gId=25414" TargetMode="External"/><Relationship Id="rId4" Type="http://schemas.openxmlformats.org/officeDocument/2006/relationships/hyperlink" Target="https://caribeafirmativo.lgbt/informe-plan-nacional-desarrollo-2018-2022/" TargetMode="External"/><Relationship Id="rId9" Type="http://schemas.openxmlformats.org/officeDocument/2006/relationships/hyperlink" Target="https://www.medicinalegal.gov.co/documents/20143/415875/Recomendaciones+Enfoque+Diferencial.pdf/948b3e04-0476-4058-681c-4307e239017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8F0763-7771-428A-B787-33A167886005}">
  <ds:schemaRefs>
    <ds:schemaRef ds:uri="http://schemas.openxmlformats.org/officeDocument/2006/bibliography"/>
  </ds:schemaRefs>
</ds:datastoreItem>
</file>

<file path=customXml/itemProps2.xml><?xml version="1.0" encoding="utf-8"?>
<ds:datastoreItem xmlns:ds="http://schemas.openxmlformats.org/officeDocument/2006/customXml" ds:itemID="{355A6AE2-4FA8-46B1-BEB2-DDAAB6C65A76}"/>
</file>

<file path=customXml/itemProps3.xml><?xml version="1.0" encoding="utf-8"?>
<ds:datastoreItem xmlns:ds="http://schemas.openxmlformats.org/officeDocument/2006/customXml" ds:itemID="{C816CBE0-2B85-451D-89CC-14A35208A43E}"/>
</file>

<file path=customXml/itemProps4.xml><?xml version="1.0" encoding="utf-8"?>
<ds:datastoreItem xmlns:ds="http://schemas.openxmlformats.org/officeDocument/2006/customXml" ds:itemID="{9109D8AC-D220-4FA9-86A2-A3611D8FB970}"/>
</file>

<file path=docProps/app.xml><?xml version="1.0" encoding="utf-8"?>
<Properties xmlns="http://schemas.openxmlformats.org/officeDocument/2006/extended-properties" xmlns:vt="http://schemas.openxmlformats.org/officeDocument/2006/docPropsVTypes">
  <Template>Normal.dotm</Template>
  <TotalTime>1</TotalTime>
  <Pages>7</Pages>
  <Words>2390</Words>
  <Characters>13629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Consultora LGBTI COL</dc:creator>
  <cp:keywords/>
  <dc:description/>
  <cp:lastModifiedBy>OUKO Robert</cp:lastModifiedBy>
  <cp:revision>2</cp:revision>
  <dcterms:created xsi:type="dcterms:W3CDTF">2021-06-03T15:54:00Z</dcterms:created>
  <dcterms:modified xsi:type="dcterms:W3CDTF">2021-06-03T15:54:00Z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