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1A2" w:rsidRDefault="009171A2" w:rsidP="00CE35DA">
      <w:pPr>
        <w:jc w:val="both"/>
        <w:rPr>
          <w:sz w:val="24"/>
          <w:szCs w:val="24"/>
        </w:rPr>
      </w:pPr>
      <w:r w:rsidRPr="002C2991">
        <w:rPr>
          <w:rFonts w:cs="Tahoma"/>
          <w:noProof/>
        </w:rPr>
        <w:drawing>
          <wp:anchor distT="0" distB="0" distL="114300" distR="114300" simplePos="0" relativeHeight="251659264" behindDoc="0" locked="0" layoutInCell="1" allowOverlap="1" wp14:anchorId="4181E692" wp14:editId="2F773745">
            <wp:simplePos x="0" y="0"/>
            <wp:positionH relativeFrom="column">
              <wp:posOffset>0</wp:posOffset>
            </wp:positionH>
            <wp:positionV relativeFrom="paragraph">
              <wp:posOffset>300990</wp:posOffset>
            </wp:positionV>
            <wp:extent cx="1276350" cy="1704975"/>
            <wp:effectExtent l="19050" t="0" r="0" b="0"/>
            <wp:wrapSquare wrapText="bothSides"/>
            <wp:docPr id="21" name="Picture 21" descr="Untitled-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titled-2_01"/>
                    <pic:cNvPicPr>
                      <a:picLocks noChangeAspect="1" noChangeArrowheads="1"/>
                    </pic:cNvPicPr>
                  </pic:nvPicPr>
                  <pic:blipFill>
                    <a:blip r:embed="rId6" cstate="print"/>
                    <a:srcRect/>
                    <a:stretch>
                      <a:fillRect/>
                    </a:stretch>
                  </pic:blipFill>
                  <pic:spPr bwMode="auto">
                    <a:xfrm>
                      <a:off x="0" y="0"/>
                      <a:ext cx="1276350" cy="1704975"/>
                    </a:xfrm>
                    <a:prstGeom prst="rect">
                      <a:avLst/>
                    </a:prstGeom>
                    <a:noFill/>
                    <a:ln w="9525">
                      <a:noFill/>
                      <a:miter lim="800000"/>
                      <a:headEnd/>
                      <a:tailEnd/>
                    </a:ln>
                  </pic:spPr>
                </pic:pic>
              </a:graphicData>
            </a:graphic>
          </wp:anchor>
        </w:drawing>
      </w:r>
      <w:r w:rsidR="00BD4287" w:rsidRPr="00BD4287">
        <w:rPr>
          <w:sz w:val="24"/>
          <w:szCs w:val="24"/>
        </w:rPr>
        <w:t xml:space="preserve">       </w:t>
      </w:r>
    </w:p>
    <w:p w:rsidR="009171A2" w:rsidRDefault="009171A2" w:rsidP="00CE35DA">
      <w:pPr>
        <w:jc w:val="both"/>
        <w:rPr>
          <w:sz w:val="24"/>
          <w:szCs w:val="24"/>
        </w:rPr>
      </w:pPr>
    </w:p>
    <w:p w:rsidR="009171A2" w:rsidRDefault="009171A2" w:rsidP="00CE35DA">
      <w:pPr>
        <w:jc w:val="both"/>
        <w:rPr>
          <w:sz w:val="24"/>
          <w:szCs w:val="24"/>
        </w:rPr>
      </w:pPr>
    </w:p>
    <w:p w:rsidR="009171A2" w:rsidRDefault="00BD4287" w:rsidP="00CE35DA">
      <w:pPr>
        <w:jc w:val="both"/>
        <w:rPr>
          <w:sz w:val="24"/>
          <w:szCs w:val="24"/>
        </w:rPr>
      </w:pPr>
      <w:r w:rsidRPr="00BD4287">
        <w:rPr>
          <w:sz w:val="24"/>
          <w:szCs w:val="24"/>
        </w:rPr>
        <w:t xml:space="preserve">     </w:t>
      </w:r>
    </w:p>
    <w:p w:rsidR="009171A2" w:rsidRDefault="009171A2" w:rsidP="00CE35DA">
      <w:pPr>
        <w:jc w:val="both"/>
        <w:rPr>
          <w:sz w:val="24"/>
          <w:szCs w:val="24"/>
        </w:rPr>
      </w:pPr>
    </w:p>
    <w:p w:rsidR="009171A2" w:rsidRDefault="009171A2" w:rsidP="00CE35DA">
      <w:pPr>
        <w:jc w:val="both"/>
        <w:rPr>
          <w:sz w:val="24"/>
          <w:szCs w:val="24"/>
        </w:rPr>
      </w:pPr>
    </w:p>
    <w:p w:rsidR="009171A2" w:rsidRDefault="009171A2" w:rsidP="00CE35DA">
      <w:pPr>
        <w:jc w:val="both"/>
        <w:rPr>
          <w:sz w:val="24"/>
          <w:szCs w:val="24"/>
        </w:rPr>
      </w:pPr>
    </w:p>
    <w:p w:rsidR="00C85F48" w:rsidRDefault="009171A2" w:rsidP="009171A2">
      <w:pPr>
        <w:jc w:val="both"/>
        <w:rPr>
          <w:rFonts w:cstheme="minorHAnsi"/>
          <w:b/>
          <w:sz w:val="24"/>
          <w:szCs w:val="24"/>
        </w:rPr>
      </w:pPr>
      <w:r w:rsidRPr="009171A2">
        <w:rPr>
          <w:rFonts w:cstheme="minorHAnsi"/>
          <w:b/>
          <w:sz w:val="24"/>
          <w:szCs w:val="24"/>
        </w:rPr>
        <w:t>The Institution of the</w:t>
      </w:r>
      <w:r w:rsidRPr="009171A2">
        <w:rPr>
          <w:rFonts w:cstheme="minorHAnsi"/>
          <w:sz w:val="24"/>
          <w:szCs w:val="24"/>
        </w:rPr>
        <w:t xml:space="preserve"> </w:t>
      </w:r>
      <w:r w:rsidR="00BD4287" w:rsidRPr="009171A2">
        <w:rPr>
          <w:rFonts w:cstheme="minorHAnsi"/>
          <w:b/>
          <w:sz w:val="24"/>
          <w:szCs w:val="24"/>
        </w:rPr>
        <w:t xml:space="preserve">Protector of Human Rights and Freedoms of Montenegro </w:t>
      </w:r>
      <w:r w:rsidRPr="009171A2">
        <w:rPr>
          <w:rFonts w:cstheme="minorHAnsi"/>
          <w:b/>
          <w:sz w:val="24"/>
          <w:szCs w:val="24"/>
        </w:rPr>
        <w:t>(Ombudsman)</w:t>
      </w:r>
    </w:p>
    <w:p w:rsidR="003C412C" w:rsidRPr="009171A2" w:rsidRDefault="003C412C" w:rsidP="009171A2">
      <w:pPr>
        <w:jc w:val="both"/>
        <w:rPr>
          <w:rFonts w:cstheme="minorHAnsi"/>
          <w:b/>
          <w:sz w:val="24"/>
          <w:szCs w:val="24"/>
        </w:rPr>
      </w:pPr>
    </w:p>
    <w:p w:rsidR="009171A2" w:rsidRPr="009171A2" w:rsidRDefault="009171A2" w:rsidP="009171A2">
      <w:pPr>
        <w:pStyle w:val="NoSpacing"/>
        <w:jc w:val="both"/>
        <w:rPr>
          <w:b/>
          <w:sz w:val="24"/>
          <w:szCs w:val="24"/>
        </w:rPr>
      </w:pPr>
      <w:r w:rsidRPr="009171A2">
        <w:rPr>
          <w:b/>
          <w:sz w:val="24"/>
          <w:szCs w:val="24"/>
        </w:rPr>
        <w:t xml:space="preserve">Postal address: </w:t>
      </w:r>
      <w:proofErr w:type="spellStart"/>
      <w:r w:rsidRPr="009171A2">
        <w:rPr>
          <w:b/>
          <w:sz w:val="24"/>
          <w:szCs w:val="24"/>
        </w:rPr>
        <w:t>Svetlane</w:t>
      </w:r>
      <w:proofErr w:type="spellEnd"/>
      <w:r w:rsidRPr="009171A2">
        <w:rPr>
          <w:b/>
          <w:sz w:val="24"/>
          <w:szCs w:val="24"/>
        </w:rPr>
        <w:t xml:space="preserve"> Kane </w:t>
      </w:r>
      <w:proofErr w:type="spellStart"/>
      <w:r w:rsidRPr="009171A2">
        <w:rPr>
          <w:b/>
          <w:sz w:val="24"/>
          <w:szCs w:val="24"/>
        </w:rPr>
        <w:t>Radević</w:t>
      </w:r>
      <w:proofErr w:type="spellEnd"/>
      <w:r w:rsidRPr="009171A2">
        <w:rPr>
          <w:b/>
          <w:sz w:val="24"/>
          <w:szCs w:val="24"/>
        </w:rPr>
        <w:t xml:space="preserve"> 3, 81000 Podgorica, Montenegro</w:t>
      </w:r>
    </w:p>
    <w:p w:rsidR="009171A2" w:rsidRPr="009171A2" w:rsidRDefault="009171A2" w:rsidP="009171A2">
      <w:pPr>
        <w:pStyle w:val="NoSpacing"/>
        <w:jc w:val="both"/>
        <w:rPr>
          <w:b/>
          <w:sz w:val="24"/>
          <w:szCs w:val="24"/>
          <w:lang w:val="sr-Latn-CS"/>
        </w:rPr>
      </w:pPr>
      <w:r w:rsidRPr="009171A2">
        <w:rPr>
          <w:b/>
          <w:sz w:val="24"/>
          <w:szCs w:val="24"/>
        </w:rPr>
        <w:t>Website:</w:t>
      </w:r>
      <w:r w:rsidRPr="009171A2">
        <w:rPr>
          <w:b/>
          <w:sz w:val="24"/>
          <w:szCs w:val="24"/>
          <w:lang w:val="sr-Latn-CS"/>
        </w:rPr>
        <w:t xml:space="preserve"> </w:t>
      </w:r>
      <w:hyperlink r:id="rId7" w:history="1">
        <w:r w:rsidRPr="009171A2">
          <w:rPr>
            <w:rStyle w:val="Hyperlink"/>
            <w:rFonts w:cstheme="minorHAnsi"/>
            <w:b/>
            <w:sz w:val="24"/>
            <w:szCs w:val="24"/>
            <w:lang w:val="sr-Latn-CS"/>
          </w:rPr>
          <w:t>http://www.ombudsman.co.me/</w:t>
        </w:r>
      </w:hyperlink>
    </w:p>
    <w:p w:rsidR="009171A2" w:rsidRPr="009171A2" w:rsidRDefault="009171A2" w:rsidP="009171A2">
      <w:pPr>
        <w:pStyle w:val="NoSpacing"/>
        <w:jc w:val="both"/>
        <w:rPr>
          <w:b/>
          <w:sz w:val="24"/>
          <w:szCs w:val="24"/>
        </w:rPr>
      </w:pPr>
      <w:r w:rsidRPr="009171A2">
        <w:rPr>
          <w:b/>
          <w:sz w:val="24"/>
          <w:szCs w:val="24"/>
        </w:rPr>
        <w:t xml:space="preserve">General e-mail address: </w:t>
      </w:r>
      <w:hyperlink r:id="rId8" w:history="1">
        <w:r w:rsidRPr="009171A2">
          <w:rPr>
            <w:rStyle w:val="Hyperlink"/>
            <w:b/>
            <w:sz w:val="24"/>
            <w:szCs w:val="24"/>
          </w:rPr>
          <w:t>ombudsman@t-com.me</w:t>
        </w:r>
      </w:hyperlink>
    </w:p>
    <w:p w:rsidR="009171A2" w:rsidRPr="009171A2" w:rsidRDefault="009171A2" w:rsidP="009171A2">
      <w:pPr>
        <w:jc w:val="both"/>
        <w:rPr>
          <w:b/>
          <w:sz w:val="24"/>
          <w:szCs w:val="24"/>
        </w:rPr>
      </w:pPr>
    </w:p>
    <w:p w:rsidR="00C85F48" w:rsidRDefault="00BD4287" w:rsidP="00CE35DA">
      <w:pPr>
        <w:jc w:val="both"/>
        <w:rPr>
          <w:b/>
          <w:sz w:val="24"/>
          <w:szCs w:val="24"/>
        </w:rPr>
      </w:pPr>
      <w:r w:rsidRPr="00BD4287">
        <w:rPr>
          <w:b/>
          <w:sz w:val="24"/>
          <w:szCs w:val="24"/>
        </w:rPr>
        <w:t xml:space="preserve">                                                       -Information relates on Montenegro </w:t>
      </w:r>
      <w:r>
        <w:rPr>
          <w:b/>
          <w:sz w:val="24"/>
          <w:szCs w:val="24"/>
        </w:rPr>
        <w:t>–</w:t>
      </w:r>
    </w:p>
    <w:p w:rsidR="007154AD" w:rsidRDefault="007154AD" w:rsidP="00CE35DA">
      <w:pPr>
        <w:jc w:val="both"/>
        <w:rPr>
          <w:b/>
          <w:sz w:val="24"/>
          <w:szCs w:val="24"/>
        </w:rPr>
      </w:pPr>
    </w:p>
    <w:p w:rsidR="00BD4287" w:rsidRDefault="00BD4287" w:rsidP="00CE35DA">
      <w:pPr>
        <w:jc w:val="both"/>
        <w:rPr>
          <w:b/>
          <w:sz w:val="24"/>
          <w:szCs w:val="24"/>
        </w:rPr>
      </w:pPr>
      <w:r>
        <w:rPr>
          <w:b/>
          <w:sz w:val="24"/>
          <w:szCs w:val="24"/>
        </w:rPr>
        <w:t xml:space="preserve">Note: </w:t>
      </w:r>
      <w:r w:rsidRPr="00BD4287">
        <w:rPr>
          <w:rFonts w:ascii="Times New Roman Bold" w:eastAsia="Arial Unicode MS" w:hAnsi="Arial Unicode MS" w:cs="Arial Unicode MS"/>
          <w:color w:val="000000"/>
          <w:sz w:val="24"/>
          <w:szCs w:val="24"/>
          <w:u w:val="single" w:color="000000"/>
          <w:bdr w:val="nil"/>
        </w:rPr>
        <w:t>submission can be published</w:t>
      </w:r>
      <w:r w:rsidRPr="00BD4287">
        <w:rPr>
          <w:rFonts w:ascii="Times New Roman" w:eastAsia="Arial Unicode MS" w:hAnsi="Arial Unicode MS" w:cs="Arial Unicode MS"/>
          <w:color w:val="000000"/>
          <w:sz w:val="24"/>
          <w:szCs w:val="24"/>
          <w:u w:val="single" w:color="000000"/>
          <w:bdr w:val="nil"/>
        </w:rPr>
        <w:t xml:space="preserve"> </w:t>
      </w:r>
      <w:r w:rsidRPr="00BD4287">
        <w:rPr>
          <w:rFonts w:ascii="Times New Roman" w:eastAsia="Arial Unicode MS" w:hAnsi="Arial Unicode MS" w:cs="Arial Unicode MS"/>
          <w:b/>
          <w:color w:val="000000"/>
          <w:sz w:val="24"/>
          <w:szCs w:val="24"/>
          <w:u w:val="single" w:color="000000"/>
          <w:bdr w:val="nil"/>
        </w:rPr>
        <w:t>on the OHCHR website</w:t>
      </w:r>
    </w:p>
    <w:p w:rsidR="00BD4287" w:rsidRPr="003C412C" w:rsidRDefault="003C412C" w:rsidP="009171A2">
      <w:pPr>
        <w:jc w:val="both"/>
        <w:rPr>
          <w:sz w:val="24"/>
          <w:szCs w:val="24"/>
          <w:lang w:val="sr-Latn-ME"/>
        </w:rPr>
      </w:pPr>
      <w:r>
        <w:rPr>
          <w:sz w:val="24"/>
          <w:szCs w:val="24"/>
        </w:rPr>
        <w:t xml:space="preserve">The </w:t>
      </w:r>
      <w:r w:rsidRPr="003C412C">
        <w:rPr>
          <w:sz w:val="24"/>
          <w:szCs w:val="24"/>
        </w:rPr>
        <w:t>Prote</w:t>
      </w:r>
      <w:r>
        <w:rPr>
          <w:sz w:val="24"/>
          <w:szCs w:val="24"/>
        </w:rPr>
        <w:t>ctor of Human Rights and Freedoms of Montenegro submits w</w:t>
      </w:r>
      <w:r w:rsidR="009171A2" w:rsidRPr="003C412C">
        <w:rPr>
          <w:sz w:val="24"/>
          <w:szCs w:val="24"/>
        </w:rPr>
        <w:t xml:space="preserve">ritten submissions </w:t>
      </w:r>
      <w:bookmarkStart w:id="0" w:name="_GoBack"/>
      <w:bookmarkEnd w:id="0"/>
      <w:r>
        <w:rPr>
          <w:sz w:val="24"/>
          <w:szCs w:val="24"/>
        </w:rPr>
        <w:t>to the CEDAW Com</w:t>
      </w:r>
      <w:r w:rsidR="00F2727C">
        <w:rPr>
          <w:sz w:val="24"/>
          <w:szCs w:val="24"/>
        </w:rPr>
        <w:t xml:space="preserve">mittee on issues relevant to </w:t>
      </w:r>
      <w:r>
        <w:rPr>
          <w:sz w:val="24"/>
          <w:szCs w:val="24"/>
        </w:rPr>
        <w:t>the implementation of the Convention</w:t>
      </w:r>
      <w:r>
        <w:rPr>
          <w:sz w:val="24"/>
          <w:szCs w:val="24"/>
          <w:lang w:val="sr-Latn-ME"/>
        </w:rPr>
        <w:t xml:space="preserve">: </w:t>
      </w:r>
    </w:p>
    <w:p w:rsidR="004D3C51" w:rsidRPr="00BD4287" w:rsidRDefault="00CE35DA" w:rsidP="00CE35DA">
      <w:pPr>
        <w:jc w:val="both"/>
        <w:rPr>
          <w:sz w:val="24"/>
          <w:szCs w:val="24"/>
        </w:rPr>
      </w:pPr>
      <w:r w:rsidRPr="00BD4287">
        <w:rPr>
          <w:sz w:val="24"/>
          <w:szCs w:val="24"/>
        </w:rPr>
        <w:t>Gender equality and equity in rights and opportunities for both sexes are one of the fundamental values on which the human rights catalog is based. With the ratification of international standards, the adoption of the Law on Gender Equality, as well as the Law on Prohibition of Discrimination, along with the adoption of strategic documents, in general, the state has taken certain steps in harmonizing national regulations with international standards.</w:t>
      </w:r>
    </w:p>
    <w:p w:rsidR="00715A36" w:rsidRPr="00BD4287" w:rsidRDefault="00715A36" w:rsidP="00CE35DA">
      <w:pPr>
        <w:jc w:val="both"/>
        <w:rPr>
          <w:sz w:val="24"/>
          <w:szCs w:val="24"/>
        </w:rPr>
      </w:pPr>
      <w:r w:rsidRPr="00BD4287">
        <w:rPr>
          <w:sz w:val="24"/>
          <w:szCs w:val="24"/>
        </w:rPr>
        <w:t>Nevertheless, a satisfactory level of equality has not yet been achieved, and public policies in Montenegro are not fully developed, especially bearing in mind that the Law on Gender Equality prescribes the obligation of authorities to evaluate the impact of these decisions and activities on the position of women and men, boys and girls.</w:t>
      </w:r>
    </w:p>
    <w:p w:rsidR="00715A36" w:rsidRPr="00BD4287" w:rsidRDefault="00715A36" w:rsidP="00CE35DA">
      <w:pPr>
        <w:jc w:val="both"/>
        <w:rPr>
          <w:sz w:val="24"/>
          <w:szCs w:val="24"/>
        </w:rPr>
      </w:pPr>
      <w:r w:rsidRPr="00BD4287">
        <w:rPr>
          <w:sz w:val="24"/>
          <w:szCs w:val="24"/>
        </w:rPr>
        <w:t>The institution of the Ombudsperson continuously points out to the increase in the number of sexist, misogynistic and hateful speech in the public sp</w:t>
      </w:r>
      <w:r w:rsidR="00FD6249" w:rsidRPr="00BD4287">
        <w:rPr>
          <w:sz w:val="24"/>
          <w:szCs w:val="24"/>
        </w:rPr>
        <w:t>here</w:t>
      </w:r>
      <w:r w:rsidRPr="00BD4287">
        <w:rPr>
          <w:sz w:val="24"/>
          <w:szCs w:val="24"/>
        </w:rPr>
        <w:t xml:space="preserve">, especially on social </w:t>
      </w:r>
      <w:r w:rsidR="005617AC" w:rsidRPr="00BD4287">
        <w:rPr>
          <w:sz w:val="24"/>
          <w:szCs w:val="24"/>
        </w:rPr>
        <w:t>media</w:t>
      </w:r>
      <w:r w:rsidRPr="00BD4287">
        <w:rPr>
          <w:sz w:val="24"/>
          <w:szCs w:val="24"/>
        </w:rPr>
        <w:t xml:space="preserve">, </w:t>
      </w:r>
      <w:r w:rsidR="005617AC" w:rsidRPr="00BD4287">
        <w:rPr>
          <w:sz w:val="24"/>
          <w:szCs w:val="24"/>
        </w:rPr>
        <w:t xml:space="preserve">and because of that, it is </w:t>
      </w:r>
      <w:r w:rsidRPr="00BD4287">
        <w:rPr>
          <w:sz w:val="24"/>
          <w:szCs w:val="24"/>
        </w:rPr>
        <w:t>important to adequately organize and more efficiently control online space. The harmfulness of hate speech, misogynistic and sexist speech leads to increasingly present gender stereotypes and online violence, where girls, women and people of different gender identities and sexual orientation are the most frequent victims.</w:t>
      </w:r>
    </w:p>
    <w:p w:rsidR="005617AC" w:rsidRPr="00BD4287" w:rsidRDefault="005617AC" w:rsidP="00CE35DA">
      <w:pPr>
        <w:jc w:val="both"/>
        <w:rPr>
          <w:sz w:val="24"/>
          <w:szCs w:val="24"/>
        </w:rPr>
      </w:pPr>
      <w:r w:rsidRPr="00BD4287">
        <w:rPr>
          <w:sz w:val="24"/>
          <w:szCs w:val="24"/>
        </w:rPr>
        <w:lastRenderedPageBreak/>
        <w:t>Also, we continuously remind that a higher percentage of women complete higher education, but despite this, on the decision-making positions are mostly men. There is still no special gender studies program at the University of Montenegro, and in this sense it is necessary to institutionalize this educational program.</w:t>
      </w:r>
    </w:p>
    <w:p w:rsidR="00DD0079" w:rsidRPr="00BD4287" w:rsidRDefault="00DD0079" w:rsidP="00CE35DA">
      <w:pPr>
        <w:jc w:val="both"/>
        <w:rPr>
          <w:sz w:val="24"/>
          <w:szCs w:val="24"/>
        </w:rPr>
      </w:pPr>
      <w:r w:rsidRPr="00BD4287">
        <w:rPr>
          <w:sz w:val="24"/>
          <w:szCs w:val="24"/>
        </w:rPr>
        <w:t>The level of political participation of women has a great influence on the achievement of gender equality. Although some progress has been made on this issue, especially after the introduction of quotas for election to the highest representative body, women still do not fully participate in public and political life, as evidenced by the data that the percentage of women</w:t>
      </w:r>
      <w:r w:rsidR="00A64FB6" w:rsidRPr="00BD4287">
        <w:rPr>
          <w:sz w:val="24"/>
          <w:szCs w:val="24"/>
        </w:rPr>
        <w:t xml:space="preserve"> representatives</w:t>
      </w:r>
      <w:r w:rsidRPr="00BD4287">
        <w:rPr>
          <w:sz w:val="24"/>
          <w:szCs w:val="24"/>
        </w:rPr>
        <w:t xml:space="preserve"> in the Parliament of Montenegro </w:t>
      </w:r>
      <w:r w:rsidR="00A64FB6" w:rsidRPr="00BD4287">
        <w:rPr>
          <w:sz w:val="24"/>
          <w:szCs w:val="24"/>
        </w:rPr>
        <w:t>is</w:t>
      </w:r>
      <w:r w:rsidRPr="00BD4287">
        <w:rPr>
          <w:sz w:val="24"/>
          <w:szCs w:val="24"/>
        </w:rPr>
        <w:t xml:space="preserve"> 21%, and </w:t>
      </w:r>
      <w:r w:rsidR="00A64FB6" w:rsidRPr="00BD4287">
        <w:rPr>
          <w:sz w:val="24"/>
          <w:szCs w:val="24"/>
        </w:rPr>
        <w:t xml:space="preserve">also </w:t>
      </w:r>
      <w:r w:rsidRPr="00BD4287">
        <w:rPr>
          <w:sz w:val="24"/>
          <w:szCs w:val="24"/>
        </w:rPr>
        <w:t xml:space="preserve">unreasonably small percentage </w:t>
      </w:r>
      <w:r w:rsidR="00A64FB6" w:rsidRPr="00BD4287">
        <w:rPr>
          <w:sz w:val="24"/>
          <w:szCs w:val="24"/>
        </w:rPr>
        <w:t xml:space="preserve">of 17% </w:t>
      </w:r>
      <w:r w:rsidRPr="00BD4287">
        <w:rPr>
          <w:sz w:val="24"/>
          <w:szCs w:val="24"/>
        </w:rPr>
        <w:t>in the Government of Montenegro</w:t>
      </w:r>
      <w:r w:rsidR="00A64FB6" w:rsidRPr="00BD4287">
        <w:rPr>
          <w:sz w:val="24"/>
          <w:szCs w:val="24"/>
        </w:rPr>
        <w:t>.</w:t>
      </w:r>
      <w:r w:rsidRPr="00BD4287">
        <w:rPr>
          <w:sz w:val="24"/>
          <w:szCs w:val="24"/>
        </w:rPr>
        <w:t xml:space="preserve"> </w:t>
      </w:r>
    </w:p>
    <w:p w:rsidR="008145E2" w:rsidRPr="00BD4287" w:rsidRDefault="008145E2" w:rsidP="00CE35DA">
      <w:pPr>
        <w:jc w:val="both"/>
        <w:rPr>
          <w:sz w:val="24"/>
          <w:szCs w:val="24"/>
        </w:rPr>
      </w:pPr>
      <w:r w:rsidRPr="00BD4287">
        <w:rPr>
          <w:sz w:val="24"/>
          <w:szCs w:val="24"/>
        </w:rPr>
        <w:t>From our point of view, in order to create public policies, it is necessary to conduct in-depth research on the presence of discrimination on the basis of gender, in relation to all women, especially those from vulnerable categories, women with disabilities, women from less numerous nations, users of psychoactive substances, trans women, lesbians , migrant women, women from rural areas, single mothers, women victims of violence, women infected with HIV and others who are at risk of multiple discrimination.</w:t>
      </w:r>
    </w:p>
    <w:p w:rsidR="00C85F48" w:rsidRPr="00BD4287" w:rsidRDefault="0039306F" w:rsidP="00CE35DA">
      <w:pPr>
        <w:jc w:val="both"/>
        <w:rPr>
          <w:sz w:val="24"/>
          <w:szCs w:val="24"/>
        </w:rPr>
      </w:pPr>
      <w:r w:rsidRPr="00BD4287">
        <w:rPr>
          <w:sz w:val="24"/>
          <w:szCs w:val="24"/>
        </w:rPr>
        <w:t>Through their reports, civil society organizations in Montenegro continuously indicate the presence of discrimination on the basis of sex and gender and demand a stronger institutional response to the violation of women's human rights and discrimination on the basis of sex and gender.</w:t>
      </w:r>
    </w:p>
    <w:p w:rsidR="0039306F" w:rsidRPr="00BD4287" w:rsidRDefault="0039306F" w:rsidP="00CE35DA">
      <w:pPr>
        <w:jc w:val="both"/>
        <w:rPr>
          <w:sz w:val="24"/>
          <w:szCs w:val="24"/>
        </w:rPr>
      </w:pPr>
      <w:r w:rsidRPr="00BD4287">
        <w:rPr>
          <w:sz w:val="24"/>
          <w:szCs w:val="24"/>
        </w:rPr>
        <w:t>In order to achieve concrete and visible progress in the prevention and suppression of discrimination, it is necessary to intensify programs for protection against discrimination and programs for the empowerment of women, whereby such measures should have continuity in order to contribute to the greater progress of a democratic society.</w:t>
      </w:r>
    </w:p>
    <w:p w:rsidR="00C85F48" w:rsidRPr="00BD4287" w:rsidRDefault="00C85F48" w:rsidP="00CE35DA">
      <w:pPr>
        <w:jc w:val="both"/>
        <w:rPr>
          <w:sz w:val="24"/>
          <w:szCs w:val="24"/>
        </w:rPr>
      </w:pPr>
    </w:p>
    <w:p w:rsidR="008145E2" w:rsidRPr="00BD4287" w:rsidRDefault="0039306F" w:rsidP="00CE35DA">
      <w:pPr>
        <w:jc w:val="both"/>
        <w:rPr>
          <w:sz w:val="24"/>
          <w:szCs w:val="24"/>
        </w:rPr>
      </w:pPr>
      <w:r w:rsidRPr="00BD4287">
        <w:rPr>
          <w:sz w:val="24"/>
          <w:szCs w:val="24"/>
        </w:rPr>
        <w:t>The Strategy for the Social Inclusion of Roma and Egyptians recognizes Roma and Egyptian women as a vulnerable category, and the Strategy for the Protection of Persons with Disabilities from Discrimination and the Promotion of Equality specifically recognizes women with disabilities as a particularly sensitive category, as well as persons with disabilities from the Roma and Egyptian population, which in the opinion of the Protector, are strategic documents that were created in the spirit of international standards and thus promote the development of specialized policies for these sensitive groups.</w:t>
      </w:r>
    </w:p>
    <w:p w:rsidR="00821936" w:rsidRPr="00BD4287" w:rsidRDefault="0050219A" w:rsidP="00CE35DA">
      <w:pPr>
        <w:jc w:val="both"/>
        <w:rPr>
          <w:sz w:val="24"/>
          <w:szCs w:val="24"/>
        </w:rPr>
      </w:pPr>
      <w:r w:rsidRPr="00BD4287">
        <w:rPr>
          <w:sz w:val="24"/>
          <w:szCs w:val="24"/>
        </w:rPr>
        <w:t>The problem of child arranged marriages</w:t>
      </w:r>
      <w:r w:rsidR="000B09FC" w:rsidRPr="00BD4287">
        <w:rPr>
          <w:sz w:val="24"/>
          <w:szCs w:val="24"/>
        </w:rPr>
        <w:t>,</w:t>
      </w:r>
      <w:r w:rsidRPr="00BD4287">
        <w:rPr>
          <w:sz w:val="24"/>
          <w:szCs w:val="24"/>
        </w:rPr>
        <w:t xml:space="preserve"> Ombudsman also addresses a</w:t>
      </w:r>
      <w:r w:rsidR="00821936" w:rsidRPr="00BD4287">
        <w:rPr>
          <w:sz w:val="24"/>
          <w:szCs w:val="24"/>
        </w:rPr>
        <w:t xml:space="preserve">s a special </w:t>
      </w:r>
      <w:proofErr w:type="gramStart"/>
      <w:r w:rsidR="00821936" w:rsidRPr="00BD4287">
        <w:rPr>
          <w:sz w:val="24"/>
          <w:szCs w:val="24"/>
        </w:rPr>
        <w:t>problem,  which</w:t>
      </w:r>
      <w:proofErr w:type="gramEnd"/>
      <w:r w:rsidR="00821936" w:rsidRPr="00BD4287">
        <w:rPr>
          <w:sz w:val="24"/>
          <w:szCs w:val="24"/>
        </w:rPr>
        <w:t xml:space="preserve"> must be viewed from the aspect of discrimination on the basis of gender, and which in the lay public are often presented and justified by cultural customs and are seen as part of the Roma tradition, not as a fundamental violation of children's rights and discrimination by gender. In this sense, it is necessary to point out that in addition to empowering girls from the Roma community, </w:t>
      </w:r>
      <w:r w:rsidR="00821936" w:rsidRPr="00BD4287">
        <w:rPr>
          <w:sz w:val="24"/>
          <w:szCs w:val="24"/>
        </w:rPr>
        <w:lastRenderedPageBreak/>
        <w:t>continuous work with boys is also necessary to prevent child marriages, gender stereotypes and prejudices.</w:t>
      </w:r>
    </w:p>
    <w:p w:rsidR="000B09FC" w:rsidRPr="00BD4287" w:rsidRDefault="000B09FC" w:rsidP="00CE35DA">
      <w:pPr>
        <w:jc w:val="both"/>
        <w:rPr>
          <w:sz w:val="24"/>
          <w:szCs w:val="24"/>
        </w:rPr>
      </w:pPr>
      <w:r w:rsidRPr="00BD4287">
        <w:rPr>
          <w:sz w:val="24"/>
          <w:szCs w:val="24"/>
        </w:rPr>
        <w:t>The unequal position of women is also expressed in the field of work and employment, where they face less opportunity for advancement and unequal treatment in relation to earnings with the risk of abuse of employment contracts when they are hired to perform tasks from the employer's core business.</w:t>
      </w:r>
    </w:p>
    <w:p w:rsidR="0085441D" w:rsidRPr="00BD4287" w:rsidRDefault="006A43DF" w:rsidP="00CE35DA">
      <w:pPr>
        <w:jc w:val="both"/>
        <w:rPr>
          <w:sz w:val="24"/>
          <w:szCs w:val="24"/>
          <w:lang w:val="sr-Latn-ME"/>
        </w:rPr>
      </w:pPr>
      <w:r w:rsidRPr="00BD4287">
        <w:rPr>
          <w:sz w:val="24"/>
          <w:szCs w:val="24"/>
          <w:lang w:val="sr-Latn-ME"/>
        </w:rPr>
        <w:t xml:space="preserve">Gender stereotypes are still present and reflect </w:t>
      </w:r>
      <w:r w:rsidR="002A1577" w:rsidRPr="00BD4287">
        <w:rPr>
          <w:sz w:val="24"/>
          <w:szCs w:val="24"/>
          <w:lang w:val="sr-Latn-ME"/>
        </w:rPr>
        <w:t xml:space="preserve">on </w:t>
      </w:r>
      <w:r w:rsidRPr="00BD4287">
        <w:rPr>
          <w:sz w:val="24"/>
          <w:szCs w:val="24"/>
          <w:lang w:val="sr-Latn-ME"/>
        </w:rPr>
        <w:t>the position of men's power, why women continue to take on most of the burden of housework, which de facto represents unpaid work and can be influential in choosing a profession, deciding on further professional advancement and representation in less paid fields. Bearing in mind the above, it is clear that due to these circumstances, women find it more difficult to balance family and professional life, especial</w:t>
      </w:r>
      <w:r w:rsidR="009E390E" w:rsidRPr="00BD4287">
        <w:rPr>
          <w:sz w:val="24"/>
          <w:szCs w:val="24"/>
          <w:lang w:val="sr-Latn-ME"/>
        </w:rPr>
        <w:t xml:space="preserve">ly in the context of parenting </w:t>
      </w:r>
      <w:r w:rsidRPr="00BD4287">
        <w:rPr>
          <w:sz w:val="24"/>
          <w:szCs w:val="24"/>
          <w:lang w:val="sr-Latn-ME"/>
        </w:rPr>
        <w:t>and caring for children.</w:t>
      </w:r>
    </w:p>
    <w:p w:rsidR="009E390E" w:rsidRPr="00BD4287" w:rsidRDefault="009E390E" w:rsidP="00CE35DA">
      <w:pPr>
        <w:jc w:val="both"/>
        <w:rPr>
          <w:sz w:val="24"/>
          <w:szCs w:val="24"/>
          <w:lang w:val="sr-Latn-ME"/>
        </w:rPr>
      </w:pPr>
      <w:r w:rsidRPr="00BD4287">
        <w:rPr>
          <w:sz w:val="24"/>
          <w:szCs w:val="24"/>
          <w:lang w:val="sr-Latn-ME"/>
        </w:rPr>
        <w:t>Challenges faced by women from rural areas are unpaid work, difficult access to health and social services, insufficient participation in decision-making, not owning land and real estate, and others. In order to improve the position of women from rural areas, it is also necessary to connect and network them through women's associations, in order to inform and affirm themselves as entrepreneurs and have access to financial resources.</w:t>
      </w:r>
    </w:p>
    <w:p w:rsidR="007268F8" w:rsidRPr="00BD4287" w:rsidRDefault="007268F8" w:rsidP="00CE35DA">
      <w:pPr>
        <w:jc w:val="both"/>
        <w:rPr>
          <w:sz w:val="24"/>
          <w:szCs w:val="24"/>
          <w:lang w:val="sr-Latn-ME"/>
        </w:rPr>
      </w:pPr>
      <w:r w:rsidRPr="00BD4287">
        <w:rPr>
          <w:sz w:val="24"/>
          <w:szCs w:val="24"/>
          <w:lang w:val="sr-Latn-ME"/>
        </w:rPr>
        <w:t>In relation to the position of women in sports, the Ombudsman indicates the need for continuous education in order to raise awareness, prevent and combat unequal positions and gender stereotypes that are present in the field of sports.</w:t>
      </w:r>
    </w:p>
    <w:p w:rsidR="007268F8" w:rsidRPr="00BD4287" w:rsidRDefault="00660FBD" w:rsidP="00CE35DA">
      <w:pPr>
        <w:jc w:val="both"/>
        <w:rPr>
          <w:sz w:val="24"/>
          <w:szCs w:val="24"/>
          <w:lang w:val="sr-Latn-ME"/>
        </w:rPr>
      </w:pPr>
      <w:r w:rsidRPr="00BD4287">
        <w:rPr>
          <w:sz w:val="24"/>
          <w:szCs w:val="24"/>
          <w:lang w:val="sr-Latn-ME"/>
        </w:rPr>
        <w:t>From the aspect of gender-based violence, we point out that the criminal offense from Article 220 „Violence in the family or family community“ in the Criminal Code of Montenegro has been amended during 2023.</w:t>
      </w:r>
    </w:p>
    <w:p w:rsidR="007D78C5" w:rsidRPr="00BD4287" w:rsidRDefault="007D78C5" w:rsidP="00CE35DA">
      <w:pPr>
        <w:jc w:val="both"/>
        <w:rPr>
          <w:sz w:val="24"/>
          <w:szCs w:val="24"/>
          <w:lang w:val="sr-Latn-ME"/>
        </w:rPr>
      </w:pPr>
      <w:r w:rsidRPr="00BD4287">
        <w:rPr>
          <w:sz w:val="24"/>
          <w:szCs w:val="24"/>
          <w:lang w:val="sr-Latn-ME"/>
        </w:rPr>
        <w:t>In its Report of the GREVIO Committee on the assessment of legislative and other measures applying the provisions of the Istanbul Convention, it is stated that there are no unique criteria that are consistently applied to the difference between a misdemeanor and a criminal act of domestic violence, which is one of the conclusions of this Institution.</w:t>
      </w:r>
    </w:p>
    <w:p w:rsidR="0006291E" w:rsidRPr="00BD4287" w:rsidRDefault="0006291E" w:rsidP="00CE35DA">
      <w:pPr>
        <w:jc w:val="both"/>
        <w:rPr>
          <w:sz w:val="24"/>
          <w:szCs w:val="24"/>
          <w:lang w:val="sr-Latn-ME"/>
        </w:rPr>
      </w:pPr>
      <w:r w:rsidRPr="00BD4287">
        <w:rPr>
          <w:sz w:val="24"/>
          <w:szCs w:val="24"/>
          <w:lang w:val="sr-Latn-ME"/>
        </w:rPr>
        <w:t>Past practice has shown that the legal provisions indicated that the amendment in the Criminal Code that defines domestic violence was reserved only for more severe or "serious" cases of domestic violence committed by gross violence, while the misdemeanor is intended for psychological violence in all its forms.</w:t>
      </w:r>
    </w:p>
    <w:p w:rsidR="0006291E" w:rsidRPr="00BD4287" w:rsidRDefault="0006291E" w:rsidP="00CE35DA">
      <w:pPr>
        <w:jc w:val="both"/>
        <w:rPr>
          <w:sz w:val="24"/>
          <w:szCs w:val="24"/>
          <w:lang w:val="sr-Latn-ME"/>
        </w:rPr>
      </w:pPr>
    </w:p>
    <w:p w:rsidR="007268F8" w:rsidRPr="00BD4287" w:rsidRDefault="0006291E" w:rsidP="00CE35DA">
      <w:pPr>
        <w:jc w:val="both"/>
        <w:rPr>
          <w:sz w:val="24"/>
          <w:szCs w:val="24"/>
          <w:lang w:val="sr-Latn-ME"/>
        </w:rPr>
      </w:pPr>
      <w:r w:rsidRPr="00BD4287">
        <w:rPr>
          <w:sz w:val="24"/>
          <w:szCs w:val="24"/>
          <w:lang w:val="sr-Latn-ME"/>
        </w:rPr>
        <w:t>However, the terminology used in that Criminal Code and the Act on Protection from Domestic Violence do not contribute to specifying the difference between those two acts.</w:t>
      </w:r>
    </w:p>
    <w:p w:rsidR="0006291E" w:rsidRPr="00BD4287" w:rsidRDefault="0006291E" w:rsidP="00CE35DA">
      <w:pPr>
        <w:jc w:val="both"/>
        <w:rPr>
          <w:sz w:val="24"/>
          <w:szCs w:val="24"/>
          <w:lang w:val="sr-Latn-ME"/>
        </w:rPr>
      </w:pPr>
      <w:r w:rsidRPr="00BD4287">
        <w:rPr>
          <w:sz w:val="24"/>
          <w:szCs w:val="24"/>
          <w:lang w:val="sr-Latn-ME"/>
        </w:rPr>
        <w:t xml:space="preserve">Therefore, and in order to make a clear distinction between these illegal behaviors, a demarcation was necessary, so it was defined that physical and psychological violence should be </w:t>
      </w:r>
      <w:r w:rsidRPr="00BD4287">
        <w:rPr>
          <w:sz w:val="24"/>
          <w:szCs w:val="24"/>
          <w:lang w:val="sr-Latn-ME"/>
        </w:rPr>
        <w:lastRenderedPageBreak/>
        <w:t>fully transferred to the characteristics of the criminal act. Namely, the intention of the new legal solution is to avoid the current dilemmas in practice regarding the legal qualification of certain behavior, and in the coming period it will be shown whether this solution will contribute to the delimitation of these dilemmas in practice.</w:t>
      </w:r>
    </w:p>
    <w:p w:rsidR="007B3C8A" w:rsidRPr="00BD4287" w:rsidRDefault="007B3C8A" w:rsidP="00CE35DA">
      <w:pPr>
        <w:jc w:val="both"/>
        <w:rPr>
          <w:sz w:val="24"/>
          <w:szCs w:val="24"/>
          <w:lang w:val="sr-Latn-ME"/>
        </w:rPr>
      </w:pPr>
      <w:r w:rsidRPr="00BD4287">
        <w:rPr>
          <w:sz w:val="24"/>
          <w:szCs w:val="24"/>
          <w:lang w:val="sr-Latn-ME"/>
        </w:rPr>
        <w:t>The improvement brought by this article is also a new definition of family members or family union, and in addition, it has been harmonized with the Law on Life Partnership of Persons of the Same Sex, whereby the concept of family members has been expanded, i.e. who are all considered family members. The Ombudsman expects that the innovative solution will contribute to better protection of victims of domestic violence and gender-based violence.</w:t>
      </w:r>
    </w:p>
    <w:p w:rsidR="007B3C8A" w:rsidRPr="00BD4287" w:rsidRDefault="00420F79" w:rsidP="00CE35DA">
      <w:pPr>
        <w:jc w:val="both"/>
        <w:rPr>
          <w:sz w:val="24"/>
          <w:szCs w:val="24"/>
          <w:lang w:val="sr-Latn-ME"/>
        </w:rPr>
      </w:pPr>
      <w:r w:rsidRPr="00BD4287">
        <w:rPr>
          <w:sz w:val="24"/>
          <w:szCs w:val="24"/>
          <w:lang w:val="sr-Latn-ME"/>
        </w:rPr>
        <w:t>On the basis of preventive and reactive action in this area, the Ombudsman believes that it would be necessary to provide continuous and training of representatives of all authorities participating in court proceedings, including attornays, for the purpose of raising awareness and adequately protecting the interests of victims in cases of exposure to violence.</w:t>
      </w:r>
    </w:p>
    <w:p w:rsidR="00420F79" w:rsidRPr="00BD4287" w:rsidRDefault="008237A9" w:rsidP="00CE35DA">
      <w:pPr>
        <w:jc w:val="both"/>
        <w:rPr>
          <w:sz w:val="24"/>
          <w:szCs w:val="24"/>
          <w:lang w:val="sr-Latn-ME"/>
        </w:rPr>
      </w:pPr>
      <w:r w:rsidRPr="00BD4287">
        <w:rPr>
          <w:sz w:val="24"/>
          <w:szCs w:val="24"/>
          <w:lang w:val="sr-Latn-ME"/>
        </w:rPr>
        <w:t>In the process of drafting the Law on Legal Gender Recognition, the Ombudsman continuously participated in the working group, in the capacity of an observer, giving his contribution from the point of view of international guarantees according to which self-determination is an essential aspect of the private life of every individual.</w:t>
      </w:r>
      <w:r w:rsidRPr="00BD4287">
        <w:rPr>
          <w:sz w:val="24"/>
          <w:szCs w:val="24"/>
        </w:rPr>
        <w:t xml:space="preserve"> </w:t>
      </w:r>
      <w:r w:rsidR="00594C24" w:rsidRPr="00BD4287">
        <w:rPr>
          <w:sz w:val="24"/>
          <w:szCs w:val="24"/>
        </w:rPr>
        <w:t xml:space="preserve">A significant problem faced by trans women is the lack of hormone therapy, and in this sense, greater involvement of the Ministry of Health is necessary. </w:t>
      </w:r>
      <w:r w:rsidRPr="00BD4287">
        <w:rPr>
          <w:sz w:val="24"/>
          <w:szCs w:val="24"/>
          <w:lang w:val="sr-Latn-ME"/>
        </w:rPr>
        <w:t>The Law on Life Partnership of Persons of the Same Sex represents a good basis for further work on improving the rights of LGBTIQ.</w:t>
      </w:r>
    </w:p>
    <w:p w:rsidR="00821936" w:rsidRPr="00BD4287" w:rsidRDefault="008237A9" w:rsidP="00CE35DA">
      <w:pPr>
        <w:jc w:val="both"/>
        <w:rPr>
          <w:sz w:val="24"/>
          <w:szCs w:val="24"/>
        </w:rPr>
      </w:pPr>
      <w:r w:rsidRPr="00BD4287">
        <w:rPr>
          <w:sz w:val="24"/>
          <w:szCs w:val="24"/>
        </w:rPr>
        <w:t>Homophobic and transphobic attitudes are still present, which slows down progress in the field of realizing the rights of members of the LGBTIQ population, so it is necessary for all relevant social actors to intensify activities to promote the rights of members of the LGBTIQ population.</w:t>
      </w:r>
    </w:p>
    <w:p w:rsidR="008237A9" w:rsidRPr="00BD4287" w:rsidRDefault="008237A9" w:rsidP="00CE35DA">
      <w:pPr>
        <w:jc w:val="both"/>
        <w:rPr>
          <w:sz w:val="24"/>
          <w:szCs w:val="24"/>
        </w:rPr>
      </w:pPr>
      <w:r w:rsidRPr="00BD4287">
        <w:rPr>
          <w:sz w:val="24"/>
          <w:szCs w:val="24"/>
        </w:rPr>
        <w:t>Members of the LGBTIQ population must be provided with a safer and more secure environment to live in, which they will freely express their gender identity and sexual orientation, on the bas</w:t>
      </w:r>
      <w:r w:rsidR="005D4851" w:rsidRPr="00BD4287">
        <w:rPr>
          <w:sz w:val="24"/>
          <w:szCs w:val="24"/>
        </w:rPr>
        <w:t>is of equality with others. P</w:t>
      </w:r>
      <w:r w:rsidRPr="00BD4287">
        <w:rPr>
          <w:sz w:val="24"/>
          <w:szCs w:val="24"/>
        </w:rPr>
        <w:t>articular importance is a timely and efficient reaction to crimes committed against LGBTIQ people, especially when these crimes are committed out of prejudice due to their sexual orientation and/or gender identity.</w:t>
      </w:r>
      <w:r w:rsidR="004D3B9A" w:rsidRPr="00BD4287">
        <w:rPr>
          <w:sz w:val="24"/>
          <w:szCs w:val="24"/>
        </w:rPr>
        <w:t xml:space="preserve"> Therefore, it is particularly important that all relevant social actors send a message about the unacceptability and zero tolerance of such illegal behavior through their activities.</w:t>
      </w:r>
    </w:p>
    <w:p w:rsidR="008145E2" w:rsidRPr="00BD4287" w:rsidRDefault="004D3B9A" w:rsidP="00CE35DA">
      <w:pPr>
        <w:jc w:val="both"/>
        <w:rPr>
          <w:i/>
          <w:sz w:val="24"/>
          <w:szCs w:val="24"/>
        </w:rPr>
      </w:pPr>
      <w:r w:rsidRPr="00BD4287">
        <w:rPr>
          <w:i/>
          <w:sz w:val="24"/>
          <w:szCs w:val="24"/>
        </w:rPr>
        <w:t>Considering the situation an</w:t>
      </w:r>
      <w:r w:rsidR="00DB64FF" w:rsidRPr="00BD4287">
        <w:rPr>
          <w:i/>
          <w:sz w:val="24"/>
          <w:szCs w:val="24"/>
        </w:rPr>
        <w:t>d challenges in this area, the O</w:t>
      </w:r>
      <w:r w:rsidRPr="00BD4287">
        <w:rPr>
          <w:i/>
          <w:sz w:val="24"/>
          <w:szCs w:val="24"/>
        </w:rPr>
        <w:t>mbudsman made the following recommendations to state authorities:</w:t>
      </w:r>
    </w:p>
    <w:p w:rsidR="00DB64FF" w:rsidRPr="00BD4287" w:rsidRDefault="00DB64FF" w:rsidP="00CE35DA">
      <w:pPr>
        <w:jc w:val="both"/>
        <w:rPr>
          <w:i/>
          <w:sz w:val="24"/>
          <w:szCs w:val="24"/>
        </w:rPr>
      </w:pPr>
      <w:r w:rsidRPr="00BD4287">
        <w:rPr>
          <w:i/>
          <w:sz w:val="24"/>
          <w:szCs w:val="24"/>
        </w:rPr>
        <w:t>- Bring closer and present in an adequate manner special lines of programs for women from rural areas and economically empower this category of women;</w:t>
      </w:r>
    </w:p>
    <w:p w:rsidR="00594C24" w:rsidRPr="00BD4287" w:rsidRDefault="00DB64FF" w:rsidP="00CE35DA">
      <w:pPr>
        <w:jc w:val="both"/>
        <w:rPr>
          <w:i/>
          <w:sz w:val="24"/>
          <w:szCs w:val="24"/>
        </w:rPr>
      </w:pPr>
      <w:r w:rsidRPr="00BD4287">
        <w:rPr>
          <w:i/>
          <w:sz w:val="24"/>
          <w:szCs w:val="24"/>
        </w:rPr>
        <w:t>-Additionally affirm measures to create conditions for establishing a balance between family and professional life, in order to reduce the gap between women and men when it comes to family and parental responsibilities, as well as unpaid housework;</w:t>
      </w:r>
    </w:p>
    <w:p w:rsidR="00DB64FF" w:rsidRPr="00BD4287" w:rsidRDefault="00DB64FF" w:rsidP="00CE35DA">
      <w:pPr>
        <w:jc w:val="both"/>
        <w:rPr>
          <w:i/>
          <w:sz w:val="24"/>
          <w:szCs w:val="24"/>
        </w:rPr>
      </w:pPr>
      <w:r w:rsidRPr="00BD4287">
        <w:rPr>
          <w:i/>
          <w:sz w:val="24"/>
          <w:szCs w:val="24"/>
        </w:rPr>
        <w:lastRenderedPageBreak/>
        <w:t>-Carry out systematic and regular education of all holders of judicial functions, including advisors, interns, on gender equality in order to further empower them to apply international standards and practice of the European Court of Human Rights in this area and prevent incomplete statistical data when their differentiation in relation to gender and other characteristics is sought;</w:t>
      </w:r>
    </w:p>
    <w:p w:rsidR="00DB64FF" w:rsidRPr="00BD4287" w:rsidRDefault="00DB64FF" w:rsidP="00CE35DA">
      <w:pPr>
        <w:jc w:val="both"/>
        <w:rPr>
          <w:i/>
          <w:sz w:val="24"/>
          <w:szCs w:val="24"/>
        </w:rPr>
      </w:pPr>
      <w:r w:rsidRPr="00BD4287">
        <w:rPr>
          <w:i/>
          <w:sz w:val="24"/>
          <w:szCs w:val="24"/>
        </w:rPr>
        <w:t>-Carry out continuous training of journalists on reporting standards that are compatible with gender equality values, including reporting on gender-based violence, sexism, misogyny, as well as women in sports.</w:t>
      </w:r>
    </w:p>
    <w:p w:rsidR="00AB4B1C" w:rsidRPr="00BD4287" w:rsidRDefault="00AB4B1C" w:rsidP="00CE35DA">
      <w:pPr>
        <w:jc w:val="both"/>
        <w:rPr>
          <w:i/>
          <w:sz w:val="24"/>
          <w:szCs w:val="24"/>
        </w:rPr>
      </w:pPr>
      <w:r w:rsidRPr="00BD4287">
        <w:rPr>
          <w:i/>
          <w:sz w:val="24"/>
          <w:szCs w:val="24"/>
        </w:rPr>
        <w:t xml:space="preserve">- Improve the </w:t>
      </w:r>
      <w:proofErr w:type="spellStart"/>
      <w:r w:rsidRPr="00BD4287">
        <w:rPr>
          <w:i/>
          <w:sz w:val="24"/>
          <w:szCs w:val="24"/>
        </w:rPr>
        <w:t>intersectoral</w:t>
      </w:r>
      <w:proofErr w:type="spellEnd"/>
      <w:r w:rsidRPr="00BD4287">
        <w:rPr>
          <w:i/>
          <w:sz w:val="24"/>
          <w:szCs w:val="24"/>
        </w:rPr>
        <w:t xml:space="preserve"> cooperation between the police and the state prosecutor's office in cases of domestic violence and violence against women, for the sake of complete, effective and efficient protection of victims of domestic violence and gender-based violence.</w:t>
      </w:r>
    </w:p>
    <w:p w:rsidR="00AB4B1C" w:rsidRPr="00BD4287" w:rsidRDefault="00AB4B1C" w:rsidP="00AB4B1C">
      <w:pPr>
        <w:jc w:val="both"/>
        <w:rPr>
          <w:i/>
          <w:sz w:val="24"/>
          <w:szCs w:val="24"/>
        </w:rPr>
      </w:pPr>
      <w:r w:rsidRPr="00BD4287">
        <w:rPr>
          <w:i/>
          <w:sz w:val="24"/>
          <w:szCs w:val="24"/>
        </w:rPr>
        <w:t>- Allocate more significant funds and provide longer-term and more comprehensive programs for the mandatory resocialization of perpetrators of violence in order to reduce the number of returnees to the minimum possible.</w:t>
      </w:r>
    </w:p>
    <w:p w:rsidR="00AB4B1C" w:rsidRPr="00BD4287" w:rsidRDefault="00AB4B1C" w:rsidP="00AB4B1C">
      <w:pPr>
        <w:jc w:val="both"/>
        <w:rPr>
          <w:i/>
          <w:sz w:val="24"/>
          <w:szCs w:val="24"/>
        </w:rPr>
      </w:pPr>
      <w:r w:rsidRPr="00BD4287">
        <w:rPr>
          <w:i/>
          <w:sz w:val="24"/>
          <w:szCs w:val="24"/>
        </w:rPr>
        <w:t>-Improve cooperation between centers for social work and judicial authorities, especially in cases of domestic violence or gender-based violence, victim or child witness.</w:t>
      </w:r>
    </w:p>
    <w:p w:rsidR="00AB4B1C" w:rsidRPr="00BD4287" w:rsidRDefault="00AB4B1C" w:rsidP="00AB4B1C">
      <w:pPr>
        <w:jc w:val="both"/>
        <w:rPr>
          <w:i/>
          <w:sz w:val="24"/>
          <w:szCs w:val="24"/>
        </w:rPr>
      </w:pPr>
      <w:r w:rsidRPr="00BD4287">
        <w:rPr>
          <w:i/>
          <w:sz w:val="24"/>
          <w:szCs w:val="24"/>
        </w:rPr>
        <w:t>- Consider the engagement of additional personnel in centers for social work, primarily social workers and psychologists, who would contribute to the suppression of domestic violence and gender-based violence with their expertise.</w:t>
      </w:r>
    </w:p>
    <w:p w:rsidR="00AB4B1C" w:rsidRPr="00BD4287" w:rsidRDefault="00AB4B1C" w:rsidP="00AB4B1C">
      <w:pPr>
        <w:jc w:val="both"/>
        <w:rPr>
          <w:i/>
          <w:sz w:val="24"/>
          <w:szCs w:val="24"/>
        </w:rPr>
      </w:pPr>
      <w:r w:rsidRPr="00BD4287">
        <w:rPr>
          <w:i/>
          <w:sz w:val="24"/>
          <w:szCs w:val="24"/>
        </w:rPr>
        <w:t>- It is necessary to react to domestic violence and gender-based violence by imposing more efficient and effective sanctions, in order to send a deterrent message to the potential perpetrators of this negative phenomenon.</w:t>
      </w:r>
    </w:p>
    <w:p w:rsidR="00AB4B1C" w:rsidRPr="00BD4287" w:rsidRDefault="00AB4B1C" w:rsidP="00AB4B1C">
      <w:pPr>
        <w:jc w:val="both"/>
        <w:rPr>
          <w:i/>
          <w:sz w:val="24"/>
          <w:szCs w:val="24"/>
        </w:rPr>
      </w:pPr>
      <w:r w:rsidRPr="00BD4287">
        <w:rPr>
          <w:i/>
          <w:sz w:val="24"/>
          <w:szCs w:val="24"/>
        </w:rPr>
        <w:t>-To ensure the full implementation of the Law on Life Partnership of Persons of the Same Sex by adopting all appropriate by-laws and harmonizing the provisions of other related regulations with the provisions of this law;</w:t>
      </w:r>
    </w:p>
    <w:p w:rsidR="00AB4B1C" w:rsidRPr="00BD4287" w:rsidRDefault="00AB4B1C" w:rsidP="00AB4B1C">
      <w:pPr>
        <w:jc w:val="both"/>
        <w:rPr>
          <w:i/>
          <w:sz w:val="24"/>
          <w:szCs w:val="24"/>
        </w:rPr>
      </w:pPr>
      <w:r w:rsidRPr="00BD4287">
        <w:rPr>
          <w:i/>
          <w:sz w:val="24"/>
          <w:szCs w:val="24"/>
        </w:rPr>
        <w:t>- Intensify work on raising the level of awareness of the general population about the rights of LGBTIQ persons with an efficient reaction to crimes committed against the LGBTIQ population</w:t>
      </w:r>
      <w:r w:rsidR="00594C24" w:rsidRPr="00BD4287">
        <w:rPr>
          <w:i/>
          <w:sz w:val="24"/>
          <w:szCs w:val="24"/>
        </w:rPr>
        <w:t>.</w:t>
      </w:r>
    </w:p>
    <w:p w:rsidR="00594C24" w:rsidRDefault="00594C24" w:rsidP="00AB4B1C">
      <w:pPr>
        <w:jc w:val="both"/>
        <w:rPr>
          <w:i/>
          <w:sz w:val="24"/>
          <w:szCs w:val="24"/>
        </w:rPr>
      </w:pPr>
      <w:r w:rsidRPr="00BD4287">
        <w:rPr>
          <w:i/>
          <w:sz w:val="24"/>
          <w:szCs w:val="24"/>
        </w:rPr>
        <w:t>-</w:t>
      </w:r>
      <w:r w:rsidRPr="00BD4287">
        <w:rPr>
          <w:sz w:val="24"/>
          <w:szCs w:val="24"/>
        </w:rPr>
        <w:t xml:space="preserve"> </w:t>
      </w:r>
      <w:r w:rsidRPr="00BD4287">
        <w:rPr>
          <w:i/>
          <w:sz w:val="24"/>
          <w:szCs w:val="24"/>
        </w:rPr>
        <w:t>Providing a continuous supply of hormone therapy for trans women.</w:t>
      </w:r>
    </w:p>
    <w:p w:rsidR="00F2727C" w:rsidRPr="00BD4287" w:rsidRDefault="00F2727C" w:rsidP="00AB4B1C">
      <w:pPr>
        <w:jc w:val="both"/>
        <w:rPr>
          <w:i/>
          <w:sz w:val="24"/>
          <w:szCs w:val="24"/>
        </w:rPr>
      </w:pPr>
    </w:p>
    <w:tbl>
      <w:tblPr>
        <w:tblStyle w:val="TableGrid"/>
        <w:tblW w:w="0" w:type="auto"/>
        <w:tblLook w:val="04A0" w:firstRow="1" w:lastRow="0" w:firstColumn="1" w:lastColumn="0" w:noHBand="0" w:noVBand="1"/>
      </w:tblPr>
      <w:tblGrid>
        <w:gridCol w:w="3685"/>
        <w:gridCol w:w="668"/>
      </w:tblGrid>
      <w:tr w:rsidR="000E25FE" w:rsidRPr="000E25FE" w:rsidTr="000E25FE">
        <w:trPr>
          <w:trHeight w:val="1112"/>
        </w:trPr>
        <w:tc>
          <w:tcPr>
            <w:tcW w:w="4353" w:type="dxa"/>
            <w:gridSpan w:val="2"/>
            <w:tcBorders>
              <w:right w:val="single" w:sz="4" w:space="0" w:color="auto"/>
            </w:tcBorders>
            <w:shd w:val="clear" w:color="auto" w:fill="E2EFD9"/>
          </w:tcPr>
          <w:p w:rsidR="000E25FE" w:rsidRPr="000E25FE" w:rsidRDefault="000E25FE" w:rsidP="000E25FE">
            <w:pPr>
              <w:jc w:val="center"/>
              <w:rPr>
                <w:rFonts w:cs="Calibri"/>
                <w:b/>
                <w:i/>
                <w:sz w:val="24"/>
                <w:szCs w:val="24"/>
                <w:lang w:val="sr-Latn-ME"/>
              </w:rPr>
            </w:pPr>
            <w:r w:rsidRPr="000E25FE">
              <w:rPr>
                <w:rFonts w:cs="Calibri"/>
                <w:b/>
                <w:i/>
                <w:sz w:val="24"/>
                <w:szCs w:val="24"/>
                <w:lang w:val="sr-Latn-ME"/>
              </w:rPr>
              <w:t>The basis of discrimination in the total number</w:t>
            </w:r>
          </w:p>
          <w:p w:rsidR="000E25FE" w:rsidRPr="000E25FE" w:rsidRDefault="000E25FE" w:rsidP="00F2727C">
            <w:pPr>
              <w:jc w:val="center"/>
              <w:rPr>
                <w:rFonts w:cs="Calibri"/>
                <w:b/>
                <w:i/>
                <w:sz w:val="24"/>
                <w:szCs w:val="24"/>
                <w:lang w:val="sr-Latn-ME"/>
              </w:rPr>
            </w:pPr>
            <w:r w:rsidRPr="000E25FE">
              <w:rPr>
                <w:rFonts w:cs="Calibri"/>
                <w:b/>
                <w:i/>
                <w:sz w:val="24"/>
                <w:szCs w:val="24"/>
                <w:lang w:val="sr-Latn-ME"/>
              </w:rPr>
              <w:t xml:space="preserve">of </w:t>
            </w:r>
            <w:r>
              <w:rPr>
                <w:rFonts w:cs="Calibri"/>
                <w:b/>
                <w:i/>
                <w:sz w:val="24"/>
                <w:szCs w:val="24"/>
                <w:lang w:val="sr-Latn-ME"/>
              </w:rPr>
              <w:t>cases of Ombudsperson</w:t>
            </w:r>
            <w:r w:rsidR="00F2727C">
              <w:rPr>
                <w:rFonts w:cs="Calibri"/>
                <w:b/>
                <w:i/>
                <w:sz w:val="24"/>
                <w:szCs w:val="24"/>
                <w:lang w:val="sr-Latn-ME"/>
              </w:rPr>
              <w:t xml:space="preserve"> for the period from January 1st to December 31st 2023</w:t>
            </w:r>
          </w:p>
        </w:tc>
      </w:tr>
      <w:tr w:rsidR="000E25FE" w:rsidRPr="000E25FE" w:rsidTr="000E25FE">
        <w:trPr>
          <w:trHeight w:val="278"/>
        </w:trPr>
        <w:tc>
          <w:tcPr>
            <w:tcW w:w="3685" w:type="dxa"/>
            <w:tcBorders>
              <w:top w:val="single" w:sz="4" w:space="0" w:color="auto"/>
            </w:tcBorders>
            <w:shd w:val="clear" w:color="auto" w:fill="D5DCE4"/>
          </w:tcPr>
          <w:p w:rsidR="000E25FE" w:rsidRPr="000E25FE" w:rsidRDefault="000E25FE" w:rsidP="000E25FE">
            <w:pPr>
              <w:jc w:val="both"/>
              <w:rPr>
                <w:rFonts w:cs="Calibri"/>
                <w:i/>
                <w:noProof/>
                <w:sz w:val="24"/>
                <w:szCs w:val="24"/>
              </w:rPr>
            </w:pPr>
            <w:r>
              <w:rPr>
                <w:rFonts w:cs="Calibri"/>
                <w:i/>
                <w:noProof/>
                <w:sz w:val="24"/>
                <w:szCs w:val="24"/>
              </w:rPr>
              <w:t>C</w:t>
            </w:r>
            <w:r w:rsidRPr="000E25FE">
              <w:rPr>
                <w:rFonts w:cs="Calibri"/>
                <w:i/>
                <w:noProof/>
                <w:sz w:val="24"/>
                <w:szCs w:val="24"/>
              </w:rPr>
              <w:t>olor of the skin</w:t>
            </w:r>
          </w:p>
        </w:tc>
        <w:tc>
          <w:tcPr>
            <w:tcW w:w="668" w:type="dxa"/>
            <w:tcBorders>
              <w:top w:val="single" w:sz="4" w:space="0" w:color="auto"/>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1</w:t>
            </w:r>
          </w:p>
        </w:tc>
      </w:tr>
      <w:tr w:rsidR="000E25FE" w:rsidRPr="000E25FE" w:rsidTr="000E25FE">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National affiliation</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28</w:t>
            </w:r>
          </w:p>
        </w:tc>
      </w:tr>
      <w:tr w:rsidR="000E25FE" w:rsidRPr="000E25FE" w:rsidTr="000E25FE">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Social or ethnic origin</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10</w:t>
            </w:r>
          </w:p>
        </w:tc>
      </w:tr>
      <w:tr w:rsidR="000E25FE" w:rsidRPr="000E25FE" w:rsidTr="000E25FE">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lastRenderedPageBreak/>
              <w:t>Language</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3</w:t>
            </w:r>
          </w:p>
        </w:tc>
      </w:tr>
      <w:tr w:rsidR="000E25FE" w:rsidRPr="000E25FE" w:rsidTr="000E25FE">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Faith or belief</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8</w:t>
            </w:r>
          </w:p>
        </w:tc>
      </w:tr>
      <w:tr w:rsidR="000E25FE" w:rsidRPr="000E25FE" w:rsidTr="000E25FE">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Political opinion or other opinion</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8</w:t>
            </w:r>
          </w:p>
        </w:tc>
      </w:tr>
      <w:tr w:rsidR="000E25FE" w:rsidRPr="000E25FE" w:rsidTr="000E25FE">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Sex, sex change, gender identity</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11</w:t>
            </w:r>
          </w:p>
        </w:tc>
      </w:tr>
      <w:tr w:rsidR="000E25FE" w:rsidRPr="000E25FE" w:rsidTr="000E25FE">
        <w:tc>
          <w:tcPr>
            <w:tcW w:w="3685" w:type="dxa"/>
            <w:tcBorders>
              <w:bottom w:val="single" w:sz="4" w:space="0" w:color="auto"/>
            </w:tcBorders>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Sexual orientation and/or intersexual characteristics</w:t>
            </w:r>
          </w:p>
        </w:tc>
        <w:tc>
          <w:tcPr>
            <w:tcW w:w="668" w:type="dxa"/>
            <w:tcBorders>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4</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685" w:type="dxa"/>
            <w:tcBorders>
              <w:top w:val="single" w:sz="4" w:space="0" w:color="auto"/>
              <w:left w:val="single" w:sz="4" w:space="0" w:color="auto"/>
              <w:right w:val="single" w:sz="4" w:space="0" w:color="auto"/>
            </w:tcBorders>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Health condition</w:t>
            </w:r>
          </w:p>
        </w:tc>
        <w:tc>
          <w:tcPr>
            <w:tcW w:w="668" w:type="dxa"/>
            <w:tcBorders>
              <w:left w:val="single" w:sz="4" w:space="0" w:color="auto"/>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5</w:t>
            </w:r>
          </w:p>
        </w:tc>
      </w:tr>
      <w:tr w:rsidR="000E25FE" w:rsidRPr="000E25FE" w:rsidTr="000E2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
        </w:trPr>
        <w:tc>
          <w:tcPr>
            <w:tcW w:w="3685" w:type="dxa"/>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Disability</w:t>
            </w:r>
          </w:p>
        </w:tc>
        <w:tc>
          <w:tcPr>
            <w:tcW w:w="668" w:type="dxa"/>
            <w:tcBorders>
              <w:right w:val="single" w:sz="4" w:space="0" w:color="auto"/>
            </w:tcBorders>
            <w:shd w:val="clear" w:color="auto" w:fill="FBE4D5"/>
          </w:tcPr>
          <w:p w:rsidR="000E25FE" w:rsidRPr="000E25FE" w:rsidRDefault="000E25FE" w:rsidP="000E25FE">
            <w:pPr>
              <w:rPr>
                <w:rFonts w:cs="Calibri"/>
                <w:i/>
                <w:sz w:val="24"/>
                <w:szCs w:val="24"/>
              </w:rPr>
            </w:pPr>
            <w:r w:rsidRPr="000E25FE">
              <w:rPr>
                <w:rFonts w:cs="Calibri"/>
                <w:i/>
                <w:sz w:val="24"/>
                <w:szCs w:val="24"/>
              </w:rPr>
              <w:t>20</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685" w:type="dxa"/>
            <w:tcBorders>
              <w:top w:val="single" w:sz="4" w:space="0" w:color="auto"/>
              <w:left w:val="single" w:sz="4" w:space="0" w:color="auto"/>
              <w:bottom w:val="single" w:sz="4" w:space="0" w:color="auto"/>
              <w:right w:val="single" w:sz="4" w:space="0" w:color="auto"/>
            </w:tcBorders>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Age</w:t>
            </w:r>
          </w:p>
        </w:tc>
        <w:tc>
          <w:tcPr>
            <w:tcW w:w="668" w:type="dxa"/>
            <w:tcBorders>
              <w:left w:val="single" w:sz="4" w:space="0" w:color="auto"/>
              <w:bottom w:val="single" w:sz="4" w:space="0" w:color="auto"/>
              <w:right w:val="single" w:sz="4" w:space="0" w:color="auto"/>
            </w:tcBorders>
            <w:shd w:val="clear" w:color="auto" w:fill="FBE4D5"/>
          </w:tcPr>
          <w:p w:rsidR="000E25FE" w:rsidRPr="000E25FE" w:rsidRDefault="000E25FE" w:rsidP="000E25FE">
            <w:pPr>
              <w:jc w:val="both"/>
              <w:rPr>
                <w:rFonts w:cs="Calibri"/>
                <w:i/>
                <w:noProof/>
                <w:sz w:val="24"/>
                <w:szCs w:val="24"/>
              </w:rPr>
            </w:pPr>
            <w:r w:rsidRPr="000E25FE">
              <w:rPr>
                <w:rFonts w:cs="Calibri"/>
                <w:i/>
                <w:noProof/>
                <w:sz w:val="24"/>
                <w:szCs w:val="24"/>
              </w:rPr>
              <w:t xml:space="preserve">  3</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2"/>
        </w:trPr>
        <w:tc>
          <w:tcPr>
            <w:tcW w:w="3685" w:type="dxa"/>
            <w:tcBorders>
              <w:left w:val="single" w:sz="4" w:space="0" w:color="auto"/>
              <w:bottom w:val="single" w:sz="4" w:space="0" w:color="auto"/>
              <w:right w:val="single" w:sz="4" w:space="0" w:color="auto"/>
            </w:tcBorders>
            <w:shd w:val="clear" w:color="auto" w:fill="D5DCE4"/>
          </w:tcPr>
          <w:p w:rsidR="000E25FE" w:rsidRPr="000E25FE" w:rsidRDefault="000E25FE" w:rsidP="000E25FE">
            <w:pPr>
              <w:jc w:val="both"/>
              <w:rPr>
                <w:rFonts w:cs="Calibri"/>
                <w:i/>
                <w:noProof/>
                <w:sz w:val="24"/>
                <w:szCs w:val="24"/>
              </w:rPr>
            </w:pPr>
            <w:r w:rsidRPr="000E25FE">
              <w:rPr>
                <w:rFonts w:cs="Calibri"/>
                <w:i/>
                <w:noProof/>
                <w:sz w:val="24"/>
                <w:szCs w:val="24"/>
              </w:rPr>
              <w:t>Marital or family status</w:t>
            </w:r>
          </w:p>
        </w:tc>
        <w:tc>
          <w:tcPr>
            <w:tcW w:w="668" w:type="dxa"/>
            <w:tcBorders>
              <w:top w:val="nil"/>
              <w:bottom w:val="single" w:sz="4" w:space="0" w:color="auto"/>
              <w:right w:val="single" w:sz="4" w:space="0" w:color="auto"/>
            </w:tcBorders>
            <w:shd w:val="clear" w:color="auto" w:fill="FBE4D5"/>
          </w:tcPr>
          <w:p w:rsidR="000E25FE" w:rsidRPr="000E25FE" w:rsidRDefault="000E25FE" w:rsidP="000E25FE">
            <w:pPr>
              <w:rPr>
                <w:rFonts w:cs="Calibri"/>
                <w:i/>
                <w:noProof/>
                <w:sz w:val="24"/>
                <w:szCs w:val="24"/>
              </w:rPr>
            </w:pPr>
            <w:r w:rsidRPr="000E25FE">
              <w:rPr>
                <w:rFonts w:cs="Calibri"/>
                <w:i/>
                <w:noProof/>
                <w:sz w:val="24"/>
                <w:szCs w:val="24"/>
              </w:rPr>
              <w:t xml:space="preserve">  6</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0"/>
        </w:trPr>
        <w:tc>
          <w:tcPr>
            <w:tcW w:w="3685" w:type="dxa"/>
            <w:tcBorders>
              <w:top w:val="single" w:sz="4" w:space="0" w:color="auto"/>
              <w:left w:val="single" w:sz="4" w:space="0" w:color="auto"/>
              <w:bottom w:val="single" w:sz="4" w:space="0" w:color="auto"/>
              <w:right w:val="single" w:sz="4" w:space="0" w:color="auto"/>
            </w:tcBorders>
            <w:shd w:val="clear" w:color="auto" w:fill="D5DCE4"/>
          </w:tcPr>
          <w:p w:rsidR="000E25FE" w:rsidRPr="000E25FE" w:rsidRDefault="003F2045" w:rsidP="000E25FE">
            <w:pPr>
              <w:jc w:val="both"/>
              <w:rPr>
                <w:rFonts w:cs="Calibri"/>
                <w:i/>
                <w:noProof/>
                <w:sz w:val="24"/>
                <w:szCs w:val="24"/>
              </w:rPr>
            </w:pPr>
            <w:r w:rsidRPr="003F2045">
              <w:rPr>
                <w:rFonts w:cs="Calibri"/>
                <w:i/>
                <w:noProof/>
                <w:sz w:val="24"/>
                <w:szCs w:val="24"/>
              </w:rPr>
              <w:t>Belonging to a group or presumption of belonging to a group, political party or other organization</w:t>
            </w:r>
          </w:p>
        </w:tc>
        <w:tc>
          <w:tcPr>
            <w:tcW w:w="668" w:type="dxa"/>
            <w:tcBorders>
              <w:top w:val="single" w:sz="4" w:space="0" w:color="auto"/>
              <w:bottom w:val="single" w:sz="4" w:space="0" w:color="auto"/>
              <w:right w:val="single" w:sz="4" w:space="0" w:color="auto"/>
            </w:tcBorders>
            <w:shd w:val="clear" w:color="auto" w:fill="FBE4D5"/>
          </w:tcPr>
          <w:p w:rsidR="000E25FE" w:rsidRPr="000E25FE" w:rsidRDefault="000E25FE" w:rsidP="000E25FE">
            <w:pPr>
              <w:rPr>
                <w:rFonts w:cs="Calibri"/>
                <w:i/>
                <w:noProof/>
                <w:sz w:val="24"/>
                <w:szCs w:val="24"/>
              </w:rPr>
            </w:pPr>
          </w:p>
          <w:p w:rsidR="000E25FE" w:rsidRPr="000E25FE" w:rsidRDefault="000E25FE" w:rsidP="000E25FE">
            <w:pPr>
              <w:rPr>
                <w:rFonts w:cs="Calibri"/>
                <w:i/>
                <w:noProof/>
                <w:sz w:val="24"/>
                <w:szCs w:val="24"/>
              </w:rPr>
            </w:pPr>
            <w:r w:rsidRPr="000E25FE">
              <w:rPr>
                <w:rFonts w:cs="Calibri"/>
                <w:i/>
                <w:noProof/>
                <w:sz w:val="24"/>
                <w:szCs w:val="24"/>
              </w:rPr>
              <w:t>31</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2"/>
        </w:trPr>
        <w:tc>
          <w:tcPr>
            <w:tcW w:w="3685" w:type="dxa"/>
            <w:tcBorders>
              <w:top w:val="single" w:sz="4" w:space="0" w:color="auto"/>
              <w:left w:val="single" w:sz="4" w:space="0" w:color="auto"/>
              <w:bottom w:val="single" w:sz="4" w:space="0" w:color="auto"/>
              <w:right w:val="single" w:sz="4" w:space="0" w:color="auto"/>
            </w:tcBorders>
            <w:shd w:val="clear" w:color="auto" w:fill="D5DCE4"/>
          </w:tcPr>
          <w:p w:rsidR="000E25FE" w:rsidRPr="000E25FE" w:rsidRDefault="003F2045" w:rsidP="000E25FE">
            <w:pPr>
              <w:jc w:val="both"/>
              <w:rPr>
                <w:rFonts w:cs="Calibri"/>
                <w:i/>
                <w:noProof/>
                <w:sz w:val="24"/>
                <w:szCs w:val="24"/>
              </w:rPr>
            </w:pPr>
            <w:r>
              <w:rPr>
                <w:rFonts w:cs="Calibri"/>
                <w:i/>
                <w:noProof/>
                <w:sz w:val="24"/>
                <w:szCs w:val="24"/>
              </w:rPr>
              <w:t>Connection with minority group</w:t>
            </w:r>
          </w:p>
        </w:tc>
        <w:tc>
          <w:tcPr>
            <w:tcW w:w="668" w:type="dxa"/>
            <w:tcBorders>
              <w:top w:val="single" w:sz="4" w:space="0" w:color="auto"/>
              <w:bottom w:val="single" w:sz="4" w:space="0" w:color="auto"/>
              <w:right w:val="single" w:sz="4" w:space="0" w:color="auto"/>
            </w:tcBorders>
            <w:shd w:val="clear" w:color="auto" w:fill="FBE4D5"/>
          </w:tcPr>
          <w:p w:rsidR="000E25FE" w:rsidRPr="000E25FE" w:rsidRDefault="000E25FE" w:rsidP="000E25FE">
            <w:pPr>
              <w:rPr>
                <w:rFonts w:cs="Calibri"/>
                <w:i/>
                <w:noProof/>
                <w:sz w:val="24"/>
                <w:szCs w:val="24"/>
              </w:rPr>
            </w:pPr>
            <w:r w:rsidRPr="000E25FE">
              <w:rPr>
                <w:rFonts w:cs="Calibri"/>
                <w:i/>
                <w:noProof/>
                <w:sz w:val="24"/>
                <w:szCs w:val="24"/>
              </w:rPr>
              <w:t xml:space="preserve">   1</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5"/>
        </w:trPr>
        <w:tc>
          <w:tcPr>
            <w:tcW w:w="3685" w:type="dxa"/>
            <w:tcBorders>
              <w:top w:val="single" w:sz="4" w:space="0" w:color="auto"/>
              <w:left w:val="single" w:sz="4" w:space="0" w:color="auto"/>
              <w:bottom w:val="single" w:sz="4" w:space="0" w:color="auto"/>
              <w:right w:val="single" w:sz="4" w:space="0" w:color="auto"/>
            </w:tcBorders>
            <w:shd w:val="clear" w:color="auto" w:fill="D5DCE4"/>
          </w:tcPr>
          <w:p w:rsidR="000E25FE" w:rsidRPr="000E25FE" w:rsidRDefault="003F2045" w:rsidP="000E25FE">
            <w:pPr>
              <w:jc w:val="both"/>
              <w:rPr>
                <w:rFonts w:cs="Calibri"/>
                <w:i/>
                <w:noProof/>
                <w:sz w:val="24"/>
                <w:szCs w:val="24"/>
              </w:rPr>
            </w:pPr>
            <w:r>
              <w:rPr>
                <w:rFonts w:cs="Calibri"/>
                <w:i/>
                <w:noProof/>
                <w:sz w:val="24"/>
                <w:szCs w:val="24"/>
              </w:rPr>
              <w:t>Other basis of discrimination</w:t>
            </w:r>
          </w:p>
        </w:tc>
        <w:tc>
          <w:tcPr>
            <w:tcW w:w="668" w:type="dxa"/>
            <w:tcBorders>
              <w:top w:val="single" w:sz="4" w:space="0" w:color="auto"/>
              <w:bottom w:val="single" w:sz="4" w:space="0" w:color="auto"/>
              <w:right w:val="single" w:sz="4" w:space="0" w:color="auto"/>
            </w:tcBorders>
            <w:shd w:val="clear" w:color="auto" w:fill="FBE4D5"/>
          </w:tcPr>
          <w:p w:rsidR="000E25FE" w:rsidRPr="000E25FE" w:rsidRDefault="000E25FE" w:rsidP="000E25FE">
            <w:pPr>
              <w:rPr>
                <w:rFonts w:cs="Calibri"/>
                <w:i/>
                <w:noProof/>
                <w:sz w:val="24"/>
                <w:szCs w:val="24"/>
              </w:rPr>
            </w:pPr>
            <w:r w:rsidRPr="000E25FE">
              <w:rPr>
                <w:rFonts w:cs="Calibri"/>
                <w:i/>
                <w:noProof/>
                <w:sz w:val="24"/>
                <w:szCs w:val="24"/>
              </w:rPr>
              <w:t xml:space="preserve"> 27</w:t>
            </w:r>
          </w:p>
        </w:tc>
      </w:tr>
      <w:tr w:rsidR="000E25FE" w:rsidRPr="000E25FE" w:rsidTr="000E25F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30"/>
        </w:trPr>
        <w:tc>
          <w:tcPr>
            <w:tcW w:w="3685" w:type="dxa"/>
            <w:tcBorders>
              <w:top w:val="single" w:sz="4" w:space="0" w:color="auto"/>
              <w:left w:val="single" w:sz="4" w:space="0" w:color="auto"/>
              <w:bottom w:val="single" w:sz="4" w:space="0" w:color="auto"/>
              <w:right w:val="single" w:sz="4" w:space="0" w:color="auto"/>
            </w:tcBorders>
            <w:shd w:val="clear" w:color="auto" w:fill="D5DCE4"/>
          </w:tcPr>
          <w:p w:rsidR="000E25FE" w:rsidRPr="000E25FE" w:rsidRDefault="003F2045" w:rsidP="000E25FE">
            <w:pPr>
              <w:jc w:val="both"/>
              <w:rPr>
                <w:rFonts w:cs="Calibri"/>
                <w:i/>
                <w:noProof/>
                <w:sz w:val="24"/>
                <w:szCs w:val="24"/>
              </w:rPr>
            </w:pPr>
            <w:r>
              <w:rPr>
                <w:rFonts w:cs="Calibri"/>
                <w:i/>
                <w:noProof/>
                <w:sz w:val="24"/>
                <w:szCs w:val="24"/>
              </w:rPr>
              <w:t>Without basis of discrimination</w:t>
            </w:r>
          </w:p>
        </w:tc>
        <w:tc>
          <w:tcPr>
            <w:tcW w:w="668" w:type="dxa"/>
            <w:tcBorders>
              <w:top w:val="single" w:sz="4" w:space="0" w:color="auto"/>
              <w:bottom w:val="single" w:sz="4" w:space="0" w:color="auto"/>
              <w:right w:val="single" w:sz="4" w:space="0" w:color="auto"/>
            </w:tcBorders>
            <w:shd w:val="clear" w:color="auto" w:fill="FBE4D5"/>
          </w:tcPr>
          <w:p w:rsidR="000E25FE" w:rsidRPr="000E25FE" w:rsidRDefault="000E25FE" w:rsidP="000E25FE">
            <w:pPr>
              <w:rPr>
                <w:rFonts w:cs="Calibri"/>
                <w:i/>
                <w:noProof/>
                <w:sz w:val="24"/>
                <w:szCs w:val="24"/>
              </w:rPr>
            </w:pPr>
            <w:r w:rsidRPr="000E25FE">
              <w:rPr>
                <w:rFonts w:cs="Calibri"/>
                <w:i/>
                <w:noProof/>
                <w:sz w:val="24"/>
                <w:szCs w:val="24"/>
              </w:rPr>
              <w:t xml:space="preserve"> 77</w:t>
            </w:r>
          </w:p>
          <w:p w:rsidR="000E25FE" w:rsidRPr="000E25FE" w:rsidRDefault="000E25FE" w:rsidP="000E25FE">
            <w:pPr>
              <w:rPr>
                <w:rFonts w:cs="Calibri"/>
                <w:i/>
                <w:noProof/>
                <w:sz w:val="24"/>
                <w:szCs w:val="24"/>
              </w:rPr>
            </w:pPr>
          </w:p>
        </w:tc>
      </w:tr>
      <w:tr w:rsidR="000E25FE" w:rsidRPr="000E25FE" w:rsidTr="000E2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
        </w:trPr>
        <w:tc>
          <w:tcPr>
            <w:tcW w:w="3685" w:type="dxa"/>
            <w:shd w:val="clear" w:color="auto" w:fill="DEEAF6"/>
          </w:tcPr>
          <w:p w:rsidR="000E25FE" w:rsidRPr="000E25FE" w:rsidRDefault="003F2045" w:rsidP="000E25FE">
            <w:pPr>
              <w:jc w:val="both"/>
              <w:rPr>
                <w:rFonts w:cs="Calibri"/>
                <w:b/>
                <w:noProof/>
                <w:sz w:val="24"/>
                <w:szCs w:val="24"/>
              </w:rPr>
            </w:pPr>
            <w:r>
              <w:rPr>
                <w:rFonts w:cs="Calibri"/>
                <w:b/>
                <w:noProof/>
                <w:sz w:val="24"/>
                <w:szCs w:val="24"/>
              </w:rPr>
              <w:t>In total</w:t>
            </w:r>
          </w:p>
        </w:tc>
        <w:tc>
          <w:tcPr>
            <w:tcW w:w="668" w:type="dxa"/>
            <w:shd w:val="clear" w:color="auto" w:fill="FBE4D5"/>
          </w:tcPr>
          <w:p w:rsidR="000E25FE" w:rsidRPr="000E25FE" w:rsidRDefault="000E25FE" w:rsidP="000E25FE">
            <w:pPr>
              <w:jc w:val="both"/>
              <w:rPr>
                <w:rFonts w:cs="Calibri"/>
                <w:b/>
                <w:noProof/>
                <w:sz w:val="24"/>
                <w:szCs w:val="24"/>
              </w:rPr>
            </w:pPr>
            <w:r w:rsidRPr="000E25FE">
              <w:rPr>
                <w:rFonts w:cs="Calibri"/>
                <w:b/>
                <w:noProof/>
                <w:sz w:val="24"/>
                <w:szCs w:val="24"/>
              </w:rPr>
              <w:t>243</w:t>
            </w:r>
          </w:p>
        </w:tc>
      </w:tr>
    </w:tbl>
    <w:p w:rsidR="00DB64FF" w:rsidRPr="00BD4287" w:rsidRDefault="00DB64FF" w:rsidP="00CE35DA">
      <w:pPr>
        <w:jc w:val="both"/>
        <w:rPr>
          <w:sz w:val="24"/>
          <w:szCs w:val="24"/>
        </w:rPr>
      </w:pPr>
    </w:p>
    <w:sectPr w:rsidR="00DB64FF" w:rsidRPr="00BD428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1FD" w:rsidRDefault="00DB31FD" w:rsidP="009171A2">
      <w:pPr>
        <w:spacing w:after="0" w:line="240" w:lineRule="auto"/>
      </w:pPr>
      <w:r>
        <w:separator/>
      </w:r>
    </w:p>
  </w:endnote>
  <w:endnote w:type="continuationSeparator" w:id="0">
    <w:p w:rsidR="00DB31FD" w:rsidRDefault="00DB31FD" w:rsidP="00917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503040"/>
      <w:docPartObj>
        <w:docPartGallery w:val="Page Numbers (Bottom of Page)"/>
        <w:docPartUnique/>
      </w:docPartObj>
    </w:sdtPr>
    <w:sdtEndPr>
      <w:rPr>
        <w:noProof/>
      </w:rPr>
    </w:sdtEndPr>
    <w:sdtContent>
      <w:p w:rsidR="003C412C" w:rsidRDefault="003C412C">
        <w:pPr>
          <w:pStyle w:val="Footer"/>
          <w:jc w:val="right"/>
        </w:pPr>
        <w:r>
          <w:fldChar w:fldCharType="begin"/>
        </w:r>
        <w:r>
          <w:instrText xml:space="preserve"> PAGE   \* MERGEFORMAT </w:instrText>
        </w:r>
        <w:r>
          <w:fldChar w:fldCharType="separate"/>
        </w:r>
        <w:r w:rsidR="00F2727C">
          <w:rPr>
            <w:noProof/>
          </w:rPr>
          <w:t>6</w:t>
        </w:r>
        <w:r>
          <w:rPr>
            <w:noProof/>
          </w:rPr>
          <w:fldChar w:fldCharType="end"/>
        </w:r>
      </w:p>
    </w:sdtContent>
  </w:sdt>
  <w:p w:rsidR="003C412C" w:rsidRDefault="003C41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1FD" w:rsidRDefault="00DB31FD" w:rsidP="009171A2">
      <w:pPr>
        <w:spacing w:after="0" w:line="240" w:lineRule="auto"/>
      </w:pPr>
      <w:r>
        <w:separator/>
      </w:r>
    </w:p>
  </w:footnote>
  <w:footnote w:type="continuationSeparator" w:id="0">
    <w:p w:rsidR="00DB31FD" w:rsidRDefault="00DB31FD" w:rsidP="00917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5DA"/>
    <w:rsid w:val="0006291E"/>
    <w:rsid w:val="000B09FC"/>
    <w:rsid w:val="000E25FE"/>
    <w:rsid w:val="002A1577"/>
    <w:rsid w:val="003348DB"/>
    <w:rsid w:val="0039306F"/>
    <w:rsid w:val="003C412C"/>
    <w:rsid w:val="003F2045"/>
    <w:rsid w:val="004171DE"/>
    <w:rsid w:val="00420F79"/>
    <w:rsid w:val="004D3B9A"/>
    <w:rsid w:val="004D3C51"/>
    <w:rsid w:val="0050219A"/>
    <w:rsid w:val="005617AC"/>
    <w:rsid w:val="00594C24"/>
    <w:rsid w:val="005D4851"/>
    <w:rsid w:val="005D4F74"/>
    <w:rsid w:val="005E1B97"/>
    <w:rsid w:val="00660FBD"/>
    <w:rsid w:val="006A43DF"/>
    <w:rsid w:val="007154AD"/>
    <w:rsid w:val="00715A36"/>
    <w:rsid w:val="007268F8"/>
    <w:rsid w:val="0075636B"/>
    <w:rsid w:val="007B3C8A"/>
    <w:rsid w:val="007D78C5"/>
    <w:rsid w:val="008145E2"/>
    <w:rsid w:val="00821936"/>
    <w:rsid w:val="008237A9"/>
    <w:rsid w:val="0085441D"/>
    <w:rsid w:val="008E3233"/>
    <w:rsid w:val="009171A2"/>
    <w:rsid w:val="009E390E"/>
    <w:rsid w:val="00A64FB6"/>
    <w:rsid w:val="00AB4B1C"/>
    <w:rsid w:val="00BB4D73"/>
    <w:rsid w:val="00BD4287"/>
    <w:rsid w:val="00BF7003"/>
    <w:rsid w:val="00C51B5A"/>
    <w:rsid w:val="00C85F48"/>
    <w:rsid w:val="00CE35DA"/>
    <w:rsid w:val="00CE53F3"/>
    <w:rsid w:val="00DB31FD"/>
    <w:rsid w:val="00DB64FF"/>
    <w:rsid w:val="00DD0079"/>
    <w:rsid w:val="00F2727C"/>
    <w:rsid w:val="00FD6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1954"/>
  <w15:chartTrackingRefBased/>
  <w15:docId w15:val="{03FCEEC3-764F-44EE-A632-FFE50DDB3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5FE"/>
    <w:pPr>
      <w:spacing w:after="0" w:line="240" w:lineRule="auto"/>
    </w:pPr>
    <w:rPr>
      <w:rFonts w:ascii="Calibri" w:eastAsia="Calibri" w:hAnsi="Calibri" w:cs="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F2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045"/>
    <w:rPr>
      <w:rFonts w:ascii="Segoe UI" w:hAnsi="Segoe UI" w:cs="Segoe UI"/>
      <w:sz w:val="18"/>
      <w:szCs w:val="18"/>
    </w:rPr>
  </w:style>
  <w:style w:type="paragraph" w:styleId="Header">
    <w:name w:val="header"/>
    <w:basedOn w:val="Normal"/>
    <w:link w:val="HeaderChar"/>
    <w:unhideWhenUsed/>
    <w:rsid w:val="009171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A2"/>
  </w:style>
  <w:style w:type="paragraph" w:styleId="Footer">
    <w:name w:val="footer"/>
    <w:basedOn w:val="Normal"/>
    <w:link w:val="FooterChar"/>
    <w:uiPriority w:val="99"/>
    <w:unhideWhenUsed/>
    <w:rsid w:val="009171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A2"/>
  </w:style>
  <w:style w:type="character" w:styleId="Hyperlink">
    <w:name w:val="Hyperlink"/>
    <w:basedOn w:val="DefaultParagraphFont"/>
    <w:uiPriority w:val="99"/>
    <w:unhideWhenUsed/>
    <w:rsid w:val="009171A2"/>
    <w:rPr>
      <w:color w:val="0563C1" w:themeColor="hyperlink"/>
      <w:u w:val="single"/>
    </w:rPr>
  </w:style>
  <w:style w:type="paragraph" w:styleId="NoSpacing">
    <w:name w:val="No Spacing"/>
    <w:uiPriority w:val="1"/>
    <w:qFormat/>
    <w:rsid w:val="009171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budsman@t-com.me"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ombudsman.co.me/"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1FFF33-8600-446D-A2EB-EF4BB655232B}"/>
</file>

<file path=customXml/itemProps2.xml><?xml version="1.0" encoding="utf-8"?>
<ds:datastoreItem xmlns:ds="http://schemas.openxmlformats.org/officeDocument/2006/customXml" ds:itemID="{2E701947-09F9-47F9-BEF5-E43B03231BE8}"/>
</file>

<file path=docProps/app.xml><?xml version="1.0" encoding="utf-8"?>
<Properties xmlns="http://schemas.openxmlformats.org/officeDocument/2006/extended-properties" xmlns:vt="http://schemas.openxmlformats.org/officeDocument/2006/docPropsVTypes">
  <Template>Normal</Template>
  <TotalTime>427</TotalTime>
  <Pages>6</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8</cp:revision>
  <cp:lastPrinted>2024-04-19T07:58:00Z</cp:lastPrinted>
  <dcterms:created xsi:type="dcterms:W3CDTF">2024-04-17T07:55:00Z</dcterms:created>
  <dcterms:modified xsi:type="dcterms:W3CDTF">2024-04-19T09:03:00Z</dcterms:modified>
</cp:coreProperties>
</file>