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EA7EC" w14:textId="77777777" w:rsidR="0077439A" w:rsidRPr="006F74DB" w:rsidRDefault="0077439A" w:rsidP="0077439A">
      <w:pPr>
        <w:pStyle w:val="absatzschattenbericht"/>
        <w:rPr>
          <w:sz w:val="20"/>
          <w:szCs w:val="20"/>
          <w:lang w:val="en-GB"/>
        </w:rPr>
      </w:pPr>
    </w:p>
    <w:p w14:paraId="0F8CE01B" w14:textId="77777777" w:rsidR="0077439A" w:rsidRPr="006F74DB" w:rsidRDefault="0077439A" w:rsidP="0077439A">
      <w:pPr>
        <w:pStyle w:val="absatzschattenbericht"/>
        <w:rPr>
          <w:sz w:val="20"/>
          <w:szCs w:val="20"/>
          <w:lang w:val="en-GB"/>
        </w:rPr>
      </w:pPr>
    </w:p>
    <w:p w14:paraId="2A7E1758" w14:textId="77777777" w:rsidR="00264BCF" w:rsidRPr="006F74DB" w:rsidRDefault="00264BCF" w:rsidP="00264BCF">
      <w:pPr>
        <w:pStyle w:val="absatzschattenbericht"/>
        <w:rPr>
          <w:sz w:val="12"/>
          <w:szCs w:val="12"/>
          <w:lang w:val="en-GB"/>
        </w:rPr>
      </w:pPr>
    </w:p>
    <w:p w14:paraId="425252E6" w14:textId="77777777" w:rsidR="00234057" w:rsidRPr="006F74DB" w:rsidRDefault="00234057" w:rsidP="00234057">
      <w:pPr>
        <w:pStyle w:val="Title1"/>
        <w:rPr>
          <w:lang w:val="en-GB"/>
        </w:rPr>
      </w:pPr>
      <w:r w:rsidRPr="006F74DB">
        <w:rPr>
          <w:lang w:val="en-GB"/>
        </w:rPr>
        <w:t xml:space="preserve">Intersex Genital Mutilation in </w:t>
      </w:r>
      <w:r w:rsidR="0087531B">
        <w:rPr>
          <w:lang w:val="en-GB"/>
        </w:rPr>
        <w:t>Norway</w:t>
      </w:r>
      <w:r w:rsidRPr="006F74DB">
        <w:rPr>
          <w:lang w:val="en-GB"/>
        </w:rPr>
        <w:t>: Update to LOIPR Report</w:t>
      </w:r>
    </w:p>
    <w:p w14:paraId="6B4329C7" w14:textId="77777777" w:rsidR="00D03DB6" w:rsidRPr="006F74DB" w:rsidRDefault="00D03DB6" w:rsidP="003F2F4F">
      <w:pPr>
        <w:pStyle w:val="absatzschattenbericht"/>
        <w:rPr>
          <w:sz w:val="12"/>
          <w:szCs w:val="12"/>
          <w:lang w:val="en-GB"/>
        </w:rPr>
      </w:pPr>
    </w:p>
    <w:p w14:paraId="0AA6AA89" w14:textId="77777777" w:rsidR="00F04FA6" w:rsidRPr="008C67FE" w:rsidRDefault="00F04FA6" w:rsidP="00F04FA6">
      <w:pPr>
        <w:pStyle w:val="absatzschattenbericht"/>
        <w:spacing w:after="20"/>
        <w:rPr>
          <w:rFonts w:eastAsia="Baskerville-SemiBold" w:cs="Times New Roman"/>
          <w:i/>
          <w:iCs/>
          <w:sz w:val="22"/>
          <w:szCs w:val="22"/>
          <w:lang w:val="en-GB"/>
        </w:rPr>
      </w:pPr>
      <w:r w:rsidRPr="008C67FE">
        <w:rPr>
          <w:rFonts w:eastAsia="Baskerville-SemiBold" w:cs="Times New Roman"/>
          <w:i/>
          <w:iCs/>
          <w:sz w:val="22"/>
          <w:szCs w:val="22"/>
          <w:lang w:val="en-GB"/>
        </w:rPr>
        <w:t>We</w:t>
      </w:r>
      <w:r w:rsidR="00D03DB6" w:rsidRPr="008C67FE">
        <w:rPr>
          <w:rFonts w:eastAsia="Baskerville-SemiBold" w:cs="Times New Roman"/>
          <w:i/>
          <w:iCs/>
          <w:sz w:val="22"/>
          <w:szCs w:val="22"/>
          <w:lang w:val="en-GB"/>
        </w:rPr>
        <w:t xml:space="preserve">’d like to dedicate </w:t>
      </w:r>
      <w:r w:rsidRPr="008C67FE">
        <w:rPr>
          <w:rFonts w:eastAsia="Baskerville-SemiBold" w:cs="Times New Roman"/>
          <w:i/>
          <w:iCs/>
          <w:sz w:val="22"/>
          <w:szCs w:val="22"/>
          <w:lang w:val="en-GB"/>
        </w:rPr>
        <w:t xml:space="preserve">this </w:t>
      </w:r>
      <w:r w:rsidR="00D03DB6" w:rsidRPr="008C67FE">
        <w:rPr>
          <w:rFonts w:eastAsia="Baskerville-SemiBold" w:cs="Times New Roman"/>
          <w:i/>
          <w:iCs/>
          <w:sz w:val="22"/>
          <w:szCs w:val="22"/>
          <w:lang w:val="en-GB"/>
        </w:rPr>
        <w:t xml:space="preserve">NGO </w:t>
      </w:r>
      <w:r w:rsidRPr="008C67FE">
        <w:rPr>
          <w:rFonts w:eastAsia="Baskerville-SemiBold" w:cs="Times New Roman"/>
          <w:i/>
          <w:iCs/>
          <w:sz w:val="22"/>
          <w:szCs w:val="22"/>
          <w:lang w:val="en-GB"/>
        </w:rPr>
        <w:t xml:space="preserve">Report to </w:t>
      </w:r>
      <w:r w:rsidRPr="00AC07BD">
        <w:rPr>
          <w:rFonts w:eastAsia="Baskerville-SemiBold" w:cs="Times New Roman"/>
          <w:i/>
          <w:iCs/>
          <w:sz w:val="22"/>
          <w:szCs w:val="22"/>
          <w:lang w:val="en-GB"/>
        </w:rPr>
        <w:t>Kirsten Sandberg</w:t>
      </w:r>
      <w:r w:rsidR="00D03DB6" w:rsidRPr="008C67FE">
        <w:rPr>
          <w:rFonts w:eastAsia="Baskerville-SemiBold" w:cs="Times New Roman"/>
          <w:i/>
          <w:iCs/>
          <w:sz w:val="22"/>
          <w:szCs w:val="22"/>
          <w:lang w:val="en-GB"/>
        </w:rPr>
        <w:t>, former CRC Chairperson and the first Committee member to raise IGM practices in an interactive dialogue (21.01.2015)</w:t>
      </w:r>
      <w:r w:rsidR="00D03DB6" w:rsidRPr="008C67FE">
        <w:rPr>
          <w:rStyle w:val="Funotenanker"/>
          <w:sz w:val="22"/>
          <w:szCs w:val="22"/>
          <w:lang w:val="en-GB"/>
        </w:rPr>
        <w:footnoteReference w:id="1"/>
      </w:r>
    </w:p>
    <w:p w14:paraId="36E90B55" w14:textId="77777777" w:rsidR="00F04FA6" w:rsidRPr="00AC07BD" w:rsidRDefault="00F04FA6" w:rsidP="003F2F4F">
      <w:pPr>
        <w:pStyle w:val="absatzschattenbericht"/>
        <w:rPr>
          <w:sz w:val="16"/>
          <w:szCs w:val="16"/>
          <w:lang w:val="en-GB"/>
        </w:rPr>
      </w:pPr>
    </w:p>
    <w:p w14:paraId="2564933F" w14:textId="77777777" w:rsidR="00FE2215" w:rsidRPr="006F74DB" w:rsidRDefault="00FE2215" w:rsidP="00FB4EAC">
      <w:pPr>
        <w:pStyle w:val="absatzschattenbericht"/>
        <w:spacing w:after="20"/>
        <w:rPr>
          <w:rFonts w:eastAsia="Baskerville-SemiBold" w:cs="Times New Roman"/>
          <w:lang w:val="en-GB"/>
        </w:rPr>
      </w:pPr>
      <w:r w:rsidRPr="006F74DB">
        <w:rPr>
          <w:rFonts w:eastAsia="Baskerville-SemiBold" w:cs="Times New Roman"/>
          <w:lang w:val="en-GB"/>
        </w:rPr>
        <w:t>Dear Committee on the Rights of the Child</w:t>
      </w:r>
    </w:p>
    <w:p w14:paraId="1E71A9C9" w14:textId="77777777" w:rsidR="00264BCF" w:rsidRPr="006F74DB" w:rsidRDefault="00264BCF" w:rsidP="00264BCF">
      <w:pPr>
        <w:pStyle w:val="absatzschattenbericht"/>
        <w:rPr>
          <w:sz w:val="12"/>
          <w:szCs w:val="12"/>
          <w:lang w:val="en-GB"/>
        </w:rPr>
      </w:pPr>
    </w:p>
    <w:p w14:paraId="098B4BF4" w14:textId="77777777" w:rsidR="003465F1" w:rsidRPr="002F50F6" w:rsidRDefault="003465F1" w:rsidP="003465F1">
      <w:pPr>
        <w:pStyle w:val="absatzschattenbericht"/>
        <w:spacing w:after="91"/>
        <w:rPr>
          <w:b/>
          <w:color w:val="auto"/>
          <w:lang w:val="en-GB"/>
        </w:rPr>
      </w:pPr>
      <w:r w:rsidRPr="00D22603">
        <w:rPr>
          <w:rFonts w:eastAsia="Baskerville-Bold" w:cs="Baskerville-Bold"/>
          <w:b/>
          <w:bCs/>
          <w:color w:val="auto"/>
          <w:lang w:val="en-GB"/>
        </w:rPr>
        <w:t>All typical forms of Intersex Genital Mutilation are still practised in Norway</w:t>
      </w:r>
      <w:r w:rsidRPr="00D22603">
        <w:rPr>
          <w:color w:val="auto"/>
          <w:lang w:val="en-GB"/>
        </w:rPr>
        <w:t xml:space="preserve">, facilitated and </w:t>
      </w:r>
      <w:r w:rsidRPr="00D22603">
        <w:rPr>
          <w:b/>
          <w:color w:val="auto"/>
          <w:lang w:val="en-GB"/>
        </w:rPr>
        <w:t>paid for by the State party</w:t>
      </w:r>
      <w:r w:rsidRPr="00D22603">
        <w:rPr>
          <w:color w:val="auto"/>
          <w:lang w:val="en-GB"/>
        </w:rPr>
        <w:t xml:space="preserve"> </w:t>
      </w:r>
      <w:r w:rsidR="00061B9B">
        <w:rPr>
          <w:color w:val="auto"/>
          <w:lang w:val="en-GB"/>
        </w:rPr>
        <w:t>through</w:t>
      </w:r>
      <w:r w:rsidRPr="00D22603">
        <w:rPr>
          <w:color w:val="auto"/>
          <w:lang w:val="en-GB"/>
        </w:rPr>
        <w:t xml:space="preserve"> the </w:t>
      </w:r>
      <w:r w:rsidRPr="00D22603">
        <w:rPr>
          <w:b/>
          <w:color w:val="auto"/>
          <w:lang w:val="en-GB"/>
        </w:rPr>
        <w:t>public health system.</w:t>
      </w:r>
      <w:r w:rsidRPr="00D22603">
        <w:rPr>
          <w:color w:val="auto"/>
          <w:lang w:val="en-GB"/>
        </w:rPr>
        <w:t xml:space="preserve"> Parents and children are misinformed, kept in the dark, </w:t>
      </w:r>
      <w:r w:rsidRPr="00D22603">
        <w:rPr>
          <w:b/>
          <w:bCs/>
          <w:color w:val="auto"/>
          <w:lang w:val="en-GB"/>
        </w:rPr>
        <w:t>pressured</w:t>
      </w:r>
      <w:r w:rsidRPr="00D22603">
        <w:rPr>
          <w:color w:val="auto"/>
          <w:lang w:val="en-GB"/>
        </w:rPr>
        <w:t xml:space="preserve"> to “consent” to harmful surgery, and </w:t>
      </w:r>
      <w:r w:rsidRPr="00D22603">
        <w:rPr>
          <w:b/>
          <w:color w:val="auto"/>
          <w:lang w:val="en-GB"/>
        </w:rPr>
        <w:t xml:space="preserve">denied appropriate support. </w:t>
      </w:r>
      <w:r w:rsidRPr="00D22603">
        <w:rPr>
          <w:bCs/>
          <w:color w:val="auto"/>
          <w:lang w:val="en-GB"/>
        </w:rPr>
        <w:t xml:space="preserve">Despite </w:t>
      </w:r>
      <w:r w:rsidRPr="00D22603">
        <w:rPr>
          <w:rFonts w:eastAsia="Baskerville-Bold" w:cs="Baskerville-Bold"/>
          <w:b/>
          <w:bCs/>
          <w:color w:val="auto"/>
          <w:lang w:val="en-GB"/>
        </w:rPr>
        <w:t>exemplary first steps</w:t>
      </w:r>
      <w:r w:rsidRPr="00D22603">
        <w:rPr>
          <w:rFonts w:eastAsia="Baskerville-Bold" w:cs="Baskerville-Bold"/>
          <w:color w:val="auto"/>
          <w:lang w:val="en-GB"/>
        </w:rPr>
        <w:t xml:space="preserve"> and repeatedly stated </w:t>
      </w:r>
      <w:r w:rsidRPr="00D22603">
        <w:rPr>
          <w:rFonts w:eastAsia="Baskerville-Bold" w:cs="Baskerville-Bold"/>
          <w:b/>
          <w:bCs/>
          <w:color w:val="auto"/>
          <w:lang w:val="en-GB"/>
        </w:rPr>
        <w:t>good intentions</w:t>
      </w:r>
      <w:r w:rsidRPr="00D22603">
        <w:rPr>
          <w:rFonts w:eastAsia="Baskerville-Bold" w:cs="Baskerville-Bold"/>
          <w:color w:val="auto"/>
          <w:lang w:val="en-GB"/>
        </w:rPr>
        <w:t xml:space="preserve"> </w:t>
      </w:r>
      <w:r w:rsidRPr="00D22603">
        <w:rPr>
          <w:b/>
          <w:color w:val="auto"/>
          <w:lang w:val="en-GB"/>
        </w:rPr>
        <w:t xml:space="preserve">by the Government </w:t>
      </w:r>
      <w:r w:rsidRPr="00D22603">
        <w:rPr>
          <w:bCs/>
          <w:color w:val="auto"/>
          <w:lang w:val="en-GB"/>
        </w:rPr>
        <w:t xml:space="preserve">to end harmful practices on intersex children, </w:t>
      </w:r>
      <w:r w:rsidRPr="00D22603">
        <w:rPr>
          <w:b/>
          <w:color w:val="auto"/>
          <w:lang w:val="en-GB"/>
        </w:rPr>
        <w:t>Norway fails to act</w:t>
      </w:r>
      <w:r w:rsidRPr="00D22603">
        <w:rPr>
          <w:bCs/>
          <w:color w:val="auto"/>
          <w:lang w:val="en-GB"/>
        </w:rPr>
        <w:t>.</w:t>
      </w:r>
    </w:p>
    <w:p w14:paraId="3FED9181" w14:textId="77777777" w:rsidR="003465F1" w:rsidRDefault="003465F1" w:rsidP="003465F1">
      <w:pPr>
        <w:pStyle w:val="absatzschattenbericht"/>
        <w:spacing w:after="140"/>
        <w:rPr>
          <w:lang w:val="en-GB"/>
        </w:rPr>
      </w:pPr>
      <w:r w:rsidRPr="00596D3B">
        <w:rPr>
          <w:lang w:val="en-GB"/>
        </w:rPr>
        <w:t xml:space="preserve">Despite that the persistence of IGM practices in Norway is a </w:t>
      </w:r>
      <w:r w:rsidRPr="00596D3B">
        <w:rPr>
          <w:b/>
          <w:bCs/>
          <w:lang w:val="en-GB"/>
        </w:rPr>
        <w:t>matter of public record</w:t>
      </w:r>
      <w:r w:rsidRPr="00596D3B">
        <w:rPr>
          <w:lang w:val="en-GB"/>
        </w:rPr>
        <w:t xml:space="preserve">, same as the </w:t>
      </w:r>
      <w:r w:rsidRPr="00596D3B">
        <w:rPr>
          <w:b/>
          <w:bCs/>
          <w:lang w:val="en-GB"/>
        </w:rPr>
        <w:t>criticism and appeals</w:t>
      </w:r>
      <w:r w:rsidRPr="00596D3B">
        <w:rPr>
          <w:lang w:val="en-GB"/>
        </w:rPr>
        <w:t xml:space="preserve"> by </w:t>
      </w:r>
      <w:r w:rsidRPr="00596D3B">
        <w:rPr>
          <w:b/>
          <w:bCs/>
          <w:lang w:val="en-GB"/>
        </w:rPr>
        <w:t>NGOs</w:t>
      </w:r>
      <w:r w:rsidRPr="00596D3B">
        <w:rPr>
          <w:lang w:val="en-GB"/>
        </w:rPr>
        <w:t xml:space="preserve">, </w:t>
      </w:r>
      <w:r w:rsidRPr="00596D3B">
        <w:rPr>
          <w:b/>
          <w:bCs/>
          <w:lang w:val="en-GB"/>
        </w:rPr>
        <w:t xml:space="preserve">Government agencies, experts and allies </w:t>
      </w:r>
      <w:r w:rsidRPr="00596D3B">
        <w:rPr>
          <w:lang w:val="en-GB"/>
        </w:rPr>
        <w:t xml:space="preserve">(see 2023 NGO Report for LOIPR, p. 10), and the repeatedly </w:t>
      </w:r>
      <w:r w:rsidRPr="00596D3B">
        <w:rPr>
          <w:b/>
          <w:bCs/>
          <w:lang w:val="en-GB"/>
        </w:rPr>
        <w:t xml:space="preserve">stated good intentions of the Norwegian Government </w:t>
      </w:r>
      <w:r w:rsidRPr="00596D3B">
        <w:rPr>
          <w:lang w:val="en-GB"/>
        </w:rPr>
        <w:t>(see below</w:t>
      </w:r>
      <w:r w:rsidR="001F24EC" w:rsidRPr="00596D3B">
        <w:rPr>
          <w:lang w:val="en-GB"/>
        </w:rPr>
        <w:t xml:space="preserve">, p. </w:t>
      </w:r>
      <w:r w:rsidR="0000107F">
        <w:rPr>
          <w:lang w:val="en-GB"/>
        </w:rPr>
        <w:t>3-</w:t>
      </w:r>
      <w:r w:rsidR="008F74E0">
        <w:rPr>
          <w:lang w:val="en-GB"/>
        </w:rPr>
        <w:t>4</w:t>
      </w:r>
      <w:r w:rsidR="001F24EC" w:rsidRPr="00596D3B">
        <w:rPr>
          <w:lang w:val="en-GB"/>
        </w:rPr>
        <w:t>,</w:t>
      </w:r>
      <w:r w:rsidRPr="00596D3B">
        <w:rPr>
          <w:lang w:val="en-GB"/>
        </w:rPr>
        <w:t xml:space="preserve"> and 2023 NGO Report for LOIR, p. 12-13), to this day, Norway </w:t>
      </w:r>
      <w:r w:rsidRPr="00596D3B">
        <w:rPr>
          <w:b/>
          <w:bCs/>
          <w:lang w:val="en-GB"/>
        </w:rPr>
        <w:t xml:space="preserve">fails </w:t>
      </w:r>
      <w:r w:rsidRPr="00596D3B">
        <w:rPr>
          <w:rFonts w:cs="Times New Roman"/>
          <w:lang w:val="en-GB"/>
        </w:rPr>
        <w:t>to</w:t>
      </w:r>
      <w:r w:rsidRPr="00596D3B">
        <w:rPr>
          <w:rFonts w:cs="Times New Roman"/>
          <w:b/>
          <w:bCs/>
          <w:lang w:val="en-GB"/>
        </w:rPr>
        <w:t xml:space="preserve"> adequately recognise</w:t>
      </w:r>
      <w:r w:rsidRPr="00596D3B">
        <w:rPr>
          <w:rFonts w:cs="Times New Roman"/>
          <w:lang w:val="en-GB"/>
        </w:rPr>
        <w:t xml:space="preserve"> the serious human rights violations and the severe pain and suffering caused by IGM practices, let alone </w:t>
      </w:r>
      <w:r w:rsidRPr="00596D3B">
        <w:rPr>
          <w:rFonts w:eastAsia="Baskerville-SemiBold" w:cs="Times New Roman"/>
          <w:bCs/>
          <w:lang w:val="en-GB"/>
        </w:rPr>
        <w:t xml:space="preserve">to </w:t>
      </w:r>
      <w:r w:rsidRPr="00596D3B">
        <w:rPr>
          <w:rFonts w:eastAsia="Baskerville-SemiBoldItalic" w:cs="Times New Roman"/>
          <w:b/>
          <w:i/>
          <w:iCs/>
          <w:lang w:val="en-GB"/>
        </w:rPr>
        <w:t>“take effective legislative, administrative, judicial or other measures”</w:t>
      </w:r>
      <w:r w:rsidRPr="00596D3B">
        <w:rPr>
          <w:rFonts w:cs="Times New Roman"/>
          <w:b/>
          <w:lang w:val="en-GB"/>
        </w:rPr>
        <w:t xml:space="preserve"> to effectively protect intersex children from harmful practices</w:t>
      </w:r>
      <w:r w:rsidRPr="00596D3B">
        <w:rPr>
          <w:lang w:val="en-GB"/>
        </w:rPr>
        <w:t>.</w:t>
      </w:r>
      <w:r w:rsidR="001F24EC" w:rsidRPr="00596D3B">
        <w:rPr>
          <w:lang w:val="en-GB"/>
        </w:rPr>
        <w:t xml:space="preserve"> This is also </w:t>
      </w:r>
      <w:r w:rsidR="00A52FBE">
        <w:rPr>
          <w:lang w:val="en-GB"/>
        </w:rPr>
        <w:t>confirmed</w:t>
      </w:r>
      <w:r w:rsidR="001F24EC" w:rsidRPr="00596D3B">
        <w:rPr>
          <w:lang w:val="en-GB"/>
        </w:rPr>
        <w:t xml:space="preserve"> in the </w:t>
      </w:r>
      <w:r w:rsidR="001F24EC" w:rsidRPr="000E54FA">
        <w:rPr>
          <w:b/>
          <w:bCs/>
          <w:lang w:val="en-GB"/>
        </w:rPr>
        <w:t>State Party Report</w:t>
      </w:r>
      <w:r w:rsidR="001F24EC" w:rsidRPr="00596D3B">
        <w:rPr>
          <w:lang w:val="en-GB"/>
        </w:rPr>
        <w:t xml:space="preserve"> (see below, p. </w:t>
      </w:r>
      <w:r w:rsidR="00A252B1">
        <w:rPr>
          <w:lang w:val="en-GB"/>
        </w:rPr>
        <w:t>2-3</w:t>
      </w:r>
      <w:r w:rsidR="001F24EC" w:rsidRPr="00596D3B">
        <w:rPr>
          <w:lang w:val="en-GB"/>
        </w:rPr>
        <w:t>).</w:t>
      </w:r>
    </w:p>
    <w:p w14:paraId="17F3CEBE" w14:textId="77777777" w:rsidR="00264BCF" w:rsidRPr="006F74DB" w:rsidRDefault="00264BCF" w:rsidP="00264BCF">
      <w:pPr>
        <w:pStyle w:val="absatzschattenbericht"/>
        <w:rPr>
          <w:sz w:val="12"/>
          <w:szCs w:val="12"/>
          <w:lang w:val="en-GB"/>
        </w:rPr>
      </w:pPr>
    </w:p>
    <w:p w14:paraId="7F4F106F" w14:textId="77777777" w:rsidR="00FD1E36" w:rsidRPr="00FD1E36" w:rsidRDefault="005B0346" w:rsidP="00596D3B">
      <w:pPr>
        <w:pStyle w:val="TOC1"/>
        <w:rPr>
          <w:rFonts w:eastAsiaTheme="minorEastAsia"/>
          <w:lang w:eastAsia="zh-CN" w:bidi="ar-SA"/>
        </w:rPr>
      </w:pPr>
      <w:r w:rsidRPr="00FD1E36">
        <w:rPr>
          <w:rStyle w:val="Hyperlink"/>
          <w:noProof w:val="0"/>
          <w:sz w:val="20"/>
          <w:szCs w:val="20"/>
          <w:lang w:val="en-GB"/>
        </w:rPr>
        <w:fldChar w:fldCharType="begin"/>
      </w:r>
      <w:r w:rsidRPr="00FD1E36">
        <w:rPr>
          <w:rStyle w:val="Hyperlink"/>
          <w:noProof w:val="0"/>
          <w:sz w:val="20"/>
          <w:szCs w:val="20"/>
          <w:lang w:val="en-GB"/>
        </w:rPr>
        <w:instrText xml:space="preserve"> TOC \h \z \t "Title 2;1;Title 3;2;Untertitel;2" </w:instrText>
      </w:r>
      <w:r w:rsidRPr="00FD1E36">
        <w:rPr>
          <w:rStyle w:val="Hyperlink"/>
          <w:noProof w:val="0"/>
          <w:sz w:val="20"/>
          <w:szCs w:val="20"/>
          <w:lang w:val="en-GB"/>
        </w:rPr>
        <w:fldChar w:fldCharType="separate"/>
      </w:r>
      <w:hyperlink w:anchor="_Toc183983162" w:history="1">
        <w:r w:rsidR="00FD1E36" w:rsidRPr="00FD1E36">
          <w:rPr>
            <w:rStyle w:val="Hyperlink"/>
            <w:sz w:val="20"/>
            <w:szCs w:val="20"/>
          </w:rPr>
          <w:t>1.  State Party Report confirms IGM practices continue, fails to provide data</w:t>
        </w:r>
        <w:r w:rsidR="00FD1E36" w:rsidRPr="00FD1E36">
          <w:rPr>
            <w:webHidden/>
          </w:rPr>
          <w:tab/>
        </w:r>
        <w:r w:rsidR="00FD1E36" w:rsidRPr="00FD1E36">
          <w:rPr>
            <w:webHidden/>
          </w:rPr>
          <w:fldChar w:fldCharType="begin"/>
        </w:r>
        <w:r w:rsidR="00FD1E36" w:rsidRPr="00FD1E36">
          <w:rPr>
            <w:webHidden/>
          </w:rPr>
          <w:instrText xml:space="preserve"> PAGEREF _Toc183983162 \h </w:instrText>
        </w:r>
        <w:r w:rsidR="00FD1E36" w:rsidRPr="00FD1E36">
          <w:rPr>
            <w:webHidden/>
          </w:rPr>
        </w:r>
        <w:r w:rsidR="00FD1E36" w:rsidRPr="00FD1E36">
          <w:rPr>
            <w:webHidden/>
          </w:rPr>
          <w:fldChar w:fldCharType="separate"/>
        </w:r>
        <w:r w:rsidR="00CF2582">
          <w:rPr>
            <w:webHidden/>
          </w:rPr>
          <w:t>2</w:t>
        </w:r>
        <w:r w:rsidR="00FD1E36" w:rsidRPr="00FD1E36">
          <w:rPr>
            <w:webHidden/>
          </w:rPr>
          <w:fldChar w:fldCharType="end"/>
        </w:r>
      </w:hyperlink>
    </w:p>
    <w:p w14:paraId="1736621F" w14:textId="77777777" w:rsidR="00FD1E36" w:rsidRPr="00596D3B" w:rsidRDefault="00FD1E36" w:rsidP="0077439A">
      <w:pPr>
        <w:pStyle w:val="TOC2"/>
        <w:rPr>
          <w:rFonts w:eastAsiaTheme="minorEastAsia"/>
          <w:noProof/>
          <w:lang w:eastAsia="zh-CN"/>
        </w:rPr>
      </w:pPr>
      <w:r w:rsidRPr="00596D3B">
        <w:rPr>
          <w:rStyle w:val="Hyperlink"/>
          <w:rFonts w:ascii="Arial" w:hAnsi="Arial" w:cs="Arial"/>
          <w:noProof/>
          <w:sz w:val="20"/>
          <w:szCs w:val="20"/>
          <w:u w:val="none"/>
        </w:rPr>
        <w:t xml:space="preserve">       </w:t>
      </w:r>
      <w:hyperlink w:anchor="_Toc183983163" w:history="1">
        <w:r w:rsidRPr="00596D3B">
          <w:rPr>
            <w:rStyle w:val="Hyperlink"/>
            <w:rFonts w:ascii="Arial" w:hAnsi="Arial" w:cs="Arial"/>
            <w:noProof/>
            <w:sz w:val="20"/>
            <w:szCs w:val="20"/>
            <w:lang w:bidi="hi-IN"/>
          </w:rPr>
          <w:t>a) LOIPR: CRC/C/NOR/QPR/7, para 18(c)</w:t>
        </w:r>
        <w:r w:rsidRPr="00596D3B">
          <w:rPr>
            <w:noProof/>
            <w:webHidden/>
          </w:rPr>
          <w:tab/>
        </w:r>
        <w:r w:rsidRPr="00596D3B">
          <w:rPr>
            <w:noProof/>
            <w:webHidden/>
          </w:rPr>
          <w:fldChar w:fldCharType="begin"/>
        </w:r>
        <w:r w:rsidRPr="00596D3B">
          <w:rPr>
            <w:noProof/>
            <w:webHidden/>
          </w:rPr>
          <w:instrText xml:space="preserve"> PAGEREF _Toc183983163 \h </w:instrText>
        </w:r>
        <w:r w:rsidRPr="00596D3B">
          <w:rPr>
            <w:noProof/>
            <w:webHidden/>
          </w:rPr>
        </w:r>
        <w:r w:rsidRPr="00596D3B">
          <w:rPr>
            <w:noProof/>
            <w:webHidden/>
          </w:rPr>
          <w:fldChar w:fldCharType="separate"/>
        </w:r>
        <w:r w:rsidR="00CF2582">
          <w:rPr>
            <w:noProof/>
            <w:webHidden/>
          </w:rPr>
          <w:t>2</w:t>
        </w:r>
        <w:r w:rsidRPr="00596D3B">
          <w:rPr>
            <w:noProof/>
            <w:webHidden/>
          </w:rPr>
          <w:fldChar w:fldCharType="end"/>
        </w:r>
      </w:hyperlink>
    </w:p>
    <w:p w14:paraId="1C5EF30A"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64" w:history="1">
        <w:r w:rsidRPr="00FD1E36">
          <w:rPr>
            <w:rStyle w:val="Hyperlink"/>
            <w:rFonts w:ascii="Arial" w:hAnsi="Arial" w:cs="Arial"/>
            <w:noProof/>
            <w:sz w:val="20"/>
            <w:szCs w:val="20"/>
            <w:lang w:bidi="hi-IN"/>
          </w:rPr>
          <w:t>b) State Party Report (CRC/C/NOR/7, para 132)</w:t>
        </w:r>
        <w:r w:rsidRPr="00FD1E36">
          <w:rPr>
            <w:noProof/>
            <w:webHidden/>
          </w:rPr>
          <w:tab/>
        </w:r>
        <w:r w:rsidRPr="00FD1E36">
          <w:rPr>
            <w:noProof/>
            <w:webHidden/>
          </w:rPr>
          <w:fldChar w:fldCharType="begin"/>
        </w:r>
        <w:r w:rsidRPr="00FD1E36">
          <w:rPr>
            <w:noProof/>
            <w:webHidden/>
          </w:rPr>
          <w:instrText xml:space="preserve"> PAGEREF _Toc183983164 \h </w:instrText>
        </w:r>
        <w:r w:rsidRPr="00FD1E36">
          <w:rPr>
            <w:noProof/>
            <w:webHidden/>
          </w:rPr>
        </w:r>
        <w:r w:rsidRPr="00FD1E36">
          <w:rPr>
            <w:noProof/>
            <w:webHidden/>
          </w:rPr>
          <w:fldChar w:fldCharType="separate"/>
        </w:r>
        <w:r w:rsidR="00CF2582">
          <w:rPr>
            <w:noProof/>
            <w:webHidden/>
          </w:rPr>
          <w:t>2</w:t>
        </w:r>
        <w:r w:rsidRPr="00FD1E36">
          <w:rPr>
            <w:noProof/>
            <w:webHidden/>
          </w:rPr>
          <w:fldChar w:fldCharType="end"/>
        </w:r>
      </w:hyperlink>
    </w:p>
    <w:p w14:paraId="019E8DD2" w14:textId="77777777" w:rsidR="00FD1E36" w:rsidRPr="00FD1E36" w:rsidRDefault="00000000" w:rsidP="00596D3B">
      <w:pPr>
        <w:pStyle w:val="TOC1"/>
        <w:rPr>
          <w:rFonts w:eastAsiaTheme="minorEastAsia"/>
          <w:lang w:eastAsia="zh-CN" w:bidi="ar-SA"/>
        </w:rPr>
      </w:pPr>
      <w:hyperlink w:anchor="_Toc183983165" w:history="1">
        <w:r w:rsidR="00FD1E36" w:rsidRPr="00FD1E36">
          <w:rPr>
            <w:rStyle w:val="Hyperlink"/>
            <w:sz w:val="20"/>
            <w:szCs w:val="20"/>
          </w:rPr>
          <w:t xml:space="preserve">2.  Norway’s commitment to </w:t>
        </w:r>
        <w:r w:rsidR="00FD1E36" w:rsidRPr="00FD1E36">
          <w:rPr>
            <w:rStyle w:val="Hyperlink"/>
            <w:i/>
            <w:sz w:val="20"/>
            <w:szCs w:val="20"/>
          </w:rPr>
          <w:t>“protect intersex children from violence and harmful practices”</w:t>
        </w:r>
        <w:r w:rsidR="00FD1E36" w:rsidRPr="00FD1E36">
          <w:rPr>
            <w:webHidden/>
          </w:rPr>
          <w:tab/>
        </w:r>
        <w:r w:rsidR="00FD1E36" w:rsidRPr="00FD1E36">
          <w:rPr>
            <w:webHidden/>
          </w:rPr>
          <w:fldChar w:fldCharType="begin"/>
        </w:r>
        <w:r w:rsidR="00FD1E36" w:rsidRPr="00FD1E36">
          <w:rPr>
            <w:webHidden/>
          </w:rPr>
          <w:instrText xml:space="preserve"> PAGEREF _Toc183983165 \h </w:instrText>
        </w:r>
        <w:r w:rsidR="00FD1E36" w:rsidRPr="00FD1E36">
          <w:rPr>
            <w:webHidden/>
          </w:rPr>
        </w:r>
        <w:r w:rsidR="00FD1E36" w:rsidRPr="00FD1E36">
          <w:rPr>
            <w:webHidden/>
          </w:rPr>
          <w:fldChar w:fldCharType="separate"/>
        </w:r>
        <w:r w:rsidR="00CF2582">
          <w:rPr>
            <w:webHidden/>
          </w:rPr>
          <w:t>3</w:t>
        </w:r>
        <w:r w:rsidR="00FD1E36" w:rsidRPr="00FD1E36">
          <w:rPr>
            <w:webHidden/>
          </w:rPr>
          <w:fldChar w:fldCharType="end"/>
        </w:r>
      </w:hyperlink>
    </w:p>
    <w:p w14:paraId="3AB353D5"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66" w:history="1">
        <w:r w:rsidRPr="00FD1E36">
          <w:rPr>
            <w:rStyle w:val="Hyperlink"/>
            <w:rFonts w:ascii="Arial" w:hAnsi="Arial" w:cs="Arial"/>
            <w:noProof/>
            <w:sz w:val="20"/>
            <w:szCs w:val="20"/>
            <w:lang w:bidi="hi-IN"/>
          </w:rPr>
          <w:t>a) UNHRC45 Statement, 01.10.2020</w:t>
        </w:r>
        <w:r w:rsidRPr="00FD1E36">
          <w:rPr>
            <w:noProof/>
            <w:webHidden/>
          </w:rPr>
          <w:tab/>
        </w:r>
        <w:r w:rsidRPr="00FD1E36">
          <w:rPr>
            <w:noProof/>
            <w:webHidden/>
          </w:rPr>
          <w:fldChar w:fldCharType="begin"/>
        </w:r>
        <w:r w:rsidRPr="00FD1E36">
          <w:rPr>
            <w:noProof/>
            <w:webHidden/>
          </w:rPr>
          <w:instrText xml:space="preserve"> PAGEREF _Toc183983166 \h </w:instrText>
        </w:r>
        <w:r w:rsidRPr="00FD1E36">
          <w:rPr>
            <w:noProof/>
            <w:webHidden/>
          </w:rPr>
        </w:r>
        <w:r w:rsidRPr="00FD1E36">
          <w:rPr>
            <w:noProof/>
            <w:webHidden/>
          </w:rPr>
          <w:fldChar w:fldCharType="separate"/>
        </w:r>
        <w:r w:rsidR="00CF2582">
          <w:rPr>
            <w:noProof/>
            <w:webHidden/>
          </w:rPr>
          <w:t>3</w:t>
        </w:r>
        <w:r w:rsidRPr="00FD1E36">
          <w:rPr>
            <w:noProof/>
            <w:webHidden/>
          </w:rPr>
          <w:fldChar w:fldCharType="end"/>
        </w:r>
      </w:hyperlink>
    </w:p>
    <w:p w14:paraId="0CA3E21B"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67" w:history="1">
        <w:r w:rsidRPr="00FD1E36">
          <w:rPr>
            <w:rStyle w:val="Hyperlink"/>
            <w:rFonts w:ascii="Arial" w:hAnsi="Arial" w:cs="Arial"/>
            <w:noProof/>
            <w:sz w:val="20"/>
            <w:szCs w:val="20"/>
            <w:lang w:bidi="hi-IN"/>
          </w:rPr>
          <w:t>b) UNHRC48 Statement, 04.10.2021</w:t>
        </w:r>
        <w:r w:rsidRPr="00FD1E36">
          <w:rPr>
            <w:noProof/>
            <w:webHidden/>
          </w:rPr>
          <w:tab/>
        </w:r>
        <w:r w:rsidRPr="00FD1E36">
          <w:rPr>
            <w:noProof/>
            <w:webHidden/>
          </w:rPr>
          <w:fldChar w:fldCharType="begin"/>
        </w:r>
        <w:r w:rsidRPr="00FD1E36">
          <w:rPr>
            <w:noProof/>
            <w:webHidden/>
          </w:rPr>
          <w:instrText xml:space="preserve"> PAGEREF _Toc183983167 \h </w:instrText>
        </w:r>
        <w:r w:rsidRPr="00FD1E36">
          <w:rPr>
            <w:noProof/>
            <w:webHidden/>
          </w:rPr>
        </w:r>
        <w:r w:rsidRPr="00FD1E36">
          <w:rPr>
            <w:noProof/>
            <w:webHidden/>
          </w:rPr>
          <w:fldChar w:fldCharType="separate"/>
        </w:r>
        <w:r w:rsidR="00CF2582">
          <w:rPr>
            <w:noProof/>
            <w:webHidden/>
          </w:rPr>
          <w:t>3</w:t>
        </w:r>
        <w:r w:rsidRPr="00FD1E36">
          <w:rPr>
            <w:noProof/>
            <w:webHidden/>
          </w:rPr>
          <w:fldChar w:fldCharType="end"/>
        </w:r>
      </w:hyperlink>
    </w:p>
    <w:p w14:paraId="0625EEF1"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68" w:history="1">
        <w:r w:rsidRPr="00FD1E36">
          <w:rPr>
            <w:rStyle w:val="Hyperlink"/>
            <w:rFonts w:ascii="Arial" w:hAnsi="Arial" w:cs="Arial"/>
            <w:noProof/>
            <w:sz w:val="20"/>
            <w:szCs w:val="20"/>
            <w:lang w:bidi="hi-IN"/>
          </w:rPr>
          <w:t>c) UNHRC54 Statement, 04.10.2023</w:t>
        </w:r>
        <w:r w:rsidRPr="00FD1E36">
          <w:rPr>
            <w:noProof/>
            <w:webHidden/>
          </w:rPr>
          <w:tab/>
        </w:r>
        <w:r w:rsidRPr="00FD1E36">
          <w:rPr>
            <w:noProof/>
            <w:webHidden/>
          </w:rPr>
          <w:fldChar w:fldCharType="begin"/>
        </w:r>
        <w:r w:rsidRPr="00FD1E36">
          <w:rPr>
            <w:noProof/>
            <w:webHidden/>
          </w:rPr>
          <w:instrText xml:space="preserve"> PAGEREF _Toc183983168 \h </w:instrText>
        </w:r>
        <w:r w:rsidRPr="00FD1E36">
          <w:rPr>
            <w:noProof/>
            <w:webHidden/>
          </w:rPr>
        </w:r>
        <w:r w:rsidRPr="00FD1E36">
          <w:rPr>
            <w:noProof/>
            <w:webHidden/>
          </w:rPr>
          <w:fldChar w:fldCharType="separate"/>
        </w:r>
        <w:r w:rsidR="00CF2582">
          <w:rPr>
            <w:noProof/>
            <w:webHidden/>
          </w:rPr>
          <w:t>3</w:t>
        </w:r>
        <w:r w:rsidRPr="00FD1E36">
          <w:rPr>
            <w:noProof/>
            <w:webHidden/>
          </w:rPr>
          <w:fldChar w:fldCharType="end"/>
        </w:r>
      </w:hyperlink>
    </w:p>
    <w:p w14:paraId="784C51D0"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69" w:history="1">
        <w:r w:rsidRPr="00FD1E36">
          <w:rPr>
            <w:rStyle w:val="Hyperlink"/>
            <w:rFonts w:ascii="Arial" w:hAnsi="Arial" w:cs="Arial"/>
            <w:noProof/>
            <w:sz w:val="20"/>
            <w:szCs w:val="20"/>
            <w:lang w:bidi="hi-IN"/>
          </w:rPr>
          <w:t xml:space="preserve">d) UNHRC55 Intersex Resolution A/HRC/55/L.9 co-sponsored by Norway, </w:t>
        </w:r>
        <w:r w:rsidRPr="00FD1E36">
          <w:rPr>
            <w:rStyle w:val="Hyperlink"/>
            <w:rFonts w:ascii="Arial" w:hAnsi="Arial" w:cs="Arial"/>
            <w:noProof/>
            <w:w w:val="95"/>
            <w:kern w:val="24"/>
            <w:sz w:val="20"/>
            <w:szCs w:val="20"/>
            <w:lang w:bidi="hi-IN"/>
          </w:rPr>
          <w:t>21.03.2024</w:t>
        </w:r>
        <w:r w:rsidRPr="00FD1E36">
          <w:rPr>
            <w:noProof/>
            <w:webHidden/>
          </w:rPr>
          <w:tab/>
        </w:r>
        <w:r w:rsidRPr="00FD1E36">
          <w:rPr>
            <w:noProof/>
            <w:webHidden/>
          </w:rPr>
          <w:fldChar w:fldCharType="begin"/>
        </w:r>
        <w:r w:rsidRPr="00FD1E36">
          <w:rPr>
            <w:noProof/>
            <w:webHidden/>
          </w:rPr>
          <w:instrText xml:space="preserve"> PAGEREF _Toc183983169 \h </w:instrText>
        </w:r>
        <w:r w:rsidRPr="00FD1E36">
          <w:rPr>
            <w:noProof/>
            <w:webHidden/>
          </w:rPr>
        </w:r>
        <w:r w:rsidRPr="00FD1E36">
          <w:rPr>
            <w:noProof/>
            <w:webHidden/>
          </w:rPr>
          <w:fldChar w:fldCharType="separate"/>
        </w:r>
        <w:r w:rsidR="00CF2582">
          <w:rPr>
            <w:noProof/>
            <w:webHidden/>
          </w:rPr>
          <w:t>4</w:t>
        </w:r>
        <w:r w:rsidRPr="00FD1E36">
          <w:rPr>
            <w:noProof/>
            <w:webHidden/>
          </w:rPr>
          <w:fldChar w:fldCharType="end"/>
        </w:r>
      </w:hyperlink>
    </w:p>
    <w:p w14:paraId="22EB9698" w14:textId="77777777" w:rsidR="00FD1E36" w:rsidRPr="00FD1E36" w:rsidRDefault="00000000" w:rsidP="00596D3B">
      <w:pPr>
        <w:pStyle w:val="TOC1"/>
        <w:rPr>
          <w:rFonts w:eastAsiaTheme="minorEastAsia"/>
          <w:lang w:eastAsia="zh-CN" w:bidi="ar-SA"/>
        </w:rPr>
      </w:pPr>
      <w:hyperlink w:anchor="_Toc183983170" w:history="1">
        <w:r w:rsidR="00FD1E36" w:rsidRPr="00FD1E36">
          <w:rPr>
            <w:rStyle w:val="Hyperlink"/>
            <w:sz w:val="20"/>
            <w:szCs w:val="20"/>
          </w:rPr>
          <w:t>3.  Most common IGM forms advocated and perpetrated by Norway</w:t>
        </w:r>
        <w:r w:rsidR="00FD1E36" w:rsidRPr="00FD1E36">
          <w:rPr>
            <w:webHidden/>
          </w:rPr>
          <w:tab/>
        </w:r>
        <w:r w:rsidR="00FD1E36" w:rsidRPr="00FD1E36">
          <w:rPr>
            <w:webHidden/>
          </w:rPr>
          <w:fldChar w:fldCharType="begin"/>
        </w:r>
        <w:r w:rsidR="00FD1E36" w:rsidRPr="00FD1E36">
          <w:rPr>
            <w:webHidden/>
          </w:rPr>
          <w:instrText xml:space="preserve"> PAGEREF _Toc183983170 \h </w:instrText>
        </w:r>
        <w:r w:rsidR="00FD1E36" w:rsidRPr="00FD1E36">
          <w:rPr>
            <w:webHidden/>
          </w:rPr>
        </w:r>
        <w:r w:rsidR="00FD1E36" w:rsidRPr="00FD1E36">
          <w:rPr>
            <w:webHidden/>
          </w:rPr>
          <w:fldChar w:fldCharType="separate"/>
        </w:r>
        <w:r w:rsidR="00CF2582">
          <w:rPr>
            <w:webHidden/>
          </w:rPr>
          <w:t>4</w:t>
        </w:r>
        <w:r w:rsidR="00FD1E36" w:rsidRPr="00FD1E36">
          <w:rPr>
            <w:webHidden/>
          </w:rPr>
          <w:fldChar w:fldCharType="end"/>
        </w:r>
      </w:hyperlink>
    </w:p>
    <w:p w14:paraId="42FD0CC7"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71" w:history="1">
        <w:r w:rsidRPr="00FD1E36">
          <w:rPr>
            <w:rStyle w:val="Hyperlink"/>
            <w:rFonts w:ascii="Arial" w:hAnsi="Arial" w:cs="Arial"/>
            <w:noProof/>
            <w:sz w:val="20"/>
            <w:szCs w:val="20"/>
            <w:lang w:bidi="hi-IN"/>
          </w:rPr>
          <w:t>a) IGM 3 – Sterilising Procedures: Castration / “Gonadectomy” / Hysterectomy</w:t>
        </w:r>
        <w:r w:rsidRPr="00FD1E36">
          <w:rPr>
            <w:noProof/>
            <w:webHidden/>
          </w:rPr>
          <w:tab/>
        </w:r>
        <w:r w:rsidRPr="00FD1E36">
          <w:rPr>
            <w:noProof/>
            <w:webHidden/>
          </w:rPr>
          <w:fldChar w:fldCharType="begin"/>
        </w:r>
        <w:r w:rsidRPr="00FD1E36">
          <w:rPr>
            <w:noProof/>
            <w:webHidden/>
          </w:rPr>
          <w:instrText xml:space="preserve"> PAGEREF _Toc183983171 \h </w:instrText>
        </w:r>
        <w:r w:rsidRPr="00FD1E36">
          <w:rPr>
            <w:noProof/>
            <w:webHidden/>
          </w:rPr>
        </w:r>
        <w:r w:rsidRPr="00FD1E36">
          <w:rPr>
            <w:noProof/>
            <w:webHidden/>
          </w:rPr>
          <w:fldChar w:fldCharType="separate"/>
        </w:r>
        <w:r w:rsidR="00CF2582">
          <w:rPr>
            <w:noProof/>
            <w:webHidden/>
          </w:rPr>
          <w:t>5</w:t>
        </w:r>
        <w:r w:rsidRPr="00FD1E36">
          <w:rPr>
            <w:noProof/>
            <w:webHidden/>
          </w:rPr>
          <w:fldChar w:fldCharType="end"/>
        </w:r>
      </w:hyperlink>
    </w:p>
    <w:p w14:paraId="00DFF3AE"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72" w:history="1">
        <w:r w:rsidRPr="00FD1E36">
          <w:rPr>
            <w:rStyle w:val="Hyperlink"/>
            <w:rFonts w:ascii="Arial" w:hAnsi="Arial" w:cs="Arial"/>
            <w:noProof/>
            <w:sz w:val="20"/>
            <w:szCs w:val="20"/>
            <w:lang w:bidi="hi-IN"/>
          </w:rPr>
          <w:t>b) IGM 2 – “Feminising Procedures”: Clitoris Amputation/“Reduction”, “Vaginoplasty”</w:t>
        </w:r>
        <w:r w:rsidRPr="00FD1E36">
          <w:rPr>
            <w:noProof/>
            <w:webHidden/>
          </w:rPr>
          <w:tab/>
        </w:r>
        <w:r w:rsidRPr="00FD1E36">
          <w:rPr>
            <w:noProof/>
            <w:webHidden/>
          </w:rPr>
          <w:fldChar w:fldCharType="begin"/>
        </w:r>
        <w:r w:rsidRPr="00FD1E36">
          <w:rPr>
            <w:noProof/>
            <w:webHidden/>
          </w:rPr>
          <w:instrText xml:space="preserve"> PAGEREF _Toc183983172 \h </w:instrText>
        </w:r>
        <w:r w:rsidRPr="00FD1E36">
          <w:rPr>
            <w:noProof/>
            <w:webHidden/>
          </w:rPr>
        </w:r>
        <w:r w:rsidRPr="00FD1E36">
          <w:rPr>
            <w:noProof/>
            <w:webHidden/>
          </w:rPr>
          <w:fldChar w:fldCharType="separate"/>
        </w:r>
        <w:r w:rsidR="00CF2582">
          <w:rPr>
            <w:noProof/>
            <w:webHidden/>
          </w:rPr>
          <w:t>6</w:t>
        </w:r>
        <w:r w:rsidRPr="00FD1E36">
          <w:rPr>
            <w:noProof/>
            <w:webHidden/>
          </w:rPr>
          <w:fldChar w:fldCharType="end"/>
        </w:r>
      </w:hyperlink>
    </w:p>
    <w:p w14:paraId="2A941555" w14:textId="77777777" w:rsidR="00FD1E36" w:rsidRPr="00FD1E36" w:rsidRDefault="00FD1E36" w:rsidP="0077439A">
      <w:pPr>
        <w:pStyle w:val="TOC2"/>
        <w:rPr>
          <w:rFonts w:eastAsiaTheme="minorEastAsia"/>
          <w:noProof/>
          <w:lang w:eastAsia="zh-CN"/>
        </w:rPr>
      </w:pPr>
      <w:r w:rsidRPr="00FD1E36">
        <w:rPr>
          <w:rStyle w:val="Hyperlink"/>
          <w:rFonts w:ascii="Arial" w:hAnsi="Arial" w:cs="Arial"/>
          <w:noProof/>
          <w:sz w:val="20"/>
          <w:szCs w:val="20"/>
          <w:u w:val="none"/>
        </w:rPr>
        <w:t xml:space="preserve">       </w:t>
      </w:r>
      <w:hyperlink w:anchor="_Toc183983173" w:history="1">
        <w:r w:rsidRPr="00FD1E36">
          <w:rPr>
            <w:rStyle w:val="Hyperlink"/>
            <w:rFonts w:ascii="Arial" w:hAnsi="Arial" w:cs="Arial"/>
            <w:noProof/>
            <w:sz w:val="20"/>
            <w:szCs w:val="20"/>
            <w:lang w:bidi="hi-IN"/>
          </w:rPr>
          <w:t>c) IGM 1 – “Masculinising Surgery”: Hypospadias “Repair”</w:t>
        </w:r>
        <w:r w:rsidRPr="00FD1E36">
          <w:rPr>
            <w:noProof/>
            <w:webHidden/>
          </w:rPr>
          <w:tab/>
        </w:r>
        <w:r w:rsidRPr="00FD1E36">
          <w:rPr>
            <w:noProof/>
            <w:webHidden/>
          </w:rPr>
          <w:fldChar w:fldCharType="begin"/>
        </w:r>
        <w:r w:rsidRPr="00FD1E36">
          <w:rPr>
            <w:noProof/>
            <w:webHidden/>
          </w:rPr>
          <w:instrText xml:space="preserve"> PAGEREF _Toc183983173 \h </w:instrText>
        </w:r>
        <w:r w:rsidRPr="00FD1E36">
          <w:rPr>
            <w:noProof/>
            <w:webHidden/>
          </w:rPr>
        </w:r>
        <w:r w:rsidRPr="00FD1E36">
          <w:rPr>
            <w:noProof/>
            <w:webHidden/>
          </w:rPr>
          <w:fldChar w:fldCharType="separate"/>
        </w:r>
        <w:r w:rsidR="00CF2582">
          <w:rPr>
            <w:noProof/>
            <w:webHidden/>
          </w:rPr>
          <w:t>7</w:t>
        </w:r>
        <w:r w:rsidRPr="00FD1E36">
          <w:rPr>
            <w:noProof/>
            <w:webHidden/>
          </w:rPr>
          <w:fldChar w:fldCharType="end"/>
        </w:r>
      </w:hyperlink>
    </w:p>
    <w:p w14:paraId="0E031D6C" w14:textId="77777777" w:rsidR="00FD1E36" w:rsidRPr="00FD1E36" w:rsidRDefault="00000000" w:rsidP="00596D3B">
      <w:pPr>
        <w:pStyle w:val="TOC1"/>
        <w:rPr>
          <w:rFonts w:eastAsiaTheme="minorEastAsia"/>
          <w:lang w:eastAsia="zh-CN" w:bidi="ar-SA"/>
        </w:rPr>
      </w:pPr>
      <w:hyperlink w:anchor="_Toc183983174" w:history="1">
        <w:r w:rsidR="00FD1E36" w:rsidRPr="00FD1E36">
          <w:rPr>
            <w:rStyle w:val="Hyperlink"/>
            <w:sz w:val="20"/>
            <w:szCs w:val="20"/>
          </w:rPr>
          <w:t>4.  Suggested Recommendations</w:t>
        </w:r>
        <w:r w:rsidR="00FD1E36" w:rsidRPr="00FD1E36">
          <w:rPr>
            <w:webHidden/>
          </w:rPr>
          <w:tab/>
        </w:r>
        <w:r w:rsidR="00FD1E36" w:rsidRPr="00FD1E36">
          <w:rPr>
            <w:webHidden/>
          </w:rPr>
          <w:fldChar w:fldCharType="begin"/>
        </w:r>
        <w:r w:rsidR="00FD1E36" w:rsidRPr="00FD1E36">
          <w:rPr>
            <w:webHidden/>
          </w:rPr>
          <w:instrText xml:space="preserve"> PAGEREF _Toc183983174 \h </w:instrText>
        </w:r>
        <w:r w:rsidR="00FD1E36" w:rsidRPr="00FD1E36">
          <w:rPr>
            <w:webHidden/>
          </w:rPr>
        </w:r>
        <w:r w:rsidR="00FD1E36" w:rsidRPr="00FD1E36">
          <w:rPr>
            <w:webHidden/>
          </w:rPr>
          <w:fldChar w:fldCharType="separate"/>
        </w:r>
        <w:r w:rsidR="00CF2582">
          <w:rPr>
            <w:webHidden/>
          </w:rPr>
          <w:t>9</w:t>
        </w:r>
        <w:r w:rsidR="00FD1E36" w:rsidRPr="00FD1E36">
          <w:rPr>
            <w:webHidden/>
          </w:rPr>
          <w:fldChar w:fldCharType="end"/>
        </w:r>
      </w:hyperlink>
    </w:p>
    <w:p w14:paraId="288C786A" w14:textId="77777777" w:rsidR="002B5CAB" w:rsidRPr="006F74DB" w:rsidRDefault="005B0346" w:rsidP="00596D3B">
      <w:pPr>
        <w:pStyle w:val="TOC1"/>
        <w:rPr>
          <w:lang w:val="en-GB"/>
        </w:rPr>
      </w:pPr>
      <w:r w:rsidRPr="00FD1E36">
        <w:rPr>
          <w:rStyle w:val="Hyperlink"/>
          <w:noProof w:val="0"/>
          <w:sz w:val="20"/>
          <w:szCs w:val="20"/>
          <w:lang w:val="en-GB"/>
        </w:rPr>
        <w:fldChar w:fldCharType="end"/>
      </w:r>
    </w:p>
    <w:p w14:paraId="2FF430DF" w14:textId="77777777" w:rsidR="001B6EA7" w:rsidRPr="00EC78EA" w:rsidRDefault="001B6EA7" w:rsidP="001B6EA7">
      <w:pPr>
        <w:pStyle w:val="Title2"/>
      </w:pPr>
      <w:bookmarkStart w:id="0" w:name="_Toc168347467"/>
      <w:bookmarkStart w:id="1" w:name="_Toc183983162"/>
      <w:bookmarkStart w:id="2" w:name="_Toc101000890"/>
      <w:bookmarkStart w:id="3" w:name="_Toc111405648"/>
      <w:bookmarkStart w:id="4" w:name="_Toc165835368"/>
      <w:bookmarkStart w:id="5" w:name="_Toc516594088"/>
      <w:bookmarkStart w:id="6" w:name="_Toc475924599"/>
      <w:bookmarkStart w:id="7" w:name="_Toc475924776"/>
      <w:r>
        <w:lastRenderedPageBreak/>
        <w:t>1</w:t>
      </w:r>
      <w:r w:rsidRPr="00EC78EA">
        <w:t xml:space="preserve">. </w:t>
      </w:r>
      <w:r>
        <w:t xml:space="preserve"> </w:t>
      </w:r>
      <w:bookmarkEnd w:id="0"/>
      <w:r w:rsidR="002A1AB9" w:rsidRPr="002A1AB9">
        <w:t xml:space="preserve">State </w:t>
      </w:r>
      <w:r w:rsidR="00652209">
        <w:t xml:space="preserve">Party </w:t>
      </w:r>
      <w:r w:rsidR="002A1AB9" w:rsidRPr="002A1AB9">
        <w:t xml:space="preserve">Report </w:t>
      </w:r>
      <w:r w:rsidR="002A1AB9" w:rsidRPr="00E36D5F">
        <w:t>confirm</w:t>
      </w:r>
      <w:r w:rsidR="00902A5B" w:rsidRPr="00E36D5F">
        <w:t>s</w:t>
      </w:r>
      <w:r w:rsidR="002A1AB9" w:rsidRPr="002A1AB9">
        <w:t xml:space="preserve"> IGM practices continue</w:t>
      </w:r>
      <w:r w:rsidR="0028476B">
        <w:t>, fails to provide data</w:t>
      </w:r>
      <w:bookmarkEnd w:id="1"/>
    </w:p>
    <w:p w14:paraId="4603993D" w14:textId="77777777" w:rsidR="00AE5016" w:rsidRPr="002A1AB9" w:rsidRDefault="002A1AB9" w:rsidP="002A1AB9">
      <w:pPr>
        <w:pStyle w:val="Title3"/>
      </w:pPr>
      <w:bookmarkStart w:id="8" w:name="_Toc183983163"/>
      <w:r w:rsidRPr="002A1AB9">
        <w:t xml:space="preserve">a) </w:t>
      </w:r>
      <w:r>
        <w:t xml:space="preserve">LOIPR: </w:t>
      </w:r>
      <w:r w:rsidRPr="002A1AB9">
        <w:t>CRC/C/NOR/QPR/7, para 1</w:t>
      </w:r>
      <w:r>
        <w:t>8(c)</w:t>
      </w:r>
      <w:bookmarkEnd w:id="8"/>
    </w:p>
    <w:p w14:paraId="131AA087" w14:textId="77777777" w:rsidR="00AE5016" w:rsidRPr="00AE5016" w:rsidRDefault="00AE5016" w:rsidP="00AE5016">
      <w:pPr>
        <w:pStyle w:val="absatzschattenbericht"/>
        <w:rPr>
          <w:b/>
          <w:bCs/>
          <w:i/>
          <w:iCs/>
        </w:rPr>
      </w:pPr>
      <w:r w:rsidRPr="00AE5016">
        <w:rPr>
          <w:b/>
          <w:bCs/>
          <w:i/>
          <w:iCs/>
        </w:rPr>
        <w:t>Harmful practices</w:t>
      </w:r>
    </w:p>
    <w:p w14:paraId="7F8D114A" w14:textId="77777777" w:rsidR="00F73394" w:rsidRDefault="00AE5016" w:rsidP="00B62DE6">
      <w:pPr>
        <w:pStyle w:val="absatzschattenbericht"/>
        <w:spacing w:after="80"/>
        <w:rPr>
          <w:i/>
          <w:iCs/>
        </w:rPr>
      </w:pPr>
      <w:r w:rsidRPr="00AE5016">
        <w:rPr>
          <w:i/>
          <w:iCs/>
        </w:rPr>
        <w:t>18.</w:t>
      </w:r>
      <w:r>
        <w:rPr>
          <w:i/>
          <w:iCs/>
        </w:rPr>
        <w:tab/>
      </w:r>
      <w:r w:rsidRPr="00AE5016">
        <w:rPr>
          <w:i/>
          <w:iCs/>
        </w:rPr>
        <w:t>Please provide information on:</w:t>
      </w:r>
      <w:r w:rsidR="00F73394">
        <w:rPr>
          <w:i/>
          <w:iCs/>
        </w:rPr>
        <w:t xml:space="preserve"> [...]</w:t>
      </w:r>
    </w:p>
    <w:p w14:paraId="61DD3134" w14:textId="77777777" w:rsidR="00AE5016" w:rsidRPr="00AE5016" w:rsidRDefault="00AE5016" w:rsidP="00F73394">
      <w:pPr>
        <w:pStyle w:val="absatzschattenbericht"/>
        <w:ind w:firstLine="708"/>
        <w:rPr>
          <w:i/>
          <w:iCs/>
        </w:rPr>
      </w:pPr>
      <w:r w:rsidRPr="00AE5016">
        <w:rPr>
          <w:i/>
          <w:iCs/>
        </w:rPr>
        <w:t>(c)</w:t>
      </w:r>
      <w:r>
        <w:rPr>
          <w:i/>
          <w:iCs/>
        </w:rPr>
        <w:tab/>
      </w:r>
      <w:r w:rsidRPr="00AE5016">
        <w:rPr>
          <w:i/>
          <w:iCs/>
        </w:rPr>
        <w:t>The practice with regard to treatment of intersex children.</w:t>
      </w:r>
    </w:p>
    <w:p w14:paraId="7DB57253" w14:textId="77777777" w:rsidR="002A1AB9" w:rsidRPr="002A1AB9" w:rsidRDefault="002A1AB9" w:rsidP="002A1AB9">
      <w:pPr>
        <w:pStyle w:val="Title3"/>
      </w:pPr>
      <w:bookmarkStart w:id="9" w:name="_Toc183983164"/>
      <w:r>
        <w:t>b</w:t>
      </w:r>
      <w:r w:rsidRPr="002A1AB9">
        <w:t>) State Party Report (CRC/C/NOR/7, para 132)</w:t>
      </w:r>
      <w:bookmarkEnd w:id="9"/>
    </w:p>
    <w:p w14:paraId="34EFE392" w14:textId="77777777" w:rsidR="00A52FBE" w:rsidRDefault="001B6EA7" w:rsidP="00007E95">
      <w:pPr>
        <w:pStyle w:val="absatzschattenbericht"/>
      </w:pPr>
      <w:r w:rsidRPr="00F73394">
        <w:t xml:space="preserve">In its Replies to the LOIPR’s </w:t>
      </w:r>
      <w:r w:rsidR="00F73394" w:rsidRPr="00F73394">
        <w:t>question on</w:t>
      </w:r>
      <w:r w:rsidR="0028476B">
        <w:t xml:space="preserve"> the current practice in Norway, while </w:t>
      </w:r>
      <w:r w:rsidR="0028476B" w:rsidRPr="0028476B">
        <w:rPr>
          <w:b/>
          <w:bCs/>
        </w:rPr>
        <w:t>claiming</w:t>
      </w:r>
      <w:r w:rsidR="0028476B">
        <w:t xml:space="preserve"> only </w:t>
      </w:r>
      <w:r w:rsidR="0028476B">
        <w:rPr>
          <w:i/>
          <w:iCs/>
        </w:rPr>
        <w:t xml:space="preserve">“medically necessary” </w:t>
      </w:r>
      <w:r w:rsidR="0028476B">
        <w:t xml:space="preserve">procedures would be performed, </w:t>
      </w:r>
      <w:r w:rsidR="00F60101" w:rsidRPr="00F73394">
        <w:t>the State Part</w:t>
      </w:r>
      <w:r w:rsidR="00F60101">
        <w:t xml:space="preserve">y </w:t>
      </w:r>
      <w:r w:rsidR="0028476B">
        <w:t xml:space="preserve">effectively </w:t>
      </w:r>
      <w:r w:rsidR="00A52FBE">
        <w:rPr>
          <w:b/>
          <w:bCs/>
        </w:rPr>
        <w:t>confirms</w:t>
      </w:r>
      <w:r w:rsidR="0028476B">
        <w:t xml:space="preserve"> that IGM practices “consented” to by parents </w:t>
      </w:r>
      <w:r w:rsidR="0028476B" w:rsidRPr="0028476B">
        <w:rPr>
          <w:b/>
          <w:bCs/>
        </w:rPr>
        <w:t>continue with impunity</w:t>
      </w:r>
      <w:r w:rsidR="00A52FBE">
        <w:t>:</w:t>
      </w:r>
      <w:r w:rsidR="0028476B">
        <w:t xml:space="preserve"> </w:t>
      </w:r>
      <w:r w:rsidR="0028476B">
        <w:rPr>
          <w:i/>
          <w:iCs/>
        </w:rPr>
        <w:t>“</w:t>
      </w:r>
      <w:r w:rsidR="0028476B" w:rsidRPr="002A569A">
        <w:rPr>
          <w:i/>
          <w:iCs/>
        </w:rPr>
        <w:t>Treatment practices in Norway are in line with those in the rest of Europe and follow international standards in the field.</w:t>
      </w:r>
      <w:r w:rsidR="0028476B">
        <w:rPr>
          <w:i/>
          <w:iCs/>
        </w:rPr>
        <w:t xml:space="preserve">” </w:t>
      </w:r>
      <w:r w:rsidR="00C057B5">
        <w:t xml:space="preserve">Notably, these </w:t>
      </w:r>
      <w:r w:rsidR="00C057B5">
        <w:rPr>
          <w:i/>
          <w:iCs/>
        </w:rPr>
        <w:t xml:space="preserve">“international standards” </w:t>
      </w:r>
      <w:r w:rsidR="000C285C">
        <w:t xml:space="preserve">endorsed by Norwegian doctors </w:t>
      </w:r>
      <w:r w:rsidR="00B75540" w:rsidRPr="00F64544">
        <w:rPr>
          <w:b/>
          <w:bCs/>
        </w:rPr>
        <w:t>continue to prescribe IGM practices</w:t>
      </w:r>
      <w:r w:rsidR="00B75540">
        <w:t xml:space="preserve"> (see below, p. </w:t>
      </w:r>
      <w:r w:rsidR="00A252B1">
        <w:t>4-8</w:t>
      </w:r>
      <w:r w:rsidR="00B75540">
        <w:t>)</w:t>
      </w:r>
      <w:r w:rsidR="000C285C">
        <w:t xml:space="preserve">, </w:t>
      </w:r>
      <w:r w:rsidR="005A0BB7">
        <w:t xml:space="preserve">and the </w:t>
      </w:r>
      <w:r w:rsidR="005A0BB7">
        <w:rPr>
          <w:i/>
          <w:iCs/>
        </w:rPr>
        <w:t xml:space="preserve">“practices [...] in the rest of Europe” </w:t>
      </w:r>
      <w:r w:rsidR="00E00BD8">
        <w:t xml:space="preserve">have been </w:t>
      </w:r>
      <w:r w:rsidR="00A52FBE">
        <w:t>widely</w:t>
      </w:r>
      <w:r w:rsidR="00E00BD8">
        <w:t xml:space="preserve"> considered as a </w:t>
      </w:r>
      <w:r w:rsidR="00E00BD8" w:rsidRPr="00F64544">
        <w:rPr>
          <w:b/>
          <w:bCs/>
        </w:rPr>
        <w:t xml:space="preserve">harmful practice or </w:t>
      </w:r>
      <w:r w:rsidR="00E00BD8" w:rsidRPr="00A52FBE">
        <w:t>other</w:t>
      </w:r>
      <w:r w:rsidR="00E00BD8" w:rsidRPr="00F64544">
        <w:rPr>
          <w:b/>
          <w:bCs/>
        </w:rPr>
        <w:t xml:space="preserve"> serious human rights violation</w:t>
      </w:r>
      <w:r w:rsidR="00E00BD8">
        <w:t xml:space="preserve"> in </w:t>
      </w:r>
      <w:r w:rsidR="00191105">
        <w:t xml:space="preserve">currently </w:t>
      </w:r>
      <w:r w:rsidR="00CB73EB">
        <w:t>66</w:t>
      </w:r>
      <w:r w:rsidR="00E00BD8">
        <w:t xml:space="preserve"> Concluding Observations.</w:t>
      </w:r>
      <w:r w:rsidR="00E00BD8" w:rsidRPr="000A796F">
        <w:rPr>
          <w:rStyle w:val="Funotenanker"/>
          <w:lang w:val="en-GB"/>
        </w:rPr>
        <w:footnoteReference w:id="2"/>
      </w:r>
      <w:r w:rsidR="00804CDB">
        <w:t xml:space="preserve"> While claiming </w:t>
      </w:r>
      <w:r w:rsidR="00804CDB">
        <w:rPr>
          <w:i/>
          <w:iCs/>
        </w:rPr>
        <w:t xml:space="preserve">“only a handful of children” </w:t>
      </w:r>
      <w:r w:rsidR="00804CDB">
        <w:t xml:space="preserve">would be submitted to IGM practices, the State Party </w:t>
      </w:r>
      <w:r w:rsidR="00804CDB" w:rsidRPr="00A52FBE">
        <w:rPr>
          <w:b/>
          <w:bCs/>
        </w:rPr>
        <w:t xml:space="preserve">fails to substantiate </w:t>
      </w:r>
      <w:r w:rsidR="00804CDB">
        <w:t xml:space="preserve">this </w:t>
      </w:r>
      <w:r w:rsidR="00C660AF">
        <w:t xml:space="preserve">implausible </w:t>
      </w:r>
      <w:r w:rsidR="00804CDB">
        <w:t xml:space="preserve">claim </w:t>
      </w:r>
      <w:r w:rsidR="00A52FBE">
        <w:t xml:space="preserve">e.g. </w:t>
      </w:r>
      <w:r w:rsidR="00804CDB">
        <w:t xml:space="preserve">by </w:t>
      </w:r>
      <w:r w:rsidR="00804CDB" w:rsidRPr="00804CDB">
        <w:rPr>
          <w:b/>
          <w:bCs/>
        </w:rPr>
        <w:t>providing statistics</w:t>
      </w:r>
      <w:r w:rsidR="00804CDB">
        <w:t xml:space="preserve"> of </w:t>
      </w:r>
      <w:r w:rsidR="00A52FBE">
        <w:t xml:space="preserve">all </w:t>
      </w:r>
      <w:r w:rsidR="00804CDB">
        <w:t>relevant procedures.</w:t>
      </w:r>
      <w:r w:rsidR="00C660AF">
        <w:t xml:space="preserve"> Notably, </w:t>
      </w:r>
      <w:r w:rsidR="00A52FBE">
        <w:t xml:space="preserve">in </w:t>
      </w:r>
      <w:r w:rsidR="00A52FBE" w:rsidRPr="00A52FBE">
        <w:t xml:space="preserve">Norway, with </w:t>
      </w:r>
      <w:r w:rsidR="00A52FBE" w:rsidRPr="00F60101">
        <w:rPr>
          <w:b/>
          <w:bCs/>
        </w:rPr>
        <w:t>51,980 live births</w:t>
      </w:r>
      <w:r w:rsidR="00A52FBE" w:rsidRPr="00A52FBE">
        <w:t xml:space="preserve"> in 2023</w:t>
      </w:r>
      <w:r w:rsidR="00F60101" w:rsidRPr="000A796F">
        <w:rPr>
          <w:rStyle w:val="Funotenanker"/>
          <w:lang w:val="en-GB"/>
        </w:rPr>
        <w:footnoteReference w:id="3"/>
      </w:r>
      <w:r w:rsidR="00A52FBE" w:rsidRPr="00A52FBE">
        <w:t xml:space="preserve"> and a risk of 1-2:1000 newborns</w:t>
      </w:r>
      <w:r w:rsidR="00F60101" w:rsidRPr="000A796F">
        <w:rPr>
          <w:rStyle w:val="Funotenanker"/>
          <w:lang w:val="en-GB"/>
        </w:rPr>
        <w:footnoteReference w:id="4"/>
      </w:r>
      <w:r w:rsidR="00A52FBE" w:rsidRPr="00A52FBE">
        <w:t xml:space="preserve"> being subjected to IGM practices, around </w:t>
      </w:r>
      <w:r w:rsidR="00A52FBE" w:rsidRPr="00A52FBE">
        <w:rPr>
          <w:b/>
          <w:bCs/>
        </w:rPr>
        <w:t>26-52 intersex newborns are at risk</w:t>
      </w:r>
      <w:r w:rsidR="00A52FBE" w:rsidRPr="00A52FBE">
        <w:t xml:space="preserve"> every year</w:t>
      </w:r>
      <w:r w:rsidR="00F60101">
        <w:t xml:space="preserve">, with </w:t>
      </w:r>
      <w:r w:rsidR="00F60101" w:rsidRPr="00F60101">
        <w:rPr>
          <w:b/>
          <w:bCs/>
        </w:rPr>
        <w:t>additional children</w:t>
      </w:r>
      <w:r w:rsidR="00F60101">
        <w:t xml:space="preserve"> submitted to </w:t>
      </w:r>
      <w:r w:rsidR="00F60101" w:rsidRPr="00F60101">
        <w:rPr>
          <w:b/>
          <w:bCs/>
        </w:rPr>
        <w:t>“redo surgery”</w:t>
      </w:r>
      <w:r w:rsidR="00A52FBE" w:rsidRPr="00A52FBE">
        <w:t>.</w:t>
      </w:r>
    </w:p>
    <w:p w14:paraId="71FA36F8" w14:textId="77777777" w:rsidR="001B6EA7" w:rsidRPr="001B6EA7" w:rsidRDefault="001B6EA7" w:rsidP="00B62DE6">
      <w:pPr>
        <w:pStyle w:val="absatzschattenbericht"/>
        <w:spacing w:after="80"/>
        <w:rPr>
          <w:b/>
          <w:bCs/>
          <w:i/>
          <w:iCs/>
        </w:rPr>
      </w:pPr>
      <w:r w:rsidRPr="001B6EA7">
        <w:rPr>
          <w:b/>
          <w:bCs/>
          <w:i/>
          <w:iCs/>
        </w:rPr>
        <w:lastRenderedPageBreak/>
        <w:t>Harmful practices</w:t>
      </w:r>
    </w:p>
    <w:p w14:paraId="271BCD9E" w14:textId="77777777" w:rsidR="001B6EA7" w:rsidRPr="00AE5016" w:rsidRDefault="001B6EA7" w:rsidP="00B62DE6">
      <w:pPr>
        <w:pStyle w:val="absatzschattenbericht"/>
        <w:spacing w:after="80"/>
        <w:rPr>
          <w:b/>
          <w:bCs/>
          <w:i/>
          <w:iCs/>
        </w:rPr>
      </w:pPr>
      <w:r w:rsidRPr="001B6EA7">
        <w:rPr>
          <w:b/>
          <w:bCs/>
          <w:i/>
          <w:iCs/>
        </w:rPr>
        <w:t>Question 18</w:t>
      </w:r>
      <w:r w:rsidR="00AE5016">
        <w:rPr>
          <w:b/>
          <w:bCs/>
          <w:i/>
          <w:iCs/>
        </w:rPr>
        <w:t xml:space="preserve"> </w:t>
      </w:r>
      <w:r w:rsidRPr="001B6EA7">
        <w:rPr>
          <w:i/>
          <w:iCs/>
        </w:rPr>
        <w:t>[…]</w:t>
      </w:r>
    </w:p>
    <w:p w14:paraId="70ABF43F" w14:textId="77777777" w:rsidR="001B6EA7" w:rsidRPr="001B6EA7" w:rsidRDefault="00B62DE6" w:rsidP="00B62DE6">
      <w:pPr>
        <w:pStyle w:val="absatzschattenbericht"/>
        <w:spacing w:after="0"/>
        <w:rPr>
          <w:i/>
          <w:iCs/>
        </w:rPr>
      </w:pPr>
      <w:r>
        <w:rPr>
          <w:i/>
          <w:iCs/>
        </w:rPr>
        <w:t>c)</w:t>
      </w:r>
    </w:p>
    <w:p w14:paraId="0FC60A87" w14:textId="77777777" w:rsidR="001B6EA7" w:rsidRPr="001B6EA7" w:rsidRDefault="001B6EA7" w:rsidP="00B62DE6">
      <w:pPr>
        <w:pStyle w:val="absatzschattenbericht"/>
        <w:ind w:firstLine="709"/>
        <w:rPr>
          <w:i/>
          <w:iCs/>
        </w:rPr>
      </w:pPr>
      <w:r w:rsidRPr="001B6EA7">
        <w:rPr>
          <w:i/>
          <w:iCs/>
        </w:rPr>
        <w:t>13</w:t>
      </w:r>
      <w:r w:rsidR="002A569A">
        <w:rPr>
          <w:i/>
          <w:iCs/>
        </w:rPr>
        <w:t>2</w:t>
      </w:r>
      <w:r w:rsidRPr="001B6EA7">
        <w:rPr>
          <w:i/>
          <w:iCs/>
        </w:rPr>
        <w:t>.</w:t>
      </w:r>
      <w:r w:rsidR="00AE5016">
        <w:rPr>
          <w:i/>
          <w:iCs/>
        </w:rPr>
        <w:tab/>
      </w:r>
      <w:r w:rsidR="002A569A" w:rsidRPr="002A569A">
        <w:rPr>
          <w:i/>
          <w:iCs/>
        </w:rPr>
        <w:t>Treatment is only initiated when medically necessary. This concerns only a handful of children, who are followed up from the time they are born. The children are promptly referred to the specialist health service for examination and treatment. In some patients, surgery may be necessary, which is then done in consultation with the child’s parents. Treatment practices in Norway are in line with those in the rest of Europe and follow international standards in the field.</w:t>
      </w:r>
    </w:p>
    <w:p w14:paraId="3B8E976A" w14:textId="77777777" w:rsidR="00DB4A71" w:rsidRPr="006F74DB" w:rsidRDefault="00F04FA6" w:rsidP="00DB4A71">
      <w:pPr>
        <w:pStyle w:val="Title2"/>
      </w:pPr>
      <w:bookmarkStart w:id="10" w:name="_Toc183983165"/>
      <w:r>
        <w:t>2</w:t>
      </w:r>
      <w:r w:rsidR="00DB4A71" w:rsidRPr="006F74DB">
        <w:t xml:space="preserve">.  </w:t>
      </w:r>
      <w:r w:rsidR="0087531B">
        <w:t>Norway’s</w:t>
      </w:r>
      <w:r w:rsidR="00DB4A71" w:rsidRPr="006F74DB">
        <w:t xml:space="preserve"> commitment to </w:t>
      </w:r>
      <w:r w:rsidR="00DB4A71" w:rsidRPr="006F74DB">
        <w:rPr>
          <w:i/>
        </w:rPr>
        <w:t>“protect intersex children from violence and harmful practices”</w:t>
      </w:r>
      <w:r w:rsidR="00DB4A71" w:rsidRPr="006F74DB">
        <w:t xml:space="preserve">, </w:t>
      </w:r>
      <w:r w:rsidR="00DB4A71" w:rsidRPr="006F74DB">
        <w:rPr>
          <w:i/>
        </w:rPr>
        <w:t>“investigate abuses”</w:t>
      </w:r>
      <w:r w:rsidR="00DB4A71" w:rsidRPr="006F74DB">
        <w:t xml:space="preserve">, </w:t>
      </w:r>
      <w:r w:rsidR="00DB4A71" w:rsidRPr="006F74DB">
        <w:rPr>
          <w:i/>
        </w:rPr>
        <w:t>“ensure accountability”</w:t>
      </w:r>
      <w:r w:rsidR="00DB4A71" w:rsidRPr="006F74DB">
        <w:t xml:space="preserve"> and </w:t>
      </w:r>
      <w:r w:rsidR="00DB4A71" w:rsidRPr="006F74DB">
        <w:rPr>
          <w:i/>
        </w:rPr>
        <w:t xml:space="preserve">“access to </w:t>
      </w:r>
      <w:bookmarkEnd w:id="2"/>
      <w:r w:rsidR="00DB4A71" w:rsidRPr="006F74DB">
        <w:rPr>
          <w:i/>
        </w:rPr>
        <w:t>remedy”</w:t>
      </w:r>
      <w:bookmarkEnd w:id="3"/>
      <w:bookmarkEnd w:id="4"/>
      <w:bookmarkEnd w:id="10"/>
    </w:p>
    <w:p w14:paraId="68538417" w14:textId="77777777" w:rsidR="0087531B" w:rsidRPr="000A796F" w:rsidRDefault="0087531B" w:rsidP="0087531B">
      <w:pPr>
        <w:pStyle w:val="Title3"/>
      </w:pPr>
      <w:bookmarkStart w:id="11" w:name="_Toc101000891"/>
      <w:bookmarkStart w:id="12" w:name="_Toc111405649"/>
      <w:bookmarkStart w:id="13" w:name="_Toc165835369"/>
      <w:bookmarkStart w:id="14" w:name="_Toc183983166"/>
      <w:bookmarkEnd w:id="5"/>
      <w:r w:rsidRPr="000A796F">
        <w:t>a) UNHRC45 Statement, 01.10.2020</w:t>
      </w:r>
      <w:bookmarkEnd w:id="11"/>
      <w:bookmarkEnd w:id="12"/>
      <w:bookmarkEnd w:id="13"/>
      <w:bookmarkEnd w:id="14"/>
    </w:p>
    <w:p w14:paraId="66FF443D" w14:textId="77777777" w:rsidR="0087531B" w:rsidRPr="000A796F" w:rsidRDefault="0087531B" w:rsidP="0087531B">
      <w:pPr>
        <w:pStyle w:val="absatzschattenbericht"/>
        <w:rPr>
          <w:bCs/>
          <w:lang w:val="en-GB"/>
        </w:rPr>
      </w:pPr>
      <w:r w:rsidRPr="000A796F">
        <w:rPr>
          <w:bCs/>
          <w:lang w:val="en-GB"/>
        </w:rPr>
        <w:t xml:space="preserve">On occasion of the </w:t>
      </w:r>
      <w:r w:rsidRPr="000A796F">
        <w:rPr>
          <w:b/>
          <w:lang w:val="en-GB"/>
        </w:rPr>
        <w:t>45</w:t>
      </w:r>
      <w:r w:rsidRPr="000A796F">
        <w:rPr>
          <w:b/>
          <w:vertAlign w:val="superscript"/>
          <w:lang w:val="en-GB"/>
        </w:rPr>
        <w:t>th</w:t>
      </w:r>
      <w:r w:rsidRPr="000A796F">
        <w:rPr>
          <w:b/>
          <w:lang w:val="en-GB"/>
        </w:rPr>
        <w:t xml:space="preserve"> Session of the Human Rights Council</w:t>
      </w:r>
      <w:r w:rsidRPr="000A796F">
        <w:rPr>
          <w:bCs/>
          <w:lang w:val="en-GB"/>
        </w:rPr>
        <w:t xml:space="preserve"> the </w:t>
      </w:r>
      <w:r w:rsidRPr="000A796F">
        <w:rPr>
          <w:b/>
          <w:lang w:val="en-GB"/>
        </w:rPr>
        <w:t>State party</w:t>
      </w:r>
      <w:r w:rsidRPr="000A796F">
        <w:rPr>
          <w:bCs/>
          <w:lang w:val="en-GB"/>
        </w:rPr>
        <w:t xml:space="preserve"> </w:t>
      </w:r>
      <w:r>
        <w:rPr>
          <w:bCs/>
          <w:lang w:val="en-GB"/>
        </w:rPr>
        <w:t>supported</w:t>
      </w:r>
      <w:r w:rsidRPr="000A796F">
        <w:rPr>
          <w:bCs/>
          <w:lang w:val="en-GB"/>
        </w:rPr>
        <w:t xml:space="preserve"> a public </w:t>
      </w:r>
      <w:r w:rsidRPr="000A796F">
        <w:rPr>
          <w:bCs/>
          <w:i/>
          <w:iCs/>
          <w:lang w:val="en-GB"/>
        </w:rPr>
        <w:t xml:space="preserve">“Joint Statement </w:t>
      </w:r>
      <w:r>
        <w:rPr>
          <w:bCs/>
          <w:i/>
          <w:iCs/>
          <w:lang w:val="en-GB"/>
        </w:rPr>
        <w:t>[...]</w:t>
      </w:r>
      <w:r w:rsidRPr="000A796F">
        <w:rPr>
          <w:bCs/>
          <w:i/>
          <w:iCs/>
          <w:lang w:val="en-GB"/>
        </w:rPr>
        <w:t xml:space="preserve"> on the Rights of Intersex Persons”</w:t>
      </w:r>
      <w:r w:rsidRPr="000A796F">
        <w:rPr>
          <w:bCs/>
          <w:lang w:val="en-GB"/>
        </w:rPr>
        <w:t xml:space="preserve"> calling to </w:t>
      </w:r>
      <w:r w:rsidRPr="000A796F">
        <w:rPr>
          <w:b/>
          <w:i/>
          <w:iCs/>
          <w:lang w:val="en-GB"/>
        </w:rPr>
        <w:t>“protect […] intersex adults and children</w:t>
      </w:r>
      <w:r w:rsidRPr="000A796F">
        <w:rPr>
          <w:bCs/>
          <w:i/>
          <w:iCs/>
          <w:lang w:val="en-GB"/>
        </w:rPr>
        <w:t xml:space="preserve"> […] so that they live free </w:t>
      </w:r>
      <w:r w:rsidRPr="000A796F">
        <w:rPr>
          <w:b/>
          <w:i/>
          <w:iCs/>
          <w:lang w:val="en-GB"/>
        </w:rPr>
        <w:t>from violence and harmful practices</w:t>
      </w:r>
      <w:r w:rsidRPr="000A796F">
        <w:rPr>
          <w:bCs/>
          <w:i/>
          <w:iCs/>
          <w:lang w:val="en-GB"/>
        </w:rPr>
        <w:t xml:space="preserve">. Governments should </w:t>
      </w:r>
      <w:r w:rsidRPr="000A796F">
        <w:rPr>
          <w:b/>
          <w:i/>
          <w:iCs/>
          <w:lang w:val="en-GB"/>
        </w:rPr>
        <w:t>investigate human rights violations and abuses</w:t>
      </w:r>
      <w:r w:rsidRPr="000A796F">
        <w:rPr>
          <w:bCs/>
          <w:i/>
          <w:iCs/>
          <w:lang w:val="en-GB"/>
        </w:rPr>
        <w:t xml:space="preserve"> against intersex people, </w:t>
      </w:r>
      <w:r w:rsidRPr="000A796F">
        <w:rPr>
          <w:b/>
          <w:i/>
          <w:iCs/>
          <w:lang w:val="en-GB"/>
        </w:rPr>
        <w:t>ensure accountability</w:t>
      </w:r>
      <w:r w:rsidRPr="000A796F">
        <w:rPr>
          <w:bCs/>
          <w:i/>
          <w:iCs/>
          <w:lang w:val="en-GB"/>
        </w:rPr>
        <w:t xml:space="preserve">, […] and </w:t>
      </w:r>
      <w:r w:rsidRPr="000A796F">
        <w:rPr>
          <w:b/>
          <w:i/>
          <w:iCs/>
          <w:lang w:val="en-GB"/>
        </w:rPr>
        <w:t>provide victims with access to remedy.”</w:t>
      </w:r>
      <w:r w:rsidRPr="000A796F">
        <w:rPr>
          <w:bCs/>
          <w:lang w:val="en-GB"/>
        </w:rPr>
        <w:t xml:space="preserve"> </w:t>
      </w:r>
      <w:r w:rsidRPr="000A796F">
        <w:rPr>
          <w:rStyle w:val="Funotenanker"/>
          <w:lang w:val="en-GB"/>
        </w:rPr>
        <w:footnoteReference w:id="5"/>
      </w:r>
    </w:p>
    <w:p w14:paraId="69E9C8DA" w14:textId="77777777" w:rsidR="0087531B" w:rsidRPr="000A796F" w:rsidRDefault="0087531B" w:rsidP="0087531B">
      <w:pPr>
        <w:pStyle w:val="Title3"/>
      </w:pPr>
      <w:bookmarkStart w:id="15" w:name="_Toc101000892"/>
      <w:bookmarkStart w:id="16" w:name="_Toc111405650"/>
      <w:bookmarkStart w:id="17" w:name="_Toc165835370"/>
      <w:bookmarkStart w:id="18" w:name="_Toc183983167"/>
      <w:r w:rsidRPr="000A796F">
        <w:t>b) UNHRC48 Statement, 04.10.2021</w:t>
      </w:r>
      <w:bookmarkEnd w:id="15"/>
      <w:bookmarkEnd w:id="16"/>
      <w:bookmarkEnd w:id="17"/>
      <w:bookmarkEnd w:id="18"/>
    </w:p>
    <w:p w14:paraId="48CB343A" w14:textId="77777777" w:rsidR="0087531B" w:rsidRPr="000A796F" w:rsidRDefault="0087531B" w:rsidP="0087531B">
      <w:pPr>
        <w:pStyle w:val="absatzschattenbericht"/>
        <w:rPr>
          <w:bCs/>
          <w:lang w:val="en-GB"/>
        </w:rPr>
      </w:pPr>
      <w:r w:rsidRPr="000A796F">
        <w:rPr>
          <w:bCs/>
          <w:lang w:val="en-GB"/>
        </w:rPr>
        <w:t xml:space="preserve">On occasion of the </w:t>
      </w:r>
      <w:r w:rsidRPr="000A796F">
        <w:rPr>
          <w:b/>
          <w:lang w:val="en-GB"/>
        </w:rPr>
        <w:t>48</w:t>
      </w:r>
      <w:r w:rsidRPr="000A796F">
        <w:rPr>
          <w:b/>
          <w:vertAlign w:val="superscript"/>
          <w:lang w:val="en-GB"/>
        </w:rPr>
        <w:t>th</w:t>
      </w:r>
      <w:r w:rsidRPr="000A796F">
        <w:rPr>
          <w:b/>
          <w:lang w:val="en-GB"/>
        </w:rPr>
        <w:t xml:space="preserve"> Session of the Human Rights Council</w:t>
      </w:r>
      <w:r w:rsidRPr="000A796F">
        <w:rPr>
          <w:bCs/>
          <w:lang w:val="en-GB"/>
        </w:rPr>
        <w:t xml:space="preserve"> the </w:t>
      </w:r>
      <w:r w:rsidRPr="000A796F">
        <w:rPr>
          <w:b/>
          <w:lang w:val="en-GB"/>
        </w:rPr>
        <w:t>State party</w:t>
      </w:r>
      <w:r w:rsidRPr="000A796F">
        <w:rPr>
          <w:bCs/>
          <w:lang w:val="en-GB"/>
        </w:rPr>
        <w:t xml:space="preserve"> supported a public follow-up statement reiterating the call to end harmful practices and ensure access to justice:</w:t>
      </w:r>
    </w:p>
    <w:p w14:paraId="369F7787" w14:textId="77777777" w:rsidR="0087531B" w:rsidRPr="000A796F" w:rsidRDefault="0087531B" w:rsidP="0087531B">
      <w:pPr>
        <w:pStyle w:val="absatzschattenbericht"/>
        <w:ind w:left="284"/>
        <w:rPr>
          <w:rFonts w:eastAsia="Baskerville-SemiBold" w:cs="Baskerville-SemiBold"/>
          <w:bCs/>
          <w:i/>
          <w:iCs/>
          <w:lang w:val="en-GB"/>
        </w:rPr>
      </w:pPr>
      <w:r w:rsidRPr="000A796F">
        <w:rPr>
          <w:rFonts w:eastAsia="Baskerville-SemiBold" w:cs="Baskerville-SemiBold"/>
          <w:bCs/>
          <w:i/>
          <w:iCs/>
          <w:lang w:val="en-GB"/>
        </w:rPr>
        <w:t xml:space="preserve">“Intersex persons also need to be protected from </w:t>
      </w:r>
      <w:r w:rsidRPr="000A796F">
        <w:rPr>
          <w:rFonts w:eastAsia="Baskerville-SemiBold" w:cs="Baskerville-SemiBold"/>
          <w:b/>
          <w:bCs/>
          <w:i/>
          <w:iCs/>
          <w:lang w:val="en-GB"/>
        </w:rPr>
        <w:t>violence</w:t>
      </w:r>
      <w:r w:rsidRPr="000A796F">
        <w:rPr>
          <w:rFonts w:eastAsia="Baskerville-SemiBold" w:cs="Baskerville-SemiBold"/>
          <w:bCs/>
          <w:i/>
          <w:iCs/>
          <w:lang w:val="en-GB"/>
        </w:rPr>
        <w:t xml:space="preserve"> and States must </w:t>
      </w:r>
      <w:r w:rsidRPr="000A796F">
        <w:rPr>
          <w:rFonts w:eastAsia="Baskerville-SemiBold" w:cs="Baskerville-SemiBold"/>
          <w:b/>
          <w:i/>
          <w:iCs/>
          <w:lang w:val="en-GB"/>
        </w:rPr>
        <w:t>ensure accountability</w:t>
      </w:r>
      <w:r w:rsidRPr="000A796F">
        <w:rPr>
          <w:rFonts w:eastAsia="Baskerville-SemiBold" w:cs="Baskerville-SemiBold"/>
          <w:bCs/>
          <w:i/>
          <w:iCs/>
          <w:lang w:val="en-GB"/>
        </w:rPr>
        <w:t xml:space="preserve"> for these acts. […]</w:t>
      </w:r>
    </w:p>
    <w:p w14:paraId="1EB94372" w14:textId="77777777" w:rsidR="0087531B" w:rsidRPr="000A796F" w:rsidRDefault="0087531B" w:rsidP="0087531B">
      <w:pPr>
        <w:pStyle w:val="absatzschattenbericht"/>
        <w:ind w:left="284"/>
        <w:rPr>
          <w:rFonts w:eastAsia="Baskerville-SemiBold" w:cs="Baskerville-SemiBold"/>
          <w:bCs/>
          <w:i/>
          <w:iCs/>
          <w:lang w:val="en-GB"/>
        </w:rPr>
      </w:pPr>
      <w:r w:rsidRPr="000A796F">
        <w:rPr>
          <w:rFonts w:eastAsia="Baskerville-SemiBold" w:cs="Baskerville-SemiBold"/>
          <w:bCs/>
          <w:i/>
          <w:iCs/>
          <w:lang w:val="en-GB"/>
        </w:rPr>
        <w:t xml:space="preserve">Furthermore, there is also a need to take measures to protect the </w:t>
      </w:r>
      <w:r w:rsidRPr="000A796F">
        <w:rPr>
          <w:rFonts w:eastAsia="Baskerville-SemiBold" w:cs="Baskerville-SemiBold"/>
          <w:b/>
          <w:bCs/>
          <w:i/>
          <w:iCs/>
          <w:lang w:val="en-GB"/>
        </w:rPr>
        <w:t>autonomy</w:t>
      </w:r>
      <w:r w:rsidRPr="000A796F">
        <w:rPr>
          <w:rFonts w:eastAsia="Baskerville-SemiBold" w:cs="Baskerville-SemiBold"/>
          <w:bCs/>
          <w:i/>
          <w:iCs/>
          <w:lang w:val="en-GB"/>
        </w:rPr>
        <w:t xml:space="preserve"> of intersex children and adults and their rights to health and to </w:t>
      </w:r>
      <w:r w:rsidRPr="000A796F">
        <w:rPr>
          <w:rFonts w:eastAsia="Baskerville-SemiBold" w:cs="Baskerville-SemiBold"/>
          <w:b/>
          <w:i/>
          <w:iCs/>
          <w:lang w:val="en-GB"/>
        </w:rPr>
        <w:t>physical and mental integrity</w:t>
      </w:r>
      <w:r w:rsidRPr="000A796F">
        <w:rPr>
          <w:rFonts w:eastAsia="Baskerville-SemiBold" w:cs="Baskerville-SemiBold"/>
          <w:bCs/>
          <w:i/>
          <w:iCs/>
          <w:lang w:val="en-GB"/>
        </w:rPr>
        <w:t xml:space="preserve"> so that they live </w:t>
      </w:r>
      <w:r w:rsidRPr="000A796F">
        <w:rPr>
          <w:rFonts w:eastAsia="Baskerville-SemiBold" w:cs="Baskerville-SemiBold"/>
          <w:b/>
          <w:i/>
          <w:iCs/>
          <w:lang w:val="en-GB"/>
        </w:rPr>
        <w:t>free from violence and harmful practices</w:t>
      </w:r>
      <w:r w:rsidRPr="000A796F">
        <w:rPr>
          <w:rFonts w:eastAsia="Baskerville-SemiBold" w:cs="Baskerville-SemiBold"/>
          <w:bCs/>
          <w:i/>
          <w:iCs/>
          <w:lang w:val="en-GB"/>
        </w:rPr>
        <w:t xml:space="preserve">. Medically unnecessary surgeries, hormonal treatments and other invasive or irreversible non-vital medical procedures without their free, prior, full and informed consent are </w:t>
      </w:r>
      <w:r w:rsidRPr="000A796F">
        <w:rPr>
          <w:rFonts w:eastAsia="Baskerville-SemiBold" w:cs="Baskerville-SemiBold"/>
          <w:b/>
          <w:i/>
          <w:iCs/>
          <w:lang w:val="en-GB"/>
        </w:rPr>
        <w:t>harmful to the full enjoyment of the human rights</w:t>
      </w:r>
      <w:r w:rsidRPr="000A796F">
        <w:rPr>
          <w:rFonts w:eastAsia="Baskerville-SemiBold" w:cs="Baskerville-SemiBold"/>
          <w:bCs/>
          <w:i/>
          <w:iCs/>
          <w:lang w:val="en-GB"/>
        </w:rPr>
        <w:t xml:space="preserve"> of intersex persons.</w:t>
      </w:r>
    </w:p>
    <w:p w14:paraId="445D383E" w14:textId="77777777" w:rsidR="0087531B" w:rsidRPr="000A796F" w:rsidRDefault="0087531B" w:rsidP="0087531B">
      <w:pPr>
        <w:pStyle w:val="absatzschattenbericht"/>
        <w:ind w:left="284"/>
        <w:rPr>
          <w:rFonts w:eastAsia="Baskerville-SemiBold" w:cs="Baskerville-SemiBold"/>
          <w:bCs/>
          <w:i/>
          <w:iCs/>
          <w:lang w:val="en-GB"/>
        </w:rPr>
      </w:pPr>
      <w:r w:rsidRPr="000A796F">
        <w:rPr>
          <w:rFonts w:eastAsia="Baskerville-SemiBold" w:cs="Baskerville-SemiBold"/>
          <w:bCs/>
          <w:i/>
          <w:iCs/>
          <w:lang w:val="en-GB"/>
        </w:rPr>
        <w:t xml:space="preserve">We call on all member states to take measures to combat violence and discrimination against intersex persons, develop policies in close consultations with those affected, </w:t>
      </w:r>
      <w:r w:rsidRPr="000A796F">
        <w:rPr>
          <w:rFonts w:eastAsia="Baskerville-SemiBold" w:cs="Baskerville-SemiBold"/>
          <w:b/>
          <w:i/>
          <w:iCs/>
          <w:lang w:val="en-GB"/>
        </w:rPr>
        <w:t>ensure accountability</w:t>
      </w:r>
      <w:r w:rsidRPr="000A796F">
        <w:rPr>
          <w:rFonts w:eastAsia="Baskerville-SemiBold" w:cs="Baskerville-SemiBold"/>
          <w:bCs/>
          <w:i/>
          <w:iCs/>
          <w:lang w:val="en-GB"/>
        </w:rPr>
        <w:t xml:space="preserve">, reverse discriminatory laws and </w:t>
      </w:r>
      <w:r w:rsidRPr="000A796F">
        <w:rPr>
          <w:rFonts w:eastAsia="Baskerville-SemiBold" w:cs="Baskerville-SemiBold"/>
          <w:b/>
          <w:i/>
          <w:iCs/>
          <w:lang w:val="en-GB"/>
        </w:rPr>
        <w:t>provide victims with access to remedy</w:t>
      </w:r>
      <w:r w:rsidRPr="000A796F">
        <w:rPr>
          <w:rFonts w:eastAsia="Baskerville-SemiBold" w:cs="Baskerville-SemiBold"/>
          <w:bCs/>
          <w:i/>
          <w:iCs/>
          <w:lang w:val="en-GB"/>
        </w:rPr>
        <w:t xml:space="preserve">.” </w:t>
      </w:r>
      <w:r w:rsidRPr="000A796F">
        <w:rPr>
          <w:rStyle w:val="Funotenanker"/>
          <w:lang w:val="en-GB"/>
        </w:rPr>
        <w:footnoteReference w:id="6"/>
      </w:r>
    </w:p>
    <w:p w14:paraId="47437578" w14:textId="77777777" w:rsidR="0087531B" w:rsidRPr="000A796F" w:rsidRDefault="0087531B" w:rsidP="0087531B">
      <w:pPr>
        <w:pStyle w:val="Title3"/>
      </w:pPr>
      <w:bookmarkStart w:id="19" w:name="_Toc165835371"/>
      <w:bookmarkStart w:id="20" w:name="_Toc183983168"/>
      <w:r w:rsidRPr="000A796F">
        <w:t>c) UNHRC54 Statement, 04.10.2023</w:t>
      </w:r>
      <w:bookmarkEnd w:id="19"/>
      <w:bookmarkEnd w:id="20"/>
    </w:p>
    <w:p w14:paraId="01FE595C" w14:textId="77777777" w:rsidR="0087531B" w:rsidRPr="000A796F" w:rsidRDefault="0087531B" w:rsidP="0087531B">
      <w:pPr>
        <w:pStyle w:val="absatzschattenbericht"/>
        <w:rPr>
          <w:bCs/>
          <w:lang w:val="en-GB"/>
        </w:rPr>
      </w:pPr>
      <w:r w:rsidRPr="000A796F">
        <w:rPr>
          <w:bCs/>
          <w:lang w:val="en-GB"/>
        </w:rPr>
        <w:t xml:space="preserve">On occasion of the </w:t>
      </w:r>
      <w:r w:rsidRPr="000A796F">
        <w:rPr>
          <w:b/>
          <w:lang w:val="en-GB"/>
        </w:rPr>
        <w:t>54</w:t>
      </w:r>
      <w:r w:rsidRPr="000A796F">
        <w:rPr>
          <w:b/>
          <w:vertAlign w:val="superscript"/>
          <w:lang w:val="en-GB"/>
        </w:rPr>
        <w:t>th</w:t>
      </w:r>
      <w:r w:rsidRPr="000A796F">
        <w:rPr>
          <w:b/>
          <w:lang w:val="en-GB"/>
        </w:rPr>
        <w:t xml:space="preserve"> Session of the Human Rights Council</w:t>
      </w:r>
      <w:r w:rsidRPr="000A796F">
        <w:rPr>
          <w:bCs/>
          <w:lang w:val="en-GB"/>
        </w:rPr>
        <w:t xml:space="preserve"> the </w:t>
      </w:r>
      <w:r w:rsidRPr="000A796F">
        <w:rPr>
          <w:b/>
          <w:lang w:val="en-GB"/>
        </w:rPr>
        <w:t>State party</w:t>
      </w:r>
      <w:r w:rsidRPr="000A796F">
        <w:rPr>
          <w:bCs/>
          <w:lang w:val="en-GB"/>
        </w:rPr>
        <w:t xml:space="preserve"> supported a public follow-up statement reiterating the call to prohibit harmful practices and inhuman treatment and to ensure access to justice:</w:t>
      </w:r>
    </w:p>
    <w:p w14:paraId="15B6CCF5" w14:textId="77777777" w:rsidR="0087531B" w:rsidRPr="000A796F" w:rsidRDefault="0087531B" w:rsidP="002F553B">
      <w:pPr>
        <w:pStyle w:val="absatzschattenbericht"/>
        <w:ind w:left="284"/>
        <w:rPr>
          <w:bCs/>
          <w:i/>
          <w:iCs/>
          <w:lang w:val="en-GB"/>
        </w:rPr>
      </w:pPr>
      <w:r w:rsidRPr="000A796F">
        <w:rPr>
          <w:bCs/>
          <w:i/>
          <w:iCs/>
          <w:lang w:val="en-GB"/>
        </w:rPr>
        <w:lastRenderedPageBreak/>
        <w:t xml:space="preserve">“4. Because their bodies are perceived as different, intersex persons, including children, face stigma, misconception and </w:t>
      </w:r>
      <w:r w:rsidRPr="000A796F">
        <w:rPr>
          <w:b/>
          <w:i/>
          <w:iCs/>
          <w:lang w:val="en-GB"/>
        </w:rPr>
        <w:t>violence, such as forced, coercive, irreversible and non-vital medical interventions.</w:t>
      </w:r>
      <w:r w:rsidRPr="000A796F">
        <w:rPr>
          <w:bCs/>
          <w:i/>
          <w:iCs/>
          <w:lang w:val="en-GB"/>
        </w:rPr>
        <w:t xml:space="preserve"> These include so-called “normalising” surgeries that can have </w:t>
      </w:r>
      <w:r w:rsidRPr="000A796F">
        <w:rPr>
          <w:b/>
          <w:i/>
          <w:iCs/>
          <w:lang w:val="en-GB"/>
        </w:rPr>
        <w:t>life-long negative impacts on their physical and mental health.</w:t>
      </w:r>
      <w:r w:rsidRPr="000A796F">
        <w:rPr>
          <w:bCs/>
          <w:i/>
          <w:iCs/>
          <w:lang w:val="en-GB"/>
        </w:rPr>
        <w:t xml:space="preserve"> These harmful practices </w:t>
      </w:r>
      <w:r w:rsidRPr="000A796F">
        <w:rPr>
          <w:b/>
          <w:i/>
          <w:iCs/>
          <w:lang w:val="en-GB"/>
        </w:rPr>
        <w:t>should be urgently stopped.</w:t>
      </w:r>
      <w:r w:rsidRPr="000A796F">
        <w:rPr>
          <w:bCs/>
          <w:i/>
          <w:iCs/>
          <w:lang w:val="en-GB"/>
        </w:rPr>
        <w:t xml:space="preserve"> Human rights of intersex persons need to be respected, so that they can </w:t>
      </w:r>
      <w:r w:rsidRPr="000A796F">
        <w:rPr>
          <w:b/>
          <w:i/>
          <w:iCs/>
          <w:lang w:val="en-GB"/>
        </w:rPr>
        <w:t>live free from violence, cruel, inhuman, or degrading treatment and harmful practices.</w:t>
      </w:r>
      <w:r w:rsidRPr="000A796F">
        <w:rPr>
          <w:bCs/>
          <w:i/>
          <w:iCs/>
          <w:lang w:val="en-GB"/>
        </w:rPr>
        <w:t xml:space="preserve"> [...]</w:t>
      </w:r>
    </w:p>
    <w:p w14:paraId="20E17EC4" w14:textId="77777777" w:rsidR="0087531B" w:rsidRPr="000A796F" w:rsidRDefault="0087531B" w:rsidP="002F553B">
      <w:pPr>
        <w:pStyle w:val="absatzschattenbericht"/>
        <w:ind w:left="284"/>
        <w:rPr>
          <w:bCs/>
          <w:i/>
          <w:iCs/>
          <w:lang w:val="en-GB"/>
        </w:rPr>
      </w:pPr>
      <w:r w:rsidRPr="000A796F">
        <w:rPr>
          <w:bCs/>
          <w:i/>
          <w:iCs/>
          <w:lang w:val="en-GB"/>
        </w:rPr>
        <w:t xml:space="preserve">8. We call on all States to increase efforts to combat violence, harmful practices and discrimination on the basis of sex characteristics, address their root causes, and </w:t>
      </w:r>
      <w:r w:rsidRPr="000A796F">
        <w:rPr>
          <w:b/>
          <w:i/>
          <w:iCs/>
          <w:lang w:val="en-GB"/>
        </w:rPr>
        <w:t xml:space="preserve">implement protective laws and policies in close consultations with those affected, </w:t>
      </w:r>
      <w:r w:rsidRPr="000A796F">
        <w:rPr>
          <w:bCs/>
          <w:i/>
          <w:iCs/>
          <w:lang w:val="en-GB"/>
        </w:rPr>
        <w:t>in order to ensure the full realization of human rights of intersex persons.”</w:t>
      </w:r>
      <w:r w:rsidRPr="000A796F">
        <w:rPr>
          <w:rStyle w:val="Funotenanker"/>
          <w:lang w:val="en-GB"/>
        </w:rPr>
        <w:footnoteReference w:id="7"/>
      </w:r>
    </w:p>
    <w:p w14:paraId="05C8F2AF" w14:textId="77777777" w:rsidR="0087531B" w:rsidRPr="000A796F" w:rsidRDefault="0087531B" w:rsidP="0087531B">
      <w:pPr>
        <w:pStyle w:val="Title3"/>
      </w:pPr>
      <w:bookmarkStart w:id="21" w:name="_Toc165835372"/>
      <w:bookmarkStart w:id="22" w:name="_Toc183983169"/>
      <w:r w:rsidRPr="000A796F">
        <w:t xml:space="preserve">d) UNHRC55 Intersex Resolution A/HRC/55/L.9 </w:t>
      </w:r>
      <w:r>
        <w:t>co-sponsored</w:t>
      </w:r>
      <w:r w:rsidRPr="000A796F">
        <w:t xml:space="preserve"> by </w:t>
      </w:r>
      <w:r w:rsidR="00747B3B">
        <w:t>Norway</w:t>
      </w:r>
      <w:r w:rsidRPr="000A796F">
        <w:t xml:space="preserve">, </w:t>
      </w:r>
      <w:r w:rsidRPr="001F606E">
        <w:rPr>
          <w:bCs w:val="0"/>
          <w:w w:val="95"/>
          <w:kern w:val="24"/>
        </w:rPr>
        <w:t>21.03.2024</w:t>
      </w:r>
      <w:bookmarkEnd w:id="21"/>
      <w:bookmarkEnd w:id="22"/>
    </w:p>
    <w:p w14:paraId="0912D003" w14:textId="77777777" w:rsidR="0087531B" w:rsidRPr="000A796F" w:rsidRDefault="0087531B" w:rsidP="002F553B">
      <w:pPr>
        <w:pStyle w:val="absatzschattenbericht"/>
      </w:pPr>
      <w:r w:rsidRPr="000A796F">
        <w:rPr>
          <w:bCs/>
          <w:lang w:val="en-GB"/>
        </w:rPr>
        <w:t xml:space="preserve">On occasion of the </w:t>
      </w:r>
      <w:r w:rsidRPr="000A796F">
        <w:rPr>
          <w:b/>
          <w:lang w:val="en-GB"/>
        </w:rPr>
        <w:t>55</w:t>
      </w:r>
      <w:r w:rsidRPr="000A796F">
        <w:rPr>
          <w:b/>
          <w:vertAlign w:val="superscript"/>
          <w:lang w:val="en-GB"/>
        </w:rPr>
        <w:t>th</w:t>
      </w:r>
      <w:r w:rsidRPr="000A796F">
        <w:rPr>
          <w:b/>
          <w:lang w:val="en-GB"/>
        </w:rPr>
        <w:t xml:space="preserve"> Session of the Human Rights Council</w:t>
      </w:r>
      <w:r w:rsidRPr="000A796F">
        <w:rPr>
          <w:bCs/>
          <w:lang w:val="en-GB"/>
        </w:rPr>
        <w:t xml:space="preserve">, HRC adopted a Resolution promoted by </w:t>
      </w:r>
      <w:r w:rsidR="008F01C0">
        <w:rPr>
          <w:bCs/>
          <w:lang w:val="en-GB"/>
        </w:rPr>
        <w:t>Norway</w:t>
      </w:r>
      <w:r w:rsidRPr="000A796F">
        <w:rPr>
          <w:bCs/>
          <w:lang w:val="en-GB"/>
        </w:rPr>
        <w:t xml:space="preserve"> </w:t>
      </w:r>
      <w:r w:rsidRPr="000A796F">
        <w:rPr>
          <w:b/>
          <w:lang w:val="en-GB"/>
        </w:rPr>
        <w:t xml:space="preserve">recognising </w:t>
      </w:r>
      <w:r w:rsidRPr="000A796F">
        <w:rPr>
          <w:b/>
          <w:i/>
          <w:iCs/>
          <w:lang w:val="en-GB"/>
        </w:rPr>
        <w:t>“violence and harmful practices</w:t>
      </w:r>
      <w:r w:rsidRPr="000A796F">
        <w:rPr>
          <w:bCs/>
          <w:i/>
          <w:iCs/>
          <w:lang w:val="en-GB"/>
        </w:rPr>
        <w:t xml:space="preserve"> against intersex persons [...] including </w:t>
      </w:r>
      <w:r w:rsidRPr="000A796F">
        <w:rPr>
          <w:b/>
          <w:i/>
          <w:iCs/>
          <w:lang w:val="en-GB"/>
        </w:rPr>
        <w:t xml:space="preserve">medically unnecessary or deferrable interventions </w:t>
      </w:r>
      <w:r w:rsidRPr="000A796F">
        <w:rPr>
          <w:bCs/>
          <w:i/>
          <w:iCs/>
          <w:lang w:val="en-GB"/>
        </w:rPr>
        <w:t>[...] performed without the full, free and informed consent of the person”</w:t>
      </w:r>
      <w:r w:rsidRPr="000A796F">
        <w:rPr>
          <w:bCs/>
          <w:lang w:val="en-GB"/>
        </w:rPr>
        <w:t xml:space="preserve">, and urging States to </w:t>
      </w:r>
      <w:r w:rsidRPr="000A796F">
        <w:rPr>
          <w:b/>
          <w:i/>
          <w:iCs/>
          <w:lang w:val="en-GB"/>
        </w:rPr>
        <w:t>“combat”</w:t>
      </w:r>
      <w:r w:rsidRPr="000A796F">
        <w:rPr>
          <w:b/>
          <w:lang w:val="en-GB"/>
        </w:rPr>
        <w:t xml:space="preserve"> such </w:t>
      </w:r>
      <w:r w:rsidRPr="000A796F">
        <w:rPr>
          <w:b/>
          <w:i/>
          <w:iCs/>
          <w:lang w:val="en-GB"/>
        </w:rPr>
        <w:t>“violence”</w:t>
      </w:r>
      <w:r w:rsidRPr="000A796F">
        <w:rPr>
          <w:bCs/>
          <w:lang w:val="en-GB"/>
        </w:rPr>
        <w:t>.</w:t>
      </w:r>
      <w:r w:rsidRPr="003806F6">
        <w:rPr>
          <w:rStyle w:val="Funotenanker"/>
          <w:lang w:val="en-GB"/>
        </w:rPr>
        <w:footnoteReference w:id="8"/>
      </w:r>
    </w:p>
    <w:p w14:paraId="31C2AB8D" w14:textId="77777777" w:rsidR="00652209" w:rsidRPr="00652209" w:rsidRDefault="00D03DB6" w:rsidP="00652209">
      <w:pPr>
        <w:pStyle w:val="Title2"/>
      </w:pPr>
      <w:bookmarkStart w:id="23" w:name="_Toc171706646"/>
      <w:bookmarkStart w:id="24" w:name="_Toc183983170"/>
      <w:r>
        <w:t>3</w:t>
      </w:r>
      <w:r w:rsidR="00E568FB" w:rsidRPr="006F74DB">
        <w:t xml:space="preserve">.  Most common IGM forms advocated and perpetrated by </w:t>
      </w:r>
      <w:bookmarkEnd w:id="23"/>
      <w:r w:rsidR="008F01C0">
        <w:t>Norway</w:t>
      </w:r>
      <w:bookmarkEnd w:id="24"/>
    </w:p>
    <w:p w14:paraId="143C1D5D" w14:textId="77777777" w:rsidR="00804CDB" w:rsidRDefault="00804CDB" w:rsidP="00657E0B">
      <w:pPr>
        <w:pStyle w:val="absatzschattenbericht"/>
        <w:rPr>
          <w:lang w:val="en-GB"/>
        </w:rPr>
      </w:pPr>
      <w:r w:rsidRPr="006F74DB">
        <w:rPr>
          <w:bCs/>
          <w:lang w:val="en-GB"/>
        </w:rPr>
        <w:t>Despite above mentioned commitments</w:t>
      </w:r>
      <w:r>
        <w:rPr>
          <w:bCs/>
          <w:lang w:val="en-GB"/>
        </w:rPr>
        <w:t>,</w:t>
      </w:r>
      <w:r w:rsidRPr="006F74DB">
        <w:rPr>
          <w:bCs/>
          <w:lang w:val="en-GB"/>
        </w:rPr>
        <w:t xml:space="preserve"> </w:t>
      </w:r>
      <w:r>
        <w:rPr>
          <w:bCs/>
          <w:lang w:val="en-GB"/>
        </w:rPr>
        <w:t xml:space="preserve">in </w:t>
      </w:r>
      <w:r w:rsidRPr="00772BD5">
        <w:rPr>
          <w:rFonts w:eastAsia="Baskerville-SemiBold" w:cs="Times New Roman"/>
          <w:b/>
          <w:bCs/>
          <w:lang w:val="en-GB"/>
        </w:rPr>
        <w:t>Norway</w:t>
      </w:r>
      <w:r w:rsidRPr="00772BD5">
        <w:rPr>
          <w:rFonts w:eastAsia="Baskerville-SemiBold" w:cs="Times New Roman"/>
          <w:bCs/>
          <w:lang w:val="en-GB"/>
        </w:rPr>
        <w:t>,</w:t>
      </w:r>
      <w:r w:rsidRPr="00772BD5">
        <w:rPr>
          <w:rFonts w:eastAsia="Baskerville-SemiBold" w:cs="Times New Roman"/>
          <w:b/>
          <w:bCs/>
          <w:lang w:val="en-GB"/>
        </w:rPr>
        <w:t xml:space="preserve"> </w:t>
      </w:r>
      <w:r w:rsidRPr="00772BD5">
        <w:rPr>
          <w:rFonts w:cs="Times New Roman"/>
          <w:lang w:val="en-GB"/>
        </w:rPr>
        <w:t xml:space="preserve">same as in </w:t>
      </w:r>
      <w:r w:rsidR="00AC07BD">
        <w:rPr>
          <w:rFonts w:cs="Times New Roman"/>
          <w:lang w:val="en-GB"/>
        </w:rPr>
        <w:t xml:space="preserve">most of </w:t>
      </w:r>
      <w:r w:rsidRPr="00772BD5">
        <w:rPr>
          <w:rFonts w:cs="Times New Roman"/>
          <w:lang w:val="en-GB"/>
        </w:rPr>
        <w:t>the</w:t>
      </w:r>
      <w:r w:rsidRPr="00772BD5">
        <w:rPr>
          <w:rFonts w:cs="Times New Roman"/>
          <w:b/>
          <w:lang w:val="en-GB"/>
        </w:rPr>
        <w:t xml:space="preserve"> neighbouring countries </w:t>
      </w:r>
      <w:r w:rsidRPr="00772BD5">
        <w:rPr>
          <w:rFonts w:cs="Times New Roman"/>
          <w:lang w:val="en-GB"/>
        </w:rPr>
        <w:t xml:space="preserve">of </w:t>
      </w:r>
      <w:r w:rsidR="00A76D5A" w:rsidRPr="00A76D5A">
        <w:rPr>
          <w:i/>
          <w:iCs/>
          <w:lang w:val="en-GB"/>
        </w:rPr>
        <w:t xml:space="preserve">Sweden </w:t>
      </w:r>
      <w:r w:rsidR="00A76D5A" w:rsidRPr="00A76D5A">
        <w:rPr>
          <w:lang w:val="en-GB"/>
        </w:rPr>
        <w:t>(CRC/C/SWE/CO/6-7, para 27(c)-(d); CRPD/C/SWE/CO/2-3, paras 37-38)</w:t>
      </w:r>
      <w:r w:rsidRPr="00772BD5">
        <w:rPr>
          <w:lang w:val="en-GB"/>
        </w:rPr>
        <w:t xml:space="preserve">, </w:t>
      </w:r>
      <w:r w:rsidR="00C660AF" w:rsidRPr="00C660AF">
        <w:rPr>
          <w:rFonts w:cs="Times New Roman"/>
          <w:i/>
          <w:iCs/>
          <w:lang w:val="en-GB"/>
        </w:rPr>
        <w:t xml:space="preserve">Finland </w:t>
      </w:r>
      <w:r w:rsidR="00C660AF" w:rsidRPr="00C660AF">
        <w:rPr>
          <w:rFonts w:cs="Times New Roman"/>
          <w:lang w:val="en-GB"/>
        </w:rPr>
        <w:t>(CCPR/C/FIN/CO/7, paras 20+21(c); CEDAW/C/FIN/CO/8, paras 21(b)+22(b); CRC/C/FIN/CO/5-6, paras 24(a)+(b); CAT/C/FIN/CO/8, paras 44+45(b)-(d))</w:t>
      </w:r>
      <w:r w:rsidRPr="00C660AF">
        <w:rPr>
          <w:rFonts w:cs="Times New Roman"/>
          <w:lang w:val="en-GB"/>
        </w:rPr>
        <w:t>,</w:t>
      </w:r>
      <w:r>
        <w:rPr>
          <w:rFonts w:cs="Times New Roman"/>
          <w:lang w:val="en-GB"/>
        </w:rPr>
        <w:t xml:space="preserve"> </w:t>
      </w:r>
      <w:r w:rsidR="00DD08FB" w:rsidRPr="00DD08FB">
        <w:rPr>
          <w:rFonts w:asciiTheme="majorBidi" w:hAnsiTheme="majorBidi" w:cstheme="majorBidi"/>
          <w:i/>
          <w:color w:val="000000" w:themeColor="text1"/>
          <w:lang w:val="en-GB"/>
        </w:rPr>
        <w:t xml:space="preserve">Denmark </w:t>
      </w:r>
      <w:r w:rsidR="00DD08FB" w:rsidRPr="00DD08FB">
        <w:rPr>
          <w:rFonts w:asciiTheme="majorBidi" w:hAnsiTheme="majorBidi" w:cstheme="majorBidi"/>
          <w:iCs/>
          <w:color w:val="000000" w:themeColor="text1"/>
          <w:lang w:val="en-GB"/>
        </w:rPr>
        <w:t>(CAT/C/DNK/CO/6-7, paras 42-43; CRC/C/DNK/CO/5, paras 24+12; CAT/C/DNK/CO/8, paras 32+33),</w:t>
      </w:r>
      <w:r w:rsidR="00947C86">
        <w:rPr>
          <w:rFonts w:asciiTheme="majorBidi" w:hAnsiTheme="majorBidi" w:cstheme="majorBidi"/>
          <w:iCs/>
          <w:color w:val="000000" w:themeColor="text1"/>
          <w:lang w:val="en-GB"/>
        </w:rPr>
        <w:t xml:space="preserve"> and </w:t>
      </w:r>
      <w:r w:rsidR="00947C86">
        <w:rPr>
          <w:rFonts w:asciiTheme="majorBidi" w:hAnsiTheme="majorBidi" w:cstheme="majorBidi"/>
          <w:i/>
          <w:color w:val="000000" w:themeColor="text1"/>
          <w:lang w:val="en-GB"/>
        </w:rPr>
        <w:t xml:space="preserve">Iceland </w:t>
      </w:r>
      <w:r w:rsidR="00947C86">
        <w:rPr>
          <w:rFonts w:asciiTheme="majorBidi" w:hAnsiTheme="majorBidi" w:cstheme="majorBidi"/>
          <w:iCs/>
          <w:color w:val="000000" w:themeColor="text1"/>
          <w:lang w:val="en-GB"/>
        </w:rPr>
        <w:t>(</w:t>
      </w:r>
      <w:r w:rsidR="00947C86" w:rsidRPr="00947C86">
        <w:rPr>
          <w:rFonts w:asciiTheme="majorBidi" w:hAnsiTheme="majorBidi" w:cstheme="majorBidi"/>
          <w:iCs/>
          <w:color w:val="000000" w:themeColor="text1"/>
          <w:lang w:val="en-GB"/>
        </w:rPr>
        <w:t>CRC/C/ISL/CO/5-6, para 26(b)+(c); CCPR/C/ISL/CO/6, paras 13+14)</w:t>
      </w:r>
      <w:r w:rsidR="00947C86">
        <w:rPr>
          <w:rFonts w:asciiTheme="majorBidi" w:hAnsiTheme="majorBidi" w:cstheme="majorBidi"/>
          <w:iCs/>
          <w:color w:val="000000" w:themeColor="text1"/>
          <w:lang w:val="en-GB"/>
        </w:rPr>
        <w:t>,</w:t>
      </w:r>
      <w:r w:rsidR="00DD08FB" w:rsidRPr="00DD08FB">
        <w:rPr>
          <w:rFonts w:asciiTheme="majorBidi" w:hAnsiTheme="majorBidi" w:cstheme="majorBidi"/>
          <w:i/>
          <w:color w:val="000000" w:themeColor="text1"/>
          <w:lang w:val="en-GB"/>
        </w:rPr>
        <w:t xml:space="preserve"> </w:t>
      </w:r>
      <w:r w:rsidRPr="00772BD5">
        <w:rPr>
          <w:lang w:val="en-GB"/>
        </w:rPr>
        <w:t>and in</w:t>
      </w:r>
      <w:r w:rsidRPr="00772BD5">
        <w:rPr>
          <w:b/>
          <w:lang w:val="en-GB"/>
        </w:rPr>
        <w:t xml:space="preserve"> many more State parties,</w:t>
      </w:r>
      <w:r w:rsidRPr="00772BD5">
        <w:rPr>
          <w:rStyle w:val="FootnoteReference"/>
          <w:bCs/>
          <w:lang w:val="en-GB"/>
        </w:rPr>
        <w:footnoteReference w:id="9"/>
      </w:r>
      <w:r w:rsidRPr="00772BD5">
        <w:rPr>
          <w:lang w:val="en-GB"/>
        </w:rPr>
        <w:t xml:space="preserve"> there are</w:t>
      </w:r>
    </w:p>
    <w:p w14:paraId="613F23CB" w14:textId="77777777" w:rsidR="00804CDB" w:rsidRPr="006203CD" w:rsidRDefault="00804CDB" w:rsidP="00657E0B">
      <w:pPr>
        <w:pStyle w:val="absatzschattenbericht"/>
        <w:numPr>
          <w:ilvl w:val="0"/>
          <w:numId w:val="18"/>
        </w:numPr>
        <w:shd w:val="clear" w:color="auto" w:fill="FFFFFF"/>
        <w:ind w:left="714" w:hanging="357"/>
        <w:rPr>
          <w:rFonts w:cs="Times New Roman"/>
          <w:b/>
          <w:iCs/>
          <w:lang w:val="en-GB"/>
        </w:rPr>
      </w:pPr>
      <w:r w:rsidRPr="006203CD">
        <w:rPr>
          <w:rFonts w:eastAsia="Baskerville-Bold" w:cs="Times New Roman"/>
          <w:b/>
          <w:bCs/>
          <w:lang w:val="en-GB"/>
        </w:rPr>
        <w:t xml:space="preserve">no legal or other </w:t>
      </w:r>
      <w:r>
        <w:rPr>
          <w:rFonts w:eastAsia="Baskerville-Bold" w:cs="Times New Roman"/>
          <w:b/>
          <w:bCs/>
          <w:lang w:val="en-GB"/>
        </w:rPr>
        <w:t xml:space="preserve">effective </w:t>
      </w:r>
      <w:r w:rsidRPr="006203CD">
        <w:rPr>
          <w:rFonts w:eastAsia="Baskerville-Bold" w:cs="Times New Roman"/>
          <w:b/>
          <w:bCs/>
          <w:lang w:val="en-GB"/>
        </w:rPr>
        <w:t>protections</w:t>
      </w:r>
      <w:r w:rsidRPr="006203CD">
        <w:rPr>
          <w:rFonts w:cs="Times New Roman"/>
          <w:lang w:val="en-GB"/>
        </w:rPr>
        <w:t xml:space="preserve"> in place to</w:t>
      </w:r>
      <w:r w:rsidRPr="006203CD">
        <w:rPr>
          <w:rFonts w:cs="Times New Roman"/>
          <w:b/>
          <w:lang w:val="en-GB"/>
        </w:rPr>
        <w:t xml:space="preserve"> prevent </w:t>
      </w:r>
      <w:r w:rsidRPr="006203CD">
        <w:rPr>
          <w:rFonts w:cs="Times New Roman"/>
          <w:b/>
          <w:iCs/>
          <w:lang w:val="en-GB"/>
        </w:rPr>
        <w:t>IGM practices</w:t>
      </w:r>
      <w:r w:rsidRPr="006203CD">
        <w:rPr>
          <w:rFonts w:cs="Times New Roman"/>
          <w:bCs/>
          <w:iCs/>
          <w:lang w:val="en-GB"/>
        </w:rPr>
        <w:t xml:space="preserve"> as stipulated in art. 24(3) and the CRC-CEDAW Joint General Comment No. 18/31,</w:t>
      </w:r>
    </w:p>
    <w:p w14:paraId="4E4D06A0" w14:textId="77777777" w:rsidR="00804CDB" w:rsidRPr="006203CD" w:rsidRDefault="00804CDB" w:rsidP="00657E0B">
      <w:pPr>
        <w:pStyle w:val="absatzschattenbericht"/>
        <w:numPr>
          <w:ilvl w:val="0"/>
          <w:numId w:val="18"/>
        </w:numPr>
        <w:shd w:val="clear" w:color="auto" w:fill="FFFFFF"/>
        <w:ind w:left="714" w:hanging="357"/>
        <w:rPr>
          <w:rFonts w:cs="Times New Roman"/>
          <w:lang w:val="en-GB"/>
        </w:rPr>
      </w:pPr>
      <w:r w:rsidRPr="006203CD">
        <w:rPr>
          <w:rFonts w:cs="Times New Roman"/>
          <w:b/>
          <w:lang w:val="en-GB"/>
        </w:rPr>
        <w:t>no legal measures</w:t>
      </w:r>
      <w:r w:rsidRPr="006203CD">
        <w:rPr>
          <w:rFonts w:cs="Times New Roman"/>
          <w:lang w:val="en-GB"/>
        </w:rPr>
        <w:t xml:space="preserve"> in place to ensure </w:t>
      </w:r>
      <w:r w:rsidRPr="006203CD">
        <w:rPr>
          <w:rFonts w:cs="Times New Roman"/>
          <w:b/>
          <w:lang w:val="en-GB"/>
        </w:rPr>
        <w:t>access to redress and justice</w:t>
      </w:r>
      <w:r w:rsidRPr="006203CD">
        <w:rPr>
          <w:rFonts w:cs="Times New Roman"/>
          <w:lang w:val="en-GB"/>
        </w:rPr>
        <w:t xml:space="preserve"> for IGM survivors,</w:t>
      </w:r>
    </w:p>
    <w:p w14:paraId="7C0406D5" w14:textId="77777777" w:rsidR="00804CDB" w:rsidRPr="006203CD" w:rsidRDefault="00804CDB" w:rsidP="00657E0B">
      <w:pPr>
        <w:pStyle w:val="absatzschattenbericht"/>
        <w:numPr>
          <w:ilvl w:val="0"/>
          <w:numId w:val="18"/>
        </w:numPr>
        <w:shd w:val="clear" w:color="auto" w:fill="FFFFFF"/>
        <w:ind w:left="714" w:hanging="357"/>
        <w:rPr>
          <w:rFonts w:cs="Times New Roman"/>
          <w:iCs/>
          <w:lang w:val="en-GB"/>
        </w:rPr>
      </w:pPr>
      <w:r w:rsidRPr="006203CD">
        <w:rPr>
          <w:rFonts w:cs="Times New Roman"/>
          <w:b/>
          <w:lang w:val="en-GB"/>
        </w:rPr>
        <w:t>no legal measures</w:t>
      </w:r>
      <w:r w:rsidRPr="006203CD">
        <w:rPr>
          <w:rFonts w:cs="Times New Roman"/>
          <w:lang w:val="en-GB"/>
        </w:rPr>
        <w:t xml:space="preserve"> in place to ensure the </w:t>
      </w:r>
      <w:r w:rsidRPr="006203CD">
        <w:rPr>
          <w:rFonts w:cs="Times New Roman"/>
          <w:b/>
          <w:lang w:val="en-GB"/>
        </w:rPr>
        <w:t>accountability</w:t>
      </w:r>
      <w:r w:rsidRPr="006203CD">
        <w:rPr>
          <w:rFonts w:cs="Times New Roman"/>
          <w:lang w:val="en-GB"/>
        </w:rPr>
        <w:t xml:space="preserve"> of IGM perpetrators, </w:t>
      </w:r>
    </w:p>
    <w:p w14:paraId="418709FF" w14:textId="77777777" w:rsidR="00804CDB" w:rsidRPr="006203CD" w:rsidRDefault="00804CDB" w:rsidP="00657E0B">
      <w:pPr>
        <w:pStyle w:val="absatzschattenbericht"/>
        <w:numPr>
          <w:ilvl w:val="0"/>
          <w:numId w:val="18"/>
        </w:numPr>
        <w:shd w:val="clear" w:color="auto" w:fill="FFFFFF"/>
        <w:ind w:left="714" w:hanging="357"/>
        <w:rPr>
          <w:rFonts w:cs="Times New Roman"/>
          <w:iCs/>
          <w:lang w:val="en-GB"/>
        </w:rPr>
      </w:pPr>
      <w:r w:rsidRPr="006203CD">
        <w:rPr>
          <w:rFonts w:cs="Times New Roman"/>
          <w:b/>
          <w:bCs/>
          <w:lang w:val="en-GB"/>
        </w:rPr>
        <w:t>no measures</w:t>
      </w:r>
      <w:r w:rsidRPr="006203CD">
        <w:rPr>
          <w:rFonts w:cs="Times New Roman"/>
          <w:lang w:val="en-GB"/>
        </w:rPr>
        <w:t xml:space="preserve"> in place to ensure </w:t>
      </w:r>
      <w:r w:rsidRPr="006203CD">
        <w:rPr>
          <w:rFonts w:cs="Times New Roman"/>
          <w:b/>
          <w:lang w:val="en-GB"/>
        </w:rPr>
        <w:t xml:space="preserve">data collection </w:t>
      </w:r>
      <w:r w:rsidRPr="006203CD">
        <w:rPr>
          <w:rFonts w:cs="Times New Roman"/>
          <w:lang w:val="en-GB"/>
        </w:rPr>
        <w:t>and</w:t>
      </w:r>
      <w:r w:rsidRPr="006203CD">
        <w:rPr>
          <w:rFonts w:cs="Times New Roman"/>
          <w:b/>
          <w:lang w:val="en-GB"/>
        </w:rPr>
        <w:t xml:space="preserve"> monitoring</w:t>
      </w:r>
      <w:r w:rsidRPr="006203CD">
        <w:rPr>
          <w:rFonts w:cs="Times New Roman"/>
          <w:lang w:val="en-GB"/>
        </w:rPr>
        <w:t xml:space="preserve"> of IGM practices.</w:t>
      </w:r>
    </w:p>
    <w:p w14:paraId="749755C6" w14:textId="77777777" w:rsidR="00AC07BD" w:rsidRDefault="00AC07BD" w:rsidP="00191105">
      <w:pPr>
        <w:pStyle w:val="absatzschattenbericht"/>
        <w:rPr>
          <w:bCs/>
          <w:lang w:val="en-GB"/>
        </w:rPr>
      </w:pPr>
      <w:r w:rsidRPr="00AC07BD">
        <w:rPr>
          <w:bCs/>
          <w:lang w:val="en-GB"/>
        </w:rPr>
        <w:t xml:space="preserve">As a consequence, in Norway today, </w:t>
      </w:r>
      <w:r w:rsidRPr="00AC07BD">
        <w:rPr>
          <w:b/>
          <w:lang w:val="en-GB"/>
        </w:rPr>
        <w:t xml:space="preserve">all forms of IGM practices </w:t>
      </w:r>
      <w:r>
        <w:rPr>
          <w:b/>
          <w:lang w:val="en-GB"/>
        </w:rPr>
        <w:t>remain pervasive</w:t>
      </w:r>
      <w:r w:rsidRPr="00AC07BD">
        <w:rPr>
          <w:bCs/>
          <w:lang w:val="en-GB"/>
        </w:rPr>
        <w:t xml:space="preserve">, promoted, facilitated and </w:t>
      </w:r>
      <w:r w:rsidRPr="00AC07BD">
        <w:rPr>
          <w:b/>
          <w:lang w:val="en-GB"/>
        </w:rPr>
        <w:t>paid for by the State Party</w:t>
      </w:r>
      <w:r w:rsidRPr="00AC07BD">
        <w:rPr>
          <w:bCs/>
          <w:lang w:val="en-GB"/>
        </w:rPr>
        <w:t xml:space="preserve"> through the public health system</w:t>
      </w:r>
      <w:r>
        <w:rPr>
          <w:bCs/>
          <w:lang w:val="en-GB"/>
        </w:rPr>
        <w:t>,</w:t>
      </w:r>
      <w:r w:rsidRPr="00AC07BD">
        <w:rPr>
          <w:bCs/>
          <w:lang w:val="en-GB"/>
        </w:rPr>
        <w:t xml:space="preserve"> and </w:t>
      </w:r>
      <w:r>
        <w:rPr>
          <w:bCs/>
          <w:lang w:val="en-GB"/>
        </w:rPr>
        <w:t>practiced</w:t>
      </w:r>
      <w:r w:rsidRPr="00AC07BD">
        <w:rPr>
          <w:b/>
          <w:lang w:val="en-GB"/>
        </w:rPr>
        <w:t xml:space="preserve"> with impunity</w:t>
      </w:r>
      <w:r w:rsidRPr="00AC07BD">
        <w:rPr>
          <w:bCs/>
          <w:lang w:val="en-GB"/>
        </w:rPr>
        <w:t xml:space="preserve"> by </w:t>
      </w:r>
      <w:r w:rsidRPr="00AC07BD">
        <w:rPr>
          <w:b/>
          <w:lang w:val="en-GB"/>
        </w:rPr>
        <w:t xml:space="preserve">Norwegian </w:t>
      </w:r>
      <w:r>
        <w:rPr>
          <w:b/>
          <w:lang w:val="en-GB"/>
        </w:rPr>
        <w:t xml:space="preserve">University </w:t>
      </w:r>
      <w:r w:rsidRPr="00AC07BD">
        <w:rPr>
          <w:b/>
          <w:lang w:val="en-GB"/>
        </w:rPr>
        <w:t>Children’s Clinics</w:t>
      </w:r>
      <w:r>
        <w:rPr>
          <w:b/>
          <w:lang w:val="en-GB"/>
        </w:rPr>
        <w:t xml:space="preserve"> </w:t>
      </w:r>
      <w:r w:rsidRPr="00AC07BD">
        <w:rPr>
          <w:bCs/>
          <w:lang w:val="en-GB"/>
        </w:rPr>
        <w:t xml:space="preserve">(see below). </w:t>
      </w:r>
    </w:p>
    <w:p w14:paraId="6CC27A79" w14:textId="77777777" w:rsidR="00007E95" w:rsidRPr="00FC7258" w:rsidRDefault="00E20FF4" w:rsidP="00453F09">
      <w:pPr>
        <w:pStyle w:val="absatzschattenbericht"/>
        <w:rPr>
          <w:bCs/>
          <w:i/>
          <w:iCs/>
          <w:lang w:val="en-GB"/>
        </w:rPr>
      </w:pPr>
      <w:r>
        <w:rPr>
          <w:lang w:val="en-GB"/>
        </w:rPr>
        <w:t>Accordingly</w:t>
      </w:r>
      <w:r w:rsidR="00007E95">
        <w:rPr>
          <w:lang w:val="en-GB"/>
        </w:rPr>
        <w:t xml:space="preserve">, </w:t>
      </w:r>
      <w:r>
        <w:rPr>
          <w:lang w:val="en-GB"/>
        </w:rPr>
        <w:t xml:space="preserve">as </w:t>
      </w:r>
      <w:r w:rsidR="00191105">
        <w:rPr>
          <w:lang w:val="en-GB"/>
        </w:rPr>
        <w:t>shown</w:t>
      </w:r>
      <w:r w:rsidR="00007E95">
        <w:rPr>
          <w:lang w:val="en-GB"/>
        </w:rPr>
        <w:t xml:space="preserve"> </w:t>
      </w:r>
      <w:r>
        <w:rPr>
          <w:lang w:val="en-GB"/>
        </w:rPr>
        <w:t>in</w:t>
      </w:r>
      <w:r w:rsidR="00007E95">
        <w:rPr>
          <w:lang w:val="en-GB"/>
        </w:rPr>
        <w:t xml:space="preserve"> a </w:t>
      </w:r>
      <w:r w:rsidR="00007E95" w:rsidRPr="004449DD">
        <w:rPr>
          <w:b/>
          <w:bCs/>
          <w:lang w:val="en-GB"/>
        </w:rPr>
        <w:t>2024 study</w:t>
      </w:r>
      <w:r w:rsidR="00007E95" w:rsidRPr="006F74DB">
        <w:rPr>
          <w:rStyle w:val="FootnoteReference"/>
          <w:lang w:val="en-GB"/>
        </w:rPr>
        <w:footnoteReference w:id="10"/>
      </w:r>
      <w:r w:rsidR="00007E95">
        <w:rPr>
          <w:lang w:val="en-GB"/>
        </w:rPr>
        <w:t xml:space="preserve"> out of</w:t>
      </w:r>
      <w:r w:rsidR="00585F04">
        <w:rPr>
          <w:lang w:val="en-GB"/>
        </w:rPr>
        <w:t xml:space="preserve"> the</w:t>
      </w:r>
      <w:r w:rsidR="00007E95">
        <w:rPr>
          <w:lang w:val="en-GB"/>
        </w:rPr>
        <w:t xml:space="preserve"> </w:t>
      </w:r>
      <w:r w:rsidR="00007E95" w:rsidRPr="004449DD">
        <w:rPr>
          <w:b/>
          <w:bCs/>
          <w:lang w:val="en-GB"/>
        </w:rPr>
        <w:t>Oslo University Hospital</w:t>
      </w:r>
      <w:r w:rsidR="00007E95">
        <w:rPr>
          <w:lang w:val="en-GB"/>
        </w:rPr>
        <w:t xml:space="preserve">, Norwegian doctors </w:t>
      </w:r>
      <w:r w:rsidR="00007E95">
        <w:rPr>
          <w:lang w:val="en-GB"/>
        </w:rPr>
        <w:lastRenderedPageBreak/>
        <w:t xml:space="preserve">and parents continue to </w:t>
      </w:r>
      <w:r w:rsidR="00007E95" w:rsidRPr="00C045DE">
        <w:rPr>
          <w:b/>
          <w:bCs/>
          <w:lang w:val="en-GB"/>
        </w:rPr>
        <w:t xml:space="preserve">consider intersex children as presenting with a </w:t>
      </w:r>
      <w:r w:rsidR="00007E95" w:rsidRPr="00C045DE">
        <w:rPr>
          <w:b/>
          <w:bCs/>
          <w:i/>
          <w:iCs/>
          <w:lang w:val="en-GB"/>
        </w:rPr>
        <w:t xml:space="preserve">“deformity” </w:t>
      </w:r>
      <w:r w:rsidR="00007E95" w:rsidRPr="00C045DE">
        <w:rPr>
          <w:b/>
          <w:bCs/>
          <w:lang w:val="en-GB"/>
        </w:rPr>
        <w:t xml:space="preserve">and </w:t>
      </w:r>
      <w:r w:rsidR="00007E95" w:rsidRPr="00C045DE">
        <w:rPr>
          <w:b/>
          <w:bCs/>
          <w:i/>
          <w:iCs/>
          <w:lang w:val="en-GB"/>
        </w:rPr>
        <w:t>“abnormal genitalia”</w:t>
      </w:r>
      <w:r w:rsidR="00007E95">
        <w:rPr>
          <w:i/>
          <w:iCs/>
          <w:lang w:val="en-GB"/>
        </w:rPr>
        <w:t xml:space="preserve"> </w:t>
      </w:r>
      <w:r w:rsidR="00007E95">
        <w:rPr>
          <w:lang w:val="en-GB"/>
        </w:rPr>
        <w:t xml:space="preserve">in need of surgical correction to </w:t>
      </w:r>
      <w:r w:rsidR="00007E95" w:rsidRPr="00C045DE">
        <w:rPr>
          <w:b/>
          <w:bCs/>
          <w:i/>
          <w:iCs/>
          <w:lang w:val="en-GB"/>
        </w:rPr>
        <w:t>“reduce caregivers’ stress”</w:t>
      </w:r>
      <w:r w:rsidR="00007E95">
        <w:rPr>
          <w:lang w:val="en-GB"/>
        </w:rPr>
        <w:t xml:space="preserve">. </w:t>
      </w:r>
      <w:r w:rsidR="00191105">
        <w:rPr>
          <w:lang w:val="en-GB"/>
        </w:rPr>
        <w:t>And</w:t>
      </w:r>
      <w:r w:rsidR="00007E95">
        <w:rPr>
          <w:lang w:val="en-GB"/>
        </w:rPr>
        <w:t xml:space="preserve"> Norwegian doctors</w:t>
      </w:r>
      <w:r w:rsidR="00191105">
        <w:rPr>
          <w:lang w:val="en-GB"/>
        </w:rPr>
        <w:t xml:space="preserve"> openly</w:t>
      </w:r>
      <w:r w:rsidR="00007E95">
        <w:rPr>
          <w:lang w:val="en-GB"/>
        </w:rPr>
        <w:t xml:space="preserve"> </w:t>
      </w:r>
      <w:r w:rsidR="00007E95" w:rsidRPr="00007E95">
        <w:rPr>
          <w:b/>
          <w:bCs/>
          <w:lang w:val="en-GB"/>
        </w:rPr>
        <w:t>admit</w:t>
      </w:r>
      <w:r w:rsidR="00007E95">
        <w:rPr>
          <w:lang w:val="en-GB"/>
        </w:rPr>
        <w:t xml:space="preserve"> to the </w:t>
      </w:r>
      <w:r w:rsidR="00007E95" w:rsidRPr="00007E95">
        <w:rPr>
          <w:b/>
          <w:bCs/>
          <w:lang w:val="en-GB"/>
        </w:rPr>
        <w:t>lack of data collection and long</w:t>
      </w:r>
      <w:r w:rsidR="00007E95">
        <w:rPr>
          <w:b/>
          <w:bCs/>
          <w:lang w:val="en-GB"/>
        </w:rPr>
        <w:t>-</w:t>
      </w:r>
      <w:r w:rsidR="00007E95" w:rsidRPr="00007E95">
        <w:rPr>
          <w:b/>
          <w:bCs/>
          <w:lang w:val="en-GB"/>
        </w:rPr>
        <w:t>term follow-up</w:t>
      </w:r>
      <w:r w:rsidR="00007E95">
        <w:rPr>
          <w:lang w:val="en-GB"/>
        </w:rPr>
        <w:t xml:space="preserve">, </w:t>
      </w:r>
      <w:r w:rsidR="00007E95">
        <w:rPr>
          <w:i/>
          <w:iCs/>
          <w:lang w:val="en-GB"/>
        </w:rPr>
        <w:t>“</w:t>
      </w:r>
      <w:r w:rsidR="00007E95" w:rsidRPr="00FC7258">
        <w:rPr>
          <w:i/>
          <w:iCs/>
          <w:lang w:val="en-GB"/>
        </w:rPr>
        <w:t>‘We don’t have a registry, nor data with long-term results.</w:t>
      </w:r>
      <w:r w:rsidR="00007E95">
        <w:rPr>
          <w:i/>
          <w:iCs/>
          <w:lang w:val="en-GB"/>
        </w:rPr>
        <w:t>’”</w:t>
      </w:r>
    </w:p>
    <w:p w14:paraId="7BE1635F" w14:textId="77777777" w:rsidR="003D00D4" w:rsidRDefault="00E568FB" w:rsidP="00453F09">
      <w:pPr>
        <w:pStyle w:val="absatzschattenbericht"/>
        <w:rPr>
          <w:rFonts w:cs="Times New Roman"/>
          <w:lang w:val="en-GB"/>
        </w:rPr>
      </w:pPr>
      <w:r w:rsidRPr="006F74DB">
        <w:rPr>
          <w:rFonts w:cs="Times New Roman"/>
          <w:lang w:val="en-GB"/>
        </w:rPr>
        <w:t xml:space="preserve">In addition, also in 2024 </w:t>
      </w:r>
      <w:r w:rsidR="008F01C0">
        <w:rPr>
          <w:rFonts w:cs="Times New Roman"/>
          <w:b/>
          <w:bCs/>
          <w:lang w:val="en-GB"/>
        </w:rPr>
        <w:t>Norwegian</w:t>
      </w:r>
      <w:r w:rsidRPr="006F74DB">
        <w:rPr>
          <w:rFonts w:cs="Times New Roman"/>
          <w:b/>
          <w:bCs/>
          <w:lang w:val="en-GB"/>
        </w:rPr>
        <w:t xml:space="preserve"> medical bodies continue to endorse</w:t>
      </w:r>
      <w:r w:rsidRPr="006F74DB">
        <w:rPr>
          <w:rFonts w:cs="Times New Roman"/>
          <w:lang w:val="en-GB"/>
        </w:rPr>
        <w:t xml:space="preserve"> international medical guidelines prescribing all forms of IGM practices (see below).</w:t>
      </w:r>
    </w:p>
    <w:p w14:paraId="10AE379D" w14:textId="77777777" w:rsidR="00500CA4" w:rsidRPr="00876A14" w:rsidRDefault="00500CA4" w:rsidP="00453F09">
      <w:pPr>
        <w:pStyle w:val="absatzschattenbericht"/>
        <w:rPr>
          <w:rFonts w:cs="Times New Roman"/>
          <w:i/>
          <w:iCs/>
          <w:lang w:val="en-GB"/>
        </w:rPr>
      </w:pPr>
      <w:r>
        <w:rPr>
          <w:rFonts w:cs="Times New Roman"/>
          <w:lang w:val="en-GB"/>
        </w:rPr>
        <w:t xml:space="preserve">This is all the more </w:t>
      </w:r>
      <w:r w:rsidR="00191105">
        <w:rPr>
          <w:rFonts w:cs="Times New Roman"/>
          <w:lang w:val="en-GB"/>
        </w:rPr>
        <w:t>alarming</w:t>
      </w:r>
      <w:r>
        <w:rPr>
          <w:rFonts w:cs="Times New Roman"/>
          <w:lang w:val="en-GB"/>
        </w:rPr>
        <w:t xml:space="preserve"> </w:t>
      </w:r>
      <w:r w:rsidR="00204D56">
        <w:rPr>
          <w:rFonts w:cs="Times New Roman"/>
          <w:lang w:val="en-GB"/>
        </w:rPr>
        <w:t xml:space="preserve">as the severe physical and mental </w:t>
      </w:r>
      <w:r w:rsidR="00204D56" w:rsidRPr="00204D56">
        <w:rPr>
          <w:rFonts w:cs="Times New Roman"/>
          <w:b/>
          <w:bCs/>
          <w:lang w:val="en-GB"/>
        </w:rPr>
        <w:t xml:space="preserve">pain and suffering caused by IGM practices and the lack of adequate psychosocial and peer </w:t>
      </w:r>
      <w:r w:rsidR="00204D56">
        <w:rPr>
          <w:rFonts w:cs="Times New Roman"/>
          <w:b/>
          <w:bCs/>
          <w:lang w:val="en-GB"/>
        </w:rPr>
        <w:t>support</w:t>
      </w:r>
      <w:r w:rsidR="00204D56">
        <w:rPr>
          <w:rFonts w:cs="Times New Roman"/>
          <w:lang w:val="en-GB"/>
        </w:rPr>
        <w:t xml:space="preserve"> has been repeatedly confirmed </w:t>
      </w:r>
      <w:r w:rsidR="00AC07BD">
        <w:rPr>
          <w:rFonts w:cs="Times New Roman"/>
          <w:lang w:val="en-GB"/>
        </w:rPr>
        <w:t>by</w:t>
      </w:r>
      <w:r w:rsidR="00204D56">
        <w:rPr>
          <w:rFonts w:cs="Times New Roman"/>
          <w:lang w:val="en-GB"/>
        </w:rPr>
        <w:t xml:space="preserve"> Norwegian studies, including in a </w:t>
      </w:r>
      <w:r w:rsidR="00204D56" w:rsidRPr="00204D56">
        <w:rPr>
          <w:rFonts w:cs="Times New Roman"/>
          <w:b/>
          <w:bCs/>
          <w:lang w:val="en-GB"/>
        </w:rPr>
        <w:t>2022 study</w:t>
      </w:r>
      <w:r w:rsidR="00204D56">
        <w:rPr>
          <w:rFonts w:cs="Times New Roman"/>
          <w:lang w:val="en-GB"/>
        </w:rPr>
        <w:t xml:space="preserve"> out of the </w:t>
      </w:r>
      <w:r w:rsidR="00204D56">
        <w:rPr>
          <w:rFonts w:cs="Times New Roman"/>
          <w:b/>
          <w:bCs/>
          <w:lang w:val="en-GB"/>
        </w:rPr>
        <w:t xml:space="preserve">Oslo University Hospital </w:t>
      </w:r>
      <w:r w:rsidR="00204D56">
        <w:rPr>
          <w:rFonts w:cs="Times New Roman"/>
          <w:lang w:val="en-GB"/>
        </w:rPr>
        <w:t xml:space="preserve">(see 2023 NGO Report for LOIPR, p. 12-13). What’s more, a </w:t>
      </w:r>
      <w:r w:rsidR="00204D56">
        <w:rPr>
          <w:rFonts w:cs="Times New Roman"/>
          <w:b/>
          <w:bCs/>
          <w:lang w:val="en-GB"/>
        </w:rPr>
        <w:t>2023 study</w:t>
      </w:r>
      <w:r w:rsidR="00976510" w:rsidRPr="006F74DB">
        <w:rPr>
          <w:rStyle w:val="FootnoteReference"/>
          <w:lang w:val="en-GB"/>
        </w:rPr>
        <w:footnoteReference w:id="11"/>
      </w:r>
      <w:r w:rsidR="00204D56">
        <w:rPr>
          <w:rFonts w:cs="Times New Roman"/>
          <w:b/>
          <w:bCs/>
          <w:lang w:val="en-GB"/>
        </w:rPr>
        <w:t xml:space="preserve"> </w:t>
      </w:r>
      <w:r w:rsidR="00204D56">
        <w:rPr>
          <w:rFonts w:cs="Times New Roman"/>
          <w:lang w:val="en-GB"/>
        </w:rPr>
        <w:t>out of the</w:t>
      </w:r>
      <w:r w:rsidR="00191105">
        <w:rPr>
          <w:rFonts w:cs="Times New Roman"/>
          <w:lang w:val="en-GB"/>
        </w:rPr>
        <w:t xml:space="preserve"> same</w:t>
      </w:r>
      <w:r w:rsidR="00204D56">
        <w:rPr>
          <w:rFonts w:cs="Times New Roman"/>
          <w:lang w:val="en-GB"/>
        </w:rPr>
        <w:t xml:space="preserve"> </w:t>
      </w:r>
      <w:r w:rsidR="00204D56">
        <w:rPr>
          <w:rFonts w:cs="Times New Roman"/>
          <w:b/>
          <w:bCs/>
          <w:lang w:val="en-GB"/>
        </w:rPr>
        <w:t xml:space="preserve">Oslo University Hospital </w:t>
      </w:r>
      <w:r w:rsidR="00E346BE">
        <w:rPr>
          <w:rFonts w:cs="Times New Roman"/>
          <w:lang w:val="en-GB"/>
        </w:rPr>
        <w:t xml:space="preserve">based on qualitative interview with </w:t>
      </w:r>
      <w:r w:rsidR="00E346BE" w:rsidRPr="00AA0D42">
        <w:rPr>
          <w:rFonts w:cs="Times New Roman"/>
          <w:b/>
          <w:bCs/>
          <w:lang w:val="en-GB"/>
        </w:rPr>
        <w:t>11 Norwegian intersex adolescents and young adults</w:t>
      </w:r>
      <w:r w:rsidR="00E346BE">
        <w:rPr>
          <w:rFonts w:cs="Times New Roman"/>
          <w:lang w:val="en-GB"/>
        </w:rPr>
        <w:t xml:space="preserve"> aged 16-26,</w:t>
      </w:r>
      <w:r w:rsidR="0041664B">
        <w:rPr>
          <w:rFonts w:cs="Times New Roman"/>
          <w:lang w:val="en-GB"/>
        </w:rPr>
        <w:t xml:space="preserve"> of which </w:t>
      </w:r>
      <w:r w:rsidR="0041664B" w:rsidRPr="00AA0D42">
        <w:rPr>
          <w:rFonts w:cs="Times New Roman"/>
          <w:b/>
          <w:bCs/>
          <w:lang w:val="en-GB"/>
        </w:rPr>
        <w:t>10 had been submitted to IGM practices</w:t>
      </w:r>
      <w:r w:rsidR="00AA0D42">
        <w:rPr>
          <w:rFonts w:cs="Times New Roman"/>
          <w:lang w:val="en-GB"/>
        </w:rPr>
        <w:t xml:space="preserve">, and </w:t>
      </w:r>
      <w:r w:rsidR="00AA0D42" w:rsidRPr="00AA0D42">
        <w:rPr>
          <w:rFonts w:cs="Times New Roman"/>
          <w:b/>
          <w:bCs/>
          <w:lang w:val="en-GB"/>
        </w:rPr>
        <w:t xml:space="preserve">none </w:t>
      </w:r>
      <w:r w:rsidR="00AA0D42">
        <w:rPr>
          <w:rFonts w:cs="Times New Roman"/>
          <w:lang w:val="en-GB"/>
        </w:rPr>
        <w:t xml:space="preserve">had received a multidisciplinary </w:t>
      </w:r>
      <w:r w:rsidR="00AA0D42" w:rsidRPr="00191105">
        <w:rPr>
          <w:rFonts w:cs="Times New Roman"/>
          <w:b/>
          <w:bCs/>
          <w:lang w:val="en-GB"/>
        </w:rPr>
        <w:t>follow-up after the age of 18</w:t>
      </w:r>
      <w:r w:rsidR="00AA0D42">
        <w:rPr>
          <w:rFonts w:cs="Times New Roman"/>
          <w:lang w:val="en-GB"/>
        </w:rPr>
        <w:t xml:space="preserve"> years, </w:t>
      </w:r>
      <w:r w:rsidR="00F82FCB" w:rsidRPr="00E571F8">
        <w:rPr>
          <w:rFonts w:cs="Times New Roman"/>
          <w:b/>
          <w:bCs/>
          <w:lang w:val="en-GB"/>
        </w:rPr>
        <w:t>again confirmed</w:t>
      </w:r>
      <w:r w:rsidR="00F82FCB">
        <w:rPr>
          <w:rFonts w:cs="Times New Roman"/>
          <w:lang w:val="en-GB"/>
        </w:rPr>
        <w:t xml:space="preserve"> that </w:t>
      </w:r>
      <w:r w:rsidR="00D67696">
        <w:rPr>
          <w:rFonts w:cs="Times New Roman"/>
          <w:lang w:val="en-GB"/>
        </w:rPr>
        <w:t xml:space="preserve">at least one intersex adolescent </w:t>
      </w:r>
      <w:r w:rsidR="00FB216A" w:rsidRPr="00E571F8">
        <w:rPr>
          <w:rFonts w:cs="Times New Roman"/>
          <w:b/>
          <w:bCs/>
          <w:i/>
          <w:iCs/>
          <w:lang w:val="en-GB"/>
        </w:rPr>
        <w:t>“experienced reduced clitoral sensation”</w:t>
      </w:r>
      <w:r w:rsidR="00FB216A">
        <w:rPr>
          <w:rFonts w:cs="Times New Roman"/>
          <w:i/>
          <w:iCs/>
          <w:lang w:val="en-GB"/>
        </w:rPr>
        <w:t xml:space="preserve"> </w:t>
      </w:r>
      <w:r w:rsidR="00532BED">
        <w:rPr>
          <w:rFonts w:cs="Times New Roman"/>
          <w:lang w:val="en-GB"/>
        </w:rPr>
        <w:t xml:space="preserve">and </w:t>
      </w:r>
      <w:r w:rsidR="00876A14" w:rsidRPr="00191105">
        <w:rPr>
          <w:rFonts w:cs="Times New Roman"/>
          <w:b/>
          <w:bCs/>
          <w:i/>
          <w:iCs/>
          <w:lang w:val="en-GB"/>
        </w:rPr>
        <w:t>“Two-thirds</w:t>
      </w:r>
      <w:r w:rsidR="00876A14" w:rsidRPr="00876A14">
        <w:rPr>
          <w:rFonts w:cs="Times New Roman"/>
          <w:i/>
          <w:iCs/>
          <w:lang w:val="en-GB"/>
        </w:rPr>
        <w:t xml:space="preserve"> of the participants reported having had sexual experiences with a partner. </w:t>
      </w:r>
      <w:r w:rsidR="00876A14" w:rsidRPr="00E571F8">
        <w:rPr>
          <w:rFonts w:cs="Times New Roman"/>
          <w:b/>
          <w:bCs/>
          <w:i/>
          <w:iCs/>
          <w:lang w:val="en-GB"/>
        </w:rPr>
        <w:t>They described sex and, in particular, intimacy as problematic to the extent of affecting their everyday lives.</w:t>
      </w:r>
      <w:r w:rsidR="00876A14">
        <w:rPr>
          <w:rFonts w:cs="Times New Roman"/>
          <w:i/>
          <w:iCs/>
          <w:lang w:val="en-GB"/>
        </w:rPr>
        <w:t>”</w:t>
      </w:r>
    </w:p>
    <w:p w14:paraId="06983E82" w14:textId="77777777" w:rsidR="00DB4A71" w:rsidRPr="006F74DB" w:rsidRDefault="00DB4A71" w:rsidP="00DB4A71">
      <w:pPr>
        <w:pStyle w:val="absatzschattenbericht"/>
        <w:rPr>
          <w:rFonts w:cs="Times New Roman"/>
          <w:b/>
          <w:lang w:val="en-GB"/>
        </w:rPr>
      </w:pPr>
      <w:bookmarkStart w:id="25" w:name="_Toc516594093"/>
      <w:r w:rsidRPr="006F74DB">
        <w:rPr>
          <w:rFonts w:cs="Times New Roman"/>
          <w:b/>
          <w:lang w:val="en-GB"/>
        </w:rPr>
        <w:t xml:space="preserve">Currently practiced forms of IGM in </w:t>
      </w:r>
      <w:r w:rsidR="008F01C0">
        <w:rPr>
          <w:rFonts w:cs="Times New Roman"/>
          <w:b/>
          <w:lang w:val="en-GB"/>
        </w:rPr>
        <w:t>Norway</w:t>
      </w:r>
      <w:r w:rsidRPr="006F74DB">
        <w:rPr>
          <w:rFonts w:cs="Times New Roman"/>
          <w:b/>
          <w:lang w:val="en-GB"/>
        </w:rPr>
        <w:t xml:space="preserve"> include:</w:t>
      </w:r>
      <w:bookmarkStart w:id="26" w:name="_Toc507786410"/>
    </w:p>
    <w:p w14:paraId="19A2A4BF" w14:textId="77777777" w:rsidR="00DB4A71" w:rsidRPr="006F74DB" w:rsidRDefault="00DB4A71" w:rsidP="00DB4A71">
      <w:pPr>
        <w:pStyle w:val="Title3"/>
        <w:rPr>
          <w:rFonts w:eastAsia="Times New Roman"/>
        </w:rPr>
      </w:pPr>
      <w:bookmarkStart w:id="27" w:name="_Toc19465687"/>
      <w:bookmarkStart w:id="28" w:name="_Toc64836450"/>
      <w:bookmarkStart w:id="29" w:name="_Toc65413937"/>
      <w:bookmarkStart w:id="30" w:name="_Toc183983171"/>
      <w:r w:rsidRPr="006F74DB">
        <w:t>a) IGM 3 – Sterilising Procedures:</w:t>
      </w:r>
      <w:r w:rsidRPr="006F74DB">
        <w:br/>
        <w:t xml:space="preserve">    Castration / “Gonadectomy” / Hysterectomy /</w:t>
      </w:r>
      <w:r w:rsidRPr="006F74DB">
        <w:br/>
        <w:t xml:space="preserve">    Removal of “Discordant Reproductive Structures” / (Secondary) Sterilisation</w:t>
      </w:r>
      <w:r w:rsidRPr="006F74DB">
        <w:br/>
        <w:t xml:space="preserve">    Plus arbitrary imposition of hormones</w:t>
      </w:r>
      <w:r w:rsidRPr="006F74DB">
        <w:rPr>
          <w:rStyle w:val="Funotenzeichen3"/>
          <w:b w:val="0"/>
          <w:bCs w:val="0"/>
        </w:rPr>
        <w:footnoteReference w:id="12"/>
      </w:r>
      <w:bookmarkEnd w:id="26"/>
      <w:bookmarkEnd w:id="27"/>
      <w:bookmarkEnd w:id="28"/>
      <w:bookmarkEnd w:id="29"/>
      <w:bookmarkEnd w:id="30"/>
    </w:p>
    <w:p w14:paraId="0F96EA9D" w14:textId="77777777" w:rsidR="00DB4A71" w:rsidRPr="006F74DB" w:rsidRDefault="00DB4A71" w:rsidP="00DB4A71">
      <w:pPr>
        <w:pStyle w:val="absatzschattenbericht"/>
        <w:rPr>
          <w:b/>
          <w:bCs/>
          <w:lang w:val="en-GB"/>
        </w:rPr>
      </w:pPr>
      <w:r w:rsidRPr="006F74DB">
        <w:rPr>
          <w:lang w:val="en-GB"/>
        </w:rPr>
        <w:t xml:space="preserve">The </w:t>
      </w:r>
      <w:r w:rsidR="00C36824">
        <w:rPr>
          <w:b/>
          <w:bCs/>
          <w:lang w:val="en-GB"/>
        </w:rPr>
        <w:t>Norwegian Urological</w:t>
      </w:r>
      <w:r w:rsidR="00C36824" w:rsidRPr="000A7D56">
        <w:rPr>
          <w:b/>
          <w:bCs/>
          <w:lang w:val="en-GB"/>
        </w:rPr>
        <w:t xml:space="preserve"> Association </w:t>
      </w:r>
      <w:r w:rsidR="00C36824">
        <w:rPr>
          <w:b/>
          <w:bCs/>
          <w:lang w:val="en-GB"/>
        </w:rPr>
        <w:t>(</w:t>
      </w:r>
      <w:proofErr w:type="spellStart"/>
      <w:r w:rsidR="00C36824" w:rsidRPr="001F0ECD">
        <w:rPr>
          <w:b/>
          <w:bCs/>
          <w:lang w:val="en-GB"/>
        </w:rPr>
        <w:t>Norsk</w:t>
      </w:r>
      <w:proofErr w:type="spellEnd"/>
      <w:r w:rsidR="00C36824" w:rsidRPr="001F0ECD">
        <w:rPr>
          <w:b/>
          <w:bCs/>
          <w:lang w:val="en-GB"/>
        </w:rPr>
        <w:t xml:space="preserve"> </w:t>
      </w:r>
      <w:proofErr w:type="spellStart"/>
      <w:r w:rsidR="00C36824" w:rsidRPr="001F0ECD">
        <w:rPr>
          <w:b/>
          <w:bCs/>
          <w:lang w:val="en-GB"/>
        </w:rPr>
        <w:t>Urologisk</w:t>
      </w:r>
      <w:proofErr w:type="spellEnd"/>
      <w:r w:rsidR="00C36824" w:rsidRPr="001F0ECD">
        <w:rPr>
          <w:b/>
          <w:bCs/>
          <w:lang w:val="en-GB"/>
        </w:rPr>
        <w:t xml:space="preserve"> </w:t>
      </w:r>
      <w:proofErr w:type="spellStart"/>
      <w:r w:rsidR="00C36824" w:rsidRPr="001F0ECD">
        <w:rPr>
          <w:b/>
          <w:bCs/>
          <w:lang w:val="en-GB"/>
        </w:rPr>
        <w:t>Forening</w:t>
      </w:r>
      <w:proofErr w:type="spellEnd"/>
      <w:r w:rsidR="00C36824" w:rsidRPr="001F0ECD">
        <w:rPr>
          <w:b/>
          <w:bCs/>
          <w:lang w:val="en-GB"/>
        </w:rPr>
        <w:t xml:space="preserve"> (NUF)</w:t>
      </w:r>
      <w:r w:rsidR="00C36824">
        <w:rPr>
          <w:b/>
          <w:bCs/>
          <w:lang w:val="en-GB"/>
        </w:rPr>
        <w:t xml:space="preserve">) </w:t>
      </w:r>
      <w:r w:rsidRPr="006F74DB">
        <w:rPr>
          <w:lang w:val="en-GB"/>
        </w:rPr>
        <w:t xml:space="preserve">endorses the current </w:t>
      </w:r>
      <w:r w:rsidRPr="006F74DB">
        <w:rPr>
          <w:b/>
          <w:lang w:val="en-GB"/>
        </w:rPr>
        <w:t>2024 Guidelines of the European Association of Urology (EAU)</w:t>
      </w:r>
      <w:r w:rsidRPr="006F74DB">
        <w:rPr>
          <w:bCs/>
          <w:lang w:val="en-GB"/>
        </w:rPr>
        <w:t>,</w:t>
      </w:r>
      <w:r w:rsidRPr="006F74DB">
        <w:rPr>
          <w:rStyle w:val="FootnoteReference"/>
          <w:lang w:val="en-GB"/>
        </w:rPr>
        <w:footnoteReference w:id="13"/>
      </w:r>
      <w:r w:rsidRPr="006F74DB">
        <w:rPr>
          <w:bCs/>
          <w:lang w:val="en-GB"/>
        </w:rPr>
        <w:t xml:space="preserve"> which include the current </w:t>
      </w:r>
      <w:r w:rsidRPr="006F74DB">
        <w:rPr>
          <w:b/>
          <w:lang w:val="en-GB"/>
        </w:rPr>
        <w:t xml:space="preserve">ESPU/EAU </w:t>
      </w:r>
      <w:r w:rsidRPr="006F74DB">
        <w:rPr>
          <w:b/>
          <w:i/>
          <w:lang w:val="en-GB"/>
        </w:rPr>
        <w:t xml:space="preserve">“Paediatric Urology” </w:t>
      </w:r>
      <w:r w:rsidRPr="006F74DB">
        <w:rPr>
          <w:b/>
          <w:lang w:val="en-GB"/>
        </w:rPr>
        <w:t>Guidelines 2024</w:t>
      </w:r>
      <w:r w:rsidRPr="006F74DB">
        <w:rPr>
          <w:rStyle w:val="FootnoteReference"/>
          <w:lang w:val="en-GB"/>
        </w:rPr>
        <w:footnoteReference w:id="14"/>
      </w:r>
      <w:r w:rsidRPr="006F74DB">
        <w:rPr>
          <w:lang w:val="en-GB"/>
        </w:rPr>
        <w:t xml:space="preserve"> of the European Society for Paediatric Urology (ESPU) and the European Association of Urology (EAU) which stress:</w:t>
      </w:r>
      <w:r w:rsidRPr="006F74DB">
        <w:rPr>
          <w:rStyle w:val="FootnoteReference"/>
          <w:lang w:val="en-GB"/>
        </w:rPr>
        <w:footnoteReference w:id="15"/>
      </w:r>
    </w:p>
    <w:p w14:paraId="2BB3377E" w14:textId="77777777" w:rsidR="00DB4A71" w:rsidRPr="006F74DB" w:rsidRDefault="00DB4A71" w:rsidP="00DB4A71">
      <w:pPr>
        <w:pStyle w:val="absatzschattenbericht"/>
        <w:ind w:left="284"/>
        <w:rPr>
          <w:i/>
          <w:iCs/>
          <w:lang w:val="en-GB"/>
        </w:rPr>
      </w:pPr>
      <w:r w:rsidRPr="006F74DB">
        <w:rPr>
          <w:i/>
          <w:iCs/>
          <w:lang w:val="en-GB"/>
        </w:rPr>
        <w:t xml:space="preserve">“The issue of </w:t>
      </w:r>
      <w:r w:rsidRPr="00DC4916">
        <w:rPr>
          <w:b/>
          <w:bCs/>
          <w:i/>
          <w:iCs/>
          <w:lang w:val="en-GB"/>
        </w:rPr>
        <w:t xml:space="preserve">whether gonads should be removed and the </w:t>
      </w:r>
      <w:proofErr w:type="spellStart"/>
      <w:r w:rsidRPr="00DC4916">
        <w:rPr>
          <w:b/>
          <w:bCs/>
          <w:i/>
          <w:iCs/>
          <w:lang w:val="en-GB"/>
        </w:rPr>
        <w:t>timining</w:t>
      </w:r>
      <w:proofErr w:type="spellEnd"/>
      <w:r w:rsidRPr="00DC4916">
        <w:rPr>
          <w:b/>
          <w:bCs/>
          <w:i/>
          <w:iCs/>
          <w:lang w:val="en-GB"/>
        </w:rPr>
        <w:t xml:space="preserve"> of such surgery remains controversial </w:t>
      </w:r>
      <w:r w:rsidRPr="006F74DB">
        <w:rPr>
          <w:i/>
          <w:iCs/>
          <w:lang w:val="en-GB"/>
        </w:rPr>
        <w:t xml:space="preserve">and has been altogether questioned in some forms of DSD. Patients with, for example, CAIS benefit from the presence of testicles and the resultant aromatisation of the naturally </w:t>
      </w:r>
      <w:proofErr w:type="spellStart"/>
      <w:r w:rsidRPr="006F74DB">
        <w:rPr>
          <w:i/>
          <w:iCs/>
          <w:lang w:val="en-GB"/>
        </w:rPr>
        <w:t>occuring</w:t>
      </w:r>
      <w:proofErr w:type="spellEnd"/>
      <w:r w:rsidRPr="006F74DB">
        <w:rPr>
          <w:i/>
          <w:iCs/>
          <w:lang w:val="en-GB"/>
        </w:rPr>
        <w:t xml:space="preserve"> testosterone to oestrogens. </w:t>
      </w:r>
      <w:r w:rsidRPr="00DC4916">
        <w:rPr>
          <w:b/>
          <w:bCs/>
          <w:i/>
          <w:iCs/>
          <w:lang w:val="en-GB"/>
        </w:rPr>
        <w:t>The risk of malignant gonadal transformation in this subcategory is low (1.5%)</w:t>
      </w:r>
      <w:r w:rsidRPr="006F74DB">
        <w:rPr>
          <w:i/>
          <w:iCs/>
          <w:lang w:val="en-GB"/>
        </w:rPr>
        <w:t xml:space="preserve"> with cases of malignancy first appearing after the second decade of life, thus allowing for the safe </w:t>
      </w:r>
      <w:proofErr w:type="spellStart"/>
      <w:r w:rsidRPr="006F74DB">
        <w:rPr>
          <w:i/>
          <w:iCs/>
          <w:lang w:val="en-GB"/>
        </w:rPr>
        <w:t>deferal</w:t>
      </w:r>
      <w:proofErr w:type="spellEnd"/>
      <w:r w:rsidRPr="006F74DB">
        <w:rPr>
          <w:i/>
          <w:iCs/>
          <w:lang w:val="en-GB"/>
        </w:rPr>
        <w:t xml:space="preserve"> of gonadectomy until after puberty [1279, 1280].”</w:t>
      </w:r>
    </w:p>
    <w:p w14:paraId="1564A7EE" w14:textId="77777777" w:rsidR="00DB4A71" w:rsidRPr="00652209" w:rsidRDefault="00DB4A71" w:rsidP="00DB4A71">
      <w:pPr>
        <w:pStyle w:val="absatzschattenbericht"/>
        <w:rPr>
          <w:lang w:val="en-GB"/>
        </w:rPr>
      </w:pPr>
      <w:r w:rsidRPr="00652209">
        <w:rPr>
          <w:lang w:val="en-GB"/>
        </w:rPr>
        <w:t xml:space="preserve">Further, regarding </w:t>
      </w:r>
      <w:r w:rsidRPr="00652209">
        <w:rPr>
          <w:i/>
          <w:iCs/>
          <w:lang w:val="en-GB"/>
        </w:rPr>
        <w:t>“when and whether to pursue gonadal or genital surgery”</w:t>
      </w:r>
      <w:r w:rsidRPr="00652209">
        <w:rPr>
          <w:lang w:val="en-GB"/>
        </w:rPr>
        <w:t>,</w:t>
      </w:r>
      <w:r w:rsidRPr="00652209">
        <w:rPr>
          <w:rStyle w:val="FootnoteReference"/>
          <w:lang w:val="en-GB"/>
        </w:rPr>
        <w:footnoteReference w:id="16"/>
      </w:r>
      <w:r w:rsidRPr="00652209">
        <w:rPr>
          <w:lang w:val="en-GB"/>
        </w:rPr>
        <w:t xml:space="preserve"> the Guidelines </w:t>
      </w:r>
      <w:r w:rsidRPr="00652209">
        <w:rPr>
          <w:lang w:val="en-GB"/>
        </w:rPr>
        <w:lastRenderedPageBreak/>
        <w:t xml:space="preserve">refer to the </w:t>
      </w:r>
      <w:r w:rsidRPr="00652209">
        <w:rPr>
          <w:rFonts w:eastAsia="Baskerville-SemiBoldItalic"/>
          <w:b/>
          <w:bCs/>
          <w:i/>
          <w:iCs/>
          <w:lang w:val="en-GB"/>
        </w:rPr>
        <w:t>“ESPU/SPU standpoint on the surgical management of Disorders of Sex Development (DSD)”</w:t>
      </w:r>
      <w:r w:rsidRPr="00652209">
        <w:rPr>
          <w:rFonts w:eastAsia="Baskerville-SemiBoldItalic"/>
          <w:lang w:val="en-GB"/>
        </w:rPr>
        <w:t>,</w:t>
      </w:r>
      <w:r w:rsidRPr="00652209">
        <w:rPr>
          <w:rStyle w:val="FootnoteReference"/>
          <w:rFonts w:cs="Times New Roman"/>
          <w:lang w:val="en-GB"/>
        </w:rPr>
        <w:footnoteReference w:id="17"/>
      </w:r>
      <w:r w:rsidRPr="00652209">
        <w:rPr>
          <w:lang w:val="en-GB"/>
        </w:rPr>
        <w:t xml:space="preserve"> which advocates “gonadectomies”:</w:t>
      </w:r>
    </w:p>
    <w:p w14:paraId="518B100E" w14:textId="77777777" w:rsidR="00DB4A71" w:rsidRPr="006F74DB" w:rsidRDefault="00DB4A71" w:rsidP="00DB4A71">
      <w:pPr>
        <w:pStyle w:val="absatzschattenbericht"/>
        <w:ind w:left="284" w:right="-1"/>
        <w:rPr>
          <w:lang w:val="en-GB"/>
        </w:rPr>
      </w:pPr>
      <w:r w:rsidRPr="00652209">
        <w:rPr>
          <w:rFonts w:eastAsia="Baskerville-SemiBoldItalic"/>
          <w:b/>
          <w:bCs/>
          <w:i/>
          <w:lang w:val="en-GB"/>
        </w:rPr>
        <w:t>“Testes are</w:t>
      </w:r>
      <w:r w:rsidRPr="00652209">
        <w:rPr>
          <w:i/>
          <w:lang w:val="en-GB"/>
        </w:rPr>
        <w:t xml:space="preserve"> either brought down in boys or </w:t>
      </w:r>
      <w:r w:rsidRPr="00652209">
        <w:rPr>
          <w:rFonts w:eastAsia="Baskerville-SemiBoldItalic"/>
          <w:b/>
          <w:bCs/>
          <w:i/>
          <w:lang w:val="en-GB"/>
        </w:rPr>
        <w:t>removed</w:t>
      </w:r>
      <w:r w:rsidRPr="00652209">
        <w:rPr>
          <w:i/>
          <w:lang w:val="en-GB"/>
        </w:rPr>
        <w:t xml:space="preserve"> if </w:t>
      </w:r>
      <w:proofErr w:type="spellStart"/>
      <w:r w:rsidRPr="00652209">
        <w:rPr>
          <w:i/>
          <w:lang w:val="en-GB"/>
        </w:rPr>
        <w:t>dysgenetic</w:t>
      </w:r>
      <w:proofErr w:type="spellEnd"/>
      <w:r w:rsidRPr="00652209">
        <w:rPr>
          <w:i/>
          <w:lang w:val="en-GB"/>
        </w:rPr>
        <w:t xml:space="preserve"> with tumour risk or </w:t>
      </w:r>
      <w:r w:rsidRPr="00652209">
        <w:rPr>
          <w:rFonts w:eastAsia="Baskerville-SemiBoldItalic"/>
          <w:b/>
          <w:bCs/>
          <w:i/>
          <w:lang w:val="en-GB"/>
        </w:rPr>
        <w:t xml:space="preserve">in complete androgen insensitivity syndrome or 5 alpha reductase deficiency. </w:t>
      </w:r>
      <w:r w:rsidRPr="00652209">
        <w:rPr>
          <w:i/>
          <w:lang w:val="en-GB"/>
        </w:rPr>
        <w:t>Testicular prostheses can be inserted at puberty at the patient’s request.</w:t>
      </w:r>
      <w:r w:rsidRPr="00652209">
        <w:rPr>
          <w:rFonts w:eastAsia="Baskerville-SemiBoldItalic"/>
          <w:b/>
          <w:bCs/>
          <w:i/>
          <w:lang w:val="en-GB"/>
        </w:rPr>
        <w:t>”</w:t>
      </w:r>
      <w:bookmarkStart w:id="31" w:name="_Toc475924597"/>
      <w:bookmarkStart w:id="32" w:name="_Toc475924774"/>
      <w:bookmarkStart w:id="33" w:name="_Toc475924926"/>
      <w:bookmarkStart w:id="34" w:name="_Toc507786411"/>
      <w:bookmarkStart w:id="35" w:name="_Toc19465688"/>
    </w:p>
    <w:p w14:paraId="5EF3C492" w14:textId="77777777" w:rsidR="00BC4D25" w:rsidRDefault="00BC4D25" w:rsidP="00BC4D25">
      <w:pPr>
        <w:pStyle w:val="absatzschattenbericht"/>
        <w:rPr>
          <w:lang w:val="en-GB"/>
        </w:rPr>
      </w:pPr>
      <w:bookmarkStart w:id="36" w:name="_Toc64836451"/>
      <w:bookmarkStart w:id="37" w:name="_Toc65413938"/>
      <w:r w:rsidRPr="004A4791">
        <w:rPr>
          <w:lang w:val="en-GB"/>
        </w:rPr>
        <w:t xml:space="preserve">Accordingly, the </w:t>
      </w:r>
      <w:r w:rsidRPr="004A4791">
        <w:rPr>
          <w:b/>
          <w:bCs/>
          <w:lang w:val="en-GB"/>
        </w:rPr>
        <w:t>evidence of Norwegian hospitals promoting IGM 3</w:t>
      </w:r>
      <w:r w:rsidRPr="004A4791">
        <w:rPr>
          <w:lang w:val="en-GB"/>
        </w:rPr>
        <w:t xml:space="preserve"> documented in our </w:t>
      </w:r>
      <w:r w:rsidR="002A1AB9" w:rsidRPr="004A4791">
        <w:rPr>
          <w:lang w:val="en-GB"/>
        </w:rPr>
        <w:t xml:space="preserve">2023 </w:t>
      </w:r>
      <w:r w:rsidRPr="004A4791">
        <w:rPr>
          <w:lang w:val="en-GB"/>
        </w:rPr>
        <w:t>NGO Report for LOIPR,</w:t>
      </w:r>
      <w:r w:rsidRPr="004A4791">
        <w:rPr>
          <w:rStyle w:val="FootnoteReference"/>
          <w:lang w:val="en-GB"/>
        </w:rPr>
        <w:footnoteReference w:id="18"/>
      </w:r>
      <w:r w:rsidRPr="004A4791">
        <w:rPr>
          <w:lang w:val="en-GB"/>
        </w:rPr>
        <w:t xml:space="preserve"> (p.</w:t>
      </w:r>
      <w:r w:rsidR="00104956" w:rsidRPr="004A4791">
        <w:rPr>
          <w:lang w:val="en-GB"/>
        </w:rPr>
        <w:t xml:space="preserve"> 8</w:t>
      </w:r>
      <w:r w:rsidRPr="004A4791">
        <w:rPr>
          <w:lang w:val="en-GB"/>
        </w:rPr>
        <w:t xml:space="preserve">) still </w:t>
      </w:r>
      <w:r w:rsidRPr="004A4791">
        <w:rPr>
          <w:b/>
          <w:bCs/>
          <w:lang w:val="en-GB"/>
        </w:rPr>
        <w:t>remains current</w:t>
      </w:r>
      <w:r w:rsidRPr="004A4791">
        <w:rPr>
          <w:lang w:val="en-GB"/>
        </w:rPr>
        <w:t>.</w:t>
      </w:r>
    </w:p>
    <w:p w14:paraId="48C90CED" w14:textId="77777777" w:rsidR="00D03DB6" w:rsidRPr="00C057B8" w:rsidRDefault="00D03DB6" w:rsidP="00915EDE">
      <w:pPr>
        <w:pStyle w:val="absatzschattenbericht"/>
        <w:rPr>
          <w:bCs/>
          <w:i/>
          <w:iCs/>
          <w:lang w:val="en-GB"/>
        </w:rPr>
      </w:pPr>
      <w:r>
        <w:rPr>
          <w:lang w:val="en-GB"/>
        </w:rPr>
        <w:t xml:space="preserve">In addition, </w:t>
      </w:r>
      <w:r w:rsidR="00C057B8">
        <w:rPr>
          <w:lang w:val="en-GB"/>
        </w:rPr>
        <w:t xml:space="preserve">according to </w:t>
      </w:r>
      <w:r w:rsidR="00003268">
        <w:rPr>
          <w:lang w:val="en-GB"/>
        </w:rPr>
        <w:t xml:space="preserve">a </w:t>
      </w:r>
      <w:r w:rsidR="00003268" w:rsidRPr="004449DD">
        <w:rPr>
          <w:b/>
          <w:bCs/>
          <w:lang w:val="en-GB"/>
        </w:rPr>
        <w:t>2024 study</w:t>
      </w:r>
      <w:r w:rsidR="00915EDE" w:rsidRPr="006F74DB">
        <w:rPr>
          <w:rStyle w:val="FootnoteReference"/>
          <w:lang w:val="en-GB"/>
        </w:rPr>
        <w:footnoteReference w:id="19"/>
      </w:r>
      <w:r w:rsidR="00003268">
        <w:rPr>
          <w:lang w:val="en-GB"/>
        </w:rPr>
        <w:t xml:space="preserve"> out of </w:t>
      </w:r>
      <w:r w:rsidR="004449DD" w:rsidRPr="004449DD">
        <w:rPr>
          <w:b/>
          <w:bCs/>
          <w:lang w:val="en-GB"/>
        </w:rPr>
        <w:t>Oslo University Hospital</w:t>
      </w:r>
      <w:r w:rsidR="004449DD">
        <w:rPr>
          <w:lang w:val="en-GB"/>
        </w:rPr>
        <w:t xml:space="preserve"> </w:t>
      </w:r>
      <w:r w:rsidR="00C045DE">
        <w:rPr>
          <w:lang w:val="en-GB"/>
        </w:rPr>
        <w:t>interviewing health-care professionals (HCP</w:t>
      </w:r>
      <w:r w:rsidR="00C057B8">
        <w:rPr>
          <w:lang w:val="en-GB"/>
        </w:rPr>
        <w:t>s</w:t>
      </w:r>
      <w:r w:rsidR="00C045DE">
        <w:rPr>
          <w:lang w:val="en-GB"/>
        </w:rPr>
        <w:t>) treating intersex children</w:t>
      </w:r>
      <w:r w:rsidR="000C457D">
        <w:rPr>
          <w:lang w:val="en-GB"/>
        </w:rPr>
        <w:t>,</w:t>
      </w:r>
      <w:r w:rsidR="00C057B8">
        <w:rPr>
          <w:lang w:val="en-GB"/>
        </w:rPr>
        <w:t xml:space="preserve"> </w:t>
      </w:r>
      <w:r w:rsidR="00C057B8" w:rsidRPr="00C057B8">
        <w:rPr>
          <w:b/>
          <w:bCs/>
          <w:lang w:val="en-GB"/>
        </w:rPr>
        <w:t>IGM 3 still continues</w:t>
      </w:r>
      <w:r w:rsidR="00C057B8">
        <w:rPr>
          <w:lang w:val="en-GB"/>
        </w:rPr>
        <w:t>, as</w:t>
      </w:r>
      <w:r w:rsidR="000C457D">
        <w:rPr>
          <w:lang w:val="en-GB"/>
        </w:rPr>
        <w:t xml:space="preserve"> </w:t>
      </w:r>
      <w:r w:rsidR="00C057B8">
        <w:rPr>
          <w:i/>
          <w:iCs/>
          <w:lang w:val="en-GB"/>
        </w:rPr>
        <w:t>“</w:t>
      </w:r>
      <w:r w:rsidR="00C057B8" w:rsidRPr="00C057B8">
        <w:rPr>
          <w:i/>
          <w:iCs/>
          <w:lang w:val="en-GB"/>
        </w:rPr>
        <w:t xml:space="preserve">a few </w:t>
      </w:r>
      <w:r w:rsidR="00C057B8" w:rsidRPr="00C057B8">
        <w:rPr>
          <w:b/>
          <w:bCs/>
          <w:i/>
          <w:iCs/>
          <w:lang w:val="en-GB"/>
        </w:rPr>
        <w:t>HCPs sympathized with the idea</w:t>
      </w:r>
      <w:r w:rsidR="00C057B8" w:rsidRPr="00C057B8">
        <w:rPr>
          <w:i/>
          <w:iCs/>
          <w:lang w:val="en-GB"/>
        </w:rPr>
        <w:t xml:space="preserve"> that one way to reduce caregivers’ stress and contribute to coping was </w:t>
      </w:r>
      <w:r w:rsidR="00C057B8">
        <w:rPr>
          <w:i/>
          <w:iCs/>
          <w:lang w:val="en-GB"/>
        </w:rPr>
        <w:t>[...]</w:t>
      </w:r>
      <w:r w:rsidR="00C057B8" w:rsidRPr="00C057B8">
        <w:rPr>
          <w:i/>
          <w:iCs/>
          <w:lang w:val="en-GB"/>
        </w:rPr>
        <w:t xml:space="preserve"> </w:t>
      </w:r>
      <w:r w:rsidR="00C057B8" w:rsidRPr="00C057B8">
        <w:rPr>
          <w:b/>
          <w:bCs/>
          <w:i/>
          <w:iCs/>
          <w:lang w:val="en-GB"/>
        </w:rPr>
        <w:t>to remove gonads</w:t>
      </w:r>
      <w:r w:rsidR="00C057B8" w:rsidRPr="00C057B8">
        <w:rPr>
          <w:i/>
          <w:iCs/>
          <w:lang w:val="en-GB"/>
        </w:rPr>
        <w:t xml:space="preserve"> that did not accord with the assigned sex</w:t>
      </w:r>
      <w:r w:rsidR="008B72EF">
        <w:rPr>
          <w:i/>
          <w:iCs/>
          <w:lang w:val="en-GB"/>
        </w:rPr>
        <w:t>.”</w:t>
      </w:r>
    </w:p>
    <w:p w14:paraId="6401AB8C" w14:textId="77777777" w:rsidR="00DB4A71" w:rsidRPr="006F74DB" w:rsidRDefault="00DB4A71" w:rsidP="00DB4A71">
      <w:pPr>
        <w:pStyle w:val="Title3"/>
        <w:rPr>
          <w:rFonts w:eastAsia="Times New Roman"/>
        </w:rPr>
      </w:pPr>
      <w:bookmarkStart w:id="38" w:name="_Toc183983172"/>
      <w:r w:rsidRPr="006F74DB">
        <w:t>b) IGM 2 – “Feminising Procedures”: Clitoris Amputation/“Reduction”,</w:t>
      </w:r>
      <w:r w:rsidRPr="006F74DB">
        <w:br/>
        <w:t xml:space="preserve">    “Vaginoplasty”, “Labiaplasty”, Dilation</w:t>
      </w:r>
      <w:r w:rsidRPr="005A2BF4">
        <w:rPr>
          <w:rStyle w:val="Funotenzeichen3"/>
          <w:b w:val="0"/>
          <w:bCs w:val="0"/>
        </w:rPr>
        <w:footnoteReference w:id="20"/>
      </w:r>
      <w:bookmarkEnd w:id="31"/>
      <w:bookmarkEnd w:id="32"/>
      <w:bookmarkEnd w:id="33"/>
      <w:bookmarkEnd w:id="34"/>
      <w:bookmarkEnd w:id="35"/>
      <w:bookmarkEnd w:id="36"/>
      <w:bookmarkEnd w:id="37"/>
      <w:bookmarkEnd w:id="38"/>
    </w:p>
    <w:p w14:paraId="2F1F16B1" w14:textId="77777777" w:rsidR="00DB4A71" w:rsidRPr="006F74DB" w:rsidRDefault="00DB4A71" w:rsidP="00DB4A71">
      <w:pPr>
        <w:pStyle w:val="absatzschattenbericht"/>
        <w:rPr>
          <w:lang w:val="en-GB"/>
        </w:rPr>
      </w:pPr>
      <w:r w:rsidRPr="006F74DB">
        <w:rPr>
          <w:lang w:val="en-GB"/>
        </w:rPr>
        <w:t xml:space="preserve">The </w:t>
      </w:r>
      <w:r w:rsidR="00C36824">
        <w:rPr>
          <w:b/>
          <w:bCs/>
          <w:lang w:val="en-GB"/>
        </w:rPr>
        <w:t>Norwegian Urological</w:t>
      </w:r>
      <w:r w:rsidR="00C36824" w:rsidRPr="000A7D56">
        <w:rPr>
          <w:b/>
          <w:bCs/>
          <w:lang w:val="en-GB"/>
        </w:rPr>
        <w:t xml:space="preserve"> Association </w:t>
      </w:r>
      <w:r w:rsidR="00C36824">
        <w:rPr>
          <w:b/>
          <w:bCs/>
          <w:lang w:val="en-GB"/>
        </w:rPr>
        <w:t>(</w:t>
      </w:r>
      <w:proofErr w:type="spellStart"/>
      <w:r w:rsidR="00C36824" w:rsidRPr="001F0ECD">
        <w:rPr>
          <w:b/>
          <w:bCs/>
          <w:lang w:val="en-GB"/>
        </w:rPr>
        <w:t>Norsk</w:t>
      </w:r>
      <w:proofErr w:type="spellEnd"/>
      <w:r w:rsidR="00C36824" w:rsidRPr="001F0ECD">
        <w:rPr>
          <w:b/>
          <w:bCs/>
          <w:lang w:val="en-GB"/>
        </w:rPr>
        <w:t xml:space="preserve"> </w:t>
      </w:r>
      <w:proofErr w:type="spellStart"/>
      <w:r w:rsidR="00C36824" w:rsidRPr="001F0ECD">
        <w:rPr>
          <w:b/>
          <w:bCs/>
          <w:lang w:val="en-GB"/>
        </w:rPr>
        <w:t>Urologisk</w:t>
      </w:r>
      <w:proofErr w:type="spellEnd"/>
      <w:r w:rsidR="00C36824" w:rsidRPr="001F0ECD">
        <w:rPr>
          <w:b/>
          <w:bCs/>
          <w:lang w:val="en-GB"/>
        </w:rPr>
        <w:t xml:space="preserve"> </w:t>
      </w:r>
      <w:proofErr w:type="spellStart"/>
      <w:r w:rsidR="00C36824" w:rsidRPr="001F0ECD">
        <w:rPr>
          <w:b/>
          <w:bCs/>
          <w:lang w:val="en-GB"/>
        </w:rPr>
        <w:t>Forening</w:t>
      </w:r>
      <w:proofErr w:type="spellEnd"/>
      <w:r w:rsidR="00C36824" w:rsidRPr="001F0ECD">
        <w:rPr>
          <w:b/>
          <w:bCs/>
          <w:lang w:val="en-GB"/>
        </w:rPr>
        <w:t xml:space="preserve"> (NUF)</w:t>
      </w:r>
      <w:r w:rsidR="00C36824">
        <w:rPr>
          <w:b/>
          <w:bCs/>
          <w:lang w:val="en-GB"/>
        </w:rPr>
        <w:t xml:space="preserve">) </w:t>
      </w:r>
      <w:r w:rsidRPr="006F74DB">
        <w:rPr>
          <w:lang w:val="en-GB"/>
        </w:rPr>
        <w:t xml:space="preserve">endorses the current </w:t>
      </w:r>
      <w:r w:rsidRPr="006F74DB">
        <w:rPr>
          <w:b/>
          <w:lang w:val="en-GB"/>
        </w:rPr>
        <w:t>2024 Guidelines of the European Association of Urology (EAU)</w:t>
      </w:r>
      <w:r w:rsidRPr="006F74DB">
        <w:rPr>
          <w:bCs/>
          <w:lang w:val="en-GB"/>
        </w:rPr>
        <w:t>,</w:t>
      </w:r>
      <w:r w:rsidRPr="006F74DB">
        <w:rPr>
          <w:rStyle w:val="FootnoteReference"/>
          <w:lang w:val="en-GB"/>
        </w:rPr>
        <w:footnoteReference w:id="21"/>
      </w:r>
      <w:r w:rsidRPr="006F74DB">
        <w:rPr>
          <w:bCs/>
          <w:lang w:val="en-GB"/>
        </w:rPr>
        <w:t xml:space="preserve"> which include the current </w:t>
      </w:r>
      <w:r w:rsidRPr="006F74DB">
        <w:rPr>
          <w:b/>
          <w:lang w:val="en-GB"/>
        </w:rPr>
        <w:t xml:space="preserve">ESPU/EAU </w:t>
      </w:r>
      <w:r w:rsidRPr="006F74DB">
        <w:rPr>
          <w:b/>
          <w:i/>
          <w:lang w:val="en-GB"/>
        </w:rPr>
        <w:t xml:space="preserve">“Paediatric Urology” </w:t>
      </w:r>
      <w:r w:rsidRPr="006F74DB">
        <w:rPr>
          <w:b/>
          <w:lang w:val="en-GB"/>
        </w:rPr>
        <w:t>Guidelines 2024</w:t>
      </w:r>
      <w:r w:rsidRPr="006F74DB">
        <w:rPr>
          <w:rStyle w:val="FootnoteReference"/>
          <w:lang w:val="en-GB"/>
        </w:rPr>
        <w:footnoteReference w:id="22"/>
      </w:r>
      <w:r w:rsidRPr="006F74DB">
        <w:rPr>
          <w:lang w:val="en-GB"/>
        </w:rPr>
        <w:t xml:space="preserve"> of the European Society for Paediatric Urology (ESPU) and the European Association of Urology (EAU). In </w:t>
      </w:r>
      <w:r w:rsidRPr="006F74DB">
        <w:rPr>
          <w:b/>
          <w:bCs/>
          <w:lang w:val="en-GB"/>
        </w:rPr>
        <w:t xml:space="preserve">chapter 3.18 </w:t>
      </w:r>
      <w:r w:rsidRPr="006F74DB">
        <w:rPr>
          <w:b/>
          <w:bCs/>
          <w:i/>
          <w:iCs/>
          <w:lang w:val="en-GB"/>
        </w:rPr>
        <w:t>“Disorders/Differences of sex development”</w:t>
      </w:r>
      <w:r w:rsidRPr="006F74DB">
        <w:rPr>
          <w:lang w:val="en-GB"/>
        </w:rPr>
        <w:t>,</w:t>
      </w:r>
      <w:r w:rsidRPr="006F74DB">
        <w:rPr>
          <w:rStyle w:val="FootnoteReference"/>
          <w:lang w:val="en-GB"/>
        </w:rPr>
        <w:footnoteReference w:id="23"/>
      </w:r>
      <w:r w:rsidRPr="006F74DB">
        <w:rPr>
          <w:lang w:val="en-GB"/>
        </w:rPr>
        <w:t xml:space="preserve"> </w:t>
      </w:r>
      <w:r w:rsidRPr="006F74DB">
        <w:rPr>
          <w:rFonts w:cs="Times New Roman"/>
          <w:lang w:val="en-GB"/>
        </w:rPr>
        <w:t xml:space="preserve">despite admitting that </w:t>
      </w:r>
      <w:r w:rsidRPr="006F74DB">
        <w:rPr>
          <w:rFonts w:cs="Times New Roman"/>
          <w:i/>
          <w:lang w:val="en-GB"/>
        </w:rPr>
        <w:t>“Surgery that alters appearance is not considered urgent”</w:t>
      </w:r>
      <w:r w:rsidRPr="006F74DB">
        <w:rPr>
          <w:rFonts w:cs="Times New Roman"/>
          <w:lang w:val="en-GB"/>
        </w:rPr>
        <w:t xml:space="preserve"> </w:t>
      </w:r>
      <w:r w:rsidRPr="006F74DB">
        <w:rPr>
          <w:rStyle w:val="FootnoteReference"/>
          <w:lang w:val="en-GB"/>
        </w:rPr>
        <w:footnoteReference w:id="24"/>
      </w:r>
      <w:r w:rsidRPr="006F74DB">
        <w:rPr>
          <w:rFonts w:cs="Times New Roman"/>
          <w:lang w:val="en-GB"/>
        </w:rPr>
        <w:t xml:space="preserve"> and that </w:t>
      </w:r>
      <w:r w:rsidRPr="006F74DB">
        <w:rPr>
          <w:rFonts w:cs="Times New Roman"/>
          <w:i/>
          <w:lang w:val="en-GB"/>
        </w:rPr>
        <w:t>“adverse outcomes have led to recommendations to delay unnecessary [clitoral] surgery to an age when the patient can give informed consent”</w:t>
      </w:r>
      <w:r w:rsidRPr="006F74DB">
        <w:rPr>
          <w:rFonts w:cs="Times New Roman"/>
          <w:lang w:val="en-GB"/>
        </w:rPr>
        <w:t>,</w:t>
      </w:r>
      <w:r w:rsidRPr="006F74DB">
        <w:rPr>
          <w:rStyle w:val="FootnoteReference"/>
          <w:rFonts w:cs="Times New Roman"/>
          <w:lang w:val="en-GB"/>
        </w:rPr>
        <w:footnoteReference w:id="25"/>
      </w:r>
      <w:r w:rsidRPr="006F74DB">
        <w:rPr>
          <w:rFonts w:cs="Times New Roman"/>
          <w:lang w:val="en-GB"/>
        </w:rPr>
        <w:t xml:space="preserve"> the ESPU/EAU Guidelines nonetheless explicitly </w:t>
      </w:r>
      <w:r w:rsidRPr="006F74DB">
        <w:rPr>
          <w:rFonts w:cs="Times New Roman"/>
          <w:b/>
          <w:bCs/>
          <w:lang w:val="en-GB"/>
        </w:rPr>
        <w:t>refuse to postpone non-emergency surgery</w:t>
      </w:r>
      <w:r w:rsidRPr="006F74DB">
        <w:rPr>
          <w:rFonts w:cs="Times New Roman"/>
          <w:lang w:val="en-GB"/>
        </w:rPr>
        <w:t xml:space="preserve">, but in contrary </w:t>
      </w:r>
      <w:r w:rsidRPr="006F74DB">
        <w:rPr>
          <w:rFonts w:cs="Times New Roman"/>
          <w:b/>
          <w:bCs/>
          <w:lang w:val="en-GB"/>
        </w:rPr>
        <w:t>insist to continue with non-emergency genital surgery</w:t>
      </w:r>
      <w:r w:rsidRPr="006F74DB">
        <w:rPr>
          <w:rFonts w:cs="Times New Roman"/>
          <w:lang w:val="en-GB"/>
        </w:rPr>
        <w:t xml:space="preserve"> (including partial clitoris amputation) on young children based on </w:t>
      </w:r>
      <w:r w:rsidRPr="006F74DB">
        <w:rPr>
          <w:rFonts w:cs="Times New Roman"/>
          <w:b/>
          <w:bCs/>
          <w:i/>
          <w:iCs/>
          <w:lang w:val="en-GB"/>
        </w:rPr>
        <w:t>“social and emotional conditions”</w:t>
      </w:r>
      <w:r w:rsidRPr="006F74DB">
        <w:rPr>
          <w:rFonts w:cs="Times New Roman"/>
          <w:lang w:val="en-GB"/>
        </w:rPr>
        <w:t xml:space="preserve"> and </w:t>
      </w:r>
      <w:r w:rsidRPr="006F74DB">
        <w:rPr>
          <w:rFonts w:cs="Times New Roman"/>
          <w:b/>
          <w:bCs/>
          <w:lang w:val="en-GB"/>
        </w:rPr>
        <w:t>substituted decision-making</w:t>
      </w:r>
      <w:r w:rsidRPr="006F74DB">
        <w:rPr>
          <w:rFonts w:cs="Times New Roman"/>
          <w:b/>
          <w:bCs/>
          <w:i/>
          <w:iCs/>
          <w:lang w:val="en-GB"/>
        </w:rPr>
        <w:t xml:space="preserve"> </w:t>
      </w:r>
      <w:r w:rsidRPr="006F74DB">
        <w:rPr>
          <w:rFonts w:cs="Times New Roman"/>
          <w:b/>
          <w:bCs/>
          <w:lang w:val="en-GB"/>
        </w:rPr>
        <w:t xml:space="preserve">by </w:t>
      </w:r>
      <w:r w:rsidRPr="006F74DB">
        <w:rPr>
          <w:rFonts w:cs="Times New Roman"/>
          <w:b/>
          <w:bCs/>
          <w:i/>
          <w:iCs/>
          <w:lang w:val="en-GB"/>
        </w:rPr>
        <w:t>“parents and caregivers</w:t>
      </w:r>
      <w:r w:rsidRPr="006F74DB">
        <w:rPr>
          <w:rFonts w:cs="Times New Roman"/>
          <w:i/>
          <w:iCs/>
          <w:lang w:val="en-GB"/>
        </w:rPr>
        <w:t xml:space="preserve"> implicitly act[</w:t>
      </w:r>
      <w:proofErr w:type="spellStart"/>
      <w:r w:rsidRPr="006F74DB">
        <w:rPr>
          <w:rFonts w:cs="Times New Roman"/>
          <w:i/>
          <w:iCs/>
          <w:lang w:val="en-GB"/>
        </w:rPr>
        <w:t>ing</w:t>
      </w:r>
      <w:proofErr w:type="spellEnd"/>
      <w:r w:rsidRPr="006F74DB">
        <w:rPr>
          <w:rFonts w:cs="Times New Roman"/>
          <w:i/>
          <w:iCs/>
          <w:lang w:val="en-GB"/>
        </w:rPr>
        <w:t>] in the best interest of their children”</w:t>
      </w:r>
      <w:r w:rsidRPr="006F74DB">
        <w:rPr>
          <w:rStyle w:val="FootnoteReference"/>
          <w:rFonts w:cs="Times New Roman"/>
          <w:lang w:val="en-GB"/>
        </w:rPr>
        <w:t xml:space="preserve"> </w:t>
      </w:r>
      <w:r w:rsidRPr="006F74DB">
        <w:rPr>
          <w:rStyle w:val="FootnoteReference"/>
          <w:rFonts w:cs="Times New Roman"/>
          <w:lang w:val="en-GB"/>
        </w:rPr>
        <w:footnoteReference w:id="26"/>
      </w:r>
      <w:r w:rsidRPr="006F74DB">
        <w:rPr>
          <w:rFonts w:cs="Times New Roman"/>
          <w:i/>
          <w:iCs/>
          <w:lang w:val="en-GB"/>
        </w:rPr>
        <w:t xml:space="preserve"> </w:t>
      </w:r>
      <w:r w:rsidRPr="006F74DB">
        <w:rPr>
          <w:rFonts w:cs="Times New Roman"/>
          <w:lang w:val="en-GB"/>
        </w:rPr>
        <w:t xml:space="preserve">and making </w:t>
      </w:r>
      <w:r w:rsidRPr="006F74DB">
        <w:rPr>
          <w:rFonts w:cs="Times New Roman"/>
          <w:i/>
          <w:iCs/>
          <w:lang w:val="en-GB"/>
        </w:rPr>
        <w:t>“well-informed decisions […] on their behalf”</w:t>
      </w:r>
      <w:r w:rsidRPr="006F74DB">
        <w:rPr>
          <w:rFonts w:cs="Times New Roman"/>
          <w:lang w:val="en-GB"/>
        </w:rPr>
        <w:t xml:space="preserve">, and further </w:t>
      </w:r>
      <w:r w:rsidRPr="006F74DB">
        <w:rPr>
          <w:rFonts w:cs="Times New Roman"/>
          <w:b/>
          <w:bCs/>
          <w:lang w:val="en-GB"/>
        </w:rPr>
        <w:t xml:space="preserve">explicitly refusing </w:t>
      </w:r>
      <w:r w:rsidRPr="006F74DB">
        <w:rPr>
          <w:rFonts w:cs="Times New Roman"/>
          <w:b/>
          <w:bCs/>
          <w:i/>
          <w:iCs/>
          <w:lang w:val="en-GB"/>
        </w:rPr>
        <w:t>“prohibition regulations”</w:t>
      </w:r>
      <w:r w:rsidRPr="006F74DB">
        <w:rPr>
          <w:rFonts w:cs="Times New Roman"/>
          <w:i/>
          <w:iCs/>
          <w:lang w:val="en-GB"/>
        </w:rPr>
        <w:t xml:space="preserve"> </w:t>
      </w:r>
      <w:r w:rsidRPr="006F74DB">
        <w:rPr>
          <w:rFonts w:cs="Times New Roman"/>
          <w:lang w:val="en-GB"/>
        </w:rPr>
        <w:t>of unnecessary early surgery,</w:t>
      </w:r>
      <w:r w:rsidRPr="006F74DB">
        <w:rPr>
          <w:rStyle w:val="FootnoteReference"/>
          <w:rFonts w:cs="Times New Roman"/>
          <w:lang w:val="en-GB"/>
        </w:rPr>
        <w:footnoteReference w:id="27"/>
      </w:r>
      <w:r w:rsidRPr="006F74DB">
        <w:rPr>
          <w:rFonts w:cs="Times New Roman"/>
          <w:lang w:val="en-GB"/>
        </w:rPr>
        <w:t xml:space="preserve"> referring to the 2018 ESPU Open Letter to the Council of Europe (COE),</w:t>
      </w:r>
      <w:r w:rsidRPr="006F74DB">
        <w:rPr>
          <w:rStyle w:val="FootnoteReference"/>
          <w:rFonts w:cs="Times New Roman"/>
          <w:lang w:val="en-GB"/>
        </w:rPr>
        <w:footnoteReference w:id="28"/>
      </w:r>
      <w:r w:rsidRPr="006F74DB">
        <w:rPr>
          <w:rFonts w:cs="Times New Roman"/>
          <w:lang w:val="en-GB"/>
        </w:rPr>
        <w:t xml:space="preserve"> which further invokes </w:t>
      </w:r>
      <w:r w:rsidRPr="006F74DB">
        <w:rPr>
          <w:rFonts w:cs="Times New Roman"/>
          <w:b/>
          <w:bCs/>
          <w:lang w:val="en-GB"/>
        </w:rPr>
        <w:t xml:space="preserve">parents’ </w:t>
      </w:r>
      <w:r w:rsidRPr="006F74DB">
        <w:rPr>
          <w:rFonts w:cs="Times New Roman"/>
          <w:b/>
          <w:bCs/>
          <w:i/>
          <w:iCs/>
          <w:lang w:val="en-GB"/>
        </w:rPr>
        <w:t xml:space="preserve">“social, and cultural considerations” </w:t>
      </w:r>
      <w:r w:rsidRPr="006F74DB">
        <w:rPr>
          <w:rFonts w:cs="Times New Roman"/>
          <w:lang w:val="en-GB"/>
        </w:rPr>
        <w:t>as justifications for early surgery (p. 2).</w:t>
      </w:r>
    </w:p>
    <w:p w14:paraId="56B64F4E" w14:textId="77777777" w:rsidR="00BC4D25" w:rsidRDefault="00BC4D25" w:rsidP="00BC4D25">
      <w:pPr>
        <w:pStyle w:val="absatzschattenbericht"/>
        <w:rPr>
          <w:lang w:val="en-GB"/>
        </w:rPr>
      </w:pPr>
      <w:bookmarkStart w:id="39" w:name="_Toc507786412"/>
      <w:bookmarkStart w:id="40" w:name="_Toc19465689"/>
      <w:bookmarkStart w:id="41" w:name="_Toc64836452"/>
      <w:bookmarkStart w:id="42" w:name="_Toc65413939"/>
      <w:r w:rsidRPr="004A4791">
        <w:rPr>
          <w:lang w:val="en-GB"/>
        </w:rPr>
        <w:lastRenderedPageBreak/>
        <w:t xml:space="preserve">Accordingly, the </w:t>
      </w:r>
      <w:r w:rsidRPr="004A4791">
        <w:rPr>
          <w:b/>
          <w:bCs/>
          <w:lang w:val="en-GB"/>
        </w:rPr>
        <w:t xml:space="preserve">evidence of Norwegian hospitals promoting IGM </w:t>
      </w:r>
      <w:r w:rsidR="00104956" w:rsidRPr="004A4791">
        <w:rPr>
          <w:b/>
          <w:bCs/>
          <w:lang w:val="en-GB"/>
        </w:rPr>
        <w:t>2</w:t>
      </w:r>
      <w:r w:rsidRPr="004A4791">
        <w:rPr>
          <w:lang w:val="en-GB"/>
        </w:rPr>
        <w:t xml:space="preserve"> documented in our </w:t>
      </w:r>
      <w:r w:rsidR="002A1AB9" w:rsidRPr="004A4791">
        <w:rPr>
          <w:lang w:val="en-GB"/>
        </w:rPr>
        <w:t xml:space="preserve">2023 </w:t>
      </w:r>
      <w:r w:rsidRPr="004A4791">
        <w:rPr>
          <w:lang w:val="en-GB"/>
        </w:rPr>
        <w:t>NGO Report for LOIPR,</w:t>
      </w:r>
      <w:r w:rsidRPr="004A4791">
        <w:rPr>
          <w:rStyle w:val="FootnoteReference"/>
          <w:lang w:val="en-GB"/>
        </w:rPr>
        <w:footnoteReference w:id="29"/>
      </w:r>
      <w:r w:rsidRPr="004A4791">
        <w:rPr>
          <w:lang w:val="en-GB"/>
        </w:rPr>
        <w:t xml:space="preserve"> (p. </w:t>
      </w:r>
      <w:r w:rsidR="00104956" w:rsidRPr="004A4791">
        <w:rPr>
          <w:lang w:val="en-GB"/>
        </w:rPr>
        <w:t>8</w:t>
      </w:r>
      <w:r w:rsidRPr="004A4791">
        <w:rPr>
          <w:lang w:val="en-GB"/>
        </w:rPr>
        <w:t xml:space="preserve">) still </w:t>
      </w:r>
      <w:r w:rsidRPr="004A4791">
        <w:rPr>
          <w:b/>
          <w:bCs/>
          <w:lang w:val="en-GB"/>
        </w:rPr>
        <w:t>remains current</w:t>
      </w:r>
      <w:r w:rsidRPr="004A4791">
        <w:rPr>
          <w:lang w:val="en-GB"/>
        </w:rPr>
        <w:t>.</w:t>
      </w:r>
    </w:p>
    <w:p w14:paraId="2B0D365C" w14:textId="77777777" w:rsidR="00DC4A4D" w:rsidRPr="00A03CB7" w:rsidRDefault="00DC4A4D" w:rsidP="00A03CB7">
      <w:pPr>
        <w:pStyle w:val="absatzschattenbericht"/>
        <w:rPr>
          <w:i/>
          <w:iCs/>
          <w:lang w:val="de-CH"/>
        </w:rPr>
      </w:pPr>
      <w:r>
        <w:rPr>
          <w:lang w:val="en-GB"/>
        </w:rPr>
        <w:t xml:space="preserve">In addition, according to a </w:t>
      </w:r>
      <w:r w:rsidRPr="004449DD">
        <w:rPr>
          <w:b/>
          <w:bCs/>
          <w:lang w:val="en-GB"/>
        </w:rPr>
        <w:t>2024 study</w:t>
      </w:r>
      <w:r w:rsidRPr="006F74DB">
        <w:rPr>
          <w:rStyle w:val="FootnoteReference"/>
          <w:lang w:val="en-GB"/>
        </w:rPr>
        <w:footnoteReference w:id="30"/>
      </w:r>
      <w:r>
        <w:rPr>
          <w:lang w:val="en-GB"/>
        </w:rPr>
        <w:t xml:space="preserve"> out of </w:t>
      </w:r>
      <w:r w:rsidRPr="004449DD">
        <w:rPr>
          <w:b/>
          <w:bCs/>
          <w:lang w:val="en-GB"/>
        </w:rPr>
        <w:t>Oslo University Hospital</w:t>
      </w:r>
      <w:r>
        <w:rPr>
          <w:lang w:val="en-GB"/>
        </w:rPr>
        <w:t xml:space="preserve"> interviewing health-care professionals (HCPs) treating intersex children,</w:t>
      </w:r>
      <w:r w:rsidR="00A03CB7">
        <w:rPr>
          <w:lang w:val="en-GB"/>
        </w:rPr>
        <w:t xml:space="preserve"> while </w:t>
      </w:r>
      <w:r w:rsidR="00A03CB7">
        <w:rPr>
          <w:i/>
          <w:iCs/>
          <w:lang w:val="en-GB"/>
        </w:rPr>
        <w:t>“[m]</w:t>
      </w:r>
      <w:proofErr w:type="spellStart"/>
      <w:r w:rsidR="00A03CB7" w:rsidRPr="00A03CB7">
        <w:rPr>
          <w:i/>
          <w:iCs/>
          <w:lang w:val="en-GB"/>
        </w:rPr>
        <w:t>ost</w:t>
      </w:r>
      <w:proofErr w:type="spellEnd"/>
      <w:r w:rsidR="00A03CB7" w:rsidRPr="00A03CB7">
        <w:rPr>
          <w:i/>
          <w:iCs/>
          <w:lang w:val="en-GB"/>
        </w:rPr>
        <w:t xml:space="preserve"> of the participants involved in female genital reconstructive surgery in children reported arguing in </w:t>
      </w:r>
      <w:proofErr w:type="spellStart"/>
      <w:r w:rsidR="00A03CB7" w:rsidRPr="00A03CB7">
        <w:rPr>
          <w:i/>
          <w:iCs/>
          <w:lang w:val="en-GB"/>
        </w:rPr>
        <w:t>favor</w:t>
      </w:r>
      <w:proofErr w:type="spellEnd"/>
      <w:r w:rsidR="00A03CB7" w:rsidRPr="00A03CB7">
        <w:rPr>
          <w:i/>
          <w:iCs/>
          <w:lang w:val="en-GB"/>
        </w:rPr>
        <w:t xml:space="preserve"> of deferring surgery in their initial communications with caregivers</w:t>
      </w:r>
      <w:r w:rsidR="00A03CB7">
        <w:rPr>
          <w:i/>
          <w:iCs/>
          <w:lang w:val="en-GB"/>
        </w:rPr>
        <w:t>”</w:t>
      </w:r>
      <w:r w:rsidR="000B74CD">
        <w:rPr>
          <w:lang w:val="en-GB"/>
        </w:rPr>
        <w:t>,</w:t>
      </w:r>
      <w:r>
        <w:rPr>
          <w:lang w:val="en-GB"/>
        </w:rPr>
        <w:t xml:space="preserve"> </w:t>
      </w:r>
      <w:r w:rsidRPr="00C057B8">
        <w:rPr>
          <w:b/>
          <w:bCs/>
          <w:lang w:val="en-GB"/>
        </w:rPr>
        <w:t xml:space="preserve">IGM </w:t>
      </w:r>
      <w:r>
        <w:rPr>
          <w:b/>
          <w:bCs/>
          <w:lang w:val="en-GB"/>
        </w:rPr>
        <w:t>2</w:t>
      </w:r>
      <w:r w:rsidRPr="00C057B8">
        <w:rPr>
          <w:b/>
          <w:bCs/>
          <w:lang w:val="en-GB"/>
        </w:rPr>
        <w:t xml:space="preserve"> still continues</w:t>
      </w:r>
      <w:r>
        <w:rPr>
          <w:lang w:val="en-GB"/>
        </w:rPr>
        <w:t xml:space="preserve">, as </w:t>
      </w:r>
      <w:r>
        <w:rPr>
          <w:i/>
          <w:iCs/>
          <w:lang w:val="en-GB"/>
        </w:rPr>
        <w:t>“</w:t>
      </w:r>
      <w:r w:rsidRPr="00DC4A4D">
        <w:rPr>
          <w:i/>
          <w:iCs/>
          <w:lang w:val="en-GB"/>
        </w:rPr>
        <w:t xml:space="preserve">a few </w:t>
      </w:r>
      <w:r w:rsidRPr="00DC4A4D">
        <w:rPr>
          <w:b/>
          <w:bCs/>
          <w:i/>
          <w:iCs/>
          <w:lang w:val="en-GB"/>
        </w:rPr>
        <w:t>HCPs sympathized with the idea</w:t>
      </w:r>
      <w:r w:rsidRPr="00DC4A4D">
        <w:rPr>
          <w:i/>
          <w:iCs/>
          <w:lang w:val="en-GB"/>
        </w:rPr>
        <w:t xml:space="preserve"> that one way to reduce caregivers’ stress and contribute to coping was </w:t>
      </w:r>
      <w:r w:rsidRPr="00DC4A4D">
        <w:rPr>
          <w:b/>
          <w:bCs/>
          <w:i/>
          <w:iCs/>
          <w:lang w:val="en-GB"/>
        </w:rPr>
        <w:t>to ‘normalize’ the child’s genitals</w:t>
      </w:r>
      <w:r w:rsidRPr="00DC4A4D">
        <w:rPr>
          <w:i/>
          <w:iCs/>
          <w:lang w:val="en-GB"/>
        </w:rPr>
        <w:t xml:space="preserve"> </w:t>
      </w:r>
      <w:r>
        <w:rPr>
          <w:i/>
          <w:iCs/>
          <w:lang w:val="en-GB"/>
        </w:rPr>
        <w:t>[...]</w:t>
      </w:r>
      <w:r w:rsidR="00FE441C">
        <w:rPr>
          <w:i/>
          <w:iCs/>
          <w:lang w:val="en-GB"/>
        </w:rPr>
        <w:t>,</w:t>
      </w:r>
      <w:r>
        <w:rPr>
          <w:i/>
          <w:iCs/>
          <w:lang w:val="en-GB"/>
        </w:rPr>
        <w:t>”</w:t>
      </w:r>
      <w:r w:rsidR="00FE441C">
        <w:rPr>
          <w:i/>
          <w:iCs/>
          <w:lang w:val="en-GB"/>
        </w:rPr>
        <w:t xml:space="preserve"> </w:t>
      </w:r>
      <w:r w:rsidR="00502445">
        <w:rPr>
          <w:lang w:val="en-GB"/>
        </w:rPr>
        <w:t xml:space="preserve">and </w:t>
      </w:r>
      <w:r w:rsidR="009C6741" w:rsidRPr="009C6741">
        <w:rPr>
          <w:b/>
          <w:bCs/>
          <w:i/>
          <w:iCs/>
          <w:lang w:val="en-GB"/>
        </w:rPr>
        <w:t>“caregivers opted for surgery to make genitals ‘look like most others’</w:t>
      </w:r>
      <w:r w:rsidR="009C6741" w:rsidRPr="009C6741">
        <w:rPr>
          <w:i/>
          <w:iCs/>
          <w:lang w:val="en-GB"/>
        </w:rPr>
        <w:t>, in the hope that</w:t>
      </w:r>
      <w:r w:rsidR="009C6741">
        <w:rPr>
          <w:i/>
          <w:iCs/>
          <w:lang w:val="en-GB"/>
        </w:rPr>
        <w:t xml:space="preserve"> </w:t>
      </w:r>
      <w:r w:rsidR="009C6741" w:rsidRPr="009C6741">
        <w:rPr>
          <w:i/>
          <w:iCs/>
          <w:lang w:val="en-GB"/>
        </w:rPr>
        <w:t>it would reduce potential negative experiences e.g. in kindergarten.</w:t>
      </w:r>
      <w:r w:rsidR="009C6741" w:rsidRPr="009C6741">
        <w:rPr>
          <w:rFonts w:ascii="MinionPro" w:eastAsia="Times New Roman" w:hAnsi="MinionPro"/>
        </w:rPr>
        <w:t xml:space="preserve"> </w:t>
      </w:r>
      <w:r w:rsidR="009C6741" w:rsidRPr="009C6741">
        <w:rPr>
          <w:i/>
          <w:iCs/>
          <w:lang w:val="de-CH"/>
        </w:rPr>
        <w:t xml:space="preserve">This issue revealed that some </w:t>
      </w:r>
      <w:r w:rsidR="009C6741" w:rsidRPr="009C6741">
        <w:rPr>
          <w:b/>
          <w:bCs/>
          <w:i/>
          <w:iCs/>
          <w:lang w:val="de-CH"/>
        </w:rPr>
        <w:t>HCPs described conducting female genital reconstructive surgeries</w:t>
      </w:r>
      <w:r w:rsidR="009C6741" w:rsidRPr="009C6741">
        <w:rPr>
          <w:i/>
          <w:iCs/>
          <w:lang w:val="de-CH"/>
        </w:rPr>
        <w:t xml:space="preserve"> in some cases </w:t>
      </w:r>
      <w:r w:rsidR="009C6741">
        <w:rPr>
          <w:i/>
          <w:iCs/>
          <w:lang w:val="de-CH"/>
        </w:rPr>
        <w:t>[…].”</w:t>
      </w:r>
    </w:p>
    <w:p w14:paraId="34EB24CA" w14:textId="77777777" w:rsidR="00DB4A71" w:rsidRPr="006F74DB" w:rsidRDefault="00DB4A71" w:rsidP="00DB4A71">
      <w:pPr>
        <w:pStyle w:val="Title3"/>
      </w:pPr>
      <w:bookmarkStart w:id="43" w:name="_Toc183983173"/>
      <w:r w:rsidRPr="006F74DB">
        <w:t>c) IGM 1 – “Masculinising Surgery”: Hypospadias “Repair”</w:t>
      </w:r>
      <w:r w:rsidRPr="005A2BF4">
        <w:rPr>
          <w:rStyle w:val="Funotenzeichen3"/>
          <w:b w:val="0"/>
          <w:bCs w:val="0"/>
        </w:rPr>
        <w:footnoteReference w:id="31"/>
      </w:r>
      <w:bookmarkEnd w:id="39"/>
      <w:bookmarkEnd w:id="40"/>
      <w:bookmarkEnd w:id="41"/>
      <w:bookmarkEnd w:id="42"/>
      <w:bookmarkEnd w:id="43"/>
    </w:p>
    <w:p w14:paraId="3BEF2A28" w14:textId="77777777" w:rsidR="00DB4A71" w:rsidRPr="006F74DB" w:rsidRDefault="00DB4A71" w:rsidP="00DB4A71">
      <w:pPr>
        <w:pStyle w:val="absatzschattenbericht"/>
        <w:spacing w:after="60"/>
        <w:rPr>
          <w:lang w:val="en-GB"/>
        </w:rPr>
      </w:pPr>
      <w:r w:rsidRPr="006F74DB">
        <w:rPr>
          <w:lang w:val="en-GB"/>
        </w:rPr>
        <w:t xml:space="preserve">The </w:t>
      </w:r>
      <w:r w:rsidR="00C36824">
        <w:rPr>
          <w:b/>
          <w:bCs/>
          <w:lang w:val="en-GB"/>
        </w:rPr>
        <w:t>Norwegian Urological</w:t>
      </w:r>
      <w:r w:rsidR="00C36824" w:rsidRPr="000A7D56">
        <w:rPr>
          <w:b/>
          <w:bCs/>
          <w:lang w:val="en-GB"/>
        </w:rPr>
        <w:t xml:space="preserve"> Association </w:t>
      </w:r>
      <w:r w:rsidR="00C36824">
        <w:rPr>
          <w:b/>
          <w:bCs/>
          <w:lang w:val="en-GB"/>
        </w:rPr>
        <w:t>(</w:t>
      </w:r>
      <w:proofErr w:type="spellStart"/>
      <w:r w:rsidR="00C36824" w:rsidRPr="001F0ECD">
        <w:rPr>
          <w:b/>
          <w:bCs/>
          <w:lang w:val="en-GB"/>
        </w:rPr>
        <w:t>Norsk</w:t>
      </w:r>
      <w:proofErr w:type="spellEnd"/>
      <w:r w:rsidR="00C36824" w:rsidRPr="001F0ECD">
        <w:rPr>
          <w:b/>
          <w:bCs/>
          <w:lang w:val="en-GB"/>
        </w:rPr>
        <w:t xml:space="preserve"> </w:t>
      </w:r>
      <w:proofErr w:type="spellStart"/>
      <w:r w:rsidR="00C36824" w:rsidRPr="001F0ECD">
        <w:rPr>
          <w:b/>
          <w:bCs/>
          <w:lang w:val="en-GB"/>
        </w:rPr>
        <w:t>Urologisk</w:t>
      </w:r>
      <w:proofErr w:type="spellEnd"/>
      <w:r w:rsidR="00C36824" w:rsidRPr="001F0ECD">
        <w:rPr>
          <w:b/>
          <w:bCs/>
          <w:lang w:val="en-GB"/>
        </w:rPr>
        <w:t xml:space="preserve"> </w:t>
      </w:r>
      <w:proofErr w:type="spellStart"/>
      <w:r w:rsidR="00C36824" w:rsidRPr="001F0ECD">
        <w:rPr>
          <w:b/>
          <w:bCs/>
          <w:lang w:val="en-GB"/>
        </w:rPr>
        <w:t>Forening</w:t>
      </w:r>
      <w:proofErr w:type="spellEnd"/>
      <w:r w:rsidR="00C36824" w:rsidRPr="001F0ECD">
        <w:rPr>
          <w:b/>
          <w:bCs/>
          <w:lang w:val="en-GB"/>
        </w:rPr>
        <w:t xml:space="preserve"> (NUF)</w:t>
      </w:r>
      <w:r w:rsidR="00C36824">
        <w:rPr>
          <w:b/>
          <w:bCs/>
          <w:lang w:val="en-GB"/>
        </w:rPr>
        <w:t xml:space="preserve">) </w:t>
      </w:r>
      <w:r w:rsidRPr="006F74DB">
        <w:rPr>
          <w:lang w:val="en-GB"/>
        </w:rPr>
        <w:t xml:space="preserve">endorses the current </w:t>
      </w:r>
      <w:r w:rsidRPr="006F74DB">
        <w:rPr>
          <w:b/>
          <w:lang w:val="en-GB"/>
        </w:rPr>
        <w:t>2024 Guidelines of the European Association of Urology (EAU)</w:t>
      </w:r>
      <w:r w:rsidRPr="006F74DB">
        <w:rPr>
          <w:bCs/>
          <w:lang w:val="en-GB"/>
        </w:rPr>
        <w:t>,</w:t>
      </w:r>
      <w:r w:rsidRPr="006F74DB">
        <w:rPr>
          <w:rStyle w:val="FootnoteReference"/>
          <w:lang w:val="en-GB"/>
        </w:rPr>
        <w:footnoteReference w:id="32"/>
      </w:r>
      <w:r w:rsidRPr="006F74DB">
        <w:rPr>
          <w:bCs/>
          <w:lang w:val="en-GB"/>
        </w:rPr>
        <w:t xml:space="preserve"> which include the current </w:t>
      </w:r>
      <w:r w:rsidRPr="006F74DB">
        <w:rPr>
          <w:b/>
          <w:lang w:val="en-GB"/>
        </w:rPr>
        <w:t xml:space="preserve">ESPU/EAU </w:t>
      </w:r>
      <w:r w:rsidRPr="006F74DB">
        <w:rPr>
          <w:b/>
          <w:i/>
          <w:lang w:val="en-GB"/>
        </w:rPr>
        <w:t xml:space="preserve">“Paediatric Urology” </w:t>
      </w:r>
      <w:r w:rsidRPr="006F74DB">
        <w:rPr>
          <w:b/>
          <w:lang w:val="en-GB"/>
        </w:rPr>
        <w:t>Guidelines 2024</w:t>
      </w:r>
      <w:r w:rsidRPr="006F74DB">
        <w:rPr>
          <w:rStyle w:val="FootnoteReference"/>
          <w:lang w:val="en-GB"/>
        </w:rPr>
        <w:footnoteReference w:id="33"/>
      </w:r>
      <w:r w:rsidRPr="006F74DB">
        <w:rPr>
          <w:lang w:val="en-GB"/>
        </w:rPr>
        <w:t xml:space="preserve"> of the European Society for Paediatric Urology (ESPU) and the European Association of Urology (EAU). In </w:t>
      </w:r>
      <w:r w:rsidRPr="006F74DB">
        <w:rPr>
          <w:b/>
          <w:bCs/>
          <w:lang w:val="en-GB"/>
        </w:rPr>
        <w:t xml:space="preserve">chapter 3.7 </w:t>
      </w:r>
      <w:r w:rsidRPr="006F74DB">
        <w:rPr>
          <w:b/>
          <w:bCs/>
          <w:i/>
          <w:iCs/>
          <w:lang w:val="en-GB"/>
        </w:rPr>
        <w:t>“Hypospadias”</w:t>
      </w:r>
      <w:r w:rsidRPr="006F74DB">
        <w:rPr>
          <w:lang w:val="en-GB"/>
        </w:rPr>
        <w:t>,</w:t>
      </w:r>
      <w:r w:rsidRPr="006F74DB">
        <w:rPr>
          <w:rStyle w:val="FootnoteReference"/>
          <w:lang w:val="en-GB"/>
        </w:rPr>
        <w:footnoteReference w:id="34"/>
      </w:r>
      <w:r w:rsidRPr="006F74DB">
        <w:rPr>
          <w:lang w:val="en-GB"/>
        </w:rPr>
        <w:t xml:space="preserve"> </w:t>
      </w:r>
      <w:r w:rsidRPr="006F74DB">
        <w:rPr>
          <w:rFonts w:cs="Times New Roman"/>
          <w:lang w:val="en-GB"/>
        </w:rPr>
        <w:t xml:space="preserve">the ESPU/EAU Guidelines’ </w:t>
      </w:r>
      <w:r w:rsidRPr="006F74DB">
        <w:rPr>
          <w:rFonts w:cs="Times New Roman"/>
          <w:b/>
          <w:bCs/>
          <w:lang w:val="en-GB"/>
        </w:rPr>
        <w:t xml:space="preserve">section 3.7.5.3 </w:t>
      </w:r>
      <w:r w:rsidRPr="006F74DB">
        <w:rPr>
          <w:rFonts w:cs="Times New Roman"/>
          <w:b/>
          <w:bCs/>
          <w:i/>
          <w:iCs/>
          <w:lang w:val="en-GB"/>
        </w:rPr>
        <w:t>“Age at surgery”</w:t>
      </w:r>
      <w:r w:rsidRPr="006F74DB">
        <w:rPr>
          <w:rFonts w:cs="Times New Roman"/>
          <w:i/>
          <w:iCs/>
          <w:lang w:val="en-GB"/>
        </w:rPr>
        <w:t xml:space="preserve"> </w:t>
      </w:r>
      <w:r w:rsidRPr="006F74DB">
        <w:rPr>
          <w:rFonts w:cs="Times New Roman"/>
          <w:lang w:val="en-GB"/>
        </w:rPr>
        <w:t xml:space="preserve">explicitly promotes, </w:t>
      </w:r>
      <w:r w:rsidRPr="006F74DB">
        <w:rPr>
          <w:rFonts w:cs="Times New Roman"/>
          <w:b/>
          <w:bCs/>
          <w:i/>
          <w:iCs/>
          <w:lang w:val="en-GB"/>
        </w:rPr>
        <w:t>“The age at surgery for primary hypospadias repair is usually 6-18 (24) months.”</w:t>
      </w:r>
      <w:r w:rsidRPr="006F74DB">
        <w:rPr>
          <w:rStyle w:val="FootnoteReference"/>
          <w:lang w:val="en-GB"/>
        </w:rPr>
        <w:t xml:space="preserve"> </w:t>
      </w:r>
      <w:r w:rsidRPr="006F74DB">
        <w:rPr>
          <w:rStyle w:val="FootnoteReference"/>
          <w:lang w:val="en-GB"/>
        </w:rPr>
        <w:footnoteReference w:id="35"/>
      </w:r>
      <w:r w:rsidRPr="006F74DB">
        <w:rPr>
          <w:lang w:val="en-GB"/>
        </w:rPr>
        <w:t xml:space="preserve"> – </w:t>
      </w:r>
      <w:r w:rsidRPr="006F74DB">
        <w:rPr>
          <w:rFonts w:cs="Times New Roman"/>
          <w:lang w:val="en-GB"/>
        </w:rPr>
        <w:t xml:space="preserve">despite admitting to the </w:t>
      </w:r>
      <w:r w:rsidRPr="006F74DB">
        <w:rPr>
          <w:rFonts w:cs="Times New Roman"/>
          <w:i/>
          <w:lang w:val="en-GB"/>
        </w:rPr>
        <w:t>“risk of complications”</w:t>
      </w:r>
      <w:r w:rsidRPr="006F74DB">
        <w:rPr>
          <w:rFonts w:cs="Times New Roman"/>
          <w:lang w:val="en-GB"/>
        </w:rPr>
        <w:t xml:space="preserve"> </w:t>
      </w:r>
      <w:r w:rsidRPr="006F74DB">
        <w:rPr>
          <w:rStyle w:val="FootnoteReference"/>
          <w:lang w:val="en-GB"/>
        </w:rPr>
        <w:footnoteReference w:id="36"/>
      </w:r>
      <w:r w:rsidRPr="006F74DB">
        <w:rPr>
          <w:rFonts w:cs="Times New Roman"/>
          <w:lang w:val="en-GB"/>
        </w:rPr>
        <w:t xml:space="preserve"> and </w:t>
      </w:r>
      <w:r w:rsidRPr="006F74DB">
        <w:rPr>
          <w:rFonts w:cs="Times New Roman"/>
          <w:i/>
          <w:lang w:val="en-GB"/>
        </w:rPr>
        <w:t xml:space="preserve">“aesthetic[…]” </w:t>
      </w:r>
      <w:r w:rsidRPr="006F74DB">
        <w:rPr>
          <w:rFonts w:cs="Times New Roman"/>
          <w:iCs/>
          <w:lang w:val="en-GB"/>
        </w:rPr>
        <w:t xml:space="preserve">and </w:t>
      </w:r>
      <w:r w:rsidRPr="006F74DB">
        <w:rPr>
          <w:rFonts w:cs="Times New Roman"/>
          <w:i/>
          <w:lang w:val="en-GB"/>
        </w:rPr>
        <w:t xml:space="preserve">“cosmetic” </w:t>
      </w:r>
      <w:r w:rsidRPr="006F74DB">
        <w:rPr>
          <w:rFonts w:cs="Times New Roman"/>
          <w:iCs/>
          <w:lang w:val="en-GB"/>
        </w:rPr>
        <w:t>justifications.</w:t>
      </w:r>
      <w:r w:rsidRPr="006F74DB">
        <w:rPr>
          <w:rStyle w:val="FootnoteReference"/>
          <w:rFonts w:cs="Times New Roman"/>
          <w:lang w:val="en-GB"/>
        </w:rPr>
        <w:footnoteReference w:id="37"/>
      </w:r>
    </w:p>
    <w:p w14:paraId="61311307" w14:textId="77777777" w:rsidR="00BC4D25" w:rsidRDefault="00BC4D25" w:rsidP="00BC4D25">
      <w:pPr>
        <w:pStyle w:val="absatzschattenbericht"/>
        <w:rPr>
          <w:lang w:val="en-GB"/>
        </w:rPr>
      </w:pPr>
      <w:r w:rsidRPr="004A4791">
        <w:rPr>
          <w:lang w:val="en-GB"/>
        </w:rPr>
        <w:t xml:space="preserve">Accordingly, the </w:t>
      </w:r>
      <w:r w:rsidRPr="004A4791">
        <w:rPr>
          <w:b/>
          <w:bCs/>
          <w:lang w:val="en-GB"/>
        </w:rPr>
        <w:t xml:space="preserve">evidence of Norwegian hospitals promoting IGM </w:t>
      </w:r>
      <w:r w:rsidR="00104956" w:rsidRPr="004A4791">
        <w:rPr>
          <w:b/>
          <w:bCs/>
          <w:lang w:val="en-GB"/>
        </w:rPr>
        <w:t>1</w:t>
      </w:r>
      <w:r w:rsidRPr="004A4791">
        <w:rPr>
          <w:lang w:val="en-GB"/>
        </w:rPr>
        <w:t xml:space="preserve"> documented in our </w:t>
      </w:r>
      <w:r w:rsidR="002A1AB9" w:rsidRPr="004A4791">
        <w:rPr>
          <w:lang w:val="en-GB"/>
        </w:rPr>
        <w:t xml:space="preserve">2023 </w:t>
      </w:r>
      <w:r w:rsidRPr="004A4791">
        <w:rPr>
          <w:lang w:val="en-GB"/>
        </w:rPr>
        <w:t>NGO Report for LOIPR,</w:t>
      </w:r>
      <w:r w:rsidRPr="004A4791">
        <w:rPr>
          <w:rStyle w:val="FootnoteReference"/>
          <w:lang w:val="en-GB"/>
        </w:rPr>
        <w:footnoteReference w:id="38"/>
      </w:r>
      <w:r w:rsidRPr="004A4791">
        <w:rPr>
          <w:lang w:val="en-GB"/>
        </w:rPr>
        <w:t xml:space="preserve"> (p. </w:t>
      </w:r>
      <w:r w:rsidR="00104956" w:rsidRPr="004A4791">
        <w:rPr>
          <w:lang w:val="en-GB"/>
        </w:rPr>
        <w:t>9</w:t>
      </w:r>
      <w:r w:rsidRPr="004A4791">
        <w:rPr>
          <w:lang w:val="en-GB"/>
        </w:rPr>
        <w:t xml:space="preserve">) still </w:t>
      </w:r>
      <w:r w:rsidRPr="004A4791">
        <w:rPr>
          <w:b/>
          <w:bCs/>
          <w:lang w:val="en-GB"/>
        </w:rPr>
        <w:t>remains current</w:t>
      </w:r>
      <w:r w:rsidRPr="004A4791">
        <w:rPr>
          <w:lang w:val="en-GB"/>
        </w:rPr>
        <w:t>.</w:t>
      </w:r>
    </w:p>
    <w:p w14:paraId="32B3CCDC" w14:textId="77777777" w:rsidR="00A175C3" w:rsidRPr="007F75B7" w:rsidRDefault="00A175C3" w:rsidP="00797FFB">
      <w:pPr>
        <w:pStyle w:val="absatzschattenbericht"/>
        <w:rPr>
          <w:lang w:val="de-CH"/>
        </w:rPr>
      </w:pPr>
      <w:r>
        <w:rPr>
          <w:lang w:val="en-GB"/>
        </w:rPr>
        <w:t xml:space="preserve">In addition, according to a </w:t>
      </w:r>
      <w:r w:rsidRPr="004449DD">
        <w:rPr>
          <w:b/>
          <w:bCs/>
          <w:lang w:val="en-GB"/>
        </w:rPr>
        <w:t>2024 study</w:t>
      </w:r>
      <w:r w:rsidRPr="006F74DB">
        <w:rPr>
          <w:rStyle w:val="FootnoteReference"/>
          <w:lang w:val="en-GB"/>
        </w:rPr>
        <w:footnoteReference w:id="39"/>
      </w:r>
      <w:r>
        <w:rPr>
          <w:lang w:val="en-GB"/>
        </w:rPr>
        <w:t xml:space="preserve"> out of </w:t>
      </w:r>
      <w:r w:rsidRPr="004449DD">
        <w:rPr>
          <w:b/>
          <w:bCs/>
          <w:lang w:val="en-GB"/>
        </w:rPr>
        <w:t>Oslo University Hospital</w:t>
      </w:r>
      <w:r>
        <w:rPr>
          <w:lang w:val="en-GB"/>
        </w:rPr>
        <w:t xml:space="preserve"> interviewing health-care professionals (HCPs) treating intersex children, </w:t>
      </w:r>
      <w:r w:rsidRPr="00C057B8">
        <w:rPr>
          <w:b/>
          <w:bCs/>
          <w:lang w:val="en-GB"/>
        </w:rPr>
        <w:t xml:space="preserve">IGM </w:t>
      </w:r>
      <w:r>
        <w:rPr>
          <w:b/>
          <w:bCs/>
          <w:lang w:val="en-GB"/>
        </w:rPr>
        <w:t>1</w:t>
      </w:r>
      <w:r w:rsidRPr="00C057B8">
        <w:rPr>
          <w:b/>
          <w:bCs/>
          <w:lang w:val="en-GB"/>
        </w:rPr>
        <w:t xml:space="preserve"> still continues</w:t>
      </w:r>
      <w:r>
        <w:rPr>
          <w:lang w:val="en-GB"/>
        </w:rPr>
        <w:t xml:space="preserve">, as </w:t>
      </w:r>
      <w:r>
        <w:rPr>
          <w:i/>
          <w:iCs/>
          <w:lang w:val="en-GB"/>
        </w:rPr>
        <w:t>“</w:t>
      </w:r>
      <w:r w:rsidRPr="00DC4A4D">
        <w:rPr>
          <w:i/>
          <w:iCs/>
          <w:lang w:val="en-GB"/>
        </w:rPr>
        <w:t xml:space="preserve">a few </w:t>
      </w:r>
      <w:r w:rsidRPr="00DC4A4D">
        <w:rPr>
          <w:b/>
          <w:bCs/>
          <w:i/>
          <w:iCs/>
          <w:lang w:val="en-GB"/>
        </w:rPr>
        <w:t>HCPs sympathized with the idea</w:t>
      </w:r>
      <w:r w:rsidRPr="00DC4A4D">
        <w:rPr>
          <w:i/>
          <w:iCs/>
          <w:lang w:val="en-GB"/>
        </w:rPr>
        <w:t xml:space="preserve"> that one way to reduce caregivers’ stress and contribute to coping was </w:t>
      </w:r>
      <w:r w:rsidRPr="00DC4A4D">
        <w:rPr>
          <w:b/>
          <w:bCs/>
          <w:i/>
          <w:iCs/>
          <w:lang w:val="en-GB"/>
        </w:rPr>
        <w:t>to ‘normalize’ the child’s genitals</w:t>
      </w:r>
      <w:r w:rsidRPr="00DC4A4D">
        <w:rPr>
          <w:i/>
          <w:iCs/>
          <w:lang w:val="en-GB"/>
        </w:rPr>
        <w:t xml:space="preserve"> </w:t>
      </w:r>
      <w:r>
        <w:rPr>
          <w:i/>
          <w:iCs/>
          <w:lang w:val="en-GB"/>
        </w:rPr>
        <w:t>[...]</w:t>
      </w:r>
      <w:r w:rsidR="00F24EFC">
        <w:rPr>
          <w:i/>
          <w:iCs/>
          <w:lang w:val="en-GB"/>
        </w:rPr>
        <w:t xml:space="preserve">.” </w:t>
      </w:r>
      <w:r w:rsidR="00F24EFC">
        <w:rPr>
          <w:lang w:val="en-GB"/>
        </w:rPr>
        <w:t xml:space="preserve">What’s more, </w:t>
      </w:r>
      <w:r w:rsidR="007F75B7">
        <w:rPr>
          <w:lang w:val="en-GB"/>
        </w:rPr>
        <w:t xml:space="preserve">surgical </w:t>
      </w:r>
      <w:r w:rsidR="007F75B7" w:rsidRPr="007F75B7">
        <w:rPr>
          <w:b/>
          <w:bCs/>
          <w:lang w:val="en-GB"/>
        </w:rPr>
        <w:t>“correction” for “severe” hypospadias</w:t>
      </w:r>
      <w:r w:rsidR="007F75B7">
        <w:rPr>
          <w:lang w:val="en-GB"/>
        </w:rPr>
        <w:t xml:space="preserve"> (</w:t>
      </w:r>
      <w:r w:rsidR="007F75B7">
        <w:rPr>
          <w:i/>
          <w:iCs/>
          <w:lang w:val="en-GB"/>
        </w:rPr>
        <w:t>“proximal hypospadias surgery”</w:t>
      </w:r>
      <w:r w:rsidR="007F75B7">
        <w:rPr>
          <w:lang w:val="en-GB"/>
        </w:rPr>
        <w:t xml:space="preserve">) is </w:t>
      </w:r>
      <w:r w:rsidR="007F75B7" w:rsidRPr="00585F04">
        <w:rPr>
          <w:b/>
          <w:bCs/>
          <w:lang w:val="en-GB"/>
        </w:rPr>
        <w:t>considered unproblematic</w:t>
      </w:r>
      <w:r w:rsidR="00585F04">
        <w:rPr>
          <w:lang w:val="en-GB"/>
        </w:rPr>
        <w:t>:</w:t>
      </w:r>
      <w:r w:rsidR="007F75B7">
        <w:rPr>
          <w:lang w:val="en-GB"/>
        </w:rPr>
        <w:t xml:space="preserve"> </w:t>
      </w:r>
      <w:r w:rsidR="007F75B7">
        <w:rPr>
          <w:i/>
          <w:iCs/>
          <w:lang w:val="en-GB"/>
        </w:rPr>
        <w:t>“</w:t>
      </w:r>
      <w:r w:rsidR="00317296" w:rsidRPr="00FC7258">
        <w:rPr>
          <w:i/>
          <w:iCs/>
          <w:lang w:val="en-GB"/>
        </w:rPr>
        <w:t>‘</w:t>
      </w:r>
      <w:r w:rsidR="007F75B7">
        <w:rPr>
          <w:i/>
          <w:iCs/>
          <w:lang w:val="en-GB"/>
        </w:rPr>
        <w:t xml:space="preserve">[...] </w:t>
      </w:r>
      <w:r w:rsidR="007F75B7" w:rsidRPr="007F75B7">
        <w:rPr>
          <w:i/>
          <w:iCs/>
          <w:lang w:val="en-GB"/>
        </w:rPr>
        <w:t xml:space="preserve">for under-virilized boys, who one assumes will reach a male identity, </w:t>
      </w:r>
      <w:r w:rsidR="007F75B7" w:rsidRPr="007F75B7">
        <w:rPr>
          <w:b/>
          <w:bCs/>
          <w:i/>
          <w:iCs/>
          <w:lang w:val="en-GB"/>
        </w:rPr>
        <w:t xml:space="preserve">early operations are totally accepted. </w:t>
      </w:r>
      <w:r w:rsidR="007F75B7" w:rsidRPr="007F75B7">
        <w:rPr>
          <w:b/>
          <w:bCs/>
          <w:i/>
          <w:iCs/>
          <w:lang w:val="en-GB"/>
        </w:rPr>
        <w:lastRenderedPageBreak/>
        <w:t>Just as long as you have the parents’ consent.</w:t>
      </w:r>
      <w:r w:rsidR="007F75B7" w:rsidRPr="007F75B7">
        <w:rPr>
          <w:i/>
          <w:iCs/>
          <w:lang w:val="en-GB"/>
        </w:rPr>
        <w:t>’</w:t>
      </w:r>
      <w:r w:rsidR="007F75B7">
        <w:rPr>
          <w:i/>
          <w:iCs/>
          <w:lang w:val="en-GB"/>
        </w:rPr>
        <w:t xml:space="preserve">” </w:t>
      </w:r>
      <w:r w:rsidR="007F75B7">
        <w:rPr>
          <w:lang w:val="en-GB"/>
        </w:rPr>
        <w:t xml:space="preserve">(The more frequent unnecessary surgical “correction” of “mild” hypospadias isn’t even raised in the </w:t>
      </w:r>
      <w:r w:rsidR="00C15912">
        <w:rPr>
          <w:lang w:val="en-GB"/>
        </w:rPr>
        <w:t>study</w:t>
      </w:r>
      <w:r w:rsidR="007F75B7">
        <w:rPr>
          <w:lang w:val="en-GB"/>
        </w:rPr>
        <w:t>.)</w:t>
      </w:r>
    </w:p>
    <w:p w14:paraId="36C6DB2E" w14:textId="77777777" w:rsidR="00993CAC" w:rsidRPr="006F74DB" w:rsidRDefault="00993CAC">
      <w:pPr>
        <w:spacing w:after="0" w:line="240" w:lineRule="auto"/>
        <w:rPr>
          <w:rFonts w:ascii="Times New Roman" w:eastAsia="Baskerville-SemiBold" w:hAnsi="Times New Roman"/>
          <w:color w:val="000000"/>
          <w:spacing w:val="2"/>
          <w:kern w:val="1"/>
          <w:sz w:val="24"/>
          <w:szCs w:val="24"/>
          <w:lang w:val="en-GB" w:eastAsia="zh-CN" w:bidi="hi-IN"/>
        </w:rPr>
      </w:pPr>
      <w:bookmarkStart w:id="44" w:name="_Toc2371005"/>
      <w:bookmarkStart w:id="45" w:name="_Toc65413943"/>
      <w:bookmarkEnd w:id="6"/>
      <w:bookmarkEnd w:id="7"/>
      <w:bookmarkEnd w:id="25"/>
      <w:r w:rsidRPr="006F74DB">
        <w:rPr>
          <w:rFonts w:ascii="Times New Roman" w:eastAsia="Baskerville-SemiBold" w:hAnsi="Times New Roman"/>
          <w:b/>
          <w:bCs/>
          <w:iCs/>
          <w:color w:val="000000"/>
          <w:szCs w:val="24"/>
          <w:lang w:val="en-GB"/>
        </w:rPr>
        <w:br w:type="page"/>
      </w:r>
    </w:p>
    <w:p w14:paraId="05D34397" w14:textId="77777777" w:rsidR="003E09DF" w:rsidRPr="006F74DB" w:rsidRDefault="00BD3142" w:rsidP="003E09DF">
      <w:pPr>
        <w:pStyle w:val="Title2"/>
        <w:rPr>
          <w:sz w:val="32"/>
          <w:szCs w:val="32"/>
        </w:rPr>
      </w:pPr>
      <w:bookmarkStart w:id="46" w:name="_Toc183983174"/>
      <w:bookmarkEnd w:id="44"/>
      <w:bookmarkEnd w:id="45"/>
      <w:r w:rsidRPr="006F74DB">
        <w:rPr>
          <w:sz w:val="32"/>
          <w:szCs w:val="32"/>
        </w:rPr>
        <w:lastRenderedPageBreak/>
        <w:t>4</w:t>
      </w:r>
      <w:r w:rsidR="003E09DF" w:rsidRPr="006F74DB">
        <w:rPr>
          <w:sz w:val="32"/>
          <w:szCs w:val="32"/>
        </w:rPr>
        <w:t xml:space="preserve">.  </w:t>
      </w:r>
      <w:r w:rsidR="008F2023" w:rsidRPr="006F74DB">
        <w:rPr>
          <w:sz w:val="32"/>
          <w:szCs w:val="32"/>
        </w:rPr>
        <w:t xml:space="preserve">Suggested </w:t>
      </w:r>
      <w:r w:rsidR="004D74F4" w:rsidRPr="006F74DB">
        <w:rPr>
          <w:sz w:val="32"/>
          <w:szCs w:val="32"/>
        </w:rPr>
        <w:t>Recommendations</w:t>
      </w:r>
      <w:bookmarkEnd w:id="46"/>
    </w:p>
    <w:p w14:paraId="14D49D19" w14:textId="77777777" w:rsidR="00B0200F" w:rsidRPr="006F74DB" w:rsidRDefault="00B0200F" w:rsidP="00B0200F">
      <w:pPr>
        <w:pStyle w:val="absatzschattenbericht"/>
        <w:rPr>
          <w:lang w:val="en-GB"/>
        </w:rPr>
      </w:pPr>
    </w:p>
    <w:p w14:paraId="3B9B8620" w14:textId="77777777" w:rsidR="001A19D7" w:rsidRPr="006F74DB" w:rsidRDefault="001A19D7" w:rsidP="00BD3142">
      <w:pPr>
        <w:pStyle w:val="absatzschattenbericht"/>
        <w:rPr>
          <w:b/>
          <w:i/>
          <w:iCs/>
          <w:sz w:val="26"/>
          <w:szCs w:val="26"/>
          <w:lang w:val="en-GB"/>
        </w:rPr>
      </w:pPr>
      <w:r w:rsidRPr="006F74DB">
        <w:rPr>
          <w:i/>
          <w:iCs/>
          <w:sz w:val="26"/>
          <w:szCs w:val="26"/>
          <w:lang w:val="en-GB"/>
        </w:rPr>
        <w:t xml:space="preserve">The Rapporteurs respectfully suggest that, with respect to the treatment of intersex persons in </w:t>
      </w:r>
      <w:r w:rsidR="00210772">
        <w:rPr>
          <w:i/>
          <w:iCs/>
          <w:sz w:val="26"/>
          <w:szCs w:val="26"/>
          <w:lang w:val="en-GB"/>
        </w:rPr>
        <w:t>Norway</w:t>
      </w:r>
      <w:r w:rsidRPr="006F74DB">
        <w:rPr>
          <w:i/>
          <w:iCs/>
          <w:sz w:val="26"/>
          <w:szCs w:val="26"/>
          <w:lang w:val="en-GB"/>
        </w:rPr>
        <w:t xml:space="preserve">, the Committee includes the following measures in their recommendations to the </w:t>
      </w:r>
      <w:r w:rsidR="00AB10C2">
        <w:rPr>
          <w:i/>
          <w:iCs/>
          <w:sz w:val="26"/>
          <w:szCs w:val="26"/>
          <w:lang w:val="en-GB"/>
        </w:rPr>
        <w:t>Norwegian</w:t>
      </w:r>
      <w:r w:rsidRPr="006F74DB">
        <w:rPr>
          <w:i/>
          <w:iCs/>
          <w:sz w:val="26"/>
          <w:szCs w:val="26"/>
          <w:lang w:val="en-GB"/>
        </w:rPr>
        <w:t xml:space="preserve"> Government (in line with this Committee’s previous recommendations on IGM practices).</w:t>
      </w:r>
    </w:p>
    <w:p w14:paraId="58753C63" w14:textId="77777777" w:rsidR="001A19D7" w:rsidRPr="006F74DB" w:rsidRDefault="001A19D7" w:rsidP="001A19D7">
      <w:pPr>
        <w:pStyle w:val="absatzschattenbericht"/>
        <w:rPr>
          <w:sz w:val="12"/>
          <w:szCs w:val="12"/>
          <w:highlight w:val="yellow"/>
          <w:lang w:val="en-GB"/>
        </w:rPr>
      </w:pPr>
    </w:p>
    <w:p w14:paraId="249A75BD" w14:textId="77777777" w:rsidR="001A19D7" w:rsidRPr="006F74DB" w:rsidRDefault="001A19D7" w:rsidP="001A19D7">
      <w:pPr>
        <w:pStyle w:val="absatzschattenbericht"/>
        <w:rPr>
          <w:b/>
          <w:sz w:val="28"/>
          <w:szCs w:val="28"/>
          <w:lang w:val="en-GB"/>
        </w:rPr>
      </w:pPr>
      <w:r w:rsidRPr="006F74DB">
        <w:rPr>
          <w:b/>
          <w:sz w:val="28"/>
          <w:szCs w:val="28"/>
          <w:lang w:val="en-GB"/>
        </w:rPr>
        <w:t>Harmful practices: Intersex children (art. 24(3))</w:t>
      </w:r>
    </w:p>
    <w:p w14:paraId="54A389FB" w14:textId="77777777" w:rsidR="001A19D7" w:rsidRPr="006C0761" w:rsidRDefault="001A19D7" w:rsidP="006C0761">
      <w:pPr>
        <w:pStyle w:val="absatzschattenbericht"/>
        <w:rPr>
          <w:bCs/>
          <w:sz w:val="28"/>
          <w:szCs w:val="28"/>
          <w:lang w:val="en-GB"/>
        </w:rPr>
      </w:pPr>
      <w:r w:rsidRPr="006C0761">
        <w:rPr>
          <w:bCs/>
          <w:sz w:val="28"/>
          <w:szCs w:val="28"/>
          <w:lang w:val="en-GB"/>
        </w:rPr>
        <w:t xml:space="preserve">The Committee takes note of </w:t>
      </w:r>
      <w:r w:rsidR="006C0761" w:rsidRPr="006C0761">
        <w:rPr>
          <w:bCs/>
          <w:sz w:val="28"/>
          <w:szCs w:val="28"/>
          <w:lang w:val="en-GB"/>
        </w:rPr>
        <w:t>the State party’s commitment to protect intersex children from violence and harmful practices.</w:t>
      </w:r>
      <w:r w:rsidR="00F46335" w:rsidRPr="006C0761">
        <w:rPr>
          <w:bCs/>
          <w:sz w:val="28"/>
          <w:szCs w:val="28"/>
          <w:lang w:val="en-GB"/>
        </w:rPr>
        <w:t xml:space="preserve"> </w:t>
      </w:r>
      <w:r w:rsidRPr="006C0761">
        <w:rPr>
          <w:bCs/>
          <w:sz w:val="28"/>
          <w:szCs w:val="28"/>
          <w:lang w:val="en-GB"/>
        </w:rPr>
        <w:t>However, it remains seriously concerned about persisting cases of medically unnecessary and irreversible surgery and other treatment on intersex children without their informed consent, which can cause severe suffering, and the lack of redress and compensation in such cases.</w:t>
      </w:r>
    </w:p>
    <w:p w14:paraId="20F15679" w14:textId="77777777" w:rsidR="001A19D7" w:rsidRPr="006F74DB" w:rsidRDefault="001A19D7" w:rsidP="001A19D7">
      <w:pPr>
        <w:pStyle w:val="absatzschattenbericht"/>
        <w:rPr>
          <w:b/>
          <w:sz w:val="28"/>
          <w:szCs w:val="28"/>
          <w:lang w:val="en-GB"/>
        </w:rPr>
      </w:pPr>
      <w:r w:rsidRPr="006F74DB">
        <w:rPr>
          <w:b/>
          <w:sz w:val="28"/>
          <w:szCs w:val="28"/>
          <w:lang w:val="en-GB"/>
        </w:rPr>
        <w:t>With reference to the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w:t>
      </w:r>
    </w:p>
    <w:p w14:paraId="658F3633" w14:textId="77777777" w:rsidR="001A19D7" w:rsidRPr="00F54395" w:rsidRDefault="006C0761" w:rsidP="001A19D7">
      <w:pPr>
        <w:pStyle w:val="absatzschattenbericht"/>
        <w:numPr>
          <w:ilvl w:val="0"/>
          <w:numId w:val="24"/>
        </w:numPr>
        <w:rPr>
          <w:b/>
          <w:sz w:val="28"/>
          <w:szCs w:val="28"/>
          <w:lang w:val="en-GB"/>
        </w:rPr>
      </w:pPr>
      <w:r w:rsidRPr="00F54395">
        <w:rPr>
          <w:b/>
          <w:sz w:val="28"/>
          <w:szCs w:val="28"/>
          <w:lang w:val="en-GB"/>
        </w:rPr>
        <w:t xml:space="preserve">Explicitly prohibit and </w:t>
      </w:r>
      <w:r w:rsidR="000B0FC3" w:rsidRPr="00F54395">
        <w:rPr>
          <w:b/>
          <w:sz w:val="28"/>
          <w:szCs w:val="28"/>
          <w:lang w:val="en-GB"/>
        </w:rPr>
        <w:t>adequately sanction</w:t>
      </w:r>
      <w:r w:rsidR="001A19D7" w:rsidRPr="00F54395">
        <w:rPr>
          <w:b/>
          <w:sz w:val="28"/>
          <w:szCs w:val="28"/>
          <w:lang w:val="en-GB"/>
        </w:rPr>
        <w:t xml:space="preserve"> the performance of </w:t>
      </w:r>
      <w:r w:rsidR="000B0FC3" w:rsidRPr="00F54395">
        <w:rPr>
          <w:b/>
          <w:sz w:val="28"/>
          <w:szCs w:val="28"/>
          <w:lang w:val="en-GB"/>
        </w:rPr>
        <w:t>involuntary, deferrable</w:t>
      </w:r>
      <w:r w:rsidR="001A19D7" w:rsidRPr="00F54395">
        <w:rPr>
          <w:b/>
          <w:sz w:val="28"/>
          <w:szCs w:val="28"/>
          <w:lang w:val="en-GB"/>
        </w:rPr>
        <w:t xml:space="preserve"> medical or surgical treatment on intersex children, and provide reparations for children who received unnecessary treatment, including by extending the statute of limitations.</w:t>
      </w:r>
    </w:p>
    <w:p w14:paraId="421F1EFD" w14:textId="77777777" w:rsidR="001A19D7" w:rsidRPr="00F54395" w:rsidRDefault="00F54395" w:rsidP="001A19D7">
      <w:pPr>
        <w:pStyle w:val="absatzschattenbericht"/>
        <w:numPr>
          <w:ilvl w:val="0"/>
          <w:numId w:val="24"/>
        </w:numPr>
        <w:rPr>
          <w:b/>
          <w:sz w:val="28"/>
          <w:szCs w:val="28"/>
          <w:lang w:val="en-GB"/>
        </w:rPr>
      </w:pPr>
      <w:r w:rsidRPr="00F54395">
        <w:rPr>
          <w:b/>
          <w:sz w:val="28"/>
          <w:szCs w:val="28"/>
          <w:lang w:val="en-GB"/>
        </w:rPr>
        <w:t xml:space="preserve">Provide </w:t>
      </w:r>
      <w:r w:rsidR="001A19D7" w:rsidRPr="00F54395">
        <w:rPr>
          <w:b/>
          <w:sz w:val="28"/>
          <w:szCs w:val="28"/>
          <w:lang w:val="en-GB"/>
        </w:rPr>
        <w:t xml:space="preserve">families with intersex children with adequate </w:t>
      </w:r>
      <w:r w:rsidRPr="00F54395">
        <w:rPr>
          <w:b/>
          <w:sz w:val="28"/>
          <w:szCs w:val="28"/>
          <w:lang w:val="en-GB"/>
        </w:rPr>
        <w:t xml:space="preserve">psychosocial </w:t>
      </w:r>
      <w:r w:rsidR="001A19D7" w:rsidRPr="00F54395">
        <w:rPr>
          <w:b/>
          <w:sz w:val="28"/>
          <w:szCs w:val="28"/>
          <w:lang w:val="en-GB"/>
        </w:rPr>
        <w:t xml:space="preserve">counselling and </w:t>
      </w:r>
      <w:r w:rsidRPr="00F54395">
        <w:rPr>
          <w:b/>
          <w:sz w:val="28"/>
          <w:szCs w:val="28"/>
          <w:lang w:val="en-GB"/>
        </w:rPr>
        <w:t xml:space="preserve">peer </w:t>
      </w:r>
      <w:r w:rsidR="001A19D7" w:rsidRPr="00F54395">
        <w:rPr>
          <w:b/>
          <w:sz w:val="28"/>
          <w:szCs w:val="28"/>
          <w:lang w:val="en-GB"/>
        </w:rPr>
        <w:t>support.</w:t>
      </w:r>
    </w:p>
    <w:p w14:paraId="3EF4AF4B" w14:textId="77777777" w:rsidR="001A19D7" w:rsidRPr="00F54395" w:rsidRDefault="001A19D7" w:rsidP="001A19D7">
      <w:pPr>
        <w:pStyle w:val="absatzschattenbericht"/>
        <w:numPr>
          <w:ilvl w:val="0"/>
          <w:numId w:val="24"/>
        </w:numPr>
        <w:rPr>
          <w:b/>
          <w:sz w:val="28"/>
          <w:szCs w:val="28"/>
          <w:lang w:val="en-GB"/>
        </w:rPr>
      </w:pPr>
      <w:r w:rsidRPr="00F54395">
        <w:rPr>
          <w:b/>
          <w:sz w:val="28"/>
          <w:szCs w:val="28"/>
          <w:lang w:val="en-GB"/>
        </w:rPr>
        <w:t xml:space="preserve">Systematically collect data with a view to understanding the extent of these harmful practices so that children at risk can be more easily identified and their abuse prevented. </w:t>
      </w:r>
    </w:p>
    <w:p w14:paraId="4BF5B2DA" w14:textId="77777777" w:rsidR="009C6194" w:rsidRDefault="009C6194" w:rsidP="009C6194">
      <w:pPr>
        <w:pStyle w:val="absatzschattenbericht"/>
        <w:rPr>
          <w:lang w:val="en-GB"/>
        </w:rPr>
      </w:pPr>
    </w:p>
    <w:p w14:paraId="2BDB3089" w14:textId="77777777" w:rsidR="00F54395" w:rsidRPr="006F74DB" w:rsidRDefault="00F54395" w:rsidP="009C6194">
      <w:pPr>
        <w:pStyle w:val="absatzschattenbericht"/>
        <w:rPr>
          <w:lang w:val="en-GB"/>
        </w:rPr>
      </w:pPr>
    </w:p>
    <w:p w14:paraId="12E1BB5C" w14:textId="77777777" w:rsidR="009C6194" w:rsidRPr="006F74DB" w:rsidRDefault="009C6194" w:rsidP="009C6194">
      <w:pPr>
        <w:pStyle w:val="absatzschattenbericht"/>
        <w:rPr>
          <w:lang w:val="en-GB"/>
        </w:rPr>
      </w:pPr>
      <w:r w:rsidRPr="006F74DB">
        <w:rPr>
          <w:lang w:val="en-GB"/>
        </w:rPr>
        <w:t>Thank you for your consideration and kind regards,</w:t>
      </w:r>
    </w:p>
    <w:p w14:paraId="78DD65C0" w14:textId="77777777" w:rsidR="009C6194" w:rsidRPr="006F74DB" w:rsidRDefault="009C6194" w:rsidP="009C6194">
      <w:pPr>
        <w:pStyle w:val="absatzschattenbericht"/>
        <w:rPr>
          <w:lang w:val="en-GB"/>
        </w:rPr>
      </w:pPr>
      <w:r w:rsidRPr="006F74DB">
        <w:rPr>
          <w:lang w:val="en-GB"/>
        </w:rPr>
        <w:t>Daniela Truffer &amp; Markus Bauer (StopIGM.org / Zwischengeschlecht.org)</w:t>
      </w:r>
    </w:p>
    <w:p w14:paraId="609572D4" w14:textId="77777777" w:rsidR="009C6194" w:rsidRPr="006F74DB" w:rsidRDefault="009C6194" w:rsidP="002B0370">
      <w:pPr>
        <w:pStyle w:val="absatzschattenbericht"/>
        <w:rPr>
          <w:lang w:val="en-GB"/>
        </w:rPr>
      </w:pPr>
    </w:p>
    <w:sectPr w:rsidR="009C6194" w:rsidRPr="006F74DB" w:rsidSect="00FC2867">
      <w:head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F871F" w14:textId="77777777" w:rsidR="005F4301" w:rsidRDefault="005F4301" w:rsidP="005541D9">
      <w:pPr>
        <w:spacing w:after="0" w:line="240" w:lineRule="auto"/>
      </w:pPr>
      <w:r>
        <w:separator/>
      </w:r>
    </w:p>
  </w:endnote>
  <w:endnote w:type="continuationSeparator" w:id="0">
    <w:p w14:paraId="7792ECD4" w14:textId="77777777" w:rsidR="005F4301" w:rsidRDefault="005F4301" w:rsidP="00554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Baskerville">
    <w:altName w:val="Baskerville Old Face"/>
    <w:charset w:val="00"/>
    <w:family w:val="roman"/>
    <w:pitch w:val="variable"/>
    <w:sig w:usb0="80000067" w:usb1="02000000"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Bold">
    <w:altName w:val="Yu Gothic"/>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skerville-SemiBold">
    <w:altName w:val="Baskerville Old Face"/>
    <w:charset w:val="00"/>
    <w:family w:val="roman"/>
    <w:pitch w:val="variable"/>
    <w:sig w:usb0="80000067" w:usb1="02000040" w:usb2="00000000" w:usb3="00000000" w:csb0="0000019F" w:csb1="00000000"/>
  </w:font>
  <w:font w:name="Baskerville-Bold">
    <w:altName w:val="Cambria Math"/>
    <w:charset w:val="80"/>
    <w:family w:val="auto"/>
    <w:pitch w:val="default"/>
  </w:font>
  <w:font w:name="Baskerville-SemiBoldItalic">
    <w:altName w:val="Baskerville"/>
    <w:charset w:val="00"/>
    <w:family w:val="script"/>
    <w:pitch w:val="default"/>
  </w:font>
  <w:font w:name="DengXian">
    <w:altName w:val="等线"/>
    <w:panose1 w:val="02010600030101010101"/>
    <w:charset w:val="86"/>
    <w:family w:val="auto"/>
    <w:pitch w:val="variable"/>
    <w:sig w:usb0="A00002BF" w:usb1="38CF7CFA" w:usb2="00000016" w:usb3="00000000" w:csb0="0004000F" w:csb1="00000000"/>
  </w:font>
  <w:font w:name="MinionPro">
    <w:altName w:val="Cambri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21A0A" w14:textId="77777777" w:rsidR="00BD3142" w:rsidRDefault="00BD3142" w:rsidP="003E391D">
    <w:pPr>
      <w:spacing w:after="0" w:line="240" w:lineRule="auto"/>
      <w:jc w:val="right"/>
      <w:rPr>
        <w:rFonts w:ascii="Century Gothic" w:hAnsi="Century Gothic" w:cs="Century Gothic"/>
        <w:color w:val="660066"/>
        <w:sz w:val="24"/>
      </w:rPr>
    </w:pPr>
  </w:p>
  <w:p w14:paraId="158DDCB5" w14:textId="77777777" w:rsidR="00BD3142" w:rsidRDefault="00BD3142"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c/o Zwischengeschlecht.org ·  P.O.Box 1318 ·  CH-8031 Zurich ·  Switzerland</w:t>
    </w:r>
  </w:p>
  <w:p w14:paraId="7E58D4F5" w14:textId="77777777" w:rsidR="00BD3142" w:rsidRDefault="00BD3142" w:rsidP="003E391D">
    <w:pPr>
      <w:spacing w:after="0" w:line="240" w:lineRule="auto"/>
      <w:jc w:val="right"/>
      <w:rPr>
        <w:rFonts w:ascii="Century Gothic" w:hAnsi="Century Gothic" w:cs="Century Gothic"/>
        <w:color w:val="660066"/>
        <w:sz w:val="24"/>
      </w:rPr>
    </w:pPr>
    <w:r>
      <w:rPr>
        <w:rFonts w:ascii="Century Gothic" w:hAnsi="Century Gothic" w:cs="Century Gothic"/>
        <w:color w:val="660066"/>
        <w:sz w:val="24"/>
      </w:rPr>
      <w:t>info@zwischengeschlecht.org</w:t>
    </w:r>
  </w:p>
  <w:p w14:paraId="30EEA69A" w14:textId="77777777" w:rsidR="00BD3142" w:rsidRPr="003E391D" w:rsidRDefault="00BD3142" w:rsidP="003E391D">
    <w:pPr>
      <w:spacing w:after="0" w:line="240" w:lineRule="auto"/>
      <w:jc w:val="right"/>
    </w:pPr>
    <w:r>
      <w:rPr>
        <w:rFonts w:ascii="Century Gothic" w:hAnsi="Century Gothic" w:cs="Century Gothic"/>
        <w:color w:val="660066"/>
        <w:sz w:val="24"/>
      </w:rPr>
      <w:t>Mobile +41 76 398 06 50 ·  https://stopigm.org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C913" w14:textId="77777777" w:rsidR="005F4301" w:rsidRDefault="005F4301" w:rsidP="005541D9">
      <w:pPr>
        <w:spacing w:after="0" w:line="240" w:lineRule="auto"/>
      </w:pPr>
      <w:r>
        <w:separator/>
      </w:r>
    </w:p>
  </w:footnote>
  <w:footnote w:type="continuationSeparator" w:id="0">
    <w:p w14:paraId="5C90813E" w14:textId="77777777" w:rsidR="005F4301" w:rsidRDefault="005F4301" w:rsidP="005541D9">
      <w:pPr>
        <w:spacing w:after="0" w:line="240" w:lineRule="auto"/>
      </w:pPr>
      <w:r>
        <w:continuationSeparator/>
      </w:r>
    </w:p>
  </w:footnote>
  <w:footnote w:id="1">
    <w:p w14:paraId="690651CC" w14:textId="77777777" w:rsidR="00D03DB6" w:rsidRDefault="00D03DB6" w:rsidP="00D03DB6">
      <w:pPr>
        <w:pStyle w:val="fussnoteschattenbericht"/>
      </w:pPr>
      <w:r w:rsidRPr="007B1662">
        <w:footnoteRef/>
      </w:r>
      <w:r w:rsidRPr="007B1662">
        <w:tab/>
      </w:r>
      <w:hyperlink r:id="rId1" w:history="1">
        <w:r w:rsidRPr="008A0855">
          <w:rPr>
            <w:rStyle w:val="Hyperlink"/>
          </w:rPr>
          <w:t>https://stopigm.org/transcript-intersex-qa-crc-geneva-2015/</w:t>
        </w:r>
      </w:hyperlink>
      <w:r>
        <w:t xml:space="preserve"> </w:t>
      </w:r>
    </w:p>
  </w:footnote>
  <w:footnote w:id="2">
    <w:p w14:paraId="327CF606" w14:textId="77777777" w:rsidR="00E00BD8" w:rsidRDefault="00E00BD8" w:rsidP="00B74A3F">
      <w:pPr>
        <w:pStyle w:val="fussnoteschattenbericht"/>
      </w:pPr>
      <w:r w:rsidRPr="007B1662">
        <w:footnoteRef/>
      </w:r>
      <w:r w:rsidRPr="007B1662">
        <w:tab/>
      </w:r>
      <w:r>
        <w:t xml:space="preserve">In alphabetic order by country: </w:t>
      </w:r>
      <w:r w:rsidRPr="00E00BD8">
        <w:rPr>
          <w:i/>
          <w:iCs/>
          <w:lang w:val="de-DE"/>
        </w:rPr>
        <w:t>Austria</w:t>
      </w:r>
      <w:r w:rsidRPr="00E00BD8">
        <w:rPr>
          <w:lang w:val="de-DE"/>
        </w:rPr>
        <w:t xml:space="preserve"> (CAT/C/AUT/CO/6, paras 44-45; CRC/C/AUT/CO/5-6, para 27(a)-(b); CRPD/C/AUT/CO/2-3, paras 37-38, 69-70; CAT/C/AUT/CO/7, paras 42+43), </w:t>
      </w:r>
      <w:r w:rsidRPr="00E00BD8">
        <w:rPr>
          <w:i/>
          <w:iCs/>
          <w:lang w:val="de-DE"/>
        </w:rPr>
        <w:t>Belgium</w:t>
      </w:r>
      <w:r w:rsidRPr="00E00BD8">
        <w:rPr>
          <w:lang w:val="de-DE"/>
        </w:rPr>
        <w:t xml:space="preserve"> (CRC/C/BEL/CO/5-6, paras 25(b)+26(e); CCPR/C/BEL/CO/6, paras 21-22; CEDAW/C/BEL/CO/8, paras 23(c)+24(c), 45(c), 46(c); CRPD/C/BEL/CO/2-3, paras 34(c)+35(c)), </w:t>
      </w:r>
      <w:r w:rsidRPr="00E00BD8">
        <w:rPr>
          <w:i/>
          <w:iCs/>
          <w:lang w:val="de-DE"/>
        </w:rPr>
        <w:t>Bulgaria</w:t>
      </w:r>
      <w:r w:rsidRPr="00E00BD8">
        <w:rPr>
          <w:lang w:val="de-DE"/>
        </w:rPr>
        <w:t xml:space="preserve"> (CRC/C/BGR/CO/6-7, para 27(b)-(c)), </w:t>
      </w:r>
      <w:r w:rsidRPr="00E00BD8">
        <w:rPr>
          <w:i/>
          <w:iCs/>
          <w:lang w:val="de-DE"/>
        </w:rPr>
        <w:t>Croatia</w:t>
      </w:r>
      <w:r w:rsidRPr="00E00BD8">
        <w:rPr>
          <w:lang w:val="de-DE"/>
        </w:rPr>
        <w:t xml:space="preserve"> (</w:t>
      </w:r>
      <w:r w:rsidRPr="00E00BD8">
        <w:t>CRC/C/HRV/CO/5-6, para 26(b)+(c)</w:t>
      </w:r>
      <w:r w:rsidRPr="00E00BD8">
        <w:rPr>
          <w:lang w:val="de-DE"/>
        </w:rPr>
        <w:t xml:space="preserve">), </w:t>
      </w:r>
      <w:r w:rsidRPr="00E00BD8">
        <w:rPr>
          <w:i/>
          <w:iCs/>
          <w:lang w:val="de-DE"/>
        </w:rPr>
        <w:t>Czech Republic</w:t>
      </w:r>
      <w:r w:rsidRPr="00E00BD8">
        <w:rPr>
          <w:lang w:val="de-DE"/>
        </w:rPr>
        <w:t xml:space="preserve"> (</w:t>
      </w:r>
      <w:r w:rsidRPr="00E00BD8">
        <w:t>CRC/C/CZE/CO/5-6, para 28</w:t>
      </w:r>
      <w:r w:rsidRPr="00E00BD8">
        <w:rPr>
          <w:lang w:val="de-DE"/>
        </w:rPr>
        <w:t xml:space="preserve">), </w:t>
      </w:r>
      <w:r w:rsidR="00B74A3F" w:rsidRPr="00B74A3F">
        <w:rPr>
          <w:i/>
          <w:iCs/>
          <w:lang w:val="de-DE"/>
        </w:rPr>
        <w:t>Denmark</w:t>
      </w:r>
      <w:r w:rsidR="00B74A3F" w:rsidRPr="00B74A3F">
        <w:rPr>
          <w:lang w:val="de-DE"/>
        </w:rPr>
        <w:t xml:space="preserve"> (CAT/C/DNK/CO/6-7, paras 42-43; CRC/C/DNK/CO/5, paras 24+12; CAT/C/DNK/CO/8, paras 32+33), </w:t>
      </w:r>
      <w:r w:rsidRPr="00E00BD8">
        <w:rPr>
          <w:i/>
          <w:iCs/>
          <w:lang w:val="de-DE"/>
        </w:rPr>
        <w:t>Finland</w:t>
      </w:r>
      <w:r w:rsidRPr="00E00BD8">
        <w:rPr>
          <w:lang w:val="de-DE"/>
        </w:rPr>
        <w:t xml:space="preserve"> (CCPR/C/FIN/CO/7, paras 20+21(c); CEDAW/C/FIN/CO/8, paras 21(b)+22(b); CRC/C/FIN/CO/5-6, paras</w:t>
      </w:r>
      <w:r>
        <w:rPr>
          <w:lang w:val="de-DE"/>
        </w:rPr>
        <w:t> </w:t>
      </w:r>
      <w:r w:rsidRPr="00E00BD8">
        <w:rPr>
          <w:lang w:val="de-DE"/>
        </w:rPr>
        <w:t xml:space="preserve">24(a)+(b); CAT/C/FIN/CO/8, paras 44+45(b)-(d)), </w:t>
      </w:r>
      <w:r w:rsidRPr="00E00BD8">
        <w:rPr>
          <w:i/>
          <w:iCs/>
          <w:lang w:val="de-DE"/>
        </w:rPr>
        <w:t>France</w:t>
      </w:r>
      <w:r w:rsidRPr="00E00BD8">
        <w:rPr>
          <w:lang w:val="de-DE"/>
        </w:rPr>
        <w:t xml:space="preserve"> (CRC/C/FRA/CO/5, paras 47-48; CAT/C/FRA/CO/7, paras 34-35; CEDAW/C/FRA/CO/7-8, paras 18e-f+19e-f; CRPD/C/FRA/CO/1, paras</w:t>
      </w:r>
      <w:r>
        <w:rPr>
          <w:lang w:val="de-DE"/>
        </w:rPr>
        <w:t> </w:t>
      </w:r>
      <w:r w:rsidRPr="00E00BD8">
        <w:rPr>
          <w:lang w:val="de-DE"/>
        </w:rPr>
        <w:t xml:space="preserve">36(c)+37(c); CRC/C/FRA/CO/6-7, paras 30(b)+(c)), </w:t>
      </w:r>
      <w:r w:rsidRPr="00E00BD8">
        <w:rPr>
          <w:i/>
          <w:iCs/>
          <w:lang w:val="de-DE"/>
        </w:rPr>
        <w:t>Germany</w:t>
      </w:r>
      <w:r w:rsidRPr="00E00BD8">
        <w:rPr>
          <w:lang w:val="de-DE"/>
        </w:rPr>
        <w:t xml:space="preserve"> (CAT/C/DEU/CO/5, para 20; CRPD/C/DEU/CO/1, paras 37-38; CEDAW/C/DEU/CO/7-8, paras 23-24; CCPR/C/DEU/CO/7, paras 20+21; CRC/C/DEU/CO/5-6, para 24(c); CRPD/C/DEU/CO/2-3, paras 39-40), </w:t>
      </w:r>
      <w:r w:rsidRPr="00E00BD8">
        <w:rPr>
          <w:i/>
          <w:iCs/>
          <w:lang w:val="de-DE"/>
        </w:rPr>
        <w:t>Greece</w:t>
      </w:r>
      <w:r w:rsidRPr="00E00BD8">
        <w:rPr>
          <w:lang w:val="de-DE"/>
        </w:rPr>
        <w:t xml:space="preserve"> (CRC/C/GRC/CO/4-6, para</w:t>
      </w:r>
      <w:r>
        <w:rPr>
          <w:lang w:val="de-DE"/>
        </w:rPr>
        <w:t> </w:t>
      </w:r>
      <w:r w:rsidRPr="00E00BD8">
        <w:rPr>
          <w:lang w:val="de-DE"/>
        </w:rPr>
        <w:t xml:space="preserve">28(c)), </w:t>
      </w:r>
      <w:r w:rsidRPr="00E00BD8">
        <w:rPr>
          <w:i/>
          <w:iCs/>
          <w:lang w:val="de-DE"/>
        </w:rPr>
        <w:t>Ireland</w:t>
      </w:r>
      <w:r w:rsidRPr="00E00BD8">
        <w:rPr>
          <w:lang w:val="de-DE"/>
        </w:rPr>
        <w:t xml:space="preserve"> (CRC/C/IRL/CO/3-4, paras 39-40; CEDAW/C/IRL/CO/6-7, paras 24-25; CCPR/C/IRL/CO/5, paras 19+20(b)), </w:t>
      </w:r>
      <w:r w:rsidRPr="00E00BD8">
        <w:rPr>
          <w:i/>
          <w:iCs/>
          <w:lang w:val="de-DE"/>
        </w:rPr>
        <w:t>Iceland</w:t>
      </w:r>
      <w:r w:rsidRPr="00E00BD8">
        <w:rPr>
          <w:lang w:val="de-DE"/>
        </w:rPr>
        <w:t xml:space="preserve"> (CRC/C/ISL/CO/5-6, para 26(b)+(c); CCPR/C/ISL/CO/6, paras</w:t>
      </w:r>
      <w:r>
        <w:rPr>
          <w:lang w:val="de-DE"/>
        </w:rPr>
        <w:t> </w:t>
      </w:r>
      <w:r w:rsidRPr="00E00BD8">
        <w:rPr>
          <w:lang w:val="de-DE"/>
        </w:rPr>
        <w:t xml:space="preserve">13+14), </w:t>
      </w:r>
      <w:r w:rsidRPr="00E00BD8">
        <w:rPr>
          <w:i/>
          <w:iCs/>
          <w:lang w:val="de-DE"/>
        </w:rPr>
        <w:t>Italy</w:t>
      </w:r>
      <w:r w:rsidRPr="00E00BD8">
        <w:rPr>
          <w:lang w:val="de-DE"/>
        </w:rPr>
        <w:t xml:space="preserve"> (CRPD/C/ITA/CO/1, paras 45-46; CRC/C/ITA/CO/5-6, para 23), </w:t>
      </w:r>
      <w:r w:rsidRPr="00E00BD8">
        <w:rPr>
          <w:i/>
          <w:iCs/>
          <w:lang w:val="de-DE"/>
        </w:rPr>
        <w:t>Liechtenstein</w:t>
      </w:r>
      <w:r w:rsidRPr="00E00BD8">
        <w:rPr>
          <w:lang w:val="de-DE"/>
        </w:rPr>
        <w:t xml:space="preserve"> (CEDAW/C/LIE/CO/5, paras 35+36(c); CRC/C/LIE/CO/3-4, para 24 (b)+(c)), </w:t>
      </w:r>
      <w:r w:rsidRPr="00E00BD8">
        <w:rPr>
          <w:i/>
          <w:iCs/>
          <w:lang w:val="de-DE"/>
        </w:rPr>
        <w:t>Luxembourg</w:t>
      </w:r>
      <w:r w:rsidRPr="00E00BD8">
        <w:rPr>
          <w:lang w:val="de-DE"/>
        </w:rPr>
        <w:t xml:space="preserve"> (CEDAW/C/LUX/CO/6-7, paras 27(b)+28(b)-(c), 45(e)+46(e); CRC/C/LUX/CO/5-6, paras 13+19; CCPR/C/LUX/CO/4, paras 11+12; CAT/C/LUX/CO/8, paras 35+36), </w:t>
      </w:r>
      <w:r w:rsidRPr="007E7B2D">
        <w:rPr>
          <w:i/>
          <w:iCs/>
          <w:lang w:val="de-DE"/>
        </w:rPr>
        <w:t>Malta</w:t>
      </w:r>
      <w:r w:rsidRPr="00E00BD8">
        <w:rPr>
          <w:lang w:val="de-DE"/>
        </w:rPr>
        <w:t xml:space="preserve"> (CRC/C/MLT/CO/3-6,</w:t>
      </w:r>
      <w:r>
        <w:rPr>
          <w:lang w:val="de-DE"/>
        </w:rPr>
        <w:br/>
      </w:r>
      <w:r w:rsidRPr="00E00BD8">
        <w:rPr>
          <w:lang w:val="de-DE"/>
        </w:rPr>
        <w:t>paras</w:t>
      </w:r>
      <w:r>
        <w:rPr>
          <w:lang w:val="de-DE"/>
        </w:rPr>
        <w:t> </w:t>
      </w:r>
      <w:r w:rsidRPr="00E00BD8">
        <w:rPr>
          <w:lang w:val="de-DE"/>
        </w:rPr>
        <w:t xml:space="preserve">28-29), </w:t>
      </w:r>
      <w:r w:rsidRPr="00E00BD8">
        <w:rPr>
          <w:i/>
          <w:iCs/>
          <w:lang w:val="de-DE"/>
        </w:rPr>
        <w:t>Netherlands</w:t>
      </w:r>
      <w:r w:rsidRPr="00E00BD8">
        <w:rPr>
          <w:lang w:val="de-DE"/>
        </w:rPr>
        <w:t xml:space="preserve"> (CEDAW/C/NLD/CO/6, paras 21-22, 23-24; CAT/C/NLD/CO/7, paras 52-53; CRC/C/NLD/CO/5-6, para 23, CRPD/C/NLD/CO/1, paras 39(a)-(b)+40(a)-(b)), </w:t>
      </w:r>
      <w:r w:rsidRPr="00E00BD8">
        <w:rPr>
          <w:i/>
          <w:iCs/>
          <w:lang w:val="de-DE"/>
        </w:rPr>
        <w:t>North-Macedonia</w:t>
      </w:r>
      <w:r w:rsidRPr="00E00BD8">
        <w:rPr>
          <w:lang w:val="de-DE"/>
        </w:rPr>
        <w:t xml:space="preserve"> (CRC/C/MKD/CO/3-6, 26(b)), </w:t>
      </w:r>
      <w:r w:rsidRPr="00E00BD8">
        <w:rPr>
          <w:i/>
          <w:iCs/>
          <w:lang w:val="de-DE"/>
        </w:rPr>
        <w:t>Portugal</w:t>
      </w:r>
      <w:r w:rsidRPr="00E00BD8">
        <w:rPr>
          <w:lang w:val="de-DE"/>
        </w:rPr>
        <w:t xml:space="preserve"> (CRC/C/PRT/CO/5-6, para 28(b); CCPR/C/PRT/CO/5, paras 16-17), </w:t>
      </w:r>
      <w:r w:rsidR="00A76D5A" w:rsidRPr="00E00BD8">
        <w:rPr>
          <w:i/>
          <w:iCs/>
          <w:lang w:val="de-DE"/>
        </w:rPr>
        <w:t>Spain</w:t>
      </w:r>
      <w:r w:rsidR="00A76D5A" w:rsidRPr="00E00BD8">
        <w:rPr>
          <w:lang w:val="de-DE"/>
        </w:rPr>
        <w:t xml:space="preserve"> (CRC/C/ESP/CO/5-6, para 24), </w:t>
      </w:r>
      <w:r w:rsidRPr="00E00BD8">
        <w:rPr>
          <w:i/>
          <w:iCs/>
          <w:lang w:val="de-DE"/>
        </w:rPr>
        <w:t>Sweden</w:t>
      </w:r>
      <w:r w:rsidRPr="00E00BD8">
        <w:rPr>
          <w:lang w:val="de-DE"/>
        </w:rPr>
        <w:t xml:space="preserve"> (CRC/C/SWE/CO/6-7, para 27(c)-(d); CRPD/C/SWE/CO/2-3, paras 37-38), </w:t>
      </w:r>
      <w:r w:rsidRPr="00E00BD8">
        <w:rPr>
          <w:i/>
          <w:iCs/>
          <w:lang w:val="de-DE"/>
        </w:rPr>
        <w:t>Switzerland</w:t>
      </w:r>
      <w:r w:rsidRPr="00E00BD8">
        <w:rPr>
          <w:lang w:val="de-DE"/>
        </w:rPr>
        <w:t xml:space="preserve"> (CRC/C/CHE/CO/2-4, paras 42-43; CAT/C/CHE/CO/7, para 20; CEDAW/C/CHE/CO/4-5, paras 24-25, 38-39; CCPR/C/CHE/CO/4, paras 24-25; CRC/C/CHE/CO/5-6, para</w:t>
      </w:r>
      <w:r>
        <w:rPr>
          <w:lang w:val="de-DE"/>
        </w:rPr>
        <w:t> </w:t>
      </w:r>
      <w:r w:rsidRPr="00E00BD8">
        <w:rPr>
          <w:lang w:val="de-DE"/>
        </w:rPr>
        <w:t xml:space="preserve">29(b)+(c); CRPD/C/CHE/CO/1, paras 35(c)+36(c), 10(a); CEDAW/C/CHE/CO/6, paras 55(f)+56(d); CAT/C/CHE/CO/8, paras 37-38), </w:t>
      </w:r>
      <w:r w:rsidRPr="00E00BD8">
        <w:rPr>
          <w:i/>
          <w:iCs/>
          <w:lang w:val="de-DE"/>
        </w:rPr>
        <w:t>United Kingdom</w:t>
      </w:r>
      <w:r w:rsidRPr="00E00BD8">
        <w:rPr>
          <w:lang w:val="de-DE"/>
        </w:rPr>
        <w:t xml:space="preserve"> (CRC/C/GBR/CO/5, paras 46-47; CRPD/C/GBR/CO/1, paras 10(a)-11(a), 38-41; CAT/C/GBR/CO/6, paras 64-65; CRC/C/GBR/CO/6-7, para 35(d))</w:t>
      </w:r>
      <w:r>
        <w:t xml:space="preserve"> </w:t>
      </w:r>
    </w:p>
  </w:footnote>
  <w:footnote w:id="3">
    <w:p w14:paraId="7EF701C4" w14:textId="77777777" w:rsidR="00F60101" w:rsidRDefault="00F60101" w:rsidP="00F60101">
      <w:pPr>
        <w:pStyle w:val="fussnoteschattenbericht"/>
      </w:pPr>
      <w:r w:rsidRPr="007B1662">
        <w:footnoteRef/>
      </w:r>
      <w:r w:rsidRPr="007B1662">
        <w:tab/>
      </w:r>
      <w:hyperlink r:id="rId2" w:history="1">
        <w:r w:rsidRPr="008A0855">
          <w:rPr>
            <w:rStyle w:val="Hyperlink"/>
          </w:rPr>
          <w:t>https://www.ssb.no/en/befolkning/fodte-og-dode/statistikk/fodte</w:t>
        </w:r>
      </w:hyperlink>
      <w:r>
        <w:t xml:space="preserve"> </w:t>
      </w:r>
    </w:p>
  </w:footnote>
  <w:footnote w:id="4">
    <w:p w14:paraId="650BC83E" w14:textId="77777777" w:rsidR="00F60101" w:rsidRPr="00623264" w:rsidRDefault="00F60101" w:rsidP="00F60101">
      <w:pPr>
        <w:pStyle w:val="fussnoteschattenbericht"/>
        <w:rPr>
          <w:lang w:val="en-GB"/>
        </w:rPr>
      </w:pPr>
      <w:r w:rsidRPr="007B1662">
        <w:footnoteRef/>
      </w:r>
      <w:r w:rsidRPr="007B1662">
        <w:tab/>
      </w:r>
      <w:r>
        <w:t>See 2014 CRC NGO Report Switzerland, p. 11,</w:t>
      </w:r>
      <w:r>
        <w:br/>
      </w:r>
      <w:hyperlink r:id="rId3" w:history="1">
        <w:r w:rsidRPr="008A0855">
          <w:rPr>
            <w:rStyle w:val="Hyperlink"/>
            <w:lang w:val="en-GB"/>
          </w:rPr>
          <w:t>https://intersex.shadowreport.org/public/2014-CRC-Swiss-NGO-Zwischengeschlecht-Intersex-IGM_v2.pdf</w:t>
        </w:r>
      </w:hyperlink>
      <w:r w:rsidRPr="00623264">
        <w:rPr>
          <w:lang w:val="en-GB"/>
        </w:rPr>
        <w:t xml:space="preserve"> </w:t>
      </w:r>
    </w:p>
    <w:p w14:paraId="100DDF19" w14:textId="77777777" w:rsidR="00F60101" w:rsidRDefault="00F60101" w:rsidP="00F60101">
      <w:pPr>
        <w:pStyle w:val="fussnoteschattenbericht"/>
      </w:pPr>
    </w:p>
  </w:footnote>
  <w:footnote w:id="5">
    <w:p w14:paraId="7F347D1F" w14:textId="77777777" w:rsidR="0087531B" w:rsidRDefault="0087531B" w:rsidP="0087531B">
      <w:pPr>
        <w:pStyle w:val="fussnoteschattenbericht"/>
      </w:pPr>
      <w:r w:rsidRPr="007B1662">
        <w:footnoteRef/>
      </w:r>
      <w:r w:rsidRPr="007B1662">
        <w:tab/>
        <w:t xml:space="preserve">Statement </w:t>
      </w:r>
      <w:r>
        <w:t xml:space="preserve">supported by </w:t>
      </w:r>
      <w:r w:rsidR="008F01C0">
        <w:t>Norway</w:t>
      </w:r>
      <w:r>
        <w:t xml:space="preserve"> </w:t>
      </w:r>
      <w:r w:rsidRPr="007B1662">
        <w:t xml:space="preserve">(and </w:t>
      </w:r>
      <w:r>
        <w:t xml:space="preserve">by </w:t>
      </w:r>
      <w:r w:rsidRPr="007B1662">
        <w:t>34 other States) during the 45</w:t>
      </w:r>
      <w:r w:rsidRPr="007B1662">
        <w:rPr>
          <w:vertAlign w:val="superscript"/>
        </w:rPr>
        <w:t>th</w:t>
      </w:r>
      <w:r w:rsidRPr="007B1662">
        <w:t xml:space="preserve"> Session of the Human Rights Council on 1 October 2020, </w:t>
      </w:r>
      <w:hyperlink r:id="rId4" w:history="1">
        <w:r w:rsidRPr="007B1662">
          <w:rPr>
            <w:rStyle w:val="Hyperlink"/>
          </w:rPr>
          <w:t>https://www.dfat.gov.au/international-relations/themes/human-rights/hrc-statements/45th-session-human-rights-council/joint-statement-led-austria-rights-intersex-persons</w:t>
        </w:r>
      </w:hyperlink>
      <w:r>
        <w:t xml:space="preserve"> </w:t>
      </w:r>
    </w:p>
  </w:footnote>
  <w:footnote w:id="6">
    <w:p w14:paraId="1BB11390" w14:textId="77777777" w:rsidR="0087531B" w:rsidRPr="00FC7C49" w:rsidRDefault="0087531B" w:rsidP="0087531B">
      <w:pPr>
        <w:pStyle w:val="fussnoteschattenbericht"/>
        <w:rPr>
          <w:rStyle w:val="Hyperlink"/>
        </w:rPr>
      </w:pPr>
      <w:r>
        <w:footnoteRef/>
      </w:r>
      <w:r>
        <w:tab/>
        <w:t xml:space="preserve">Statement supported by </w:t>
      </w:r>
      <w:r w:rsidR="008F01C0">
        <w:t>Norway</w:t>
      </w:r>
      <w:r>
        <w:t xml:space="preserve"> (and 52 other States) during the 48</w:t>
      </w:r>
      <w:r w:rsidRPr="00C04579">
        <w:rPr>
          <w:vertAlign w:val="superscript"/>
        </w:rPr>
        <w:t>th</w:t>
      </w:r>
      <w:r>
        <w:t xml:space="preserve"> Session of the Human Rights Council on 4 October 2021, </w:t>
      </w:r>
      <w:hyperlink r:id="rId5" w:history="1">
        <w:r w:rsidRPr="007041EF">
          <w:rPr>
            <w:rStyle w:val="Hyperlink"/>
          </w:rPr>
          <w:t>https://www.bmeia.gv.at/oev-genf/speeches/alle/2021/10/united-nations-human-rights-council-48th-session-joint-statement-on-the-human-rights-of-intersex-persons/</w:t>
        </w:r>
      </w:hyperlink>
      <w:r>
        <w:t xml:space="preserve"> </w:t>
      </w:r>
    </w:p>
  </w:footnote>
  <w:footnote w:id="7">
    <w:p w14:paraId="7348342E" w14:textId="77777777" w:rsidR="0087531B" w:rsidRDefault="0087531B" w:rsidP="0087531B">
      <w:pPr>
        <w:pStyle w:val="fussnoteschattenbericht"/>
      </w:pPr>
      <w:r w:rsidRPr="007B1662">
        <w:footnoteRef/>
      </w:r>
      <w:r w:rsidRPr="007B1662">
        <w:tab/>
      </w:r>
      <w:r>
        <w:t xml:space="preserve">Statement supported by </w:t>
      </w:r>
      <w:r w:rsidR="008F01C0">
        <w:t>Norway</w:t>
      </w:r>
      <w:r>
        <w:t xml:space="preserve"> (and 55 other States) during the 54</w:t>
      </w:r>
      <w:r w:rsidRPr="00C04579">
        <w:rPr>
          <w:vertAlign w:val="superscript"/>
        </w:rPr>
        <w:t>th</w:t>
      </w:r>
      <w:r>
        <w:t xml:space="preserve"> Session of the Human Rights Council on </w:t>
      </w:r>
      <w:r w:rsidR="00191105">
        <w:t>04.10.</w:t>
      </w:r>
      <w:r>
        <w:t xml:space="preserve"> 2023</w:t>
      </w:r>
      <w:r w:rsidR="00191105" w:rsidRPr="00191105">
        <w:t xml:space="preserve">, </w:t>
      </w:r>
      <w:hyperlink r:id="rId6" w:history="1">
        <w:r w:rsidR="00191105" w:rsidRPr="008A0855">
          <w:rPr>
            <w:rStyle w:val="Hyperlink"/>
            <w:sz w:val="15"/>
            <w:szCs w:val="15"/>
          </w:rPr>
          <w:t>https://finlandabroad.fi/web/geneve/current-affairs/-/asset_publisher/h5w4iTUJhNne/content/general-debate-item-8/384951</w:t>
        </w:r>
      </w:hyperlink>
      <w:r w:rsidR="00191105">
        <w:rPr>
          <w:sz w:val="15"/>
          <w:szCs w:val="15"/>
        </w:rPr>
        <w:t xml:space="preserve"> </w:t>
      </w:r>
    </w:p>
  </w:footnote>
  <w:footnote w:id="8">
    <w:p w14:paraId="3406C3BF" w14:textId="77777777" w:rsidR="0087531B" w:rsidRDefault="0087531B" w:rsidP="0087531B">
      <w:pPr>
        <w:pStyle w:val="fussnoteschattenbericht"/>
      </w:pPr>
      <w:r w:rsidRPr="003806F6">
        <w:footnoteRef/>
      </w:r>
      <w:r w:rsidRPr="003806F6">
        <w:tab/>
      </w:r>
      <w:hyperlink r:id="rId7" w:history="1">
        <w:r w:rsidRPr="003806F6">
          <w:rPr>
            <w:rStyle w:val="Hyperlink"/>
          </w:rPr>
          <w:t>https://undocs.org/A/HRC/55/L.9</w:t>
        </w:r>
      </w:hyperlink>
    </w:p>
  </w:footnote>
  <w:footnote w:id="9">
    <w:p w14:paraId="029033C2" w14:textId="77777777" w:rsidR="00804CDB" w:rsidRPr="00017E29" w:rsidRDefault="00804CDB" w:rsidP="00804CDB">
      <w:pPr>
        <w:pStyle w:val="fussnoteschattenbericht"/>
      </w:pPr>
      <w:r w:rsidRPr="00947C86">
        <w:rPr>
          <w:rStyle w:val="FootnoteReference"/>
          <w:vertAlign w:val="baseline"/>
        </w:rPr>
        <w:footnoteRef/>
      </w:r>
      <w:r w:rsidRPr="00947C86">
        <w:rPr>
          <w:rStyle w:val="FootnoteReference"/>
          <w:vertAlign w:val="baseline"/>
        </w:rPr>
        <w:t xml:space="preserve"> </w:t>
      </w:r>
      <w:r w:rsidRPr="00017E29">
        <w:tab/>
        <w:t xml:space="preserve">Currently we count </w:t>
      </w:r>
      <w:r w:rsidR="00084C8E">
        <w:rPr>
          <w:b/>
        </w:rPr>
        <w:t>98</w:t>
      </w:r>
      <w:r w:rsidRPr="00017E29">
        <w:rPr>
          <w:b/>
        </w:rPr>
        <w:t xml:space="preserve"> UN Treaty body Concluding Observations</w:t>
      </w:r>
      <w:r w:rsidRPr="00017E29">
        <w:t xml:space="preserve"> explicitly condemning IGM practices as a </w:t>
      </w:r>
      <w:r w:rsidRPr="00017E29">
        <w:rPr>
          <w:b/>
        </w:rPr>
        <w:t>serious violation of non-</w:t>
      </w:r>
      <w:proofErr w:type="spellStart"/>
      <w:r w:rsidRPr="00017E29">
        <w:rPr>
          <w:b/>
        </w:rPr>
        <w:t>derogable</w:t>
      </w:r>
      <w:proofErr w:type="spellEnd"/>
      <w:r w:rsidRPr="00017E29">
        <w:rPr>
          <w:b/>
        </w:rPr>
        <w:t xml:space="preserve"> human rights</w:t>
      </w:r>
      <w:r w:rsidRPr="00017E29">
        <w:t>, see</w:t>
      </w:r>
      <w:r w:rsidR="00947C86">
        <w:t xml:space="preserve"> also</w:t>
      </w:r>
      <w:r w:rsidRPr="00017E29">
        <w:t xml:space="preserve">: </w:t>
      </w:r>
      <w:r w:rsidRPr="00017E29">
        <w:br/>
      </w:r>
      <w:hyperlink r:id="rId8" w:history="1">
        <w:r w:rsidRPr="00017E29">
          <w:rPr>
            <w:rStyle w:val="Hyperlink"/>
          </w:rPr>
          <w:t>https://stopigm.org/post/IAD-2016-Soon-20-UN-Reprimands-for-Intersex-Genital-Mutilations</w:t>
        </w:r>
      </w:hyperlink>
      <w:r w:rsidRPr="00017E29">
        <w:t xml:space="preserve"> </w:t>
      </w:r>
    </w:p>
  </w:footnote>
  <w:footnote w:id="10">
    <w:p w14:paraId="711E43E2" w14:textId="77777777" w:rsidR="00007E95" w:rsidRPr="00C153F5" w:rsidRDefault="00007E95" w:rsidP="00007E95">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r w:rsidRPr="00915EDE">
        <w:t xml:space="preserve">Line Merete </w:t>
      </w:r>
      <w:proofErr w:type="spellStart"/>
      <w:r w:rsidRPr="00915EDE">
        <w:t>Mediå</w:t>
      </w:r>
      <w:proofErr w:type="spellEnd"/>
      <w:r w:rsidRPr="00915EDE">
        <w:t xml:space="preserve">, Lena </w:t>
      </w:r>
      <w:proofErr w:type="spellStart"/>
      <w:r w:rsidRPr="00915EDE">
        <w:t>Fauske</w:t>
      </w:r>
      <w:proofErr w:type="spellEnd"/>
      <w:r w:rsidRPr="00915EDE">
        <w:t xml:space="preserve">, </w:t>
      </w:r>
      <w:proofErr w:type="spellStart"/>
      <w:r w:rsidRPr="00915EDE">
        <w:t>Solrun</w:t>
      </w:r>
      <w:proofErr w:type="spellEnd"/>
      <w:r w:rsidRPr="00915EDE">
        <w:t xml:space="preserve"> </w:t>
      </w:r>
      <w:proofErr w:type="spellStart"/>
      <w:r w:rsidRPr="00915EDE">
        <w:t>Sigurdardottir</w:t>
      </w:r>
      <w:proofErr w:type="spellEnd"/>
      <w:r w:rsidRPr="00915EDE">
        <w:t xml:space="preserve">, Kristin J. </w:t>
      </w:r>
      <w:proofErr w:type="spellStart"/>
      <w:r w:rsidRPr="00915EDE">
        <w:t>Billaud</w:t>
      </w:r>
      <w:proofErr w:type="spellEnd"/>
      <w:r w:rsidRPr="00915EDE">
        <w:t xml:space="preserve"> </w:t>
      </w:r>
      <w:proofErr w:type="spellStart"/>
      <w:r w:rsidRPr="00915EDE">
        <w:t>Feragen</w:t>
      </w:r>
      <w:proofErr w:type="spellEnd"/>
      <w:r w:rsidRPr="00915EDE">
        <w:t xml:space="preserve"> &amp; Anne </w:t>
      </w:r>
      <w:proofErr w:type="spellStart"/>
      <w:r w:rsidRPr="00915EDE">
        <w:t>Waehre</w:t>
      </w:r>
      <w:proofErr w:type="spellEnd"/>
      <w:r w:rsidRPr="00915EDE">
        <w:t xml:space="preserve"> (2024), Differences of sex development and surgical decisions: focus group interviews with health care professionals in Norway, Health Psychology and Behavioral Medicine, </w:t>
      </w:r>
      <w:r w:rsidR="002C002C">
        <w:t>12:</w:t>
      </w:r>
      <w:r w:rsidR="00236708">
        <w:t xml:space="preserve">1, </w:t>
      </w:r>
      <w:r>
        <w:t xml:space="preserve">p. 8-9, 11, </w:t>
      </w:r>
      <w:hyperlink r:id="rId9" w:history="1">
        <w:r w:rsidRPr="008A0855">
          <w:rPr>
            <w:rStyle w:val="Hyperlink"/>
          </w:rPr>
          <w:t>https://www.tandfonline.com/doi/full/10.1080/21642850.2024.2371134</w:t>
        </w:r>
      </w:hyperlink>
      <w:r>
        <w:t xml:space="preserve"> </w:t>
      </w:r>
    </w:p>
  </w:footnote>
  <w:footnote w:id="11">
    <w:p w14:paraId="311F2DF7" w14:textId="77777777" w:rsidR="00976510" w:rsidRPr="00C153F5" w:rsidRDefault="00976510" w:rsidP="00976510">
      <w:pPr>
        <w:pStyle w:val="fussnoteschattenbericht"/>
      </w:pPr>
      <w:r w:rsidRPr="00DE42B3">
        <w:rPr>
          <w:rStyle w:val="FootnoteReference"/>
          <w:vertAlign w:val="baseline"/>
        </w:rPr>
        <w:footnoteRef/>
      </w:r>
      <w:r w:rsidRPr="00DE42B3">
        <w:rPr>
          <w:rStyle w:val="FootnoteReference"/>
          <w:vertAlign w:val="baseline"/>
        </w:rPr>
        <w:t xml:space="preserve"> </w:t>
      </w:r>
      <w:r w:rsidRPr="00DE42B3">
        <w:tab/>
      </w:r>
      <w:r w:rsidRPr="00976510">
        <w:t xml:space="preserve">Line Merete </w:t>
      </w:r>
      <w:proofErr w:type="spellStart"/>
      <w:r w:rsidRPr="00976510">
        <w:t>Mediå</w:t>
      </w:r>
      <w:proofErr w:type="spellEnd"/>
      <w:r w:rsidRPr="00976510">
        <w:t xml:space="preserve">, </w:t>
      </w:r>
      <w:proofErr w:type="spellStart"/>
      <w:r w:rsidRPr="00976510">
        <w:t>Solrun</w:t>
      </w:r>
      <w:proofErr w:type="spellEnd"/>
      <w:r w:rsidRPr="00976510">
        <w:t xml:space="preserve"> </w:t>
      </w:r>
      <w:proofErr w:type="spellStart"/>
      <w:r w:rsidRPr="00976510">
        <w:t>Sigurdardottir</w:t>
      </w:r>
      <w:proofErr w:type="spellEnd"/>
      <w:r w:rsidRPr="00976510">
        <w:t xml:space="preserve">, Lena </w:t>
      </w:r>
      <w:proofErr w:type="spellStart"/>
      <w:r w:rsidRPr="00976510">
        <w:t>Fauske</w:t>
      </w:r>
      <w:proofErr w:type="spellEnd"/>
      <w:r w:rsidRPr="00976510">
        <w:t xml:space="preserve"> &amp; Anne </w:t>
      </w:r>
      <w:proofErr w:type="spellStart"/>
      <w:r w:rsidRPr="00976510">
        <w:t>Waehre</w:t>
      </w:r>
      <w:proofErr w:type="spellEnd"/>
      <w:r w:rsidRPr="00976510">
        <w:t xml:space="preserve"> (2023) Understanding sexual health concerns among adolescents and young adults with differences of sex development: a qualitative study, International Journal of Qualitative Studies on Health and Well-being, </w:t>
      </w:r>
      <w:r w:rsidR="004B0CAC">
        <w:t>18</w:t>
      </w:r>
      <w:r w:rsidR="00B40DC3">
        <w:t>:1</w:t>
      </w:r>
      <w:r w:rsidRPr="00976510">
        <w:t xml:space="preserve">, </w:t>
      </w:r>
      <w:r w:rsidR="003026CC">
        <w:t xml:space="preserve">p. 2-3, 6, 5, </w:t>
      </w:r>
      <w:hyperlink r:id="rId10" w:history="1">
        <w:r w:rsidR="00E571F8" w:rsidRPr="008A0855">
          <w:rPr>
            <w:rStyle w:val="Hyperlink"/>
            <w:lang w:val="de-DE"/>
          </w:rPr>
          <w:t>www.tandfonline.com/doi/full/10.1080/17482631.2023.2204635</w:t>
        </w:r>
      </w:hyperlink>
      <w:r>
        <w:rPr>
          <w:lang w:val="de-DE"/>
        </w:rPr>
        <w:t xml:space="preserve"> </w:t>
      </w:r>
    </w:p>
  </w:footnote>
  <w:footnote w:id="12">
    <w:p w14:paraId="143326B0" w14:textId="77777777" w:rsidR="00BD3142" w:rsidRPr="00C153F5" w:rsidRDefault="00BD3142" w:rsidP="00DB4A71">
      <w:pPr>
        <w:pStyle w:val="fussnoteschattenbericht"/>
      </w:pPr>
      <w:r w:rsidRPr="00DE42B3">
        <w:rPr>
          <w:rStyle w:val="FootnoteReference"/>
          <w:vertAlign w:val="baseline"/>
        </w:rPr>
        <w:footnoteRef/>
      </w:r>
      <w:r w:rsidRPr="00C153F5">
        <w:rPr>
          <w:rStyle w:val="FootnoteSymbol"/>
          <w:rFonts w:eastAsia="Times New Roman"/>
        </w:rPr>
        <w:tab/>
      </w:r>
      <w:r w:rsidRPr="00C153F5">
        <w:t>For general information, see 2016 CEDAW NGO Report France, p. 47</w:t>
      </w:r>
      <w:r>
        <w:t>,</w:t>
      </w:r>
      <w:r w:rsidRPr="00C153F5">
        <w:t xml:space="preserve"> </w:t>
      </w:r>
      <w:hyperlink r:id="rId11" w:history="1">
        <w:r w:rsidRPr="001B3353">
          <w:rPr>
            <w:rStyle w:val="Hyperlink"/>
          </w:rPr>
          <w:t>https://intersex.shadowreport.org/public/2016-CEDAW-France-NGO-Zwischengeschlecht-Intersex-IGM.pdf</w:t>
        </w:r>
      </w:hyperlink>
    </w:p>
  </w:footnote>
  <w:footnote w:id="13">
    <w:p w14:paraId="095FEC22"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DE42B3">
        <w:tab/>
      </w:r>
      <w:hyperlink r:id="rId12" w:history="1">
        <w:r w:rsidRPr="00530BE6">
          <w:rPr>
            <w:rStyle w:val="Hyperlink"/>
          </w:rPr>
          <w:t>https://uroweb.org/guidelines/endorsement/</w:t>
        </w:r>
      </w:hyperlink>
      <w:r>
        <w:t xml:space="preserve"> </w:t>
      </w:r>
    </w:p>
  </w:footnote>
  <w:footnote w:id="14">
    <w:p w14:paraId="3FF27EB0"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DE42B3">
        <w:rPr>
          <w:rStyle w:val="FootnoteReference"/>
          <w:vertAlign w:val="baseline"/>
        </w:rPr>
        <w:tab/>
      </w:r>
      <w:hyperlink r:id="rId13"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15">
    <w:p w14:paraId="54F2F177" w14:textId="77777777" w:rsidR="00BD3142" w:rsidRPr="00B306CF"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DE42B3">
        <w:rPr>
          <w:rStyle w:val="FootnoteReference"/>
          <w:vertAlign w:val="baseline"/>
        </w:rPr>
        <w:tab/>
      </w:r>
      <w:r w:rsidRPr="00B306CF">
        <w:t>Ibid., p. 96</w:t>
      </w:r>
    </w:p>
  </w:footnote>
  <w:footnote w:id="16">
    <w:p w14:paraId="07263FAB"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B306CF">
        <w:tab/>
        <w:t>Ibid., p. 95</w:t>
      </w:r>
    </w:p>
  </w:footnote>
  <w:footnote w:id="17">
    <w:p w14:paraId="61654A00" w14:textId="77777777" w:rsidR="00BD3142" w:rsidRPr="00C153F5" w:rsidRDefault="00BD3142" w:rsidP="00DB4A71">
      <w:pPr>
        <w:pStyle w:val="fussnoteschattenbericht"/>
        <w:rPr>
          <w:rStyle w:val="Hyperlink"/>
        </w:rPr>
      </w:pPr>
      <w:r w:rsidRPr="00DE42B3">
        <w:rPr>
          <w:rStyle w:val="FootnoteReference"/>
          <w:vertAlign w:val="baseline"/>
        </w:rPr>
        <w:footnoteRef/>
      </w:r>
      <w:r w:rsidRPr="00DE42B3">
        <w:rPr>
          <w:rStyle w:val="FootnoteReference"/>
          <w:vertAlign w:val="baseline"/>
        </w:rPr>
        <w:tab/>
      </w:r>
      <w:r w:rsidRPr="00C153F5">
        <w:t xml:space="preserve">P. </w:t>
      </w:r>
      <w:proofErr w:type="spellStart"/>
      <w:r w:rsidRPr="00C153F5">
        <w:t>Mouriquand</w:t>
      </w:r>
      <w:proofErr w:type="spellEnd"/>
      <w:r w:rsidRPr="00C153F5">
        <w:t xml:space="preserve">, A. </w:t>
      </w:r>
      <w:proofErr w:type="spellStart"/>
      <w:r w:rsidRPr="00C153F5">
        <w:t>Caldamone</w:t>
      </w:r>
      <w:proofErr w:type="spellEnd"/>
      <w:r w:rsidRPr="00C153F5">
        <w:t xml:space="preserve">, P. Malone, J.D. Frank, P. </w:t>
      </w:r>
      <w:proofErr w:type="spellStart"/>
      <w:r w:rsidRPr="00C153F5">
        <w:t>Hoebeke</w:t>
      </w:r>
      <w:proofErr w:type="spellEnd"/>
      <w:r w:rsidRPr="00C153F5">
        <w:t>, “The ESPU/SPU standpoint on the surgical management of Disorders of Sex Development (DSD)”, Journal of Pediatric Urology vol. 10, no. 1 (2014), p. 8-10,</w:t>
      </w:r>
      <w:r w:rsidRPr="00C153F5">
        <w:rPr>
          <w:w w:val="99"/>
        </w:rPr>
        <w:t xml:space="preserve"> </w:t>
      </w:r>
      <w:r w:rsidRPr="00C153F5">
        <w:rPr>
          <w:rStyle w:val="Hyperlink"/>
        </w:rPr>
        <w:t>http://www.jpurol.com/article/S1477-5131(13)00313-6/pdf</w:t>
      </w:r>
    </w:p>
  </w:footnote>
  <w:footnote w:id="18">
    <w:p w14:paraId="05D4DBC3" w14:textId="77777777" w:rsidR="00BC4D25" w:rsidRPr="00C153F5" w:rsidRDefault="00BC4D25" w:rsidP="00BC4D25">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14" w:history="1">
        <w:r w:rsidRPr="008A0855">
          <w:rPr>
            <w:rStyle w:val="Hyperlink"/>
          </w:rPr>
          <w:t>https://intersex.shadowreport.org/public/2023-CRC-Norway-LOIPR-NGO-Intersex-StopIGM.pdf</w:t>
        </w:r>
      </w:hyperlink>
      <w:r>
        <w:t xml:space="preserve"> </w:t>
      </w:r>
    </w:p>
  </w:footnote>
  <w:footnote w:id="19">
    <w:p w14:paraId="51FF81AF" w14:textId="77777777" w:rsidR="00915EDE" w:rsidRPr="00C153F5" w:rsidRDefault="00915EDE" w:rsidP="00915EDE">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r w:rsidRPr="00915EDE">
        <w:t xml:space="preserve">Line Merete </w:t>
      </w:r>
      <w:proofErr w:type="spellStart"/>
      <w:r w:rsidRPr="00915EDE">
        <w:t>Mediå</w:t>
      </w:r>
      <w:proofErr w:type="spellEnd"/>
      <w:r w:rsidRPr="00915EDE">
        <w:t xml:space="preserve">, Lena </w:t>
      </w:r>
      <w:proofErr w:type="spellStart"/>
      <w:r w:rsidRPr="00915EDE">
        <w:t>Fauske</w:t>
      </w:r>
      <w:proofErr w:type="spellEnd"/>
      <w:r w:rsidRPr="00915EDE">
        <w:t xml:space="preserve">, </w:t>
      </w:r>
      <w:proofErr w:type="spellStart"/>
      <w:r w:rsidRPr="00915EDE">
        <w:t>Solrun</w:t>
      </w:r>
      <w:proofErr w:type="spellEnd"/>
      <w:r w:rsidRPr="00915EDE">
        <w:t xml:space="preserve"> </w:t>
      </w:r>
      <w:proofErr w:type="spellStart"/>
      <w:r w:rsidRPr="00915EDE">
        <w:t>Sigurdardottir</w:t>
      </w:r>
      <w:proofErr w:type="spellEnd"/>
      <w:r w:rsidRPr="00915EDE">
        <w:t xml:space="preserve">, Kristin J. </w:t>
      </w:r>
      <w:proofErr w:type="spellStart"/>
      <w:r w:rsidRPr="00915EDE">
        <w:t>Billaud</w:t>
      </w:r>
      <w:proofErr w:type="spellEnd"/>
      <w:r w:rsidRPr="00915EDE">
        <w:t xml:space="preserve"> </w:t>
      </w:r>
      <w:proofErr w:type="spellStart"/>
      <w:r w:rsidRPr="00915EDE">
        <w:t>Feragen</w:t>
      </w:r>
      <w:proofErr w:type="spellEnd"/>
      <w:r w:rsidRPr="00915EDE">
        <w:t xml:space="preserve"> &amp; Anne </w:t>
      </w:r>
      <w:proofErr w:type="spellStart"/>
      <w:r w:rsidRPr="00915EDE">
        <w:t>Waehre</w:t>
      </w:r>
      <w:proofErr w:type="spellEnd"/>
      <w:r w:rsidRPr="00915EDE">
        <w:t xml:space="preserve"> (2024), Differences of sex development and surgical decisions: focus group interviews with health care professionals in Norway, Health Psychology and Behavioral Medicine, </w:t>
      </w:r>
      <w:r w:rsidR="002C002C">
        <w:t>12:1</w:t>
      </w:r>
      <w:r w:rsidR="00407744">
        <w:t xml:space="preserve">, </w:t>
      </w:r>
      <w:r>
        <w:t xml:space="preserve">p. </w:t>
      </w:r>
      <w:r w:rsidR="00C057B8">
        <w:t>8</w:t>
      </w:r>
      <w:r>
        <w:t xml:space="preserve">, </w:t>
      </w:r>
      <w:hyperlink r:id="rId15" w:history="1">
        <w:r w:rsidRPr="008A0855">
          <w:rPr>
            <w:rStyle w:val="Hyperlink"/>
          </w:rPr>
          <w:t>https://www.tandfonline.com/doi/full/10.1080/21642850.2024.2371134</w:t>
        </w:r>
      </w:hyperlink>
      <w:r>
        <w:t xml:space="preserve"> </w:t>
      </w:r>
    </w:p>
  </w:footnote>
  <w:footnote w:id="20">
    <w:p w14:paraId="521EF91B" w14:textId="77777777" w:rsidR="00BD3142" w:rsidRPr="00C153F5" w:rsidRDefault="00BD3142" w:rsidP="00DB4A71">
      <w:pPr>
        <w:pStyle w:val="fussnoteschattenbericht"/>
      </w:pPr>
      <w:r w:rsidRPr="00DE42B3">
        <w:rPr>
          <w:rStyle w:val="FootnoteReference"/>
          <w:vertAlign w:val="baseline"/>
        </w:rPr>
        <w:footnoteRef/>
      </w:r>
      <w:r w:rsidRPr="00C153F5">
        <w:rPr>
          <w:rStyle w:val="FootnoteSymbol"/>
          <w:rFonts w:eastAsia="Times New Roman"/>
        </w:rPr>
        <w:tab/>
      </w:r>
      <w:r w:rsidRPr="00C153F5">
        <w:t>For general information, see 2016 CEDAW NGO Report France, p. 48</w:t>
      </w:r>
      <w:r>
        <w:t>,</w:t>
      </w:r>
      <w:r w:rsidRPr="00C153F5">
        <w:t xml:space="preserve"> </w:t>
      </w:r>
      <w:hyperlink r:id="rId16" w:history="1">
        <w:r w:rsidRPr="001B3353">
          <w:rPr>
            <w:rStyle w:val="Hyperlink"/>
          </w:rPr>
          <w:t>https://intersex.shadowreport.org/public/2016-CEDAW-France-NGO-Zwischengeschlecht-Intersex-IGM.pdf</w:t>
        </w:r>
      </w:hyperlink>
    </w:p>
  </w:footnote>
  <w:footnote w:id="21">
    <w:p w14:paraId="0947552E"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17" w:history="1">
        <w:r w:rsidRPr="00505ABD">
          <w:rPr>
            <w:rStyle w:val="Hyperlink"/>
          </w:rPr>
          <w:t>https://uroweb.org/guidelines/endorsement/</w:t>
        </w:r>
      </w:hyperlink>
      <w:r>
        <w:t xml:space="preserve"> </w:t>
      </w:r>
    </w:p>
  </w:footnote>
  <w:footnote w:id="22">
    <w:p w14:paraId="109B8D6C"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18" w:history="1">
        <w:r w:rsidRPr="00547820">
          <w:rPr>
            <w:rStyle w:val="Hyperlink"/>
            <w:sz w:val="19"/>
            <w:szCs w:val="19"/>
          </w:rPr>
          <w:t>https://d56bochluxqnz.cloudfront.net/documents/full-guideline/EAU-Guidelines-on-Paediatric-Urology-2024.pdf</w:t>
        </w:r>
      </w:hyperlink>
    </w:p>
  </w:footnote>
  <w:footnote w:id="23">
    <w:p w14:paraId="3A8D1531"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r>
        <w:t>Ibid., p. 91</w:t>
      </w:r>
    </w:p>
  </w:footnote>
  <w:footnote w:id="24">
    <w:p w14:paraId="5172D20A"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r>
        <w:t>Ibid., p. 95</w:t>
      </w:r>
    </w:p>
  </w:footnote>
  <w:footnote w:id="25">
    <w:p w14:paraId="3CF0B049"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t>Ibid.</w:t>
      </w:r>
      <w:r>
        <w:t>,</w:t>
      </w:r>
      <w:r w:rsidRPr="00C153F5">
        <w:t xml:space="preserve"> </w:t>
      </w:r>
      <w:r>
        <w:t>p. 95</w:t>
      </w:r>
    </w:p>
  </w:footnote>
  <w:footnote w:id="26">
    <w:p w14:paraId="78A7B483"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t>Ibid.</w:t>
      </w:r>
      <w:r>
        <w:t>, p. 95-96</w:t>
      </w:r>
    </w:p>
  </w:footnote>
  <w:footnote w:id="27">
    <w:p w14:paraId="54C4F72E"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t>Ibid.</w:t>
      </w:r>
      <w:r>
        <w:t>, p. 96</w:t>
      </w:r>
    </w:p>
  </w:footnote>
  <w:footnote w:id="28">
    <w:p w14:paraId="234B87A3"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19" w:history="1">
        <w:r w:rsidRPr="00C153F5">
          <w:rPr>
            <w:rStyle w:val="Hyperlink"/>
          </w:rPr>
          <w:t>https://www.espu.org/images/documents/ESPU_Open_Letter_to_COE_2018-01-26.pdf</w:t>
        </w:r>
      </w:hyperlink>
      <w:r w:rsidRPr="00C153F5">
        <w:t xml:space="preserve"> </w:t>
      </w:r>
    </w:p>
  </w:footnote>
  <w:footnote w:id="29">
    <w:p w14:paraId="239F4F95" w14:textId="77777777" w:rsidR="00BC4D25" w:rsidRPr="00C153F5" w:rsidRDefault="00BC4D25" w:rsidP="00BC4D25">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20" w:history="1">
        <w:r w:rsidRPr="008A0855">
          <w:rPr>
            <w:rStyle w:val="Hyperlink"/>
          </w:rPr>
          <w:t>https://intersex.shadowreport.org/public/2023-CRC-Norway-LOIPR-NGO-Intersex-StopIGM.pdf</w:t>
        </w:r>
      </w:hyperlink>
      <w:r>
        <w:t xml:space="preserve"> </w:t>
      </w:r>
    </w:p>
  </w:footnote>
  <w:footnote w:id="30">
    <w:p w14:paraId="31BCD907" w14:textId="77777777" w:rsidR="00DC4A4D" w:rsidRPr="00C153F5" w:rsidRDefault="00DC4A4D" w:rsidP="00DC4A4D">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r w:rsidRPr="00915EDE">
        <w:t xml:space="preserve">Line Merete </w:t>
      </w:r>
      <w:proofErr w:type="spellStart"/>
      <w:r w:rsidRPr="00915EDE">
        <w:t>Mediå</w:t>
      </w:r>
      <w:proofErr w:type="spellEnd"/>
      <w:r w:rsidRPr="00915EDE">
        <w:t xml:space="preserve">, Lena </w:t>
      </w:r>
      <w:proofErr w:type="spellStart"/>
      <w:r w:rsidRPr="00915EDE">
        <w:t>Fauske</w:t>
      </w:r>
      <w:proofErr w:type="spellEnd"/>
      <w:r w:rsidRPr="00915EDE">
        <w:t xml:space="preserve">, </w:t>
      </w:r>
      <w:proofErr w:type="spellStart"/>
      <w:r w:rsidRPr="00915EDE">
        <w:t>Solrun</w:t>
      </w:r>
      <w:proofErr w:type="spellEnd"/>
      <w:r w:rsidRPr="00915EDE">
        <w:t xml:space="preserve"> </w:t>
      </w:r>
      <w:proofErr w:type="spellStart"/>
      <w:r w:rsidRPr="00915EDE">
        <w:t>Sigurdardottir</w:t>
      </w:r>
      <w:proofErr w:type="spellEnd"/>
      <w:r w:rsidRPr="00915EDE">
        <w:t xml:space="preserve">, Kristin J. </w:t>
      </w:r>
      <w:proofErr w:type="spellStart"/>
      <w:r w:rsidRPr="00915EDE">
        <w:t>Billaud</w:t>
      </w:r>
      <w:proofErr w:type="spellEnd"/>
      <w:r w:rsidRPr="00915EDE">
        <w:t xml:space="preserve"> </w:t>
      </w:r>
      <w:proofErr w:type="spellStart"/>
      <w:r w:rsidRPr="00915EDE">
        <w:t>Feragen</w:t>
      </w:r>
      <w:proofErr w:type="spellEnd"/>
      <w:r w:rsidRPr="00915EDE">
        <w:t xml:space="preserve"> &amp; Anne </w:t>
      </w:r>
      <w:proofErr w:type="spellStart"/>
      <w:r w:rsidRPr="00915EDE">
        <w:t>Waehre</w:t>
      </w:r>
      <w:proofErr w:type="spellEnd"/>
      <w:r w:rsidRPr="00915EDE">
        <w:t xml:space="preserve"> (2024), Differences of sex development and surgical decisions: focus group interviews with health care professionals in Norway, Health Psychology and Behavioral Medicine, </w:t>
      </w:r>
      <w:r w:rsidR="002C002C">
        <w:t>12:</w:t>
      </w:r>
      <w:r w:rsidR="00407744">
        <w:t xml:space="preserve">1, </w:t>
      </w:r>
      <w:r>
        <w:t xml:space="preserve">p. </w:t>
      </w:r>
      <w:r w:rsidR="00474378">
        <w:t xml:space="preserve">6, </w:t>
      </w:r>
      <w:r>
        <w:t xml:space="preserve">8, </w:t>
      </w:r>
      <w:r w:rsidR="00A175C3">
        <w:t xml:space="preserve">6-8, </w:t>
      </w:r>
      <w:hyperlink r:id="rId21" w:history="1">
        <w:r w:rsidR="00A175C3" w:rsidRPr="008A0855">
          <w:rPr>
            <w:rStyle w:val="Hyperlink"/>
          </w:rPr>
          <w:t>https://www.tandfonline.com/doi/full/10.1080/21642850.2024.2371134</w:t>
        </w:r>
      </w:hyperlink>
      <w:r>
        <w:t xml:space="preserve"> </w:t>
      </w:r>
    </w:p>
  </w:footnote>
  <w:footnote w:id="31">
    <w:p w14:paraId="34DEA97A" w14:textId="77777777" w:rsidR="00BD3142" w:rsidRPr="00C153F5" w:rsidRDefault="00BD3142" w:rsidP="00DB4A71">
      <w:pPr>
        <w:pStyle w:val="fussnoteschattenbericht"/>
      </w:pPr>
      <w:r w:rsidRPr="00DE42B3">
        <w:rPr>
          <w:rStyle w:val="FootnoteReference"/>
          <w:vertAlign w:val="baseline"/>
        </w:rPr>
        <w:footnoteRef/>
      </w:r>
      <w:r w:rsidRPr="00C153F5">
        <w:rPr>
          <w:rStyle w:val="FootnoteSymbol"/>
          <w:rFonts w:eastAsia="Times New Roman"/>
        </w:rPr>
        <w:tab/>
      </w:r>
      <w:r w:rsidRPr="00C153F5">
        <w:t>For general information, see 2016 CEDAW NGO Report France, p. 48-49</w:t>
      </w:r>
      <w:r>
        <w:t>,</w:t>
      </w:r>
      <w:r w:rsidRPr="00C153F5">
        <w:t xml:space="preserve"> </w:t>
      </w:r>
      <w:hyperlink r:id="rId22" w:history="1">
        <w:r w:rsidRPr="00530BE6">
          <w:rPr>
            <w:rStyle w:val="Hyperlink"/>
          </w:rPr>
          <w:t>https://intersex.shadowreport.org/public/2016-CEDAW-France-NGO-Zwischengeschlecht-Intersex-IGM.pdf</w:t>
        </w:r>
      </w:hyperlink>
      <w:r>
        <w:t xml:space="preserve"> </w:t>
      </w:r>
    </w:p>
  </w:footnote>
  <w:footnote w:id="32">
    <w:p w14:paraId="5D186F2E"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23" w:history="1">
        <w:r w:rsidRPr="00530BE6">
          <w:rPr>
            <w:rStyle w:val="Hyperlink"/>
          </w:rPr>
          <w:t>https://uroweb.org/guidelines/endorsement/</w:t>
        </w:r>
      </w:hyperlink>
      <w:r>
        <w:t xml:space="preserve"> </w:t>
      </w:r>
    </w:p>
  </w:footnote>
  <w:footnote w:id="33">
    <w:p w14:paraId="0D6E2AF4"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24" w:history="1">
        <w:r w:rsidRPr="00547820">
          <w:rPr>
            <w:rStyle w:val="Hyperlink"/>
            <w:sz w:val="19"/>
            <w:szCs w:val="19"/>
          </w:rPr>
          <w:t>https://d56bochluxqnz.cloudfront.net/documents/full-guideline/EAU-Guidelines-on-Paediatric-Urology-2024.pdf</w:t>
        </w:r>
      </w:hyperlink>
      <w:r>
        <w:rPr>
          <w:sz w:val="19"/>
          <w:szCs w:val="19"/>
        </w:rPr>
        <w:t xml:space="preserve"> </w:t>
      </w:r>
    </w:p>
  </w:footnote>
  <w:footnote w:id="34">
    <w:p w14:paraId="5672940D" w14:textId="77777777" w:rsidR="00BD3142" w:rsidRPr="00A7399C"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A7399C">
        <w:tab/>
        <w:t>Ibid., p. 2</w:t>
      </w:r>
      <w:r>
        <w:t>9</w:t>
      </w:r>
    </w:p>
  </w:footnote>
  <w:footnote w:id="35">
    <w:p w14:paraId="04A6A685" w14:textId="77777777" w:rsidR="00BD3142" w:rsidRPr="00A7399C"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DE42B3">
        <w:rPr>
          <w:rStyle w:val="FootnoteReference"/>
          <w:vertAlign w:val="baseline"/>
        </w:rPr>
        <w:tab/>
      </w:r>
      <w:r w:rsidRPr="00A7399C">
        <w:t xml:space="preserve">Ibid., p. </w:t>
      </w:r>
      <w:r>
        <w:t>31</w:t>
      </w:r>
    </w:p>
  </w:footnote>
  <w:footnote w:id="36">
    <w:p w14:paraId="084EF018" w14:textId="77777777" w:rsidR="00BD3142" w:rsidRPr="00A7399C"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A7399C">
        <w:tab/>
        <w:t xml:space="preserve">Ibid., p. </w:t>
      </w:r>
      <w:r>
        <w:t>31</w:t>
      </w:r>
    </w:p>
  </w:footnote>
  <w:footnote w:id="37">
    <w:p w14:paraId="575D8FE6" w14:textId="77777777" w:rsidR="00BD3142" w:rsidRPr="00C153F5" w:rsidRDefault="00BD3142" w:rsidP="00DB4A71">
      <w:pPr>
        <w:pStyle w:val="fussnoteschattenbericht"/>
      </w:pPr>
      <w:r w:rsidRPr="00DE42B3">
        <w:rPr>
          <w:rStyle w:val="FootnoteReference"/>
          <w:vertAlign w:val="baseline"/>
        </w:rPr>
        <w:footnoteRef/>
      </w:r>
      <w:r w:rsidRPr="00DE42B3">
        <w:rPr>
          <w:rStyle w:val="FootnoteReference"/>
          <w:vertAlign w:val="baseline"/>
        </w:rPr>
        <w:t xml:space="preserve"> </w:t>
      </w:r>
      <w:r w:rsidRPr="00A7399C">
        <w:tab/>
        <w:t xml:space="preserve">Ibid., p. </w:t>
      </w:r>
      <w:r>
        <w:t>30-31</w:t>
      </w:r>
    </w:p>
  </w:footnote>
  <w:footnote w:id="38">
    <w:p w14:paraId="3B6659D3" w14:textId="77777777" w:rsidR="00BC4D25" w:rsidRPr="00C153F5" w:rsidRDefault="00BC4D25" w:rsidP="00BC4D25">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hyperlink r:id="rId25" w:history="1">
        <w:r w:rsidRPr="008A0855">
          <w:rPr>
            <w:rStyle w:val="Hyperlink"/>
          </w:rPr>
          <w:t>https://intersex.shadowreport.org/public/2023-CRC-Norway-LOIPR-NGO-Intersex-StopIGM.pdf</w:t>
        </w:r>
      </w:hyperlink>
      <w:r>
        <w:t xml:space="preserve"> </w:t>
      </w:r>
    </w:p>
  </w:footnote>
  <w:footnote w:id="39">
    <w:p w14:paraId="6090C360" w14:textId="77777777" w:rsidR="00A175C3" w:rsidRPr="00C153F5" w:rsidRDefault="00A175C3" w:rsidP="00A175C3">
      <w:pPr>
        <w:pStyle w:val="fussnoteschattenbericht"/>
      </w:pPr>
      <w:r w:rsidRPr="00DE42B3">
        <w:rPr>
          <w:rStyle w:val="FootnoteReference"/>
          <w:vertAlign w:val="baseline"/>
        </w:rPr>
        <w:footnoteRef/>
      </w:r>
      <w:r w:rsidRPr="00DE42B3">
        <w:rPr>
          <w:rStyle w:val="FootnoteReference"/>
          <w:vertAlign w:val="baseline"/>
        </w:rPr>
        <w:t xml:space="preserve"> </w:t>
      </w:r>
      <w:r w:rsidRPr="00C153F5">
        <w:tab/>
      </w:r>
      <w:r w:rsidRPr="00915EDE">
        <w:t xml:space="preserve">Line Merete </w:t>
      </w:r>
      <w:proofErr w:type="spellStart"/>
      <w:r w:rsidRPr="00915EDE">
        <w:t>Mediå</w:t>
      </w:r>
      <w:proofErr w:type="spellEnd"/>
      <w:r w:rsidRPr="00915EDE">
        <w:t xml:space="preserve">, Lena </w:t>
      </w:r>
      <w:proofErr w:type="spellStart"/>
      <w:r w:rsidRPr="00915EDE">
        <w:t>Fauske</w:t>
      </w:r>
      <w:proofErr w:type="spellEnd"/>
      <w:r w:rsidRPr="00915EDE">
        <w:t xml:space="preserve">, </w:t>
      </w:r>
      <w:proofErr w:type="spellStart"/>
      <w:r w:rsidRPr="00915EDE">
        <w:t>Solrun</w:t>
      </w:r>
      <w:proofErr w:type="spellEnd"/>
      <w:r w:rsidRPr="00915EDE">
        <w:t xml:space="preserve"> </w:t>
      </w:r>
      <w:proofErr w:type="spellStart"/>
      <w:r w:rsidRPr="00915EDE">
        <w:t>Sigurdardottir</w:t>
      </w:r>
      <w:proofErr w:type="spellEnd"/>
      <w:r w:rsidRPr="00915EDE">
        <w:t xml:space="preserve">, Kristin J. </w:t>
      </w:r>
      <w:proofErr w:type="spellStart"/>
      <w:r w:rsidRPr="00915EDE">
        <w:t>Billaud</w:t>
      </w:r>
      <w:proofErr w:type="spellEnd"/>
      <w:r w:rsidRPr="00915EDE">
        <w:t xml:space="preserve"> </w:t>
      </w:r>
      <w:proofErr w:type="spellStart"/>
      <w:r w:rsidRPr="00915EDE">
        <w:t>Feragen</w:t>
      </w:r>
      <w:proofErr w:type="spellEnd"/>
      <w:r w:rsidRPr="00915EDE">
        <w:t xml:space="preserve"> &amp; Anne </w:t>
      </w:r>
      <w:proofErr w:type="spellStart"/>
      <w:r w:rsidRPr="00915EDE">
        <w:t>Waehre</w:t>
      </w:r>
      <w:proofErr w:type="spellEnd"/>
      <w:r w:rsidRPr="00915EDE">
        <w:t xml:space="preserve"> (2024), Differences of sex development and surgical decisions: focus group interviews with health care professionals in Norway, Health Psychology and Behavioral Medicine, </w:t>
      </w:r>
      <w:r>
        <w:t>p. 8</w:t>
      </w:r>
      <w:r w:rsidR="00C15912">
        <w:t>, 9</w:t>
      </w:r>
      <w:r>
        <w:t xml:space="preserve">, </w:t>
      </w:r>
      <w:hyperlink r:id="rId26" w:history="1">
        <w:r w:rsidRPr="008A0855">
          <w:rPr>
            <w:rStyle w:val="Hyperlink"/>
          </w:rPr>
          <w:t>https://www.tandfonline.com/doi/full/10.1080/21642850.2024.2371134</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D5BAC" w14:textId="77777777" w:rsidR="00BD3142" w:rsidRPr="00F74BE8" w:rsidRDefault="00BD3142" w:rsidP="00F74BE8">
    <w:pPr>
      <w:spacing w:after="0" w:line="240" w:lineRule="auto"/>
      <w:jc w:val="right"/>
      <w:rPr>
        <w:rFonts w:ascii="Century Gothic" w:hAnsi="Century Gothic" w:cs="Century Gothic"/>
        <w:color w:val="660066"/>
        <w:sz w:val="24"/>
      </w:rPr>
    </w:pPr>
    <w:r w:rsidRPr="007A5C86">
      <w:rPr>
        <w:rFonts w:ascii="Century Gothic" w:hAnsi="Century Gothic" w:cs="Century Gothic"/>
        <w:color w:val="660066"/>
        <w:sz w:val="24"/>
      </w:rPr>
      <w:fldChar w:fldCharType="begin"/>
    </w:r>
    <w:r>
      <w:rPr>
        <w:rFonts w:ascii="Century Gothic" w:hAnsi="Century Gothic" w:cs="Century Gothic"/>
        <w:color w:val="660066"/>
        <w:sz w:val="24"/>
      </w:rPr>
      <w:instrText>PAGE</w:instrText>
    </w:r>
    <w:r w:rsidRPr="007A5C86">
      <w:rPr>
        <w:rFonts w:ascii="Century Gothic" w:hAnsi="Century Gothic" w:cs="Century Gothic"/>
        <w:color w:val="660066"/>
        <w:sz w:val="24"/>
      </w:rPr>
      <w:instrText xml:space="preserve">   \* MERGEFORMAT</w:instrText>
    </w:r>
    <w:r w:rsidRPr="007A5C86">
      <w:rPr>
        <w:rFonts w:ascii="Century Gothic" w:hAnsi="Century Gothic" w:cs="Century Gothic"/>
        <w:color w:val="660066"/>
        <w:sz w:val="24"/>
      </w:rPr>
      <w:fldChar w:fldCharType="separate"/>
    </w:r>
    <w:r>
      <w:rPr>
        <w:rFonts w:ascii="Century Gothic" w:hAnsi="Century Gothic" w:cs="Century Gothic"/>
        <w:noProof/>
        <w:color w:val="660066"/>
        <w:sz w:val="24"/>
      </w:rPr>
      <w:t>2</w:t>
    </w:r>
    <w:r w:rsidRPr="007A5C86">
      <w:rPr>
        <w:rFonts w:ascii="Century Gothic" w:hAnsi="Century Gothic" w:cs="Century Gothic"/>
        <w:color w:val="660066"/>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880A" w14:textId="77777777" w:rsidR="00BD3142" w:rsidRPr="00991D4E" w:rsidRDefault="00BD3142" w:rsidP="002A12D5">
    <w:pPr>
      <w:spacing w:after="0" w:line="240" w:lineRule="auto"/>
      <w:jc w:val="right"/>
      <w:rPr>
        <w:rFonts w:ascii="Century Gothic" w:hAnsi="Century Gothic" w:cs="Century Gothic"/>
        <w:color w:val="660066"/>
        <w:sz w:val="28"/>
        <w:lang w:val="en-US"/>
      </w:rPr>
    </w:pPr>
    <w:r>
      <w:rPr>
        <w:noProof/>
        <w:lang w:eastAsia="de-CH"/>
      </w:rPr>
      <w:drawing>
        <wp:anchor distT="0" distB="0" distL="114300" distR="114300" simplePos="0" relativeHeight="251657728" behindDoc="0" locked="0" layoutInCell="1" allowOverlap="1" wp14:anchorId="0ACD23E1" wp14:editId="7AE61D7E">
          <wp:simplePos x="0" y="0"/>
          <wp:positionH relativeFrom="column">
            <wp:posOffset>53975</wp:posOffset>
          </wp:positionH>
          <wp:positionV relativeFrom="paragraph">
            <wp:posOffset>-81915</wp:posOffset>
          </wp:positionV>
          <wp:extent cx="979805" cy="1139190"/>
          <wp:effectExtent l="0" t="0" r="0" b="0"/>
          <wp:wrapThrough wrapText="bothSides">
            <wp:wrapPolygon edited="0">
              <wp:start x="0" y="0"/>
              <wp:lineTo x="0" y="21431"/>
              <wp:lineTo x="21278" y="21431"/>
              <wp:lineTo x="21278" y="0"/>
              <wp:lineTo x="0" y="0"/>
            </wp:wrapPolygon>
          </wp:wrapThrough>
          <wp:docPr id="1" name="Bild 2" descr="Beschreibung: Macintosh HD:Users:PowerbookDT:Desktop:StopIGM_org-Logo-Briefkopf.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2" descr="Beschreibung: Macintosh HD:Users:PowerbookDT:Desktop:StopIGM_org-Logo-Briefkopf.jp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39190"/>
                  </a:xfrm>
                  <a:prstGeom prst="rect">
                    <a:avLst/>
                  </a:prstGeom>
                  <a:noFill/>
                </pic:spPr>
              </pic:pic>
            </a:graphicData>
          </a:graphic>
          <wp14:sizeRelH relativeFrom="page">
            <wp14:pctWidth>0</wp14:pctWidth>
          </wp14:sizeRelH>
          <wp14:sizeRelV relativeFrom="page">
            <wp14:pctHeight>0</wp14:pctHeight>
          </wp14:sizeRelV>
        </wp:anchor>
      </w:drawing>
    </w:r>
    <w:r w:rsidRPr="00991D4E">
      <w:rPr>
        <w:rFonts w:ascii="Century Gothic" w:hAnsi="Century Gothic" w:cs="Century Gothic"/>
        <w:color w:val="660066"/>
        <w:sz w:val="40"/>
        <w:lang w:val="en-US"/>
      </w:rPr>
      <w:t>StopIGM.org</w:t>
    </w:r>
  </w:p>
  <w:p w14:paraId="7091AF7D" w14:textId="77777777" w:rsidR="00BD3142" w:rsidRPr="00991D4E" w:rsidRDefault="00BD3142" w:rsidP="002A12D5">
    <w:pPr>
      <w:spacing w:after="0" w:line="240" w:lineRule="auto"/>
      <w:jc w:val="right"/>
      <w:rPr>
        <w:lang w:val="en-US"/>
      </w:rPr>
    </w:pPr>
    <w:r w:rsidRPr="00991D4E">
      <w:rPr>
        <w:rFonts w:ascii="Century Gothic" w:hAnsi="Century Gothic" w:cs="Century Gothic"/>
        <w:color w:val="660066"/>
        <w:sz w:val="28"/>
        <w:lang w:val="en-US"/>
      </w:rPr>
      <w:t>Human Rights for Hermaphrodites Too!</w:t>
    </w:r>
  </w:p>
  <w:p w14:paraId="20062FAB" w14:textId="77777777" w:rsidR="00BD3142" w:rsidRPr="00991D4E" w:rsidRDefault="00BD3142" w:rsidP="002A12D5">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3424A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2" w15:restartNumberingAfterBreak="0">
    <w:nsid w:val="00000002"/>
    <w:multiLevelType w:val="multilevel"/>
    <w:tmpl w:val="00000002"/>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3" w15:restartNumberingAfterBreak="0">
    <w:nsid w:val="00000003"/>
    <w:multiLevelType w:val="multilevel"/>
    <w:tmpl w:val="00000003"/>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4" w15:restartNumberingAfterBreak="0">
    <w:nsid w:val="00000004"/>
    <w:multiLevelType w:val="multilevel"/>
    <w:tmpl w:val="00000004"/>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5" w15:restartNumberingAfterBreak="0">
    <w:nsid w:val="02176287"/>
    <w:multiLevelType w:val="hybridMultilevel"/>
    <w:tmpl w:val="9718000A"/>
    <w:lvl w:ilvl="0" w:tplc="9B4A0936">
      <w:numFmt w:val="bullet"/>
      <w:lvlText w:val="•"/>
      <w:lvlJc w:val="left"/>
      <w:pPr>
        <w:ind w:left="720" w:hanging="360"/>
      </w:pPr>
      <w:rPr>
        <w:rFonts w:ascii="Times New Roman" w:eastAsia="Baskerville"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18DE3162"/>
    <w:multiLevelType w:val="hybridMultilevel"/>
    <w:tmpl w:val="95B6D7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C8A0D94"/>
    <w:multiLevelType w:val="hybridMultilevel"/>
    <w:tmpl w:val="821AA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0E53185"/>
    <w:multiLevelType w:val="hybridMultilevel"/>
    <w:tmpl w:val="DEE21E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4B6151D"/>
    <w:multiLevelType w:val="hybridMultilevel"/>
    <w:tmpl w:val="5D38B9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312809B7"/>
    <w:multiLevelType w:val="hybridMultilevel"/>
    <w:tmpl w:val="D7AA3C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17F1B1B"/>
    <w:multiLevelType w:val="hybridMultilevel"/>
    <w:tmpl w:val="24E826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3587FAE"/>
    <w:multiLevelType w:val="hybridMultilevel"/>
    <w:tmpl w:val="127803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21D26EE"/>
    <w:multiLevelType w:val="hybridMultilevel"/>
    <w:tmpl w:val="46ACA72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42707BD7"/>
    <w:multiLevelType w:val="hybridMultilevel"/>
    <w:tmpl w:val="53125C8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4278307A"/>
    <w:multiLevelType w:val="hybridMultilevel"/>
    <w:tmpl w:val="8EBAD8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48014E5"/>
    <w:multiLevelType w:val="hybridMultilevel"/>
    <w:tmpl w:val="0374E2E4"/>
    <w:lvl w:ilvl="0" w:tplc="15E680E0">
      <w:start w:val="1"/>
      <w:numFmt w:val="decimal"/>
      <w:lvlText w:val="%1."/>
      <w:lvlJc w:val="left"/>
      <w:pPr>
        <w:ind w:left="1495" w:hanging="360"/>
      </w:pPr>
      <w:rPr>
        <w:rFonts w:ascii="Times New Roman" w:eastAsia="Times New Roman" w:hAnsi="Times New Roman" w:cs="Times New Roman"/>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A7F3407"/>
    <w:multiLevelType w:val="hybridMultilevel"/>
    <w:tmpl w:val="4A0C05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52E0695"/>
    <w:multiLevelType w:val="hybridMultilevel"/>
    <w:tmpl w:val="54E678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9F54979"/>
    <w:multiLevelType w:val="hybridMultilevel"/>
    <w:tmpl w:val="CF4896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EFF0F49"/>
    <w:multiLevelType w:val="hybridMultilevel"/>
    <w:tmpl w:val="537ADB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6F13004E"/>
    <w:multiLevelType w:val="hybridMultilevel"/>
    <w:tmpl w:val="14D48B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3112D3C"/>
    <w:multiLevelType w:val="hybridMultilevel"/>
    <w:tmpl w:val="365822B0"/>
    <w:lvl w:ilvl="0" w:tplc="B8D68F3A">
      <w:start w:val="1"/>
      <w:numFmt w:val="lowerLetter"/>
      <w:lvlText w:val="(%1)"/>
      <w:lvlJc w:val="left"/>
      <w:pPr>
        <w:ind w:left="760" w:hanging="40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16cid:durableId="264193399">
    <w:abstractNumId w:val="1"/>
  </w:num>
  <w:num w:numId="2" w16cid:durableId="1863586902">
    <w:abstractNumId w:val="2"/>
  </w:num>
  <w:num w:numId="3" w16cid:durableId="172257560">
    <w:abstractNumId w:val="3"/>
  </w:num>
  <w:num w:numId="4" w16cid:durableId="1095400266">
    <w:abstractNumId w:val="4"/>
  </w:num>
  <w:num w:numId="5" w16cid:durableId="1782454134">
    <w:abstractNumId w:val="11"/>
  </w:num>
  <w:num w:numId="6" w16cid:durableId="1037464947">
    <w:abstractNumId w:val="16"/>
  </w:num>
  <w:num w:numId="7" w16cid:durableId="1367290771">
    <w:abstractNumId w:val="17"/>
  </w:num>
  <w:num w:numId="8" w16cid:durableId="988747949">
    <w:abstractNumId w:val="5"/>
  </w:num>
  <w:num w:numId="9" w16cid:durableId="732235626">
    <w:abstractNumId w:val="0"/>
  </w:num>
  <w:num w:numId="10" w16cid:durableId="1663661012">
    <w:abstractNumId w:val="19"/>
  </w:num>
  <w:num w:numId="11" w16cid:durableId="1548637401">
    <w:abstractNumId w:val="6"/>
  </w:num>
  <w:num w:numId="12" w16cid:durableId="1295678182">
    <w:abstractNumId w:val="10"/>
  </w:num>
  <w:num w:numId="13" w16cid:durableId="265964002">
    <w:abstractNumId w:val="8"/>
  </w:num>
  <w:num w:numId="14" w16cid:durableId="779491026">
    <w:abstractNumId w:val="13"/>
  </w:num>
  <w:num w:numId="15" w16cid:durableId="1976062327">
    <w:abstractNumId w:val="14"/>
  </w:num>
  <w:num w:numId="16" w16cid:durableId="1490707944">
    <w:abstractNumId w:val="21"/>
  </w:num>
  <w:num w:numId="17" w16cid:durableId="87432272">
    <w:abstractNumId w:val="25"/>
  </w:num>
  <w:num w:numId="18" w16cid:durableId="2140225326">
    <w:abstractNumId w:val="12"/>
  </w:num>
  <w:num w:numId="19" w16cid:durableId="8145303">
    <w:abstractNumId w:val="20"/>
  </w:num>
  <w:num w:numId="20" w16cid:durableId="1666937721">
    <w:abstractNumId w:val="26"/>
  </w:num>
  <w:num w:numId="21" w16cid:durableId="1401633854">
    <w:abstractNumId w:val="9"/>
  </w:num>
  <w:num w:numId="22" w16cid:durableId="1904900956">
    <w:abstractNumId w:val="15"/>
  </w:num>
  <w:num w:numId="23" w16cid:durableId="1541936066">
    <w:abstractNumId w:val="18"/>
  </w:num>
  <w:num w:numId="24" w16cid:durableId="695697068">
    <w:abstractNumId w:val="24"/>
  </w:num>
  <w:num w:numId="25" w16cid:durableId="515775190">
    <w:abstractNumId w:val="23"/>
  </w:num>
  <w:num w:numId="26" w16cid:durableId="985353882">
    <w:abstractNumId w:val="22"/>
  </w:num>
  <w:num w:numId="27" w16cid:durableId="656151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1D9"/>
    <w:rsid w:val="0000107F"/>
    <w:rsid w:val="00003268"/>
    <w:rsid w:val="0000386D"/>
    <w:rsid w:val="0000435E"/>
    <w:rsid w:val="00007E95"/>
    <w:rsid w:val="000160D3"/>
    <w:rsid w:val="00016549"/>
    <w:rsid w:val="000178EE"/>
    <w:rsid w:val="000217A7"/>
    <w:rsid w:val="00030049"/>
    <w:rsid w:val="00031253"/>
    <w:rsid w:val="00031EF4"/>
    <w:rsid w:val="00033F4B"/>
    <w:rsid w:val="0003457E"/>
    <w:rsid w:val="00034A0B"/>
    <w:rsid w:val="000370DA"/>
    <w:rsid w:val="00044561"/>
    <w:rsid w:val="00046241"/>
    <w:rsid w:val="00050EAC"/>
    <w:rsid w:val="00053386"/>
    <w:rsid w:val="0005482E"/>
    <w:rsid w:val="00055300"/>
    <w:rsid w:val="000576ED"/>
    <w:rsid w:val="00061B9B"/>
    <w:rsid w:val="00064184"/>
    <w:rsid w:val="00064617"/>
    <w:rsid w:val="00064BE9"/>
    <w:rsid w:val="00065C38"/>
    <w:rsid w:val="00066FC1"/>
    <w:rsid w:val="00070BDE"/>
    <w:rsid w:val="0007409D"/>
    <w:rsid w:val="00074CF3"/>
    <w:rsid w:val="00075A6F"/>
    <w:rsid w:val="000764CF"/>
    <w:rsid w:val="00077801"/>
    <w:rsid w:val="00081B9B"/>
    <w:rsid w:val="00084C8E"/>
    <w:rsid w:val="00093952"/>
    <w:rsid w:val="000971B8"/>
    <w:rsid w:val="000A120B"/>
    <w:rsid w:val="000A7002"/>
    <w:rsid w:val="000A7082"/>
    <w:rsid w:val="000A7B92"/>
    <w:rsid w:val="000A7D56"/>
    <w:rsid w:val="000B0BF4"/>
    <w:rsid w:val="000B0FC3"/>
    <w:rsid w:val="000B30C0"/>
    <w:rsid w:val="000B377C"/>
    <w:rsid w:val="000B5656"/>
    <w:rsid w:val="000B57A1"/>
    <w:rsid w:val="000B6183"/>
    <w:rsid w:val="000B74CD"/>
    <w:rsid w:val="000C24B7"/>
    <w:rsid w:val="000C285C"/>
    <w:rsid w:val="000C3349"/>
    <w:rsid w:val="000C457D"/>
    <w:rsid w:val="000C7211"/>
    <w:rsid w:val="000D3261"/>
    <w:rsid w:val="000D54E3"/>
    <w:rsid w:val="000E0AB1"/>
    <w:rsid w:val="000E4B94"/>
    <w:rsid w:val="000E54FA"/>
    <w:rsid w:val="000E6CC4"/>
    <w:rsid w:val="000E7C36"/>
    <w:rsid w:val="000F0E17"/>
    <w:rsid w:val="000F1A32"/>
    <w:rsid w:val="000F388A"/>
    <w:rsid w:val="000F5866"/>
    <w:rsid w:val="000F6721"/>
    <w:rsid w:val="000F721B"/>
    <w:rsid w:val="000F7483"/>
    <w:rsid w:val="000F79BC"/>
    <w:rsid w:val="00102574"/>
    <w:rsid w:val="00104781"/>
    <w:rsid w:val="00104956"/>
    <w:rsid w:val="00107F9B"/>
    <w:rsid w:val="001105F6"/>
    <w:rsid w:val="001108EA"/>
    <w:rsid w:val="00114579"/>
    <w:rsid w:val="001158FE"/>
    <w:rsid w:val="001161BF"/>
    <w:rsid w:val="0012174D"/>
    <w:rsid w:val="001237DD"/>
    <w:rsid w:val="00123D38"/>
    <w:rsid w:val="001248BC"/>
    <w:rsid w:val="00125018"/>
    <w:rsid w:val="0013539E"/>
    <w:rsid w:val="00137BD9"/>
    <w:rsid w:val="001435A6"/>
    <w:rsid w:val="00144164"/>
    <w:rsid w:val="00144FDC"/>
    <w:rsid w:val="00146992"/>
    <w:rsid w:val="00147317"/>
    <w:rsid w:val="00147B45"/>
    <w:rsid w:val="00147C7E"/>
    <w:rsid w:val="0015009A"/>
    <w:rsid w:val="00155D06"/>
    <w:rsid w:val="00157573"/>
    <w:rsid w:val="00157C3E"/>
    <w:rsid w:val="0016557C"/>
    <w:rsid w:val="001668FD"/>
    <w:rsid w:val="00167FB1"/>
    <w:rsid w:val="00171F46"/>
    <w:rsid w:val="00172DD9"/>
    <w:rsid w:val="001815BC"/>
    <w:rsid w:val="001828D9"/>
    <w:rsid w:val="00182ADE"/>
    <w:rsid w:val="0018397C"/>
    <w:rsid w:val="00187A9C"/>
    <w:rsid w:val="00191105"/>
    <w:rsid w:val="00193252"/>
    <w:rsid w:val="0019543F"/>
    <w:rsid w:val="001A19D7"/>
    <w:rsid w:val="001A20D8"/>
    <w:rsid w:val="001A40BD"/>
    <w:rsid w:val="001A7A75"/>
    <w:rsid w:val="001B3CE4"/>
    <w:rsid w:val="001B6EA7"/>
    <w:rsid w:val="001B76FE"/>
    <w:rsid w:val="001B7765"/>
    <w:rsid w:val="001B7B05"/>
    <w:rsid w:val="001C258A"/>
    <w:rsid w:val="001C348A"/>
    <w:rsid w:val="001C4361"/>
    <w:rsid w:val="001C5573"/>
    <w:rsid w:val="001D3954"/>
    <w:rsid w:val="001D65E7"/>
    <w:rsid w:val="001D6E1F"/>
    <w:rsid w:val="001E4036"/>
    <w:rsid w:val="001E5382"/>
    <w:rsid w:val="001F22E4"/>
    <w:rsid w:val="001F24EC"/>
    <w:rsid w:val="001F2EE6"/>
    <w:rsid w:val="001F606E"/>
    <w:rsid w:val="002005DF"/>
    <w:rsid w:val="002032E2"/>
    <w:rsid w:val="00203D98"/>
    <w:rsid w:val="00204D56"/>
    <w:rsid w:val="00205FE7"/>
    <w:rsid w:val="0021013B"/>
    <w:rsid w:val="00210772"/>
    <w:rsid w:val="00211CFC"/>
    <w:rsid w:val="002126C8"/>
    <w:rsid w:val="00214EDF"/>
    <w:rsid w:val="00215F96"/>
    <w:rsid w:val="00217707"/>
    <w:rsid w:val="00220F7D"/>
    <w:rsid w:val="00222CAE"/>
    <w:rsid w:val="002236CB"/>
    <w:rsid w:val="00223DF2"/>
    <w:rsid w:val="00234057"/>
    <w:rsid w:val="002345BC"/>
    <w:rsid w:val="0023568D"/>
    <w:rsid w:val="00236708"/>
    <w:rsid w:val="00240CC7"/>
    <w:rsid w:val="00241181"/>
    <w:rsid w:val="002417A8"/>
    <w:rsid w:val="00241C89"/>
    <w:rsid w:val="00243E82"/>
    <w:rsid w:val="00253576"/>
    <w:rsid w:val="00255B2A"/>
    <w:rsid w:val="00257051"/>
    <w:rsid w:val="0025741D"/>
    <w:rsid w:val="002630E7"/>
    <w:rsid w:val="00264BCF"/>
    <w:rsid w:val="00264DC2"/>
    <w:rsid w:val="00266830"/>
    <w:rsid w:val="00275078"/>
    <w:rsid w:val="0027555D"/>
    <w:rsid w:val="00275596"/>
    <w:rsid w:val="002817B0"/>
    <w:rsid w:val="0028256C"/>
    <w:rsid w:val="002829FE"/>
    <w:rsid w:val="00282E83"/>
    <w:rsid w:val="0028476B"/>
    <w:rsid w:val="00284A87"/>
    <w:rsid w:val="00286499"/>
    <w:rsid w:val="00287CCA"/>
    <w:rsid w:val="00290A09"/>
    <w:rsid w:val="00295D6B"/>
    <w:rsid w:val="002A0BB7"/>
    <w:rsid w:val="002A0CD1"/>
    <w:rsid w:val="002A12D5"/>
    <w:rsid w:val="002A1AB9"/>
    <w:rsid w:val="002A1BF0"/>
    <w:rsid w:val="002A2D20"/>
    <w:rsid w:val="002A4B97"/>
    <w:rsid w:val="002A4CF2"/>
    <w:rsid w:val="002A569A"/>
    <w:rsid w:val="002A5C0B"/>
    <w:rsid w:val="002A68F3"/>
    <w:rsid w:val="002A6948"/>
    <w:rsid w:val="002B0370"/>
    <w:rsid w:val="002B0547"/>
    <w:rsid w:val="002B2C21"/>
    <w:rsid w:val="002B47C8"/>
    <w:rsid w:val="002B5CAB"/>
    <w:rsid w:val="002C002C"/>
    <w:rsid w:val="002C0A2C"/>
    <w:rsid w:val="002C3181"/>
    <w:rsid w:val="002C39D2"/>
    <w:rsid w:val="002C4C78"/>
    <w:rsid w:val="002C6033"/>
    <w:rsid w:val="002D00B1"/>
    <w:rsid w:val="002D2ABB"/>
    <w:rsid w:val="002D4F0C"/>
    <w:rsid w:val="002E26D9"/>
    <w:rsid w:val="002E3F4E"/>
    <w:rsid w:val="002E6405"/>
    <w:rsid w:val="002E64A6"/>
    <w:rsid w:val="002F00B4"/>
    <w:rsid w:val="002F0581"/>
    <w:rsid w:val="002F0F83"/>
    <w:rsid w:val="002F1960"/>
    <w:rsid w:val="002F1F2B"/>
    <w:rsid w:val="002F4292"/>
    <w:rsid w:val="002F4F33"/>
    <w:rsid w:val="002F553B"/>
    <w:rsid w:val="002F571A"/>
    <w:rsid w:val="002F7A6B"/>
    <w:rsid w:val="00301E79"/>
    <w:rsid w:val="003026CC"/>
    <w:rsid w:val="00306737"/>
    <w:rsid w:val="00307489"/>
    <w:rsid w:val="00312A97"/>
    <w:rsid w:val="0031410C"/>
    <w:rsid w:val="00317296"/>
    <w:rsid w:val="0032170D"/>
    <w:rsid w:val="0032346B"/>
    <w:rsid w:val="00326626"/>
    <w:rsid w:val="003324BC"/>
    <w:rsid w:val="0033595A"/>
    <w:rsid w:val="00335EEA"/>
    <w:rsid w:val="003360D3"/>
    <w:rsid w:val="003412AE"/>
    <w:rsid w:val="00342367"/>
    <w:rsid w:val="003464BA"/>
    <w:rsid w:val="003465F1"/>
    <w:rsid w:val="003505FD"/>
    <w:rsid w:val="00351657"/>
    <w:rsid w:val="00352972"/>
    <w:rsid w:val="003529E2"/>
    <w:rsid w:val="003533D8"/>
    <w:rsid w:val="00356ABE"/>
    <w:rsid w:val="003607E1"/>
    <w:rsid w:val="0036112F"/>
    <w:rsid w:val="003613DA"/>
    <w:rsid w:val="00362516"/>
    <w:rsid w:val="00362A38"/>
    <w:rsid w:val="00364B65"/>
    <w:rsid w:val="00365C19"/>
    <w:rsid w:val="00370BE6"/>
    <w:rsid w:val="00371C65"/>
    <w:rsid w:val="0037586C"/>
    <w:rsid w:val="00377288"/>
    <w:rsid w:val="003776FF"/>
    <w:rsid w:val="00380D50"/>
    <w:rsid w:val="003824DA"/>
    <w:rsid w:val="00383FBD"/>
    <w:rsid w:val="00384C73"/>
    <w:rsid w:val="00386155"/>
    <w:rsid w:val="00393937"/>
    <w:rsid w:val="00396F0A"/>
    <w:rsid w:val="00397B35"/>
    <w:rsid w:val="003A48DB"/>
    <w:rsid w:val="003A5C2D"/>
    <w:rsid w:val="003A7F5F"/>
    <w:rsid w:val="003B03EE"/>
    <w:rsid w:val="003B0825"/>
    <w:rsid w:val="003B0834"/>
    <w:rsid w:val="003B2944"/>
    <w:rsid w:val="003B331A"/>
    <w:rsid w:val="003B3833"/>
    <w:rsid w:val="003B3B29"/>
    <w:rsid w:val="003C0E9E"/>
    <w:rsid w:val="003C1B69"/>
    <w:rsid w:val="003C3C33"/>
    <w:rsid w:val="003C7069"/>
    <w:rsid w:val="003D00D4"/>
    <w:rsid w:val="003D0872"/>
    <w:rsid w:val="003D3524"/>
    <w:rsid w:val="003D7C87"/>
    <w:rsid w:val="003E0107"/>
    <w:rsid w:val="003E09DF"/>
    <w:rsid w:val="003E1B43"/>
    <w:rsid w:val="003E391D"/>
    <w:rsid w:val="003E6DAB"/>
    <w:rsid w:val="003E7F52"/>
    <w:rsid w:val="003F0D29"/>
    <w:rsid w:val="003F2F4F"/>
    <w:rsid w:val="003F6C38"/>
    <w:rsid w:val="0040757C"/>
    <w:rsid w:val="00407744"/>
    <w:rsid w:val="00410CB7"/>
    <w:rsid w:val="00413E6E"/>
    <w:rsid w:val="004145A1"/>
    <w:rsid w:val="0041664B"/>
    <w:rsid w:val="00417452"/>
    <w:rsid w:val="00420A0C"/>
    <w:rsid w:val="004225E3"/>
    <w:rsid w:val="00422677"/>
    <w:rsid w:val="00423C19"/>
    <w:rsid w:val="00426E79"/>
    <w:rsid w:val="00427194"/>
    <w:rsid w:val="00435205"/>
    <w:rsid w:val="004377C7"/>
    <w:rsid w:val="0043791A"/>
    <w:rsid w:val="004414F4"/>
    <w:rsid w:val="0044402F"/>
    <w:rsid w:val="004449DD"/>
    <w:rsid w:val="004461E0"/>
    <w:rsid w:val="00447F3C"/>
    <w:rsid w:val="00450E1B"/>
    <w:rsid w:val="00453F09"/>
    <w:rsid w:val="00454320"/>
    <w:rsid w:val="00454D7B"/>
    <w:rsid w:val="00462002"/>
    <w:rsid w:val="004637B5"/>
    <w:rsid w:val="00463AF2"/>
    <w:rsid w:val="00465602"/>
    <w:rsid w:val="00467F94"/>
    <w:rsid w:val="00474378"/>
    <w:rsid w:val="00474AF2"/>
    <w:rsid w:val="004779EE"/>
    <w:rsid w:val="00481981"/>
    <w:rsid w:val="00482EEC"/>
    <w:rsid w:val="004A2B4A"/>
    <w:rsid w:val="004A3447"/>
    <w:rsid w:val="004A3D43"/>
    <w:rsid w:val="004A4791"/>
    <w:rsid w:val="004A5916"/>
    <w:rsid w:val="004B0CAC"/>
    <w:rsid w:val="004B0D07"/>
    <w:rsid w:val="004B0E10"/>
    <w:rsid w:val="004B5D0D"/>
    <w:rsid w:val="004C1693"/>
    <w:rsid w:val="004C20B6"/>
    <w:rsid w:val="004C2495"/>
    <w:rsid w:val="004C29D5"/>
    <w:rsid w:val="004C3D6E"/>
    <w:rsid w:val="004C4C84"/>
    <w:rsid w:val="004D7000"/>
    <w:rsid w:val="004D74F4"/>
    <w:rsid w:val="004E29D6"/>
    <w:rsid w:val="004E2C26"/>
    <w:rsid w:val="004E2F8B"/>
    <w:rsid w:val="004E48C1"/>
    <w:rsid w:val="004E4CF0"/>
    <w:rsid w:val="004F5AF8"/>
    <w:rsid w:val="004F673C"/>
    <w:rsid w:val="004F7A6F"/>
    <w:rsid w:val="004F7CE3"/>
    <w:rsid w:val="00500CA4"/>
    <w:rsid w:val="00502445"/>
    <w:rsid w:val="005047E7"/>
    <w:rsid w:val="00504F2A"/>
    <w:rsid w:val="0050614A"/>
    <w:rsid w:val="00506C36"/>
    <w:rsid w:val="00506DA7"/>
    <w:rsid w:val="00507873"/>
    <w:rsid w:val="00507E9A"/>
    <w:rsid w:val="0051046C"/>
    <w:rsid w:val="00511623"/>
    <w:rsid w:val="005119C7"/>
    <w:rsid w:val="00514165"/>
    <w:rsid w:val="00515555"/>
    <w:rsid w:val="00517B5F"/>
    <w:rsid w:val="00517D2B"/>
    <w:rsid w:val="00521FEB"/>
    <w:rsid w:val="0052264E"/>
    <w:rsid w:val="00524DA2"/>
    <w:rsid w:val="00525603"/>
    <w:rsid w:val="00525F08"/>
    <w:rsid w:val="00532BED"/>
    <w:rsid w:val="00536039"/>
    <w:rsid w:val="00536342"/>
    <w:rsid w:val="00541A9D"/>
    <w:rsid w:val="00543A93"/>
    <w:rsid w:val="00543F73"/>
    <w:rsid w:val="005442D5"/>
    <w:rsid w:val="00545AA6"/>
    <w:rsid w:val="00545DA7"/>
    <w:rsid w:val="005515C3"/>
    <w:rsid w:val="00552F8F"/>
    <w:rsid w:val="00553604"/>
    <w:rsid w:val="005541D9"/>
    <w:rsid w:val="005542C5"/>
    <w:rsid w:val="00554FBA"/>
    <w:rsid w:val="0055544F"/>
    <w:rsid w:val="00557424"/>
    <w:rsid w:val="005574A0"/>
    <w:rsid w:val="00557A4E"/>
    <w:rsid w:val="005602AA"/>
    <w:rsid w:val="0056225E"/>
    <w:rsid w:val="00562FA2"/>
    <w:rsid w:val="00564F7F"/>
    <w:rsid w:val="005654F1"/>
    <w:rsid w:val="005661CF"/>
    <w:rsid w:val="005675B8"/>
    <w:rsid w:val="0057435F"/>
    <w:rsid w:val="00577760"/>
    <w:rsid w:val="00577B2F"/>
    <w:rsid w:val="00577EA1"/>
    <w:rsid w:val="00580838"/>
    <w:rsid w:val="00581111"/>
    <w:rsid w:val="00581A68"/>
    <w:rsid w:val="0058252D"/>
    <w:rsid w:val="00583E10"/>
    <w:rsid w:val="0058463A"/>
    <w:rsid w:val="00585F04"/>
    <w:rsid w:val="00591E8E"/>
    <w:rsid w:val="00593F82"/>
    <w:rsid w:val="00595C72"/>
    <w:rsid w:val="00596D3B"/>
    <w:rsid w:val="0059793A"/>
    <w:rsid w:val="00597ADE"/>
    <w:rsid w:val="00597ED1"/>
    <w:rsid w:val="005A0BB7"/>
    <w:rsid w:val="005A2BF4"/>
    <w:rsid w:val="005B006C"/>
    <w:rsid w:val="005B0346"/>
    <w:rsid w:val="005B0DF4"/>
    <w:rsid w:val="005B2CF4"/>
    <w:rsid w:val="005B360C"/>
    <w:rsid w:val="005B46A5"/>
    <w:rsid w:val="005C147F"/>
    <w:rsid w:val="005C665B"/>
    <w:rsid w:val="005D041C"/>
    <w:rsid w:val="005D18BF"/>
    <w:rsid w:val="005D4698"/>
    <w:rsid w:val="005D7A43"/>
    <w:rsid w:val="005D7FCF"/>
    <w:rsid w:val="005E1ED5"/>
    <w:rsid w:val="005E256F"/>
    <w:rsid w:val="005E2A3C"/>
    <w:rsid w:val="005E41CF"/>
    <w:rsid w:val="005E5EDE"/>
    <w:rsid w:val="005F3FFB"/>
    <w:rsid w:val="005F4301"/>
    <w:rsid w:val="005F48F7"/>
    <w:rsid w:val="0060217F"/>
    <w:rsid w:val="00602EE2"/>
    <w:rsid w:val="00605E44"/>
    <w:rsid w:val="00607186"/>
    <w:rsid w:val="0061492D"/>
    <w:rsid w:val="00614A8B"/>
    <w:rsid w:val="006171B6"/>
    <w:rsid w:val="006205E1"/>
    <w:rsid w:val="006223A1"/>
    <w:rsid w:val="00623264"/>
    <w:rsid w:val="00623CDF"/>
    <w:rsid w:val="00623D50"/>
    <w:rsid w:val="00626F54"/>
    <w:rsid w:val="0062721E"/>
    <w:rsid w:val="00633EB7"/>
    <w:rsid w:val="006373FA"/>
    <w:rsid w:val="00641D7F"/>
    <w:rsid w:val="006422B5"/>
    <w:rsid w:val="00643D5F"/>
    <w:rsid w:val="006450BF"/>
    <w:rsid w:val="00645A95"/>
    <w:rsid w:val="00651EFC"/>
    <w:rsid w:val="00652209"/>
    <w:rsid w:val="006529C8"/>
    <w:rsid w:val="00652F2A"/>
    <w:rsid w:val="0065327F"/>
    <w:rsid w:val="00656DCA"/>
    <w:rsid w:val="00656F95"/>
    <w:rsid w:val="00657E0B"/>
    <w:rsid w:val="006626D4"/>
    <w:rsid w:val="00664AAC"/>
    <w:rsid w:val="00670D65"/>
    <w:rsid w:val="0067414F"/>
    <w:rsid w:val="00676869"/>
    <w:rsid w:val="00680C5F"/>
    <w:rsid w:val="00681812"/>
    <w:rsid w:val="00682E9A"/>
    <w:rsid w:val="00683E76"/>
    <w:rsid w:val="00686ECE"/>
    <w:rsid w:val="00690808"/>
    <w:rsid w:val="00692CBA"/>
    <w:rsid w:val="00693C11"/>
    <w:rsid w:val="00697735"/>
    <w:rsid w:val="006A18C4"/>
    <w:rsid w:val="006A23CF"/>
    <w:rsid w:val="006A3404"/>
    <w:rsid w:val="006A3425"/>
    <w:rsid w:val="006A4CFB"/>
    <w:rsid w:val="006A51D4"/>
    <w:rsid w:val="006A5B6D"/>
    <w:rsid w:val="006A65E4"/>
    <w:rsid w:val="006B0B55"/>
    <w:rsid w:val="006B34F0"/>
    <w:rsid w:val="006B46DE"/>
    <w:rsid w:val="006B5B4C"/>
    <w:rsid w:val="006B782E"/>
    <w:rsid w:val="006B7CE2"/>
    <w:rsid w:val="006C0761"/>
    <w:rsid w:val="006C1765"/>
    <w:rsid w:val="006C5C5E"/>
    <w:rsid w:val="006C7D41"/>
    <w:rsid w:val="006D4A11"/>
    <w:rsid w:val="006E40A8"/>
    <w:rsid w:val="006F2DB3"/>
    <w:rsid w:val="006F6A10"/>
    <w:rsid w:val="006F74DB"/>
    <w:rsid w:val="006F7FB6"/>
    <w:rsid w:val="00700C97"/>
    <w:rsid w:val="00701865"/>
    <w:rsid w:val="00703EDA"/>
    <w:rsid w:val="00707408"/>
    <w:rsid w:val="00710661"/>
    <w:rsid w:val="0071269C"/>
    <w:rsid w:val="007127B8"/>
    <w:rsid w:val="00713BD8"/>
    <w:rsid w:val="00713E1A"/>
    <w:rsid w:val="007143B8"/>
    <w:rsid w:val="007160C2"/>
    <w:rsid w:val="0071756F"/>
    <w:rsid w:val="00721661"/>
    <w:rsid w:val="007274DF"/>
    <w:rsid w:val="0073041F"/>
    <w:rsid w:val="00733113"/>
    <w:rsid w:val="00733A7D"/>
    <w:rsid w:val="00740065"/>
    <w:rsid w:val="0074364E"/>
    <w:rsid w:val="00744F30"/>
    <w:rsid w:val="00746282"/>
    <w:rsid w:val="00747B3B"/>
    <w:rsid w:val="00754C47"/>
    <w:rsid w:val="00755EBE"/>
    <w:rsid w:val="00757684"/>
    <w:rsid w:val="00757A30"/>
    <w:rsid w:val="007621DA"/>
    <w:rsid w:val="007644CA"/>
    <w:rsid w:val="007664BA"/>
    <w:rsid w:val="00767323"/>
    <w:rsid w:val="00773940"/>
    <w:rsid w:val="0077439A"/>
    <w:rsid w:val="00775418"/>
    <w:rsid w:val="00775673"/>
    <w:rsid w:val="00776760"/>
    <w:rsid w:val="007836E8"/>
    <w:rsid w:val="007857EE"/>
    <w:rsid w:val="00786C15"/>
    <w:rsid w:val="00793AE8"/>
    <w:rsid w:val="00797FFB"/>
    <w:rsid w:val="007A38AE"/>
    <w:rsid w:val="007A4DEC"/>
    <w:rsid w:val="007A5C86"/>
    <w:rsid w:val="007B4ADC"/>
    <w:rsid w:val="007B6EC7"/>
    <w:rsid w:val="007C0C61"/>
    <w:rsid w:val="007C3CED"/>
    <w:rsid w:val="007C4251"/>
    <w:rsid w:val="007C5196"/>
    <w:rsid w:val="007C5E5B"/>
    <w:rsid w:val="007C73A2"/>
    <w:rsid w:val="007C77E8"/>
    <w:rsid w:val="007D2697"/>
    <w:rsid w:val="007D2A3B"/>
    <w:rsid w:val="007D62A9"/>
    <w:rsid w:val="007E0929"/>
    <w:rsid w:val="007E2416"/>
    <w:rsid w:val="007E49F2"/>
    <w:rsid w:val="007E7A39"/>
    <w:rsid w:val="007E7B2D"/>
    <w:rsid w:val="007F138C"/>
    <w:rsid w:val="007F17ED"/>
    <w:rsid w:val="007F31C9"/>
    <w:rsid w:val="007F7465"/>
    <w:rsid w:val="007F75B7"/>
    <w:rsid w:val="00800B0B"/>
    <w:rsid w:val="00801579"/>
    <w:rsid w:val="008015DD"/>
    <w:rsid w:val="00802563"/>
    <w:rsid w:val="00804CDB"/>
    <w:rsid w:val="00805700"/>
    <w:rsid w:val="00806763"/>
    <w:rsid w:val="00810547"/>
    <w:rsid w:val="00811781"/>
    <w:rsid w:val="00812D8B"/>
    <w:rsid w:val="008135A9"/>
    <w:rsid w:val="00815DCE"/>
    <w:rsid w:val="00817CEF"/>
    <w:rsid w:val="00823442"/>
    <w:rsid w:val="00823F3A"/>
    <w:rsid w:val="00823F90"/>
    <w:rsid w:val="00826591"/>
    <w:rsid w:val="00826E72"/>
    <w:rsid w:val="00830A64"/>
    <w:rsid w:val="00832983"/>
    <w:rsid w:val="00834B70"/>
    <w:rsid w:val="00836C84"/>
    <w:rsid w:val="00850654"/>
    <w:rsid w:val="008509EB"/>
    <w:rsid w:val="008521BF"/>
    <w:rsid w:val="00853CB5"/>
    <w:rsid w:val="00855D6E"/>
    <w:rsid w:val="00855ED0"/>
    <w:rsid w:val="00857837"/>
    <w:rsid w:val="00857C22"/>
    <w:rsid w:val="0086055C"/>
    <w:rsid w:val="00863EA1"/>
    <w:rsid w:val="008642D3"/>
    <w:rsid w:val="0087531B"/>
    <w:rsid w:val="00876A14"/>
    <w:rsid w:val="008774A9"/>
    <w:rsid w:val="00884B9F"/>
    <w:rsid w:val="00894D5F"/>
    <w:rsid w:val="00897681"/>
    <w:rsid w:val="008A0C60"/>
    <w:rsid w:val="008A3E38"/>
    <w:rsid w:val="008A44C5"/>
    <w:rsid w:val="008A61AA"/>
    <w:rsid w:val="008B2D32"/>
    <w:rsid w:val="008B72EF"/>
    <w:rsid w:val="008C05B1"/>
    <w:rsid w:val="008C2B46"/>
    <w:rsid w:val="008C34FF"/>
    <w:rsid w:val="008C67FE"/>
    <w:rsid w:val="008D1235"/>
    <w:rsid w:val="008D1453"/>
    <w:rsid w:val="008D2475"/>
    <w:rsid w:val="008D4867"/>
    <w:rsid w:val="008D626E"/>
    <w:rsid w:val="008E1E97"/>
    <w:rsid w:val="008E265D"/>
    <w:rsid w:val="008F01C0"/>
    <w:rsid w:val="008F0FA1"/>
    <w:rsid w:val="008F2023"/>
    <w:rsid w:val="008F74E0"/>
    <w:rsid w:val="009004D4"/>
    <w:rsid w:val="00900724"/>
    <w:rsid w:val="00902123"/>
    <w:rsid w:val="00902A5B"/>
    <w:rsid w:val="00906108"/>
    <w:rsid w:val="00910930"/>
    <w:rsid w:val="00911EAA"/>
    <w:rsid w:val="00912D8E"/>
    <w:rsid w:val="00913F90"/>
    <w:rsid w:val="009157E7"/>
    <w:rsid w:val="00915B4E"/>
    <w:rsid w:val="00915EDE"/>
    <w:rsid w:val="00917BF1"/>
    <w:rsid w:val="0092198A"/>
    <w:rsid w:val="00927C4A"/>
    <w:rsid w:val="00930484"/>
    <w:rsid w:val="00931257"/>
    <w:rsid w:val="0093222C"/>
    <w:rsid w:val="009333A0"/>
    <w:rsid w:val="00933470"/>
    <w:rsid w:val="00936727"/>
    <w:rsid w:val="00941023"/>
    <w:rsid w:val="00941296"/>
    <w:rsid w:val="009444F5"/>
    <w:rsid w:val="00945688"/>
    <w:rsid w:val="00945F7D"/>
    <w:rsid w:val="0094612C"/>
    <w:rsid w:val="0094659E"/>
    <w:rsid w:val="00947C86"/>
    <w:rsid w:val="00950DDB"/>
    <w:rsid w:val="00952DA6"/>
    <w:rsid w:val="00956F60"/>
    <w:rsid w:val="00961AB9"/>
    <w:rsid w:val="00965EDD"/>
    <w:rsid w:val="0096686B"/>
    <w:rsid w:val="00974E0F"/>
    <w:rsid w:val="00976510"/>
    <w:rsid w:val="009766E2"/>
    <w:rsid w:val="00977FB5"/>
    <w:rsid w:val="00982E0D"/>
    <w:rsid w:val="0098487A"/>
    <w:rsid w:val="00986222"/>
    <w:rsid w:val="0098699F"/>
    <w:rsid w:val="00991D4E"/>
    <w:rsid w:val="00993C8E"/>
    <w:rsid w:val="00993CAC"/>
    <w:rsid w:val="00995F41"/>
    <w:rsid w:val="00995F45"/>
    <w:rsid w:val="0099651C"/>
    <w:rsid w:val="00997EC4"/>
    <w:rsid w:val="009A181D"/>
    <w:rsid w:val="009A5845"/>
    <w:rsid w:val="009A58B8"/>
    <w:rsid w:val="009A5D4A"/>
    <w:rsid w:val="009B04DA"/>
    <w:rsid w:val="009B279E"/>
    <w:rsid w:val="009B60E0"/>
    <w:rsid w:val="009B7C85"/>
    <w:rsid w:val="009C0F87"/>
    <w:rsid w:val="009C2580"/>
    <w:rsid w:val="009C6194"/>
    <w:rsid w:val="009C6741"/>
    <w:rsid w:val="009D47AC"/>
    <w:rsid w:val="009D5876"/>
    <w:rsid w:val="009E16C5"/>
    <w:rsid w:val="009E2BAE"/>
    <w:rsid w:val="009E5172"/>
    <w:rsid w:val="009F1BA1"/>
    <w:rsid w:val="009F224C"/>
    <w:rsid w:val="009F70FD"/>
    <w:rsid w:val="00A01EE8"/>
    <w:rsid w:val="00A0334F"/>
    <w:rsid w:val="00A03A82"/>
    <w:rsid w:val="00A03CB7"/>
    <w:rsid w:val="00A04264"/>
    <w:rsid w:val="00A074F3"/>
    <w:rsid w:val="00A10997"/>
    <w:rsid w:val="00A14796"/>
    <w:rsid w:val="00A16189"/>
    <w:rsid w:val="00A175C3"/>
    <w:rsid w:val="00A21CC1"/>
    <w:rsid w:val="00A22802"/>
    <w:rsid w:val="00A252B1"/>
    <w:rsid w:val="00A25A68"/>
    <w:rsid w:val="00A40D18"/>
    <w:rsid w:val="00A427DC"/>
    <w:rsid w:val="00A43BFA"/>
    <w:rsid w:val="00A46F11"/>
    <w:rsid w:val="00A52FBE"/>
    <w:rsid w:val="00A53EC5"/>
    <w:rsid w:val="00A555E2"/>
    <w:rsid w:val="00A6017A"/>
    <w:rsid w:val="00A6122A"/>
    <w:rsid w:val="00A61339"/>
    <w:rsid w:val="00A6167B"/>
    <w:rsid w:val="00A62D0F"/>
    <w:rsid w:val="00A72B15"/>
    <w:rsid w:val="00A73976"/>
    <w:rsid w:val="00A76D5A"/>
    <w:rsid w:val="00A87A90"/>
    <w:rsid w:val="00A87CF4"/>
    <w:rsid w:val="00A916D7"/>
    <w:rsid w:val="00A916E0"/>
    <w:rsid w:val="00A9282B"/>
    <w:rsid w:val="00A93D95"/>
    <w:rsid w:val="00AA0D42"/>
    <w:rsid w:val="00AA19BE"/>
    <w:rsid w:val="00AB10C2"/>
    <w:rsid w:val="00AB27FF"/>
    <w:rsid w:val="00AB4095"/>
    <w:rsid w:val="00AB6B9C"/>
    <w:rsid w:val="00AC07BD"/>
    <w:rsid w:val="00AC22FD"/>
    <w:rsid w:val="00AC33EC"/>
    <w:rsid w:val="00AC48A0"/>
    <w:rsid w:val="00AC492E"/>
    <w:rsid w:val="00AC50CD"/>
    <w:rsid w:val="00AC58A4"/>
    <w:rsid w:val="00AD06E3"/>
    <w:rsid w:val="00AD12F1"/>
    <w:rsid w:val="00AD4811"/>
    <w:rsid w:val="00AD54BF"/>
    <w:rsid w:val="00AD5865"/>
    <w:rsid w:val="00AD5876"/>
    <w:rsid w:val="00AD7BF5"/>
    <w:rsid w:val="00AE5016"/>
    <w:rsid w:val="00AE68CB"/>
    <w:rsid w:val="00AF36EC"/>
    <w:rsid w:val="00AF60F8"/>
    <w:rsid w:val="00B0200F"/>
    <w:rsid w:val="00B02E24"/>
    <w:rsid w:val="00B03E25"/>
    <w:rsid w:val="00B04B9C"/>
    <w:rsid w:val="00B0767A"/>
    <w:rsid w:val="00B1105D"/>
    <w:rsid w:val="00B119A7"/>
    <w:rsid w:val="00B1271B"/>
    <w:rsid w:val="00B1495F"/>
    <w:rsid w:val="00B16609"/>
    <w:rsid w:val="00B17B48"/>
    <w:rsid w:val="00B21BE6"/>
    <w:rsid w:val="00B22335"/>
    <w:rsid w:val="00B230F0"/>
    <w:rsid w:val="00B25629"/>
    <w:rsid w:val="00B2743C"/>
    <w:rsid w:val="00B276BD"/>
    <w:rsid w:val="00B35346"/>
    <w:rsid w:val="00B3635C"/>
    <w:rsid w:val="00B37660"/>
    <w:rsid w:val="00B40DC3"/>
    <w:rsid w:val="00B42605"/>
    <w:rsid w:val="00B44A0F"/>
    <w:rsid w:val="00B46757"/>
    <w:rsid w:val="00B47032"/>
    <w:rsid w:val="00B53843"/>
    <w:rsid w:val="00B54B5B"/>
    <w:rsid w:val="00B575BF"/>
    <w:rsid w:val="00B62DE6"/>
    <w:rsid w:val="00B640CD"/>
    <w:rsid w:val="00B647CB"/>
    <w:rsid w:val="00B65FF2"/>
    <w:rsid w:val="00B66E62"/>
    <w:rsid w:val="00B702E0"/>
    <w:rsid w:val="00B74A3F"/>
    <w:rsid w:val="00B75540"/>
    <w:rsid w:val="00B75657"/>
    <w:rsid w:val="00B76AF2"/>
    <w:rsid w:val="00B76C69"/>
    <w:rsid w:val="00B80D0E"/>
    <w:rsid w:val="00B8413D"/>
    <w:rsid w:val="00B8762F"/>
    <w:rsid w:val="00B91CCB"/>
    <w:rsid w:val="00B91F83"/>
    <w:rsid w:val="00B92972"/>
    <w:rsid w:val="00B97F5D"/>
    <w:rsid w:val="00BA346F"/>
    <w:rsid w:val="00BB18A6"/>
    <w:rsid w:val="00BB2863"/>
    <w:rsid w:val="00BB39C1"/>
    <w:rsid w:val="00BC0F83"/>
    <w:rsid w:val="00BC1D1B"/>
    <w:rsid w:val="00BC4D25"/>
    <w:rsid w:val="00BC51FF"/>
    <w:rsid w:val="00BC7767"/>
    <w:rsid w:val="00BC7BA2"/>
    <w:rsid w:val="00BD2A5F"/>
    <w:rsid w:val="00BD3142"/>
    <w:rsid w:val="00BD6E26"/>
    <w:rsid w:val="00BE06EF"/>
    <w:rsid w:val="00BE5D8B"/>
    <w:rsid w:val="00BE6396"/>
    <w:rsid w:val="00BE7404"/>
    <w:rsid w:val="00BF1DD6"/>
    <w:rsid w:val="00BF51E5"/>
    <w:rsid w:val="00C00725"/>
    <w:rsid w:val="00C02170"/>
    <w:rsid w:val="00C03A05"/>
    <w:rsid w:val="00C04297"/>
    <w:rsid w:val="00C045DE"/>
    <w:rsid w:val="00C04C8C"/>
    <w:rsid w:val="00C057B5"/>
    <w:rsid w:val="00C057B8"/>
    <w:rsid w:val="00C11DC0"/>
    <w:rsid w:val="00C14EB3"/>
    <w:rsid w:val="00C15912"/>
    <w:rsid w:val="00C2488F"/>
    <w:rsid w:val="00C264C8"/>
    <w:rsid w:val="00C345F3"/>
    <w:rsid w:val="00C3540C"/>
    <w:rsid w:val="00C35DA6"/>
    <w:rsid w:val="00C36824"/>
    <w:rsid w:val="00C4031D"/>
    <w:rsid w:val="00C43ADC"/>
    <w:rsid w:val="00C45B25"/>
    <w:rsid w:val="00C47EE1"/>
    <w:rsid w:val="00C547EE"/>
    <w:rsid w:val="00C5540D"/>
    <w:rsid w:val="00C6138A"/>
    <w:rsid w:val="00C628D1"/>
    <w:rsid w:val="00C660AF"/>
    <w:rsid w:val="00C663D5"/>
    <w:rsid w:val="00C67F79"/>
    <w:rsid w:val="00C72441"/>
    <w:rsid w:val="00C732F8"/>
    <w:rsid w:val="00C7737D"/>
    <w:rsid w:val="00C77BB1"/>
    <w:rsid w:val="00C80EE0"/>
    <w:rsid w:val="00C81A61"/>
    <w:rsid w:val="00C8344D"/>
    <w:rsid w:val="00C845F3"/>
    <w:rsid w:val="00C85B2A"/>
    <w:rsid w:val="00C8771B"/>
    <w:rsid w:val="00C933AC"/>
    <w:rsid w:val="00C93B92"/>
    <w:rsid w:val="00C94445"/>
    <w:rsid w:val="00C94AE1"/>
    <w:rsid w:val="00C95B3C"/>
    <w:rsid w:val="00C96C27"/>
    <w:rsid w:val="00CA01D8"/>
    <w:rsid w:val="00CA1B9D"/>
    <w:rsid w:val="00CA1C14"/>
    <w:rsid w:val="00CA1D4D"/>
    <w:rsid w:val="00CA4CCE"/>
    <w:rsid w:val="00CB4701"/>
    <w:rsid w:val="00CB73EB"/>
    <w:rsid w:val="00CC0347"/>
    <w:rsid w:val="00CC2337"/>
    <w:rsid w:val="00CC2F93"/>
    <w:rsid w:val="00CC3C27"/>
    <w:rsid w:val="00CC621D"/>
    <w:rsid w:val="00CC79FE"/>
    <w:rsid w:val="00CD2374"/>
    <w:rsid w:val="00CD439B"/>
    <w:rsid w:val="00CD45F0"/>
    <w:rsid w:val="00CD53FE"/>
    <w:rsid w:val="00CD74AF"/>
    <w:rsid w:val="00CD75A1"/>
    <w:rsid w:val="00CE310F"/>
    <w:rsid w:val="00CE313C"/>
    <w:rsid w:val="00CE4945"/>
    <w:rsid w:val="00CE5326"/>
    <w:rsid w:val="00CF0216"/>
    <w:rsid w:val="00CF04FD"/>
    <w:rsid w:val="00CF0C78"/>
    <w:rsid w:val="00CF10FC"/>
    <w:rsid w:val="00CF2582"/>
    <w:rsid w:val="00CF25FB"/>
    <w:rsid w:val="00CF665C"/>
    <w:rsid w:val="00D011BF"/>
    <w:rsid w:val="00D03DB6"/>
    <w:rsid w:val="00D04243"/>
    <w:rsid w:val="00D072AA"/>
    <w:rsid w:val="00D11340"/>
    <w:rsid w:val="00D1283C"/>
    <w:rsid w:val="00D1488C"/>
    <w:rsid w:val="00D14FE0"/>
    <w:rsid w:val="00D2276E"/>
    <w:rsid w:val="00D23157"/>
    <w:rsid w:val="00D31F91"/>
    <w:rsid w:val="00D33CE1"/>
    <w:rsid w:val="00D35648"/>
    <w:rsid w:val="00D422B4"/>
    <w:rsid w:val="00D42561"/>
    <w:rsid w:val="00D46515"/>
    <w:rsid w:val="00D5566E"/>
    <w:rsid w:val="00D5668E"/>
    <w:rsid w:val="00D609C8"/>
    <w:rsid w:val="00D61913"/>
    <w:rsid w:val="00D6376B"/>
    <w:rsid w:val="00D67696"/>
    <w:rsid w:val="00D73312"/>
    <w:rsid w:val="00D739DC"/>
    <w:rsid w:val="00D7440E"/>
    <w:rsid w:val="00D776DC"/>
    <w:rsid w:val="00D84C4C"/>
    <w:rsid w:val="00D8691E"/>
    <w:rsid w:val="00D873DE"/>
    <w:rsid w:val="00D93025"/>
    <w:rsid w:val="00DA267C"/>
    <w:rsid w:val="00DA3D57"/>
    <w:rsid w:val="00DA4930"/>
    <w:rsid w:val="00DA652E"/>
    <w:rsid w:val="00DB03D5"/>
    <w:rsid w:val="00DB0BE3"/>
    <w:rsid w:val="00DB1C88"/>
    <w:rsid w:val="00DB1EB8"/>
    <w:rsid w:val="00DB255F"/>
    <w:rsid w:val="00DB36FA"/>
    <w:rsid w:val="00DB4A71"/>
    <w:rsid w:val="00DC1605"/>
    <w:rsid w:val="00DC1C51"/>
    <w:rsid w:val="00DC3AD8"/>
    <w:rsid w:val="00DC41BE"/>
    <w:rsid w:val="00DC4916"/>
    <w:rsid w:val="00DC4A4D"/>
    <w:rsid w:val="00DC7E83"/>
    <w:rsid w:val="00DD08FB"/>
    <w:rsid w:val="00DD2601"/>
    <w:rsid w:val="00DD36C2"/>
    <w:rsid w:val="00DD5239"/>
    <w:rsid w:val="00DD5697"/>
    <w:rsid w:val="00DE24DC"/>
    <w:rsid w:val="00DE318F"/>
    <w:rsid w:val="00DE5DDB"/>
    <w:rsid w:val="00DE6EA6"/>
    <w:rsid w:val="00DF2C66"/>
    <w:rsid w:val="00DF3D7B"/>
    <w:rsid w:val="00DF4D75"/>
    <w:rsid w:val="00DF5131"/>
    <w:rsid w:val="00DF6209"/>
    <w:rsid w:val="00E00BD8"/>
    <w:rsid w:val="00E03212"/>
    <w:rsid w:val="00E05D2E"/>
    <w:rsid w:val="00E064BF"/>
    <w:rsid w:val="00E13B7A"/>
    <w:rsid w:val="00E15B6A"/>
    <w:rsid w:val="00E20FF4"/>
    <w:rsid w:val="00E2345B"/>
    <w:rsid w:val="00E24978"/>
    <w:rsid w:val="00E2764E"/>
    <w:rsid w:val="00E304E9"/>
    <w:rsid w:val="00E309E0"/>
    <w:rsid w:val="00E32ECE"/>
    <w:rsid w:val="00E3418A"/>
    <w:rsid w:val="00E34596"/>
    <w:rsid w:val="00E346BE"/>
    <w:rsid w:val="00E35E81"/>
    <w:rsid w:val="00E36B0C"/>
    <w:rsid w:val="00E36D5F"/>
    <w:rsid w:val="00E40DC5"/>
    <w:rsid w:val="00E44702"/>
    <w:rsid w:val="00E44F72"/>
    <w:rsid w:val="00E45454"/>
    <w:rsid w:val="00E46FA4"/>
    <w:rsid w:val="00E507D6"/>
    <w:rsid w:val="00E50F82"/>
    <w:rsid w:val="00E5326E"/>
    <w:rsid w:val="00E5366A"/>
    <w:rsid w:val="00E54CBC"/>
    <w:rsid w:val="00E561EF"/>
    <w:rsid w:val="00E568FB"/>
    <w:rsid w:val="00E571F8"/>
    <w:rsid w:val="00E61DD9"/>
    <w:rsid w:val="00E64BEC"/>
    <w:rsid w:val="00E662BA"/>
    <w:rsid w:val="00E6647E"/>
    <w:rsid w:val="00E70912"/>
    <w:rsid w:val="00E72AED"/>
    <w:rsid w:val="00E7335E"/>
    <w:rsid w:val="00E7386B"/>
    <w:rsid w:val="00E761C2"/>
    <w:rsid w:val="00E8123C"/>
    <w:rsid w:val="00E8313D"/>
    <w:rsid w:val="00E8637C"/>
    <w:rsid w:val="00E86492"/>
    <w:rsid w:val="00E86ADC"/>
    <w:rsid w:val="00E93A0B"/>
    <w:rsid w:val="00E95677"/>
    <w:rsid w:val="00EA1796"/>
    <w:rsid w:val="00EA3BA5"/>
    <w:rsid w:val="00EA3ED5"/>
    <w:rsid w:val="00EA5E56"/>
    <w:rsid w:val="00EB26F9"/>
    <w:rsid w:val="00EB31C2"/>
    <w:rsid w:val="00EB3E10"/>
    <w:rsid w:val="00EB582C"/>
    <w:rsid w:val="00EB798E"/>
    <w:rsid w:val="00EC301D"/>
    <w:rsid w:val="00EC32A2"/>
    <w:rsid w:val="00EC4379"/>
    <w:rsid w:val="00ED00EB"/>
    <w:rsid w:val="00ED3555"/>
    <w:rsid w:val="00ED3D31"/>
    <w:rsid w:val="00ED3EEB"/>
    <w:rsid w:val="00ED6476"/>
    <w:rsid w:val="00ED68C4"/>
    <w:rsid w:val="00EE14DC"/>
    <w:rsid w:val="00EE222D"/>
    <w:rsid w:val="00EE282C"/>
    <w:rsid w:val="00EE57F2"/>
    <w:rsid w:val="00EE5C85"/>
    <w:rsid w:val="00EF3FDB"/>
    <w:rsid w:val="00EF4399"/>
    <w:rsid w:val="00EF5B26"/>
    <w:rsid w:val="00EF607C"/>
    <w:rsid w:val="00EF74A8"/>
    <w:rsid w:val="00F00F75"/>
    <w:rsid w:val="00F02116"/>
    <w:rsid w:val="00F02789"/>
    <w:rsid w:val="00F02E41"/>
    <w:rsid w:val="00F03A53"/>
    <w:rsid w:val="00F04ECD"/>
    <w:rsid w:val="00F04FA6"/>
    <w:rsid w:val="00F1001F"/>
    <w:rsid w:val="00F12245"/>
    <w:rsid w:val="00F16D25"/>
    <w:rsid w:val="00F1710B"/>
    <w:rsid w:val="00F1738E"/>
    <w:rsid w:val="00F179A0"/>
    <w:rsid w:val="00F213B0"/>
    <w:rsid w:val="00F21B26"/>
    <w:rsid w:val="00F24EFC"/>
    <w:rsid w:val="00F31A26"/>
    <w:rsid w:val="00F3240B"/>
    <w:rsid w:val="00F3646C"/>
    <w:rsid w:val="00F40FE9"/>
    <w:rsid w:val="00F424A1"/>
    <w:rsid w:val="00F42D13"/>
    <w:rsid w:val="00F45F78"/>
    <w:rsid w:val="00F46335"/>
    <w:rsid w:val="00F50BD4"/>
    <w:rsid w:val="00F50DE1"/>
    <w:rsid w:val="00F52A75"/>
    <w:rsid w:val="00F53276"/>
    <w:rsid w:val="00F541ED"/>
    <w:rsid w:val="00F54275"/>
    <w:rsid w:val="00F54395"/>
    <w:rsid w:val="00F56352"/>
    <w:rsid w:val="00F60101"/>
    <w:rsid w:val="00F61CD2"/>
    <w:rsid w:val="00F64470"/>
    <w:rsid w:val="00F64487"/>
    <w:rsid w:val="00F64544"/>
    <w:rsid w:val="00F65789"/>
    <w:rsid w:val="00F70505"/>
    <w:rsid w:val="00F708C7"/>
    <w:rsid w:val="00F73394"/>
    <w:rsid w:val="00F744E9"/>
    <w:rsid w:val="00F74BE8"/>
    <w:rsid w:val="00F75C2B"/>
    <w:rsid w:val="00F76221"/>
    <w:rsid w:val="00F76F1A"/>
    <w:rsid w:val="00F777B5"/>
    <w:rsid w:val="00F806DB"/>
    <w:rsid w:val="00F81186"/>
    <w:rsid w:val="00F82FCB"/>
    <w:rsid w:val="00F84465"/>
    <w:rsid w:val="00F84AFE"/>
    <w:rsid w:val="00F87A56"/>
    <w:rsid w:val="00F93A34"/>
    <w:rsid w:val="00F9445C"/>
    <w:rsid w:val="00FA07FB"/>
    <w:rsid w:val="00FA414D"/>
    <w:rsid w:val="00FA76A1"/>
    <w:rsid w:val="00FB05BB"/>
    <w:rsid w:val="00FB0850"/>
    <w:rsid w:val="00FB18A8"/>
    <w:rsid w:val="00FB216A"/>
    <w:rsid w:val="00FB2B66"/>
    <w:rsid w:val="00FB4DAB"/>
    <w:rsid w:val="00FB4EAC"/>
    <w:rsid w:val="00FB7BF1"/>
    <w:rsid w:val="00FC232A"/>
    <w:rsid w:val="00FC2867"/>
    <w:rsid w:val="00FC358F"/>
    <w:rsid w:val="00FC3764"/>
    <w:rsid w:val="00FC5345"/>
    <w:rsid w:val="00FC7258"/>
    <w:rsid w:val="00FD1E36"/>
    <w:rsid w:val="00FD42AA"/>
    <w:rsid w:val="00FD4F4B"/>
    <w:rsid w:val="00FD529D"/>
    <w:rsid w:val="00FD5992"/>
    <w:rsid w:val="00FD688A"/>
    <w:rsid w:val="00FE2215"/>
    <w:rsid w:val="00FE3664"/>
    <w:rsid w:val="00FE441C"/>
    <w:rsid w:val="00FF1F44"/>
    <w:rsid w:val="00FF418B"/>
    <w:rsid w:val="00FF4388"/>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763B0"/>
  <w15:docId w15:val="{4312E801-A175-1647-837A-15E2A4AA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653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2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32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40FE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41D9"/>
    <w:pPr>
      <w:tabs>
        <w:tab w:val="center" w:pos="4536"/>
        <w:tab w:val="right" w:pos="9072"/>
      </w:tabs>
      <w:spacing w:after="0" w:line="240" w:lineRule="auto"/>
    </w:pPr>
  </w:style>
  <w:style w:type="character" w:customStyle="1" w:styleId="HeaderChar">
    <w:name w:val="Header Char"/>
    <w:basedOn w:val="DefaultParagraphFont"/>
    <w:link w:val="Header"/>
    <w:uiPriority w:val="99"/>
    <w:rsid w:val="005541D9"/>
  </w:style>
  <w:style w:type="paragraph" w:styleId="Footer">
    <w:name w:val="footer"/>
    <w:basedOn w:val="Normal"/>
    <w:link w:val="FooterChar"/>
    <w:uiPriority w:val="99"/>
    <w:unhideWhenUsed/>
    <w:rsid w:val="005541D9"/>
    <w:pPr>
      <w:tabs>
        <w:tab w:val="center" w:pos="4536"/>
        <w:tab w:val="right" w:pos="9072"/>
      </w:tabs>
      <w:spacing w:after="0" w:line="240" w:lineRule="auto"/>
    </w:pPr>
  </w:style>
  <w:style w:type="character" w:customStyle="1" w:styleId="FooterChar">
    <w:name w:val="Footer Char"/>
    <w:basedOn w:val="DefaultParagraphFont"/>
    <w:link w:val="Footer"/>
    <w:uiPriority w:val="99"/>
    <w:rsid w:val="005541D9"/>
  </w:style>
  <w:style w:type="paragraph" w:styleId="FootnoteText">
    <w:name w:val="footnote text"/>
    <w:basedOn w:val="Normal"/>
    <w:link w:val="FootnoteTextChar"/>
    <w:unhideWhenUsed/>
    <w:rsid w:val="00FA76A1"/>
    <w:rPr>
      <w:sz w:val="20"/>
      <w:szCs w:val="20"/>
    </w:rPr>
  </w:style>
  <w:style w:type="character" w:customStyle="1" w:styleId="FootnoteTextChar">
    <w:name w:val="Footnote Text Char"/>
    <w:link w:val="FootnoteText"/>
    <w:rsid w:val="00FA76A1"/>
    <w:rPr>
      <w:lang w:eastAsia="en-US"/>
    </w:rPr>
  </w:style>
  <w:style w:type="character" w:styleId="FootnoteReference">
    <w:name w:val="footnote reference"/>
    <w:aliases w:val="Fußnotenzeichen ECHR"/>
    <w:unhideWhenUsed/>
    <w:qFormat/>
    <w:rsid w:val="00FA76A1"/>
    <w:rPr>
      <w:vertAlign w:val="superscript"/>
    </w:rPr>
  </w:style>
  <w:style w:type="character" w:customStyle="1" w:styleId="Absatz-Standardschriftart1">
    <w:name w:val="Absatz-Standardschriftart1"/>
    <w:rsid w:val="00F9445C"/>
  </w:style>
  <w:style w:type="character" w:styleId="Hyperlink">
    <w:name w:val="Hyperlink"/>
    <w:uiPriority w:val="99"/>
    <w:qFormat/>
    <w:rsid w:val="003C0E9E"/>
    <w:rPr>
      <w:color w:val="0000FF"/>
      <w:u w:val="single"/>
    </w:rPr>
  </w:style>
  <w:style w:type="character" w:customStyle="1" w:styleId="Funotenzeichen1">
    <w:name w:val="Fußnotenzeichen1"/>
    <w:rsid w:val="00F9445C"/>
  </w:style>
  <w:style w:type="character" w:customStyle="1" w:styleId="Funotenzeichen2">
    <w:name w:val="Fußnotenzeichen2"/>
    <w:qFormat/>
    <w:rsid w:val="00F9445C"/>
    <w:rPr>
      <w:sz w:val="18"/>
      <w:vertAlign w:val="baseline"/>
    </w:rPr>
  </w:style>
  <w:style w:type="character" w:customStyle="1" w:styleId="Funotenzeichen3">
    <w:name w:val="Fußnotenzeichen3"/>
    <w:rsid w:val="00F9445C"/>
    <w:rPr>
      <w:vertAlign w:val="superscript"/>
    </w:rPr>
  </w:style>
  <w:style w:type="paragraph" w:customStyle="1" w:styleId="absatzschattenbericht">
    <w:name w:val="absatz schattenbericht"/>
    <w:basedOn w:val="Normal"/>
    <w:rsid w:val="00F9445C"/>
    <w:pPr>
      <w:widowControl w:val="0"/>
      <w:suppressAutoHyphens/>
      <w:autoSpaceDE w:val="0"/>
      <w:spacing w:after="113" w:line="288" w:lineRule="auto"/>
      <w:jc w:val="both"/>
      <w:textAlignment w:val="center"/>
    </w:pPr>
    <w:rPr>
      <w:rFonts w:ascii="Times New Roman" w:eastAsia="Baskerville" w:hAnsi="Times New Roman" w:cs="Baskerville"/>
      <w:color w:val="000000"/>
      <w:spacing w:val="2"/>
      <w:kern w:val="1"/>
      <w:sz w:val="24"/>
      <w:szCs w:val="24"/>
      <w:lang w:val="en-US" w:eastAsia="zh-CN" w:bidi="hi-IN"/>
    </w:rPr>
  </w:style>
  <w:style w:type="paragraph" w:customStyle="1" w:styleId="Title1">
    <w:name w:val="Title 1"/>
    <w:basedOn w:val="Normal"/>
    <w:rsid w:val="000F0E17"/>
    <w:pPr>
      <w:widowControl w:val="0"/>
      <w:suppressLineNumbers/>
      <w:suppressAutoHyphens/>
      <w:spacing w:before="120" w:after="120" w:line="240" w:lineRule="auto"/>
    </w:pPr>
    <w:rPr>
      <w:rFonts w:ascii="Arial" w:eastAsia="Helvetica-Bold" w:hAnsi="Arial" w:cs="Helvetica-Bold"/>
      <w:b/>
      <w:bCs/>
      <w:iCs/>
      <w:color w:val="5E175E"/>
      <w:spacing w:val="3"/>
      <w:kern w:val="1"/>
      <w:sz w:val="28"/>
      <w:szCs w:val="28"/>
      <w:lang w:val="de-DE" w:eastAsia="zh-CN" w:bidi="hi-IN"/>
    </w:rPr>
  </w:style>
  <w:style w:type="paragraph" w:customStyle="1" w:styleId="Title2">
    <w:name w:val="Title 2"/>
    <w:basedOn w:val="Normal"/>
    <w:rsid w:val="00F9445C"/>
    <w:pPr>
      <w:widowControl w:val="0"/>
      <w:suppressLineNumbers/>
      <w:suppressAutoHyphens/>
      <w:autoSpaceDE w:val="0"/>
      <w:spacing w:after="113" w:line="288" w:lineRule="atLeast"/>
      <w:textAlignment w:val="center"/>
    </w:pPr>
    <w:rPr>
      <w:rFonts w:ascii="Arial" w:eastAsia="Helvetica-Bold" w:hAnsi="Arial" w:cs="Arial"/>
      <w:b/>
      <w:bCs/>
      <w:iCs/>
      <w:color w:val="5E175E"/>
      <w:spacing w:val="2"/>
      <w:kern w:val="1"/>
      <w:sz w:val="24"/>
      <w:szCs w:val="28"/>
      <w:lang w:val="en-GB" w:eastAsia="zh-CN" w:bidi="hi-IN"/>
    </w:rPr>
  </w:style>
  <w:style w:type="paragraph" w:customStyle="1" w:styleId="Title3">
    <w:name w:val="Title 3"/>
    <w:basedOn w:val="Title2"/>
    <w:rsid w:val="00F9445C"/>
    <w:pPr>
      <w:spacing w:before="28" w:after="85"/>
    </w:pPr>
    <w:rPr>
      <w:color w:val="232657"/>
      <w:szCs w:val="24"/>
    </w:rPr>
  </w:style>
  <w:style w:type="character" w:customStyle="1" w:styleId="FootnoteSymbol">
    <w:name w:val="Footnote Symbol"/>
    <w:rsid w:val="004F673C"/>
    <w:rPr>
      <w:rFonts w:ascii="Times New Roman" w:hAnsi="Times New Roman"/>
      <w:sz w:val="20"/>
    </w:rPr>
  </w:style>
  <w:style w:type="character" w:styleId="FollowedHyperlink">
    <w:name w:val="FollowedHyperlink"/>
    <w:rsid w:val="004F673C"/>
    <w:rPr>
      <w:color w:val="0070C0"/>
      <w:u w:val="single"/>
    </w:rPr>
  </w:style>
  <w:style w:type="paragraph" w:customStyle="1" w:styleId="fussnoteschattenbericht">
    <w:name w:val="fussnote schattenbericht"/>
    <w:basedOn w:val="Normal"/>
    <w:autoRedefine/>
    <w:rsid w:val="003A48DB"/>
    <w:pPr>
      <w:widowControl w:val="0"/>
      <w:suppressAutoHyphens/>
      <w:autoSpaceDE w:val="0"/>
      <w:spacing w:after="0" w:line="264" w:lineRule="auto"/>
      <w:ind w:left="454" w:hanging="448"/>
      <w:textAlignment w:val="center"/>
    </w:pPr>
    <w:rPr>
      <w:rFonts w:ascii="Times New Roman" w:eastAsia="Baskerville" w:hAnsi="Times New Roman"/>
      <w:color w:val="000000"/>
      <w:spacing w:val="2"/>
      <w:kern w:val="1"/>
      <w:sz w:val="20"/>
      <w:szCs w:val="20"/>
      <w:lang w:val="en-US" w:eastAsia="zh-CN" w:bidi="hi-IN"/>
    </w:rPr>
  </w:style>
  <w:style w:type="paragraph" w:styleId="CommentText">
    <w:name w:val="annotation text"/>
    <w:basedOn w:val="Normal"/>
    <w:link w:val="CommentTextChar"/>
    <w:uiPriority w:val="99"/>
    <w:semiHidden/>
    <w:unhideWhenUsed/>
    <w:rsid w:val="00740065"/>
    <w:rPr>
      <w:sz w:val="24"/>
      <w:szCs w:val="24"/>
    </w:rPr>
  </w:style>
  <w:style w:type="paragraph" w:customStyle="1" w:styleId="AbsatzConcludingObs">
    <w:name w:val="Absatz Concluding Obs"/>
    <w:basedOn w:val="absatzschattenbericht"/>
    <w:qFormat/>
    <w:rsid w:val="00F3646C"/>
    <w:pPr>
      <w:tabs>
        <w:tab w:val="left" w:pos="567"/>
        <w:tab w:val="left" w:pos="1134"/>
      </w:tabs>
    </w:pPr>
    <w:rPr>
      <w:i/>
      <w:iCs/>
      <w:lang w:val="fr-FR"/>
    </w:rPr>
  </w:style>
  <w:style w:type="character" w:customStyle="1" w:styleId="CommentTextChar">
    <w:name w:val="Comment Text Char"/>
    <w:link w:val="CommentText"/>
    <w:uiPriority w:val="99"/>
    <w:semiHidden/>
    <w:rsid w:val="00740065"/>
    <w:rPr>
      <w:sz w:val="24"/>
      <w:szCs w:val="24"/>
      <w:lang w:val="de-CH" w:eastAsia="en-US"/>
    </w:rPr>
  </w:style>
  <w:style w:type="paragraph" w:styleId="CommentSubject">
    <w:name w:val="annotation subject"/>
    <w:basedOn w:val="CommentText"/>
    <w:next w:val="CommentText"/>
    <w:link w:val="CommentSubjectChar"/>
    <w:uiPriority w:val="99"/>
    <w:semiHidden/>
    <w:unhideWhenUsed/>
    <w:rsid w:val="00740065"/>
    <w:pPr>
      <w:suppressAutoHyphens/>
      <w:spacing w:after="0" w:line="240" w:lineRule="auto"/>
    </w:pPr>
    <w:rPr>
      <w:rFonts w:ascii="Times New Roman" w:eastAsia="SimSun" w:hAnsi="Times New Roman"/>
      <w:b/>
      <w:bCs/>
      <w:sz w:val="20"/>
      <w:szCs w:val="20"/>
      <w:lang w:val="fr-CH"/>
    </w:rPr>
  </w:style>
  <w:style w:type="character" w:customStyle="1" w:styleId="CommentSubjectChar">
    <w:name w:val="Comment Subject Char"/>
    <w:link w:val="CommentSubject"/>
    <w:uiPriority w:val="99"/>
    <w:semiHidden/>
    <w:rsid w:val="00740065"/>
    <w:rPr>
      <w:rFonts w:ascii="Times New Roman" w:eastAsia="SimSun" w:hAnsi="Times New Roman"/>
      <w:b/>
      <w:bCs/>
      <w:sz w:val="24"/>
      <w:szCs w:val="24"/>
      <w:lang w:val="fr-CH" w:eastAsia="en-US"/>
    </w:rPr>
  </w:style>
  <w:style w:type="character" w:styleId="EndnoteReference">
    <w:name w:val="endnote reference"/>
    <w:aliases w:val="1_G"/>
    <w:rsid w:val="00426E79"/>
    <w:rPr>
      <w:rFonts w:ascii="Times New Roman" w:hAnsi="Times New Roman"/>
      <w:sz w:val="18"/>
      <w:vertAlign w:val="superscript"/>
    </w:rPr>
  </w:style>
  <w:style w:type="paragraph" w:styleId="Subtitle">
    <w:name w:val="Subtitle"/>
    <w:basedOn w:val="Normal"/>
    <w:next w:val="Normal"/>
    <w:link w:val="SubtitleChar"/>
    <w:uiPriority w:val="11"/>
    <w:qFormat/>
    <w:rsid w:val="00C85B2A"/>
    <w:pPr>
      <w:spacing w:after="60"/>
      <w:jc w:val="center"/>
      <w:outlineLvl w:val="1"/>
    </w:pPr>
    <w:rPr>
      <w:rFonts w:eastAsia="MS Gothic"/>
      <w:sz w:val="24"/>
      <w:szCs w:val="24"/>
    </w:rPr>
  </w:style>
  <w:style w:type="character" w:customStyle="1" w:styleId="SubtitleChar">
    <w:name w:val="Subtitle Char"/>
    <w:link w:val="Subtitle"/>
    <w:uiPriority w:val="11"/>
    <w:rsid w:val="00C85B2A"/>
    <w:rPr>
      <w:rFonts w:ascii="Calibri" w:eastAsia="MS Gothic" w:hAnsi="Calibri" w:cs="Times New Roman"/>
      <w:sz w:val="24"/>
      <w:szCs w:val="24"/>
      <w:lang w:val="de-CH" w:eastAsia="en-US"/>
    </w:rPr>
  </w:style>
  <w:style w:type="character" w:customStyle="1" w:styleId="NichtaufgelsteErwhnung1">
    <w:name w:val="Nicht aufgelöste Erwähnung1"/>
    <w:basedOn w:val="DefaultParagraphFont"/>
    <w:uiPriority w:val="99"/>
    <w:semiHidden/>
    <w:unhideWhenUsed/>
    <w:rsid w:val="00515555"/>
    <w:rPr>
      <w:color w:val="605E5C"/>
      <w:shd w:val="clear" w:color="auto" w:fill="E1DFDD"/>
    </w:rPr>
  </w:style>
  <w:style w:type="paragraph" w:styleId="NormalWeb">
    <w:name w:val="Normal (Web)"/>
    <w:basedOn w:val="Normal"/>
    <w:uiPriority w:val="99"/>
    <w:semiHidden/>
    <w:unhideWhenUsed/>
    <w:rsid w:val="006B7CE2"/>
    <w:rPr>
      <w:rFonts w:ascii="Times New Roman" w:hAnsi="Times New Roman"/>
      <w:sz w:val="24"/>
      <w:szCs w:val="24"/>
    </w:rPr>
  </w:style>
  <w:style w:type="character" w:customStyle="1" w:styleId="WW8Num1z3">
    <w:name w:val="WW8Num1z3"/>
    <w:rsid w:val="003824DA"/>
  </w:style>
  <w:style w:type="paragraph" w:styleId="BalloonText">
    <w:name w:val="Balloon Text"/>
    <w:basedOn w:val="Normal"/>
    <w:link w:val="BalloonTextChar"/>
    <w:uiPriority w:val="99"/>
    <w:semiHidden/>
    <w:unhideWhenUsed/>
    <w:rsid w:val="003B33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331A"/>
    <w:rPr>
      <w:rFonts w:ascii="Tahoma" w:hAnsi="Tahoma" w:cs="Tahoma"/>
      <w:sz w:val="16"/>
      <w:szCs w:val="16"/>
      <w:lang w:eastAsia="en-US"/>
    </w:rPr>
  </w:style>
  <w:style w:type="character" w:customStyle="1" w:styleId="Heading1Char">
    <w:name w:val="Heading 1 Char"/>
    <w:basedOn w:val="DefaultParagraphFont"/>
    <w:link w:val="Heading1"/>
    <w:uiPriority w:val="9"/>
    <w:rsid w:val="0065327F"/>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65327F"/>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semiHidden/>
    <w:rsid w:val="0065327F"/>
    <w:rPr>
      <w:rFonts w:asciiTheme="majorHAnsi" w:eastAsiaTheme="majorEastAsia" w:hAnsiTheme="majorHAnsi" w:cstheme="majorBidi"/>
      <w:color w:val="1F3763" w:themeColor="accent1" w:themeShade="7F"/>
      <w:sz w:val="24"/>
      <w:szCs w:val="24"/>
      <w:lang w:eastAsia="en-US"/>
    </w:rPr>
  </w:style>
  <w:style w:type="paragraph" w:styleId="TOC1">
    <w:name w:val="toc 1"/>
    <w:basedOn w:val="Normal"/>
    <w:next w:val="Normal"/>
    <w:autoRedefine/>
    <w:uiPriority w:val="39"/>
    <w:unhideWhenUsed/>
    <w:rsid w:val="00596D3B"/>
    <w:pPr>
      <w:tabs>
        <w:tab w:val="right" w:leader="dot" w:pos="9628"/>
      </w:tabs>
      <w:spacing w:after="10" w:line="264" w:lineRule="auto"/>
      <w:ind w:left="284"/>
    </w:pPr>
    <w:rPr>
      <w:rFonts w:ascii="Arial" w:hAnsi="Arial" w:cs="Arial"/>
      <w:noProof/>
      <w:sz w:val="21"/>
      <w:szCs w:val="21"/>
      <w:lang w:bidi="hi-IN"/>
    </w:rPr>
  </w:style>
  <w:style w:type="paragraph" w:styleId="TOC2">
    <w:name w:val="toc 2"/>
    <w:basedOn w:val="Normal"/>
    <w:next w:val="Normal"/>
    <w:autoRedefine/>
    <w:uiPriority w:val="39"/>
    <w:unhideWhenUsed/>
    <w:rsid w:val="0077439A"/>
    <w:pPr>
      <w:tabs>
        <w:tab w:val="right" w:leader="dot" w:pos="9628"/>
      </w:tabs>
      <w:spacing w:afterLines="10" w:after="24" w:line="264" w:lineRule="auto"/>
      <w:ind w:left="221"/>
    </w:pPr>
  </w:style>
  <w:style w:type="character" w:customStyle="1" w:styleId="NichtaufgelsteErwhnung2">
    <w:name w:val="Nicht aufgelöste Erwähnung2"/>
    <w:basedOn w:val="DefaultParagraphFont"/>
    <w:uiPriority w:val="99"/>
    <w:semiHidden/>
    <w:unhideWhenUsed/>
    <w:rsid w:val="008D626E"/>
    <w:rPr>
      <w:color w:val="605E5C"/>
      <w:shd w:val="clear" w:color="auto" w:fill="E1DFDD"/>
    </w:rPr>
  </w:style>
  <w:style w:type="character" w:styleId="CommentReference">
    <w:name w:val="annotation reference"/>
    <w:basedOn w:val="DefaultParagraphFont"/>
    <w:uiPriority w:val="99"/>
    <w:semiHidden/>
    <w:unhideWhenUsed/>
    <w:rsid w:val="002A68F3"/>
    <w:rPr>
      <w:sz w:val="16"/>
      <w:szCs w:val="16"/>
    </w:rPr>
  </w:style>
  <w:style w:type="character" w:customStyle="1" w:styleId="Funotenanker">
    <w:name w:val="Fußnotenanker"/>
    <w:rsid w:val="003776FF"/>
    <w:rPr>
      <w:vertAlign w:val="superscript"/>
    </w:rPr>
  </w:style>
  <w:style w:type="character" w:customStyle="1" w:styleId="NichtaufgelsteErwhnung3">
    <w:name w:val="Nicht aufgelöste Erwähnung3"/>
    <w:basedOn w:val="DefaultParagraphFont"/>
    <w:uiPriority w:val="99"/>
    <w:semiHidden/>
    <w:unhideWhenUsed/>
    <w:rsid w:val="000C3349"/>
    <w:rPr>
      <w:color w:val="605E5C"/>
      <w:shd w:val="clear" w:color="auto" w:fill="E1DFDD"/>
    </w:rPr>
  </w:style>
  <w:style w:type="character" w:customStyle="1" w:styleId="WW8Num2z3">
    <w:name w:val="WW8Num2z3"/>
    <w:rsid w:val="006223A1"/>
  </w:style>
  <w:style w:type="character" w:customStyle="1" w:styleId="NichtaufgelsteErwhnung4">
    <w:name w:val="Nicht aufgelöste Erwähnung4"/>
    <w:basedOn w:val="DefaultParagraphFont"/>
    <w:uiPriority w:val="99"/>
    <w:semiHidden/>
    <w:unhideWhenUsed/>
    <w:rsid w:val="000370DA"/>
    <w:rPr>
      <w:color w:val="605E5C"/>
      <w:shd w:val="clear" w:color="auto" w:fill="E1DFDD"/>
    </w:rPr>
  </w:style>
  <w:style w:type="character" w:customStyle="1" w:styleId="Heading4Char">
    <w:name w:val="Heading 4 Char"/>
    <w:basedOn w:val="DefaultParagraphFont"/>
    <w:link w:val="Heading4"/>
    <w:uiPriority w:val="9"/>
    <w:semiHidden/>
    <w:rsid w:val="00F40FE9"/>
    <w:rPr>
      <w:rFonts w:asciiTheme="majorHAnsi" w:eastAsiaTheme="majorEastAsia" w:hAnsiTheme="majorHAnsi" w:cstheme="majorBidi"/>
      <w:i/>
      <w:iCs/>
      <w:color w:val="2F5496" w:themeColor="accent1" w:themeShade="BF"/>
      <w:sz w:val="22"/>
      <w:szCs w:val="22"/>
      <w:lang w:eastAsia="en-US"/>
    </w:rPr>
  </w:style>
  <w:style w:type="character" w:styleId="UnresolvedMention">
    <w:name w:val="Unresolved Mention"/>
    <w:basedOn w:val="DefaultParagraphFont"/>
    <w:uiPriority w:val="99"/>
    <w:semiHidden/>
    <w:unhideWhenUsed/>
    <w:rsid w:val="00A62D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05905">
      <w:bodyDiv w:val="1"/>
      <w:marLeft w:val="0"/>
      <w:marRight w:val="0"/>
      <w:marTop w:val="0"/>
      <w:marBottom w:val="0"/>
      <w:divBdr>
        <w:top w:val="none" w:sz="0" w:space="0" w:color="auto"/>
        <w:left w:val="none" w:sz="0" w:space="0" w:color="auto"/>
        <w:bottom w:val="none" w:sz="0" w:space="0" w:color="auto"/>
        <w:right w:val="none" w:sz="0" w:space="0" w:color="auto"/>
      </w:divBdr>
    </w:div>
    <w:div w:id="74205084">
      <w:bodyDiv w:val="1"/>
      <w:marLeft w:val="0"/>
      <w:marRight w:val="0"/>
      <w:marTop w:val="0"/>
      <w:marBottom w:val="0"/>
      <w:divBdr>
        <w:top w:val="none" w:sz="0" w:space="0" w:color="auto"/>
        <w:left w:val="none" w:sz="0" w:space="0" w:color="auto"/>
        <w:bottom w:val="none" w:sz="0" w:space="0" w:color="auto"/>
        <w:right w:val="none" w:sz="0" w:space="0" w:color="auto"/>
      </w:divBdr>
    </w:div>
    <w:div w:id="131020570">
      <w:bodyDiv w:val="1"/>
      <w:marLeft w:val="0"/>
      <w:marRight w:val="0"/>
      <w:marTop w:val="0"/>
      <w:marBottom w:val="0"/>
      <w:divBdr>
        <w:top w:val="none" w:sz="0" w:space="0" w:color="auto"/>
        <w:left w:val="none" w:sz="0" w:space="0" w:color="auto"/>
        <w:bottom w:val="none" w:sz="0" w:space="0" w:color="auto"/>
        <w:right w:val="none" w:sz="0" w:space="0" w:color="auto"/>
      </w:divBdr>
      <w:divsChild>
        <w:div w:id="500897233">
          <w:marLeft w:val="0"/>
          <w:marRight w:val="0"/>
          <w:marTop w:val="0"/>
          <w:marBottom w:val="0"/>
          <w:divBdr>
            <w:top w:val="none" w:sz="0" w:space="0" w:color="auto"/>
            <w:left w:val="none" w:sz="0" w:space="0" w:color="auto"/>
            <w:bottom w:val="none" w:sz="0" w:space="0" w:color="auto"/>
            <w:right w:val="none" w:sz="0" w:space="0" w:color="auto"/>
          </w:divBdr>
          <w:divsChild>
            <w:div w:id="1076709048">
              <w:marLeft w:val="0"/>
              <w:marRight w:val="0"/>
              <w:marTop w:val="0"/>
              <w:marBottom w:val="0"/>
              <w:divBdr>
                <w:top w:val="none" w:sz="0" w:space="0" w:color="auto"/>
                <w:left w:val="none" w:sz="0" w:space="0" w:color="auto"/>
                <w:bottom w:val="none" w:sz="0" w:space="0" w:color="auto"/>
                <w:right w:val="none" w:sz="0" w:space="0" w:color="auto"/>
              </w:divBdr>
              <w:divsChild>
                <w:div w:id="884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56268">
      <w:bodyDiv w:val="1"/>
      <w:marLeft w:val="0"/>
      <w:marRight w:val="0"/>
      <w:marTop w:val="0"/>
      <w:marBottom w:val="0"/>
      <w:divBdr>
        <w:top w:val="none" w:sz="0" w:space="0" w:color="auto"/>
        <w:left w:val="none" w:sz="0" w:space="0" w:color="auto"/>
        <w:bottom w:val="none" w:sz="0" w:space="0" w:color="auto"/>
        <w:right w:val="none" w:sz="0" w:space="0" w:color="auto"/>
      </w:divBdr>
    </w:div>
    <w:div w:id="194848356">
      <w:bodyDiv w:val="1"/>
      <w:marLeft w:val="0"/>
      <w:marRight w:val="0"/>
      <w:marTop w:val="0"/>
      <w:marBottom w:val="0"/>
      <w:divBdr>
        <w:top w:val="none" w:sz="0" w:space="0" w:color="auto"/>
        <w:left w:val="none" w:sz="0" w:space="0" w:color="auto"/>
        <w:bottom w:val="none" w:sz="0" w:space="0" w:color="auto"/>
        <w:right w:val="none" w:sz="0" w:space="0" w:color="auto"/>
      </w:divBdr>
      <w:divsChild>
        <w:div w:id="890114319">
          <w:marLeft w:val="0"/>
          <w:marRight w:val="0"/>
          <w:marTop w:val="0"/>
          <w:marBottom w:val="0"/>
          <w:divBdr>
            <w:top w:val="none" w:sz="0" w:space="0" w:color="auto"/>
            <w:left w:val="none" w:sz="0" w:space="0" w:color="auto"/>
            <w:bottom w:val="none" w:sz="0" w:space="0" w:color="auto"/>
            <w:right w:val="none" w:sz="0" w:space="0" w:color="auto"/>
          </w:divBdr>
          <w:divsChild>
            <w:div w:id="2039501874">
              <w:marLeft w:val="0"/>
              <w:marRight w:val="0"/>
              <w:marTop w:val="0"/>
              <w:marBottom w:val="0"/>
              <w:divBdr>
                <w:top w:val="none" w:sz="0" w:space="0" w:color="auto"/>
                <w:left w:val="none" w:sz="0" w:space="0" w:color="auto"/>
                <w:bottom w:val="none" w:sz="0" w:space="0" w:color="auto"/>
                <w:right w:val="none" w:sz="0" w:space="0" w:color="auto"/>
              </w:divBdr>
              <w:divsChild>
                <w:div w:id="1052266988">
                  <w:marLeft w:val="0"/>
                  <w:marRight w:val="0"/>
                  <w:marTop w:val="0"/>
                  <w:marBottom w:val="0"/>
                  <w:divBdr>
                    <w:top w:val="none" w:sz="0" w:space="0" w:color="auto"/>
                    <w:left w:val="none" w:sz="0" w:space="0" w:color="auto"/>
                    <w:bottom w:val="none" w:sz="0" w:space="0" w:color="auto"/>
                    <w:right w:val="none" w:sz="0" w:space="0" w:color="auto"/>
                  </w:divBdr>
                  <w:divsChild>
                    <w:div w:id="10127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713794">
      <w:bodyDiv w:val="1"/>
      <w:marLeft w:val="0"/>
      <w:marRight w:val="0"/>
      <w:marTop w:val="0"/>
      <w:marBottom w:val="0"/>
      <w:divBdr>
        <w:top w:val="none" w:sz="0" w:space="0" w:color="auto"/>
        <w:left w:val="none" w:sz="0" w:space="0" w:color="auto"/>
        <w:bottom w:val="none" w:sz="0" w:space="0" w:color="auto"/>
        <w:right w:val="none" w:sz="0" w:space="0" w:color="auto"/>
      </w:divBdr>
      <w:divsChild>
        <w:div w:id="685330441">
          <w:marLeft w:val="0"/>
          <w:marRight w:val="0"/>
          <w:marTop w:val="0"/>
          <w:marBottom w:val="0"/>
          <w:divBdr>
            <w:top w:val="none" w:sz="0" w:space="0" w:color="auto"/>
            <w:left w:val="none" w:sz="0" w:space="0" w:color="auto"/>
            <w:bottom w:val="none" w:sz="0" w:space="0" w:color="auto"/>
            <w:right w:val="none" w:sz="0" w:space="0" w:color="auto"/>
          </w:divBdr>
          <w:divsChild>
            <w:div w:id="914323402">
              <w:marLeft w:val="0"/>
              <w:marRight w:val="0"/>
              <w:marTop w:val="0"/>
              <w:marBottom w:val="0"/>
              <w:divBdr>
                <w:top w:val="none" w:sz="0" w:space="0" w:color="auto"/>
                <w:left w:val="none" w:sz="0" w:space="0" w:color="auto"/>
                <w:bottom w:val="none" w:sz="0" w:space="0" w:color="auto"/>
                <w:right w:val="none" w:sz="0" w:space="0" w:color="auto"/>
              </w:divBdr>
              <w:divsChild>
                <w:div w:id="1617129998">
                  <w:marLeft w:val="0"/>
                  <w:marRight w:val="0"/>
                  <w:marTop w:val="0"/>
                  <w:marBottom w:val="0"/>
                  <w:divBdr>
                    <w:top w:val="none" w:sz="0" w:space="0" w:color="auto"/>
                    <w:left w:val="none" w:sz="0" w:space="0" w:color="auto"/>
                    <w:bottom w:val="none" w:sz="0" w:space="0" w:color="auto"/>
                    <w:right w:val="none" w:sz="0" w:space="0" w:color="auto"/>
                  </w:divBdr>
                  <w:divsChild>
                    <w:div w:id="170119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172747">
      <w:bodyDiv w:val="1"/>
      <w:marLeft w:val="0"/>
      <w:marRight w:val="0"/>
      <w:marTop w:val="0"/>
      <w:marBottom w:val="0"/>
      <w:divBdr>
        <w:top w:val="none" w:sz="0" w:space="0" w:color="auto"/>
        <w:left w:val="none" w:sz="0" w:space="0" w:color="auto"/>
        <w:bottom w:val="none" w:sz="0" w:space="0" w:color="auto"/>
        <w:right w:val="none" w:sz="0" w:space="0" w:color="auto"/>
      </w:divBdr>
      <w:divsChild>
        <w:div w:id="614870407">
          <w:marLeft w:val="0"/>
          <w:marRight w:val="0"/>
          <w:marTop w:val="0"/>
          <w:marBottom w:val="0"/>
          <w:divBdr>
            <w:top w:val="none" w:sz="0" w:space="0" w:color="auto"/>
            <w:left w:val="none" w:sz="0" w:space="0" w:color="auto"/>
            <w:bottom w:val="none" w:sz="0" w:space="0" w:color="auto"/>
            <w:right w:val="none" w:sz="0" w:space="0" w:color="auto"/>
          </w:divBdr>
          <w:divsChild>
            <w:div w:id="2138983470">
              <w:marLeft w:val="0"/>
              <w:marRight w:val="0"/>
              <w:marTop w:val="0"/>
              <w:marBottom w:val="0"/>
              <w:divBdr>
                <w:top w:val="none" w:sz="0" w:space="0" w:color="auto"/>
                <w:left w:val="none" w:sz="0" w:space="0" w:color="auto"/>
                <w:bottom w:val="none" w:sz="0" w:space="0" w:color="auto"/>
                <w:right w:val="none" w:sz="0" w:space="0" w:color="auto"/>
              </w:divBdr>
              <w:divsChild>
                <w:div w:id="171600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121072">
      <w:bodyDiv w:val="1"/>
      <w:marLeft w:val="0"/>
      <w:marRight w:val="0"/>
      <w:marTop w:val="0"/>
      <w:marBottom w:val="0"/>
      <w:divBdr>
        <w:top w:val="none" w:sz="0" w:space="0" w:color="auto"/>
        <w:left w:val="none" w:sz="0" w:space="0" w:color="auto"/>
        <w:bottom w:val="none" w:sz="0" w:space="0" w:color="auto"/>
        <w:right w:val="none" w:sz="0" w:space="0" w:color="auto"/>
      </w:divBdr>
    </w:div>
    <w:div w:id="483352160">
      <w:bodyDiv w:val="1"/>
      <w:marLeft w:val="0"/>
      <w:marRight w:val="0"/>
      <w:marTop w:val="0"/>
      <w:marBottom w:val="0"/>
      <w:divBdr>
        <w:top w:val="none" w:sz="0" w:space="0" w:color="auto"/>
        <w:left w:val="none" w:sz="0" w:space="0" w:color="auto"/>
        <w:bottom w:val="none" w:sz="0" w:space="0" w:color="auto"/>
        <w:right w:val="none" w:sz="0" w:space="0" w:color="auto"/>
      </w:divBdr>
    </w:div>
    <w:div w:id="510099394">
      <w:bodyDiv w:val="1"/>
      <w:marLeft w:val="0"/>
      <w:marRight w:val="0"/>
      <w:marTop w:val="0"/>
      <w:marBottom w:val="0"/>
      <w:divBdr>
        <w:top w:val="none" w:sz="0" w:space="0" w:color="auto"/>
        <w:left w:val="none" w:sz="0" w:space="0" w:color="auto"/>
        <w:bottom w:val="none" w:sz="0" w:space="0" w:color="auto"/>
        <w:right w:val="none" w:sz="0" w:space="0" w:color="auto"/>
      </w:divBdr>
      <w:divsChild>
        <w:div w:id="1939094526">
          <w:marLeft w:val="0"/>
          <w:marRight w:val="0"/>
          <w:marTop w:val="0"/>
          <w:marBottom w:val="0"/>
          <w:divBdr>
            <w:top w:val="none" w:sz="0" w:space="0" w:color="auto"/>
            <w:left w:val="none" w:sz="0" w:space="0" w:color="auto"/>
            <w:bottom w:val="none" w:sz="0" w:space="0" w:color="auto"/>
            <w:right w:val="none" w:sz="0" w:space="0" w:color="auto"/>
          </w:divBdr>
          <w:divsChild>
            <w:div w:id="1347976123">
              <w:marLeft w:val="0"/>
              <w:marRight w:val="0"/>
              <w:marTop w:val="0"/>
              <w:marBottom w:val="0"/>
              <w:divBdr>
                <w:top w:val="none" w:sz="0" w:space="0" w:color="auto"/>
                <w:left w:val="none" w:sz="0" w:space="0" w:color="auto"/>
                <w:bottom w:val="none" w:sz="0" w:space="0" w:color="auto"/>
                <w:right w:val="none" w:sz="0" w:space="0" w:color="auto"/>
              </w:divBdr>
              <w:divsChild>
                <w:div w:id="126884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480132">
      <w:bodyDiv w:val="1"/>
      <w:marLeft w:val="0"/>
      <w:marRight w:val="0"/>
      <w:marTop w:val="0"/>
      <w:marBottom w:val="0"/>
      <w:divBdr>
        <w:top w:val="none" w:sz="0" w:space="0" w:color="auto"/>
        <w:left w:val="none" w:sz="0" w:space="0" w:color="auto"/>
        <w:bottom w:val="none" w:sz="0" w:space="0" w:color="auto"/>
        <w:right w:val="none" w:sz="0" w:space="0" w:color="auto"/>
      </w:divBdr>
      <w:divsChild>
        <w:div w:id="1488470712">
          <w:marLeft w:val="0"/>
          <w:marRight w:val="0"/>
          <w:marTop w:val="0"/>
          <w:marBottom w:val="0"/>
          <w:divBdr>
            <w:top w:val="none" w:sz="0" w:space="0" w:color="auto"/>
            <w:left w:val="none" w:sz="0" w:space="0" w:color="auto"/>
            <w:bottom w:val="none" w:sz="0" w:space="0" w:color="auto"/>
            <w:right w:val="none" w:sz="0" w:space="0" w:color="auto"/>
          </w:divBdr>
          <w:divsChild>
            <w:div w:id="774373378">
              <w:marLeft w:val="0"/>
              <w:marRight w:val="0"/>
              <w:marTop w:val="0"/>
              <w:marBottom w:val="0"/>
              <w:divBdr>
                <w:top w:val="none" w:sz="0" w:space="0" w:color="auto"/>
                <w:left w:val="none" w:sz="0" w:space="0" w:color="auto"/>
                <w:bottom w:val="none" w:sz="0" w:space="0" w:color="auto"/>
                <w:right w:val="none" w:sz="0" w:space="0" w:color="auto"/>
              </w:divBdr>
              <w:divsChild>
                <w:div w:id="210128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422699">
      <w:bodyDiv w:val="1"/>
      <w:marLeft w:val="0"/>
      <w:marRight w:val="0"/>
      <w:marTop w:val="0"/>
      <w:marBottom w:val="0"/>
      <w:divBdr>
        <w:top w:val="none" w:sz="0" w:space="0" w:color="auto"/>
        <w:left w:val="none" w:sz="0" w:space="0" w:color="auto"/>
        <w:bottom w:val="none" w:sz="0" w:space="0" w:color="auto"/>
        <w:right w:val="none" w:sz="0" w:space="0" w:color="auto"/>
      </w:divBdr>
    </w:div>
    <w:div w:id="541097175">
      <w:bodyDiv w:val="1"/>
      <w:marLeft w:val="0"/>
      <w:marRight w:val="0"/>
      <w:marTop w:val="0"/>
      <w:marBottom w:val="0"/>
      <w:divBdr>
        <w:top w:val="none" w:sz="0" w:space="0" w:color="auto"/>
        <w:left w:val="none" w:sz="0" w:space="0" w:color="auto"/>
        <w:bottom w:val="none" w:sz="0" w:space="0" w:color="auto"/>
        <w:right w:val="none" w:sz="0" w:space="0" w:color="auto"/>
      </w:divBdr>
      <w:divsChild>
        <w:div w:id="1600482793">
          <w:marLeft w:val="0"/>
          <w:marRight w:val="0"/>
          <w:marTop w:val="0"/>
          <w:marBottom w:val="0"/>
          <w:divBdr>
            <w:top w:val="none" w:sz="0" w:space="0" w:color="auto"/>
            <w:left w:val="none" w:sz="0" w:space="0" w:color="auto"/>
            <w:bottom w:val="none" w:sz="0" w:space="0" w:color="auto"/>
            <w:right w:val="none" w:sz="0" w:space="0" w:color="auto"/>
          </w:divBdr>
          <w:divsChild>
            <w:div w:id="2043243420">
              <w:marLeft w:val="0"/>
              <w:marRight w:val="0"/>
              <w:marTop w:val="0"/>
              <w:marBottom w:val="0"/>
              <w:divBdr>
                <w:top w:val="none" w:sz="0" w:space="0" w:color="auto"/>
                <w:left w:val="none" w:sz="0" w:space="0" w:color="auto"/>
                <w:bottom w:val="none" w:sz="0" w:space="0" w:color="auto"/>
                <w:right w:val="none" w:sz="0" w:space="0" w:color="auto"/>
              </w:divBdr>
              <w:divsChild>
                <w:div w:id="70760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038658">
      <w:bodyDiv w:val="1"/>
      <w:marLeft w:val="0"/>
      <w:marRight w:val="0"/>
      <w:marTop w:val="0"/>
      <w:marBottom w:val="0"/>
      <w:divBdr>
        <w:top w:val="none" w:sz="0" w:space="0" w:color="auto"/>
        <w:left w:val="none" w:sz="0" w:space="0" w:color="auto"/>
        <w:bottom w:val="none" w:sz="0" w:space="0" w:color="auto"/>
        <w:right w:val="none" w:sz="0" w:space="0" w:color="auto"/>
      </w:divBdr>
      <w:divsChild>
        <w:div w:id="2134250448">
          <w:marLeft w:val="0"/>
          <w:marRight w:val="0"/>
          <w:marTop w:val="0"/>
          <w:marBottom w:val="0"/>
          <w:divBdr>
            <w:top w:val="none" w:sz="0" w:space="0" w:color="auto"/>
            <w:left w:val="none" w:sz="0" w:space="0" w:color="auto"/>
            <w:bottom w:val="none" w:sz="0" w:space="0" w:color="auto"/>
            <w:right w:val="none" w:sz="0" w:space="0" w:color="auto"/>
          </w:divBdr>
          <w:divsChild>
            <w:div w:id="1209413652">
              <w:marLeft w:val="0"/>
              <w:marRight w:val="0"/>
              <w:marTop w:val="0"/>
              <w:marBottom w:val="0"/>
              <w:divBdr>
                <w:top w:val="none" w:sz="0" w:space="0" w:color="auto"/>
                <w:left w:val="none" w:sz="0" w:space="0" w:color="auto"/>
                <w:bottom w:val="none" w:sz="0" w:space="0" w:color="auto"/>
                <w:right w:val="none" w:sz="0" w:space="0" w:color="auto"/>
              </w:divBdr>
              <w:divsChild>
                <w:div w:id="13653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832121">
      <w:bodyDiv w:val="1"/>
      <w:marLeft w:val="0"/>
      <w:marRight w:val="0"/>
      <w:marTop w:val="0"/>
      <w:marBottom w:val="0"/>
      <w:divBdr>
        <w:top w:val="none" w:sz="0" w:space="0" w:color="auto"/>
        <w:left w:val="none" w:sz="0" w:space="0" w:color="auto"/>
        <w:bottom w:val="none" w:sz="0" w:space="0" w:color="auto"/>
        <w:right w:val="none" w:sz="0" w:space="0" w:color="auto"/>
      </w:divBdr>
      <w:divsChild>
        <w:div w:id="2026974022">
          <w:marLeft w:val="0"/>
          <w:marRight w:val="0"/>
          <w:marTop w:val="0"/>
          <w:marBottom w:val="0"/>
          <w:divBdr>
            <w:top w:val="none" w:sz="0" w:space="0" w:color="auto"/>
            <w:left w:val="none" w:sz="0" w:space="0" w:color="auto"/>
            <w:bottom w:val="none" w:sz="0" w:space="0" w:color="auto"/>
            <w:right w:val="none" w:sz="0" w:space="0" w:color="auto"/>
          </w:divBdr>
          <w:divsChild>
            <w:div w:id="996806530">
              <w:marLeft w:val="0"/>
              <w:marRight w:val="0"/>
              <w:marTop w:val="0"/>
              <w:marBottom w:val="0"/>
              <w:divBdr>
                <w:top w:val="none" w:sz="0" w:space="0" w:color="auto"/>
                <w:left w:val="none" w:sz="0" w:space="0" w:color="auto"/>
                <w:bottom w:val="none" w:sz="0" w:space="0" w:color="auto"/>
                <w:right w:val="none" w:sz="0" w:space="0" w:color="auto"/>
              </w:divBdr>
              <w:divsChild>
                <w:div w:id="839393614">
                  <w:marLeft w:val="0"/>
                  <w:marRight w:val="0"/>
                  <w:marTop w:val="0"/>
                  <w:marBottom w:val="0"/>
                  <w:divBdr>
                    <w:top w:val="none" w:sz="0" w:space="0" w:color="auto"/>
                    <w:left w:val="none" w:sz="0" w:space="0" w:color="auto"/>
                    <w:bottom w:val="none" w:sz="0" w:space="0" w:color="auto"/>
                    <w:right w:val="none" w:sz="0" w:space="0" w:color="auto"/>
                  </w:divBdr>
                  <w:divsChild>
                    <w:div w:id="176163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540611">
      <w:bodyDiv w:val="1"/>
      <w:marLeft w:val="0"/>
      <w:marRight w:val="0"/>
      <w:marTop w:val="0"/>
      <w:marBottom w:val="0"/>
      <w:divBdr>
        <w:top w:val="none" w:sz="0" w:space="0" w:color="auto"/>
        <w:left w:val="none" w:sz="0" w:space="0" w:color="auto"/>
        <w:bottom w:val="none" w:sz="0" w:space="0" w:color="auto"/>
        <w:right w:val="none" w:sz="0" w:space="0" w:color="auto"/>
      </w:divBdr>
      <w:divsChild>
        <w:div w:id="554044508">
          <w:marLeft w:val="0"/>
          <w:marRight w:val="0"/>
          <w:marTop w:val="0"/>
          <w:marBottom w:val="0"/>
          <w:divBdr>
            <w:top w:val="none" w:sz="0" w:space="0" w:color="auto"/>
            <w:left w:val="none" w:sz="0" w:space="0" w:color="auto"/>
            <w:bottom w:val="none" w:sz="0" w:space="0" w:color="auto"/>
            <w:right w:val="none" w:sz="0" w:space="0" w:color="auto"/>
          </w:divBdr>
          <w:divsChild>
            <w:div w:id="1037438367">
              <w:marLeft w:val="0"/>
              <w:marRight w:val="0"/>
              <w:marTop w:val="0"/>
              <w:marBottom w:val="0"/>
              <w:divBdr>
                <w:top w:val="none" w:sz="0" w:space="0" w:color="auto"/>
                <w:left w:val="none" w:sz="0" w:space="0" w:color="auto"/>
                <w:bottom w:val="none" w:sz="0" w:space="0" w:color="auto"/>
                <w:right w:val="none" w:sz="0" w:space="0" w:color="auto"/>
              </w:divBdr>
              <w:divsChild>
                <w:div w:id="15985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503924">
      <w:bodyDiv w:val="1"/>
      <w:marLeft w:val="0"/>
      <w:marRight w:val="0"/>
      <w:marTop w:val="0"/>
      <w:marBottom w:val="0"/>
      <w:divBdr>
        <w:top w:val="none" w:sz="0" w:space="0" w:color="auto"/>
        <w:left w:val="none" w:sz="0" w:space="0" w:color="auto"/>
        <w:bottom w:val="none" w:sz="0" w:space="0" w:color="auto"/>
        <w:right w:val="none" w:sz="0" w:space="0" w:color="auto"/>
      </w:divBdr>
      <w:divsChild>
        <w:div w:id="1695111298">
          <w:marLeft w:val="0"/>
          <w:marRight w:val="0"/>
          <w:marTop w:val="0"/>
          <w:marBottom w:val="0"/>
          <w:divBdr>
            <w:top w:val="none" w:sz="0" w:space="0" w:color="auto"/>
            <w:left w:val="none" w:sz="0" w:space="0" w:color="auto"/>
            <w:bottom w:val="none" w:sz="0" w:space="0" w:color="auto"/>
            <w:right w:val="none" w:sz="0" w:space="0" w:color="auto"/>
          </w:divBdr>
          <w:divsChild>
            <w:div w:id="1275551726">
              <w:marLeft w:val="0"/>
              <w:marRight w:val="0"/>
              <w:marTop w:val="0"/>
              <w:marBottom w:val="0"/>
              <w:divBdr>
                <w:top w:val="none" w:sz="0" w:space="0" w:color="auto"/>
                <w:left w:val="none" w:sz="0" w:space="0" w:color="auto"/>
                <w:bottom w:val="none" w:sz="0" w:space="0" w:color="auto"/>
                <w:right w:val="none" w:sz="0" w:space="0" w:color="auto"/>
              </w:divBdr>
              <w:divsChild>
                <w:div w:id="1168324937">
                  <w:marLeft w:val="0"/>
                  <w:marRight w:val="0"/>
                  <w:marTop w:val="0"/>
                  <w:marBottom w:val="0"/>
                  <w:divBdr>
                    <w:top w:val="none" w:sz="0" w:space="0" w:color="auto"/>
                    <w:left w:val="none" w:sz="0" w:space="0" w:color="auto"/>
                    <w:bottom w:val="none" w:sz="0" w:space="0" w:color="auto"/>
                    <w:right w:val="none" w:sz="0" w:space="0" w:color="auto"/>
                  </w:divBdr>
                  <w:divsChild>
                    <w:div w:id="195941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802777">
      <w:bodyDiv w:val="1"/>
      <w:marLeft w:val="0"/>
      <w:marRight w:val="0"/>
      <w:marTop w:val="0"/>
      <w:marBottom w:val="0"/>
      <w:divBdr>
        <w:top w:val="none" w:sz="0" w:space="0" w:color="auto"/>
        <w:left w:val="none" w:sz="0" w:space="0" w:color="auto"/>
        <w:bottom w:val="none" w:sz="0" w:space="0" w:color="auto"/>
        <w:right w:val="none" w:sz="0" w:space="0" w:color="auto"/>
      </w:divBdr>
      <w:divsChild>
        <w:div w:id="1661542607">
          <w:marLeft w:val="0"/>
          <w:marRight w:val="0"/>
          <w:marTop w:val="0"/>
          <w:marBottom w:val="0"/>
          <w:divBdr>
            <w:top w:val="none" w:sz="0" w:space="0" w:color="auto"/>
            <w:left w:val="none" w:sz="0" w:space="0" w:color="auto"/>
            <w:bottom w:val="none" w:sz="0" w:space="0" w:color="auto"/>
            <w:right w:val="none" w:sz="0" w:space="0" w:color="auto"/>
          </w:divBdr>
          <w:divsChild>
            <w:div w:id="1025054430">
              <w:marLeft w:val="0"/>
              <w:marRight w:val="0"/>
              <w:marTop w:val="0"/>
              <w:marBottom w:val="0"/>
              <w:divBdr>
                <w:top w:val="none" w:sz="0" w:space="0" w:color="auto"/>
                <w:left w:val="none" w:sz="0" w:space="0" w:color="auto"/>
                <w:bottom w:val="none" w:sz="0" w:space="0" w:color="auto"/>
                <w:right w:val="none" w:sz="0" w:space="0" w:color="auto"/>
              </w:divBdr>
              <w:divsChild>
                <w:div w:id="1184828295">
                  <w:marLeft w:val="0"/>
                  <w:marRight w:val="0"/>
                  <w:marTop w:val="0"/>
                  <w:marBottom w:val="0"/>
                  <w:divBdr>
                    <w:top w:val="none" w:sz="0" w:space="0" w:color="auto"/>
                    <w:left w:val="none" w:sz="0" w:space="0" w:color="auto"/>
                    <w:bottom w:val="none" w:sz="0" w:space="0" w:color="auto"/>
                    <w:right w:val="none" w:sz="0" w:space="0" w:color="auto"/>
                  </w:divBdr>
                </w:div>
              </w:divsChild>
            </w:div>
            <w:div w:id="1945726588">
              <w:marLeft w:val="0"/>
              <w:marRight w:val="0"/>
              <w:marTop w:val="0"/>
              <w:marBottom w:val="0"/>
              <w:divBdr>
                <w:top w:val="none" w:sz="0" w:space="0" w:color="auto"/>
                <w:left w:val="none" w:sz="0" w:space="0" w:color="auto"/>
                <w:bottom w:val="none" w:sz="0" w:space="0" w:color="auto"/>
                <w:right w:val="none" w:sz="0" w:space="0" w:color="auto"/>
              </w:divBdr>
              <w:divsChild>
                <w:div w:id="5944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99945">
          <w:marLeft w:val="0"/>
          <w:marRight w:val="0"/>
          <w:marTop w:val="0"/>
          <w:marBottom w:val="0"/>
          <w:divBdr>
            <w:top w:val="none" w:sz="0" w:space="0" w:color="auto"/>
            <w:left w:val="none" w:sz="0" w:space="0" w:color="auto"/>
            <w:bottom w:val="none" w:sz="0" w:space="0" w:color="auto"/>
            <w:right w:val="none" w:sz="0" w:space="0" w:color="auto"/>
          </w:divBdr>
          <w:divsChild>
            <w:div w:id="296180969">
              <w:marLeft w:val="0"/>
              <w:marRight w:val="0"/>
              <w:marTop w:val="0"/>
              <w:marBottom w:val="0"/>
              <w:divBdr>
                <w:top w:val="none" w:sz="0" w:space="0" w:color="auto"/>
                <w:left w:val="none" w:sz="0" w:space="0" w:color="auto"/>
                <w:bottom w:val="none" w:sz="0" w:space="0" w:color="auto"/>
                <w:right w:val="none" w:sz="0" w:space="0" w:color="auto"/>
              </w:divBdr>
              <w:divsChild>
                <w:div w:id="769620814">
                  <w:marLeft w:val="0"/>
                  <w:marRight w:val="0"/>
                  <w:marTop w:val="0"/>
                  <w:marBottom w:val="0"/>
                  <w:divBdr>
                    <w:top w:val="none" w:sz="0" w:space="0" w:color="auto"/>
                    <w:left w:val="none" w:sz="0" w:space="0" w:color="auto"/>
                    <w:bottom w:val="none" w:sz="0" w:space="0" w:color="auto"/>
                    <w:right w:val="none" w:sz="0" w:space="0" w:color="auto"/>
                  </w:divBdr>
                </w:div>
              </w:divsChild>
            </w:div>
            <w:div w:id="389039417">
              <w:marLeft w:val="0"/>
              <w:marRight w:val="0"/>
              <w:marTop w:val="0"/>
              <w:marBottom w:val="0"/>
              <w:divBdr>
                <w:top w:val="none" w:sz="0" w:space="0" w:color="auto"/>
                <w:left w:val="none" w:sz="0" w:space="0" w:color="auto"/>
                <w:bottom w:val="none" w:sz="0" w:space="0" w:color="auto"/>
                <w:right w:val="none" w:sz="0" w:space="0" w:color="auto"/>
              </w:divBdr>
              <w:divsChild>
                <w:div w:id="969434938">
                  <w:marLeft w:val="0"/>
                  <w:marRight w:val="0"/>
                  <w:marTop w:val="0"/>
                  <w:marBottom w:val="0"/>
                  <w:divBdr>
                    <w:top w:val="none" w:sz="0" w:space="0" w:color="auto"/>
                    <w:left w:val="none" w:sz="0" w:space="0" w:color="auto"/>
                    <w:bottom w:val="none" w:sz="0" w:space="0" w:color="auto"/>
                    <w:right w:val="none" w:sz="0" w:space="0" w:color="auto"/>
                  </w:divBdr>
                </w:div>
                <w:div w:id="1422801494">
                  <w:marLeft w:val="0"/>
                  <w:marRight w:val="0"/>
                  <w:marTop w:val="0"/>
                  <w:marBottom w:val="0"/>
                  <w:divBdr>
                    <w:top w:val="none" w:sz="0" w:space="0" w:color="auto"/>
                    <w:left w:val="none" w:sz="0" w:space="0" w:color="auto"/>
                    <w:bottom w:val="none" w:sz="0" w:space="0" w:color="auto"/>
                    <w:right w:val="none" w:sz="0" w:space="0" w:color="auto"/>
                  </w:divBdr>
                </w:div>
              </w:divsChild>
            </w:div>
            <w:div w:id="639069223">
              <w:marLeft w:val="0"/>
              <w:marRight w:val="0"/>
              <w:marTop w:val="0"/>
              <w:marBottom w:val="0"/>
              <w:divBdr>
                <w:top w:val="none" w:sz="0" w:space="0" w:color="auto"/>
                <w:left w:val="none" w:sz="0" w:space="0" w:color="auto"/>
                <w:bottom w:val="none" w:sz="0" w:space="0" w:color="auto"/>
                <w:right w:val="none" w:sz="0" w:space="0" w:color="auto"/>
              </w:divBdr>
              <w:divsChild>
                <w:div w:id="9953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29029">
      <w:bodyDiv w:val="1"/>
      <w:marLeft w:val="0"/>
      <w:marRight w:val="0"/>
      <w:marTop w:val="0"/>
      <w:marBottom w:val="0"/>
      <w:divBdr>
        <w:top w:val="none" w:sz="0" w:space="0" w:color="auto"/>
        <w:left w:val="none" w:sz="0" w:space="0" w:color="auto"/>
        <w:bottom w:val="none" w:sz="0" w:space="0" w:color="auto"/>
        <w:right w:val="none" w:sz="0" w:space="0" w:color="auto"/>
      </w:divBdr>
      <w:divsChild>
        <w:div w:id="768624753">
          <w:marLeft w:val="0"/>
          <w:marRight w:val="0"/>
          <w:marTop w:val="0"/>
          <w:marBottom w:val="0"/>
          <w:divBdr>
            <w:top w:val="none" w:sz="0" w:space="0" w:color="auto"/>
            <w:left w:val="none" w:sz="0" w:space="0" w:color="auto"/>
            <w:bottom w:val="none" w:sz="0" w:space="0" w:color="auto"/>
            <w:right w:val="none" w:sz="0" w:space="0" w:color="auto"/>
          </w:divBdr>
          <w:divsChild>
            <w:div w:id="1601646967">
              <w:marLeft w:val="0"/>
              <w:marRight w:val="0"/>
              <w:marTop w:val="0"/>
              <w:marBottom w:val="0"/>
              <w:divBdr>
                <w:top w:val="none" w:sz="0" w:space="0" w:color="auto"/>
                <w:left w:val="none" w:sz="0" w:space="0" w:color="auto"/>
                <w:bottom w:val="none" w:sz="0" w:space="0" w:color="auto"/>
                <w:right w:val="none" w:sz="0" w:space="0" w:color="auto"/>
              </w:divBdr>
              <w:divsChild>
                <w:div w:id="747967468">
                  <w:marLeft w:val="0"/>
                  <w:marRight w:val="0"/>
                  <w:marTop w:val="0"/>
                  <w:marBottom w:val="0"/>
                  <w:divBdr>
                    <w:top w:val="none" w:sz="0" w:space="0" w:color="auto"/>
                    <w:left w:val="none" w:sz="0" w:space="0" w:color="auto"/>
                    <w:bottom w:val="none" w:sz="0" w:space="0" w:color="auto"/>
                    <w:right w:val="none" w:sz="0" w:space="0" w:color="auto"/>
                  </w:divBdr>
                  <w:divsChild>
                    <w:div w:id="115757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5761698">
      <w:bodyDiv w:val="1"/>
      <w:marLeft w:val="0"/>
      <w:marRight w:val="0"/>
      <w:marTop w:val="0"/>
      <w:marBottom w:val="0"/>
      <w:divBdr>
        <w:top w:val="none" w:sz="0" w:space="0" w:color="auto"/>
        <w:left w:val="none" w:sz="0" w:space="0" w:color="auto"/>
        <w:bottom w:val="none" w:sz="0" w:space="0" w:color="auto"/>
        <w:right w:val="none" w:sz="0" w:space="0" w:color="auto"/>
      </w:divBdr>
    </w:div>
    <w:div w:id="740518593">
      <w:bodyDiv w:val="1"/>
      <w:marLeft w:val="0"/>
      <w:marRight w:val="0"/>
      <w:marTop w:val="0"/>
      <w:marBottom w:val="0"/>
      <w:divBdr>
        <w:top w:val="none" w:sz="0" w:space="0" w:color="auto"/>
        <w:left w:val="none" w:sz="0" w:space="0" w:color="auto"/>
        <w:bottom w:val="none" w:sz="0" w:space="0" w:color="auto"/>
        <w:right w:val="none" w:sz="0" w:space="0" w:color="auto"/>
      </w:divBdr>
    </w:div>
    <w:div w:id="743837272">
      <w:bodyDiv w:val="1"/>
      <w:marLeft w:val="0"/>
      <w:marRight w:val="0"/>
      <w:marTop w:val="0"/>
      <w:marBottom w:val="0"/>
      <w:divBdr>
        <w:top w:val="none" w:sz="0" w:space="0" w:color="auto"/>
        <w:left w:val="none" w:sz="0" w:space="0" w:color="auto"/>
        <w:bottom w:val="none" w:sz="0" w:space="0" w:color="auto"/>
        <w:right w:val="none" w:sz="0" w:space="0" w:color="auto"/>
      </w:divBdr>
      <w:divsChild>
        <w:div w:id="2062820873">
          <w:marLeft w:val="0"/>
          <w:marRight w:val="0"/>
          <w:marTop w:val="0"/>
          <w:marBottom w:val="0"/>
          <w:divBdr>
            <w:top w:val="none" w:sz="0" w:space="0" w:color="auto"/>
            <w:left w:val="none" w:sz="0" w:space="0" w:color="auto"/>
            <w:bottom w:val="none" w:sz="0" w:space="0" w:color="auto"/>
            <w:right w:val="none" w:sz="0" w:space="0" w:color="auto"/>
          </w:divBdr>
          <w:divsChild>
            <w:div w:id="1408725266">
              <w:marLeft w:val="0"/>
              <w:marRight w:val="0"/>
              <w:marTop w:val="0"/>
              <w:marBottom w:val="0"/>
              <w:divBdr>
                <w:top w:val="none" w:sz="0" w:space="0" w:color="auto"/>
                <w:left w:val="none" w:sz="0" w:space="0" w:color="auto"/>
                <w:bottom w:val="none" w:sz="0" w:space="0" w:color="auto"/>
                <w:right w:val="none" w:sz="0" w:space="0" w:color="auto"/>
              </w:divBdr>
              <w:divsChild>
                <w:div w:id="3746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6285">
      <w:bodyDiv w:val="1"/>
      <w:marLeft w:val="0"/>
      <w:marRight w:val="0"/>
      <w:marTop w:val="0"/>
      <w:marBottom w:val="0"/>
      <w:divBdr>
        <w:top w:val="none" w:sz="0" w:space="0" w:color="auto"/>
        <w:left w:val="none" w:sz="0" w:space="0" w:color="auto"/>
        <w:bottom w:val="none" w:sz="0" w:space="0" w:color="auto"/>
        <w:right w:val="none" w:sz="0" w:space="0" w:color="auto"/>
      </w:divBdr>
      <w:divsChild>
        <w:div w:id="469368906">
          <w:marLeft w:val="0"/>
          <w:marRight w:val="0"/>
          <w:marTop w:val="0"/>
          <w:marBottom w:val="0"/>
          <w:divBdr>
            <w:top w:val="none" w:sz="0" w:space="0" w:color="auto"/>
            <w:left w:val="none" w:sz="0" w:space="0" w:color="auto"/>
            <w:bottom w:val="none" w:sz="0" w:space="0" w:color="auto"/>
            <w:right w:val="none" w:sz="0" w:space="0" w:color="auto"/>
          </w:divBdr>
          <w:divsChild>
            <w:div w:id="1036933464">
              <w:marLeft w:val="0"/>
              <w:marRight w:val="0"/>
              <w:marTop w:val="0"/>
              <w:marBottom w:val="0"/>
              <w:divBdr>
                <w:top w:val="none" w:sz="0" w:space="0" w:color="auto"/>
                <w:left w:val="none" w:sz="0" w:space="0" w:color="auto"/>
                <w:bottom w:val="none" w:sz="0" w:space="0" w:color="auto"/>
                <w:right w:val="none" w:sz="0" w:space="0" w:color="auto"/>
              </w:divBdr>
              <w:divsChild>
                <w:div w:id="115560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211344">
      <w:bodyDiv w:val="1"/>
      <w:marLeft w:val="0"/>
      <w:marRight w:val="0"/>
      <w:marTop w:val="0"/>
      <w:marBottom w:val="0"/>
      <w:divBdr>
        <w:top w:val="none" w:sz="0" w:space="0" w:color="auto"/>
        <w:left w:val="none" w:sz="0" w:space="0" w:color="auto"/>
        <w:bottom w:val="none" w:sz="0" w:space="0" w:color="auto"/>
        <w:right w:val="none" w:sz="0" w:space="0" w:color="auto"/>
      </w:divBdr>
    </w:div>
    <w:div w:id="773786470">
      <w:bodyDiv w:val="1"/>
      <w:marLeft w:val="0"/>
      <w:marRight w:val="0"/>
      <w:marTop w:val="0"/>
      <w:marBottom w:val="0"/>
      <w:divBdr>
        <w:top w:val="none" w:sz="0" w:space="0" w:color="auto"/>
        <w:left w:val="none" w:sz="0" w:space="0" w:color="auto"/>
        <w:bottom w:val="none" w:sz="0" w:space="0" w:color="auto"/>
        <w:right w:val="none" w:sz="0" w:space="0" w:color="auto"/>
      </w:divBdr>
      <w:divsChild>
        <w:div w:id="1990552094">
          <w:marLeft w:val="0"/>
          <w:marRight w:val="0"/>
          <w:marTop w:val="0"/>
          <w:marBottom w:val="0"/>
          <w:divBdr>
            <w:top w:val="none" w:sz="0" w:space="0" w:color="auto"/>
            <w:left w:val="none" w:sz="0" w:space="0" w:color="auto"/>
            <w:bottom w:val="none" w:sz="0" w:space="0" w:color="auto"/>
            <w:right w:val="none" w:sz="0" w:space="0" w:color="auto"/>
          </w:divBdr>
          <w:divsChild>
            <w:div w:id="18316370">
              <w:marLeft w:val="0"/>
              <w:marRight w:val="0"/>
              <w:marTop w:val="0"/>
              <w:marBottom w:val="0"/>
              <w:divBdr>
                <w:top w:val="none" w:sz="0" w:space="0" w:color="auto"/>
                <w:left w:val="none" w:sz="0" w:space="0" w:color="auto"/>
                <w:bottom w:val="none" w:sz="0" w:space="0" w:color="auto"/>
                <w:right w:val="none" w:sz="0" w:space="0" w:color="auto"/>
              </w:divBdr>
              <w:divsChild>
                <w:div w:id="1216046260">
                  <w:marLeft w:val="0"/>
                  <w:marRight w:val="0"/>
                  <w:marTop w:val="0"/>
                  <w:marBottom w:val="0"/>
                  <w:divBdr>
                    <w:top w:val="none" w:sz="0" w:space="0" w:color="auto"/>
                    <w:left w:val="none" w:sz="0" w:space="0" w:color="auto"/>
                    <w:bottom w:val="none" w:sz="0" w:space="0" w:color="auto"/>
                    <w:right w:val="none" w:sz="0" w:space="0" w:color="auto"/>
                  </w:divBdr>
                  <w:divsChild>
                    <w:div w:id="20633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97070">
      <w:bodyDiv w:val="1"/>
      <w:marLeft w:val="0"/>
      <w:marRight w:val="0"/>
      <w:marTop w:val="0"/>
      <w:marBottom w:val="0"/>
      <w:divBdr>
        <w:top w:val="none" w:sz="0" w:space="0" w:color="auto"/>
        <w:left w:val="none" w:sz="0" w:space="0" w:color="auto"/>
        <w:bottom w:val="none" w:sz="0" w:space="0" w:color="auto"/>
        <w:right w:val="none" w:sz="0" w:space="0" w:color="auto"/>
      </w:divBdr>
      <w:divsChild>
        <w:div w:id="1675841179">
          <w:marLeft w:val="0"/>
          <w:marRight w:val="0"/>
          <w:marTop w:val="0"/>
          <w:marBottom w:val="0"/>
          <w:divBdr>
            <w:top w:val="none" w:sz="0" w:space="0" w:color="auto"/>
            <w:left w:val="none" w:sz="0" w:space="0" w:color="auto"/>
            <w:bottom w:val="none" w:sz="0" w:space="0" w:color="auto"/>
            <w:right w:val="none" w:sz="0" w:space="0" w:color="auto"/>
          </w:divBdr>
          <w:divsChild>
            <w:div w:id="1344091045">
              <w:marLeft w:val="0"/>
              <w:marRight w:val="0"/>
              <w:marTop w:val="0"/>
              <w:marBottom w:val="0"/>
              <w:divBdr>
                <w:top w:val="none" w:sz="0" w:space="0" w:color="auto"/>
                <w:left w:val="none" w:sz="0" w:space="0" w:color="auto"/>
                <w:bottom w:val="none" w:sz="0" w:space="0" w:color="auto"/>
                <w:right w:val="none" w:sz="0" w:space="0" w:color="auto"/>
              </w:divBdr>
              <w:divsChild>
                <w:div w:id="67523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215703">
      <w:bodyDiv w:val="1"/>
      <w:marLeft w:val="0"/>
      <w:marRight w:val="0"/>
      <w:marTop w:val="0"/>
      <w:marBottom w:val="0"/>
      <w:divBdr>
        <w:top w:val="none" w:sz="0" w:space="0" w:color="auto"/>
        <w:left w:val="none" w:sz="0" w:space="0" w:color="auto"/>
        <w:bottom w:val="none" w:sz="0" w:space="0" w:color="auto"/>
        <w:right w:val="none" w:sz="0" w:space="0" w:color="auto"/>
      </w:divBdr>
    </w:div>
    <w:div w:id="856500391">
      <w:bodyDiv w:val="1"/>
      <w:marLeft w:val="0"/>
      <w:marRight w:val="0"/>
      <w:marTop w:val="0"/>
      <w:marBottom w:val="0"/>
      <w:divBdr>
        <w:top w:val="none" w:sz="0" w:space="0" w:color="auto"/>
        <w:left w:val="none" w:sz="0" w:space="0" w:color="auto"/>
        <w:bottom w:val="none" w:sz="0" w:space="0" w:color="auto"/>
        <w:right w:val="none" w:sz="0" w:space="0" w:color="auto"/>
      </w:divBdr>
    </w:div>
    <w:div w:id="872420316">
      <w:bodyDiv w:val="1"/>
      <w:marLeft w:val="0"/>
      <w:marRight w:val="0"/>
      <w:marTop w:val="0"/>
      <w:marBottom w:val="0"/>
      <w:divBdr>
        <w:top w:val="none" w:sz="0" w:space="0" w:color="auto"/>
        <w:left w:val="none" w:sz="0" w:space="0" w:color="auto"/>
        <w:bottom w:val="none" w:sz="0" w:space="0" w:color="auto"/>
        <w:right w:val="none" w:sz="0" w:space="0" w:color="auto"/>
      </w:divBdr>
      <w:divsChild>
        <w:div w:id="437795689">
          <w:marLeft w:val="0"/>
          <w:marRight w:val="0"/>
          <w:marTop w:val="0"/>
          <w:marBottom w:val="0"/>
          <w:divBdr>
            <w:top w:val="none" w:sz="0" w:space="0" w:color="auto"/>
            <w:left w:val="none" w:sz="0" w:space="0" w:color="auto"/>
            <w:bottom w:val="none" w:sz="0" w:space="0" w:color="auto"/>
            <w:right w:val="none" w:sz="0" w:space="0" w:color="auto"/>
          </w:divBdr>
          <w:divsChild>
            <w:div w:id="1334647921">
              <w:marLeft w:val="0"/>
              <w:marRight w:val="0"/>
              <w:marTop w:val="0"/>
              <w:marBottom w:val="0"/>
              <w:divBdr>
                <w:top w:val="none" w:sz="0" w:space="0" w:color="auto"/>
                <w:left w:val="none" w:sz="0" w:space="0" w:color="auto"/>
                <w:bottom w:val="none" w:sz="0" w:space="0" w:color="auto"/>
                <w:right w:val="none" w:sz="0" w:space="0" w:color="auto"/>
              </w:divBdr>
              <w:divsChild>
                <w:div w:id="10793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064123">
      <w:bodyDiv w:val="1"/>
      <w:marLeft w:val="0"/>
      <w:marRight w:val="0"/>
      <w:marTop w:val="0"/>
      <w:marBottom w:val="0"/>
      <w:divBdr>
        <w:top w:val="none" w:sz="0" w:space="0" w:color="auto"/>
        <w:left w:val="none" w:sz="0" w:space="0" w:color="auto"/>
        <w:bottom w:val="none" w:sz="0" w:space="0" w:color="auto"/>
        <w:right w:val="none" w:sz="0" w:space="0" w:color="auto"/>
      </w:divBdr>
    </w:div>
    <w:div w:id="913704802">
      <w:bodyDiv w:val="1"/>
      <w:marLeft w:val="0"/>
      <w:marRight w:val="0"/>
      <w:marTop w:val="0"/>
      <w:marBottom w:val="0"/>
      <w:divBdr>
        <w:top w:val="none" w:sz="0" w:space="0" w:color="auto"/>
        <w:left w:val="none" w:sz="0" w:space="0" w:color="auto"/>
        <w:bottom w:val="none" w:sz="0" w:space="0" w:color="auto"/>
        <w:right w:val="none" w:sz="0" w:space="0" w:color="auto"/>
      </w:divBdr>
      <w:divsChild>
        <w:div w:id="1599293263">
          <w:marLeft w:val="0"/>
          <w:marRight w:val="0"/>
          <w:marTop w:val="0"/>
          <w:marBottom w:val="0"/>
          <w:divBdr>
            <w:top w:val="none" w:sz="0" w:space="0" w:color="auto"/>
            <w:left w:val="none" w:sz="0" w:space="0" w:color="auto"/>
            <w:bottom w:val="none" w:sz="0" w:space="0" w:color="auto"/>
            <w:right w:val="none" w:sz="0" w:space="0" w:color="auto"/>
          </w:divBdr>
          <w:divsChild>
            <w:div w:id="599021236">
              <w:marLeft w:val="0"/>
              <w:marRight w:val="0"/>
              <w:marTop w:val="0"/>
              <w:marBottom w:val="0"/>
              <w:divBdr>
                <w:top w:val="none" w:sz="0" w:space="0" w:color="auto"/>
                <w:left w:val="none" w:sz="0" w:space="0" w:color="auto"/>
                <w:bottom w:val="none" w:sz="0" w:space="0" w:color="auto"/>
                <w:right w:val="none" w:sz="0" w:space="0" w:color="auto"/>
              </w:divBdr>
              <w:divsChild>
                <w:div w:id="118878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443280">
      <w:bodyDiv w:val="1"/>
      <w:marLeft w:val="0"/>
      <w:marRight w:val="0"/>
      <w:marTop w:val="0"/>
      <w:marBottom w:val="0"/>
      <w:divBdr>
        <w:top w:val="none" w:sz="0" w:space="0" w:color="auto"/>
        <w:left w:val="none" w:sz="0" w:space="0" w:color="auto"/>
        <w:bottom w:val="none" w:sz="0" w:space="0" w:color="auto"/>
        <w:right w:val="none" w:sz="0" w:space="0" w:color="auto"/>
      </w:divBdr>
      <w:divsChild>
        <w:div w:id="1672681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9654687">
      <w:bodyDiv w:val="1"/>
      <w:marLeft w:val="0"/>
      <w:marRight w:val="0"/>
      <w:marTop w:val="0"/>
      <w:marBottom w:val="0"/>
      <w:divBdr>
        <w:top w:val="none" w:sz="0" w:space="0" w:color="auto"/>
        <w:left w:val="none" w:sz="0" w:space="0" w:color="auto"/>
        <w:bottom w:val="none" w:sz="0" w:space="0" w:color="auto"/>
        <w:right w:val="none" w:sz="0" w:space="0" w:color="auto"/>
      </w:divBdr>
    </w:div>
    <w:div w:id="980814916">
      <w:bodyDiv w:val="1"/>
      <w:marLeft w:val="0"/>
      <w:marRight w:val="0"/>
      <w:marTop w:val="0"/>
      <w:marBottom w:val="0"/>
      <w:divBdr>
        <w:top w:val="none" w:sz="0" w:space="0" w:color="auto"/>
        <w:left w:val="none" w:sz="0" w:space="0" w:color="auto"/>
        <w:bottom w:val="none" w:sz="0" w:space="0" w:color="auto"/>
        <w:right w:val="none" w:sz="0" w:space="0" w:color="auto"/>
      </w:divBdr>
    </w:div>
    <w:div w:id="1004086324">
      <w:bodyDiv w:val="1"/>
      <w:marLeft w:val="0"/>
      <w:marRight w:val="0"/>
      <w:marTop w:val="0"/>
      <w:marBottom w:val="0"/>
      <w:divBdr>
        <w:top w:val="none" w:sz="0" w:space="0" w:color="auto"/>
        <w:left w:val="none" w:sz="0" w:space="0" w:color="auto"/>
        <w:bottom w:val="none" w:sz="0" w:space="0" w:color="auto"/>
        <w:right w:val="none" w:sz="0" w:space="0" w:color="auto"/>
      </w:divBdr>
    </w:div>
    <w:div w:id="1038160279">
      <w:bodyDiv w:val="1"/>
      <w:marLeft w:val="0"/>
      <w:marRight w:val="0"/>
      <w:marTop w:val="0"/>
      <w:marBottom w:val="0"/>
      <w:divBdr>
        <w:top w:val="none" w:sz="0" w:space="0" w:color="auto"/>
        <w:left w:val="none" w:sz="0" w:space="0" w:color="auto"/>
        <w:bottom w:val="none" w:sz="0" w:space="0" w:color="auto"/>
        <w:right w:val="none" w:sz="0" w:space="0" w:color="auto"/>
      </w:divBdr>
      <w:divsChild>
        <w:div w:id="1713727720">
          <w:marLeft w:val="0"/>
          <w:marRight w:val="0"/>
          <w:marTop w:val="0"/>
          <w:marBottom w:val="0"/>
          <w:divBdr>
            <w:top w:val="none" w:sz="0" w:space="0" w:color="auto"/>
            <w:left w:val="none" w:sz="0" w:space="0" w:color="auto"/>
            <w:bottom w:val="none" w:sz="0" w:space="0" w:color="auto"/>
            <w:right w:val="none" w:sz="0" w:space="0" w:color="auto"/>
          </w:divBdr>
          <w:divsChild>
            <w:div w:id="1910457605">
              <w:marLeft w:val="0"/>
              <w:marRight w:val="0"/>
              <w:marTop w:val="0"/>
              <w:marBottom w:val="0"/>
              <w:divBdr>
                <w:top w:val="none" w:sz="0" w:space="0" w:color="auto"/>
                <w:left w:val="none" w:sz="0" w:space="0" w:color="auto"/>
                <w:bottom w:val="none" w:sz="0" w:space="0" w:color="auto"/>
                <w:right w:val="none" w:sz="0" w:space="0" w:color="auto"/>
              </w:divBdr>
              <w:divsChild>
                <w:div w:id="46177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865483">
      <w:bodyDiv w:val="1"/>
      <w:marLeft w:val="0"/>
      <w:marRight w:val="0"/>
      <w:marTop w:val="0"/>
      <w:marBottom w:val="0"/>
      <w:divBdr>
        <w:top w:val="none" w:sz="0" w:space="0" w:color="auto"/>
        <w:left w:val="none" w:sz="0" w:space="0" w:color="auto"/>
        <w:bottom w:val="none" w:sz="0" w:space="0" w:color="auto"/>
        <w:right w:val="none" w:sz="0" w:space="0" w:color="auto"/>
      </w:divBdr>
      <w:divsChild>
        <w:div w:id="1667710512">
          <w:marLeft w:val="0"/>
          <w:marRight w:val="0"/>
          <w:marTop w:val="0"/>
          <w:marBottom w:val="0"/>
          <w:divBdr>
            <w:top w:val="none" w:sz="0" w:space="0" w:color="auto"/>
            <w:left w:val="none" w:sz="0" w:space="0" w:color="auto"/>
            <w:bottom w:val="none" w:sz="0" w:space="0" w:color="auto"/>
            <w:right w:val="none" w:sz="0" w:space="0" w:color="auto"/>
          </w:divBdr>
          <w:divsChild>
            <w:div w:id="174345771">
              <w:marLeft w:val="0"/>
              <w:marRight w:val="0"/>
              <w:marTop w:val="0"/>
              <w:marBottom w:val="0"/>
              <w:divBdr>
                <w:top w:val="none" w:sz="0" w:space="0" w:color="auto"/>
                <w:left w:val="none" w:sz="0" w:space="0" w:color="auto"/>
                <w:bottom w:val="none" w:sz="0" w:space="0" w:color="auto"/>
                <w:right w:val="none" w:sz="0" w:space="0" w:color="auto"/>
              </w:divBdr>
              <w:divsChild>
                <w:div w:id="160939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09407">
      <w:bodyDiv w:val="1"/>
      <w:marLeft w:val="0"/>
      <w:marRight w:val="0"/>
      <w:marTop w:val="0"/>
      <w:marBottom w:val="0"/>
      <w:divBdr>
        <w:top w:val="none" w:sz="0" w:space="0" w:color="auto"/>
        <w:left w:val="none" w:sz="0" w:space="0" w:color="auto"/>
        <w:bottom w:val="none" w:sz="0" w:space="0" w:color="auto"/>
        <w:right w:val="none" w:sz="0" w:space="0" w:color="auto"/>
      </w:divBdr>
      <w:divsChild>
        <w:div w:id="1850176045">
          <w:marLeft w:val="0"/>
          <w:marRight w:val="0"/>
          <w:marTop w:val="0"/>
          <w:marBottom w:val="0"/>
          <w:divBdr>
            <w:top w:val="none" w:sz="0" w:space="0" w:color="auto"/>
            <w:left w:val="none" w:sz="0" w:space="0" w:color="auto"/>
            <w:bottom w:val="none" w:sz="0" w:space="0" w:color="auto"/>
            <w:right w:val="none" w:sz="0" w:space="0" w:color="auto"/>
          </w:divBdr>
          <w:divsChild>
            <w:div w:id="286621594">
              <w:marLeft w:val="0"/>
              <w:marRight w:val="0"/>
              <w:marTop w:val="0"/>
              <w:marBottom w:val="0"/>
              <w:divBdr>
                <w:top w:val="none" w:sz="0" w:space="0" w:color="auto"/>
                <w:left w:val="none" w:sz="0" w:space="0" w:color="auto"/>
                <w:bottom w:val="none" w:sz="0" w:space="0" w:color="auto"/>
                <w:right w:val="none" w:sz="0" w:space="0" w:color="auto"/>
              </w:divBdr>
              <w:divsChild>
                <w:div w:id="86016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554519">
      <w:bodyDiv w:val="1"/>
      <w:marLeft w:val="0"/>
      <w:marRight w:val="0"/>
      <w:marTop w:val="0"/>
      <w:marBottom w:val="0"/>
      <w:divBdr>
        <w:top w:val="none" w:sz="0" w:space="0" w:color="auto"/>
        <w:left w:val="none" w:sz="0" w:space="0" w:color="auto"/>
        <w:bottom w:val="none" w:sz="0" w:space="0" w:color="auto"/>
        <w:right w:val="none" w:sz="0" w:space="0" w:color="auto"/>
      </w:divBdr>
      <w:divsChild>
        <w:div w:id="352926396">
          <w:marLeft w:val="0"/>
          <w:marRight w:val="0"/>
          <w:marTop w:val="0"/>
          <w:marBottom w:val="0"/>
          <w:divBdr>
            <w:top w:val="none" w:sz="0" w:space="0" w:color="auto"/>
            <w:left w:val="none" w:sz="0" w:space="0" w:color="auto"/>
            <w:bottom w:val="none" w:sz="0" w:space="0" w:color="auto"/>
            <w:right w:val="none" w:sz="0" w:space="0" w:color="auto"/>
          </w:divBdr>
          <w:divsChild>
            <w:div w:id="1354453785">
              <w:marLeft w:val="0"/>
              <w:marRight w:val="0"/>
              <w:marTop w:val="0"/>
              <w:marBottom w:val="0"/>
              <w:divBdr>
                <w:top w:val="none" w:sz="0" w:space="0" w:color="auto"/>
                <w:left w:val="none" w:sz="0" w:space="0" w:color="auto"/>
                <w:bottom w:val="none" w:sz="0" w:space="0" w:color="auto"/>
                <w:right w:val="none" w:sz="0" w:space="0" w:color="auto"/>
              </w:divBdr>
              <w:divsChild>
                <w:div w:id="1688411847">
                  <w:marLeft w:val="0"/>
                  <w:marRight w:val="0"/>
                  <w:marTop w:val="0"/>
                  <w:marBottom w:val="0"/>
                  <w:divBdr>
                    <w:top w:val="none" w:sz="0" w:space="0" w:color="auto"/>
                    <w:left w:val="none" w:sz="0" w:space="0" w:color="auto"/>
                    <w:bottom w:val="none" w:sz="0" w:space="0" w:color="auto"/>
                    <w:right w:val="none" w:sz="0" w:space="0" w:color="auto"/>
                  </w:divBdr>
                  <w:divsChild>
                    <w:div w:id="207388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9389573">
      <w:bodyDiv w:val="1"/>
      <w:marLeft w:val="0"/>
      <w:marRight w:val="0"/>
      <w:marTop w:val="0"/>
      <w:marBottom w:val="0"/>
      <w:divBdr>
        <w:top w:val="none" w:sz="0" w:space="0" w:color="auto"/>
        <w:left w:val="none" w:sz="0" w:space="0" w:color="auto"/>
        <w:bottom w:val="none" w:sz="0" w:space="0" w:color="auto"/>
        <w:right w:val="none" w:sz="0" w:space="0" w:color="auto"/>
      </w:divBdr>
      <w:divsChild>
        <w:div w:id="2026055020">
          <w:marLeft w:val="0"/>
          <w:marRight w:val="0"/>
          <w:marTop w:val="0"/>
          <w:marBottom w:val="0"/>
          <w:divBdr>
            <w:top w:val="none" w:sz="0" w:space="0" w:color="auto"/>
            <w:left w:val="none" w:sz="0" w:space="0" w:color="auto"/>
            <w:bottom w:val="none" w:sz="0" w:space="0" w:color="auto"/>
            <w:right w:val="none" w:sz="0" w:space="0" w:color="auto"/>
          </w:divBdr>
          <w:divsChild>
            <w:div w:id="315837165">
              <w:marLeft w:val="0"/>
              <w:marRight w:val="0"/>
              <w:marTop w:val="0"/>
              <w:marBottom w:val="0"/>
              <w:divBdr>
                <w:top w:val="none" w:sz="0" w:space="0" w:color="auto"/>
                <w:left w:val="none" w:sz="0" w:space="0" w:color="auto"/>
                <w:bottom w:val="none" w:sz="0" w:space="0" w:color="auto"/>
                <w:right w:val="none" w:sz="0" w:space="0" w:color="auto"/>
              </w:divBdr>
              <w:divsChild>
                <w:div w:id="113930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072952">
          <w:marLeft w:val="0"/>
          <w:marRight w:val="0"/>
          <w:marTop w:val="0"/>
          <w:marBottom w:val="0"/>
          <w:divBdr>
            <w:top w:val="none" w:sz="0" w:space="0" w:color="auto"/>
            <w:left w:val="none" w:sz="0" w:space="0" w:color="auto"/>
            <w:bottom w:val="none" w:sz="0" w:space="0" w:color="auto"/>
            <w:right w:val="none" w:sz="0" w:space="0" w:color="auto"/>
          </w:divBdr>
          <w:divsChild>
            <w:div w:id="1947342246">
              <w:marLeft w:val="0"/>
              <w:marRight w:val="0"/>
              <w:marTop w:val="0"/>
              <w:marBottom w:val="0"/>
              <w:divBdr>
                <w:top w:val="none" w:sz="0" w:space="0" w:color="auto"/>
                <w:left w:val="none" w:sz="0" w:space="0" w:color="auto"/>
                <w:bottom w:val="none" w:sz="0" w:space="0" w:color="auto"/>
                <w:right w:val="none" w:sz="0" w:space="0" w:color="auto"/>
              </w:divBdr>
              <w:divsChild>
                <w:div w:id="82497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193175">
      <w:bodyDiv w:val="1"/>
      <w:marLeft w:val="0"/>
      <w:marRight w:val="0"/>
      <w:marTop w:val="0"/>
      <w:marBottom w:val="0"/>
      <w:divBdr>
        <w:top w:val="none" w:sz="0" w:space="0" w:color="auto"/>
        <w:left w:val="none" w:sz="0" w:space="0" w:color="auto"/>
        <w:bottom w:val="none" w:sz="0" w:space="0" w:color="auto"/>
        <w:right w:val="none" w:sz="0" w:space="0" w:color="auto"/>
      </w:divBdr>
    </w:div>
    <w:div w:id="1362435868">
      <w:bodyDiv w:val="1"/>
      <w:marLeft w:val="0"/>
      <w:marRight w:val="0"/>
      <w:marTop w:val="0"/>
      <w:marBottom w:val="0"/>
      <w:divBdr>
        <w:top w:val="none" w:sz="0" w:space="0" w:color="auto"/>
        <w:left w:val="none" w:sz="0" w:space="0" w:color="auto"/>
        <w:bottom w:val="none" w:sz="0" w:space="0" w:color="auto"/>
        <w:right w:val="none" w:sz="0" w:space="0" w:color="auto"/>
      </w:divBdr>
    </w:div>
    <w:div w:id="1389841165">
      <w:bodyDiv w:val="1"/>
      <w:marLeft w:val="0"/>
      <w:marRight w:val="0"/>
      <w:marTop w:val="0"/>
      <w:marBottom w:val="0"/>
      <w:divBdr>
        <w:top w:val="none" w:sz="0" w:space="0" w:color="auto"/>
        <w:left w:val="none" w:sz="0" w:space="0" w:color="auto"/>
        <w:bottom w:val="none" w:sz="0" w:space="0" w:color="auto"/>
        <w:right w:val="none" w:sz="0" w:space="0" w:color="auto"/>
      </w:divBdr>
      <w:divsChild>
        <w:div w:id="85424796">
          <w:marLeft w:val="0"/>
          <w:marRight w:val="0"/>
          <w:marTop w:val="0"/>
          <w:marBottom w:val="0"/>
          <w:divBdr>
            <w:top w:val="none" w:sz="0" w:space="0" w:color="auto"/>
            <w:left w:val="none" w:sz="0" w:space="0" w:color="auto"/>
            <w:bottom w:val="none" w:sz="0" w:space="0" w:color="auto"/>
            <w:right w:val="none" w:sz="0" w:space="0" w:color="auto"/>
          </w:divBdr>
          <w:divsChild>
            <w:div w:id="1836415588">
              <w:marLeft w:val="0"/>
              <w:marRight w:val="0"/>
              <w:marTop w:val="0"/>
              <w:marBottom w:val="0"/>
              <w:divBdr>
                <w:top w:val="none" w:sz="0" w:space="0" w:color="auto"/>
                <w:left w:val="none" w:sz="0" w:space="0" w:color="auto"/>
                <w:bottom w:val="none" w:sz="0" w:space="0" w:color="auto"/>
                <w:right w:val="none" w:sz="0" w:space="0" w:color="auto"/>
              </w:divBdr>
              <w:divsChild>
                <w:div w:id="54075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230028">
      <w:bodyDiv w:val="1"/>
      <w:marLeft w:val="0"/>
      <w:marRight w:val="0"/>
      <w:marTop w:val="0"/>
      <w:marBottom w:val="0"/>
      <w:divBdr>
        <w:top w:val="none" w:sz="0" w:space="0" w:color="auto"/>
        <w:left w:val="none" w:sz="0" w:space="0" w:color="auto"/>
        <w:bottom w:val="none" w:sz="0" w:space="0" w:color="auto"/>
        <w:right w:val="none" w:sz="0" w:space="0" w:color="auto"/>
      </w:divBdr>
      <w:divsChild>
        <w:div w:id="1637830147">
          <w:marLeft w:val="0"/>
          <w:marRight w:val="0"/>
          <w:marTop w:val="0"/>
          <w:marBottom w:val="0"/>
          <w:divBdr>
            <w:top w:val="none" w:sz="0" w:space="0" w:color="auto"/>
            <w:left w:val="none" w:sz="0" w:space="0" w:color="auto"/>
            <w:bottom w:val="none" w:sz="0" w:space="0" w:color="auto"/>
            <w:right w:val="none" w:sz="0" w:space="0" w:color="auto"/>
          </w:divBdr>
          <w:divsChild>
            <w:div w:id="515920364">
              <w:marLeft w:val="0"/>
              <w:marRight w:val="0"/>
              <w:marTop w:val="0"/>
              <w:marBottom w:val="0"/>
              <w:divBdr>
                <w:top w:val="none" w:sz="0" w:space="0" w:color="auto"/>
                <w:left w:val="none" w:sz="0" w:space="0" w:color="auto"/>
                <w:bottom w:val="none" w:sz="0" w:space="0" w:color="auto"/>
                <w:right w:val="none" w:sz="0" w:space="0" w:color="auto"/>
              </w:divBdr>
              <w:divsChild>
                <w:div w:id="12298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700488">
      <w:bodyDiv w:val="1"/>
      <w:marLeft w:val="0"/>
      <w:marRight w:val="0"/>
      <w:marTop w:val="0"/>
      <w:marBottom w:val="0"/>
      <w:divBdr>
        <w:top w:val="none" w:sz="0" w:space="0" w:color="auto"/>
        <w:left w:val="none" w:sz="0" w:space="0" w:color="auto"/>
        <w:bottom w:val="none" w:sz="0" w:space="0" w:color="auto"/>
        <w:right w:val="none" w:sz="0" w:space="0" w:color="auto"/>
      </w:divBdr>
    </w:div>
    <w:div w:id="1475373077">
      <w:bodyDiv w:val="1"/>
      <w:marLeft w:val="0"/>
      <w:marRight w:val="0"/>
      <w:marTop w:val="0"/>
      <w:marBottom w:val="0"/>
      <w:divBdr>
        <w:top w:val="none" w:sz="0" w:space="0" w:color="auto"/>
        <w:left w:val="none" w:sz="0" w:space="0" w:color="auto"/>
        <w:bottom w:val="none" w:sz="0" w:space="0" w:color="auto"/>
        <w:right w:val="none" w:sz="0" w:space="0" w:color="auto"/>
      </w:divBdr>
      <w:divsChild>
        <w:div w:id="713624432">
          <w:marLeft w:val="0"/>
          <w:marRight w:val="0"/>
          <w:marTop w:val="0"/>
          <w:marBottom w:val="0"/>
          <w:divBdr>
            <w:top w:val="none" w:sz="0" w:space="0" w:color="auto"/>
            <w:left w:val="none" w:sz="0" w:space="0" w:color="auto"/>
            <w:bottom w:val="none" w:sz="0" w:space="0" w:color="auto"/>
            <w:right w:val="none" w:sz="0" w:space="0" w:color="auto"/>
          </w:divBdr>
          <w:divsChild>
            <w:div w:id="1461653846">
              <w:marLeft w:val="0"/>
              <w:marRight w:val="0"/>
              <w:marTop w:val="0"/>
              <w:marBottom w:val="0"/>
              <w:divBdr>
                <w:top w:val="none" w:sz="0" w:space="0" w:color="auto"/>
                <w:left w:val="none" w:sz="0" w:space="0" w:color="auto"/>
                <w:bottom w:val="none" w:sz="0" w:space="0" w:color="auto"/>
                <w:right w:val="none" w:sz="0" w:space="0" w:color="auto"/>
              </w:divBdr>
              <w:divsChild>
                <w:div w:id="85755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954">
      <w:bodyDiv w:val="1"/>
      <w:marLeft w:val="0"/>
      <w:marRight w:val="0"/>
      <w:marTop w:val="0"/>
      <w:marBottom w:val="0"/>
      <w:divBdr>
        <w:top w:val="none" w:sz="0" w:space="0" w:color="auto"/>
        <w:left w:val="none" w:sz="0" w:space="0" w:color="auto"/>
        <w:bottom w:val="none" w:sz="0" w:space="0" w:color="auto"/>
        <w:right w:val="none" w:sz="0" w:space="0" w:color="auto"/>
      </w:divBdr>
      <w:divsChild>
        <w:div w:id="168834331">
          <w:marLeft w:val="0"/>
          <w:marRight w:val="0"/>
          <w:marTop w:val="0"/>
          <w:marBottom w:val="0"/>
          <w:divBdr>
            <w:top w:val="none" w:sz="0" w:space="0" w:color="auto"/>
            <w:left w:val="none" w:sz="0" w:space="0" w:color="auto"/>
            <w:bottom w:val="none" w:sz="0" w:space="0" w:color="auto"/>
            <w:right w:val="none" w:sz="0" w:space="0" w:color="auto"/>
          </w:divBdr>
          <w:divsChild>
            <w:div w:id="992291523">
              <w:marLeft w:val="0"/>
              <w:marRight w:val="0"/>
              <w:marTop w:val="0"/>
              <w:marBottom w:val="0"/>
              <w:divBdr>
                <w:top w:val="none" w:sz="0" w:space="0" w:color="auto"/>
                <w:left w:val="none" w:sz="0" w:space="0" w:color="auto"/>
                <w:bottom w:val="none" w:sz="0" w:space="0" w:color="auto"/>
                <w:right w:val="none" w:sz="0" w:space="0" w:color="auto"/>
              </w:divBdr>
              <w:divsChild>
                <w:div w:id="125104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906843">
      <w:bodyDiv w:val="1"/>
      <w:marLeft w:val="0"/>
      <w:marRight w:val="0"/>
      <w:marTop w:val="0"/>
      <w:marBottom w:val="0"/>
      <w:divBdr>
        <w:top w:val="none" w:sz="0" w:space="0" w:color="auto"/>
        <w:left w:val="none" w:sz="0" w:space="0" w:color="auto"/>
        <w:bottom w:val="none" w:sz="0" w:space="0" w:color="auto"/>
        <w:right w:val="none" w:sz="0" w:space="0" w:color="auto"/>
      </w:divBdr>
      <w:divsChild>
        <w:div w:id="1754467071">
          <w:marLeft w:val="0"/>
          <w:marRight w:val="0"/>
          <w:marTop w:val="0"/>
          <w:marBottom w:val="0"/>
          <w:divBdr>
            <w:top w:val="none" w:sz="0" w:space="0" w:color="auto"/>
            <w:left w:val="none" w:sz="0" w:space="0" w:color="auto"/>
            <w:bottom w:val="none" w:sz="0" w:space="0" w:color="auto"/>
            <w:right w:val="none" w:sz="0" w:space="0" w:color="auto"/>
          </w:divBdr>
          <w:divsChild>
            <w:div w:id="1401907634">
              <w:marLeft w:val="0"/>
              <w:marRight w:val="0"/>
              <w:marTop w:val="0"/>
              <w:marBottom w:val="0"/>
              <w:divBdr>
                <w:top w:val="none" w:sz="0" w:space="0" w:color="auto"/>
                <w:left w:val="none" w:sz="0" w:space="0" w:color="auto"/>
                <w:bottom w:val="none" w:sz="0" w:space="0" w:color="auto"/>
                <w:right w:val="none" w:sz="0" w:space="0" w:color="auto"/>
              </w:divBdr>
              <w:divsChild>
                <w:div w:id="2491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766835">
      <w:bodyDiv w:val="1"/>
      <w:marLeft w:val="0"/>
      <w:marRight w:val="0"/>
      <w:marTop w:val="0"/>
      <w:marBottom w:val="0"/>
      <w:divBdr>
        <w:top w:val="none" w:sz="0" w:space="0" w:color="auto"/>
        <w:left w:val="none" w:sz="0" w:space="0" w:color="auto"/>
        <w:bottom w:val="none" w:sz="0" w:space="0" w:color="auto"/>
        <w:right w:val="none" w:sz="0" w:space="0" w:color="auto"/>
      </w:divBdr>
      <w:divsChild>
        <w:div w:id="1829517672">
          <w:marLeft w:val="0"/>
          <w:marRight w:val="0"/>
          <w:marTop w:val="0"/>
          <w:marBottom w:val="0"/>
          <w:divBdr>
            <w:top w:val="none" w:sz="0" w:space="0" w:color="auto"/>
            <w:left w:val="none" w:sz="0" w:space="0" w:color="auto"/>
            <w:bottom w:val="none" w:sz="0" w:space="0" w:color="auto"/>
            <w:right w:val="none" w:sz="0" w:space="0" w:color="auto"/>
          </w:divBdr>
          <w:divsChild>
            <w:div w:id="846015400">
              <w:marLeft w:val="0"/>
              <w:marRight w:val="0"/>
              <w:marTop w:val="0"/>
              <w:marBottom w:val="0"/>
              <w:divBdr>
                <w:top w:val="none" w:sz="0" w:space="0" w:color="auto"/>
                <w:left w:val="none" w:sz="0" w:space="0" w:color="auto"/>
                <w:bottom w:val="none" w:sz="0" w:space="0" w:color="auto"/>
                <w:right w:val="none" w:sz="0" w:space="0" w:color="auto"/>
              </w:divBdr>
              <w:divsChild>
                <w:div w:id="202062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952328">
      <w:bodyDiv w:val="1"/>
      <w:marLeft w:val="0"/>
      <w:marRight w:val="0"/>
      <w:marTop w:val="0"/>
      <w:marBottom w:val="0"/>
      <w:divBdr>
        <w:top w:val="none" w:sz="0" w:space="0" w:color="auto"/>
        <w:left w:val="none" w:sz="0" w:space="0" w:color="auto"/>
        <w:bottom w:val="none" w:sz="0" w:space="0" w:color="auto"/>
        <w:right w:val="none" w:sz="0" w:space="0" w:color="auto"/>
      </w:divBdr>
    </w:div>
    <w:div w:id="1555505950">
      <w:bodyDiv w:val="1"/>
      <w:marLeft w:val="0"/>
      <w:marRight w:val="0"/>
      <w:marTop w:val="0"/>
      <w:marBottom w:val="0"/>
      <w:divBdr>
        <w:top w:val="none" w:sz="0" w:space="0" w:color="auto"/>
        <w:left w:val="none" w:sz="0" w:space="0" w:color="auto"/>
        <w:bottom w:val="none" w:sz="0" w:space="0" w:color="auto"/>
        <w:right w:val="none" w:sz="0" w:space="0" w:color="auto"/>
      </w:divBdr>
      <w:divsChild>
        <w:div w:id="52892232">
          <w:marLeft w:val="0"/>
          <w:marRight w:val="0"/>
          <w:marTop w:val="0"/>
          <w:marBottom w:val="0"/>
          <w:divBdr>
            <w:top w:val="none" w:sz="0" w:space="0" w:color="auto"/>
            <w:left w:val="none" w:sz="0" w:space="0" w:color="auto"/>
            <w:bottom w:val="none" w:sz="0" w:space="0" w:color="auto"/>
            <w:right w:val="none" w:sz="0" w:space="0" w:color="auto"/>
          </w:divBdr>
          <w:divsChild>
            <w:div w:id="1053963945">
              <w:marLeft w:val="0"/>
              <w:marRight w:val="0"/>
              <w:marTop w:val="0"/>
              <w:marBottom w:val="0"/>
              <w:divBdr>
                <w:top w:val="none" w:sz="0" w:space="0" w:color="auto"/>
                <w:left w:val="none" w:sz="0" w:space="0" w:color="auto"/>
                <w:bottom w:val="none" w:sz="0" w:space="0" w:color="auto"/>
                <w:right w:val="none" w:sz="0" w:space="0" w:color="auto"/>
              </w:divBdr>
              <w:divsChild>
                <w:div w:id="1452554973">
                  <w:marLeft w:val="0"/>
                  <w:marRight w:val="0"/>
                  <w:marTop w:val="0"/>
                  <w:marBottom w:val="0"/>
                  <w:divBdr>
                    <w:top w:val="none" w:sz="0" w:space="0" w:color="auto"/>
                    <w:left w:val="none" w:sz="0" w:space="0" w:color="auto"/>
                    <w:bottom w:val="none" w:sz="0" w:space="0" w:color="auto"/>
                    <w:right w:val="none" w:sz="0" w:space="0" w:color="auto"/>
                  </w:divBdr>
                  <w:divsChild>
                    <w:div w:id="138945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440584">
      <w:bodyDiv w:val="1"/>
      <w:marLeft w:val="0"/>
      <w:marRight w:val="0"/>
      <w:marTop w:val="0"/>
      <w:marBottom w:val="0"/>
      <w:divBdr>
        <w:top w:val="none" w:sz="0" w:space="0" w:color="auto"/>
        <w:left w:val="none" w:sz="0" w:space="0" w:color="auto"/>
        <w:bottom w:val="none" w:sz="0" w:space="0" w:color="auto"/>
        <w:right w:val="none" w:sz="0" w:space="0" w:color="auto"/>
      </w:divBdr>
      <w:divsChild>
        <w:div w:id="60107601">
          <w:marLeft w:val="0"/>
          <w:marRight w:val="0"/>
          <w:marTop w:val="0"/>
          <w:marBottom w:val="0"/>
          <w:divBdr>
            <w:top w:val="none" w:sz="0" w:space="0" w:color="auto"/>
            <w:left w:val="none" w:sz="0" w:space="0" w:color="auto"/>
            <w:bottom w:val="none" w:sz="0" w:space="0" w:color="auto"/>
            <w:right w:val="none" w:sz="0" w:space="0" w:color="auto"/>
          </w:divBdr>
          <w:divsChild>
            <w:div w:id="1175805515">
              <w:marLeft w:val="0"/>
              <w:marRight w:val="0"/>
              <w:marTop w:val="0"/>
              <w:marBottom w:val="0"/>
              <w:divBdr>
                <w:top w:val="none" w:sz="0" w:space="0" w:color="auto"/>
                <w:left w:val="none" w:sz="0" w:space="0" w:color="auto"/>
                <w:bottom w:val="none" w:sz="0" w:space="0" w:color="auto"/>
                <w:right w:val="none" w:sz="0" w:space="0" w:color="auto"/>
              </w:divBdr>
              <w:divsChild>
                <w:div w:id="920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713929">
      <w:bodyDiv w:val="1"/>
      <w:marLeft w:val="0"/>
      <w:marRight w:val="0"/>
      <w:marTop w:val="0"/>
      <w:marBottom w:val="0"/>
      <w:divBdr>
        <w:top w:val="none" w:sz="0" w:space="0" w:color="auto"/>
        <w:left w:val="none" w:sz="0" w:space="0" w:color="auto"/>
        <w:bottom w:val="none" w:sz="0" w:space="0" w:color="auto"/>
        <w:right w:val="none" w:sz="0" w:space="0" w:color="auto"/>
      </w:divBdr>
    </w:div>
    <w:div w:id="1641381178">
      <w:bodyDiv w:val="1"/>
      <w:marLeft w:val="0"/>
      <w:marRight w:val="0"/>
      <w:marTop w:val="0"/>
      <w:marBottom w:val="0"/>
      <w:divBdr>
        <w:top w:val="none" w:sz="0" w:space="0" w:color="auto"/>
        <w:left w:val="none" w:sz="0" w:space="0" w:color="auto"/>
        <w:bottom w:val="none" w:sz="0" w:space="0" w:color="auto"/>
        <w:right w:val="none" w:sz="0" w:space="0" w:color="auto"/>
      </w:divBdr>
      <w:divsChild>
        <w:div w:id="1381244709">
          <w:marLeft w:val="0"/>
          <w:marRight w:val="0"/>
          <w:marTop w:val="0"/>
          <w:marBottom w:val="0"/>
          <w:divBdr>
            <w:top w:val="none" w:sz="0" w:space="0" w:color="auto"/>
            <w:left w:val="none" w:sz="0" w:space="0" w:color="auto"/>
            <w:bottom w:val="none" w:sz="0" w:space="0" w:color="auto"/>
            <w:right w:val="none" w:sz="0" w:space="0" w:color="auto"/>
          </w:divBdr>
          <w:divsChild>
            <w:div w:id="1435906877">
              <w:marLeft w:val="0"/>
              <w:marRight w:val="0"/>
              <w:marTop w:val="0"/>
              <w:marBottom w:val="0"/>
              <w:divBdr>
                <w:top w:val="none" w:sz="0" w:space="0" w:color="auto"/>
                <w:left w:val="none" w:sz="0" w:space="0" w:color="auto"/>
                <w:bottom w:val="none" w:sz="0" w:space="0" w:color="auto"/>
                <w:right w:val="none" w:sz="0" w:space="0" w:color="auto"/>
              </w:divBdr>
              <w:divsChild>
                <w:div w:id="2251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420667">
          <w:marLeft w:val="0"/>
          <w:marRight w:val="0"/>
          <w:marTop w:val="0"/>
          <w:marBottom w:val="0"/>
          <w:divBdr>
            <w:top w:val="none" w:sz="0" w:space="0" w:color="auto"/>
            <w:left w:val="none" w:sz="0" w:space="0" w:color="auto"/>
            <w:bottom w:val="none" w:sz="0" w:space="0" w:color="auto"/>
            <w:right w:val="none" w:sz="0" w:space="0" w:color="auto"/>
          </w:divBdr>
          <w:divsChild>
            <w:div w:id="1958827831">
              <w:marLeft w:val="0"/>
              <w:marRight w:val="0"/>
              <w:marTop w:val="0"/>
              <w:marBottom w:val="0"/>
              <w:divBdr>
                <w:top w:val="none" w:sz="0" w:space="0" w:color="auto"/>
                <w:left w:val="none" w:sz="0" w:space="0" w:color="auto"/>
                <w:bottom w:val="none" w:sz="0" w:space="0" w:color="auto"/>
                <w:right w:val="none" w:sz="0" w:space="0" w:color="auto"/>
              </w:divBdr>
              <w:divsChild>
                <w:div w:id="14317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725760">
      <w:bodyDiv w:val="1"/>
      <w:marLeft w:val="0"/>
      <w:marRight w:val="0"/>
      <w:marTop w:val="0"/>
      <w:marBottom w:val="0"/>
      <w:divBdr>
        <w:top w:val="none" w:sz="0" w:space="0" w:color="auto"/>
        <w:left w:val="none" w:sz="0" w:space="0" w:color="auto"/>
        <w:bottom w:val="none" w:sz="0" w:space="0" w:color="auto"/>
        <w:right w:val="none" w:sz="0" w:space="0" w:color="auto"/>
      </w:divBdr>
      <w:divsChild>
        <w:div w:id="283270793">
          <w:marLeft w:val="0"/>
          <w:marRight w:val="0"/>
          <w:marTop w:val="0"/>
          <w:marBottom w:val="0"/>
          <w:divBdr>
            <w:top w:val="none" w:sz="0" w:space="0" w:color="auto"/>
            <w:left w:val="none" w:sz="0" w:space="0" w:color="auto"/>
            <w:bottom w:val="none" w:sz="0" w:space="0" w:color="auto"/>
            <w:right w:val="none" w:sz="0" w:space="0" w:color="auto"/>
          </w:divBdr>
          <w:divsChild>
            <w:div w:id="1363434149">
              <w:marLeft w:val="0"/>
              <w:marRight w:val="0"/>
              <w:marTop w:val="0"/>
              <w:marBottom w:val="0"/>
              <w:divBdr>
                <w:top w:val="none" w:sz="0" w:space="0" w:color="auto"/>
                <w:left w:val="none" w:sz="0" w:space="0" w:color="auto"/>
                <w:bottom w:val="none" w:sz="0" w:space="0" w:color="auto"/>
                <w:right w:val="none" w:sz="0" w:space="0" w:color="auto"/>
              </w:divBdr>
              <w:divsChild>
                <w:div w:id="296571138">
                  <w:marLeft w:val="0"/>
                  <w:marRight w:val="0"/>
                  <w:marTop w:val="0"/>
                  <w:marBottom w:val="0"/>
                  <w:divBdr>
                    <w:top w:val="none" w:sz="0" w:space="0" w:color="auto"/>
                    <w:left w:val="none" w:sz="0" w:space="0" w:color="auto"/>
                    <w:bottom w:val="none" w:sz="0" w:space="0" w:color="auto"/>
                    <w:right w:val="none" w:sz="0" w:space="0" w:color="auto"/>
                  </w:divBdr>
                  <w:divsChild>
                    <w:div w:id="206991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034416">
      <w:bodyDiv w:val="1"/>
      <w:marLeft w:val="0"/>
      <w:marRight w:val="0"/>
      <w:marTop w:val="0"/>
      <w:marBottom w:val="0"/>
      <w:divBdr>
        <w:top w:val="none" w:sz="0" w:space="0" w:color="auto"/>
        <w:left w:val="none" w:sz="0" w:space="0" w:color="auto"/>
        <w:bottom w:val="none" w:sz="0" w:space="0" w:color="auto"/>
        <w:right w:val="none" w:sz="0" w:space="0" w:color="auto"/>
      </w:divBdr>
      <w:divsChild>
        <w:div w:id="1154905732">
          <w:marLeft w:val="0"/>
          <w:marRight w:val="0"/>
          <w:marTop w:val="0"/>
          <w:marBottom w:val="0"/>
          <w:divBdr>
            <w:top w:val="none" w:sz="0" w:space="0" w:color="auto"/>
            <w:left w:val="none" w:sz="0" w:space="0" w:color="auto"/>
            <w:bottom w:val="none" w:sz="0" w:space="0" w:color="auto"/>
            <w:right w:val="none" w:sz="0" w:space="0" w:color="auto"/>
          </w:divBdr>
          <w:divsChild>
            <w:div w:id="1987585479">
              <w:marLeft w:val="0"/>
              <w:marRight w:val="0"/>
              <w:marTop w:val="0"/>
              <w:marBottom w:val="0"/>
              <w:divBdr>
                <w:top w:val="none" w:sz="0" w:space="0" w:color="auto"/>
                <w:left w:val="none" w:sz="0" w:space="0" w:color="auto"/>
                <w:bottom w:val="none" w:sz="0" w:space="0" w:color="auto"/>
                <w:right w:val="none" w:sz="0" w:space="0" w:color="auto"/>
              </w:divBdr>
              <w:divsChild>
                <w:div w:id="93679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493299">
      <w:bodyDiv w:val="1"/>
      <w:marLeft w:val="0"/>
      <w:marRight w:val="0"/>
      <w:marTop w:val="0"/>
      <w:marBottom w:val="0"/>
      <w:divBdr>
        <w:top w:val="none" w:sz="0" w:space="0" w:color="auto"/>
        <w:left w:val="none" w:sz="0" w:space="0" w:color="auto"/>
        <w:bottom w:val="none" w:sz="0" w:space="0" w:color="auto"/>
        <w:right w:val="none" w:sz="0" w:space="0" w:color="auto"/>
      </w:divBdr>
      <w:divsChild>
        <w:div w:id="951665261">
          <w:marLeft w:val="0"/>
          <w:marRight w:val="0"/>
          <w:marTop w:val="0"/>
          <w:marBottom w:val="0"/>
          <w:divBdr>
            <w:top w:val="none" w:sz="0" w:space="0" w:color="auto"/>
            <w:left w:val="none" w:sz="0" w:space="0" w:color="auto"/>
            <w:bottom w:val="none" w:sz="0" w:space="0" w:color="auto"/>
            <w:right w:val="none" w:sz="0" w:space="0" w:color="auto"/>
          </w:divBdr>
          <w:divsChild>
            <w:div w:id="289096773">
              <w:marLeft w:val="0"/>
              <w:marRight w:val="0"/>
              <w:marTop w:val="0"/>
              <w:marBottom w:val="0"/>
              <w:divBdr>
                <w:top w:val="none" w:sz="0" w:space="0" w:color="auto"/>
                <w:left w:val="none" w:sz="0" w:space="0" w:color="auto"/>
                <w:bottom w:val="none" w:sz="0" w:space="0" w:color="auto"/>
                <w:right w:val="none" w:sz="0" w:space="0" w:color="auto"/>
              </w:divBdr>
              <w:divsChild>
                <w:div w:id="1957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4140">
      <w:bodyDiv w:val="1"/>
      <w:marLeft w:val="0"/>
      <w:marRight w:val="0"/>
      <w:marTop w:val="0"/>
      <w:marBottom w:val="0"/>
      <w:divBdr>
        <w:top w:val="none" w:sz="0" w:space="0" w:color="auto"/>
        <w:left w:val="none" w:sz="0" w:space="0" w:color="auto"/>
        <w:bottom w:val="none" w:sz="0" w:space="0" w:color="auto"/>
        <w:right w:val="none" w:sz="0" w:space="0" w:color="auto"/>
      </w:divBdr>
      <w:divsChild>
        <w:div w:id="1143766204">
          <w:marLeft w:val="0"/>
          <w:marRight w:val="0"/>
          <w:marTop w:val="0"/>
          <w:marBottom w:val="0"/>
          <w:divBdr>
            <w:top w:val="none" w:sz="0" w:space="0" w:color="auto"/>
            <w:left w:val="none" w:sz="0" w:space="0" w:color="auto"/>
            <w:bottom w:val="none" w:sz="0" w:space="0" w:color="auto"/>
            <w:right w:val="none" w:sz="0" w:space="0" w:color="auto"/>
          </w:divBdr>
          <w:divsChild>
            <w:div w:id="668026780">
              <w:marLeft w:val="0"/>
              <w:marRight w:val="0"/>
              <w:marTop w:val="0"/>
              <w:marBottom w:val="0"/>
              <w:divBdr>
                <w:top w:val="none" w:sz="0" w:space="0" w:color="auto"/>
                <w:left w:val="none" w:sz="0" w:space="0" w:color="auto"/>
                <w:bottom w:val="none" w:sz="0" w:space="0" w:color="auto"/>
                <w:right w:val="none" w:sz="0" w:space="0" w:color="auto"/>
              </w:divBdr>
              <w:divsChild>
                <w:div w:id="1289818057">
                  <w:marLeft w:val="0"/>
                  <w:marRight w:val="0"/>
                  <w:marTop w:val="0"/>
                  <w:marBottom w:val="0"/>
                  <w:divBdr>
                    <w:top w:val="none" w:sz="0" w:space="0" w:color="auto"/>
                    <w:left w:val="none" w:sz="0" w:space="0" w:color="auto"/>
                    <w:bottom w:val="none" w:sz="0" w:space="0" w:color="auto"/>
                    <w:right w:val="none" w:sz="0" w:space="0" w:color="auto"/>
                  </w:divBdr>
                  <w:divsChild>
                    <w:div w:id="4749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273827">
      <w:bodyDiv w:val="1"/>
      <w:marLeft w:val="0"/>
      <w:marRight w:val="0"/>
      <w:marTop w:val="0"/>
      <w:marBottom w:val="0"/>
      <w:divBdr>
        <w:top w:val="none" w:sz="0" w:space="0" w:color="auto"/>
        <w:left w:val="none" w:sz="0" w:space="0" w:color="auto"/>
        <w:bottom w:val="none" w:sz="0" w:space="0" w:color="auto"/>
        <w:right w:val="none" w:sz="0" w:space="0" w:color="auto"/>
      </w:divBdr>
      <w:divsChild>
        <w:div w:id="1659723648">
          <w:marLeft w:val="0"/>
          <w:marRight w:val="0"/>
          <w:marTop w:val="0"/>
          <w:marBottom w:val="0"/>
          <w:divBdr>
            <w:top w:val="none" w:sz="0" w:space="0" w:color="auto"/>
            <w:left w:val="none" w:sz="0" w:space="0" w:color="auto"/>
            <w:bottom w:val="none" w:sz="0" w:space="0" w:color="auto"/>
            <w:right w:val="none" w:sz="0" w:space="0" w:color="auto"/>
          </w:divBdr>
          <w:divsChild>
            <w:div w:id="2059738270">
              <w:marLeft w:val="0"/>
              <w:marRight w:val="0"/>
              <w:marTop w:val="0"/>
              <w:marBottom w:val="0"/>
              <w:divBdr>
                <w:top w:val="none" w:sz="0" w:space="0" w:color="auto"/>
                <w:left w:val="none" w:sz="0" w:space="0" w:color="auto"/>
                <w:bottom w:val="none" w:sz="0" w:space="0" w:color="auto"/>
                <w:right w:val="none" w:sz="0" w:space="0" w:color="auto"/>
              </w:divBdr>
              <w:divsChild>
                <w:div w:id="182219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28632">
      <w:bodyDiv w:val="1"/>
      <w:marLeft w:val="0"/>
      <w:marRight w:val="0"/>
      <w:marTop w:val="0"/>
      <w:marBottom w:val="0"/>
      <w:divBdr>
        <w:top w:val="none" w:sz="0" w:space="0" w:color="auto"/>
        <w:left w:val="none" w:sz="0" w:space="0" w:color="auto"/>
        <w:bottom w:val="none" w:sz="0" w:space="0" w:color="auto"/>
        <w:right w:val="none" w:sz="0" w:space="0" w:color="auto"/>
      </w:divBdr>
      <w:divsChild>
        <w:div w:id="315300992">
          <w:marLeft w:val="0"/>
          <w:marRight w:val="0"/>
          <w:marTop w:val="0"/>
          <w:marBottom w:val="0"/>
          <w:divBdr>
            <w:top w:val="none" w:sz="0" w:space="0" w:color="auto"/>
            <w:left w:val="none" w:sz="0" w:space="0" w:color="auto"/>
            <w:bottom w:val="none" w:sz="0" w:space="0" w:color="auto"/>
            <w:right w:val="none" w:sz="0" w:space="0" w:color="auto"/>
          </w:divBdr>
          <w:divsChild>
            <w:div w:id="551769698">
              <w:marLeft w:val="0"/>
              <w:marRight w:val="0"/>
              <w:marTop w:val="0"/>
              <w:marBottom w:val="0"/>
              <w:divBdr>
                <w:top w:val="none" w:sz="0" w:space="0" w:color="auto"/>
                <w:left w:val="none" w:sz="0" w:space="0" w:color="auto"/>
                <w:bottom w:val="none" w:sz="0" w:space="0" w:color="auto"/>
                <w:right w:val="none" w:sz="0" w:space="0" w:color="auto"/>
              </w:divBdr>
              <w:divsChild>
                <w:div w:id="173219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729953">
      <w:bodyDiv w:val="1"/>
      <w:marLeft w:val="0"/>
      <w:marRight w:val="0"/>
      <w:marTop w:val="0"/>
      <w:marBottom w:val="0"/>
      <w:divBdr>
        <w:top w:val="none" w:sz="0" w:space="0" w:color="auto"/>
        <w:left w:val="none" w:sz="0" w:space="0" w:color="auto"/>
        <w:bottom w:val="none" w:sz="0" w:space="0" w:color="auto"/>
        <w:right w:val="none" w:sz="0" w:space="0" w:color="auto"/>
      </w:divBdr>
      <w:divsChild>
        <w:div w:id="1331561748">
          <w:marLeft w:val="0"/>
          <w:marRight w:val="0"/>
          <w:marTop w:val="0"/>
          <w:marBottom w:val="0"/>
          <w:divBdr>
            <w:top w:val="none" w:sz="0" w:space="0" w:color="auto"/>
            <w:left w:val="none" w:sz="0" w:space="0" w:color="auto"/>
            <w:bottom w:val="none" w:sz="0" w:space="0" w:color="auto"/>
            <w:right w:val="none" w:sz="0" w:space="0" w:color="auto"/>
          </w:divBdr>
          <w:divsChild>
            <w:div w:id="193348304">
              <w:marLeft w:val="0"/>
              <w:marRight w:val="0"/>
              <w:marTop w:val="0"/>
              <w:marBottom w:val="0"/>
              <w:divBdr>
                <w:top w:val="none" w:sz="0" w:space="0" w:color="auto"/>
                <w:left w:val="none" w:sz="0" w:space="0" w:color="auto"/>
                <w:bottom w:val="none" w:sz="0" w:space="0" w:color="auto"/>
                <w:right w:val="none" w:sz="0" w:space="0" w:color="auto"/>
              </w:divBdr>
              <w:divsChild>
                <w:div w:id="166173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11130">
      <w:bodyDiv w:val="1"/>
      <w:marLeft w:val="0"/>
      <w:marRight w:val="0"/>
      <w:marTop w:val="0"/>
      <w:marBottom w:val="0"/>
      <w:divBdr>
        <w:top w:val="none" w:sz="0" w:space="0" w:color="auto"/>
        <w:left w:val="none" w:sz="0" w:space="0" w:color="auto"/>
        <w:bottom w:val="none" w:sz="0" w:space="0" w:color="auto"/>
        <w:right w:val="none" w:sz="0" w:space="0" w:color="auto"/>
      </w:divBdr>
      <w:divsChild>
        <w:div w:id="979455938">
          <w:marLeft w:val="0"/>
          <w:marRight w:val="0"/>
          <w:marTop w:val="0"/>
          <w:marBottom w:val="0"/>
          <w:divBdr>
            <w:top w:val="none" w:sz="0" w:space="0" w:color="auto"/>
            <w:left w:val="none" w:sz="0" w:space="0" w:color="auto"/>
            <w:bottom w:val="none" w:sz="0" w:space="0" w:color="auto"/>
            <w:right w:val="none" w:sz="0" w:space="0" w:color="auto"/>
          </w:divBdr>
          <w:divsChild>
            <w:div w:id="1729188594">
              <w:marLeft w:val="0"/>
              <w:marRight w:val="0"/>
              <w:marTop w:val="0"/>
              <w:marBottom w:val="0"/>
              <w:divBdr>
                <w:top w:val="none" w:sz="0" w:space="0" w:color="auto"/>
                <w:left w:val="none" w:sz="0" w:space="0" w:color="auto"/>
                <w:bottom w:val="none" w:sz="0" w:space="0" w:color="auto"/>
                <w:right w:val="none" w:sz="0" w:space="0" w:color="auto"/>
              </w:divBdr>
              <w:divsChild>
                <w:div w:id="1298342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021646">
      <w:bodyDiv w:val="1"/>
      <w:marLeft w:val="0"/>
      <w:marRight w:val="0"/>
      <w:marTop w:val="0"/>
      <w:marBottom w:val="0"/>
      <w:divBdr>
        <w:top w:val="none" w:sz="0" w:space="0" w:color="auto"/>
        <w:left w:val="none" w:sz="0" w:space="0" w:color="auto"/>
        <w:bottom w:val="none" w:sz="0" w:space="0" w:color="auto"/>
        <w:right w:val="none" w:sz="0" w:space="0" w:color="auto"/>
      </w:divBdr>
    </w:div>
    <w:div w:id="1840925214">
      <w:bodyDiv w:val="1"/>
      <w:marLeft w:val="0"/>
      <w:marRight w:val="0"/>
      <w:marTop w:val="0"/>
      <w:marBottom w:val="0"/>
      <w:divBdr>
        <w:top w:val="none" w:sz="0" w:space="0" w:color="auto"/>
        <w:left w:val="none" w:sz="0" w:space="0" w:color="auto"/>
        <w:bottom w:val="none" w:sz="0" w:space="0" w:color="auto"/>
        <w:right w:val="none" w:sz="0" w:space="0" w:color="auto"/>
      </w:divBdr>
    </w:div>
    <w:div w:id="1864905023">
      <w:bodyDiv w:val="1"/>
      <w:marLeft w:val="0"/>
      <w:marRight w:val="0"/>
      <w:marTop w:val="0"/>
      <w:marBottom w:val="0"/>
      <w:divBdr>
        <w:top w:val="none" w:sz="0" w:space="0" w:color="auto"/>
        <w:left w:val="none" w:sz="0" w:space="0" w:color="auto"/>
        <w:bottom w:val="none" w:sz="0" w:space="0" w:color="auto"/>
        <w:right w:val="none" w:sz="0" w:space="0" w:color="auto"/>
      </w:divBdr>
    </w:div>
    <w:div w:id="1891960085">
      <w:bodyDiv w:val="1"/>
      <w:marLeft w:val="0"/>
      <w:marRight w:val="0"/>
      <w:marTop w:val="0"/>
      <w:marBottom w:val="0"/>
      <w:divBdr>
        <w:top w:val="none" w:sz="0" w:space="0" w:color="auto"/>
        <w:left w:val="none" w:sz="0" w:space="0" w:color="auto"/>
        <w:bottom w:val="none" w:sz="0" w:space="0" w:color="auto"/>
        <w:right w:val="none" w:sz="0" w:space="0" w:color="auto"/>
      </w:divBdr>
      <w:divsChild>
        <w:div w:id="322659815">
          <w:marLeft w:val="0"/>
          <w:marRight w:val="0"/>
          <w:marTop w:val="0"/>
          <w:marBottom w:val="0"/>
          <w:divBdr>
            <w:top w:val="none" w:sz="0" w:space="0" w:color="auto"/>
            <w:left w:val="none" w:sz="0" w:space="0" w:color="auto"/>
            <w:bottom w:val="none" w:sz="0" w:space="0" w:color="auto"/>
            <w:right w:val="none" w:sz="0" w:space="0" w:color="auto"/>
          </w:divBdr>
          <w:divsChild>
            <w:div w:id="596409223">
              <w:marLeft w:val="0"/>
              <w:marRight w:val="0"/>
              <w:marTop w:val="0"/>
              <w:marBottom w:val="0"/>
              <w:divBdr>
                <w:top w:val="none" w:sz="0" w:space="0" w:color="auto"/>
                <w:left w:val="none" w:sz="0" w:space="0" w:color="auto"/>
                <w:bottom w:val="none" w:sz="0" w:space="0" w:color="auto"/>
                <w:right w:val="none" w:sz="0" w:space="0" w:color="auto"/>
              </w:divBdr>
              <w:divsChild>
                <w:div w:id="94326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574063">
      <w:bodyDiv w:val="1"/>
      <w:marLeft w:val="0"/>
      <w:marRight w:val="0"/>
      <w:marTop w:val="0"/>
      <w:marBottom w:val="0"/>
      <w:divBdr>
        <w:top w:val="none" w:sz="0" w:space="0" w:color="auto"/>
        <w:left w:val="none" w:sz="0" w:space="0" w:color="auto"/>
        <w:bottom w:val="none" w:sz="0" w:space="0" w:color="auto"/>
        <w:right w:val="none" w:sz="0" w:space="0" w:color="auto"/>
      </w:divBdr>
      <w:divsChild>
        <w:div w:id="81992428">
          <w:marLeft w:val="0"/>
          <w:marRight w:val="0"/>
          <w:marTop w:val="0"/>
          <w:marBottom w:val="0"/>
          <w:divBdr>
            <w:top w:val="none" w:sz="0" w:space="0" w:color="auto"/>
            <w:left w:val="none" w:sz="0" w:space="0" w:color="auto"/>
            <w:bottom w:val="none" w:sz="0" w:space="0" w:color="auto"/>
            <w:right w:val="none" w:sz="0" w:space="0" w:color="auto"/>
          </w:divBdr>
          <w:divsChild>
            <w:div w:id="362217642">
              <w:marLeft w:val="0"/>
              <w:marRight w:val="0"/>
              <w:marTop w:val="0"/>
              <w:marBottom w:val="0"/>
              <w:divBdr>
                <w:top w:val="none" w:sz="0" w:space="0" w:color="auto"/>
                <w:left w:val="none" w:sz="0" w:space="0" w:color="auto"/>
                <w:bottom w:val="none" w:sz="0" w:space="0" w:color="auto"/>
                <w:right w:val="none" w:sz="0" w:space="0" w:color="auto"/>
              </w:divBdr>
              <w:divsChild>
                <w:div w:id="1892837260">
                  <w:marLeft w:val="0"/>
                  <w:marRight w:val="0"/>
                  <w:marTop w:val="0"/>
                  <w:marBottom w:val="0"/>
                  <w:divBdr>
                    <w:top w:val="none" w:sz="0" w:space="0" w:color="auto"/>
                    <w:left w:val="none" w:sz="0" w:space="0" w:color="auto"/>
                    <w:bottom w:val="none" w:sz="0" w:space="0" w:color="auto"/>
                    <w:right w:val="none" w:sz="0" w:space="0" w:color="auto"/>
                  </w:divBdr>
                  <w:divsChild>
                    <w:div w:id="100659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03472">
      <w:bodyDiv w:val="1"/>
      <w:marLeft w:val="0"/>
      <w:marRight w:val="0"/>
      <w:marTop w:val="0"/>
      <w:marBottom w:val="0"/>
      <w:divBdr>
        <w:top w:val="none" w:sz="0" w:space="0" w:color="auto"/>
        <w:left w:val="none" w:sz="0" w:space="0" w:color="auto"/>
        <w:bottom w:val="none" w:sz="0" w:space="0" w:color="auto"/>
        <w:right w:val="none" w:sz="0" w:space="0" w:color="auto"/>
      </w:divBdr>
    </w:div>
    <w:div w:id="1927421378">
      <w:bodyDiv w:val="1"/>
      <w:marLeft w:val="0"/>
      <w:marRight w:val="0"/>
      <w:marTop w:val="0"/>
      <w:marBottom w:val="0"/>
      <w:divBdr>
        <w:top w:val="none" w:sz="0" w:space="0" w:color="auto"/>
        <w:left w:val="none" w:sz="0" w:space="0" w:color="auto"/>
        <w:bottom w:val="none" w:sz="0" w:space="0" w:color="auto"/>
        <w:right w:val="none" w:sz="0" w:space="0" w:color="auto"/>
      </w:divBdr>
      <w:divsChild>
        <w:div w:id="86927710">
          <w:marLeft w:val="0"/>
          <w:marRight w:val="0"/>
          <w:marTop w:val="0"/>
          <w:marBottom w:val="0"/>
          <w:divBdr>
            <w:top w:val="none" w:sz="0" w:space="0" w:color="auto"/>
            <w:left w:val="none" w:sz="0" w:space="0" w:color="auto"/>
            <w:bottom w:val="none" w:sz="0" w:space="0" w:color="auto"/>
            <w:right w:val="none" w:sz="0" w:space="0" w:color="auto"/>
          </w:divBdr>
          <w:divsChild>
            <w:div w:id="689451572">
              <w:marLeft w:val="0"/>
              <w:marRight w:val="0"/>
              <w:marTop w:val="0"/>
              <w:marBottom w:val="0"/>
              <w:divBdr>
                <w:top w:val="none" w:sz="0" w:space="0" w:color="auto"/>
                <w:left w:val="none" w:sz="0" w:space="0" w:color="auto"/>
                <w:bottom w:val="none" w:sz="0" w:space="0" w:color="auto"/>
                <w:right w:val="none" w:sz="0" w:space="0" w:color="auto"/>
              </w:divBdr>
              <w:divsChild>
                <w:div w:id="113058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700170">
      <w:bodyDiv w:val="1"/>
      <w:marLeft w:val="0"/>
      <w:marRight w:val="0"/>
      <w:marTop w:val="0"/>
      <w:marBottom w:val="0"/>
      <w:divBdr>
        <w:top w:val="none" w:sz="0" w:space="0" w:color="auto"/>
        <w:left w:val="none" w:sz="0" w:space="0" w:color="auto"/>
        <w:bottom w:val="none" w:sz="0" w:space="0" w:color="auto"/>
        <w:right w:val="none" w:sz="0" w:space="0" w:color="auto"/>
      </w:divBdr>
      <w:divsChild>
        <w:div w:id="1818839625">
          <w:marLeft w:val="0"/>
          <w:marRight w:val="0"/>
          <w:marTop w:val="0"/>
          <w:marBottom w:val="0"/>
          <w:divBdr>
            <w:top w:val="none" w:sz="0" w:space="0" w:color="auto"/>
            <w:left w:val="none" w:sz="0" w:space="0" w:color="auto"/>
            <w:bottom w:val="none" w:sz="0" w:space="0" w:color="auto"/>
            <w:right w:val="none" w:sz="0" w:space="0" w:color="auto"/>
          </w:divBdr>
          <w:divsChild>
            <w:div w:id="1524589965">
              <w:marLeft w:val="0"/>
              <w:marRight w:val="0"/>
              <w:marTop w:val="0"/>
              <w:marBottom w:val="0"/>
              <w:divBdr>
                <w:top w:val="none" w:sz="0" w:space="0" w:color="auto"/>
                <w:left w:val="none" w:sz="0" w:space="0" w:color="auto"/>
                <w:bottom w:val="none" w:sz="0" w:space="0" w:color="auto"/>
                <w:right w:val="none" w:sz="0" w:space="0" w:color="auto"/>
              </w:divBdr>
              <w:divsChild>
                <w:div w:id="213224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19864">
      <w:bodyDiv w:val="1"/>
      <w:marLeft w:val="0"/>
      <w:marRight w:val="0"/>
      <w:marTop w:val="0"/>
      <w:marBottom w:val="0"/>
      <w:divBdr>
        <w:top w:val="none" w:sz="0" w:space="0" w:color="auto"/>
        <w:left w:val="none" w:sz="0" w:space="0" w:color="auto"/>
        <w:bottom w:val="none" w:sz="0" w:space="0" w:color="auto"/>
        <w:right w:val="none" w:sz="0" w:space="0" w:color="auto"/>
      </w:divBdr>
      <w:divsChild>
        <w:div w:id="1920938307">
          <w:marLeft w:val="0"/>
          <w:marRight w:val="0"/>
          <w:marTop w:val="0"/>
          <w:marBottom w:val="0"/>
          <w:divBdr>
            <w:top w:val="none" w:sz="0" w:space="0" w:color="auto"/>
            <w:left w:val="none" w:sz="0" w:space="0" w:color="auto"/>
            <w:bottom w:val="none" w:sz="0" w:space="0" w:color="auto"/>
            <w:right w:val="none" w:sz="0" w:space="0" w:color="auto"/>
          </w:divBdr>
          <w:divsChild>
            <w:div w:id="1609968729">
              <w:marLeft w:val="0"/>
              <w:marRight w:val="0"/>
              <w:marTop w:val="0"/>
              <w:marBottom w:val="0"/>
              <w:divBdr>
                <w:top w:val="none" w:sz="0" w:space="0" w:color="auto"/>
                <w:left w:val="none" w:sz="0" w:space="0" w:color="auto"/>
                <w:bottom w:val="none" w:sz="0" w:space="0" w:color="auto"/>
                <w:right w:val="none" w:sz="0" w:space="0" w:color="auto"/>
              </w:divBdr>
              <w:divsChild>
                <w:div w:id="106961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524746">
      <w:bodyDiv w:val="1"/>
      <w:marLeft w:val="0"/>
      <w:marRight w:val="0"/>
      <w:marTop w:val="0"/>
      <w:marBottom w:val="0"/>
      <w:divBdr>
        <w:top w:val="none" w:sz="0" w:space="0" w:color="auto"/>
        <w:left w:val="none" w:sz="0" w:space="0" w:color="auto"/>
        <w:bottom w:val="none" w:sz="0" w:space="0" w:color="auto"/>
        <w:right w:val="none" w:sz="0" w:space="0" w:color="auto"/>
      </w:divBdr>
    </w:div>
    <w:div w:id="2049452664">
      <w:bodyDiv w:val="1"/>
      <w:marLeft w:val="0"/>
      <w:marRight w:val="0"/>
      <w:marTop w:val="0"/>
      <w:marBottom w:val="0"/>
      <w:divBdr>
        <w:top w:val="none" w:sz="0" w:space="0" w:color="auto"/>
        <w:left w:val="none" w:sz="0" w:space="0" w:color="auto"/>
        <w:bottom w:val="none" w:sz="0" w:space="0" w:color="auto"/>
        <w:right w:val="none" w:sz="0" w:space="0" w:color="auto"/>
      </w:divBdr>
      <w:divsChild>
        <w:div w:id="388261238">
          <w:marLeft w:val="0"/>
          <w:marRight w:val="0"/>
          <w:marTop w:val="0"/>
          <w:marBottom w:val="0"/>
          <w:divBdr>
            <w:top w:val="none" w:sz="0" w:space="0" w:color="auto"/>
            <w:left w:val="none" w:sz="0" w:space="0" w:color="auto"/>
            <w:bottom w:val="none" w:sz="0" w:space="0" w:color="auto"/>
            <w:right w:val="none" w:sz="0" w:space="0" w:color="auto"/>
          </w:divBdr>
          <w:divsChild>
            <w:div w:id="911893138">
              <w:marLeft w:val="0"/>
              <w:marRight w:val="0"/>
              <w:marTop w:val="0"/>
              <w:marBottom w:val="0"/>
              <w:divBdr>
                <w:top w:val="none" w:sz="0" w:space="0" w:color="auto"/>
                <w:left w:val="none" w:sz="0" w:space="0" w:color="auto"/>
                <w:bottom w:val="none" w:sz="0" w:space="0" w:color="auto"/>
                <w:right w:val="none" w:sz="0" w:space="0" w:color="auto"/>
              </w:divBdr>
              <w:divsChild>
                <w:div w:id="828911821">
                  <w:marLeft w:val="0"/>
                  <w:marRight w:val="0"/>
                  <w:marTop w:val="0"/>
                  <w:marBottom w:val="0"/>
                  <w:divBdr>
                    <w:top w:val="none" w:sz="0" w:space="0" w:color="auto"/>
                    <w:left w:val="none" w:sz="0" w:space="0" w:color="auto"/>
                    <w:bottom w:val="none" w:sz="0" w:space="0" w:color="auto"/>
                    <w:right w:val="none" w:sz="0" w:space="0" w:color="auto"/>
                  </w:divBdr>
                  <w:divsChild>
                    <w:div w:id="111694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935823">
      <w:bodyDiv w:val="1"/>
      <w:marLeft w:val="0"/>
      <w:marRight w:val="0"/>
      <w:marTop w:val="0"/>
      <w:marBottom w:val="0"/>
      <w:divBdr>
        <w:top w:val="none" w:sz="0" w:space="0" w:color="auto"/>
        <w:left w:val="none" w:sz="0" w:space="0" w:color="auto"/>
        <w:bottom w:val="none" w:sz="0" w:space="0" w:color="auto"/>
        <w:right w:val="none" w:sz="0" w:space="0" w:color="auto"/>
      </w:divBdr>
    </w:div>
    <w:div w:id="2140537487">
      <w:bodyDiv w:val="1"/>
      <w:marLeft w:val="0"/>
      <w:marRight w:val="0"/>
      <w:marTop w:val="0"/>
      <w:marBottom w:val="0"/>
      <w:divBdr>
        <w:top w:val="none" w:sz="0" w:space="0" w:color="auto"/>
        <w:left w:val="none" w:sz="0" w:space="0" w:color="auto"/>
        <w:bottom w:val="none" w:sz="0" w:space="0" w:color="auto"/>
        <w:right w:val="none" w:sz="0" w:space="0" w:color="auto"/>
      </w:divBdr>
      <w:divsChild>
        <w:div w:id="1131628372">
          <w:marLeft w:val="0"/>
          <w:marRight w:val="0"/>
          <w:marTop w:val="0"/>
          <w:marBottom w:val="0"/>
          <w:divBdr>
            <w:top w:val="none" w:sz="0" w:space="0" w:color="auto"/>
            <w:left w:val="none" w:sz="0" w:space="0" w:color="auto"/>
            <w:bottom w:val="none" w:sz="0" w:space="0" w:color="auto"/>
            <w:right w:val="none" w:sz="0" w:space="0" w:color="auto"/>
          </w:divBdr>
          <w:divsChild>
            <w:div w:id="488249260">
              <w:marLeft w:val="0"/>
              <w:marRight w:val="0"/>
              <w:marTop w:val="0"/>
              <w:marBottom w:val="0"/>
              <w:divBdr>
                <w:top w:val="none" w:sz="0" w:space="0" w:color="auto"/>
                <w:left w:val="none" w:sz="0" w:space="0" w:color="auto"/>
                <w:bottom w:val="none" w:sz="0" w:space="0" w:color="auto"/>
                <w:right w:val="none" w:sz="0" w:space="0" w:color="auto"/>
              </w:divBdr>
              <w:divsChild>
                <w:div w:id="102998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stopigm.org/post/IAD-2016-Soon-20-UN-Reprimands-for-Intersex-Genital-Mutilations" TargetMode="External"/><Relationship Id="rId13" Type="http://schemas.openxmlformats.org/officeDocument/2006/relationships/hyperlink" Target="https://d56bochluxqnz.cloudfront.net/documents/full-guideline/EAU-Guidelines-on-Paediatric-Urology-2024.pdf" TargetMode="External"/><Relationship Id="rId18" Type="http://schemas.openxmlformats.org/officeDocument/2006/relationships/hyperlink" Target="https://d56bochluxqnz.cloudfront.net/documents/full-guideline/EAU-Guidelines-on-Paediatric-Urology-2024.pdf" TargetMode="External"/><Relationship Id="rId26" Type="http://schemas.openxmlformats.org/officeDocument/2006/relationships/hyperlink" Target="https://www.tandfonline.com/doi/full/10.1080/21642850.2024.2371134" TargetMode="External"/><Relationship Id="rId3" Type="http://schemas.openxmlformats.org/officeDocument/2006/relationships/hyperlink" Target="https://intersex.shadowreport.org/public/2014-CRC-Swiss-NGO-Zwischengeschlecht-Intersex-IGM_v2.pdf" TargetMode="External"/><Relationship Id="rId21" Type="http://schemas.openxmlformats.org/officeDocument/2006/relationships/hyperlink" Target="https://www.tandfonline.com/doi/full/10.1080/21642850.2024.2371134" TargetMode="External"/><Relationship Id="rId7" Type="http://schemas.openxmlformats.org/officeDocument/2006/relationships/hyperlink" Target="https://undocs.org/A/HRC/55/L.9" TargetMode="External"/><Relationship Id="rId12" Type="http://schemas.openxmlformats.org/officeDocument/2006/relationships/hyperlink" Target="https://uroweb.org/guidelines/endorsement/" TargetMode="External"/><Relationship Id="rId17" Type="http://schemas.openxmlformats.org/officeDocument/2006/relationships/hyperlink" Target="https://uroweb.org/guidelines/endorsement/" TargetMode="External"/><Relationship Id="rId25" Type="http://schemas.openxmlformats.org/officeDocument/2006/relationships/hyperlink" Target="https://intersex.shadowreport.org/public/2023-CRC-Norway-LOIPR-NGO-Intersex-StopIGM.pdf" TargetMode="External"/><Relationship Id="rId2" Type="http://schemas.openxmlformats.org/officeDocument/2006/relationships/hyperlink" Target="https://www.ssb.no/en/befolkning/fodte-og-dode/statistikk/fodte" TargetMode="External"/><Relationship Id="rId16" Type="http://schemas.openxmlformats.org/officeDocument/2006/relationships/hyperlink" Target="https://intersex.shadowreport.org/public/2016-CEDAW-France-NGO-Zwischengeschlecht-Intersex-IGM.pdf" TargetMode="External"/><Relationship Id="rId20" Type="http://schemas.openxmlformats.org/officeDocument/2006/relationships/hyperlink" Target="https://intersex.shadowreport.org/public/2023-CRC-Norway-LOIPR-NGO-Intersex-StopIGM.pdf" TargetMode="External"/><Relationship Id="rId1" Type="http://schemas.openxmlformats.org/officeDocument/2006/relationships/hyperlink" Target="https://stopigm.org/transcript-intersex-qa-crc-geneva-2015/" TargetMode="External"/><Relationship Id="rId6" Type="http://schemas.openxmlformats.org/officeDocument/2006/relationships/hyperlink" Target="https://finlandabroad.fi/web/geneve/current-affairs/-/asset_publisher/h5w4iTUJhNne/content/general-debate-item-8/384951" TargetMode="External"/><Relationship Id="rId11" Type="http://schemas.openxmlformats.org/officeDocument/2006/relationships/hyperlink" Target="https://intersex.shadowreport.org/public/2016-CEDAW-France-NGO-Zwischengeschlecht-Intersex-IGM.pdf" TargetMode="External"/><Relationship Id="rId24" Type="http://schemas.openxmlformats.org/officeDocument/2006/relationships/hyperlink" Target="https://d56bochluxqnz.cloudfront.net/documents/full-guideline/EAU-Guidelines-on-Paediatric-Urology-2024.pdf" TargetMode="External"/><Relationship Id="rId5" Type="http://schemas.openxmlformats.org/officeDocument/2006/relationships/hyperlink" Target="https://www.bmeia.gv.at/oev-genf/speeches/alle/2021/10/united-nations-human-rights-council-48th-session-joint-statement-on-the-human-rights-of-intersex-persons/" TargetMode="External"/><Relationship Id="rId15" Type="http://schemas.openxmlformats.org/officeDocument/2006/relationships/hyperlink" Target="https://www.tandfonline.com/doi/full/10.1080/21642850.2024.2371134" TargetMode="External"/><Relationship Id="rId23" Type="http://schemas.openxmlformats.org/officeDocument/2006/relationships/hyperlink" Target="https://uroweb.org/guidelines/endorsement/" TargetMode="External"/><Relationship Id="rId10" Type="http://schemas.openxmlformats.org/officeDocument/2006/relationships/hyperlink" Target="http://www.tandfonline.com/doi/full/10.1080/17482631.2023.2204635" TargetMode="External"/><Relationship Id="rId19" Type="http://schemas.openxmlformats.org/officeDocument/2006/relationships/hyperlink" Target="https://www.espu.org/images/documents/ESPU_Open_Letter_to_COE_2018-01-26.pdf" TargetMode="External"/><Relationship Id="rId4" Type="http://schemas.openxmlformats.org/officeDocument/2006/relationships/hyperlink" Target="https://www.dfat.gov.au/international-relations/themes/human-rights/hrc-statements/45th-session-human-rights-council/joint-statement-led-austria-rights-intersex-persons" TargetMode="External"/><Relationship Id="rId9" Type="http://schemas.openxmlformats.org/officeDocument/2006/relationships/hyperlink" Target="https://www.tandfonline.com/doi/full/10.1080/21642850.2024.2371134" TargetMode="External"/><Relationship Id="rId14" Type="http://schemas.openxmlformats.org/officeDocument/2006/relationships/hyperlink" Target="https://intersex.shadowreport.org/public/2023-CRC-Norway-LOIPR-NGO-Intersex-StopIGM.pdf" TargetMode="External"/><Relationship Id="rId22" Type="http://schemas.openxmlformats.org/officeDocument/2006/relationships/hyperlink" Target="https://intersex.shadowreport.org/public/2016-CEDAW-France-NGO-Zwischengeschlecht-Intersex-IGM.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58820-605E-EE41-B87B-174ACE49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2816</Words>
  <Characters>16055</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Intersex Genital Mutilation in Norway: Update to LOIPR Report</vt:lpstr>
    </vt:vector>
  </TitlesOfParts>
  <Manager/>
  <Company/>
  <LinksUpToDate>false</LinksUpToDate>
  <CharactersWithSpaces>18834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in Norway: Update to LOIPR Report</dc:title>
  <dc:subject>NGO Report (for Session) to the 7th Report of Norway on the Convention on the Rights of the Child (CRC)</dc:subject>
  <dc:creator>Zwischengeschlecht.org / StopIGM.org (Markus Bauer, Daniela Truffer)</dc:creator>
  <cp:keywords/>
  <dc:description/>
  <cp:lastModifiedBy>James Boit</cp:lastModifiedBy>
  <cp:revision>2</cp:revision>
  <cp:lastPrinted>2022-04-16T12:04:00Z</cp:lastPrinted>
  <dcterms:created xsi:type="dcterms:W3CDTF">2024-12-02T10:36:00Z</dcterms:created>
  <dcterms:modified xsi:type="dcterms:W3CDTF">2024-12-02T10:36:00Z</dcterms:modified>
  <cp:category/>
</cp:coreProperties>
</file>