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CA12" w14:textId="77777777" w:rsidR="00C05D9B" w:rsidRPr="004B1E4E" w:rsidRDefault="00C05D9B" w:rsidP="00626C39">
      <w:pPr>
        <w:rPr>
          <w:color w:val="auto"/>
          <w:sz w:val="24"/>
          <w:szCs w:val="24"/>
        </w:rPr>
      </w:pPr>
    </w:p>
    <w:p w14:paraId="1C720C6D" w14:textId="77777777" w:rsidR="005403E3" w:rsidRPr="004B1E4E" w:rsidRDefault="005403E3" w:rsidP="00626C39">
      <w:pPr>
        <w:rPr>
          <w:color w:val="auto"/>
          <w:sz w:val="24"/>
          <w:szCs w:val="24"/>
        </w:rPr>
      </w:pPr>
    </w:p>
    <w:p w14:paraId="5E537D0D" w14:textId="77777777" w:rsidR="005403E3" w:rsidRPr="004B1E4E" w:rsidRDefault="005403E3" w:rsidP="00626C39">
      <w:pPr>
        <w:rPr>
          <w:color w:val="auto"/>
          <w:sz w:val="24"/>
          <w:szCs w:val="24"/>
        </w:rPr>
      </w:pPr>
    </w:p>
    <w:p w14:paraId="43F13231" w14:textId="4DCE83C6" w:rsidR="004B1E4E" w:rsidRPr="004B1E4E" w:rsidRDefault="004B4077" w:rsidP="004B1E4E">
      <w:pPr>
        <w:jc w:val="center"/>
        <w:rPr>
          <w:b/>
          <w:sz w:val="24"/>
          <w:szCs w:val="24"/>
        </w:rPr>
      </w:pPr>
      <w:r>
        <w:rPr>
          <w:b/>
          <w:sz w:val="24"/>
          <w:szCs w:val="24"/>
        </w:rPr>
        <w:t>The Phili</w:t>
      </w:r>
      <w:r w:rsidR="00E1267E">
        <w:rPr>
          <w:b/>
          <w:sz w:val="24"/>
          <w:szCs w:val="24"/>
        </w:rPr>
        <w:t>p</w:t>
      </w:r>
      <w:r>
        <w:rPr>
          <w:b/>
          <w:sz w:val="24"/>
          <w:szCs w:val="24"/>
        </w:rPr>
        <w:t>pines</w:t>
      </w:r>
      <w:r w:rsidR="00993709">
        <w:rPr>
          <w:b/>
          <w:sz w:val="24"/>
          <w:szCs w:val="24"/>
        </w:rPr>
        <w:t>’</w:t>
      </w:r>
      <w:r w:rsidR="004B1E4E" w:rsidRPr="004B1E4E">
        <w:rPr>
          <w:b/>
          <w:sz w:val="24"/>
          <w:szCs w:val="24"/>
        </w:rPr>
        <w:t xml:space="preserve"> Compliance with </w:t>
      </w:r>
      <w:r>
        <w:rPr>
          <w:b/>
          <w:sz w:val="24"/>
          <w:szCs w:val="24"/>
        </w:rPr>
        <w:t xml:space="preserve">the </w:t>
      </w:r>
      <w:r w:rsidR="00C55577">
        <w:rPr>
          <w:b/>
          <w:sz w:val="24"/>
          <w:szCs w:val="24"/>
        </w:rPr>
        <w:t>International Covenant on Civil and Political Rights</w:t>
      </w:r>
      <w:r w:rsidR="00E5246C">
        <w:rPr>
          <w:b/>
          <w:sz w:val="24"/>
          <w:szCs w:val="24"/>
        </w:rPr>
        <w:t>:</w:t>
      </w:r>
    </w:p>
    <w:p w14:paraId="7AC1C7FA" w14:textId="77416A80" w:rsidR="00C55577" w:rsidRDefault="00E5246C" w:rsidP="004B1E4E">
      <w:pPr>
        <w:jc w:val="center"/>
        <w:rPr>
          <w:b/>
          <w:sz w:val="24"/>
          <w:szCs w:val="24"/>
        </w:rPr>
      </w:pPr>
      <w:r>
        <w:rPr>
          <w:b/>
          <w:sz w:val="24"/>
          <w:szCs w:val="24"/>
        </w:rPr>
        <w:t>T</w:t>
      </w:r>
      <w:r w:rsidR="00C55577">
        <w:rPr>
          <w:b/>
          <w:sz w:val="24"/>
          <w:szCs w:val="24"/>
        </w:rPr>
        <w:t xml:space="preserve">he Death Penalty </w:t>
      </w:r>
    </w:p>
    <w:p w14:paraId="638DA3D3" w14:textId="77777777" w:rsidR="00C55577" w:rsidRDefault="00C55577" w:rsidP="004B1E4E">
      <w:pPr>
        <w:jc w:val="center"/>
        <w:rPr>
          <w:b/>
          <w:sz w:val="24"/>
          <w:szCs w:val="24"/>
        </w:rPr>
      </w:pPr>
    </w:p>
    <w:p w14:paraId="26D24DDC" w14:textId="7721B79B" w:rsidR="004B1E4E" w:rsidRPr="004B1E4E" w:rsidRDefault="004B1E4E" w:rsidP="004B1E4E">
      <w:pPr>
        <w:jc w:val="center"/>
        <w:rPr>
          <w:b/>
          <w:sz w:val="24"/>
          <w:szCs w:val="24"/>
        </w:rPr>
      </w:pPr>
      <w:r w:rsidRPr="004B1E4E">
        <w:rPr>
          <w:b/>
          <w:sz w:val="24"/>
          <w:szCs w:val="24"/>
        </w:rPr>
        <w:t xml:space="preserve">Submitted by </w:t>
      </w:r>
      <w:r w:rsidR="00AA7FCB">
        <w:rPr>
          <w:b/>
          <w:sz w:val="24"/>
          <w:szCs w:val="24"/>
        </w:rPr>
        <w:t>T</w:t>
      </w:r>
      <w:r w:rsidRPr="004B1E4E">
        <w:rPr>
          <w:b/>
          <w:sz w:val="24"/>
          <w:szCs w:val="24"/>
        </w:rPr>
        <w:t>he Advocates for Human Rights</w:t>
      </w:r>
    </w:p>
    <w:p w14:paraId="6D01AE49" w14:textId="77777777" w:rsidR="004B1E4E" w:rsidRP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77418FAD" w14:textId="77777777" w:rsidR="00E81E91" w:rsidRPr="0016390A" w:rsidRDefault="00E81E91" w:rsidP="00E81E91">
      <w:pPr>
        <w:widowControl w:val="0"/>
        <w:autoSpaceDE w:val="0"/>
        <w:autoSpaceDN w:val="0"/>
        <w:adjustRightInd w:val="0"/>
        <w:jc w:val="center"/>
        <w:rPr>
          <w:color w:val="auto"/>
          <w:sz w:val="24"/>
          <w:szCs w:val="24"/>
        </w:rPr>
      </w:pPr>
      <w:r w:rsidRPr="0016390A">
        <w:rPr>
          <w:color w:val="auto"/>
          <w:sz w:val="24"/>
          <w:szCs w:val="24"/>
        </w:rPr>
        <w:t>and</w:t>
      </w:r>
    </w:p>
    <w:p w14:paraId="2931D45D" w14:textId="77777777" w:rsidR="00E81E91" w:rsidRPr="0016390A" w:rsidRDefault="00E81E91" w:rsidP="00E81E91">
      <w:pPr>
        <w:widowControl w:val="0"/>
        <w:autoSpaceDE w:val="0"/>
        <w:autoSpaceDN w:val="0"/>
        <w:adjustRightInd w:val="0"/>
        <w:jc w:val="center"/>
        <w:rPr>
          <w:b/>
          <w:bCs/>
          <w:color w:val="auto"/>
          <w:sz w:val="24"/>
          <w:szCs w:val="24"/>
        </w:rPr>
      </w:pPr>
      <w:r w:rsidRPr="0016390A">
        <w:rPr>
          <w:b/>
          <w:bCs/>
          <w:color w:val="auto"/>
          <w:sz w:val="24"/>
          <w:szCs w:val="24"/>
        </w:rPr>
        <w:t>The World Coalition Against the Death Penalty</w:t>
      </w:r>
    </w:p>
    <w:p w14:paraId="74881DA7" w14:textId="77777777" w:rsidR="004B1E4E" w:rsidRPr="004B1E4E" w:rsidRDefault="004B1E4E" w:rsidP="004B1E4E">
      <w:pPr>
        <w:jc w:val="center"/>
        <w:rPr>
          <w:sz w:val="24"/>
          <w:szCs w:val="24"/>
        </w:rPr>
      </w:pPr>
    </w:p>
    <w:p w14:paraId="24E688AE" w14:textId="477163CC" w:rsidR="004B1E4E" w:rsidRPr="00CA5CC2" w:rsidRDefault="00422792" w:rsidP="004B1E4E">
      <w:pPr>
        <w:jc w:val="center"/>
        <w:rPr>
          <w:b/>
          <w:bCs/>
          <w:sz w:val="24"/>
          <w:szCs w:val="24"/>
        </w:rPr>
      </w:pPr>
      <w:r>
        <w:rPr>
          <w:b/>
          <w:bCs/>
          <w:sz w:val="24"/>
          <w:szCs w:val="24"/>
        </w:rPr>
        <w:t xml:space="preserve">for the </w:t>
      </w:r>
      <w:r w:rsidR="00F8499D">
        <w:rPr>
          <w:b/>
          <w:bCs/>
          <w:sz w:val="24"/>
          <w:szCs w:val="24"/>
        </w:rPr>
        <w:t xml:space="preserve">136th </w:t>
      </w:r>
      <w:r w:rsidR="004B1E4E" w:rsidRPr="00CA5CC2">
        <w:rPr>
          <w:b/>
          <w:bCs/>
          <w:sz w:val="24"/>
          <w:szCs w:val="24"/>
        </w:rPr>
        <w:t xml:space="preserve">Session of the </w:t>
      </w:r>
      <w:r w:rsidR="00F8499D">
        <w:rPr>
          <w:b/>
          <w:bCs/>
          <w:sz w:val="24"/>
          <w:szCs w:val="24"/>
        </w:rPr>
        <w:t>Human Rights Committee</w:t>
      </w:r>
    </w:p>
    <w:p w14:paraId="42599716" w14:textId="6F3B898C" w:rsidR="00C214BA" w:rsidRDefault="00F8499D" w:rsidP="00F8499D">
      <w:pPr>
        <w:jc w:val="center"/>
        <w:rPr>
          <w:b/>
          <w:bCs/>
          <w:sz w:val="24"/>
          <w:szCs w:val="24"/>
        </w:rPr>
      </w:pPr>
      <w:r>
        <w:rPr>
          <w:b/>
          <w:bCs/>
          <w:sz w:val="23"/>
          <w:szCs w:val="23"/>
        </w:rPr>
        <w:t>10 October – 4 November 2022</w:t>
      </w:r>
    </w:p>
    <w:p w14:paraId="7342CB1F" w14:textId="77777777" w:rsidR="00F8499D" w:rsidRDefault="00F8499D" w:rsidP="004B1E4E">
      <w:pPr>
        <w:jc w:val="center"/>
        <w:rPr>
          <w:b/>
          <w:bCs/>
          <w:sz w:val="24"/>
          <w:szCs w:val="24"/>
        </w:rPr>
      </w:pPr>
    </w:p>
    <w:p w14:paraId="3D93E372" w14:textId="510977B9" w:rsidR="00C214BA" w:rsidRPr="00CA5CC2" w:rsidRDefault="00C214BA" w:rsidP="004B1E4E">
      <w:pPr>
        <w:jc w:val="center"/>
        <w:rPr>
          <w:b/>
          <w:bCs/>
          <w:sz w:val="24"/>
          <w:szCs w:val="24"/>
        </w:rPr>
      </w:pPr>
      <w:r>
        <w:rPr>
          <w:b/>
          <w:bCs/>
          <w:sz w:val="24"/>
          <w:szCs w:val="24"/>
        </w:rPr>
        <w:t xml:space="preserve">Submitted </w:t>
      </w:r>
      <w:r w:rsidR="004B4077">
        <w:rPr>
          <w:b/>
          <w:bCs/>
          <w:sz w:val="24"/>
          <w:szCs w:val="24"/>
        </w:rPr>
        <w:t>12</w:t>
      </w:r>
      <w:r>
        <w:rPr>
          <w:b/>
          <w:bCs/>
          <w:sz w:val="24"/>
          <w:szCs w:val="24"/>
        </w:rPr>
        <w:t xml:space="preserve"> </w:t>
      </w:r>
      <w:r w:rsidR="004B4077">
        <w:rPr>
          <w:b/>
          <w:bCs/>
          <w:sz w:val="24"/>
          <w:szCs w:val="24"/>
        </w:rPr>
        <w:t>September 2022</w:t>
      </w:r>
    </w:p>
    <w:p w14:paraId="5F0F5054" w14:textId="77777777" w:rsidR="001565F9" w:rsidRPr="004B1E4E" w:rsidRDefault="001565F9" w:rsidP="005132BB">
      <w:pPr>
        <w:rPr>
          <w:sz w:val="24"/>
          <w:szCs w:val="24"/>
          <w:lang w:val="es-ES"/>
        </w:rPr>
      </w:pPr>
    </w:p>
    <w:p w14:paraId="69899961" w14:textId="77777777" w:rsidR="005132BB" w:rsidRPr="004B1E4E" w:rsidRDefault="005132BB" w:rsidP="00626C39">
      <w:pPr>
        <w:rPr>
          <w:color w:val="auto"/>
          <w:sz w:val="24"/>
          <w:szCs w:val="24"/>
        </w:rPr>
      </w:pPr>
    </w:p>
    <w:p w14:paraId="64B92EAF" w14:textId="55EBDDC7" w:rsidR="27553789" w:rsidRPr="004B4077" w:rsidRDefault="004B1E4E" w:rsidP="20EBB8F7">
      <w:pPr>
        <w:jc w:val="both"/>
        <w:rPr>
          <w:b/>
          <w:bCs/>
          <w:sz w:val="24"/>
          <w:szCs w:val="24"/>
        </w:rPr>
      </w:pPr>
      <w:r w:rsidRPr="004B1E4E">
        <w:rPr>
          <w:b/>
          <w:sz w:val="24"/>
          <w:szCs w:val="24"/>
        </w:rPr>
        <w:t xml:space="preserve">The Advocates for Human Rights </w:t>
      </w:r>
      <w:r w:rsidRPr="004B1E4E">
        <w:rPr>
          <w:sz w:val="24"/>
          <w:szCs w:val="24"/>
        </w:rPr>
        <w:t xml:space="preserve">(The Advocates) is a volunteer-based nongovernmental organization committed to the impartial promotion and protection of international human rights standards and the rule of law. Established in 1983, The Advocates conducts a range of programs to promote human rights in the United States and around the world, </w:t>
      </w:r>
      <w:r w:rsidRPr="004B1E4E">
        <w:rPr>
          <w:sz w:val="24"/>
          <w:szCs w:val="24"/>
          <w:lang w:val="es-ES"/>
        </w:rPr>
        <w:t>including</w:t>
      </w:r>
      <w:r w:rsidRPr="004B1E4E">
        <w:rPr>
          <w:sz w:val="24"/>
          <w:szCs w:val="24"/>
        </w:rPr>
        <w:t xml:space="preserve"> monitoring and fact finding, direct legal representation, education and training, and publications. </w:t>
      </w:r>
      <w:r w:rsidR="27553789" w:rsidRPr="20EBB8F7">
        <w:rPr>
          <w:sz w:val="24"/>
          <w:szCs w:val="24"/>
        </w:rPr>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7AE434B8" w14:textId="2F6AD158" w:rsidR="00F4107A" w:rsidRDefault="00F4107A" w:rsidP="00626C39">
      <w:pPr>
        <w:rPr>
          <w:color w:val="auto"/>
          <w:sz w:val="24"/>
          <w:szCs w:val="24"/>
        </w:rPr>
      </w:pPr>
    </w:p>
    <w:p w14:paraId="2FEDF815" w14:textId="5D5DB793" w:rsidR="00E81E91" w:rsidRPr="00F4107A" w:rsidRDefault="00E81E91" w:rsidP="00E81E91">
      <w:pPr>
        <w:widowControl w:val="0"/>
        <w:autoSpaceDE w:val="0"/>
        <w:autoSpaceDN w:val="0"/>
        <w:adjustRightInd w:val="0"/>
        <w:jc w:val="both"/>
        <w:rPr>
          <w:color w:val="auto"/>
          <w:sz w:val="24"/>
          <w:szCs w:val="24"/>
        </w:rPr>
      </w:pPr>
      <w:r w:rsidRPr="0016390A">
        <w:rPr>
          <w:b/>
          <w:color w:val="auto"/>
          <w:sz w:val="24"/>
          <w:szCs w:val="24"/>
        </w:rPr>
        <w:t>The World Coalition Against the Death Penalty</w:t>
      </w:r>
      <w:r w:rsidRPr="0016390A">
        <w:rPr>
          <w:color w:val="auto"/>
          <w:sz w:val="24"/>
          <w:szCs w:val="24"/>
        </w:rPr>
        <w:t>,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431A8E80" w14:textId="5A4A1782" w:rsidR="004B1E4E" w:rsidRPr="008E6172" w:rsidRDefault="004B1E4E" w:rsidP="008E6172">
      <w:pPr>
        <w:spacing w:after="240"/>
        <w:jc w:val="center"/>
        <w:rPr>
          <w:b/>
          <w:caps/>
          <w:color w:val="auto"/>
          <w:sz w:val="24"/>
          <w:szCs w:val="24"/>
        </w:rPr>
      </w:pPr>
      <w:r>
        <w:rPr>
          <w:color w:val="auto"/>
          <w:sz w:val="24"/>
          <w:szCs w:val="24"/>
        </w:rPr>
        <w:br w:type="page"/>
      </w:r>
      <w:r w:rsidRPr="002409D9">
        <w:rPr>
          <w:b/>
          <w:caps/>
          <w:color w:val="auto"/>
          <w:sz w:val="24"/>
          <w:szCs w:val="24"/>
        </w:rPr>
        <w:lastRenderedPageBreak/>
        <w:t>Executive Summary</w:t>
      </w:r>
    </w:p>
    <w:p w14:paraId="17EF3370" w14:textId="208467CA" w:rsidR="002409D9" w:rsidRPr="002409D9" w:rsidRDefault="002409D9" w:rsidP="00E5246C">
      <w:pPr>
        <w:pStyle w:val="ListParagraph"/>
        <w:numPr>
          <w:ilvl w:val="0"/>
          <w:numId w:val="7"/>
        </w:numPr>
        <w:spacing w:after="120" w:line="240" w:lineRule="auto"/>
        <w:ind w:left="360"/>
        <w:contextualSpacing w:val="0"/>
        <w:jc w:val="both"/>
        <w:rPr>
          <w:rFonts w:ascii="Times New Roman" w:hAnsi="Times New Roman"/>
          <w:sz w:val="24"/>
          <w:szCs w:val="24"/>
        </w:rPr>
      </w:pPr>
      <w:r w:rsidRPr="002409D9">
        <w:rPr>
          <w:rFonts w:ascii="Times New Roman" w:hAnsi="Times New Roman"/>
          <w:sz w:val="24"/>
          <w:szCs w:val="24"/>
        </w:rPr>
        <w:t xml:space="preserve">This report addresses the Philippines’ compliance with its international human rights </w:t>
      </w:r>
      <w:r w:rsidRPr="00B438F0">
        <w:rPr>
          <w:rFonts w:ascii="Times New Roman" w:hAnsi="Times New Roman"/>
          <w:sz w:val="24"/>
          <w:szCs w:val="24"/>
        </w:rPr>
        <w:t>obligations with respect to the death penalty. For years, the Philippines imposed the death penalty, particularly for so-called heinous crimes.</w:t>
      </w:r>
      <w:r w:rsidR="00B438F0">
        <w:rPr>
          <w:rStyle w:val="FootnoteReference"/>
          <w:rFonts w:ascii="Times New Roman" w:hAnsi="Times New Roman"/>
          <w:sz w:val="24"/>
          <w:szCs w:val="24"/>
        </w:rPr>
        <w:footnoteReference w:id="2"/>
      </w:r>
      <w:r w:rsidRPr="00B438F0">
        <w:rPr>
          <w:rFonts w:ascii="Times New Roman" w:hAnsi="Times New Roman"/>
          <w:sz w:val="24"/>
          <w:szCs w:val="24"/>
        </w:rPr>
        <w:t xml:space="preserve"> In 2006, President Gloria Macapagal Arroyo abolished the death penalty.</w:t>
      </w:r>
      <w:r w:rsidR="00B438F0">
        <w:rPr>
          <w:rStyle w:val="FootnoteReference"/>
          <w:rFonts w:ascii="Times New Roman" w:hAnsi="Times New Roman"/>
          <w:sz w:val="24"/>
          <w:szCs w:val="24"/>
        </w:rPr>
        <w:footnoteReference w:id="3"/>
      </w:r>
      <w:r w:rsidRPr="00B438F0">
        <w:rPr>
          <w:rFonts w:ascii="Times New Roman" w:hAnsi="Times New Roman"/>
          <w:sz w:val="24"/>
          <w:szCs w:val="24"/>
        </w:rPr>
        <w:t xml:space="preserve"> </w:t>
      </w:r>
      <w:r w:rsidR="00B438F0" w:rsidRPr="00B438F0">
        <w:rPr>
          <w:rFonts w:ascii="Times New Roman" w:hAnsi="Times New Roman"/>
          <w:sz w:val="24"/>
          <w:szCs w:val="24"/>
        </w:rPr>
        <w:t>In 2007, the Philippines ratified the Second Optional Protocol to the International Covenant on Civil and Political Rights (ICCPR) and thus committed itself to abolition under international law.</w:t>
      </w:r>
      <w:r w:rsidR="00B438F0">
        <w:rPr>
          <w:rStyle w:val="FootnoteReference"/>
          <w:rFonts w:ascii="Times New Roman" w:hAnsi="Times New Roman"/>
          <w:sz w:val="24"/>
          <w:szCs w:val="24"/>
        </w:rPr>
        <w:footnoteReference w:id="4"/>
      </w:r>
      <w:r w:rsidR="00B438F0">
        <w:rPr>
          <w:rFonts w:ascii="Times New Roman" w:hAnsi="Times New Roman"/>
          <w:sz w:val="24"/>
          <w:szCs w:val="24"/>
        </w:rPr>
        <w:t xml:space="preserve"> </w:t>
      </w:r>
      <w:r w:rsidRPr="002409D9">
        <w:rPr>
          <w:rFonts w:ascii="Times New Roman" w:hAnsi="Times New Roman"/>
          <w:sz w:val="24"/>
          <w:szCs w:val="24"/>
        </w:rPr>
        <w:t xml:space="preserve">Since then, </w:t>
      </w:r>
      <w:r w:rsidR="00406DED">
        <w:rPr>
          <w:rFonts w:ascii="Times New Roman" w:hAnsi="Times New Roman"/>
          <w:sz w:val="24"/>
          <w:szCs w:val="24"/>
        </w:rPr>
        <w:t xml:space="preserve">however, </w:t>
      </w:r>
      <w:r w:rsidRPr="002409D9">
        <w:rPr>
          <w:rFonts w:ascii="Times New Roman" w:hAnsi="Times New Roman"/>
          <w:sz w:val="24"/>
          <w:szCs w:val="24"/>
        </w:rPr>
        <w:t>lawmakers have introduced numerous bills to reinstate the death penalty, with the House adopting Bill No. 7814 as recently as March 2, 2021</w:t>
      </w:r>
      <w:r>
        <w:rPr>
          <w:rFonts w:ascii="Times New Roman" w:hAnsi="Times New Roman"/>
          <w:sz w:val="24"/>
          <w:szCs w:val="24"/>
        </w:rPr>
        <w:t>.</w:t>
      </w:r>
      <w:r w:rsidR="00B438F0">
        <w:rPr>
          <w:rStyle w:val="FootnoteReference"/>
          <w:rFonts w:ascii="Times New Roman" w:hAnsi="Times New Roman"/>
          <w:sz w:val="24"/>
          <w:szCs w:val="24"/>
        </w:rPr>
        <w:footnoteReference w:id="5"/>
      </w:r>
    </w:p>
    <w:p w14:paraId="6CD9AC33" w14:textId="12D03FF0" w:rsidR="004B1E4E" w:rsidRDefault="002409D9" w:rsidP="00E5246C">
      <w:pPr>
        <w:numPr>
          <w:ilvl w:val="0"/>
          <w:numId w:val="7"/>
        </w:numPr>
        <w:spacing w:after="120"/>
        <w:ind w:left="360"/>
        <w:jc w:val="both"/>
        <w:rPr>
          <w:color w:val="auto"/>
          <w:sz w:val="24"/>
          <w:szCs w:val="24"/>
        </w:rPr>
      </w:pPr>
      <w:r>
        <w:rPr>
          <w:color w:val="auto"/>
          <w:sz w:val="24"/>
          <w:szCs w:val="24"/>
        </w:rPr>
        <w:t>The Phili</w:t>
      </w:r>
      <w:r w:rsidR="003A3732">
        <w:rPr>
          <w:color w:val="auto"/>
          <w:sz w:val="24"/>
          <w:szCs w:val="24"/>
        </w:rPr>
        <w:t>p</w:t>
      </w:r>
      <w:r>
        <w:rPr>
          <w:color w:val="auto"/>
          <w:sz w:val="24"/>
          <w:szCs w:val="24"/>
        </w:rPr>
        <w:t>pines’ newly elected President, Ferdinand Marcos Jr., ha</w:t>
      </w:r>
      <w:r w:rsidR="0029025F">
        <w:rPr>
          <w:color w:val="auto"/>
          <w:sz w:val="24"/>
          <w:szCs w:val="24"/>
        </w:rPr>
        <w:t>s wavered on the issue</w:t>
      </w:r>
      <w:r w:rsidR="00336E39">
        <w:rPr>
          <w:color w:val="auto"/>
          <w:sz w:val="24"/>
          <w:szCs w:val="24"/>
        </w:rPr>
        <w:t xml:space="preserve"> of the death penalty.</w:t>
      </w:r>
      <w:r w:rsidR="0029025F">
        <w:rPr>
          <w:color w:val="auto"/>
          <w:sz w:val="24"/>
          <w:szCs w:val="24"/>
        </w:rPr>
        <w:t xml:space="preserve"> </w:t>
      </w:r>
      <w:r w:rsidR="00336E39">
        <w:rPr>
          <w:color w:val="auto"/>
          <w:sz w:val="24"/>
          <w:szCs w:val="24"/>
        </w:rPr>
        <w:t xml:space="preserve">While </w:t>
      </w:r>
      <w:r w:rsidR="003837B5">
        <w:rPr>
          <w:color w:val="auto"/>
          <w:sz w:val="24"/>
          <w:szCs w:val="24"/>
        </w:rPr>
        <w:t xml:space="preserve">Marcos Jr. </w:t>
      </w:r>
      <w:r w:rsidR="00336E39">
        <w:rPr>
          <w:color w:val="auto"/>
          <w:sz w:val="24"/>
          <w:szCs w:val="24"/>
        </w:rPr>
        <w:t xml:space="preserve">has not explicitly endorsed the death penalty, he </w:t>
      </w:r>
      <w:r w:rsidR="0029025F">
        <w:rPr>
          <w:color w:val="auto"/>
          <w:sz w:val="24"/>
          <w:szCs w:val="24"/>
        </w:rPr>
        <w:t xml:space="preserve">recently </w:t>
      </w:r>
      <w:r w:rsidR="003837B5">
        <w:rPr>
          <w:color w:val="auto"/>
          <w:sz w:val="24"/>
          <w:szCs w:val="24"/>
        </w:rPr>
        <w:t>stated</w:t>
      </w:r>
      <w:r w:rsidR="0029025F">
        <w:rPr>
          <w:color w:val="auto"/>
          <w:sz w:val="24"/>
          <w:szCs w:val="24"/>
        </w:rPr>
        <w:t xml:space="preserve"> that the death penalty is not </w:t>
      </w:r>
      <w:r w:rsidR="00336E39">
        <w:rPr>
          <w:color w:val="auto"/>
          <w:sz w:val="24"/>
          <w:szCs w:val="24"/>
        </w:rPr>
        <w:t xml:space="preserve">an </w:t>
      </w:r>
      <w:r w:rsidR="0029025F">
        <w:rPr>
          <w:color w:val="auto"/>
          <w:sz w:val="24"/>
          <w:szCs w:val="24"/>
        </w:rPr>
        <w:t xml:space="preserve">effective </w:t>
      </w:r>
      <w:r w:rsidR="00336E39">
        <w:rPr>
          <w:color w:val="auto"/>
          <w:sz w:val="24"/>
          <w:szCs w:val="24"/>
        </w:rPr>
        <w:t xml:space="preserve">means of </w:t>
      </w:r>
      <w:r w:rsidR="0029025F">
        <w:rPr>
          <w:color w:val="auto"/>
          <w:sz w:val="24"/>
          <w:szCs w:val="24"/>
        </w:rPr>
        <w:t>reducing crime.</w:t>
      </w:r>
      <w:r w:rsidR="0029025F">
        <w:rPr>
          <w:rStyle w:val="FootnoteReference"/>
          <w:color w:val="auto"/>
          <w:sz w:val="24"/>
          <w:szCs w:val="24"/>
        </w:rPr>
        <w:footnoteReference w:id="6"/>
      </w:r>
      <w:r w:rsidR="0029025F">
        <w:rPr>
          <w:color w:val="auto"/>
          <w:sz w:val="24"/>
          <w:szCs w:val="24"/>
        </w:rPr>
        <w:t xml:space="preserve"> By contrast, he has said that he would </w:t>
      </w:r>
      <w:r w:rsidR="00BF741F">
        <w:rPr>
          <w:color w:val="auto"/>
          <w:sz w:val="24"/>
          <w:szCs w:val="24"/>
        </w:rPr>
        <w:t>l</w:t>
      </w:r>
      <w:r w:rsidR="0029025F">
        <w:rPr>
          <w:color w:val="auto"/>
          <w:sz w:val="24"/>
          <w:szCs w:val="24"/>
        </w:rPr>
        <w:t>eave the decision of whether to implement the death penalty up to Congress.</w:t>
      </w:r>
      <w:r w:rsidR="0029025F">
        <w:rPr>
          <w:rStyle w:val="FootnoteReference"/>
          <w:color w:val="auto"/>
          <w:sz w:val="24"/>
          <w:szCs w:val="24"/>
        </w:rPr>
        <w:footnoteReference w:id="7"/>
      </w:r>
      <w:r w:rsidR="0029025F">
        <w:rPr>
          <w:color w:val="auto"/>
          <w:sz w:val="24"/>
          <w:szCs w:val="24"/>
        </w:rPr>
        <w:t xml:space="preserve"> Marcos Jr. has also mentioned that some </w:t>
      </w:r>
      <w:r w:rsidR="00540992">
        <w:rPr>
          <w:color w:val="auto"/>
          <w:sz w:val="24"/>
          <w:szCs w:val="24"/>
        </w:rPr>
        <w:t>individuals</w:t>
      </w:r>
      <w:r w:rsidR="0029025F">
        <w:rPr>
          <w:color w:val="auto"/>
          <w:sz w:val="24"/>
          <w:szCs w:val="24"/>
        </w:rPr>
        <w:t xml:space="preserve"> “cannot be rehabilitated” and must be “removed from society.”</w:t>
      </w:r>
      <w:r w:rsidR="0029025F">
        <w:rPr>
          <w:rStyle w:val="FootnoteReference"/>
          <w:color w:val="auto"/>
          <w:sz w:val="24"/>
          <w:szCs w:val="24"/>
        </w:rPr>
        <w:footnoteReference w:id="8"/>
      </w:r>
      <w:r w:rsidR="0029025F">
        <w:rPr>
          <w:color w:val="auto"/>
          <w:sz w:val="24"/>
          <w:szCs w:val="24"/>
        </w:rPr>
        <w:t xml:space="preserve">  </w:t>
      </w:r>
    </w:p>
    <w:p w14:paraId="4D7B4DB8" w14:textId="5E541318" w:rsidR="009666F8" w:rsidRPr="008E6172" w:rsidRDefault="00B438F0" w:rsidP="00E5246C">
      <w:pPr>
        <w:pStyle w:val="ListParagraph"/>
        <w:numPr>
          <w:ilvl w:val="0"/>
          <w:numId w:val="7"/>
        </w:numPr>
        <w:spacing w:after="120" w:line="240" w:lineRule="auto"/>
        <w:ind w:left="360"/>
        <w:contextualSpacing w:val="0"/>
        <w:jc w:val="both"/>
        <w:rPr>
          <w:rFonts w:ascii="Times New Roman" w:hAnsi="Times New Roman"/>
          <w:sz w:val="24"/>
          <w:szCs w:val="24"/>
        </w:rPr>
      </w:pPr>
      <w:r w:rsidRPr="00B438F0">
        <w:rPr>
          <w:rFonts w:ascii="Times New Roman" w:hAnsi="Times New Roman"/>
          <w:sz w:val="24"/>
          <w:szCs w:val="24"/>
        </w:rPr>
        <w:t xml:space="preserve">This report recommends that the Philippines </w:t>
      </w:r>
      <w:r w:rsidR="00BF741F">
        <w:rPr>
          <w:rFonts w:ascii="Times New Roman" w:hAnsi="Times New Roman"/>
          <w:sz w:val="24"/>
          <w:szCs w:val="24"/>
        </w:rPr>
        <w:t xml:space="preserve">reaffirm its commitment to </w:t>
      </w:r>
      <w:r w:rsidRPr="00B438F0">
        <w:rPr>
          <w:rFonts w:ascii="Times New Roman" w:hAnsi="Times New Roman"/>
          <w:sz w:val="24"/>
          <w:szCs w:val="24"/>
        </w:rPr>
        <w:t>the abolition of the death penalty, refrain from reintroducing the death penalty, honor its international commitments, and implement a human rights-based approach to</w:t>
      </w:r>
      <w:r w:rsidR="00BF741F">
        <w:rPr>
          <w:rFonts w:ascii="Times New Roman" w:hAnsi="Times New Roman"/>
          <w:sz w:val="24"/>
          <w:szCs w:val="24"/>
        </w:rPr>
        <w:t xml:space="preserve"> its</w:t>
      </w:r>
      <w:r w:rsidRPr="00B438F0">
        <w:rPr>
          <w:rFonts w:ascii="Times New Roman" w:hAnsi="Times New Roman"/>
          <w:sz w:val="24"/>
          <w:szCs w:val="24"/>
        </w:rPr>
        <w:t xml:space="preserve"> anti-drug policy.</w:t>
      </w:r>
    </w:p>
    <w:p w14:paraId="75B00959" w14:textId="773BD585" w:rsidR="008F2F99" w:rsidRDefault="002409D9" w:rsidP="0007701E">
      <w:pPr>
        <w:keepNext/>
        <w:spacing w:before="240" w:after="240"/>
        <w:jc w:val="center"/>
        <w:rPr>
          <w:b/>
          <w:color w:val="auto"/>
          <w:sz w:val="24"/>
          <w:szCs w:val="24"/>
        </w:rPr>
      </w:pPr>
      <w:r>
        <w:rPr>
          <w:b/>
          <w:color w:val="auto"/>
          <w:sz w:val="24"/>
          <w:szCs w:val="24"/>
        </w:rPr>
        <w:lastRenderedPageBreak/>
        <w:t>The Philip</w:t>
      </w:r>
      <w:r w:rsidR="003A3732">
        <w:rPr>
          <w:b/>
          <w:color w:val="auto"/>
          <w:sz w:val="24"/>
          <w:szCs w:val="24"/>
        </w:rPr>
        <w:t>p</w:t>
      </w:r>
      <w:r>
        <w:rPr>
          <w:b/>
          <w:color w:val="auto"/>
          <w:sz w:val="24"/>
          <w:szCs w:val="24"/>
        </w:rPr>
        <w:t>ines</w:t>
      </w:r>
      <w:r w:rsidR="008F2F99" w:rsidRPr="008F2F99">
        <w:rPr>
          <w:b/>
          <w:color w:val="auto"/>
          <w:sz w:val="24"/>
          <w:szCs w:val="24"/>
        </w:rPr>
        <w:t xml:space="preserve"> fails to uphold its obligations under the </w:t>
      </w:r>
      <w:r>
        <w:rPr>
          <w:b/>
          <w:color w:val="auto"/>
          <w:sz w:val="24"/>
          <w:szCs w:val="24"/>
        </w:rPr>
        <w:t>International Covenant on Civil and Political Rights.</w:t>
      </w:r>
    </w:p>
    <w:p w14:paraId="71FF20C1" w14:textId="5E6B6FE8" w:rsidR="004B1E4E" w:rsidRDefault="002409D9" w:rsidP="0007701E">
      <w:pPr>
        <w:keepNext/>
        <w:numPr>
          <w:ilvl w:val="0"/>
          <w:numId w:val="8"/>
        </w:numPr>
        <w:spacing w:before="240" w:after="240"/>
        <w:ind w:left="720" w:hanging="360"/>
        <w:rPr>
          <w:b/>
          <w:bCs/>
          <w:color w:val="auto"/>
          <w:sz w:val="24"/>
          <w:szCs w:val="24"/>
        </w:rPr>
      </w:pPr>
      <w:r w:rsidRPr="5EAA4646">
        <w:rPr>
          <w:b/>
          <w:bCs/>
          <w:color w:val="auto"/>
          <w:sz w:val="24"/>
          <w:szCs w:val="24"/>
        </w:rPr>
        <w:t xml:space="preserve">Right to Life </w:t>
      </w:r>
      <w:r w:rsidR="00102FC5" w:rsidRPr="5EAA4646">
        <w:rPr>
          <w:b/>
          <w:bCs/>
          <w:color w:val="auto"/>
          <w:sz w:val="24"/>
          <w:szCs w:val="24"/>
        </w:rPr>
        <w:t>(List of Issues</w:t>
      </w:r>
      <w:r w:rsidR="0E60FE5A" w:rsidRPr="5EAA4646">
        <w:rPr>
          <w:b/>
          <w:bCs/>
          <w:color w:val="auto"/>
          <w:sz w:val="24"/>
          <w:szCs w:val="24"/>
        </w:rPr>
        <w:t>,</w:t>
      </w:r>
      <w:r w:rsidR="00102FC5" w:rsidRPr="5EAA4646">
        <w:rPr>
          <w:b/>
          <w:bCs/>
          <w:color w:val="auto"/>
          <w:sz w:val="24"/>
          <w:szCs w:val="24"/>
        </w:rPr>
        <w:t xml:space="preserve"> para</w:t>
      </w:r>
      <w:r w:rsidR="00C3380C" w:rsidRPr="5EAA4646">
        <w:rPr>
          <w:b/>
          <w:bCs/>
          <w:color w:val="auto"/>
          <w:sz w:val="24"/>
          <w:szCs w:val="24"/>
        </w:rPr>
        <w:t>graph</w:t>
      </w:r>
      <w:r w:rsidR="00102FC5" w:rsidRPr="5EAA4646">
        <w:rPr>
          <w:b/>
          <w:bCs/>
          <w:color w:val="auto"/>
          <w:sz w:val="24"/>
          <w:szCs w:val="24"/>
        </w:rPr>
        <w:t xml:space="preserve"> 11)</w:t>
      </w:r>
    </w:p>
    <w:p w14:paraId="639881D3" w14:textId="749B80C6" w:rsidR="00757A1C" w:rsidRPr="00AC040C" w:rsidRDefault="003A3732" w:rsidP="0007701E">
      <w:pPr>
        <w:numPr>
          <w:ilvl w:val="0"/>
          <w:numId w:val="7"/>
        </w:numPr>
        <w:spacing w:after="120"/>
        <w:ind w:left="360"/>
        <w:jc w:val="both"/>
        <w:rPr>
          <w:b/>
          <w:bCs/>
          <w:color w:val="auto"/>
          <w:sz w:val="24"/>
          <w:szCs w:val="24"/>
        </w:rPr>
      </w:pPr>
      <w:r>
        <w:rPr>
          <w:color w:val="auto"/>
          <w:sz w:val="24"/>
          <w:szCs w:val="24"/>
        </w:rPr>
        <w:t xml:space="preserve">In its 2020 List of Issues, the Human Rights Committee asked the Philippines to </w:t>
      </w:r>
      <w:r w:rsidR="00BE44E4">
        <w:rPr>
          <w:color w:val="auto"/>
          <w:sz w:val="24"/>
          <w:szCs w:val="24"/>
        </w:rPr>
        <w:t>respond to reports of legislative efforts to reinstate the death penalty and comment on the compat</w:t>
      </w:r>
      <w:r w:rsidR="002D1CF9">
        <w:rPr>
          <w:color w:val="auto"/>
          <w:sz w:val="24"/>
          <w:szCs w:val="24"/>
        </w:rPr>
        <w:t>i</w:t>
      </w:r>
      <w:r w:rsidR="00BE44E4">
        <w:rPr>
          <w:color w:val="auto"/>
          <w:sz w:val="24"/>
          <w:szCs w:val="24"/>
        </w:rPr>
        <w:t>bility of these efforts with international law.</w:t>
      </w:r>
      <w:r w:rsidR="009442ED">
        <w:rPr>
          <w:rStyle w:val="FootnoteReference"/>
          <w:color w:val="auto"/>
          <w:sz w:val="24"/>
          <w:szCs w:val="24"/>
        </w:rPr>
        <w:footnoteReference w:id="9"/>
      </w:r>
    </w:p>
    <w:p w14:paraId="6BCB9A46" w14:textId="40FE54B6" w:rsidR="00F16374" w:rsidRPr="00F16374" w:rsidRDefault="00102FC5" w:rsidP="0007701E">
      <w:pPr>
        <w:numPr>
          <w:ilvl w:val="0"/>
          <w:numId w:val="7"/>
        </w:numPr>
        <w:spacing w:after="120"/>
        <w:ind w:left="360"/>
        <w:jc w:val="both"/>
        <w:rPr>
          <w:color w:val="auto"/>
          <w:sz w:val="24"/>
          <w:szCs w:val="24"/>
        </w:rPr>
      </w:pPr>
      <w:r>
        <w:rPr>
          <w:color w:val="auto"/>
          <w:sz w:val="24"/>
          <w:szCs w:val="24"/>
        </w:rPr>
        <w:t xml:space="preserve">In its </w:t>
      </w:r>
      <w:r w:rsidR="00560B11">
        <w:rPr>
          <w:color w:val="auto"/>
          <w:sz w:val="24"/>
          <w:szCs w:val="24"/>
        </w:rPr>
        <w:t xml:space="preserve">2022 </w:t>
      </w:r>
      <w:r w:rsidR="00020EB2">
        <w:rPr>
          <w:color w:val="auto"/>
          <w:sz w:val="24"/>
          <w:szCs w:val="24"/>
        </w:rPr>
        <w:t>R</w:t>
      </w:r>
      <w:r w:rsidR="00560B11">
        <w:rPr>
          <w:color w:val="auto"/>
          <w:sz w:val="24"/>
          <w:szCs w:val="24"/>
        </w:rPr>
        <w:t>eply to the</w:t>
      </w:r>
      <w:r>
        <w:rPr>
          <w:color w:val="auto"/>
          <w:sz w:val="24"/>
          <w:szCs w:val="24"/>
        </w:rPr>
        <w:t xml:space="preserve"> List of Issues, the Philippines said that it is one of only two UN </w:t>
      </w:r>
      <w:r w:rsidR="00AD3AE4">
        <w:rPr>
          <w:color w:val="auto"/>
          <w:sz w:val="24"/>
          <w:szCs w:val="24"/>
        </w:rPr>
        <w:t>M</w:t>
      </w:r>
      <w:r>
        <w:rPr>
          <w:color w:val="auto"/>
          <w:sz w:val="24"/>
          <w:szCs w:val="24"/>
        </w:rPr>
        <w:t>ember States in South</w:t>
      </w:r>
      <w:r w:rsidR="00AD3AE4">
        <w:rPr>
          <w:color w:val="auto"/>
          <w:sz w:val="24"/>
          <w:szCs w:val="24"/>
        </w:rPr>
        <w:t>e</w:t>
      </w:r>
      <w:r>
        <w:rPr>
          <w:color w:val="auto"/>
          <w:sz w:val="24"/>
          <w:szCs w:val="24"/>
        </w:rPr>
        <w:t xml:space="preserve">ast Asia </w:t>
      </w:r>
      <w:r w:rsidR="00905409">
        <w:rPr>
          <w:color w:val="auto"/>
          <w:sz w:val="24"/>
          <w:szCs w:val="24"/>
        </w:rPr>
        <w:t>that</w:t>
      </w:r>
      <w:r>
        <w:rPr>
          <w:color w:val="auto"/>
          <w:sz w:val="24"/>
          <w:szCs w:val="24"/>
        </w:rPr>
        <w:t xml:space="preserve"> has abolished the death penalty.</w:t>
      </w:r>
      <w:r>
        <w:rPr>
          <w:rStyle w:val="FootnoteReference"/>
          <w:color w:val="auto"/>
          <w:sz w:val="24"/>
          <w:szCs w:val="24"/>
        </w:rPr>
        <w:footnoteReference w:id="10"/>
      </w:r>
      <w:r>
        <w:rPr>
          <w:color w:val="auto"/>
          <w:sz w:val="24"/>
          <w:szCs w:val="24"/>
        </w:rPr>
        <w:t xml:space="preserve"> The Philippines stated that </w:t>
      </w:r>
      <w:r w:rsidR="00ED6E12">
        <w:rPr>
          <w:color w:val="auto"/>
          <w:sz w:val="24"/>
          <w:szCs w:val="24"/>
        </w:rPr>
        <w:t xml:space="preserve">neither the ICCPR nor the Second Optional Protocol prohibit </w:t>
      </w:r>
      <w:r>
        <w:rPr>
          <w:color w:val="auto"/>
          <w:sz w:val="24"/>
          <w:szCs w:val="24"/>
        </w:rPr>
        <w:t xml:space="preserve">legislative efforts to conduct stakeholder human rights dialogues with constituents in </w:t>
      </w:r>
      <w:r w:rsidR="00545945">
        <w:rPr>
          <w:color w:val="auto"/>
          <w:sz w:val="24"/>
          <w:szCs w:val="24"/>
        </w:rPr>
        <w:t xml:space="preserve">Congress </w:t>
      </w:r>
      <w:r>
        <w:rPr>
          <w:color w:val="auto"/>
          <w:sz w:val="24"/>
          <w:szCs w:val="24"/>
        </w:rPr>
        <w:t>or the civic space regarding the death penalty.</w:t>
      </w:r>
      <w:r>
        <w:rPr>
          <w:rStyle w:val="FootnoteReference"/>
          <w:color w:val="auto"/>
          <w:sz w:val="24"/>
          <w:szCs w:val="24"/>
        </w:rPr>
        <w:footnoteReference w:id="11"/>
      </w:r>
      <w:r>
        <w:rPr>
          <w:color w:val="auto"/>
          <w:sz w:val="24"/>
          <w:szCs w:val="24"/>
        </w:rPr>
        <w:t xml:space="preserve"> The Philippines also stated that it respects the </w:t>
      </w:r>
      <w:r w:rsidR="00B66DAB">
        <w:rPr>
          <w:color w:val="auto"/>
          <w:sz w:val="24"/>
          <w:szCs w:val="24"/>
        </w:rPr>
        <w:t xml:space="preserve">legislative </w:t>
      </w:r>
      <w:r>
        <w:rPr>
          <w:color w:val="auto"/>
          <w:sz w:val="24"/>
          <w:szCs w:val="24"/>
        </w:rPr>
        <w:t xml:space="preserve">independence of </w:t>
      </w:r>
      <w:r w:rsidR="00B66DAB">
        <w:rPr>
          <w:color w:val="auto"/>
          <w:sz w:val="24"/>
          <w:szCs w:val="24"/>
        </w:rPr>
        <w:t xml:space="preserve">Congress </w:t>
      </w:r>
      <w:r>
        <w:rPr>
          <w:color w:val="auto"/>
          <w:sz w:val="24"/>
          <w:szCs w:val="24"/>
        </w:rPr>
        <w:t>as a “co-equal branch of government.”</w:t>
      </w:r>
      <w:r>
        <w:rPr>
          <w:rStyle w:val="FootnoteReference"/>
          <w:color w:val="auto"/>
          <w:sz w:val="24"/>
          <w:szCs w:val="24"/>
        </w:rPr>
        <w:footnoteReference w:id="12"/>
      </w:r>
      <w:r>
        <w:rPr>
          <w:color w:val="auto"/>
          <w:sz w:val="24"/>
          <w:szCs w:val="24"/>
        </w:rPr>
        <w:t xml:space="preserve"> The State Party did not directly address reports that there are legislative efforts to reinstate the death penalty. </w:t>
      </w:r>
    </w:p>
    <w:p w14:paraId="1A7AB30F" w14:textId="7441DEF9" w:rsidR="000237EC" w:rsidRPr="000237EC" w:rsidRDefault="003745E4" w:rsidP="0007701E">
      <w:pPr>
        <w:numPr>
          <w:ilvl w:val="0"/>
          <w:numId w:val="7"/>
        </w:numPr>
        <w:spacing w:after="120"/>
        <w:ind w:left="360"/>
        <w:jc w:val="both"/>
        <w:rPr>
          <w:color w:val="auto"/>
          <w:sz w:val="24"/>
          <w:szCs w:val="24"/>
        </w:rPr>
      </w:pPr>
      <w:r>
        <w:rPr>
          <w:color w:val="auto"/>
          <w:sz w:val="24"/>
          <w:szCs w:val="24"/>
        </w:rPr>
        <w:t>Despite the Philippines</w:t>
      </w:r>
      <w:r w:rsidR="00AD3AE4">
        <w:rPr>
          <w:color w:val="auto"/>
          <w:sz w:val="24"/>
          <w:szCs w:val="24"/>
        </w:rPr>
        <w:t>’</w:t>
      </w:r>
      <w:r>
        <w:rPr>
          <w:color w:val="auto"/>
          <w:sz w:val="24"/>
          <w:szCs w:val="24"/>
        </w:rPr>
        <w:t xml:space="preserve"> assertion that it is a leader in the abolition of the death penalty in South</w:t>
      </w:r>
      <w:r w:rsidR="00556757">
        <w:rPr>
          <w:color w:val="auto"/>
          <w:sz w:val="24"/>
          <w:szCs w:val="24"/>
        </w:rPr>
        <w:t>e</w:t>
      </w:r>
      <w:r>
        <w:rPr>
          <w:color w:val="auto"/>
          <w:sz w:val="24"/>
          <w:szCs w:val="24"/>
        </w:rPr>
        <w:t xml:space="preserve">ast Asia, recent </w:t>
      </w:r>
      <w:r w:rsidR="004224FF">
        <w:rPr>
          <w:color w:val="auto"/>
          <w:sz w:val="24"/>
          <w:szCs w:val="24"/>
        </w:rPr>
        <w:t>legislative efforts undermine that leadership</w:t>
      </w:r>
      <w:r w:rsidR="00D3749A">
        <w:rPr>
          <w:color w:val="auto"/>
          <w:sz w:val="24"/>
          <w:szCs w:val="24"/>
        </w:rPr>
        <w:t xml:space="preserve">. Philippine House Bill No. 7814 was introduced as part of the 2002 Dangerous Drugs Act but was just recently adopted </w:t>
      </w:r>
      <w:r w:rsidR="00322E0C">
        <w:rPr>
          <w:color w:val="auto"/>
          <w:sz w:val="24"/>
          <w:szCs w:val="24"/>
        </w:rPr>
        <w:t xml:space="preserve">by the House of Representatives </w:t>
      </w:r>
      <w:r w:rsidR="00D3749A">
        <w:rPr>
          <w:color w:val="auto"/>
          <w:sz w:val="24"/>
          <w:szCs w:val="24"/>
        </w:rPr>
        <w:t>in March 2021.</w:t>
      </w:r>
      <w:r w:rsidR="00D3749A">
        <w:rPr>
          <w:rStyle w:val="FootnoteReference"/>
          <w:color w:val="auto"/>
          <w:sz w:val="24"/>
          <w:szCs w:val="24"/>
        </w:rPr>
        <w:footnoteReference w:id="13"/>
      </w:r>
      <w:r w:rsidR="00D3749A">
        <w:rPr>
          <w:color w:val="auto"/>
          <w:sz w:val="24"/>
          <w:szCs w:val="24"/>
        </w:rPr>
        <w:t xml:space="preserve"> This bill provides a mandatory death </w:t>
      </w:r>
      <w:r w:rsidR="00356DAB">
        <w:rPr>
          <w:color w:val="auto"/>
          <w:sz w:val="24"/>
          <w:szCs w:val="24"/>
        </w:rPr>
        <w:t>sentence</w:t>
      </w:r>
      <w:r w:rsidR="00D3749A">
        <w:rPr>
          <w:color w:val="auto"/>
          <w:sz w:val="24"/>
          <w:szCs w:val="24"/>
        </w:rPr>
        <w:t xml:space="preserve"> for </w:t>
      </w:r>
      <w:r w:rsidR="00356DAB">
        <w:rPr>
          <w:color w:val="auto"/>
          <w:sz w:val="24"/>
          <w:szCs w:val="24"/>
        </w:rPr>
        <w:t>the</w:t>
      </w:r>
      <w:r w:rsidR="00D3749A">
        <w:rPr>
          <w:color w:val="auto"/>
          <w:sz w:val="24"/>
          <w:szCs w:val="24"/>
        </w:rPr>
        <w:t xml:space="preserve"> new crime </w:t>
      </w:r>
      <w:r w:rsidR="00356DAB">
        <w:rPr>
          <w:color w:val="auto"/>
          <w:sz w:val="24"/>
          <w:szCs w:val="24"/>
        </w:rPr>
        <w:t>of</w:t>
      </w:r>
      <w:r w:rsidR="00D3749A">
        <w:rPr>
          <w:color w:val="auto"/>
          <w:sz w:val="24"/>
          <w:szCs w:val="24"/>
        </w:rPr>
        <w:t xml:space="preserve"> us</w:t>
      </w:r>
      <w:r w:rsidR="00356DAB">
        <w:rPr>
          <w:color w:val="auto"/>
          <w:sz w:val="24"/>
          <w:szCs w:val="24"/>
        </w:rPr>
        <w:t>ing</w:t>
      </w:r>
      <w:r w:rsidR="00D3749A">
        <w:rPr>
          <w:color w:val="auto"/>
          <w:sz w:val="24"/>
          <w:szCs w:val="24"/>
        </w:rPr>
        <w:t xml:space="preserve"> or implement</w:t>
      </w:r>
      <w:r w:rsidR="00356DAB">
        <w:rPr>
          <w:color w:val="auto"/>
          <w:sz w:val="24"/>
          <w:szCs w:val="24"/>
        </w:rPr>
        <w:t>ing</w:t>
      </w:r>
      <w:r w:rsidR="00D3749A">
        <w:rPr>
          <w:color w:val="auto"/>
          <w:sz w:val="24"/>
          <w:szCs w:val="24"/>
        </w:rPr>
        <w:t xml:space="preserve"> a search warrant based on perjurious or falsified documents or planted evidence.</w:t>
      </w:r>
      <w:r w:rsidR="00D3749A">
        <w:rPr>
          <w:rStyle w:val="FootnoteReference"/>
          <w:color w:val="auto"/>
          <w:sz w:val="24"/>
          <w:szCs w:val="24"/>
        </w:rPr>
        <w:footnoteReference w:id="14"/>
      </w:r>
      <w:r w:rsidR="000237EC">
        <w:rPr>
          <w:color w:val="auto"/>
          <w:sz w:val="24"/>
          <w:szCs w:val="24"/>
        </w:rPr>
        <w:t xml:space="preserve"> Although this new crime seeks to curb police overreach and misconduct, it also re-introduces the death penalty into the Philippines</w:t>
      </w:r>
      <w:r w:rsidR="00356DAB">
        <w:rPr>
          <w:color w:val="auto"/>
          <w:sz w:val="24"/>
          <w:szCs w:val="24"/>
        </w:rPr>
        <w:t>’</w:t>
      </w:r>
      <w:r w:rsidR="000237EC">
        <w:rPr>
          <w:color w:val="auto"/>
          <w:sz w:val="24"/>
          <w:szCs w:val="24"/>
        </w:rPr>
        <w:t xml:space="preserve"> domestic legislative framework. </w:t>
      </w:r>
      <w:r w:rsidR="00322E0C">
        <w:rPr>
          <w:color w:val="auto"/>
          <w:sz w:val="24"/>
          <w:szCs w:val="24"/>
        </w:rPr>
        <w:t xml:space="preserve">While the Senate has not yet </w:t>
      </w:r>
      <w:r w:rsidR="00A70D36">
        <w:rPr>
          <w:color w:val="auto"/>
          <w:sz w:val="24"/>
          <w:szCs w:val="24"/>
        </w:rPr>
        <w:t xml:space="preserve">approved </w:t>
      </w:r>
      <w:r w:rsidR="00322E0C">
        <w:rPr>
          <w:color w:val="auto"/>
          <w:sz w:val="24"/>
          <w:szCs w:val="24"/>
        </w:rPr>
        <w:t xml:space="preserve">this bill, it </w:t>
      </w:r>
      <w:r w:rsidR="001E6F15">
        <w:rPr>
          <w:color w:val="auto"/>
          <w:sz w:val="24"/>
          <w:szCs w:val="24"/>
        </w:rPr>
        <w:t xml:space="preserve">could </w:t>
      </w:r>
      <w:r w:rsidR="00322E0C">
        <w:rPr>
          <w:color w:val="auto"/>
          <w:sz w:val="24"/>
          <w:szCs w:val="24"/>
        </w:rPr>
        <w:t xml:space="preserve">go into effect </w:t>
      </w:r>
      <w:proofErr w:type="gramStart"/>
      <w:r w:rsidR="00322E0C">
        <w:rPr>
          <w:color w:val="auto"/>
          <w:sz w:val="24"/>
          <w:szCs w:val="24"/>
        </w:rPr>
        <w:t>in the near future</w:t>
      </w:r>
      <w:proofErr w:type="gramEnd"/>
      <w:r w:rsidR="00D51EE7">
        <w:rPr>
          <w:color w:val="auto"/>
          <w:sz w:val="24"/>
          <w:szCs w:val="24"/>
        </w:rPr>
        <w:t xml:space="preserve">, especially given that President Marcos Jr. has not firmly opposed it. </w:t>
      </w:r>
    </w:p>
    <w:p w14:paraId="45771436" w14:textId="75EA090F" w:rsidR="0051494C" w:rsidRDefault="00C639D9" w:rsidP="0007701E">
      <w:pPr>
        <w:numPr>
          <w:ilvl w:val="0"/>
          <w:numId w:val="7"/>
        </w:numPr>
        <w:spacing w:after="120"/>
        <w:ind w:left="360"/>
        <w:jc w:val="both"/>
        <w:rPr>
          <w:color w:val="auto"/>
          <w:sz w:val="24"/>
          <w:szCs w:val="24"/>
        </w:rPr>
      </w:pPr>
      <w:r>
        <w:rPr>
          <w:color w:val="auto"/>
          <w:sz w:val="24"/>
          <w:szCs w:val="24"/>
        </w:rPr>
        <w:t xml:space="preserve">As recently as June 2022, anti-crime groups in the Philippines </w:t>
      </w:r>
      <w:r w:rsidR="00E43DDB">
        <w:rPr>
          <w:color w:val="auto"/>
          <w:sz w:val="24"/>
          <w:szCs w:val="24"/>
        </w:rPr>
        <w:t xml:space="preserve">have expressed support for </w:t>
      </w:r>
      <w:r>
        <w:rPr>
          <w:color w:val="auto"/>
          <w:sz w:val="24"/>
          <w:szCs w:val="24"/>
        </w:rPr>
        <w:t>the reinstatement of the death penalty.</w:t>
      </w:r>
      <w:r>
        <w:rPr>
          <w:rStyle w:val="FootnoteReference"/>
          <w:color w:val="auto"/>
          <w:sz w:val="24"/>
          <w:szCs w:val="24"/>
        </w:rPr>
        <w:footnoteReference w:id="15"/>
      </w:r>
      <w:r>
        <w:rPr>
          <w:color w:val="auto"/>
          <w:sz w:val="24"/>
          <w:szCs w:val="24"/>
        </w:rPr>
        <w:t xml:space="preserve"> The Anti-Illegal Drugs Campaign and the Anti-Crime Council have stated that they would collaborate to push President Marcos Jr. to reinstate the death penalty.</w:t>
      </w:r>
      <w:r>
        <w:rPr>
          <w:rStyle w:val="FootnoteReference"/>
          <w:color w:val="auto"/>
          <w:sz w:val="24"/>
          <w:szCs w:val="24"/>
        </w:rPr>
        <w:footnoteReference w:id="16"/>
      </w:r>
      <w:r>
        <w:rPr>
          <w:color w:val="auto"/>
          <w:sz w:val="24"/>
          <w:szCs w:val="24"/>
        </w:rPr>
        <w:t xml:space="preserve"> </w:t>
      </w:r>
    </w:p>
    <w:p w14:paraId="4424EB78" w14:textId="2295EBA7" w:rsidR="00C639D9" w:rsidRDefault="00C639D9" w:rsidP="0007701E">
      <w:pPr>
        <w:numPr>
          <w:ilvl w:val="0"/>
          <w:numId w:val="7"/>
        </w:numPr>
        <w:spacing w:after="120"/>
        <w:ind w:left="360"/>
        <w:jc w:val="both"/>
        <w:rPr>
          <w:color w:val="auto"/>
          <w:sz w:val="24"/>
          <w:szCs w:val="24"/>
        </w:rPr>
      </w:pPr>
      <w:r>
        <w:rPr>
          <w:color w:val="auto"/>
          <w:sz w:val="24"/>
          <w:szCs w:val="24"/>
        </w:rPr>
        <w:lastRenderedPageBreak/>
        <w:t>Public support for the death penalty is also strong.</w:t>
      </w:r>
      <w:r>
        <w:rPr>
          <w:rStyle w:val="FootnoteReference"/>
          <w:color w:val="auto"/>
          <w:sz w:val="24"/>
          <w:szCs w:val="24"/>
        </w:rPr>
        <w:footnoteReference w:id="17"/>
      </w:r>
      <w:r>
        <w:rPr>
          <w:color w:val="auto"/>
          <w:sz w:val="24"/>
          <w:szCs w:val="24"/>
        </w:rPr>
        <w:t xml:space="preserve"> Recent surveys show that 54</w:t>
      </w:r>
      <w:r w:rsidR="008D3B6A">
        <w:rPr>
          <w:color w:val="auto"/>
          <w:sz w:val="24"/>
          <w:szCs w:val="24"/>
        </w:rPr>
        <w:t>%</w:t>
      </w:r>
      <w:r>
        <w:rPr>
          <w:color w:val="auto"/>
          <w:sz w:val="24"/>
          <w:szCs w:val="24"/>
        </w:rPr>
        <w:t xml:space="preserve"> of Filipinos support reinstating the death penalty to address </w:t>
      </w:r>
      <w:r w:rsidR="00F22375">
        <w:rPr>
          <w:color w:val="auto"/>
          <w:sz w:val="24"/>
          <w:szCs w:val="24"/>
        </w:rPr>
        <w:t xml:space="preserve">the </w:t>
      </w:r>
      <w:r w:rsidR="008D3B6A">
        <w:rPr>
          <w:color w:val="auto"/>
          <w:sz w:val="24"/>
          <w:szCs w:val="24"/>
        </w:rPr>
        <w:t xml:space="preserve">perceived </w:t>
      </w:r>
      <w:r>
        <w:rPr>
          <w:color w:val="auto"/>
          <w:sz w:val="24"/>
          <w:szCs w:val="24"/>
        </w:rPr>
        <w:t>recent increase in heinous crimes.</w:t>
      </w:r>
      <w:r>
        <w:rPr>
          <w:rStyle w:val="FootnoteReference"/>
          <w:color w:val="auto"/>
          <w:sz w:val="24"/>
          <w:szCs w:val="24"/>
        </w:rPr>
        <w:footnoteReference w:id="18"/>
      </w:r>
      <w:r w:rsidR="00A20AF6">
        <w:rPr>
          <w:color w:val="auto"/>
          <w:sz w:val="24"/>
          <w:szCs w:val="24"/>
        </w:rPr>
        <w:t xml:space="preserve"> </w:t>
      </w:r>
    </w:p>
    <w:p w14:paraId="2998BC07" w14:textId="10352400" w:rsidR="00C868A7" w:rsidRDefault="00C868A7" w:rsidP="0007701E">
      <w:pPr>
        <w:numPr>
          <w:ilvl w:val="0"/>
          <w:numId w:val="7"/>
        </w:numPr>
        <w:spacing w:after="120"/>
        <w:ind w:left="360"/>
        <w:jc w:val="both"/>
        <w:rPr>
          <w:color w:val="auto"/>
          <w:sz w:val="24"/>
          <w:szCs w:val="24"/>
        </w:rPr>
      </w:pPr>
      <w:r>
        <w:rPr>
          <w:color w:val="auto"/>
          <w:sz w:val="24"/>
          <w:szCs w:val="24"/>
        </w:rPr>
        <w:t xml:space="preserve">In addition to legislative support for the death penalty, the Philippines </w:t>
      </w:r>
      <w:r w:rsidR="00D15BF0">
        <w:rPr>
          <w:color w:val="auto"/>
          <w:sz w:val="24"/>
          <w:szCs w:val="24"/>
        </w:rPr>
        <w:t xml:space="preserve">has recently </w:t>
      </w:r>
      <w:r>
        <w:rPr>
          <w:color w:val="auto"/>
          <w:sz w:val="24"/>
          <w:szCs w:val="24"/>
        </w:rPr>
        <w:t xml:space="preserve">infringed </w:t>
      </w:r>
      <w:r w:rsidR="00256707">
        <w:rPr>
          <w:color w:val="auto"/>
          <w:sz w:val="24"/>
          <w:szCs w:val="24"/>
        </w:rPr>
        <w:t>up</w:t>
      </w:r>
      <w:r>
        <w:rPr>
          <w:color w:val="auto"/>
          <w:sz w:val="24"/>
          <w:szCs w:val="24"/>
        </w:rPr>
        <w:t xml:space="preserve">on civil and political rights and </w:t>
      </w:r>
      <w:r w:rsidR="00FB4B66">
        <w:rPr>
          <w:color w:val="auto"/>
          <w:sz w:val="24"/>
          <w:szCs w:val="24"/>
        </w:rPr>
        <w:t xml:space="preserve">openly </w:t>
      </w:r>
      <w:r>
        <w:rPr>
          <w:color w:val="auto"/>
          <w:sz w:val="24"/>
          <w:szCs w:val="24"/>
        </w:rPr>
        <w:t>disregarded the right to life. In an event referred to as “Bloody Sunday,” Filipino security forces killed nine human rights activists and arrested six in Laguna, Rizal, and Batangas Provinces in March 2022.</w:t>
      </w:r>
      <w:r w:rsidR="00A70D36">
        <w:rPr>
          <w:rStyle w:val="FootnoteReference"/>
          <w:color w:val="auto"/>
          <w:sz w:val="24"/>
          <w:szCs w:val="24"/>
        </w:rPr>
        <w:footnoteReference w:id="19"/>
      </w:r>
      <w:r>
        <w:rPr>
          <w:color w:val="auto"/>
          <w:sz w:val="24"/>
          <w:szCs w:val="24"/>
        </w:rPr>
        <w:t xml:space="preserve"> </w:t>
      </w:r>
      <w:r w:rsidR="00544840">
        <w:rPr>
          <w:color w:val="auto"/>
          <w:sz w:val="24"/>
          <w:szCs w:val="24"/>
        </w:rPr>
        <w:t xml:space="preserve">Although </w:t>
      </w:r>
      <w:r>
        <w:rPr>
          <w:color w:val="auto"/>
          <w:sz w:val="24"/>
          <w:szCs w:val="24"/>
        </w:rPr>
        <w:t>the Justice Secretary public</w:t>
      </w:r>
      <w:r w:rsidR="00544840">
        <w:rPr>
          <w:color w:val="auto"/>
          <w:sz w:val="24"/>
          <w:szCs w:val="24"/>
        </w:rPr>
        <w:t>ly stated</w:t>
      </w:r>
      <w:r>
        <w:rPr>
          <w:color w:val="auto"/>
          <w:sz w:val="24"/>
          <w:szCs w:val="24"/>
        </w:rPr>
        <w:t xml:space="preserve"> that the </w:t>
      </w:r>
      <w:r w:rsidR="00256707">
        <w:rPr>
          <w:color w:val="auto"/>
          <w:sz w:val="24"/>
          <w:szCs w:val="24"/>
        </w:rPr>
        <w:t>g</w:t>
      </w:r>
      <w:r>
        <w:rPr>
          <w:color w:val="auto"/>
          <w:sz w:val="24"/>
          <w:szCs w:val="24"/>
        </w:rPr>
        <w:t xml:space="preserve">overnment’s Inter-Agency Committee on Extra-Legal Killings, Enforced Disappearances, Torture, and Other Grave Violations to the Right to Life, Liberty, and Security of Persons </w:t>
      </w:r>
      <w:r w:rsidR="00544840">
        <w:rPr>
          <w:color w:val="auto"/>
          <w:sz w:val="24"/>
          <w:szCs w:val="24"/>
        </w:rPr>
        <w:t xml:space="preserve">(the Committee) </w:t>
      </w:r>
      <w:r>
        <w:rPr>
          <w:color w:val="auto"/>
          <w:sz w:val="24"/>
          <w:szCs w:val="24"/>
        </w:rPr>
        <w:t xml:space="preserve">would thoroughly investigate “Bloody Sunday,” </w:t>
      </w:r>
      <w:r w:rsidR="00D15BF0">
        <w:rPr>
          <w:color w:val="auto"/>
          <w:sz w:val="24"/>
          <w:szCs w:val="24"/>
        </w:rPr>
        <w:t xml:space="preserve">as of September 2022, </w:t>
      </w:r>
      <w:r w:rsidR="00544840">
        <w:rPr>
          <w:color w:val="auto"/>
          <w:sz w:val="24"/>
          <w:szCs w:val="24"/>
        </w:rPr>
        <w:t xml:space="preserve">the Committee has not made progress </w:t>
      </w:r>
      <w:r>
        <w:rPr>
          <w:color w:val="auto"/>
          <w:sz w:val="24"/>
          <w:szCs w:val="24"/>
        </w:rPr>
        <w:t>on the investigation.</w:t>
      </w:r>
      <w:r>
        <w:rPr>
          <w:rStyle w:val="FootnoteReference"/>
          <w:color w:val="auto"/>
          <w:sz w:val="24"/>
          <w:szCs w:val="24"/>
        </w:rPr>
        <w:footnoteReference w:id="20"/>
      </w:r>
      <w:r>
        <w:rPr>
          <w:color w:val="auto"/>
          <w:sz w:val="24"/>
          <w:szCs w:val="24"/>
        </w:rPr>
        <w:t xml:space="preserve"> </w:t>
      </w:r>
    </w:p>
    <w:p w14:paraId="34072BD5" w14:textId="11D27BB7" w:rsidR="00A20AF6" w:rsidRDefault="00A70D36" w:rsidP="0007701E">
      <w:pPr>
        <w:numPr>
          <w:ilvl w:val="0"/>
          <w:numId w:val="7"/>
        </w:numPr>
        <w:spacing w:after="120"/>
        <w:ind w:left="360"/>
        <w:jc w:val="both"/>
        <w:rPr>
          <w:color w:val="auto"/>
          <w:sz w:val="24"/>
          <w:szCs w:val="24"/>
        </w:rPr>
      </w:pPr>
      <w:r>
        <w:rPr>
          <w:color w:val="auto"/>
          <w:sz w:val="24"/>
          <w:szCs w:val="24"/>
        </w:rPr>
        <w:t>The Philippines’</w:t>
      </w:r>
      <w:r w:rsidR="00A20AF6">
        <w:rPr>
          <w:color w:val="auto"/>
          <w:sz w:val="24"/>
          <w:szCs w:val="24"/>
        </w:rPr>
        <w:t xml:space="preserve"> </w:t>
      </w:r>
      <w:r>
        <w:rPr>
          <w:color w:val="auto"/>
          <w:sz w:val="24"/>
          <w:szCs w:val="24"/>
        </w:rPr>
        <w:t xml:space="preserve">failure to address the previous </w:t>
      </w:r>
      <w:r w:rsidR="009D1E26">
        <w:rPr>
          <w:color w:val="auto"/>
          <w:sz w:val="24"/>
          <w:szCs w:val="24"/>
        </w:rPr>
        <w:t xml:space="preserve">the </w:t>
      </w:r>
      <w:r>
        <w:rPr>
          <w:color w:val="auto"/>
          <w:sz w:val="24"/>
          <w:szCs w:val="24"/>
        </w:rPr>
        <w:t xml:space="preserve">administration’s extrajudicial killings and targeting of activists </w:t>
      </w:r>
      <w:r w:rsidR="000F48A0">
        <w:rPr>
          <w:color w:val="auto"/>
          <w:sz w:val="24"/>
          <w:szCs w:val="24"/>
        </w:rPr>
        <w:t>undermines</w:t>
      </w:r>
      <w:r>
        <w:rPr>
          <w:color w:val="auto"/>
          <w:sz w:val="24"/>
          <w:szCs w:val="24"/>
        </w:rPr>
        <w:t xml:space="preserve"> its </w:t>
      </w:r>
      <w:r w:rsidR="000F48A0">
        <w:rPr>
          <w:color w:val="auto"/>
          <w:sz w:val="24"/>
          <w:szCs w:val="24"/>
        </w:rPr>
        <w:t>commitment</w:t>
      </w:r>
      <w:r>
        <w:rPr>
          <w:color w:val="auto"/>
          <w:sz w:val="24"/>
          <w:szCs w:val="24"/>
        </w:rPr>
        <w:t xml:space="preserve"> </w:t>
      </w:r>
      <w:r w:rsidR="000F48A0">
        <w:rPr>
          <w:color w:val="auto"/>
          <w:sz w:val="24"/>
          <w:szCs w:val="24"/>
        </w:rPr>
        <w:t>to c</w:t>
      </w:r>
      <w:r>
        <w:rPr>
          <w:color w:val="auto"/>
          <w:sz w:val="24"/>
          <w:szCs w:val="24"/>
        </w:rPr>
        <w:t xml:space="preserve">ivil and political rights. </w:t>
      </w:r>
      <w:r w:rsidR="00765AA5">
        <w:rPr>
          <w:color w:val="auto"/>
          <w:sz w:val="24"/>
          <w:szCs w:val="24"/>
        </w:rPr>
        <w:t>Allowing the death penalty to be reinstated would exacerbate</w:t>
      </w:r>
      <w:r w:rsidR="009D1E26">
        <w:rPr>
          <w:color w:val="auto"/>
          <w:sz w:val="24"/>
          <w:szCs w:val="24"/>
        </w:rPr>
        <w:t xml:space="preserve"> the Philippines’ non-compliance with international human rights standards. The </w:t>
      </w:r>
      <w:r w:rsidR="00256707">
        <w:rPr>
          <w:color w:val="auto"/>
          <w:sz w:val="24"/>
          <w:szCs w:val="24"/>
        </w:rPr>
        <w:t>re</w:t>
      </w:r>
      <w:r w:rsidR="009D1E26">
        <w:rPr>
          <w:color w:val="auto"/>
          <w:sz w:val="24"/>
          <w:szCs w:val="24"/>
        </w:rPr>
        <w:t xml:space="preserve">imposition of the death penalty would contravene </w:t>
      </w:r>
      <w:r w:rsidR="00FB4B66">
        <w:rPr>
          <w:color w:val="auto"/>
          <w:sz w:val="24"/>
          <w:szCs w:val="24"/>
        </w:rPr>
        <w:t xml:space="preserve">the Second Optional Protocol as well as </w:t>
      </w:r>
      <w:r w:rsidR="009D1E26">
        <w:rPr>
          <w:color w:val="auto"/>
          <w:sz w:val="24"/>
          <w:szCs w:val="24"/>
        </w:rPr>
        <w:t>Article 6 of the ICCPR.</w:t>
      </w:r>
      <w:r w:rsidR="000F48A0">
        <w:rPr>
          <w:rStyle w:val="FootnoteReference"/>
          <w:color w:val="auto"/>
          <w:sz w:val="24"/>
          <w:szCs w:val="24"/>
        </w:rPr>
        <w:footnoteReference w:id="21"/>
      </w:r>
      <w:r w:rsidR="009D1E26">
        <w:rPr>
          <w:color w:val="auto"/>
          <w:sz w:val="24"/>
          <w:szCs w:val="24"/>
        </w:rPr>
        <w:t xml:space="preserve"> </w:t>
      </w:r>
    </w:p>
    <w:p w14:paraId="53F06C3E" w14:textId="4E5CEF13" w:rsidR="004B1E4E" w:rsidRPr="004B1E4E" w:rsidRDefault="004B4077" w:rsidP="0007701E">
      <w:pPr>
        <w:keepNext/>
        <w:numPr>
          <w:ilvl w:val="0"/>
          <w:numId w:val="8"/>
        </w:numPr>
        <w:spacing w:before="240" w:after="240"/>
        <w:ind w:left="720" w:hanging="360"/>
        <w:rPr>
          <w:b/>
          <w:color w:val="auto"/>
          <w:sz w:val="24"/>
          <w:szCs w:val="24"/>
        </w:rPr>
      </w:pPr>
      <w:r>
        <w:rPr>
          <w:b/>
          <w:color w:val="auto"/>
          <w:sz w:val="24"/>
          <w:szCs w:val="24"/>
        </w:rPr>
        <w:t xml:space="preserve">Prohibition of torture or cruel, inhuman, or degrading treatment </w:t>
      </w:r>
      <w:r w:rsidR="00C3380C">
        <w:rPr>
          <w:b/>
          <w:color w:val="auto"/>
          <w:sz w:val="24"/>
          <w:szCs w:val="24"/>
        </w:rPr>
        <w:t>(List of Issues, paragraph 13)</w:t>
      </w:r>
    </w:p>
    <w:p w14:paraId="497559EB" w14:textId="40FDA81F" w:rsidR="00085935" w:rsidRDefault="00302E25" w:rsidP="0007701E">
      <w:pPr>
        <w:numPr>
          <w:ilvl w:val="0"/>
          <w:numId w:val="7"/>
        </w:numPr>
        <w:spacing w:after="120"/>
        <w:ind w:left="360"/>
        <w:jc w:val="both"/>
        <w:rPr>
          <w:color w:val="auto"/>
          <w:sz w:val="24"/>
          <w:szCs w:val="24"/>
        </w:rPr>
      </w:pPr>
      <w:r>
        <w:rPr>
          <w:color w:val="auto"/>
          <w:sz w:val="24"/>
          <w:szCs w:val="24"/>
        </w:rPr>
        <w:t>In its 2020 List of Issues, the Committee asked the Philippines to discuss its efforts to uphold the prohibition of torture and other cruel, inhuman, or degrading treatment or punishment.</w:t>
      </w:r>
      <w:r w:rsidR="00D024A7">
        <w:rPr>
          <w:rStyle w:val="FootnoteReference"/>
          <w:color w:val="auto"/>
          <w:sz w:val="24"/>
          <w:szCs w:val="24"/>
        </w:rPr>
        <w:footnoteReference w:id="22"/>
      </w:r>
      <w:r>
        <w:rPr>
          <w:color w:val="auto"/>
          <w:sz w:val="24"/>
          <w:szCs w:val="24"/>
        </w:rPr>
        <w:t xml:space="preserve"> More specifically, the Committee asked for information about alleged reports of widespread torture and inhuman or degrading treatment used to extract confessions from detainees.</w:t>
      </w:r>
      <w:r w:rsidR="00D024A7">
        <w:rPr>
          <w:rStyle w:val="FootnoteReference"/>
          <w:color w:val="auto"/>
          <w:sz w:val="24"/>
          <w:szCs w:val="24"/>
        </w:rPr>
        <w:footnoteReference w:id="23"/>
      </w:r>
      <w:r>
        <w:rPr>
          <w:color w:val="auto"/>
          <w:sz w:val="24"/>
          <w:szCs w:val="24"/>
        </w:rPr>
        <w:t xml:space="preserve"> The Committee also asked about steps taken to prevent these practices, and the number of investigations, prosecutions, and convictions under the Anti-Torture Act and other relevant legislation, as well as the punishments handed down to perpetrators and the compensation available to victims.</w:t>
      </w:r>
      <w:r w:rsidR="00D024A7">
        <w:rPr>
          <w:rStyle w:val="FootnoteReference"/>
          <w:color w:val="auto"/>
          <w:sz w:val="24"/>
          <w:szCs w:val="24"/>
        </w:rPr>
        <w:footnoteReference w:id="24"/>
      </w:r>
      <w:r>
        <w:rPr>
          <w:color w:val="auto"/>
          <w:sz w:val="24"/>
          <w:szCs w:val="24"/>
        </w:rPr>
        <w:t xml:space="preserve"> </w:t>
      </w:r>
    </w:p>
    <w:p w14:paraId="63E50AEE" w14:textId="2D3918E9" w:rsidR="00560B11" w:rsidRDefault="00560B11" w:rsidP="0007701E">
      <w:pPr>
        <w:numPr>
          <w:ilvl w:val="0"/>
          <w:numId w:val="7"/>
        </w:numPr>
        <w:spacing w:after="120"/>
        <w:ind w:left="360"/>
        <w:jc w:val="both"/>
        <w:rPr>
          <w:color w:val="auto"/>
          <w:sz w:val="24"/>
          <w:szCs w:val="24"/>
        </w:rPr>
      </w:pPr>
      <w:r>
        <w:rPr>
          <w:color w:val="auto"/>
          <w:sz w:val="24"/>
          <w:szCs w:val="24"/>
        </w:rPr>
        <w:t xml:space="preserve">In its 2022 </w:t>
      </w:r>
      <w:r w:rsidR="00FD1E60">
        <w:rPr>
          <w:color w:val="auto"/>
          <w:sz w:val="24"/>
          <w:szCs w:val="24"/>
        </w:rPr>
        <w:t>R</w:t>
      </w:r>
      <w:r>
        <w:rPr>
          <w:color w:val="auto"/>
          <w:sz w:val="24"/>
          <w:szCs w:val="24"/>
        </w:rPr>
        <w:t xml:space="preserve">eply to the List of Issues, the Philippines stated that its Bureau of Jail Management and Penology (BJMP) assesses the effectiveness of trainings and educational programs on </w:t>
      </w:r>
      <w:r>
        <w:rPr>
          <w:color w:val="auto"/>
          <w:sz w:val="24"/>
          <w:szCs w:val="24"/>
        </w:rPr>
        <w:lastRenderedPageBreak/>
        <w:t>preventing torture and ill-treatment.</w:t>
      </w:r>
      <w:r w:rsidR="00D70077">
        <w:rPr>
          <w:rStyle w:val="FootnoteReference"/>
          <w:color w:val="auto"/>
          <w:sz w:val="24"/>
          <w:szCs w:val="24"/>
        </w:rPr>
        <w:footnoteReference w:id="25"/>
      </w:r>
      <w:r>
        <w:rPr>
          <w:color w:val="auto"/>
          <w:sz w:val="24"/>
          <w:szCs w:val="24"/>
        </w:rPr>
        <w:t xml:space="preserve"> The State Party </w:t>
      </w:r>
      <w:r w:rsidR="000268DD">
        <w:rPr>
          <w:color w:val="auto"/>
          <w:sz w:val="24"/>
          <w:szCs w:val="24"/>
        </w:rPr>
        <w:t>said</w:t>
      </w:r>
      <w:r>
        <w:rPr>
          <w:color w:val="auto"/>
          <w:sz w:val="24"/>
          <w:szCs w:val="24"/>
        </w:rPr>
        <w:t xml:space="preserve"> that BJMP reported zero incidents of torture and ill-treatment committed against persons deprived of liberty from 2016 to 2020.</w:t>
      </w:r>
      <w:r w:rsidR="00D70077">
        <w:rPr>
          <w:rStyle w:val="FootnoteReference"/>
          <w:color w:val="auto"/>
          <w:sz w:val="24"/>
          <w:szCs w:val="24"/>
        </w:rPr>
        <w:footnoteReference w:id="26"/>
      </w:r>
      <w:r>
        <w:rPr>
          <w:color w:val="auto"/>
          <w:sz w:val="24"/>
          <w:szCs w:val="24"/>
        </w:rPr>
        <w:t xml:space="preserve"> The Philippines admitted</w:t>
      </w:r>
      <w:r w:rsidR="0012331C">
        <w:rPr>
          <w:color w:val="auto"/>
          <w:sz w:val="24"/>
          <w:szCs w:val="24"/>
        </w:rPr>
        <w:t>, however,</w:t>
      </w:r>
      <w:r>
        <w:rPr>
          <w:color w:val="auto"/>
          <w:sz w:val="24"/>
          <w:szCs w:val="24"/>
        </w:rPr>
        <w:t xml:space="preserve"> that the </w:t>
      </w:r>
      <w:r w:rsidR="0012331C">
        <w:rPr>
          <w:color w:val="auto"/>
          <w:sz w:val="24"/>
          <w:szCs w:val="24"/>
        </w:rPr>
        <w:t>Administrative Order No. 35 Series 2012</w:t>
      </w:r>
      <w:r>
        <w:rPr>
          <w:color w:val="auto"/>
          <w:sz w:val="24"/>
          <w:szCs w:val="24"/>
        </w:rPr>
        <w:t xml:space="preserve"> </w:t>
      </w:r>
      <w:r w:rsidR="0012331C">
        <w:rPr>
          <w:color w:val="auto"/>
          <w:sz w:val="24"/>
          <w:szCs w:val="24"/>
        </w:rPr>
        <w:t>S</w:t>
      </w:r>
      <w:r>
        <w:rPr>
          <w:color w:val="auto"/>
          <w:sz w:val="24"/>
          <w:szCs w:val="24"/>
        </w:rPr>
        <w:t xml:space="preserve">ecretariat </w:t>
      </w:r>
      <w:r w:rsidR="0012331C">
        <w:rPr>
          <w:color w:val="auto"/>
          <w:sz w:val="24"/>
          <w:szCs w:val="24"/>
        </w:rPr>
        <w:t xml:space="preserve">(AO35) </w:t>
      </w:r>
      <w:r>
        <w:rPr>
          <w:color w:val="auto"/>
          <w:sz w:val="24"/>
          <w:szCs w:val="24"/>
        </w:rPr>
        <w:t xml:space="preserve">does not </w:t>
      </w:r>
      <w:r w:rsidR="00BE3AEE">
        <w:rPr>
          <w:color w:val="auto"/>
          <w:sz w:val="24"/>
          <w:szCs w:val="24"/>
        </w:rPr>
        <w:t xml:space="preserve">have </w:t>
      </w:r>
      <w:r w:rsidR="00826C6B">
        <w:rPr>
          <w:color w:val="auto"/>
          <w:sz w:val="24"/>
          <w:szCs w:val="24"/>
        </w:rPr>
        <w:t>dedicate</w:t>
      </w:r>
      <w:r w:rsidR="00BE3AEE">
        <w:rPr>
          <w:color w:val="auto"/>
          <w:sz w:val="24"/>
          <w:szCs w:val="24"/>
        </w:rPr>
        <w:t>d</w:t>
      </w:r>
      <w:r w:rsidR="00826C6B">
        <w:rPr>
          <w:color w:val="auto"/>
          <w:sz w:val="24"/>
          <w:szCs w:val="24"/>
        </w:rPr>
        <w:t xml:space="preserve"> </w:t>
      </w:r>
      <w:r>
        <w:rPr>
          <w:color w:val="auto"/>
          <w:sz w:val="24"/>
          <w:szCs w:val="24"/>
        </w:rPr>
        <w:t>resources to conduct a comprehensive evaluation on</w:t>
      </w:r>
      <w:r w:rsidR="0012331C">
        <w:rPr>
          <w:color w:val="auto"/>
          <w:sz w:val="24"/>
          <w:szCs w:val="24"/>
        </w:rPr>
        <w:t xml:space="preserve"> the</w:t>
      </w:r>
      <w:r>
        <w:rPr>
          <w:color w:val="auto"/>
          <w:sz w:val="24"/>
          <w:szCs w:val="24"/>
        </w:rPr>
        <w:t xml:space="preserve"> matter</w:t>
      </w:r>
      <w:r w:rsidR="0012331C">
        <w:rPr>
          <w:color w:val="auto"/>
          <w:sz w:val="24"/>
          <w:szCs w:val="24"/>
        </w:rPr>
        <w:t xml:space="preserve">. The </w:t>
      </w:r>
      <w:r>
        <w:rPr>
          <w:color w:val="auto"/>
          <w:sz w:val="24"/>
          <w:szCs w:val="24"/>
        </w:rPr>
        <w:t xml:space="preserve">Philippines-United Nations Joint Program on Human Rights </w:t>
      </w:r>
      <w:r w:rsidR="0012331C">
        <w:rPr>
          <w:color w:val="auto"/>
          <w:sz w:val="24"/>
          <w:szCs w:val="24"/>
        </w:rPr>
        <w:t xml:space="preserve">thus </w:t>
      </w:r>
      <w:r>
        <w:rPr>
          <w:color w:val="auto"/>
          <w:sz w:val="24"/>
          <w:szCs w:val="24"/>
        </w:rPr>
        <w:t xml:space="preserve">proposed </w:t>
      </w:r>
      <w:r w:rsidR="00BE3AEE">
        <w:rPr>
          <w:color w:val="auto"/>
          <w:sz w:val="24"/>
          <w:szCs w:val="24"/>
        </w:rPr>
        <w:t xml:space="preserve">that </w:t>
      </w:r>
      <w:r>
        <w:rPr>
          <w:color w:val="auto"/>
          <w:sz w:val="24"/>
          <w:szCs w:val="24"/>
        </w:rPr>
        <w:t>the case mo</w:t>
      </w:r>
      <w:r w:rsidR="002E7201">
        <w:rPr>
          <w:color w:val="auto"/>
          <w:sz w:val="24"/>
          <w:szCs w:val="24"/>
        </w:rPr>
        <w:t>n</w:t>
      </w:r>
      <w:r>
        <w:rPr>
          <w:color w:val="auto"/>
          <w:sz w:val="24"/>
          <w:szCs w:val="24"/>
        </w:rPr>
        <w:t>itoring system of the AO35 secretariat be upgraded to allow for real-time monitoring of cases of torture and ill-treatment.</w:t>
      </w:r>
      <w:r w:rsidR="00D70077">
        <w:rPr>
          <w:rStyle w:val="FootnoteReference"/>
          <w:color w:val="auto"/>
          <w:sz w:val="24"/>
          <w:szCs w:val="24"/>
        </w:rPr>
        <w:footnoteReference w:id="27"/>
      </w:r>
      <w:r>
        <w:rPr>
          <w:color w:val="auto"/>
          <w:sz w:val="24"/>
          <w:szCs w:val="24"/>
        </w:rPr>
        <w:t xml:space="preserve"> </w:t>
      </w:r>
    </w:p>
    <w:p w14:paraId="36076C94" w14:textId="66A48418" w:rsidR="00E114C5" w:rsidRDefault="00560B11" w:rsidP="0007701E">
      <w:pPr>
        <w:numPr>
          <w:ilvl w:val="0"/>
          <w:numId w:val="7"/>
        </w:numPr>
        <w:spacing w:after="120"/>
        <w:ind w:left="360"/>
        <w:jc w:val="both"/>
        <w:rPr>
          <w:color w:val="auto"/>
          <w:sz w:val="24"/>
          <w:szCs w:val="24"/>
        </w:rPr>
      </w:pPr>
      <w:r>
        <w:rPr>
          <w:color w:val="auto"/>
          <w:sz w:val="24"/>
          <w:szCs w:val="24"/>
        </w:rPr>
        <w:t xml:space="preserve">In </w:t>
      </w:r>
      <w:r w:rsidR="000268DD">
        <w:rPr>
          <w:color w:val="auto"/>
          <w:sz w:val="24"/>
          <w:szCs w:val="24"/>
        </w:rPr>
        <w:t>its</w:t>
      </w:r>
      <w:r>
        <w:rPr>
          <w:color w:val="auto"/>
          <w:sz w:val="24"/>
          <w:szCs w:val="24"/>
        </w:rPr>
        <w:t xml:space="preserve"> </w:t>
      </w:r>
      <w:r w:rsidR="00FD1E60">
        <w:rPr>
          <w:color w:val="auto"/>
          <w:sz w:val="24"/>
          <w:szCs w:val="24"/>
        </w:rPr>
        <w:t>R</w:t>
      </w:r>
      <w:r>
        <w:rPr>
          <w:color w:val="auto"/>
          <w:sz w:val="24"/>
          <w:szCs w:val="24"/>
        </w:rPr>
        <w:t>eply to the List of Issues, the Philippines also commented on steps taken to prevent torture and ill-treatment. The State Party said that</w:t>
      </w:r>
      <w:r w:rsidR="00AC507C">
        <w:rPr>
          <w:color w:val="auto"/>
          <w:sz w:val="24"/>
          <w:szCs w:val="24"/>
        </w:rPr>
        <w:t xml:space="preserve"> it has included in law enforcement policies prohibitions on</w:t>
      </w:r>
      <w:r>
        <w:rPr>
          <w:color w:val="auto"/>
          <w:sz w:val="24"/>
          <w:szCs w:val="24"/>
        </w:rPr>
        <w:t xml:space="preserve"> any form of torture or other cruel, inhuman and degrading treatment or punishment</w:t>
      </w:r>
      <w:r w:rsidR="00572B89">
        <w:rPr>
          <w:color w:val="auto"/>
          <w:sz w:val="24"/>
          <w:szCs w:val="24"/>
        </w:rPr>
        <w:t>—</w:t>
      </w:r>
      <w:r>
        <w:rPr>
          <w:color w:val="auto"/>
          <w:sz w:val="24"/>
          <w:szCs w:val="24"/>
        </w:rPr>
        <w:t>including blindfolding.</w:t>
      </w:r>
      <w:r w:rsidR="00D70077">
        <w:rPr>
          <w:rStyle w:val="FootnoteReference"/>
          <w:color w:val="auto"/>
          <w:sz w:val="24"/>
          <w:szCs w:val="24"/>
        </w:rPr>
        <w:footnoteReference w:id="28"/>
      </w:r>
      <w:r>
        <w:rPr>
          <w:color w:val="auto"/>
          <w:sz w:val="24"/>
          <w:szCs w:val="24"/>
        </w:rPr>
        <w:t xml:space="preserve"> The BJMP issued a memorandum creating the BJMP Human Rights Affairs Office</w:t>
      </w:r>
      <w:r w:rsidR="00AC507C">
        <w:rPr>
          <w:color w:val="auto"/>
          <w:sz w:val="24"/>
          <w:szCs w:val="24"/>
        </w:rPr>
        <w:t xml:space="preserve">, </w:t>
      </w:r>
      <w:r w:rsidR="005D7C3D">
        <w:rPr>
          <w:rStyle w:val="FootnoteReference"/>
          <w:color w:val="auto"/>
          <w:sz w:val="24"/>
          <w:szCs w:val="24"/>
        </w:rPr>
        <w:footnoteReference w:id="29"/>
      </w:r>
      <w:r>
        <w:rPr>
          <w:color w:val="auto"/>
          <w:sz w:val="24"/>
          <w:szCs w:val="24"/>
        </w:rPr>
        <w:t xml:space="preserve"> </w:t>
      </w:r>
      <w:r w:rsidR="00AC507C">
        <w:rPr>
          <w:color w:val="auto"/>
          <w:sz w:val="24"/>
          <w:szCs w:val="24"/>
        </w:rPr>
        <w:t>which</w:t>
      </w:r>
      <w:r>
        <w:rPr>
          <w:color w:val="auto"/>
          <w:sz w:val="24"/>
          <w:szCs w:val="24"/>
        </w:rPr>
        <w:t xml:space="preserve"> allows for mandatory reporting of torture cases and a comprehensive scree</w:t>
      </w:r>
      <w:r w:rsidR="005D7C3D">
        <w:rPr>
          <w:color w:val="auto"/>
          <w:sz w:val="24"/>
          <w:szCs w:val="24"/>
        </w:rPr>
        <w:t>n</w:t>
      </w:r>
      <w:r>
        <w:rPr>
          <w:color w:val="auto"/>
          <w:sz w:val="24"/>
          <w:szCs w:val="24"/>
        </w:rPr>
        <w:t xml:space="preserve">ing system to report and </w:t>
      </w:r>
      <w:r w:rsidR="005D7C3D">
        <w:rPr>
          <w:color w:val="auto"/>
          <w:sz w:val="24"/>
          <w:szCs w:val="24"/>
        </w:rPr>
        <w:t>docu</w:t>
      </w:r>
      <w:r>
        <w:rPr>
          <w:color w:val="auto"/>
          <w:sz w:val="24"/>
          <w:szCs w:val="24"/>
        </w:rPr>
        <w:t>ment torture cases in BJMP jails.</w:t>
      </w:r>
      <w:r w:rsidR="005D7C3D">
        <w:rPr>
          <w:rStyle w:val="FootnoteReference"/>
          <w:color w:val="auto"/>
          <w:sz w:val="24"/>
          <w:szCs w:val="24"/>
        </w:rPr>
        <w:footnoteReference w:id="30"/>
      </w:r>
      <w:r>
        <w:rPr>
          <w:color w:val="auto"/>
          <w:sz w:val="24"/>
          <w:szCs w:val="24"/>
        </w:rPr>
        <w:t xml:space="preserve"> The Philippines stated that</w:t>
      </w:r>
      <w:r w:rsidR="00AC507C">
        <w:rPr>
          <w:color w:val="auto"/>
          <w:sz w:val="24"/>
          <w:szCs w:val="24"/>
        </w:rPr>
        <w:t xml:space="preserve"> it has trained</w:t>
      </w:r>
      <w:r>
        <w:rPr>
          <w:color w:val="auto"/>
          <w:sz w:val="24"/>
          <w:szCs w:val="24"/>
        </w:rPr>
        <w:t xml:space="preserve"> jail personnel to prevent the commission of acts of torture and to understand the rights of persons deprived of liberty and prevailing international and domestic human rights law.</w:t>
      </w:r>
      <w:r w:rsidR="005D7C3D">
        <w:rPr>
          <w:rStyle w:val="FootnoteReference"/>
          <w:color w:val="auto"/>
          <w:sz w:val="24"/>
          <w:szCs w:val="24"/>
        </w:rPr>
        <w:footnoteReference w:id="31"/>
      </w:r>
      <w:r>
        <w:rPr>
          <w:color w:val="auto"/>
          <w:sz w:val="24"/>
          <w:szCs w:val="24"/>
        </w:rPr>
        <w:t xml:space="preserve"> The Philippines reported that </w:t>
      </w:r>
      <w:r w:rsidR="005D7C3D">
        <w:rPr>
          <w:color w:val="auto"/>
          <w:sz w:val="24"/>
          <w:szCs w:val="24"/>
        </w:rPr>
        <w:t>94.39</w:t>
      </w:r>
      <w:r w:rsidR="00572B89">
        <w:rPr>
          <w:color w:val="auto"/>
          <w:sz w:val="24"/>
          <w:szCs w:val="24"/>
        </w:rPr>
        <w:t>%</w:t>
      </w:r>
      <w:r w:rsidR="005D7C3D">
        <w:rPr>
          <w:color w:val="auto"/>
          <w:sz w:val="24"/>
          <w:szCs w:val="24"/>
        </w:rPr>
        <w:t xml:space="preserve"> of all personnel have completed online training on the Mandela Rules.</w:t>
      </w:r>
      <w:r w:rsidR="005D7C3D">
        <w:rPr>
          <w:rStyle w:val="FootnoteReference"/>
          <w:color w:val="auto"/>
          <w:sz w:val="24"/>
          <w:szCs w:val="24"/>
        </w:rPr>
        <w:footnoteReference w:id="32"/>
      </w:r>
      <w:r w:rsidR="005D7C3D">
        <w:rPr>
          <w:color w:val="auto"/>
          <w:sz w:val="24"/>
          <w:szCs w:val="24"/>
        </w:rPr>
        <w:t xml:space="preserve"> </w:t>
      </w:r>
      <w:r>
        <w:rPr>
          <w:color w:val="auto"/>
          <w:sz w:val="24"/>
          <w:szCs w:val="24"/>
        </w:rPr>
        <w:t xml:space="preserve"> </w:t>
      </w:r>
    </w:p>
    <w:p w14:paraId="0F7BEC15" w14:textId="332199C7" w:rsidR="000B67C2" w:rsidRPr="000B67C2" w:rsidRDefault="006469EA" w:rsidP="0007701E">
      <w:pPr>
        <w:numPr>
          <w:ilvl w:val="0"/>
          <w:numId w:val="7"/>
        </w:numPr>
        <w:spacing w:after="120"/>
        <w:ind w:left="360"/>
        <w:jc w:val="both"/>
        <w:rPr>
          <w:color w:val="auto"/>
          <w:sz w:val="24"/>
          <w:szCs w:val="24"/>
        </w:rPr>
      </w:pPr>
      <w:r>
        <w:rPr>
          <w:color w:val="auto"/>
          <w:sz w:val="24"/>
          <w:szCs w:val="24"/>
        </w:rPr>
        <w:t xml:space="preserve">The Philippines </w:t>
      </w:r>
      <w:r w:rsidR="000268DD">
        <w:rPr>
          <w:color w:val="auto"/>
          <w:sz w:val="24"/>
          <w:szCs w:val="24"/>
        </w:rPr>
        <w:t xml:space="preserve">also </w:t>
      </w:r>
      <w:r>
        <w:rPr>
          <w:color w:val="auto"/>
          <w:sz w:val="24"/>
          <w:szCs w:val="24"/>
        </w:rPr>
        <w:t xml:space="preserve">addressed the number of punishments </w:t>
      </w:r>
      <w:r w:rsidR="00AC507C">
        <w:rPr>
          <w:color w:val="auto"/>
          <w:sz w:val="24"/>
          <w:szCs w:val="24"/>
        </w:rPr>
        <w:t xml:space="preserve">it has </w:t>
      </w:r>
      <w:r>
        <w:rPr>
          <w:color w:val="auto"/>
          <w:sz w:val="24"/>
          <w:szCs w:val="24"/>
        </w:rPr>
        <w:t xml:space="preserve">meted out to perpetrators. It stated that between July 2016 and June 15, 2020, records show that </w:t>
      </w:r>
      <w:r w:rsidR="00AC507C">
        <w:rPr>
          <w:color w:val="auto"/>
          <w:sz w:val="24"/>
          <w:szCs w:val="24"/>
        </w:rPr>
        <w:t>government officials have suspended or dismissed more than</w:t>
      </w:r>
      <w:r>
        <w:rPr>
          <w:color w:val="auto"/>
          <w:sz w:val="24"/>
          <w:szCs w:val="24"/>
        </w:rPr>
        <w:t xml:space="preserve"> eleven thousand police personnel for various offenses.</w:t>
      </w:r>
      <w:r w:rsidR="006757AB">
        <w:rPr>
          <w:rStyle w:val="FootnoteReference"/>
          <w:color w:val="auto"/>
          <w:sz w:val="24"/>
          <w:szCs w:val="24"/>
        </w:rPr>
        <w:footnoteReference w:id="33"/>
      </w:r>
      <w:r>
        <w:rPr>
          <w:color w:val="auto"/>
          <w:sz w:val="24"/>
          <w:szCs w:val="24"/>
        </w:rPr>
        <w:t xml:space="preserve"> The Philippines said the Bureau of Corrections </w:t>
      </w:r>
      <w:r w:rsidR="00AC507C">
        <w:rPr>
          <w:color w:val="auto"/>
          <w:sz w:val="24"/>
          <w:szCs w:val="24"/>
        </w:rPr>
        <w:t>has</w:t>
      </w:r>
      <w:r>
        <w:rPr>
          <w:color w:val="auto"/>
          <w:sz w:val="24"/>
          <w:szCs w:val="24"/>
        </w:rPr>
        <w:t xml:space="preserve"> not received any reports that</w:t>
      </w:r>
      <w:r w:rsidR="00AC507C">
        <w:rPr>
          <w:color w:val="auto"/>
          <w:sz w:val="24"/>
          <w:szCs w:val="24"/>
        </w:rPr>
        <w:t xml:space="preserve"> jail </w:t>
      </w:r>
      <w:r w:rsidR="00572B89">
        <w:rPr>
          <w:color w:val="auto"/>
          <w:sz w:val="24"/>
          <w:szCs w:val="24"/>
        </w:rPr>
        <w:t xml:space="preserve">or </w:t>
      </w:r>
      <w:r w:rsidR="00AC507C">
        <w:rPr>
          <w:color w:val="auto"/>
          <w:sz w:val="24"/>
          <w:szCs w:val="24"/>
        </w:rPr>
        <w:t>prison officials have used</w:t>
      </w:r>
      <w:r>
        <w:rPr>
          <w:color w:val="auto"/>
          <w:sz w:val="24"/>
          <w:szCs w:val="24"/>
        </w:rPr>
        <w:t xml:space="preserve"> strip searches, blindfolding, paddling, or other physical punishments to extract confessions from persons deprived of liberty.</w:t>
      </w:r>
      <w:r w:rsidR="006757AB">
        <w:rPr>
          <w:rStyle w:val="FootnoteReference"/>
          <w:color w:val="auto"/>
          <w:sz w:val="24"/>
          <w:szCs w:val="24"/>
        </w:rPr>
        <w:footnoteReference w:id="34"/>
      </w:r>
      <w:r>
        <w:rPr>
          <w:color w:val="auto"/>
          <w:sz w:val="24"/>
          <w:szCs w:val="24"/>
        </w:rPr>
        <w:t xml:space="preserve"> The State Party added that reports about the widespread use of torture and ill-treatment committed by the security sector are “mere allegations intended to vilify the State before the UN and the international community.”</w:t>
      </w:r>
      <w:r w:rsidR="006757AB">
        <w:rPr>
          <w:rStyle w:val="FootnoteReference"/>
          <w:color w:val="auto"/>
          <w:sz w:val="24"/>
          <w:szCs w:val="24"/>
        </w:rPr>
        <w:footnoteReference w:id="35"/>
      </w:r>
      <w:r>
        <w:rPr>
          <w:color w:val="auto"/>
          <w:sz w:val="24"/>
          <w:szCs w:val="24"/>
        </w:rPr>
        <w:t xml:space="preserve"> </w:t>
      </w:r>
      <w:r w:rsidR="00E649A3">
        <w:rPr>
          <w:color w:val="auto"/>
          <w:sz w:val="24"/>
          <w:szCs w:val="24"/>
        </w:rPr>
        <w:t xml:space="preserve">Further, the Philippines stated that its Anti-Torture Law has strict provisions which empower </w:t>
      </w:r>
      <w:r w:rsidR="00E649A3">
        <w:rPr>
          <w:color w:val="auto"/>
          <w:sz w:val="24"/>
          <w:szCs w:val="24"/>
        </w:rPr>
        <w:lastRenderedPageBreak/>
        <w:t xml:space="preserve">victims to </w:t>
      </w:r>
      <w:r w:rsidR="00AC507C">
        <w:rPr>
          <w:color w:val="auto"/>
          <w:sz w:val="24"/>
          <w:szCs w:val="24"/>
        </w:rPr>
        <w:t>f</w:t>
      </w:r>
      <w:r w:rsidR="00E649A3">
        <w:rPr>
          <w:color w:val="auto"/>
          <w:sz w:val="24"/>
          <w:szCs w:val="24"/>
        </w:rPr>
        <w:t>ile cases against government perpetrators.</w:t>
      </w:r>
      <w:r w:rsidR="006757AB">
        <w:rPr>
          <w:rStyle w:val="FootnoteReference"/>
          <w:color w:val="auto"/>
          <w:sz w:val="24"/>
          <w:szCs w:val="24"/>
        </w:rPr>
        <w:footnoteReference w:id="36"/>
      </w:r>
      <w:r w:rsidR="00893FDE">
        <w:rPr>
          <w:color w:val="auto"/>
          <w:sz w:val="24"/>
          <w:szCs w:val="24"/>
        </w:rPr>
        <w:t xml:space="preserve"> </w:t>
      </w:r>
      <w:r w:rsidR="00E649A3">
        <w:rPr>
          <w:color w:val="auto"/>
          <w:sz w:val="24"/>
          <w:szCs w:val="24"/>
        </w:rPr>
        <w:t xml:space="preserve">The State Party said that the National Human Rights Institution conducts unannounced and unrestricted spot visits to detention facilities to ensure </w:t>
      </w:r>
      <w:r w:rsidR="00AC507C">
        <w:rPr>
          <w:color w:val="auto"/>
          <w:sz w:val="24"/>
          <w:szCs w:val="24"/>
        </w:rPr>
        <w:t xml:space="preserve">compliance with </w:t>
      </w:r>
      <w:r w:rsidR="00E649A3">
        <w:rPr>
          <w:color w:val="auto"/>
          <w:sz w:val="24"/>
          <w:szCs w:val="24"/>
        </w:rPr>
        <w:t>torture.</w:t>
      </w:r>
      <w:r w:rsidR="006757AB">
        <w:rPr>
          <w:rStyle w:val="FootnoteReference"/>
          <w:color w:val="auto"/>
          <w:sz w:val="24"/>
          <w:szCs w:val="24"/>
        </w:rPr>
        <w:footnoteReference w:id="37"/>
      </w:r>
    </w:p>
    <w:p w14:paraId="46BD85C0" w14:textId="2377DDA3" w:rsidR="0099542D" w:rsidRDefault="0099542D" w:rsidP="00FD5380">
      <w:pPr>
        <w:pStyle w:val="ListParagraph"/>
        <w:numPr>
          <w:ilvl w:val="0"/>
          <w:numId w:val="7"/>
        </w:numPr>
        <w:spacing w:after="120" w:line="240" w:lineRule="auto"/>
        <w:ind w:left="360"/>
        <w:contextualSpacing w:val="0"/>
        <w:jc w:val="both"/>
        <w:rPr>
          <w:rFonts w:ascii="Times New Roman" w:hAnsi="Times New Roman"/>
          <w:sz w:val="24"/>
          <w:szCs w:val="24"/>
        </w:rPr>
      </w:pPr>
      <w:r w:rsidRPr="0099542D">
        <w:rPr>
          <w:rFonts w:ascii="Times New Roman" w:hAnsi="Times New Roman"/>
          <w:sz w:val="24"/>
          <w:szCs w:val="24"/>
        </w:rPr>
        <w:t xml:space="preserve">Despite receiving several recommendations to enact a national preventive mechanism (NPM) against torture during its 2017 UPR, the Philippines </w:t>
      </w:r>
      <w:r w:rsidR="00AE488B">
        <w:rPr>
          <w:rFonts w:ascii="Times New Roman" w:hAnsi="Times New Roman"/>
          <w:sz w:val="24"/>
          <w:szCs w:val="24"/>
        </w:rPr>
        <w:t>has failed to do so.</w:t>
      </w:r>
      <w:r>
        <w:rPr>
          <w:rStyle w:val="FootnoteReference"/>
          <w:rFonts w:ascii="Times New Roman" w:hAnsi="Times New Roman"/>
          <w:sz w:val="24"/>
          <w:szCs w:val="24"/>
        </w:rPr>
        <w:footnoteReference w:id="38"/>
      </w:r>
      <w:r>
        <w:rPr>
          <w:rFonts w:ascii="Times New Roman" w:hAnsi="Times New Roman"/>
          <w:sz w:val="24"/>
          <w:szCs w:val="24"/>
        </w:rPr>
        <w:t xml:space="preserve"> In 2016, the Philippines Commission on Human Rights (CHR) established an interim national preventative mechanism to facilitate the government’s compliance with the Convention</w:t>
      </w:r>
      <w:r w:rsidR="00224221">
        <w:rPr>
          <w:rFonts w:ascii="Times New Roman" w:hAnsi="Times New Roman"/>
          <w:sz w:val="24"/>
          <w:szCs w:val="24"/>
        </w:rPr>
        <w:t xml:space="preserve"> </w:t>
      </w:r>
      <w:r w:rsidR="00224221" w:rsidRPr="0099542D">
        <w:rPr>
          <w:rFonts w:ascii="Times New Roman" w:hAnsi="Times New Roman"/>
          <w:sz w:val="24"/>
          <w:szCs w:val="24"/>
        </w:rPr>
        <w:t>against Torture</w:t>
      </w:r>
      <w:r>
        <w:rPr>
          <w:rFonts w:ascii="Times New Roman" w:hAnsi="Times New Roman"/>
          <w:sz w:val="24"/>
          <w:szCs w:val="24"/>
        </w:rPr>
        <w:t xml:space="preserve"> and </w:t>
      </w:r>
      <w:r w:rsidR="00224221">
        <w:rPr>
          <w:rFonts w:ascii="Times New Roman" w:hAnsi="Times New Roman"/>
          <w:sz w:val="24"/>
          <w:szCs w:val="24"/>
        </w:rPr>
        <w:t xml:space="preserve">Other Cruel, Inhuman or Degrading Treatment and </w:t>
      </w:r>
      <w:r>
        <w:rPr>
          <w:rFonts w:ascii="Times New Roman" w:hAnsi="Times New Roman"/>
          <w:sz w:val="24"/>
          <w:szCs w:val="24"/>
        </w:rPr>
        <w:t>its optional protocol.</w:t>
      </w:r>
      <w:r>
        <w:rPr>
          <w:rStyle w:val="FootnoteReference"/>
          <w:rFonts w:ascii="Times New Roman" w:hAnsi="Times New Roman"/>
          <w:sz w:val="24"/>
          <w:szCs w:val="24"/>
        </w:rPr>
        <w:footnoteReference w:id="39"/>
      </w:r>
      <w:r>
        <w:rPr>
          <w:rFonts w:ascii="Times New Roman" w:hAnsi="Times New Roman"/>
          <w:sz w:val="24"/>
          <w:szCs w:val="24"/>
        </w:rPr>
        <w:t xml:space="preserve"> </w:t>
      </w:r>
    </w:p>
    <w:p w14:paraId="4628B2A8" w14:textId="6EA6002E" w:rsidR="00A50D87" w:rsidRDefault="000B67C2" w:rsidP="00FD5380">
      <w:pPr>
        <w:pStyle w:val="ListParagraph"/>
        <w:numPr>
          <w:ilvl w:val="0"/>
          <w:numId w:val="7"/>
        </w:numPr>
        <w:spacing w:after="120" w:line="240" w:lineRule="auto"/>
        <w:ind w:left="360"/>
        <w:contextualSpacing w:val="0"/>
        <w:jc w:val="both"/>
        <w:rPr>
          <w:rFonts w:ascii="Times New Roman" w:hAnsi="Times New Roman"/>
          <w:sz w:val="24"/>
          <w:szCs w:val="24"/>
        </w:rPr>
      </w:pPr>
      <w:r>
        <w:rPr>
          <w:rFonts w:ascii="Times New Roman" w:hAnsi="Times New Roman"/>
          <w:sz w:val="24"/>
          <w:szCs w:val="24"/>
        </w:rPr>
        <w:t xml:space="preserve">The Philippines has a history of </w:t>
      </w:r>
      <w:r w:rsidR="00224221">
        <w:rPr>
          <w:rFonts w:ascii="Times New Roman" w:hAnsi="Times New Roman"/>
          <w:sz w:val="24"/>
          <w:szCs w:val="24"/>
        </w:rPr>
        <w:t xml:space="preserve">police perpetrating </w:t>
      </w:r>
      <w:r>
        <w:rPr>
          <w:rFonts w:ascii="Times New Roman" w:hAnsi="Times New Roman"/>
          <w:sz w:val="24"/>
          <w:szCs w:val="24"/>
        </w:rPr>
        <w:t xml:space="preserve">torture and other cruel, degrading, inhuman punishment. In 2014, the Philippine Commission of Human Rights received 75 complaints of </w:t>
      </w:r>
      <w:r w:rsidR="000268DD">
        <w:rPr>
          <w:rFonts w:ascii="Times New Roman" w:hAnsi="Times New Roman"/>
          <w:sz w:val="24"/>
          <w:szCs w:val="24"/>
        </w:rPr>
        <w:t xml:space="preserve">police-inflicted </w:t>
      </w:r>
      <w:r>
        <w:rPr>
          <w:rFonts w:ascii="Times New Roman" w:hAnsi="Times New Roman"/>
          <w:sz w:val="24"/>
          <w:szCs w:val="24"/>
        </w:rPr>
        <w:t>torture.</w:t>
      </w:r>
      <w:r>
        <w:rPr>
          <w:rStyle w:val="FootnoteReference"/>
          <w:rFonts w:ascii="Times New Roman" w:hAnsi="Times New Roman"/>
          <w:sz w:val="24"/>
          <w:szCs w:val="24"/>
        </w:rPr>
        <w:footnoteReference w:id="40"/>
      </w:r>
      <w:r>
        <w:rPr>
          <w:rFonts w:ascii="Times New Roman" w:hAnsi="Times New Roman"/>
          <w:sz w:val="24"/>
          <w:szCs w:val="24"/>
        </w:rPr>
        <w:t xml:space="preserve"> As recently as 2020, local authorities </w:t>
      </w:r>
      <w:r w:rsidR="00A50D87">
        <w:rPr>
          <w:rFonts w:ascii="Times New Roman" w:hAnsi="Times New Roman"/>
          <w:sz w:val="24"/>
          <w:szCs w:val="24"/>
        </w:rPr>
        <w:t>violated</w:t>
      </w:r>
      <w:r>
        <w:rPr>
          <w:rFonts w:ascii="Times New Roman" w:hAnsi="Times New Roman"/>
          <w:sz w:val="24"/>
          <w:szCs w:val="24"/>
        </w:rPr>
        <w:t xml:space="preserve"> the Convention Against Torture and the Philippines Anti-Torture Act of 2009 when they subjected multiple people to degrading treatment to punish them for violating quarantine protocols.</w:t>
      </w:r>
      <w:r w:rsidR="009A2045">
        <w:rPr>
          <w:rStyle w:val="FootnoteReference"/>
          <w:rFonts w:ascii="Times New Roman" w:hAnsi="Times New Roman"/>
          <w:sz w:val="24"/>
          <w:szCs w:val="24"/>
        </w:rPr>
        <w:footnoteReference w:id="41"/>
      </w:r>
      <w:r>
        <w:rPr>
          <w:rFonts w:ascii="Times New Roman" w:hAnsi="Times New Roman"/>
          <w:sz w:val="24"/>
          <w:szCs w:val="24"/>
        </w:rPr>
        <w:t xml:space="preserve"> Local barangay officials allegedly detained individuals in dog cages and subjected them to physical and psychological harm.</w:t>
      </w:r>
      <w:r w:rsidR="00A50D87">
        <w:rPr>
          <w:rFonts w:ascii="Times New Roman" w:hAnsi="Times New Roman"/>
          <w:sz w:val="24"/>
          <w:szCs w:val="24"/>
        </w:rPr>
        <w:t xml:space="preserve"> </w:t>
      </w:r>
    </w:p>
    <w:p w14:paraId="5A81248D" w14:textId="12B3EA8A" w:rsidR="0099542D" w:rsidRPr="0007701E" w:rsidRDefault="00907B0F" w:rsidP="00FD5380">
      <w:pPr>
        <w:pStyle w:val="ListParagraph"/>
        <w:numPr>
          <w:ilvl w:val="0"/>
          <w:numId w:val="7"/>
        </w:numPr>
        <w:spacing w:after="240" w:line="240" w:lineRule="auto"/>
        <w:ind w:left="360"/>
        <w:contextualSpacing w:val="0"/>
        <w:jc w:val="both"/>
        <w:rPr>
          <w:rFonts w:ascii="Times New Roman" w:hAnsi="Times New Roman"/>
          <w:sz w:val="24"/>
          <w:szCs w:val="24"/>
        </w:rPr>
      </w:pPr>
      <w:r>
        <w:rPr>
          <w:rFonts w:ascii="Times New Roman" w:hAnsi="Times New Roman"/>
          <w:sz w:val="24"/>
          <w:szCs w:val="24"/>
        </w:rPr>
        <w:t>In September 2021, the I</w:t>
      </w:r>
      <w:r w:rsidR="006E4FE4">
        <w:rPr>
          <w:rFonts w:ascii="Times New Roman" w:hAnsi="Times New Roman"/>
          <w:sz w:val="24"/>
          <w:szCs w:val="24"/>
        </w:rPr>
        <w:t>nternational Criminal Court</w:t>
      </w:r>
      <w:r>
        <w:rPr>
          <w:rFonts w:ascii="Times New Roman" w:hAnsi="Times New Roman"/>
          <w:sz w:val="24"/>
          <w:szCs w:val="24"/>
        </w:rPr>
        <w:t xml:space="preserve"> agreed to formally investigate possible crimes against humanity</w:t>
      </w:r>
      <w:r w:rsidR="00224221">
        <w:rPr>
          <w:rFonts w:ascii="Times New Roman" w:hAnsi="Times New Roman"/>
          <w:sz w:val="24"/>
          <w:szCs w:val="24"/>
        </w:rPr>
        <w:t xml:space="preserve">, including police and government officials’ use of torture, </w:t>
      </w:r>
      <w:r>
        <w:rPr>
          <w:rFonts w:ascii="Times New Roman" w:hAnsi="Times New Roman"/>
          <w:sz w:val="24"/>
          <w:szCs w:val="24"/>
        </w:rPr>
        <w:t>carried out by former President Duterte during his “war on drugs” from 2016 to 2019.</w:t>
      </w:r>
      <w:r w:rsidR="00501B83">
        <w:rPr>
          <w:rStyle w:val="FootnoteReference"/>
          <w:rFonts w:ascii="Times New Roman" w:hAnsi="Times New Roman"/>
          <w:sz w:val="24"/>
          <w:szCs w:val="24"/>
        </w:rPr>
        <w:footnoteReference w:id="42"/>
      </w:r>
      <w:r>
        <w:rPr>
          <w:rFonts w:ascii="Times New Roman" w:hAnsi="Times New Roman"/>
          <w:sz w:val="24"/>
          <w:szCs w:val="24"/>
        </w:rPr>
        <w:t xml:space="preserve"> </w:t>
      </w:r>
      <w:r w:rsidR="008C3470">
        <w:rPr>
          <w:rFonts w:ascii="Times New Roman" w:hAnsi="Times New Roman"/>
          <w:sz w:val="24"/>
          <w:szCs w:val="24"/>
        </w:rPr>
        <w:t>Despite this</w:t>
      </w:r>
      <w:r w:rsidR="00DD294B">
        <w:rPr>
          <w:rFonts w:ascii="Times New Roman" w:hAnsi="Times New Roman"/>
          <w:sz w:val="24"/>
          <w:szCs w:val="24"/>
        </w:rPr>
        <w:t xml:space="preserve"> decision</w:t>
      </w:r>
      <w:r w:rsidR="008C3470">
        <w:rPr>
          <w:rFonts w:ascii="Times New Roman" w:hAnsi="Times New Roman"/>
          <w:sz w:val="24"/>
          <w:szCs w:val="24"/>
        </w:rPr>
        <w:t>, in early August 2022, President Marcos Jr. said he had no intention of re-joining the ICC or complying with the investigation.</w:t>
      </w:r>
      <w:r w:rsidR="00501B83">
        <w:rPr>
          <w:rStyle w:val="FootnoteReference"/>
          <w:rFonts w:ascii="Times New Roman" w:hAnsi="Times New Roman"/>
          <w:sz w:val="24"/>
          <w:szCs w:val="24"/>
        </w:rPr>
        <w:footnoteReference w:id="43"/>
      </w:r>
      <w:r w:rsidR="008C3470">
        <w:rPr>
          <w:rFonts w:ascii="Times New Roman" w:hAnsi="Times New Roman"/>
          <w:sz w:val="24"/>
          <w:szCs w:val="24"/>
        </w:rPr>
        <w:t xml:space="preserve"> The ICC’s investigation has been paused since November 2021 when the Philippines requested a deferral.</w:t>
      </w:r>
      <w:r w:rsidR="00501B83">
        <w:rPr>
          <w:rStyle w:val="FootnoteReference"/>
          <w:rFonts w:ascii="Times New Roman" w:hAnsi="Times New Roman"/>
          <w:sz w:val="24"/>
          <w:szCs w:val="24"/>
        </w:rPr>
        <w:footnoteReference w:id="44"/>
      </w:r>
      <w:r w:rsidR="008C3470">
        <w:rPr>
          <w:rFonts w:ascii="Times New Roman" w:hAnsi="Times New Roman"/>
          <w:sz w:val="24"/>
          <w:szCs w:val="24"/>
        </w:rPr>
        <w:t xml:space="preserve"> When the ICC </w:t>
      </w:r>
      <w:r w:rsidR="000268DD">
        <w:rPr>
          <w:rFonts w:ascii="Times New Roman" w:hAnsi="Times New Roman"/>
          <w:sz w:val="24"/>
          <w:szCs w:val="24"/>
        </w:rPr>
        <w:t>asked</w:t>
      </w:r>
      <w:r w:rsidR="008C3470">
        <w:rPr>
          <w:rFonts w:ascii="Times New Roman" w:hAnsi="Times New Roman"/>
          <w:sz w:val="24"/>
          <w:szCs w:val="24"/>
        </w:rPr>
        <w:t xml:space="preserve"> to resume its investigation in June 2022, President Marcos Jr. and his administration requested another deferral</w:t>
      </w:r>
      <w:r w:rsidR="00544840">
        <w:rPr>
          <w:rFonts w:ascii="Times New Roman" w:hAnsi="Times New Roman"/>
          <w:sz w:val="24"/>
          <w:szCs w:val="24"/>
        </w:rPr>
        <w:t xml:space="preserve">, arguing that </w:t>
      </w:r>
      <w:r w:rsidR="00D45A2C">
        <w:rPr>
          <w:rFonts w:ascii="Times New Roman" w:hAnsi="Times New Roman"/>
          <w:sz w:val="24"/>
          <w:szCs w:val="24"/>
        </w:rPr>
        <w:t xml:space="preserve">the Philippines is already </w:t>
      </w:r>
      <w:r w:rsidR="00540992">
        <w:rPr>
          <w:rFonts w:ascii="Times New Roman" w:hAnsi="Times New Roman"/>
          <w:sz w:val="24"/>
          <w:szCs w:val="24"/>
        </w:rPr>
        <w:t>conducting</w:t>
      </w:r>
      <w:r w:rsidR="00D45A2C">
        <w:rPr>
          <w:rFonts w:ascii="Times New Roman" w:hAnsi="Times New Roman"/>
          <w:sz w:val="24"/>
          <w:szCs w:val="24"/>
        </w:rPr>
        <w:t xml:space="preserve"> its own investigation </w:t>
      </w:r>
      <w:r w:rsidR="00540992">
        <w:rPr>
          <w:rFonts w:ascii="Times New Roman" w:hAnsi="Times New Roman"/>
          <w:sz w:val="24"/>
          <w:szCs w:val="24"/>
        </w:rPr>
        <w:t xml:space="preserve">on </w:t>
      </w:r>
      <w:r w:rsidR="00D45A2C">
        <w:rPr>
          <w:rFonts w:ascii="Times New Roman" w:hAnsi="Times New Roman"/>
          <w:sz w:val="24"/>
          <w:szCs w:val="24"/>
        </w:rPr>
        <w:t>the matter.</w:t>
      </w:r>
      <w:r w:rsidR="00501B83">
        <w:rPr>
          <w:rStyle w:val="FootnoteReference"/>
          <w:rFonts w:ascii="Times New Roman" w:hAnsi="Times New Roman"/>
          <w:sz w:val="24"/>
          <w:szCs w:val="24"/>
        </w:rPr>
        <w:footnoteReference w:id="45"/>
      </w:r>
      <w:r w:rsidR="00D45A2C">
        <w:rPr>
          <w:rFonts w:ascii="Times New Roman" w:hAnsi="Times New Roman"/>
          <w:sz w:val="24"/>
          <w:szCs w:val="24"/>
        </w:rPr>
        <w:t xml:space="preserve"> </w:t>
      </w:r>
    </w:p>
    <w:p w14:paraId="44AC499E" w14:textId="12F1758B" w:rsidR="004E738F" w:rsidRPr="0007701E" w:rsidRDefault="002409D9" w:rsidP="006E4FE4">
      <w:pPr>
        <w:pStyle w:val="ListParagraph"/>
        <w:keepNext/>
        <w:numPr>
          <w:ilvl w:val="0"/>
          <w:numId w:val="8"/>
        </w:numPr>
        <w:spacing w:before="240" w:after="240"/>
        <w:contextualSpacing w:val="0"/>
        <w:jc w:val="both"/>
        <w:rPr>
          <w:rFonts w:ascii="Times New Roman" w:hAnsi="Times New Roman"/>
          <w:b/>
          <w:bCs/>
          <w:sz w:val="24"/>
          <w:szCs w:val="24"/>
        </w:rPr>
      </w:pPr>
      <w:r w:rsidRPr="5EAA4646">
        <w:rPr>
          <w:rFonts w:ascii="Times New Roman" w:hAnsi="Times New Roman"/>
          <w:b/>
          <w:bCs/>
          <w:sz w:val="24"/>
          <w:szCs w:val="24"/>
        </w:rPr>
        <w:lastRenderedPageBreak/>
        <w:t>Conditions of Detention</w:t>
      </w:r>
      <w:r w:rsidR="005D7C3D" w:rsidRPr="5EAA4646">
        <w:rPr>
          <w:rFonts w:ascii="Times New Roman" w:hAnsi="Times New Roman"/>
          <w:b/>
          <w:bCs/>
          <w:sz w:val="24"/>
          <w:szCs w:val="24"/>
        </w:rPr>
        <w:t xml:space="preserve"> (List of Issues</w:t>
      </w:r>
      <w:r w:rsidR="6D64B8C9" w:rsidRPr="5EAA4646">
        <w:rPr>
          <w:rFonts w:ascii="Times New Roman" w:hAnsi="Times New Roman"/>
          <w:b/>
          <w:bCs/>
          <w:sz w:val="24"/>
          <w:szCs w:val="24"/>
        </w:rPr>
        <w:t>,</w:t>
      </w:r>
      <w:r w:rsidR="005D7C3D" w:rsidRPr="5EAA4646">
        <w:rPr>
          <w:rFonts w:ascii="Times New Roman" w:hAnsi="Times New Roman"/>
          <w:b/>
          <w:bCs/>
          <w:sz w:val="24"/>
          <w:szCs w:val="24"/>
        </w:rPr>
        <w:t xml:space="preserve"> para</w:t>
      </w:r>
      <w:r w:rsidR="00164947" w:rsidRPr="5EAA4646">
        <w:rPr>
          <w:rFonts w:ascii="Times New Roman" w:hAnsi="Times New Roman"/>
          <w:b/>
          <w:bCs/>
          <w:sz w:val="24"/>
          <w:szCs w:val="24"/>
        </w:rPr>
        <w:t>graph</w:t>
      </w:r>
      <w:r w:rsidR="005D7C3D" w:rsidRPr="5EAA4646">
        <w:rPr>
          <w:rFonts w:ascii="Times New Roman" w:hAnsi="Times New Roman"/>
          <w:b/>
          <w:bCs/>
          <w:sz w:val="24"/>
          <w:szCs w:val="24"/>
        </w:rPr>
        <w:t xml:space="preserve"> 14)</w:t>
      </w:r>
    </w:p>
    <w:p w14:paraId="73C7600D" w14:textId="6B0361E2" w:rsidR="00302E25" w:rsidRDefault="00302E25" w:rsidP="0007701E">
      <w:pPr>
        <w:pStyle w:val="ListParagraph"/>
        <w:numPr>
          <w:ilvl w:val="0"/>
          <w:numId w:val="7"/>
        </w:numPr>
        <w:spacing w:after="120" w:line="240" w:lineRule="auto"/>
        <w:ind w:left="360"/>
        <w:contextualSpacing w:val="0"/>
        <w:jc w:val="both"/>
        <w:rPr>
          <w:rFonts w:ascii="Times New Roman" w:hAnsi="Times New Roman"/>
          <w:sz w:val="24"/>
          <w:szCs w:val="24"/>
        </w:rPr>
      </w:pPr>
      <w:r>
        <w:rPr>
          <w:rFonts w:ascii="Times New Roman" w:hAnsi="Times New Roman"/>
          <w:sz w:val="24"/>
          <w:szCs w:val="24"/>
        </w:rPr>
        <w:t xml:space="preserve">In its 2020 List of Issues, the Committee asked the Philippines to provide further information about its efforts to reduce overcrowding and </w:t>
      </w:r>
      <w:r w:rsidR="00CF1626">
        <w:rPr>
          <w:rFonts w:ascii="Times New Roman" w:hAnsi="Times New Roman"/>
          <w:sz w:val="24"/>
          <w:szCs w:val="24"/>
        </w:rPr>
        <w:t>other problematic conditions of detention</w:t>
      </w:r>
      <w:r>
        <w:rPr>
          <w:rFonts w:ascii="Times New Roman" w:hAnsi="Times New Roman"/>
          <w:sz w:val="24"/>
          <w:szCs w:val="24"/>
        </w:rPr>
        <w:t>.</w:t>
      </w:r>
      <w:r w:rsidR="00D024A7">
        <w:rPr>
          <w:rStyle w:val="FootnoteReference"/>
          <w:rFonts w:ascii="Times New Roman" w:hAnsi="Times New Roman"/>
          <w:sz w:val="24"/>
          <w:szCs w:val="24"/>
        </w:rPr>
        <w:footnoteReference w:id="46"/>
      </w:r>
      <w:r>
        <w:rPr>
          <w:rFonts w:ascii="Times New Roman" w:hAnsi="Times New Roman"/>
          <w:sz w:val="24"/>
          <w:szCs w:val="24"/>
        </w:rPr>
        <w:t xml:space="preserve"> </w:t>
      </w:r>
      <w:r w:rsidR="004E738F">
        <w:rPr>
          <w:rFonts w:ascii="Times New Roman" w:hAnsi="Times New Roman"/>
          <w:sz w:val="24"/>
          <w:szCs w:val="24"/>
        </w:rPr>
        <w:t>More specifically, the Committee asked about current investment in prison infrastructure, the efficacy of prisoner transfers and releases to control infectious diseases and address poor detention conditions, reports that the Philippines</w:t>
      </w:r>
      <w:r w:rsidR="00E177F3">
        <w:rPr>
          <w:rFonts w:ascii="Times New Roman" w:hAnsi="Times New Roman"/>
          <w:sz w:val="24"/>
          <w:szCs w:val="24"/>
        </w:rPr>
        <w:t>’</w:t>
      </w:r>
      <w:r w:rsidR="004E738F">
        <w:rPr>
          <w:rFonts w:ascii="Times New Roman" w:hAnsi="Times New Roman"/>
          <w:sz w:val="24"/>
          <w:szCs w:val="24"/>
        </w:rPr>
        <w:t xml:space="preserve"> anti-drug initiatives have increased pressure on the prison system, and any measures taken to alleviate th</w:t>
      </w:r>
      <w:r w:rsidR="00544840">
        <w:rPr>
          <w:rFonts w:ascii="Times New Roman" w:hAnsi="Times New Roman"/>
          <w:sz w:val="24"/>
          <w:szCs w:val="24"/>
        </w:rPr>
        <w:t xml:space="preserve">e </w:t>
      </w:r>
      <w:r w:rsidR="004E738F">
        <w:rPr>
          <w:rFonts w:ascii="Times New Roman" w:hAnsi="Times New Roman"/>
          <w:sz w:val="24"/>
          <w:szCs w:val="24"/>
        </w:rPr>
        <w:t>situation.</w:t>
      </w:r>
      <w:r w:rsidR="00D024A7">
        <w:rPr>
          <w:rStyle w:val="FootnoteReference"/>
          <w:rFonts w:ascii="Times New Roman" w:hAnsi="Times New Roman"/>
          <w:sz w:val="24"/>
          <w:szCs w:val="24"/>
        </w:rPr>
        <w:footnoteReference w:id="47"/>
      </w:r>
      <w:r w:rsidR="004E738F">
        <w:rPr>
          <w:rFonts w:ascii="Times New Roman" w:hAnsi="Times New Roman"/>
          <w:sz w:val="24"/>
          <w:szCs w:val="24"/>
        </w:rPr>
        <w:t xml:space="preserve"> The Committee also asked about reports of multiple deaths among prisoners in police custody and any measures taken by the Philippines to reverse this trend.</w:t>
      </w:r>
      <w:r w:rsidR="008600B6">
        <w:rPr>
          <w:rStyle w:val="FootnoteReference"/>
          <w:rFonts w:ascii="Times New Roman" w:hAnsi="Times New Roman"/>
          <w:sz w:val="24"/>
          <w:szCs w:val="24"/>
        </w:rPr>
        <w:footnoteReference w:id="48"/>
      </w:r>
      <w:r w:rsidR="004E738F">
        <w:rPr>
          <w:rFonts w:ascii="Times New Roman" w:hAnsi="Times New Roman"/>
          <w:sz w:val="24"/>
          <w:szCs w:val="24"/>
        </w:rPr>
        <w:t xml:space="preserve"> </w:t>
      </w:r>
    </w:p>
    <w:p w14:paraId="52D97BFA" w14:textId="6A3E9EAB" w:rsidR="00DF3B00" w:rsidRDefault="005D7C3D" w:rsidP="0007701E">
      <w:pPr>
        <w:pStyle w:val="ListParagraph"/>
        <w:numPr>
          <w:ilvl w:val="0"/>
          <w:numId w:val="7"/>
        </w:numPr>
        <w:spacing w:after="120" w:line="240" w:lineRule="auto"/>
        <w:ind w:left="360"/>
        <w:contextualSpacing w:val="0"/>
        <w:jc w:val="both"/>
        <w:rPr>
          <w:rFonts w:ascii="Times New Roman" w:hAnsi="Times New Roman"/>
          <w:sz w:val="24"/>
          <w:szCs w:val="24"/>
        </w:rPr>
      </w:pPr>
      <w:r>
        <w:rPr>
          <w:rFonts w:ascii="Times New Roman" w:hAnsi="Times New Roman"/>
          <w:sz w:val="24"/>
          <w:szCs w:val="24"/>
        </w:rPr>
        <w:t xml:space="preserve">In its 2022 Reply to the List of Issues, the Philippines </w:t>
      </w:r>
      <w:r w:rsidR="00E649A3">
        <w:rPr>
          <w:rFonts w:ascii="Times New Roman" w:hAnsi="Times New Roman"/>
          <w:sz w:val="24"/>
          <w:szCs w:val="24"/>
        </w:rPr>
        <w:t xml:space="preserve">said it is building many new jails and intends to build, modify, and repair jails to cater to persons deprived of liberty and </w:t>
      </w:r>
      <w:r w:rsidR="00A65EE6">
        <w:rPr>
          <w:rFonts w:ascii="Times New Roman" w:hAnsi="Times New Roman"/>
          <w:sz w:val="24"/>
          <w:szCs w:val="24"/>
        </w:rPr>
        <w:t>lessen</w:t>
      </w:r>
      <w:r w:rsidR="00E649A3">
        <w:rPr>
          <w:rFonts w:ascii="Times New Roman" w:hAnsi="Times New Roman"/>
          <w:sz w:val="24"/>
          <w:szCs w:val="24"/>
        </w:rPr>
        <w:t xml:space="preserve"> congestion.</w:t>
      </w:r>
      <w:r w:rsidR="002D4EE5">
        <w:rPr>
          <w:rStyle w:val="FootnoteReference"/>
          <w:rFonts w:ascii="Times New Roman" w:hAnsi="Times New Roman"/>
          <w:sz w:val="24"/>
          <w:szCs w:val="24"/>
        </w:rPr>
        <w:footnoteReference w:id="49"/>
      </w:r>
      <w:r w:rsidR="00E649A3">
        <w:rPr>
          <w:rFonts w:ascii="Times New Roman" w:hAnsi="Times New Roman"/>
          <w:sz w:val="24"/>
          <w:szCs w:val="24"/>
        </w:rPr>
        <w:t xml:space="preserve"> The Philippines added that the implementation of the Expanded Good Conduct Time Allowance Law is expected to reduce congestion to 76</w:t>
      </w:r>
      <w:r w:rsidR="00C429B6">
        <w:rPr>
          <w:rFonts w:ascii="Times New Roman" w:hAnsi="Times New Roman"/>
          <w:sz w:val="24"/>
          <w:szCs w:val="24"/>
        </w:rPr>
        <w:t>%</w:t>
      </w:r>
      <w:r w:rsidR="00E649A3">
        <w:rPr>
          <w:rFonts w:ascii="Times New Roman" w:hAnsi="Times New Roman"/>
          <w:sz w:val="24"/>
          <w:szCs w:val="24"/>
        </w:rPr>
        <w:t xml:space="preserve"> (from its current 136</w:t>
      </w:r>
      <w:r w:rsidR="0097061D">
        <w:rPr>
          <w:rFonts w:ascii="Times New Roman" w:hAnsi="Times New Roman"/>
          <w:sz w:val="24"/>
          <w:szCs w:val="24"/>
        </w:rPr>
        <w:t>%</w:t>
      </w:r>
      <w:r w:rsidR="00E649A3">
        <w:rPr>
          <w:rFonts w:ascii="Times New Roman" w:hAnsi="Times New Roman"/>
          <w:sz w:val="24"/>
          <w:szCs w:val="24"/>
        </w:rPr>
        <w:t>).</w:t>
      </w:r>
      <w:r w:rsidR="002D4EE5">
        <w:rPr>
          <w:rStyle w:val="FootnoteReference"/>
          <w:rFonts w:ascii="Times New Roman" w:hAnsi="Times New Roman"/>
          <w:sz w:val="24"/>
          <w:szCs w:val="24"/>
        </w:rPr>
        <w:footnoteReference w:id="50"/>
      </w:r>
      <w:r w:rsidR="00E649A3">
        <w:rPr>
          <w:rFonts w:ascii="Times New Roman" w:hAnsi="Times New Roman"/>
          <w:sz w:val="24"/>
          <w:szCs w:val="24"/>
        </w:rPr>
        <w:t xml:space="preserve"> The Philippines stated that it has developed a number of programs </w:t>
      </w:r>
      <w:r w:rsidR="00544840">
        <w:rPr>
          <w:rFonts w:ascii="Times New Roman" w:hAnsi="Times New Roman"/>
          <w:sz w:val="24"/>
          <w:szCs w:val="24"/>
        </w:rPr>
        <w:t>focusing</w:t>
      </w:r>
      <w:r w:rsidR="00E649A3">
        <w:rPr>
          <w:rFonts w:ascii="Times New Roman" w:hAnsi="Times New Roman"/>
          <w:sz w:val="24"/>
          <w:szCs w:val="24"/>
        </w:rPr>
        <w:t xml:space="preserve"> on rehabilitation and restorative justice.</w:t>
      </w:r>
      <w:r w:rsidR="002D4EE5">
        <w:rPr>
          <w:rStyle w:val="FootnoteReference"/>
          <w:rFonts w:ascii="Times New Roman" w:hAnsi="Times New Roman"/>
          <w:sz w:val="24"/>
          <w:szCs w:val="24"/>
        </w:rPr>
        <w:footnoteReference w:id="51"/>
      </w:r>
      <w:r w:rsidR="00E649A3">
        <w:rPr>
          <w:rFonts w:ascii="Times New Roman" w:hAnsi="Times New Roman"/>
          <w:sz w:val="24"/>
          <w:szCs w:val="24"/>
        </w:rPr>
        <w:t xml:space="preserve"> The State Party said it has a paralegal program which affords eligible indiv</w:t>
      </w:r>
      <w:r w:rsidR="002D4EE5">
        <w:rPr>
          <w:rFonts w:ascii="Times New Roman" w:hAnsi="Times New Roman"/>
          <w:sz w:val="24"/>
          <w:szCs w:val="24"/>
        </w:rPr>
        <w:t>id</w:t>
      </w:r>
      <w:r w:rsidR="00E649A3">
        <w:rPr>
          <w:rFonts w:ascii="Times New Roman" w:hAnsi="Times New Roman"/>
          <w:sz w:val="24"/>
          <w:szCs w:val="24"/>
        </w:rPr>
        <w:t xml:space="preserve">uals </w:t>
      </w:r>
      <w:r w:rsidR="008C64EE">
        <w:rPr>
          <w:rFonts w:ascii="Times New Roman" w:hAnsi="Times New Roman"/>
          <w:sz w:val="24"/>
          <w:szCs w:val="24"/>
        </w:rPr>
        <w:t xml:space="preserve">the ability </w:t>
      </w:r>
      <w:r w:rsidR="00E649A3">
        <w:rPr>
          <w:rFonts w:ascii="Times New Roman" w:hAnsi="Times New Roman"/>
          <w:sz w:val="24"/>
          <w:szCs w:val="24"/>
        </w:rPr>
        <w:t>to obtain early modes of paralegal release such as bail, provisional dismissal, and others.</w:t>
      </w:r>
      <w:r w:rsidR="002D4EE5">
        <w:rPr>
          <w:rStyle w:val="FootnoteReference"/>
          <w:rFonts w:ascii="Times New Roman" w:hAnsi="Times New Roman"/>
          <w:sz w:val="24"/>
          <w:szCs w:val="24"/>
        </w:rPr>
        <w:footnoteReference w:id="52"/>
      </w:r>
      <w:r w:rsidR="00E649A3">
        <w:rPr>
          <w:rFonts w:ascii="Times New Roman" w:hAnsi="Times New Roman"/>
          <w:sz w:val="24"/>
          <w:szCs w:val="24"/>
        </w:rPr>
        <w:t xml:space="preserve"> It </w:t>
      </w:r>
      <w:r w:rsidR="0097061D">
        <w:rPr>
          <w:rFonts w:ascii="Times New Roman" w:hAnsi="Times New Roman"/>
          <w:sz w:val="24"/>
          <w:szCs w:val="24"/>
        </w:rPr>
        <w:t xml:space="preserve">asserted </w:t>
      </w:r>
      <w:r w:rsidR="00E649A3">
        <w:rPr>
          <w:rFonts w:ascii="Times New Roman" w:hAnsi="Times New Roman"/>
          <w:sz w:val="24"/>
          <w:szCs w:val="24"/>
        </w:rPr>
        <w:t>that the BJMP adheres to the Nelson Mandela Rules and preserves the right to health of persons deprived of liberty.</w:t>
      </w:r>
      <w:r w:rsidR="002D4EE5">
        <w:rPr>
          <w:rStyle w:val="FootnoteReference"/>
          <w:rFonts w:ascii="Times New Roman" w:hAnsi="Times New Roman"/>
          <w:sz w:val="24"/>
          <w:szCs w:val="24"/>
        </w:rPr>
        <w:footnoteReference w:id="53"/>
      </w:r>
      <w:r w:rsidR="00E649A3">
        <w:rPr>
          <w:rFonts w:ascii="Times New Roman" w:hAnsi="Times New Roman"/>
          <w:sz w:val="24"/>
          <w:szCs w:val="24"/>
        </w:rPr>
        <w:t xml:space="preserve"> Programs on communicable and non-communicable diseases are being implemented.</w:t>
      </w:r>
      <w:r w:rsidR="002D4EE5">
        <w:rPr>
          <w:rStyle w:val="FootnoteReference"/>
          <w:rFonts w:ascii="Times New Roman" w:hAnsi="Times New Roman"/>
          <w:sz w:val="24"/>
          <w:szCs w:val="24"/>
        </w:rPr>
        <w:footnoteReference w:id="54"/>
      </w:r>
      <w:r w:rsidR="00E649A3">
        <w:rPr>
          <w:rFonts w:ascii="Times New Roman" w:hAnsi="Times New Roman"/>
          <w:sz w:val="24"/>
          <w:szCs w:val="24"/>
        </w:rPr>
        <w:t xml:space="preserve"> The Philippines said its Jail Bureau continues to increase the number of medical forces within jails and prisons.</w:t>
      </w:r>
      <w:r w:rsidR="002D4EE5">
        <w:rPr>
          <w:rStyle w:val="FootnoteReference"/>
          <w:rFonts w:ascii="Times New Roman" w:hAnsi="Times New Roman"/>
          <w:sz w:val="24"/>
          <w:szCs w:val="24"/>
        </w:rPr>
        <w:footnoteReference w:id="55"/>
      </w:r>
      <w:r w:rsidR="00E649A3">
        <w:rPr>
          <w:rFonts w:ascii="Times New Roman" w:hAnsi="Times New Roman"/>
          <w:sz w:val="24"/>
          <w:szCs w:val="24"/>
        </w:rPr>
        <w:t xml:space="preserve"> It also said most of the deaths reported among persons deprived of liberty in the first half of 2021 </w:t>
      </w:r>
      <w:r w:rsidR="002D4EE5">
        <w:rPr>
          <w:rFonts w:ascii="Times New Roman" w:hAnsi="Times New Roman"/>
          <w:sz w:val="24"/>
          <w:szCs w:val="24"/>
        </w:rPr>
        <w:t>occurred because individuals became ill before entering BJMP jails and prisons.</w:t>
      </w:r>
      <w:r w:rsidR="002D4EE5">
        <w:rPr>
          <w:rStyle w:val="FootnoteReference"/>
          <w:rFonts w:ascii="Times New Roman" w:hAnsi="Times New Roman"/>
          <w:sz w:val="24"/>
          <w:szCs w:val="24"/>
        </w:rPr>
        <w:footnoteReference w:id="56"/>
      </w:r>
      <w:r w:rsidR="002D4EE5">
        <w:rPr>
          <w:rFonts w:ascii="Times New Roman" w:hAnsi="Times New Roman"/>
          <w:sz w:val="24"/>
          <w:szCs w:val="24"/>
        </w:rPr>
        <w:t xml:space="preserve"> </w:t>
      </w:r>
    </w:p>
    <w:p w14:paraId="6C5C144F" w14:textId="560C9014" w:rsidR="00C64F0A" w:rsidRDefault="00C81470" w:rsidP="0007701E">
      <w:pPr>
        <w:pStyle w:val="ListParagraph"/>
        <w:numPr>
          <w:ilvl w:val="0"/>
          <w:numId w:val="7"/>
        </w:numPr>
        <w:spacing w:after="120" w:line="240" w:lineRule="auto"/>
        <w:ind w:left="360"/>
        <w:contextualSpacing w:val="0"/>
        <w:jc w:val="both"/>
        <w:rPr>
          <w:rFonts w:ascii="Times New Roman" w:hAnsi="Times New Roman"/>
          <w:sz w:val="24"/>
          <w:szCs w:val="24"/>
        </w:rPr>
      </w:pPr>
      <w:r>
        <w:rPr>
          <w:rFonts w:ascii="Times New Roman" w:hAnsi="Times New Roman"/>
          <w:sz w:val="24"/>
          <w:szCs w:val="24"/>
        </w:rPr>
        <w:t>Despite its commitment to adhere to the Nelson Mandela Rules, the Philippines has not implemented a national preventative mechanism to address overcrowding in detention facilities.</w:t>
      </w:r>
    </w:p>
    <w:p w14:paraId="3FF22534" w14:textId="6CA06313" w:rsidR="00084A38" w:rsidRDefault="00084A38" w:rsidP="0007701E">
      <w:pPr>
        <w:pStyle w:val="ListParagraph"/>
        <w:numPr>
          <w:ilvl w:val="0"/>
          <w:numId w:val="7"/>
        </w:numPr>
        <w:spacing w:after="120" w:line="240" w:lineRule="auto"/>
        <w:ind w:left="360"/>
        <w:contextualSpacing w:val="0"/>
        <w:jc w:val="both"/>
        <w:rPr>
          <w:rFonts w:ascii="Times New Roman" w:hAnsi="Times New Roman"/>
          <w:sz w:val="24"/>
          <w:szCs w:val="24"/>
        </w:rPr>
      </w:pPr>
      <w:r w:rsidRPr="00DF3B00">
        <w:rPr>
          <w:rFonts w:ascii="Times New Roman" w:hAnsi="Times New Roman"/>
          <w:sz w:val="24"/>
          <w:szCs w:val="24"/>
        </w:rPr>
        <w:lastRenderedPageBreak/>
        <w:t xml:space="preserve">The CHR </w:t>
      </w:r>
      <w:r>
        <w:rPr>
          <w:rFonts w:ascii="Times New Roman" w:hAnsi="Times New Roman"/>
          <w:sz w:val="24"/>
          <w:szCs w:val="24"/>
        </w:rPr>
        <w:t>has</w:t>
      </w:r>
      <w:r w:rsidRPr="00DF3B00">
        <w:rPr>
          <w:rFonts w:ascii="Times New Roman" w:hAnsi="Times New Roman"/>
          <w:sz w:val="24"/>
          <w:szCs w:val="24"/>
        </w:rPr>
        <w:t xml:space="preserve"> noted that if authorities do not address poor hygiene, dramatic overcrowding, and poor healthcare infrastructure within detention facilities, especially given the COVID-19 pandemic, those conditions may amount to cruel, inhuman, and degrading treatment or punishment.</w:t>
      </w:r>
      <w:r w:rsidR="000A7E2A">
        <w:rPr>
          <w:rStyle w:val="FootnoteReference"/>
          <w:rFonts w:ascii="Times New Roman" w:hAnsi="Times New Roman"/>
          <w:sz w:val="24"/>
          <w:szCs w:val="24"/>
        </w:rPr>
        <w:footnoteReference w:id="57"/>
      </w:r>
      <w:r w:rsidRPr="00DF3B00">
        <w:rPr>
          <w:rFonts w:ascii="Times New Roman" w:hAnsi="Times New Roman"/>
          <w:sz w:val="24"/>
          <w:szCs w:val="24"/>
        </w:rPr>
        <w:t xml:space="preserve"> </w:t>
      </w:r>
      <w:r>
        <w:rPr>
          <w:rFonts w:ascii="Times New Roman" w:hAnsi="Times New Roman"/>
          <w:sz w:val="24"/>
          <w:szCs w:val="24"/>
        </w:rPr>
        <w:t>Poor sanitation, ventilation, and a lack of potable water have also persisted in correctional facilities throughout the pandemic and contributed to health problems among detained individuals.</w:t>
      </w:r>
      <w:r w:rsidR="000A7E2A">
        <w:rPr>
          <w:rStyle w:val="FootnoteReference"/>
          <w:rFonts w:ascii="Times New Roman" w:hAnsi="Times New Roman"/>
          <w:sz w:val="24"/>
          <w:szCs w:val="24"/>
        </w:rPr>
        <w:footnoteReference w:id="58"/>
      </w:r>
      <w:r>
        <w:rPr>
          <w:rFonts w:ascii="Times New Roman" w:hAnsi="Times New Roman"/>
          <w:sz w:val="24"/>
          <w:szCs w:val="24"/>
        </w:rPr>
        <w:t xml:space="preserve"> </w:t>
      </w:r>
      <w:r w:rsidRPr="00DF3B00">
        <w:rPr>
          <w:rFonts w:ascii="Times New Roman" w:hAnsi="Times New Roman"/>
          <w:sz w:val="24"/>
          <w:szCs w:val="24"/>
        </w:rPr>
        <w:t>From January to July</w:t>
      </w:r>
      <w:r w:rsidR="00A65EE6">
        <w:rPr>
          <w:rFonts w:ascii="Times New Roman" w:hAnsi="Times New Roman"/>
          <w:sz w:val="24"/>
          <w:szCs w:val="24"/>
        </w:rPr>
        <w:t xml:space="preserve"> 2020</w:t>
      </w:r>
      <w:r w:rsidRPr="00DF3B00">
        <w:rPr>
          <w:rFonts w:ascii="Times New Roman" w:hAnsi="Times New Roman"/>
          <w:sz w:val="24"/>
          <w:szCs w:val="24"/>
        </w:rPr>
        <w:t xml:space="preserve">, 1,069 </w:t>
      </w:r>
      <w:r w:rsidR="000A7E2A">
        <w:rPr>
          <w:rFonts w:ascii="Times New Roman" w:hAnsi="Times New Roman"/>
          <w:sz w:val="24"/>
          <w:szCs w:val="24"/>
        </w:rPr>
        <w:t xml:space="preserve">individuals </w:t>
      </w:r>
      <w:r w:rsidR="00A65EE6">
        <w:rPr>
          <w:rFonts w:ascii="Times New Roman" w:hAnsi="Times New Roman"/>
          <w:sz w:val="24"/>
          <w:szCs w:val="24"/>
        </w:rPr>
        <w:t xml:space="preserve">in detention </w:t>
      </w:r>
      <w:r w:rsidR="000A7E2A">
        <w:rPr>
          <w:rFonts w:ascii="Times New Roman" w:hAnsi="Times New Roman"/>
          <w:sz w:val="24"/>
          <w:szCs w:val="24"/>
        </w:rPr>
        <w:t>died.</w:t>
      </w:r>
      <w:r w:rsidR="000A7E2A">
        <w:rPr>
          <w:rStyle w:val="FootnoteReference"/>
          <w:rFonts w:ascii="Times New Roman" w:hAnsi="Times New Roman"/>
          <w:sz w:val="24"/>
          <w:szCs w:val="24"/>
        </w:rPr>
        <w:footnoteReference w:id="59"/>
      </w:r>
      <w:r w:rsidRPr="00DF3B00">
        <w:rPr>
          <w:rFonts w:ascii="Times New Roman" w:hAnsi="Times New Roman"/>
          <w:sz w:val="24"/>
          <w:szCs w:val="24"/>
        </w:rPr>
        <w:t xml:space="preserve"> The Bureau of Corrections attributed 31 of the 498 deaths in its facilities to COVID-19.</w:t>
      </w:r>
      <w:r w:rsidR="000A7E2A">
        <w:rPr>
          <w:rStyle w:val="FootnoteReference"/>
          <w:rFonts w:ascii="Times New Roman" w:hAnsi="Times New Roman"/>
          <w:sz w:val="24"/>
          <w:szCs w:val="24"/>
        </w:rPr>
        <w:footnoteReference w:id="60"/>
      </w:r>
      <w:r w:rsidRPr="00DF3B00">
        <w:rPr>
          <w:rFonts w:ascii="Times New Roman" w:hAnsi="Times New Roman"/>
          <w:sz w:val="24"/>
          <w:szCs w:val="24"/>
        </w:rPr>
        <w:t xml:space="preserve"> Observers accused the Bureau of Corrections of using the virus to cover up the unlawful execution of inmates or inmate escapes</w:t>
      </w:r>
      <w:r>
        <w:rPr>
          <w:rFonts w:ascii="Times New Roman" w:hAnsi="Times New Roman"/>
          <w:sz w:val="24"/>
          <w:szCs w:val="24"/>
        </w:rPr>
        <w:t>.</w:t>
      </w:r>
      <w:r w:rsidR="000A7E2A">
        <w:rPr>
          <w:rStyle w:val="FootnoteReference"/>
          <w:rFonts w:ascii="Times New Roman" w:hAnsi="Times New Roman"/>
          <w:sz w:val="24"/>
          <w:szCs w:val="24"/>
        </w:rPr>
        <w:footnoteReference w:id="61"/>
      </w:r>
      <w:r>
        <w:rPr>
          <w:rFonts w:ascii="Times New Roman" w:hAnsi="Times New Roman"/>
          <w:sz w:val="24"/>
          <w:szCs w:val="24"/>
        </w:rPr>
        <w:t xml:space="preserve"> </w:t>
      </w:r>
      <w:r w:rsidR="009D1E26">
        <w:rPr>
          <w:rFonts w:ascii="Times New Roman" w:hAnsi="Times New Roman"/>
          <w:sz w:val="24"/>
          <w:szCs w:val="24"/>
        </w:rPr>
        <w:t>From</w:t>
      </w:r>
      <w:r w:rsidR="009D1E26" w:rsidRPr="009D1E26">
        <w:rPr>
          <w:rFonts w:ascii="Times New Roman" w:hAnsi="Times New Roman"/>
          <w:spacing w:val="-4"/>
          <w:sz w:val="24"/>
          <w:szCs w:val="24"/>
          <w:shd w:val="clear" w:color="auto" w:fill="FFFFFF"/>
        </w:rPr>
        <w:t xml:space="preserve"> January to July</w:t>
      </w:r>
      <w:r w:rsidR="009D1E26">
        <w:rPr>
          <w:rFonts w:ascii="Times New Roman" w:hAnsi="Times New Roman"/>
          <w:spacing w:val="-4"/>
          <w:sz w:val="24"/>
          <w:szCs w:val="24"/>
          <w:shd w:val="clear" w:color="auto" w:fill="FFFFFF"/>
        </w:rPr>
        <w:t xml:space="preserve"> 2021,</w:t>
      </w:r>
      <w:r w:rsidR="009D1E26" w:rsidRPr="009D1E26">
        <w:rPr>
          <w:rFonts w:ascii="Times New Roman" w:hAnsi="Times New Roman"/>
          <w:spacing w:val="-4"/>
          <w:sz w:val="24"/>
          <w:szCs w:val="24"/>
          <w:shd w:val="clear" w:color="auto" w:fill="FFFFFF"/>
        </w:rPr>
        <w:t xml:space="preserve"> the BJMP reported 20 COVID-19-related deaths while the Bureau of Corrections reported 32 confirmed and suspected COVID-19-related deaths</w:t>
      </w:r>
      <w:r w:rsidR="009D1E26">
        <w:rPr>
          <w:rFonts w:ascii="Times New Roman" w:hAnsi="Times New Roman"/>
          <w:sz w:val="24"/>
          <w:szCs w:val="24"/>
        </w:rPr>
        <w:t xml:space="preserve">. </w:t>
      </w:r>
    </w:p>
    <w:p w14:paraId="4BFD00AB" w14:textId="13675DAA" w:rsidR="00302E25" w:rsidRPr="0007701E" w:rsidRDefault="009D1E26" w:rsidP="0007701E">
      <w:pPr>
        <w:pStyle w:val="ListParagraph"/>
        <w:numPr>
          <w:ilvl w:val="0"/>
          <w:numId w:val="7"/>
        </w:numPr>
        <w:spacing w:after="120" w:line="240" w:lineRule="auto"/>
        <w:ind w:left="360"/>
        <w:contextualSpacing w:val="0"/>
        <w:jc w:val="both"/>
        <w:rPr>
          <w:rFonts w:ascii="Times New Roman" w:hAnsi="Times New Roman"/>
          <w:sz w:val="24"/>
          <w:szCs w:val="24"/>
        </w:rPr>
      </w:pPr>
      <w:r>
        <w:rPr>
          <w:rFonts w:ascii="Times New Roman" w:hAnsi="Times New Roman"/>
          <w:sz w:val="24"/>
          <w:szCs w:val="24"/>
        </w:rPr>
        <w:t xml:space="preserve">Depriving detained individuals of adequate access to healthcare and </w:t>
      </w:r>
      <w:r w:rsidR="000268DD">
        <w:rPr>
          <w:rFonts w:ascii="Times New Roman" w:hAnsi="Times New Roman"/>
          <w:sz w:val="24"/>
          <w:szCs w:val="24"/>
        </w:rPr>
        <w:t>detaining them</w:t>
      </w:r>
      <w:r w:rsidR="0008158F">
        <w:rPr>
          <w:rFonts w:ascii="Times New Roman" w:hAnsi="Times New Roman"/>
          <w:sz w:val="24"/>
          <w:szCs w:val="24"/>
        </w:rPr>
        <w:t xml:space="preserve"> in crowded facilities</w:t>
      </w:r>
      <w:r>
        <w:rPr>
          <w:rFonts w:ascii="Times New Roman" w:hAnsi="Times New Roman"/>
          <w:sz w:val="24"/>
          <w:szCs w:val="24"/>
        </w:rPr>
        <w:t xml:space="preserve"> (particularly during a </w:t>
      </w:r>
      <w:r w:rsidR="000268DD">
        <w:rPr>
          <w:rFonts w:ascii="Times New Roman" w:hAnsi="Times New Roman"/>
          <w:sz w:val="24"/>
          <w:szCs w:val="24"/>
        </w:rPr>
        <w:t xml:space="preserve">global </w:t>
      </w:r>
      <w:r>
        <w:rPr>
          <w:rFonts w:ascii="Times New Roman" w:hAnsi="Times New Roman"/>
          <w:sz w:val="24"/>
          <w:szCs w:val="24"/>
        </w:rPr>
        <w:t>pandemic) is a potential violation of Article 6</w:t>
      </w:r>
      <w:r w:rsidR="00AE488B">
        <w:rPr>
          <w:rFonts w:ascii="Times New Roman" w:hAnsi="Times New Roman"/>
          <w:sz w:val="24"/>
          <w:szCs w:val="24"/>
        </w:rPr>
        <w:t xml:space="preserve"> of the ICCPR.</w:t>
      </w:r>
      <w:r w:rsidR="00AE488B">
        <w:rPr>
          <w:rStyle w:val="FootnoteReference"/>
          <w:rFonts w:ascii="Times New Roman" w:hAnsi="Times New Roman"/>
          <w:sz w:val="24"/>
          <w:szCs w:val="24"/>
        </w:rPr>
        <w:footnoteReference w:id="62"/>
      </w:r>
    </w:p>
    <w:p w14:paraId="1D986F68" w14:textId="7ED6CA62" w:rsidR="00540992" w:rsidRPr="0007701E" w:rsidRDefault="002409D9" w:rsidP="0007701E">
      <w:pPr>
        <w:pStyle w:val="ListParagraph"/>
        <w:numPr>
          <w:ilvl w:val="0"/>
          <w:numId w:val="8"/>
        </w:numPr>
        <w:spacing w:before="240" w:after="240" w:line="240" w:lineRule="auto"/>
        <w:contextualSpacing w:val="0"/>
        <w:jc w:val="both"/>
        <w:rPr>
          <w:rFonts w:ascii="Times New Roman" w:hAnsi="Times New Roman"/>
          <w:b/>
          <w:bCs/>
          <w:sz w:val="24"/>
          <w:szCs w:val="24"/>
        </w:rPr>
      </w:pPr>
      <w:r>
        <w:rPr>
          <w:rFonts w:ascii="Times New Roman" w:hAnsi="Times New Roman"/>
          <w:b/>
          <w:bCs/>
          <w:sz w:val="24"/>
          <w:szCs w:val="24"/>
        </w:rPr>
        <w:t>Administration of Justice and Fair Trial</w:t>
      </w:r>
      <w:r w:rsidR="00617291">
        <w:rPr>
          <w:rFonts w:ascii="Times New Roman" w:hAnsi="Times New Roman"/>
          <w:b/>
          <w:bCs/>
          <w:sz w:val="24"/>
          <w:szCs w:val="24"/>
        </w:rPr>
        <w:t xml:space="preserve"> (</w:t>
      </w:r>
      <w:r w:rsidR="00C3380C">
        <w:rPr>
          <w:rFonts w:ascii="Times New Roman" w:hAnsi="Times New Roman"/>
          <w:b/>
          <w:bCs/>
          <w:sz w:val="24"/>
          <w:szCs w:val="24"/>
        </w:rPr>
        <w:t>ICCPR, article 14)</w:t>
      </w:r>
    </w:p>
    <w:p w14:paraId="1B4C1E24" w14:textId="39A08F81" w:rsidR="00541A41" w:rsidRPr="003E156C" w:rsidRDefault="00541A41" w:rsidP="008502DD">
      <w:pPr>
        <w:pStyle w:val="ListParagraph"/>
        <w:numPr>
          <w:ilvl w:val="0"/>
          <w:numId w:val="7"/>
        </w:numPr>
        <w:spacing w:after="120" w:line="240" w:lineRule="auto"/>
        <w:ind w:left="360"/>
        <w:contextualSpacing w:val="0"/>
        <w:jc w:val="both"/>
        <w:rPr>
          <w:rFonts w:ascii="Times New Roman" w:hAnsi="Times New Roman"/>
          <w:sz w:val="24"/>
          <w:szCs w:val="24"/>
        </w:rPr>
      </w:pPr>
      <w:r w:rsidRPr="003E156C">
        <w:rPr>
          <w:rFonts w:ascii="Times New Roman" w:hAnsi="Times New Roman"/>
          <w:sz w:val="24"/>
          <w:szCs w:val="24"/>
        </w:rPr>
        <w:t xml:space="preserve">In 2004, the Supreme Court of the Philippines admitted in </w:t>
      </w:r>
      <w:r w:rsidRPr="003E156C">
        <w:rPr>
          <w:rFonts w:ascii="Times New Roman" w:hAnsi="Times New Roman"/>
          <w:i/>
          <w:iCs/>
          <w:sz w:val="24"/>
          <w:szCs w:val="24"/>
        </w:rPr>
        <w:t>People v. Mateo</w:t>
      </w:r>
      <w:r w:rsidRPr="003E156C">
        <w:rPr>
          <w:rFonts w:ascii="Times New Roman" w:hAnsi="Times New Roman"/>
          <w:sz w:val="24"/>
          <w:szCs w:val="24"/>
        </w:rPr>
        <w:t xml:space="preserve"> that 71.77% of death penalty convictions were wrong and were either modified or overturned.</w:t>
      </w:r>
      <w:r w:rsidR="00F94085" w:rsidRPr="003E156C">
        <w:rPr>
          <w:rStyle w:val="FootnoteReference"/>
          <w:rFonts w:ascii="Times New Roman" w:hAnsi="Times New Roman"/>
          <w:sz w:val="24"/>
          <w:szCs w:val="24"/>
        </w:rPr>
        <w:footnoteReference w:id="63"/>
      </w:r>
    </w:p>
    <w:p w14:paraId="6447DCFC" w14:textId="557E4261" w:rsidR="00540992" w:rsidRPr="003E156C" w:rsidRDefault="003E156C" w:rsidP="008502DD">
      <w:pPr>
        <w:pStyle w:val="ListParagraph"/>
        <w:numPr>
          <w:ilvl w:val="0"/>
          <w:numId w:val="7"/>
        </w:numPr>
        <w:spacing w:after="120" w:line="240" w:lineRule="auto"/>
        <w:ind w:left="360"/>
        <w:contextualSpacing w:val="0"/>
        <w:jc w:val="both"/>
        <w:rPr>
          <w:rFonts w:ascii="Times New Roman" w:hAnsi="Times New Roman"/>
          <w:sz w:val="24"/>
          <w:szCs w:val="24"/>
        </w:rPr>
      </w:pPr>
      <w:r w:rsidRPr="003E156C">
        <w:rPr>
          <w:rFonts w:ascii="Times New Roman" w:hAnsi="Times New Roman"/>
          <w:sz w:val="24"/>
          <w:szCs w:val="24"/>
        </w:rPr>
        <w:t>In addition to re-introducing the death penalty for certain crimes, House Bill 7814 also provides for the presumption of guilt for individuals accused of trafficking and drug crimes.</w:t>
      </w:r>
      <w:r w:rsidRPr="003E156C">
        <w:rPr>
          <w:rStyle w:val="FootnoteReference"/>
          <w:rFonts w:ascii="Times New Roman" w:hAnsi="Times New Roman"/>
          <w:sz w:val="24"/>
          <w:szCs w:val="24"/>
        </w:rPr>
        <w:footnoteReference w:id="64"/>
      </w:r>
      <w:r w:rsidRPr="003E156C">
        <w:rPr>
          <w:rFonts w:ascii="Times New Roman" w:hAnsi="Times New Roman"/>
          <w:sz w:val="24"/>
          <w:szCs w:val="24"/>
        </w:rPr>
        <w:t xml:space="preserve"> </w:t>
      </w:r>
      <w:r w:rsidR="00540992" w:rsidRPr="003E156C">
        <w:rPr>
          <w:rFonts w:ascii="Times New Roman" w:hAnsi="Times New Roman"/>
          <w:sz w:val="24"/>
          <w:szCs w:val="24"/>
        </w:rPr>
        <w:t xml:space="preserve">The presumption of guilt for people accused of being drug traffickers, financiers, protectors, “coddlers,” or otherwise being involved in illegal drugs </w:t>
      </w:r>
      <w:r w:rsidRPr="003E156C">
        <w:rPr>
          <w:rFonts w:ascii="Times New Roman" w:hAnsi="Times New Roman"/>
          <w:sz w:val="24"/>
          <w:szCs w:val="24"/>
        </w:rPr>
        <w:t xml:space="preserve">violates due process, and thus contravenes </w:t>
      </w:r>
      <w:r>
        <w:rPr>
          <w:rFonts w:ascii="Times New Roman" w:hAnsi="Times New Roman"/>
          <w:sz w:val="24"/>
          <w:szCs w:val="24"/>
        </w:rPr>
        <w:t xml:space="preserve">Article </w:t>
      </w:r>
      <w:r w:rsidR="00A65EE6">
        <w:rPr>
          <w:rFonts w:ascii="Times New Roman" w:hAnsi="Times New Roman"/>
          <w:sz w:val="24"/>
          <w:szCs w:val="24"/>
        </w:rPr>
        <w:t>3</w:t>
      </w:r>
      <w:r>
        <w:rPr>
          <w:rFonts w:ascii="Times New Roman" w:hAnsi="Times New Roman"/>
          <w:sz w:val="24"/>
          <w:szCs w:val="24"/>
        </w:rPr>
        <w:t xml:space="preserve"> of the </w:t>
      </w:r>
      <w:r w:rsidRPr="003E156C">
        <w:rPr>
          <w:rFonts w:ascii="Times New Roman" w:hAnsi="Times New Roman"/>
          <w:sz w:val="24"/>
          <w:szCs w:val="24"/>
        </w:rPr>
        <w:t>Constitution.</w:t>
      </w:r>
      <w:r>
        <w:rPr>
          <w:rStyle w:val="FootnoteReference"/>
          <w:rFonts w:ascii="Times New Roman" w:hAnsi="Times New Roman"/>
          <w:sz w:val="24"/>
          <w:szCs w:val="24"/>
        </w:rPr>
        <w:footnoteReference w:id="65"/>
      </w:r>
      <w:r w:rsidR="00540992" w:rsidRPr="003E156C">
        <w:rPr>
          <w:rFonts w:ascii="Times New Roman" w:hAnsi="Times New Roman"/>
          <w:sz w:val="24"/>
          <w:szCs w:val="24"/>
        </w:rPr>
        <w:t xml:space="preserve"> </w:t>
      </w:r>
      <w:r w:rsidRPr="003E156C">
        <w:rPr>
          <w:rFonts w:ascii="Times New Roman" w:hAnsi="Times New Roman"/>
          <w:sz w:val="24"/>
          <w:szCs w:val="24"/>
        </w:rPr>
        <w:t xml:space="preserve">This provision of House Bill 7814 </w:t>
      </w:r>
      <w:r w:rsidR="00A90942">
        <w:rPr>
          <w:rFonts w:ascii="Times New Roman" w:hAnsi="Times New Roman"/>
          <w:sz w:val="24"/>
          <w:szCs w:val="24"/>
        </w:rPr>
        <w:t xml:space="preserve">would undermine the right to a fair trial </w:t>
      </w:r>
      <w:r w:rsidR="00F04592">
        <w:rPr>
          <w:rFonts w:ascii="Times New Roman" w:hAnsi="Times New Roman"/>
          <w:sz w:val="24"/>
          <w:szCs w:val="24"/>
        </w:rPr>
        <w:t>in capital cases</w:t>
      </w:r>
      <w:r w:rsidR="00540992" w:rsidRPr="003E156C">
        <w:rPr>
          <w:rFonts w:ascii="Times New Roman" w:hAnsi="Times New Roman"/>
          <w:sz w:val="24"/>
          <w:szCs w:val="24"/>
        </w:rPr>
        <w:t>.</w:t>
      </w:r>
      <w:r w:rsidR="00540992" w:rsidRPr="003E156C">
        <w:rPr>
          <w:rStyle w:val="FootnoteReference"/>
          <w:rFonts w:ascii="Times New Roman" w:hAnsi="Times New Roman"/>
          <w:sz w:val="24"/>
          <w:szCs w:val="24"/>
        </w:rPr>
        <w:footnoteReference w:id="66"/>
      </w:r>
    </w:p>
    <w:p w14:paraId="33E1B868" w14:textId="7E252E42" w:rsidR="002409D9" w:rsidRPr="0007701E" w:rsidRDefault="00540992" w:rsidP="008502DD">
      <w:pPr>
        <w:pStyle w:val="ListParagraph"/>
        <w:numPr>
          <w:ilvl w:val="0"/>
          <w:numId w:val="7"/>
        </w:numPr>
        <w:spacing w:after="120" w:line="240" w:lineRule="auto"/>
        <w:ind w:left="360"/>
        <w:contextualSpacing w:val="0"/>
        <w:jc w:val="both"/>
        <w:rPr>
          <w:rFonts w:ascii="Times New Roman" w:hAnsi="Times New Roman"/>
          <w:sz w:val="24"/>
          <w:szCs w:val="24"/>
        </w:rPr>
      </w:pPr>
      <w:r w:rsidRPr="00540992">
        <w:rPr>
          <w:rFonts w:ascii="Times New Roman" w:hAnsi="Times New Roman"/>
          <w:sz w:val="24"/>
          <w:szCs w:val="24"/>
        </w:rPr>
        <w:lastRenderedPageBreak/>
        <w:t>In 2018, the Public Attorney’s Office (PAO) Accomplishment Report stated that each PAO lawyer handles 465 cases per year.</w:t>
      </w:r>
      <w:r w:rsidR="00541A41">
        <w:rPr>
          <w:rStyle w:val="FootnoteReference"/>
          <w:rFonts w:ascii="Times New Roman" w:hAnsi="Times New Roman"/>
          <w:sz w:val="24"/>
          <w:szCs w:val="24"/>
        </w:rPr>
        <w:footnoteReference w:id="67"/>
      </w:r>
      <w:r w:rsidRPr="00540992">
        <w:rPr>
          <w:rFonts w:ascii="Times New Roman" w:hAnsi="Times New Roman"/>
          <w:sz w:val="24"/>
          <w:szCs w:val="24"/>
        </w:rPr>
        <w:t xml:space="preserve"> Given the heavy caseload and operational problems in the PAO, the PAO </w:t>
      </w:r>
      <w:r w:rsidR="00213B20">
        <w:rPr>
          <w:rFonts w:ascii="Times New Roman" w:hAnsi="Times New Roman"/>
          <w:sz w:val="24"/>
          <w:szCs w:val="24"/>
        </w:rPr>
        <w:t xml:space="preserve">would not be able to </w:t>
      </w:r>
      <w:r w:rsidRPr="00540992">
        <w:rPr>
          <w:rFonts w:ascii="Times New Roman" w:hAnsi="Times New Roman"/>
          <w:sz w:val="24"/>
          <w:szCs w:val="24"/>
        </w:rPr>
        <w:t>ensure protection</w:t>
      </w:r>
      <w:r w:rsidR="00213B20">
        <w:rPr>
          <w:rFonts w:ascii="Times New Roman" w:hAnsi="Times New Roman"/>
          <w:sz w:val="24"/>
          <w:szCs w:val="24"/>
        </w:rPr>
        <w:t xml:space="preserve"> of fair trial rights</w:t>
      </w:r>
      <w:r w:rsidRPr="00540992">
        <w:rPr>
          <w:rFonts w:ascii="Times New Roman" w:hAnsi="Times New Roman"/>
          <w:sz w:val="24"/>
          <w:szCs w:val="24"/>
        </w:rPr>
        <w:t xml:space="preserve"> for people from disadvantaged socioeconomic backgrounds </w:t>
      </w:r>
      <w:r w:rsidR="00213B20">
        <w:rPr>
          <w:rFonts w:ascii="Times New Roman" w:hAnsi="Times New Roman"/>
          <w:sz w:val="24"/>
          <w:szCs w:val="24"/>
        </w:rPr>
        <w:t>who could be charged with capital offenses</w:t>
      </w:r>
      <w:r w:rsidR="00541A41">
        <w:rPr>
          <w:rFonts w:ascii="Times New Roman" w:hAnsi="Times New Roman"/>
          <w:sz w:val="24"/>
          <w:szCs w:val="24"/>
        </w:rPr>
        <w:t>.</w:t>
      </w:r>
      <w:r w:rsidR="00541A41">
        <w:rPr>
          <w:rStyle w:val="FootnoteReference"/>
          <w:rFonts w:ascii="Times New Roman" w:hAnsi="Times New Roman"/>
          <w:sz w:val="24"/>
          <w:szCs w:val="24"/>
        </w:rPr>
        <w:footnoteReference w:id="68"/>
      </w:r>
    </w:p>
    <w:p w14:paraId="4F55629F" w14:textId="77777777" w:rsidR="00751376" w:rsidRPr="00C26C6E" w:rsidRDefault="00751376" w:rsidP="00C26C6E">
      <w:pPr>
        <w:pStyle w:val="ListParagraph"/>
        <w:numPr>
          <w:ilvl w:val="0"/>
          <w:numId w:val="8"/>
        </w:numPr>
        <w:spacing w:before="240" w:after="240" w:line="240" w:lineRule="auto"/>
        <w:contextualSpacing w:val="0"/>
        <w:jc w:val="both"/>
        <w:rPr>
          <w:rFonts w:ascii="Times New Roman" w:hAnsi="Times New Roman"/>
          <w:b/>
          <w:bCs/>
          <w:sz w:val="24"/>
          <w:szCs w:val="24"/>
        </w:rPr>
      </w:pPr>
      <w:r w:rsidRPr="00C26C6E">
        <w:rPr>
          <w:rFonts w:ascii="Times New Roman" w:hAnsi="Times New Roman"/>
          <w:b/>
          <w:bCs/>
          <w:sz w:val="24"/>
          <w:szCs w:val="24"/>
        </w:rPr>
        <w:t xml:space="preserve">Suggested </w:t>
      </w:r>
      <w:r w:rsidR="00EA4204" w:rsidRPr="00C26C6E">
        <w:rPr>
          <w:rFonts w:ascii="Times New Roman" w:hAnsi="Times New Roman"/>
          <w:b/>
          <w:bCs/>
          <w:sz w:val="24"/>
          <w:szCs w:val="24"/>
        </w:rPr>
        <w:t xml:space="preserve">Recommendations </w:t>
      </w:r>
      <w:r w:rsidRPr="00C26C6E">
        <w:rPr>
          <w:rFonts w:ascii="Times New Roman" w:hAnsi="Times New Roman"/>
          <w:b/>
          <w:bCs/>
          <w:sz w:val="24"/>
          <w:szCs w:val="24"/>
        </w:rPr>
        <w:t>for the Philippines</w:t>
      </w:r>
      <w:r w:rsidR="00EA0EEB" w:rsidRPr="00C26C6E">
        <w:rPr>
          <w:rFonts w:ascii="Times New Roman" w:hAnsi="Times New Roman"/>
          <w:b/>
          <w:bCs/>
          <w:sz w:val="24"/>
          <w:szCs w:val="24"/>
        </w:rPr>
        <w:t xml:space="preserve"> </w:t>
      </w:r>
    </w:p>
    <w:p w14:paraId="5E2B8966" w14:textId="592812B8" w:rsidR="00C26C6E" w:rsidRPr="00C26C6E" w:rsidRDefault="00C26C6E" w:rsidP="00C26C6E">
      <w:pPr>
        <w:pStyle w:val="ListParagraph"/>
        <w:numPr>
          <w:ilvl w:val="0"/>
          <w:numId w:val="7"/>
        </w:numPr>
        <w:spacing w:after="120" w:line="240" w:lineRule="auto"/>
        <w:ind w:left="360"/>
        <w:contextualSpacing w:val="0"/>
        <w:jc w:val="both"/>
        <w:rPr>
          <w:rFonts w:ascii="Times New Roman" w:hAnsi="Times New Roman"/>
          <w:sz w:val="24"/>
          <w:szCs w:val="24"/>
        </w:rPr>
      </w:pPr>
      <w:r w:rsidRPr="00C26C6E">
        <w:rPr>
          <w:rFonts w:ascii="Times New Roman" w:hAnsi="Times New Roman"/>
          <w:sz w:val="24"/>
          <w:szCs w:val="24"/>
        </w:rPr>
        <w:t xml:space="preserve">The coauthors of this report offer the following suggested recommendations: </w:t>
      </w:r>
    </w:p>
    <w:p w14:paraId="0074EFD0" w14:textId="7597DDF9" w:rsidR="00751376" w:rsidRPr="00751376" w:rsidRDefault="00C75653"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751376">
        <w:rPr>
          <w:rFonts w:ascii="Times New Roman" w:hAnsi="Times New Roman"/>
          <w:sz w:val="24"/>
          <w:szCs w:val="24"/>
        </w:rPr>
        <w:t xml:space="preserve">Honor all commitments pursuant to human rights treaties the country has ratified or acceded to, specifically those under the Second Optional Protocol to the ICCPR and the Convention Against Torture.  </w:t>
      </w:r>
    </w:p>
    <w:p w14:paraId="3E4D937B" w14:textId="34E6AFC7" w:rsidR="00751376" w:rsidRPr="00751376" w:rsidRDefault="00334168"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Pr>
          <w:rFonts w:ascii="Times New Roman" w:hAnsi="Times New Roman"/>
          <w:sz w:val="24"/>
          <w:szCs w:val="24"/>
        </w:rPr>
        <w:t xml:space="preserve">Reaffirm its commitment to </w:t>
      </w:r>
      <w:r w:rsidR="00C75653" w:rsidRPr="00751376">
        <w:rPr>
          <w:rFonts w:ascii="Times New Roman" w:hAnsi="Times New Roman"/>
          <w:sz w:val="24"/>
          <w:szCs w:val="24"/>
        </w:rPr>
        <w:t xml:space="preserve">the abolition of the death penalty. </w:t>
      </w:r>
    </w:p>
    <w:p w14:paraId="6BA896EB" w14:textId="62D8E8D9" w:rsidR="00AF2A00" w:rsidRDefault="00C75653"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751376">
        <w:rPr>
          <w:rFonts w:ascii="Times New Roman" w:hAnsi="Times New Roman"/>
          <w:sz w:val="24"/>
          <w:szCs w:val="24"/>
        </w:rPr>
        <w:t>Immediately call for the abandonment of all existing efforts</w:t>
      </w:r>
      <w:r w:rsidR="00E55AC8">
        <w:rPr>
          <w:rFonts w:ascii="Times New Roman" w:hAnsi="Times New Roman"/>
          <w:sz w:val="24"/>
          <w:szCs w:val="24"/>
        </w:rPr>
        <w:t>—</w:t>
      </w:r>
      <w:r w:rsidRPr="00751376">
        <w:rPr>
          <w:rFonts w:ascii="Times New Roman" w:hAnsi="Times New Roman"/>
          <w:sz w:val="24"/>
          <w:szCs w:val="24"/>
        </w:rPr>
        <w:t>legislative or otherwise</w:t>
      </w:r>
      <w:r w:rsidR="00E55AC8">
        <w:rPr>
          <w:rFonts w:ascii="Times New Roman" w:hAnsi="Times New Roman"/>
          <w:sz w:val="24"/>
          <w:szCs w:val="24"/>
        </w:rPr>
        <w:t>—</w:t>
      </w:r>
      <w:r w:rsidRPr="00751376">
        <w:rPr>
          <w:rFonts w:ascii="Times New Roman" w:hAnsi="Times New Roman"/>
          <w:sz w:val="24"/>
          <w:szCs w:val="24"/>
        </w:rPr>
        <w:t xml:space="preserve">to reintroduce the death penalty, </w:t>
      </w:r>
      <w:r w:rsidR="00E55AC8">
        <w:rPr>
          <w:rFonts w:ascii="Times New Roman" w:hAnsi="Times New Roman"/>
          <w:sz w:val="24"/>
          <w:szCs w:val="24"/>
        </w:rPr>
        <w:t xml:space="preserve">including </w:t>
      </w:r>
      <w:r w:rsidRPr="00751376">
        <w:rPr>
          <w:rFonts w:ascii="Times New Roman" w:hAnsi="Times New Roman"/>
          <w:sz w:val="24"/>
          <w:szCs w:val="24"/>
        </w:rPr>
        <w:t xml:space="preserve">a </w:t>
      </w:r>
      <w:r w:rsidR="00E55AC8">
        <w:rPr>
          <w:rFonts w:ascii="Times New Roman" w:hAnsi="Times New Roman"/>
          <w:sz w:val="24"/>
          <w:szCs w:val="24"/>
        </w:rPr>
        <w:t xml:space="preserve">proposed </w:t>
      </w:r>
      <w:r w:rsidRPr="00751376">
        <w:rPr>
          <w:rFonts w:ascii="Times New Roman" w:hAnsi="Times New Roman"/>
          <w:sz w:val="24"/>
          <w:szCs w:val="24"/>
        </w:rPr>
        <w:t xml:space="preserve">mandatory death </w:t>
      </w:r>
      <w:r w:rsidR="00137BFF">
        <w:rPr>
          <w:rFonts w:ascii="Times New Roman" w:hAnsi="Times New Roman"/>
          <w:sz w:val="24"/>
          <w:szCs w:val="24"/>
        </w:rPr>
        <w:t>sentence</w:t>
      </w:r>
      <w:r w:rsidRPr="00751376">
        <w:rPr>
          <w:rFonts w:ascii="Times New Roman" w:hAnsi="Times New Roman"/>
          <w:sz w:val="24"/>
          <w:szCs w:val="24"/>
        </w:rPr>
        <w:t xml:space="preserve"> for drug-related offenses, as contrary to the country’s obligations under international human rights law</w:t>
      </w:r>
      <w:r w:rsidR="00E5611C">
        <w:rPr>
          <w:rFonts w:ascii="Times New Roman" w:hAnsi="Times New Roman"/>
          <w:sz w:val="24"/>
          <w:szCs w:val="24"/>
        </w:rPr>
        <w:t>.</w:t>
      </w:r>
    </w:p>
    <w:p w14:paraId="5C63C1C6" w14:textId="77777777" w:rsidR="00AF2A00" w:rsidRPr="00AF2A00" w:rsidRDefault="00AF2A00"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AF2A00">
        <w:rPr>
          <w:rFonts w:ascii="Times New Roman" w:hAnsi="Times New Roman"/>
          <w:sz w:val="24"/>
          <w:szCs w:val="24"/>
        </w:rPr>
        <w:t xml:space="preserve">Refrain from future campaigns and legislative efforts to reintroduce the death penalty. </w:t>
      </w:r>
    </w:p>
    <w:p w14:paraId="066874B2" w14:textId="77777777" w:rsidR="00AF2A00" w:rsidRPr="00AF2A00" w:rsidRDefault="00AF2A00"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AF2A00">
        <w:rPr>
          <w:rFonts w:ascii="Times New Roman" w:hAnsi="Times New Roman"/>
          <w:sz w:val="24"/>
          <w:szCs w:val="24"/>
        </w:rPr>
        <w:t xml:space="preserve">Provide administrative and executive support to elected officials who strive to maintain the abolition of the death penalty. </w:t>
      </w:r>
    </w:p>
    <w:p w14:paraId="17A62FD1" w14:textId="088BDA11" w:rsidR="00AF2A00" w:rsidRPr="00AF2A00" w:rsidRDefault="00AF2A00"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AF2A00">
        <w:rPr>
          <w:rFonts w:ascii="Times New Roman" w:hAnsi="Times New Roman"/>
          <w:sz w:val="24"/>
          <w:szCs w:val="24"/>
        </w:rPr>
        <w:t xml:space="preserve">Undertake efforts to collaborate with civil society and the Commission on Human Rights to elaborate and implement a human-rights based approach to </w:t>
      </w:r>
      <w:r w:rsidR="00107DD5">
        <w:rPr>
          <w:rFonts w:ascii="Times New Roman" w:hAnsi="Times New Roman"/>
          <w:sz w:val="24"/>
          <w:szCs w:val="24"/>
        </w:rPr>
        <w:t xml:space="preserve">the </w:t>
      </w:r>
      <w:r w:rsidRPr="00AF2A00">
        <w:rPr>
          <w:rFonts w:ascii="Times New Roman" w:hAnsi="Times New Roman"/>
          <w:sz w:val="24"/>
          <w:szCs w:val="24"/>
        </w:rPr>
        <w:t>anti-drug policy.</w:t>
      </w:r>
    </w:p>
    <w:p w14:paraId="0ECD1BE2" w14:textId="77777777" w:rsidR="00AF2A00" w:rsidRPr="00AF2A00" w:rsidRDefault="00AF2A00"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AF2A00">
        <w:rPr>
          <w:rFonts w:ascii="Times New Roman" w:hAnsi="Times New Roman"/>
          <w:sz w:val="24"/>
          <w:szCs w:val="24"/>
        </w:rPr>
        <w:t xml:space="preserve">End illegal arrests, ensure fair trials and an independent judiciary, and eradicate impunity for human rights violations arising in the context of the administration of justice. </w:t>
      </w:r>
    </w:p>
    <w:p w14:paraId="7885B32B" w14:textId="6154064F" w:rsidR="00AF2A00" w:rsidRPr="00AF2A00" w:rsidRDefault="00AF2A00"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AF2A00">
        <w:rPr>
          <w:rFonts w:ascii="Times New Roman" w:hAnsi="Times New Roman"/>
          <w:sz w:val="24"/>
          <w:szCs w:val="24"/>
        </w:rPr>
        <w:t>Conduct an independent and impartial investigation of poor detention conditions</w:t>
      </w:r>
      <w:r w:rsidR="008C3877">
        <w:rPr>
          <w:rFonts w:ascii="Times New Roman" w:hAnsi="Times New Roman"/>
          <w:sz w:val="24"/>
          <w:szCs w:val="24"/>
        </w:rPr>
        <w:t xml:space="preserve"> </w:t>
      </w:r>
      <w:r w:rsidRPr="00AF2A00">
        <w:rPr>
          <w:rFonts w:ascii="Times New Roman" w:hAnsi="Times New Roman"/>
          <w:sz w:val="24"/>
          <w:szCs w:val="24"/>
        </w:rPr>
        <w:t xml:space="preserve">and </w:t>
      </w:r>
      <w:r w:rsidR="00D17B34">
        <w:rPr>
          <w:rFonts w:ascii="Times New Roman" w:hAnsi="Times New Roman"/>
          <w:sz w:val="24"/>
          <w:szCs w:val="24"/>
        </w:rPr>
        <w:t>increase</w:t>
      </w:r>
      <w:r w:rsidRPr="00AF2A00">
        <w:rPr>
          <w:rFonts w:ascii="Times New Roman" w:hAnsi="Times New Roman"/>
          <w:sz w:val="24"/>
          <w:szCs w:val="24"/>
        </w:rPr>
        <w:t xml:space="preserve"> efforts to ensure that detention conditions comply with the Nelson Mandela Rules. </w:t>
      </w:r>
    </w:p>
    <w:p w14:paraId="08FA1599" w14:textId="7EFAAA48" w:rsidR="00AF2A00" w:rsidRPr="00AF2A00" w:rsidRDefault="00AF2A00"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AF2A00">
        <w:rPr>
          <w:rFonts w:ascii="Times New Roman" w:hAnsi="Times New Roman"/>
          <w:sz w:val="24"/>
          <w:szCs w:val="24"/>
        </w:rPr>
        <w:t xml:space="preserve">Provide enhanced funding and human resources to the Public Attorney’s Office to ensure that defendants who have limited financial means to defend themselves are afforded </w:t>
      </w:r>
      <w:r w:rsidR="00D17B34">
        <w:rPr>
          <w:rFonts w:ascii="Times New Roman" w:hAnsi="Times New Roman"/>
          <w:sz w:val="24"/>
          <w:szCs w:val="24"/>
        </w:rPr>
        <w:t>comprehensive and</w:t>
      </w:r>
      <w:r w:rsidRPr="00AF2A00">
        <w:rPr>
          <w:rFonts w:ascii="Times New Roman" w:hAnsi="Times New Roman"/>
          <w:sz w:val="24"/>
          <w:szCs w:val="24"/>
        </w:rPr>
        <w:t xml:space="preserve"> effective legal assistance, including well qualified legal counsel and funding for carrying out an investigation to gather evidence for the defense</w:t>
      </w:r>
      <w:r w:rsidR="008C3877">
        <w:rPr>
          <w:rFonts w:ascii="Times New Roman" w:hAnsi="Times New Roman"/>
          <w:sz w:val="24"/>
          <w:szCs w:val="24"/>
        </w:rPr>
        <w:t xml:space="preserve">, prioritizing </w:t>
      </w:r>
      <w:r w:rsidR="00AD1578">
        <w:rPr>
          <w:rFonts w:ascii="Times New Roman" w:hAnsi="Times New Roman"/>
          <w:sz w:val="24"/>
          <w:szCs w:val="24"/>
        </w:rPr>
        <w:t>defendants charged with the most serious crimes</w:t>
      </w:r>
      <w:r w:rsidRPr="00AF2A00">
        <w:rPr>
          <w:rFonts w:ascii="Times New Roman" w:hAnsi="Times New Roman"/>
          <w:sz w:val="24"/>
          <w:szCs w:val="24"/>
        </w:rPr>
        <w:t xml:space="preserve">. </w:t>
      </w:r>
    </w:p>
    <w:p w14:paraId="4ADDE547" w14:textId="73B339E8" w:rsidR="00AF2A00" w:rsidRPr="00AF2A00" w:rsidRDefault="00AF2A00" w:rsidP="0007701E">
      <w:pPr>
        <w:pStyle w:val="ListParagraph"/>
        <w:numPr>
          <w:ilvl w:val="0"/>
          <w:numId w:val="10"/>
        </w:numPr>
        <w:spacing w:after="120" w:line="240" w:lineRule="auto"/>
        <w:ind w:left="1440"/>
        <w:contextualSpacing w:val="0"/>
        <w:jc w:val="both"/>
        <w:rPr>
          <w:rFonts w:ascii="Times New Roman" w:hAnsi="Times New Roman"/>
          <w:b/>
          <w:sz w:val="24"/>
          <w:szCs w:val="24"/>
        </w:rPr>
      </w:pPr>
      <w:r w:rsidRPr="00AF2A00">
        <w:rPr>
          <w:rFonts w:ascii="Times New Roman" w:hAnsi="Times New Roman"/>
          <w:sz w:val="24"/>
          <w:szCs w:val="24"/>
        </w:rPr>
        <w:t>Create a National Preventive Mechanism against torture</w:t>
      </w:r>
      <w:r w:rsidR="00D17B34">
        <w:rPr>
          <w:rFonts w:ascii="Times New Roman" w:hAnsi="Times New Roman"/>
          <w:sz w:val="24"/>
          <w:szCs w:val="24"/>
        </w:rPr>
        <w:t>.</w:t>
      </w:r>
    </w:p>
    <w:p w14:paraId="755E9337" w14:textId="77777777" w:rsidR="00751376" w:rsidRPr="00751376" w:rsidRDefault="00751376" w:rsidP="00AF2A00">
      <w:pPr>
        <w:pStyle w:val="ListParagraph"/>
        <w:keepNext/>
        <w:spacing w:before="240" w:after="120"/>
        <w:ind w:left="1440"/>
        <w:jc w:val="both"/>
        <w:rPr>
          <w:rFonts w:ascii="Times New Roman" w:hAnsi="Times New Roman"/>
          <w:b/>
          <w:sz w:val="24"/>
          <w:szCs w:val="24"/>
        </w:rPr>
      </w:pPr>
    </w:p>
    <w:sectPr w:rsidR="00751376" w:rsidRPr="00751376" w:rsidSect="004B1E4E">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8FA2" w14:textId="77777777" w:rsidR="005D2C2F" w:rsidRDefault="005D2C2F">
      <w:r>
        <w:separator/>
      </w:r>
    </w:p>
  </w:endnote>
  <w:endnote w:type="continuationSeparator" w:id="0">
    <w:p w14:paraId="60E8ED20" w14:textId="77777777" w:rsidR="005D2C2F" w:rsidRDefault="005D2C2F">
      <w:r>
        <w:continuationSeparator/>
      </w:r>
    </w:p>
  </w:endnote>
  <w:endnote w:type="continuationNotice" w:id="1">
    <w:p w14:paraId="70D22209" w14:textId="77777777" w:rsidR="005D2C2F" w:rsidRDefault="005D2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B52" w14:textId="77777777" w:rsidR="008E21D4" w:rsidRDefault="008E21D4">
    <w:pPr>
      <w:pStyle w:val="Footer"/>
      <w:jc w:val="center"/>
    </w:pPr>
    <w:r>
      <w:fldChar w:fldCharType="begin"/>
    </w:r>
    <w:r>
      <w:instrText xml:space="preserve"> PAGE   \* MERGEFORMAT </w:instrText>
    </w:r>
    <w:r>
      <w:fldChar w:fldCharType="separate"/>
    </w:r>
    <w:r>
      <w:rPr>
        <w:noProof/>
      </w:rPr>
      <w:t>2</w:t>
    </w:r>
    <w:r>
      <w:rPr>
        <w:noProof/>
      </w:rPr>
      <w:fldChar w:fldCharType="end"/>
    </w:r>
  </w:p>
  <w:p w14:paraId="36B5F958" w14:textId="77777777" w:rsidR="008E21D4" w:rsidRPr="00C26130" w:rsidRDefault="008E21D4"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8E91" w14:textId="2146F7AB" w:rsidR="008E21D4" w:rsidRPr="00422792" w:rsidRDefault="008E21D4" w:rsidP="00C26130">
    <w:pPr>
      <w:widowControl w:val="0"/>
      <w:jc w:val="center"/>
      <w:rPr>
        <w:color w:val="333333"/>
        <w:lang w:val="en"/>
      </w:rPr>
    </w:pPr>
    <w:r w:rsidRPr="00422792">
      <w:rPr>
        <w:noProof/>
        <w:color w:val="800080"/>
        <w:sz w:val="26"/>
        <w:szCs w:val="26"/>
      </w:rPr>
      <mc:AlternateContent>
        <mc:Choice Requires="wps">
          <w:drawing>
            <wp:anchor distT="0" distB="0" distL="114300" distR="114300" simplePos="0" relativeHeight="251658241" behindDoc="0" locked="0" layoutInCell="1" allowOverlap="1" wp14:anchorId="13FDBD67" wp14:editId="2E5F8390">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3" from="-28.05pt,10.45pt" to="495.55pt,10.45pt" w14:anchorId="49809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w:pict>
        </mc:Fallback>
      </mc:AlternateContent>
    </w:r>
  </w:p>
  <w:p w14:paraId="38491264" w14:textId="5D0AB918" w:rsidR="008E21D4" w:rsidRPr="00422792" w:rsidRDefault="00422792" w:rsidP="00C26130">
    <w:pPr>
      <w:widowControl w:val="0"/>
      <w:jc w:val="center"/>
      <w:rPr>
        <w:i/>
        <w:iCs/>
        <w:color w:val="542344"/>
        <w:sz w:val="23"/>
        <w:szCs w:val="23"/>
        <w:lang w:val="en"/>
      </w:rPr>
    </w:pPr>
    <w:r>
      <w:rPr>
        <w:color w:val="333333"/>
        <w:sz w:val="18"/>
        <w:szCs w:val="18"/>
        <w:lang w:val="en"/>
      </w:rPr>
      <w:t xml:space="preserve">The Advocates for Human Rights </w:t>
    </w:r>
    <w:r w:rsidRPr="00422792">
      <w:rPr>
        <w:color w:val="333333"/>
        <w:sz w:val="18"/>
        <w:szCs w:val="18"/>
        <w:lang w:val="en"/>
      </w:rPr>
      <w:t xml:space="preserve">• </w:t>
    </w:r>
    <w:r w:rsidR="008E21D4" w:rsidRPr="00422792">
      <w:rPr>
        <w:color w:val="333333"/>
        <w:sz w:val="18"/>
        <w:szCs w:val="18"/>
        <w:lang w:val="en"/>
      </w:rPr>
      <w:t xml:space="preserve">330 Second Avenue South • Suite 800 • Minneapolis, MN  55401 • USA </w:t>
    </w:r>
  </w:p>
  <w:p w14:paraId="66534544" w14:textId="77777777" w:rsidR="008E21D4" w:rsidRPr="00422792" w:rsidRDefault="008E21D4" w:rsidP="00E114C5">
    <w:pPr>
      <w:widowControl w:val="0"/>
      <w:jc w:val="center"/>
      <w:rPr>
        <w:color w:val="333333"/>
        <w:sz w:val="18"/>
        <w:szCs w:val="18"/>
        <w:lang w:val="en"/>
      </w:rPr>
    </w:pPr>
    <w:r w:rsidRPr="00422792">
      <w:rPr>
        <w:color w:val="333333"/>
        <w:sz w:val="18"/>
        <w:szCs w:val="18"/>
        <w:lang w:val="en"/>
      </w:rPr>
      <w:t xml:space="preserve">Tel:  612-341-3302 • Fax:  612-341-2971 • Email: hrights@advrights.org • www.TheAdvocatesForHumanRights.org </w:t>
    </w:r>
  </w:p>
  <w:p w14:paraId="239531B9" w14:textId="77777777" w:rsidR="008E21D4" w:rsidRPr="00422792" w:rsidRDefault="008E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5E12" w14:textId="77777777" w:rsidR="005D2C2F" w:rsidRDefault="005D2C2F">
      <w:r>
        <w:separator/>
      </w:r>
    </w:p>
  </w:footnote>
  <w:footnote w:type="continuationSeparator" w:id="0">
    <w:p w14:paraId="3CB1A477" w14:textId="77777777" w:rsidR="005D2C2F" w:rsidRDefault="005D2C2F">
      <w:r>
        <w:continuationSeparator/>
      </w:r>
    </w:p>
  </w:footnote>
  <w:footnote w:type="continuationNotice" w:id="1">
    <w:p w14:paraId="2DE20E05" w14:textId="77777777" w:rsidR="005D2C2F" w:rsidRDefault="005D2C2F"/>
  </w:footnote>
  <w:footnote w:id="2">
    <w:p w14:paraId="6DFAF1AE" w14:textId="1617D58F" w:rsidR="00B438F0" w:rsidRPr="00B438F0" w:rsidRDefault="00B438F0" w:rsidP="00B438F0">
      <w:pPr>
        <w:rPr>
          <w:color w:val="auto"/>
          <w:kern w:val="0"/>
          <w:sz w:val="24"/>
          <w:szCs w:val="24"/>
        </w:rPr>
      </w:pPr>
      <w:r>
        <w:rPr>
          <w:rStyle w:val="FootnoteReference"/>
        </w:rPr>
        <w:footnoteRef/>
      </w:r>
      <w:r>
        <w:t xml:space="preserve"> </w:t>
      </w:r>
      <w:r w:rsidRPr="00B438F0">
        <w:rPr>
          <w:color w:val="auto"/>
          <w:kern w:val="0"/>
        </w:rPr>
        <w:t>Human Rights Watch, Death Penalty Danger in the Philippines (Aug. 5, 2020), hrw.org/news/2020/08/05/death-penalty-danger-</w:t>
      </w:r>
      <w:proofErr w:type="spellStart"/>
      <w:r w:rsidRPr="00B438F0">
        <w:rPr>
          <w:color w:val="auto"/>
          <w:kern w:val="0"/>
        </w:rPr>
        <w:t>philippines</w:t>
      </w:r>
      <w:proofErr w:type="spellEnd"/>
      <w:r w:rsidRPr="00B438F0">
        <w:rPr>
          <w:color w:val="auto"/>
          <w:kern w:val="0"/>
        </w:rPr>
        <w:t>#.</w:t>
      </w:r>
    </w:p>
  </w:footnote>
  <w:footnote w:id="3">
    <w:p w14:paraId="2D20BD42" w14:textId="673A54E9" w:rsidR="00B438F0" w:rsidRPr="00B438F0" w:rsidRDefault="00B438F0" w:rsidP="00B438F0">
      <w:pPr>
        <w:rPr>
          <w:color w:val="auto"/>
          <w:kern w:val="0"/>
        </w:rPr>
      </w:pPr>
      <w:r>
        <w:rPr>
          <w:rStyle w:val="FootnoteReference"/>
        </w:rPr>
        <w:footnoteRef/>
      </w:r>
      <w:r>
        <w:t xml:space="preserve"> </w:t>
      </w:r>
      <w:r w:rsidRPr="00B438F0">
        <w:rPr>
          <w:color w:val="auto"/>
          <w:kern w:val="0"/>
        </w:rPr>
        <w:t>Human Rights Watch, Death Penalty Danger in the Philippines (Aug. 5, 2020), hrw.org/news/2020/08/05/death-penalty-danger-</w:t>
      </w:r>
      <w:proofErr w:type="spellStart"/>
      <w:r w:rsidRPr="00B438F0">
        <w:rPr>
          <w:color w:val="auto"/>
          <w:kern w:val="0"/>
        </w:rPr>
        <w:t>philippines</w:t>
      </w:r>
      <w:proofErr w:type="spellEnd"/>
      <w:r w:rsidRPr="00B438F0">
        <w:rPr>
          <w:color w:val="auto"/>
          <w:kern w:val="0"/>
        </w:rPr>
        <w:t>#.</w:t>
      </w:r>
    </w:p>
  </w:footnote>
  <w:footnote w:id="4">
    <w:p w14:paraId="3AC13441" w14:textId="5E4C8630" w:rsidR="00B438F0" w:rsidRPr="00B438F0" w:rsidRDefault="00B438F0" w:rsidP="00B438F0">
      <w:pPr>
        <w:rPr>
          <w:color w:val="auto"/>
          <w:kern w:val="0"/>
          <w:sz w:val="24"/>
          <w:szCs w:val="24"/>
        </w:rPr>
      </w:pPr>
      <w:r>
        <w:rPr>
          <w:rStyle w:val="FootnoteReference"/>
        </w:rPr>
        <w:footnoteRef/>
      </w:r>
      <w:r>
        <w:t xml:space="preserve"> </w:t>
      </w:r>
      <w:r w:rsidRPr="00B438F0">
        <w:rPr>
          <w:color w:val="auto"/>
          <w:kern w:val="0"/>
        </w:rPr>
        <w:t>Human Rights Watch, Death Penalty Danger in the Philippines (Aug. 5, 2020), hrw.org/news/2020/08/05/death-penalty-danger-</w:t>
      </w:r>
      <w:proofErr w:type="spellStart"/>
      <w:r w:rsidRPr="00B438F0">
        <w:rPr>
          <w:color w:val="auto"/>
          <w:kern w:val="0"/>
        </w:rPr>
        <w:t>philippines</w:t>
      </w:r>
      <w:proofErr w:type="spellEnd"/>
      <w:r w:rsidRPr="00B438F0">
        <w:rPr>
          <w:color w:val="auto"/>
          <w:kern w:val="0"/>
        </w:rPr>
        <w:t>#.</w:t>
      </w:r>
    </w:p>
  </w:footnote>
  <w:footnote w:id="5">
    <w:p w14:paraId="26E7F131" w14:textId="36F0A815" w:rsidR="00B438F0" w:rsidRPr="00B438F0" w:rsidRDefault="00B438F0" w:rsidP="00B438F0">
      <w:pPr>
        <w:rPr>
          <w:color w:val="auto"/>
          <w:kern w:val="0"/>
          <w:sz w:val="24"/>
          <w:szCs w:val="24"/>
        </w:rPr>
      </w:pPr>
      <w:r>
        <w:rPr>
          <w:rStyle w:val="FootnoteReference"/>
        </w:rPr>
        <w:footnoteRef/>
      </w:r>
      <w:r>
        <w:t xml:space="preserve"> </w:t>
      </w:r>
      <w:r w:rsidRPr="00B438F0">
        <w:rPr>
          <w:color w:val="auto"/>
          <w:kern w:val="0"/>
        </w:rPr>
        <w:t>Congress of the Philippines, House Bill No. 7814, available at crime/https://legacy.senate.gov.ph/lisdata/3461031439!.pdf; World Coalition Against the Death Penalty, Adoption of Bill Allowing the Imposition of the Death Penalty for a New Crime (Apr. 30, 2021), available at https://worldcoalition.org/2021/04/30/adoption-of-bill-allowing-the-imposition-of-the-death-penalty-for-a-newcime/https://legacy.senate.gov.ph/lisdata/3461031439!.pdf.</w:t>
      </w:r>
    </w:p>
  </w:footnote>
  <w:footnote w:id="6">
    <w:p w14:paraId="1C5F7542" w14:textId="031EC2B0" w:rsidR="008E21D4" w:rsidRPr="00180E20" w:rsidRDefault="008E21D4">
      <w:pPr>
        <w:pStyle w:val="FootnoteText"/>
        <w:rPr>
          <w:color w:val="auto"/>
        </w:rPr>
      </w:pPr>
      <w:r w:rsidRPr="00180E20">
        <w:rPr>
          <w:rStyle w:val="FootnoteReference"/>
          <w:color w:val="auto"/>
        </w:rPr>
        <w:footnoteRef/>
      </w:r>
      <w:r w:rsidRPr="00180E20">
        <w:rPr>
          <w:color w:val="auto"/>
        </w:rPr>
        <w:t xml:space="preserve"> </w:t>
      </w:r>
      <w:proofErr w:type="spellStart"/>
      <w:r w:rsidR="00180E20" w:rsidRPr="00180E20">
        <w:rPr>
          <w:color w:val="auto"/>
        </w:rPr>
        <w:t>Cathrine</w:t>
      </w:r>
      <w:proofErr w:type="spellEnd"/>
      <w:r w:rsidR="00180E20" w:rsidRPr="00180E20">
        <w:rPr>
          <w:color w:val="auto"/>
        </w:rPr>
        <w:t xml:space="preserve"> Gonzales, </w:t>
      </w:r>
      <w:r w:rsidR="00180E20" w:rsidRPr="00180E20">
        <w:rPr>
          <w:i/>
          <w:iCs/>
          <w:color w:val="auto"/>
        </w:rPr>
        <w:t>Bongbong Marcos believes death penalty not effective in curbing crime rate,</w:t>
      </w:r>
      <w:r w:rsidR="00180E20" w:rsidRPr="00180E20">
        <w:rPr>
          <w:color w:val="auto"/>
        </w:rPr>
        <w:t xml:space="preserve"> Inquirer.net, Mar. 19, 2022, https://newsinfo.inquirer.net/1570706/bongbong-marcos-believes-death-penalty-not-effective-in-curbing-crime-rate.</w:t>
      </w:r>
    </w:p>
  </w:footnote>
  <w:footnote w:id="7">
    <w:p w14:paraId="662038DF" w14:textId="5591C76D" w:rsidR="008E21D4" w:rsidRPr="00180E20" w:rsidRDefault="008E21D4">
      <w:pPr>
        <w:pStyle w:val="FootnoteText"/>
        <w:rPr>
          <w:color w:val="auto"/>
        </w:rPr>
      </w:pPr>
      <w:r w:rsidRPr="00180E20">
        <w:rPr>
          <w:rStyle w:val="FootnoteReference"/>
          <w:color w:val="auto"/>
        </w:rPr>
        <w:footnoteRef/>
      </w:r>
      <w:r w:rsidRPr="00180E20">
        <w:rPr>
          <w:color w:val="auto"/>
        </w:rPr>
        <w:t xml:space="preserve"> </w:t>
      </w:r>
      <w:proofErr w:type="spellStart"/>
      <w:r w:rsidR="00180E20" w:rsidRPr="00180E20">
        <w:rPr>
          <w:color w:val="auto"/>
        </w:rPr>
        <w:t>Cathrine</w:t>
      </w:r>
      <w:proofErr w:type="spellEnd"/>
      <w:r w:rsidR="00180E20" w:rsidRPr="00180E20">
        <w:rPr>
          <w:color w:val="auto"/>
        </w:rPr>
        <w:t xml:space="preserve"> Gonzales, </w:t>
      </w:r>
      <w:r w:rsidR="00180E20" w:rsidRPr="00180E20">
        <w:rPr>
          <w:i/>
          <w:iCs/>
          <w:color w:val="auto"/>
        </w:rPr>
        <w:t>Bongbong Marcos believes death penalty not effective in curbing crime rate,</w:t>
      </w:r>
      <w:r w:rsidR="00180E20" w:rsidRPr="00180E20">
        <w:rPr>
          <w:color w:val="auto"/>
        </w:rPr>
        <w:t xml:space="preserve"> Inquirer.net, Mar. 19, 2022, https://newsinfo.inquirer.net/1570706/bongbong-marcos-believes-death-penalty-not-effective-in-curbing-crime-rate.</w:t>
      </w:r>
    </w:p>
  </w:footnote>
  <w:footnote w:id="8">
    <w:p w14:paraId="4671A0D0" w14:textId="16255D6B" w:rsidR="008E21D4" w:rsidRDefault="008E21D4">
      <w:pPr>
        <w:pStyle w:val="FootnoteText"/>
      </w:pPr>
      <w:r w:rsidRPr="00180E20">
        <w:rPr>
          <w:rStyle w:val="FootnoteReference"/>
          <w:color w:val="auto"/>
        </w:rPr>
        <w:footnoteRef/>
      </w:r>
      <w:r w:rsidRPr="00180E20">
        <w:rPr>
          <w:color w:val="auto"/>
        </w:rPr>
        <w:t xml:space="preserve"> </w:t>
      </w:r>
      <w:proofErr w:type="spellStart"/>
      <w:r w:rsidR="00180E20" w:rsidRPr="00180E20">
        <w:rPr>
          <w:color w:val="auto"/>
        </w:rPr>
        <w:t>Cathrine</w:t>
      </w:r>
      <w:proofErr w:type="spellEnd"/>
      <w:r w:rsidR="00180E20" w:rsidRPr="00180E20">
        <w:rPr>
          <w:color w:val="auto"/>
        </w:rPr>
        <w:t xml:space="preserve"> Gonzales, </w:t>
      </w:r>
      <w:r w:rsidR="00180E20" w:rsidRPr="00180E20">
        <w:rPr>
          <w:i/>
          <w:iCs/>
          <w:color w:val="auto"/>
        </w:rPr>
        <w:t>Bongbong Marcos believes death penalty not effective in curbing crime rate,</w:t>
      </w:r>
      <w:r w:rsidR="00180E20" w:rsidRPr="00180E20">
        <w:rPr>
          <w:color w:val="auto"/>
        </w:rPr>
        <w:t xml:space="preserve"> Inquirer.net, Mar. 19, 2022, https://newsinfo.inquirer.net/1570706/bongbong-marcos-believes-death-penalty-not-effective-in-curbing-crime-rate.</w:t>
      </w:r>
    </w:p>
  </w:footnote>
  <w:footnote w:id="9">
    <w:p w14:paraId="4C47328E" w14:textId="520433BE" w:rsidR="008E21D4" w:rsidRDefault="008E21D4">
      <w:pPr>
        <w:pStyle w:val="FootnoteText"/>
      </w:pPr>
      <w:r>
        <w:rPr>
          <w:rStyle w:val="FootnoteReference"/>
        </w:rPr>
        <w:footnoteRef/>
      </w:r>
      <w:r>
        <w:t xml:space="preserve"> United Nations Human Rights Committee, </w:t>
      </w:r>
      <w:r w:rsidRPr="005B72B7">
        <w:rPr>
          <w:i/>
          <w:iCs/>
        </w:rPr>
        <w:t xml:space="preserve">List of issues in relation to </w:t>
      </w:r>
      <w:r>
        <w:rPr>
          <w:i/>
          <w:iCs/>
        </w:rPr>
        <w:t>the fifth periodic</w:t>
      </w:r>
      <w:r w:rsidRPr="005B72B7">
        <w:rPr>
          <w:i/>
          <w:iCs/>
        </w:rPr>
        <w:t xml:space="preserve"> report of </w:t>
      </w:r>
      <w:r>
        <w:rPr>
          <w:i/>
          <w:iCs/>
        </w:rPr>
        <w:t xml:space="preserve">the Philippines </w:t>
      </w:r>
      <w:r>
        <w:t>(June 30, 2020). U.N. Doc. CCPR/C/PHL/Q</w:t>
      </w:r>
      <w:r w:rsidRPr="007D17E5">
        <w:t>/5, ¶ 11.</w:t>
      </w:r>
    </w:p>
  </w:footnote>
  <w:footnote w:id="10">
    <w:p w14:paraId="26A92CC0" w14:textId="161A075D" w:rsidR="008E21D4" w:rsidRPr="007D17E5" w:rsidRDefault="008E21D4">
      <w:pPr>
        <w:pStyle w:val="FootnoteText"/>
        <w:rPr>
          <w:rFonts w:ascii="Times" w:hAnsi="Times"/>
        </w:rPr>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77</w:t>
      </w:r>
      <w:r w:rsidRPr="00247135">
        <w:rPr>
          <w:rFonts w:ascii="Times" w:hAnsi="Times"/>
          <w:color w:val="000000" w:themeColor="text1"/>
        </w:rPr>
        <w:t>.</w:t>
      </w:r>
    </w:p>
  </w:footnote>
  <w:footnote w:id="11">
    <w:p w14:paraId="13683E20" w14:textId="44BFEA35"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78</w:t>
      </w:r>
      <w:r w:rsidRPr="00247135">
        <w:rPr>
          <w:rFonts w:ascii="Times" w:hAnsi="Times"/>
          <w:color w:val="000000" w:themeColor="text1"/>
        </w:rPr>
        <w:t>.</w:t>
      </w:r>
    </w:p>
  </w:footnote>
  <w:footnote w:id="12">
    <w:p w14:paraId="055D7C39" w14:textId="3C3A21BC"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79.</w:t>
      </w:r>
    </w:p>
  </w:footnote>
  <w:footnote w:id="13">
    <w:p w14:paraId="5FA008BE" w14:textId="045054A7" w:rsidR="008E21D4" w:rsidRDefault="008E21D4">
      <w:pPr>
        <w:pStyle w:val="FootnoteText"/>
      </w:pPr>
      <w:r>
        <w:rPr>
          <w:rStyle w:val="FootnoteReference"/>
        </w:rPr>
        <w:footnoteRef/>
      </w:r>
      <w:r>
        <w:t xml:space="preserve"> </w:t>
      </w:r>
      <w:r w:rsidR="006B79D6">
        <w:t xml:space="preserve">Grace Keane O’Connor, </w:t>
      </w:r>
      <w:r w:rsidR="006B79D6" w:rsidRPr="006B79D6">
        <w:rPr>
          <w:i/>
          <w:iCs/>
        </w:rPr>
        <w:t>Adoption of Bill Allowing the Imposition of the Death Penalty for a New Crime, World Coalition Against the Death Penalty</w:t>
      </w:r>
      <w:r w:rsidR="006B79D6">
        <w:t xml:space="preserve">, Apr. 30, 2021, </w:t>
      </w:r>
      <w:r w:rsidR="006B79D6" w:rsidRPr="00D3749A">
        <w:t>https://worldcoalition.org/2021/04/30/adoption-of-bill-allowing-the-imposition-of-the-death-penalty-for-a-new-crime/</w:t>
      </w:r>
      <w:r w:rsidR="006B79D6">
        <w:t>.</w:t>
      </w:r>
    </w:p>
  </w:footnote>
  <w:footnote w:id="14">
    <w:p w14:paraId="583F9359" w14:textId="77BC7D41" w:rsidR="008E21D4" w:rsidRDefault="008E21D4">
      <w:pPr>
        <w:pStyle w:val="FootnoteText"/>
      </w:pPr>
      <w:r>
        <w:rPr>
          <w:rStyle w:val="FootnoteReference"/>
        </w:rPr>
        <w:footnoteRef/>
      </w:r>
      <w:r>
        <w:t xml:space="preserve"> </w:t>
      </w:r>
      <w:r w:rsidR="006B79D6">
        <w:t xml:space="preserve">Grace Keane O’Connor, </w:t>
      </w:r>
      <w:r w:rsidR="006B79D6" w:rsidRPr="006B79D6">
        <w:rPr>
          <w:i/>
          <w:iCs/>
        </w:rPr>
        <w:t>Adoption of Bill Allowing the Imposition of the Death Penalty for a New Crime, World Coalition Against the Death Penalty</w:t>
      </w:r>
      <w:r w:rsidR="006B79D6">
        <w:t xml:space="preserve">, Apr. 30, 2021, </w:t>
      </w:r>
      <w:r w:rsidR="006B79D6" w:rsidRPr="00D3749A">
        <w:t>https://worldcoalition.org/2021/04/30/adoption-of-bill-allowing-the-imposition-of-the-death-penalty-for-a-new-crime/</w:t>
      </w:r>
      <w:r w:rsidR="006B79D6">
        <w:t>.</w:t>
      </w:r>
    </w:p>
  </w:footnote>
  <w:footnote w:id="15">
    <w:p w14:paraId="0068EBE3" w14:textId="477EA852" w:rsidR="008E21D4" w:rsidRDefault="008E21D4">
      <w:pPr>
        <w:pStyle w:val="FootnoteText"/>
      </w:pPr>
      <w:r>
        <w:rPr>
          <w:rStyle w:val="FootnoteReference"/>
        </w:rPr>
        <w:footnoteRef/>
      </w:r>
      <w:r>
        <w:t xml:space="preserve"> </w:t>
      </w:r>
      <w:r w:rsidR="00C3380C">
        <w:t xml:space="preserve">Joseph Peter Calleja, Philippine push for death penalty return resurfaces, Union of Catholic Asian News, Jun. 27, 2022, </w:t>
      </w:r>
      <w:r w:rsidR="00C3380C" w:rsidRPr="00C639D9">
        <w:t>https://www.ucanews.com/news/philippine-push-for-death-penalty-return-resurfaces/97809</w:t>
      </w:r>
      <w:r w:rsidR="00C3380C">
        <w:t>.</w:t>
      </w:r>
    </w:p>
  </w:footnote>
  <w:footnote w:id="16">
    <w:p w14:paraId="123A1769" w14:textId="28E81CE6" w:rsidR="008E21D4" w:rsidRDefault="008E21D4">
      <w:pPr>
        <w:pStyle w:val="FootnoteText"/>
      </w:pPr>
      <w:r>
        <w:rPr>
          <w:rStyle w:val="FootnoteReference"/>
        </w:rPr>
        <w:footnoteRef/>
      </w:r>
      <w:r>
        <w:t xml:space="preserve"> </w:t>
      </w:r>
      <w:r w:rsidR="00C3380C">
        <w:t xml:space="preserve">Joseph Peter Calleja, Philippine push for death penalty return resurfaces, Union of Catholic Asian News, Jun. 27, 2022, </w:t>
      </w:r>
      <w:r w:rsidR="00C3380C" w:rsidRPr="00C639D9">
        <w:t>https://www.ucanews.com/news/philippine-push-for-death-penalty-return-resurfaces/97809</w:t>
      </w:r>
      <w:r w:rsidR="00C3380C">
        <w:t>.</w:t>
      </w:r>
    </w:p>
  </w:footnote>
  <w:footnote w:id="17">
    <w:p w14:paraId="6C920EBF" w14:textId="5D67FDF4" w:rsidR="008E21D4" w:rsidRDefault="008E21D4">
      <w:pPr>
        <w:pStyle w:val="FootnoteText"/>
      </w:pPr>
      <w:r>
        <w:rPr>
          <w:rStyle w:val="FootnoteReference"/>
        </w:rPr>
        <w:footnoteRef/>
      </w:r>
      <w:r>
        <w:t xml:space="preserve"> </w:t>
      </w:r>
      <w:r w:rsidR="00C3380C">
        <w:t xml:space="preserve">Joseph Peter Calleja, Philippine push for death penalty return resurfaces, Union of Catholic Asian News, Jun. 27, 2022, </w:t>
      </w:r>
      <w:r w:rsidR="00C3380C" w:rsidRPr="00C639D9">
        <w:t>https://www.ucanews.com/news/philippine-push-for-death-penalty-return-resurfaces/97809</w:t>
      </w:r>
      <w:r w:rsidR="00C3380C">
        <w:t>.</w:t>
      </w:r>
    </w:p>
  </w:footnote>
  <w:footnote w:id="18">
    <w:p w14:paraId="3207E018" w14:textId="31996338" w:rsidR="008E21D4" w:rsidRDefault="008E21D4">
      <w:pPr>
        <w:pStyle w:val="FootnoteText"/>
      </w:pPr>
      <w:r>
        <w:rPr>
          <w:rStyle w:val="FootnoteReference"/>
        </w:rPr>
        <w:footnoteRef/>
      </w:r>
      <w:r>
        <w:t xml:space="preserve"> </w:t>
      </w:r>
      <w:r w:rsidR="00C3380C">
        <w:t xml:space="preserve">Joseph Peter Calleja, Philippine push for death penalty return resurfaces, Union of Catholic Asian News, Jun. 27, 2022, </w:t>
      </w:r>
      <w:r w:rsidR="00C3380C" w:rsidRPr="00C639D9">
        <w:t>https://www.ucanews.com/news/philippine-push-for-death-penalty-return-resurfaces/97809</w:t>
      </w:r>
      <w:r w:rsidR="00C3380C">
        <w:t>.</w:t>
      </w:r>
    </w:p>
  </w:footnote>
  <w:footnote w:id="19">
    <w:p w14:paraId="707ED57A" w14:textId="40A4265D" w:rsidR="008E21D4" w:rsidRDefault="008E21D4">
      <w:pPr>
        <w:pStyle w:val="FootnoteText"/>
      </w:pPr>
      <w:r>
        <w:rPr>
          <w:rStyle w:val="FootnoteReference"/>
        </w:rPr>
        <w:footnoteRef/>
      </w:r>
      <w:r>
        <w:t xml:space="preserve"> </w:t>
      </w:r>
      <w:r w:rsidRPr="000A7E2A">
        <w:rPr>
          <w:color w:val="auto"/>
          <w:kern w:val="0"/>
        </w:rPr>
        <w:t>US Department of State, Country Reports on Human Rights Practices: Philippines (Mar. 2021), available at https://www.state.gov/reports/2020-country-reports-on-human-rights-practices/philippines.</w:t>
      </w:r>
    </w:p>
  </w:footnote>
  <w:footnote w:id="20">
    <w:p w14:paraId="3F6B1CEB" w14:textId="1CE1F253" w:rsidR="008E21D4" w:rsidRDefault="008E21D4">
      <w:pPr>
        <w:pStyle w:val="FootnoteText"/>
      </w:pPr>
      <w:r>
        <w:rPr>
          <w:rStyle w:val="FootnoteReference"/>
        </w:rPr>
        <w:footnoteRef/>
      </w:r>
      <w:r>
        <w:t xml:space="preserve"> </w:t>
      </w:r>
      <w:r w:rsidRPr="000A7E2A">
        <w:rPr>
          <w:color w:val="auto"/>
          <w:kern w:val="0"/>
        </w:rPr>
        <w:t>US Department of State, Country Reports on Human Rights Practices: Philippines (Mar. 2021), available at https://www.state.gov/reports/2020-country-reports-on-human-rights-practices/philippines.</w:t>
      </w:r>
    </w:p>
  </w:footnote>
  <w:footnote w:id="21">
    <w:p w14:paraId="0D93ED71" w14:textId="7D7AEB2C" w:rsidR="000F48A0" w:rsidRDefault="000F48A0">
      <w:pPr>
        <w:pStyle w:val="FootnoteText"/>
      </w:pPr>
      <w:r>
        <w:rPr>
          <w:rStyle w:val="FootnoteReference"/>
        </w:rPr>
        <w:footnoteRef/>
      </w:r>
      <w:r>
        <w:t xml:space="preserve"> United Nations Covenant on Civil and Political Rights, 1966, Art. 6. Also available at </w:t>
      </w:r>
      <w:r w:rsidRPr="000F48A0">
        <w:t>https://www.ohchr.org/en/instruments-mechanisms/instruments/international-covenant-civil-and-political-rights</w:t>
      </w:r>
      <w:r>
        <w:t>.</w:t>
      </w:r>
    </w:p>
  </w:footnote>
  <w:footnote w:id="22">
    <w:p w14:paraId="15BFE31D" w14:textId="3E1A2C0C" w:rsidR="008E21D4" w:rsidRDefault="008E21D4">
      <w:pPr>
        <w:pStyle w:val="FootnoteText"/>
      </w:pPr>
      <w:r>
        <w:rPr>
          <w:rStyle w:val="FootnoteReference"/>
        </w:rPr>
        <w:footnoteRef/>
      </w:r>
      <w:r>
        <w:t xml:space="preserve"> United Nations Human Rights Committee, </w:t>
      </w:r>
      <w:r w:rsidRPr="005B72B7">
        <w:rPr>
          <w:i/>
          <w:iCs/>
        </w:rPr>
        <w:t xml:space="preserve">List of issues in relation to </w:t>
      </w:r>
      <w:r>
        <w:rPr>
          <w:i/>
          <w:iCs/>
        </w:rPr>
        <w:t>the fifth periodic</w:t>
      </w:r>
      <w:r w:rsidRPr="005B72B7">
        <w:rPr>
          <w:i/>
          <w:iCs/>
        </w:rPr>
        <w:t xml:space="preserve"> report of </w:t>
      </w:r>
      <w:r>
        <w:rPr>
          <w:i/>
          <w:iCs/>
        </w:rPr>
        <w:t xml:space="preserve">the Philippines </w:t>
      </w:r>
      <w:r>
        <w:t>(June 30, 2020). U.N. Doc. CCPR/C/PHL/Q/5, ¶ 13.</w:t>
      </w:r>
    </w:p>
  </w:footnote>
  <w:footnote w:id="23">
    <w:p w14:paraId="0604C557" w14:textId="44606489" w:rsidR="008E21D4" w:rsidRDefault="008E21D4">
      <w:pPr>
        <w:pStyle w:val="FootnoteText"/>
      </w:pPr>
      <w:r>
        <w:rPr>
          <w:rStyle w:val="FootnoteReference"/>
        </w:rPr>
        <w:footnoteRef/>
      </w:r>
      <w:r>
        <w:t xml:space="preserve"> United Nations Human Rights Committee, </w:t>
      </w:r>
      <w:r w:rsidRPr="005B72B7">
        <w:rPr>
          <w:i/>
          <w:iCs/>
        </w:rPr>
        <w:t xml:space="preserve">List of issues in relation to </w:t>
      </w:r>
      <w:r>
        <w:rPr>
          <w:i/>
          <w:iCs/>
        </w:rPr>
        <w:t>the fifth periodic</w:t>
      </w:r>
      <w:r w:rsidRPr="005B72B7">
        <w:rPr>
          <w:i/>
          <w:iCs/>
        </w:rPr>
        <w:t xml:space="preserve"> report of </w:t>
      </w:r>
      <w:r>
        <w:rPr>
          <w:i/>
          <w:iCs/>
        </w:rPr>
        <w:t xml:space="preserve">the Philippines </w:t>
      </w:r>
      <w:r>
        <w:t>(June 30, 2020). U.N. Doc. CCPR/C/PHL/Q/5, ¶ 13.</w:t>
      </w:r>
    </w:p>
  </w:footnote>
  <w:footnote w:id="24">
    <w:p w14:paraId="5E278A9F" w14:textId="3BEFE8A3" w:rsidR="008E21D4" w:rsidRDefault="008E21D4">
      <w:pPr>
        <w:pStyle w:val="FootnoteText"/>
      </w:pPr>
      <w:r>
        <w:rPr>
          <w:rStyle w:val="FootnoteReference"/>
        </w:rPr>
        <w:footnoteRef/>
      </w:r>
      <w:r>
        <w:t xml:space="preserve"> United Nations Human Rights Committee, </w:t>
      </w:r>
      <w:r w:rsidRPr="005B72B7">
        <w:rPr>
          <w:i/>
          <w:iCs/>
        </w:rPr>
        <w:t xml:space="preserve">List of issues in relation to </w:t>
      </w:r>
      <w:r>
        <w:rPr>
          <w:i/>
          <w:iCs/>
        </w:rPr>
        <w:t>the fifth periodic</w:t>
      </w:r>
      <w:r w:rsidRPr="005B72B7">
        <w:rPr>
          <w:i/>
          <w:iCs/>
        </w:rPr>
        <w:t xml:space="preserve"> report of </w:t>
      </w:r>
      <w:r>
        <w:rPr>
          <w:i/>
          <w:iCs/>
        </w:rPr>
        <w:t xml:space="preserve">the Philippines </w:t>
      </w:r>
      <w:r>
        <w:t>(June 30, 2020). U.N. Doc. CCPR/C/PHL/Q/5, ¶ 13.</w:t>
      </w:r>
    </w:p>
  </w:footnote>
  <w:footnote w:id="25">
    <w:p w14:paraId="2EE511C5" w14:textId="494055AA"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 xml:space="preserve">101. </w:t>
      </w:r>
    </w:p>
  </w:footnote>
  <w:footnote w:id="26">
    <w:p w14:paraId="1B9901A4" w14:textId="7596FAAB"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102.</w:t>
      </w:r>
    </w:p>
  </w:footnote>
  <w:footnote w:id="27">
    <w:p w14:paraId="7FCA9C43" w14:textId="704112BE"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103.</w:t>
      </w:r>
    </w:p>
  </w:footnote>
  <w:footnote w:id="28">
    <w:p w14:paraId="16A577BF" w14:textId="2587CBDA"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104.</w:t>
      </w:r>
    </w:p>
  </w:footnote>
  <w:footnote w:id="29">
    <w:p w14:paraId="17678ED0" w14:textId="0A566557"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105</w:t>
      </w:r>
      <w:r w:rsidRPr="00247135">
        <w:rPr>
          <w:rFonts w:ascii="Times" w:hAnsi="Times"/>
          <w:color w:val="000000" w:themeColor="text1"/>
        </w:rPr>
        <w:t>.</w:t>
      </w:r>
    </w:p>
  </w:footnote>
  <w:footnote w:id="30">
    <w:p w14:paraId="71AF5DE3" w14:textId="01789E84" w:rsidR="008E21D4" w:rsidRDefault="008E21D4">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sidR="006757AB">
        <w:rPr>
          <w:rFonts w:ascii="Times" w:hAnsi="Times"/>
          <w:color w:val="000000" w:themeColor="text1"/>
        </w:rPr>
        <w:t>105.</w:t>
      </w:r>
    </w:p>
  </w:footnote>
  <w:footnote w:id="31">
    <w:p w14:paraId="5D2E3DE6" w14:textId="0CBCEEB8" w:rsidR="008E21D4" w:rsidRDefault="008E21D4">
      <w:pPr>
        <w:pStyle w:val="FootnoteText"/>
      </w:pPr>
      <w:r>
        <w:rPr>
          <w:rStyle w:val="FootnoteReference"/>
        </w:rPr>
        <w:footnoteRef/>
      </w:r>
      <w:r>
        <w:t xml:space="preserve"> </w:t>
      </w:r>
      <w:r w:rsidR="006757AB" w:rsidRPr="00247135">
        <w:rPr>
          <w:rFonts w:ascii="Times" w:hAnsi="Times"/>
          <w:color w:val="000000" w:themeColor="text1"/>
        </w:rPr>
        <w:t xml:space="preserve">United Nations </w:t>
      </w:r>
      <w:r w:rsidR="006757AB">
        <w:rPr>
          <w:rFonts w:ascii="Times" w:hAnsi="Times"/>
          <w:color w:val="000000" w:themeColor="text1"/>
        </w:rPr>
        <w:t>Human Rights Committee</w:t>
      </w:r>
      <w:r w:rsidR="006757AB" w:rsidRPr="00247135">
        <w:rPr>
          <w:rFonts w:ascii="Times" w:hAnsi="Times"/>
          <w:color w:val="000000" w:themeColor="text1"/>
        </w:rPr>
        <w:t xml:space="preserve">, </w:t>
      </w:r>
      <w:r w:rsidR="006757AB" w:rsidRPr="00247135">
        <w:rPr>
          <w:rFonts w:ascii="Times" w:hAnsi="Times"/>
          <w:i/>
          <w:iCs/>
          <w:color w:val="000000" w:themeColor="text1"/>
        </w:rPr>
        <w:t xml:space="preserve">Replies of </w:t>
      </w:r>
      <w:r w:rsidR="006757AB">
        <w:rPr>
          <w:rFonts w:ascii="Times" w:hAnsi="Times"/>
          <w:i/>
          <w:iCs/>
          <w:color w:val="000000" w:themeColor="text1"/>
        </w:rPr>
        <w:t>the Philippines</w:t>
      </w:r>
      <w:r w:rsidR="006757AB" w:rsidRPr="00247135">
        <w:rPr>
          <w:rFonts w:ascii="Times" w:hAnsi="Times"/>
          <w:i/>
          <w:iCs/>
          <w:color w:val="000000" w:themeColor="text1"/>
        </w:rPr>
        <w:t xml:space="preserve"> to the list of issues in relation to its </w:t>
      </w:r>
      <w:r w:rsidR="006757AB">
        <w:rPr>
          <w:rFonts w:ascii="Times" w:hAnsi="Times"/>
          <w:i/>
          <w:iCs/>
          <w:color w:val="000000" w:themeColor="text1"/>
        </w:rPr>
        <w:t>fifth</w:t>
      </w:r>
      <w:r w:rsidR="006757AB" w:rsidRPr="00247135">
        <w:rPr>
          <w:rFonts w:ascii="Times" w:hAnsi="Times"/>
          <w:i/>
          <w:iCs/>
          <w:color w:val="000000" w:themeColor="text1"/>
        </w:rPr>
        <w:t xml:space="preserve"> periodic report </w:t>
      </w:r>
      <w:r w:rsidR="006757AB" w:rsidRPr="00247135">
        <w:rPr>
          <w:rFonts w:ascii="Times" w:hAnsi="Times"/>
          <w:color w:val="000000" w:themeColor="text1"/>
        </w:rPr>
        <w:t>(Ma</w:t>
      </w:r>
      <w:r w:rsidR="006757AB">
        <w:rPr>
          <w:rFonts w:ascii="Times" w:hAnsi="Times"/>
          <w:color w:val="000000" w:themeColor="text1"/>
        </w:rPr>
        <w:t>rch</w:t>
      </w:r>
      <w:r w:rsidR="006757AB" w:rsidRPr="00247135">
        <w:rPr>
          <w:rFonts w:ascii="Times" w:hAnsi="Times"/>
          <w:color w:val="000000" w:themeColor="text1"/>
        </w:rPr>
        <w:t xml:space="preserve"> </w:t>
      </w:r>
      <w:r w:rsidR="006757AB">
        <w:rPr>
          <w:rFonts w:ascii="Times" w:hAnsi="Times"/>
          <w:color w:val="000000" w:themeColor="text1"/>
        </w:rPr>
        <w:t>18</w:t>
      </w:r>
      <w:r w:rsidR="006757AB" w:rsidRPr="00247135">
        <w:rPr>
          <w:rFonts w:ascii="Times" w:hAnsi="Times"/>
          <w:color w:val="000000" w:themeColor="text1"/>
        </w:rPr>
        <w:t xml:space="preserve">, 2022). U.N. Doc. </w:t>
      </w:r>
      <w:r w:rsidR="006757AB">
        <w:rPr>
          <w:rFonts w:ascii="Times" w:hAnsi="Times"/>
          <w:color w:val="000000" w:themeColor="text1"/>
        </w:rPr>
        <w:t>CCPR</w:t>
      </w:r>
      <w:r w:rsidR="006757AB" w:rsidRPr="00247135">
        <w:rPr>
          <w:rFonts w:ascii="Times" w:hAnsi="Times"/>
          <w:color w:val="000000" w:themeColor="text1"/>
        </w:rPr>
        <w:t>/C/</w:t>
      </w:r>
      <w:r w:rsidR="006757AB">
        <w:rPr>
          <w:rFonts w:ascii="Times" w:hAnsi="Times"/>
          <w:color w:val="000000" w:themeColor="text1"/>
        </w:rPr>
        <w:t>PHL</w:t>
      </w:r>
      <w:r w:rsidR="006757AB" w:rsidRPr="00247135">
        <w:rPr>
          <w:rFonts w:ascii="Times" w:hAnsi="Times"/>
          <w:color w:val="000000" w:themeColor="text1"/>
        </w:rPr>
        <w:t>/RQ/</w:t>
      </w:r>
      <w:r w:rsidR="006757AB">
        <w:rPr>
          <w:rFonts w:ascii="Times" w:hAnsi="Times"/>
          <w:color w:val="000000" w:themeColor="text1"/>
        </w:rPr>
        <w:t>5</w:t>
      </w:r>
      <w:r w:rsidR="006757AB" w:rsidRPr="00247135">
        <w:rPr>
          <w:rFonts w:ascii="Times" w:hAnsi="Times"/>
          <w:color w:val="000000" w:themeColor="text1"/>
        </w:rPr>
        <w:t xml:space="preserve">, </w:t>
      </w:r>
      <w:r w:rsidR="006757AB">
        <w:rPr>
          <w:rFonts w:ascii="Times" w:hAnsi="Times"/>
          <w:color w:val="000000" w:themeColor="text1"/>
        </w:rPr>
        <w:t>¶</w:t>
      </w:r>
      <w:r w:rsidR="006757AB" w:rsidRPr="00247135">
        <w:rPr>
          <w:rFonts w:ascii="Times" w:hAnsi="Times"/>
          <w:color w:val="000000" w:themeColor="text1"/>
        </w:rPr>
        <w:t xml:space="preserve"> </w:t>
      </w:r>
      <w:r w:rsidR="006757AB">
        <w:rPr>
          <w:rFonts w:ascii="Times" w:hAnsi="Times"/>
          <w:color w:val="000000" w:themeColor="text1"/>
        </w:rPr>
        <w:t>107.</w:t>
      </w:r>
    </w:p>
  </w:footnote>
  <w:footnote w:id="32">
    <w:p w14:paraId="3D8A7207" w14:textId="069AF180" w:rsidR="008E21D4" w:rsidRDefault="008E21D4">
      <w:pPr>
        <w:pStyle w:val="FootnoteText"/>
      </w:pPr>
      <w:r>
        <w:rPr>
          <w:rStyle w:val="FootnoteReference"/>
        </w:rPr>
        <w:footnoteRef/>
      </w:r>
      <w:r>
        <w:t xml:space="preserve"> </w:t>
      </w:r>
      <w:r w:rsidR="006757AB" w:rsidRPr="00247135">
        <w:rPr>
          <w:rFonts w:ascii="Times" w:hAnsi="Times"/>
          <w:color w:val="000000" w:themeColor="text1"/>
        </w:rPr>
        <w:t xml:space="preserve">United Nations </w:t>
      </w:r>
      <w:r w:rsidR="006757AB">
        <w:rPr>
          <w:rFonts w:ascii="Times" w:hAnsi="Times"/>
          <w:color w:val="000000" w:themeColor="text1"/>
        </w:rPr>
        <w:t>Human Rights Committee</w:t>
      </w:r>
      <w:r w:rsidR="006757AB" w:rsidRPr="00247135">
        <w:rPr>
          <w:rFonts w:ascii="Times" w:hAnsi="Times"/>
          <w:color w:val="000000" w:themeColor="text1"/>
        </w:rPr>
        <w:t xml:space="preserve">, </w:t>
      </w:r>
      <w:r w:rsidR="006757AB" w:rsidRPr="00247135">
        <w:rPr>
          <w:rFonts w:ascii="Times" w:hAnsi="Times"/>
          <w:i/>
          <w:iCs/>
          <w:color w:val="000000" w:themeColor="text1"/>
        </w:rPr>
        <w:t xml:space="preserve">Replies of </w:t>
      </w:r>
      <w:r w:rsidR="006757AB">
        <w:rPr>
          <w:rFonts w:ascii="Times" w:hAnsi="Times"/>
          <w:i/>
          <w:iCs/>
          <w:color w:val="000000" w:themeColor="text1"/>
        </w:rPr>
        <w:t>the Philippines</w:t>
      </w:r>
      <w:r w:rsidR="006757AB" w:rsidRPr="00247135">
        <w:rPr>
          <w:rFonts w:ascii="Times" w:hAnsi="Times"/>
          <w:i/>
          <w:iCs/>
          <w:color w:val="000000" w:themeColor="text1"/>
        </w:rPr>
        <w:t xml:space="preserve"> to the list of issues in relation to its </w:t>
      </w:r>
      <w:r w:rsidR="006757AB">
        <w:rPr>
          <w:rFonts w:ascii="Times" w:hAnsi="Times"/>
          <w:i/>
          <w:iCs/>
          <w:color w:val="000000" w:themeColor="text1"/>
        </w:rPr>
        <w:t>fifth</w:t>
      </w:r>
      <w:r w:rsidR="006757AB" w:rsidRPr="00247135">
        <w:rPr>
          <w:rFonts w:ascii="Times" w:hAnsi="Times"/>
          <w:i/>
          <w:iCs/>
          <w:color w:val="000000" w:themeColor="text1"/>
        </w:rPr>
        <w:t xml:space="preserve"> periodic report </w:t>
      </w:r>
      <w:r w:rsidR="006757AB" w:rsidRPr="00247135">
        <w:rPr>
          <w:rFonts w:ascii="Times" w:hAnsi="Times"/>
          <w:color w:val="000000" w:themeColor="text1"/>
        </w:rPr>
        <w:t>(Ma</w:t>
      </w:r>
      <w:r w:rsidR="006757AB">
        <w:rPr>
          <w:rFonts w:ascii="Times" w:hAnsi="Times"/>
          <w:color w:val="000000" w:themeColor="text1"/>
        </w:rPr>
        <w:t>rch</w:t>
      </w:r>
      <w:r w:rsidR="006757AB" w:rsidRPr="00247135">
        <w:rPr>
          <w:rFonts w:ascii="Times" w:hAnsi="Times"/>
          <w:color w:val="000000" w:themeColor="text1"/>
        </w:rPr>
        <w:t xml:space="preserve"> </w:t>
      </w:r>
      <w:r w:rsidR="006757AB">
        <w:rPr>
          <w:rFonts w:ascii="Times" w:hAnsi="Times"/>
          <w:color w:val="000000" w:themeColor="text1"/>
        </w:rPr>
        <w:t>18</w:t>
      </w:r>
      <w:r w:rsidR="006757AB" w:rsidRPr="00247135">
        <w:rPr>
          <w:rFonts w:ascii="Times" w:hAnsi="Times"/>
          <w:color w:val="000000" w:themeColor="text1"/>
        </w:rPr>
        <w:t xml:space="preserve">, 2022). U.N. Doc. </w:t>
      </w:r>
      <w:r w:rsidR="006757AB">
        <w:rPr>
          <w:rFonts w:ascii="Times" w:hAnsi="Times"/>
          <w:color w:val="000000" w:themeColor="text1"/>
        </w:rPr>
        <w:t>CCPR</w:t>
      </w:r>
      <w:r w:rsidR="006757AB" w:rsidRPr="00247135">
        <w:rPr>
          <w:rFonts w:ascii="Times" w:hAnsi="Times"/>
          <w:color w:val="000000" w:themeColor="text1"/>
        </w:rPr>
        <w:t>/C/</w:t>
      </w:r>
      <w:r w:rsidR="006757AB">
        <w:rPr>
          <w:rFonts w:ascii="Times" w:hAnsi="Times"/>
          <w:color w:val="000000" w:themeColor="text1"/>
        </w:rPr>
        <w:t>PHL</w:t>
      </w:r>
      <w:r w:rsidR="006757AB" w:rsidRPr="00247135">
        <w:rPr>
          <w:rFonts w:ascii="Times" w:hAnsi="Times"/>
          <w:color w:val="000000" w:themeColor="text1"/>
        </w:rPr>
        <w:t>/RQ/</w:t>
      </w:r>
      <w:r w:rsidR="006757AB">
        <w:rPr>
          <w:rFonts w:ascii="Times" w:hAnsi="Times"/>
          <w:color w:val="000000" w:themeColor="text1"/>
        </w:rPr>
        <w:t>5</w:t>
      </w:r>
      <w:r w:rsidR="006757AB" w:rsidRPr="00247135">
        <w:rPr>
          <w:rFonts w:ascii="Times" w:hAnsi="Times"/>
          <w:color w:val="000000" w:themeColor="text1"/>
        </w:rPr>
        <w:t xml:space="preserve">, </w:t>
      </w:r>
      <w:r w:rsidR="006757AB">
        <w:rPr>
          <w:rFonts w:ascii="Times" w:hAnsi="Times"/>
          <w:color w:val="000000" w:themeColor="text1"/>
        </w:rPr>
        <w:t>¶</w:t>
      </w:r>
      <w:r w:rsidR="006757AB" w:rsidRPr="00247135">
        <w:rPr>
          <w:rFonts w:ascii="Times" w:hAnsi="Times"/>
          <w:color w:val="000000" w:themeColor="text1"/>
        </w:rPr>
        <w:t xml:space="preserve"> </w:t>
      </w:r>
      <w:r w:rsidR="006757AB">
        <w:rPr>
          <w:rFonts w:ascii="Times" w:hAnsi="Times"/>
          <w:color w:val="000000" w:themeColor="text1"/>
        </w:rPr>
        <w:t>107.</w:t>
      </w:r>
    </w:p>
  </w:footnote>
  <w:footnote w:id="33">
    <w:p w14:paraId="15B847DD" w14:textId="7C28C26E" w:rsidR="006757AB" w:rsidRDefault="006757AB">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111.</w:t>
      </w:r>
    </w:p>
  </w:footnote>
  <w:footnote w:id="34">
    <w:p w14:paraId="26969924" w14:textId="1E9167FD" w:rsidR="006757AB" w:rsidRDefault="006757AB">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113</w:t>
      </w:r>
      <w:r w:rsidRPr="00247135">
        <w:rPr>
          <w:rFonts w:ascii="Times" w:hAnsi="Times"/>
          <w:color w:val="000000" w:themeColor="text1"/>
        </w:rPr>
        <w:t>.</w:t>
      </w:r>
    </w:p>
  </w:footnote>
  <w:footnote w:id="35">
    <w:p w14:paraId="34D5EF0C" w14:textId="10BDC46D" w:rsidR="006757AB" w:rsidRDefault="006757AB">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114</w:t>
      </w:r>
      <w:r w:rsidRPr="00247135">
        <w:rPr>
          <w:rFonts w:ascii="Times" w:hAnsi="Times"/>
          <w:color w:val="000000" w:themeColor="text1"/>
        </w:rPr>
        <w:t>.</w:t>
      </w:r>
    </w:p>
  </w:footnote>
  <w:footnote w:id="36">
    <w:p w14:paraId="0518F076" w14:textId="3F239F45" w:rsidR="006757AB" w:rsidRDefault="006757AB">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114.</w:t>
      </w:r>
    </w:p>
  </w:footnote>
  <w:footnote w:id="37">
    <w:p w14:paraId="6E24F6A1" w14:textId="46439212" w:rsidR="006757AB" w:rsidRDefault="006757AB">
      <w:pPr>
        <w:pStyle w:val="FootnoteText"/>
      </w:pPr>
      <w:r>
        <w:rPr>
          <w:rStyle w:val="FootnoteReference"/>
        </w:rPr>
        <w:footnoteRef/>
      </w:r>
      <w:r>
        <w:t xml:space="preserve"> </w:t>
      </w:r>
      <w:r w:rsidRPr="00247135">
        <w:rPr>
          <w:rFonts w:ascii="Times" w:hAnsi="Times"/>
          <w:color w:val="000000" w:themeColor="text1"/>
        </w:rPr>
        <w:t xml:space="preserve">United Nations </w:t>
      </w:r>
      <w:r>
        <w:rPr>
          <w:rFonts w:ascii="Times" w:hAnsi="Times"/>
          <w:color w:val="000000" w:themeColor="text1"/>
        </w:rPr>
        <w:t>Human Rights Committee</w:t>
      </w:r>
      <w:r w:rsidRPr="00247135">
        <w:rPr>
          <w:rFonts w:ascii="Times" w:hAnsi="Times"/>
          <w:color w:val="000000" w:themeColor="text1"/>
        </w:rPr>
        <w:t xml:space="preserve">, </w:t>
      </w:r>
      <w:r w:rsidRPr="00247135">
        <w:rPr>
          <w:rFonts w:ascii="Times" w:hAnsi="Times"/>
          <w:i/>
          <w:iCs/>
          <w:color w:val="000000" w:themeColor="text1"/>
        </w:rPr>
        <w:t xml:space="preserve">Replies of </w:t>
      </w:r>
      <w:r>
        <w:rPr>
          <w:rFonts w:ascii="Times" w:hAnsi="Times"/>
          <w:i/>
          <w:iCs/>
          <w:color w:val="000000" w:themeColor="text1"/>
        </w:rPr>
        <w:t>the Philippines</w:t>
      </w:r>
      <w:r w:rsidRPr="00247135">
        <w:rPr>
          <w:rFonts w:ascii="Times" w:hAnsi="Times"/>
          <w:i/>
          <w:iCs/>
          <w:color w:val="000000" w:themeColor="text1"/>
        </w:rPr>
        <w:t xml:space="preserve"> to the list of issues in relation to its </w:t>
      </w:r>
      <w:r>
        <w:rPr>
          <w:rFonts w:ascii="Times" w:hAnsi="Times"/>
          <w:i/>
          <w:iCs/>
          <w:color w:val="000000" w:themeColor="text1"/>
        </w:rPr>
        <w:t>fifth</w:t>
      </w:r>
      <w:r w:rsidRPr="00247135">
        <w:rPr>
          <w:rFonts w:ascii="Times" w:hAnsi="Times"/>
          <w:i/>
          <w:iCs/>
          <w:color w:val="000000" w:themeColor="text1"/>
        </w:rPr>
        <w:t xml:space="preserve"> periodic report </w:t>
      </w:r>
      <w:r w:rsidRPr="00247135">
        <w:rPr>
          <w:rFonts w:ascii="Times" w:hAnsi="Times"/>
          <w:color w:val="000000" w:themeColor="text1"/>
        </w:rPr>
        <w:t>(Ma</w:t>
      </w:r>
      <w:r>
        <w:rPr>
          <w:rFonts w:ascii="Times" w:hAnsi="Times"/>
          <w:color w:val="000000" w:themeColor="text1"/>
        </w:rPr>
        <w:t>rch</w:t>
      </w:r>
      <w:r w:rsidRPr="00247135">
        <w:rPr>
          <w:rFonts w:ascii="Times" w:hAnsi="Times"/>
          <w:color w:val="000000" w:themeColor="text1"/>
        </w:rPr>
        <w:t xml:space="preserve"> </w:t>
      </w:r>
      <w:r>
        <w:rPr>
          <w:rFonts w:ascii="Times" w:hAnsi="Times"/>
          <w:color w:val="000000" w:themeColor="text1"/>
        </w:rPr>
        <w:t>18</w:t>
      </w:r>
      <w:r w:rsidRPr="00247135">
        <w:rPr>
          <w:rFonts w:ascii="Times" w:hAnsi="Times"/>
          <w:color w:val="000000" w:themeColor="text1"/>
        </w:rPr>
        <w:t xml:space="preserve">, 2022). U.N. Doc. </w:t>
      </w:r>
      <w:r>
        <w:rPr>
          <w:rFonts w:ascii="Times" w:hAnsi="Times"/>
          <w:color w:val="000000" w:themeColor="text1"/>
        </w:rPr>
        <w:t>CCPR</w:t>
      </w:r>
      <w:r w:rsidRPr="00247135">
        <w:rPr>
          <w:rFonts w:ascii="Times" w:hAnsi="Times"/>
          <w:color w:val="000000" w:themeColor="text1"/>
        </w:rPr>
        <w:t>/C/</w:t>
      </w:r>
      <w:r>
        <w:rPr>
          <w:rFonts w:ascii="Times" w:hAnsi="Times"/>
          <w:color w:val="000000" w:themeColor="text1"/>
        </w:rPr>
        <w:t>PHL</w:t>
      </w:r>
      <w:r w:rsidRPr="00247135">
        <w:rPr>
          <w:rFonts w:ascii="Times" w:hAnsi="Times"/>
          <w:color w:val="000000" w:themeColor="text1"/>
        </w:rPr>
        <w:t>/RQ/</w:t>
      </w:r>
      <w:r>
        <w:rPr>
          <w:rFonts w:ascii="Times" w:hAnsi="Times"/>
          <w:color w:val="000000" w:themeColor="text1"/>
        </w:rPr>
        <w:t>5</w:t>
      </w:r>
      <w:r w:rsidRPr="00247135">
        <w:rPr>
          <w:rFonts w:ascii="Times" w:hAnsi="Times"/>
          <w:color w:val="000000" w:themeColor="text1"/>
        </w:rPr>
        <w:t xml:space="preserve">, </w:t>
      </w:r>
      <w:r>
        <w:rPr>
          <w:rFonts w:ascii="Times" w:hAnsi="Times"/>
          <w:color w:val="000000" w:themeColor="text1"/>
        </w:rPr>
        <w:t>¶</w:t>
      </w:r>
      <w:r w:rsidRPr="00247135">
        <w:rPr>
          <w:rFonts w:ascii="Times" w:hAnsi="Times"/>
          <w:color w:val="000000" w:themeColor="text1"/>
        </w:rPr>
        <w:t xml:space="preserve"> </w:t>
      </w:r>
      <w:r>
        <w:rPr>
          <w:rFonts w:ascii="Times" w:hAnsi="Times"/>
          <w:color w:val="000000" w:themeColor="text1"/>
        </w:rPr>
        <w:t>116</w:t>
      </w:r>
      <w:r w:rsidRPr="00247135">
        <w:rPr>
          <w:rFonts w:ascii="Times" w:hAnsi="Times"/>
          <w:color w:val="000000" w:themeColor="text1"/>
        </w:rPr>
        <w:t>.</w:t>
      </w:r>
    </w:p>
  </w:footnote>
  <w:footnote w:id="38">
    <w:p w14:paraId="431A1DD2" w14:textId="1CDEC243" w:rsidR="008E21D4" w:rsidRPr="0099542D" w:rsidRDefault="008E21D4">
      <w:pPr>
        <w:pStyle w:val="FootnoteText"/>
      </w:pPr>
      <w:r>
        <w:rPr>
          <w:rStyle w:val="FootnoteReference"/>
        </w:rPr>
        <w:footnoteRef/>
      </w:r>
      <w:r>
        <w:t xml:space="preserve"> Human Rights Watch, </w:t>
      </w:r>
      <w:r>
        <w:rPr>
          <w:i/>
          <w:iCs/>
        </w:rPr>
        <w:t xml:space="preserve">Death Penalty Danger in the Philippines </w:t>
      </w:r>
      <w:r>
        <w:t>(Aug. 5, 2020), hrw.org/news/2020/08/05/death-penalty-danger-</w:t>
      </w:r>
      <w:proofErr w:type="spellStart"/>
      <w:r>
        <w:t>philippines</w:t>
      </w:r>
      <w:proofErr w:type="spellEnd"/>
      <w:r>
        <w:t>.</w:t>
      </w:r>
    </w:p>
  </w:footnote>
  <w:footnote w:id="39">
    <w:p w14:paraId="25866EF9" w14:textId="1E7580E6" w:rsidR="008E21D4" w:rsidRDefault="008E21D4">
      <w:pPr>
        <w:pStyle w:val="FootnoteText"/>
      </w:pPr>
      <w:r>
        <w:rPr>
          <w:rStyle w:val="FootnoteReference"/>
        </w:rPr>
        <w:footnoteRef/>
      </w:r>
      <w:r>
        <w:t xml:space="preserve"> Human Rights Watch, </w:t>
      </w:r>
      <w:r>
        <w:rPr>
          <w:i/>
          <w:iCs/>
        </w:rPr>
        <w:t xml:space="preserve">Death Penalty Danger in the Philippines </w:t>
      </w:r>
      <w:r>
        <w:t>(Aug. 5, 2020), hrw.org/news/2020/08/05/death-penalty-danger-</w:t>
      </w:r>
      <w:proofErr w:type="spellStart"/>
      <w:r>
        <w:t>philippines</w:t>
      </w:r>
      <w:proofErr w:type="spellEnd"/>
      <w:r>
        <w:t>.</w:t>
      </w:r>
    </w:p>
  </w:footnote>
  <w:footnote w:id="40">
    <w:p w14:paraId="6A55E513" w14:textId="74B2F49D" w:rsidR="000B67C2" w:rsidRDefault="000B67C2">
      <w:pPr>
        <w:pStyle w:val="FootnoteText"/>
      </w:pPr>
      <w:r>
        <w:rPr>
          <w:rStyle w:val="FootnoteReference"/>
        </w:rPr>
        <w:footnoteRef/>
      </w:r>
      <w:r>
        <w:t xml:space="preserve"> Amnesty International, Above the Law: Police Torture in the Philippines (Dec. 14, 2014), </w:t>
      </w:r>
      <w:r w:rsidRPr="000B67C2">
        <w:t>https://www.amnesty.org/en/latest/news/2014/12/above-law-police-torture-philippines/</w:t>
      </w:r>
      <w:r>
        <w:t>.</w:t>
      </w:r>
    </w:p>
  </w:footnote>
  <w:footnote w:id="41">
    <w:p w14:paraId="0E342313" w14:textId="0A122DC7" w:rsidR="009A2045" w:rsidRDefault="009A2045">
      <w:pPr>
        <w:pStyle w:val="FootnoteText"/>
      </w:pPr>
      <w:r>
        <w:rPr>
          <w:rStyle w:val="FootnoteReference"/>
        </w:rPr>
        <w:footnoteRef/>
      </w:r>
      <w:r>
        <w:t xml:space="preserve"> Amnesty International, Philippines: Investigate humiliating abuses by local officials enforcing curfew (Apr. 8, 2020), </w:t>
      </w:r>
      <w:r w:rsidRPr="009A2045">
        <w:t>https://www.amnesty.org/en/latest/news/2020/04/philippines-investigate-humiliating-abuses-curfew/</w:t>
      </w:r>
    </w:p>
  </w:footnote>
  <w:footnote w:id="42">
    <w:p w14:paraId="2EBE2F4D" w14:textId="51459D00" w:rsidR="008E21D4" w:rsidRDefault="008E21D4">
      <w:pPr>
        <w:pStyle w:val="FootnoteText"/>
      </w:pPr>
      <w:r>
        <w:rPr>
          <w:rStyle w:val="FootnoteReference"/>
        </w:rPr>
        <w:footnoteRef/>
      </w:r>
      <w:r>
        <w:t xml:space="preserve"> </w:t>
      </w:r>
      <w:r w:rsidR="00C63896">
        <w:t xml:space="preserve">Sebastian </w:t>
      </w:r>
      <w:proofErr w:type="spellStart"/>
      <w:r w:rsidR="00C63896">
        <w:t>Strangio</w:t>
      </w:r>
      <w:proofErr w:type="spellEnd"/>
      <w:r w:rsidR="00C63896">
        <w:t xml:space="preserve">, </w:t>
      </w:r>
      <w:r w:rsidRPr="00CB31B3">
        <w:rPr>
          <w:i/>
          <w:iCs/>
        </w:rPr>
        <w:t xml:space="preserve">Philippines </w:t>
      </w:r>
      <w:r w:rsidR="00CB31B3">
        <w:rPr>
          <w:i/>
          <w:iCs/>
        </w:rPr>
        <w:t>S</w:t>
      </w:r>
      <w:r w:rsidRPr="00CB31B3">
        <w:rPr>
          <w:i/>
          <w:iCs/>
        </w:rPr>
        <w:t xml:space="preserve">ill </w:t>
      </w:r>
      <w:r w:rsidR="00CB31B3">
        <w:rPr>
          <w:i/>
          <w:iCs/>
        </w:rPr>
        <w:t>N</w:t>
      </w:r>
      <w:r w:rsidRPr="00CB31B3">
        <w:rPr>
          <w:i/>
          <w:iCs/>
        </w:rPr>
        <w:t>ot Rejoin</w:t>
      </w:r>
      <w:r w:rsidR="00CB31B3" w:rsidRPr="00CB31B3">
        <w:rPr>
          <w:i/>
          <w:iCs/>
        </w:rPr>
        <w:t xml:space="preserve"> International Criminal Court, Marcos Says</w:t>
      </w:r>
      <w:r w:rsidR="00C63896">
        <w:rPr>
          <w:i/>
          <w:iCs/>
        </w:rPr>
        <w:t xml:space="preserve">, </w:t>
      </w:r>
      <w:r w:rsidR="00C63896">
        <w:t xml:space="preserve">The Diplomat, </w:t>
      </w:r>
      <w:r w:rsidR="00CB31B3">
        <w:t xml:space="preserve">Aug. 2, 2022, </w:t>
      </w:r>
      <w:r w:rsidRPr="00501B83">
        <w:t>https://thediplomat.com/2022/08/philippines-will-not-rejoin-international-criminal-court-marcos-says/</w:t>
      </w:r>
      <w:r w:rsidR="00C63896">
        <w:t>.</w:t>
      </w:r>
    </w:p>
  </w:footnote>
  <w:footnote w:id="43">
    <w:p w14:paraId="4283DE49" w14:textId="74C39922" w:rsidR="008E21D4" w:rsidRDefault="008E21D4">
      <w:pPr>
        <w:pStyle w:val="FootnoteText"/>
      </w:pPr>
      <w:r>
        <w:rPr>
          <w:rStyle w:val="FootnoteReference"/>
        </w:rPr>
        <w:footnoteRef/>
      </w:r>
      <w:r>
        <w:t xml:space="preserve"> </w:t>
      </w:r>
      <w:r w:rsidR="00C63896">
        <w:t xml:space="preserve">Sebastian </w:t>
      </w:r>
      <w:proofErr w:type="spellStart"/>
      <w:r w:rsidR="00C63896">
        <w:t>Strangio</w:t>
      </w:r>
      <w:proofErr w:type="spellEnd"/>
      <w:r w:rsidR="00C63896">
        <w:t xml:space="preserve">, </w:t>
      </w:r>
      <w:r w:rsidR="00C63896" w:rsidRPr="00CB31B3">
        <w:rPr>
          <w:i/>
          <w:iCs/>
        </w:rPr>
        <w:t xml:space="preserve">Philippines </w:t>
      </w:r>
      <w:r w:rsidR="00C63896">
        <w:rPr>
          <w:i/>
          <w:iCs/>
        </w:rPr>
        <w:t>S</w:t>
      </w:r>
      <w:r w:rsidR="00C63896" w:rsidRPr="00CB31B3">
        <w:rPr>
          <w:i/>
          <w:iCs/>
        </w:rPr>
        <w:t xml:space="preserve">ill </w:t>
      </w:r>
      <w:r w:rsidR="00C63896">
        <w:rPr>
          <w:i/>
          <w:iCs/>
        </w:rPr>
        <w:t>N</w:t>
      </w:r>
      <w:r w:rsidR="00C63896" w:rsidRPr="00CB31B3">
        <w:rPr>
          <w:i/>
          <w:iCs/>
        </w:rPr>
        <w:t>ot Rejoin International Criminal Court, Marcos Says</w:t>
      </w:r>
      <w:r w:rsidR="00C63896">
        <w:rPr>
          <w:i/>
          <w:iCs/>
        </w:rPr>
        <w:t xml:space="preserve">, </w:t>
      </w:r>
      <w:r w:rsidR="00C63896">
        <w:t xml:space="preserve">The Diplomat, Aug. 2, 2022, </w:t>
      </w:r>
      <w:r w:rsidR="00C63896" w:rsidRPr="00501B83">
        <w:t>https://thediplomat.com/2022/08/philippines-will-not-rejoin-international-criminal-court-marcos-says/</w:t>
      </w:r>
      <w:r w:rsidR="00C63896">
        <w:t>.</w:t>
      </w:r>
    </w:p>
  </w:footnote>
  <w:footnote w:id="44">
    <w:p w14:paraId="342BCD96" w14:textId="5AB08AA5" w:rsidR="008E21D4" w:rsidRDefault="008E21D4">
      <w:pPr>
        <w:pStyle w:val="FootnoteText"/>
      </w:pPr>
      <w:r>
        <w:rPr>
          <w:rStyle w:val="FootnoteReference"/>
        </w:rPr>
        <w:footnoteRef/>
      </w:r>
      <w:r>
        <w:t xml:space="preserve"> </w:t>
      </w:r>
      <w:r w:rsidR="00C63896">
        <w:t xml:space="preserve">Sebastian </w:t>
      </w:r>
      <w:proofErr w:type="spellStart"/>
      <w:r w:rsidR="00C63896">
        <w:t>Strangio</w:t>
      </w:r>
      <w:proofErr w:type="spellEnd"/>
      <w:r w:rsidR="00C63896">
        <w:t xml:space="preserve">, </w:t>
      </w:r>
      <w:r w:rsidR="00C63896" w:rsidRPr="00CB31B3">
        <w:rPr>
          <w:i/>
          <w:iCs/>
        </w:rPr>
        <w:t xml:space="preserve">Philippines </w:t>
      </w:r>
      <w:r w:rsidR="00C63896">
        <w:rPr>
          <w:i/>
          <w:iCs/>
        </w:rPr>
        <w:t>S</w:t>
      </w:r>
      <w:r w:rsidR="00C63896" w:rsidRPr="00CB31B3">
        <w:rPr>
          <w:i/>
          <w:iCs/>
        </w:rPr>
        <w:t xml:space="preserve">ill </w:t>
      </w:r>
      <w:r w:rsidR="00C63896">
        <w:rPr>
          <w:i/>
          <w:iCs/>
        </w:rPr>
        <w:t>N</w:t>
      </w:r>
      <w:r w:rsidR="00C63896" w:rsidRPr="00CB31B3">
        <w:rPr>
          <w:i/>
          <w:iCs/>
        </w:rPr>
        <w:t>ot Rejoin International Criminal Court, Marcos Says</w:t>
      </w:r>
      <w:r w:rsidR="00C63896">
        <w:rPr>
          <w:i/>
          <w:iCs/>
        </w:rPr>
        <w:t xml:space="preserve">, </w:t>
      </w:r>
      <w:r w:rsidR="00C63896">
        <w:t xml:space="preserve">The Diplomat, Aug. 2, 2022, </w:t>
      </w:r>
      <w:r w:rsidR="00C63896" w:rsidRPr="00501B83">
        <w:t>https://thediplomat.com/2022/08/philippines-will-not-rejoin-international-criminal-court-marcos-says/</w:t>
      </w:r>
      <w:r w:rsidR="00C63896">
        <w:t>.</w:t>
      </w:r>
    </w:p>
  </w:footnote>
  <w:footnote w:id="45">
    <w:p w14:paraId="6C98FB1E" w14:textId="0E3B1326" w:rsidR="008E21D4" w:rsidRDefault="008E21D4">
      <w:pPr>
        <w:pStyle w:val="FootnoteText"/>
      </w:pPr>
      <w:r>
        <w:rPr>
          <w:rStyle w:val="FootnoteReference"/>
        </w:rPr>
        <w:footnoteRef/>
      </w:r>
      <w:r>
        <w:t xml:space="preserve"> </w:t>
      </w:r>
      <w:r w:rsidR="00C63896">
        <w:t xml:space="preserve">Sebastian </w:t>
      </w:r>
      <w:proofErr w:type="spellStart"/>
      <w:r w:rsidR="00C63896">
        <w:t>Strangio</w:t>
      </w:r>
      <w:proofErr w:type="spellEnd"/>
      <w:r w:rsidR="00C63896">
        <w:t xml:space="preserve">, </w:t>
      </w:r>
      <w:r w:rsidR="00C63896" w:rsidRPr="00CB31B3">
        <w:rPr>
          <w:i/>
          <w:iCs/>
        </w:rPr>
        <w:t xml:space="preserve">Philippines </w:t>
      </w:r>
      <w:r w:rsidR="00C63896">
        <w:rPr>
          <w:i/>
          <w:iCs/>
        </w:rPr>
        <w:t>S</w:t>
      </w:r>
      <w:r w:rsidR="00C63896" w:rsidRPr="00CB31B3">
        <w:rPr>
          <w:i/>
          <w:iCs/>
        </w:rPr>
        <w:t xml:space="preserve">ill </w:t>
      </w:r>
      <w:r w:rsidR="00C63896">
        <w:rPr>
          <w:i/>
          <w:iCs/>
        </w:rPr>
        <w:t>N</w:t>
      </w:r>
      <w:r w:rsidR="00C63896" w:rsidRPr="00CB31B3">
        <w:rPr>
          <w:i/>
          <w:iCs/>
        </w:rPr>
        <w:t>ot Rejoin International Criminal Court, Marcos Says</w:t>
      </w:r>
      <w:r w:rsidR="00C63896">
        <w:rPr>
          <w:i/>
          <w:iCs/>
        </w:rPr>
        <w:t xml:space="preserve">, </w:t>
      </w:r>
      <w:r w:rsidR="00C63896">
        <w:t xml:space="preserve">The Diplomat, Aug. 2, 2022, </w:t>
      </w:r>
      <w:r w:rsidR="00C63896" w:rsidRPr="00501B83">
        <w:t>https://thediplomat.com/2022/08/philippines-will-not-rejoin-international-criminal-court-marcos-says/</w:t>
      </w:r>
      <w:r w:rsidR="00C63896">
        <w:t>.</w:t>
      </w:r>
    </w:p>
  </w:footnote>
  <w:footnote w:id="46">
    <w:p w14:paraId="47A0488C" w14:textId="64D7FC9C" w:rsidR="008E21D4" w:rsidRDefault="008E21D4">
      <w:pPr>
        <w:pStyle w:val="FootnoteText"/>
      </w:pPr>
      <w:r>
        <w:rPr>
          <w:rStyle w:val="FootnoteReference"/>
        </w:rPr>
        <w:footnoteRef/>
      </w:r>
      <w:r>
        <w:t xml:space="preserve"> United Nations Human Rights Committee, </w:t>
      </w:r>
      <w:r w:rsidRPr="005B72B7">
        <w:rPr>
          <w:i/>
          <w:iCs/>
        </w:rPr>
        <w:t xml:space="preserve">List of issues in relation to </w:t>
      </w:r>
      <w:r>
        <w:rPr>
          <w:i/>
          <w:iCs/>
        </w:rPr>
        <w:t>the fifth periodic</w:t>
      </w:r>
      <w:r w:rsidRPr="005B72B7">
        <w:rPr>
          <w:i/>
          <w:iCs/>
        </w:rPr>
        <w:t xml:space="preserve"> report of </w:t>
      </w:r>
      <w:r>
        <w:rPr>
          <w:i/>
          <w:iCs/>
        </w:rPr>
        <w:t xml:space="preserve">the Philippines </w:t>
      </w:r>
      <w:r>
        <w:t>(June 30, 2020). U.N. Doc. CCPR/C/PHL/Q/5, ¶ 14.</w:t>
      </w:r>
    </w:p>
  </w:footnote>
  <w:footnote w:id="47">
    <w:p w14:paraId="03B0A5C7" w14:textId="5BC2EFAE" w:rsidR="008E21D4" w:rsidRDefault="008E21D4">
      <w:pPr>
        <w:pStyle w:val="FootnoteText"/>
      </w:pPr>
      <w:r>
        <w:rPr>
          <w:rStyle w:val="FootnoteReference"/>
        </w:rPr>
        <w:footnoteRef/>
      </w:r>
      <w:r>
        <w:t xml:space="preserve"> United Nations Human Rights Committee, </w:t>
      </w:r>
      <w:r w:rsidRPr="005B72B7">
        <w:rPr>
          <w:i/>
          <w:iCs/>
        </w:rPr>
        <w:t xml:space="preserve">List of issues in relation to </w:t>
      </w:r>
      <w:r>
        <w:rPr>
          <w:i/>
          <w:iCs/>
        </w:rPr>
        <w:t>the fifth periodic</w:t>
      </w:r>
      <w:r w:rsidRPr="005B72B7">
        <w:rPr>
          <w:i/>
          <w:iCs/>
        </w:rPr>
        <w:t xml:space="preserve"> report of </w:t>
      </w:r>
      <w:r>
        <w:rPr>
          <w:i/>
          <w:iCs/>
        </w:rPr>
        <w:t xml:space="preserve">the Philippines </w:t>
      </w:r>
      <w:r>
        <w:t>(June 30, 2020). U.N. Doc. CCPR/C/PHL/Q/5, ¶ 14.</w:t>
      </w:r>
    </w:p>
  </w:footnote>
  <w:footnote w:id="48">
    <w:p w14:paraId="6D39A08B" w14:textId="326A4066" w:rsidR="008E21D4" w:rsidRDefault="008E21D4">
      <w:pPr>
        <w:pStyle w:val="FootnoteText"/>
      </w:pPr>
      <w:r>
        <w:rPr>
          <w:rStyle w:val="FootnoteReference"/>
        </w:rPr>
        <w:footnoteRef/>
      </w:r>
      <w:r>
        <w:t xml:space="preserve"> United Nations Human Rights Committee, </w:t>
      </w:r>
      <w:r w:rsidRPr="005B72B7">
        <w:rPr>
          <w:i/>
          <w:iCs/>
        </w:rPr>
        <w:t xml:space="preserve">List of issues in relation to </w:t>
      </w:r>
      <w:r>
        <w:rPr>
          <w:i/>
          <w:iCs/>
        </w:rPr>
        <w:t>the fifth periodic</w:t>
      </w:r>
      <w:r w:rsidRPr="005B72B7">
        <w:rPr>
          <w:i/>
          <w:iCs/>
        </w:rPr>
        <w:t xml:space="preserve"> report of </w:t>
      </w:r>
      <w:r>
        <w:rPr>
          <w:i/>
          <w:iCs/>
        </w:rPr>
        <w:t xml:space="preserve">the Philippines </w:t>
      </w:r>
      <w:r>
        <w:t>(June 30, 2020). U.N. Doc. CCPR/C/PHL/Q/5, ¶ 14.</w:t>
      </w:r>
    </w:p>
  </w:footnote>
  <w:footnote w:id="49">
    <w:p w14:paraId="071B31F8" w14:textId="7AFBF0AF" w:rsidR="008E21D4" w:rsidRDefault="008E21D4">
      <w:pPr>
        <w:pStyle w:val="FootnoteText"/>
      </w:pPr>
      <w:r>
        <w:rPr>
          <w:rStyle w:val="FootnoteReference"/>
        </w:rPr>
        <w:footnoteRef/>
      </w:r>
      <w:r>
        <w:t xml:space="preserve"> </w:t>
      </w:r>
      <w:r w:rsidR="000176EB" w:rsidRPr="00247135">
        <w:rPr>
          <w:rFonts w:ascii="Times" w:hAnsi="Times"/>
          <w:color w:val="000000" w:themeColor="text1"/>
        </w:rPr>
        <w:t xml:space="preserve">United Nations </w:t>
      </w:r>
      <w:r w:rsidR="000176EB">
        <w:rPr>
          <w:rFonts w:ascii="Times" w:hAnsi="Times"/>
          <w:color w:val="000000" w:themeColor="text1"/>
        </w:rPr>
        <w:t>Human Rights Committee</w:t>
      </w:r>
      <w:r w:rsidR="000176EB" w:rsidRPr="00247135">
        <w:rPr>
          <w:rFonts w:ascii="Times" w:hAnsi="Times"/>
          <w:color w:val="000000" w:themeColor="text1"/>
        </w:rPr>
        <w:t xml:space="preserve">, </w:t>
      </w:r>
      <w:r w:rsidR="000176EB" w:rsidRPr="00247135">
        <w:rPr>
          <w:rFonts w:ascii="Times" w:hAnsi="Times"/>
          <w:i/>
          <w:iCs/>
          <w:color w:val="000000" w:themeColor="text1"/>
        </w:rPr>
        <w:t xml:space="preserve">Replies of </w:t>
      </w:r>
      <w:r w:rsidR="000176EB">
        <w:rPr>
          <w:rFonts w:ascii="Times" w:hAnsi="Times"/>
          <w:i/>
          <w:iCs/>
          <w:color w:val="000000" w:themeColor="text1"/>
        </w:rPr>
        <w:t>the Philippines</w:t>
      </w:r>
      <w:r w:rsidR="000176EB" w:rsidRPr="00247135">
        <w:rPr>
          <w:rFonts w:ascii="Times" w:hAnsi="Times"/>
          <w:i/>
          <w:iCs/>
          <w:color w:val="000000" w:themeColor="text1"/>
        </w:rPr>
        <w:t xml:space="preserve"> to the list of issues in relation to its </w:t>
      </w:r>
      <w:r w:rsidR="000176EB">
        <w:rPr>
          <w:rFonts w:ascii="Times" w:hAnsi="Times"/>
          <w:i/>
          <w:iCs/>
          <w:color w:val="000000" w:themeColor="text1"/>
        </w:rPr>
        <w:t>fifth</w:t>
      </w:r>
      <w:r w:rsidR="000176EB" w:rsidRPr="00247135">
        <w:rPr>
          <w:rFonts w:ascii="Times" w:hAnsi="Times"/>
          <w:i/>
          <w:iCs/>
          <w:color w:val="000000" w:themeColor="text1"/>
        </w:rPr>
        <w:t xml:space="preserve"> periodic report </w:t>
      </w:r>
      <w:r w:rsidR="000176EB" w:rsidRPr="00247135">
        <w:rPr>
          <w:rFonts w:ascii="Times" w:hAnsi="Times"/>
          <w:color w:val="000000" w:themeColor="text1"/>
        </w:rPr>
        <w:t>(Ma</w:t>
      </w:r>
      <w:r w:rsidR="000176EB">
        <w:rPr>
          <w:rFonts w:ascii="Times" w:hAnsi="Times"/>
          <w:color w:val="000000" w:themeColor="text1"/>
        </w:rPr>
        <w:t>rch</w:t>
      </w:r>
      <w:r w:rsidR="000176EB" w:rsidRPr="00247135">
        <w:rPr>
          <w:rFonts w:ascii="Times" w:hAnsi="Times"/>
          <w:color w:val="000000" w:themeColor="text1"/>
        </w:rPr>
        <w:t xml:space="preserve"> </w:t>
      </w:r>
      <w:r w:rsidR="000176EB">
        <w:rPr>
          <w:rFonts w:ascii="Times" w:hAnsi="Times"/>
          <w:color w:val="000000" w:themeColor="text1"/>
        </w:rPr>
        <w:t>18</w:t>
      </w:r>
      <w:r w:rsidR="000176EB" w:rsidRPr="00247135">
        <w:rPr>
          <w:rFonts w:ascii="Times" w:hAnsi="Times"/>
          <w:color w:val="000000" w:themeColor="text1"/>
        </w:rPr>
        <w:t xml:space="preserve">, 2022). U.N. Doc. </w:t>
      </w:r>
      <w:r w:rsidR="000176EB">
        <w:rPr>
          <w:rFonts w:ascii="Times" w:hAnsi="Times"/>
          <w:color w:val="000000" w:themeColor="text1"/>
        </w:rPr>
        <w:t>CCPR</w:t>
      </w:r>
      <w:r w:rsidR="000176EB" w:rsidRPr="00247135">
        <w:rPr>
          <w:rFonts w:ascii="Times" w:hAnsi="Times"/>
          <w:color w:val="000000" w:themeColor="text1"/>
        </w:rPr>
        <w:t>/C/</w:t>
      </w:r>
      <w:r w:rsidR="000176EB">
        <w:rPr>
          <w:rFonts w:ascii="Times" w:hAnsi="Times"/>
          <w:color w:val="000000" w:themeColor="text1"/>
        </w:rPr>
        <w:t>PHL</w:t>
      </w:r>
      <w:r w:rsidR="000176EB" w:rsidRPr="00247135">
        <w:rPr>
          <w:rFonts w:ascii="Times" w:hAnsi="Times"/>
          <w:color w:val="000000" w:themeColor="text1"/>
        </w:rPr>
        <w:t>/RQ/</w:t>
      </w:r>
      <w:r w:rsidR="000176EB">
        <w:rPr>
          <w:rFonts w:ascii="Times" w:hAnsi="Times"/>
          <w:color w:val="000000" w:themeColor="text1"/>
        </w:rPr>
        <w:t>5</w:t>
      </w:r>
      <w:r w:rsidR="000176EB" w:rsidRPr="00247135">
        <w:rPr>
          <w:rFonts w:ascii="Times" w:hAnsi="Times"/>
          <w:color w:val="000000" w:themeColor="text1"/>
        </w:rPr>
        <w:t xml:space="preserve">, </w:t>
      </w:r>
      <w:r w:rsidR="000176EB">
        <w:rPr>
          <w:rFonts w:ascii="Times" w:hAnsi="Times"/>
          <w:color w:val="000000" w:themeColor="text1"/>
        </w:rPr>
        <w:t>¶</w:t>
      </w:r>
      <w:r w:rsidR="000176EB" w:rsidRPr="00247135">
        <w:rPr>
          <w:rFonts w:ascii="Times" w:hAnsi="Times"/>
          <w:color w:val="000000" w:themeColor="text1"/>
        </w:rPr>
        <w:t xml:space="preserve"> </w:t>
      </w:r>
      <w:r w:rsidR="000176EB">
        <w:rPr>
          <w:rFonts w:ascii="Times" w:hAnsi="Times"/>
          <w:color w:val="000000" w:themeColor="text1"/>
        </w:rPr>
        <w:t>117</w:t>
      </w:r>
      <w:r w:rsidR="000176EB" w:rsidRPr="00247135">
        <w:rPr>
          <w:rFonts w:ascii="Times" w:hAnsi="Times"/>
          <w:color w:val="000000" w:themeColor="text1"/>
        </w:rPr>
        <w:t>.</w:t>
      </w:r>
    </w:p>
  </w:footnote>
  <w:footnote w:id="50">
    <w:p w14:paraId="0D14A657" w14:textId="17FA7970" w:rsidR="008E21D4" w:rsidRDefault="008E21D4">
      <w:pPr>
        <w:pStyle w:val="FootnoteText"/>
      </w:pPr>
      <w:r>
        <w:rPr>
          <w:rStyle w:val="FootnoteReference"/>
        </w:rPr>
        <w:footnoteRef/>
      </w:r>
      <w:r>
        <w:t xml:space="preserve"> </w:t>
      </w:r>
      <w:r w:rsidR="000176EB" w:rsidRPr="00247135">
        <w:rPr>
          <w:rFonts w:ascii="Times" w:hAnsi="Times"/>
          <w:color w:val="000000" w:themeColor="text1"/>
        </w:rPr>
        <w:t xml:space="preserve">United Nations </w:t>
      </w:r>
      <w:r w:rsidR="000176EB">
        <w:rPr>
          <w:rFonts w:ascii="Times" w:hAnsi="Times"/>
          <w:color w:val="000000" w:themeColor="text1"/>
        </w:rPr>
        <w:t>Human Rights Committee</w:t>
      </w:r>
      <w:r w:rsidR="000176EB" w:rsidRPr="00247135">
        <w:rPr>
          <w:rFonts w:ascii="Times" w:hAnsi="Times"/>
          <w:color w:val="000000" w:themeColor="text1"/>
        </w:rPr>
        <w:t xml:space="preserve">, </w:t>
      </w:r>
      <w:r w:rsidR="000176EB" w:rsidRPr="00247135">
        <w:rPr>
          <w:rFonts w:ascii="Times" w:hAnsi="Times"/>
          <w:i/>
          <w:iCs/>
          <w:color w:val="000000" w:themeColor="text1"/>
        </w:rPr>
        <w:t xml:space="preserve">Replies of </w:t>
      </w:r>
      <w:r w:rsidR="000176EB">
        <w:rPr>
          <w:rFonts w:ascii="Times" w:hAnsi="Times"/>
          <w:i/>
          <w:iCs/>
          <w:color w:val="000000" w:themeColor="text1"/>
        </w:rPr>
        <w:t>the Philippines</w:t>
      </w:r>
      <w:r w:rsidR="000176EB" w:rsidRPr="00247135">
        <w:rPr>
          <w:rFonts w:ascii="Times" w:hAnsi="Times"/>
          <w:i/>
          <w:iCs/>
          <w:color w:val="000000" w:themeColor="text1"/>
        </w:rPr>
        <w:t xml:space="preserve"> to the list of issues in relation to its </w:t>
      </w:r>
      <w:r w:rsidR="000176EB">
        <w:rPr>
          <w:rFonts w:ascii="Times" w:hAnsi="Times"/>
          <w:i/>
          <w:iCs/>
          <w:color w:val="000000" w:themeColor="text1"/>
        </w:rPr>
        <w:t>fifth</w:t>
      </w:r>
      <w:r w:rsidR="000176EB" w:rsidRPr="00247135">
        <w:rPr>
          <w:rFonts w:ascii="Times" w:hAnsi="Times"/>
          <w:i/>
          <w:iCs/>
          <w:color w:val="000000" w:themeColor="text1"/>
        </w:rPr>
        <w:t xml:space="preserve"> periodic report </w:t>
      </w:r>
      <w:r w:rsidR="000176EB" w:rsidRPr="00247135">
        <w:rPr>
          <w:rFonts w:ascii="Times" w:hAnsi="Times"/>
          <w:color w:val="000000" w:themeColor="text1"/>
        </w:rPr>
        <w:t>(Ma</w:t>
      </w:r>
      <w:r w:rsidR="000176EB">
        <w:rPr>
          <w:rFonts w:ascii="Times" w:hAnsi="Times"/>
          <w:color w:val="000000" w:themeColor="text1"/>
        </w:rPr>
        <w:t>rch</w:t>
      </w:r>
      <w:r w:rsidR="000176EB" w:rsidRPr="00247135">
        <w:rPr>
          <w:rFonts w:ascii="Times" w:hAnsi="Times"/>
          <w:color w:val="000000" w:themeColor="text1"/>
        </w:rPr>
        <w:t xml:space="preserve"> </w:t>
      </w:r>
      <w:r w:rsidR="000176EB">
        <w:rPr>
          <w:rFonts w:ascii="Times" w:hAnsi="Times"/>
          <w:color w:val="000000" w:themeColor="text1"/>
        </w:rPr>
        <w:t>18</w:t>
      </w:r>
      <w:r w:rsidR="000176EB" w:rsidRPr="00247135">
        <w:rPr>
          <w:rFonts w:ascii="Times" w:hAnsi="Times"/>
          <w:color w:val="000000" w:themeColor="text1"/>
        </w:rPr>
        <w:t xml:space="preserve">, 2022). U.N. Doc. </w:t>
      </w:r>
      <w:r w:rsidR="000176EB">
        <w:rPr>
          <w:rFonts w:ascii="Times" w:hAnsi="Times"/>
          <w:color w:val="000000" w:themeColor="text1"/>
        </w:rPr>
        <w:t>CCPR</w:t>
      </w:r>
      <w:r w:rsidR="000176EB" w:rsidRPr="00247135">
        <w:rPr>
          <w:rFonts w:ascii="Times" w:hAnsi="Times"/>
          <w:color w:val="000000" w:themeColor="text1"/>
        </w:rPr>
        <w:t>/C/</w:t>
      </w:r>
      <w:r w:rsidR="000176EB">
        <w:rPr>
          <w:rFonts w:ascii="Times" w:hAnsi="Times"/>
          <w:color w:val="000000" w:themeColor="text1"/>
        </w:rPr>
        <w:t>PHL</w:t>
      </w:r>
      <w:r w:rsidR="000176EB" w:rsidRPr="00247135">
        <w:rPr>
          <w:rFonts w:ascii="Times" w:hAnsi="Times"/>
          <w:color w:val="000000" w:themeColor="text1"/>
        </w:rPr>
        <w:t>/RQ/</w:t>
      </w:r>
      <w:r w:rsidR="000176EB">
        <w:rPr>
          <w:rFonts w:ascii="Times" w:hAnsi="Times"/>
          <w:color w:val="000000" w:themeColor="text1"/>
        </w:rPr>
        <w:t>5</w:t>
      </w:r>
      <w:r w:rsidR="000176EB" w:rsidRPr="00247135">
        <w:rPr>
          <w:rFonts w:ascii="Times" w:hAnsi="Times"/>
          <w:color w:val="000000" w:themeColor="text1"/>
        </w:rPr>
        <w:t xml:space="preserve">, </w:t>
      </w:r>
      <w:r w:rsidR="000176EB">
        <w:rPr>
          <w:rFonts w:ascii="Times" w:hAnsi="Times"/>
          <w:color w:val="000000" w:themeColor="text1"/>
        </w:rPr>
        <w:t>¶</w:t>
      </w:r>
      <w:r w:rsidR="000176EB" w:rsidRPr="00247135">
        <w:rPr>
          <w:rFonts w:ascii="Times" w:hAnsi="Times"/>
          <w:color w:val="000000" w:themeColor="text1"/>
        </w:rPr>
        <w:t xml:space="preserve"> </w:t>
      </w:r>
      <w:r w:rsidR="000176EB">
        <w:rPr>
          <w:rFonts w:ascii="Times" w:hAnsi="Times"/>
          <w:color w:val="000000" w:themeColor="text1"/>
        </w:rPr>
        <w:t>119, 120</w:t>
      </w:r>
      <w:r w:rsidR="000176EB" w:rsidRPr="00247135">
        <w:rPr>
          <w:rFonts w:ascii="Times" w:hAnsi="Times"/>
          <w:color w:val="000000" w:themeColor="text1"/>
        </w:rPr>
        <w:t>.</w:t>
      </w:r>
    </w:p>
  </w:footnote>
  <w:footnote w:id="51">
    <w:p w14:paraId="494B9F85" w14:textId="3A6BC881" w:rsidR="008E21D4" w:rsidRDefault="008E21D4">
      <w:pPr>
        <w:pStyle w:val="FootnoteText"/>
      </w:pPr>
      <w:r>
        <w:rPr>
          <w:rStyle w:val="FootnoteReference"/>
        </w:rPr>
        <w:footnoteRef/>
      </w:r>
      <w:r>
        <w:t xml:space="preserve"> </w:t>
      </w:r>
      <w:r w:rsidR="000176EB" w:rsidRPr="00247135">
        <w:rPr>
          <w:rFonts w:ascii="Times" w:hAnsi="Times"/>
          <w:color w:val="000000" w:themeColor="text1"/>
        </w:rPr>
        <w:t xml:space="preserve">United Nations </w:t>
      </w:r>
      <w:r w:rsidR="000176EB">
        <w:rPr>
          <w:rFonts w:ascii="Times" w:hAnsi="Times"/>
          <w:color w:val="000000" w:themeColor="text1"/>
        </w:rPr>
        <w:t>Human Rights Committee</w:t>
      </w:r>
      <w:r w:rsidR="000176EB" w:rsidRPr="00247135">
        <w:rPr>
          <w:rFonts w:ascii="Times" w:hAnsi="Times"/>
          <w:color w:val="000000" w:themeColor="text1"/>
        </w:rPr>
        <w:t xml:space="preserve">, </w:t>
      </w:r>
      <w:r w:rsidR="000176EB" w:rsidRPr="00247135">
        <w:rPr>
          <w:rFonts w:ascii="Times" w:hAnsi="Times"/>
          <w:i/>
          <w:iCs/>
          <w:color w:val="000000" w:themeColor="text1"/>
        </w:rPr>
        <w:t xml:space="preserve">Replies of </w:t>
      </w:r>
      <w:r w:rsidR="000176EB">
        <w:rPr>
          <w:rFonts w:ascii="Times" w:hAnsi="Times"/>
          <w:i/>
          <w:iCs/>
          <w:color w:val="000000" w:themeColor="text1"/>
        </w:rPr>
        <w:t>the Philippines</w:t>
      </w:r>
      <w:r w:rsidR="000176EB" w:rsidRPr="00247135">
        <w:rPr>
          <w:rFonts w:ascii="Times" w:hAnsi="Times"/>
          <w:i/>
          <w:iCs/>
          <w:color w:val="000000" w:themeColor="text1"/>
        </w:rPr>
        <w:t xml:space="preserve"> to the list of issues in relation to its </w:t>
      </w:r>
      <w:r w:rsidR="000176EB">
        <w:rPr>
          <w:rFonts w:ascii="Times" w:hAnsi="Times"/>
          <w:i/>
          <w:iCs/>
          <w:color w:val="000000" w:themeColor="text1"/>
        </w:rPr>
        <w:t>fifth</w:t>
      </w:r>
      <w:r w:rsidR="000176EB" w:rsidRPr="00247135">
        <w:rPr>
          <w:rFonts w:ascii="Times" w:hAnsi="Times"/>
          <w:i/>
          <w:iCs/>
          <w:color w:val="000000" w:themeColor="text1"/>
        </w:rPr>
        <w:t xml:space="preserve"> periodic report </w:t>
      </w:r>
      <w:r w:rsidR="000176EB" w:rsidRPr="00247135">
        <w:rPr>
          <w:rFonts w:ascii="Times" w:hAnsi="Times"/>
          <w:color w:val="000000" w:themeColor="text1"/>
        </w:rPr>
        <w:t>(Ma</w:t>
      </w:r>
      <w:r w:rsidR="000176EB">
        <w:rPr>
          <w:rFonts w:ascii="Times" w:hAnsi="Times"/>
          <w:color w:val="000000" w:themeColor="text1"/>
        </w:rPr>
        <w:t>rch</w:t>
      </w:r>
      <w:r w:rsidR="000176EB" w:rsidRPr="00247135">
        <w:rPr>
          <w:rFonts w:ascii="Times" w:hAnsi="Times"/>
          <w:color w:val="000000" w:themeColor="text1"/>
        </w:rPr>
        <w:t xml:space="preserve"> </w:t>
      </w:r>
      <w:r w:rsidR="000176EB">
        <w:rPr>
          <w:rFonts w:ascii="Times" w:hAnsi="Times"/>
          <w:color w:val="000000" w:themeColor="text1"/>
        </w:rPr>
        <w:t>18</w:t>
      </w:r>
      <w:r w:rsidR="000176EB" w:rsidRPr="00247135">
        <w:rPr>
          <w:rFonts w:ascii="Times" w:hAnsi="Times"/>
          <w:color w:val="000000" w:themeColor="text1"/>
        </w:rPr>
        <w:t xml:space="preserve">, 2022). U.N. Doc. </w:t>
      </w:r>
      <w:r w:rsidR="000176EB">
        <w:rPr>
          <w:rFonts w:ascii="Times" w:hAnsi="Times"/>
          <w:color w:val="000000" w:themeColor="text1"/>
        </w:rPr>
        <w:t>CCPR</w:t>
      </w:r>
      <w:r w:rsidR="000176EB" w:rsidRPr="00247135">
        <w:rPr>
          <w:rFonts w:ascii="Times" w:hAnsi="Times"/>
          <w:color w:val="000000" w:themeColor="text1"/>
        </w:rPr>
        <w:t>/C/</w:t>
      </w:r>
      <w:r w:rsidR="000176EB">
        <w:rPr>
          <w:rFonts w:ascii="Times" w:hAnsi="Times"/>
          <w:color w:val="000000" w:themeColor="text1"/>
        </w:rPr>
        <w:t>PHL</w:t>
      </w:r>
      <w:r w:rsidR="000176EB" w:rsidRPr="00247135">
        <w:rPr>
          <w:rFonts w:ascii="Times" w:hAnsi="Times"/>
          <w:color w:val="000000" w:themeColor="text1"/>
        </w:rPr>
        <w:t>/RQ/</w:t>
      </w:r>
      <w:r w:rsidR="000176EB">
        <w:rPr>
          <w:rFonts w:ascii="Times" w:hAnsi="Times"/>
          <w:color w:val="000000" w:themeColor="text1"/>
        </w:rPr>
        <w:t>5</w:t>
      </w:r>
      <w:r w:rsidR="000176EB" w:rsidRPr="00247135">
        <w:rPr>
          <w:rFonts w:ascii="Times" w:hAnsi="Times"/>
          <w:color w:val="000000" w:themeColor="text1"/>
        </w:rPr>
        <w:t xml:space="preserve">, </w:t>
      </w:r>
      <w:r w:rsidR="000176EB">
        <w:rPr>
          <w:rFonts w:ascii="Times" w:hAnsi="Times"/>
          <w:color w:val="000000" w:themeColor="text1"/>
        </w:rPr>
        <w:t>¶</w:t>
      </w:r>
      <w:r w:rsidR="000176EB" w:rsidRPr="00247135">
        <w:rPr>
          <w:rFonts w:ascii="Times" w:hAnsi="Times"/>
          <w:color w:val="000000" w:themeColor="text1"/>
        </w:rPr>
        <w:t xml:space="preserve"> </w:t>
      </w:r>
      <w:r w:rsidR="00104DAF">
        <w:rPr>
          <w:rFonts w:ascii="Times" w:hAnsi="Times"/>
          <w:color w:val="000000" w:themeColor="text1"/>
        </w:rPr>
        <w:t>121, 122.</w:t>
      </w:r>
    </w:p>
  </w:footnote>
  <w:footnote w:id="52">
    <w:p w14:paraId="05447EE2" w14:textId="24F91AA4" w:rsidR="008E21D4" w:rsidRDefault="008E21D4">
      <w:pPr>
        <w:pStyle w:val="FootnoteText"/>
      </w:pPr>
      <w:r>
        <w:rPr>
          <w:rStyle w:val="FootnoteReference"/>
        </w:rPr>
        <w:footnoteRef/>
      </w:r>
      <w:r>
        <w:t xml:space="preserve"> </w:t>
      </w:r>
      <w:r w:rsidR="008C64EE" w:rsidRPr="00247135">
        <w:rPr>
          <w:rFonts w:ascii="Times" w:hAnsi="Times"/>
          <w:color w:val="000000" w:themeColor="text1"/>
        </w:rPr>
        <w:t xml:space="preserve">United Nations </w:t>
      </w:r>
      <w:r w:rsidR="008C64EE">
        <w:rPr>
          <w:rFonts w:ascii="Times" w:hAnsi="Times"/>
          <w:color w:val="000000" w:themeColor="text1"/>
        </w:rPr>
        <w:t>Human Rights Committee</w:t>
      </w:r>
      <w:r w:rsidR="008C64EE" w:rsidRPr="00247135">
        <w:rPr>
          <w:rFonts w:ascii="Times" w:hAnsi="Times"/>
          <w:color w:val="000000" w:themeColor="text1"/>
        </w:rPr>
        <w:t xml:space="preserve">, </w:t>
      </w:r>
      <w:r w:rsidR="008C64EE" w:rsidRPr="00247135">
        <w:rPr>
          <w:rFonts w:ascii="Times" w:hAnsi="Times"/>
          <w:i/>
          <w:iCs/>
          <w:color w:val="000000" w:themeColor="text1"/>
        </w:rPr>
        <w:t xml:space="preserve">Replies of </w:t>
      </w:r>
      <w:r w:rsidR="008C64EE">
        <w:rPr>
          <w:rFonts w:ascii="Times" w:hAnsi="Times"/>
          <w:i/>
          <w:iCs/>
          <w:color w:val="000000" w:themeColor="text1"/>
        </w:rPr>
        <w:t>the Philippines</w:t>
      </w:r>
      <w:r w:rsidR="008C64EE" w:rsidRPr="00247135">
        <w:rPr>
          <w:rFonts w:ascii="Times" w:hAnsi="Times"/>
          <w:i/>
          <w:iCs/>
          <w:color w:val="000000" w:themeColor="text1"/>
        </w:rPr>
        <w:t xml:space="preserve"> to the list of issues in relation to its </w:t>
      </w:r>
      <w:r w:rsidR="008C64EE">
        <w:rPr>
          <w:rFonts w:ascii="Times" w:hAnsi="Times"/>
          <w:i/>
          <w:iCs/>
          <w:color w:val="000000" w:themeColor="text1"/>
        </w:rPr>
        <w:t>fifth</w:t>
      </w:r>
      <w:r w:rsidR="008C64EE" w:rsidRPr="00247135">
        <w:rPr>
          <w:rFonts w:ascii="Times" w:hAnsi="Times"/>
          <w:i/>
          <w:iCs/>
          <w:color w:val="000000" w:themeColor="text1"/>
        </w:rPr>
        <w:t xml:space="preserve"> periodic report </w:t>
      </w:r>
      <w:r w:rsidR="008C64EE" w:rsidRPr="00247135">
        <w:rPr>
          <w:rFonts w:ascii="Times" w:hAnsi="Times"/>
          <w:color w:val="000000" w:themeColor="text1"/>
        </w:rPr>
        <w:t>(Ma</w:t>
      </w:r>
      <w:r w:rsidR="008C64EE">
        <w:rPr>
          <w:rFonts w:ascii="Times" w:hAnsi="Times"/>
          <w:color w:val="000000" w:themeColor="text1"/>
        </w:rPr>
        <w:t>rch</w:t>
      </w:r>
      <w:r w:rsidR="008C64EE" w:rsidRPr="00247135">
        <w:rPr>
          <w:rFonts w:ascii="Times" w:hAnsi="Times"/>
          <w:color w:val="000000" w:themeColor="text1"/>
        </w:rPr>
        <w:t xml:space="preserve"> </w:t>
      </w:r>
      <w:r w:rsidR="008C64EE">
        <w:rPr>
          <w:rFonts w:ascii="Times" w:hAnsi="Times"/>
          <w:color w:val="000000" w:themeColor="text1"/>
        </w:rPr>
        <w:t>18</w:t>
      </w:r>
      <w:r w:rsidR="008C64EE" w:rsidRPr="00247135">
        <w:rPr>
          <w:rFonts w:ascii="Times" w:hAnsi="Times"/>
          <w:color w:val="000000" w:themeColor="text1"/>
        </w:rPr>
        <w:t xml:space="preserve">, 2022). U.N. Doc. </w:t>
      </w:r>
      <w:r w:rsidR="008C64EE">
        <w:rPr>
          <w:rFonts w:ascii="Times" w:hAnsi="Times"/>
          <w:color w:val="000000" w:themeColor="text1"/>
        </w:rPr>
        <w:t>CCPR</w:t>
      </w:r>
      <w:r w:rsidR="008C64EE" w:rsidRPr="00247135">
        <w:rPr>
          <w:rFonts w:ascii="Times" w:hAnsi="Times"/>
          <w:color w:val="000000" w:themeColor="text1"/>
        </w:rPr>
        <w:t>/C/</w:t>
      </w:r>
      <w:r w:rsidR="008C64EE">
        <w:rPr>
          <w:rFonts w:ascii="Times" w:hAnsi="Times"/>
          <w:color w:val="000000" w:themeColor="text1"/>
        </w:rPr>
        <w:t>PHL</w:t>
      </w:r>
      <w:r w:rsidR="008C64EE" w:rsidRPr="00247135">
        <w:rPr>
          <w:rFonts w:ascii="Times" w:hAnsi="Times"/>
          <w:color w:val="000000" w:themeColor="text1"/>
        </w:rPr>
        <w:t>/RQ/</w:t>
      </w:r>
      <w:r w:rsidR="008C64EE">
        <w:rPr>
          <w:rFonts w:ascii="Times" w:hAnsi="Times"/>
          <w:color w:val="000000" w:themeColor="text1"/>
        </w:rPr>
        <w:t>5</w:t>
      </w:r>
      <w:r w:rsidR="008C64EE" w:rsidRPr="00247135">
        <w:rPr>
          <w:rFonts w:ascii="Times" w:hAnsi="Times"/>
          <w:color w:val="000000" w:themeColor="text1"/>
        </w:rPr>
        <w:t xml:space="preserve">, </w:t>
      </w:r>
      <w:r w:rsidR="008C64EE">
        <w:rPr>
          <w:rFonts w:ascii="Times" w:hAnsi="Times"/>
          <w:color w:val="000000" w:themeColor="text1"/>
        </w:rPr>
        <w:t>¶</w:t>
      </w:r>
      <w:r w:rsidR="008C64EE" w:rsidRPr="00247135">
        <w:rPr>
          <w:rFonts w:ascii="Times" w:hAnsi="Times"/>
          <w:color w:val="000000" w:themeColor="text1"/>
        </w:rPr>
        <w:t xml:space="preserve"> </w:t>
      </w:r>
      <w:r w:rsidR="008C64EE">
        <w:rPr>
          <w:rFonts w:ascii="Times" w:hAnsi="Times"/>
          <w:color w:val="000000" w:themeColor="text1"/>
        </w:rPr>
        <w:t>125</w:t>
      </w:r>
      <w:r w:rsidR="008C64EE" w:rsidRPr="00247135">
        <w:rPr>
          <w:rFonts w:ascii="Times" w:hAnsi="Times"/>
          <w:color w:val="000000" w:themeColor="text1"/>
        </w:rPr>
        <w:t>.</w:t>
      </w:r>
    </w:p>
  </w:footnote>
  <w:footnote w:id="53">
    <w:p w14:paraId="5D76A284" w14:textId="053CFB7C" w:rsidR="008E21D4" w:rsidRDefault="008E21D4">
      <w:pPr>
        <w:pStyle w:val="FootnoteText"/>
      </w:pPr>
      <w:r>
        <w:rPr>
          <w:rStyle w:val="FootnoteReference"/>
        </w:rPr>
        <w:footnoteRef/>
      </w:r>
      <w:r>
        <w:t xml:space="preserve"> </w:t>
      </w:r>
      <w:r w:rsidR="008C64EE" w:rsidRPr="00247135">
        <w:rPr>
          <w:rFonts w:ascii="Times" w:hAnsi="Times"/>
          <w:color w:val="000000" w:themeColor="text1"/>
        </w:rPr>
        <w:t xml:space="preserve">United Nations </w:t>
      </w:r>
      <w:r w:rsidR="008C64EE">
        <w:rPr>
          <w:rFonts w:ascii="Times" w:hAnsi="Times"/>
          <w:color w:val="000000" w:themeColor="text1"/>
        </w:rPr>
        <w:t>Human Rights Committee</w:t>
      </w:r>
      <w:r w:rsidR="008C64EE" w:rsidRPr="00247135">
        <w:rPr>
          <w:rFonts w:ascii="Times" w:hAnsi="Times"/>
          <w:color w:val="000000" w:themeColor="text1"/>
        </w:rPr>
        <w:t xml:space="preserve">, </w:t>
      </w:r>
      <w:r w:rsidR="008C64EE" w:rsidRPr="00247135">
        <w:rPr>
          <w:rFonts w:ascii="Times" w:hAnsi="Times"/>
          <w:i/>
          <w:iCs/>
          <w:color w:val="000000" w:themeColor="text1"/>
        </w:rPr>
        <w:t xml:space="preserve">Replies of </w:t>
      </w:r>
      <w:r w:rsidR="008C64EE">
        <w:rPr>
          <w:rFonts w:ascii="Times" w:hAnsi="Times"/>
          <w:i/>
          <w:iCs/>
          <w:color w:val="000000" w:themeColor="text1"/>
        </w:rPr>
        <w:t>the Philippines</w:t>
      </w:r>
      <w:r w:rsidR="008C64EE" w:rsidRPr="00247135">
        <w:rPr>
          <w:rFonts w:ascii="Times" w:hAnsi="Times"/>
          <w:i/>
          <w:iCs/>
          <w:color w:val="000000" w:themeColor="text1"/>
        </w:rPr>
        <w:t xml:space="preserve"> to the list of issues in relation to its </w:t>
      </w:r>
      <w:r w:rsidR="008C64EE">
        <w:rPr>
          <w:rFonts w:ascii="Times" w:hAnsi="Times"/>
          <w:i/>
          <w:iCs/>
          <w:color w:val="000000" w:themeColor="text1"/>
        </w:rPr>
        <w:t>fifth</w:t>
      </w:r>
      <w:r w:rsidR="008C64EE" w:rsidRPr="00247135">
        <w:rPr>
          <w:rFonts w:ascii="Times" w:hAnsi="Times"/>
          <w:i/>
          <w:iCs/>
          <w:color w:val="000000" w:themeColor="text1"/>
        </w:rPr>
        <w:t xml:space="preserve"> periodic report </w:t>
      </w:r>
      <w:r w:rsidR="008C64EE" w:rsidRPr="00247135">
        <w:rPr>
          <w:rFonts w:ascii="Times" w:hAnsi="Times"/>
          <w:color w:val="000000" w:themeColor="text1"/>
        </w:rPr>
        <w:t>(Ma</w:t>
      </w:r>
      <w:r w:rsidR="008C64EE">
        <w:rPr>
          <w:rFonts w:ascii="Times" w:hAnsi="Times"/>
          <w:color w:val="000000" w:themeColor="text1"/>
        </w:rPr>
        <w:t>rch</w:t>
      </w:r>
      <w:r w:rsidR="008C64EE" w:rsidRPr="00247135">
        <w:rPr>
          <w:rFonts w:ascii="Times" w:hAnsi="Times"/>
          <w:color w:val="000000" w:themeColor="text1"/>
        </w:rPr>
        <w:t xml:space="preserve"> </w:t>
      </w:r>
      <w:r w:rsidR="008C64EE">
        <w:rPr>
          <w:rFonts w:ascii="Times" w:hAnsi="Times"/>
          <w:color w:val="000000" w:themeColor="text1"/>
        </w:rPr>
        <w:t>18</w:t>
      </w:r>
      <w:r w:rsidR="008C64EE" w:rsidRPr="00247135">
        <w:rPr>
          <w:rFonts w:ascii="Times" w:hAnsi="Times"/>
          <w:color w:val="000000" w:themeColor="text1"/>
        </w:rPr>
        <w:t xml:space="preserve">, 2022). U.N. Doc. </w:t>
      </w:r>
      <w:r w:rsidR="008C64EE">
        <w:rPr>
          <w:rFonts w:ascii="Times" w:hAnsi="Times"/>
          <w:color w:val="000000" w:themeColor="text1"/>
        </w:rPr>
        <w:t>CCPR</w:t>
      </w:r>
      <w:r w:rsidR="008C64EE" w:rsidRPr="00247135">
        <w:rPr>
          <w:rFonts w:ascii="Times" w:hAnsi="Times"/>
          <w:color w:val="000000" w:themeColor="text1"/>
        </w:rPr>
        <w:t>/C/</w:t>
      </w:r>
      <w:r w:rsidR="008C64EE">
        <w:rPr>
          <w:rFonts w:ascii="Times" w:hAnsi="Times"/>
          <w:color w:val="000000" w:themeColor="text1"/>
        </w:rPr>
        <w:t>PHL</w:t>
      </w:r>
      <w:r w:rsidR="008C64EE" w:rsidRPr="00247135">
        <w:rPr>
          <w:rFonts w:ascii="Times" w:hAnsi="Times"/>
          <w:color w:val="000000" w:themeColor="text1"/>
        </w:rPr>
        <w:t>/RQ/</w:t>
      </w:r>
      <w:r w:rsidR="008C64EE">
        <w:rPr>
          <w:rFonts w:ascii="Times" w:hAnsi="Times"/>
          <w:color w:val="000000" w:themeColor="text1"/>
        </w:rPr>
        <w:t>5</w:t>
      </w:r>
      <w:r w:rsidR="008C64EE" w:rsidRPr="00247135">
        <w:rPr>
          <w:rFonts w:ascii="Times" w:hAnsi="Times"/>
          <w:color w:val="000000" w:themeColor="text1"/>
        </w:rPr>
        <w:t xml:space="preserve">, </w:t>
      </w:r>
      <w:r w:rsidR="008C64EE">
        <w:rPr>
          <w:rFonts w:ascii="Times" w:hAnsi="Times"/>
          <w:color w:val="000000" w:themeColor="text1"/>
        </w:rPr>
        <w:t>¶</w:t>
      </w:r>
      <w:r w:rsidR="008C64EE" w:rsidRPr="00247135">
        <w:rPr>
          <w:rFonts w:ascii="Times" w:hAnsi="Times"/>
          <w:color w:val="000000" w:themeColor="text1"/>
        </w:rPr>
        <w:t xml:space="preserve"> </w:t>
      </w:r>
      <w:r w:rsidR="008C64EE">
        <w:rPr>
          <w:rFonts w:ascii="Times" w:hAnsi="Times"/>
          <w:color w:val="000000" w:themeColor="text1"/>
        </w:rPr>
        <w:t>126.</w:t>
      </w:r>
    </w:p>
  </w:footnote>
  <w:footnote w:id="54">
    <w:p w14:paraId="2DAF79E6" w14:textId="57FA415B" w:rsidR="008E21D4" w:rsidRDefault="008E21D4">
      <w:pPr>
        <w:pStyle w:val="FootnoteText"/>
      </w:pPr>
      <w:r>
        <w:rPr>
          <w:rStyle w:val="FootnoteReference"/>
        </w:rPr>
        <w:footnoteRef/>
      </w:r>
      <w:r>
        <w:t xml:space="preserve"> </w:t>
      </w:r>
      <w:r w:rsidR="008C64EE" w:rsidRPr="00247135">
        <w:rPr>
          <w:rFonts w:ascii="Times" w:hAnsi="Times"/>
          <w:color w:val="000000" w:themeColor="text1"/>
        </w:rPr>
        <w:t xml:space="preserve">United Nations </w:t>
      </w:r>
      <w:r w:rsidR="008C64EE">
        <w:rPr>
          <w:rFonts w:ascii="Times" w:hAnsi="Times"/>
          <w:color w:val="000000" w:themeColor="text1"/>
        </w:rPr>
        <w:t>Human Rights Committee</w:t>
      </w:r>
      <w:r w:rsidR="008C64EE" w:rsidRPr="00247135">
        <w:rPr>
          <w:rFonts w:ascii="Times" w:hAnsi="Times"/>
          <w:color w:val="000000" w:themeColor="text1"/>
        </w:rPr>
        <w:t xml:space="preserve">, </w:t>
      </w:r>
      <w:r w:rsidR="008C64EE" w:rsidRPr="00247135">
        <w:rPr>
          <w:rFonts w:ascii="Times" w:hAnsi="Times"/>
          <w:i/>
          <w:iCs/>
          <w:color w:val="000000" w:themeColor="text1"/>
        </w:rPr>
        <w:t xml:space="preserve">Replies of </w:t>
      </w:r>
      <w:r w:rsidR="008C64EE">
        <w:rPr>
          <w:rFonts w:ascii="Times" w:hAnsi="Times"/>
          <w:i/>
          <w:iCs/>
          <w:color w:val="000000" w:themeColor="text1"/>
        </w:rPr>
        <w:t>the Philippines</w:t>
      </w:r>
      <w:r w:rsidR="008C64EE" w:rsidRPr="00247135">
        <w:rPr>
          <w:rFonts w:ascii="Times" w:hAnsi="Times"/>
          <w:i/>
          <w:iCs/>
          <w:color w:val="000000" w:themeColor="text1"/>
        </w:rPr>
        <w:t xml:space="preserve"> to the list of issues in relation to its </w:t>
      </w:r>
      <w:r w:rsidR="008C64EE">
        <w:rPr>
          <w:rFonts w:ascii="Times" w:hAnsi="Times"/>
          <w:i/>
          <w:iCs/>
          <w:color w:val="000000" w:themeColor="text1"/>
        </w:rPr>
        <w:t>fifth</w:t>
      </w:r>
      <w:r w:rsidR="008C64EE" w:rsidRPr="00247135">
        <w:rPr>
          <w:rFonts w:ascii="Times" w:hAnsi="Times"/>
          <w:i/>
          <w:iCs/>
          <w:color w:val="000000" w:themeColor="text1"/>
        </w:rPr>
        <w:t xml:space="preserve"> periodic report </w:t>
      </w:r>
      <w:r w:rsidR="008C64EE" w:rsidRPr="00247135">
        <w:rPr>
          <w:rFonts w:ascii="Times" w:hAnsi="Times"/>
          <w:color w:val="000000" w:themeColor="text1"/>
        </w:rPr>
        <w:t>(Ma</w:t>
      </w:r>
      <w:r w:rsidR="008C64EE">
        <w:rPr>
          <w:rFonts w:ascii="Times" w:hAnsi="Times"/>
          <w:color w:val="000000" w:themeColor="text1"/>
        </w:rPr>
        <w:t>rch</w:t>
      </w:r>
      <w:r w:rsidR="008C64EE" w:rsidRPr="00247135">
        <w:rPr>
          <w:rFonts w:ascii="Times" w:hAnsi="Times"/>
          <w:color w:val="000000" w:themeColor="text1"/>
        </w:rPr>
        <w:t xml:space="preserve"> </w:t>
      </w:r>
      <w:r w:rsidR="008C64EE">
        <w:rPr>
          <w:rFonts w:ascii="Times" w:hAnsi="Times"/>
          <w:color w:val="000000" w:themeColor="text1"/>
        </w:rPr>
        <w:t>18</w:t>
      </w:r>
      <w:r w:rsidR="008C64EE" w:rsidRPr="00247135">
        <w:rPr>
          <w:rFonts w:ascii="Times" w:hAnsi="Times"/>
          <w:color w:val="000000" w:themeColor="text1"/>
        </w:rPr>
        <w:t xml:space="preserve">, 2022). U.N. Doc. </w:t>
      </w:r>
      <w:r w:rsidR="008C64EE">
        <w:rPr>
          <w:rFonts w:ascii="Times" w:hAnsi="Times"/>
          <w:color w:val="000000" w:themeColor="text1"/>
        </w:rPr>
        <w:t>CCPR</w:t>
      </w:r>
      <w:r w:rsidR="008C64EE" w:rsidRPr="00247135">
        <w:rPr>
          <w:rFonts w:ascii="Times" w:hAnsi="Times"/>
          <w:color w:val="000000" w:themeColor="text1"/>
        </w:rPr>
        <w:t>/C/</w:t>
      </w:r>
      <w:r w:rsidR="008C64EE">
        <w:rPr>
          <w:rFonts w:ascii="Times" w:hAnsi="Times"/>
          <w:color w:val="000000" w:themeColor="text1"/>
        </w:rPr>
        <w:t>PHL</w:t>
      </w:r>
      <w:r w:rsidR="008C64EE" w:rsidRPr="00247135">
        <w:rPr>
          <w:rFonts w:ascii="Times" w:hAnsi="Times"/>
          <w:color w:val="000000" w:themeColor="text1"/>
        </w:rPr>
        <w:t>/RQ/</w:t>
      </w:r>
      <w:r w:rsidR="008C64EE">
        <w:rPr>
          <w:rFonts w:ascii="Times" w:hAnsi="Times"/>
          <w:color w:val="000000" w:themeColor="text1"/>
        </w:rPr>
        <w:t>5</w:t>
      </w:r>
      <w:r w:rsidR="008C64EE" w:rsidRPr="00247135">
        <w:rPr>
          <w:rFonts w:ascii="Times" w:hAnsi="Times"/>
          <w:color w:val="000000" w:themeColor="text1"/>
        </w:rPr>
        <w:t xml:space="preserve">, </w:t>
      </w:r>
      <w:r w:rsidR="008C64EE">
        <w:rPr>
          <w:rFonts w:ascii="Times" w:hAnsi="Times"/>
          <w:color w:val="000000" w:themeColor="text1"/>
        </w:rPr>
        <w:t>¶</w:t>
      </w:r>
      <w:r w:rsidR="008C64EE" w:rsidRPr="00247135">
        <w:rPr>
          <w:rFonts w:ascii="Times" w:hAnsi="Times"/>
          <w:color w:val="000000" w:themeColor="text1"/>
        </w:rPr>
        <w:t xml:space="preserve"> </w:t>
      </w:r>
      <w:r w:rsidR="00CB31B3">
        <w:rPr>
          <w:rFonts w:ascii="Times" w:hAnsi="Times"/>
          <w:color w:val="000000" w:themeColor="text1"/>
        </w:rPr>
        <w:t>127.</w:t>
      </w:r>
    </w:p>
  </w:footnote>
  <w:footnote w:id="55">
    <w:p w14:paraId="17EBBE47" w14:textId="684305A9" w:rsidR="008E21D4" w:rsidRDefault="008E21D4">
      <w:pPr>
        <w:pStyle w:val="FootnoteText"/>
      </w:pPr>
      <w:r>
        <w:rPr>
          <w:rStyle w:val="FootnoteReference"/>
        </w:rPr>
        <w:footnoteRef/>
      </w:r>
      <w:r>
        <w:t xml:space="preserve"> </w:t>
      </w:r>
      <w:r w:rsidR="00CB31B3" w:rsidRPr="00247135">
        <w:rPr>
          <w:rFonts w:ascii="Times" w:hAnsi="Times"/>
          <w:color w:val="000000" w:themeColor="text1"/>
        </w:rPr>
        <w:t xml:space="preserve">United Nations </w:t>
      </w:r>
      <w:r w:rsidR="00CB31B3">
        <w:rPr>
          <w:rFonts w:ascii="Times" w:hAnsi="Times"/>
          <w:color w:val="000000" w:themeColor="text1"/>
        </w:rPr>
        <w:t>Human Rights Committee</w:t>
      </w:r>
      <w:r w:rsidR="00CB31B3" w:rsidRPr="00247135">
        <w:rPr>
          <w:rFonts w:ascii="Times" w:hAnsi="Times"/>
          <w:color w:val="000000" w:themeColor="text1"/>
        </w:rPr>
        <w:t xml:space="preserve">, </w:t>
      </w:r>
      <w:r w:rsidR="00CB31B3" w:rsidRPr="00247135">
        <w:rPr>
          <w:rFonts w:ascii="Times" w:hAnsi="Times"/>
          <w:i/>
          <w:iCs/>
          <w:color w:val="000000" w:themeColor="text1"/>
        </w:rPr>
        <w:t xml:space="preserve">Replies of </w:t>
      </w:r>
      <w:r w:rsidR="00CB31B3">
        <w:rPr>
          <w:rFonts w:ascii="Times" w:hAnsi="Times"/>
          <w:i/>
          <w:iCs/>
          <w:color w:val="000000" w:themeColor="text1"/>
        </w:rPr>
        <w:t>the Philippines</w:t>
      </w:r>
      <w:r w:rsidR="00CB31B3" w:rsidRPr="00247135">
        <w:rPr>
          <w:rFonts w:ascii="Times" w:hAnsi="Times"/>
          <w:i/>
          <w:iCs/>
          <w:color w:val="000000" w:themeColor="text1"/>
        </w:rPr>
        <w:t xml:space="preserve"> to the list of issues in relation to its </w:t>
      </w:r>
      <w:r w:rsidR="00CB31B3">
        <w:rPr>
          <w:rFonts w:ascii="Times" w:hAnsi="Times"/>
          <w:i/>
          <w:iCs/>
          <w:color w:val="000000" w:themeColor="text1"/>
        </w:rPr>
        <w:t>fifth</w:t>
      </w:r>
      <w:r w:rsidR="00CB31B3" w:rsidRPr="00247135">
        <w:rPr>
          <w:rFonts w:ascii="Times" w:hAnsi="Times"/>
          <w:i/>
          <w:iCs/>
          <w:color w:val="000000" w:themeColor="text1"/>
        </w:rPr>
        <w:t xml:space="preserve"> periodic report </w:t>
      </w:r>
      <w:r w:rsidR="00CB31B3" w:rsidRPr="00247135">
        <w:rPr>
          <w:rFonts w:ascii="Times" w:hAnsi="Times"/>
          <w:color w:val="000000" w:themeColor="text1"/>
        </w:rPr>
        <w:t>(Ma</w:t>
      </w:r>
      <w:r w:rsidR="00CB31B3">
        <w:rPr>
          <w:rFonts w:ascii="Times" w:hAnsi="Times"/>
          <w:color w:val="000000" w:themeColor="text1"/>
        </w:rPr>
        <w:t>rch</w:t>
      </w:r>
      <w:r w:rsidR="00CB31B3" w:rsidRPr="00247135">
        <w:rPr>
          <w:rFonts w:ascii="Times" w:hAnsi="Times"/>
          <w:color w:val="000000" w:themeColor="text1"/>
        </w:rPr>
        <w:t xml:space="preserve"> </w:t>
      </w:r>
      <w:r w:rsidR="00CB31B3">
        <w:rPr>
          <w:rFonts w:ascii="Times" w:hAnsi="Times"/>
          <w:color w:val="000000" w:themeColor="text1"/>
        </w:rPr>
        <w:t>18</w:t>
      </w:r>
      <w:r w:rsidR="00CB31B3" w:rsidRPr="00247135">
        <w:rPr>
          <w:rFonts w:ascii="Times" w:hAnsi="Times"/>
          <w:color w:val="000000" w:themeColor="text1"/>
        </w:rPr>
        <w:t xml:space="preserve">, 2022). U.N. Doc. </w:t>
      </w:r>
      <w:r w:rsidR="00CB31B3">
        <w:rPr>
          <w:rFonts w:ascii="Times" w:hAnsi="Times"/>
          <w:color w:val="000000" w:themeColor="text1"/>
        </w:rPr>
        <w:t>CCPR</w:t>
      </w:r>
      <w:r w:rsidR="00CB31B3" w:rsidRPr="00247135">
        <w:rPr>
          <w:rFonts w:ascii="Times" w:hAnsi="Times"/>
          <w:color w:val="000000" w:themeColor="text1"/>
        </w:rPr>
        <w:t>/C/</w:t>
      </w:r>
      <w:r w:rsidR="00CB31B3">
        <w:rPr>
          <w:rFonts w:ascii="Times" w:hAnsi="Times"/>
          <w:color w:val="000000" w:themeColor="text1"/>
        </w:rPr>
        <w:t>PHL</w:t>
      </w:r>
      <w:r w:rsidR="00CB31B3" w:rsidRPr="00247135">
        <w:rPr>
          <w:rFonts w:ascii="Times" w:hAnsi="Times"/>
          <w:color w:val="000000" w:themeColor="text1"/>
        </w:rPr>
        <w:t>/RQ/</w:t>
      </w:r>
      <w:r w:rsidR="00CB31B3">
        <w:rPr>
          <w:rFonts w:ascii="Times" w:hAnsi="Times"/>
          <w:color w:val="000000" w:themeColor="text1"/>
        </w:rPr>
        <w:t>5</w:t>
      </w:r>
      <w:r w:rsidR="00CB31B3" w:rsidRPr="00247135">
        <w:rPr>
          <w:rFonts w:ascii="Times" w:hAnsi="Times"/>
          <w:color w:val="000000" w:themeColor="text1"/>
        </w:rPr>
        <w:t xml:space="preserve">, </w:t>
      </w:r>
      <w:r w:rsidR="00CB31B3">
        <w:rPr>
          <w:rFonts w:ascii="Times" w:hAnsi="Times"/>
          <w:color w:val="000000" w:themeColor="text1"/>
        </w:rPr>
        <w:t>¶</w:t>
      </w:r>
      <w:r w:rsidR="00CB31B3" w:rsidRPr="00247135">
        <w:rPr>
          <w:rFonts w:ascii="Times" w:hAnsi="Times"/>
          <w:color w:val="000000" w:themeColor="text1"/>
        </w:rPr>
        <w:t xml:space="preserve"> </w:t>
      </w:r>
      <w:r w:rsidR="00CB31B3">
        <w:rPr>
          <w:rFonts w:ascii="Times" w:hAnsi="Times"/>
          <w:color w:val="000000" w:themeColor="text1"/>
        </w:rPr>
        <w:t>130.</w:t>
      </w:r>
    </w:p>
  </w:footnote>
  <w:footnote w:id="56">
    <w:p w14:paraId="7B3A7E0B" w14:textId="2C292098" w:rsidR="008E21D4" w:rsidRDefault="008E21D4">
      <w:pPr>
        <w:pStyle w:val="FootnoteText"/>
      </w:pPr>
      <w:r>
        <w:rPr>
          <w:rStyle w:val="FootnoteReference"/>
        </w:rPr>
        <w:footnoteRef/>
      </w:r>
      <w:r>
        <w:t xml:space="preserve"> </w:t>
      </w:r>
      <w:r w:rsidR="00CB31B3" w:rsidRPr="00247135">
        <w:rPr>
          <w:rFonts w:ascii="Times" w:hAnsi="Times"/>
          <w:color w:val="000000" w:themeColor="text1"/>
        </w:rPr>
        <w:t xml:space="preserve">United Nations </w:t>
      </w:r>
      <w:r w:rsidR="00CB31B3">
        <w:rPr>
          <w:rFonts w:ascii="Times" w:hAnsi="Times"/>
          <w:color w:val="000000" w:themeColor="text1"/>
        </w:rPr>
        <w:t>Human Rights Committee</w:t>
      </w:r>
      <w:r w:rsidR="00CB31B3" w:rsidRPr="00247135">
        <w:rPr>
          <w:rFonts w:ascii="Times" w:hAnsi="Times"/>
          <w:color w:val="000000" w:themeColor="text1"/>
        </w:rPr>
        <w:t xml:space="preserve">, </w:t>
      </w:r>
      <w:r w:rsidR="00CB31B3" w:rsidRPr="00247135">
        <w:rPr>
          <w:rFonts w:ascii="Times" w:hAnsi="Times"/>
          <w:i/>
          <w:iCs/>
          <w:color w:val="000000" w:themeColor="text1"/>
        </w:rPr>
        <w:t xml:space="preserve">Replies of </w:t>
      </w:r>
      <w:r w:rsidR="00CB31B3">
        <w:rPr>
          <w:rFonts w:ascii="Times" w:hAnsi="Times"/>
          <w:i/>
          <w:iCs/>
          <w:color w:val="000000" w:themeColor="text1"/>
        </w:rPr>
        <w:t>the Philippines</w:t>
      </w:r>
      <w:r w:rsidR="00CB31B3" w:rsidRPr="00247135">
        <w:rPr>
          <w:rFonts w:ascii="Times" w:hAnsi="Times"/>
          <w:i/>
          <w:iCs/>
          <w:color w:val="000000" w:themeColor="text1"/>
        </w:rPr>
        <w:t xml:space="preserve"> to the list of issues in relation to its </w:t>
      </w:r>
      <w:r w:rsidR="00CB31B3">
        <w:rPr>
          <w:rFonts w:ascii="Times" w:hAnsi="Times"/>
          <w:i/>
          <w:iCs/>
          <w:color w:val="000000" w:themeColor="text1"/>
        </w:rPr>
        <w:t>fifth</w:t>
      </w:r>
      <w:r w:rsidR="00CB31B3" w:rsidRPr="00247135">
        <w:rPr>
          <w:rFonts w:ascii="Times" w:hAnsi="Times"/>
          <w:i/>
          <w:iCs/>
          <w:color w:val="000000" w:themeColor="text1"/>
        </w:rPr>
        <w:t xml:space="preserve"> periodic report </w:t>
      </w:r>
      <w:r w:rsidR="00CB31B3" w:rsidRPr="00247135">
        <w:rPr>
          <w:rFonts w:ascii="Times" w:hAnsi="Times"/>
          <w:color w:val="000000" w:themeColor="text1"/>
        </w:rPr>
        <w:t>(Ma</w:t>
      </w:r>
      <w:r w:rsidR="00CB31B3">
        <w:rPr>
          <w:rFonts w:ascii="Times" w:hAnsi="Times"/>
          <w:color w:val="000000" w:themeColor="text1"/>
        </w:rPr>
        <w:t>rch</w:t>
      </w:r>
      <w:r w:rsidR="00CB31B3" w:rsidRPr="00247135">
        <w:rPr>
          <w:rFonts w:ascii="Times" w:hAnsi="Times"/>
          <w:color w:val="000000" w:themeColor="text1"/>
        </w:rPr>
        <w:t xml:space="preserve"> </w:t>
      </w:r>
      <w:r w:rsidR="00CB31B3">
        <w:rPr>
          <w:rFonts w:ascii="Times" w:hAnsi="Times"/>
          <w:color w:val="000000" w:themeColor="text1"/>
        </w:rPr>
        <w:t>18</w:t>
      </w:r>
      <w:r w:rsidR="00CB31B3" w:rsidRPr="00247135">
        <w:rPr>
          <w:rFonts w:ascii="Times" w:hAnsi="Times"/>
          <w:color w:val="000000" w:themeColor="text1"/>
        </w:rPr>
        <w:t xml:space="preserve">, 2022). U.N. Doc. </w:t>
      </w:r>
      <w:r w:rsidR="00CB31B3">
        <w:rPr>
          <w:rFonts w:ascii="Times" w:hAnsi="Times"/>
          <w:color w:val="000000" w:themeColor="text1"/>
        </w:rPr>
        <w:t>CCPR</w:t>
      </w:r>
      <w:r w:rsidR="00CB31B3" w:rsidRPr="00247135">
        <w:rPr>
          <w:rFonts w:ascii="Times" w:hAnsi="Times"/>
          <w:color w:val="000000" w:themeColor="text1"/>
        </w:rPr>
        <w:t>/C/</w:t>
      </w:r>
      <w:r w:rsidR="00CB31B3">
        <w:rPr>
          <w:rFonts w:ascii="Times" w:hAnsi="Times"/>
          <w:color w:val="000000" w:themeColor="text1"/>
        </w:rPr>
        <w:t>PHL</w:t>
      </w:r>
      <w:r w:rsidR="00CB31B3" w:rsidRPr="00247135">
        <w:rPr>
          <w:rFonts w:ascii="Times" w:hAnsi="Times"/>
          <w:color w:val="000000" w:themeColor="text1"/>
        </w:rPr>
        <w:t>/RQ/</w:t>
      </w:r>
      <w:r w:rsidR="00CB31B3">
        <w:rPr>
          <w:rFonts w:ascii="Times" w:hAnsi="Times"/>
          <w:color w:val="000000" w:themeColor="text1"/>
        </w:rPr>
        <w:t>5</w:t>
      </w:r>
      <w:r w:rsidR="00CB31B3" w:rsidRPr="00247135">
        <w:rPr>
          <w:rFonts w:ascii="Times" w:hAnsi="Times"/>
          <w:color w:val="000000" w:themeColor="text1"/>
        </w:rPr>
        <w:t xml:space="preserve">, </w:t>
      </w:r>
      <w:r w:rsidR="00CB31B3">
        <w:rPr>
          <w:rFonts w:ascii="Times" w:hAnsi="Times"/>
          <w:color w:val="000000" w:themeColor="text1"/>
        </w:rPr>
        <w:t>¶</w:t>
      </w:r>
      <w:r w:rsidR="00CB31B3" w:rsidRPr="00247135">
        <w:rPr>
          <w:rFonts w:ascii="Times" w:hAnsi="Times"/>
          <w:color w:val="000000" w:themeColor="text1"/>
        </w:rPr>
        <w:t xml:space="preserve"> </w:t>
      </w:r>
      <w:r w:rsidR="00CB31B3">
        <w:rPr>
          <w:rFonts w:ascii="Times" w:hAnsi="Times"/>
          <w:color w:val="000000" w:themeColor="text1"/>
        </w:rPr>
        <w:t>128.</w:t>
      </w:r>
    </w:p>
  </w:footnote>
  <w:footnote w:id="57">
    <w:p w14:paraId="054773A6" w14:textId="223C901E" w:rsidR="008E21D4" w:rsidRPr="000A7E2A" w:rsidRDefault="008E21D4" w:rsidP="000A7E2A">
      <w:pPr>
        <w:rPr>
          <w:color w:val="auto"/>
          <w:kern w:val="0"/>
        </w:rPr>
      </w:pPr>
      <w:r>
        <w:rPr>
          <w:rStyle w:val="FootnoteReference"/>
        </w:rPr>
        <w:footnoteRef/>
      </w:r>
      <w:r>
        <w:t xml:space="preserve"> </w:t>
      </w:r>
      <w:r w:rsidRPr="000A7E2A">
        <w:rPr>
          <w:color w:val="auto"/>
          <w:kern w:val="0"/>
        </w:rPr>
        <w:t xml:space="preserve">The Philippines’ Commission on Human Rights, Statement of CHR spokesperson, Atty Jacqueline Ann de </w:t>
      </w:r>
      <w:proofErr w:type="spellStart"/>
      <w:r w:rsidRPr="000A7E2A">
        <w:rPr>
          <w:color w:val="auto"/>
          <w:kern w:val="0"/>
        </w:rPr>
        <w:t>Guia</w:t>
      </w:r>
      <w:proofErr w:type="spellEnd"/>
      <w:r w:rsidRPr="000A7E2A">
        <w:rPr>
          <w:color w:val="auto"/>
          <w:kern w:val="0"/>
        </w:rPr>
        <w:t>, on improving the plight of persons deprived of liberty through the Interim National Preventive Mechanism (May 14, 2020), available at https://chr.gov.ph/statement-of-chr-spokesperson-atty-jacqueline-ann-de-guia-on-improving-theplight-of-persons-deprived-of-liberty-through-the-interim-national-preventive-mechanism/.</w:t>
      </w:r>
    </w:p>
  </w:footnote>
  <w:footnote w:id="58">
    <w:p w14:paraId="0946C4A6" w14:textId="740637E7" w:rsidR="008E21D4" w:rsidRPr="000A7E2A" w:rsidRDefault="008E21D4" w:rsidP="000A7E2A">
      <w:pPr>
        <w:rPr>
          <w:color w:val="auto"/>
          <w:kern w:val="0"/>
          <w:sz w:val="24"/>
          <w:szCs w:val="24"/>
        </w:rPr>
      </w:pPr>
      <w:r>
        <w:rPr>
          <w:rStyle w:val="FootnoteReference"/>
        </w:rPr>
        <w:footnoteRef/>
      </w:r>
      <w:r>
        <w:t xml:space="preserve"> </w:t>
      </w:r>
      <w:r w:rsidRPr="000A7E2A">
        <w:rPr>
          <w:color w:val="auto"/>
          <w:kern w:val="0"/>
        </w:rPr>
        <w:t>US Department of State, Country Reports on Human Rights Practices: Philippines (Mar. 2021), available at https://www.state.gov/reports/2020-country-reports-on-human-rights-practices/philippines.</w:t>
      </w:r>
    </w:p>
  </w:footnote>
  <w:footnote w:id="59">
    <w:p w14:paraId="45B9A9B5" w14:textId="3E42ACCC" w:rsidR="008E21D4" w:rsidRPr="000A7E2A" w:rsidRDefault="008E21D4" w:rsidP="000A7E2A">
      <w:pPr>
        <w:rPr>
          <w:color w:val="auto"/>
          <w:kern w:val="0"/>
          <w:sz w:val="24"/>
          <w:szCs w:val="24"/>
        </w:rPr>
      </w:pPr>
      <w:r>
        <w:rPr>
          <w:rStyle w:val="FootnoteReference"/>
        </w:rPr>
        <w:footnoteRef/>
      </w:r>
      <w:r>
        <w:t xml:space="preserve"> </w:t>
      </w:r>
      <w:r w:rsidRPr="000A7E2A">
        <w:rPr>
          <w:color w:val="auto"/>
          <w:kern w:val="0"/>
        </w:rPr>
        <w:t>US Department of State, Country Reports on Human Rights Practices: Philippines (Mar. 2021), available at https://www.state.gov/reports/2020-country-reports-on-human-rights-practices/philippines</w:t>
      </w:r>
      <w:r>
        <w:rPr>
          <w:color w:val="auto"/>
          <w:kern w:val="0"/>
        </w:rPr>
        <w:t>.</w:t>
      </w:r>
    </w:p>
  </w:footnote>
  <w:footnote w:id="60">
    <w:p w14:paraId="077D0484" w14:textId="4831EC4A" w:rsidR="008E21D4" w:rsidRDefault="008E21D4">
      <w:pPr>
        <w:pStyle w:val="FootnoteText"/>
      </w:pPr>
      <w:r>
        <w:rPr>
          <w:rStyle w:val="FootnoteReference"/>
        </w:rPr>
        <w:footnoteRef/>
      </w:r>
      <w:r>
        <w:t xml:space="preserve"> </w:t>
      </w:r>
      <w:r w:rsidRPr="000A7E2A">
        <w:rPr>
          <w:color w:val="auto"/>
          <w:kern w:val="0"/>
        </w:rPr>
        <w:t>US Department of State, Country Reports on Human Rights Practices: Philippines (Mar. 2021), available at https://www.state.gov/reports/2020-country-reports-on-human-rights-practices/philippines</w:t>
      </w:r>
    </w:p>
  </w:footnote>
  <w:footnote w:id="61">
    <w:p w14:paraId="5B002904" w14:textId="0FDDF678" w:rsidR="008E21D4" w:rsidRDefault="008E21D4">
      <w:pPr>
        <w:pStyle w:val="FootnoteText"/>
      </w:pPr>
      <w:r>
        <w:rPr>
          <w:rStyle w:val="FootnoteReference"/>
        </w:rPr>
        <w:footnoteRef/>
      </w:r>
      <w:r>
        <w:t xml:space="preserve"> </w:t>
      </w:r>
      <w:r w:rsidRPr="000A7E2A">
        <w:rPr>
          <w:color w:val="auto"/>
          <w:kern w:val="0"/>
        </w:rPr>
        <w:t>US Department of State, Country Reports on Human Rights Practices: Philippines (Mar. 2021), available at https://www.state.gov/reports/2020-country-reports-on-human-rights-practices/philippines</w:t>
      </w:r>
      <w:r>
        <w:rPr>
          <w:color w:val="auto"/>
          <w:kern w:val="0"/>
        </w:rPr>
        <w:t>.</w:t>
      </w:r>
    </w:p>
  </w:footnote>
  <w:footnote w:id="62">
    <w:p w14:paraId="1E1E7BCE" w14:textId="1EE10599" w:rsidR="00AE488B" w:rsidRDefault="00AE488B">
      <w:pPr>
        <w:pStyle w:val="FootnoteText"/>
      </w:pPr>
      <w:r>
        <w:rPr>
          <w:rStyle w:val="FootnoteReference"/>
        </w:rPr>
        <w:footnoteRef/>
      </w:r>
      <w:r>
        <w:t xml:space="preserve"> United Nations Covenant on Civil and Political Rights, 1966, Art. 6. Also available at </w:t>
      </w:r>
      <w:r w:rsidRPr="00AE488B">
        <w:t>https://www.ohchr.org/en/instruments-mechanisms/instruments/international-covenant-civil-and-political-rights</w:t>
      </w:r>
      <w:r>
        <w:t>.</w:t>
      </w:r>
    </w:p>
  </w:footnote>
  <w:footnote w:id="63">
    <w:p w14:paraId="5154AF92" w14:textId="7F3FD0E8" w:rsidR="008E21D4" w:rsidRPr="00F94085" w:rsidRDefault="008E21D4" w:rsidP="00F94085">
      <w:pPr>
        <w:rPr>
          <w:color w:val="auto"/>
          <w:kern w:val="0"/>
          <w:sz w:val="24"/>
          <w:szCs w:val="24"/>
        </w:rPr>
      </w:pPr>
      <w:r>
        <w:rPr>
          <w:rStyle w:val="FootnoteReference"/>
        </w:rPr>
        <w:footnoteRef/>
      </w:r>
      <w:r>
        <w:t xml:space="preserve"> </w:t>
      </w:r>
      <w:r w:rsidRPr="00F94085">
        <w:rPr>
          <w:color w:val="auto"/>
          <w:kern w:val="0"/>
        </w:rPr>
        <w:t>People v. Mateo, G.R. No. 147678-87 (July 7, 2004), available at https://thecorpusjuris.com/judiciary/jurisprudence/2004/07/gr-no-147678-87.php.</w:t>
      </w:r>
    </w:p>
  </w:footnote>
  <w:footnote w:id="64">
    <w:p w14:paraId="2318C243" w14:textId="77777777" w:rsidR="003E156C" w:rsidRDefault="003E156C" w:rsidP="003E156C">
      <w:pPr>
        <w:pStyle w:val="FootnoteText"/>
      </w:pPr>
      <w:r>
        <w:rPr>
          <w:rStyle w:val="FootnoteReference"/>
        </w:rPr>
        <w:footnoteRef/>
      </w:r>
      <w:r>
        <w:t xml:space="preserve"> Grace Keane O’Connor, </w:t>
      </w:r>
      <w:r w:rsidRPr="006B79D6">
        <w:rPr>
          <w:i/>
          <w:iCs/>
        </w:rPr>
        <w:t>Adoption of Bill Allowing the Imposition of the Death Penalty for a New Crime, World Coalition Against the Death Penalty</w:t>
      </w:r>
      <w:r>
        <w:t xml:space="preserve">, Apr. 30, 2021, </w:t>
      </w:r>
      <w:r w:rsidRPr="00D3749A">
        <w:t>https://worldcoalition.org/2021/04/30/adoption-of-bill-allowing-the-imposition-of-the-death-penalty-for-a-new-crime/</w:t>
      </w:r>
      <w:r>
        <w:t>.</w:t>
      </w:r>
    </w:p>
  </w:footnote>
  <w:footnote w:id="65">
    <w:p w14:paraId="225DB855" w14:textId="2292B1BF" w:rsidR="003E156C" w:rsidRDefault="003E156C">
      <w:pPr>
        <w:pStyle w:val="FootnoteText"/>
      </w:pPr>
      <w:r>
        <w:rPr>
          <w:rStyle w:val="FootnoteReference"/>
        </w:rPr>
        <w:footnoteRef/>
      </w:r>
      <w:r>
        <w:t xml:space="preserve"> The Constitution of the Republic of the Philippines, 1987, Art. 3(1). Also available at </w:t>
      </w:r>
      <w:r w:rsidRPr="003E156C">
        <w:t>https://www.officialgazette.gov.ph/constitutions/1987-constitution/</w:t>
      </w:r>
      <w:r>
        <w:t>.</w:t>
      </w:r>
    </w:p>
  </w:footnote>
  <w:footnote w:id="66">
    <w:p w14:paraId="42E312F6" w14:textId="10A94FED" w:rsidR="008E21D4" w:rsidRPr="00541A41" w:rsidRDefault="008E21D4" w:rsidP="00541A41">
      <w:pPr>
        <w:rPr>
          <w:color w:val="auto"/>
          <w:kern w:val="0"/>
          <w:sz w:val="24"/>
          <w:szCs w:val="24"/>
        </w:rPr>
      </w:pPr>
      <w:r>
        <w:rPr>
          <w:rStyle w:val="FootnoteReference"/>
        </w:rPr>
        <w:footnoteRef/>
      </w:r>
      <w:r>
        <w:t xml:space="preserve"> </w:t>
      </w:r>
      <w:r w:rsidRPr="00540992">
        <w:rPr>
          <w:color w:val="auto"/>
          <w:kern w:val="0"/>
        </w:rPr>
        <w:t>World Coalition Against the Death Penalty, Adoption of Bill Allowing the Imposition of the Death Penalty for a New Crime (Apr. 30, 2021), available at https://worldcoalition.org/2021/04/30/adoption-of-bill-allowing-theimposition-of-the-death-penalty-for-a-new-crime/.</w:t>
      </w:r>
    </w:p>
  </w:footnote>
  <w:footnote w:id="67">
    <w:p w14:paraId="7E316BFA" w14:textId="4BFEF23E" w:rsidR="008E21D4" w:rsidRPr="003F2CA7" w:rsidRDefault="008E21D4" w:rsidP="003F2CA7">
      <w:pPr>
        <w:rPr>
          <w:color w:val="auto"/>
          <w:kern w:val="0"/>
          <w:sz w:val="24"/>
          <w:szCs w:val="24"/>
        </w:rPr>
      </w:pPr>
      <w:r>
        <w:rPr>
          <w:rStyle w:val="FootnoteReference"/>
        </w:rPr>
        <w:footnoteRef/>
      </w:r>
      <w:r>
        <w:t xml:space="preserve"> </w:t>
      </w:r>
      <w:r w:rsidRPr="00541A41">
        <w:rPr>
          <w:color w:val="auto"/>
          <w:kern w:val="0"/>
        </w:rPr>
        <w:t>Free Legal Assistance Group, FLAG Anti-Death Penalty Task Force Position Paper (2019), at pp. 4-5 (on file with authors).</w:t>
      </w:r>
    </w:p>
  </w:footnote>
  <w:footnote w:id="68">
    <w:p w14:paraId="46224089" w14:textId="2EB779F9" w:rsidR="008E21D4" w:rsidRDefault="008E21D4">
      <w:pPr>
        <w:pStyle w:val="FootnoteText"/>
      </w:pPr>
      <w:r>
        <w:rPr>
          <w:rStyle w:val="FootnoteReference"/>
        </w:rPr>
        <w:footnoteRef/>
      </w:r>
      <w:r>
        <w:t xml:space="preserve"> </w:t>
      </w:r>
      <w:r w:rsidRPr="00541A41">
        <w:rPr>
          <w:color w:val="auto"/>
          <w:kern w:val="0"/>
        </w:rPr>
        <w:t>Free Legal Assistance Group, FLAG Anti-Death Penalty Task Force Position Paper (2019), at pp. 4-5 (on file with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08FD" w14:textId="77777777" w:rsidR="008E21D4" w:rsidRDefault="008E21D4"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B087" w14:textId="1226A60D" w:rsidR="008E21D4" w:rsidRDefault="00E81E91">
    <w:pPr>
      <w:pStyle w:val="Header"/>
    </w:pPr>
    <w:r>
      <w:rPr>
        <w:noProof/>
      </w:rPr>
      <w:drawing>
        <wp:anchor distT="0" distB="0" distL="114300" distR="114300" simplePos="0" relativeHeight="251660289" behindDoc="0" locked="0" layoutInCell="1" allowOverlap="1" wp14:anchorId="1BE82C15" wp14:editId="4F3C3745">
          <wp:simplePos x="0" y="0"/>
          <wp:positionH relativeFrom="column">
            <wp:posOffset>104931</wp:posOffset>
          </wp:positionH>
          <wp:positionV relativeFrom="paragraph">
            <wp:posOffset>-323798</wp:posOffset>
          </wp:positionV>
          <wp:extent cx="1767016" cy="938822"/>
          <wp:effectExtent l="0" t="0" r="0" b="127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7016" cy="9388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D691956" wp14:editId="080533E7">
          <wp:simplePos x="0" y="0"/>
          <wp:positionH relativeFrom="column">
            <wp:posOffset>3665730</wp:posOffset>
          </wp:positionH>
          <wp:positionV relativeFrom="paragraph">
            <wp:posOffset>-271832</wp:posOffset>
          </wp:positionV>
          <wp:extent cx="2308225" cy="884555"/>
          <wp:effectExtent l="0" t="0" r="0" b="0"/>
          <wp:wrapTight wrapText="bothSides">
            <wp:wrapPolygon edited="0">
              <wp:start x="0" y="0"/>
              <wp:lineTo x="0" y="20933"/>
              <wp:lineTo x="21392" y="20933"/>
              <wp:lineTo x="2139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8DA"/>
    <w:multiLevelType w:val="hybridMultilevel"/>
    <w:tmpl w:val="336AB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4" w15:restartNumberingAfterBreak="0">
    <w:nsid w:val="1D5153BE"/>
    <w:multiLevelType w:val="hybridMultilevel"/>
    <w:tmpl w:val="CA78E914"/>
    <w:lvl w:ilvl="0" w:tplc="20E8F08A">
      <w:start w:val="1"/>
      <w:numFmt w:val="decimal"/>
      <w:lvlText w:val="%1."/>
      <w:lvlJc w:val="left"/>
      <w:pPr>
        <w:ind w:left="720" w:hanging="360"/>
      </w:pPr>
      <w:rPr>
        <w:rFonts w:ascii="Times New Roman" w:eastAsia="Times New Roman" w:hAnsi="Times New Roman" w:cs="Times New Roman"/>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11847">
    <w:abstractNumId w:val="6"/>
  </w:num>
  <w:num w:numId="2" w16cid:durableId="1422214041">
    <w:abstractNumId w:val="5"/>
  </w:num>
  <w:num w:numId="3" w16cid:durableId="627393602">
    <w:abstractNumId w:val="8"/>
  </w:num>
  <w:num w:numId="4" w16cid:durableId="1011185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0962275">
    <w:abstractNumId w:val="7"/>
  </w:num>
  <w:num w:numId="6" w16cid:durableId="710810838">
    <w:abstractNumId w:val="1"/>
  </w:num>
  <w:num w:numId="7" w16cid:durableId="1694917086">
    <w:abstractNumId w:val="4"/>
  </w:num>
  <w:num w:numId="8" w16cid:durableId="132405339">
    <w:abstractNumId w:val="9"/>
  </w:num>
  <w:num w:numId="9" w16cid:durableId="126973057">
    <w:abstractNumId w:val="2"/>
  </w:num>
  <w:num w:numId="10" w16cid:durableId="6492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176EB"/>
    <w:rsid w:val="00020EB2"/>
    <w:rsid w:val="000237EC"/>
    <w:rsid w:val="000268DD"/>
    <w:rsid w:val="00030F59"/>
    <w:rsid w:val="00031200"/>
    <w:rsid w:val="000342B6"/>
    <w:rsid w:val="00046377"/>
    <w:rsid w:val="00056CF5"/>
    <w:rsid w:val="000734A4"/>
    <w:rsid w:val="0007701E"/>
    <w:rsid w:val="0008158F"/>
    <w:rsid w:val="0008238F"/>
    <w:rsid w:val="00084A38"/>
    <w:rsid w:val="00085935"/>
    <w:rsid w:val="000910FC"/>
    <w:rsid w:val="0009644E"/>
    <w:rsid w:val="000A1F17"/>
    <w:rsid w:val="000A66B8"/>
    <w:rsid w:val="000A7E2A"/>
    <w:rsid w:val="000B042D"/>
    <w:rsid w:val="000B4DB3"/>
    <w:rsid w:val="000B67C2"/>
    <w:rsid w:val="000C6340"/>
    <w:rsid w:val="000D0680"/>
    <w:rsid w:val="000E1DDC"/>
    <w:rsid w:val="000F1E67"/>
    <w:rsid w:val="000F48A0"/>
    <w:rsid w:val="000F56E0"/>
    <w:rsid w:val="001008D1"/>
    <w:rsid w:val="00102FC5"/>
    <w:rsid w:val="00104DAF"/>
    <w:rsid w:val="00107DD5"/>
    <w:rsid w:val="00111994"/>
    <w:rsid w:val="001215B4"/>
    <w:rsid w:val="0012331C"/>
    <w:rsid w:val="00136514"/>
    <w:rsid w:val="00137BFF"/>
    <w:rsid w:val="00143423"/>
    <w:rsid w:val="00147EA4"/>
    <w:rsid w:val="001565F9"/>
    <w:rsid w:val="00160BDA"/>
    <w:rsid w:val="00164947"/>
    <w:rsid w:val="00180E20"/>
    <w:rsid w:val="00181B2A"/>
    <w:rsid w:val="0018642B"/>
    <w:rsid w:val="001A59C1"/>
    <w:rsid w:val="001A5ED5"/>
    <w:rsid w:val="001A7AF4"/>
    <w:rsid w:val="001B1AC4"/>
    <w:rsid w:val="001B27D7"/>
    <w:rsid w:val="001B46C2"/>
    <w:rsid w:val="001B799A"/>
    <w:rsid w:val="001C42EB"/>
    <w:rsid w:val="001C6A52"/>
    <w:rsid w:val="001E6F15"/>
    <w:rsid w:val="001F62A3"/>
    <w:rsid w:val="00213B20"/>
    <w:rsid w:val="00220D48"/>
    <w:rsid w:val="00224221"/>
    <w:rsid w:val="00237C8C"/>
    <w:rsid w:val="002409D9"/>
    <w:rsid w:val="00242F64"/>
    <w:rsid w:val="002439A3"/>
    <w:rsid w:val="00243E14"/>
    <w:rsid w:val="00255789"/>
    <w:rsid w:val="00256707"/>
    <w:rsid w:val="00272519"/>
    <w:rsid w:val="002734D9"/>
    <w:rsid w:val="00273933"/>
    <w:rsid w:val="00282223"/>
    <w:rsid w:val="0029025F"/>
    <w:rsid w:val="00291BE8"/>
    <w:rsid w:val="002A0797"/>
    <w:rsid w:val="002A379E"/>
    <w:rsid w:val="002A4838"/>
    <w:rsid w:val="002C57BC"/>
    <w:rsid w:val="002D1CF9"/>
    <w:rsid w:val="002D36C6"/>
    <w:rsid w:val="002D4EE5"/>
    <w:rsid w:val="002E34EA"/>
    <w:rsid w:val="002E46A1"/>
    <w:rsid w:val="002E7201"/>
    <w:rsid w:val="002F7A11"/>
    <w:rsid w:val="00302E25"/>
    <w:rsid w:val="00315C53"/>
    <w:rsid w:val="00322CB1"/>
    <w:rsid w:val="00322E0C"/>
    <w:rsid w:val="00334168"/>
    <w:rsid w:val="003369A6"/>
    <w:rsid w:val="00336E39"/>
    <w:rsid w:val="00340484"/>
    <w:rsid w:val="00344140"/>
    <w:rsid w:val="00344556"/>
    <w:rsid w:val="00345B90"/>
    <w:rsid w:val="0035378E"/>
    <w:rsid w:val="0035424D"/>
    <w:rsid w:val="00356DAB"/>
    <w:rsid w:val="003745E4"/>
    <w:rsid w:val="00374FD8"/>
    <w:rsid w:val="003837B5"/>
    <w:rsid w:val="00390AC3"/>
    <w:rsid w:val="003937C6"/>
    <w:rsid w:val="003A0BC2"/>
    <w:rsid w:val="003A1D3E"/>
    <w:rsid w:val="003A3732"/>
    <w:rsid w:val="003A6F6D"/>
    <w:rsid w:val="003C1E49"/>
    <w:rsid w:val="003C60FE"/>
    <w:rsid w:val="003E156C"/>
    <w:rsid w:val="003F2CA7"/>
    <w:rsid w:val="00406DED"/>
    <w:rsid w:val="004076CD"/>
    <w:rsid w:val="00417CE5"/>
    <w:rsid w:val="004224FF"/>
    <w:rsid w:val="00422792"/>
    <w:rsid w:val="00430A63"/>
    <w:rsid w:val="00450118"/>
    <w:rsid w:val="00450405"/>
    <w:rsid w:val="00453314"/>
    <w:rsid w:val="0047323F"/>
    <w:rsid w:val="00476CC4"/>
    <w:rsid w:val="004866AE"/>
    <w:rsid w:val="004A17D9"/>
    <w:rsid w:val="004A5B01"/>
    <w:rsid w:val="004A7D93"/>
    <w:rsid w:val="004A7FF9"/>
    <w:rsid w:val="004B1E4E"/>
    <w:rsid w:val="004B4077"/>
    <w:rsid w:val="004B4CAF"/>
    <w:rsid w:val="004B73AF"/>
    <w:rsid w:val="004C5037"/>
    <w:rsid w:val="004D2568"/>
    <w:rsid w:val="004D3EE9"/>
    <w:rsid w:val="004D51DD"/>
    <w:rsid w:val="004E7176"/>
    <w:rsid w:val="004E738F"/>
    <w:rsid w:val="004E783D"/>
    <w:rsid w:val="004F2465"/>
    <w:rsid w:val="004F34E5"/>
    <w:rsid w:val="00501B83"/>
    <w:rsid w:val="00510546"/>
    <w:rsid w:val="005132BB"/>
    <w:rsid w:val="0051494C"/>
    <w:rsid w:val="00524166"/>
    <w:rsid w:val="00524C18"/>
    <w:rsid w:val="005336C2"/>
    <w:rsid w:val="005403E3"/>
    <w:rsid w:val="00540992"/>
    <w:rsid w:val="00541A41"/>
    <w:rsid w:val="00544840"/>
    <w:rsid w:val="00545945"/>
    <w:rsid w:val="0055461C"/>
    <w:rsid w:val="00556757"/>
    <w:rsid w:val="00560B11"/>
    <w:rsid w:val="00571EF6"/>
    <w:rsid w:val="00572B89"/>
    <w:rsid w:val="0059754B"/>
    <w:rsid w:val="005A7806"/>
    <w:rsid w:val="005B0C1B"/>
    <w:rsid w:val="005C183B"/>
    <w:rsid w:val="005C58B6"/>
    <w:rsid w:val="005C5BF7"/>
    <w:rsid w:val="005D2C2F"/>
    <w:rsid w:val="005D4EE6"/>
    <w:rsid w:val="005D5F82"/>
    <w:rsid w:val="005D7C3D"/>
    <w:rsid w:val="005F0093"/>
    <w:rsid w:val="005F2675"/>
    <w:rsid w:val="005F2A19"/>
    <w:rsid w:val="0060568A"/>
    <w:rsid w:val="0060622C"/>
    <w:rsid w:val="00617291"/>
    <w:rsid w:val="0061778F"/>
    <w:rsid w:val="00624A10"/>
    <w:rsid w:val="00626C39"/>
    <w:rsid w:val="00643D7A"/>
    <w:rsid w:val="006469EA"/>
    <w:rsid w:val="00646D29"/>
    <w:rsid w:val="0066318F"/>
    <w:rsid w:val="006757AB"/>
    <w:rsid w:val="006927DD"/>
    <w:rsid w:val="006B79D6"/>
    <w:rsid w:val="006B7B89"/>
    <w:rsid w:val="006C2858"/>
    <w:rsid w:val="006D39C4"/>
    <w:rsid w:val="006E4FE4"/>
    <w:rsid w:val="006E7D5B"/>
    <w:rsid w:val="006F582F"/>
    <w:rsid w:val="007143B8"/>
    <w:rsid w:val="007316AA"/>
    <w:rsid w:val="00741B9C"/>
    <w:rsid w:val="00751376"/>
    <w:rsid w:val="00757A1C"/>
    <w:rsid w:val="007637D8"/>
    <w:rsid w:val="00765AA5"/>
    <w:rsid w:val="00765EBC"/>
    <w:rsid w:val="0077231B"/>
    <w:rsid w:val="00774643"/>
    <w:rsid w:val="007838DE"/>
    <w:rsid w:val="007B46CD"/>
    <w:rsid w:val="007C4387"/>
    <w:rsid w:val="007C7CCE"/>
    <w:rsid w:val="007D17E5"/>
    <w:rsid w:val="007D2FB7"/>
    <w:rsid w:val="007E79C4"/>
    <w:rsid w:val="007F23A8"/>
    <w:rsid w:val="00804604"/>
    <w:rsid w:val="0081221D"/>
    <w:rsid w:val="00826961"/>
    <w:rsid w:val="00826C6B"/>
    <w:rsid w:val="00836428"/>
    <w:rsid w:val="00847C78"/>
    <w:rsid w:val="008502DD"/>
    <w:rsid w:val="00852B97"/>
    <w:rsid w:val="008600B6"/>
    <w:rsid w:val="00870521"/>
    <w:rsid w:val="0087642D"/>
    <w:rsid w:val="008806CE"/>
    <w:rsid w:val="008856D7"/>
    <w:rsid w:val="00893FDE"/>
    <w:rsid w:val="0089523C"/>
    <w:rsid w:val="008C3470"/>
    <w:rsid w:val="008C3877"/>
    <w:rsid w:val="008C3B9B"/>
    <w:rsid w:val="008C64EE"/>
    <w:rsid w:val="008C7B1F"/>
    <w:rsid w:val="008C7B63"/>
    <w:rsid w:val="008D3B6A"/>
    <w:rsid w:val="008E0859"/>
    <w:rsid w:val="008E21D4"/>
    <w:rsid w:val="008E6172"/>
    <w:rsid w:val="008F0BDD"/>
    <w:rsid w:val="008F2F99"/>
    <w:rsid w:val="008F6084"/>
    <w:rsid w:val="00905409"/>
    <w:rsid w:val="009057C8"/>
    <w:rsid w:val="00907B0F"/>
    <w:rsid w:val="0093193B"/>
    <w:rsid w:val="009442ED"/>
    <w:rsid w:val="00947170"/>
    <w:rsid w:val="00947B3D"/>
    <w:rsid w:val="00956E94"/>
    <w:rsid w:val="00962312"/>
    <w:rsid w:val="009627A1"/>
    <w:rsid w:val="009666F8"/>
    <w:rsid w:val="0097061D"/>
    <w:rsid w:val="009712FE"/>
    <w:rsid w:val="009875AD"/>
    <w:rsid w:val="009924AF"/>
    <w:rsid w:val="00993709"/>
    <w:rsid w:val="0099542D"/>
    <w:rsid w:val="009A2045"/>
    <w:rsid w:val="009A7F71"/>
    <w:rsid w:val="009B51D7"/>
    <w:rsid w:val="009D1E26"/>
    <w:rsid w:val="009D3BEA"/>
    <w:rsid w:val="009D5161"/>
    <w:rsid w:val="009E4D16"/>
    <w:rsid w:val="009F12E2"/>
    <w:rsid w:val="009F3358"/>
    <w:rsid w:val="009F478B"/>
    <w:rsid w:val="009F69C1"/>
    <w:rsid w:val="00A20AF6"/>
    <w:rsid w:val="00A25A9C"/>
    <w:rsid w:val="00A40EE1"/>
    <w:rsid w:val="00A423ED"/>
    <w:rsid w:val="00A50D87"/>
    <w:rsid w:val="00A536F3"/>
    <w:rsid w:val="00A60434"/>
    <w:rsid w:val="00A65EE6"/>
    <w:rsid w:val="00A70D36"/>
    <w:rsid w:val="00A75C67"/>
    <w:rsid w:val="00A90942"/>
    <w:rsid w:val="00A91D08"/>
    <w:rsid w:val="00AA6318"/>
    <w:rsid w:val="00AA7FCB"/>
    <w:rsid w:val="00AB59AE"/>
    <w:rsid w:val="00AB5BD9"/>
    <w:rsid w:val="00AC040C"/>
    <w:rsid w:val="00AC507C"/>
    <w:rsid w:val="00AD0AA1"/>
    <w:rsid w:val="00AD1578"/>
    <w:rsid w:val="00AD3AE4"/>
    <w:rsid w:val="00AE07A3"/>
    <w:rsid w:val="00AE372A"/>
    <w:rsid w:val="00AE488B"/>
    <w:rsid w:val="00AF2A00"/>
    <w:rsid w:val="00B275A9"/>
    <w:rsid w:val="00B40DBF"/>
    <w:rsid w:val="00B438F0"/>
    <w:rsid w:val="00B43F4E"/>
    <w:rsid w:val="00B44231"/>
    <w:rsid w:val="00B457C4"/>
    <w:rsid w:val="00B54060"/>
    <w:rsid w:val="00B66DAB"/>
    <w:rsid w:val="00B71178"/>
    <w:rsid w:val="00B914A2"/>
    <w:rsid w:val="00B9541E"/>
    <w:rsid w:val="00BA4CDE"/>
    <w:rsid w:val="00BB0488"/>
    <w:rsid w:val="00BB0E1E"/>
    <w:rsid w:val="00BB3ED5"/>
    <w:rsid w:val="00BB4AB9"/>
    <w:rsid w:val="00BC07C0"/>
    <w:rsid w:val="00BD3CFF"/>
    <w:rsid w:val="00BE3AEE"/>
    <w:rsid w:val="00BE44E4"/>
    <w:rsid w:val="00BE59BD"/>
    <w:rsid w:val="00BF741F"/>
    <w:rsid w:val="00C0174A"/>
    <w:rsid w:val="00C05D9B"/>
    <w:rsid w:val="00C100C3"/>
    <w:rsid w:val="00C214BA"/>
    <w:rsid w:val="00C26130"/>
    <w:rsid w:val="00C26C6E"/>
    <w:rsid w:val="00C315B6"/>
    <w:rsid w:val="00C3380C"/>
    <w:rsid w:val="00C376F3"/>
    <w:rsid w:val="00C4132F"/>
    <w:rsid w:val="00C429B6"/>
    <w:rsid w:val="00C463D2"/>
    <w:rsid w:val="00C55577"/>
    <w:rsid w:val="00C62A44"/>
    <w:rsid w:val="00C63896"/>
    <w:rsid w:val="00C639D9"/>
    <w:rsid w:val="00C64F0A"/>
    <w:rsid w:val="00C75653"/>
    <w:rsid w:val="00C80A39"/>
    <w:rsid w:val="00C81470"/>
    <w:rsid w:val="00C81936"/>
    <w:rsid w:val="00C84C4C"/>
    <w:rsid w:val="00C868A7"/>
    <w:rsid w:val="00CA5CC2"/>
    <w:rsid w:val="00CA7D78"/>
    <w:rsid w:val="00CB31B3"/>
    <w:rsid w:val="00CB631F"/>
    <w:rsid w:val="00CC5314"/>
    <w:rsid w:val="00CF1626"/>
    <w:rsid w:val="00CF5003"/>
    <w:rsid w:val="00D0019C"/>
    <w:rsid w:val="00D024A7"/>
    <w:rsid w:val="00D15BF0"/>
    <w:rsid w:val="00D17B34"/>
    <w:rsid w:val="00D17F80"/>
    <w:rsid w:val="00D3182B"/>
    <w:rsid w:val="00D3749A"/>
    <w:rsid w:val="00D45A2C"/>
    <w:rsid w:val="00D51EE7"/>
    <w:rsid w:val="00D52AD6"/>
    <w:rsid w:val="00D5317C"/>
    <w:rsid w:val="00D70077"/>
    <w:rsid w:val="00D861C1"/>
    <w:rsid w:val="00D86901"/>
    <w:rsid w:val="00D92835"/>
    <w:rsid w:val="00D94424"/>
    <w:rsid w:val="00DA6DB6"/>
    <w:rsid w:val="00DC41C9"/>
    <w:rsid w:val="00DC5473"/>
    <w:rsid w:val="00DC6A3F"/>
    <w:rsid w:val="00DD294B"/>
    <w:rsid w:val="00DD2F76"/>
    <w:rsid w:val="00DD3996"/>
    <w:rsid w:val="00DE6FE8"/>
    <w:rsid w:val="00DF3B00"/>
    <w:rsid w:val="00E114C5"/>
    <w:rsid w:val="00E1267E"/>
    <w:rsid w:val="00E13D93"/>
    <w:rsid w:val="00E162F5"/>
    <w:rsid w:val="00E177F3"/>
    <w:rsid w:val="00E307F3"/>
    <w:rsid w:val="00E3230E"/>
    <w:rsid w:val="00E35775"/>
    <w:rsid w:val="00E43DDB"/>
    <w:rsid w:val="00E5246C"/>
    <w:rsid w:val="00E55AC8"/>
    <w:rsid w:val="00E5611C"/>
    <w:rsid w:val="00E649A3"/>
    <w:rsid w:val="00E81E91"/>
    <w:rsid w:val="00E826D1"/>
    <w:rsid w:val="00E95CF7"/>
    <w:rsid w:val="00EA0EEB"/>
    <w:rsid w:val="00EA4204"/>
    <w:rsid w:val="00ED2912"/>
    <w:rsid w:val="00ED2DCC"/>
    <w:rsid w:val="00ED6E12"/>
    <w:rsid w:val="00EF2BE5"/>
    <w:rsid w:val="00F042FA"/>
    <w:rsid w:val="00F04592"/>
    <w:rsid w:val="00F16374"/>
    <w:rsid w:val="00F22375"/>
    <w:rsid w:val="00F22813"/>
    <w:rsid w:val="00F2442A"/>
    <w:rsid w:val="00F4107A"/>
    <w:rsid w:val="00F51AFD"/>
    <w:rsid w:val="00F612FF"/>
    <w:rsid w:val="00F6493F"/>
    <w:rsid w:val="00F75663"/>
    <w:rsid w:val="00F811E7"/>
    <w:rsid w:val="00F8499D"/>
    <w:rsid w:val="00F9056C"/>
    <w:rsid w:val="00F92EF4"/>
    <w:rsid w:val="00F94085"/>
    <w:rsid w:val="00FA5184"/>
    <w:rsid w:val="00FB4891"/>
    <w:rsid w:val="00FB4B66"/>
    <w:rsid w:val="00FC686F"/>
    <w:rsid w:val="00FC7FBE"/>
    <w:rsid w:val="00FD1E60"/>
    <w:rsid w:val="00FD5380"/>
    <w:rsid w:val="00FE0378"/>
    <w:rsid w:val="00FE2347"/>
    <w:rsid w:val="0E60FE5A"/>
    <w:rsid w:val="20EBB8F7"/>
    <w:rsid w:val="27553789"/>
    <w:rsid w:val="33A7E4E3"/>
    <w:rsid w:val="5EAA4646"/>
    <w:rsid w:val="6D64B8C9"/>
    <w:rsid w:val="752C5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A4BC44"/>
  <w15:chartTrackingRefBased/>
  <w15:docId w15:val="{88987DA3-60B3-4442-8EFF-77408B60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DD3996"/>
    <w:rPr>
      <w:sz w:val="16"/>
      <w:szCs w:val="16"/>
    </w:rPr>
  </w:style>
  <w:style w:type="paragraph" w:styleId="CommentText">
    <w:name w:val="annotation text"/>
    <w:basedOn w:val="Normal"/>
    <w:link w:val="CommentTextChar"/>
    <w:rsid w:val="00DD3996"/>
  </w:style>
  <w:style w:type="character" w:customStyle="1" w:styleId="CommentTextChar">
    <w:name w:val="Comment Text Char"/>
    <w:link w:val="CommentText"/>
    <w:rsid w:val="00DD3996"/>
    <w:rPr>
      <w:color w:val="000000"/>
      <w:kern w:val="28"/>
    </w:rPr>
  </w:style>
  <w:style w:type="paragraph" w:styleId="CommentSubject">
    <w:name w:val="annotation subject"/>
    <w:basedOn w:val="CommentText"/>
    <w:next w:val="CommentText"/>
    <w:link w:val="CommentSubjectChar"/>
    <w:rsid w:val="00DD3996"/>
    <w:rPr>
      <w:b/>
      <w:bCs/>
    </w:rPr>
  </w:style>
  <w:style w:type="character" w:customStyle="1" w:styleId="CommentSubjectChar">
    <w:name w:val="Comment Subject Char"/>
    <w:link w:val="CommentSubject"/>
    <w:rsid w:val="00DD3996"/>
    <w:rPr>
      <w:b/>
      <w:bCs/>
      <w:color w:val="000000"/>
      <w:kern w:val="28"/>
    </w:rPr>
  </w:style>
  <w:style w:type="paragraph" w:customStyle="1" w:styleId="Default">
    <w:name w:val="Default"/>
    <w:rsid w:val="00F849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272">
      <w:bodyDiv w:val="1"/>
      <w:marLeft w:val="0"/>
      <w:marRight w:val="0"/>
      <w:marTop w:val="0"/>
      <w:marBottom w:val="0"/>
      <w:divBdr>
        <w:top w:val="none" w:sz="0" w:space="0" w:color="auto"/>
        <w:left w:val="none" w:sz="0" w:space="0" w:color="auto"/>
        <w:bottom w:val="none" w:sz="0" w:space="0" w:color="auto"/>
        <w:right w:val="none" w:sz="0" w:space="0" w:color="auto"/>
      </w:divBdr>
    </w:div>
    <w:div w:id="51274283">
      <w:bodyDiv w:val="1"/>
      <w:marLeft w:val="0"/>
      <w:marRight w:val="0"/>
      <w:marTop w:val="0"/>
      <w:marBottom w:val="0"/>
      <w:divBdr>
        <w:top w:val="none" w:sz="0" w:space="0" w:color="auto"/>
        <w:left w:val="none" w:sz="0" w:space="0" w:color="auto"/>
        <w:bottom w:val="none" w:sz="0" w:space="0" w:color="auto"/>
        <w:right w:val="none" w:sz="0" w:space="0" w:color="auto"/>
      </w:divBdr>
    </w:div>
    <w:div w:id="275531057">
      <w:bodyDiv w:val="1"/>
      <w:marLeft w:val="0"/>
      <w:marRight w:val="0"/>
      <w:marTop w:val="0"/>
      <w:marBottom w:val="0"/>
      <w:divBdr>
        <w:top w:val="none" w:sz="0" w:space="0" w:color="auto"/>
        <w:left w:val="none" w:sz="0" w:space="0" w:color="auto"/>
        <w:bottom w:val="none" w:sz="0" w:space="0" w:color="auto"/>
        <w:right w:val="none" w:sz="0" w:space="0" w:color="auto"/>
      </w:divBdr>
    </w:div>
    <w:div w:id="352609081">
      <w:bodyDiv w:val="1"/>
      <w:marLeft w:val="0"/>
      <w:marRight w:val="0"/>
      <w:marTop w:val="0"/>
      <w:marBottom w:val="0"/>
      <w:divBdr>
        <w:top w:val="none" w:sz="0" w:space="0" w:color="auto"/>
        <w:left w:val="none" w:sz="0" w:space="0" w:color="auto"/>
        <w:bottom w:val="none" w:sz="0" w:space="0" w:color="auto"/>
        <w:right w:val="none" w:sz="0" w:space="0" w:color="auto"/>
      </w:divBdr>
    </w:div>
    <w:div w:id="379017781">
      <w:bodyDiv w:val="1"/>
      <w:marLeft w:val="0"/>
      <w:marRight w:val="0"/>
      <w:marTop w:val="0"/>
      <w:marBottom w:val="0"/>
      <w:divBdr>
        <w:top w:val="none" w:sz="0" w:space="0" w:color="auto"/>
        <w:left w:val="none" w:sz="0" w:space="0" w:color="auto"/>
        <w:bottom w:val="none" w:sz="0" w:space="0" w:color="auto"/>
        <w:right w:val="none" w:sz="0" w:space="0" w:color="auto"/>
      </w:divBdr>
    </w:div>
    <w:div w:id="406657753">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626594763">
      <w:bodyDiv w:val="1"/>
      <w:marLeft w:val="0"/>
      <w:marRight w:val="0"/>
      <w:marTop w:val="0"/>
      <w:marBottom w:val="0"/>
      <w:divBdr>
        <w:top w:val="none" w:sz="0" w:space="0" w:color="auto"/>
        <w:left w:val="none" w:sz="0" w:space="0" w:color="auto"/>
        <w:bottom w:val="none" w:sz="0" w:space="0" w:color="auto"/>
        <w:right w:val="none" w:sz="0" w:space="0" w:color="auto"/>
      </w:divBdr>
    </w:div>
    <w:div w:id="697437925">
      <w:bodyDiv w:val="1"/>
      <w:marLeft w:val="0"/>
      <w:marRight w:val="0"/>
      <w:marTop w:val="0"/>
      <w:marBottom w:val="0"/>
      <w:divBdr>
        <w:top w:val="none" w:sz="0" w:space="0" w:color="auto"/>
        <w:left w:val="none" w:sz="0" w:space="0" w:color="auto"/>
        <w:bottom w:val="none" w:sz="0" w:space="0" w:color="auto"/>
        <w:right w:val="none" w:sz="0" w:space="0" w:color="auto"/>
      </w:divBdr>
    </w:div>
    <w:div w:id="713310163">
      <w:bodyDiv w:val="1"/>
      <w:marLeft w:val="0"/>
      <w:marRight w:val="0"/>
      <w:marTop w:val="0"/>
      <w:marBottom w:val="0"/>
      <w:divBdr>
        <w:top w:val="none" w:sz="0" w:space="0" w:color="auto"/>
        <w:left w:val="none" w:sz="0" w:space="0" w:color="auto"/>
        <w:bottom w:val="none" w:sz="0" w:space="0" w:color="auto"/>
        <w:right w:val="none" w:sz="0" w:space="0" w:color="auto"/>
      </w:divBdr>
    </w:div>
    <w:div w:id="775054670">
      <w:bodyDiv w:val="1"/>
      <w:marLeft w:val="0"/>
      <w:marRight w:val="0"/>
      <w:marTop w:val="0"/>
      <w:marBottom w:val="0"/>
      <w:divBdr>
        <w:top w:val="none" w:sz="0" w:space="0" w:color="auto"/>
        <w:left w:val="none" w:sz="0" w:space="0" w:color="auto"/>
        <w:bottom w:val="none" w:sz="0" w:space="0" w:color="auto"/>
        <w:right w:val="none" w:sz="0" w:space="0" w:color="auto"/>
      </w:divBdr>
    </w:div>
    <w:div w:id="849956180">
      <w:bodyDiv w:val="1"/>
      <w:marLeft w:val="0"/>
      <w:marRight w:val="0"/>
      <w:marTop w:val="0"/>
      <w:marBottom w:val="0"/>
      <w:divBdr>
        <w:top w:val="none" w:sz="0" w:space="0" w:color="auto"/>
        <w:left w:val="none" w:sz="0" w:space="0" w:color="auto"/>
        <w:bottom w:val="none" w:sz="0" w:space="0" w:color="auto"/>
        <w:right w:val="none" w:sz="0" w:space="0" w:color="auto"/>
      </w:divBdr>
    </w:div>
    <w:div w:id="989405779">
      <w:bodyDiv w:val="1"/>
      <w:marLeft w:val="0"/>
      <w:marRight w:val="0"/>
      <w:marTop w:val="0"/>
      <w:marBottom w:val="0"/>
      <w:divBdr>
        <w:top w:val="none" w:sz="0" w:space="0" w:color="auto"/>
        <w:left w:val="none" w:sz="0" w:space="0" w:color="auto"/>
        <w:bottom w:val="none" w:sz="0" w:space="0" w:color="auto"/>
        <w:right w:val="none" w:sz="0" w:space="0" w:color="auto"/>
      </w:divBdr>
    </w:div>
    <w:div w:id="1032221255">
      <w:bodyDiv w:val="1"/>
      <w:marLeft w:val="0"/>
      <w:marRight w:val="0"/>
      <w:marTop w:val="0"/>
      <w:marBottom w:val="0"/>
      <w:divBdr>
        <w:top w:val="none" w:sz="0" w:space="0" w:color="auto"/>
        <w:left w:val="none" w:sz="0" w:space="0" w:color="auto"/>
        <w:bottom w:val="none" w:sz="0" w:space="0" w:color="auto"/>
        <w:right w:val="none" w:sz="0" w:space="0" w:color="auto"/>
      </w:divBdr>
    </w:div>
    <w:div w:id="1053507925">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424492106">
      <w:bodyDiv w:val="1"/>
      <w:marLeft w:val="0"/>
      <w:marRight w:val="0"/>
      <w:marTop w:val="0"/>
      <w:marBottom w:val="0"/>
      <w:divBdr>
        <w:top w:val="none" w:sz="0" w:space="0" w:color="auto"/>
        <w:left w:val="none" w:sz="0" w:space="0" w:color="auto"/>
        <w:bottom w:val="none" w:sz="0" w:space="0" w:color="auto"/>
        <w:right w:val="none" w:sz="0" w:space="0" w:color="auto"/>
      </w:divBdr>
    </w:div>
    <w:div w:id="1464617611">
      <w:bodyDiv w:val="1"/>
      <w:marLeft w:val="0"/>
      <w:marRight w:val="0"/>
      <w:marTop w:val="0"/>
      <w:marBottom w:val="0"/>
      <w:divBdr>
        <w:top w:val="none" w:sz="0" w:space="0" w:color="auto"/>
        <w:left w:val="none" w:sz="0" w:space="0" w:color="auto"/>
        <w:bottom w:val="none" w:sz="0" w:space="0" w:color="auto"/>
        <w:right w:val="none" w:sz="0" w:space="0" w:color="auto"/>
      </w:divBdr>
    </w:div>
    <w:div w:id="1520388399">
      <w:bodyDiv w:val="1"/>
      <w:marLeft w:val="0"/>
      <w:marRight w:val="0"/>
      <w:marTop w:val="0"/>
      <w:marBottom w:val="0"/>
      <w:divBdr>
        <w:top w:val="none" w:sz="0" w:space="0" w:color="auto"/>
        <w:left w:val="none" w:sz="0" w:space="0" w:color="auto"/>
        <w:bottom w:val="none" w:sz="0" w:space="0" w:color="auto"/>
        <w:right w:val="none" w:sz="0" w:space="0" w:color="auto"/>
      </w:divBdr>
    </w:div>
    <w:div w:id="1568035910">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717506792">
      <w:bodyDiv w:val="1"/>
      <w:marLeft w:val="0"/>
      <w:marRight w:val="0"/>
      <w:marTop w:val="0"/>
      <w:marBottom w:val="0"/>
      <w:divBdr>
        <w:top w:val="none" w:sz="0" w:space="0" w:color="auto"/>
        <w:left w:val="none" w:sz="0" w:space="0" w:color="auto"/>
        <w:bottom w:val="none" w:sz="0" w:space="0" w:color="auto"/>
        <w:right w:val="none" w:sz="0" w:space="0" w:color="auto"/>
      </w:divBdr>
    </w:div>
    <w:div w:id="1733847928">
      <w:bodyDiv w:val="1"/>
      <w:marLeft w:val="0"/>
      <w:marRight w:val="0"/>
      <w:marTop w:val="0"/>
      <w:marBottom w:val="0"/>
      <w:divBdr>
        <w:top w:val="none" w:sz="0" w:space="0" w:color="auto"/>
        <w:left w:val="none" w:sz="0" w:space="0" w:color="auto"/>
        <w:bottom w:val="none" w:sz="0" w:space="0" w:color="auto"/>
        <w:right w:val="none" w:sz="0" w:space="0" w:color="auto"/>
      </w:divBdr>
    </w:div>
    <w:div w:id="1834640107">
      <w:bodyDiv w:val="1"/>
      <w:marLeft w:val="0"/>
      <w:marRight w:val="0"/>
      <w:marTop w:val="0"/>
      <w:marBottom w:val="0"/>
      <w:divBdr>
        <w:top w:val="none" w:sz="0" w:space="0" w:color="auto"/>
        <w:left w:val="none" w:sz="0" w:space="0" w:color="auto"/>
        <w:bottom w:val="none" w:sz="0" w:space="0" w:color="auto"/>
        <w:right w:val="none" w:sz="0" w:space="0" w:color="auto"/>
      </w:divBdr>
    </w:div>
    <w:div w:id="1903054532">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1956331578">
      <w:bodyDiv w:val="1"/>
      <w:marLeft w:val="0"/>
      <w:marRight w:val="0"/>
      <w:marTop w:val="0"/>
      <w:marBottom w:val="0"/>
      <w:divBdr>
        <w:top w:val="none" w:sz="0" w:space="0" w:color="auto"/>
        <w:left w:val="none" w:sz="0" w:space="0" w:color="auto"/>
        <w:bottom w:val="none" w:sz="0" w:space="0" w:color="auto"/>
        <w:right w:val="none" w:sz="0" w:space="0" w:color="auto"/>
      </w:divBdr>
    </w:div>
    <w:div w:id="2016952530">
      <w:bodyDiv w:val="1"/>
      <w:marLeft w:val="0"/>
      <w:marRight w:val="0"/>
      <w:marTop w:val="0"/>
      <w:marBottom w:val="0"/>
      <w:divBdr>
        <w:top w:val="none" w:sz="0" w:space="0" w:color="auto"/>
        <w:left w:val="none" w:sz="0" w:space="0" w:color="auto"/>
        <w:bottom w:val="none" w:sz="0" w:space="0" w:color="auto"/>
        <w:right w:val="none" w:sz="0" w:space="0" w:color="auto"/>
      </w:divBdr>
    </w:div>
    <w:div w:id="2024042440">
      <w:bodyDiv w:val="1"/>
      <w:marLeft w:val="0"/>
      <w:marRight w:val="0"/>
      <w:marTop w:val="0"/>
      <w:marBottom w:val="0"/>
      <w:divBdr>
        <w:top w:val="none" w:sz="0" w:space="0" w:color="auto"/>
        <w:left w:val="none" w:sz="0" w:space="0" w:color="auto"/>
        <w:bottom w:val="none" w:sz="0" w:space="0" w:color="auto"/>
        <w:right w:val="none" w:sz="0" w:space="0" w:color="auto"/>
      </w:divBdr>
    </w:div>
    <w:div w:id="21313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DE3E44-F393-47EA-8149-AE595556AE50}">
  <ds:schemaRefs>
    <ds:schemaRef ds:uri="http://schemas.microsoft.com/office/2006/documentManagement/types"/>
    <ds:schemaRef ds:uri="http://schemas.openxmlformats.org/package/2006/metadata/core-properties"/>
    <ds:schemaRef ds:uri="http://purl.org/dc/elements/1.1/"/>
    <ds:schemaRef ds:uri="http://purl.org/dc/terms/"/>
    <ds:schemaRef ds:uri="42df7cb3-2fea-4ba3-b9bf-21660104d6dd"/>
    <ds:schemaRef ds:uri="http://www.w3.org/XML/1998/namespace"/>
    <ds:schemaRef ds:uri="http://schemas.microsoft.com/office/infopath/2007/PartnerControls"/>
    <ds:schemaRef ds:uri="e968d4b9-9f0d-4b6f-81c6-222446f6098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55CEA42-45A5-4DA1-8159-46BE07E12372}">
  <ds:schemaRefs>
    <ds:schemaRef ds:uri="http://schemas.microsoft.com/sharepoint/v3/contenttype/forms"/>
  </ds:schemaRefs>
</ds:datastoreItem>
</file>

<file path=customXml/itemProps3.xml><?xml version="1.0" encoding="utf-8"?>
<ds:datastoreItem xmlns:ds="http://schemas.openxmlformats.org/officeDocument/2006/customXml" ds:itemID="{ED482B82-6DAE-F441-B346-5F27EDDEE0CA}">
  <ds:schemaRefs>
    <ds:schemaRef ds:uri="http://schemas.openxmlformats.org/officeDocument/2006/bibliography"/>
  </ds:schemaRefs>
</ds:datastoreItem>
</file>

<file path=customXml/itemProps4.xml><?xml version="1.0" encoding="utf-8"?>
<ds:datastoreItem xmlns:ds="http://schemas.openxmlformats.org/officeDocument/2006/customXml" ds:itemID="{10EE9683-F12E-4820-AA47-54936E7533E4}"/>
</file>

<file path=customXml/itemProps5.xml><?xml version="1.0" encoding="utf-8"?>
<ds:datastoreItem xmlns:ds="http://schemas.openxmlformats.org/officeDocument/2006/customXml" ds:itemID="{E5666974-8AB2-419D-892B-A5759F61C5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2736</Words>
  <Characters>15475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Minnesota Advocates for Human Rights</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Verónica Cadavid González</cp:lastModifiedBy>
  <cp:revision>2</cp:revision>
  <cp:lastPrinted>2011-09-16T18:52:00Z</cp:lastPrinted>
  <dcterms:created xsi:type="dcterms:W3CDTF">2022-09-12T19:12:00Z</dcterms:created>
  <dcterms:modified xsi:type="dcterms:W3CDTF">2022-09-12T19:12:00Z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188600.000000000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51;#Amy Bergquist</vt:lpwstr>
  </property>
  <property fmtid="{D5CDD505-2E9C-101B-9397-08002B2CF9AE}" pid="7" name="ContentTypeId">
    <vt:lpwstr>0x0101001095AF07E9D52746B60E2F270CE938D2</vt:lpwstr>
  </property>
  <property fmtid="{D5CDD505-2E9C-101B-9397-08002B2CF9AE}" pid="8" name="MediaServiceImageTags">
    <vt:lpwstr/>
  </property>
</Properties>
</file>