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476D" w14:textId="77777777" w:rsidR="00B71C69" w:rsidRDefault="00B71C69" w:rsidP="00B71C69">
      <w:pPr>
        <w:spacing w:line="276" w:lineRule="auto"/>
        <w:jc w:val="both"/>
        <w:rPr>
          <w:rFonts w:ascii="Maiandra GD" w:hAnsi="Maiandra GD"/>
          <w:sz w:val="24"/>
          <w:szCs w:val="24"/>
        </w:rPr>
      </w:pPr>
      <w:r>
        <w:rPr>
          <w:rFonts w:cstheme="minorHAnsi"/>
          <w:b/>
          <w:noProof/>
        </w:rPr>
        <mc:AlternateContent>
          <mc:Choice Requires="wps">
            <w:drawing>
              <wp:anchor distT="0" distB="0" distL="114300" distR="114300" simplePos="0" relativeHeight="251660288" behindDoc="0" locked="0" layoutInCell="1" allowOverlap="1" wp14:anchorId="2C745D47" wp14:editId="072B3CAC">
                <wp:simplePos x="0" y="0"/>
                <wp:positionH relativeFrom="column">
                  <wp:posOffset>1090930</wp:posOffset>
                </wp:positionH>
                <wp:positionV relativeFrom="paragraph">
                  <wp:posOffset>5080</wp:posOffset>
                </wp:positionV>
                <wp:extent cx="344805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48050" cy="381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B05A360" w14:textId="77777777" w:rsidR="00B71C69" w:rsidRPr="00EA1084" w:rsidRDefault="00B71C69" w:rsidP="00B71C69">
                            <w:pPr>
                              <w:jc w:val="center"/>
                              <w:rPr>
                                <w:rFonts w:ascii="Maiandra GD" w:hAnsi="Maiandra GD"/>
                              </w:rPr>
                            </w:pPr>
                            <w:r w:rsidRPr="00EA1084">
                              <w:rPr>
                                <w:rFonts w:ascii="Maiandra GD" w:hAnsi="Maiandra GD" w:cstheme="minorHAnsi"/>
                                <w:b/>
                              </w:rPr>
                              <w:t>ONG CHANGEMENT SOCIAL BENIN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5D47" id="Rectangle 4" o:spid="_x0000_s1026" style="position:absolute;left:0;text-align:left;margin-left:85.9pt;margin-top:.4pt;width:27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" fillcolor="white [3201]" strokecolor="#4472c4 [3204]" strokeweight="1pt">
                <v:textbox>
                  <w:txbxContent>
                    <w:p w14:paraId="2B05A360" w14:textId="77777777" w:rsidR="00B71C69" w:rsidRPr="00EA1084" w:rsidRDefault="00B71C69" w:rsidP="00B71C69">
                      <w:pPr>
                        <w:jc w:val="center"/>
                        <w:rPr>
                          <w:rFonts w:ascii="Maiandra GD" w:hAnsi="Maiandra GD"/>
                        </w:rPr>
                      </w:pPr>
                      <w:r w:rsidRPr="00EA1084">
                        <w:rPr>
                          <w:rFonts w:ascii="Maiandra GD" w:hAnsi="Maiandra GD" w:cstheme="minorHAnsi"/>
                          <w:b/>
                        </w:rPr>
                        <w:t>ONG CHANGEMENT SOCIAL BENIN</w:t>
                      </w:r>
                    </w:p>
                  </w:txbxContent>
                </v:textbox>
              </v:rect>
            </w:pict>
          </mc:Fallback>
        </mc:AlternateContent>
      </w:r>
      <w:r>
        <w:rPr>
          <w:rFonts w:ascii="Maiandra GD" w:hAnsi="Maiandra GD"/>
          <w:sz w:val="24"/>
          <w:szCs w:val="24"/>
        </w:rPr>
        <w:t xml:space="preserve">   </w:t>
      </w:r>
    </w:p>
    <w:p w14:paraId="0A23E589" w14:textId="77777777" w:rsidR="00B71C69" w:rsidRDefault="00B71C69" w:rsidP="00B71C69">
      <w:pPr>
        <w:spacing w:line="276" w:lineRule="auto"/>
        <w:jc w:val="both"/>
        <w:rPr>
          <w:rFonts w:ascii="Maiandra GD" w:hAnsi="Maiandra GD"/>
          <w:sz w:val="24"/>
          <w:szCs w:val="24"/>
        </w:rPr>
      </w:pPr>
      <w:r>
        <w:rPr>
          <w:rFonts w:ascii="Century Gothic" w:eastAsia="Times New Roman" w:hAnsi="Century Gothic"/>
          <w:noProof/>
          <w:color w:val="000000"/>
          <w:sz w:val="16"/>
          <w:szCs w:val="16"/>
        </w:rPr>
        <w:drawing>
          <wp:anchor distT="0" distB="0" distL="0" distR="0" simplePos="0" relativeHeight="251659264" behindDoc="1" locked="0" layoutInCell="1" allowOverlap="1" wp14:anchorId="20C337BA" wp14:editId="7C3D989C">
            <wp:simplePos x="0" y="0"/>
            <wp:positionH relativeFrom="column">
              <wp:posOffset>1866900</wp:posOffset>
            </wp:positionH>
            <wp:positionV relativeFrom="paragraph">
              <wp:posOffset>240030</wp:posOffset>
            </wp:positionV>
            <wp:extent cx="1647825" cy="1295400"/>
            <wp:effectExtent l="0" t="0" r="9525" b="0"/>
            <wp:wrapNone/>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8" cstate="print"/>
                    <a:srcRect/>
                    <a:stretch/>
                  </pic:blipFill>
                  <pic:spPr>
                    <a:xfrm>
                      <a:off x="0" y="0"/>
                      <a:ext cx="1647825" cy="1295400"/>
                    </a:xfrm>
                    <a:prstGeom prst="rect">
                      <a:avLst/>
                    </a:prstGeom>
                  </pic:spPr>
                </pic:pic>
              </a:graphicData>
            </a:graphic>
            <wp14:sizeRelH relativeFrom="margin">
              <wp14:pctWidth>0</wp14:pctWidth>
            </wp14:sizeRelH>
            <wp14:sizeRelV relativeFrom="margin">
              <wp14:pctHeight>0</wp14:pctHeight>
            </wp14:sizeRelV>
          </wp:anchor>
        </w:drawing>
      </w:r>
    </w:p>
    <w:p w14:paraId="1E297072" w14:textId="77777777" w:rsidR="00B71C69" w:rsidRDefault="00B71C69" w:rsidP="00B71C69">
      <w:pPr>
        <w:spacing w:line="276" w:lineRule="auto"/>
        <w:jc w:val="both"/>
        <w:rPr>
          <w:rFonts w:ascii="Maiandra GD" w:hAnsi="Maiandra GD"/>
          <w:sz w:val="24"/>
          <w:szCs w:val="24"/>
        </w:rPr>
      </w:pPr>
    </w:p>
    <w:p w14:paraId="36CB7751" w14:textId="77777777" w:rsidR="00B71C69" w:rsidRPr="00906F56" w:rsidRDefault="00B71C69" w:rsidP="00B71C69">
      <w:pPr>
        <w:spacing w:line="276" w:lineRule="auto"/>
        <w:jc w:val="both"/>
        <w:rPr>
          <w:rFonts w:ascii="Maiandra GD" w:hAnsi="Maiandra GD"/>
          <w:sz w:val="24"/>
          <w:szCs w:val="24"/>
        </w:rPr>
      </w:pPr>
    </w:p>
    <w:p w14:paraId="36AD3737" w14:textId="77777777" w:rsidR="00B71C69" w:rsidRDefault="00B71C69" w:rsidP="00B71C69">
      <w:pPr>
        <w:spacing w:line="276" w:lineRule="auto"/>
        <w:jc w:val="center"/>
        <w:rPr>
          <w:rFonts w:ascii="Maiandra GD" w:hAnsi="Maiandra GD"/>
          <w:b/>
          <w:bCs/>
          <w:sz w:val="24"/>
          <w:szCs w:val="24"/>
        </w:rPr>
      </w:pPr>
    </w:p>
    <w:p w14:paraId="2E2C1C30" w14:textId="77777777" w:rsidR="00B71C69" w:rsidRDefault="00B71C69" w:rsidP="00B71C69">
      <w:pPr>
        <w:spacing w:line="276" w:lineRule="auto"/>
        <w:jc w:val="center"/>
        <w:rPr>
          <w:rFonts w:ascii="Maiandra GD" w:hAnsi="Maiandra GD"/>
          <w:b/>
          <w:bCs/>
          <w:sz w:val="24"/>
          <w:szCs w:val="24"/>
        </w:rPr>
      </w:pPr>
    </w:p>
    <w:p w14:paraId="6D4223CB" w14:textId="77777777" w:rsidR="00B71C69" w:rsidRPr="00FB2E45" w:rsidRDefault="00B71C69" w:rsidP="00B71C69">
      <w:pPr>
        <w:spacing w:line="276" w:lineRule="auto"/>
        <w:jc w:val="center"/>
        <w:rPr>
          <w:rFonts w:ascii="Maiandra GD" w:hAnsi="Maiandra GD"/>
          <w:b/>
          <w:bCs/>
          <w:sz w:val="24"/>
          <w:szCs w:val="24"/>
        </w:rPr>
      </w:pPr>
      <w:r w:rsidRPr="00FB2E45">
        <w:rPr>
          <w:rFonts w:ascii="Maiandra GD" w:hAnsi="Maiandra GD"/>
          <w:b/>
          <w:bCs/>
          <w:sz w:val="24"/>
          <w:szCs w:val="24"/>
        </w:rPr>
        <w:t>Contribution des organisations de la société civile à l'adoption de la Liste des Points à Traiter avant Rapport (LOIPR)</w:t>
      </w:r>
    </w:p>
    <w:p w14:paraId="1D641218" w14:textId="36FC1AEB" w:rsidR="00B71C69" w:rsidRPr="00FB2E45" w:rsidRDefault="00B71C69" w:rsidP="00B71C69">
      <w:pPr>
        <w:spacing w:line="276" w:lineRule="auto"/>
        <w:jc w:val="center"/>
        <w:rPr>
          <w:rFonts w:ascii="Maiandra GD" w:hAnsi="Maiandra GD"/>
          <w:b/>
          <w:bCs/>
          <w:sz w:val="24"/>
          <w:szCs w:val="24"/>
        </w:rPr>
      </w:pPr>
      <w:r w:rsidRPr="00FB2E45">
        <w:rPr>
          <w:rFonts w:ascii="Maiandra GD" w:hAnsi="Maiandra GD"/>
          <w:b/>
          <w:bCs/>
          <w:sz w:val="24"/>
          <w:szCs w:val="24"/>
        </w:rPr>
        <w:t xml:space="preserve">Examen du </w:t>
      </w:r>
      <w:r w:rsidR="000C0E04">
        <w:rPr>
          <w:rFonts w:ascii="Maiandra GD" w:hAnsi="Maiandra GD"/>
          <w:b/>
          <w:bCs/>
          <w:sz w:val="24"/>
          <w:szCs w:val="24"/>
        </w:rPr>
        <w:t>rapport soumis par</w:t>
      </w:r>
      <w:r w:rsidRPr="00FB2E45">
        <w:rPr>
          <w:rFonts w:ascii="Maiandra GD" w:hAnsi="Maiandra GD"/>
          <w:b/>
          <w:bCs/>
          <w:sz w:val="24"/>
          <w:szCs w:val="24"/>
        </w:rPr>
        <w:t xml:space="preserve"> </w:t>
      </w:r>
      <w:r w:rsidR="000C0E04">
        <w:rPr>
          <w:rFonts w:ascii="Maiandra GD" w:hAnsi="Maiandra GD"/>
          <w:b/>
          <w:bCs/>
          <w:sz w:val="24"/>
          <w:szCs w:val="24"/>
        </w:rPr>
        <w:t>le</w:t>
      </w:r>
      <w:r w:rsidRPr="00FB2E45">
        <w:rPr>
          <w:rFonts w:ascii="Maiandra GD" w:hAnsi="Maiandra GD"/>
          <w:b/>
          <w:bCs/>
          <w:sz w:val="24"/>
          <w:szCs w:val="24"/>
        </w:rPr>
        <w:t xml:space="preserve"> Bénin </w:t>
      </w:r>
      <w:r w:rsidR="000C0E04">
        <w:rPr>
          <w:rFonts w:ascii="Maiandra GD" w:hAnsi="Maiandra GD"/>
          <w:b/>
          <w:bCs/>
          <w:sz w:val="24"/>
          <w:szCs w:val="24"/>
        </w:rPr>
        <w:t xml:space="preserve">en application de l’article 29 de la Convention sur les Disparitions Forcées </w:t>
      </w:r>
    </w:p>
    <w:p w14:paraId="2316D333" w14:textId="77777777" w:rsidR="00B71C69" w:rsidRPr="00906F56" w:rsidRDefault="00B71C69" w:rsidP="00B71C69">
      <w:pPr>
        <w:spacing w:line="276" w:lineRule="auto"/>
        <w:jc w:val="both"/>
        <w:rPr>
          <w:rFonts w:ascii="Maiandra GD" w:hAnsi="Maiandra GD"/>
          <w:sz w:val="24"/>
          <w:szCs w:val="24"/>
        </w:rPr>
      </w:pPr>
    </w:p>
    <w:p w14:paraId="3DB11302" w14:textId="77777777" w:rsidR="00B71C69" w:rsidRPr="00906F56" w:rsidRDefault="00B71C69" w:rsidP="000C0E04">
      <w:pPr>
        <w:spacing w:line="276" w:lineRule="auto"/>
        <w:jc w:val="both"/>
        <w:rPr>
          <w:rFonts w:ascii="Maiandra GD" w:hAnsi="Maiandra GD"/>
          <w:b/>
          <w:bCs/>
          <w:sz w:val="24"/>
          <w:szCs w:val="24"/>
        </w:rPr>
      </w:pPr>
      <w:r w:rsidRPr="00906F56">
        <w:rPr>
          <w:rFonts w:ascii="Maiandra GD" w:hAnsi="Maiandra GD"/>
          <w:b/>
          <w:bCs/>
          <w:sz w:val="24"/>
          <w:szCs w:val="24"/>
        </w:rPr>
        <w:t xml:space="preserve">Par : </w:t>
      </w:r>
    </w:p>
    <w:p w14:paraId="4D331881" w14:textId="5D5E367A" w:rsidR="00B71C69" w:rsidRDefault="00B71C69" w:rsidP="000C0E04">
      <w:pPr>
        <w:spacing w:line="276" w:lineRule="auto"/>
        <w:jc w:val="both"/>
        <w:rPr>
          <w:rFonts w:ascii="Maiandra GD" w:hAnsi="Maiandra GD"/>
          <w:sz w:val="24"/>
          <w:szCs w:val="24"/>
        </w:rPr>
      </w:pPr>
      <w:r w:rsidRPr="00906F56">
        <w:rPr>
          <w:rFonts w:ascii="Maiandra GD" w:hAnsi="Maiandra GD"/>
          <w:sz w:val="24"/>
          <w:szCs w:val="24"/>
        </w:rPr>
        <w:t>Changement Social B</w:t>
      </w:r>
      <w:r>
        <w:rPr>
          <w:rFonts w:ascii="Maiandra GD" w:hAnsi="Maiandra GD"/>
          <w:sz w:val="24"/>
          <w:szCs w:val="24"/>
        </w:rPr>
        <w:t>é</w:t>
      </w:r>
      <w:r w:rsidRPr="00906F56">
        <w:rPr>
          <w:rFonts w:ascii="Maiandra GD" w:hAnsi="Maiandra GD"/>
          <w:sz w:val="24"/>
          <w:szCs w:val="24"/>
        </w:rPr>
        <w:t xml:space="preserve">nin </w:t>
      </w:r>
      <w:r w:rsidRPr="001D719C">
        <w:rPr>
          <w:rFonts w:ascii="Maiandra GD" w:hAnsi="Maiandra GD"/>
          <w:b/>
          <w:bCs/>
          <w:sz w:val="24"/>
          <w:szCs w:val="24"/>
        </w:rPr>
        <w:t>(CSB)</w:t>
      </w:r>
      <w:r w:rsidRPr="00906F56">
        <w:rPr>
          <w:rFonts w:ascii="Maiandra GD" w:hAnsi="Maiandra GD"/>
          <w:sz w:val="24"/>
          <w:szCs w:val="24"/>
        </w:rPr>
        <w:t xml:space="preserve"> est une </w:t>
      </w:r>
      <w:r>
        <w:rPr>
          <w:rFonts w:ascii="Maiandra GD" w:hAnsi="Maiandra GD"/>
          <w:sz w:val="24"/>
          <w:szCs w:val="24"/>
        </w:rPr>
        <w:t>O</w:t>
      </w:r>
      <w:r w:rsidRPr="00906F56">
        <w:rPr>
          <w:rFonts w:ascii="Maiandra GD" w:hAnsi="Maiandra GD"/>
          <w:sz w:val="24"/>
          <w:szCs w:val="24"/>
        </w:rPr>
        <w:t>rganisation Non Gouvernementale de promotion</w:t>
      </w:r>
      <w:r>
        <w:rPr>
          <w:rFonts w:ascii="Maiandra GD" w:hAnsi="Maiandra GD"/>
          <w:sz w:val="24"/>
          <w:szCs w:val="24"/>
        </w:rPr>
        <w:t xml:space="preserve"> et</w:t>
      </w:r>
      <w:r w:rsidRPr="00906F56">
        <w:rPr>
          <w:rFonts w:ascii="Maiandra GD" w:hAnsi="Maiandra GD"/>
          <w:sz w:val="24"/>
          <w:szCs w:val="24"/>
        </w:rPr>
        <w:t xml:space="preserve"> de défense des droits humains créée et animée par de jeunes activistes depuis 2003</w:t>
      </w:r>
      <w:r>
        <w:rPr>
          <w:rFonts w:ascii="Maiandra GD" w:hAnsi="Maiandra GD"/>
          <w:sz w:val="24"/>
          <w:szCs w:val="24"/>
        </w:rPr>
        <w:t xml:space="preserve"> et </w:t>
      </w:r>
      <w:r w:rsidRPr="00906F56">
        <w:rPr>
          <w:rFonts w:ascii="Maiandra GD" w:hAnsi="Maiandra GD"/>
          <w:sz w:val="24"/>
          <w:szCs w:val="24"/>
        </w:rPr>
        <w:t>accrédité</w:t>
      </w:r>
      <w:r>
        <w:rPr>
          <w:rFonts w:ascii="Maiandra GD" w:hAnsi="Maiandra GD"/>
          <w:sz w:val="24"/>
          <w:szCs w:val="24"/>
        </w:rPr>
        <w:t>e</w:t>
      </w:r>
      <w:r w:rsidRPr="00906F56">
        <w:rPr>
          <w:rFonts w:ascii="Maiandra GD" w:hAnsi="Maiandra GD"/>
          <w:sz w:val="24"/>
          <w:szCs w:val="24"/>
        </w:rPr>
        <w:t xml:space="preserve"> du statut d’observateur auprès de la Commission Africaine des Droits de l’Homme et des Peuples</w:t>
      </w:r>
      <w:r>
        <w:rPr>
          <w:rFonts w:ascii="Maiandra GD" w:hAnsi="Maiandra GD"/>
          <w:sz w:val="24"/>
          <w:szCs w:val="24"/>
        </w:rPr>
        <w:t>.</w:t>
      </w:r>
    </w:p>
    <w:p w14:paraId="3C3FF277" w14:textId="77777777" w:rsidR="00B71C69" w:rsidRPr="00FE4EA8" w:rsidRDefault="00B71C69" w:rsidP="000C0E04">
      <w:pPr>
        <w:spacing w:line="276" w:lineRule="auto"/>
        <w:jc w:val="both"/>
        <w:rPr>
          <w:rFonts w:ascii="Maiandra GD" w:hAnsi="Maiandra GD" w:cstheme="minorHAnsi"/>
          <w:b/>
          <w:bCs/>
          <w:i/>
          <w:iCs/>
          <w:sz w:val="24"/>
          <w:szCs w:val="24"/>
        </w:rPr>
      </w:pPr>
      <w:r w:rsidRPr="008831F4">
        <w:rPr>
          <w:rFonts w:ascii="Maiandra GD" w:hAnsi="Maiandra GD" w:cstheme="minorHAnsi"/>
          <w:sz w:val="24"/>
          <w:szCs w:val="24"/>
        </w:rPr>
        <w:t xml:space="preserve">En tant qu’ONG de promotion et de défense des droits humains, elle a pour vision : </w:t>
      </w:r>
      <w:r w:rsidRPr="00FE4EA8">
        <w:rPr>
          <w:rFonts w:ascii="Maiandra GD" w:hAnsi="Maiandra GD" w:cstheme="minorHAnsi"/>
          <w:b/>
          <w:bCs/>
          <w:i/>
          <w:iCs/>
          <w:sz w:val="24"/>
          <w:szCs w:val="24"/>
        </w:rPr>
        <w:t xml:space="preserve">un Pays où les conditions sont créées pour satisfaire à tous les droits humains sans distinction aucune ; où Chaque citoyen peut se prévaloir de tous les droits énoncés dans la Déclaration Universelle des Droits de l’Homme et participer à la mise en place de leurs conditions de satisfaction. </w:t>
      </w:r>
    </w:p>
    <w:p w14:paraId="75C21BB1" w14:textId="425AB88B" w:rsidR="008660FE" w:rsidRDefault="00B71C69" w:rsidP="000C0E04">
      <w:pPr>
        <w:spacing w:line="276" w:lineRule="auto"/>
        <w:jc w:val="both"/>
        <w:rPr>
          <w:rFonts w:ascii="Maiandra GD" w:hAnsi="Maiandra GD" w:cstheme="minorHAnsi"/>
          <w:sz w:val="24"/>
          <w:szCs w:val="24"/>
        </w:rPr>
      </w:pPr>
      <w:r w:rsidRPr="008831F4">
        <w:rPr>
          <w:rFonts w:ascii="Maiandra GD" w:hAnsi="Maiandra GD" w:cstheme="minorHAnsi"/>
          <w:sz w:val="24"/>
          <w:szCs w:val="24"/>
        </w:rPr>
        <w:t>Pour ce faire, l’organisation s’appuie</w:t>
      </w:r>
      <w:r>
        <w:rPr>
          <w:rFonts w:ascii="Maiandra GD" w:hAnsi="Maiandra GD" w:cstheme="minorHAnsi"/>
          <w:sz w:val="24"/>
          <w:szCs w:val="24"/>
        </w:rPr>
        <w:t>,</w:t>
      </w:r>
      <w:r w:rsidRPr="008831F4">
        <w:rPr>
          <w:rFonts w:ascii="Maiandra GD" w:hAnsi="Maiandra GD" w:cstheme="minorHAnsi"/>
          <w:sz w:val="24"/>
          <w:szCs w:val="24"/>
        </w:rPr>
        <w:t xml:space="preserve"> entre autres</w:t>
      </w:r>
      <w:r>
        <w:rPr>
          <w:rFonts w:ascii="Maiandra GD" w:hAnsi="Maiandra GD" w:cstheme="minorHAnsi"/>
          <w:sz w:val="24"/>
          <w:szCs w:val="24"/>
        </w:rPr>
        <w:t>,</w:t>
      </w:r>
      <w:r w:rsidRPr="008831F4">
        <w:rPr>
          <w:rFonts w:ascii="Maiandra GD" w:hAnsi="Maiandra GD" w:cstheme="minorHAnsi"/>
          <w:sz w:val="24"/>
          <w:szCs w:val="24"/>
        </w:rPr>
        <w:t xml:space="preserve"> sur le monitoring des droits humains à travers la </w:t>
      </w:r>
      <w:bookmarkStart w:id="0" w:name="_Hlk109550705"/>
      <w:r w:rsidRPr="008831F4">
        <w:rPr>
          <w:rFonts w:ascii="Maiandra GD" w:hAnsi="Maiandra GD" w:cstheme="minorHAnsi"/>
          <w:sz w:val="24"/>
          <w:szCs w:val="24"/>
        </w:rPr>
        <w:t xml:space="preserve">Surveillance Documentation et le Rapportage </w:t>
      </w:r>
      <w:bookmarkEnd w:id="0"/>
      <w:r w:rsidRPr="008831F4">
        <w:rPr>
          <w:rFonts w:ascii="Maiandra GD" w:hAnsi="Maiandra GD" w:cstheme="minorHAnsi"/>
          <w:sz w:val="24"/>
          <w:szCs w:val="24"/>
        </w:rPr>
        <w:t xml:space="preserve">(SDR), le plaidoyer et le lobbying, le reporting devant les organes de traités et le Conseil des </w:t>
      </w:r>
      <w:r>
        <w:rPr>
          <w:rFonts w:ascii="Maiandra GD" w:hAnsi="Maiandra GD" w:cstheme="minorHAnsi"/>
          <w:sz w:val="24"/>
          <w:szCs w:val="24"/>
        </w:rPr>
        <w:t>D</w:t>
      </w:r>
      <w:r w:rsidRPr="008831F4">
        <w:rPr>
          <w:rFonts w:ascii="Maiandra GD" w:hAnsi="Maiandra GD" w:cstheme="minorHAnsi"/>
          <w:sz w:val="24"/>
          <w:szCs w:val="24"/>
        </w:rPr>
        <w:t xml:space="preserve">roits de l’Homme des </w:t>
      </w:r>
      <w:r w:rsidR="00717B7B">
        <w:rPr>
          <w:rFonts w:ascii="Maiandra GD" w:hAnsi="Maiandra GD" w:cstheme="minorHAnsi"/>
          <w:sz w:val="24"/>
          <w:szCs w:val="24"/>
        </w:rPr>
        <w:t>Nations-Unies ainsi que</w:t>
      </w:r>
      <w:r w:rsidRPr="008831F4">
        <w:rPr>
          <w:rFonts w:ascii="Maiandra GD" w:hAnsi="Maiandra GD" w:cstheme="minorHAnsi"/>
          <w:sz w:val="24"/>
          <w:szCs w:val="24"/>
        </w:rPr>
        <w:t xml:space="preserve"> </w:t>
      </w:r>
      <w:r w:rsidR="00717B7B">
        <w:rPr>
          <w:rFonts w:ascii="Maiandra GD" w:hAnsi="Maiandra GD" w:cstheme="minorHAnsi"/>
          <w:sz w:val="24"/>
          <w:szCs w:val="24"/>
        </w:rPr>
        <w:t>l</w:t>
      </w:r>
      <w:r w:rsidRPr="008831F4">
        <w:rPr>
          <w:rFonts w:ascii="Maiandra GD" w:hAnsi="Maiandra GD" w:cstheme="minorHAnsi"/>
          <w:sz w:val="24"/>
          <w:szCs w:val="24"/>
        </w:rPr>
        <w:t>es organes de traités régionaux</w:t>
      </w:r>
      <w:r>
        <w:rPr>
          <w:rFonts w:ascii="Maiandra GD" w:hAnsi="Maiandra GD" w:cstheme="minorHAnsi"/>
          <w:sz w:val="24"/>
          <w:szCs w:val="24"/>
        </w:rPr>
        <w:t>.</w:t>
      </w:r>
    </w:p>
    <w:p w14:paraId="2D667494" w14:textId="77777777" w:rsidR="007A5253" w:rsidRDefault="007A5253" w:rsidP="000C0E04">
      <w:pPr>
        <w:spacing w:line="276" w:lineRule="auto"/>
        <w:jc w:val="both"/>
        <w:rPr>
          <w:rFonts w:ascii="Maiandra GD" w:hAnsi="Maiandra GD" w:cstheme="minorHAnsi"/>
          <w:sz w:val="24"/>
          <w:szCs w:val="24"/>
        </w:rPr>
      </w:pPr>
    </w:p>
    <w:p w14:paraId="636046C9" w14:textId="5A030EC6" w:rsidR="008660FE" w:rsidRPr="007A5253" w:rsidRDefault="007A5253" w:rsidP="000C0E04">
      <w:pPr>
        <w:pStyle w:val="Paragraphedeliste"/>
        <w:numPr>
          <w:ilvl w:val="0"/>
          <w:numId w:val="13"/>
        </w:numPr>
        <w:spacing w:line="276" w:lineRule="auto"/>
        <w:jc w:val="both"/>
        <w:rPr>
          <w:rFonts w:ascii="Maiandra GD" w:hAnsi="Maiandra GD" w:cstheme="minorHAnsi"/>
          <w:b/>
          <w:bCs/>
          <w:color w:val="0070C0"/>
          <w:sz w:val="24"/>
          <w:szCs w:val="24"/>
        </w:rPr>
      </w:pPr>
      <w:r w:rsidRPr="007A5253">
        <w:rPr>
          <w:rFonts w:ascii="Maiandra GD" w:hAnsi="Maiandra GD" w:cstheme="minorHAnsi"/>
          <w:b/>
          <w:bCs/>
          <w:color w:val="0070C0"/>
          <w:sz w:val="24"/>
          <w:szCs w:val="24"/>
        </w:rPr>
        <w:t xml:space="preserve">CONTEXTE GENERAL </w:t>
      </w:r>
    </w:p>
    <w:p w14:paraId="7B0240C7" w14:textId="3D04BA11" w:rsidR="008660FE" w:rsidRDefault="008660FE" w:rsidP="000C0E04">
      <w:pPr>
        <w:spacing w:line="276" w:lineRule="auto"/>
        <w:jc w:val="both"/>
        <w:rPr>
          <w:rFonts w:ascii="Maiandra GD" w:hAnsi="Maiandra GD"/>
          <w:color w:val="000000" w:themeColor="text1"/>
          <w:spacing w:val="-5"/>
          <w:sz w:val="24"/>
          <w:szCs w:val="24"/>
          <w:shd w:val="clear" w:color="auto" w:fill="FFFFFF"/>
        </w:rPr>
      </w:pPr>
      <w:r w:rsidRPr="00BC0D0F">
        <w:rPr>
          <w:rFonts w:ascii="Maiandra GD" w:hAnsi="Maiandra GD"/>
          <w:color w:val="000000" w:themeColor="text1"/>
          <w:spacing w:val="-5"/>
          <w:sz w:val="24"/>
          <w:szCs w:val="24"/>
          <w:shd w:val="clear" w:color="auto" w:fill="FFFFFF"/>
        </w:rPr>
        <w:t>Le droit à la vérité est souvent invoqué dans le contexte de violations flagrantes des droits de l'</w:t>
      </w:r>
      <w:r w:rsidR="00203CA3">
        <w:rPr>
          <w:rFonts w:ascii="Maiandra GD" w:hAnsi="Maiandra GD"/>
          <w:color w:val="000000" w:themeColor="text1"/>
          <w:spacing w:val="-5"/>
          <w:sz w:val="24"/>
          <w:szCs w:val="24"/>
          <w:shd w:val="clear" w:color="auto" w:fill="FFFFFF"/>
        </w:rPr>
        <w:t>H</w:t>
      </w:r>
      <w:r w:rsidRPr="00BC0D0F">
        <w:rPr>
          <w:rFonts w:ascii="Maiandra GD" w:hAnsi="Maiandra GD"/>
          <w:color w:val="000000" w:themeColor="text1"/>
          <w:spacing w:val="-5"/>
          <w:sz w:val="24"/>
          <w:szCs w:val="24"/>
          <w:shd w:val="clear" w:color="auto" w:fill="FFFFFF"/>
        </w:rPr>
        <w:t>omme et de violations graves du droit humanitaire. En cas d'exécutions sommaires, de disparitions forcées ou non, d'enlèvements d'enfants, de tortures, les victimes ou leurs proches exigent de savoir ce qui s'est passé. Le droit à la vérité signifie le droit de connaître la vérité absolue et complète quant aux événements qui ont eu lieu, aux circonstances spécifiques qui les ont entouré</w:t>
      </w:r>
      <w:r w:rsidR="007002ED">
        <w:rPr>
          <w:rFonts w:ascii="Maiandra GD" w:hAnsi="Maiandra GD"/>
          <w:color w:val="000000" w:themeColor="text1"/>
          <w:spacing w:val="-5"/>
          <w:sz w:val="24"/>
          <w:szCs w:val="24"/>
          <w:shd w:val="clear" w:color="auto" w:fill="FFFFFF"/>
        </w:rPr>
        <w:t>e</w:t>
      </w:r>
      <w:r w:rsidRPr="00BC0D0F">
        <w:rPr>
          <w:rFonts w:ascii="Maiandra GD" w:hAnsi="Maiandra GD"/>
          <w:color w:val="000000" w:themeColor="text1"/>
          <w:spacing w:val="-5"/>
          <w:sz w:val="24"/>
          <w:szCs w:val="24"/>
          <w:shd w:val="clear" w:color="auto" w:fill="FFFFFF"/>
        </w:rPr>
        <w:t xml:space="preserve">s, et aux individus qui y ont participé, y compris les </w:t>
      </w:r>
      <w:r w:rsidRPr="00BC0D0F">
        <w:rPr>
          <w:rFonts w:ascii="Maiandra GD" w:hAnsi="Maiandra GD"/>
          <w:color w:val="000000" w:themeColor="text1"/>
          <w:spacing w:val="-5"/>
          <w:sz w:val="24"/>
          <w:szCs w:val="24"/>
          <w:shd w:val="clear" w:color="auto" w:fill="FFFFFF"/>
        </w:rPr>
        <w:lastRenderedPageBreak/>
        <w:t>circonstances dans lesquelles les violations ont été commises et les raisons qui les ont motivées</w:t>
      </w:r>
      <w:r w:rsidRPr="00BC0D0F">
        <w:rPr>
          <w:rStyle w:val="Appelnotedebasdep"/>
          <w:rFonts w:ascii="Maiandra GD" w:hAnsi="Maiandra GD"/>
          <w:color w:val="000000" w:themeColor="text1"/>
          <w:spacing w:val="-5"/>
          <w:sz w:val="24"/>
          <w:szCs w:val="24"/>
          <w:shd w:val="clear" w:color="auto" w:fill="FFFFFF"/>
        </w:rPr>
        <w:footnoteReference w:id="1"/>
      </w:r>
      <w:r w:rsidRPr="00BC0D0F">
        <w:rPr>
          <w:rFonts w:ascii="Maiandra GD" w:hAnsi="Maiandra GD"/>
          <w:color w:val="000000" w:themeColor="text1"/>
          <w:spacing w:val="-5"/>
          <w:sz w:val="24"/>
          <w:szCs w:val="24"/>
          <w:shd w:val="clear" w:color="auto" w:fill="FFFFFF"/>
        </w:rPr>
        <w:t>.</w:t>
      </w:r>
      <w:r>
        <w:rPr>
          <w:rFonts w:ascii="Maiandra GD" w:hAnsi="Maiandra GD"/>
          <w:color w:val="000000" w:themeColor="text1"/>
          <w:spacing w:val="-5"/>
          <w:sz w:val="24"/>
          <w:szCs w:val="24"/>
          <w:shd w:val="clear" w:color="auto" w:fill="FFFFFF"/>
        </w:rPr>
        <w:t xml:space="preserve"> </w:t>
      </w:r>
    </w:p>
    <w:p w14:paraId="337FCF6B" w14:textId="5351FCAA" w:rsidR="008660FE" w:rsidRDefault="008660FE" w:rsidP="000C0E04">
      <w:pPr>
        <w:spacing w:line="276" w:lineRule="auto"/>
        <w:jc w:val="both"/>
        <w:rPr>
          <w:rFonts w:ascii="Maiandra GD" w:hAnsi="Maiandra GD" w:cs="Calibri"/>
          <w:color w:val="000000" w:themeColor="text1"/>
          <w:sz w:val="24"/>
          <w:szCs w:val="24"/>
          <w:lang w:val="fr-CA"/>
        </w:rPr>
      </w:pPr>
      <w:r w:rsidRPr="00BC0D0F">
        <w:rPr>
          <w:rFonts w:ascii="Maiandra GD" w:hAnsi="Maiandra GD"/>
          <w:color w:val="000000" w:themeColor="text1"/>
          <w:spacing w:val="-5"/>
          <w:sz w:val="24"/>
          <w:szCs w:val="24"/>
          <w:shd w:val="clear" w:color="auto" w:fill="FFFFFF"/>
          <w:lang w:val="fr-CA"/>
        </w:rPr>
        <w:t xml:space="preserve">Le Bénin n’est pas juridiquement en marge du droit à la vérité </w:t>
      </w:r>
      <w:r w:rsidRPr="00BC0D0F">
        <w:rPr>
          <w:rFonts w:ascii="Maiandra GD" w:hAnsi="Maiandra GD"/>
          <w:color w:val="000000" w:themeColor="text1"/>
          <w:spacing w:val="-5"/>
          <w:sz w:val="24"/>
          <w:szCs w:val="24"/>
          <w:shd w:val="clear" w:color="auto" w:fill="FFFFFF"/>
        </w:rPr>
        <w:t>en ce qui concerne les violations flagrantes des droits de l’homme et pour la dignité des victimes</w:t>
      </w:r>
      <w:r w:rsidRPr="00BC0D0F">
        <w:rPr>
          <w:rFonts w:ascii="Maiandra GD" w:hAnsi="Maiandra GD"/>
          <w:color w:val="000000" w:themeColor="text1"/>
          <w:spacing w:val="-5"/>
          <w:sz w:val="24"/>
          <w:szCs w:val="24"/>
          <w:shd w:val="clear" w:color="auto" w:fill="FFFFFF"/>
          <w:lang w:val="fr-CA"/>
        </w:rPr>
        <w:t xml:space="preserve">. Pour s’en convaincre, il faut convoquer la Constitution en vigueur, la législation nationale procédurale et répressive, la Charte Africaine des Droits de l’Homme et des Peuples, </w:t>
      </w:r>
      <w:r w:rsidRPr="00BC0D0F">
        <w:rPr>
          <w:rFonts w:ascii="Maiandra GD" w:hAnsi="Maiandra GD" w:cs="TimesLTStd-Roman"/>
          <w:color w:val="000000" w:themeColor="text1"/>
          <w:sz w:val="24"/>
          <w:szCs w:val="24"/>
          <w:lang w:val="fr-CA"/>
        </w:rPr>
        <w:t>les Directives et principes sur le droit à un procès équitable et à l’assistance judiciaire en Afrique,</w:t>
      </w:r>
      <w:r w:rsidRPr="00BC0D0F">
        <w:rPr>
          <w:rFonts w:ascii="Maiandra GD" w:hAnsi="Maiandra GD"/>
          <w:color w:val="000000" w:themeColor="text1"/>
          <w:spacing w:val="-5"/>
          <w:sz w:val="24"/>
          <w:szCs w:val="24"/>
          <w:shd w:val="clear" w:color="auto" w:fill="FFFFFF"/>
          <w:lang w:val="fr-CA"/>
        </w:rPr>
        <w:t xml:space="preserve"> les </w:t>
      </w:r>
      <w:r w:rsidRPr="00BC0D0F">
        <w:rPr>
          <w:rFonts w:ascii="Maiandra GD" w:hAnsi="Maiandra GD" w:cs="Calibri"/>
          <w:color w:val="000000" w:themeColor="text1"/>
          <w:sz w:val="24"/>
          <w:szCs w:val="24"/>
          <w:lang w:val="fr-CA"/>
        </w:rPr>
        <w:t>principes et lignes directrices des Nations Unies sur l’accès à l’assistance juridique dans le système de justice pénale, la Déclaration Universelle des Droits de l’Homme, le Pacte International relatif aux Droits Civils et Politiques et</w:t>
      </w:r>
      <w:r>
        <w:rPr>
          <w:rFonts w:ascii="Maiandra GD" w:hAnsi="Maiandra GD" w:cs="Calibri"/>
          <w:color w:val="000000" w:themeColor="text1"/>
          <w:sz w:val="24"/>
          <w:szCs w:val="24"/>
          <w:lang w:val="fr-CA"/>
        </w:rPr>
        <w:t xml:space="preserve"> ses protocoles additionnels</w:t>
      </w:r>
      <w:r w:rsidRPr="00BC0D0F">
        <w:rPr>
          <w:rFonts w:ascii="Maiandra GD" w:hAnsi="Maiandra GD" w:cs="Calibri"/>
          <w:color w:val="000000" w:themeColor="text1"/>
          <w:sz w:val="24"/>
          <w:szCs w:val="24"/>
          <w:lang w:val="fr-CA"/>
        </w:rPr>
        <w:t>, la Convention des Nations Unies contre la torture et autres peines ou traitements cruels, inhumains ou dégradants, la Convention internationale pour la protection de toutes les personnes contre les disparitions forcées.</w:t>
      </w:r>
    </w:p>
    <w:p w14:paraId="1DF24C16" w14:textId="77777777" w:rsidR="008660FE" w:rsidRPr="00BC0D0F" w:rsidRDefault="008660FE" w:rsidP="000C0E04">
      <w:pPr>
        <w:spacing w:line="276" w:lineRule="auto"/>
        <w:jc w:val="both"/>
        <w:rPr>
          <w:rFonts w:ascii="Maiandra GD" w:hAnsi="Maiandra GD" w:cs="Calibri"/>
          <w:color w:val="000000" w:themeColor="text1"/>
          <w:sz w:val="24"/>
          <w:szCs w:val="24"/>
          <w:lang w:val="fr-CA"/>
        </w:rPr>
      </w:pPr>
      <w:r w:rsidRPr="00BC0D0F">
        <w:rPr>
          <w:rFonts w:ascii="Maiandra GD" w:hAnsi="Maiandra GD" w:cs="Calibri"/>
          <w:color w:val="000000" w:themeColor="text1"/>
          <w:sz w:val="24"/>
          <w:szCs w:val="24"/>
          <w:lang w:val="fr-CA"/>
        </w:rPr>
        <w:t>Au plan institutionnel, le Bénin dispose de Cours et tribunaux ainsi que de la Cour constitutionnelle et la Commission Béninoise des Droits de l’Homme sans oublier les mécanismes régionaux et internationaux de protection des droits humains pour lutter contre l’impunité et assurer le droit à la réparation.</w:t>
      </w:r>
    </w:p>
    <w:p w14:paraId="735DA14F" w14:textId="34DE5A0B" w:rsidR="008660FE" w:rsidRDefault="008660FE" w:rsidP="000C0E04">
      <w:pPr>
        <w:spacing w:line="276" w:lineRule="auto"/>
        <w:jc w:val="both"/>
        <w:rPr>
          <w:rFonts w:ascii="Maiandra GD" w:hAnsi="Maiandra GD" w:cs="Calibri"/>
          <w:color w:val="000000" w:themeColor="text1"/>
          <w:sz w:val="24"/>
          <w:szCs w:val="24"/>
          <w:lang w:val="fr-CA"/>
        </w:rPr>
      </w:pPr>
      <w:r w:rsidRPr="00BC0D0F">
        <w:rPr>
          <w:rFonts w:ascii="Maiandra GD" w:hAnsi="Maiandra GD" w:cs="Calibri"/>
          <w:color w:val="000000" w:themeColor="text1"/>
          <w:sz w:val="24"/>
          <w:szCs w:val="24"/>
          <w:lang w:val="fr-CA"/>
        </w:rPr>
        <w:t>Malgré toutes ces prédispositions normatives et institutionnelles, il faut observer que le droit à la vérité en ce qui concerne les violations flagrantes des droits de l’Homme et pour la dignité des victimes n’est pas toujours chose effective.</w:t>
      </w:r>
      <w:r>
        <w:rPr>
          <w:rFonts w:ascii="Maiandra GD" w:hAnsi="Maiandra GD" w:cs="Calibri"/>
          <w:color w:val="000000" w:themeColor="text1"/>
          <w:sz w:val="24"/>
          <w:szCs w:val="24"/>
          <w:lang w:val="fr-CA"/>
        </w:rPr>
        <w:t xml:space="preserve"> Dans cette veine, s’inscrivent également les exécutions sommaires et extrajudiciaires qui sont assimilables à des disparitions forcées.</w:t>
      </w:r>
    </w:p>
    <w:p w14:paraId="64B6CE6A" w14:textId="4391E291" w:rsidR="008A7A45" w:rsidRPr="00BC0D0F" w:rsidRDefault="008A7A45" w:rsidP="000C0E04">
      <w:pPr>
        <w:spacing w:line="276" w:lineRule="auto"/>
        <w:jc w:val="both"/>
        <w:rPr>
          <w:rFonts w:ascii="Maiandra GD" w:hAnsi="Maiandra GD"/>
          <w:color w:val="000000" w:themeColor="text1"/>
          <w:sz w:val="24"/>
          <w:szCs w:val="24"/>
        </w:rPr>
      </w:pPr>
      <w:r w:rsidRPr="00BC0D0F">
        <w:rPr>
          <w:rFonts w:ascii="Maiandra GD" w:hAnsi="Maiandra GD"/>
          <w:color w:val="000000" w:themeColor="text1"/>
          <w:sz w:val="24"/>
          <w:szCs w:val="24"/>
          <w:lang w:val="fr-CA"/>
        </w:rPr>
        <w:t>Le processus électoral des élections législatives du 28 avril 20</w:t>
      </w:r>
      <w:r>
        <w:rPr>
          <w:rFonts w:ascii="Maiandra GD" w:hAnsi="Maiandra GD"/>
          <w:color w:val="000000" w:themeColor="text1"/>
          <w:sz w:val="24"/>
          <w:szCs w:val="24"/>
          <w:lang w:val="fr-CA"/>
        </w:rPr>
        <w:t>19</w:t>
      </w:r>
      <w:r w:rsidRPr="00BC0D0F">
        <w:rPr>
          <w:rFonts w:ascii="Maiandra GD" w:hAnsi="Maiandra GD"/>
          <w:color w:val="000000" w:themeColor="text1"/>
          <w:sz w:val="24"/>
          <w:szCs w:val="24"/>
          <w:lang w:val="fr-CA"/>
        </w:rPr>
        <w:t xml:space="preserve"> a été émaillé de violations flagrantes des droits humains. Une telle situation avait induit une réaction de la Commission Africaine des Droits de l’Homme et des Peuples à travers l’adoption d’une résolution</w:t>
      </w:r>
      <w:r w:rsidRPr="00BC0D0F">
        <w:rPr>
          <w:rStyle w:val="Appelnotedebasdep"/>
          <w:rFonts w:ascii="Maiandra GD" w:hAnsi="Maiandra GD"/>
          <w:color w:val="000000" w:themeColor="text1"/>
          <w:sz w:val="24"/>
          <w:szCs w:val="24"/>
          <w:lang w:val="fr-CA"/>
        </w:rPr>
        <w:footnoteReference w:id="2"/>
      </w:r>
      <w:r w:rsidRPr="00BC0D0F">
        <w:rPr>
          <w:rFonts w:ascii="Maiandra GD" w:hAnsi="Maiandra GD"/>
          <w:color w:val="000000" w:themeColor="text1"/>
          <w:sz w:val="24"/>
          <w:szCs w:val="24"/>
          <w:lang w:val="fr-CA"/>
        </w:rPr>
        <w:t xml:space="preserve"> en date du 14 mai 2019. Cette Résolution avait entre autres recommandations </w:t>
      </w:r>
      <w:r w:rsidRPr="00BC0D0F">
        <w:rPr>
          <w:rFonts w:ascii="Maiandra GD" w:hAnsi="Maiandra GD"/>
          <w:color w:val="000000" w:themeColor="text1"/>
          <w:sz w:val="24"/>
          <w:szCs w:val="24"/>
        </w:rPr>
        <w:t xml:space="preserve">« Exhorté le Gouvernement à ouvrir promptement une enquête sur les violations des droits de l’homme perpétrées pendant les affrontements pré et post-électoraux et à traduire en justice les présumés auteurs de ces actes ». </w:t>
      </w:r>
    </w:p>
    <w:p w14:paraId="5419B543" w14:textId="56F18F4A" w:rsidR="008A7A45" w:rsidRPr="00BC0D0F" w:rsidRDefault="008A7A45" w:rsidP="000C0E04">
      <w:pPr>
        <w:spacing w:line="276" w:lineRule="auto"/>
        <w:jc w:val="both"/>
        <w:rPr>
          <w:rFonts w:ascii="Maiandra GD" w:hAnsi="Maiandra GD"/>
          <w:b/>
          <w:color w:val="000000" w:themeColor="text1"/>
          <w:sz w:val="24"/>
          <w:szCs w:val="24"/>
        </w:rPr>
      </w:pPr>
      <w:r w:rsidRPr="00BC0D0F">
        <w:rPr>
          <w:rFonts w:ascii="Maiandra GD" w:hAnsi="Maiandra GD"/>
          <w:color w:val="000000" w:themeColor="text1"/>
          <w:sz w:val="24"/>
          <w:szCs w:val="24"/>
        </w:rPr>
        <w:t>Par ailleurs, la même situation</w:t>
      </w:r>
      <w:r w:rsidRPr="00BC0D0F">
        <w:rPr>
          <w:rFonts w:ascii="Maiandra GD" w:hAnsi="Maiandra GD"/>
          <w:color w:val="000000" w:themeColor="text1"/>
          <w:sz w:val="24"/>
          <w:szCs w:val="24"/>
          <w:shd w:val="clear" w:color="auto" w:fill="FBF7F7"/>
          <w:lang w:val="fr-CA"/>
        </w:rPr>
        <w:t xml:space="preserve"> </w:t>
      </w:r>
      <w:r w:rsidRPr="00BC0D0F">
        <w:rPr>
          <w:rFonts w:ascii="Maiandra GD" w:hAnsi="Maiandra GD"/>
          <w:color w:val="000000" w:themeColor="text1"/>
          <w:sz w:val="24"/>
          <w:szCs w:val="24"/>
          <w:lang w:val="fr-CA"/>
        </w:rPr>
        <w:t xml:space="preserve">avait conduit le Comité des Nations Unies contre la torture, à l’occasion de l’examen du troisième rapport périodique du Bénin, </w:t>
      </w:r>
      <w:r w:rsidR="007002ED">
        <w:rPr>
          <w:rFonts w:ascii="Maiandra GD" w:hAnsi="Maiandra GD"/>
          <w:color w:val="000000" w:themeColor="text1"/>
          <w:sz w:val="24"/>
          <w:szCs w:val="24"/>
          <w:lang w:val="fr-CA"/>
        </w:rPr>
        <w:t>à</w:t>
      </w:r>
      <w:r>
        <w:rPr>
          <w:rFonts w:ascii="Maiandra GD" w:hAnsi="Maiandra GD"/>
          <w:color w:val="000000" w:themeColor="text1"/>
          <w:sz w:val="24"/>
          <w:szCs w:val="24"/>
          <w:lang w:val="fr-CA"/>
        </w:rPr>
        <w:t xml:space="preserve"> invit</w:t>
      </w:r>
      <w:r w:rsidR="007002ED">
        <w:rPr>
          <w:rFonts w:ascii="Maiandra GD" w:hAnsi="Maiandra GD"/>
          <w:color w:val="000000" w:themeColor="text1"/>
          <w:sz w:val="24"/>
          <w:szCs w:val="24"/>
          <w:lang w:val="fr-CA"/>
        </w:rPr>
        <w:t>er</w:t>
      </w:r>
      <w:r>
        <w:rPr>
          <w:rFonts w:ascii="Maiandra GD" w:hAnsi="Maiandra GD"/>
          <w:color w:val="000000" w:themeColor="text1"/>
          <w:sz w:val="24"/>
          <w:szCs w:val="24"/>
          <w:lang w:val="fr-CA"/>
        </w:rPr>
        <w:t xml:space="preserve"> </w:t>
      </w:r>
      <w:r w:rsidRPr="00BC0D0F">
        <w:rPr>
          <w:rFonts w:ascii="Maiandra GD" w:hAnsi="Maiandra GD"/>
          <w:color w:val="000000" w:themeColor="text1"/>
          <w:sz w:val="24"/>
          <w:szCs w:val="24"/>
          <w:lang w:val="fr-CA"/>
        </w:rPr>
        <w:t xml:space="preserve">l’État béninois </w:t>
      </w:r>
      <w:r>
        <w:rPr>
          <w:rFonts w:ascii="Maiandra GD" w:hAnsi="Maiandra GD"/>
          <w:color w:val="000000" w:themeColor="text1"/>
          <w:sz w:val="24"/>
          <w:szCs w:val="24"/>
          <w:lang w:val="fr-CA"/>
        </w:rPr>
        <w:t>à</w:t>
      </w:r>
      <w:r w:rsidRPr="00BC0D0F">
        <w:rPr>
          <w:rFonts w:ascii="Maiandra GD" w:hAnsi="Maiandra GD"/>
          <w:color w:val="000000" w:themeColor="text1"/>
          <w:sz w:val="24"/>
          <w:szCs w:val="24"/>
          <w:lang w:val="fr-CA"/>
        </w:rPr>
        <w:t xml:space="preserve"> </w:t>
      </w:r>
      <w:r w:rsidRPr="00BC0D0F">
        <w:rPr>
          <w:rFonts w:ascii="Maiandra GD" w:hAnsi="Maiandra GD"/>
          <w:b/>
          <w:color w:val="000000" w:themeColor="text1"/>
          <w:sz w:val="24"/>
          <w:szCs w:val="24"/>
          <w:lang w:val="fr-CA"/>
        </w:rPr>
        <w:t>« </w:t>
      </w:r>
      <w:r w:rsidRPr="00BC0D0F">
        <w:rPr>
          <w:rFonts w:ascii="Maiandra GD" w:hAnsi="Maiandra GD"/>
          <w:b/>
          <w:color w:val="000000" w:themeColor="text1"/>
          <w:sz w:val="24"/>
          <w:szCs w:val="24"/>
        </w:rPr>
        <w:t xml:space="preserve">mener sans délai des enquêtes impartiales et approfondies sur toute allégation d’usage excessif de la force, et à développer des lignes directrices claires sur le recours à la force et aux armes intégrant les principes de légitimité, de nécessité, de proportionnalité et de précaution. Il prie également l’État partie de rendre les dispositions législatives et réglementaires régissant le recours à la force conformes aux </w:t>
      </w:r>
      <w:r w:rsidRPr="00BC0D0F">
        <w:rPr>
          <w:rFonts w:ascii="Maiandra GD" w:hAnsi="Maiandra GD"/>
          <w:b/>
          <w:color w:val="000000" w:themeColor="text1"/>
          <w:sz w:val="24"/>
          <w:szCs w:val="24"/>
        </w:rPr>
        <w:lastRenderedPageBreak/>
        <w:t>normes internationales, notamment aux Principes de base sur le recours à la force et l’utilisation des armes à feu par les responsables de l’application des lois adoptés par les Nations Unies en 1990</w:t>
      </w:r>
      <w:r w:rsidRPr="00BC0D0F">
        <w:rPr>
          <w:rFonts w:ascii="Maiandra GD" w:hAnsi="Maiandra GD"/>
          <w:b/>
          <w:color w:val="000000" w:themeColor="text1"/>
          <w:sz w:val="24"/>
          <w:szCs w:val="24"/>
          <w:lang w:val="fr-CA"/>
        </w:rPr>
        <w:t> »</w:t>
      </w:r>
      <w:r w:rsidRPr="00BC0D0F">
        <w:rPr>
          <w:rStyle w:val="Appelnotedebasdep"/>
          <w:rFonts w:ascii="Maiandra GD" w:hAnsi="Maiandra GD"/>
          <w:b/>
          <w:color w:val="000000" w:themeColor="text1"/>
          <w:sz w:val="24"/>
          <w:szCs w:val="24"/>
          <w:lang w:val="fr-CA"/>
        </w:rPr>
        <w:footnoteReference w:id="3"/>
      </w:r>
      <w:r w:rsidRPr="00BC0D0F">
        <w:rPr>
          <w:rFonts w:ascii="Maiandra GD" w:hAnsi="Maiandra GD"/>
          <w:b/>
          <w:color w:val="000000" w:themeColor="text1"/>
          <w:sz w:val="24"/>
          <w:szCs w:val="24"/>
        </w:rPr>
        <w:t>.</w:t>
      </w:r>
    </w:p>
    <w:p w14:paraId="794BB5BC" w14:textId="3FC9AEA6" w:rsidR="008A7A45" w:rsidRPr="00BC0D0F" w:rsidRDefault="008A7A45" w:rsidP="000C0E04">
      <w:pPr>
        <w:spacing w:line="276" w:lineRule="auto"/>
        <w:jc w:val="both"/>
        <w:rPr>
          <w:rFonts w:ascii="Maiandra GD" w:hAnsi="Maiandra GD"/>
          <w:color w:val="000000" w:themeColor="text1"/>
          <w:sz w:val="24"/>
          <w:szCs w:val="24"/>
        </w:rPr>
      </w:pPr>
      <w:r w:rsidRPr="00BC0D0F">
        <w:rPr>
          <w:rFonts w:ascii="Maiandra GD" w:hAnsi="Maiandra GD"/>
          <w:bCs/>
          <w:color w:val="000000" w:themeColor="text1"/>
          <w:sz w:val="24"/>
          <w:szCs w:val="24"/>
          <w:lang w:val="fr-CA"/>
        </w:rPr>
        <w:t>À l’arrivée, l’on observera que ces recommandations n’ont pas connu d’application. En effet, le 31 octobre 2019, l’Assemblée Nationale a adopté la loi 2019-39 portant amnistie des faits criminels, délictuels et contraventionnels commis lors des élections législatives d’avril 2019</w:t>
      </w:r>
      <w:r w:rsidRPr="00BC0D0F">
        <w:rPr>
          <w:rStyle w:val="Appelnotedebasdep"/>
          <w:rFonts w:ascii="Maiandra GD" w:hAnsi="Maiandra GD"/>
          <w:bCs/>
          <w:color w:val="000000" w:themeColor="text1"/>
          <w:sz w:val="24"/>
          <w:szCs w:val="24"/>
          <w:lang w:val="fr-CA"/>
        </w:rPr>
        <w:footnoteReference w:id="4"/>
      </w:r>
      <w:r w:rsidRPr="00BC0D0F">
        <w:rPr>
          <w:rFonts w:ascii="Maiandra GD" w:hAnsi="Maiandra GD"/>
          <w:bCs/>
          <w:color w:val="000000" w:themeColor="text1"/>
          <w:sz w:val="24"/>
          <w:szCs w:val="24"/>
          <w:lang w:val="fr-CA"/>
        </w:rPr>
        <w:t>. Aux termes de l’article 2 de cette loi, « </w:t>
      </w:r>
      <w:r w:rsidRPr="00BC0D0F">
        <w:rPr>
          <w:rFonts w:ascii="Maiandra GD" w:hAnsi="Maiandra GD"/>
          <w:color w:val="000000" w:themeColor="text1"/>
          <w:sz w:val="24"/>
          <w:szCs w:val="24"/>
        </w:rPr>
        <w:t>P</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 xml:space="preserve">r </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pplic</w:t>
      </w:r>
      <w:r w:rsidRPr="00BC0D0F">
        <w:rPr>
          <w:rFonts w:ascii="Maiandra GD" w:hAnsi="Maiandra GD"/>
          <w:color w:val="000000" w:themeColor="text1"/>
          <w:sz w:val="24"/>
          <w:szCs w:val="24"/>
          <w:lang w:val="fr-CA"/>
        </w:rPr>
        <w:t>at</w:t>
      </w:r>
      <w:r w:rsidRPr="00BC0D0F">
        <w:rPr>
          <w:rFonts w:ascii="Maiandra GD" w:hAnsi="Maiandra GD"/>
          <w:color w:val="000000" w:themeColor="text1"/>
          <w:sz w:val="24"/>
          <w:szCs w:val="24"/>
        </w:rPr>
        <w:t>ion des disposi</w:t>
      </w:r>
      <w:r w:rsidRPr="00BC0D0F">
        <w:rPr>
          <w:rFonts w:ascii="Maiandra GD" w:hAnsi="Maiandra GD"/>
          <w:color w:val="000000" w:themeColor="text1"/>
          <w:sz w:val="24"/>
          <w:szCs w:val="24"/>
          <w:lang w:val="fr-CA"/>
        </w:rPr>
        <w:t>t</w:t>
      </w:r>
      <w:r w:rsidRPr="00BC0D0F">
        <w:rPr>
          <w:rFonts w:ascii="Maiandra GD" w:hAnsi="Maiandra GD"/>
          <w:color w:val="000000" w:themeColor="text1"/>
          <w:sz w:val="24"/>
          <w:szCs w:val="24"/>
        </w:rPr>
        <w:t>ions de I'</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 xml:space="preserve">rticle </w:t>
      </w:r>
      <w:r w:rsidRPr="00BC0D0F">
        <w:rPr>
          <w:rFonts w:ascii="Maiandra GD" w:hAnsi="Maiandra GD"/>
          <w:color w:val="000000" w:themeColor="text1"/>
          <w:sz w:val="24"/>
          <w:szCs w:val="24"/>
          <w:lang w:val="fr-CA"/>
        </w:rPr>
        <w:t>1</w:t>
      </w:r>
      <w:r w:rsidRPr="00BC0D0F">
        <w:rPr>
          <w:rFonts w:ascii="Maiandra GD" w:hAnsi="Maiandra GD"/>
          <w:color w:val="000000" w:themeColor="text1"/>
          <w:sz w:val="24"/>
          <w:szCs w:val="24"/>
        </w:rPr>
        <w:t>er de l</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 xml:space="preserve"> présente loi</w:t>
      </w:r>
      <w:r w:rsidRPr="00BC0D0F">
        <w:rPr>
          <w:rFonts w:ascii="Maiandra GD" w:hAnsi="Maiandra GD"/>
          <w:color w:val="000000" w:themeColor="text1"/>
          <w:sz w:val="24"/>
          <w:szCs w:val="24"/>
          <w:lang w:val="fr-CA"/>
        </w:rPr>
        <w:t xml:space="preserve">, </w:t>
      </w:r>
      <w:r w:rsidRPr="00BC0D0F">
        <w:rPr>
          <w:rFonts w:ascii="Maiandra GD" w:hAnsi="Maiandra GD"/>
          <w:color w:val="000000" w:themeColor="text1"/>
          <w:sz w:val="24"/>
          <w:szCs w:val="24"/>
        </w:rPr>
        <w:t>tou</w:t>
      </w:r>
      <w:r w:rsidRPr="00BC0D0F">
        <w:rPr>
          <w:rFonts w:ascii="Maiandra GD" w:hAnsi="Maiandra GD"/>
          <w:color w:val="000000" w:themeColor="text1"/>
          <w:sz w:val="24"/>
          <w:szCs w:val="24"/>
          <w:lang w:val="fr-CA"/>
        </w:rPr>
        <w:t>t</w:t>
      </w:r>
      <w:r w:rsidRPr="00BC0D0F">
        <w:rPr>
          <w:rFonts w:ascii="Maiandra GD" w:hAnsi="Maiandra GD"/>
          <w:color w:val="000000" w:themeColor="text1"/>
          <w:sz w:val="24"/>
          <w:szCs w:val="24"/>
        </w:rPr>
        <w:t>es les procédures eng</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gées son</w:t>
      </w:r>
      <w:r w:rsidRPr="00BC0D0F">
        <w:rPr>
          <w:rFonts w:ascii="Maiandra GD" w:hAnsi="Maiandra GD"/>
          <w:color w:val="000000" w:themeColor="text1"/>
          <w:sz w:val="24"/>
          <w:szCs w:val="24"/>
          <w:lang w:val="fr-CA"/>
        </w:rPr>
        <w:t>t</w:t>
      </w:r>
      <w:r w:rsidRPr="00BC0D0F">
        <w:rPr>
          <w:rFonts w:ascii="Maiandra GD" w:hAnsi="Maiandra GD"/>
          <w:color w:val="000000" w:themeColor="text1"/>
          <w:sz w:val="24"/>
          <w:szCs w:val="24"/>
        </w:rPr>
        <w:t xml:space="preserve"> dépourvues d'objet, les jugements ou </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 xml:space="preserve">rrêts prononcés non </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venus et les personnes détenues à ti</w:t>
      </w:r>
      <w:r w:rsidRPr="00BC0D0F">
        <w:rPr>
          <w:rFonts w:ascii="Maiandra GD" w:hAnsi="Maiandra GD"/>
          <w:color w:val="000000" w:themeColor="text1"/>
          <w:sz w:val="24"/>
          <w:szCs w:val="24"/>
          <w:lang w:val="fr-CA"/>
        </w:rPr>
        <w:t>t</w:t>
      </w:r>
      <w:r w:rsidRPr="00BC0D0F">
        <w:rPr>
          <w:rFonts w:ascii="Maiandra GD" w:hAnsi="Maiandra GD"/>
          <w:color w:val="000000" w:themeColor="text1"/>
          <w:sz w:val="24"/>
          <w:szCs w:val="24"/>
        </w:rPr>
        <w:t xml:space="preserve">re provisoire ou en exécution des jugements ou </w:t>
      </w:r>
      <w:r w:rsidRPr="00BC0D0F">
        <w:rPr>
          <w:rFonts w:ascii="Maiandra GD" w:hAnsi="Maiandra GD"/>
          <w:color w:val="000000" w:themeColor="text1"/>
          <w:sz w:val="24"/>
          <w:szCs w:val="24"/>
          <w:lang w:val="fr-CA"/>
        </w:rPr>
        <w:t>arr</w:t>
      </w:r>
      <w:r w:rsidRPr="00BC0D0F">
        <w:rPr>
          <w:rFonts w:ascii="Maiandra GD" w:hAnsi="Maiandra GD"/>
          <w:color w:val="000000" w:themeColor="text1"/>
          <w:sz w:val="24"/>
          <w:szCs w:val="24"/>
        </w:rPr>
        <w:t>êts prononcés, sont mises en liberté si elles ne sont re</w:t>
      </w:r>
      <w:r w:rsidRPr="00BC0D0F">
        <w:rPr>
          <w:rFonts w:ascii="Maiandra GD" w:hAnsi="Maiandra GD"/>
          <w:color w:val="000000" w:themeColor="text1"/>
          <w:sz w:val="24"/>
          <w:szCs w:val="24"/>
          <w:lang w:val="fr-CA"/>
        </w:rPr>
        <w:t>t</w:t>
      </w:r>
      <w:r w:rsidRPr="00BC0D0F">
        <w:rPr>
          <w:rFonts w:ascii="Maiandra GD" w:hAnsi="Maiandra GD"/>
          <w:color w:val="000000" w:themeColor="text1"/>
          <w:sz w:val="24"/>
          <w:szCs w:val="24"/>
        </w:rPr>
        <w:t xml:space="preserve">enues pour </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utres c</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uses lég</w:t>
      </w:r>
      <w:r w:rsidRPr="00BC0D0F">
        <w:rPr>
          <w:rFonts w:ascii="Maiandra GD" w:hAnsi="Maiandra GD"/>
          <w:color w:val="000000" w:themeColor="text1"/>
          <w:sz w:val="24"/>
          <w:szCs w:val="24"/>
          <w:lang w:val="fr-CA"/>
        </w:rPr>
        <w:t>a</w:t>
      </w:r>
      <w:r w:rsidRPr="00BC0D0F">
        <w:rPr>
          <w:rFonts w:ascii="Maiandra GD" w:hAnsi="Maiandra GD"/>
          <w:color w:val="000000" w:themeColor="text1"/>
          <w:sz w:val="24"/>
          <w:szCs w:val="24"/>
        </w:rPr>
        <w:t>les</w:t>
      </w:r>
      <w:r w:rsidRPr="00BC0D0F">
        <w:rPr>
          <w:rFonts w:ascii="Maiandra GD" w:hAnsi="Maiandra GD"/>
          <w:color w:val="000000" w:themeColor="text1"/>
          <w:sz w:val="24"/>
          <w:szCs w:val="24"/>
          <w:lang w:val="fr-CA"/>
        </w:rPr>
        <w:t> »</w:t>
      </w:r>
      <w:r w:rsidRPr="00BC0D0F">
        <w:rPr>
          <w:rFonts w:ascii="Maiandra GD" w:hAnsi="Maiandra GD"/>
          <w:color w:val="000000" w:themeColor="text1"/>
          <w:sz w:val="24"/>
          <w:szCs w:val="24"/>
        </w:rPr>
        <w:t>.</w:t>
      </w:r>
      <w:r w:rsidRPr="00BC0D0F">
        <w:rPr>
          <w:rFonts w:ascii="Maiandra GD" w:hAnsi="Maiandra GD"/>
          <w:color w:val="000000" w:themeColor="text1"/>
          <w:sz w:val="24"/>
          <w:szCs w:val="24"/>
          <w:lang w:val="fr-CA"/>
        </w:rPr>
        <w:t xml:space="preserve"> Ainsi, en procédant de la sorte, l’État béninois a fait obstruction à la manifestation du droit à la vérité en ce qui concerne les violations flagrantes des droits de l’Homme et la dignité des victimes car </w:t>
      </w:r>
      <w:r w:rsidRPr="00BC0D0F">
        <w:rPr>
          <w:rFonts w:ascii="Maiandra GD" w:hAnsi="Maiandra GD"/>
          <w:color w:val="000000" w:themeColor="text1"/>
          <w:sz w:val="24"/>
          <w:szCs w:val="24"/>
        </w:rPr>
        <w:t>le droit à la vérité suppose de connaître la vérité pleine et entière sur les Événements, leurs circonstances particulières et qui y a participé ainsi que la connaissance des circonstances dans lesquelles les violations ont eu lieu, ainsi que les raisons qui les ont motivées</w:t>
      </w:r>
      <w:r w:rsidRPr="00BC0D0F">
        <w:rPr>
          <w:rStyle w:val="Appelnotedebasdep"/>
          <w:rFonts w:ascii="Maiandra GD" w:hAnsi="Maiandra GD"/>
          <w:color w:val="000000" w:themeColor="text1"/>
          <w:sz w:val="24"/>
          <w:szCs w:val="24"/>
        </w:rPr>
        <w:footnoteReference w:id="5"/>
      </w:r>
      <w:r w:rsidRPr="00BC0D0F">
        <w:rPr>
          <w:rFonts w:ascii="Maiandra GD" w:hAnsi="Maiandra GD"/>
          <w:color w:val="000000" w:themeColor="text1"/>
          <w:sz w:val="24"/>
          <w:szCs w:val="24"/>
        </w:rPr>
        <w:t xml:space="preserve">. </w:t>
      </w:r>
    </w:p>
    <w:p w14:paraId="6887EACD" w14:textId="6A74BF9E" w:rsidR="008A7A45" w:rsidRDefault="008A7A45" w:rsidP="000C0E04">
      <w:pPr>
        <w:autoSpaceDE w:val="0"/>
        <w:autoSpaceDN w:val="0"/>
        <w:adjustRightInd w:val="0"/>
        <w:spacing w:after="0" w:line="276" w:lineRule="auto"/>
        <w:jc w:val="both"/>
        <w:rPr>
          <w:rFonts w:ascii="Maiandra GD" w:hAnsi="Maiandra GD" w:cs="AvenirNext-Regular"/>
          <w:color w:val="000000" w:themeColor="text1"/>
          <w:sz w:val="24"/>
          <w:szCs w:val="24"/>
          <w:lang w:val="fr-CA"/>
        </w:rPr>
      </w:pPr>
      <w:r w:rsidRPr="00BC0D0F">
        <w:rPr>
          <w:rFonts w:ascii="Maiandra GD" w:hAnsi="Maiandra GD"/>
          <w:color w:val="000000" w:themeColor="text1"/>
          <w:sz w:val="24"/>
          <w:szCs w:val="24"/>
          <w:lang w:val="fr-CA"/>
        </w:rPr>
        <w:t>Dans son rapport d’activités de 2019, la Commission Béninoise des Droits de l’Homme avait recommandé à l’État béninois de « </w:t>
      </w:r>
      <w:r w:rsidRPr="00BC0D0F">
        <w:rPr>
          <w:rFonts w:ascii="Maiandra GD" w:hAnsi="Maiandra GD" w:cs="AvenirNext-Regular"/>
          <w:color w:val="000000" w:themeColor="text1"/>
          <w:sz w:val="24"/>
          <w:szCs w:val="24"/>
        </w:rPr>
        <w:t>Mener des enquêtes indépendantes et opportunes sur les atteintes aux</w:t>
      </w:r>
      <w:r w:rsidRPr="00BC0D0F">
        <w:rPr>
          <w:rFonts w:ascii="Maiandra GD" w:hAnsi="Maiandra GD" w:cs="AvenirNext-Regular"/>
          <w:color w:val="000000" w:themeColor="text1"/>
          <w:sz w:val="24"/>
          <w:szCs w:val="24"/>
          <w:lang w:val="fr-CA"/>
        </w:rPr>
        <w:t xml:space="preserve"> </w:t>
      </w:r>
      <w:r w:rsidRPr="00BC0D0F">
        <w:rPr>
          <w:rFonts w:ascii="Maiandra GD" w:hAnsi="Maiandra GD" w:cs="AvenirNext-Regular"/>
          <w:color w:val="000000" w:themeColor="text1"/>
          <w:sz w:val="24"/>
          <w:szCs w:val="24"/>
        </w:rPr>
        <w:t>personnes notamment les exécutions observées pendant la période examinée</w:t>
      </w:r>
      <w:r w:rsidRPr="00BC0D0F">
        <w:rPr>
          <w:rFonts w:ascii="Maiandra GD" w:hAnsi="Maiandra GD" w:cs="AvenirNext-Regular"/>
          <w:color w:val="000000" w:themeColor="text1"/>
          <w:sz w:val="24"/>
          <w:szCs w:val="24"/>
          <w:lang w:val="fr-CA"/>
        </w:rPr>
        <w:t xml:space="preserve"> </w:t>
      </w:r>
      <w:r w:rsidRPr="00BC0D0F">
        <w:rPr>
          <w:rFonts w:ascii="Maiandra GD" w:hAnsi="Maiandra GD" w:cs="AvenirNext-Regular"/>
          <w:color w:val="000000" w:themeColor="text1"/>
          <w:sz w:val="24"/>
          <w:szCs w:val="24"/>
        </w:rPr>
        <w:t>et aux biens en établissant la responsabilité pleine et entière de tout individu</w:t>
      </w:r>
      <w:r w:rsidRPr="00BC0D0F">
        <w:rPr>
          <w:rFonts w:ascii="Maiandra GD" w:hAnsi="Maiandra GD" w:cs="AvenirNext-Regular"/>
          <w:color w:val="000000" w:themeColor="text1"/>
          <w:sz w:val="24"/>
          <w:szCs w:val="24"/>
          <w:lang w:val="fr-CA"/>
        </w:rPr>
        <w:t xml:space="preserve"> </w:t>
      </w:r>
      <w:r w:rsidRPr="00BC0D0F">
        <w:rPr>
          <w:rFonts w:ascii="Maiandra GD" w:hAnsi="Maiandra GD" w:cs="AvenirNext-Regular"/>
          <w:color w:val="000000" w:themeColor="text1"/>
          <w:sz w:val="24"/>
          <w:szCs w:val="24"/>
        </w:rPr>
        <w:t>responsable</w:t>
      </w:r>
      <w:r>
        <w:rPr>
          <w:rFonts w:ascii="Maiandra GD" w:hAnsi="Maiandra GD" w:cs="AvenirNext-Regular"/>
          <w:color w:val="000000" w:themeColor="text1"/>
          <w:sz w:val="24"/>
          <w:szCs w:val="24"/>
        </w:rPr>
        <w:t xml:space="preserve"> (…)</w:t>
      </w:r>
      <w:r w:rsidRPr="00BC0D0F">
        <w:rPr>
          <w:rFonts w:ascii="Maiandra GD" w:hAnsi="Maiandra GD" w:cs="AvenirNext-Regular"/>
          <w:color w:val="000000" w:themeColor="text1"/>
          <w:sz w:val="24"/>
          <w:szCs w:val="24"/>
          <w:lang w:val="fr-CA"/>
        </w:rPr>
        <w:t> »</w:t>
      </w:r>
      <w:r w:rsidRPr="00BC0D0F">
        <w:rPr>
          <w:rStyle w:val="Appelnotedebasdep"/>
          <w:rFonts w:ascii="Maiandra GD" w:hAnsi="Maiandra GD" w:cs="AvenirNext-Regular"/>
          <w:color w:val="000000" w:themeColor="text1"/>
          <w:sz w:val="24"/>
          <w:szCs w:val="24"/>
          <w:lang w:val="fr-CA"/>
        </w:rPr>
        <w:footnoteReference w:id="6"/>
      </w:r>
      <w:r w:rsidRPr="00BC0D0F">
        <w:rPr>
          <w:rFonts w:ascii="Maiandra GD" w:hAnsi="Maiandra GD" w:cs="AvenirNext-Regular"/>
          <w:color w:val="000000" w:themeColor="text1"/>
          <w:sz w:val="24"/>
          <w:szCs w:val="24"/>
          <w:lang w:val="fr-CA"/>
        </w:rPr>
        <w:t>. Cependant, dans le rapport d’activités 2020-2021</w:t>
      </w:r>
      <w:r w:rsidRPr="00BC0D0F">
        <w:rPr>
          <w:rStyle w:val="Appelnotedebasdep"/>
          <w:rFonts w:ascii="Maiandra GD" w:hAnsi="Maiandra GD" w:cs="AvenirNext-Regular"/>
          <w:color w:val="000000" w:themeColor="text1"/>
          <w:sz w:val="24"/>
          <w:szCs w:val="24"/>
          <w:lang w:val="fr-CA"/>
        </w:rPr>
        <w:footnoteReference w:id="7"/>
      </w:r>
      <w:r w:rsidRPr="00BC0D0F">
        <w:rPr>
          <w:rFonts w:ascii="Maiandra GD" w:hAnsi="Maiandra GD" w:cs="AvenirNext-Regular"/>
          <w:color w:val="000000" w:themeColor="text1"/>
          <w:sz w:val="24"/>
          <w:szCs w:val="24"/>
          <w:lang w:val="fr-CA"/>
        </w:rPr>
        <w:t>, la Commission Béninoise des Droits de l’Homme a fait observer que cette recommandation ne fut pas mise en œuvre.</w:t>
      </w:r>
      <w:r w:rsidR="002C7AE8">
        <w:rPr>
          <w:rFonts w:ascii="Maiandra GD" w:hAnsi="Maiandra GD" w:cs="AvenirNext-Regular"/>
          <w:color w:val="000000" w:themeColor="text1"/>
          <w:sz w:val="24"/>
          <w:szCs w:val="24"/>
          <w:lang w:val="fr-CA"/>
        </w:rPr>
        <w:t xml:space="preserve"> De plus, dans le même rapport, la Commission Béninoise des Droits de l’Homme </w:t>
      </w:r>
      <w:r w:rsidR="007002ED">
        <w:rPr>
          <w:rFonts w:ascii="Maiandra GD" w:hAnsi="Maiandra GD" w:cs="AvenirNext-Regular"/>
          <w:color w:val="000000" w:themeColor="text1"/>
          <w:sz w:val="24"/>
          <w:szCs w:val="24"/>
          <w:lang w:val="fr-CA"/>
        </w:rPr>
        <w:t xml:space="preserve">a </w:t>
      </w:r>
      <w:r w:rsidR="002C7AE8">
        <w:rPr>
          <w:rFonts w:ascii="Maiandra GD" w:hAnsi="Maiandra GD" w:cs="AvenirNext-Regular"/>
          <w:color w:val="000000" w:themeColor="text1"/>
          <w:sz w:val="24"/>
          <w:szCs w:val="24"/>
          <w:lang w:val="fr-CA"/>
        </w:rPr>
        <w:t xml:space="preserve">relevé, au cours du processus électoral de l’élection présidentielle de 2021, des cas de violations du droit à la </w:t>
      </w:r>
      <w:r w:rsidR="007002ED">
        <w:rPr>
          <w:rFonts w:ascii="Maiandra GD" w:hAnsi="Maiandra GD" w:cs="AvenirNext-Regular"/>
          <w:color w:val="000000" w:themeColor="text1"/>
          <w:sz w:val="24"/>
          <w:szCs w:val="24"/>
          <w:lang w:val="fr-CA"/>
        </w:rPr>
        <w:t xml:space="preserve">vie </w:t>
      </w:r>
      <w:r w:rsidR="002C7AE8">
        <w:rPr>
          <w:rFonts w:ascii="Maiandra GD" w:hAnsi="Maiandra GD" w:cs="AvenirNext-Regular"/>
          <w:color w:val="000000" w:themeColor="text1"/>
          <w:sz w:val="24"/>
          <w:szCs w:val="24"/>
          <w:lang w:val="fr-CA"/>
        </w:rPr>
        <w:t>ainsi que d’exécutions sommaires et extrajudiciaires</w:t>
      </w:r>
      <w:r w:rsidR="002C7AE8">
        <w:rPr>
          <w:rStyle w:val="Appelnotedebasdep"/>
          <w:rFonts w:ascii="Maiandra GD" w:hAnsi="Maiandra GD" w:cs="AvenirNext-Regular"/>
          <w:color w:val="000000" w:themeColor="text1"/>
          <w:sz w:val="24"/>
          <w:szCs w:val="24"/>
          <w:lang w:val="fr-CA"/>
        </w:rPr>
        <w:footnoteReference w:id="8"/>
      </w:r>
      <w:r w:rsidR="002C7AE8">
        <w:rPr>
          <w:rFonts w:ascii="Maiandra GD" w:hAnsi="Maiandra GD" w:cs="AvenirNext-Regular"/>
          <w:color w:val="000000" w:themeColor="text1"/>
          <w:sz w:val="24"/>
          <w:szCs w:val="24"/>
          <w:lang w:val="fr-CA"/>
        </w:rPr>
        <w:t>.</w:t>
      </w:r>
    </w:p>
    <w:p w14:paraId="3D0670CC" w14:textId="77777777" w:rsidR="00C33BDF" w:rsidRDefault="00C33BDF" w:rsidP="000C0E04">
      <w:pPr>
        <w:autoSpaceDE w:val="0"/>
        <w:autoSpaceDN w:val="0"/>
        <w:adjustRightInd w:val="0"/>
        <w:spacing w:after="0" w:line="276" w:lineRule="auto"/>
        <w:jc w:val="both"/>
        <w:rPr>
          <w:rFonts w:ascii="Maiandra GD" w:hAnsi="Maiandra GD" w:cs="AvenirNext-Regular"/>
          <w:color w:val="000000" w:themeColor="text1"/>
          <w:sz w:val="24"/>
          <w:szCs w:val="24"/>
          <w:lang w:val="fr-CA"/>
        </w:rPr>
      </w:pPr>
    </w:p>
    <w:p w14:paraId="00DEDDD7" w14:textId="2DC1ED43" w:rsidR="00C33BDF" w:rsidRPr="00BC0D0F" w:rsidRDefault="002C7AE8" w:rsidP="000C0E04">
      <w:pPr>
        <w:autoSpaceDE w:val="0"/>
        <w:autoSpaceDN w:val="0"/>
        <w:adjustRightInd w:val="0"/>
        <w:spacing w:after="0" w:line="276" w:lineRule="auto"/>
        <w:jc w:val="both"/>
        <w:rPr>
          <w:rFonts w:ascii="Maiandra GD" w:hAnsi="Maiandra GD" w:cs="AvenirNext-Regular"/>
          <w:color w:val="000000" w:themeColor="text1"/>
          <w:sz w:val="24"/>
          <w:szCs w:val="24"/>
          <w:lang w:val="fr-CA"/>
        </w:rPr>
      </w:pPr>
      <w:r>
        <w:rPr>
          <w:rFonts w:ascii="Maiandra GD" w:hAnsi="Maiandra GD" w:cs="AvenirNext-Regular"/>
          <w:color w:val="000000" w:themeColor="text1"/>
          <w:sz w:val="24"/>
          <w:szCs w:val="24"/>
          <w:lang w:val="fr-CA"/>
        </w:rPr>
        <w:t xml:space="preserve">À l’occasion du processus électoral sus évoqué, Changement Social Bénin a été alerté de cas d’arrestation et de détention de certaines personnes sans pour autant obtenir la facilitation </w:t>
      </w:r>
      <w:r w:rsidR="002D2695">
        <w:rPr>
          <w:rFonts w:ascii="Maiandra GD" w:hAnsi="Maiandra GD" w:cs="AvenirNext-Regular"/>
          <w:color w:val="000000" w:themeColor="text1"/>
          <w:sz w:val="24"/>
          <w:szCs w:val="24"/>
          <w:lang w:val="fr-CA"/>
        </w:rPr>
        <w:t>des porteurs de responsabilité en vue d’en vérifier l’exactitude lors de son monitoring en milieu carcéral</w:t>
      </w:r>
      <w:r>
        <w:rPr>
          <w:rFonts w:ascii="Maiandra GD" w:hAnsi="Maiandra GD" w:cs="AvenirNext-Regular"/>
          <w:color w:val="000000" w:themeColor="text1"/>
          <w:sz w:val="24"/>
          <w:szCs w:val="24"/>
          <w:lang w:val="fr-CA"/>
        </w:rPr>
        <w:t xml:space="preserve">. </w:t>
      </w:r>
      <w:r w:rsidR="00C33BDF">
        <w:rPr>
          <w:rFonts w:ascii="Maiandra GD" w:hAnsi="Maiandra GD" w:cs="AvenirNext-Regular"/>
          <w:color w:val="000000" w:themeColor="text1"/>
          <w:sz w:val="24"/>
          <w:szCs w:val="24"/>
          <w:lang w:val="fr-CA"/>
        </w:rPr>
        <w:t xml:space="preserve">Par ailleurs, </w:t>
      </w:r>
      <w:r w:rsidR="00C33BDF" w:rsidRPr="00BC0D0F">
        <w:rPr>
          <w:rFonts w:ascii="Maiandra GD" w:hAnsi="Maiandra GD" w:cs="AvenirNext-Regular"/>
          <w:color w:val="000000" w:themeColor="text1"/>
          <w:sz w:val="24"/>
          <w:szCs w:val="24"/>
          <w:lang w:val="fr-CA"/>
        </w:rPr>
        <w:t>du monitoring des droits humains en milieu carcéral effectué par Changement Social Bénin</w:t>
      </w:r>
      <w:r>
        <w:rPr>
          <w:rFonts w:ascii="Maiandra GD" w:hAnsi="Maiandra GD" w:cs="AvenirNext-Regular"/>
          <w:color w:val="000000" w:themeColor="text1"/>
          <w:sz w:val="24"/>
          <w:szCs w:val="24"/>
          <w:lang w:val="fr-CA"/>
        </w:rPr>
        <w:t xml:space="preserve"> en 2021</w:t>
      </w:r>
      <w:r w:rsidR="00C33BDF" w:rsidRPr="00BC0D0F">
        <w:rPr>
          <w:rFonts w:ascii="Maiandra GD" w:hAnsi="Maiandra GD" w:cs="AvenirNext-Regular"/>
          <w:color w:val="000000" w:themeColor="text1"/>
          <w:sz w:val="24"/>
          <w:szCs w:val="24"/>
          <w:lang w:val="fr-CA"/>
        </w:rPr>
        <w:t>, il est ressorti des cas de détention provisoire arbitraire ou illégale.</w:t>
      </w:r>
      <w:r w:rsidR="00C33BDF">
        <w:rPr>
          <w:rFonts w:ascii="Maiandra GD" w:hAnsi="Maiandra GD" w:cs="AvenirNext-Regular"/>
          <w:color w:val="000000" w:themeColor="text1"/>
          <w:sz w:val="24"/>
          <w:szCs w:val="24"/>
          <w:lang w:val="fr-CA"/>
        </w:rPr>
        <w:t xml:space="preserve"> </w:t>
      </w:r>
      <w:r w:rsidR="00C33BDF" w:rsidRPr="00BC0D0F">
        <w:rPr>
          <w:rFonts w:ascii="Maiandra GD" w:hAnsi="Maiandra GD" w:cs="AvenirNext-Regular"/>
          <w:color w:val="000000" w:themeColor="text1"/>
          <w:sz w:val="24"/>
          <w:szCs w:val="24"/>
          <w:lang w:val="fr-CA"/>
        </w:rPr>
        <w:t xml:space="preserve">Au demeurant, même quand la Cour </w:t>
      </w:r>
      <w:r w:rsidR="00C33BDF" w:rsidRPr="00BC0D0F">
        <w:rPr>
          <w:rFonts w:ascii="Maiandra GD" w:hAnsi="Maiandra GD" w:cs="AvenirNext-Regular"/>
          <w:color w:val="000000" w:themeColor="text1"/>
          <w:sz w:val="24"/>
          <w:szCs w:val="24"/>
          <w:lang w:val="fr-CA"/>
        </w:rPr>
        <w:lastRenderedPageBreak/>
        <w:t>constitutionnelle déclare leur détention arbitraire, il y en a qui sont encore maintenues dans les liens de la détention. La Commission Béninois des Droits de l’Homme l’a d’ailleurs fait ressorti</w:t>
      </w:r>
      <w:r w:rsidR="002D2695">
        <w:rPr>
          <w:rFonts w:ascii="Maiandra GD" w:hAnsi="Maiandra GD" w:cs="AvenirNext-Regular"/>
          <w:color w:val="000000" w:themeColor="text1"/>
          <w:sz w:val="24"/>
          <w:szCs w:val="24"/>
          <w:lang w:val="fr-CA"/>
        </w:rPr>
        <w:t>r</w:t>
      </w:r>
      <w:r w:rsidR="00C33BDF" w:rsidRPr="00BC0D0F">
        <w:rPr>
          <w:rFonts w:ascii="Maiandra GD" w:hAnsi="Maiandra GD" w:cs="AvenirNext-Regular"/>
          <w:color w:val="000000" w:themeColor="text1"/>
          <w:sz w:val="24"/>
          <w:szCs w:val="24"/>
          <w:lang w:val="fr-CA"/>
        </w:rPr>
        <w:t xml:space="preserve"> dans son rapport d’activités 2020-2021</w:t>
      </w:r>
      <w:r w:rsidR="00C33BDF" w:rsidRPr="00BC0D0F">
        <w:rPr>
          <w:rStyle w:val="Appelnotedebasdep"/>
          <w:rFonts w:ascii="Maiandra GD" w:hAnsi="Maiandra GD" w:cs="AvenirNext-Regular"/>
          <w:color w:val="000000" w:themeColor="text1"/>
          <w:sz w:val="24"/>
          <w:szCs w:val="24"/>
          <w:lang w:val="fr-CA"/>
        </w:rPr>
        <w:footnoteReference w:id="9"/>
      </w:r>
      <w:r w:rsidR="00C33BDF" w:rsidRPr="00BC0D0F">
        <w:rPr>
          <w:rFonts w:ascii="Maiandra GD" w:hAnsi="Maiandra GD" w:cs="AvenirNext-Regular"/>
          <w:color w:val="000000" w:themeColor="text1"/>
          <w:sz w:val="24"/>
          <w:szCs w:val="24"/>
          <w:lang w:val="fr-CA"/>
        </w:rPr>
        <w:t>.</w:t>
      </w:r>
    </w:p>
    <w:p w14:paraId="6B3B8107" w14:textId="4200AC87" w:rsidR="008660FE" w:rsidRPr="008660FE" w:rsidRDefault="00F51107" w:rsidP="000C0E04">
      <w:pPr>
        <w:spacing w:line="276" w:lineRule="auto"/>
        <w:jc w:val="both"/>
        <w:rPr>
          <w:rFonts w:ascii="Maiandra GD" w:hAnsi="Maiandra GD" w:cstheme="minorHAnsi"/>
          <w:sz w:val="24"/>
          <w:szCs w:val="24"/>
        </w:rPr>
      </w:pPr>
      <w:r>
        <w:rPr>
          <w:rFonts w:ascii="Maiandra GD" w:hAnsi="Maiandra GD" w:cstheme="minorHAnsi"/>
          <w:sz w:val="24"/>
          <w:szCs w:val="24"/>
        </w:rPr>
        <w:t>Enfin, il est à noter un renouement de la population avec les actes de vindicte populaire.</w:t>
      </w:r>
    </w:p>
    <w:p w14:paraId="62E76279" w14:textId="77777777" w:rsidR="00DA03B5" w:rsidRDefault="00B71C69" w:rsidP="000C0E04">
      <w:pPr>
        <w:pStyle w:val="NormalWeb"/>
        <w:spacing w:before="0" w:line="276" w:lineRule="auto"/>
        <w:jc w:val="both"/>
        <w:rPr>
          <w:rFonts w:ascii="Maiandra GD" w:hAnsi="Maiandra GD"/>
        </w:rPr>
      </w:pPr>
      <w:r w:rsidRPr="00906F56">
        <w:rPr>
          <w:rFonts w:ascii="Maiandra GD" w:hAnsi="Maiandra GD"/>
        </w:rPr>
        <w:t xml:space="preserve">La présente liste de points à traiter soumise par Changement Social Bénin (CSB), vise à inviter le Comité </w:t>
      </w:r>
      <w:r w:rsidR="00DA03B5">
        <w:rPr>
          <w:rFonts w:ascii="Maiandra GD" w:hAnsi="Maiandra GD"/>
        </w:rPr>
        <w:t xml:space="preserve">des Disparitions Forcées </w:t>
      </w:r>
      <w:r w:rsidRPr="00906F56">
        <w:rPr>
          <w:rFonts w:ascii="Maiandra GD" w:hAnsi="Maiandra GD"/>
        </w:rPr>
        <w:t xml:space="preserve">à considérer les récents développements qui ont eu lieu dans l’État partie dans le prochain cycle d’examen périodique.     </w:t>
      </w:r>
    </w:p>
    <w:p w14:paraId="5D2C2E4E" w14:textId="15A26BCF" w:rsidR="00B71C69" w:rsidRPr="007A5253" w:rsidRDefault="007A5253" w:rsidP="000C0E04">
      <w:pPr>
        <w:pStyle w:val="NormalWeb"/>
        <w:numPr>
          <w:ilvl w:val="0"/>
          <w:numId w:val="13"/>
        </w:numPr>
        <w:spacing w:before="0" w:line="276" w:lineRule="auto"/>
        <w:jc w:val="both"/>
        <w:rPr>
          <w:rFonts w:ascii="Maiandra GD" w:hAnsi="Maiandra GD"/>
          <w:b/>
          <w:bCs/>
          <w:color w:val="0070C0"/>
        </w:rPr>
      </w:pPr>
      <w:r w:rsidRPr="007A5253">
        <w:rPr>
          <w:rFonts w:ascii="Maiandra GD" w:hAnsi="Maiandra GD"/>
          <w:b/>
          <w:bCs/>
          <w:color w:val="0070C0"/>
        </w:rPr>
        <w:t xml:space="preserve">RESUME DE LA LISTE DES POINTS A TRAITER               </w:t>
      </w:r>
    </w:p>
    <w:p w14:paraId="02F95D67" w14:textId="1B0793C0" w:rsidR="00B71C69" w:rsidRPr="005D6C5A" w:rsidRDefault="005D6C5A" w:rsidP="000C0E04">
      <w:pPr>
        <w:pStyle w:val="NormalWeb"/>
        <w:spacing w:before="0" w:line="276" w:lineRule="auto"/>
        <w:jc w:val="both"/>
        <w:rPr>
          <w:rFonts w:ascii="Maiandra GD" w:hAnsi="Maiandra GD"/>
          <w:b/>
          <w:bCs/>
        </w:rPr>
      </w:pPr>
      <w:r w:rsidRPr="005D6C5A">
        <w:rPr>
          <w:rFonts w:ascii="Maiandra GD" w:hAnsi="Maiandra GD"/>
          <w:b/>
          <w:bCs/>
        </w:rPr>
        <w:t>Mesures appropriées pour enquêter et poursuivre les responsables des actes assimilés à</w:t>
      </w:r>
      <w:r w:rsidR="00DA03B5" w:rsidRPr="005D6C5A">
        <w:rPr>
          <w:rFonts w:ascii="Maiandra GD" w:hAnsi="Maiandra GD"/>
          <w:b/>
          <w:bCs/>
        </w:rPr>
        <w:t xml:space="preserve"> la disparition forcée (Article </w:t>
      </w:r>
      <w:r w:rsidRPr="005D6C5A">
        <w:rPr>
          <w:rFonts w:ascii="Maiandra GD" w:hAnsi="Maiandra GD"/>
          <w:b/>
          <w:bCs/>
        </w:rPr>
        <w:t>3</w:t>
      </w:r>
      <w:r w:rsidR="00DA03B5" w:rsidRPr="005D6C5A">
        <w:rPr>
          <w:rFonts w:ascii="Maiandra GD" w:hAnsi="Maiandra GD"/>
          <w:b/>
          <w:bCs/>
        </w:rPr>
        <w:t>)</w:t>
      </w:r>
    </w:p>
    <w:p w14:paraId="1E0AA1EC" w14:textId="5965B82C" w:rsidR="00DA03B5" w:rsidRDefault="00AC0DEF" w:rsidP="000C0E04">
      <w:pPr>
        <w:pStyle w:val="NormalWeb"/>
        <w:numPr>
          <w:ilvl w:val="0"/>
          <w:numId w:val="14"/>
        </w:numPr>
        <w:spacing w:before="0" w:line="276" w:lineRule="auto"/>
        <w:jc w:val="both"/>
        <w:rPr>
          <w:rFonts w:ascii="Maiandra GD" w:hAnsi="Maiandra GD"/>
        </w:rPr>
      </w:pPr>
      <w:r>
        <w:rPr>
          <w:rFonts w:ascii="Maiandra GD" w:hAnsi="Maiandra GD"/>
        </w:rPr>
        <w:t>Quel est l’état de mise en œuvre des recommandations formulées par la Commission Africaine des Droits de l’Homme et des Peuples dans sa résolution sur le Bénin en date du 14 mai 2019 ?</w:t>
      </w:r>
    </w:p>
    <w:p w14:paraId="2E575105" w14:textId="4BDBA813" w:rsidR="00AC0DEF" w:rsidRDefault="00AC0DEF" w:rsidP="000C0E04">
      <w:pPr>
        <w:pStyle w:val="NormalWeb"/>
        <w:numPr>
          <w:ilvl w:val="0"/>
          <w:numId w:val="14"/>
        </w:numPr>
        <w:spacing w:before="0" w:line="276" w:lineRule="auto"/>
        <w:jc w:val="both"/>
        <w:rPr>
          <w:rFonts w:ascii="Maiandra GD" w:hAnsi="Maiandra GD"/>
        </w:rPr>
      </w:pPr>
      <w:r>
        <w:rPr>
          <w:rFonts w:ascii="Maiandra GD" w:hAnsi="Maiandra GD"/>
        </w:rPr>
        <w:t xml:space="preserve">Quelles sont les mesures prises pour mener des enquêtes impartiales et approfondies </w:t>
      </w:r>
      <w:r w:rsidR="005D6C5A">
        <w:rPr>
          <w:rFonts w:ascii="Maiandra GD" w:hAnsi="Maiandra GD"/>
        </w:rPr>
        <w:t xml:space="preserve">ainsi que des sanctions appropriées </w:t>
      </w:r>
      <w:r>
        <w:rPr>
          <w:rFonts w:ascii="Maiandra GD" w:hAnsi="Maiandra GD"/>
        </w:rPr>
        <w:t>contre les agents chargés d’application des lois auteurs d’exécutions sommaires et extrajudiciaires lors des élections législatives de 2019 et présidentielle de 2021 ?</w:t>
      </w:r>
    </w:p>
    <w:p w14:paraId="1C290822" w14:textId="3A39C22A" w:rsidR="00AC0DEF" w:rsidRDefault="00AC0DEF" w:rsidP="000C0E04">
      <w:pPr>
        <w:pStyle w:val="NormalWeb"/>
        <w:numPr>
          <w:ilvl w:val="0"/>
          <w:numId w:val="14"/>
        </w:numPr>
        <w:spacing w:before="0" w:line="276" w:lineRule="auto"/>
        <w:jc w:val="both"/>
        <w:rPr>
          <w:rFonts w:ascii="Maiandra GD" w:hAnsi="Maiandra GD"/>
        </w:rPr>
      </w:pPr>
      <w:r>
        <w:rPr>
          <w:rFonts w:ascii="Maiandra GD" w:hAnsi="Maiandra GD"/>
        </w:rPr>
        <w:t xml:space="preserve">Quelles sont les dispositions prises pour indemniser </w:t>
      </w:r>
      <w:r w:rsidR="007002ED">
        <w:rPr>
          <w:rFonts w:ascii="Maiandra GD" w:hAnsi="Maiandra GD"/>
        </w:rPr>
        <w:t xml:space="preserve">les </w:t>
      </w:r>
      <w:r>
        <w:rPr>
          <w:rFonts w:ascii="Maiandra GD" w:hAnsi="Maiandra GD"/>
        </w:rPr>
        <w:t xml:space="preserve">ayant </w:t>
      </w:r>
      <w:r w:rsidR="005D6C5A">
        <w:rPr>
          <w:rFonts w:ascii="Maiandra GD" w:hAnsi="Maiandra GD"/>
        </w:rPr>
        <w:t>droits des victimes d’exécutions sommaires et extrajudiciaires ?</w:t>
      </w:r>
    </w:p>
    <w:p w14:paraId="1E50E5D9" w14:textId="1558DEE6" w:rsidR="005D6C5A" w:rsidRPr="00057446" w:rsidRDefault="005D6C5A" w:rsidP="000C0E04">
      <w:pPr>
        <w:pStyle w:val="NormalWeb"/>
        <w:spacing w:before="0" w:line="276" w:lineRule="auto"/>
        <w:jc w:val="both"/>
        <w:rPr>
          <w:rFonts w:ascii="Maiandra GD" w:hAnsi="Maiandra GD"/>
          <w:b/>
          <w:bCs/>
        </w:rPr>
      </w:pPr>
      <w:r w:rsidRPr="00057446">
        <w:rPr>
          <w:rFonts w:ascii="Maiandra GD" w:hAnsi="Maiandra GD"/>
          <w:b/>
          <w:bCs/>
        </w:rPr>
        <w:t>Incrimination de la disparition forcée dans la législation nationale (Article 4)</w:t>
      </w:r>
    </w:p>
    <w:p w14:paraId="0D6BE484" w14:textId="74E6C5F9" w:rsidR="005D6C5A" w:rsidRDefault="005D6C5A" w:rsidP="000C0E04">
      <w:pPr>
        <w:pStyle w:val="NormalWeb"/>
        <w:numPr>
          <w:ilvl w:val="0"/>
          <w:numId w:val="15"/>
        </w:numPr>
        <w:spacing w:before="0" w:line="276" w:lineRule="auto"/>
        <w:jc w:val="both"/>
        <w:rPr>
          <w:rFonts w:ascii="Maiandra GD" w:hAnsi="Maiandra GD"/>
        </w:rPr>
      </w:pPr>
      <w:r>
        <w:rPr>
          <w:rFonts w:ascii="Maiandra GD" w:hAnsi="Maiandra GD"/>
        </w:rPr>
        <w:t>Veuillez expliquer pourquoi la définition de la disparition forcée fourni</w:t>
      </w:r>
      <w:r w:rsidR="00FA6279">
        <w:rPr>
          <w:rFonts w:ascii="Maiandra GD" w:hAnsi="Maiandra GD"/>
        </w:rPr>
        <w:t>e</w:t>
      </w:r>
      <w:r>
        <w:rPr>
          <w:rFonts w:ascii="Maiandra GD" w:hAnsi="Maiandra GD"/>
        </w:rPr>
        <w:t xml:space="preserve"> par le code pénal n’a pas pris en compte ‘’ toute autre forme de privation de liberté ‘’</w:t>
      </w:r>
      <w:r w:rsidR="00FA6279">
        <w:rPr>
          <w:rFonts w:ascii="Maiandra GD" w:hAnsi="Maiandra GD"/>
        </w:rPr>
        <w:t xml:space="preserve"> de même que le choix de fixer la consommation de l’infraction lorsqu’elle est réalisée ‘’ pendant une période prolongée ‘’ ?</w:t>
      </w:r>
    </w:p>
    <w:p w14:paraId="5445D836" w14:textId="10C97EE7" w:rsidR="00C90117" w:rsidRPr="0000609C" w:rsidRDefault="002C6D5E" w:rsidP="000C0E04">
      <w:pPr>
        <w:pStyle w:val="NormalWeb"/>
        <w:spacing w:before="0" w:line="276" w:lineRule="auto"/>
        <w:jc w:val="both"/>
        <w:rPr>
          <w:rFonts w:ascii="Maiandra GD" w:hAnsi="Maiandra GD"/>
          <w:b/>
          <w:bCs/>
        </w:rPr>
      </w:pPr>
      <w:r w:rsidRPr="0000609C">
        <w:rPr>
          <w:rFonts w:ascii="Maiandra GD" w:hAnsi="Maiandra GD"/>
          <w:b/>
          <w:bCs/>
        </w:rPr>
        <w:t>Conditions de détention en cas de disparition forcée (Article 17)</w:t>
      </w:r>
    </w:p>
    <w:p w14:paraId="1D162987" w14:textId="0B258051" w:rsidR="002C6D5E" w:rsidRDefault="002C6D5E" w:rsidP="000C0E04">
      <w:pPr>
        <w:pStyle w:val="NormalWeb"/>
        <w:numPr>
          <w:ilvl w:val="0"/>
          <w:numId w:val="15"/>
        </w:numPr>
        <w:spacing w:before="0" w:line="276" w:lineRule="auto"/>
        <w:jc w:val="both"/>
        <w:rPr>
          <w:rFonts w:ascii="Maiandra GD" w:hAnsi="Maiandra GD"/>
        </w:rPr>
      </w:pPr>
      <w:r>
        <w:rPr>
          <w:rFonts w:ascii="Maiandra GD" w:hAnsi="Maiandra GD"/>
        </w:rPr>
        <w:t>Veuillez fournir le dernier tableau de bord carcéral disponible présentant les capacités d’accueil de chaque établissement pénitentiaire et les taux d’occupation.</w:t>
      </w:r>
    </w:p>
    <w:p w14:paraId="2982088B" w14:textId="08D8280D" w:rsidR="002C6D5E" w:rsidRDefault="002C6D5E" w:rsidP="000C0E04">
      <w:pPr>
        <w:pStyle w:val="NormalWeb"/>
        <w:numPr>
          <w:ilvl w:val="0"/>
          <w:numId w:val="15"/>
        </w:numPr>
        <w:spacing w:before="0" w:line="276" w:lineRule="auto"/>
        <w:jc w:val="both"/>
        <w:rPr>
          <w:rFonts w:ascii="Maiandra GD" w:hAnsi="Maiandra GD"/>
        </w:rPr>
      </w:pPr>
      <w:r>
        <w:rPr>
          <w:rFonts w:ascii="Maiandra GD" w:hAnsi="Maiandra GD"/>
        </w:rPr>
        <w:t>Où en est l’Etat partie dans la prise du décret prévu à l’article 58 du code pénal et devant déterminer les modalités d’exécution de la peine de travail d’intérêt général ?</w:t>
      </w:r>
    </w:p>
    <w:p w14:paraId="67851DA3" w14:textId="5D4BF072" w:rsidR="00631F50" w:rsidRDefault="00AB7A75" w:rsidP="000C0E04">
      <w:pPr>
        <w:pStyle w:val="NormalWeb"/>
        <w:numPr>
          <w:ilvl w:val="0"/>
          <w:numId w:val="15"/>
        </w:numPr>
        <w:spacing w:before="0" w:line="276" w:lineRule="auto"/>
        <w:jc w:val="both"/>
        <w:rPr>
          <w:rFonts w:ascii="Maiandra GD" w:hAnsi="Maiandra GD"/>
        </w:rPr>
      </w:pPr>
      <w:r>
        <w:rPr>
          <w:rFonts w:ascii="Maiandra GD" w:hAnsi="Maiandra GD"/>
        </w:rPr>
        <w:t>Veuillez préciser où en est l’Etat partie dans la prise des décrets prévus aux articles 802 et 809 du code de procédure pénale.</w:t>
      </w:r>
    </w:p>
    <w:p w14:paraId="45542FF6" w14:textId="3347F708" w:rsidR="00B61683" w:rsidRPr="00840CFF" w:rsidRDefault="00B61683" w:rsidP="000C0E04">
      <w:pPr>
        <w:pStyle w:val="NormalWeb"/>
        <w:spacing w:before="0" w:line="276" w:lineRule="auto"/>
        <w:jc w:val="both"/>
        <w:rPr>
          <w:rFonts w:ascii="Maiandra GD" w:hAnsi="Maiandra GD"/>
          <w:b/>
          <w:bCs/>
        </w:rPr>
      </w:pPr>
      <w:r w:rsidRPr="00840CFF">
        <w:rPr>
          <w:rFonts w:ascii="Maiandra GD" w:hAnsi="Maiandra GD"/>
          <w:b/>
          <w:bCs/>
        </w:rPr>
        <w:lastRenderedPageBreak/>
        <w:t>Remise en liberté d’une personne qui en était privée (Article 21)</w:t>
      </w:r>
    </w:p>
    <w:p w14:paraId="6ADCC32C" w14:textId="21EFBD2F" w:rsidR="00B61683" w:rsidRDefault="00B61683" w:rsidP="000C0E04">
      <w:pPr>
        <w:pStyle w:val="NormalWeb"/>
        <w:numPr>
          <w:ilvl w:val="0"/>
          <w:numId w:val="16"/>
        </w:numPr>
        <w:spacing w:before="0" w:line="276" w:lineRule="auto"/>
        <w:jc w:val="both"/>
        <w:rPr>
          <w:rFonts w:ascii="Maiandra GD" w:hAnsi="Maiandra GD"/>
        </w:rPr>
      </w:pPr>
      <w:r>
        <w:rPr>
          <w:rFonts w:ascii="Maiandra GD" w:hAnsi="Maiandra GD"/>
        </w:rPr>
        <w:t>Quelles sont les dispositions institutionnelles prises pour favoriser la mise en œuvre des peines alternatives à l’emprisonnement ?</w:t>
      </w:r>
    </w:p>
    <w:p w14:paraId="05396CE0" w14:textId="229BF758" w:rsidR="00303359" w:rsidRDefault="00303359" w:rsidP="000C0E04">
      <w:pPr>
        <w:pStyle w:val="NormalWeb"/>
        <w:numPr>
          <w:ilvl w:val="0"/>
          <w:numId w:val="16"/>
        </w:numPr>
        <w:spacing w:before="0" w:line="276" w:lineRule="auto"/>
        <w:jc w:val="both"/>
        <w:rPr>
          <w:rFonts w:ascii="Maiandra GD" w:hAnsi="Maiandra GD"/>
        </w:rPr>
      </w:pPr>
      <w:r>
        <w:rPr>
          <w:rFonts w:ascii="Maiandra GD" w:hAnsi="Maiandra GD"/>
        </w:rPr>
        <w:t xml:space="preserve">Quels sont les </w:t>
      </w:r>
      <w:r w:rsidR="007002ED">
        <w:rPr>
          <w:rFonts w:ascii="Maiandra GD" w:hAnsi="Maiandra GD"/>
        </w:rPr>
        <w:t>moyens logistiques</w:t>
      </w:r>
      <w:r>
        <w:rPr>
          <w:rFonts w:ascii="Maiandra GD" w:hAnsi="Maiandra GD"/>
        </w:rPr>
        <w:t xml:space="preserve"> offerts à la Chambre des Libertés et de la Détention pour les contrôles sur place du respect des délais légaux de détention</w:t>
      </w:r>
      <w:r w:rsidR="007002ED">
        <w:rPr>
          <w:rFonts w:ascii="Maiandra GD" w:hAnsi="Maiandra GD"/>
        </w:rPr>
        <w:t xml:space="preserve"> provisoire</w:t>
      </w:r>
      <w:r>
        <w:rPr>
          <w:rFonts w:ascii="Maiandra GD" w:hAnsi="Maiandra GD"/>
        </w:rPr>
        <w:t> ?</w:t>
      </w:r>
    </w:p>
    <w:p w14:paraId="4C735E0B" w14:textId="4D15C7DD" w:rsidR="00303359" w:rsidRDefault="00303359" w:rsidP="000C0E04">
      <w:pPr>
        <w:pStyle w:val="NormalWeb"/>
        <w:numPr>
          <w:ilvl w:val="0"/>
          <w:numId w:val="16"/>
        </w:numPr>
        <w:spacing w:before="0" w:line="276" w:lineRule="auto"/>
        <w:jc w:val="both"/>
        <w:rPr>
          <w:rFonts w:ascii="Maiandra GD" w:hAnsi="Maiandra GD"/>
        </w:rPr>
      </w:pPr>
      <w:r>
        <w:rPr>
          <w:rFonts w:ascii="Maiandra GD" w:hAnsi="Maiandra GD"/>
        </w:rPr>
        <w:t>Quelles sont les actions menées par l’Etat partie pour donner effet aux décisions de la Cour constitutionnelle constatant les détentions arbitraires et illégales ?</w:t>
      </w:r>
    </w:p>
    <w:p w14:paraId="57A1545B" w14:textId="5547BB48" w:rsidR="009F4DD6" w:rsidRPr="00840CFF" w:rsidRDefault="009F4DD6" w:rsidP="000C0E04">
      <w:pPr>
        <w:pStyle w:val="NormalWeb"/>
        <w:spacing w:before="0" w:line="276" w:lineRule="auto"/>
        <w:jc w:val="both"/>
        <w:rPr>
          <w:rFonts w:ascii="Maiandra GD" w:hAnsi="Maiandra GD"/>
          <w:b/>
          <w:bCs/>
        </w:rPr>
      </w:pPr>
      <w:r w:rsidRPr="00840CFF">
        <w:rPr>
          <w:rFonts w:ascii="Maiandra GD" w:hAnsi="Maiandra GD"/>
          <w:b/>
          <w:bCs/>
        </w:rPr>
        <w:t>Prévention des cas de disparition forcée (Article 23)</w:t>
      </w:r>
    </w:p>
    <w:p w14:paraId="3BE8AE1F" w14:textId="6EB3E953" w:rsidR="009F4DD6" w:rsidRPr="00840CFF" w:rsidRDefault="009F4DD6" w:rsidP="000C0E04">
      <w:pPr>
        <w:pStyle w:val="NormalWeb"/>
        <w:numPr>
          <w:ilvl w:val="0"/>
          <w:numId w:val="17"/>
        </w:numPr>
        <w:spacing w:before="0" w:line="276" w:lineRule="auto"/>
        <w:jc w:val="both"/>
        <w:rPr>
          <w:rFonts w:ascii="Maiandra GD" w:hAnsi="Maiandra GD"/>
          <w:bCs/>
        </w:rPr>
      </w:pPr>
      <w:r>
        <w:rPr>
          <w:rFonts w:ascii="Maiandra GD" w:hAnsi="Maiandra GD"/>
        </w:rPr>
        <w:t xml:space="preserve">Quelles sont les mesures prises par l’Etat partie pour </w:t>
      </w:r>
      <w:r w:rsidRPr="00840CFF">
        <w:rPr>
          <w:rFonts w:ascii="Maiandra GD" w:hAnsi="Maiandra GD"/>
          <w:bCs/>
          <w:color w:val="000000" w:themeColor="text1"/>
        </w:rPr>
        <w:t>développer des lignes directrices claires sur le recours à la force et aux armes intégrant les principes de légitimité, de nécessité, de proportionnalité et de précaution ?</w:t>
      </w:r>
    </w:p>
    <w:p w14:paraId="070B0626" w14:textId="74710B21" w:rsidR="009F4DD6" w:rsidRPr="00840CFF" w:rsidRDefault="009F4DD6" w:rsidP="000C0E04">
      <w:pPr>
        <w:pStyle w:val="NormalWeb"/>
        <w:numPr>
          <w:ilvl w:val="0"/>
          <w:numId w:val="17"/>
        </w:numPr>
        <w:spacing w:before="0" w:line="276" w:lineRule="auto"/>
        <w:jc w:val="both"/>
        <w:rPr>
          <w:rFonts w:ascii="Maiandra GD" w:hAnsi="Maiandra GD"/>
          <w:bCs/>
        </w:rPr>
      </w:pPr>
      <w:r w:rsidRPr="00840CFF">
        <w:rPr>
          <w:rFonts w:ascii="Maiandra GD" w:hAnsi="Maiandra GD"/>
          <w:bCs/>
          <w:color w:val="000000" w:themeColor="text1"/>
        </w:rPr>
        <w:t>Veuillez fournir le contenu de la formation que suivent les agents chargés de l’application des lois en vue de la prévention de</w:t>
      </w:r>
      <w:r w:rsidR="009E534E" w:rsidRPr="00840CFF">
        <w:rPr>
          <w:rFonts w:ascii="Maiandra GD" w:hAnsi="Maiandra GD"/>
          <w:bCs/>
          <w:color w:val="000000" w:themeColor="text1"/>
        </w:rPr>
        <w:t xml:space="preserve"> la disparition forcée ?</w:t>
      </w:r>
    </w:p>
    <w:p w14:paraId="2FC4E774" w14:textId="52809591" w:rsidR="009E534E" w:rsidRPr="00926B8A" w:rsidRDefault="009E534E" w:rsidP="000C0E04">
      <w:pPr>
        <w:pStyle w:val="NormalWeb"/>
        <w:numPr>
          <w:ilvl w:val="0"/>
          <w:numId w:val="17"/>
        </w:numPr>
        <w:spacing w:before="0" w:line="276" w:lineRule="auto"/>
        <w:jc w:val="both"/>
        <w:rPr>
          <w:rFonts w:ascii="Maiandra GD" w:hAnsi="Maiandra GD"/>
          <w:bCs/>
        </w:rPr>
      </w:pPr>
      <w:r w:rsidRPr="00840CFF">
        <w:rPr>
          <w:rFonts w:ascii="Maiandra GD" w:hAnsi="Maiandra GD"/>
          <w:bCs/>
          <w:color w:val="000000" w:themeColor="text1"/>
        </w:rPr>
        <w:t>Quelles sont les actions menées par l’Etat partie pour prévenir et réprimer les actes de vindicte populaire ?</w:t>
      </w:r>
    </w:p>
    <w:p w14:paraId="29F6C5B3" w14:textId="08ACCBCD" w:rsidR="00926B8A" w:rsidRPr="00CB0820" w:rsidRDefault="00926B8A" w:rsidP="000C0E04">
      <w:pPr>
        <w:pStyle w:val="NormalWeb"/>
        <w:spacing w:before="0" w:line="276" w:lineRule="auto"/>
        <w:jc w:val="both"/>
        <w:rPr>
          <w:rFonts w:ascii="Maiandra GD" w:hAnsi="Maiandra GD"/>
          <w:b/>
          <w:color w:val="000000" w:themeColor="text1"/>
        </w:rPr>
      </w:pPr>
      <w:r w:rsidRPr="00CB0820">
        <w:rPr>
          <w:rFonts w:ascii="Maiandra GD" w:hAnsi="Maiandra GD"/>
          <w:b/>
          <w:color w:val="000000" w:themeColor="text1"/>
        </w:rPr>
        <w:t>Droit à la réparation des victimes (Article 24)</w:t>
      </w:r>
    </w:p>
    <w:p w14:paraId="68133FDA" w14:textId="06AB8E51" w:rsidR="00926B8A" w:rsidRPr="00840CFF" w:rsidRDefault="00926B8A" w:rsidP="000C0E04">
      <w:pPr>
        <w:pStyle w:val="NormalWeb"/>
        <w:numPr>
          <w:ilvl w:val="0"/>
          <w:numId w:val="18"/>
        </w:numPr>
        <w:spacing w:before="0" w:line="276" w:lineRule="auto"/>
        <w:jc w:val="both"/>
        <w:rPr>
          <w:rFonts w:ascii="Maiandra GD" w:hAnsi="Maiandra GD"/>
          <w:bCs/>
        </w:rPr>
      </w:pPr>
      <w:r>
        <w:rPr>
          <w:rFonts w:ascii="Maiandra GD" w:hAnsi="Maiandra GD"/>
          <w:bCs/>
        </w:rPr>
        <w:t>Où en est l’Etat partie dans la mise en place et le fonctionnement de la commission d’indemnisation des victimes de détention provisoire et de garde-à-vue abusives prévue par l’article 209 du code de procédure pénale ?</w:t>
      </w:r>
    </w:p>
    <w:p w14:paraId="3BFB1487" w14:textId="77777777" w:rsidR="00B71C69" w:rsidRDefault="00B71C69" w:rsidP="000C0E04">
      <w:pPr>
        <w:spacing w:line="276" w:lineRule="auto"/>
      </w:pPr>
    </w:p>
    <w:sectPr w:rsidR="00B71C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AE17" w14:textId="77777777" w:rsidR="00C47A6D" w:rsidRDefault="00C47A6D" w:rsidP="00B71C69">
      <w:pPr>
        <w:spacing w:after="0" w:line="240" w:lineRule="auto"/>
      </w:pPr>
      <w:r>
        <w:separator/>
      </w:r>
    </w:p>
  </w:endnote>
  <w:endnote w:type="continuationSeparator" w:id="0">
    <w:p w14:paraId="380EB230" w14:textId="77777777" w:rsidR="00C47A6D" w:rsidRDefault="00C47A6D" w:rsidP="00B7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31158"/>
      <w:docPartObj>
        <w:docPartGallery w:val="Page Numbers (Bottom of Page)"/>
        <w:docPartUnique/>
      </w:docPartObj>
    </w:sdtPr>
    <w:sdtContent>
      <w:p w14:paraId="4F19236A" w14:textId="77777777" w:rsidR="00F72810" w:rsidRDefault="00000000">
        <w:pPr>
          <w:pStyle w:val="Pieddepage"/>
          <w:jc w:val="right"/>
        </w:pPr>
        <w:r>
          <w:fldChar w:fldCharType="begin"/>
        </w:r>
        <w:r>
          <w:instrText>PAGE   \* MERGEFORMAT</w:instrText>
        </w:r>
        <w:r>
          <w:fldChar w:fldCharType="separate"/>
        </w:r>
        <w:r>
          <w:t>2</w:t>
        </w:r>
        <w:r>
          <w:fldChar w:fldCharType="end"/>
        </w:r>
      </w:p>
    </w:sdtContent>
  </w:sdt>
  <w:p w14:paraId="12707021" w14:textId="77777777" w:rsidR="00E026C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3310" w14:textId="77777777" w:rsidR="00C47A6D" w:rsidRDefault="00C47A6D" w:rsidP="00B71C69">
      <w:pPr>
        <w:spacing w:after="0" w:line="240" w:lineRule="auto"/>
      </w:pPr>
      <w:r>
        <w:separator/>
      </w:r>
    </w:p>
  </w:footnote>
  <w:footnote w:type="continuationSeparator" w:id="0">
    <w:p w14:paraId="41AFB6E5" w14:textId="77777777" w:rsidR="00C47A6D" w:rsidRDefault="00C47A6D" w:rsidP="00B71C69">
      <w:pPr>
        <w:spacing w:after="0" w:line="240" w:lineRule="auto"/>
      </w:pPr>
      <w:r>
        <w:continuationSeparator/>
      </w:r>
    </w:p>
  </w:footnote>
  <w:footnote w:id="1">
    <w:p w14:paraId="22E5B936" w14:textId="77777777" w:rsidR="008660FE" w:rsidRPr="00CC417F" w:rsidRDefault="008660FE" w:rsidP="008660FE">
      <w:pPr>
        <w:pStyle w:val="Notedebasdepage"/>
        <w:rPr>
          <w:lang w:val="fr-CA"/>
        </w:rPr>
      </w:pPr>
      <w:r>
        <w:rPr>
          <w:rStyle w:val="Appelnotedebasdep"/>
        </w:rPr>
        <w:footnoteRef/>
      </w:r>
      <w:r>
        <w:t xml:space="preserve"> </w:t>
      </w:r>
      <w:hyperlink r:id="rId1" w:anchor=":~:text=Le%2021%20d%C3%A9cembre%202010%2C%20l,pour%20la%20dignit%C3%A9%20des%20victimes" w:history="1">
        <w:r w:rsidRPr="00F877CE">
          <w:rPr>
            <w:rStyle w:val="Lienhypertexte"/>
          </w:rPr>
          <w:t>https://www.un.org/fr/observances/right-to-truth-day#:~:text=Le%2021%20d%C3%A9cembre%202010%2C%20l,pour%20la%20dignit%C3%A9%20des%20victimes</w:t>
        </w:r>
      </w:hyperlink>
      <w:r w:rsidRPr="00CC417F">
        <w:t>.</w:t>
      </w:r>
      <w:r>
        <w:rPr>
          <w:lang w:val="fr-CA"/>
        </w:rPr>
        <w:t xml:space="preserve"> </w:t>
      </w:r>
    </w:p>
  </w:footnote>
  <w:footnote w:id="2">
    <w:p w14:paraId="41479DE7" w14:textId="77777777" w:rsidR="008A7A45" w:rsidRPr="002E2365" w:rsidRDefault="008A7A45" w:rsidP="008A7A45">
      <w:pPr>
        <w:pStyle w:val="Notedebasdepage"/>
        <w:rPr>
          <w:lang w:val="fr-CA"/>
        </w:rPr>
      </w:pPr>
      <w:r>
        <w:rPr>
          <w:rStyle w:val="Appelnotedebasdep"/>
        </w:rPr>
        <w:footnoteRef/>
      </w:r>
      <w:r>
        <w:t xml:space="preserve"> </w:t>
      </w:r>
      <w:hyperlink r:id="rId2" w:history="1">
        <w:r w:rsidRPr="00F877CE">
          <w:rPr>
            <w:rStyle w:val="Lienhypertexte"/>
          </w:rPr>
          <w:t>https://www.achpr.org/fr_sessions/resolutions?id=439</w:t>
        </w:r>
      </w:hyperlink>
      <w:r>
        <w:rPr>
          <w:lang w:val="fr-CA"/>
        </w:rPr>
        <w:t xml:space="preserve"> </w:t>
      </w:r>
    </w:p>
  </w:footnote>
  <w:footnote w:id="3">
    <w:p w14:paraId="4A6C01B1" w14:textId="77777777" w:rsidR="008A7A45" w:rsidRPr="00CF44F2" w:rsidRDefault="008A7A45" w:rsidP="008A7A45">
      <w:pPr>
        <w:pStyle w:val="Notedebasdepage"/>
        <w:rPr>
          <w:lang w:val="fr-CA"/>
        </w:rPr>
      </w:pPr>
      <w:r>
        <w:rPr>
          <w:rStyle w:val="Appelnotedebasdep"/>
        </w:rPr>
        <w:footnoteRef/>
      </w:r>
      <w:r>
        <w:t xml:space="preserve"> </w:t>
      </w:r>
      <w:r>
        <w:rPr>
          <w:lang w:val="fr-CA"/>
        </w:rPr>
        <w:t xml:space="preserve">Paragraphe 35 des observations finales du Comité adoptées le 15 mai 2019 </w:t>
      </w:r>
      <w:hyperlink r:id="rId3" w:history="1">
        <w:r w:rsidRPr="00F877CE">
          <w:rPr>
            <w:rStyle w:val="Lienhypertexte"/>
            <w:lang w:val="fr-CA"/>
          </w:rPr>
          <w:t>https://tbinternet.ohchr.org/_layouts/15/treatybodyexternal/Download.aspx?symbolno=CAT%2fC%2fBEN%2fCO%2f3&amp;Lang=fr</w:t>
        </w:r>
      </w:hyperlink>
      <w:r>
        <w:rPr>
          <w:lang w:val="fr-CA"/>
        </w:rPr>
        <w:t xml:space="preserve"> </w:t>
      </w:r>
    </w:p>
  </w:footnote>
  <w:footnote w:id="4">
    <w:p w14:paraId="2C89BB31" w14:textId="77777777" w:rsidR="008A7A45" w:rsidRPr="003B724F" w:rsidRDefault="008A7A45" w:rsidP="008A7A45">
      <w:pPr>
        <w:pStyle w:val="Notedebasdepage"/>
        <w:rPr>
          <w:lang w:val="fr-CA"/>
        </w:rPr>
      </w:pPr>
      <w:r>
        <w:rPr>
          <w:rStyle w:val="Appelnotedebasdep"/>
        </w:rPr>
        <w:footnoteRef/>
      </w:r>
      <w:r>
        <w:t xml:space="preserve"> </w:t>
      </w:r>
      <w:hyperlink r:id="rId4" w:history="1">
        <w:r w:rsidRPr="00F877CE">
          <w:rPr>
            <w:rStyle w:val="Lienhypertexte"/>
          </w:rPr>
          <w:t>https://sgg.gouv.bj/recherche/?type=tout&amp;begin=&amp;end=&amp;keywords=amnistie</w:t>
        </w:r>
      </w:hyperlink>
      <w:r>
        <w:rPr>
          <w:lang w:val="fr-CA"/>
        </w:rPr>
        <w:t xml:space="preserve"> </w:t>
      </w:r>
    </w:p>
  </w:footnote>
  <w:footnote w:id="5">
    <w:p w14:paraId="3ADF231D" w14:textId="5D54A9AD" w:rsidR="008A7A45" w:rsidRPr="00227363" w:rsidRDefault="008A7A45" w:rsidP="008A7A45">
      <w:pPr>
        <w:pStyle w:val="Notedebasdepage"/>
        <w:rPr>
          <w:lang w:val="fr-CA"/>
        </w:rPr>
      </w:pPr>
      <w:r>
        <w:rPr>
          <w:rStyle w:val="Appelnotedebasdep"/>
        </w:rPr>
        <w:footnoteRef/>
      </w:r>
      <w:r>
        <w:t xml:space="preserve"> </w:t>
      </w:r>
      <w:hyperlink r:id="rId5" w:anchor=":~:text=Le%2021%20d%C3%A9cembre%202010%2C%20l,pour%20la%20dignit%C3%A9%20des%20victims" w:history="1">
        <w:r w:rsidR="002D2695" w:rsidRPr="008A7D6D">
          <w:rPr>
            <w:rStyle w:val="Lienhypertexte"/>
          </w:rPr>
          <w:t>https://www.un.org/fr/observances/right-to-truth-day#:~:text=Le%2021%20d%C3%A9cembre%202010%2C%20l,pour%20la%20dignit%C3%A9%20des%20victims</w:t>
        </w:r>
      </w:hyperlink>
      <w:r w:rsidRPr="00227363">
        <w:t>.</w:t>
      </w:r>
      <w:r>
        <w:rPr>
          <w:lang w:val="fr-CA"/>
        </w:rPr>
        <w:t xml:space="preserve"> </w:t>
      </w:r>
    </w:p>
  </w:footnote>
  <w:footnote w:id="6">
    <w:p w14:paraId="1D52E0FC" w14:textId="77777777" w:rsidR="008A7A45" w:rsidRPr="0057254F" w:rsidRDefault="008A7A45" w:rsidP="008A7A45">
      <w:pPr>
        <w:pStyle w:val="Notedebasdepage"/>
        <w:rPr>
          <w:lang w:val="fr-CA"/>
        </w:rPr>
      </w:pPr>
      <w:r>
        <w:rPr>
          <w:rStyle w:val="Appelnotedebasdep"/>
        </w:rPr>
        <w:footnoteRef/>
      </w:r>
      <w:r>
        <w:t xml:space="preserve"> </w:t>
      </w:r>
      <w:hyperlink r:id="rId6" w:history="1">
        <w:r w:rsidRPr="00F877CE">
          <w:rPr>
            <w:rStyle w:val="Lienhypertexte"/>
          </w:rPr>
          <w:t>https://cbdh.bj/home/wp-content/uploads/2022/03/RAPPORT-EDH-AU-BENIN-CBDH-2019.pdf</w:t>
        </w:r>
      </w:hyperlink>
      <w:r>
        <w:rPr>
          <w:lang w:val="fr-CA"/>
        </w:rPr>
        <w:t xml:space="preserve"> </w:t>
      </w:r>
    </w:p>
  </w:footnote>
  <w:footnote w:id="7">
    <w:p w14:paraId="0F8DE809" w14:textId="77777777" w:rsidR="008A7A45" w:rsidRPr="002A1A35" w:rsidRDefault="008A7A45" w:rsidP="008A7A45">
      <w:pPr>
        <w:pStyle w:val="Notedebasdepage"/>
        <w:rPr>
          <w:lang w:val="fr-CA"/>
        </w:rPr>
      </w:pPr>
      <w:r>
        <w:rPr>
          <w:rStyle w:val="Appelnotedebasdep"/>
        </w:rPr>
        <w:footnoteRef/>
      </w:r>
      <w:r>
        <w:t xml:space="preserve"> </w:t>
      </w:r>
      <w:hyperlink r:id="rId7" w:history="1">
        <w:r w:rsidRPr="00F877CE">
          <w:rPr>
            <w:rStyle w:val="Lienhypertexte"/>
          </w:rPr>
          <w:t>https://cbdh.bj/home/wp-content/uploads/2022/03/RAPPORT-EDH-BAT-Decembre-2021.pdf</w:t>
        </w:r>
      </w:hyperlink>
      <w:r>
        <w:rPr>
          <w:lang w:val="fr-CA"/>
        </w:rPr>
        <w:t xml:space="preserve"> </w:t>
      </w:r>
    </w:p>
  </w:footnote>
  <w:footnote w:id="8">
    <w:p w14:paraId="4F9B87A6" w14:textId="2A7046C9" w:rsidR="002C7AE8" w:rsidRPr="002C7AE8" w:rsidRDefault="002C7AE8">
      <w:pPr>
        <w:pStyle w:val="Notedebasdepage"/>
        <w:rPr>
          <w:lang w:val="fr-CA"/>
        </w:rPr>
      </w:pPr>
      <w:r>
        <w:rPr>
          <w:rStyle w:val="Appelnotedebasdep"/>
        </w:rPr>
        <w:footnoteRef/>
      </w:r>
      <w:r>
        <w:t xml:space="preserve"> </w:t>
      </w:r>
      <w:r>
        <w:rPr>
          <w:lang w:val="fr-CA"/>
        </w:rPr>
        <w:t>Pages 17 à 22 du rapport</w:t>
      </w:r>
    </w:p>
  </w:footnote>
  <w:footnote w:id="9">
    <w:p w14:paraId="7EE8E542" w14:textId="77777777" w:rsidR="00C33BDF" w:rsidRPr="003972B8" w:rsidRDefault="00C33BDF" w:rsidP="00C33BDF">
      <w:pPr>
        <w:pStyle w:val="Notedebasdepage"/>
        <w:rPr>
          <w:lang w:val="fr-CA"/>
        </w:rPr>
      </w:pPr>
      <w:r>
        <w:rPr>
          <w:rStyle w:val="Appelnotedebasdep"/>
        </w:rPr>
        <w:footnoteRef/>
      </w:r>
      <w:r>
        <w:t xml:space="preserve"> </w:t>
      </w:r>
      <w:hyperlink r:id="rId8" w:history="1">
        <w:r w:rsidRPr="00F877CE">
          <w:rPr>
            <w:rStyle w:val="Lienhypertexte"/>
          </w:rPr>
          <w:t>https://cbdh.bj/home/wp-content/uploads/2022/03/RAPPORT-EDH-BAT-Decembre-2021.pdf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6BD"/>
    <w:multiLevelType w:val="hybridMultilevel"/>
    <w:tmpl w:val="74BA86B0"/>
    <w:lvl w:ilvl="0" w:tplc="EDE02FCE">
      <w:start w:val="1"/>
      <w:numFmt w:val="upperRoman"/>
      <w:lvlText w:val="%1-"/>
      <w:lvlJc w:val="left"/>
      <w:pPr>
        <w:ind w:left="1080" w:hanging="72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0B00A6"/>
    <w:multiLevelType w:val="hybridMultilevel"/>
    <w:tmpl w:val="0C78A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14A8B"/>
    <w:multiLevelType w:val="multilevel"/>
    <w:tmpl w:val="1A4E6BF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290C7EF1"/>
    <w:multiLevelType w:val="hybridMultilevel"/>
    <w:tmpl w:val="93EE8B28"/>
    <w:lvl w:ilvl="0" w:tplc="D4ECD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625FE"/>
    <w:multiLevelType w:val="hybridMultilevel"/>
    <w:tmpl w:val="72B639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3412B4"/>
    <w:multiLevelType w:val="hybridMultilevel"/>
    <w:tmpl w:val="9392AC10"/>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6" w15:restartNumberingAfterBreak="0">
    <w:nsid w:val="328F533A"/>
    <w:multiLevelType w:val="hybridMultilevel"/>
    <w:tmpl w:val="4858E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9E58D9"/>
    <w:multiLevelType w:val="hybridMultilevel"/>
    <w:tmpl w:val="74B47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A95261"/>
    <w:multiLevelType w:val="hybridMultilevel"/>
    <w:tmpl w:val="10FAC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4D33DB"/>
    <w:multiLevelType w:val="hybridMultilevel"/>
    <w:tmpl w:val="B9581C32"/>
    <w:lvl w:ilvl="0" w:tplc="8F2052B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29B521B"/>
    <w:multiLevelType w:val="hybridMultilevel"/>
    <w:tmpl w:val="482C44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76E58B6"/>
    <w:multiLevelType w:val="hybridMultilevel"/>
    <w:tmpl w:val="0F0E0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FAA5674"/>
    <w:multiLevelType w:val="hybridMultilevel"/>
    <w:tmpl w:val="ED765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D7712F"/>
    <w:multiLevelType w:val="hybridMultilevel"/>
    <w:tmpl w:val="F4948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F00C0C"/>
    <w:multiLevelType w:val="hybridMultilevel"/>
    <w:tmpl w:val="D67CED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95464F2"/>
    <w:multiLevelType w:val="hybridMultilevel"/>
    <w:tmpl w:val="B284FC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7124E2"/>
    <w:multiLevelType w:val="hybridMultilevel"/>
    <w:tmpl w:val="76E47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7D7F2C"/>
    <w:multiLevelType w:val="hybridMultilevel"/>
    <w:tmpl w:val="F960A4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67287302">
    <w:abstractNumId w:val="1"/>
  </w:num>
  <w:num w:numId="2" w16cid:durableId="1059862281">
    <w:abstractNumId w:val="12"/>
  </w:num>
  <w:num w:numId="3" w16cid:durableId="165638112">
    <w:abstractNumId w:val="13"/>
  </w:num>
  <w:num w:numId="4" w16cid:durableId="1110977620">
    <w:abstractNumId w:val="8"/>
  </w:num>
  <w:num w:numId="5" w16cid:durableId="1184635142">
    <w:abstractNumId w:val="5"/>
  </w:num>
  <w:num w:numId="6" w16cid:durableId="858008807">
    <w:abstractNumId w:val="6"/>
  </w:num>
  <w:num w:numId="7" w16cid:durableId="1658924273">
    <w:abstractNumId w:val="2"/>
  </w:num>
  <w:num w:numId="8" w16cid:durableId="1673071948">
    <w:abstractNumId w:val="16"/>
  </w:num>
  <w:num w:numId="9" w16cid:durableId="1471247792">
    <w:abstractNumId w:val="4"/>
  </w:num>
  <w:num w:numId="10" w16cid:durableId="895817358">
    <w:abstractNumId w:val="17"/>
  </w:num>
  <w:num w:numId="11" w16cid:durableId="2064864032">
    <w:abstractNumId w:val="3"/>
  </w:num>
  <w:num w:numId="12" w16cid:durableId="1251164113">
    <w:abstractNumId w:val="0"/>
  </w:num>
  <w:num w:numId="13" w16cid:durableId="176307976">
    <w:abstractNumId w:val="9"/>
  </w:num>
  <w:num w:numId="14" w16cid:durableId="821047950">
    <w:abstractNumId w:val="7"/>
  </w:num>
  <w:num w:numId="15" w16cid:durableId="351303670">
    <w:abstractNumId w:val="14"/>
  </w:num>
  <w:num w:numId="16" w16cid:durableId="206453562">
    <w:abstractNumId w:val="11"/>
  </w:num>
  <w:num w:numId="17" w16cid:durableId="400836448">
    <w:abstractNumId w:val="15"/>
  </w:num>
  <w:num w:numId="18" w16cid:durableId="295256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69"/>
    <w:rsid w:val="0000609C"/>
    <w:rsid w:val="000071C2"/>
    <w:rsid w:val="00057446"/>
    <w:rsid w:val="00071DD7"/>
    <w:rsid w:val="000B3BEB"/>
    <w:rsid w:val="000C0E04"/>
    <w:rsid w:val="000D6A0D"/>
    <w:rsid w:val="00203CA3"/>
    <w:rsid w:val="002C6D5E"/>
    <w:rsid w:val="002C7AE8"/>
    <w:rsid w:val="002D2695"/>
    <w:rsid w:val="002F278B"/>
    <w:rsid w:val="00303359"/>
    <w:rsid w:val="005D6C5A"/>
    <w:rsid w:val="00631F50"/>
    <w:rsid w:val="007002ED"/>
    <w:rsid w:val="00717B7B"/>
    <w:rsid w:val="007A5253"/>
    <w:rsid w:val="00840CFF"/>
    <w:rsid w:val="008660FE"/>
    <w:rsid w:val="008A7A45"/>
    <w:rsid w:val="00926B8A"/>
    <w:rsid w:val="009E534E"/>
    <w:rsid w:val="009F4DD6"/>
    <w:rsid w:val="00AB7A75"/>
    <w:rsid w:val="00AC0DEF"/>
    <w:rsid w:val="00B61683"/>
    <w:rsid w:val="00B71C69"/>
    <w:rsid w:val="00C33BDF"/>
    <w:rsid w:val="00C47A6D"/>
    <w:rsid w:val="00C90117"/>
    <w:rsid w:val="00CB0820"/>
    <w:rsid w:val="00DA03B5"/>
    <w:rsid w:val="00F51107"/>
    <w:rsid w:val="00FA6279"/>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2D77"/>
  <w15:chartTrackingRefBased/>
  <w15:docId w15:val="{E9DC60A0-FE8E-4091-83DF-AA517A5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6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owy,References,Liste 1,Numbered List Paragraph,List Paragraph (numbered (a)),ReferencesCxSpLast,MCHIP_list paragraph,Recommendation,Liste couleur - Accent 11,Lapis Bulleted List,List Paragraph2,check,lp1"/>
    <w:basedOn w:val="Normal"/>
    <w:link w:val="ParagraphedelisteCar"/>
    <w:uiPriority w:val="34"/>
    <w:qFormat/>
    <w:rsid w:val="00B71C69"/>
    <w:pPr>
      <w:ind w:left="720"/>
      <w:contextualSpacing/>
    </w:pPr>
    <w:rPr>
      <w:rFonts w:eastAsiaTheme="minorEastAsia"/>
      <w:lang w:eastAsia="fr-FR"/>
    </w:rPr>
  </w:style>
  <w:style w:type="character" w:customStyle="1" w:styleId="ParagraphedelisteCar">
    <w:name w:val="Paragraphe de liste Car"/>
    <w:aliases w:val="Bullets Car,List Paragraph nowy Car,References Car,Liste 1 Car,Numbered List Paragraph Car,List Paragraph (numbered (a)) Car,ReferencesCxSpLast Car,MCHIP_list paragraph Car,Recommendation Car,Liste couleur - Accent 11 Car,lp1 Car"/>
    <w:link w:val="Paragraphedeliste"/>
    <w:uiPriority w:val="34"/>
    <w:qFormat/>
    <w:locked/>
    <w:rsid w:val="00B71C69"/>
    <w:rPr>
      <w:rFonts w:eastAsiaTheme="minorEastAsia"/>
      <w:lang w:val="fr-FR" w:eastAsia="fr-FR"/>
    </w:rPr>
  </w:style>
  <w:style w:type="paragraph" w:styleId="Pieddepage">
    <w:name w:val="footer"/>
    <w:basedOn w:val="Normal"/>
    <w:link w:val="PieddepageCar"/>
    <w:uiPriority w:val="99"/>
    <w:unhideWhenUsed/>
    <w:rsid w:val="00B71C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C69"/>
    <w:rPr>
      <w:lang w:val="fr-FR"/>
    </w:rPr>
  </w:style>
  <w:style w:type="paragraph" w:styleId="Notedebasdepage">
    <w:name w:val="footnote text"/>
    <w:aliases w:val="5_G"/>
    <w:basedOn w:val="Normal"/>
    <w:link w:val="NotedebasdepageCar"/>
    <w:unhideWhenUsed/>
    <w:qFormat/>
    <w:rsid w:val="00B71C69"/>
    <w:pPr>
      <w:spacing w:after="0" w:line="240" w:lineRule="auto"/>
    </w:pPr>
    <w:rPr>
      <w:sz w:val="20"/>
      <w:szCs w:val="20"/>
    </w:rPr>
  </w:style>
  <w:style w:type="character" w:customStyle="1" w:styleId="NotedebasdepageCar">
    <w:name w:val="Note de bas de page Car"/>
    <w:aliases w:val="5_G Car"/>
    <w:basedOn w:val="Policepardfaut"/>
    <w:link w:val="Notedebasdepage"/>
    <w:rsid w:val="00B71C69"/>
    <w:rPr>
      <w:sz w:val="20"/>
      <w:szCs w:val="20"/>
      <w:lang w:val="fr-FR"/>
    </w:rPr>
  </w:style>
  <w:style w:type="character" w:styleId="Appelnotedebasdep">
    <w:name w:val="footnote reference"/>
    <w:aliases w:val="4_G"/>
    <w:basedOn w:val="Policepardfaut"/>
    <w:unhideWhenUsed/>
    <w:qFormat/>
    <w:rsid w:val="00B71C69"/>
    <w:rPr>
      <w:vertAlign w:val="superscript"/>
    </w:rPr>
  </w:style>
  <w:style w:type="paragraph" w:styleId="NormalWeb">
    <w:name w:val="Normal (Web)"/>
    <w:basedOn w:val="Normal"/>
    <w:uiPriority w:val="99"/>
    <w:unhideWhenUsed/>
    <w:qFormat/>
    <w:rsid w:val="00B71C69"/>
    <w:pPr>
      <w:spacing w:before="120" w:beforeAutospacing="1" w:after="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660FE"/>
    <w:rPr>
      <w:color w:val="0563C1" w:themeColor="hyperlink"/>
      <w:u w:val="single"/>
    </w:rPr>
  </w:style>
  <w:style w:type="character" w:styleId="Mentionnonrsolue">
    <w:name w:val="Unresolved Mention"/>
    <w:basedOn w:val="Policepardfaut"/>
    <w:uiPriority w:val="99"/>
    <w:semiHidden/>
    <w:unhideWhenUsed/>
    <w:rsid w:val="002D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cbdh.bj/home/wp-content/uploads/2022/03/RAPPORT-EDH-BAT-Decembre-2021.pdf" TargetMode="External"/><Relationship Id="rId3" Type="http://schemas.openxmlformats.org/officeDocument/2006/relationships/hyperlink" Target="https://tbinternet.ohchr.org/_layouts/15/treatybodyexternal/Download.aspx?symbolno=CAT%2fC%2fBEN%2fCO%2f3&amp;Lang=fr" TargetMode="External"/><Relationship Id="rId7" Type="http://schemas.openxmlformats.org/officeDocument/2006/relationships/hyperlink" Target="https://cbdh.bj/home/wp-content/uploads/2022/03/RAPPORT-EDH-BAT-Decembre-2021.pdf" TargetMode="External"/><Relationship Id="rId2" Type="http://schemas.openxmlformats.org/officeDocument/2006/relationships/hyperlink" Target="https://www.achpr.org/fr_sessions/resolutions?id=439" TargetMode="External"/><Relationship Id="rId1" Type="http://schemas.openxmlformats.org/officeDocument/2006/relationships/hyperlink" Target="https://www.un.org/fr/observances/right-to-truth-day" TargetMode="External"/><Relationship Id="rId6" Type="http://schemas.openxmlformats.org/officeDocument/2006/relationships/hyperlink" Target="https://cbdh.bj/home/wp-content/uploads/2022/03/RAPPORT-EDH-AU-BENIN-CBDH-2019.pdf" TargetMode="External"/><Relationship Id="rId5" Type="http://schemas.openxmlformats.org/officeDocument/2006/relationships/hyperlink" Target="https://www.un.org/fr/observances/right-to-truth-day" TargetMode="External"/><Relationship Id="rId4" Type="http://schemas.openxmlformats.org/officeDocument/2006/relationships/hyperlink" Target="https://sgg.gouv.bj/recherche/?type=tout&amp;begin=&amp;end=&amp;keywords=amnist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CAAFE-F0A1-4CF8-A5F1-586A9F4B5255}">
  <ds:schemaRefs>
    <ds:schemaRef ds:uri="http://schemas.openxmlformats.org/officeDocument/2006/bibliography"/>
  </ds:schemaRefs>
</ds:datastoreItem>
</file>

<file path=customXml/itemProps2.xml><?xml version="1.0" encoding="utf-8"?>
<ds:datastoreItem xmlns:ds="http://schemas.openxmlformats.org/officeDocument/2006/customXml" ds:itemID="{495306DD-FB88-4654-8BA9-7D6950519189}"/>
</file>

<file path=customXml/itemProps3.xml><?xml version="1.0" encoding="utf-8"?>
<ds:datastoreItem xmlns:ds="http://schemas.openxmlformats.org/officeDocument/2006/customXml" ds:itemID="{1B29659B-4B6B-4BB5-96F9-BF0461D29A2D}"/>
</file>

<file path=customXml/itemProps4.xml><?xml version="1.0" encoding="utf-8"?>
<ds:datastoreItem xmlns:ds="http://schemas.openxmlformats.org/officeDocument/2006/customXml" ds:itemID="{D45D3680-EC7D-4540-B949-8DD0861DE501}"/>
</file>

<file path=docProps/app.xml><?xml version="1.0" encoding="utf-8"?>
<Properties xmlns="http://schemas.openxmlformats.org/officeDocument/2006/extended-properties" xmlns:vt="http://schemas.openxmlformats.org/officeDocument/2006/docPropsVTypes">
  <Template>Normal</Template>
  <TotalTime>241</TotalTime>
  <Pages>5</Pages>
  <Words>1637</Words>
  <Characters>9334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19</cp:revision>
  <dcterms:created xsi:type="dcterms:W3CDTF">2022-10-20T11:11:00Z</dcterms:created>
  <dcterms:modified xsi:type="dcterms:W3CDTF">2022-10-24T10:41:00Z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0x01010018E76F2209421842A1575431D230AEB4</vt:lpwstr>
  </property>
</Properties>
</file>