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82B2A" w14:textId="77777777" w:rsidR="00C0496A" w:rsidRPr="00F35345" w:rsidRDefault="00C0496A" w:rsidP="00C0496A">
      <w:pPr>
        <w:spacing w:before="120" w:after="120" w:line="276" w:lineRule="auto"/>
        <w:jc w:val="center"/>
        <w:rPr>
          <w:rFonts w:ascii="Gill Sans MT" w:hAnsi="Gill Sans MT"/>
          <w:b/>
          <w:color w:val="3B3838" w:themeColor="background2" w:themeShade="40"/>
        </w:rPr>
      </w:pPr>
      <w:r w:rsidRPr="00F35345">
        <w:rPr>
          <w:rFonts w:ascii="Gill Sans MT" w:hAnsi="Gill Sans MT"/>
          <w:b/>
          <w:color w:val="3B3838" w:themeColor="background2" w:themeShade="40"/>
        </w:rPr>
        <w:t>Rapport Alternatif Association Hors la Rue</w:t>
      </w:r>
    </w:p>
    <w:p w14:paraId="1D6CCCA4" w14:textId="77777777" w:rsidR="00C0496A" w:rsidRPr="00F35345" w:rsidRDefault="00C0496A" w:rsidP="00C0496A">
      <w:pPr>
        <w:spacing w:before="120" w:after="120" w:line="276" w:lineRule="auto"/>
        <w:jc w:val="center"/>
        <w:rPr>
          <w:rFonts w:ascii="Gill Sans MT" w:hAnsi="Gill Sans MT"/>
          <w:b/>
          <w:color w:val="3B3838" w:themeColor="background2" w:themeShade="40"/>
        </w:rPr>
      </w:pPr>
      <w:r w:rsidRPr="00F35345">
        <w:rPr>
          <w:rFonts w:ascii="Gill Sans MT" w:hAnsi="Gill Sans MT"/>
          <w:b/>
          <w:color w:val="3B3838" w:themeColor="background2" w:themeShade="40"/>
        </w:rPr>
        <w:t>Examen Périodique de la France – Comité des droits de l’enfant</w:t>
      </w:r>
    </w:p>
    <w:p w14:paraId="71F37602" w14:textId="77777777" w:rsidR="00C0496A" w:rsidRPr="00F35345" w:rsidRDefault="00C0496A" w:rsidP="00C0496A">
      <w:pPr>
        <w:spacing w:before="120" w:after="120" w:line="276" w:lineRule="auto"/>
        <w:rPr>
          <w:rFonts w:ascii="Gill Sans MT" w:hAnsi="Gill Sans MT"/>
          <w:b/>
          <w:color w:val="3B3838" w:themeColor="background2" w:themeShade="40"/>
        </w:rPr>
      </w:pPr>
    </w:p>
    <w:p w14:paraId="2403210A" w14:textId="77777777" w:rsidR="006B504C" w:rsidRPr="00F35345" w:rsidRDefault="006B504C" w:rsidP="00C0496A">
      <w:pPr>
        <w:spacing w:before="120" w:after="120" w:line="276" w:lineRule="auto"/>
        <w:rPr>
          <w:rFonts w:ascii="Gill Sans MT" w:hAnsi="Gill Sans MT"/>
          <w:b/>
          <w:color w:val="3B3838" w:themeColor="background2" w:themeShade="40"/>
        </w:rPr>
      </w:pPr>
      <w:r w:rsidRPr="00F35345">
        <w:rPr>
          <w:rFonts w:ascii="Gill Sans MT" w:hAnsi="Gill Sans MT"/>
          <w:b/>
          <w:color w:val="3B3838" w:themeColor="background2" w:themeShade="40"/>
        </w:rPr>
        <w:t>Introduction</w:t>
      </w:r>
    </w:p>
    <w:p w14:paraId="27174F48" w14:textId="77777777" w:rsidR="007A6B1D" w:rsidRPr="00F35345" w:rsidRDefault="00C9274A" w:rsidP="00C0496A">
      <w:pPr>
        <w:spacing w:before="120" w:after="120" w:line="276" w:lineRule="auto"/>
        <w:jc w:val="both"/>
        <w:rPr>
          <w:rFonts w:ascii="Gill Sans MT" w:hAnsi="Gill Sans MT"/>
          <w:color w:val="3B3838" w:themeColor="background2" w:themeShade="40"/>
        </w:rPr>
      </w:pPr>
      <w:r w:rsidRPr="00F35345">
        <w:rPr>
          <w:rFonts w:ascii="Gill Sans MT" w:hAnsi="Gill Sans MT"/>
          <w:color w:val="3B3838" w:themeColor="background2" w:themeShade="40"/>
        </w:rPr>
        <w:t xml:space="preserve">Hors la Rue </w:t>
      </w:r>
      <w:r w:rsidR="008B419B" w:rsidRPr="00F35345">
        <w:rPr>
          <w:rFonts w:ascii="Gill Sans MT" w:hAnsi="Gill Sans MT"/>
          <w:color w:val="3B3838" w:themeColor="background2" w:themeShade="40"/>
        </w:rPr>
        <w:t xml:space="preserve">(HLR) </w:t>
      </w:r>
      <w:r w:rsidRPr="00F35345">
        <w:rPr>
          <w:rFonts w:ascii="Gill Sans MT" w:hAnsi="Gill Sans MT"/>
          <w:color w:val="3B3838" w:themeColor="background2" w:themeShade="40"/>
        </w:rPr>
        <w:t xml:space="preserve">est une association </w:t>
      </w:r>
      <w:r w:rsidR="007A6B1D" w:rsidRPr="00F35345">
        <w:rPr>
          <w:rFonts w:ascii="Gill Sans MT" w:hAnsi="Gill Sans MT"/>
          <w:color w:val="3B3838" w:themeColor="background2" w:themeShade="40"/>
        </w:rPr>
        <w:t xml:space="preserve">dont les équipes </w:t>
      </w:r>
      <w:r w:rsidR="001F75BE" w:rsidRPr="00F35345">
        <w:rPr>
          <w:rFonts w:ascii="Gill Sans MT" w:hAnsi="Gill Sans MT"/>
          <w:color w:val="3B3838" w:themeColor="background2" w:themeShade="40"/>
        </w:rPr>
        <w:t>repèrent</w:t>
      </w:r>
      <w:r w:rsidR="007A6B1D" w:rsidRPr="00F35345">
        <w:rPr>
          <w:rFonts w:ascii="Gill Sans MT" w:hAnsi="Gill Sans MT"/>
          <w:color w:val="3B3838" w:themeColor="background2" w:themeShade="40"/>
        </w:rPr>
        <w:t xml:space="preserve"> et </w:t>
      </w:r>
      <w:r w:rsidR="001F75BE" w:rsidRPr="00F35345">
        <w:rPr>
          <w:rFonts w:ascii="Gill Sans MT" w:hAnsi="Gill Sans MT"/>
          <w:color w:val="3B3838" w:themeColor="background2" w:themeShade="40"/>
        </w:rPr>
        <w:t xml:space="preserve">accompagnent </w:t>
      </w:r>
      <w:r w:rsidR="007A6B1D" w:rsidRPr="00F35345">
        <w:rPr>
          <w:rFonts w:ascii="Gill Sans MT" w:hAnsi="Gill Sans MT"/>
          <w:color w:val="3B3838" w:themeColor="background2" w:themeShade="40"/>
        </w:rPr>
        <w:t xml:space="preserve">les mineurs étrangers en danger </w:t>
      </w:r>
      <w:r w:rsidR="007607A1" w:rsidRPr="00F35345">
        <w:rPr>
          <w:rFonts w:ascii="Gill Sans MT" w:hAnsi="Gill Sans MT"/>
          <w:color w:val="3B3838" w:themeColor="background2" w:themeShade="40"/>
        </w:rPr>
        <w:t>non demandeurs de protection</w:t>
      </w:r>
      <w:r w:rsidR="007A6B1D" w:rsidRPr="00F35345">
        <w:rPr>
          <w:rFonts w:ascii="Gill Sans MT" w:hAnsi="Gill Sans MT"/>
          <w:color w:val="3B3838" w:themeColor="background2" w:themeShade="40"/>
        </w:rPr>
        <w:t>.</w:t>
      </w:r>
    </w:p>
    <w:p w14:paraId="44493E0B" w14:textId="77777777" w:rsidR="007A6B1D" w:rsidRPr="00F35345" w:rsidRDefault="008B419B" w:rsidP="00C0496A">
      <w:pPr>
        <w:spacing w:before="120" w:after="120" w:line="276" w:lineRule="auto"/>
        <w:jc w:val="both"/>
        <w:rPr>
          <w:rFonts w:ascii="Gill Sans MT" w:hAnsi="Gill Sans MT"/>
          <w:color w:val="3B3838" w:themeColor="background2" w:themeShade="40"/>
        </w:rPr>
      </w:pPr>
      <w:r w:rsidRPr="00F35345">
        <w:rPr>
          <w:rFonts w:ascii="Gill Sans MT" w:hAnsi="Gill Sans MT"/>
          <w:color w:val="3B3838" w:themeColor="background2" w:themeShade="40"/>
        </w:rPr>
        <w:t>HLR</w:t>
      </w:r>
      <w:r w:rsidR="006B504C" w:rsidRPr="00F35345">
        <w:rPr>
          <w:rFonts w:ascii="Gill Sans MT" w:hAnsi="Gill Sans MT"/>
          <w:color w:val="3B3838" w:themeColor="background2" w:themeShade="40"/>
        </w:rPr>
        <w:t xml:space="preserve"> tient à porter à la connaissance du Comité la situation particulière d’enfants en situation de migration et en errance aggravée </w:t>
      </w:r>
      <w:r w:rsidR="00CE1DEC" w:rsidRPr="00F35345">
        <w:rPr>
          <w:rFonts w:ascii="Gill Sans MT" w:hAnsi="Gill Sans MT"/>
          <w:color w:val="3B3838" w:themeColor="background2" w:themeShade="40"/>
        </w:rPr>
        <w:t xml:space="preserve">en Ile de France </w:t>
      </w:r>
      <w:r w:rsidR="006B504C" w:rsidRPr="00F35345">
        <w:rPr>
          <w:rFonts w:ascii="Gill Sans MT" w:hAnsi="Gill Sans MT"/>
          <w:color w:val="3B3838" w:themeColor="background2" w:themeShade="40"/>
        </w:rPr>
        <w:t>sur le territoire français et européen</w:t>
      </w:r>
      <w:r w:rsidR="00CE1DEC" w:rsidRPr="00F35345">
        <w:rPr>
          <w:rStyle w:val="FootnoteReference"/>
          <w:rFonts w:ascii="Gill Sans MT" w:hAnsi="Gill Sans MT"/>
          <w:color w:val="3B3838" w:themeColor="background2" w:themeShade="40"/>
        </w:rPr>
        <w:footnoteReference w:id="1"/>
      </w:r>
      <w:r w:rsidRPr="00F35345">
        <w:rPr>
          <w:rFonts w:ascii="Gill Sans MT" w:hAnsi="Gill Sans MT"/>
          <w:color w:val="3B3838" w:themeColor="background2" w:themeShade="40"/>
        </w:rPr>
        <w:t>. L</w:t>
      </w:r>
      <w:r w:rsidR="00542E04" w:rsidRPr="00F35345">
        <w:rPr>
          <w:rFonts w:ascii="Gill Sans MT" w:hAnsi="Gill Sans MT"/>
          <w:color w:val="3B3838" w:themeColor="background2" w:themeShade="40"/>
        </w:rPr>
        <w:t xml:space="preserve">a France </w:t>
      </w:r>
      <w:r w:rsidRPr="00F35345">
        <w:rPr>
          <w:rFonts w:ascii="Gill Sans MT" w:hAnsi="Gill Sans MT"/>
          <w:color w:val="3B3838" w:themeColor="background2" w:themeShade="40"/>
        </w:rPr>
        <w:t>n’a</w:t>
      </w:r>
      <w:r w:rsidR="00542E04" w:rsidRPr="00F35345">
        <w:rPr>
          <w:rFonts w:ascii="Gill Sans MT" w:hAnsi="Gill Sans MT"/>
          <w:color w:val="3B3838" w:themeColor="background2" w:themeShade="40"/>
        </w:rPr>
        <w:t xml:space="preserve"> abordé cette question que de manière partielle et </w:t>
      </w:r>
      <w:r w:rsidRPr="00F35345">
        <w:rPr>
          <w:rFonts w:ascii="Gill Sans MT" w:hAnsi="Gill Sans MT"/>
          <w:color w:val="3B3838" w:themeColor="background2" w:themeShade="40"/>
        </w:rPr>
        <w:t>a</w:t>
      </w:r>
      <w:r w:rsidR="00542E04" w:rsidRPr="00F35345">
        <w:rPr>
          <w:rFonts w:ascii="Gill Sans MT" w:hAnsi="Gill Sans MT"/>
          <w:color w:val="3B3838" w:themeColor="background2" w:themeShade="40"/>
        </w:rPr>
        <w:t xml:space="preserve"> négligé les questions liées à la Traite des Etres Humains</w:t>
      </w:r>
      <w:r w:rsidR="00207EE1" w:rsidRPr="00F35345">
        <w:rPr>
          <w:rFonts w:ascii="Gill Sans MT" w:hAnsi="Gill Sans MT"/>
          <w:color w:val="3B3838" w:themeColor="background2" w:themeShade="40"/>
        </w:rPr>
        <w:t xml:space="preserve"> (TEH)</w:t>
      </w:r>
      <w:r w:rsidR="00542E04" w:rsidRPr="00F35345">
        <w:rPr>
          <w:rFonts w:ascii="Gill Sans MT" w:hAnsi="Gill Sans MT"/>
          <w:color w:val="3B3838" w:themeColor="background2" w:themeShade="40"/>
        </w:rPr>
        <w:t xml:space="preserve"> dont certains enfants sont victimes</w:t>
      </w:r>
      <w:r w:rsidR="007607A1" w:rsidRPr="00F35345">
        <w:rPr>
          <w:rFonts w:ascii="Gill Sans MT" w:hAnsi="Gill Sans MT"/>
          <w:color w:val="3B3838" w:themeColor="background2" w:themeShade="40"/>
        </w:rPr>
        <w:t>.</w:t>
      </w:r>
    </w:p>
    <w:p w14:paraId="48DE1160" w14:textId="77777777" w:rsidR="006B504C" w:rsidRPr="00F35345" w:rsidRDefault="00C9274A" w:rsidP="00C0496A">
      <w:pPr>
        <w:spacing w:before="120" w:after="120" w:line="276" w:lineRule="auto"/>
        <w:jc w:val="both"/>
        <w:rPr>
          <w:rFonts w:ascii="Gill Sans MT" w:hAnsi="Gill Sans MT"/>
          <w:b/>
          <w:color w:val="3B3838" w:themeColor="background2" w:themeShade="40"/>
        </w:rPr>
      </w:pPr>
      <w:r w:rsidRPr="00F35345">
        <w:rPr>
          <w:rFonts w:ascii="Gill Sans MT" w:hAnsi="Gill Sans MT"/>
          <w:b/>
          <w:color w:val="3B3838" w:themeColor="background2" w:themeShade="40"/>
        </w:rPr>
        <w:t>Description du public et de ses problématiques</w:t>
      </w:r>
    </w:p>
    <w:p w14:paraId="0A4D6080" w14:textId="77777777" w:rsidR="00266FAD" w:rsidRPr="00F35345" w:rsidRDefault="00C9274A" w:rsidP="00C0496A">
      <w:pPr>
        <w:spacing w:before="120" w:after="120" w:line="276" w:lineRule="auto"/>
        <w:jc w:val="both"/>
        <w:rPr>
          <w:rFonts w:ascii="Gill Sans MT" w:hAnsi="Gill Sans MT"/>
          <w:color w:val="3B3838" w:themeColor="background2" w:themeShade="40"/>
        </w:rPr>
      </w:pPr>
      <w:r w:rsidRPr="00F35345">
        <w:rPr>
          <w:rFonts w:ascii="Gill Sans MT" w:hAnsi="Gill Sans MT"/>
          <w:color w:val="3B3838" w:themeColor="background2" w:themeShade="40"/>
        </w:rPr>
        <w:t xml:space="preserve">Depuis fin 2016, Hors la Rue observe </w:t>
      </w:r>
      <w:r w:rsidR="0063357C" w:rsidRPr="00F35345">
        <w:rPr>
          <w:rFonts w:ascii="Gill Sans MT" w:hAnsi="Gill Sans MT"/>
          <w:color w:val="3B3838" w:themeColor="background2" w:themeShade="40"/>
        </w:rPr>
        <w:t xml:space="preserve">en Ile-de-France </w:t>
      </w:r>
      <w:r w:rsidRPr="00F35345">
        <w:rPr>
          <w:rFonts w:ascii="Gill Sans MT" w:hAnsi="Gill Sans MT"/>
          <w:color w:val="3B3838" w:themeColor="background2" w:themeShade="40"/>
        </w:rPr>
        <w:t>une augmentation du nombre de</w:t>
      </w:r>
      <w:r w:rsidR="007A6B1D" w:rsidRPr="00F35345">
        <w:rPr>
          <w:rFonts w:ascii="Gill Sans MT" w:hAnsi="Gill Sans MT"/>
          <w:color w:val="3B3838" w:themeColor="background2" w:themeShade="40"/>
        </w:rPr>
        <w:t xml:space="preserve"> </w:t>
      </w:r>
      <w:r w:rsidR="007607A1" w:rsidRPr="00F35345">
        <w:rPr>
          <w:rFonts w:ascii="Gill Sans MT" w:hAnsi="Gill Sans MT"/>
          <w:color w:val="3B3838" w:themeColor="background2" w:themeShade="40"/>
        </w:rPr>
        <w:t>Mineurs Non Accompagnés (</w:t>
      </w:r>
      <w:r w:rsidR="007A6B1D" w:rsidRPr="00F35345">
        <w:rPr>
          <w:rFonts w:ascii="Gill Sans MT" w:hAnsi="Gill Sans MT"/>
          <w:color w:val="3B3838" w:themeColor="background2" w:themeShade="40"/>
        </w:rPr>
        <w:t>MNA</w:t>
      </w:r>
      <w:r w:rsidR="007607A1" w:rsidRPr="00F35345">
        <w:rPr>
          <w:rFonts w:ascii="Gill Sans MT" w:hAnsi="Gill Sans MT"/>
          <w:color w:val="3B3838" w:themeColor="background2" w:themeShade="40"/>
        </w:rPr>
        <w:t>)</w:t>
      </w:r>
      <w:r w:rsidRPr="00F35345">
        <w:rPr>
          <w:rFonts w:ascii="Gill Sans MT" w:hAnsi="Gill Sans MT"/>
          <w:color w:val="3B3838" w:themeColor="background2" w:themeShade="40"/>
        </w:rPr>
        <w:t xml:space="preserve"> en errance de nati</w:t>
      </w:r>
      <w:r w:rsidR="008B419B" w:rsidRPr="00F35345">
        <w:rPr>
          <w:rFonts w:ascii="Gill Sans MT" w:hAnsi="Gill Sans MT"/>
          <w:color w:val="3B3838" w:themeColor="background2" w:themeShade="40"/>
        </w:rPr>
        <w:t xml:space="preserve">onalité marocaine et algérienne </w:t>
      </w:r>
      <w:r w:rsidR="00266FAD" w:rsidRPr="00F35345">
        <w:rPr>
          <w:rFonts w:ascii="Gill Sans MT" w:hAnsi="Gill Sans MT"/>
          <w:color w:val="3B3838" w:themeColor="background2" w:themeShade="40"/>
        </w:rPr>
        <w:t xml:space="preserve">: </w:t>
      </w:r>
    </w:p>
    <w:p w14:paraId="557BD30F" w14:textId="77777777" w:rsidR="00266FAD" w:rsidRPr="00F35345" w:rsidRDefault="00266FAD" w:rsidP="00C0496A">
      <w:pPr>
        <w:pStyle w:val="ListParagraph"/>
        <w:numPr>
          <w:ilvl w:val="0"/>
          <w:numId w:val="2"/>
        </w:numPr>
        <w:spacing w:before="120" w:after="120" w:line="276" w:lineRule="auto"/>
        <w:contextualSpacing w:val="0"/>
        <w:jc w:val="both"/>
        <w:rPr>
          <w:rFonts w:ascii="Gill Sans MT" w:hAnsi="Gill Sans MT"/>
          <w:color w:val="3B3838" w:themeColor="background2" w:themeShade="40"/>
        </w:rPr>
      </w:pPr>
      <w:r w:rsidRPr="00F35345">
        <w:rPr>
          <w:rFonts w:ascii="Gill Sans MT" w:hAnsi="Gill Sans MT"/>
          <w:color w:val="3B3838" w:themeColor="background2" w:themeShade="40"/>
        </w:rPr>
        <w:t>Agé de 10 ans à 18 ans</w:t>
      </w:r>
      <w:r w:rsidR="007607A1" w:rsidRPr="00F35345">
        <w:rPr>
          <w:rFonts w:ascii="Gill Sans MT" w:hAnsi="Gill Sans MT"/>
          <w:color w:val="3B3838" w:themeColor="background2" w:themeShade="40"/>
        </w:rPr>
        <w:t xml:space="preserve"> </w:t>
      </w:r>
      <w:r w:rsidRPr="00F35345">
        <w:rPr>
          <w:rFonts w:ascii="Gill Sans MT" w:hAnsi="Gill Sans MT"/>
          <w:color w:val="3B3838" w:themeColor="background2" w:themeShade="40"/>
        </w:rPr>
        <w:t>;</w:t>
      </w:r>
    </w:p>
    <w:p w14:paraId="0A5CC802" w14:textId="77777777" w:rsidR="00266FAD" w:rsidRPr="00F35345" w:rsidRDefault="00266FAD" w:rsidP="00C0496A">
      <w:pPr>
        <w:pStyle w:val="ListParagraph"/>
        <w:numPr>
          <w:ilvl w:val="0"/>
          <w:numId w:val="2"/>
        </w:numPr>
        <w:spacing w:before="120" w:after="120" w:line="276" w:lineRule="auto"/>
        <w:contextualSpacing w:val="0"/>
        <w:jc w:val="both"/>
        <w:rPr>
          <w:rFonts w:ascii="Gill Sans MT" w:hAnsi="Gill Sans MT"/>
          <w:color w:val="3B3838" w:themeColor="background2" w:themeShade="40"/>
        </w:rPr>
      </w:pPr>
      <w:r w:rsidRPr="00F35345">
        <w:rPr>
          <w:rFonts w:ascii="Gill Sans MT" w:hAnsi="Gill Sans MT"/>
          <w:color w:val="3B3838" w:themeColor="background2" w:themeShade="40"/>
        </w:rPr>
        <w:t>Inadéquation entre leur comportement et les attendus des dispositifs d’évaluation de la minorité</w:t>
      </w:r>
      <w:r w:rsidR="00CE1DEC" w:rsidRPr="00F35345">
        <w:rPr>
          <w:rFonts w:ascii="Gill Sans MT" w:hAnsi="Gill Sans MT"/>
          <w:color w:val="3B3838" w:themeColor="background2" w:themeShade="40"/>
        </w:rPr>
        <w:t xml:space="preserve"> et les structures de mise à l’abri et d’hébergement de la protection de l’enfance</w:t>
      </w:r>
      <w:r w:rsidRPr="00F35345">
        <w:rPr>
          <w:rFonts w:ascii="Gill Sans MT" w:hAnsi="Gill Sans MT"/>
          <w:color w:val="3B3838" w:themeColor="background2" w:themeShade="40"/>
        </w:rPr>
        <w:t>;</w:t>
      </w:r>
    </w:p>
    <w:p w14:paraId="2471BB3C" w14:textId="77777777" w:rsidR="00266FAD" w:rsidRPr="00F35345" w:rsidRDefault="00266FAD" w:rsidP="00C0496A">
      <w:pPr>
        <w:pStyle w:val="ListParagraph"/>
        <w:numPr>
          <w:ilvl w:val="0"/>
          <w:numId w:val="2"/>
        </w:numPr>
        <w:spacing w:before="120" w:after="120" w:line="276" w:lineRule="auto"/>
        <w:contextualSpacing w:val="0"/>
        <w:jc w:val="both"/>
        <w:rPr>
          <w:rFonts w:ascii="Gill Sans MT" w:hAnsi="Gill Sans MT"/>
          <w:color w:val="3B3838" w:themeColor="background2" w:themeShade="40"/>
        </w:rPr>
      </w:pPr>
      <w:r w:rsidRPr="00F35345">
        <w:rPr>
          <w:rFonts w:ascii="Gill Sans MT" w:hAnsi="Gill Sans MT"/>
          <w:color w:val="3B3838" w:themeColor="background2" w:themeShade="40"/>
        </w:rPr>
        <w:t>Mobilité nationale et européenne</w:t>
      </w:r>
      <w:r w:rsidR="00C63718" w:rsidRPr="00F35345">
        <w:rPr>
          <w:rFonts w:ascii="Gill Sans MT" w:hAnsi="Gill Sans MT"/>
          <w:color w:val="3B3838" w:themeColor="background2" w:themeShade="40"/>
        </w:rPr>
        <w:t> ;</w:t>
      </w:r>
    </w:p>
    <w:p w14:paraId="3A28C3B7" w14:textId="77777777" w:rsidR="00C63718" w:rsidRPr="00F35345" w:rsidRDefault="00C63718" w:rsidP="00C0496A">
      <w:pPr>
        <w:pStyle w:val="ListParagraph"/>
        <w:numPr>
          <w:ilvl w:val="0"/>
          <w:numId w:val="2"/>
        </w:numPr>
        <w:spacing w:before="120" w:after="120" w:line="276" w:lineRule="auto"/>
        <w:contextualSpacing w:val="0"/>
        <w:jc w:val="both"/>
        <w:rPr>
          <w:rFonts w:ascii="Gill Sans MT" w:hAnsi="Gill Sans MT"/>
          <w:color w:val="3B3838" w:themeColor="background2" w:themeShade="40"/>
        </w:rPr>
      </w:pPr>
      <w:r w:rsidRPr="00F35345">
        <w:rPr>
          <w:rFonts w:ascii="Gill Sans MT" w:hAnsi="Gill Sans MT"/>
          <w:color w:val="3B3838" w:themeColor="background2" w:themeShade="40"/>
        </w:rPr>
        <w:t>Extrême précarité des conditions </w:t>
      </w:r>
      <w:r w:rsidR="00DE530A" w:rsidRPr="00F35345">
        <w:rPr>
          <w:rFonts w:ascii="Gill Sans MT" w:hAnsi="Gill Sans MT"/>
          <w:color w:val="3B3838" w:themeColor="background2" w:themeShade="40"/>
        </w:rPr>
        <w:t xml:space="preserve">de vie </w:t>
      </w:r>
      <w:r w:rsidRPr="00F35345">
        <w:rPr>
          <w:rFonts w:ascii="Gill Sans MT" w:hAnsi="Gill Sans MT"/>
          <w:color w:val="3B3838" w:themeColor="background2" w:themeShade="40"/>
        </w:rPr>
        <w:t>;</w:t>
      </w:r>
    </w:p>
    <w:p w14:paraId="48E911EE" w14:textId="77777777" w:rsidR="00C63718" w:rsidRPr="00F35345" w:rsidRDefault="00C63718" w:rsidP="00C0496A">
      <w:pPr>
        <w:pStyle w:val="ListParagraph"/>
        <w:numPr>
          <w:ilvl w:val="0"/>
          <w:numId w:val="2"/>
        </w:numPr>
        <w:spacing w:before="120" w:after="120" w:line="276" w:lineRule="auto"/>
        <w:contextualSpacing w:val="0"/>
        <w:jc w:val="both"/>
        <w:rPr>
          <w:rFonts w:ascii="Gill Sans MT" w:hAnsi="Gill Sans MT"/>
          <w:color w:val="3B3838" w:themeColor="background2" w:themeShade="40"/>
        </w:rPr>
      </w:pPr>
      <w:r w:rsidRPr="00F35345">
        <w:rPr>
          <w:rFonts w:ascii="Gill Sans MT" w:hAnsi="Gill Sans MT"/>
          <w:color w:val="3B3838" w:themeColor="background2" w:themeShade="40"/>
        </w:rPr>
        <w:t>Délinquance intensive (vols à l’arrachée, cambriolage) ;</w:t>
      </w:r>
    </w:p>
    <w:p w14:paraId="3061B81F" w14:textId="77777777" w:rsidR="00C63718" w:rsidRPr="00F35345" w:rsidRDefault="00C63718" w:rsidP="00C0496A">
      <w:pPr>
        <w:pStyle w:val="ListParagraph"/>
        <w:numPr>
          <w:ilvl w:val="0"/>
          <w:numId w:val="2"/>
        </w:numPr>
        <w:spacing w:before="120" w:after="120" w:line="276" w:lineRule="auto"/>
        <w:contextualSpacing w:val="0"/>
        <w:jc w:val="both"/>
        <w:rPr>
          <w:rFonts w:ascii="Gill Sans MT" w:hAnsi="Gill Sans MT"/>
          <w:color w:val="3B3838" w:themeColor="background2" w:themeShade="40"/>
        </w:rPr>
      </w:pPr>
      <w:r w:rsidRPr="00F35345">
        <w:rPr>
          <w:rFonts w:ascii="Gill Sans MT" w:hAnsi="Gill Sans MT"/>
          <w:color w:val="3B3838" w:themeColor="background2" w:themeShade="40"/>
        </w:rPr>
        <w:t>Consommations intenses de produits psychotropes (médicaments, cannabis, cocaïne, ecstasy, alcool) ;</w:t>
      </w:r>
    </w:p>
    <w:p w14:paraId="2FE13CE1" w14:textId="77777777" w:rsidR="00C63718" w:rsidRPr="00F35345" w:rsidRDefault="00C63718" w:rsidP="00C0496A">
      <w:pPr>
        <w:pStyle w:val="ListParagraph"/>
        <w:numPr>
          <w:ilvl w:val="0"/>
          <w:numId w:val="2"/>
        </w:numPr>
        <w:spacing w:before="120" w:after="120" w:line="276" w:lineRule="auto"/>
        <w:contextualSpacing w:val="0"/>
        <w:jc w:val="both"/>
        <w:rPr>
          <w:rFonts w:ascii="Gill Sans MT" w:hAnsi="Gill Sans MT"/>
          <w:color w:val="3B3838" w:themeColor="background2" w:themeShade="40"/>
        </w:rPr>
      </w:pPr>
      <w:r w:rsidRPr="00F35345">
        <w:rPr>
          <w:rFonts w:ascii="Gill Sans MT" w:hAnsi="Gill Sans MT"/>
          <w:color w:val="3B3838" w:themeColor="background2" w:themeShade="40"/>
        </w:rPr>
        <w:t>Etats physiques et psychologiques fortement dégradés ;</w:t>
      </w:r>
    </w:p>
    <w:p w14:paraId="6EE93F61" w14:textId="77777777" w:rsidR="00C63718" w:rsidRPr="00F35345" w:rsidRDefault="007607A1" w:rsidP="00C0496A">
      <w:pPr>
        <w:pStyle w:val="ListParagraph"/>
        <w:numPr>
          <w:ilvl w:val="0"/>
          <w:numId w:val="2"/>
        </w:numPr>
        <w:spacing w:before="120" w:after="120" w:line="276" w:lineRule="auto"/>
        <w:contextualSpacing w:val="0"/>
        <w:jc w:val="both"/>
        <w:rPr>
          <w:rFonts w:ascii="Gill Sans MT" w:hAnsi="Gill Sans MT"/>
          <w:color w:val="3B3838" w:themeColor="background2" w:themeShade="40"/>
        </w:rPr>
      </w:pPr>
      <w:r w:rsidRPr="00F35345">
        <w:rPr>
          <w:rFonts w:ascii="Gill Sans MT" w:hAnsi="Gill Sans MT"/>
          <w:color w:val="3B3838" w:themeColor="background2" w:themeShade="40"/>
        </w:rPr>
        <w:t>C</w:t>
      </w:r>
      <w:r w:rsidR="00C63718" w:rsidRPr="00F35345">
        <w:rPr>
          <w:rFonts w:ascii="Gill Sans MT" w:hAnsi="Gill Sans MT"/>
          <w:color w:val="3B3838" w:themeColor="background2" w:themeShade="40"/>
        </w:rPr>
        <w:t>limat de violence permanent (physique et sexuelle).</w:t>
      </w:r>
    </w:p>
    <w:p w14:paraId="05315C8F" w14:textId="77777777" w:rsidR="008B419B" w:rsidRPr="00F35345" w:rsidRDefault="008B419B" w:rsidP="00C0496A">
      <w:pPr>
        <w:pStyle w:val="ListParagraph"/>
        <w:spacing w:before="120" w:after="120" w:line="276" w:lineRule="auto"/>
        <w:contextualSpacing w:val="0"/>
        <w:jc w:val="both"/>
        <w:rPr>
          <w:rFonts w:ascii="Gill Sans MT" w:hAnsi="Gill Sans MT"/>
          <w:color w:val="3B3838" w:themeColor="background2" w:themeShade="40"/>
        </w:rPr>
      </w:pPr>
    </w:p>
    <w:p w14:paraId="51B89837" w14:textId="77777777" w:rsidR="008B419B" w:rsidRPr="00F35345" w:rsidRDefault="008B419B" w:rsidP="00C0496A">
      <w:pPr>
        <w:spacing w:before="120" w:after="120" w:line="276" w:lineRule="auto"/>
        <w:jc w:val="both"/>
        <w:rPr>
          <w:rFonts w:ascii="Gill Sans MT" w:hAnsi="Gill Sans MT"/>
          <w:color w:val="3B3838" w:themeColor="background2" w:themeShade="40"/>
        </w:rPr>
      </w:pPr>
      <w:r w:rsidRPr="00F35345">
        <w:rPr>
          <w:rFonts w:ascii="Gill Sans MT" w:hAnsi="Gill Sans MT"/>
          <w:color w:val="3B3838" w:themeColor="background2" w:themeShade="40"/>
        </w:rPr>
        <w:t xml:space="preserve">En 2020, 2021 et 2022, Hors la Rue a repéré 495 </w:t>
      </w:r>
      <w:r w:rsidR="007607A1" w:rsidRPr="00F35345">
        <w:rPr>
          <w:rFonts w:ascii="Gill Sans MT" w:hAnsi="Gill Sans MT"/>
          <w:color w:val="3B3838" w:themeColor="background2" w:themeShade="40"/>
        </w:rPr>
        <w:t xml:space="preserve">jeunes </w:t>
      </w:r>
      <w:r w:rsidRPr="00F35345">
        <w:rPr>
          <w:rFonts w:ascii="Gill Sans MT" w:hAnsi="Gill Sans MT"/>
          <w:color w:val="3B3838" w:themeColor="background2" w:themeShade="40"/>
        </w:rPr>
        <w:t>de ce profil. Parmi eux, 274 ont fait l’objet d’un suivi par nos équipes. La quasi-totalité de ces situations font apparaître des indicateurs d’exploitation.</w:t>
      </w:r>
    </w:p>
    <w:p w14:paraId="31B44DA6" w14:textId="77777777" w:rsidR="00C63718" w:rsidRPr="00F35345" w:rsidRDefault="007607A1" w:rsidP="00C0496A">
      <w:pPr>
        <w:spacing w:before="120" w:after="120" w:line="276" w:lineRule="auto"/>
        <w:jc w:val="both"/>
        <w:rPr>
          <w:rFonts w:ascii="Gill Sans MT" w:hAnsi="Gill Sans MT"/>
          <w:color w:val="3B3838" w:themeColor="background2" w:themeShade="40"/>
        </w:rPr>
      </w:pPr>
      <w:r w:rsidRPr="00F35345">
        <w:rPr>
          <w:rFonts w:ascii="Gill Sans MT" w:hAnsi="Gill Sans MT"/>
          <w:color w:val="3B3838" w:themeColor="background2" w:themeShade="40"/>
        </w:rPr>
        <w:t>D</w:t>
      </w:r>
      <w:r w:rsidR="00C63718" w:rsidRPr="00F35345">
        <w:rPr>
          <w:rFonts w:ascii="Gill Sans MT" w:hAnsi="Gill Sans MT"/>
          <w:color w:val="3B3838" w:themeColor="background2" w:themeShade="40"/>
        </w:rPr>
        <w:t>epuis 3 ans de</w:t>
      </w:r>
      <w:r w:rsidRPr="00F35345">
        <w:rPr>
          <w:rFonts w:ascii="Gill Sans MT" w:hAnsi="Gill Sans MT"/>
          <w:color w:val="3B3838" w:themeColor="background2" w:themeShade="40"/>
        </w:rPr>
        <w:t>s</w:t>
      </w:r>
      <w:r w:rsidR="00C63718" w:rsidRPr="00F35345">
        <w:rPr>
          <w:rFonts w:ascii="Gill Sans MT" w:hAnsi="Gill Sans MT"/>
          <w:color w:val="3B3838" w:themeColor="background2" w:themeShade="40"/>
        </w:rPr>
        <w:t xml:space="preserve"> jeunes filles françaises</w:t>
      </w:r>
      <w:r w:rsidR="00DE530A" w:rsidRPr="00F35345">
        <w:rPr>
          <w:rStyle w:val="FootnoteReference"/>
          <w:rFonts w:ascii="Gill Sans MT" w:hAnsi="Gill Sans MT"/>
          <w:color w:val="3B3838" w:themeColor="background2" w:themeShade="40"/>
        </w:rPr>
        <w:footnoteReference w:id="2"/>
      </w:r>
      <w:r w:rsidR="00C63718" w:rsidRPr="00F35345">
        <w:rPr>
          <w:rFonts w:ascii="Gill Sans MT" w:hAnsi="Gill Sans MT"/>
          <w:color w:val="3B3838" w:themeColor="background2" w:themeShade="40"/>
        </w:rPr>
        <w:t xml:space="preserve"> adoptent leur comportement et sont égalemen</w:t>
      </w:r>
      <w:r w:rsidR="008B419B" w:rsidRPr="00F35345">
        <w:rPr>
          <w:rFonts w:ascii="Gill Sans MT" w:hAnsi="Gill Sans MT"/>
          <w:color w:val="3B3838" w:themeColor="background2" w:themeShade="40"/>
        </w:rPr>
        <w:t xml:space="preserve">t victimes de graves atteintes : </w:t>
      </w:r>
      <w:r w:rsidR="00C63718" w:rsidRPr="00F35345">
        <w:rPr>
          <w:rFonts w:ascii="Gill Sans MT" w:hAnsi="Gill Sans MT"/>
          <w:color w:val="3B3838" w:themeColor="background2" w:themeShade="40"/>
        </w:rPr>
        <w:t>violences physiques, psychologiques et sexuelles</w:t>
      </w:r>
      <w:r w:rsidR="007A6B1D" w:rsidRPr="00F35345">
        <w:rPr>
          <w:rFonts w:ascii="Gill Sans MT" w:hAnsi="Gill Sans MT"/>
          <w:color w:val="3B3838" w:themeColor="background2" w:themeShade="40"/>
        </w:rPr>
        <w:t xml:space="preserve">, </w:t>
      </w:r>
      <w:r w:rsidR="00207EE1" w:rsidRPr="00F35345">
        <w:rPr>
          <w:rFonts w:ascii="Gill Sans MT" w:hAnsi="Gill Sans MT"/>
          <w:color w:val="3B3838" w:themeColor="background2" w:themeShade="40"/>
        </w:rPr>
        <w:t>TEH</w:t>
      </w:r>
      <w:r w:rsidR="007A6B1D" w:rsidRPr="00F35345">
        <w:rPr>
          <w:rFonts w:ascii="Gill Sans MT" w:hAnsi="Gill Sans MT"/>
          <w:color w:val="3B3838" w:themeColor="background2" w:themeShade="40"/>
        </w:rPr>
        <w:t xml:space="preserve"> à des fins d’exploitation sexuelle</w:t>
      </w:r>
      <w:r w:rsidR="00C63718" w:rsidRPr="00F35345">
        <w:rPr>
          <w:rFonts w:ascii="Gill Sans MT" w:hAnsi="Gill Sans MT"/>
          <w:color w:val="3B3838" w:themeColor="background2" w:themeShade="40"/>
        </w:rPr>
        <w:t xml:space="preserve">. </w:t>
      </w:r>
      <w:r w:rsidR="008B419B" w:rsidRPr="00F35345">
        <w:rPr>
          <w:rFonts w:ascii="Gill Sans MT" w:hAnsi="Gill Sans MT"/>
          <w:color w:val="3B3838" w:themeColor="background2" w:themeShade="40"/>
        </w:rPr>
        <w:t>HLR</w:t>
      </w:r>
      <w:r w:rsidR="00C63718" w:rsidRPr="00F35345">
        <w:rPr>
          <w:rFonts w:ascii="Gill Sans MT" w:hAnsi="Gill Sans MT"/>
          <w:color w:val="3B3838" w:themeColor="background2" w:themeShade="40"/>
        </w:rPr>
        <w:t xml:space="preserve"> tient également à signaler que </w:t>
      </w:r>
      <w:r w:rsidRPr="00F35345">
        <w:rPr>
          <w:rFonts w:ascii="Gill Sans MT" w:hAnsi="Gill Sans MT"/>
          <w:color w:val="3B3838" w:themeColor="background2" w:themeShade="40"/>
        </w:rPr>
        <w:t>ses</w:t>
      </w:r>
      <w:r w:rsidR="00C63718" w:rsidRPr="00F35345">
        <w:rPr>
          <w:rFonts w:ascii="Gill Sans MT" w:hAnsi="Gill Sans MT"/>
          <w:color w:val="3B3838" w:themeColor="background2" w:themeShade="40"/>
        </w:rPr>
        <w:t xml:space="preserve"> observations</w:t>
      </w:r>
      <w:r w:rsidR="00724198" w:rsidRPr="00F35345">
        <w:rPr>
          <w:rFonts w:ascii="Gill Sans MT" w:hAnsi="Gill Sans MT"/>
          <w:color w:val="3B3838" w:themeColor="background2" w:themeShade="40"/>
        </w:rPr>
        <w:t xml:space="preserve"> </w:t>
      </w:r>
      <w:r w:rsidR="00C63718" w:rsidRPr="00F35345">
        <w:rPr>
          <w:rFonts w:ascii="Gill Sans MT" w:hAnsi="Gill Sans MT"/>
          <w:color w:val="3B3838" w:themeColor="background2" w:themeShade="40"/>
        </w:rPr>
        <w:t xml:space="preserve">transmises </w:t>
      </w:r>
      <w:r w:rsidR="00CE1DEC" w:rsidRPr="00F35345">
        <w:rPr>
          <w:rFonts w:ascii="Gill Sans MT" w:hAnsi="Gill Sans MT"/>
          <w:color w:val="3B3838" w:themeColor="background2" w:themeShade="40"/>
        </w:rPr>
        <w:t xml:space="preserve">à l’occasion d’un examen </w:t>
      </w:r>
      <w:r w:rsidR="00CE1DEC" w:rsidRPr="00F35345">
        <w:rPr>
          <w:rFonts w:ascii="Gill Sans MT" w:hAnsi="Gill Sans MT"/>
          <w:color w:val="3B3838" w:themeColor="background2" w:themeShade="40"/>
        </w:rPr>
        <w:lastRenderedPageBreak/>
        <w:t xml:space="preserve">précédent </w:t>
      </w:r>
      <w:r w:rsidR="00C63718" w:rsidRPr="00F35345">
        <w:rPr>
          <w:rFonts w:ascii="Gill Sans MT" w:hAnsi="Gill Sans MT"/>
          <w:color w:val="3B3838" w:themeColor="background2" w:themeShade="40"/>
        </w:rPr>
        <w:t xml:space="preserve">au Comité </w:t>
      </w:r>
      <w:r w:rsidR="00CE1DEC" w:rsidRPr="00F35345">
        <w:rPr>
          <w:rFonts w:ascii="Gill Sans MT" w:hAnsi="Gill Sans MT"/>
          <w:color w:val="3B3838" w:themeColor="background2" w:themeShade="40"/>
        </w:rPr>
        <w:t xml:space="preserve">des Droits de l’Enfant </w:t>
      </w:r>
      <w:r w:rsidR="00C63718" w:rsidRPr="00F35345">
        <w:rPr>
          <w:rFonts w:ascii="Gill Sans MT" w:hAnsi="Gill Sans MT"/>
          <w:color w:val="3B3838" w:themeColor="background2" w:themeShade="40"/>
        </w:rPr>
        <w:t>et relatives à de jeunes roumains contraints à commettre des délits sont aujourd’hui encore valables.</w:t>
      </w:r>
    </w:p>
    <w:p w14:paraId="6D13A0B5" w14:textId="77777777" w:rsidR="00A61793" w:rsidRPr="00F35345" w:rsidRDefault="00A61793" w:rsidP="00C0496A">
      <w:pPr>
        <w:spacing w:before="120" w:after="120" w:line="276" w:lineRule="auto"/>
        <w:jc w:val="both"/>
        <w:rPr>
          <w:rFonts w:ascii="Gill Sans MT" w:hAnsi="Gill Sans MT"/>
          <w:b/>
          <w:color w:val="3B3838" w:themeColor="background2" w:themeShade="40"/>
        </w:rPr>
      </w:pPr>
      <w:r w:rsidRPr="00F35345">
        <w:rPr>
          <w:rFonts w:ascii="Gill Sans MT" w:hAnsi="Gill Sans MT"/>
          <w:b/>
          <w:color w:val="3B3838" w:themeColor="background2" w:themeShade="40"/>
        </w:rPr>
        <w:t xml:space="preserve">Des mineurs victimes de </w:t>
      </w:r>
      <w:r w:rsidR="00207EE1" w:rsidRPr="00F35345">
        <w:rPr>
          <w:rFonts w:ascii="Gill Sans MT" w:hAnsi="Gill Sans MT"/>
          <w:b/>
          <w:color w:val="3B3838" w:themeColor="background2" w:themeShade="40"/>
        </w:rPr>
        <w:t>TEH</w:t>
      </w:r>
    </w:p>
    <w:p w14:paraId="250943EE" w14:textId="77777777" w:rsidR="00323588" w:rsidRPr="00F35345" w:rsidRDefault="007A6B1D" w:rsidP="00C0496A">
      <w:pPr>
        <w:spacing w:before="120" w:after="120" w:line="276" w:lineRule="auto"/>
        <w:jc w:val="both"/>
        <w:rPr>
          <w:rFonts w:ascii="Gill Sans MT" w:hAnsi="Gill Sans MT"/>
          <w:color w:val="3B3838" w:themeColor="background2" w:themeShade="40"/>
        </w:rPr>
      </w:pPr>
      <w:r w:rsidRPr="00F35345">
        <w:rPr>
          <w:rFonts w:ascii="Gill Sans MT" w:hAnsi="Gill Sans MT"/>
          <w:color w:val="3B3838" w:themeColor="background2" w:themeShade="40"/>
        </w:rPr>
        <w:t>C</w:t>
      </w:r>
      <w:r w:rsidR="00323588" w:rsidRPr="00F35345">
        <w:rPr>
          <w:rFonts w:ascii="Gill Sans MT" w:hAnsi="Gill Sans MT"/>
          <w:color w:val="3B3838" w:themeColor="background2" w:themeShade="40"/>
        </w:rPr>
        <w:t xml:space="preserve">es </w:t>
      </w:r>
      <w:r w:rsidRPr="00F35345">
        <w:rPr>
          <w:rFonts w:ascii="Gill Sans MT" w:hAnsi="Gill Sans MT"/>
          <w:color w:val="3B3838" w:themeColor="background2" w:themeShade="40"/>
        </w:rPr>
        <w:t>éléments de danger</w:t>
      </w:r>
      <w:r w:rsidR="00323588" w:rsidRPr="00F35345">
        <w:rPr>
          <w:rFonts w:ascii="Gill Sans MT" w:hAnsi="Gill Sans MT"/>
          <w:color w:val="3B3838" w:themeColor="background2" w:themeShade="40"/>
        </w:rPr>
        <w:t xml:space="preserve"> sont des indicateurs de relations d’emprise, conduisant de nombreux jeunes à commettre des délits sous la contrainte de tiers, qui usent notamment de leur dépendance chimique</w:t>
      </w:r>
      <w:r w:rsidR="00C04383" w:rsidRPr="00F35345">
        <w:rPr>
          <w:rStyle w:val="FootnoteReference"/>
          <w:rFonts w:ascii="Gill Sans MT" w:hAnsi="Gill Sans MT"/>
          <w:color w:val="3B3838" w:themeColor="background2" w:themeShade="40"/>
        </w:rPr>
        <w:footnoteReference w:id="3"/>
      </w:r>
      <w:r w:rsidR="00323588" w:rsidRPr="00F35345">
        <w:rPr>
          <w:rFonts w:ascii="Gill Sans MT" w:hAnsi="Gill Sans MT"/>
          <w:color w:val="3B3838" w:themeColor="background2" w:themeShade="40"/>
        </w:rPr>
        <w:t xml:space="preserve">. </w:t>
      </w:r>
    </w:p>
    <w:p w14:paraId="6F7FC4D2" w14:textId="77777777" w:rsidR="007A6B1D" w:rsidRPr="00F35345" w:rsidRDefault="00323588" w:rsidP="00C0496A">
      <w:pPr>
        <w:pStyle w:val="ListParagraph"/>
        <w:numPr>
          <w:ilvl w:val="0"/>
          <w:numId w:val="1"/>
        </w:numPr>
        <w:spacing w:before="120" w:after="120" w:line="276" w:lineRule="auto"/>
        <w:contextualSpacing w:val="0"/>
        <w:jc w:val="both"/>
        <w:rPr>
          <w:rFonts w:ascii="Gill Sans MT" w:hAnsi="Gill Sans MT"/>
          <w:color w:val="3B3838" w:themeColor="background2" w:themeShade="40"/>
        </w:rPr>
      </w:pPr>
      <w:r w:rsidRPr="00F35345">
        <w:rPr>
          <w:rFonts w:ascii="Gill Sans MT" w:hAnsi="Gill Sans MT"/>
          <w:color w:val="3B3838" w:themeColor="background2" w:themeShade="40"/>
        </w:rPr>
        <w:t>Utilisation des benzodiazépines et de la prégabaline</w:t>
      </w:r>
      <w:r w:rsidR="00A61793" w:rsidRPr="00F35345">
        <w:rPr>
          <w:rFonts w:ascii="Gill Sans MT" w:hAnsi="Gill Sans MT"/>
          <w:color w:val="3B3838" w:themeColor="background2" w:themeShade="40"/>
        </w:rPr>
        <w:t xml:space="preserve"> </w:t>
      </w:r>
      <w:r w:rsidR="007A6B1D" w:rsidRPr="00F35345">
        <w:rPr>
          <w:rFonts w:ascii="Gill Sans MT" w:hAnsi="Gill Sans MT"/>
          <w:color w:val="3B3838" w:themeColor="background2" w:themeShade="40"/>
        </w:rPr>
        <w:t>comme support à l’activité</w:t>
      </w:r>
      <w:r w:rsidR="006105FB" w:rsidRPr="00F35345">
        <w:rPr>
          <w:rStyle w:val="FootnoteReference"/>
          <w:rFonts w:ascii="Gill Sans MT" w:hAnsi="Gill Sans MT"/>
          <w:color w:val="3B3838" w:themeColor="background2" w:themeShade="40"/>
        </w:rPr>
        <w:footnoteReference w:id="4"/>
      </w:r>
    </w:p>
    <w:p w14:paraId="13AE9172" w14:textId="77777777" w:rsidR="00323588" w:rsidRPr="00F35345" w:rsidRDefault="00323588" w:rsidP="00C0496A">
      <w:pPr>
        <w:pStyle w:val="ListParagraph"/>
        <w:numPr>
          <w:ilvl w:val="0"/>
          <w:numId w:val="1"/>
        </w:numPr>
        <w:spacing w:before="120" w:after="120" w:line="276" w:lineRule="auto"/>
        <w:contextualSpacing w:val="0"/>
        <w:jc w:val="both"/>
        <w:rPr>
          <w:rFonts w:ascii="Gill Sans MT" w:hAnsi="Gill Sans MT"/>
          <w:color w:val="3B3838" w:themeColor="background2" w:themeShade="40"/>
        </w:rPr>
      </w:pPr>
      <w:r w:rsidRPr="00F35345">
        <w:rPr>
          <w:rFonts w:ascii="Gill Sans MT" w:hAnsi="Gill Sans MT"/>
          <w:color w:val="3B3838" w:themeColor="background2" w:themeShade="40"/>
        </w:rPr>
        <w:t>Dépendance, accoutumance et tolérance qui augmentent les doses consommées</w:t>
      </w:r>
    </w:p>
    <w:p w14:paraId="2B0E7E49" w14:textId="77777777" w:rsidR="00323588" w:rsidRPr="00F35345" w:rsidRDefault="00323588" w:rsidP="00C0496A">
      <w:pPr>
        <w:pStyle w:val="ListParagraph"/>
        <w:numPr>
          <w:ilvl w:val="0"/>
          <w:numId w:val="1"/>
        </w:numPr>
        <w:spacing w:before="120" w:after="120" w:line="276" w:lineRule="auto"/>
        <w:contextualSpacing w:val="0"/>
        <w:jc w:val="both"/>
        <w:rPr>
          <w:rFonts w:ascii="Gill Sans MT" w:hAnsi="Gill Sans MT"/>
          <w:color w:val="3B3838" w:themeColor="background2" w:themeShade="40"/>
        </w:rPr>
      </w:pPr>
      <w:r w:rsidRPr="00F35345">
        <w:rPr>
          <w:rFonts w:ascii="Gill Sans MT" w:hAnsi="Gill Sans MT"/>
          <w:color w:val="3B3838" w:themeColor="background2" w:themeShade="40"/>
        </w:rPr>
        <w:t xml:space="preserve">Activités délinquantes </w:t>
      </w:r>
      <w:r w:rsidR="007A6B1D" w:rsidRPr="00F35345">
        <w:rPr>
          <w:rFonts w:ascii="Gill Sans MT" w:hAnsi="Gill Sans MT"/>
          <w:color w:val="3B3838" w:themeColor="background2" w:themeShade="40"/>
        </w:rPr>
        <w:t xml:space="preserve">intenses, </w:t>
      </w:r>
      <w:r w:rsidRPr="00F35345">
        <w:rPr>
          <w:rFonts w:ascii="Gill Sans MT" w:hAnsi="Gill Sans MT"/>
          <w:color w:val="3B3838" w:themeColor="background2" w:themeShade="40"/>
        </w:rPr>
        <w:t>cause</w:t>
      </w:r>
      <w:r w:rsidR="007A6B1D" w:rsidRPr="00F35345">
        <w:rPr>
          <w:rFonts w:ascii="Gill Sans MT" w:hAnsi="Gill Sans MT"/>
          <w:color w:val="3B3838" w:themeColor="background2" w:themeShade="40"/>
        </w:rPr>
        <w:t>s</w:t>
      </w:r>
      <w:r w:rsidRPr="00F35345">
        <w:rPr>
          <w:rFonts w:ascii="Gill Sans MT" w:hAnsi="Gill Sans MT"/>
          <w:color w:val="3B3838" w:themeColor="background2" w:themeShade="40"/>
        </w:rPr>
        <w:t xml:space="preserve"> et conséquences de la situation d’</w:t>
      </w:r>
      <w:r w:rsidR="00A61793" w:rsidRPr="00F35345">
        <w:rPr>
          <w:rFonts w:ascii="Gill Sans MT" w:hAnsi="Gill Sans MT"/>
          <w:color w:val="3B3838" w:themeColor="background2" w:themeShade="40"/>
        </w:rPr>
        <w:t>exploitation</w:t>
      </w:r>
    </w:p>
    <w:p w14:paraId="660F6F03" w14:textId="77777777" w:rsidR="00A61793" w:rsidRPr="00F35345" w:rsidRDefault="00A61793" w:rsidP="00C0496A">
      <w:pPr>
        <w:spacing w:before="120" w:after="120" w:line="276" w:lineRule="auto"/>
        <w:jc w:val="both"/>
        <w:rPr>
          <w:rFonts w:ascii="Gill Sans MT" w:hAnsi="Gill Sans MT"/>
          <w:b/>
          <w:color w:val="3B3838" w:themeColor="background2" w:themeShade="40"/>
        </w:rPr>
      </w:pPr>
      <w:r w:rsidRPr="00F35345">
        <w:rPr>
          <w:rFonts w:ascii="Gill Sans MT" w:hAnsi="Gill Sans MT"/>
          <w:b/>
          <w:color w:val="3B3838" w:themeColor="background2" w:themeShade="40"/>
        </w:rPr>
        <w:t>Des dispositifs de prise en charge inadaptés</w:t>
      </w:r>
    </w:p>
    <w:p w14:paraId="7922C4A4" w14:textId="77777777" w:rsidR="00A61793" w:rsidRPr="00F35345" w:rsidRDefault="007A6B1D" w:rsidP="00C0496A">
      <w:pPr>
        <w:spacing w:before="120" w:after="120" w:line="276" w:lineRule="auto"/>
        <w:jc w:val="both"/>
        <w:rPr>
          <w:rFonts w:ascii="Gill Sans MT" w:hAnsi="Gill Sans MT"/>
          <w:color w:val="3B3838" w:themeColor="background2" w:themeShade="40"/>
        </w:rPr>
      </w:pPr>
      <w:r w:rsidRPr="00F35345">
        <w:rPr>
          <w:rFonts w:ascii="Gill Sans MT" w:hAnsi="Gill Sans MT"/>
          <w:color w:val="3B3838" w:themeColor="background2" w:themeShade="40"/>
        </w:rPr>
        <w:t>C</w:t>
      </w:r>
      <w:r w:rsidR="00A61793" w:rsidRPr="00F35345">
        <w:rPr>
          <w:rFonts w:ascii="Gill Sans MT" w:hAnsi="Gill Sans MT"/>
          <w:color w:val="3B3838" w:themeColor="background2" w:themeShade="40"/>
        </w:rPr>
        <w:t xml:space="preserve">es jeunes sont régulièrement interpellés, </w:t>
      </w:r>
      <w:r w:rsidR="009B7B7F" w:rsidRPr="00F35345">
        <w:rPr>
          <w:rFonts w:ascii="Gill Sans MT" w:hAnsi="Gill Sans MT"/>
          <w:color w:val="3B3838" w:themeColor="background2" w:themeShade="40"/>
        </w:rPr>
        <w:t>déférés</w:t>
      </w:r>
      <w:r w:rsidR="00A61793" w:rsidRPr="00F35345">
        <w:rPr>
          <w:rFonts w:ascii="Gill Sans MT" w:hAnsi="Gill Sans MT"/>
          <w:color w:val="3B3838" w:themeColor="background2" w:themeShade="40"/>
        </w:rPr>
        <w:t xml:space="preserve"> et détenus en quartier et établissement pénitentiai</w:t>
      </w:r>
      <w:r w:rsidR="00207EE1" w:rsidRPr="00F35345">
        <w:rPr>
          <w:rFonts w:ascii="Gill Sans MT" w:hAnsi="Gill Sans MT"/>
          <w:color w:val="3B3838" w:themeColor="background2" w:themeShade="40"/>
        </w:rPr>
        <w:t>re pour mineurs</w:t>
      </w:r>
      <w:r w:rsidR="001E69E9" w:rsidRPr="00F35345">
        <w:rPr>
          <w:rStyle w:val="FootnoteReference"/>
          <w:rFonts w:ascii="Gill Sans MT" w:hAnsi="Gill Sans MT"/>
          <w:color w:val="3B3838" w:themeColor="background2" w:themeShade="40"/>
        </w:rPr>
        <w:footnoteReference w:id="5"/>
      </w:r>
      <w:r w:rsidR="00207EE1" w:rsidRPr="00F35345">
        <w:rPr>
          <w:rFonts w:ascii="Gill Sans MT" w:hAnsi="Gill Sans MT"/>
          <w:color w:val="3B3838" w:themeColor="background2" w:themeShade="40"/>
        </w:rPr>
        <w:t>. Leur exploitation</w:t>
      </w:r>
      <w:r w:rsidR="00A61793" w:rsidRPr="00F35345">
        <w:rPr>
          <w:rFonts w:ascii="Gill Sans MT" w:hAnsi="Gill Sans MT"/>
          <w:color w:val="3B3838" w:themeColor="background2" w:themeShade="40"/>
        </w:rPr>
        <w:t xml:space="preserve"> </w:t>
      </w:r>
      <w:r w:rsidR="0063357C" w:rsidRPr="00F35345">
        <w:rPr>
          <w:rFonts w:ascii="Gill Sans MT" w:hAnsi="Gill Sans MT"/>
          <w:color w:val="3B3838" w:themeColor="background2" w:themeShade="40"/>
        </w:rPr>
        <w:t xml:space="preserve">est </w:t>
      </w:r>
      <w:r w:rsidR="003301A6" w:rsidRPr="00F35345">
        <w:rPr>
          <w:rFonts w:ascii="Gill Sans MT" w:hAnsi="Gill Sans MT"/>
          <w:color w:val="3B3838" w:themeColor="background2" w:themeShade="40"/>
        </w:rPr>
        <w:t xml:space="preserve">peu traitée : aux yeux des institutions et du grand public, ces jeunes sont avant tout des délinquants. </w:t>
      </w:r>
    </w:p>
    <w:p w14:paraId="45DEBFC3" w14:textId="77777777" w:rsidR="00207EE1" w:rsidRPr="00F35345" w:rsidRDefault="00207EE1" w:rsidP="00C0496A">
      <w:pPr>
        <w:spacing w:before="120" w:after="120" w:line="276" w:lineRule="auto"/>
        <w:jc w:val="both"/>
        <w:rPr>
          <w:rFonts w:ascii="Gill Sans MT" w:hAnsi="Gill Sans MT"/>
          <w:color w:val="3B3838" w:themeColor="background2" w:themeShade="40"/>
        </w:rPr>
      </w:pPr>
      <w:r w:rsidRPr="00F35345">
        <w:rPr>
          <w:rFonts w:ascii="Gill Sans MT" w:hAnsi="Gill Sans MT"/>
          <w:color w:val="3B3838" w:themeColor="background2" w:themeShade="40"/>
        </w:rPr>
        <w:t>Les</w:t>
      </w:r>
      <w:r w:rsidR="003301A6" w:rsidRPr="00F35345">
        <w:rPr>
          <w:rFonts w:ascii="Gill Sans MT" w:hAnsi="Gill Sans MT"/>
          <w:color w:val="3B3838" w:themeColor="background2" w:themeShade="40"/>
        </w:rPr>
        <w:t xml:space="preserve"> mesures d’assistance éducative </w:t>
      </w:r>
      <w:r w:rsidR="008B419B" w:rsidRPr="00F35345">
        <w:rPr>
          <w:rFonts w:ascii="Gill Sans MT" w:hAnsi="Gill Sans MT"/>
          <w:color w:val="3B3838" w:themeColor="background2" w:themeShade="40"/>
        </w:rPr>
        <w:t xml:space="preserve">(et pénales) </w:t>
      </w:r>
      <w:r w:rsidRPr="00F35345">
        <w:rPr>
          <w:rFonts w:ascii="Gill Sans MT" w:hAnsi="Gill Sans MT"/>
          <w:color w:val="3B3838" w:themeColor="background2" w:themeShade="40"/>
        </w:rPr>
        <w:t>s</w:t>
      </w:r>
      <w:r w:rsidR="002647FC" w:rsidRPr="00F35345">
        <w:rPr>
          <w:rFonts w:ascii="Gill Sans MT" w:hAnsi="Gill Sans MT"/>
          <w:color w:val="3B3838" w:themeColor="background2" w:themeShade="40"/>
        </w:rPr>
        <w:t>ouffrent de plusieurs écueils :</w:t>
      </w:r>
    </w:p>
    <w:p w14:paraId="0D6F832B" w14:textId="77777777" w:rsidR="00207EE1" w:rsidRPr="00F35345" w:rsidRDefault="00207EE1" w:rsidP="00C0496A">
      <w:pPr>
        <w:pStyle w:val="ListParagraph"/>
        <w:numPr>
          <w:ilvl w:val="0"/>
          <w:numId w:val="3"/>
        </w:numPr>
        <w:spacing w:before="120" w:after="120" w:line="276" w:lineRule="auto"/>
        <w:contextualSpacing w:val="0"/>
        <w:jc w:val="both"/>
        <w:rPr>
          <w:rFonts w:ascii="Gill Sans MT" w:hAnsi="Gill Sans MT"/>
          <w:color w:val="3B3838" w:themeColor="background2" w:themeShade="40"/>
        </w:rPr>
      </w:pPr>
      <w:r w:rsidRPr="00F35345">
        <w:rPr>
          <w:rFonts w:ascii="Gill Sans MT" w:hAnsi="Gill Sans MT"/>
          <w:color w:val="3B3838" w:themeColor="background2" w:themeShade="40"/>
        </w:rPr>
        <w:t>L</w:t>
      </w:r>
      <w:r w:rsidR="003301A6" w:rsidRPr="00F35345">
        <w:rPr>
          <w:rFonts w:ascii="Gill Sans MT" w:hAnsi="Gill Sans MT"/>
          <w:color w:val="3B3838" w:themeColor="background2" w:themeShade="40"/>
        </w:rPr>
        <w:t>’adhésion d</w:t>
      </w:r>
      <w:r w:rsidRPr="00F35345">
        <w:rPr>
          <w:rFonts w:ascii="Gill Sans MT" w:hAnsi="Gill Sans MT"/>
          <w:color w:val="3B3838" w:themeColor="background2" w:themeShade="40"/>
        </w:rPr>
        <w:t>e ces jeunes reste fragile</w:t>
      </w:r>
    </w:p>
    <w:p w14:paraId="0A07CE9C" w14:textId="77777777" w:rsidR="00207EE1" w:rsidRPr="00F35345" w:rsidRDefault="0063357C" w:rsidP="00C0496A">
      <w:pPr>
        <w:pStyle w:val="ListParagraph"/>
        <w:numPr>
          <w:ilvl w:val="0"/>
          <w:numId w:val="3"/>
        </w:numPr>
        <w:spacing w:before="120" w:after="120" w:line="276" w:lineRule="auto"/>
        <w:contextualSpacing w:val="0"/>
        <w:jc w:val="both"/>
        <w:rPr>
          <w:rFonts w:ascii="Gill Sans MT" w:hAnsi="Gill Sans MT"/>
          <w:color w:val="3B3838" w:themeColor="background2" w:themeShade="40"/>
        </w:rPr>
      </w:pPr>
      <w:r w:rsidRPr="00F35345">
        <w:rPr>
          <w:rFonts w:ascii="Gill Sans MT" w:hAnsi="Gill Sans MT"/>
          <w:color w:val="3B3838" w:themeColor="background2" w:themeShade="40"/>
        </w:rPr>
        <w:t>Les</w:t>
      </w:r>
      <w:r w:rsidR="003301A6" w:rsidRPr="00F35345">
        <w:rPr>
          <w:rFonts w:ascii="Gill Sans MT" w:hAnsi="Gill Sans MT"/>
          <w:color w:val="3B3838" w:themeColor="background2" w:themeShade="40"/>
        </w:rPr>
        <w:t xml:space="preserve"> addictions </w:t>
      </w:r>
      <w:r w:rsidRPr="00F35345">
        <w:rPr>
          <w:rFonts w:ascii="Gill Sans MT" w:hAnsi="Gill Sans MT"/>
          <w:color w:val="3B3838" w:themeColor="background2" w:themeShade="40"/>
        </w:rPr>
        <w:t xml:space="preserve">sont </w:t>
      </w:r>
      <w:r w:rsidR="003301A6" w:rsidRPr="00F35345">
        <w:rPr>
          <w:rFonts w:ascii="Gill Sans MT" w:hAnsi="Gill Sans MT"/>
          <w:color w:val="3B3838" w:themeColor="background2" w:themeShade="40"/>
        </w:rPr>
        <w:t>un obst</w:t>
      </w:r>
      <w:r w:rsidR="00884888" w:rsidRPr="00F35345">
        <w:rPr>
          <w:rFonts w:ascii="Gill Sans MT" w:hAnsi="Gill Sans MT"/>
          <w:color w:val="3B3838" w:themeColor="background2" w:themeShade="40"/>
        </w:rPr>
        <w:t>acle important au maintien de leur</w:t>
      </w:r>
      <w:r w:rsidR="00207EE1" w:rsidRPr="00F35345">
        <w:rPr>
          <w:rFonts w:ascii="Gill Sans MT" w:hAnsi="Gill Sans MT"/>
          <w:color w:val="3B3838" w:themeColor="background2" w:themeShade="40"/>
        </w:rPr>
        <w:t xml:space="preserve"> prise en charge :</w:t>
      </w:r>
      <w:r w:rsidR="00037BEF" w:rsidRPr="00F35345">
        <w:rPr>
          <w:rFonts w:ascii="Gill Sans MT" w:hAnsi="Gill Sans MT"/>
          <w:color w:val="3B3838" w:themeColor="background2" w:themeShade="40"/>
        </w:rPr>
        <w:t xml:space="preserve"> </w:t>
      </w:r>
      <w:r w:rsidR="00207EE1" w:rsidRPr="00F35345">
        <w:rPr>
          <w:rFonts w:ascii="Gill Sans MT" w:hAnsi="Gill Sans MT"/>
          <w:color w:val="3B3838" w:themeColor="background2" w:themeShade="40"/>
        </w:rPr>
        <w:t>l</w:t>
      </w:r>
      <w:r w:rsidR="003301A6" w:rsidRPr="00F35345">
        <w:rPr>
          <w:rFonts w:ascii="Gill Sans MT" w:hAnsi="Gill Sans MT"/>
          <w:color w:val="3B3838" w:themeColor="background2" w:themeShade="40"/>
        </w:rPr>
        <w:t xml:space="preserve">’anticipation de phénomènes de manque crée un fort climat d’angoisse, combattu par </w:t>
      </w:r>
      <w:r w:rsidR="008B419B" w:rsidRPr="00F35345">
        <w:rPr>
          <w:rFonts w:ascii="Gill Sans MT" w:hAnsi="Gill Sans MT"/>
          <w:color w:val="3B3838" w:themeColor="background2" w:themeShade="40"/>
        </w:rPr>
        <w:t>une consommation de cannabis dont l’approvisionnement est impossible en structure ;</w:t>
      </w:r>
    </w:p>
    <w:p w14:paraId="688DDCCF" w14:textId="77777777" w:rsidR="00207EE1" w:rsidRPr="00F35345" w:rsidRDefault="003301A6" w:rsidP="00C0496A">
      <w:pPr>
        <w:pStyle w:val="ListParagraph"/>
        <w:numPr>
          <w:ilvl w:val="0"/>
          <w:numId w:val="3"/>
        </w:numPr>
        <w:spacing w:before="120" w:after="120" w:line="276" w:lineRule="auto"/>
        <w:contextualSpacing w:val="0"/>
        <w:jc w:val="both"/>
        <w:rPr>
          <w:rFonts w:ascii="Gill Sans MT" w:hAnsi="Gill Sans MT"/>
          <w:color w:val="3B3838" w:themeColor="background2" w:themeShade="40"/>
        </w:rPr>
      </w:pPr>
      <w:r w:rsidRPr="00F35345">
        <w:rPr>
          <w:rFonts w:ascii="Gill Sans MT" w:hAnsi="Gill Sans MT"/>
          <w:color w:val="3B3838" w:themeColor="background2" w:themeShade="40"/>
        </w:rPr>
        <w:t xml:space="preserve">La prescription et la délivrance de benzodiazépines et de prégabaline dans le cadre de la prise en charge </w:t>
      </w:r>
      <w:r w:rsidR="007A6B1D" w:rsidRPr="00F35345">
        <w:rPr>
          <w:rFonts w:ascii="Gill Sans MT" w:hAnsi="Gill Sans MT"/>
          <w:color w:val="3B3838" w:themeColor="background2" w:themeShade="40"/>
        </w:rPr>
        <w:t xml:space="preserve">et en vue d’accompagner la réduction nécessairement progressive des consommations, </w:t>
      </w:r>
      <w:r w:rsidRPr="00F35345">
        <w:rPr>
          <w:rFonts w:ascii="Gill Sans MT" w:hAnsi="Gill Sans MT"/>
          <w:color w:val="3B3838" w:themeColor="background2" w:themeShade="40"/>
        </w:rPr>
        <w:t>demeure trop peu répandu</w:t>
      </w:r>
      <w:r w:rsidR="008B419B" w:rsidRPr="00F35345">
        <w:rPr>
          <w:rFonts w:ascii="Gill Sans MT" w:hAnsi="Gill Sans MT"/>
          <w:color w:val="3B3838" w:themeColor="background2" w:themeShade="40"/>
        </w:rPr>
        <w:t>e ;</w:t>
      </w:r>
      <w:r w:rsidR="00884888" w:rsidRPr="00F35345">
        <w:rPr>
          <w:rFonts w:ascii="Gill Sans MT" w:hAnsi="Gill Sans MT"/>
          <w:color w:val="3B3838" w:themeColor="background2" w:themeShade="40"/>
        </w:rPr>
        <w:t xml:space="preserve"> </w:t>
      </w:r>
    </w:p>
    <w:p w14:paraId="255CDC80" w14:textId="77777777" w:rsidR="00884888" w:rsidRPr="00F35345" w:rsidRDefault="008B419B" w:rsidP="00C0496A">
      <w:pPr>
        <w:pStyle w:val="ListParagraph"/>
        <w:numPr>
          <w:ilvl w:val="0"/>
          <w:numId w:val="3"/>
        </w:numPr>
        <w:spacing w:before="120" w:after="120" w:line="276" w:lineRule="auto"/>
        <w:contextualSpacing w:val="0"/>
        <w:jc w:val="both"/>
        <w:rPr>
          <w:rFonts w:ascii="Gill Sans MT" w:hAnsi="Gill Sans MT"/>
          <w:color w:val="3B3838" w:themeColor="background2" w:themeShade="40"/>
        </w:rPr>
      </w:pPr>
      <w:r w:rsidRPr="00F35345">
        <w:rPr>
          <w:rFonts w:ascii="Gill Sans MT" w:hAnsi="Gill Sans MT"/>
          <w:color w:val="3B3838" w:themeColor="background2" w:themeShade="40"/>
        </w:rPr>
        <w:t>L</w:t>
      </w:r>
      <w:r w:rsidR="00884888" w:rsidRPr="00F35345">
        <w:rPr>
          <w:rFonts w:ascii="Gill Sans MT" w:hAnsi="Gill Sans MT"/>
          <w:color w:val="3B3838" w:themeColor="background2" w:themeShade="40"/>
        </w:rPr>
        <w:t>es mesures de détention et de prise en charge au titre de la protection de l’enfance ne débouchent que très rarement sur une protection pérenne, permettant notamment de travailler les traumatismes subis durant leur exploitation et de recueillir des témoignages pouvant nourrir des enquêtes pénales qui demeurent insatisfaisante</w:t>
      </w:r>
      <w:r w:rsidRPr="00F35345">
        <w:rPr>
          <w:rFonts w:ascii="Gill Sans MT" w:hAnsi="Gill Sans MT"/>
          <w:color w:val="3B3838" w:themeColor="background2" w:themeShade="40"/>
        </w:rPr>
        <w:t>s</w:t>
      </w:r>
      <w:r w:rsidR="00884888" w:rsidRPr="00F35345">
        <w:rPr>
          <w:rFonts w:ascii="Gill Sans MT" w:hAnsi="Gill Sans MT"/>
          <w:color w:val="3B3838" w:themeColor="background2" w:themeShade="40"/>
        </w:rPr>
        <w:t xml:space="preserve"> en termes de protection effective des victimes.</w:t>
      </w:r>
    </w:p>
    <w:p w14:paraId="7683D22B" w14:textId="77777777" w:rsidR="00C0496A" w:rsidRPr="00F35345" w:rsidRDefault="00C0496A" w:rsidP="00C0496A">
      <w:pPr>
        <w:spacing w:before="120" w:after="120" w:line="276" w:lineRule="auto"/>
        <w:jc w:val="both"/>
        <w:rPr>
          <w:rFonts w:ascii="Gill Sans MT" w:hAnsi="Gill Sans MT"/>
          <w:b/>
          <w:bCs/>
          <w:color w:val="3B3838" w:themeColor="background2" w:themeShade="40"/>
        </w:rPr>
      </w:pPr>
    </w:p>
    <w:p w14:paraId="3A22BA40" w14:textId="77777777" w:rsidR="00C0496A" w:rsidRPr="00F35345" w:rsidRDefault="00C0496A" w:rsidP="00C0496A">
      <w:pPr>
        <w:spacing w:before="120" w:after="120" w:line="276" w:lineRule="auto"/>
        <w:jc w:val="both"/>
        <w:rPr>
          <w:rFonts w:ascii="Gill Sans MT" w:hAnsi="Gill Sans MT"/>
          <w:b/>
          <w:bCs/>
          <w:color w:val="3B3838" w:themeColor="background2" w:themeShade="40"/>
        </w:rPr>
      </w:pPr>
    </w:p>
    <w:p w14:paraId="61500230" w14:textId="77777777" w:rsidR="00C0496A" w:rsidRPr="00F35345" w:rsidRDefault="00C0496A" w:rsidP="00C0496A">
      <w:pPr>
        <w:spacing w:before="120" w:after="120" w:line="276" w:lineRule="auto"/>
        <w:jc w:val="both"/>
        <w:rPr>
          <w:rFonts w:ascii="Gill Sans MT" w:hAnsi="Gill Sans MT"/>
          <w:b/>
          <w:bCs/>
          <w:color w:val="3B3838" w:themeColor="background2" w:themeShade="40"/>
        </w:rPr>
      </w:pPr>
    </w:p>
    <w:p w14:paraId="5570DC94" w14:textId="77777777" w:rsidR="00C0496A" w:rsidRPr="00F35345" w:rsidRDefault="00C0496A" w:rsidP="00C0496A">
      <w:pPr>
        <w:spacing w:before="120" w:after="120" w:line="276" w:lineRule="auto"/>
        <w:jc w:val="both"/>
        <w:rPr>
          <w:rFonts w:ascii="Gill Sans MT" w:hAnsi="Gill Sans MT"/>
          <w:b/>
          <w:bCs/>
          <w:color w:val="3B3838" w:themeColor="background2" w:themeShade="40"/>
        </w:rPr>
      </w:pPr>
    </w:p>
    <w:p w14:paraId="65CAFE3E" w14:textId="77777777" w:rsidR="00C0496A" w:rsidRPr="00F35345" w:rsidRDefault="00C0496A" w:rsidP="00C0496A">
      <w:pPr>
        <w:spacing w:before="120" w:after="120" w:line="276" w:lineRule="auto"/>
        <w:jc w:val="both"/>
        <w:rPr>
          <w:rFonts w:ascii="Gill Sans MT" w:hAnsi="Gill Sans MT"/>
          <w:b/>
          <w:bCs/>
          <w:color w:val="3B3838" w:themeColor="background2" w:themeShade="40"/>
        </w:rPr>
      </w:pPr>
    </w:p>
    <w:p w14:paraId="3788809E" w14:textId="77777777" w:rsidR="002A09CC" w:rsidRPr="00F35345" w:rsidRDefault="002A09CC" w:rsidP="00C0496A">
      <w:pPr>
        <w:spacing w:before="120" w:after="120" w:line="276" w:lineRule="auto"/>
        <w:jc w:val="both"/>
        <w:rPr>
          <w:rFonts w:ascii="Gill Sans MT" w:hAnsi="Gill Sans MT"/>
          <w:b/>
          <w:bCs/>
          <w:color w:val="3B3838" w:themeColor="background2" w:themeShade="40"/>
        </w:rPr>
      </w:pPr>
      <w:r w:rsidRPr="00F35345">
        <w:rPr>
          <w:rFonts w:ascii="Gill Sans MT" w:hAnsi="Gill Sans MT"/>
          <w:b/>
          <w:bCs/>
          <w:color w:val="3B3838" w:themeColor="background2" w:themeShade="40"/>
        </w:rPr>
        <w:lastRenderedPageBreak/>
        <w:t>Sur-incarcération</w:t>
      </w:r>
    </w:p>
    <w:p w14:paraId="0ABAFD0D" w14:textId="77777777" w:rsidR="00FF55CA" w:rsidRPr="00F35345" w:rsidRDefault="004945DD" w:rsidP="00C0496A">
      <w:pPr>
        <w:autoSpaceDE w:val="0"/>
        <w:autoSpaceDN w:val="0"/>
        <w:adjustRightInd w:val="0"/>
        <w:spacing w:before="120" w:after="120" w:line="276" w:lineRule="auto"/>
        <w:jc w:val="both"/>
        <w:rPr>
          <w:rFonts w:ascii="Gill Sans MT" w:hAnsi="Gill Sans MT" w:cs="Calibri"/>
          <w:color w:val="3B3838" w:themeColor="background2" w:themeShade="40"/>
          <w:sz w:val="23"/>
          <w:szCs w:val="23"/>
        </w:rPr>
      </w:pPr>
      <w:r w:rsidRPr="00F35345">
        <w:rPr>
          <w:rFonts w:ascii="Gill Sans MT" w:hAnsi="Gill Sans MT"/>
          <w:color w:val="3B3838" w:themeColor="background2" w:themeShade="40"/>
        </w:rPr>
        <w:t>Malgré l’existence de la circulaire de 2015</w:t>
      </w:r>
      <w:r w:rsidR="0035002E" w:rsidRPr="00F35345">
        <w:rPr>
          <w:rStyle w:val="FootnoteReference"/>
          <w:rFonts w:ascii="Gill Sans MT" w:hAnsi="Gill Sans MT"/>
          <w:color w:val="3B3838" w:themeColor="background2" w:themeShade="40"/>
        </w:rPr>
        <w:footnoteReference w:id="6"/>
      </w:r>
      <w:r w:rsidR="0035002E" w:rsidRPr="00F35345">
        <w:rPr>
          <w:rFonts w:ascii="Gill Sans MT" w:hAnsi="Gill Sans MT"/>
          <w:color w:val="3B3838" w:themeColor="background2" w:themeShade="40"/>
        </w:rPr>
        <w:t xml:space="preserve"> </w:t>
      </w:r>
      <w:r w:rsidRPr="00F35345">
        <w:rPr>
          <w:rFonts w:ascii="Gill Sans MT" w:hAnsi="Gill Sans MT"/>
          <w:color w:val="3B3838" w:themeColor="background2" w:themeShade="40"/>
        </w:rPr>
        <w:t>encourageant le recours à la qualification juridique de TEH, nous constatons l’usage massif de l’incarcération pour des MNA</w:t>
      </w:r>
      <w:r w:rsidR="004E3471" w:rsidRPr="00F35345">
        <w:rPr>
          <w:rFonts w:ascii="Gill Sans MT" w:hAnsi="Gill Sans MT"/>
          <w:color w:val="3B3838" w:themeColor="background2" w:themeShade="40"/>
        </w:rPr>
        <w:t xml:space="preserve"> présumés victimes</w:t>
      </w:r>
      <w:r w:rsidR="004B0383" w:rsidRPr="00F35345">
        <w:rPr>
          <w:rFonts w:ascii="Gill Sans MT" w:hAnsi="Gill Sans MT"/>
          <w:color w:val="3B3838" w:themeColor="background2" w:themeShade="40"/>
        </w:rPr>
        <w:t xml:space="preserve"> de traite</w:t>
      </w:r>
      <w:r w:rsidRPr="00F35345">
        <w:rPr>
          <w:rStyle w:val="FootnoteReference"/>
          <w:rFonts w:ascii="Gill Sans MT" w:hAnsi="Gill Sans MT"/>
          <w:color w:val="3B3838" w:themeColor="background2" w:themeShade="40"/>
        </w:rPr>
        <w:footnoteReference w:id="7"/>
      </w:r>
      <w:r w:rsidRPr="00F35345">
        <w:rPr>
          <w:rFonts w:ascii="Gill Sans MT" w:hAnsi="Gill Sans MT"/>
          <w:color w:val="3B3838" w:themeColor="background2" w:themeShade="40"/>
        </w:rPr>
        <w:t xml:space="preserve"> au détriment d’une protection effective</w:t>
      </w:r>
      <w:r w:rsidR="00FF55CA" w:rsidRPr="00F35345">
        <w:rPr>
          <w:rFonts w:ascii="Gill Sans MT" w:hAnsi="Gill Sans MT" w:cs="Calibri"/>
          <w:color w:val="3B3838" w:themeColor="background2" w:themeShade="40"/>
        </w:rPr>
        <w:t>.</w:t>
      </w:r>
    </w:p>
    <w:p w14:paraId="428A926C" w14:textId="77777777" w:rsidR="008B419B" w:rsidRPr="00F35345" w:rsidRDefault="008B419B" w:rsidP="00C0496A">
      <w:pPr>
        <w:autoSpaceDE w:val="0"/>
        <w:autoSpaceDN w:val="0"/>
        <w:adjustRightInd w:val="0"/>
        <w:spacing w:before="120" w:after="120" w:line="276" w:lineRule="auto"/>
        <w:rPr>
          <w:rFonts w:ascii="Gill Sans MT" w:hAnsi="Gill Sans MT" w:cs="Calibri"/>
          <w:color w:val="3B3838" w:themeColor="background2" w:themeShade="40"/>
          <w:sz w:val="23"/>
          <w:szCs w:val="23"/>
        </w:rPr>
      </w:pPr>
    </w:p>
    <w:p w14:paraId="592003A3" w14:textId="77777777" w:rsidR="00884888" w:rsidRPr="00F35345" w:rsidRDefault="002647FC" w:rsidP="00C0496A">
      <w:pPr>
        <w:spacing w:before="120" w:after="120" w:line="276" w:lineRule="auto"/>
        <w:jc w:val="both"/>
        <w:rPr>
          <w:rFonts w:ascii="Gill Sans MT" w:hAnsi="Gill Sans MT"/>
          <w:b/>
          <w:color w:val="3B3838" w:themeColor="background2" w:themeShade="40"/>
        </w:rPr>
      </w:pPr>
      <w:r w:rsidRPr="00F35345">
        <w:rPr>
          <w:rFonts w:ascii="Gill Sans MT" w:hAnsi="Gill Sans MT"/>
          <w:b/>
          <w:color w:val="3B3838" w:themeColor="background2" w:themeShade="40"/>
        </w:rPr>
        <w:t>Recommandations</w:t>
      </w:r>
    </w:p>
    <w:p w14:paraId="3C386C37" w14:textId="77777777" w:rsidR="00266FAD" w:rsidRPr="00F35345" w:rsidRDefault="00266FAD" w:rsidP="00C0496A">
      <w:pPr>
        <w:spacing w:before="120" w:after="120" w:line="276" w:lineRule="auto"/>
        <w:jc w:val="both"/>
        <w:rPr>
          <w:rFonts w:ascii="Gill Sans MT" w:hAnsi="Gill Sans MT"/>
          <w:color w:val="3B3838" w:themeColor="background2" w:themeShade="40"/>
        </w:rPr>
      </w:pPr>
      <w:r w:rsidRPr="00F35345">
        <w:rPr>
          <w:rFonts w:ascii="Gill Sans MT" w:hAnsi="Gill Sans MT"/>
          <w:color w:val="3B3838" w:themeColor="background2" w:themeShade="40"/>
        </w:rPr>
        <w:t xml:space="preserve">Soutenir et développer les actions </w:t>
      </w:r>
      <w:r w:rsidR="00971ECB" w:rsidRPr="00F35345">
        <w:rPr>
          <w:rFonts w:ascii="Gill Sans MT" w:hAnsi="Gill Sans MT"/>
          <w:color w:val="3B3838" w:themeColor="background2" w:themeShade="40"/>
        </w:rPr>
        <w:t>d’aller vers</w:t>
      </w:r>
      <w:r w:rsidRPr="00F35345">
        <w:rPr>
          <w:rFonts w:ascii="Gill Sans MT" w:hAnsi="Gill Sans MT"/>
          <w:color w:val="3B3838" w:themeColor="background2" w:themeShade="40"/>
        </w:rPr>
        <w:t xml:space="preserve"> pour le repérage et </w:t>
      </w:r>
      <w:r w:rsidR="00971ECB" w:rsidRPr="00F35345">
        <w:rPr>
          <w:rFonts w:ascii="Gill Sans MT" w:hAnsi="Gill Sans MT"/>
          <w:color w:val="3B3838" w:themeColor="background2" w:themeShade="40"/>
        </w:rPr>
        <w:t>l’</w:t>
      </w:r>
      <w:r w:rsidRPr="00F35345">
        <w:rPr>
          <w:rFonts w:ascii="Gill Sans MT" w:hAnsi="Gill Sans MT"/>
          <w:color w:val="3B3838" w:themeColor="background2" w:themeShade="40"/>
        </w:rPr>
        <w:t>identification</w:t>
      </w:r>
      <w:r w:rsidR="00971ECB" w:rsidRPr="00F35345">
        <w:rPr>
          <w:rFonts w:ascii="Gill Sans MT" w:hAnsi="Gill Sans MT"/>
          <w:color w:val="3B3838" w:themeColor="background2" w:themeShade="40"/>
        </w:rPr>
        <w:t xml:space="preserve"> des </w:t>
      </w:r>
      <w:r w:rsidR="0063357C" w:rsidRPr="00F35345">
        <w:rPr>
          <w:rFonts w:ascii="Gill Sans MT" w:hAnsi="Gill Sans MT"/>
          <w:color w:val="3B3838" w:themeColor="background2" w:themeShade="40"/>
        </w:rPr>
        <w:t>victimes de TEH</w:t>
      </w:r>
      <w:r w:rsidRPr="00F35345">
        <w:rPr>
          <w:rFonts w:ascii="Gill Sans MT" w:hAnsi="Gill Sans MT"/>
          <w:color w:val="3B3838" w:themeColor="background2" w:themeShade="40"/>
        </w:rPr>
        <w:t> ;</w:t>
      </w:r>
    </w:p>
    <w:p w14:paraId="5B9C5850" w14:textId="77777777" w:rsidR="00884888" w:rsidRPr="00F35345" w:rsidRDefault="00884888" w:rsidP="00C0496A">
      <w:pPr>
        <w:spacing w:before="120" w:after="120" w:line="276" w:lineRule="auto"/>
        <w:jc w:val="both"/>
        <w:rPr>
          <w:rFonts w:ascii="Gill Sans MT" w:hAnsi="Gill Sans MT"/>
          <w:color w:val="3B3838" w:themeColor="background2" w:themeShade="40"/>
        </w:rPr>
      </w:pPr>
      <w:r w:rsidRPr="00F35345">
        <w:rPr>
          <w:rFonts w:ascii="Gill Sans MT" w:hAnsi="Gill Sans MT"/>
          <w:color w:val="3B3838" w:themeColor="background2" w:themeShade="40"/>
        </w:rPr>
        <w:t xml:space="preserve">Encourager le recours à l’incrimination </w:t>
      </w:r>
      <w:r w:rsidR="0030043D" w:rsidRPr="00F35345">
        <w:rPr>
          <w:rFonts w:ascii="Gill Sans MT" w:hAnsi="Gill Sans MT"/>
          <w:color w:val="3B3838" w:themeColor="background2" w:themeShade="40"/>
        </w:rPr>
        <w:t xml:space="preserve">de </w:t>
      </w:r>
      <w:r w:rsidR="00207EE1" w:rsidRPr="00F35345">
        <w:rPr>
          <w:rFonts w:ascii="Gill Sans MT" w:hAnsi="Gill Sans MT"/>
          <w:color w:val="3B3838" w:themeColor="background2" w:themeShade="40"/>
        </w:rPr>
        <w:t>TEH</w:t>
      </w:r>
      <w:r w:rsidR="0030043D" w:rsidRPr="00F35345">
        <w:rPr>
          <w:rFonts w:ascii="Gill Sans MT" w:hAnsi="Gill Sans MT"/>
          <w:color w:val="3B3838" w:themeColor="background2" w:themeShade="40"/>
        </w:rPr>
        <w:t xml:space="preserve"> pour lutter contre la contrainte à commettre des délits</w:t>
      </w:r>
      <w:r w:rsidR="00677BB1" w:rsidRPr="00F35345">
        <w:rPr>
          <w:rFonts w:ascii="Gill Sans MT" w:hAnsi="Gill Sans MT"/>
          <w:color w:val="3B3838" w:themeColor="background2" w:themeShade="40"/>
        </w:rPr>
        <w:t> ;</w:t>
      </w:r>
    </w:p>
    <w:p w14:paraId="17F4E934" w14:textId="77777777" w:rsidR="0030043D" w:rsidRPr="00F35345" w:rsidRDefault="0030043D" w:rsidP="00C0496A">
      <w:pPr>
        <w:spacing w:before="120" w:after="120" w:line="276" w:lineRule="auto"/>
        <w:jc w:val="both"/>
        <w:rPr>
          <w:rFonts w:ascii="Gill Sans MT" w:hAnsi="Gill Sans MT"/>
          <w:color w:val="3B3838" w:themeColor="background2" w:themeShade="40"/>
        </w:rPr>
      </w:pPr>
      <w:r w:rsidRPr="00F35345">
        <w:rPr>
          <w:rFonts w:ascii="Gill Sans MT" w:hAnsi="Gill Sans MT"/>
          <w:color w:val="3B3838" w:themeColor="background2" w:themeShade="40"/>
        </w:rPr>
        <w:t xml:space="preserve">Mettre en place une politique publique de protection des mineurs victimes de </w:t>
      </w:r>
      <w:r w:rsidR="00207EE1" w:rsidRPr="00F35345">
        <w:rPr>
          <w:rFonts w:ascii="Gill Sans MT" w:hAnsi="Gill Sans MT"/>
          <w:color w:val="3B3838" w:themeColor="background2" w:themeShade="40"/>
        </w:rPr>
        <w:t>TEH</w:t>
      </w:r>
      <w:r w:rsidR="002A09CC" w:rsidRPr="00F35345">
        <w:rPr>
          <w:rFonts w:ascii="Gill Sans MT" w:hAnsi="Gill Sans MT"/>
          <w:color w:val="3B3838" w:themeColor="background2" w:themeShade="40"/>
        </w:rPr>
        <w:t xml:space="preserve"> à des fins de commissions de délits</w:t>
      </w:r>
      <w:r w:rsidR="00037BEF" w:rsidRPr="00F35345">
        <w:rPr>
          <w:rFonts w:ascii="Gill Sans MT" w:hAnsi="Gill Sans MT"/>
          <w:color w:val="3B3838" w:themeColor="background2" w:themeShade="40"/>
        </w:rPr>
        <w:t xml:space="preserve"> </w:t>
      </w:r>
      <w:r w:rsidRPr="00F35345">
        <w:rPr>
          <w:rFonts w:ascii="Gill Sans MT" w:hAnsi="Gill Sans MT"/>
          <w:color w:val="3B3838" w:themeColor="background2" w:themeShade="40"/>
        </w:rPr>
        <w:t xml:space="preserve">: </w:t>
      </w:r>
      <w:r w:rsidR="002A09CC" w:rsidRPr="00F35345">
        <w:rPr>
          <w:rFonts w:ascii="Gill Sans MT" w:hAnsi="Gill Sans MT"/>
          <w:color w:val="3B3838" w:themeColor="background2" w:themeShade="40"/>
        </w:rPr>
        <w:t>formation des</w:t>
      </w:r>
      <w:r w:rsidRPr="00F35345">
        <w:rPr>
          <w:rFonts w:ascii="Gill Sans MT" w:hAnsi="Gill Sans MT"/>
          <w:color w:val="3B3838" w:themeColor="background2" w:themeShade="40"/>
        </w:rPr>
        <w:t xml:space="preserve"> </w:t>
      </w:r>
      <w:r w:rsidR="0063357C" w:rsidRPr="00F35345">
        <w:rPr>
          <w:rFonts w:ascii="Gill Sans MT" w:hAnsi="Gill Sans MT"/>
          <w:color w:val="3B3838" w:themeColor="background2" w:themeShade="40"/>
        </w:rPr>
        <w:t>professionnels</w:t>
      </w:r>
      <w:r w:rsidR="002A09CC" w:rsidRPr="00F35345">
        <w:rPr>
          <w:rFonts w:ascii="Gill Sans MT" w:hAnsi="Gill Sans MT"/>
          <w:color w:val="3B3838" w:themeColor="background2" w:themeShade="40"/>
        </w:rPr>
        <w:t xml:space="preserve"> (police, justice, protection de l’enfance)</w:t>
      </w:r>
      <w:r w:rsidRPr="00F35345">
        <w:rPr>
          <w:rFonts w:ascii="Gill Sans MT" w:hAnsi="Gill Sans MT"/>
          <w:color w:val="3B3838" w:themeColor="background2" w:themeShade="40"/>
        </w:rPr>
        <w:t>, mise en place d’un mécanisme national de référencement, création de places d’hébergement dédiées</w:t>
      </w:r>
      <w:r w:rsidR="00266FAD" w:rsidRPr="00F35345">
        <w:rPr>
          <w:rFonts w:ascii="Gill Sans MT" w:hAnsi="Gill Sans MT"/>
          <w:color w:val="3B3838" w:themeColor="background2" w:themeShade="40"/>
        </w:rPr>
        <w:t> ;</w:t>
      </w:r>
    </w:p>
    <w:p w14:paraId="29A33833" w14:textId="77777777" w:rsidR="002A09CC" w:rsidRPr="00F35345" w:rsidRDefault="002A09CC" w:rsidP="00C0496A">
      <w:pPr>
        <w:spacing w:before="120" w:after="120" w:line="276" w:lineRule="auto"/>
        <w:jc w:val="both"/>
        <w:rPr>
          <w:rFonts w:ascii="Gill Sans MT" w:hAnsi="Gill Sans MT"/>
          <w:color w:val="3B3838" w:themeColor="background2" w:themeShade="40"/>
        </w:rPr>
      </w:pPr>
      <w:r w:rsidRPr="00F35345">
        <w:rPr>
          <w:rFonts w:ascii="Gill Sans MT" w:hAnsi="Gill Sans MT"/>
          <w:color w:val="3B3838" w:themeColor="background2" w:themeShade="40"/>
        </w:rPr>
        <w:t xml:space="preserve">Pérenniser les actions territoriales </w:t>
      </w:r>
      <w:r w:rsidR="008B419B" w:rsidRPr="00F35345">
        <w:rPr>
          <w:rFonts w:ascii="Gill Sans MT" w:hAnsi="Gill Sans MT"/>
          <w:color w:val="3B3838" w:themeColor="background2" w:themeShade="40"/>
        </w:rPr>
        <w:t>pour mieux prendre en compte c</w:t>
      </w:r>
      <w:r w:rsidRPr="00F35345">
        <w:rPr>
          <w:rFonts w:ascii="Gill Sans MT" w:hAnsi="Gill Sans MT"/>
          <w:color w:val="3B3838" w:themeColor="background2" w:themeShade="40"/>
        </w:rPr>
        <w:t xml:space="preserve">es phénomènes au </w:t>
      </w:r>
      <w:r w:rsidR="007607A1" w:rsidRPr="00F35345">
        <w:rPr>
          <w:rFonts w:ascii="Gill Sans MT" w:hAnsi="Gill Sans MT"/>
          <w:color w:val="3B3838" w:themeColor="background2" w:themeShade="40"/>
        </w:rPr>
        <w:t xml:space="preserve">niveau des juridictions (protocoles) </w:t>
      </w:r>
      <w:r w:rsidR="0063357C" w:rsidRPr="00F35345">
        <w:rPr>
          <w:rFonts w:ascii="Gill Sans MT" w:hAnsi="Gill Sans MT"/>
          <w:color w:val="3B3838" w:themeColor="background2" w:themeShade="40"/>
        </w:rPr>
        <w:t>et</w:t>
      </w:r>
      <w:r w:rsidRPr="00F35345">
        <w:rPr>
          <w:rFonts w:ascii="Gill Sans MT" w:hAnsi="Gill Sans MT"/>
          <w:color w:val="3B3838" w:themeColor="background2" w:themeShade="40"/>
        </w:rPr>
        <w:t xml:space="preserve"> limiter l’impact des mouvements internes au sein de la magistrature</w:t>
      </w:r>
      <w:r w:rsidR="00266FAD" w:rsidRPr="00F35345">
        <w:rPr>
          <w:rFonts w:ascii="Gill Sans MT" w:hAnsi="Gill Sans MT"/>
          <w:color w:val="3B3838" w:themeColor="background2" w:themeShade="40"/>
        </w:rPr>
        <w:t> ;</w:t>
      </w:r>
    </w:p>
    <w:p w14:paraId="75AFBADD" w14:textId="77777777" w:rsidR="0030043D" w:rsidRPr="00F35345" w:rsidRDefault="0030043D" w:rsidP="00C0496A">
      <w:pPr>
        <w:spacing w:before="120" w:after="120" w:line="276" w:lineRule="auto"/>
        <w:jc w:val="both"/>
        <w:rPr>
          <w:rFonts w:ascii="Gill Sans MT" w:hAnsi="Gill Sans MT"/>
          <w:color w:val="3B3838" w:themeColor="background2" w:themeShade="40"/>
        </w:rPr>
      </w:pPr>
      <w:r w:rsidRPr="00F35345">
        <w:rPr>
          <w:rFonts w:ascii="Gill Sans MT" w:hAnsi="Gill Sans MT"/>
          <w:color w:val="3B3838" w:themeColor="background2" w:themeShade="40"/>
        </w:rPr>
        <w:t xml:space="preserve">Encourager à l’échelle nationale et européenne des enquêtes liées au trafic de </w:t>
      </w:r>
      <w:r w:rsidR="002A09CC" w:rsidRPr="00F35345">
        <w:rPr>
          <w:rFonts w:ascii="Gill Sans MT" w:hAnsi="Gill Sans MT"/>
          <w:color w:val="3B3838" w:themeColor="background2" w:themeShade="40"/>
        </w:rPr>
        <w:t>benzodiazépines</w:t>
      </w:r>
      <w:r w:rsidRPr="00F35345">
        <w:rPr>
          <w:rFonts w:ascii="Gill Sans MT" w:hAnsi="Gill Sans MT"/>
          <w:color w:val="3B3838" w:themeColor="background2" w:themeShade="40"/>
        </w:rPr>
        <w:t xml:space="preserve"> et de </w:t>
      </w:r>
      <w:r w:rsidR="002A09CC" w:rsidRPr="00F35345">
        <w:rPr>
          <w:rFonts w:ascii="Gill Sans MT" w:hAnsi="Gill Sans MT"/>
          <w:color w:val="3B3838" w:themeColor="background2" w:themeShade="40"/>
        </w:rPr>
        <w:t>prégabaline ;</w:t>
      </w:r>
    </w:p>
    <w:p w14:paraId="71A0B548" w14:textId="77777777" w:rsidR="0030043D" w:rsidRPr="00F35345" w:rsidRDefault="00971ECB" w:rsidP="00C0496A">
      <w:pPr>
        <w:spacing w:before="120" w:after="120" w:line="276" w:lineRule="auto"/>
        <w:jc w:val="both"/>
        <w:rPr>
          <w:rFonts w:ascii="Gill Sans MT" w:hAnsi="Gill Sans MT"/>
          <w:color w:val="3B3838" w:themeColor="background2" w:themeShade="40"/>
        </w:rPr>
      </w:pPr>
      <w:r w:rsidRPr="00F35345">
        <w:rPr>
          <w:rFonts w:ascii="Gill Sans MT" w:hAnsi="Gill Sans MT"/>
          <w:color w:val="3B3838" w:themeColor="background2" w:themeShade="40"/>
        </w:rPr>
        <w:t>Renforcer les</w:t>
      </w:r>
      <w:r w:rsidR="0030043D" w:rsidRPr="00F35345">
        <w:rPr>
          <w:rFonts w:ascii="Gill Sans MT" w:hAnsi="Gill Sans MT"/>
          <w:color w:val="3B3838" w:themeColor="background2" w:themeShade="40"/>
        </w:rPr>
        <w:t xml:space="preserve"> capacités d’intervention en addictologie auprès des mineurs</w:t>
      </w:r>
      <w:r w:rsidR="002A09CC" w:rsidRPr="00F35345">
        <w:rPr>
          <w:rFonts w:ascii="Gill Sans MT" w:hAnsi="Gill Sans MT"/>
          <w:color w:val="3B3838" w:themeColor="background2" w:themeShade="40"/>
        </w:rPr>
        <w:t> ;</w:t>
      </w:r>
    </w:p>
    <w:p w14:paraId="3D5774E1" w14:textId="77777777" w:rsidR="0030043D" w:rsidRPr="00F35345" w:rsidRDefault="002A09CC" w:rsidP="00C0496A">
      <w:pPr>
        <w:spacing w:before="120" w:after="120" w:line="276" w:lineRule="auto"/>
        <w:jc w:val="both"/>
        <w:rPr>
          <w:rFonts w:ascii="Gill Sans MT" w:hAnsi="Gill Sans MT"/>
          <w:color w:val="3B3838" w:themeColor="background2" w:themeShade="40"/>
        </w:rPr>
      </w:pPr>
      <w:r w:rsidRPr="00F35345">
        <w:rPr>
          <w:rFonts w:ascii="Gill Sans MT" w:hAnsi="Gill Sans MT"/>
          <w:color w:val="3B3838" w:themeColor="background2" w:themeShade="40"/>
        </w:rPr>
        <w:t>Définir</w:t>
      </w:r>
      <w:r w:rsidR="0030043D" w:rsidRPr="00F35345">
        <w:rPr>
          <w:rFonts w:ascii="Gill Sans MT" w:hAnsi="Gill Sans MT"/>
          <w:color w:val="3B3838" w:themeColor="background2" w:themeShade="40"/>
        </w:rPr>
        <w:t xml:space="preserve"> de</w:t>
      </w:r>
      <w:r w:rsidRPr="00F35345">
        <w:rPr>
          <w:rFonts w:ascii="Gill Sans MT" w:hAnsi="Gill Sans MT"/>
          <w:color w:val="3B3838" w:themeColor="background2" w:themeShade="40"/>
        </w:rPr>
        <w:t>s</w:t>
      </w:r>
      <w:r w:rsidR="0030043D" w:rsidRPr="00F35345">
        <w:rPr>
          <w:rFonts w:ascii="Gill Sans MT" w:hAnsi="Gill Sans MT"/>
          <w:color w:val="3B3838" w:themeColor="background2" w:themeShade="40"/>
        </w:rPr>
        <w:t xml:space="preserve"> protocoles médicaux adaptés aux parcours des jeunes </w:t>
      </w:r>
      <w:r w:rsidR="008B419B" w:rsidRPr="00F35345">
        <w:rPr>
          <w:rFonts w:ascii="Gill Sans MT" w:hAnsi="Gill Sans MT"/>
          <w:color w:val="3B3838" w:themeColor="background2" w:themeShade="40"/>
        </w:rPr>
        <w:t>pour la prise en charge de leur dépendance</w:t>
      </w:r>
      <w:r w:rsidR="00037BEF" w:rsidRPr="00F35345">
        <w:rPr>
          <w:rFonts w:ascii="Gill Sans MT" w:hAnsi="Gill Sans MT"/>
          <w:color w:val="3B3838" w:themeColor="background2" w:themeShade="40"/>
        </w:rPr>
        <w:t xml:space="preserve"> </w:t>
      </w:r>
      <w:r w:rsidRPr="00F35345">
        <w:rPr>
          <w:rFonts w:ascii="Gill Sans MT" w:hAnsi="Gill Sans MT"/>
          <w:color w:val="3B3838" w:themeColor="background2" w:themeShade="40"/>
        </w:rPr>
        <w:t>;</w:t>
      </w:r>
    </w:p>
    <w:p w14:paraId="5F2BC0F7" w14:textId="77777777" w:rsidR="0030043D" w:rsidRPr="00F35345" w:rsidRDefault="00971ECB" w:rsidP="00C0496A">
      <w:pPr>
        <w:spacing w:before="120" w:after="120" w:line="276" w:lineRule="auto"/>
        <w:jc w:val="both"/>
        <w:rPr>
          <w:rFonts w:ascii="Gill Sans MT" w:hAnsi="Gill Sans MT"/>
          <w:color w:val="3B3838" w:themeColor="background2" w:themeShade="40"/>
        </w:rPr>
      </w:pPr>
      <w:r w:rsidRPr="00F35345">
        <w:rPr>
          <w:rFonts w:ascii="Gill Sans MT" w:hAnsi="Gill Sans MT"/>
          <w:color w:val="3B3838" w:themeColor="background2" w:themeShade="40"/>
        </w:rPr>
        <w:t xml:space="preserve">Mettre </w:t>
      </w:r>
      <w:r w:rsidR="00677BB1" w:rsidRPr="00F35345">
        <w:rPr>
          <w:rFonts w:ascii="Gill Sans MT" w:hAnsi="Gill Sans MT"/>
          <w:color w:val="3B3838" w:themeColor="background2" w:themeShade="40"/>
        </w:rPr>
        <w:t>en place un protocole de suivi transnational permettant la continuité de l’accompagnement des jeunes migrants en danger</w:t>
      </w:r>
      <w:r w:rsidR="00F74535" w:rsidRPr="00F35345">
        <w:rPr>
          <w:rFonts w:ascii="Gill Sans MT" w:hAnsi="Gill Sans MT"/>
          <w:color w:val="3B3838" w:themeColor="background2" w:themeShade="40"/>
        </w:rPr>
        <w:t xml:space="preserve"> </w:t>
      </w:r>
      <w:r w:rsidR="002A09CC" w:rsidRPr="00F35345">
        <w:rPr>
          <w:rFonts w:ascii="Gill Sans MT" w:hAnsi="Gill Sans MT"/>
          <w:color w:val="3B3838" w:themeColor="background2" w:themeShade="40"/>
        </w:rPr>
        <w:t>;</w:t>
      </w:r>
    </w:p>
    <w:p w14:paraId="2C96ACC8" w14:textId="77777777" w:rsidR="00677BB1" w:rsidRPr="00F35345" w:rsidRDefault="00677BB1" w:rsidP="00C0496A">
      <w:pPr>
        <w:spacing w:before="120" w:after="120" w:line="276" w:lineRule="auto"/>
        <w:jc w:val="both"/>
        <w:rPr>
          <w:rFonts w:ascii="Gill Sans MT" w:hAnsi="Gill Sans MT"/>
          <w:color w:val="3B3838" w:themeColor="background2" w:themeShade="40"/>
        </w:rPr>
      </w:pPr>
      <w:r w:rsidRPr="00F35345">
        <w:rPr>
          <w:rFonts w:ascii="Gill Sans MT" w:hAnsi="Gill Sans MT"/>
          <w:color w:val="3B3838" w:themeColor="background2" w:themeShade="40"/>
        </w:rPr>
        <w:t>Soutenir le partage d’expérience entre</w:t>
      </w:r>
      <w:r w:rsidR="008B419B" w:rsidRPr="00F35345">
        <w:rPr>
          <w:rFonts w:ascii="Gill Sans MT" w:hAnsi="Gill Sans MT"/>
          <w:color w:val="3B3838" w:themeColor="background2" w:themeShade="40"/>
        </w:rPr>
        <w:t xml:space="preserve"> pays européens concernés</w:t>
      </w:r>
      <w:r w:rsidR="00037BEF" w:rsidRPr="00F35345">
        <w:rPr>
          <w:rFonts w:ascii="Gill Sans MT" w:hAnsi="Gill Sans MT"/>
          <w:color w:val="3B3838" w:themeColor="background2" w:themeShade="40"/>
        </w:rPr>
        <w:t xml:space="preserve"> </w:t>
      </w:r>
      <w:r w:rsidR="002A09CC" w:rsidRPr="00F35345">
        <w:rPr>
          <w:rFonts w:ascii="Gill Sans MT" w:hAnsi="Gill Sans MT"/>
          <w:color w:val="3B3838" w:themeColor="background2" w:themeShade="40"/>
        </w:rPr>
        <w:t>;</w:t>
      </w:r>
    </w:p>
    <w:p w14:paraId="2B6F4176" w14:textId="77777777" w:rsidR="00C63B40" w:rsidRPr="00F35345" w:rsidRDefault="007607A1" w:rsidP="00C0496A">
      <w:pPr>
        <w:spacing w:before="120" w:after="120" w:line="276" w:lineRule="auto"/>
        <w:jc w:val="both"/>
        <w:rPr>
          <w:rFonts w:ascii="Gill Sans MT" w:hAnsi="Gill Sans MT"/>
          <w:color w:val="3B3838" w:themeColor="background2" w:themeShade="40"/>
        </w:rPr>
      </w:pPr>
      <w:r w:rsidRPr="00F35345">
        <w:rPr>
          <w:rFonts w:ascii="Gill Sans MT" w:hAnsi="Gill Sans MT"/>
          <w:color w:val="3B3838" w:themeColor="background2" w:themeShade="40"/>
        </w:rPr>
        <w:t>Aborder</w:t>
      </w:r>
      <w:r w:rsidR="003A1C68" w:rsidRPr="00F35345">
        <w:rPr>
          <w:rFonts w:ascii="Gill Sans MT" w:hAnsi="Gill Sans MT"/>
          <w:color w:val="3B3838" w:themeColor="background2" w:themeShade="40"/>
        </w:rPr>
        <w:t xml:space="preserve"> </w:t>
      </w:r>
      <w:r w:rsidRPr="00F35345">
        <w:rPr>
          <w:rFonts w:ascii="Gill Sans MT" w:hAnsi="Gill Sans MT"/>
          <w:color w:val="3B3838" w:themeColor="background2" w:themeShade="40"/>
        </w:rPr>
        <w:t>ces sujets avec le Maroc et l’Algérie</w:t>
      </w:r>
      <w:r w:rsidR="003A1C68" w:rsidRPr="00F35345">
        <w:rPr>
          <w:rFonts w:ascii="Gill Sans MT" w:hAnsi="Gill Sans MT"/>
          <w:color w:val="3B3838" w:themeColor="background2" w:themeShade="40"/>
        </w:rPr>
        <w:t xml:space="preserve">, </w:t>
      </w:r>
      <w:r w:rsidRPr="00F35345">
        <w:rPr>
          <w:rFonts w:ascii="Gill Sans MT" w:hAnsi="Gill Sans MT"/>
          <w:color w:val="3B3838" w:themeColor="background2" w:themeShade="40"/>
        </w:rPr>
        <w:t xml:space="preserve">de manière </w:t>
      </w:r>
      <w:r w:rsidR="008B419B" w:rsidRPr="00F35345">
        <w:rPr>
          <w:rFonts w:ascii="Gill Sans MT" w:hAnsi="Gill Sans MT"/>
          <w:color w:val="3B3838" w:themeColor="background2" w:themeShade="40"/>
        </w:rPr>
        <w:t xml:space="preserve">non </w:t>
      </w:r>
      <w:r w:rsidR="003A1C68" w:rsidRPr="00F35345">
        <w:rPr>
          <w:rFonts w:ascii="Gill Sans MT" w:hAnsi="Gill Sans MT"/>
          <w:color w:val="3B3838" w:themeColor="background2" w:themeShade="40"/>
        </w:rPr>
        <w:t xml:space="preserve">exclusivement centrée sur les problématiques de retour, d’immigration irrégulière et </w:t>
      </w:r>
      <w:r w:rsidR="008B419B" w:rsidRPr="00F35345">
        <w:rPr>
          <w:rFonts w:ascii="Gill Sans MT" w:hAnsi="Gill Sans MT"/>
          <w:color w:val="3B3838" w:themeColor="background2" w:themeShade="40"/>
        </w:rPr>
        <w:t>de lutte contre la délinquance,</w:t>
      </w:r>
      <w:r w:rsidR="002A09CC" w:rsidRPr="00F35345">
        <w:rPr>
          <w:rFonts w:ascii="Gill Sans MT" w:hAnsi="Gill Sans MT"/>
          <w:color w:val="3B3838" w:themeColor="background2" w:themeShade="40"/>
        </w:rPr>
        <w:t xml:space="preserve"> </w:t>
      </w:r>
      <w:r w:rsidR="008B419B" w:rsidRPr="00F35345">
        <w:rPr>
          <w:rFonts w:ascii="Gill Sans MT" w:hAnsi="Gill Sans MT"/>
          <w:color w:val="3B3838" w:themeColor="background2" w:themeShade="40"/>
        </w:rPr>
        <w:t>mais prenant en compte</w:t>
      </w:r>
      <w:r w:rsidR="002A09CC" w:rsidRPr="00F35345">
        <w:rPr>
          <w:rFonts w:ascii="Gill Sans MT" w:hAnsi="Gill Sans MT"/>
          <w:color w:val="3B3838" w:themeColor="background2" w:themeShade="40"/>
        </w:rPr>
        <w:t xml:space="preserve"> l’intérêt supérieur </w:t>
      </w:r>
      <w:r w:rsidR="0063357C" w:rsidRPr="00F35345">
        <w:rPr>
          <w:rFonts w:ascii="Gill Sans MT" w:hAnsi="Gill Sans MT"/>
          <w:color w:val="3B3838" w:themeColor="background2" w:themeShade="40"/>
        </w:rPr>
        <w:t>des</w:t>
      </w:r>
      <w:r w:rsidR="008B419B" w:rsidRPr="00F35345">
        <w:rPr>
          <w:rFonts w:ascii="Gill Sans MT" w:hAnsi="Gill Sans MT"/>
          <w:color w:val="3B3838" w:themeColor="background2" w:themeShade="40"/>
        </w:rPr>
        <w:t xml:space="preserve"> enfants</w:t>
      </w:r>
      <w:r w:rsidR="002A09CC" w:rsidRPr="00F35345">
        <w:rPr>
          <w:rFonts w:ascii="Gill Sans MT" w:hAnsi="Gill Sans MT"/>
          <w:color w:val="3B3838" w:themeColor="background2" w:themeShade="40"/>
        </w:rPr>
        <w:t>.</w:t>
      </w:r>
    </w:p>
    <w:p w14:paraId="662F064F" w14:textId="77777777" w:rsidR="00C0496A" w:rsidRPr="00F35345" w:rsidRDefault="00C0496A" w:rsidP="00C0496A">
      <w:pPr>
        <w:spacing w:before="120" w:after="120" w:line="276" w:lineRule="auto"/>
        <w:jc w:val="both"/>
        <w:rPr>
          <w:rFonts w:ascii="Gill Sans MT" w:hAnsi="Gill Sans MT"/>
          <w:color w:val="3B3838" w:themeColor="background2" w:themeShade="40"/>
        </w:rPr>
      </w:pPr>
    </w:p>
    <w:p w14:paraId="3511F89D" w14:textId="77777777" w:rsidR="00C0496A" w:rsidRPr="00F35345" w:rsidRDefault="00C0496A" w:rsidP="00C0496A">
      <w:pPr>
        <w:spacing w:before="120" w:after="120" w:line="276" w:lineRule="auto"/>
        <w:rPr>
          <w:rFonts w:ascii="Gill Sans MT" w:hAnsi="Gill Sans MT"/>
          <w:b/>
          <w:color w:val="3B3838" w:themeColor="background2" w:themeShade="40"/>
        </w:rPr>
      </w:pPr>
      <w:r w:rsidRPr="00F35345">
        <w:rPr>
          <w:rFonts w:ascii="Gill Sans MT" w:hAnsi="Gill Sans MT"/>
          <w:b/>
          <w:color w:val="3B3838" w:themeColor="background2" w:themeShade="40"/>
        </w:rPr>
        <w:t xml:space="preserve">Contacts : </w:t>
      </w:r>
    </w:p>
    <w:p w14:paraId="0D7B78CD" w14:textId="77777777" w:rsidR="00C0496A" w:rsidRPr="00F35345" w:rsidRDefault="00C0496A" w:rsidP="00C0496A">
      <w:pPr>
        <w:spacing w:before="120" w:after="120" w:line="276" w:lineRule="auto"/>
        <w:rPr>
          <w:rFonts w:ascii="Gill Sans MT" w:hAnsi="Gill Sans MT"/>
          <w:color w:val="3B3838" w:themeColor="background2" w:themeShade="40"/>
        </w:rPr>
      </w:pPr>
      <w:r w:rsidRPr="00F35345">
        <w:rPr>
          <w:rFonts w:ascii="Gill Sans MT" w:hAnsi="Gill Sans MT"/>
          <w:color w:val="3B3838" w:themeColor="background2" w:themeShade="40"/>
        </w:rPr>
        <w:t xml:space="preserve">Guillaume Lardanchet – Directeur – </w:t>
      </w:r>
      <w:hyperlink r:id="rId7" w:history="1">
        <w:r w:rsidRPr="00F35345">
          <w:rPr>
            <w:rStyle w:val="Hyperlink"/>
            <w:rFonts w:ascii="Gill Sans MT" w:hAnsi="Gill Sans MT"/>
            <w:color w:val="3B3838" w:themeColor="background2" w:themeShade="40"/>
          </w:rPr>
          <w:t>guillaume.lardanchet@horslarue.org</w:t>
        </w:r>
      </w:hyperlink>
    </w:p>
    <w:p w14:paraId="54D61B2D" w14:textId="77777777" w:rsidR="00C0496A" w:rsidRPr="00F35345" w:rsidRDefault="00C0496A" w:rsidP="00C0496A">
      <w:pPr>
        <w:spacing w:before="120" w:after="120" w:line="276" w:lineRule="auto"/>
        <w:rPr>
          <w:rFonts w:ascii="Gill Sans MT" w:hAnsi="Gill Sans MT"/>
          <w:color w:val="3B3838" w:themeColor="background2" w:themeShade="40"/>
        </w:rPr>
      </w:pPr>
      <w:r w:rsidRPr="00F35345">
        <w:rPr>
          <w:rFonts w:ascii="Gill Sans MT" w:hAnsi="Gill Sans MT"/>
          <w:color w:val="3B3838" w:themeColor="background2" w:themeShade="40"/>
        </w:rPr>
        <w:t xml:space="preserve">Julie Jardin – Chargée de mission Traite des êtres humains – </w:t>
      </w:r>
      <w:hyperlink r:id="rId8" w:history="1">
        <w:r w:rsidRPr="00F35345">
          <w:rPr>
            <w:rStyle w:val="Hyperlink"/>
            <w:rFonts w:ascii="Gill Sans MT" w:hAnsi="Gill Sans MT"/>
            <w:color w:val="3B3838" w:themeColor="background2" w:themeShade="40"/>
          </w:rPr>
          <w:t>julie.jardin@horslarue.org</w:t>
        </w:r>
      </w:hyperlink>
    </w:p>
    <w:p w14:paraId="34DD6ADC" w14:textId="77777777" w:rsidR="00C0496A" w:rsidRPr="00F35345" w:rsidRDefault="00C0496A" w:rsidP="00C0496A">
      <w:pPr>
        <w:spacing w:before="120" w:after="120" w:line="276" w:lineRule="auto"/>
        <w:rPr>
          <w:rFonts w:ascii="Gill Sans MT" w:hAnsi="Gill Sans MT"/>
          <w:color w:val="3B3838" w:themeColor="background2" w:themeShade="40"/>
        </w:rPr>
      </w:pPr>
      <w:r w:rsidRPr="00F35345">
        <w:rPr>
          <w:rFonts w:ascii="Gill Sans MT" w:hAnsi="Gill Sans MT"/>
          <w:color w:val="3B3838" w:themeColor="background2" w:themeShade="40"/>
        </w:rPr>
        <w:t xml:space="preserve">Léa Loth – Chargée de mission Traite des êtres humains – </w:t>
      </w:r>
      <w:hyperlink r:id="rId9" w:history="1">
        <w:r w:rsidRPr="00F35345">
          <w:rPr>
            <w:rStyle w:val="Hyperlink"/>
            <w:rFonts w:ascii="Gill Sans MT" w:hAnsi="Gill Sans MT"/>
            <w:color w:val="3B3838" w:themeColor="background2" w:themeShade="40"/>
          </w:rPr>
          <w:t>lea.loth@horslarue.org</w:t>
        </w:r>
      </w:hyperlink>
    </w:p>
    <w:sectPr w:rsidR="00C0496A" w:rsidRPr="00F3534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E8ADC" w14:textId="77777777" w:rsidR="00B02DF0" w:rsidRDefault="00B02DF0" w:rsidP="00DE530A">
      <w:pPr>
        <w:spacing w:after="0" w:line="240" w:lineRule="auto"/>
      </w:pPr>
      <w:r>
        <w:separator/>
      </w:r>
    </w:p>
  </w:endnote>
  <w:endnote w:type="continuationSeparator" w:id="0">
    <w:p w14:paraId="28F18D94" w14:textId="77777777" w:rsidR="00B02DF0" w:rsidRDefault="00B02DF0" w:rsidP="00DE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79E4" w14:textId="77777777" w:rsidR="00C0496A" w:rsidRDefault="00C0496A">
    <w:pPr>
      <w:pStyle w:val="Footer"/>
    </w:pPr>
    <w:r>
      <w:rPr>
        <w:noProof/>
        <w:lang w:eastAsia="fr-FR"/>
      </w:rPr>
      <w:drawing>
        <wp:anchor distT="0" distB="0" distL="114300" distR="114300" simplePos="0" relativeHeight="251661312" behindDoc="1" locked="0" layoutInCell="1" allowOverlap="1" wp14:anchorId="7E091473" wp14:editId="3D62726B">
          <wp:simplePos x="0" y="0"/>
          <wp:positionH relativeFrom="page">
            <wp:align>left</wp:align>
          </wp:positionH>
          <wp:positionV relativeFrom="paragraph">
            <wp:posOffset>-273050</wp:posOffset>
          </wp:positionV>
          <wp:extent cx="7560000" cy="986400"/>
          <wp:effectExtent l="0" t="0" r="3175" b="4445"/>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0000" cy="98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947C6" w14:textId="77777777" w:rsidR="00B02DF0" w:rsidRDefault="00B02DF0" w:rsidP="00DE530A">
      <w:pPr>
        <w:spacing w:after="0" w:line="240" w:lineRule="auto"/>
      </w:pPr>
      <w:r>
        <w:separator/>
      </w:r>
    </w:p>
  </w:footnote>
  <w:footnote w:type="continuationSeparator" w:id="0">
    <w:p w14:paraId="45491979" w14:textId="77777777" w:rsidR="00B02DF0" w:rsidRDefault="00B02DF0" w:rsidP="00DE530A">
      <w:pPr>
        <w:spacing w:after="0" w:line="240" w:lineRule="auto"/>
      </w:pPr>
      <w:r>
        <w:continuationSeparator/>
      </w:r>
    </w:p>
  </w:footnote>
  <w:footnote w:id="1">
    <w:p w14:paraId="04CC54CE" w14:textId="77777777" w:rsidR="00CE1DEC" w:rsidRDefault="00CE1DEC">
      <w:pPr>
        <w:pStyle w:val="FootnoteText"/>
      </w:pPr>
      <w:r>
        <w:rPr>
          <w:rStyle w:val="FootnoteReference"/>
        </w:rPr>
        <w:footnoteRef/>
      </w:r>
      <w:r>
        <w:t xml:space="preserve"> Hors la Rue mène des actions en Ile de France, mais entretient une veille et des échanges avec des acteurs français et européens confrontés aux mêmes problématiques ; les sujets abordés conc</w:t>
      </w:r>
      <w:r w:rsidR="009B7B7F">
        <w:t>ernent donc un nombre important</w:t>
      </w:r>
      <w:r>
        <w:t xml:space="preserve"> d’enfants et de jeunes à l’échelle de la France et de plusieurs pays européens.</w:t>
      </w:r>
    </w:p>
  </w:footnote>
  <w:footnote w:id="2">
    <w:p w14:paraId="2DDE25D3" w14:textId="77777777" w:rsidR="00DE530A" w:rsidRDefault="00DE530A">
      <w:pPr>
        <w:pStyle w:val="FootnoteText"/>
      </w:pPr>
      <w:r>
        <w:rPr>
          <w:rStyle w:val="FootnoteReference"/>
        </w:rPr>
        <w:footnoteRef/>
      </w:r>
      <w:r>
        <w:t xml:space="preserve"> </w:t>
      </w:r>
      <w:hyperlink r:id="rId1" w:history="1">
        <w:r w:rsidRPr="00DE530A">
          <w:rPr>
            <w:rStyle w:val="Hyperlink"/>
          </w:rPr>
          <w:t>DRYEF</w:t>
        </w:r>
        <w:r w:rsidR="00947BB8">
          <w:rPr>
            <w:rStyle w:val="Hyperlink"/>
          </w:rPr>
          <w:t xml:space="preserve"> Z.</w:t>
        </w:r>
        <w:r w:rsidRPr="00DE530A">
          <w:rPr>
            <w:rStyle w:val="Hyperlink"/>
          </w:rPr>
          <w:t>, Les gamines à la dérive de Barbès, Le Monde, 2021.</w:t>
        </w:r>
      </w:hyperlink>
      <w:r>
        <w:t xml:space="preserve"> </w:t>
      </w:r>
    </w:p>
  </w:footnote>
  <w:footnote w:id="3">
    <w:p w14:paraId="3E5DD1F7" w14:textId="77777777" w:rsidR="00C04383" w:rsidRDefault="00C04383">
      <w:pPr>
        <w:pStyle w:val="FootnoteText"/>
      </w:pPr>
      <w:r>
        <w:rPr>
          <w:rStyle w:val="FootnoteReference"/>
        </w:rPr>
        <w:footnoteRef/>
      </w:r>
      <w:r>
        <w:t xml:space="preserve"> OFDTA, Usages des drogues et conditions de vie des « mineurs non accompagnés », octobre 2022.  </w:t>
      </w:r>
    </w:p>
  </w:footnote>
  <w:footnote w:id="4">
    <w:p w14:paraId="304CC10E" w14:textId="77777777" w:rsidR="006105FB" w:rsidRDefault="006105FB">
      <w:pPr>
        <w:pStyle w:val="FootnoteText"/>
      </w:pPr>
      <w:r>
        <w:rPr>
          <w:rStyle w:val="FootnoteReference"/>
        </w:rPr>
        <w:footnoteRef/>
      </w:r>
      <w:r>
        <w:t xml:space="preserve"> Les mésusages de médicaments chez les mineur.e.s non accompagnés, l</w:t>
      </w:r>
      <w:r w:rsidR="009B7B7F">
        <w:t>e</w:t>
      </w:r>
      <w:r>
        <w:t xml:space="preserve">s mineur.e.s non reconnu.e.s </w:t>
      </w:r>
      <w:r w:rsidR="009B7B7F">
        <w:t>et les mineur.e</w:t>
      </w:r>
      <w:r>
        <w:t xml:space="preserve">.s en prostitution. Etude menée à l’échelle de la métropole de Lyon. Lyon CAARUD Pause Diabolo, 2021. </w:t>
      </w:r>
    </w:p>
  </w:footnote>
  <w:footnote w:id="5">
    <w:p w14:paraId="0B970524" w14:textId="77777777" w:rsidR="001E69E9" w:rsidRDefault="001E69E9">
      <w:pPr>
        <w:pStyle w:val="FootnoteText"/>
      </w:pPr>
      <w:r>
        <w:rPr>
          <w:rStyle w:val="FootnoteReference"/>
        </w:rPr>
        <w:footnoteRef/>
      </w:r>
      <w:r>
        <w:t xml:space="preserve"> </w:t>
      </w:r>
      <w:hyperlink r:id="rId2" w:history="1">
        <w:r w:rsidRPr="00037BEF">
          <w:rPr>
            <w:rStyle w:val="Hyperlink"/>
          </w:rPr>
          <w:t>Dans son avis publié le 27 mars 2018 sur la privation</w:t>
        </w:r>
        <w:r w:rsidR="009B7B7F">
          <w:rPr>
            <w:rStyle w:val="Hyperlink"/>
          </w:rPr>
          <w:t xml:space="preserve"> de liberté</w:t>
        </w:r>
        <w:r w:rsidRPr="00037BEF">
          <w:rPr>
            <w:rStyle w:val="Hyperlink"/>
          </w:rPr>
          <w:t xml:space="preserve"> des mineurs la CNCDH dénonce une banalisation de l’enferment des MNA</w:t>
        </w:r>
      </w:hyperlink>
      <w:r w:rsidR="00971ECB">
        <w:t>.</w:t>
      </w:r>
    </w:p>
  </w:footnote>
  <w:footnote w:id="6">
    <w:p w14:paraId="3BACDB65" w14:textId="77777777" w:rsidR="0035002E" w:rsidRDefault="0035002E">
      <w:pPr>
        <w:pStyle w:val="FootnoteText"/>
      </w:pPr>
      <w:r>
        <w:rPr>
          <w:rStyle w:val="FootnoteReference"/>
        </w:rPr>
        <w:footnoteRef/>
      </w:r>
      <w:r>
        <w:t xml:space="preserve"> </w:t>
      </w:r>
      <w:hyperlink r:id="rId3" w:history="1">
        <w:r w:rsidRPr="0035002E">
          <w:rPr>
            <w:rStyle w:val="Hyperlink"/>
          </w:rPr>
          <w:t>Circulaire du 22 janvier 2015 de politique pénale en matière de lutte contre la traite des êtres humains</w:t>
        </w:r>
      </w:hyperlink>
      <w:r w:rsidR="00037BEF">
        <w:rPr>
          <w:rStyle w:val="Hyperlink"/>
        </w:rPr>
        <w:t xml:space="preserve"> et Dépêche relative à la prise en charge des mineurs victimes de traite des êtres humains du 8 février 2021</w:t>
      </w:r>
    </w:p>
  </w:footnote>
  <w:footnote w:id="7">
    <w:p w14:paraId="716976B3" w14:textId="77777777" w:rsidR="004945DD" w:rsidRDefault="004945DD" w:rsidP="004945DD">
      <w:pPr>
        <w:pStyle w:val="FootnoteText"/>
        <w:jc w:val="both"/>
      </w:pPr>
      <w:r>
        <w:rPr>
          <w:rStyle w:val="FootnoteReference"/>
        </w:rPr>
        <w:footnoteRef/>
      </w:r>
      <w:r>
        <w:t xml:space="preserve"> Plusieurs rapports, dont </w:t>
      </w:r>
      <w:hyperlink r:id="rId4" w:history="1">
        <w:r w:rsidRPr="004945DD">
          <w:rPr>
            <w:rStyle w:val="Hyperlink"/>
          </w:rPr>
          <w:t>le rapport d’activité du CGPL (mars 2019)</w:t>
        </w:r>
      </w:hyperlink>
      <w:r>
        <w:t xml:space="preserve"> ou </w:t>
      </w:r>
      <w:hyperlink r:id="rId5" w:history="1">
        <w:r w:rsidRPr="004945DD">
          <w:rPr>
            <w:rStyle w:val="Hyperlink"/>
          </w:rPr>
          <w:t>le Rapport du Défenseur des droits « Les MNA au regard du droit »</w:t>
        </w:r>
      </w:hyperlink>
      <w:r>
        <w:t xml:space="preserve"> alertent sur le nombre important de MNA déférés et placés en détention.</w:t>
      </w:r>
    </w:p>
    <w:p w14:paraId="75FB9607" w14:textId="77777777" w:rsidR="004945DD" w:rsidRDefault="004945DD" w:rsidP="004945DD">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5A68" w14:textId="77777777" w:rsidR="00C0496A" w:rsidRDefault="00C0496A">
    <w:pPr>
      <w:pStyle w:val="Header"/>
      <w:rPr>
        <w:noProof/>
        <w:lang w:eastAsia="fr-FR"/>
      </w:rPr>
    </w:pPr>
    <w:r>
      <w:rPr>
        <w:noProof/>
        <w:lang w:eastAsia="fr-FR"/>
      </w:rPr>
      <w:drawing>
        <wp:anchor distT="0" distB="0" distL="114300" distR="114300" simplePos="0" relativeHeight="251659264" behindDoc="1" locked="0" layoutInCell="1" allowOverlap="1" wp14:anchorId="44BC26F2" wp14:editId="012EDE0C">
          <wp:simplePos x="0" y="0"/>
          <wp:positionH relativeFrom="page">
            <wp:align>right</wp:align>
          </wp:positionH>
          <wp:positionV relativeFrom="paragraph">
            <wp:posOffset>-449580</wp:posOffset>
          </wp:positionV>
          <wp:extent cx="7560000" cy="1670400"/>
          <wp:effectExtent l="0" t="0" r="3175"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670400"/>
                  </a:xfrm>
                  <a:prstGeom prst="rect">
                    <a:avLst/>
                  </a:prstGeom>
                </pic:spPr>
              </pic:pic>
            </a:graphicData>
          </a:graphic>
          <wp14:sizeRelH relativeFrom="margin">
            <wp14:pctWidth>0</wp14:pctWidth>
          </wp14:sizeRelH>
          <wp14:sizeRelV relativeFrom="margin">
            <wp14:pctHeight>0</wp14:pctHeight>
          </wp14:sizeRelV>
        </wp:anchor>
      </w:drawing>
    </w:r>
  </w:p>
  <w:p w14:paraId="49B936D3" w14:textId="77777777" w:rsidR="00C0496A" w:rsidRDefault="00C0496A">
    <w:pPr>
      <w:pStyle w:val="Header"/>
      <w:rPr>
        <w:noProof/>
        <w:lang w:eastAsia="fr-FR"/>
      </w:rPr>
    </w:pPr>
  </w:p>
  <w:p w14:paraId="61791DD5" w14:textId="77777777" w:rsidR="00C0496A" w:rsidRDefault="00C0496A">
    <w:pPr>
      <w:pStyle w:val="Header"/>
      <w:rPr>
        <w:noProof/>
        <w:lang w:eastAsia="fr-FR"/>
      </w:rPr>
    </w:pPr>
  </w:p>
  <w:p w14:paraId="7E7A64C5" w14:textId="77777777" w:rsidR="00C0496A" w:rsidRDefault="00C0496A">
    <w:pPr>
      <w:pStyle w:val="Header"/>
      <w:rPr>
        <w:noProof/>
        <w:lang w:eastAsia="fr-FR"/>
      </w:rPr>
    </w:pPr>
  </w:p>
  <w:p w14:paraId="3878C517" w14:textId="77777777" w:rsidR="00C0496A" w:rsidRDefault="00C0496A">
    <w:pPr>
      <w:pStyle w:val="Header"/>
      <w:rPr>
        <w:noProof/>
        <w:lang w:eastAsia="fr-FR"/>
      </w:rPr>
    </w:pPr>
  </w:p>
  <w:p w14:paraId="0C2DD003" w14:textId="77777777" w:rsidR="00C0496A" w:rsidRDefault="00C0496A">
    <w:pPr>
      <w:pStyle w:val="Header"/>
    </w:pPr>
  </w:p>
  <w:p w14:paraId="5491AF99" w14:textId="77777777" w:rsidR="00C0496A" w:rsidRDefault="00C04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E2622"/>
    <w:multiLevelType w:val="hybridMultilevel"/>
    <w:tmpl w:val="4628EB46"/>
    <w:lvl w:ilvl="0" w:tplc="DB8E6D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4B5942"/>
    <w:multiLevelType w:val="hybridMultilevel"/>
    <w:tmpl w:val="EBF25AF6"/>
    <w:lvl w:ilvl="0" w:tplc="DB8E6D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A2348A"/>
    <w:multiLevelType w:val="hybridMultilevel"/>
    <w:tmpl w:val="2A2E8AA2"/>
    <w:lvl w:ilvl="0" w:tplc="BBD8E0EA">
      <w:start w:val="2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04C"/>
    <w:rsid w:val="00037BEF"/>
    <w:rsid w:val="0007629A"/>
    <w:rsid w:val="00086B55"/>
    <w:rsid w:val="000B4CD1"/>
    <w:rsid w:val="000C62B4"/>
    <w:rsid w:val="000D1C5B"/>
    <w:rsid w:val="00162FF1"/>
    <w:rsid w:val="001961EB"/>
    <w:rsid w:val="001E69E9"/>
    <w:rsid w:val="001F75BE"/>
    <w:rsid w:val="00207EE1"/>
    <w:rsid w:val="002647FC"/>
    <w:rsid w:val="00266FAD"/>
    <w:rsid w:val="002A09CC"/>
    <w:rsid w:val="002F7901"/>
    <w:rsid w:val="0030043D"/>
    <w:rsid w:val="00323588"/>
    <w:rsid w:val="003301A6"/>
    <w:rsid w:val="00336F52"/>
    <w:rsid w:val="0035002E"/>
    <w:rsid w:val="003A1C68"/>
    <w:rsid w:val="003B1703"/>
    <w:rsid w:val="00456FDB"/>
    <w:rsid w:val="004945DD"/>
    <w:rsid w:val="004B0383"/>
    <w:rsid w:val="004E3471"/>
    <w:rsid w:val="00502EBF"/>
    <w:rsid w:val="00542E04"/>
    <w:rsid w:val="006105FB"/>
    <w:rsid w:val="0063357C"/>
    <w:rsid w:val="00677BB1"/>
    <w:rsid w:val="006B504C"/>
    <w:rsid w:val="00724198"/>
    <w:rsid w:val="0073146B"/>
    <w:rsid w:val="007607A1"/>
    <w:rsid w:val="007954FA"/>
    <w:rsid w:val="007A6B1D"/>
    <w:rsid w:val="007E2EFC"/>
    <w:rsid w:val="00884648"/>
    <w:rsid w:val="00884888"/>
    <w:rsid w:val="008B419B"/>
    <w:rsid w:val="00903FA5"/>
    <w:rsid w:val="00924C4F"/>
    <w:rsid w:val="00947BB8"/>
    <w:rsid w:val="00971ECB"/>
    <w:rsid w:val="009B7B7F"/>
    <w:rsid w:val="00A36D26"/>
    <w:rsid w:val="00A51832"/>
    <w:rsid w:val="00A61793"/>
    <w:rsid w:val="00B02DF0"/>
    <w:rsid w:val="00B15BBD"/>
    <w:rsid w:val="00B53494"/>
    <w:rsid w:val="00C04383"/>
    <w:rsid w:val="00C0496A"/>
    <w:rsid w:val="00C63718"/>
    <w:rsid w:val="00C63B40"/>
    <w:rsid w:val="00C706B3"/>
    <w:rsid w:val="00C9274A"/>
    <w:rsid w:val="00CC0E41"/>
    <w:rsid w:val="00CE1DEC"/>
    <w:rsid w:val="00D06431"/>
    <w:rsid w:val="00D2317D"/>
    <w:rsid w:val="00DE530A"/>
    <w:rsid w:val="00E10623"/>
    <w:rsid w:val="00E17376"/>
    <w:rsid w:val="00EC1666"/>
    <w:rsid w:val="00F013C0"/>
    <w:rsid w:val="00F02350"/>
    <w:rsid w:val="00F35345"/>
    <w:rsid w:val="00F736D2"/>
    <w:rsid w:val="00F74535"/>
    <w:rsid w:val="00FF1CE7"/>
    <w:rsid w:val="00FF55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F004"/>
  <w15:chartTrackingRefBased/>
  <w15:docId w15:val="{5894BEE8-B49F-4637-B9A3-CF860304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88"/>
    <w:pPr>
      <w:ind w:left="720"/>
      <w:contextualSpacing/>
    </w:pPr>
  </w:style>
  <w:style w:type="paragraph" w:styleId="Revision">
    <w:name w:val="Revision"/>
    <w:hidden/>
    <w:uiPriority w:val="99"/>
    <w:semiHidden/>
    <w:rsid w:val="00DE530A"/>
    <w:pPr>
      <w:spacing w:after="0" w:line="240" w:lineRule="auto"/>
    </w:pPr>
  </w:style>
  <w:style w:type="paragraph" w:styleId="FootnoteText">
    <w:name w:val="footnote text"/>
    <w:basedOn w:val="Normal"/>
    <w:link w:val="FootnoteTextChar"/>
    <w:uiPriority w:val="99"/>
    <w:semiHidden/>
    <w:unhideWhenUsed/>
    <w:rsid w:val="00DE53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30A"/>
    <w:rPr>
      <w:sz w:val="20"/>
      <w:szCs w:val="20"/>
    </w:rPr>
  </w:style>
  <w:style w:type="character" w:styleId="FootnoteReference">
    <w:name w:val="footnote reference"/>
    <w:basedOn w:val="DefaultParagraphFont"/>
    <w:uiPriority w:val="99"/>
    <w:semiHidden/>
    <w:unhideWhenUsed/>
    <w:rsid w:val="00DE530A"/>
    <w:rPr>
      <w:vertAlign w:val="superscript"/>
    </w:rPr>
  </w:style>
  <w:style w:type="character" w:styleId="Hyperlink">
    <w:name w:val="Hyperlink"/>
    <w:basedOn w:val="DefaultParagraphFont"/>
    <w:uiPriority w:val="99"/>
    <w:unhideWhenUsed/>
    <w:rsid w:val="00DE530A"/>
    <w:rPr>
      <w:color w:val="0563C1" w:themeColor="hyperlink"/>
      <w:u w:val="single"/>
    </w:rPr>
  </w:style>
  <w:style w:type="character" w:customStyle="1" w:styleId="UnresolvedMention1">
    <w:name w:val="Unresolved Mention1"/>
    <w:basedOn w:val="DefaultParagraphFont"/>
    <w:uiPriority w:val="99"/>
    <w:semiHidden/>
    <w:unhideWhenUsed/>
    <w:rsid w:val="00DE530A"/>
    <w:rPr>
      <w:color w:val="605E5C"/>
      <w:shd w:val="clear" w:color="auto" w:fill="E1DFDD"/>
    </w:rPr>
  </w:style>
  <w:style w:type="character" w:styleId="CommentReference">
    <w:name w:val="annotation reference"/>
    <w:basedOn w:val="DefaultParagraphFont"/>
    <w:uiPriority w:val="99"/>
    <w:semiHidden/>
    <w:unhideWhenUsed/>
    <w:rsid w:val="007954FA"/>
    <w:rPr>
      <w:sz w:val="16"/>
      <w:szCs w:val="16"/>
    </w:rPr>
  </w:style>
  <w:style w:type="paragraph" w:styleId="CommentText">
    <w:name w:val="annotation text"/>
    <w:basedOn w:val="Normal"/>
    <w:link w:val="CommentTextChar"/>
    <w:uiPriority w:val="99"/>
    <w:semiHidden/>
    <w:unhideWhenUsed/>
    <w:rsid w:val="007954FA"/>
    <w:pPr>
      <w:spacing w:line="240" w:lineRule="auto"/>
    </w:pPr>
    <w:rPr>
      <w:sz w:val="20"/>
      <w:szCs w:val="20"/>
    </w:rPr>
  </w:style>
  <w:style w:type="character" w:customStyle="1" w:styleId="CommentTextChar">
    <w:name w:val="Comment Text Char"/>
    <w:basedOn w:val="DefaultParagraphFont"/>
    <w:link w:val="CommentText"/>
    <w:uiPriority w:val="99"/>
    <w:semiHidden/>
    <w:rsid w:val="007954FA"/>
    <w:rPr>
      <w:sz w:val="20"/>
      <w:szCs w:val="20"/>
    </w:rPr>
  </w:style>
  <w:style w:type="paragraph" w:styleId="CommentSubject">
    <w:name w:val="annotation subject"/>
    <w:basedOn w:val="CommentText"/>
    <w:next w:val="CommentText"/>
    <w:link w:val="CommentSubjectChar"/>
    <w:uiPriority w:val="99"/>
    <w:semiHidden/>
    <w:unhideWhenUsed/>
    <w:rsid w:val="007954FA"/>
    <w:rPr>
      <w:b/>
      <w:bCs/>
    </w:rPr>
  </w:style>
  <w:style w:type="character" w:customStyle="1" w:styleId="CommentSubjectChar">
    <w:name w:val="Comment Subject Char"/>
    <w:basedOn w:val="CommentTextChar"/>
    <w:link w:val="CommentSubject"/>
    <w:uiPriority w:val="99"/>
    <w:semiHidden/>
    <w:rsid w:val="007954FA"/>
    <w:rPr>
      <w:b/>
      <w:bCs/>
      <w:sz w:val="20"/>
      <w:szCs w:val="20"/>
    </w:rPr>
  </w:style>
  <w:style w:type="character" w:styleId="FollowedHyperlink">
    <w:name w:val="FollowedHyperlink"/>
    <w:basedOn w:val="DefaultParagraphFont"/>
    <w:uiPriority w:val="99"/>
    <w:semiHidden/>
    <w:unhideWhenUsed/>
    <w:rsid w:val="004945DD"/>
    <w:rPr>
      <w:color w:val="954F72" w:themeColor="followedHyperlink"/>
      <w:u w:val="single"/>
    </w:rPr>
  </w:style>
  <w:style w:type="paragraph" w:styleId="BalloonText">
    <w:name w:val="Balloon Text"/>
    <w:basedOn w:val="Normal"/>
    <w:link w:val="BalloonTextChar"/>
    <w:uiPriority w:val="99"/>
    <w:semiHidden/>
    <w:unhideWhenUsed/>
    <w:rsid w:val="001F7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5BE"/>
    <w:rPr>
      <w:rFonts w:ascii="Segoe UI" w:hAnsi="Segoe UI" w:cs="Segoe UI"/>
      <w:sz w:val="18"/>
      <w:szCs w:val="18"/>
    </w:rPr>
  </w:style>
  <w:style w:type="paragraph" w:styleId="Header">
    <w:name w:val="header"/>
    <w:basedOn w:val="Normal"/>
    <w:link w:val="HeaderChar"/>
    <w:uiPriority w:val="99"/>
    <w:unhideWhenUsed/>
    <w:rsid w:val="00C049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496A"/>
  </w:style>
  <w:style w:type="paragraph" w:styleId="Footer">
    <w:name w:val="footer"/>
    <w:basedOn w:val="Normal"/>
    <w:link w:val="FooterChar"/>
    <w:uiPriority w:val="99"/>
    <w:unhideWhenUsed/>
    <w:rsid w:val="00C049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4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0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jardin@horslaru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illaume.lardanchet@horslaru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a.loth@horslaru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juridique.defenseurdesdroits.fr/doc_num.php?explnum_id=11656" TargetMode="External"/><Relationship Id="rId2" Type="http://schemas.openxmlformats.org/officeDocument/2006/relationships/hyperlink" Target="https://www.cncdh.fr/sites/default/files/180327_avis_sur_la_privation_de_liberte_des_mineurs.pdf" TargetMode="External"/><Relationship Id="rId1" Type="http://schemas.openxmlformats.org/officeDocument/2006/relationships/hyperlink" Target="https://www.lemonde.fr/m-le-mag/article/2021/03/05/drogue-prostitution-delinquance-les-enfants-perdus-de-barbes_6072014_4500055.html" TargetMode="External"/><Relationship Id="rId5" Type="http://schemas.openxmlformats.org/officeDocument/2006/relationships/hyperlink" Target="https://www.defenseurdesdroits.fr/sites/default/files/atoms/files/ddd_rapport-les-mineurs-non-accompagnes-au-regard-du-droit_20220215.pdf" TargetMode="External"/><Relationship Id="rId4" Type="http://schemas.openxmlformats.org/officeDocument/2006/relationships/hyperlink" Target="http://www.cglpl.fr/wp-content/uploads/2019/03/CGLPL_Rapport-annuel-2018_Dossier-de-pres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dc:creator>
  <cp:keywords/>
  <dc:description/>
  <cp:lastModifiedBy>FLECHE Isabelle</cp:lastModifiedBy>
  <cp:revision>2</cp:revision>
  <dcterms:created xsi:type="dcterms:W3CDTF">2022-12-01T16:20:00Z</dcterms:created>
  <dcterms:modified xsi:type="dcterms:W3CDTF">2022-12-01T16:20:00Z</dcterms:modified>
</cp:coreProperties>
</file>