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C7617" w14:textId="77777777" w:rsidR="00FF10FA" w:rsidRDefault="00FF10FA" w:rsidP="00A52B2B">
      <w:pPr>
        <w:pStyle w:val="Title"/>
        <w:jc w:val="center"/>
        <w:rPr>
          <w:sz w:val="36"/>
          <w:szCs w:val="36"/>
          <w:highlight w:val="yellow"/>
        </w:rPr>
      </w:pPr>
      <w:bookmarkStart w:id="0" w:name="_GoBack"/>
      <w:bookmarkEnd w:id="0"/>
    </w:p>
    <w:p w14:paraId="41FEF1E4" w14:textId="77777777" w:rsidR="008D34BA" w:rsidRDefault="008D34BA" w:rsidP="00A52B2B">
      <w:pPr>
        <w:pStyle w:val="Title"/>
        <w:jc w:val="center"/>
        <w:rPr>
          <w:sz w:val="36"/>
          <w:szCs w:val="36"/>
        </w:rPr>
      </w:pPr>
    </w:p>
    <w:p w14:paraId="4E8937AE" w14:textId="77777777" w:rsidR="008D34BA" w:rsidRDefault="008D34BA" w:rsidP="00A52B2B">
      <w:pPr>
        <w:pStyle w:val="Title"/>
        <w:jc w:val="center"/>
        <w:rPr>
          <w:sz w:val="36"/>
          <w:szCs w:val="36"/>
        </w:rPr>
      </w:pPr>
    </w:p>
    <w:p w14:paraId="1CEB409A" w14:textId="6C9295C9" w:rsidR="007578CE" w:rsidRPr="00A52B2B" w:rsidRDefault="000B1600" w:rsidP="00A52B2B">
      <w:pPr>
        <w:pStyle w:val="Title"/>
        <w:jc w:val="center"/>
        <w:rPr>
          <w:sz w:val="36"/>
          <w:szCs w:val="36"/>
        </w:rPr>
      </w:pPr>
      <w:r w:rsidRPr="000B1600">
        <w:rPr>
          <w:sz w:val="36"/>
          <w:szCs w:val="36"/>
        </w:rPr>
        <w:t>Singapore</w:t>
      </w:r>
      <w:r w:rsidR="007578CE" w:rsidRPr="00A52B2B">
        <w:rPr>
          <w:sz w:val="36"/>
          <w:szCs w:val="36"/>
        </w:rPr>
        <w:t>: A Brief on the Implementation of CEDAW Commitments from Articles 2</w:t>
      </w:r>
      <w:r>
        <w:rPr>
          <w:sz w:val="36"/>
          <w:szCs w:val="36"/>
        </w:rPr>
        <w:t xml:space="preserve"> and 11</w:t>
      </w:r>
    </w:p>
    <w:p w14:paraId="081A0B2C" w14:textId="77777777" w:rsidR="00A52B2B" w:rsidRDefault="00A52B2B" w:rsidP="00A52B2B"/>
    <w:p w14:paraId="6A2B4570" w14:textId="77777777" w:rsidR="00FF10FA" w:rsidRPr="0024558B" w:rsidRDefault="00FF10FA" w:rsidP="00FF10FA">
      <w:pPr>
        <w:keepNext/>
        <w:keepLines/>
        <w:spacing w:before="0" w:after="0"/>
        <w:jc w:val="center"/>
        <w:outlineLvl w:val="0"/>
        <w:rPr>
          <w:rFonts w:asciiTheme="majorHAnsi" w:eastAsiaTheme="majorEastAsia" w:hAnsiTheme="majorHAnsi" w:cstheme="majorBidi"/>
          <w:i/>
          <w:iCs/>
          <w:color w:val="4A66AC" w:themeColor="accent1"/>
          <w:sz w:val="24"/>
          <w:szCs w:val="24"/>
        </w:rPr>
      </w:pPr>
      <w:bookmarkStart w:id="1" w:name="_Toc12626227"/>
      <w:bookmarkStart w:id="2" w:name="_Toc23330163"/>
      <w:bookmarkStart w:id="3" w:name="_Toc60999813"/>
      <w:r w:rsidRPr="0024558B">
        <w:rPr>
          <w:rFonts w:asciiTheme="majorHAnsi" w:eastAsiaTheme="majorEastAsia" w:hAnsiTheme="majorHAnsi" w:cstheme="majorBidi"/>
          <w:i/>
          <w:iCs/>
          <w:color w:val="4A66AC" w:themeColor="accent1"/>
          <w:sz w:val="24"/>
          <w:szCs w:val="24"/>
        </w:rPr>
        <w:t xml:space="preserve">Information for the Committee on </w:t>
      </w:r>
      <w:bookmarkEnd w:id="1"/>
      <w:bookmarkEnd w:id="2"/>
      <w:r>
        <w:rPr>
          <w:rFonts w:asciiTheme="majorHAnsi" w:eastAsiaTheme="majorEastAsia" w:hAnsiTheme="majorHAnsi" w:cstheme="majorBidi"/>
          <w:i/>
          <w:iCs/>
          <w:color w:val="4A66AC" w:themeColor="accent1"/>
          <w:sz w:val="24"/>
          <w:szCs w:val="24"/>
        </w:rPr>
        <w:t>the Elimination of Discrimination Against Women</w:t>
      </w:r>
      <w:bookmarkEnd w:id="3"/>
    </w:p>
    <w:p w14:paraId="1913CB35" w14:textId="77777777" w:rsidR="00FF10FA" w:rsidRPr="0024558B" w:rsidRDefault="0019177D" w:rsidP="00FF10FA">
      <w:pPr>
        <w:keepNext/>
        <w:keepLines/>
        <w:spacing w:before="0" w:after="0"/>
        <w:jc w:val="center"/>
        <w:outlineLvl w:val="0"/>
        <w:rPr>
          <w:rFonts w:asciiTheme="majorHAnsi" w:eastAsiaTheme="majorEastAsia" w:hAnsiTheme="majorHAnsi" w:cstheme="majorBidi"/>
          <w:i/>
          <w:iCs/>
          <w:color w:val="4A66AC" w:themeColor="accent1"/>
          <w:sz w:val="24"/>
          <w:szCs w:val="24"/>
        </w:rPr>
      </w:pPr>
      <w:bookmarkStart w:id="4" w:name="_Toc12626228"/>
      <w:bookmarkStart w:id="5" w:name="_Toc23330164"/>
      <w:bookmarkStart w:id="6" w:name="_Toc60999814"/>
      <w:r w:rsidRPr="0019177D">
        <w:rPr>
          <w:rFonts w:asciiTheme="majorHAnsi" w:eastAsiaTheme="majorEastAsia" w:hAnsiTheme="majorHAnsi" w:cstheme="majorBidi"/>
          <w:i/>
          <w:iCs/>
          <w:color w:val="4A66AC" w:themeColor="accent1"/>
          <w:sz w:val="24"/>
          <w:szCs w:val="24"/>
        </w:rPr>
        <w:t>85</w:t>
      </w:r>
      <w:r w:rsidR="00FF10FA" w:rsidRPr="0019177D">
        <w:rPr>
          <w:rFonts w:asciiTheme="majorHAnsi" w:eastAsiaTheme="majorEastAsia" w:hAnsiTheme="majorHAnsi" w:cstheme="majorBidi"/>
          <w:i/>
          <w:iCs/>
          <w:color w:val="4A66AC" w:themeColor="accent1"/>
          <w:sz w:val="24"/>
          <w:szCs w:val="24"/>
          <w:vertAlign w:val="superscript"/>
        </w:rPr>
        <w:t>th</w:t>
      </w:r>
      <w:r w:rsidR="00FF10FA" w:rsidRPr="0019177D">
        <w:rPr>
          <w:rFonts w:asciiTheme="majorHAnsi" w:eastAsiaTheme="majorEastAsia" w:hAnsiTheme="majorHAnsi" w:cstheme="majorBidi"/>
          <w:i/>
          <w:iCs/>
          <w:color w:val="4A66AC" w:themeColor="accent1"/>
          <w:sz w:val="24"/>
          <w:szCs w:val="24"/>
        </w:rPr>
        <w:t xml:space="preserve"> Pre-Session Working Group, </w:t>
      </w:r>
      <w:bookmarkEnd w:id="4"/>
      <w:bookmarkEnd w:id="5"/>
      <w:bookmarkEnd w:id="6"/>
      <w:r w:rsidRPr="0019177D">
        <w:rPr>
          <w:rFonts w:asciiTheme="majorHAnsi" w:eastAsiaTheme="majorEastAsia" w:hAnsiTheme="majorHAnsi" w:cstheme="majorBidi"/>
          <w:i/>
          <w:iCs/>
          <w:color w:val="4A66AC" w:themeColor="accent1"/>
          <w:sz w:val="24"/>
          <w:szCs w:val="24"/>
        </w:rPr>
        <w:t>October 2022</w:t>
      </w:r>
    </w:p>
    <w:p w14:paraId="27676ADA" w14:textId="77777777" w:rsidR="00CF442E" w:rsidRDefault="00CF442E" w:rsidP="00CF442E"/>
    <w:p w14:paraId="457AE252" w14:textId="77777777" w:rsidR="00A52B2B" w:rsidRDefault="00A52B2B" w:rsidP="00CF442E"/>
    <w:p w14:paraId="16493550" w14:textId="77777777" w:rsidR="00A52B2B" w:rsidRDefault="00A52B2B" w:rsidP="00CF442E"/>
    <w:p w14:paraId="118F0985" w14:textId="77777777" w:rsidR="00A52B2B" w:rsidRDefault="00A52B2B" w:rsidP="00CF442E"/>
    <w:p w14:paraId="376CE36C" w14:textId="77777777" w:rsidR="00A52B2B" w:rsidRDefault="00A52B2B" w:rsidP="00CF442E"/>
    <w:p w14:paraId="675D713C" w14:textId="77777777" w:rsidR="00A52B2B" w:rsidRDefault="00A52B2B" w:rsidP="00CF442E"/>
    <w:p w14:paraId="06CE042F" w14:textId="77777777" w:rsidR="00A52B2B" w:rsidRDefault="00A52B2B" w:rsidP="00CF442E"/>
    <w:p w14:paraId="28833C71" w14:textId="77777777" w:rsidR="00A52B2B" w:rsidRDefault="00A52B2B" w:rsidP="00CF442E"/>
    <w:p w14:paraId="4DB28BD3" w14:textId="77777777" w:rsidR="00A52B2B" w:rsidRDefault="00A52B2B" w:rsidP="00CF442E"/>
    <w:p w14:paraId="55AAF026" w14:textId="77777777" w:rsidR="00A52B2B" w:rsidRDefault="00A52B2B" w:rsidP="00CF442E"/>
    <w:p w14:paraId="19CBBB1F" w14:textId="77777777" w:rsidR="00A52B2B" w:rsidRDefault="00A52B2B" w:rsidP="00CF442E"/>
    <w:p w14:paraId="37D65B85" w14:textId="77777777" w:rsidR="00A52B2B" w:rsidRDefault="00A52B2B" w:rsidP="00CF442E"/>
    <w:p w14:paraId="3581CD31" w14:textId="77777777" w:rsidR="00FF10FA" w:rsidRDefault="00FF10FA" w:rsidP="00CF442E"/>
    <w:p w14:paraId="4FA99C67" w14:textId="77777777" w:rsidR="00FF10FA" w:rsidRDefault="00FF10FA" w:rsidP="00CF442E"/>
    <w:p w14:paraId="38E1FFD3" w14:textId="77777777" w:rsidR="00FF10FA" w:rsidRPr="0024558B" w:rsidRDefault="00FF10FA" w:rsidP="00FF10FA">
      <w:pPr>
        <w:keepNext/>
        <w:keepLines/>
        <w:spacing w:before="0" w:after="40" w:line="360" w:lineRule="auto"/>
        <w:jc w:val="center"/>
        <w:outlineLvl w:val="0"/>
        <w:rPr>
          <w:rFonts w:asciiTheme="majorHAnsi" w:eastAsiaTheme="majorEastAsia" w:hAnsiTheme="majorHAnsi" w:cstheme="majorBidi"/>
          <w:b/>
          <w:iCs/>
          <w:color w:val="4A66AC" w:themeColor="accent1"/>
          <w:sz w:val="24"/>
          <w:szCs w:val="24"/>
        </w:rPr>
      </w:pPr>
      <w:bookmarkStart w:id="7" w:name="_Toc53065025"/>
      <w:bookmarkStart w:id="8" w:name="_Toc53065047"/>
      <w:bookmarkStart w:id="9" w:name="_Toc53065076"/>
      <w:bookmarkStart w:id="10" w:name="_Toc53066332"/>
      <w:bookmarkStart w:id="11" w:name="_Toc53066387"/>
      <w:bookmarkStart w:id="12" w:name="_Toc60999815"/>
      <w:r w:rsidRPr="0024558B">
        <w:rPr>
          <w:rFonts w:asciiTheme="majorHAnsi" w:eastAsiaTheme="majorEastAsia" w:hAnsiTheme="majorHAnsi" w:cstheme="majorBidi"/>
          <w:b/>
          <w:iCs/>
          <w:color w:val="4A66AC" w:themeColor="accent1"/>
          <w:sz w:val="24"/>
          <w:szCs w:val="24"/>
        </w:rPr>
        <w:t>Submitted By</w:t>
      </w:r>
      <w:bookmarkEnd w:id="7"/>
      <w:bookmarkEnd w:id="8"/>
      <w:bookmarkEnd w:id="9"/>
      <w:bookmarkEnd w:id="10"/>
      <w:bookmarkEnd w:id="11"/>
      <w:bookmarkEnd w:id="12"/>
    </w:p>
    <w:p w14:paraId="5120046A" w14:textId="77777777" w:rsidR="00FF10FA" w:rsidRPr="0024558B" w:rsidRDefault="00FF10FA" w:rsidP="00FF10FA">
      <w:pPr>
        <w:keepNext/>
        <w:keepLines/>
        <w:spacing w:before="0" w:after="40" w:line="360" w:lineRule="auto"/>
        <w:jc w:val="center"/>
        <w:outlineLvl w:val="0"/>
        <w:rPr>
          <w:rFonts w:asciiTheme="majorHAnsi" w:eastAsiaTheme="majorEastAsia" w:hAnsiTheme="majorHAnsi" w:cstheme="majorBidi"/>
          <w:iCs/>
          <w:color w:val="4A66AC" w:themeColor="accent1"/>
          <w:sz w:val="24"/>
          <w:szCs w:val="24"/>
        </w:rPr>
      </w:pPr>
      <w:bookmarkStart w:id="13" w:name="_Toc53065026"/>
      <w:bookmarkStart w:id="14" w:name="_Toc53065048"/>
      <w:bookmarkStart w:id="15" w:name="_Toc53065077"/>
      <w:bookmarkStart w:id="16" w:name="_Toc53066333"/>
      <w:bookmarkStart w:id="17" w:name="_Toc53066388"/>
      <w:bookmarkStart w:id="18" w:name="_Toc60999816"/>
      <w:r w:rsidRPr="0024558B">
        <w:rPr>
          <w:rFonts w:asciiTheme="majorHAnsi" w:eastAsiaTheme="majorEastAsia" w:hAnsiTheme="majorHAnsi" w:cstheme="majorBidi"/>
          <w:iCs/>
          <w:color w:val="4A66AC" w:themeColor="accent1"/>
          <w:sz w:val="24"/>
          <w:szCs w:val="24"/>
        </w:rPr>
        <w:t>The WORLD Policy Analysis Center</w:t>
      </w:r>
      <w:bookmarkEnd w:id="13"/>
      <w:bookmarkEnd w:id="14"/>
      <w:bookmarkEnd w:id="15"/>
      <w:bookmarkEnd w:id="16"/>
      <w:bookmarkEnd w:id="17"/>
      <w:bookmarkEnd w:id="18"/>
    </w:p>
    <w:p w14:paraId="54562A47" w14:textId="77777777" w:rsidR="00FF10FA" w:rsidRPr="0024558B" w:rsidRDefault="00FF10FA" w:rsidP="00FF10FA">
      <w:pPr>
        <w:keepNext/>
        <w:keepLines/>
        <w:spacing w:before="0" w:after="40" w:line="360" w:lineRule="auto"/>
        <w:jc w:val="center"/>
        <w:outlineLvl w:val="0"/>
        <w:rPr>
          <w:rFonts w:asciiTheme="majorHAnsi" w:eastAsiaTheme="majorEastAsia" w:hAnsiTheme="majorHAnsi" w:cstheme="majorBidi"/>
          <w:iCs/>
          <w:color w:val="4A66AC" w:themeColor="accent1"/>
          <w:sz w:val="24"/>
          <w:szCs w:val="24"/>
        </w:rPr>
      </w:pPr>
      <w:bookmarkStart w:id="19" w:name="_Toc53065027"/>
      <w:bookmarkStart w:id="20" w:name="_Toc53065049"/>
      <w:bookmarkStart w:id="21" w:name="_Toc53065078"/>
      <w:bookmarkStart w:id="22" w:name="_Toc53066334"/>
      <w:bookmarkStart w:id="23" w:name="_Toc53066389"/>
      <w:bookmarkStart w:id="24" w:name="_Toc60999817"/>
      <w:r w:rsidRPr="0024558B">
        <w:rPr>
          <w:rFonts w:asciiTheme="majorHAnsi" w:eastAsiaTheme="majorEastAsia" w:hAnsiTheme="majorHAnsi" w:cstheme="majorBidi"/>
          <w:iCs/>
          <w:color w:val="4A66AC" w:themeColor="accent1"/>
          <w:sz w:val="24"/>
          <w:szCs w:val="24"/>
        </w:rPr>
        <w:t>University of California, Los Angeles</w:t>
      </w:r>
      <w:bookmarkEnd w:id="19"/>
      <w:bookmarkEnd w:id="20"/>
      <w:bookmarkEnd w:id="21"/>
      <w:bookmarkEnd w:id="22"/>
      <w:bookmarkEnd w:id="23"/>
      <w:bookmarkEnd w:id="24"/>
      <w:r w:rsidRPr="0024558B">
        <w:rPr>
          <w:rFonts w:asciiTheme="majorHAnsi" w:eastAsiaTheme="majorEastAsia" w:hAnsiTheme="majorHAnsi" w:cstheme="majorBidi"/>
          <w:iCs/>
          <w:color w:val="4A66AC" w:themeColor="accent1"/>
          <w:sz w:val="24"/>
          <w:szCs w:val="24"/>
        </w:rPr>
        <w:t xml:space="preserve"> </w:t>
      </w:r>
    </w:p>
    <w:p w14:paraId="08A0C27C" w14:textId="77777777" w:rsidR="00A52B2B" w:rsidRDefault="00A52B2B" w:rsidP="00CF442E"/>
    <w:p w14:paraId="1EE17179" w14:textId="77777777" w:rsidR="00A52B2B" w:rsidRDefault="00A52B2B" w:rsidP="00CF442E"/>
    <w:sdt>
      <w:sdtPr>
        <w:rPr>
          <w:caps w:val="0"/>
          <w:color w:val="auto"/>
          <w:spacing w:val="0"/>
          <w:sz w:val="20"/>
          <w:szCs w:val="20"/>
        </w:rPr>
        <w:id w:val="-1578275761"/>
        <w:docPartObj>
          <w:docPartGallery w:val="Table of Contents"/>
          <w:docPartUnique/>
        </w:docPartObj>
      </w:sdtPr>
      <w:sdtEndPr>
        <w:rPr>
          <w:b/>
          <w:bCs/>
          <w:noProof/>
        </w:rPr>
      </w:sdtEndPr>
      <w:sdtContent>
        <w:p w14:paraId="49CAE7FA" w14:textId="77777777" w:rsidR="00DC3D8E" w:rsidRDefault="00DC3D8E">
          <w:pPr>
            <w:pStyle w:val="TOCHeading"/>
          </w:pPr>
          <w:r>
            <w:t>Table of Contents</w:t>
          </w:r>
        </w:p>
        <w:p w14:paraId="16E08200" w14:textId="77777777" w:rsidR="00815967" w:rsidRDefault="00815967">
          <w:pPr>
            <w:pStyle w:val="TOC1"/>
            <w:tabs>
              <w:tab w:val="right" w:leader="dot" w:pos="9350"/>
            </w:tabs>
          </w:pPr>
        </w:p>
        <w:p w14:paraId="0832446E" w14:textId="5ACD73CE" w:rsidR="009756BE" w:rsidRDefault="00815967">
          <w:pPr>
            <w:pStyle w:val="TOC1"/>
            <w:tabs>
              <w:tab w:val="right" w:leader="dot" w:pos="9350"/>
            </w:tabs>
            <w:rPr>
              <w:webHidden/>
            </w:rPr>
          </w:pPr>
          <w:r>
            <w:t>Introduction</w:t>
          </w:r>
          <w:r w:rsidRPr="00815967">
            <w:rPr>
              <w:webHidden/>
            </w:rPr>
            <w:tab/>
          </w:r>
          <w:r>
            <w:rPr>
              <w:webHidden/>
            </w:rPr>
            <w:t>1</w:t>
          </w:r>
        </w:p>
        <w:p w14:paraId="6A445713" w14:textId="77777777" w:rsidR="00815967" w:rsidRPr="00815967" w:rsidRDefault="00815967" w:rsidP="00815967"/>
        <w:p w14:paraId="0B77E4F0" w14:textId="2CD5DA21" w:rsidR="00DC3D8E" w:rsidRPr="00FD77B3" w:rsidRDefault="00DC3D8E">
          <w:pPr>
            <w:pStyle w:val="TOC1"/>
            <w:tabs>
              <w:tab w:val="right" w:leader="dot" w:pos="9350"/>
            </w:tabs>
            <w:rPr>
              <w:noProof/>
              <w:sz w:val="22"/>
              <w:szCs w:val="22"/>
            </w:rPr>
          </w:pPr>
          <w:r>
            <w:fldChar w:fldCharType="begin"/>
          </w:r>
          <w:r>
            <w:instrText xml:space="preserve"> TOC \o "1-3" \h \z \u </w:instrText>
          </w:r>
          <w:r>
            <w:fldChar w:fldCharType="separate"/>
          </w:r>
          <w:hyperlink w:anchor="_Toc60999819" w:history="1">
            <w:r w:rsidRPr="00FD77B3">
              <w:rPr>
                <w:rStyle w:val="Hyperlink"/>
                <w:rFonts w:eastAsia="Times New Roman"/>
                <w:bCs/>
                <w:noProof/>
              </w:rPr>
              <w:t>Summary of Findings and Recommendations</w:t>
            </w:r>
            <w:r w:rsidRPr="00FD77B3">
              <w:rPr>
                <w:noProof/>
                <w:webHidden/>
              </w:rPr>
              <w:tab/>
            </w:r>
            <w:r w:rsidR="00815967">
              <w:rPr>
                <w:noProof/>
                <w:webHidden/>
              </w:rPr>
              <w:t>2</w:t>
            </w:r>
          </w:hyperlink>
        </w:p>
        <w:p w14:paraId="11968EC7" w14:textId="3B57D1DA" w:rsidR="00DC3D8E" w:rsidRPr="00FD77B3" w:rsidRDefault="0085494D">
          <w:pPr>
            <w:pStyle w:val="TOC2"/>
            <w:tabs>
              <w:tab w:val="left" w:pos="660"/>
              <w:tab w:val="right" w:leader="dot" w:pos="9350"/>
            </w:tabs>
            <w:rPr>
              <w:noProof/>
              <w:sz w:val="22"/>
              <w:szCs w:val="22"/>
            </w:rPr>
          </w:pPr>
          <w:hyperlink w:anchor="_Toc60999820" w:history="1">
            <w:r w:rsidR="00DC3D8E" w:rsidRPr="00FD77B3">
              <w:rPr>
                <w:rStyle w:val="Hyperlink"/>
                <w:rFonts w:ascii="Calibri Light" w:eastAsia="Times New Roman" w:hAnsi="Calibri Light" w:cs="Times New Roman"/>
                <w:noProof/>
              </w:rPr>
              <w:t>1.</w:t>
            </w:r>
            <w:r w:rsidR="00DC3D8E" w:rsidRPr="00FD77B3">
              <w:rPr>
                <w:noProof/>
                <w:sz w:val="22"/>
                <w:szCs w:val="22"/>
              </w:rPr>
              <w:tab/>
            </w:r>
            <w:r w:rsidR="00DC3D8E" w:rsidRPr="00FD77B3">
              <w:rPr>
                <w:rStyle w:val="Hyperlink"/>
                <w:rFonts w:ascii="Calibri Light" w:eastAsia="Times New Roman" w:hAnsi="Calibri Light" w:cs="Times New Roman"/>
                <w:noProof/>
              </w:rPr>
              <w:t>General Equality and Non-Discrimination (Article 2)</w:t>
            </w:r>
            <w:r w:rsidR="00DC3D8E" w:rsidRPr="00FD77B3">
              <w:rPr>
                <w:noProof/>
                <w:webHidden/>
              </w:rPr>
              <w:tab/>
            </w:r>
            <w:r w:rsidR="00815967">
              <w:rPr>
                <w:noProof/>
                <w:webHidden/>
              </w:rPr>
              <w:t>2</w:t>
            </w:r>
          </w:hyperlink>
        </w:p>
        <w:p w14:paraId="57F015A0" w14:textId="1861D746" w:rsidR="00DC3D8E" w:rsidRPr="00FD77B3" w:rsidRDefault="0085494D">
          <w:pPr>
            <w:pStyle w:val="TOC2"/>
            <w:tabs>
              <w:tab w:val="left" w:pos="660"/>
              <w:tab w:val="right" w:leader="dot" w:pos="9350"/>
            </w:tabs>
            <w:rPr>
              <w:noProof/>
            </w:rPr>
          </w:pPr>
          <w:hyperlink w:anchor="_Toc60999821" w:history="1">
            <w:r w:rsidR="00DC3D8E" w:rsidRPr="00FD77B3">
              <w:rPr>
                <w:rStyle w:val="Hyperlink"/>
                <w:rFonts w:ascii="Calibri Light" w:eastAsia="Times New Roman" w:hAnsi="Calibri Light" w:cs="Times New Roman"/>
                <w:noProof/>
              </w:rPr>
              <w:t>2.</w:t>
            </w:r>
            <w:r w:rsidR="00DC3D8E" w:rsidRPr="00FD77B3">
              <w:rPr>
                <w:noProof/>
                <w:sz w:val="22"/>
                <w:szCs w:val="22"/>
              </w:rPr>
              <w:tab/>
            </w:r>
            <w:r w:rsidR="00DC3D8E" w:rsidRPr="00FD77B3">
              <w:rPr>
                <w:rStyle w:val="Hyperlink"/>
                <w:rFonts w:ascii="Calibri Light" w:eastAsia="Times New Roman" w:hAnsi="Calibri Light" w:cs="Times New Roman"/>
                <w:noProof/>
              </w:rPr>
              <w:t>Non-Discrimination in Work and Employment (Article 11)</w:t>
            </w:r>
            <w:r w:rsidR="00DC3D8E" w:rsidRPr="00FD77B3">
              <w:rPr>
                <w:noProof/>
                <w:webHidden/>
              </w:rPr>
              <w:tab/>
            </w:r>
            <w:r w:rsidR="00815967">
              <w:rPr>
                <w:noProof/>
                <w:webHidden/>
              </w:rPr>
              <w:t>2</w:t>
            </w:r>
          </w:hyperlink>
        </w:p>
        <w:p w14:paraId="307A70D8" w14:textId="77777777" w:rsidR="00B52FD1" w:rsidRPr="00FD77B3" w:rsidRDefault="00B52FD1" w:rsidP="00B52FD1"/>
        <w:p w14:paraId="6447E083" w14:textId="77777777" w:rsidR="00DC3D8E" w:rsidRPr="00FD77B3" w:rsidRDefault="0085494D">
          <w:pPr>
            <w:pStyle w:val="TOC1"/>
            <w:tabs>
              <w:tab w:val="right" w:leader="dot" w:pos="9350"/>
            </w:tabs>
            <w:rPr>
              <w:noProof/>
              <w:sz w:val="22"/>
              <w:szCs w:val="22"/>
            </w:rPr>
          </w:pPr>
          <w:hyperlink w:anchor="_Toc60999826" w:history="1">
            <w:r w:rsidR="00DC3D8E" w:rsidRPr="00FD77B3">
              <w:rPr>
                <w:rStyle w:val="Hyperlink"/>
                <w:rFonts w:eastAsia="Times New Roman"/>
                <w:bCs/>
                <w:noProof/>
              </w:rPr>
              <w:t>Detail of Constitutional and Legislative Findings</w:t>
            </w:r>
            <w:r w:rsidR="00DC3D8E" w:rsidRPr="00FD77B3">
              <w:rPr>
                <w:noProof/>
                <w:webHidden/>
              </w:rPr>
              <w:tab/>
            </w:r>
            <w:r w:rsidR="00DC3D8E" w:rsidRPr="00FD77B3">
              <w:rPr>
                <w:noProof/>
                <w:webHidden/>
              </w:rPr>
              <w:fldChar w:fldCharType="begin"/>
            </w:r>
            <w:r w:rsidR="00DC3D8E" w:rsidRPr="00FD77B3">
              <w:rPr>
                <w:noProof/>
                <w:webHidden/>
              </w:rPr>
              <w:instrText xml:space="preserve"> PAGEREF _Toc60999826 \h </w:instrText>
            </w:r>
            <w:r w:rsidR="00DC3D8E" w:rsidRPr="00FD77B3">
              <w:rPr>
                <w:noProof/>
                <w:webHidden/>
              </w:rPr>
            </w:r>
            <w:r w:rsidR="00DC3D8E" w:rsidRPr="00FD77B3">
              <w:rPr>
                <w:noProof/>
                <w:webHidden/>
              </w:rPr>
              <w:fldChar w:fldCharType="separate"/>
            </w:r>
            <w:r w:rsidR="00DC3D8E" w:rsidRPr="00FD77B3">
              <w:rPr>
                <w:noProof/>
                <w:webHidden/>
              </w:rPr>
              <w:t>3</w:t>
            </w:r>
            <w:r w:rsidR="00DC3D8E" w:rsidRPr="00FD77B3">
              <w:rPr>
                <w:noProof/>
                <w:webHidden/>
              </w:rPr>
              <w:fldChar w:fldCharType="end"/>
            </w:r>
          </w:hyperlink>
        </w:p>
        <w:p w14:paraId="347CFDD2" w14:textId="77777777" w:rsidR="00DC3D8E" w:rsidRPr="00FD77B3" w:rsidRDefault="0085494D">
          <w:pPr>
            <w:pStyle w:val="TOC2"/>
            <w:tabs>
              <w:tab w:val="left" w:pos="660"/>
              <w:tab w:val="right" w:leader="dot" w:pos="9350"/>
            </w:tabs>
            <w:rPr>
              <w:noProof/>
              <w:sz w:val="22"/>
              <w:szCs w:val="22"/>
            </w:rPr>
          </w:pPr>
          <w:hyperlink w:anchor="_Toc60999827" w:history="1">
            <w:r w:rsidR="00DC3D8E" w:rsidRPr="00FD77B3">
              <w:rPr>
                <w:rStyle w:val="Hyperlink"/>
                <w:rFonts w:ascii="Calibri Light" w:eastAsia="Times New Roman" w:hAnsi="Calibri Light" w:cs="Times New Roman"/>
                <w:noProof/>
              </w:rPr>
              <w:t>1.</w:t>
            </w:r>
            <w:r w:rsidR="00DC3D8E" w:rsidRPr="00FD77B3">
              <w:rPr>
                <w:noProof/>
                <w:sz w:val="22"/>
                <w:szCs w:val="22"/>
              </w:rPr>
              <w:tab/>
            </w:r>
            <w:r w:rsidR="00DC3D8E" w:rsidRPr="00FD77B3">
              <w:rPr>
                <w:rStyle w:val="Hyperlink"/>
                <w:rFonts w:ascii="Calibri Light" w:eastAsia="Times New Roman" w:hAnsi="Calibri Light" w:cs="Times New Roman"/>
                <w:noProof/>
              </w:rPr>
              <w:t>General Equality and Non-Discrimination (Article 2)</w:t>
            </w:r>
            <w:r w:rsidR="00DC3D8E" w:rsidRPr="00FD77B3">
              <w:rPr>
                <w:noProof/>
                <w:webHidden/>
              </w:rPr>
              <w:tab/>
            </w:r>
            <w:r w:rsidR="00DC3D8E" w:rsidRPr="00FD77B3">
              <w:rPr>
                <w:noProof/>
                <w:webHidden/>
              </w:rPr>
              <w:fldChar w:fldCharType="begin"/>
            </w:r>
            <w:r w:rsidR="00DC3D8E" w:rsidRPr="00FD77B3">
              <w:rPr>
                <w:noProof/>
                <w:webHidden/>
              </w:rPr>
              <w:instrText xml:space="preserve"> PAGEREF _Toc60999827 \h </w:instrText>
            </w:r>
            <w:r w:rsidR="00DC3D8E" w:rsidRPr="00FD77B3">
              <w:rPr>
                <w:noProof/>
                <w:webHidden/>
              </w:rPr>
            </w:r>
            <w:r w:rsidR="00DC3D8E" w:rsidRPr="00FD77B3">
              <w:rPr>
                <w:noProof/>
                <w:webHidden/>
              </w:rPr>
              <w:fldChar w:fldCharType="separate"/>
            </w:r>
            <w:r w:rsidR="00DC3D8E" w:rsidRPr="00FD77B3">
              <w:rPr>
                <w:noProof/>
                <w:webHidden/>
              </w:rPr>
              <w:t>3</w:t>
            </w:r>
            <w:r w:rsidR="00DC3D8E" w:rsidRPr="00FD77B3">
              <w:rPr>
                <w:noProof/>
                <w:webHidden/>
              </w:rPr>
              <w:fldChar w:fldCharType="end"/>
            </w:r>
          </w:hyperlink>
        </w:p>
        <w:p w14:paraId="3A224146" w14:textId="77777777" w:rsidR="00DC3D8E" w:rsidRPr="00FD77B3" w:rsidRDefault="0085494D">
          <w:pPr>
            <w:pStyle w:val="TOC2"/>
            <w:tabs>
              <w:tab w:val="left" w:pos="660"/>
              <w:tab w:val="right" w:leader="dot" w:pos="9350"/>
            </w:tabs>
            <w:rPr>
              <w:noProof/>
              <w:sz w:val="22"/>
              <w:szCs w:val="22"/>
            </w:rPr>
          </w:pPr>
          <w:hyperlink w:anchor="_Toc60999828" w:history="1">
            <w:r w:rsidR="00DC3D8E" w:rsidRPr="00FD77B3">
              <w:rPr>
                <w:rStyle w:val="Hyperlink"/>
                <w:rFonts w:ascii="Calibri Light" w:eastAsia="Times New Roman" w:hAnsi="Calibri Light" w:cs="Times New Roman"/>
                <w:noProof/>
              </w:rPr>
              <w:t>2.</w:t>
            </w:r>
            <w:r w:rsidR="00DC3D8E" w:rsidRPr="00FD77B3">
              <w:rPr>
                <w:noProof/>
                <w:sz w:val="22"/>
                <w:szCs w:val="22"/>
              </w:rPr>
              <w:tab/>
            </w:r>
            <w:r w:rsidR="00DC3D8E" w:rsidRPr="00FD77B3">
              <w:rPr>
                <w:rStyle w:val="Hyperlink"/>
                <w:rFonts w:ascii="Calibri Light" w:eastAsia="Times New Roman" w:hAnsi="Calibri Light" w:cs="Times New Roman"/>
                <w:noProof/>
              </w:rPr>
              <w:t>Non-Discrimination in Work and Employment (Article 11)</w:t>
            </w:r>
            <w:r w:rsidR="00DC3D8E" w:rsidRPr="00FD77B3">
              <w:rPr>
                <w:noProof/>
                <w:webHidden/>
              </w:rPr>
              <w:tab/>
            </w:r>
            <w:r w:rsidR="00DC3D8E" w:rsidRPr="00FD77B3">
              <w:rPr>
                <w:noProof/>
                <w:webHidden/>
              </w:rPr>
              <w:fldChar w:fldCharType="begin"/>
            </w:r>
            <w:r w:rsidR="00DC3D8E" w:rsidRPr="00FD77B3">
              <w:rPr>
                <w:noProof/>
                <w:webHidden/>
              </w:rPr>
              <w:instrText xml:space="preserve"> PAGEREF _Toc60999828 \h </w:instrText>
            </w:r>
            <w:r w:rsidR="00DC3D8E" w:rsidRPr="00FD77B3">
              <w:rPr>
                <w:noProof/>
                <w:webHidden/>
              </w:rPr>
            </w:r>
            <w:r w:rsidR="00DC3D8E" w:rsidRPr="00FD77B3">
              <w:rPr>
                <w:noProof/>
                <w:webHidden/>
              </w:rPr>
              <w:fldChar w:fldCharType="separate"/>
            </w:r>
            <w:r w:rsidR="00DC3D8E" w:rsidRPr="00FD77B3">
              <w:rPr>
                <w:noProof/>
                <w:webHidden/>
              </w:rPr>
              <w:t>4</w:t>
            </w:r>
            <w:r w:rsidR="00DC3D8E" w:rsidRPr="00FD77B3">
              <w:rPr>
                <w:noProof/>
                <w:webHidden/>
              </w:rPr>
              <w:fldChar w:fldCharType="end"/>
            </w:r>
          </w:hyperlink>
        </w:p>
        <w:p w14:paraId="4F2EE80E" w14:textId="77777777" w:rsidR="00DC3D8E" w:rsidRDefault="00DC3D8E">
          <w:r>
            <w:rPr>
              <w:b/>
              <w:bCs/>
              <w:noProof/>
            </w:rPr>
            <w:fldChar w:fldCharType="end"/>
          </w:r>
        </w:p>
      </w:sdtContent>
    </w:sdt>
    <w:p w14:paraId="558941D1" w14:textId="77777777" w:rsidR="00157053" w:rsidRDefault="00157053" w:rsidP="00CF442E">
      <w:pPr>
        <w:rPr>
          <w:b/>
        </w:rPr>
      </w:pPr>
    </w:p>
    <w:p w14:paraId="0DAEDBE0" w14:textId="77777777" w:rsidR="00CF442E" w:rsidRDefault="00CF442E"/>
    <w:p w14:paraId="0835D7E7" w14:textId="77777777" w:rsidR="003E044E" w:rsidRDefault="003E044E"/>
    <w:p w14:paraId="14A85CE3" w14:textId="77777777" w:rsidR="003E044E" w:rsidRDefault="003E044E"/>
    <w:p w14:paraId="1A002B23" w14:textId="77777777" w:rsidR="00FF10FA" w:rsidRDefault="00FF10FA"/>
    <w:p w14:paraId="138399CF" w14:textId="77777777" w:rsidR="00FF10FA" w:rsidRDefault="00FF10FA"/>
    <w:p w14:paraId="3AB0679A" w14:textId="77777777" w:rsidR="00FF10FA" w:rsidRDefault="00FF10FA"/>
    <w:p w14:paraId="1C834AC6" w14:textId="77777777" w:rsidR="00FF10FA" w:rsidRDefault="00FF10FA"/>
    <w:p w14:paraId="73D860DF" w14:textId="77777777" w:rsidR="00FF10FA" w:rsidRDefault="00FF10FA"/>
    <w:p w14:paraId="4F094E23" w14:textId="77777777" w:rsidR="00FF10FA" w:rsidRDefault="00FF10FA"/>
    <w:p w14:paraId="330769C2" w14:textId="77777777" w:rsidR="00FF10FA" w:rsidRDefault="00FF10FA"/>
    <w:p w14:paraId="3E711789" w14:textId="77777777" w:rsidR="00DC3D8E" w:rsidRDefault="00DC3D8E"/>
    <w:p w14:paraId="13A0B75E" w14:textId="77777777" w:rsidR="004C6D72" w:rsidRDefault="004C6D72"/>
    <w:p w14:paraId="17A74766" w14:textId="77777777" w:rsidR="00B52FD1" w:rsidRDefault="00B52FD1"/>
    <w:p w14:paraId="076ADB04" w14:textId="77777777" w:rsidR="00B52FD1" w:rsidRDefault="00B52FD1"/>
    <w:p w14:paraId="2960DC74" w14:textId="77777777" w:rsidR="00B52FD1" w:rsidRDefault="00B52FD1"/>
    <w:p w14:paraId="03F62A3B" w14:textId="77777777" w:rsidR="00B52FD1" w:rsidRDefault="00B52FD1"/>
    <w:p w14:paraId="55EF3CC8" w14:textId="77777777" w:rsidR="008D34BA" w:rsidRDefault="008D34BA">
      <w:pPr>
        <w:sectPr w:rsidR="008D34BA" w:rsidSect="00831B92">
          <w:headerReference w:type="default" r:id="rId8"/>
          <w:footerReference w:type="default" r:id="rId9"/>
          <w:headerReference w:type="first" r:id="rId10"/>
          <w:footerReference w:type="first" r:id="rId11"/>
          <w:pgSz w:w="12240" w:h="15840"/>
          <w:pgMar w:top="1440" w:right="1440" w:bottom="1440" w:left="1440" w:header="720" w:footer="720" w:gutter="0"/>
          <w:pgNumType w:start="0"/>
          <w:cols w:space="720"/>
          <w:titlePg/>
          <w:docGrid w:linePitch="360"/>
        </w:sectPr>
      </w:pPr>
    </w:p>
    <w:p w14:paraId="15BED5FB" w14:textId="3B62BCBC" w:rsidR="00DC3D8E" w:rsidRDefault="00DC3D8E"/>
    <w:p w14:paraId="5523A8AB" w14:textId="77777777" w:rsidR="00A52B2B" w:rsidRPr="00A52B2B" w:rsidRDefault="00A52B2B" w:rsidP="00A52B2B">
      <w:pPr>
        <w:pBdr>
          <w:top w:val="single" w:sz="24" w:space="0" w:color="4A66AC" w:themeColor="accent1"/>
          <w:left w:val="single" w:sz="24" w:space="0" w:color="4A66AC" w:themeColor="accent1"/>
          <w:bottom w:val="single" w:sz="24" w:space="0" w:color="4A66AC" w:themeColor="accent1"/>
          <w:right w:val="single" w:sz="24" w:space="0" w:color="4A66AC" w:themeColor="accent1"/>
        </w:pBdr>
        <w:shd w:val="clear" w:color="auto" w:fill="4A66AC" w:themeFill="accent1"/>
        <w:spacing w:before="200" w:after="0"/>
        <w:outlineLvl w:val="0"/>
        <w:rPr>
          <w:b/>
          <w:bCs/>
          <w:color w:val="FFFFFF" w:themeColor="background1"/>
          <w:spacing w:val="15"/>
          <w:sz w:val="22"/>
          <w:szCs w:val="22"/>
        </w:rPr>
      </w:pPr>
      <w:bookmarkStart w:id="25" w:name="_Toc60999818"/>
      <w:bookmarkStart w:id="26" w:name="_Hlk52631114"/>
      <w:r w:rsidRPr="00A52B2B">
        <w:rPr>
          <w:b/>
          <w:bCs/>
          <w:caps/>
          <w:color w:val="FFFFFF" w:themeColor="background1"/>
          <w:spacing w:val="15"/>
          <w:sz w:val="22"/>
          <w:szCs w:val="22"/>
        </w:rPr>
        <w:t>Introduction</w:t>
      </w:r>
      <w:bookmarkEnd w:id="25"/>
    </w:p>
    <w:bookmarkEnd w:id="26"/>
    <w:p w14:paraId="540A8196" w14:textId="77777777" w:rsidR="003860C9" w:rsidRPr="00A52B2B" w:rsidRDefault="003860C9" w:rsidP="00CF442E">
      <w:pPr>
        <w:rPr>
          <w:sz w:val="22"/>
          <w:szCs w:val="22"/>
        </w:rPr>
      </w:pPr>
      <w:r w:rsidRPr="00A52B2B">
        <w:rPr>
          <w:color w:val="000000"/>
          <w:sz w:val="22"/>
          <w:szCs w:val="22"/>
        </w:rPr>
        <w:t xml:space="preserve">The WORLD Policy Analysis Center, based at the University of California, Los Angeles, </w:t>
      </w:r>
      <w:r w:rsidR="005E6E48" w:rsidRPr="00A52B2B">
        <w:rPr>
          <w:color w:val="000000"/>
          <w:sz w:val="22"/>
          <w:szCs w:val="22"/>
        </w:rPr>
        <w:t>captures</w:t>
      </w:r>
      <w:r w:rsidR="002118F1" w:rsidRPr="00A52B2B">
        <w:rPr>
          <w:color w:val="000000"/>
          <w:sz w:val="22"/>
          <w:szCs w:val="22"/>
        </w:rPr>
        <w:t xml:space="preserve"> </w:t>
      </w:r>
      <w:r w:rsidR="002118F1" w:rsidRPr="00A52B2B">
        <w:rPr>
          <w:rFonts w:ascii="Calibri" w:hAnsi="Calibri"/>
          <w:sz w:val="22"/>
          <w:szCs w:val="22"/>
        </w:rPr>
        <w:t>quantitative policy data on more than 2,000 indicators that matter to</w:t>
      </w:r>
      <w:r w:rsidR="006306D0" w:rsidRPr="00A52B2B">
        <w:rPr>
          <w:rFonts w:ascii="Calibri" w:hAnsi="Calibri"/>
          <w:sz w:val="22"/>
          <w:szCs w:val="22"/>
        </w:rPr>
        <w:t xml:space="preserve"> equality,</w:t>
      </w:r>
      <w:r w:rsidR="002118F1" w:rsidRPr="00A52B2B">
        <w:rPr>
          <w:rFonts w:ascii="Calibri" w:hAnsi="Calibri"/>
          <w:sz w:val="22"/>
          <w:szCs w:val="22"/>
        </w:rPr>
        <w:t xml:space="preserve"> health, and well-being. We</w:t>
      </w:r>
      <w:r w:rsidR="002118F1" w:rsidRPr="00A52B2B">
        <w:rPr>
          <w:color w:val="000000"/>
          <w:sz w:val="22"/>
          <w:szCs w:val="22"/>
        </w:rPr>
        <w:t xml:space="preserve"> </w:t>
      </w:r>
      <w:r w:rsidRPr="00A52B2B">
        <w:rPr>
          <w:color w:val="000000"/>
          <w:sz w:val="22"/>
          <w:szCs w:val="22"/>
        </w:rPr>
        <w:t>strive to improv</w:t>
      </w:r>
      <w:r w:rsidR="00246EC7" w:rsidRPr="00A52B2B">
        <w:rPr>
          <w:color w:val="000000"/>
          <w:sz w:val="22"/>
          <w:szCs w:val="22"/>
        </w:rPr>
        <w:t>e</w:t>
      </w:r>
      <w:r w:rsidRPr="00A52B2B">
        <w:rPr>
          <w:color w:val="000000"/>
          <w:sz w:val="22"/>
          <w:szCs w:val="22"/>
        </w:rPr>
        <w:t xml:space="preserve"> the quantity and quality of globally comparative data available to policymakers, citizens, national governments, intergovernmental organizations, civil society, and researchers for all 193 UN member states. </w:t>
      </w:r>
      <w:r w:rsidR="002118F1" w:rsidRPr="00A52B2B">
        <w:rPr>
          <w:sz w:val="22"/>
          <w:szCs w:val="22"/>
        </w:rPr>
        <w:t xml:space="preserve">We submit </w:t>
      </w:r>
      <w:r w:rsidRPr="00A52B2B">
        <w:rPr>
          <w:sz w:val="22"/>
          <w:szCs w:val="22"/>
        </w:rPr>
        <w:t xml:space="preserve">the following brief in </w:t>
      </w:r>
      <w:r w:rsidRPr="0019177D">
        <w:rPr>
          <w:sz w:val="22"/>
          <w:szCs w:val="22"/>
        </w:rPr>
        <w:t xml:space="preserve">advance of the </w:t>
      </w:r>
      <w:r w:rsidR="0019177D" w:rsidRPr="0019177D">
        <w:rPr>
          <w:sz w:val="22"/>
          <w:szCs w:val="22"/>
        </w:rPr>
        <w:t>85</w:t>
      </w:r>
      <w:r w:rsidR="005E6E48" w:rsidRPr="0019177D">
        <w:rPr>
          <w:sz w:val="22"/>
          <w:szCs w:val="22"/>
          <w:vertAlign w:val="superscript"/>
        </w:rPr>
        <w:t>th</w:t>
      </w:r>
      <w:r w:rsidR="005E6E48" w:rsidRPr="0019177D">
        <w:rPr>
          <w:sz w:val="22"/>
          <w:szCs w:val="22"/>
        </w:rPr>
        <w:t xml:space="preserve"> </w:t>
      </w:r>
      <w:r w:rsidRPr="0019177D">
        <w:rPr>
          <w:sz w:val="22"/>
          <w:szCs w:val="22"/>
        </w:rPr>
        <w:t>Pre-</w:t>
      </w:r>
      <w:r w:rsidRPr="00A52B2B">
        <w:rPr>
          <w:sz w:val="22"/>
          <w:szCs w:val="22"/>
        </w:rPr>
        <w:t xml:space="preserve">Sessional Working Group of the Committee </w:t>
      </w:r>
      <w:r w:rsidR="00FD3248" w:rsidRPr="00A52B2B">
        <w:rPr>
          <w:sz w:val="22"/>
          <w:szCs w:val="22"/>
        </w:rPr>
        <w:t>on the</w:t>
      </w:r>
      <w:r w:rsidR="00B617D6" w:rsidRPr="00A52B2B">
        <w:rPr>
          <w:sz w:val="22"/>
          <w:szCs w:val="22"/>
        </w:rPr>
        <w:t xml:space="preserve"> Elimination of Discrimination a</w:t>
      </w:r>
      <w:r w:rsidR="00FD3248" w:rsidRPr="00A52B2B">
        <w:rPr>
          <w:sz w:val="22"/>
          <w:szCs w:val="22"/>
        </w:rPr>
        <w:t>gainst Women</w:t>
      </w:r>
      <w:r w:rsidRPr="00A52B2B">
        <w:rPr>
          <w:sz w:val="22"/>
          <w:szCs w:val="22"/>
        </w:rPr>
        <w:t xml:space="preserve">.  </w:t>
      </w:r>
    </w:p>
    <w:p w14:paraId="321A2CB0" w14:textId="77777777" w:rsidR="003860C9" w:rsidRPr="00A52B2B" w:rsidRDefault="003860C9" w:rsidP="00CF442E">
      <w:pPr>
        <w:rPr>
          <w:sz w:val="22"/>
          <w:szCs w:val="22"/>
        </w:rPr>
      </w:pPr>
      <w:r w:rsidRPr="00A52B2B">
        <w:rPr>
          <w:sz w:val="22"/>
          <w:szCs w:val="22"/>
        </w:rPr>
        <w:t xml:space="preserve">This brief will focus on </w:t>
      </w:r>
      <w:r w:rsidR="003A6D58" w:rsidRPr="00A52B2B">
        <w:rPr>
          <w:sz w:val="22"/>
          <w:szCs w:val="22"/>
        </w:rPr>
        <w:t>the following</w:t>
      </w:r>
      <w:r w:rsidR="002606CF">
        <w:rPr>
          <w:sz w:val="22"/>
          <w:szCs w:val="22"/>
        </w:rPr>
        <w:t xml:space="preserve"> </w:t>
      </w:r>
      <w:r w:rsidRPr="00A52B2B">
        <w:rPr>
          <w:sz w:val="22"/>
          <w:szCs w:val="22"/>
        </w:rPr>
        <w:t>are</w:t>
      </w:r>
      <w:r w:rsidR="00CF442E" w:rsidRPr="00A52B2B">
        <w:rPr>
          <w:sz w:val="22"/>
          <w:szCs w:val="22"/>
        </w:rPr>
        <w:t>as</w:t>
      </w:r>
      <w:r w:rsidRPr="00A52B2B">
        <w:rPr>
          <w:sz w:val="22"/>
          <w:szCs w:val="22"/>
        </w:rPr>
        <w:t>:</w:t>
      </w:r>
    </w:p>
    <w:p w14:paraId="31312392" w14:textId="77777777" w:rsidR="00355056" w:rsidRPr="00A52B2B" w:rsidRDefault="009756BE" w:rsidP="0096441A">
      <w:pPr>
        <w:pStyle w:val="ListParagraph"/>
        <w:numPr>
          <w:ilvl w:val="0"/>
          <w:numId w:val="2"/>
        </w:numPr>
        <w:rPr>
          <w:color w:val="000000" w:themeColor="text1"/>
          <w:sz w:val="22"/>
          <w:szCs w:val="22"/>
        </w:rPr>
      </w:pPr>
      <w:r>
        <w:rPr>
          <w:color w:val="000000" w:themeColor="text1"/>
          <w:sz w:val="22"/>
          <w:szCs w:val="22"/>
        </w:rPr>
        <w:t xml:space="preserve">General Equality and Non-Discrimination </w:t>
      </w:r>
      <w:r w:rsidR="002F18CF" w:rsidRPr="00A52B2B">
        <w:rPr>
          <w:color w:val="000000" w:themeColor="text1"/>
          <w:sz w:val="22"/>
          <w:szCs w:val="22"/>
        </w:rPr>
        <w:t>(Article 2)</w:t>
      </w:r>
    </w:p>
    <w:p w14:paraId="452E6464" w14:textId="77777777" w:rsidR="002F4FD6" w:rsidRDefault="002F4FD6" w:rsidP="0096441A">
      <w:pPr>
        <w:pStyle w:val="ListParagraph"/>
        <w:numPr>
          <w:ilvl w:val="0"/>
          <w:numId w:val="2"/>
        </w:numPr>
        <w:rPr>
          <w:color w:val="000000" w:themeColor="text1"/>
          <w:sz w:val="22"/>
          <w:szCs w:val="22"/>
        </w:rPr>
      </w:pPr>
      <w:r w:rsidRPr="00A52B2B">
        <w:rPr>
          <w:color w:val="000000" w:themeColor="text1"/>
          <w:sz w:val="22"/>
          <w:szCs w:val="22"/>
        </w:rPr>
        <w:t>Non-discrimination in Work and Employment (Article 11)</w:t>
      </w:r>
    </w:p>
    <w:p w14:paraId="1FCE2DB1" w14:textId="77777777" w:rsidR="00FD208D" w:rsidRPr="00A52B2B" w:rsidRDefault="00FD208D" w:rsidP="00827695">
      <w:pPr>
        <w:rPr>
          <w:sz w:val="22"/>
          <w:szCs w:val="22"/>
        </w:rPr>
      </w:pPr>
      <w:r w:rsidRPr="00A52B2B">
        <w:rPr>
          <w:sz w:val="22"/>
          <w:szCs w:val="22"/>
        </w:rPr>
        <w:t xml:space="preserve">We have collected and analyzed information on rights, laws, and policies in these areas for all 193 UN member states using a variety of sources, including primary national legal sources (e.g. </w:t>
      </w:r>
      <w:r w:rsidR="00BD77ED" w:rsidRPr="00A52B2B">
        <w:rPr>
          <w:sz w:val="22"/>
          <w:szCs w:val="22"/>
        </w:rPr>
        <w:t>original legislation and constitutions</w:t>
      </w:r>
      <w:r w:rsidRPr="00A52B2B">
        <w:rPr>
          <w:sz w:val="22"/>
          <w:szCs w:val="22"/>
        </w:rPr>
        <w:t xml:space="preserve">), national reports on policies and laws to the United Nations and official global and regional bodies, and secondary sources where clarification or corroboration of primary data is needed. Using a rigorous double-coding process, we create original databases which distill thousands of pages of text to highlight the essential features of each right, law, or policy. These original databases are the reference for </w:t>
      </w:r>
      <w:r w:rsidR="00827695" w:rsidRPr="00A52B2B">
        <w:rPr>
          <w:sz w:val="22"/>
          <w:szCs w:val="22"/>
        </w:rPr>
        <w:t>the following brief</w:t>
      </w:r>
      <w:r w:rsidRPr="00A52B2B">
        <w:rPr>
          <w:sz w:val="22"/>
          <w:szCs w:val="22"/>
        </w:rPr>
        <w:t>.</w:t>
      </w:r>
      <w:r w:rsidR="00827695" w:rsidRPr="00A52B2B">
        <w:rPr>
          <w:sz w:val="22"/>
          <w:szCs w:val="22"/>
        </w:rPr>
        <w:t xml:space="preserve"> When drafting each brief, we perform a series of additional verifications to ensure the data provided reflects the current constitutional and legal landscape of a country.</w:t>
      </w:r>
    </w:p>
    <w:p w14:paraId="43BB9F37" w14:textId="77777777" w:rsidR="00DC3D8E" w:rsidRDefault="00DC3D8E" w:rsidP="00BE6DF8">
      <w:pPr>
        <w:rPr>
          <w:sz w:val="22"/>
          <w:szCs w:val="22"/>
        </w:rPr>
      </w:pPr>
      <w:bookmarkStart w:id="27" w:name="_Hlk43805467"/>
      <w:r w:rsidRPr="00DC3D8E">
        <w:rPr>
          <w:sz w:val="22"/>
          <w:szCs w:val="22"/>
        </w:rPr>
        <w:t>In this report we</w:t>
      </w:r>
      <w:r w:rsidR="0025507E">
        <w:rPr>
          <w:sz w:val="22"/>
          <w:szCs w:val="22"/>
        </w:rPr>
        <w:t xml:space="preserve"> first</w:t>
      </w:r>
      <w:r w:rsidRPr="00DC3D8E">
        <w:rPr>
          <w:sz w:val="22"/>
          <w:szCs w:val="22"/>
        </w:rPr>
        <w:t xml:space="preserve"> provide a summary </w:t>
      </w:r>
      <w:r w:rsidRPr="002606CF">
        <w:rPr>
          <w:sz w:val="22"/>
          <w:szCs w:val="22"/>
        </w:rPr>
        <w:t xml:space="preserve">of our </w:t>
      </w:r>
      <w:r w:rsidR="0025507E" w:rsidRPr="002606CF">
        <w:rPr>
          <w:sz w:val="22"/>
          <w:szCs w:val="22"/>
        </w:rPr>
        <w:t xml:space="preserve">constitutional and legislative </w:t>
      </w:r>
      <w:r w:rsidRPr="002606CF">
        <w:rPr>
          <w:sz w:val="22"/>
          <w:szCs w:val="22"/>
        </w:rPr>
        <w:t xml:space="preserve">findings, </w:t>
      </w:r>
      <w:bookmarkStart w:id="28" w:name="_Hlk61000146"/>
      <w:r w:rsidRPr="002606CF">
        <w:rPr>
          <w:sz w:val="22"/>
          <w:szCs w:val="22"/>
        </w:rPr>
        <w:t xml:space="preserve">as well as suggested questions for the Committee to ask </w:t>
      </w:r>
      <w:r w:rsidR="000B1600" w:rsidRPr="002606CF">
        <w:rPr>
          <w:sz w:val="22"/>
          <w:szCs w:val="22"/>
        </w:rPr>
        <w:t>Singapore</w:t>
      </w:r>
      <w:r w:rsidR="0025507E" w:rsidRPr="002606CF">
        <w:rPr>
          <w:sz w:val="22"/>
          <w:szCs w:val="22"/>
        </w:rPr>
        <w:t xml:space="preserve"> </w:t>
      </w:r>
      <w:r w:rsidRPr="002606CF">
        <w:rPr>
          <w:sz w:val="22"/>
          <w:szCs w:val="22"/>
        </w:rPr>
        <w:t xml:space="preserve">and topics we hope the Committee will address in its concluding observations. </w:t>
      </w:r>
      <w:bookmarkEnd w:id="28"/>
      <w:r w:rsidRPr="002606CF">
        <w:rPr>
          <w:sz w:val="22"/>
          <w:szCs w:val="22"/>
        </w:rPr>
        <w:t xml:space="preserve">This summary is followed by detailed constitutional and legislative excerpts documenting our findings. We hope the Committee will recommend that </w:t>
      </w:r>
      <w:r w:rsidR="000B1600" w:rsidRPr="002606CF">
        <w:rPr>
          <w:sz w:val="22"/>
          <w:szCs w:val="22"/>
        </w:rPr>
        <w:t>Singapore</w:t>
      </w:r>
      <w:r w:rsidRPr="002606CF">
        <w:rPr>
          <w:sz w:val="22"/>
          <w:szCs w:val="22"/>
        </w:rPr>
        <w:t xml:space="preserve"> address any gaps in consultation and collaboration with relevant stakeholders, including civil society organizations. We also recognize that while having strong laws and policies in place are necessary first steps, implementation is also of paramount importance. In areas where we have commended </w:t>
      </w:r>
      <w:r w:rsidR="000B1600" w:rsidRPr="002606CF">
        <w:rPr>
          <w:sz w:val="22"/>
          <w:szCs w:val="22"/>
        </w:rPr>
        <w:t>Singapore</w:t>
      </w:r>
      <w:r w:rsidRPr="002606CF">
        <w:rPr>
          <w:sz w:val="22"/>
          <w:szCs w:val="22"/>
        </w:rPr>
        <w:t xml:space="preserve"> for having provisions in place, we hope the Committee will recommend that </w:t>
      </w:r>
      <w:r w:rsidR="000B1600" w:rsidRPr="002606CF">
        <w:rPr>
          <w:sz w:val="22"/>
          <w:szCs w:val="22"/>
        </w:rPr>
        <w:t>Singapore</w:t>
      </w:r>
      <w:r w:rsidRPr="002606CF">
        <w:rPr>
          <w:sz w:val="22"/>
          <w:szCs w:val="22"/>
        </w:rPr>
        <w:t xml:space="preserve"> work with stakeholders to overcome any obstacles in implementing these provisions.</w:t>
      </w:r>
    </w:p>
    <w:bookmarkEnd w:id="27"/>
    <w:p w14:paraId="0FD7D880" w14:textId="77777777" w:rsidR="00ED4891" w:rsidRDefault="00ED4891" w:rsidP="00ED4891">
      <w:pPr>
        <w:rPr>
          <w:b/>
          <w:i/>
        </w:rPr>
      </w:pPr>
    </w:p>
    <w:p w14:paraId="66995FF8" w14:textId="77777777" w:rsidR="00DF6F0C" w:rsidRDefault="00DF6F0C" w:rsidP="00ED4891">
      <w:pPr>
        <w:rPr>
          <w:b/>
          <w:i/>
        </w:rPr>
      </w:pPr>
    </w:p>
    <w:p w14:paraId="25039326" w14:textId="77777777" w:rsidR="00ED4891" w:rsidRDefault="00ED4891" w:rsidP="00ED4891">
      <w:pPr>
        <w:rPr>
          <w:b/>
          <w:i/>
        </w:rPr>
      </w:pPr>
    </w:p>
    <w:p w14:paraId="1530DB6B" w14:textId="77777777" w:rsidR="009756BE" w:rsidRDefault="009756BE" w:rsidP="00ED4891">
      <w:pPr>
        <w:rPr>
          <w:b/>
          <w:i/>
        </w:rPr>
      </w:pPr>
    </w:p>
    <w:p w14:paraId="553DA751" w14:textId="77777777" w:rsidR="00A86978" w:rsidRDefault="00A86978" w:rsidP="00ED4891">
      <w:pPr>
        <w:rPr>
          <w:b/>
          <w:i/>
        </w:rPr>
      </w:pPr>
    </w:p>
    <w:p w14:paraId="3948C1F7" w14:textId="77777777" w:rsidR="0096441A" w:rsidRDefault="0096441A" w:rsidP="00A52B2B">
      <w:pPr>
        <w:pStyle w:val="Heading1"/>
        <w:rPr>
          <w:rFonts w:eastAsia="Times New Roman"/>
          <w:b/>
          <w:bCs/>
        </w:rPr>
      </w:pPr>
      <w:bookmarkStart w:id="29" w:name="_Toc56070607"/>
      <w:bookmarkStart w:id="30" w:name="_Toc56079790"/>
      <w:bookmarkStart w:id="31" w:name="_Hlk56078328"/>
      <w:bookmarkStart w:id="32" w:name="_Toc58844323"/>
      <w:bookmarkStart w:id="33" w:name="_Toc60999819"/>
      <w:bookmarkStart w:id="34" w:name="_Hlk55550733"/>
      <w:r>
        <w:rPr>
          <w:rFonts w:eastAsia="Times New Roman"/>
          <w:b/>
          <w:bCs/>
        </w:rPr>
        <w:lastRenderedPageBreak/>
        <w:t>Summary of Findings and Recommendations</w:t>
      </w:r>
      <w:bookmarkEnd w:id="29"/>
      <w:bookmarkEnd w:id="30"/>
      <w:bookmarkEnd w:id="31"/>
      <w:bookmarkEnd w:id="32"/>
      <w:bookmarkEnd w:id="33"/>
    </w:p>
    <w:p w14:paraId="3745FE04" w14:textId="77777777" w:rsidR="0096441A" w:rsidRPr="0096441A" w:rsidRDefault="0096441A" w:rsidP="0096441A">
      <w:pPr>
        <w:pStyle w:val="NoSpacing"/>
      </w:pPr>
    </w:p>
    <w:p w14:paraId="132EBEC4" w14:textId="77777777" w:rsidR="0096441A" w:rsidRPr="003C541A" w:rsidRDefault="0096441A" w:rsidP="0096441A">
      <w:pPr>
        <w:keepNext/>
        <w:keepLines/>
        <w:numPr>
          <w:ilvl w:val="0"/>
          <w:numId w:val="1"/>
        </w:numPr>
        <w:pBdr>
          <w:bottom w:val="single" w:sz="6" w:space="1" w:color="auto"/>
        </w:pBdr>
        <w:spacing w:before="40" w:after="0" w:line="259" w:lineRule="auto"/>
        <w:outlineLvl w:val="1"/>
        <w:rPr>
          <w:rFonts w:ascii="Calibri Light" w:eastAsia="Times New Roman" w:hAnsi="Calibri Light" w:cs="Times New Roman"/>
          <w:bCs/>
          <w:color w:val="2E74B5"/>
          <w:sz w:val="26"/>
          <w:szCs w:val="26"/>
        </w:rPr>
      </w:pPr>
      <w:bookmarkStart w:id="35" w:name="_Toc58844324"/>
      <w:bookmarkStart w:id="36" w:name="_Toc60999820"/>
      <w:bookmarkStart w:id="37" w:name="_Hlk61000608"/>
      <w:r w:rsidRPr="003C541A">
        <w:rPr>
          <w:rFonts w:ascii="Calibri Light" w:eastAsia="Times New Roman" w:hAnsi="Calibri Light" w:cs="Times New Roman"/>
          <w:bCs/>
          <w:color w:val="2E74B5"/>
          <w:sz w:val="26"/>
          <w:szCs w:val="26"/>
        </w:rPr>
        <w:t>General Equality and Non-Discrimination (Article 2)</w:t>
      </w:r>
      <w:bookmarkEnd w:id="35"/>
      <w:bookmarkEnd w:id="36"/>
    </w:p>
    <w:bookmarkEnd w:id="37"/>
    <w:p w14:paraId="07107D8E" w14:textId="1AE4564A" w:rsidR="009D18DD" w:rsidRDefault="004C6D72" w:rsidP="004C6D72">
      <w:pPr>
        <w:rPr>
          <w:sz w:val="22"/>
          <w:szCs w:val="22"/>
        </w:rPr>
      </w:pPr>
      <w:r w:rsidRPr="004C6D72">
        <w:rPr>
          <w:sz w:val="22"/>
          <w:szCs w:val="22"/>
        </w:rPr>
        <w:t>Based on our review, we did not identify any constitutional provisions that guarantee equality or non-discrimination based on sex or gender.</w:t>
      </w:r>
    </w:p>
    <w:p w14:paraId="7F23719E" w14:textId="100DFD0A" w:rsidR="009D18DD" w:rsidRPr="004C6D72" w:rsidRDefault="009D18DD" w:rsidP="004C6D72">
      <w:pPr>
        <w:rPr>
          <w:sz w:val="22"/>
          <w:szCs w:val="22"/>
        </w:rPr>
      </w:pPr>
      <w:r>
        <w:rPr>
          <w:noProof/>
          <w:color w:val="000000" w:themeColor="text1"/>
          <w:sz w:val="22"/>
          <w:szCs w:val="22"/>
        </w:rPr>
        <mc:AlternateContent>
          <mc:Choice Requires="wps">
            <w:drawing>
              <wp:inline distT="0" distB="0" distL="0" distR="0" wp14:anchorId="03B10F99" wp14:editId="771ED677">
                <wp:extent cx="5876925" cy="1897380"/>
                <wp:effectExtent l="38100" t="38100" r="123825" b="121920"/>
                <wp:docPr id="2" name="Text Box 2"/>
                <wp:cNvGraphicFramePr/>
                <a:graphic xmlns:a="http://schemas.openxmlformats.org/drawingml/2006/main">
                  <a:graphicData uri="http://schemas.microsoft.com/office/word/2010/wordprocessingShape">
                    <wps:wsp>
                      <wps:cNvSpPr txBox="1"/>
                      <wps:spPr>
                        <a:xfrm>
                          <a:off x="0" y="0"/>
                          <a:ext cx="5876925" cy="1897380"/>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txbx>
                        <w:txbxContent>
                          <w:p w14:paraId="328B588B" w14:textId="77777777" w:rsidR="009D18DD" w:rsidRPr="00072ECE" w:rsidRDefault="009D18DD" w:rsidP="009D18DD">
                            <w:pPr>
                              <w:pStyle w:val="Heading2"/>
                              <w:jc w:val="center"/>
                              <w:rPr>
                                <w:b/>
                              </w:rPr>
                            </w:pPr>
                            <w:r w:rsidRPr="00072ECE">
                              <w:rPr>
                                <w:b/>
                              </w:rPr>
                              <w:t>Recommended Concluding Observation</w:t>
                            </w:r>
                          </w:p>
                          <w:p w14:paraId="61EA518B" w14:textId="77777777" w:rsidR="009D18DD" w:rsidRPr="004C6D72" w:rsidRDefault="009D18DD" w:rsidP="009D18DD">
                            <w:pPr>
                              <w:rPr>
                                <w:sz w:val="22"/>
                                <w:szCs w:val="22"/>
                              </w:rPr>
                            </w:pPr>
                            <w:r w:rsidRPr="004C6D72">
                              <w:rPr>
                                <w:sz w:val="22"/>
                                <w:szCs w:val="22"/>
                              </w:rPr>
                              <w:t>We hope the Committee will:</w:t>
                            </w:r>
                          </w:p>
                          <w:p w14:paraId="754729CB" w14:textId="77777777" w:rsidR="009D18DD" w:rsidRPr="00FF279E" w:rsidRDefault="009D18DD" w:rsidP="009D18DD">
                            <w:pPr>
                              <w:pStyle w:val="ListParagraph"/>
                              <w:numPr>
                                <w:ilvl w:val="0"/>
                                <w:numId w:val="7"/>
                              </w:numPr>
                              <w:rPr>
                                <w:sz w:val="22"/>
                                <w:szCs w:val="22"/>
                              </w:rPr>
                            </w:pPr>
                            <w:r w:rsidRPr="00FF279E">
                              <w:rPr>
                                <w:sz w:val="22"/>
                                <w:szCs w:val="22"/>
                              </w:rPr>
                              <w:t xml:space="preserve">Recommend in its concluding observations that </w:t>
                            </w:r>
                            <w:r>
                              <w:rPr>
                                <w:sz w:val="22"/>
                                <w:szCs w:val="22"/>
                              </w:rPr>
                              <w:t>Singapore</w:t>
                            </w:r>
                            <w:r w:rsidRPr="00FF279E">
                              <w:rPr>
                                <w:sz w:val="22"/>
                                <w:szCs w:val="22"/>
                              </w:rPr>
                              <w:t xml:space="preserve"> amend the constitution to add explicit guarantees of equality and non-discrimination based on sex or gender, consistent with CEDAW commitments. These guarantees could be added to Article </w:t>
                            </w:r>
                            <w:r>
                              <w:rPr>
                                <w:sz w:val="22"/>
                                <w:szCs w:val="22"/>
                              </w:rPr>
                              <w:t>12(2)</w:t>
                            </w:r>
                            <w:r w:rsidRPr="00FF279E">
                              <w:rPr>
                                <w:sz w:val="22"/>
                                <w:szCs w:val="22"/>
                              </w:rPr>
                              <w:t xml:space="preserve"> of the constitution, which already guarantees equality before the law based on other personal characteristics and statuses.</w:t>
                            </w:r>
                          </w:p>
                          <w:p w14:paraId="73E13CE6" w14:textId="77777777" w:rsidR="009D18DD" w:rsidRDefault="009D18DD" w:rsidP="009D18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3B10F99" id="_x0000_t202" coordsize="21600,21600" o:spt="202" path="m,l,21600r21600,l21600,xe">
                <v:stroke joinstyle="miter"/>
                <v:path gradientshapeok="t" o:connecttype="rect"/>
              </v:shapetype>
              <v:shape id="Text Box 2" o:spid="_x0000_s1026" type="#_x0000_t202" style="width:462.75pt;height:14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" fillcolor="white [3201]" strokeweight=".5pt">
                <v:shadow on="t" color="black" opacity="26214f" origin="-.5,-.5" offset=".74836mm,.74836mm"/>
                <v:textbox>
                  <w:txbxContent>
                    <w:p w14:paraId="328B588B" w14:textId="77777777" w:rsidR="009D18DD" w:rsidRPr="00072ECE" w:rsidRDefault="009D18DD" w:rsidP="009D18DD">
                      <w:pPr>
                        <w:pStyle w:val="Heading2"/>
                        <w:jc w:val="center"/>
                        <w:rPr>
                          <w:b/>
                        </w:rPr>
                      </w:pPr>
                      <w:r w:rsidRPr="00072ECE">
                        <w:rPr>
                          <w:b/>
                        </w:rPr>
                        <w:t>Recommended Concluding Observation</w:t>
                      </w:r>
                    </w:p>
                    <w:p w14:paraId="61EA518B" w14:textId="77777777" w:rsidR="009D18DD" w:rsidRPr="004C6D72" w:rsidRDefault="009D18DD" w:rsidP="009D18DD">
                      <w:pPr>
                        <w:rPr>
                          <w:sz w:val="22"/>
                          <w:szCs w:val="22"/>
                        </w:rPr>
                      </w:pPr>
                      <w:r w:rsidRPr="004C6D72">
                        <w:rPr>
                          <w:sz w:val="22"/>
                          <w:szCs w:val="22"/>
                        </w:rPr>
                        <w:t>We hope the Committee will:</w:t>
                      </w:r>
                    </w:p>
                    <w:p w14:paraId="754729CB" w14:textId="77777777" w:rsidR="009D18DD" w:rsidRPr="00FF279E" w:rsidRDefault="009D18DD" w:rsidP="009D18DD">
                      <w:pPr>
                        <w:pStyle w:val="ListParagraph"/>
                        <w:numPr>
                          <w:ilvl w:val="0"/>
                          <w:numId w:val="7"/>
                        </w:numPr>
                        <w:rPr>
                          <w:sz w:val="22"/>
                          <w:szCs w:val="22"/>
                        </w:rPr>
                      </w:pPr>
                      <w:r w:rsidRPr="00FF279E">
                        <w:rPr>
                          <w:sz w:val="22"/>
                          <w:szCs w:val="22"/>
                        </w:rPr>
                        <w:t xml:space="preserve">Recommend in its concluding observations that </w:t>
                      </w:r>
                      <w:r>
                        <w:rPr>
                          <w:sz w:val="22"/>
                          <w:szCs w:val="22"/>
                        </w:rPr>
                        <w:t>Singapore</w:t>
                      </w:r>
                      <w:r w:rsidRPr="00FF279E">
                        <w:rPr>
                          <w:sz w:val="22"/>
                          <w:szCs w:val="22"/>
                        </w:rPr>
                        <w:t xml:space="preserve"> amend the constitution to add explicit guarantees of equality and non-discrimination based on sex or gender, consistent with CEDAW commitments. These guarantees could be added to Article </w:t>
                      </w:r>
                      <w:r>
                        <w:rPr>
                          <w:sz w:val="22"/>
                          <w:szCs w:val="22"/>
                        </w:rPr>
                        <w:t>12(2)</w:t>
                      </w:r>
                      <w:r w:rsidRPr="00FF279E">
                        <w:rPr>
                          <w:sz w:val="22"/>
                          <w:szCs w:val="22"/>
                        </w:rPr>
                        <w:t xml:space="preserve"> of the constitution, which already guarantees equality before the law based on other personal characteristics and statuses.</w:t>
                      </w:r>
                    </w:p>
                    <w:p w14:paraId="73E13CE6" w14:textId="77777777" w:rsidR="009D18DD" w:rsidRDefault="009D18DD" w:rsidP="009D18DD"/>
                  </w:txbxContent>
                </v:textbox>
                <w10:anchorlock/>
              </v:shape>
            </w:pict>
          </mc:Fallback>
        </mc:AlternateContent>
      </w:r>
    </w:p>
    <w:p w14:paraId="50C42BDD" w14:textId="77777777" w:rsidR="0096441A" w:rsidRPr="003C541A" w:rsidRDefault="0096441A" w:rsidP="0096441A">
      <w:pPr>
        <w:rPr>
          <w:bCs/>
        </w:rPr>
      </w:pPr>
    </w:p>
    <w:p w14:paraId="10D3A79D" w14:textId="77777777" w:rsidR="0096441A" w:rsidRPr="003C541A" w:rsidRDefault="0096441A" w:rsidP="0096441A">
      <w:pPr>
        <w:pStyle w:val="ListParagraph"/>
        <w:keepNext/>
        <w:keepLines/>
        <w:numPr>
          <w:ilvl w:val="0"/>
          <w:numId w:val="1"/>
        </w:numPr>
        <w:pBdr>
          <w:bottom w:val="single" w:sz="6" w:space="1" w:color="auto"/>
        </w:pBdr>
        <w:spacing w:before="40" w:after="0" w:line="259" w:lineRule="auto"/>
        <w:outlineLvl w:val="1"/>
        <w:rPr>
          <w:rFonts w:ascii="Calibri Light" w:eastAsia="Times New Roman" w:hAnsi="Calibri Light" w:cs="Times New Roman"/>
          <w:bCs/>
          <w:color w:val="2E74B5"/>
          <w:sz w:val="26"/>
          <w:szCs w:val="26"/>
        </w:rPr>
      </w:pPr>
      <w:bookmarkStart w:id="38" w:name="_Toc58844325"/>
      <w:bookmarkStart w:id="39" w:name="_Toc60999821"/>
      <w:r w:rsidRPr="003C541A">
        <w:rPr>
          <w:rFonts w:ascii="Calibri Light" w:eastAsia="Times New Roman" w:hAnsi="Calibri Light" w:cs="Times New Roman"/>
          <w:bCs/>
          <w:color w:val="2E74B5"/>
          <w:sz w:val="26"/>
          <w:szCs w:val="26"/>
        </w:rPr>
        <w:t>Non-Discrimination in Work and Employment (Article 11)</w:t>
      </w:r>
      <w:bookmarkEnd w:id="38"/>
      <w:bookmarkEnd w:id="39"/>
    </w:p>
    <w:p w14:paraId="22D1DBD9" w14:textId="6E1744E8" w:rsidR="0096441A" w:rsidRDefault="00466636" w:rsidP="0096441A">
      <w:pPr>
        <w:rPr>
          <w:bCs/>
          <w:sz w:val="22"/>
          <w:szCs w:val="22"/>
        </w:rPr>
      </w:pPr>
      <w:r w:rsidRPr="00466636">
        <w:rPr>
          <w:sz w:val="22"/>
          <w:szCs w:val="22"/>
        </w:rPr>
        <w:t xml:space="preserve">While we recognize there may be other policies governing discrimination at work, our systematic review of national legislation did not identify any national legislative provisions that specifically protect women from discrimination at work in Singapore. </w:t>
      </w:r>
      <w:r w:rsidR="009C4E74">
        <w:rPr>
          <w:sz w:val="22"/>
          <w:szCs w:val="22"/>
        </w:rPr>
        <w:t xml:space="preserve">Paragraph 118 of the State Party Report describes the codification of Singapore’s Tripartite Guidelines on Fair Employment Practices (TGFEP) into law. While the scope of this codification remains unclear, the TGFEP in their current form only protect against sex discrimination in hiring, and not in any other aspect of work. </w:t>
      </w:r>
      <w:r w:rsidR="002C7EF4" w:rsidRPr="002C7EF4">
        <w:rPr>
          <w:b/>
          <w:sz w:val="22"/>
          <w:szCs w:val="22"/>
        </w:rPr>
        <w:t>T</w:t>
      </w:r>
      <w:r w:rsidR="009C4E74" w:rsidRPr="007E54CE">
        <w:rPr>
          <w:b/>
          <w:sz w:val="22"/>
          <w:szCs w:val="22"/>
        </w:rPr>
        <w:t xml:space="preserve">o the best of our knowledge, this codification has not yet happened as of submission of this brief, </w:t>
      </w:r>
      <w:r w:rsidR="009C4E74" w:rsidRPr="009C4E74">
        <w:rPr>
          <w:bCs/>
          <w:sz w:val="22"/>
          <w:szCs w:val="22"/>
        </w:rPr>
        <w:t xml:space="preserve">thus this remains an active issue. </w:t>
      </w:r>
    </w:p>
    <w:p w14:paraId="4DC3646F" w14:textId="74AF9E27" w:rsidR="001923EB" w:rsidRPr="001923EB" w:rsidRDefault="001923EB" w:rsidP="001923EB">
      <w:pPr>
        <w:rPr>
          <w:bCs/>
          <w:sz w:val="22"/>
          <w:szCs w:val="22"/>
        </w:rPr>
      </w:pPr>
      <w:r>
        <w:rPr>
          <w:rFonts w:ascii="Times New Roman" w:hAnsi="Times New Roman" w:cs="Times New Roman"/>
          <w:noProof/>
          <w:sz w:val="24"/>
          <w:szCs w:val="24"/>
        </w:rPr>
        <mc:AlternateContent>
          <mc:Choice Requires="wps">
            <w:drawing>
              <wp:inline distT="0" distB="0" distL="0" distR="0" wp14:anchorId="0498BEDF" wp14:editId="6286F2A3">
                <wp:extent cx="5901055" cy="3870960"/>
                <wp:effectExtent l="0" t="0" r="61595" b="5334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055" cy="3870960"/>
                        </a:xfrm>
                        <a:prstGeom prst="rect">
                          <a:avLst/>
                        </a:prstGeom>
                        <a:solidFill>
                          <a:schemeClr val="lt1">
                            <a:lumMod val="100000"/>
                            <a:lumOff val="0"/>
                          </a:schemeClr>
                        </a:solidFill>
                        <a:ln w="6350">
                          <a:solidFill>
                            <a:srgbClr val="000000"/>
                          </a:solidFill>
                          <a:miter lim="800000"/>
                          <a:headEnd/>
                          <a:tailEnd/>
                        </a:ln>
                        <a:effectLst>
                          <a:outerShdw dist="38100" dir="2700000" algn="tl" rotWithShape="0">
                            <a:srgbClr val="000000">
                              <a:alpha val="39999"/>
                            </a:srgbClr>
                          </a:outerShdw>
                        </a:effectLst>
                      </wps:spPr>
                      <wps:txbx>
                        <w:txbxContent>
                          <w:p w14:paraId="72DF2010" w14:textId="77777777" w:rsidR="001923EB" w:rsidRDefault="001923EB" w:rsidP="001923EB">
                            <w:pPr>
                              <w:pStyle w:val="Heading2"/>
                              <w:jc w:val="center"/>
                              <w:rPr>
                                <w:b/>
                              </w:rPr>
                            </w:pPr>
                            <w:r>
                              <w:rPr>
                                <w:b/>
                              </w:rPr>
                              <w:t>Recommended questions for the list of issues and Concluding Observations</w:t>
                            </w:r>
                          </w:p>
                          <w:p w14:paraId="74DE08B6" w14:textId="77777777" w:rsidR="001923EB" w:rsidRDefault="001923EB" w:rsidP="001923EB">
                            <w:pPr>
                              <w:spacing w:before="0" w:after="0" w:line="254" w:lineRule="auto"/>
                              <w:rPr>
                                <w:rFonts w:eastAsia="Times New Roman" w:cstheme="minorHAnsi"/>
                                <w:b/>
                                <w:color w:val="000000"/>
                                <w:sz w:val="22"/>
                                <w:szCs w:val="22"/>
                              </w:rPr>
                            </w:pPr>
                          </w:p>
                          <w:p w14:paraId="10532E44" w14:textId="77777777" w:rsidR="001923EB" w:rsidRPr="00466636" w:rsidRDefault="001923EB" w:rsidP="001923EB">
                            <w:pPr>
                              <w:spacing w:afterLines="100" w:after="240"/>
                              <w:rPr>
                                <w:b/>
                                <w:sz w:val="22"/>
                                <w:szCs w:val="22"/>
                              </w:rPr>
                            </w:pPr>
                            <w:r w:rsidRPr="00466636">
                              <w:rPr>
                                <w:b/>
                                <w:sz w:val="22"/>
                                <w:szCs w:val="22"/>
                              </w:rPr>
                              <w:t>We hope the Committee will:</w:t>
                            </w:r>
                          </w:p>
                          <w:p w14:paraId="62228FFD" w14:textId="77777777" w:rsidR="001923EB" w:rsidRDefault="001923EB" w:rsidP="001923EB">
                            <w:pPr>
                              <w:pStyle w:val="ListParagraph"/>
                              <w:numPr>
                                <w:ilvl w:val="0"/>
                                <w:numId w:val="9"/>
                              </w:numPr>
                              <w:spacing w:before="0" w:after="160"/>
                              <w:rPr>
                                <w:sz w:val="22"/>
                                <w:szCs w:val="22"/>
                              </w:rPr>
                            </w:pPr>
                            <w:r w:rsidRPr="00466636">
                              <w:rPr>
                                <w:sz w:val="22"/>
                                <w:szCs w:val="22"/>
                              </w:rPr>
                              <w:t>In its list of issues, ask Singapore:</w:t>
                            </w:r>
                            <w:r w:rsidRPr="00466636">
                              <w:rPr>
                                <w:b/>
                                <w:sz w:val="22"/>
                                <w:szCs w:val="22"/>
                              </w:rPr>
                              <w:t xml:space="preserve"> </w:t>
                            </w:r>
                            <w:r w:rsidRPr="00466636">
                              <w:rPr>
                                <w:sz w:val="22"/>
                                <w:szCs w:val="22"/>
                              </w:rPr>
                              <w:t xml:space="preserve">can </w:t>
                            </w:r>
                            <w:r>
                              <w:rPr>
                                <w:sz w:val="22"/>
                                <w:szCs w:val="22"/>
                              </w:rPr>
                              <w:t>Singapore</w:t>
                            </w:r>
                            <w:r w:rsidRPr="00466636">
                              <w:rPr>
                                <w:sz w:val="22"/>
                                <w:szCs w:val="22"/>
                              </w:rPr>
                              <w:t xml:space="preserve"> provide the Committee with the </w:t>
                            </w:r>
                            <w:r>
                              <w:rPr>
                                <w:sz w:val="22"/>
                                <w:szCs w:val="22"/>
                              </w:rPr>
                              <w:t>specific steps it is taking, including providing more information on the status and timeline for the passage of a law to codify the TGFEP, to protect women against direct and indirect discrimination at work?</w:t>
                            </w:r>
                            <w:r w:rsidRPr="00466636">
                              <w:rPr>
                                <w:sz w:val="22"/>
                                <w:szCs w:val="22"/>
                              </w:rPr>
                              <w:t xml:space="preserve"> </w:t>
                            </w:r>
                          </w:p>
                          <w:p w14:paraId="62FAB9F8" w14:textId="77777777" w:rsidR="001923EB" w:rsidRPr="009800AE" w:rsidRDefault="001923EB" w:rsidP="001923EB">
                            <w:pPr>
                              <w:pStyle w:val="ListParagraph"/>
                              <w:numPr>
                                <w:ilvl w:val="1"/>
                                <w:numId w:val="9"/>
                              </w:numPr>
                              <w:spacing w:before="0" w:after="160"/>
                              <w:rPr>
                                <w:sz w:val="22"/>
                                <w:szCs w:val="22"/>
                              </w:rPr>
                            </w:pPr>
                            <w:r>
                              <w:rPr>
                                <w:sz w:val="22"/>
                                <w:szCs w:val="22"/>
                              </w:rPr>
                              <w:t xml:space="preserve">Recommend that Singapore amend its legislation in the near term to </w:t>
                            </w:r>
                            <w:r w:rsidRPr="009800AE">
                              <w:rPr>
                                <w:sz w:val="22"/>
                                <w:szCs w:val="22"/>
                              </w:rPr>
                              <w:t>explicitly protect women from direct and indirect discrimination at work in:</w:t>
                            </w:r>
                          </w:p>
                          <w:p w14:paraId="47BD4FDC" w14:textId="77777777" w:rsidR="001923EB" w:rsidRPr="00466636" w:rsidRDefault="001923EB" w:rsidP="001923EB">
                            <w:pPr>
                              <w:pStyle w:val="ListParagraph"/>
                              <w:numPr>
                                <w:ilvl w:val="3"/>
                                <w:numId w:val="8"/>
                              </w:numPr>
                              <w:spacing w:before="0" w:after="160"/>
                              <w:rPr>
                                <w:sz w:val="22"/>
                                <w:szCs w:val="22"/>
                              </w:rPr>
                            </w:pPr>
                            <w:r w:rsidRPr="00466636">
                              <w:rPr>
                                <w:sz w:val="22"/>
                                <w:szCs w:val="22"/>
                              </w:rPr>
                              <w:t>employment opportunities or hiring</w:t>
                            </w:r>
                          </w:p>
                          <w:p w14:paraId="44AD92EC" w14:textId="77777777" w:rsidR="001923EB" w:rsidRPr="00466636" w:rsidRDefault="001923EB" w:rsidP="001923EB">
                            <w:pPr>
                              <w:pStyle w:val="ListParagraph"/>
                              <w:numPr>
                                <w:ilvl w:val="3"/>
                                <w:numId w:val="8"/>
                              </w:numPr>
                              <w:spacing w:before="0" w:after="160"/>
                              <w:rPr>
                                <w:sz w:val="22"/>
                                <w:szCs w:val="22"/>
                              </w:rPr>
                            </w:pPr>
                            <w:r w:rsidRPr="00466636">
                              <w:rPr>
                                <w:sz w:val="22"/>
                                <w:szCs w:val="22"/>
                              </w:rPr>
                              <w:t>equal pay for work of equal value</w:t>
                            </w:r>
                          </w:p>
                          <w:p w14:paraId="51EA4611" w14:textId="77777777" w:rsidR="001923EB" w:rsidRPr="00466636" w:rsidRDefault="001923EB" w:rsidP="001923EB">
                            <w:pPr>
                              <w:pStyle w:val="ListParagraph"/>
                              <w:numPr>
                                <w:ilvl w:val="3"/>
                                <w:numId w:val="8"/>
                              </w:numPr>
                              <w:spacing w:before="0" w:after="160"/>
                              <w:rPr>
                                <w:sz w:val="22"/>
                                <w:szCs w:val="22"/>
                              </w:rPr>
                            </w:pPr>
                            <w:r w:rsidRPr="00466636">
                              <w:rPr>
                                <w:sz w:val="22"/>
                                <w:szCs w:val="22"/>
                              </w:rPr>
                              <w:t>promotions or demotions</w:t>
                            </w:r>
                          </w:p>
                          <w:p w14:paraId="238EEE51" w14:textId="77777777" w:rsidR="001923EB" w:rsidRDefault="001923EB" w:rsidP="001923EB">
                            <w:pPr>
                              <w:pStyle w:val="ListParagraph"/>
                              <w:numPr>
                                <w:ilvl w:val="3"/>
                                <w:numId w:val="8"/>
                              </w:numPr>
                              <w:spacing w:before="0" w:after="160"/>
                              <w:rPr>
                                <w:sz w:val="22"/>
                                <w:szCs w:val="22"/>
                              </w:rPr>
                            </w:pPr>
                            <w:r w:rsidRPr="00466636">
                              <w:rPr>
                                <w:sz w:val="22"/>
                                <w:szCs w:val="22"/>
                              </w:rPr>
                              <w:t xml:space="preserve">job security or terminations  </w:t>
                            </w:r>
                          </w:p>
                          <w:p w14:paraId="3D5961BB" w14:textId="77777777" w:rsidR="001923EB" w:rsidRPr="00466636" w:rsidRDefault="001923EB" w:rsidP="001923EB">
                            <w:pPr>
                              <w:pStyle w:val="ListParagraph"/>
                              <w:numPr>
                                <w:ilvl w:val="3"/>
                                <w:numId w:val="8"/>
                              </w:numPr>
                              <w:spacing w:before="0" w:after="160"/>
                              <w:rPr>
                                <w:sz w:val="22"/>
                                <w:szCs w:val="22"/>
                              </w:rPr>
                            </w:pPr>
                            <w:r>
                              <w:rPr>
                                <w:sz w:val="22"/>
                                <w:szCs w:val="22"/>
                              </w:rPr>
                              <w:t>training</w:t>
                            </w:r>
                          </w:p>
                          <w:p w14:paraId="290727A4" w14:textId="77777777" w:rsidR="001923EB" w:rsidRDefault="001923EB" w:rsidP="001923EB">
                            <w:pPr>
                              <w:pStyle w:val="ListParagraph"/>
                              <w:numPr>
                                <w:ilvl w:val="2"/>
                                <w:numId w:val="8"/>
                              </w:numPr>
                              <w:spacing w:before="0" w:after="160"/>
                              <w:ind w:left="1440"/>
                              <w:rPr>
                                <w:sz w:val="22"/>
                                <w:szCs w:val="22"/>
                              </w:rPr>
                            </w:pPr>
                            <w:r w:rsidRPr="00466636">
                              <w:rPr>
                                <w:sz w:val="22"/>
                                <w:szCs w:val="22"/>
                              </w:rPr>
                              <w:t>We also hope the Committee will recommend that this legislation includes effective enforcement mechanisms, such as protection from retaliation, and recognizes the discrimination women also face based on marital status, pregnancy, or family status.</w:t>
                            </w:r>
                          </w:p>
                          <w:p w14:paraId="686AFE78" w14:textId="77777777" w:rsidR="001923EB" w:rsidRDefault="001923EB" w:rsidP="001923EB"/>
                        </w:txbxContent>
                      </wps:txbx>
                      <wps:bodyPr rot="0" vert="horz" wrap="square" lIns="91440" tIns="45720" rIns="91440" bIns="45720" anchor="t" anchorCtr="0" upright="1">
                        <a:noAutofit/>
                      </wps:bodyPr>
                    </wps:wsp>
                  </a:graphicData>
                </a:graphic>
              </wp:inline>
            </w:drawing>
          </mc:Choice>
          <mc:Fallback>
            <w:pict>
              <v:shape w14:anchorId="0498BEDF" id="Text Box 3" o:spid="_x0000_s1027" type="#_x0000_t202" style="width:464.65pt;height:30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" fillcolor="white [3201]" strokeweight=".5pt">
                <v:shadow on="t" color="black" opacity="26213f" origin="-.5,-.5" offset=".74836mm,.74836mm"/>
                <v:textbox>
                  <w:txbxContent>
                    <w:p w14:paraId="72DF2010" w14:textId="77777777" w:rsidR="001923EB" w:rsidRDefault="001923EB" w:rsidP="001923EB">
                      <w:pPr>
                        <w:pStyle w:val="Heading2"/>
                        <w:jc w:val="center"/>
                        <w:rPr>
                          <w:b/>
                        </w:rPr>
                      </w:pPr>
                      <w:r>
                        <w:rPr>
                          <w:b/>
                        </w:rPr>
                        <w:t>Recommended questions for the list of issues and Concluding Observations</w:t>
                      </w:r>
                    </w:p>
                    <w:p w14:paraId="74DE08B6" w14:textId="77777777" w:rsidR="001923EB" w:rsidRDefault="001923EB" w:rsidP="001923EB">
                      <w:pPr>
                        <w:spacing w:before="0" w:after="0" w:line="254" w:lineRule="auto"/>
                        <w:rPr>
                          <w:rFonts w:eastAsia="Times New Roman" w:cstheme="minorHAnsi"/>
                          <w:b/>
                          <w:color w:val="000000"/>
                          <w:sz w:val="22"/>
                          <w:szCs w:val="22"/>
                        </w:rPr>
                      </w:pPr>
                    </w:p>
                    <w:p w14:paraId="10532E44" w14:textId="77777777" w:rsidR="001923EB" w:rsidRPr="00466636" w:rsidRDefault="001923EB" w:rsidP="001923EB">
                      <w:pPr>
                        <w:spacing w:afterLines="100" w:after="240"/>
                        <w:rPr>
                          <w:b/>
                          <w:sz w:val="22"/>
                          <w:szCs w:val="22"/>
                        </w:rPr>
                      </w:pPr>
                      <w:r w:rsidRPr="00466636">
                        <w:rPr>
                          <w:b/>
                          <w:sz w:val="22"/>
                          <w:szCs w:val="22"/>
                        </w:rPr>
                        <w:t>We hope the Committee will:</w:t>
                      </w:r>
                    </w:p>
                    <w:p w14:paraId="62228FFD" w14:textId="77777777" w:rsidR="001923EB" w:rsidRDefault="001923EB" w:rsidP="001923EB">
                      <w:pPr>
                        <w:pStyle w:val="ListParagraph"/>
                        <w:numPr>
                          <w:ilvl w:val="0"/>
                          <w:numId w:val="9"/>
                        </w:numPr>
                        <w:spacing w:before="0" w:after="160"/>
                        <w:rPr>
                          <w:sz w:val="22"/>
                          <w:szCs w:val="22"/>
                        </w:rPr>
                      </w:pPr>
                      <w:r w:rsidRPr="00466636">
                        <w:rPr>
                          <w:sz w:val="22"/>
                          <w:szCs w:val="22"/>
                        </w:rPr>
                        <w:t>In its list of issues, ask Singapore:</w:t>
                      </w:r>
                      <w:r w:rsidRPr="00466636">
                        <w:rPr>
                          <w:b/>
                          <w:sz w:val="22"/>
                          <w:szCs w:val="22"/>
                        </w:rPr>
                        <w:t xml:space="preserve"> </w:t>
                      </w:r>
                      <w:r w:rsidRPr="00466636">
                        <w:rPr>
                          <w:sz w:val="22"/>
                          <w:szCs w:val="22"/>
                        </w:rPr>
                        <w:t xml:space="preserve">can </w:t>
                      </w:r>
                      <w:r>
                        <w:rPr>
                          <w:sz w:val="22"/>
                          <w:szCs w:val="22"/>
                        </w:rPr>
                        <w:t>Singapore</w:t>
                      </w:r>
                      <w:r w:rsidRPr="00466636">
                        <w:rPr>
                          <w:sz w:val="22"/>
                          <w:szCs w:val="22"/>
                        </w:rPr>
                        <w:t xml:space="preserve"> provide the Committee with the </w:t>
                      </w:r>
                      <w:r>
                        <w:rPr>
                          <w:sz w:val="22"/>
                          <w:szCs w:val="22"/>
                        </w:rPr>
                        <w:t>specific steps it is taking, including providing more information on the status and timeline for the passage of a law to codify the TGFEP, to protect women against direct and indirect discrimination at work?</w:t>
                      </w:r>
                      <w:r w:rsidRPr="00466636">
                        <w:rPr>
                          <w:sz w:val="22"/>
                          <w:szCs w:val="22"/>
                        </w:rPr>
                        <w:t xml:space="preserve"> </w:t>
                      </w:r>
                    </w:p>
                    <w:p w14:paraId="62FAB9F8" w14:textId="77777777" w:rsidR="001923EB" w:rsidRPr="009800AE" w:rsidRDefault="001923EB" w:rsidP="001923EB">
                      <w:pPr>
                        <w:pStyle w:val="ListParagraph"/>
                        <w:numPr>
                          <w:ilvl w:val="1"/>
                          <w:numId w:val="9"/>
                        </w:numPr>
                        <w:spacing w:before="0" w:after="160"/>
                        <w:rPr>
                          <w:sz w:val="22"/>
                          <w:szCs w:val="22"/>
                        </w:rPr>
                      </w:pPr>
                      <w:r>
                        <w:rPr>
                          <w:sz w:val="22"/>
                          <w:szCs w:val="22"/>
                        </w:rPr>
                        <w:t xml:space="preserve">Recommend that Singapore amend its legislation in the near term to </w:t>
                      </w:r>
                      <w:r w:rsidRPr="009800AE">
                        <w:rPr>
                          <w:sz w:val="22"/>
                          <w:szCs w:val="22"/>
                        </w:rPr>
                        <w:t>explicitly protect women from direct and indirect discrimination at work in:</w:t>
                      </w:r>
                    </w:p>
                    <w:p w14:paraId="47BD4FDC" w14:textId="77777777" w:rsidR="001923EB" w:rsidRPr="00466636" w:rsidRDefault="001923EB" w:rsidP="001923EB">
                      <w:pPr>
                        <w:pStyle w:val="ListParagraph"/>
                        <w:numPr>
                          <w:ilvl w:val="3"/>
                          <w:numId w:val="8"/>
                        </w:numPr>
                        <w:spacing w:before="0" w:after="160"/>
                        <w:rPr>
                          <w:sz w:val="22"/>
                          <w:szCs w:val="22"/>
                        </w:rPr>
                      </w:pPr>
                      <w:r w:rsidRPr="00466636">
                        <w:rPr>
                          <w:sz w:val="22"/>
                          <w:szCs w:val="22"/>
                        </w:rPr>
                        <w:t>employment opportunities or hiring</w:t>
                      </w:r>
                    </w:p>
                    <w:p w14:paraId="44AD92EC" w14:textId="77777777" w:rsidR="001923EB" w:rsidRPr="00466636" w:rsidRDefault="001923EB" w:rsidP="001923EB">
                      <w:pPr>
                        <w:pStyle w:val="ListParagraph"/>
                        <w:numPr>
                          <w:ilvl w:val="3"/>
                          <w:numId w:val="8"/>
                        </w:numPr>
                        <w:spacing w:before="0" w:after="160"/>
                        <w:rPr>
                          <w:sz w:val="22"/>
                          <w:szCs w:val="22"/>
                        </w:rPr>
                      </w:pPr>
                      <w:r w:rsidRPr="00466636">
                        <w:rPr>
                          <w:sz w:val="22"/>
                          <w:szCs w:val="22"/>
                        </w:rPr>
                        <w:t>equal pay for work of equal value</w:t>
                      </w:r>
                    </w:p>
                    <w:p w14:paraId="51EA4611" w14:textId="77777777" w:rsidR="001923EB" w:rsidRPr="00466636" w:rsidRDefault="001923EB" w:rsidP="001923EB">
                      <w:pPr>
                        <w:pStyle w:val="ListParagraph"/>
                        <w:numPr>
                          <w:ilvl w:val="3"/>
                          <w:numId w:val="8"/>
                        </w:numPr>
                        <w:spacing w:before="0" w:after="160"/>
                        <w:rPr>
                          <w:sz w:val="22"/>
                          <w:szCs w:val="22"/>
                        </w:rPr>
                      </w:pPr>
                      <w:r w:rsidRPr="00466636">
                        <w:rPr>
                          <w:sz w:val="22"/>
                          <w:szCs w:val="22"/>
                        </w:rPr>
                        <w:t>promotions or demotions</w:t>
                      </w:r>
                    </w:p>
                    <w:p w14:paraId="238EEE51" w14:textId="77777777" w:rsidR="001923EB" w:rsidRDefault="001923EB" w:rsidP="001923EB">
                      <w:pPr>
                        <w:pStyle w:val="ListParagraph"/>
                        <w:numPr>
                          <w:ilvl w:val="3"/>
                          <w:numId w:val="8"/>
                        </w:numPr>
                        <w:spacing w:before="0" w:after="160"/>
                        <w:rPr>
                          <w:sz w:val="22"/>
                          <w:szCs w:val="22"/>
                        </w:rPr>
                      </w:pPr>
                      <w:r w:rsidRPr="00466636">
                        <w:rPr>
                          <w:sz w:val="22"/>
                          <w:szCs w:val="22"/>
                        </w:rPr>
                        <w:t xml:space="preserve">job security or terminations  </w:t>
                      </w:r>
                    </w:p>
                    <w:p w14:paraId="3D5961BB" w14:textId="77777777" w:rsidR="001923EB" w:rsidRPr="00466636" w:rsidRDefault="001923EB" w:rsidP="001923EB">
                      <w:pPr>
                        <w:pStyle w:val="ListParagraph"/>
                        <w:numPr>
                          <w:ilvl w:val="3"/>
                          <w:numId w:val="8"/>
                        </w:numPr>
                        <w:spacing w:before="0" w:after="160"/>
                        <w:rPr>
                          <w:sz w:val="22"/>
                          <w:szCs w:val="22"/>
                        </w:rPr>
                      </w:pPr>
                      <w:r>
                        <w:rPr>
                          <w:sz w:val="22"/>
                          <w:szCs w:val="22"/>
                        </w:rPr>
                        <w:t>training</w:t>
                      </w:r>
                    </w:p>
                    <w:p w14:paraId="290727A4" w14:textId="77777777" w:rsidR="001923EB" w:rsidRDefault="001923EB" w:rsidP="001923EB">
                      <w:pPr>
                        <w:pStyle w:val="ListParagraph"/>
                        <w:numPr>
                          <w:ilvl w:val="2"/>
                          <w:numId w:val="8"/>
                        </w:numPr>
                        <w:spacing w:before="0" w:after="160"/>
                        <w:ind w:left="1440"/>
                        <w:rPr>
                          <w:sz w:val="22"/>
                          <w:szCs w:val="22"/>
                        </w:rPr>
                      </w:pPr>
                      <w:r w:rsidRPr="00466636">
                        <w:rPr>
                          <w:sz w:val="22"/>
                          <w:szCs w:val="22"/>
                        </w:rPr>
                        <w:t>We also hope the Committee will recommend that this legislation includes effective enforcement mechanisms, such as protection from retaliation, and recognizes the discrimination women also face based on marital status, pregnancy, or family status.</w:t>
                      </w:r>
                    </w:p>
                    <w:p w14:paraId="686AFE78" w14:textId="77777777" w:rsidR="001923EB" w:rsidRDefault="001923EB" w:rsidP="001923EB"/>
                  </w:txbxContent>
                </v:textbox>
                <w10:anchorlock/>
              </v:shape>
            </w:pict>
          </mc:Fallback>
        </mc:AlternateContent>
      </w:r>
    </w:p>
    <w:p w14:paraId="5C57DE83" w14:textId="77777777" w:rsidR="00DB5BD5" w:rsidRPr="002C7EF4" w:rsidRDefault="00DB5BD5" w:rsidP="002C7EF4">
      <w:pPr>
        <w:spacing w:before="0" w:after="160"/>
        <w:rPr>
          <w:sz w:val="22"/>
          <w:szCs w:val="22"/>
        </w:rPr>
      </w:pPr>
    </w:p>
    <w:p w14:paraId="32001F55" w14:textId="77777777" w:rsidR="00FA45F7" w:rsidRPr="00A52B2B" w:rsidRDefault="00623047" w:rsidP="00A52B2B">
      <w:pPr>
        <w:pStyle w:val="Heading1"/>
        <w:rPr>
          <w:rFonts w:eastAsia="Times New Roman"/>
          <w:b/>
          <w:bCs/>
        </w:rPr>
      </w:pPr>
      <w:bookmarkStart w:id="40" w:name="_Toc60999826"/>
      <w:r w:rsidRPr="00A52B2B">
        <w:rPr>
          <w:rFonts w:eastAsia="Times New Roman"/>
          <w:b/>
          <w:bCs/>
        </w:rPr>
        <w:t xml:space="preserve">Detail of Constitutional and Legislative </w:t>
      </w:r>
      <w:r w:rsidR="00FA45F7" w:rsidRPr="00A52B2B">
        <w:rPr>
          <w:rFonts w:eastAsia="Times New Roman"/>
          <w:b/>
          <w:bCs/>
        </w:rPr>
        <w:t>Findings</w:t>
      </w:r>
      <w:bookmarkEnd w:id="40"/>
    </w:p>
    <w:bookmarkEnd w:id="34"/>
    <w:p w14:paraId="49BECE41" w14:textId="77777777" w:rsidR="00FA45F7" w:rsidRDefault="00FA45F7" w:rsidP="00D4056B">
      <w:pPr>
        <w:rPr>
          <w:sz w:val="22"/>
          <w:szCs w:val="22"/>
        </w:rPr>
      </w:pPr>
      <w:r w:rsidRPr="00A52B2B">
        <w:rPr>
          <w:sz w:val="22"/>
          <w:szCs w:val="22"/>
        </w:rPr>
        <w:t>While the following review is systematic and rigorous, we recognize that there may be laws or policies governing these areas that we have not captured</w:t>
      </w:r>
      <w:r w:rsidR="009C3D5F">
        <w:rPr>
          <w:sz w:val="22"/>
          <w:szCs w:val="22"/>
        </w:rPr>
        <w:t>,</w:t>
      </w:r>
      <w:r w:rsidRPr="00A52B2B">
        <w:rPr>
          <w:sz w:val="22"/>
          <w:szCs w:val="22"/>
        </w:rPr>
        <w:t xml:space="preserve"> including</w:t>
      </w:r>
      <w:r w:rsidR="009C3D5F">
        <w:rPr>
          <w:sz w:val="22"/>
          <w:szCs w:val="22"/>
        </w:rPr>
        <w:t xml:space="preserve"> </w:t>
      </w:r>
      <w:r w:rsidRPr="00A52B2B">
        <w:rPr>
          <w:sz w:val="22"/>
          <w:szCs w:val="22"/>
        </w:rPr>
        <w:t>new legislation or policies that have not yet been published globally.</w:t>
      </w:r>
    </w:p>
    <w:p w14:paraId="37FB6D4E" w14:textId="77777777" w:rsidR="00A52B2B" w:rsidRPr="003C541A" w:rsidRDefault="00A52B2B" w:rsidP="0096441A">
      <w:pPr>
        <w:pStyle w:val="ListParagraph"/>
        <w:keepNext/>
        <w:keepLines/>
        <w:numPr>
          <w:ilvl w:val="0"/>
          <w:numId w:val="4"/>
        </w:numPr>
        <w:pBdr>
          <w:bottom w:val="single" w:sz="6" w:space="1" w:color="auto"/>
        </w:pBdr>
        <w:spacing w:before="40" w:after="0" w:line="259" w:lineRule="auto"/>
        <w:ind w:left="360"/>
        <w:outlineLvl w:val="1"/>
        <w:rPr>
          <w:rFonts w:ascii="Calibri Light" w:eastAsia="Times New Roman" w:hAnsi="Calibri Light" w:cs="Times New Roman"/>
          <w:bCs/>
          <w:color w:val="2E74B5"/>
          <w:sz w:val="26"/>
          <w:szCs w:val="26"/>
        </w:rPr>
      </w:pPr>
      <w:bookmarkStart w:id="41" w:name="_Hlk55550751"/>
      <w:bookmarkStart w:id="42" w:name="_Toc60999827"/>
      <w:r w:rsidRPr="003C541A">
        <w:rPr>
          <w:rFonts w:ascii="Calibri Light" w:eastAsia="Times New Roman" w:hAnsi="Calibri Light" w:cs="Times New Roman"/>
          <w:bCs/>
          <w:color w:val="2E74B5"/>
          <w:sz w:val="26"/>
          <w:szCs w:val="26"/>
        </w:rPr>
        <w:t>General Equality and Non-Discrimination (Article 2)</w:t>
      </w:r>
      <w:bookmarkEnd w:id="41"/>
      <w:bookmarkEnd w:id="42"/>
    </w:p>
    <w:p w14:paraId="439D0D12" w14:textId="77777777" w:rsidR="00FA45F7" w:rsidRPr="00A52B2B" w:rsidRDefault="00FA45F7" w:rsidP="00A52B2B">
      <w:pPr>
        <w:rPr>
          <w:sz w:val="22"/>
          <w:szCs w:val="22"/>
        </w:rPr>
      </w:pPr>
      <w:r w:rsidRPr="00A52B2B">
        <w:rPr>
          <w:sz w:val="22"/>
          <w:szCs w:val="22"/>
        </w:rPr>
        <w:t>While the entirety of the Convention aims to eliminate discrimination against women in all spheres of life, Article 2(a) of the Convention specifically requires States Parties “To embody the principle of the equality of men and women in their national constitutions”.</w:t>
      </w:r>
    </w:p>
    <w:p w14:paraId="7B0B4D2B" w14:textId="77777777" w:rsidR="00FA45F7" w:rsidRPr="00A52B2B" w:rsidRDefault="00FA45F7" w:rsidP="00A52B2B">
      <w:r w:rsidRPr="00A52B2B">
        <w:rPr>
          <w:sz w:val="22"/>
          <w:szCs w:val="22"/>
        </w:rPr>
        <w:t>We reviewed full text constitutions for all 193 UN member states available from official government sources to determine whether the constitution explicitly guaranteed equality or non-discrimination on the basis of sex and/or gender by prohibiting discrimination, guaranteeing equal rights, guaranteeing equality before the law, or guaranteeing overall equality or equal opportunities</w:t>
      </w:r>
      <w:r w:rsidRPr="00A52B2B">
        <w:t>.</w:t>
      </w:r>
    </w:p>
    <w:p w14:paraId="7B9C5E75" w14:textId="77777777" w:rsidR="00A52B2B" w:rsidRPr="00EC4AA3" w:rsidRDefault="00A52B2B" w:rsidP="00A52B2B">
      <w:pPr>
        <w:rPr>
          <w:color w:val="3405DF"/>
          <w:sz w:val="22"/>
          <w:szCs w:val="22"/>
        </w:rPr>
      </w:pPr>
      <w:r w:rsidRPr="00EC4AA3">
        <w:rPr>
          <w:sz w:val="22"/>
          <w:szCs w:val="22"/>
        </w:rPr>
        <w:t>Constitutions state the values of a country, describe the rights of people living within the country, and profoundly influence norms and practice. In nearly all countries, constitutions take precedence over other sources of law—making them critical tools for delineating and implementing equal rights. New constitutions and new rights guaranteed in constitutions can be used to overturn discriminatory laws as well as to legislate non-discrimination guarantees. Moreover, constitutions can offer protection against policy and legal changes during periods of social and political shifts that may seek to undermine equal rights. For these reasons and others, as the foundational document setting out the rights of all human beings in a country, a constitution and the rights contained therein are essential to realizing equal rights.</w:t>
      </w:r>
    </w:p>
    <w:p w14:paraId="38E0A7D0" w14:textId="77777777" w:rsidR="00A52B2B" w:rsidRPr="00A52B2B" w:rsidRDefault="00A52B2B" w:rsidP="00A52B2B">
      <w:pPr>
        <w:rPr>
          <w:rFonts w:eastAsia="Times New Roman"/>
          <w:sz w:val="22"/>
          <w:szCs w:val="22"/>
          <w:highlight w:val="yellow"/>
        </w:rPr>
      </w:pPr>
    </w:p>
    <w:p w14:paraId="1D92B367" w14:textId="77777777" w:rsidR="00A52B2B" w:rsidRPr="00A52B2B" w:rsidRDefault="007A101A" w:rsidP="00A52B2B">
      <w:pPr>
        <w:keepNext/>
        <w:keepLines/>
        <w:spacing w:before="40" w:afterLines="100" w:after="240"/>
        <w:outlineLvl w:val="3"/>
        <w:rPr>
          <w:rFonts w:ascii="Calibri Light" w:eastAsia="Times New Roman" w:hAnsi="Calibri Light" w:cs="Times New Roman"/>
          <w:i/>
          <w:iCs/>
          <w:color w:val="2E74B5"/>
          <w:sz w:val="22"/>
          <w:szCs w:val="22"/>
        </w:rPr>
      </w:pPr>
      <w:r>
        <w:rPr>
          <w:rFonts w:ascii="Calibri Light" w:eastAsia="Times New Roman" w:hAnsi="Calibri Light" w:cs="Times New Roman"/>
          <w:i/>
          <w:iCs/>
          <w:color w:val="2E74B5"/>
          <w:sz w:val="22"/>
          <w:szCs w:val="22"/>
        </w:rPr>
        <w:t>SINGAPORE’</w:t>
      </w:r>
      <w:r w:rsidR="00A52B2B" w:rsidRPr="00A52B2B">
        <w:rPr>
          <w:rFonts w:ascii="Calibri Light" w:eastAsia="Times New Roman" w:hAnsi="Calibri Light" w:cs="Times New Roman"/>
          <w:i/>
          <w:iCs/>
          <w:color w:val="2E74B5"/>
          <w:sz w:val="22"/>
          <w:szCs w:val="22"/>
        </w:rPr>
        <w:t xml:space="preserve">S CONSTITUTIONAL PROVISIONS: </w:t>
      </w:r>
      <w:r>
        <w:rPr>
          <w:rFonts w:ascii="Calibri Light" w:eastAsia="Times New Roman" w:hAnsi="Calibri Light" w:cs="Times New Roman"/>
          <w:i/>
          <w:iCs/>
          <w:color w:val="2E74B5"/>
          <w:sz w:val="22"/>
          <w:szCs w:val="22"/>
        </w:rPr>
        <w:t>No prohibition of discrimination on the basis of sex</w:t>
      </w:r>
      <w:r w:rsidR="000F0C2A">
        <w:rPr>
          <w:rFonts w:ascii="Calibri Light" w:eastAsia="Times New Roman" w:hAnsi="Calibri Light" w:cs="Times New Roman"/>
          <w:i/>
          <w:iCs/>
          <w:color w:val="2E74B5"/>
          <w:sz w:val="22"/>
          <w:szCs w:val="22"/>
        </w:rPr>
        <w:t xml:space="preserve"> or gender</w:t>
      </w:r>
    </w:p>
    <w:p w14:paraId="1FF92BEB" w14:textId="77777777" w:rsidR="003E044E" w:rsidRPr="00CE3028" w:rsidRDefault="007A101A" w:rsidP="003E044E">
      <w:pPr>
        <w:rPr>
          <w:sz w:val="22"/>
          <w:szCs w:val="22"/>
        </w:rPr>
      </w:pPr>
      <w:r w:rsidRPr="00CE3028">
        <w:rPr>
          <w:sz w:val="22"/>
          <w:szCs w:val="22"/>
        </w:rPr>
        <w:t>Based on our review, we did not identify any constitutional provisions that guarantee equality or non-discrimination based on sex or gender</w:t>
      </w:r>
      <w:r w:rsidR="000F0C2A" w:rsidRPr="00CE3028">
        <w:rPr>
          <w:sz w:val="22"/>
          <w:szCs w:val="22"/>
        </w:rPr>
        <w:t>.</w:t>
      </w:r>
      <w:r w:rsidR="00782A42" w:rsidRPr="00CE3028">
        <w:rPr>
          <w:sz w:val="22"/>
          <w:szCs w:val="22"/>
        </w:rPr>
        <w:t xml:space="preserve"> S</w:t>
      </w:r>
      <w:r w:rsidR="00E82065" w:rsidRPr="00CE3028">
        <w:rPr>
          <w:sz w:val="22"/>
          <w:szCs w:val="22"/>
        </w:rPr>
        <w:t>i</w:t>
      </w:r>
      <w:r w:rsidR="00782A42" w:rsidRPr="00CE3028">
        <w:rPr>
          <w:sz w:val="22"/>
          <w:szCs w:val="22"/>
        </w:rPr>
        <w:t>ngap</w:t>
      </w:r>
      <w:r w:rsidR="00E82065" w:rsidRPr="00CE3028">
        <w:rPr>
          <w:sz w:val="22"/>
          <w:szCs w:val="22"/>
        </w:rPr>
        <w:t xml:space="preserve">ore is one of </w:t>
      </w:r>
      <w:r w:rsidR="00CE3028">
        <w:rPr>
          <w:sz w:val="22"/>
          <w:szCs w:val="22"/>
        </w:rPr>
        <w:t>less than 15%</w:t>
      </w:r>
      <w:r w:rsidR="00E82065" w:rsidRPr="00CE3028">
        <w:rPr>
          <w:sz w:val="22"/>
          <w:szCs w:val="22"/>
        </w:rPr>
        <w:t xml:space="preserve"> of countries</w:t>
      </w:r>
      <w:r w:rsidR="00CE3028">
        <w:rPr>
          <w:sz w:val="22"/>
          <w:szCs w:val="22"/>
        </w:rPr>
        <w:t xml:space="preserve"> globally </w:t>
      </w:r>
      <w:r w:rsidR="00E82065" w:rsidRPr="00CE3028">
        <w:rPr>
          <w:sz w:val="22"/>
          <w:szCs w:val="22"/>
        </w:rPr>
        <w:t xml:space="preserve">that do not include </w:t>
      </w:r>
      <w:r w:rsidR="00CE3028">
        <w:rPr>
          <w:sz w:val="22"/>
          <w:szCs w:val="22"/>
        </w:rPr>
        <w:t>an</w:t>
      </w:r>
      <w:r w:rsidR="00E82065" w:rsidRPr="00CE3028">
        <w:rPr>
          <w:sz w:val="22"/>
          <w:szCs w:val="22"/>
        </w:rPr>
        <w:t xml:space="preserve"> explicit guarantee</w:t>
      </w:r>
      <w:r w:rsidR="00CE3028">
        <w:rPr>
          <w:sz w:val="22"/>
          <w:szCs w:val="22"/>
        </w:rPr>
        <w:t xml:space="preserve"> of equality based on sex or gender</w:t>
      </w:r>
      <w:r w:rsidR="007E54CE">
        <w:rPr>
          <w:sz w:val="22"/>
          <w:szCs w:val="22"/>
        </w:rPr>
        <w:t xml:space="preserve"> </w:t>
      </w:r>
      <w:r w:rsidR="00E82065" w:rsidRPr="00CE3028">
        <w:rPr>
          <w:sz w:val="22"/>
          <w:szCs w:val="22"/>
        </w:rPr>
        <w:t xml:space="preserve">in their constitution. </w:t>
      </w:r>
      <w:r w:rsidR="000F0C2A" w:rsidRPr="00CE3028">
        <w:rPr>
          <w:sz w:val="22"/>
          <w:szCs w:val="22"/>
        </w:rPr>
        <w:t xml:space="preserve">Singapore </w:t>
      </w:r>
      <w:r w:rsidR="00CE3028">
        <w:rPr>
          <w:sz w:val="22"/>
          <w:szCs w:val="22"/>
        </w:rPr>
        <w:t>states</w:t>
      </w:r>
      <w:r w:rsidR="00CE3028" w:rsidRPr="00CE3028">
        <w:rPr>
          <w:sz w:val="22"/>
          <w:szCs w:val="22"/>
        </w:rPr>
        <w:t xml:space="preserve"> </w:t>
      </w:r>
      <w:r w:rsidR="000F0C2A" w:rsidRPr="00CE3028">
        <w:rPr>
          <w:sz w:val="22"/>
          <w:szCs w:val="22"/>
        </w:rPr>
        <w:t xml:space="preserve">in paragraphs 40 and 41 of </w:t>
      </w:r>
      <w:r w:rsidR="00CE3028">
        <w:rPr>
          <w:sz w:val="22"/>
          <w:szCs w:val="22"/>
        </w:rPr>
        <w:t>its</w:t>
      </w:r>
      <w:r w:rsidR="000F0C2A" w:rsidRPr="00CE3028">
        <w:rPr>
          <w:sz w:val="22"/>
          <w:szCs w:val="22"/>
        </w:rPr>
        <w:t xml:space="preserve"> State Party Report that </w:t>
      </w:r>
      <w:r w:rsidR="00CE3028">
        <w:rPr>
          <w:sz w:val="22"/>
          <w:szCs w:val="22"/>
        </w:rPr>
        <w:t xml:space="preserve">the universal equality clause in </w:t>
      </w:r>
      <w:r w:rsidR="000F0C2A" w:rsidRPr="00CE3028">
        <w:rPr>
          <w:sz w:val="22"/>
          <w:szCs w:val="22"/>
        </w:rPr>
        <w:t>Article 12(1) sufficiently protects women</w:t>
      </w:r>
      <w:r w:rsidR="00CE3028">
        <w:rPr>
          <w:sz w:val="22"/>
          <w:szCs w:val="22"/>
        </w:rPr>
        <w:t xml:space="preserve"> without naming them explicitly</w:t>
      </w:r>
      <w:r w:rsidR="007E54CE">
        <w:rPr>
          <w:sz w:val="22"/>
          <w:szCs w:val="22"/>
        </w:rPr>
        <w:t xml:space="preserve">; </w:t>
      </w:r>
      <w:r w:rsidR="00CE3028">
        <w:rPr>
          <w:sz w:val="22"/>
          <w:szCs w:val="22"/>
        </w:rPr>
        <w:t xml:space="preserve">however, </w:t>
      </w:r>
      <w:r w:rsidR="000F0C2A" w:rsidRPr="00CE3028">
        <w:rPr>
          <w:sz w:val="22"/>
          <w:szCs w:val="22"/>
        </w:rPr>
        <w:t xml:space="preserve">article 12(2) </w:t>
      </w:r>
      <w:r w:rsidR="00CE3028">
        <w:rPr>
          <w:sz w:val="22"/>
          <w:szCs w:val="22"/>
        </w:rPr>
        <w:t>g</w:t>
      </w:r>
      <w:r w:rsidR="000F0C2A" w:rsidRPr="00CE3028">
        <w:rPr>
          <w:sz w:val="22"/>
          <w:szCs w:val="22"/>
        </w:rPr>
        <w:t>oes</w:t>
      </w:r>
      <w:r w:rsidR="00CE3028">
        <w:rPr>
          <w:sz w:val="22"/>
          <w:szCs w:val="22"/>
        </w:rPr>
        <w:t xml:space="preserve"> on to</w:t>
      </w:r>
      <w:r w:rsidR="000F0C2A" w:rsidRPr="00CE3028">
        <w:rPr>
          <w:sz w:val="22"/>
          <w:szCs w:val="22"/>
        </w:rPr>
        <w:t xml:space="preserve"> name specific </w:t>
      </w:r>
      <w:r w:rsidR="007E54CE">
        <w:rPr>
          <w:sz w:val="22"/>
          <w:szCs w:val="22"/>
        </w:rPr>
        <w:t>statuses, such as race or religion,</w:t>
      </w:r>
      <w:r w:rsidR="007E54CE" w:rsidRPr="00CE3028">
        <w:rPr>
          <w:sz w:val="22"/>
          <w:szCs w:val="22"/>
        </w:rPr>
        <w:t xml:space="preserve"> </w:t>
      </w:r>
      <w:r w:rsidR="000F0C2A" w:rsidRPr="00CE3028">
        <w:rPr>
          <w:sz w:val="22"/>
          <w:szCs w:val="22"/>
        </w:rPr>
        <w:t xml:space="preserve">that are protected against discrimination, and omits women. </w:t>
      </w:r>
    </w:p>
    <w:p w14:paraId="3516A45F" w14:textId="77777777" w:rsidR="003E044E" w:rsidRPr="004C6D72" w:rsidRDefault="000F0C2A" w:rsidP="004C6D72">
      <w:pPr>
        <w:ind w:left="720"/>
        <w:rPr>
          <w:i/>
          <w:iCs/>
          <w:sz w:val="22"/>
          <w:szCs w:val="22"/>
        </w:rPr>
      </w:pPr>
      <w:r w:rsidRPr="004C6D72">
        <w:rPr>
          <w:i/>
          <w:iCs/>
          <w:sz w:val="22"/>
          <w:szCs w:val="22"/>
        </w:rPr>
        <w:t>Constitution of Singapore, amended to 2020</w:t>
      </w:r>
    </w:p>
    <w:p w14:paraId="40ACADB9" w14:textId="77777777" w:rsidR="000F0C2A" w:rsidRPr="004C6D72" w:rsidRDefault="000F0C2A" w:rsidP="004C6D72">
      <w:pPr>
        <w:ind w:left="720"/>
        <w:rPr>
          <w:i/>
          <w:iCs/>
          <w:sz w:val="22"/>
          <w:szCs w:val="22"/>
        </w:rPr>
      </w:pPr>
      <w:r w:rsidRPr="004C6D72">
        <w:rPr>
          <w:i/>
          <w:iCs/>
          <w:sz w:val="22"/>
          <w:szCs w:val="22"/>
        </w:rPr>
        <w:t>Equal protection</w:t>
      </w:r>
    </w:p>
    <w:p w14:paraId="3B916A8C" w14:textId="77777777" w:rsidR="000F0C2A" w:rsidRPr="004C6D72" w:rsidRDefault="000F0C2A" w:rsidP="004C6D72">
      <w:pPr>
        <w:ind w:left="720"/>
        <w:rPr>
          <w:i/>
          <w:iCs/>
          <w:sz w:val="22"/>
          <w:szCs w:val="22"/>
        </w:rPr>
      </w:pPr>
      <w:r w:rsidRPr="004C6D72">
        <w:rPr>
          <w:i/>
          <w:iCs/>
          <w:sz w:val="22"/>
          <w:szCs w:val="22"/>
        </w:rPr>
        <w:t>12.</w:t>
      </w:r>
      <w:bookmarkStart w:id="43" w:name="pr12-ps1-"/>
      <w:bookmarkEnd w:id="43"/>
      <w:proofErr w:type="gramStart"/>
      <w:r w:rsidRPr="004C6D72">
        <w:rPr>
          <w:i/>
          <w:iCs/>
          <w:sz w:val="22"/>
          <w:szCs w:val="22"/>
        </w:rPr>
        <w:t>—(</w:t>
      </w:r>
      <w:proofErr w:type="gramEnd"/>
      <w:r w:rsidRPr="004C6D72">
        <w:rPr>
          <w:i/>
          <w:iCs/>
          <w:sz w:val="22"/>
          <w:szCs w:val="22"/>
        </w:rPr>
        <w:t>1)  All persons are equal before the law and entitled to the equal protection of the law.</w:t>
      </w:r>
    </w:p>
    <w:p w14:paraId="54B15C9E" w14:textId="77777777" w:rsidR="004C6D72" w:rsidRDefault="004C6D72" w:rsidP="004C6D72">
      <w:pPr>
        <w:ind w:left="720"/>
        <w:rPr>
          <w:i/>
          <w:iCs/>
          <w:sz w:val="22"/>
          <w:szCs w:val="22"/>
        </w:rPr>
      </w:pPr>
      <w:r w:rsidRPr="004C6D72">
        <w:rPr>
          <w:i/>
          <w:iCs/>
          <w:sz w:val="22"/>
          <w:szCs w:val="22"/>
        </w:rPr>
        <w:t xml:space="preserve">(2)  Except as expressly </w:t>
      </w:r>
      <w:proofErr w:type="spellStart"/>
      <w:r w:rsidRPr="004C6D72">
        <w:rPr>
          <w:i/>
          <w:iCs/>
          <w:sz w:val="22"/>
          <w:szCs w:val="22"/>
        </w:rPr>
        <w:t>authorised</w:t>
      </w:r>
      <w:proofErr w:type="spellEnd"/>
      <w:r w:rsidRPr="004C6D72">
        <w:rPr>
          <w:i/>
          <w:iCs/>
          <w:sz w:val="22"/>
          <w:szCs w:val="22"/>
        </w:rPr>
        <w:t xml:space="preserve"> by this Constitution, there shall be no discrimination against citizens of Singapore on the ground only of religion, race, descent or place of birth in any law or in the appointment to any office or employment under a public authority or in the administration of any law relating to the acquisition, holding or disposition of property or the establishing or carrying on of any trade, business, profession, vocation or employment.</w:t>
      </w:r>
    </w:p>
    <w:p w14:paraId="333AF87C" w14:textId="77777777" w:rsidR="004C6D72" w:rsidRPr="004C6D72" w:rsidRDefault="004C6D72" w:rsidP="004C6D72">
      <w:pPr>
        <w:ind w:left="720"/>
        <w:rPr>
          <w:i/>
          <w:iCs/>
          <w:sz w:val="22"/>
          <w:szCs w:val="22"/>
        </w:rPr>
      </w:pPr>
    </w:p>
    <w:p w14:paraId="785B73C7" w14:textId="77777777" w:rsidR="00FF10FA" w:rsidRPr="003C541A" w:rsidRDefault="00FF10FA" w:rsidP="0096441A">
      <w:pPr>
        <w:keepNext/>
        <w:keepLines/>
        <w:numPr>
          <w:ilvl w:val="0"/>
          <w:numId w:val="4"/>
        </w:numPr>
        <w:pBdr>
          <w:bottom w:val="single" w:sz="6" w:space="1" w:color="auto"/>
        </w:pBdr>
        <w:spacing w:before="40" w:after="0" w:line="259" w:lineRule="auto"/>
        <w:ind w:left="360"/>
        <w:outlineLvl w:val="1"/>
        <w:rPr>
          <w:rFonts w:ascii="Calibri Light" w:eastAsia="Times New Roman" w:hAnsi="Calibri Light" w:cs="Times New Roman"/>
          <w:bCs/>
          <w:color w:val="2E74B5"/>
          <w:sz w:val="26"/>
          <w:szCs w:val="26"/>
        </w:rPr>
      </w:pPr>
      <w:bookmarkStart w:id="44" w:name="_Toc60999828"/>
      <w:r w:rsidRPr="003C541A">
        <w:rPr>
          <w:rFonts w:ascii="Calibri Light" w:eastAsia="Times New Roman" w:hAnsi="Calibri Light" w:cs="Times New Roman"/>
          <w:bCs/>
          <w:color w:val="2E74B5"/>
          <w:sz w:val="26"/>
          <w:szCs w:val="26"/>
        </w:rPr>
        <w:t>Non-Discrimination in Work and Employment (Article 11)</w:t>
      </w:r>
      <w:bookmarkEnd w:id="44"/>
    </w:p>
    <w:p w14:paraId="6775851D" w14:textId="77777777" w:rsidR="00FA45F7" w:rsidRPr="00FF10FA" w:rsidRDefault="00FA45F7" w:rsidP="00FF10FA">
      <w:pPr>
        <w:rPr>
          <w:sz w:val="22"/>
          <w:szCs w:val="22"/>
        </w:rPr>
      </w:pPr>
      <w:r w:rsidRPr="00FF10FA">
        <w:rPr>
          <w:sz w:val="22"/>
          <w:szCs w:val="22"/>
        </w:rPr>
        <w:t>Article 11 of the Convention outlines specific measures States Parties shall undertake in order to eliminate discrimination in the field of employment.</w:t>
      </w:r>
    </w:p>
    <w:p w14:paraId="22809210" w14:textId="77777777" w:rsidR="00FA45F7" w:rsidRPr="00FF10FA" w:rsidRDefault="00FA45F7" w:rsidP="00FF10FA">
      <w:pPr>
        <w:rPr>
          <w:sz w:val="22"/>
          <w:szCs w:val="22"/>
        </w:rPr>
      </w:pPr>
      <w:r w:rsidRPr="00FF10FA">
        <w:rPr>
          <w:sz w:val="22"/>
          <w:szCs w:val="22"/>
        </w:rPr>
        <w:t xml:space="preserve">We systematically reviewed national labor codes, gender equality, and other relevant legislation available through the International </w:t>
      </w:r>
      <w:proofErr w:type="spellStart"/>
      <w:r w:rsidRPr="00FF10FA">
        <w:rPr>
          <w:sz w:val="22"/>
          <w:szCs w:val="22"/>
        </w:rPr>
        <w:t>Labo</w:t>
      </w:r>
      <w:r w:rsidR="00C64A14">
        <w:rPr>
          <w:sz w:val="22"/>
          <w:szCs w:val="22"/>
        </w:rPr>
        <w:t>u</w:t>
      </w:r>
      <w:r w:rsidRPr="00FF10FA">
        <w:rPr>
          <w:sz w:val="22"/>
          <w:szCs w:val="22"/>
        </w:rPr>
        <w:t>r</w:t>
      </w:r>
      <w:proofErr w:type="spellEnd"/>
      <w:r w:rsidRPr="00FF10FA">
        <w:rPr>
          <w:sz w:val="22"/>
          <w:szCs w:val="22"/>
        </w:rPr>
        <w:t xml:space="preserve"> Organization’s NATLEX database for all 193 UN member states to determine whether national legislation prohibited gender discrimination in employment. We examined legal protections across five areas covered by CEDAW: </w:t>
      </w:r>
    </w:p>
    <w:p w14:paraId="39703233" w14:textId="77777777" w:rsidR="00FA45F7" w:rsidRPr="00FF10FA" w:rsidRDefault="00FA45F7" w:rsidP="0096441A">
      <w:pPr>
        <w:pStyle w:val="ListParagraph"/>
        <w:numPr>
          <w:ilvl w:val="0"/>
          <w:numId w:val="3"/>
        </w:numPr>
        <w:rPr>
          <w:sz w:val="22"/>
          <w:szCs w:val="22"/>
        </w:rPr>
      </w:pPr>
      <w:r w:rsidRPr="00FF10FA">
        <w:rPr>
          <w:sz w:val="22"/>
          <w:szCs w:val="22"/>
        </w:rPr>
        <w:t>employment opportunities or hiring</w:t>
      </w:r>
    </w:p>
    <w:p w14:paraId="2042A5D2" w14:textId="77777777" w:rsidR="00FA45F7" w:rsidRPr="00FF10FA" w:rsidRDefault="00FA45F7" w:rsidP="0096441A">
      <w:pPr>
        <w:pStyle w:val="ListParagraph"/>
        <w:numPr>
          <w:ilvl w:val="0"/>
          <w:numId w:val="3"/>
        </w:numPr>
        <w:rPr>
          <w:sz w:val="22"/>
          <w:szCs w:val="22"/>
        </w:rPr>
      </w:pPr>
      <w:r w:rsidRPr="00FF10FA">
        <w:rPr>
          <w:sz w:val="22"/>
          <w:szCs w:val="22"/>
        </w:rPr>
        <w:t>equal pay for work of equal value</w:t>
      </w:r>
    </w:p>
    <w:p w14:paraId="2F401466" w14:textId="77777777" w:rsidR="00FA45F7" w:rsidRPr="00FF10FA" w:rsidRDefault="00FA45F7" w:rsidP="0096441A">
      <w:pPr>
        <w:pStyle w:val="ListParagraph"/>
        <w:numPr>
          <w:ilvl w:val="0"/>
          <w:numId w:val="3"/>
        </w:numPr>
        <w:rPr>
          <w:sz w:val="22"/>
          <w:szCs w:val="22"/>
        </w:rPr>
      </w:pPr>
      <w:r w:rsidRPr="00FF10FA">
        <w:rPr>
          <w:sz w:val="22"/>
          <w:szCs w:val="22"/>
        </w:rPr>
        <w:t>promotions or demotions</w:t>
      </w:r>
    </w:p>
    <w:p w14:paraId="485B4E8B" w14:textId="77777777" w:rsidR="00FA45F7" w:rsidRDefault="00FA45F7" w:rsidP="0096441A">
      <w:pPr>
        <w:pStyle w:val="ListParagraph"/>
        <w:numPr>
          <w:ilvl w:val="0"/>
          <w:numId w:val="3"/>
        </w:numPr>
        <w:rPr>
          <w:sz w:val="22"/>
          <w:szCs w:val="22"/>
        </w:rPr>
      </w:pPr>
      <w:r w:rsidRPr="00FF10FA">
        <w:rPr>
          <w:sz w:val="22"/>
          <w:szCs w:val="22"/>
        </w:rPr>
        <w:t xml:space="preserve">job security or terminations  </w:t>
      </w:r>
    </w:p>
    <w:p w14:paraId="71E0FAE4" w14:textId="77777777" w:rsidR="008F4781" w:rsidRPr="00FF10FA" w:rsidRDefault="008F4781" w:rsidP="0096441A">
      <w:pPr>
        <w:pStyle w:val="ListParagraph"/>
        <w:numPr>
          <w:ilvl w:val="0"/>
          <w:numId w:val="3"/>
        </w:numPr>
        <w:rPr>
          <w:sz w:val="22"/>
          <w:szCs w:val="22"/>
        </w:rPr>
      </w:pPr>
      <w:r>
        <w:rPr>
          <w:sz w:val="22"/>
          <w:szCs w:val="22"/>
        </w:rPr>
        <w:t>training</w:t>
      </w:r>
    </w:p>
    <w:p w14:paraId="5F05F935" w14:textId="77777777" w:rsidR="008B1D2B" w:rsidRDefault="00FA45F7" w:rsidP="00DB5BD5">
      <w:pPr>
        <w:rPr>
          <w:sz w:val="22"/>
          <w:szCs w:val="22"/>
        </w:rPr>
      </w:pPr>
      <w:r w:rsidRPr="00FF10FA">
        <w:rPr>
          <w:sz w:val="22"/>
          <w:szCs w:val="22"/>
        </w:rPr>
        <w:t xml:space="preserve">We assessed whether women were explicitly protected from discrimination at work in each of these areas and whether the definition of discrimination included both direct and indirect discrimination. We further examined whether there were provisions that protected women from retaliatory action for reporting discrimination. </w:t>
      </w:r>
    </w:p>
    <w:p w14:paraId="0336542E" w14:textId="69A797B2" w:rsidR="00FF10FA" w:rsidRDefault="00567565" w:rsidP="00DB5BD5">
      <w:pPr>
        <w:rPr>
          <w:sz w:val="22"/>
          <w:szCs w:val="22"/>
        </w:rPr>
      </w:pPr>
      <w:bookmarkStart w:id="45" w:name="_Hlk113879326"/>
      <w:r>
        <w:rPr>
          <w:sz w:val="22"/>
          <w:szCs w:val="22"/>
        </w:rPr>
        <w:t>W</w:t>
      </w:r>
      <w:r w:rsidRPr="00FF10FA">
        <w:rPr>
          <w:sz w:val="22"/>
          <w:szCs w:val="22"/>
        </w:rPr>
        <w:t xml:space="preserve">e also examined whether there were explicit protections from discrimination </w:t>
      </w:r>
      <w:r>
        <w:rPr>
          <w:sz w:val="22"/>
          <w:szCs w:val="22"/>
        </w:rPr>
        <w:t>in terminations</w:t>
      </w:r>
      <w:r w:rsidRPr="00FF10FA">
        <w:rPr>
          <w:sz w:val="22"/>
          <w:szCs w:val="22"/>
        </w:rPr>
        <w:t xml:space="preserve"> </w:t>
      </w:r>
      <w:r>
        <w:rPr>
          <w:sz w:val="22"/>
          <w:szCs w:val="22"/>
        </w:rPr>
        <w:t>on the grounds of pregnancy and marital status, i</w:t>
      </w:r>
      <w:r w:rsidR="0081729F">
        <w:rPr>
          <w:sz w:val="22"/>
          <w:szCs w:val="22"/>
        </w:rPr>
        <w:t>n line with</w:t>
      </w:r>
      <w:r w:rsidR="00552476">
        <w:rPr>
          <w:sz w:val="22"/>
          <w:szCs w:val="22"/>
        </w:rPr>
        <w:t xml:space="preserve"> </w:t>
      </w:r>
      <w:r w:rsidR="0081729F">
        <w:rPr>
          <w:sz w:val="22"/>
          <w:szCs w:val="22"/>
        </w:rPr>
        <w:t>A</w:t>
      </w:r>
      <w:r w:rsidR="00552476">
        <w:rPr>
          <w:sz w:val="22"/>
          <w:szCs w:val="22"/>
        </w:rPr>
        <w:t xml:space="preserve">rticle </w:t>
      </w:r>
      <w:r w:rsidR="008B1D2B">
        <w:rPr>
          <w:sz w:val="22"/>
          <w:szCs w:val="22"/>
        </w:rPr>
        <w:t>11</w:t>
      </w:r>
      <w:r w:rsidR="00552476">
        <w:rPr>
          <w:sz w:val="22"/>
          <w:szCs w:val="22"/>
        </w:rPr>
        <w:t>.2.a) of the Convention</w:t>
      </w:r>
      <w:r w:rsidR="008B1D2B">
        <w:rPr>
          <w:sz w:val="22"/>
          <w:szCs w:val="22"/>
        </w:rPr>
        <w:t xml:space="preserve"> which prohibits “dismissal on the grounds of pregnancy or of maternity leave and discrimination in dismissals on the basis of marital status”</w:t>
      </w:r>
      <w:r w:rsidR="00A32869">
        <w:rPr>
          <w:sz w:val="22"/>
          <w:szCs w:val="22"/>
        </w:rPr>
        <w:t xml:space="preserve">. We further examined </w:t>
      </w:r>
      <w:r>
        <w:rPr>
          <w:sz w:val="22"/>
          <w:szCs w:val="22"/>
        </w:rPr>
        <w:t>whether explicit protections from terminations</w:t>
      </w:r>
      <w:r w:rsidR="00F80098">
        <w:rPr>
          <w:sz w:val="22"/>
          <w:szCs w:val="22"/>
        </w:rPr>
        <w:t xml:space="preserve"> </w:t>
      </w:r>
      <w:r w:rsidR="00D529AD">
        <w:rPr>
          <w:sz w:val="22"/>
          <w:szCs w:val="22"/>
        </w:rPr>
        <w:t>on the basis of family status</w:t>
      </w:r>
      <w:r w:rsidR="00FD77B3">
        <w:rPr>
          <w:sz w:val="22"/>
          <w:szCs w:val="22"/>
        </w:rPr>
        <w:t xml:space="preserve"> were in place</w:t>
      </w:r>
      <w:r w:rsidR="00D529AD">
        <w:rPr>
          <w:sz w:val="22"/>
          <w:szCs w:val="22"/>
        </w:rPr>
        <w:t>, because of the intersection of family status with both marital status and pregnancy</w:t>
      </w:r>
      <w:r w:rsidR="00FD77B3">
        <w:rPr>
          <w:sz w:val="22"/>
          <w:szCs w:val="22"/>
        </w:rPr>
        <w:t>.</w:t>
      </w:r>
    </w:p>
    <w:p w14:paraId="2FF83B88" w14:textId="77777777" w:rsidR="00D42574" w:rsidRDefault="00D42574" w:rsidP="00D42574">
      <w:pPr>
        <w:rPr>
          <w:sz w:val="22"/>
          <w:szCs w:val="22"/>
        </w:rPr>
      </w:pPr>
      <w:r>
        <w:rPr>
          <w:sz w:val="22"/>
          <w:szCs w:val="22"/>
        </w:rPr>
        <w:t>Finally, although the Convention focuses only on protecting from dismissal on these grounds, we nevertheless further examined whether discrimination on the grounds of pregnancy, marital status, or family status was prohibited in other stages of employment because of the centrality of these protections from preventing sex discrimination at work, which the convention protects against more broadly.</w:t>
      </w:r>
    </w:p>
    <w:bookmarkEnd w:id="45"/>
    <w:p w14:paraId="564807BB" w14:textId="77777777" w:rsidR="00FF10FA" w:rsidRDefault="00D972D8" w:rsidP="00FF10FA">
      <w:pPr>
        <w:keepNext/>
        <w:keepLines/>
        <w:spacing w:before="40" w:afterLines="100" w:after="240"/>
        <w:outlineLvl w:val="3"/>
        <w:rPr>
          <w:rFonts w:ascii="Calibri Light" w:eastAsia="Times New Roman" w:hAnsi="Calibri Light" w:cs="Times New Roman"/>
          <w:i/>
          <w:iCs/>
          <w:color w:val="2E74B5"/>
          <w:sz w:val="22"/>
          <w:szCs w:val="22"/>
        </w:rPr>
      </w:pPr>
      <w:r w:rsidRPr="00D972D8">
        <w:rPr>
          <w:rFonts w:ascii="Calibri Light" w:eastAsia="Times New Roman" w:hAnsi="Calibri Light" w:cs="Times New Roman"/>
          <w:i/>
          <w:iCs/>
          <w:color w:val="2E74B5"/>
          <w:sz w:val="22"/>
          <w:szCs w:val="22"/>
        </w:rPr>
        <w:t>SINGAPORE</w:t>
      </w:r>
      <w:r w:rsidR="00FF10FA" w:rsidRPr="00D972D8">
        <w:rPr>
          <w:rFonts w:ascii="Calibri Light" w:eastAsia="Times New Roman" w:hAnsi="Calibri Light" w:cs="Times New Roman"/>
          <w:i/>
          <w:iCs/>
          <w:color w:val="2E74B5"/>
          <w:sz w:val="22"/>
          <w:szCs w:val="22"/>
        </w:rPr>
        <w:t>’S LEGISLATIVE PROV</w:t>
      </w:r>
      <w:r w:rsidR="003C541A" w:rsidRPr="00D972D8">
        <w:rPr>
          <w:rFonts w:ascii="Calibri Light" w:eastAsia="Times New Roman" w:hAnsi="Calibri Light" w:cs="Times New Roman"/>
          <w:i/>
          <w:iCs/>
          <w:color w:val="2E74B5"/>
          <w:sz w:val="22"/>
          <w:szCs w:val="22"/>
        </w:rPr>
        <w:t>I</w:t>
      </w:r>
      <w:r w:rsidR="00FF10FA" w:rsidRPr="00D972D8">
        <w:rPr>
          <w:rFonts w:ascii="Calibri Light" w:eastAsia="Times New Roman" w:hAnsi="Calibri Light" w:cs="Times New Roman"/>
          <w:i/>
          <w:iCs/>
          <w:color w:val="2E74B5"/>
          <w:sz w:val="22"/>
          <w:szCs w:val="22"/>
        </w:rPr>
        <w:t xml:space="preserve">SIONS: </w:t>
      </w:r>
      <w:r>
        <w:rPr>
          <w:rFonts w:ascii="Calibri Light" w:eastAsia="Times New Roman" w:hAnsi="Calibri Light" w:cs="Times New Roman"/>
          <w:i/>
          <w:iCs/>
          <w:color w:val="2E74B5"/>
          <w:sz w:val="22"/>
          <w:szCs w:val="22"/>
        </w:rPr>
        <w:t>No protections against workplace discrimination on the basis of sex</w:t>
      </w:r>
    </w:p>
    <w:p w14:paraId="245D726B" w14:textId="77777777" w:rsidR="00D972D8" w:rsidRPr="00D972D8" w:rsidRDefault="00D972D8" w:rsidP="00D972D8">
      <w:pPr>
        <w:rPr>
          <w:sz w:val="22"/>
          <w:szCs w:val="22"/>
        </w:rPr>
      </w:pPr>
      <w:r w:rsidRPr="00D972D8">
        <w:rPr>
          <w:sz w:val="22"/>
          <w:szCs w:val="22"/>
        </w:rPr>
        <w:t xml:space="preserve">While we recognize there may be other policies governing discrimination at work, our systematic review of national legislation did not identify any national legislative provisions that </w:t>
      </w:r>
      <w:r>
        <w:rPr>
          <w:sz w:val="22"/>
          <w:szCs w:val="22"/>
        </w:rPr>
        <w:t xml:space="preserve">specifically </w:t>
      </w:r>
      <w:r w:rsidRPr="00D972D8">
        <w:rPr>
          <w:sz w:val="22"/>
          <w:szCs w:val="22"/>
        </w:rPr>
        <w:t xml:space="preserve">protect women from discrimination at work in Singapore.  </w:t>
      </w:r>
    </w:p>
    <w:tbl>
      <w:tblPr>
        <w:tblStyle w:val="TableGrid"/>
        <w:tblW w:w="0" w:type="auto"/>
        <w:tblLook w:val="04A0" w:firstRow="1" w:lastRow="0" w:firstColumn="1" w:lastColumn="0" w:noHBand="0" w:noVBand="1"/>
      </w:tblPr>
      <w:tblGrid>
        <w:gridCol w:w="4675"/>
        <w:gridCol w:w="4675"/>
      </w:tblGrid>
      <w:tr w:rsidR="00D972D8" w14:paraId="4AE8223C" w14:textId="77777777" w:rsidTr="002A4CB6">
        <w:trPr>
          <w:tblHeader/>
        </w:trPr>
        <w:tc>
          <w:tcPr>
            <w:tcW w:w="9350" w:type="dxa"/>
            <w:gridSpan w:val="2"/>
            <w:tcBorders>
              <w:top w:val="single" w:sz="4" w:space="0" w:color="auto"/>
              <w:left w:val="single" w:sz="4" w:space="0" w:color="auto"/>
              <w:bottom w:val="single" w:sz="4" w:space="0" w:color="auto"/>
              <w:right w:val="single" w:sz="4" w:space="0" w:color="auto"/>
            </w:tcBorders>
          </w:tcPr>
          <w:p w14:paraId="2FFB496A" w14:textId="77777777" w:rsidR="00D972D8" w:rsidRPr="0003249D" w:rsidRDefault="00D972D8" w:rsidP="002A4CB6">
            <w:pPr>
              <w:spacing w:line="276" w:lineRule="auto"/>
              <w:rPr>
                <w:b/>
                <w:lang w:val="en-CA"/>
              </w:rPr>
            </w:pPr>
          </w:p>
          <w:p w14:paraId="563C397A" w14:textId="77777777" w:rsidR="00D972D8" w:rsidRDefault="00D972D8" w:rsidP="002A4CB6">
            <w:pPr>
              <w:spacing w:line="276" w:lineRule="auto"/>
              <w:rPr>
                <w:b/>
              </w:rPr>
            </w:pPr>
            <w:r>
              <w:rPr>
                <w:b/>
              </w:rPr>
              <w:t>Table 1: Does Singapore have legislative provisions in place explicitly guaranteeing non-discrimination for women in the following key areas of employment?</w:t>
            </w:r>
          </w:p>
          <w:p w14:paraId="5F75F295" w14:textId="77777777" w:rsidR="00D972D8" w:rsidRDefault="00D972D8" w:rsidP="002A4CB6">
            <w:pPr>
              <w:spacing w:line="276" w:lineRule="auto"/>
              <w:rPr>
                <w:b/>
              </w:rPr>
            </w:pPr>
          </w:p>
        </w:tc>
      </w:tr>
      <w:tr w:rsidR="00D972D8" w14:paraId="44AE5F39" w14:textId="77777777" w:rsidTr="002A4CB6">
        <w:trPr>
          <w:trHeight w:val="360"/>
        </w:trPr>
        <w:tc>
          <w:tcPr>
            <w:tcW w:w="4675" w:type="dxa"/>
            <w:tcBorders>
              <w:top w:val="single" w:sz="4" w:space="0" w:color="auto"/>
              <w:left w:val="single" w:sz="4" w:space="0" w:color="auto"/>
              <w:bottom w:val="single" w:sz="4" w:space="0" w:color="auto"/>
              <w:right w:val="single" w:sz="4" w:space="0" w:color="auto"/>
            </w:tcBorders>
            <w:hideMark/>
          </w:tcPr>
          <w:p w14:paraId="4676250C" w14:textId="77777777" w:rsidR="00D972D8" w:rsidRDefault="00D972D8" w:rsidP="002A4CB6">
            <w:pPr>
              <w:spacing w:line="276" w:lineRule="auto"/>
            </w:pPr>
            <w:r>
              <w:rPr>
                <w:bCs/>
              </w:rPr>
              <w:t>Employment opportunities and hiring</w:t>
            </w:r>
          </w:p>
        </w:tc>
        <w:tc>
          <w:tcPr>
            <w:tcW w:w="4675" w:type="dxa"/>
            <w:tcBorders>
              <w:top w:val="single" w:sz="4" w:space="0" w:color="auto"/>
              <w:left w:val="single" w:sz="4" w:space="0" w:color="auto"/>
              <w:bottom w:val="single" w:sz="4" w:space="0" w:color="auto"/>
              <w:right w:val="single" w:sz="4" w:space="0" w:color="auto"/>
            </w:tcBorders>
            <w:hideMark/>
          </w:tcPr>
          <w:p w14:paraId="3D78219D" w14:textId="77777777" w:rsidR="00D972D8" w:rsidRDefault="00D972D8" w:rsidP="002A4CB6">
            <w:pPr>
              <w:spacing w:line="276" w:lineRule="auto"/>
            </w:pPr>
            <w:r>
              <w:t>No provisions found</w:t>
            </w:r>
          </w:p>
        </w:tc>
      </w:tr>
      <w:tr w:rsidR="00D972D8" w14:paraId="01E9B4B4" w14:textId="77777777" w:rsidTr="002A4CB6">
        <w:trPr>
          <w:trHeight w:val="360"/>
        </w:trPr>
        <w:tc>
          <w:tcPr>
            <w:tcW w:w="4675" w:type="dxa"/>
            <w:tcBorders>
              <w:top w:val="single" w:sz="4" w:space="0" w:color="auto"/>
              <w:left w:val="single" w:sz="4" w:space="0" w:color="auto"/>
              <w:bottom w:val="single" w:sz="4" w:space="0" w:color="auto"/>
              <w:right w:val="single" w:sz="4" w:space="0" w:color="auto"/>
            </w:tcBorders>
            <w:hideMark/>
          </w:tcPr>
          <w:p w14:paraId="7087E9B7" w14:textId="3091C57E" w:rsidR="00D972D8" w:rsidRDefault="00D972D8" w:rsidP="002A4CB6">
            <w:pPr>
              <w:spacing w:line="276" w:lineRule="auto"/>
            </w:pPr>
            <w:r>
              <w:rPr>
                <w:bCs/>
              </w:rPr>
              <w:t>Equal pay for work of equal value</w:t>
            </w:r>
          </w:p>
        </w:tc>
        <w:tc>
          <w:tcPr>
            <w:tcW w:w="4675" w:type="dxa"/>
            <w:tcBorders>
              <w:top w:val="single" w:sz="4" w:space="0" w:color="auto"/>
              <w:left w:val="single" w:sz="4" w:space="0" w:color="auto"/>
              <w:bottom w:val="single" w:sz="4" w:space="0" w:color="auto"/>
              <w:right w:val="single" w:sz="4" w:space="0" w:color="auto"/>
            </w:tcBorders>
            <w:hideMark/>
          </w:tcPr>
          <w:p w14:paraId="291E13C8" w14:textId="77777777" w:rsidR="00D972D8" w:rsidRDefault="00D972D8" w:rsidP="002A4CB6">
            <w:pPr>
              <w:spacing w:line="276" w:lineRule="auto"/>
            </w:pPr>
            <w:r>
              <w:t>No provisions found</w:t>
            </w:r>
          </w:p>
        </w:tc>
      </w:tr>
      <w:tr w:rsidR="00D972D8" w14:paraId="7D421D1A" w14:textId="77777777" w:rsidTr="002A4CB6">
        <w:trPr>
          <w:trHeight w:val="360"/>
        </w:trPr>
        <w:tc>
          <w:tcPr>
            <w:tcW w:w="4675" w:type="dxa"/>
            <w:tcBorders>
              <w:top w:val="single" w:sz="4" w:space="0" w:color="auto"/>
              <w:left w:val="single" w:sz="4" w:space="0" w:color="auto"/>
              <w:bottom w:val="single" w:sz="4" w:space="0" w:color="auto"/>
              <w:right w:val="single" w:sz="4" w:space="0" w:color="auto"/>
            </w:tcBorders>
            <w:hideMark/>
          </w:tcPr>
          <w:p w14:paraId="7DC61715" w14:textId="542ACC36" w:rsidR="00D972D8" w:rsidRDefault="00FD77B3" w:rsidP="002A4CB6">
            <w:pPr>
              <w:spacing w:line="276" w:lineRule="auto"/>
            </w:pPr>
            <w:r>
              <w:rPr>
                <w:bCs/>
              </w:rPr>
              <w:t>T</w:t>
            </w:r>
            <w:r w:rsidR="00D972D8">
              <w:rPr>
                <w:bCs/>
              </w:rPr>
              <w:t>raining</w:t>
            </w:r>
          </w:p>
        </w:tc>
        <w:tc>
          <w:tcPr>
            <w:tcW w:w="4675" w:type="dxa"/>
            <w:tcBorders>
              <w:top w:val="single" w:sz="4" w:space="0" w:color="auto"/>
              <w:left w:val="single" w:sz="4" w:space="0" w:color="auto"/>
              <w:bottom w:val="single" w:sz="4" w:space="0" w:color="auto"/>
              <w:right w:val="single" w:sz="4" w:space="0" w:color="auto"/>
            </w:tcBorders>
            <w:hideMark/>
          </w:tcPr>
          <w:p w14:paraId="33707B97" w14:textId="77777777" w:rsidR="00D972D8" w:rsidRDefault="00D972D8" w:rsidP="002A4CB6">
            <w:pPr>
              <w:spacing w:line="276" w:lineRule="auto"/>
            </w:pPr>
            <w:r>
              <w:t>No provisions found</w:t>
            </w:r>
          </w:p>
        </w:tc>
      </w:tr>
      <w:tr w:rsidR="00D972D8" w14:paraId="04B239D5" w14:textId="77777777" w:rsidTr="002A4CB6">
        <w:trPr>
          <w:trHeight w:val="360"/>
        </w:trPr>
        <w:tc>
          <w:tcPr>
            <w:tcW w:w="4675" w:type="dxa"/>
            <w:tcBorders>
              <w:top w:val="single" w:sz="4" w:space="0" w:color="auto"/>
              <w:left w:val="single" w:sz="4" w:space="0" w:color="auto"/>
              <w:bottom w:val="single" w:sz="4" w:space="0" w:color="auto"/>
              <w:right w:val="single" w:sz="4" w:space="0" w:color="auto"/>
            </w:tcBorders>
            <w:hideMark/>
          </w:tcPr>
          <w:p w14:paraId="6C63790F" w14:textId="77777777" w:rsidR="00D972D8" w:rsidRDefault="00D972D8" w:rsidP="002A4CB6">
            <w:pPr>
              <w:ind w:right="-105"/>
              <w:rPr>
                <w:bCs/>
              </w:rPr>
            </w:pPr>
            <w:r>
              <w:rPr>
                <w:bCs/>
              </w:rPr>
              <w:t>Promotions and/or demotions</w:t>
            </w:r>
          </w:p>
        </w:tc>
        <w:tc>
          <w:tcPr>
            <w:tcW w:w="4675" w:type="dxa"/>
            <w:tcBorders>
              <w:top w:val="single" w:sz="4" w:space="0" w:color="auto"/>
              <w:left w:val="single" w:sz="4" w:space="0" w:color="auto"/>
              <w:bottom w:val="single" w:sz="4" w:space="0" w:color="auto"/>
              <w:right w:val="single" w:sz="4" w:space="0" w:color="auto"/>
            </w:tcBorders>
            <w:hideMark/>
          </w:tcPr>
          <w:p w14:paraId="3F283627" w14:textId="77777777" w:rsidR="00D972D8" w:rsidRDefault="00D972D8" w:rsidP="002A4CB6">
            <w:pPr>
              <w:spacing w:line="276" w:lineRule="auto"/>
            </w:pPr>
            <w:r>
              <w:t>No provisions found</w:t>
            </w:r>
          </w:p>
        </w:tc>
      </w:tr>
      <w:tr w:rsidR="00D972D8" w14:paraId="75939F9E" w14:textId="77777777" w:rsidTr="002A4CB6">
        <w:trPr>
          <w:trHeight w:val="360"/>
        </w:trPr>
        <w:tc>
          <w:tcPr>
            <w:tcW w:w="4675" w:type="dxa"/>
            <w:tcBorders>
              <w:top w:val="single" w:sz="4" w:space="0" w:color="auto"/>
              <w:left w:val="single" w:sz="4" w:space="0" w:color="auto"/>
              <w:bottom w:val="single" w:sz="4" w:space="0" w:color="auto"/>
              <w:right w:val="single" w:sz="4" w:space="0" w:color="auto"/>
            </w:tcBorders>
            <w:hideMark/>
          </w:tcPr>
          <w:p w14:paraId="446154AE" w14:textId="77777777" w:rsidR="00D972D8" w:rsidRDefault="00D972D8" w:rsidP="002A4CB6">
            <w:pPr>
              <w:spacing w:line="276" w:lineRule="auto"/>
            </w:pPr>
            <w:r>
              <w:rPr>
                <w:bCs/>
              </w:rPr>
              <w:t>Terminations</w:t>
            </w:r>
          </w:p>
        </w:tc>
        <w:tc>
          <w:tcPr>
            <w:tcW w:w="4675" w:type="dxa"/>
            <w:tcBorders>
              <w:top w:val="single" w:sz="4" w:space="0" w:color="auto"/>
              <w:left w:val="single" w:sz="4" w:space="0" w:color="auto"/>
              <w:bottom w:val="single" w:sz="4" w:space="0" w:color="auto"/>
              <w:right w:val="single" w:sz="4" w:space="0" w:color="auto"/>
            </w:tcBorders>
            <w:hideMark/>
          </w:tcPr>
          <w:p w14:paraId="64FA68CE" w14:textId="77777777" w:rsidR="00D972D8" w:rsidRDefault="00D972D8" w:rsidP="002A4CB6">
            <w:pPr>
              <w:spacing w:line="276" w:lineRule="auto"/>
            </w:pPr>
            <w:r>
              <w:t>No provisions found</w:t>
            </w:r>
          </w:p>
        </w:tc>
      </w:tr>
      <w:tr w:rsidR="00D972D8" w14:paraId="5B4D2A97" w14:textId="77777777" w:rsidTr="002A4CB6">
        <w:trPr>
          <w:trHeight w:val="360"/>
        </w:trPr>
        <w:tc>
          <w:tcPr>
            <w:tcW w:w="4675" w:type="dxa"/>
            <w:tcBorders>
              <w:top w:val="single" w:sz="4" w:space="0" w:color="auto"/>
              <w:left w:val="single" w:sz="4" w:space="0" w:color="auto"/>
              <w:bottom w:val="single" w:sz="4" w:space="0" w:color="auto"/>
              <w:right w:val="single" w:sz="4" w:space="0" w:color="auto"/>
            </w:tcBorders>
          </w:tcPr>
          <w:p w14:paraId="3B5F691C" w14:textId="1B431D38" w:rsidR="00D972D8" w:rsidRDefault="006A55BB" w:rsidP="002A4CB6">
            <w:pPr>
              <w:rPr>
                <w:bCs/>
              </w:rPr>
            </w:pPr>
            <w:r>
              <w:rPr>
                <w:bCs/>
              </w:rPr>
              <w:t>Discrimination</w:t>
            </w:r>
            <w:r w:rsidR="00D972D8">
              <w:rPr>
                <w:bCs/>
              </w:rPr>
              <w:t xml:space="preserve"> on the basis of marital status, family status, and pregnancy</w:t>
            </w:r>
          </w:p>
        </w:tc>
        <w:tc>
          <w:tcPr>
            <w:tcW w:w="4675" w:type="dxa"/>
            <w:tcBorders>
              <w:top w:val="single" w:sz="4" w:space="0" w:color="auto"/>
              <w:left w:val="single" w:sz="4" w:space="0" w:color="auto"/>
              <w:bottom w:val="single" w:sz="4" w:space="0" w:color="auto"/>
              <w:right w:val="single" w:sz="4" w:space="0" w:color="auto"/>
            </w:tcBorders>
          </w:tcPr>
          <w:p w14:paraId="565022A0" w14:textId="77777777" w:rsidR="00D972D8" w:rsidRDefault="00D972D8" w:rsidP="002A4CB6">
            <w:r>
              <w:t>No provisions found</w:t>
            </w:r>
          </w:p>
        </w:tc>
      </w:tr>
      <w:tr w:rsidR="00D972D8" w14:paraId="4CC3004D" w14:textId="77777777" w:rsidTr="002A4CB6">
        <w:trPr>
          <w:trHeight w:val="360"/>
        </w:trPr>
        <w:tc>
          <w:tcPr>
            <w:tcW w:w="4675" w:type="dxa"/>
            <w:tcBorders>
              <w:top w:val="single" w:sz="4" w:space="0" w:color="auto"/>
              <w:left w:val="single" w:sz="4" w:space="0" w:color="auto"/>
              <w:bottom w:val="single" w:sz="4" w:space="0" w:color="auto"/>
              <w:right w:val="single" w:sz="4" w:space="0" w:color="auto"/>
            </w:tcBorders>
            <w:hideMark/>
          </w:tcPr>
          <w:p w14:paraId="3A67D439" w14:textId="77777777" w:rsidR="00D972D8" w:rsidRDefault="00D972D8" w:rsidP="002A4CB6">
            <w:pPr>
              <w:spacing w:line="276" w:lineRule="auto"/>
              <w:rPr>
                <w:bCs/>
              </w:rPr>
            </w:pPr>
            <w:r>
              <w:rPr>
                <w:bCs/>
              </w:rPr>
              <w:t>Indirect discrimination</w:t>
            </w:r>
          </w:p>
        </w:tc>
        <w:tc>
          <w:tcPr>
            <w:tcW w:w="4675" w:type="dxa"/>
            <w:tcBorders>
              <w:top w:val="single" w:sz="4" w:space="0" w:color="auto"/>
              <w:left w:val="single" w:sz="4" w:space="0" w:color="auto"/>
              <w:bottom w:val="single" w:sz="4" w:space="0" w:color="auto"/>
              <w:right w:val="single" w:sz="4" w:space="0" w:color="auto"/>
            </w:tcBorders>
            <w:hideMark/>
          </w:tcPr>
          <w:p w14:paraId="3C4561BA" w14:textId="77777777" w:rsidR="00D972D8" w:rsidRDefault="00D972D8" w:rsidP="002A4CB6">
            <w:pPr>
              <w:spacing w:line="276" w:lineRule="auto"/>
            </w:pPr>
            <w:r>
              <w:t>No provisions found</w:t>
            </w:r>
          </w:p>
        </w:tc>
      </w:tr>
      <w:tr w:rsidR="00D972D8" w14:paraId="5E626E7D" w14:textId="77777777" w:rsidTr="002A4CB6">
        <w:trPr>
          <w:trHeight w:val="360"/>
        </w:trPr>
        <w:tc>
          <w:tcPr>
            <w:tcW w:w="4675" w:type="dxa"/>
            <w:tcBorders>
              <w:top w:val="single" w:sz="4" w:space="0" w:color="auto"/>
              <w:left w:val="single" w:sz="4" w:space="0" w:color="auto"/>
              <w:bottom w:val="single" w:sz="4" w:space="0" w:color="auto"/>
              <w:right w:val="single" w:sz="4" w:space="0" w:color="auto"/>
            </w:tcBorders>
          </w:tcPr>
          <w:p w14:paraId="6FEF5ABE" w14:textId="77777777" w:rsidR="00D972D8" w:rsidRDefault="00D972D8" w:rsidP="002A4CB6">
            <w:pPr>
              <w:rPr>
                <w:bCs/>
              </w:rPr>
            </w:pPr>
            <w:r>
              <w:rPr>
                <w:bCs/>
              </w:rPr>
              <w:t>Retaliatory action</w:t>
            </w:r>
          </w:p>
        </w:tc>
        <w:tc>
          <w:tcPr>
            <w:tcW w:w="4675" w:type="dxa"/>
            <w:tcBorders>
              <w:top w:val="single" w:sz="4" w:space="0" w:color="auto"/>
              <w:left w:val="single" w:sz="4" w:space="0" w:color="auto"/>
              <w:bottom w:val="single" w:sz="4" w:space="0" w:color="auto"/>
              <w:right w:val="single" w:sz="4" w:space="0" w:color="auto"/>
            </w:tcBorders>
          </w:tcPr>
          <w:p w14:paraId="4C7923E2" w14:textId="77777777" w:rsidR="00D972D8" w:rsidRDefault="00D972D8" w:rsidP="002A4CB6">
            <w:r>
              <w:t>No provisions found</w:t>
            </w:r>
          </w:p>
        </w:tc>
      </w:tr>
    </w:tbl>
    <w:p w14:paraId="0135A601" w14:textId="77777777" w:rsidR="000F0615" w:rsidRDefault="000F0615" w:rsidP="00D972D8">
      <w:pPr>
        <w:spacing w:after="0"/>
      </w:pPr>
    </w:p>
    <w:p w14:paraId="022E19C2" w14:textId="77777777" w:rsidR="00FF10FA" w:rsidRPr="000F0615" w:rsidRDefault="000F0615" w:rsidP="000F0615">
      <w:pPr>
        <w:rPr>
          <w:sz w:val="22"/>
          <w:szCs w:val="22"/>
        </w:rPr>
      </w:pPr>
      <w:r>
        <w:rPr>
          <w:sz w:val="22"/>
          <w:szCs w:val="22"/>
        </w:rPr>
        <w:t>Singapore stat</w:t>
      </w:r>
      <w:r w:rsidR="00644880">
        <w:rPr>
          <w:sz w:val="22"/>
          <w:szCs w:val="22"/>
        </w:rPr>
        <w:t xml:space="preserve">es in paragraph 118 of the State Party Report that </w:t>
      </w:r>
      <w:r w:rsidR="0081729F">
        <w:rPr>
          <w:sz w:val="22"/>
          <w:szCs w:val="22"/>
        </w:rPr>
        <w:t>its</w:t>
      </w:r>
      <w:r w:rsidR="00644880">
        <w:rPr>
          <w:sz w:val="22"/>
          <w:szCs w:val="22"/>
        </w:rPr>
        <w:t xml:space="preserve"> current Tripartite Guidelines on Fair Employment Practices (TGFEP)</w:t>
      </w:r>
      <w:r w:rsidR="00946152">
        <w:rPr>
          <w:sz w:val="22"/>
          <w:szCs w:val="22"/>
        </w:rPr>
        <w:t xml:space="preserve"> will be codified into law</w:t>
      </w:r>
      <w:r w:rsidR="00644880">
        <w:rPr>
          <w:sz w:val="22"/>
          <w:szCs w:val="22"/>
        </w:rPr>
        <w:t xml:space="preserve">. </w:t>
      </w:r>
      <w:r w:rsidR="00644880" w:rsidRPr="007E54CE">
        <w:rPr>
          <w:b/>
          <w:sz w:val="22"/>
          <w:szCs w:val="22"/>
        </w:rPr>
        <w:t>To the best of our knowledge, this codification has not yet happened as of submission of this brief</w:t>
      </w:r>
      <w:r w:rsidR="0081729F" w:rsidRPr="007E54CE">
        <w:rPr>
          <w:b/>
          <w:sz w:val="22"/>
          <w:szCs w:val="22"/>
        </w:rPr>
        <w:t>, thus this remains an active issue</w:t>
      </w:r>
      <w:r w:rsidR="00644880" w:rsidRPr="007E54CE">
        <w:rPr>
          <w:b/>
          <w:sz w:val="22"/>
          <w:szCs w:val="22"/>
        </w:rPr>
        <w:t>.</w:t>
      </w:r>
      <w:r w:rsidR="00644880">
        <w:rPr>
          <w:sz w:val="22"/>
          <w:szCs w:val="22"/>
        </w:rPr>
        <w:t xml:space="preserve"> </w:t>
      </w:r>
      <w:r w:rsidR="0081729F">
        <w:rPr>
          <w:sz w:val="22"/>
          <w:szCs w:val="22"/>
        </w:rPr>
        <w:t>Furthermore,</w:t>
      </w:r>
      <w:r w:rsidR="00644880">
        <w:rPr>
          <w:sz w:val="22"/>
          <w:szCs w:val="22"/>
        </w:rPr>
        <w:t xml:space="preserve"> while Singapore adds in </w:t>
      </w:r>
      <w:r w:rsidR="00A02033">
        <w:rPr>
          <w:sz w:val="22"/>
          <w:szCs w:val="22"/>
        </w:rPr>
        <w:t>its</w:t>
      </w:r>
      <w:r w:rsidR="00644880">
        <w:rPr>
          <w:sz w:val="22"/>
          <w:szCs w:val="22"/>
        </w:rPr>
        <w:t xml:space="preserve"> State Party Report that the scope of this new legislation is still being deliberated, the TGFEP in its current form </w:t>
      </w:r>
      <w:r w:rsidR="00A02033">
        <w:rPr>
          <w:sz w:val="22"/>
          <w:szCs w:val="22"/>
        </w:rPr>
        <w:t>appears to only</w:t>
      </w:r>
      <w:r w:rsidR="00644880">
        <w:rPr>
          <w:sz w:val="22"/>
          <w:szCs w:val="22"/>
        </w:rPr>
        <w:t xml:space="preserve"> protect against sex discrimination in hiring, and not in any other aspect of work.</w:t>
      </w:r>
    </w:p>
    <w:p w14:paraId="3D9ECD18" w14:textId="77777777" w:rsidR="00FF10FA" w:rsidRPr="000E03A6" w:rsidRDefault="00FF10FA" w:rsidP="00FF10FA">
      <w:pPr>
        <w:pStyle w:val="Heading4"/>
        <w:rPr>
          <w:i/>
          <w:sz w:val="18"/>
          <w:szCs w:val="18"/>
        </w:rPr>
      </w:pPr>
      <w:r w:rsidRPr="000E03A6">
        <w:rPr>
          <w:i/>
          <w:sz w:val="18"/>
          <w:szCs w:val="18"/>
        </w:rPr>
        <w:t>Briefing prepared by the WORLD Policy Analysis Center, University of California, Los Angeles</w:t>
      </w:r>
    </w:p>
    <w:p w14:paraId="102ED7BD" w14:textId="77777777" w:rsidR="00FF10FA" w:rsidRDefault="00FF10FA" w:rsidP="00A41D03">
      <w:pPr>
        <w:spacing w:after="0"/>
        <w:jc w:val="center"/>
      </w:pPr>
    </w:p>
    <w:sectPr w:rsidR="00FF10FA" w:rsidSect="004A172C">
      <w:footerReference w:type="defaul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E28FC" w14:textId="77777777" w:rsidR="00D423A2" w:rsidRDefault="00D423A2" w:rsidP="00263795">
      <w:pPr>
        <w:spacing w:after="0" w:line="240" w:lineRule="auto"/>
      </w:pPr>
      <w:r>
        <w:separator/>
      </w:r>
    </w:p>
  </w:endnote>
  <w:endnote w:type="continuationSeparator" w:id="0">
    <w:p w14:paraId="1D1F329E" w14:textId="77777777" w:rsidR="00D423A2" w:rsidRDefault="00D423A2" w:rsidP="00263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BD737" w14:textId="53F484C9" w:rsidR="00831B92" w:rsidRDefault="00831B92">
    <w:pPr>
      <w:pStyle w:val="Footer"/>
      <w:pBdr>
        <w:top w:val="single" w:sz="4" w:space="1" w:color="D9D9D9" w:themeColor="background1" w:themeShade="D9"/>
      </w:pBdr>
      <w:jc w:val="right"/>
    </w:pPr>
  </w:p>
  <w:p w14:paraId="49EC4002" w14:textId="77777777" w:rsidR="00831B92" w:rsidRDefault="00831B92" w:rsidP="008D34BA">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B4315" w14:textId="657ED1BC" w:rsidR="004A172C" w:rsidRDefault="004A172C">
    <w:pPr>
      <w:pStyle w:val="Footer"/>
      <w:jc w:val="right"/>
    </w:pPr>
  </w:p>
  <w:p w14:paraId="7352F87D" w14:textId="77777777" w:rsidR="004A172C" w:rsidRDefault="004A17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4054485"/>
      <w:docPartObj>
        <w:docPartGallery w:val="Page Numbers (Bottom of Page)"/>
        <w:docPartUnique/>
      </w:docPartObj>
    </w:sdtPr>
    <w:sdtEndPr>
      <w:rPr>
        <w:noProof/>
      </w:rPr>
    </w:sdtEndPr>
    <w:sdtContent>
      <w:p w14:paraId="5C82A8A2" w14:textId="6A8EE525" w:rsidR="004A172C" w:rsidRDefault="004A172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D4B9519" w14:textId="77777777" w:rsidR="008D34BA" w:rsidRDefault="008D34BA" w:rsidP="008D34B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DEDF8" w14:textId="77777777" w:rsidR="00D423A2" w:rsidRDefault="00D423A2" w:rsidP="00263795">
      <w:pPr>
        <w:spacing w:after="0" w:line="240" w:lineRule="auto"/>
      </w:pPr>
      <w:r>
        <w:separator/>
      </w:r>
    </w:p>
  </w:footnote>
  <w:footnote w:type="continuationSeparator" w:id="0">
    <w:p w14:paraId="3BF7B59C" w14:textId="77777777" w:rsidR="00D423A2" w:rsidRDefault="00D423A2" w:rsidP="002637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E50DE" w14:textId="1FEF3295" w:rsidR="009F2054" w:rsidRDefault="009F2054" w:rsidP="005B7FB6">
    <w:pPr>
      <w:pStyle w:val="Header"/>
      <w:jc w:val="right"/>
    </w:pPr>
    <w:r>
      <w:rPr>
        <w:noProof/>
      </w:rPr>
      <w:drawing>
        <wp:anchor distT="0" distB="0" distL="114300" distR="114300" simplePos="0" relativeHeight="251657216" behindDoc="1" locked="0" layoutInCell="1" allowOverlap="1" wp14:anchorId="4F0B6D63" wp14:editId="53E8A0B4">
          <wp:simplePos x="0" y="0"/>
          <wp:positionH relativeFrom="column">
            <wp:posOffset>-800100</wp:posOffset>
          </wp:positionH>
          <wp:positionV relativeFrom="paragraph">
            <wp:posOffset>-333375</wp:posOffset>
          </wp:positionV>
          <wp:extent cx="3048006" cy="704089"/>
          <wp:effectExtent l="0" t="0" r="0" b="1270"/>
          <wp:wrapTight wrapText="bothSides">
            <wp:wrapPolygon edited="0">
              <wp:start x="3240" y="585"/>
              <wp:lineTo x="405" y="3509"/>
              <wp:lineTo x="270" y="7018"/>
              <wp:lineTo x="2160" y="11112"/>
              <wp:lineTo x="2700" y="21054"/>
              <wp:lineTo x="3375" y="21054"/>
              <wp:lineTo x="20925" y="17545"/>
              <wp:lineTo x="21060" y="11112"/>
              <wp:lineTo x="20385" y="11112"/>
              <wp:lineTo x="20250" y="4094"/>
              <wp:lineTo x="4320" y="585"/>
              <wp:lineTo x="3240" y="58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LD logo rectangle small clea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48006" cy="704089"/>
                  </a:xfrm>
                  <a:prstGeom prst="rect">
                    <a:avLst/>
                  </a:prstGeom>
                </pic:spPr>
              </pic:pic>
            </a:graphicData>
          </a:graphic>
        </wp:anchor>
      </w:drawing>
    </w:r>
    <w:r w:rsidR="00831B92" w:rsidDel="00831B92">
      <w:t xml:space="preserve"> </w:t>
    </w:r>
    <w:r w:rsidR="009D18DD">
      <w:t>October 3,</w:t>
    </w:r>
    <w:r w:rsidR="0019177D">
      <w:t xml:space="preserve"> 2022</w:t>
    </w:r>
  </w:p>
  <w:p w14:paraId="3A912413" w14:textId="469CFE56" w:rsidR="009F2054" w:rsidRDefault="009F2054" w:rsidP="00831B92">
    <w:pPr>
      <w:pStyle w:val="Header"/>
      <w:jc w:val="righ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391A6" w14:textId="649C8B47" w:rsidR="008D34BA" w:rsidRDefault="008D34BA" w:rsidP="008D34BA">
    <w:pPr>
      <w:pStyle w:val="Header"/>
      <w:jc w:val="right"/>
    </w:pPr>
    <w:r>
      <w:rPr>
        <w:noProof/>
      </w:rPr>
      <w:drawing>
        <wp:anchor distT="0" distB="0" distL="114300" distR="114300" simplePos="0" relativeHeight="251659264" behindDoc="1" locked="0" layoutInCell="1" allowOverlap="1" wp14:anchorId="1B28E406" wp14:editId="721188F2">
          <wp:simplePos x="0" y="0"/>
          <wp:positionH relativeFrom="column">
            <wp:posOffset>-800100</wp:posOffset>
          </wp:positionH>
          <wp:positionV relativeFrom="paragraph">
            <wp:posOffset>-247650</wp:posOffset>
          </wp:positionV>
          <wp:extent cx="3048006" cy="704089"/>
          <wp:effectExtent l="0" t="0" r="0" b="1270"/>
          <wp:wrapTight wrapText="bothSides">
            <wp:wrapPolygon edited="0">
              <wp:start x="3240" y="585"/>
              <wp:lineTo x="405" y="3509"/>
              <wp:lineTo x="270" y="7018"/>
              <wp:lineTo x="2160" y="11112"/>
              <wp:lineTo x="2700" y="21054"/>
              <wp:lineTo x="3375" y="21054"/>
              <wp:lineTo x="20925" y="17545"/>
              <wp:lineTo x="21060" y="11112"/>
              <wp:lineTo x="20385" y="11112"/>
              <wp:lineTo x="20250" y="4094"/>
              <wp:lineTo x="4320" y="585"/>
              <wp:lineTo x="3240" y="585"/>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LD logo rectangle small clea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48006" cy="704089"/>
                  </a:xfrm>
                  <a:prstGeom prst="rect">
                    <a:avLst/>
                  </a:prstGeom>
                </pic:spPr>
              </pic:pic>
            </a:graphicData>
          </a:graphic>
        </wp:anchor>
      </w:drawing>
    </w:r>
    <w:r>
      <w:t>October 3,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C765D"/>
    <w:multiLevelType w:val="hybridMultilevel"/>
    <w:tmpl w:val="4A423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D24DE2"/>
    <w:multiLevelType w:val="hybridMultilevel"/>
    <w:tmpl w:val="5F72F214"/>
    <w:lvl w:ilvl="0" w:tplc="6F322AA8">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191C8A"/>
    <w:multiLevelType w:val="hybridMultilevel"/>
    <w:tmpl w:val="4A66A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520714B"/>
    <w:multiLevelType w:val="hybridMultilevel"/>
    <w:tmpl w:val="511C2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175882"/>
    <w:multiLevelType w:val="hybridMultilevel"/>
    <w:tmpl w:val="AAD2E6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43D63820"/>
    <w:multiLevelType w:val="hybridMultilevel"/>
    <w:tmpl w:val="B4EC3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0A243F"/>
    <w:multiLevelType w:val="hybridMultilevel"/>
    <w:tmpl w:val="3F0C00F0"/>
    <w:lvl w:ilvl="0" w:tplc="722EEFA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F1E1DFB"/>
    <w:multiLevelType w:val="hybridMultilevel"/>
    <w:tmpl w:val="359E649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00C4E66"/>
    <w:multiLevelType w:val="hybridMultilevel"/>
    <w:tmpl w:val="017EC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2512A8"/>
    <w:multiLevelType w:val="hybridMultilevel"/>
    <w:tmpl w:val="E482F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241E3E"/>
    <w:multiLevelType w:val="hybridMultilevel"/>
    <w:tmpl w:val="DFFC8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BA17DD"/>
    <w:multiLevelType w:val="hybridMultilevel"/>
    <w:tmpl w:val="990E4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0"/>
  </w:num>
  <w:num w:numId="4">
    <w:abstractNumId w:val="3"/>
  </w:num>
  <w:num w:numId="5">
    <w:abstractNumId w:val="0"/>
  </w:num>
  <w:num w:numId="6">
    <w:abstractNumId w:val="5"/>
  </w:num>
  <w:num w:numId="7">
    <w:abstractNumId w:val="9"/>
  </w:num>
  <w:num w:numId="8">
    <w:abstractNumId w:val="7"/>
  </w:num>
  <w:num w:numId="9">
    <w:abstractNumId w:val="11"/>
  </w:num>
  <w:num w:numId="10">
    <w:abstractNumId w:val="8"/>
  </w:num>
  <w:num w:numId="11">
    <w:abstractNumId w:val="2"/>
  </w:num>
  <w:num w:numId="1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795"/>
    <w:rsid w:val="00004C6B"/>
    <w:rsid w:val="00005342"/>
    <w:rsid w:val="00007B9F"/>
    <w:rsid w:val="00007FCC"/>
    <w:rsid w:val="00021FBA"/>
    <w:rsid w:val="00024807"/>
    <w:rsid w:val="0002636A"/>
    <w:rsid w:val="00026A3B"/>
    <w:rsid w:val="0003358B"/>
    <w:rsid w:val="000345E3"/>
    <w:rsid w:val="00035C10"/>
    <w:rsid w:val="000365E8"/>
    <w:rsid w:val="00041FF9"/>
    <w:rsid w:val="0004725A"/>
    <w:rsid w:val="00053016"/>
    <w:rsid w:val="000530B1"/>
    <w:rsid w:val="00062767"/>
    <w:rsid w:val="0006291B"/>
    <w:rsid w:val="0006644E"/>
    <w:rsid w:val="000671D5"/>
    <w:rsid w:val="00067D62"/>
    <w:rsid w:val="00074C6E"/>
    <w:rsid w:val="00075804"/>
    <w:rsid w:val="000850FE"/>
    <w:rsid w:val="000A17BA"/>
    <w:rsid w:val="000A6E0C"/>
    <w:rsid w:val="000B05BA"/>
    <w:rsid w:val="000B1600"/>
    <w:rsid w:val="000B2CBC"/>
    <w:rsid w:val="000B43D7"/>
    <w:rsid w:val="000C524F"/>
    <w:rsid w:val="000D2A2C"/>
    <w:rsid w:val="000D48EA"/>
    <w:rsid w:val="000D75F8"/>
    <w:rsid w:val="000E3CCB"/>
    <w:rsid w:val="000E3CF5"/>
    <w:rsid w:val="000F0615"/>
    <w:rsid w:val="000F0C2A"/>
    <w:rsid w:val="000F22CA"/>
    <w:rsid w:val="000F4CDB"/>
    <w:rsid w:val="000F5C02"/>
    <w:rsid w:val="000F7D43"/>
    <w:rsid w:val="0010092B"/>
    <w:rsid w:val="0010334A"/>
    <w:rsid w:val="00110604"/>
    <w:rsid w:val="00112EC9"/>
    <w:rsid w:val="00115C81"/>
    <w:rsid w:val="00121A10"/>
    <w:rsid w:val="00121C21"/>
    <w:rsid w:val="001339E4"/>
    <w:rsid w:val="0014064A"/>
    <w:rsid w:val="0014409D"/>
    <w:rsid w:val="0014443A"/>
    <w:rsid w:val="00146C3A"/>
    <w:rsid w:val="001512D1"/>
    <w:rsid w:val="001529F1"/>
    <w:rsid w:val="00157053"/>
    <w:rsid w:val="00162979"/>
    <w:rsid w:val="00163AA4"/>
    <w:rsid w:val="00167592"/>
    <w:rsid w:val="00170358"/>
    <w:rsid w:val="001855CF"/>
    <w:rsid w:val="00186A0B"/>
    <w:rsid w:val="0019177D"/>
    <w:rsid w:val="001923EB"/>
    <w:rsid w:val="00192A79"/>
    <w:rsid w:val="00192EE4"/>
    <w:rsid w:val="00193072"/>
    <w:rsid w:val="00193108"/>
    <w:rsid w:val="00196B39"/>
    <w:rsid w:val="001A1121"/>
    <w:rsid w:val="001B0629"/>
    <w:rsid w:val="001B130D"/>
    <w:rsid w:val="001B6472"/>
    <w:rsid w:val="001E0AB3"/>
    <w:rsid w:val="001E6EF2"/>
    <w:rsid w:val="001F2433"/>
    <w:rsid w:val="00201BBD"/>
    <w:rsid w:val="00202927"/>
    <w:rsid w:val="002118F1"/>
    <w:rsid w:val="00216A01"/>
    <w:rsid w:val="00216F3A"/>
    <w:rsid w:val="00217985"/>
    <w:rsid w:val="00225A6E"/>
    <w:rsid w:val="00233775"/>
    <w:rsid w:val="00233C05"/>
    <w:rsid w:val="002363A5"/>
    <w:rsid w:val="00237DC7"/>
    <w:rsid w:val="00242A41"/>
    <w:rsid w:val="00244E0B"/>
    <w:rsid w:val="002463EE"/>
    <w:rsid w:val="00246EC7"/>
    <w:rsid w:val="002529A1"/>
    <w:rsid w:val="0025507E"/>
    <w:rsid w:val="002553AC"/>
    <w:rsid w:val="0025596E"/>
    <w:rsid w:val="002606CF"/>
    <w:rsid w:val="00262139"/>
    <w:rsid w:val="0026260D"/>
    <w:rsid w:val="00262B5B"/>
    <w:rsid w:val="00263795"/>
    <w:rsid w:val="00267D06"/>
    <w:rsid w:val="00276A8B"/>
    <w:rsid w:val="00277988"/>
    <w:rsid w:val="002802A1"/>
    <w:rsid w:val="00280964"/>
    <w:rsid w:val="002822B0"/>
    <w:rsid w:val="0028500F"/>
    <w:rsid w:val="002874BF"/>
    <w:rsid w:val="00293C07"/>
    <w:rsid w:val="002A27CB"/>
    <w:rsid w:val="002A2ECC"/>
    <w:rsid w:val="002A35ED"/>
    <w:rsid w:val="002A492B"/>
    <w:rsid w:val="002B4C4A"/>
    <w:rsid w:val="002B6072"/>
    <w:rsid w:val="002C79FD"/>
    <w:rsid w:val="002C7EF4"/>
    <w:rsid w:val="002D3CE2"/>
    <w:rsid w:val="002E3152"/>
    <w:rsid w:val="002F18CF"/>
    <w:rsid w:val="002F47A6"/>
    <w:rsid w:val="002F4FD6"/>
    <w:rsid w:val="002F655E"/>
    <w:rsid w:val="002F6E5A"/>
    <w:rsid w:val="00320262"/>
    <w:rsid w:val="00331DB8"/>
    <w:rsid w:val="003444CA"/>
    <w:rsid w:val="00346925"/>
    <w:rsid w:val="0035238B"/>
    <w:rsid w:val="00353A9D"/>
    <w:rsid w:val="00353D6C"/>
    <w:rsid w:val="00355056"/>
    <w:rsid w:val="00356615"/>
    <w:rsid w:val="00362350"/>
    <w:rsid w:val="0036569F"/>
    <w:rsid w:val="003716E9"/>
    <w:rsid w:val="003723BD"/>
    <w:rsid w:val="00374D35"/>
    <w:rsid w:val="003860C9"/>
    <w:rsid w:val="00391573"/>
    <w:rsid w:val="003948B3"/>
    <w:rsid w:val="003A0670"/>
    <w:rsid w:val="003A11D6"/>
    <w:rsid w:val="003A374A"/>
    <w:rsid w:val="003A6D58"/>
    <w:rsid w:val="003C116C"/>
    <w:rsid w:val="003C2D78"/>
    <w:rsid w:val="003C3521"/>
    <w:rsid w:val="003C3F1A"/>
    <w:rsid w:val="003C4621"/>
    <w:rsid w:val="003C541A"/>
    <w:rsid w:val="003D16AD"/>
    <w:rsid w:val="003D1B16"/>
    <w:rsid w:val="003D79EE"/>
    <w:rsid w:val="003E044E"/>
    <w:rsid w:val="003E182D"/>
    <w:rsid w:val="003F0A92"/>
    <w:rsid w:val="003F0ACD"/>
    <w:rsid w:val="003F21AC"/>
    <w:rsid w:val="003F70E6"/>
    <w:rsid w:val="00400A74"/>
    <w:rsid w:val="0040107F"/>
    <w:rsid w:val="00401DF4"/>
    <w:rsid w:val="004033AC"/>
    <w:rsid w:val="0040500F"/>
    <w:rsid w:val="004126C0"/>
    <w:rsid w:val="00416DA2"/>
    <w:rsid w:val="00423808"/>
    <w:rsid w:val="004261C5"/>
    <w:rsid w:val="00427B31"/>
    <w:rsid w:val="004320C8"/>
    <w:rsid w:val="00433969"/>
    <w:rsid w:val="0044050A"/>
    <w:rsid w:val="00444D19"/>
    <w:rsid w:val="004536D3"/>
    <w:rsid w:val="004554E5"/>
    <w:rsid w:val="00457CA1"/>
    <w:rsid w:val="00461A11"/>
    <w:rsid w:val="00466174"/>
    <w:rsid w:val="00466636"/>
    <w:rsid w:val="004679B8"/>
    <w:rsid w:val="0047219D"/>
    <w:rsid w:val="00473A77"/>
    <w:rsid w:val="00473BDF"/>
    <w:rsid w:val="00474A1C"/>
    <w:rsid w:val="0047586E"/>
    <w:rsid w:val="00487C6E"/>
    <w:rsid w:val="004A172C"/>
    <w:rsid w:val="004A5F2D"/>
    <w:rsid w:val="004A7910"/>
    <w:rsid w:val="004B4D32"/>
    <w:rsid w:val="004B5485"/>
    <w:rsid w:val="004B6F48"/>
    <w:rsid w:val="004B737D"/>
    <w:rsid w:val="004B7D6E"/>
    <w:rsid w:val="004C08D1"/>
    <w:rsid w:val="004C26E6"/>
    <w:rsid w:val="004C6D72"/>
    <w:rsid w:val="004D021A"/>
    <w:rsid w:val="004D03D6"/>
    <w:rsid w:val="004D1D1F"/>
    <w:rsid w:val="004E188F"/>
    <w:rsid w:val="004F6CB6"/>
    <w:rsid w:val="00500071"/>
    <w:rsid w:val="00502A99"/>
    <w:rsid w:val="00502CB9"/>
    <w:rsid w:val="0050301F"/>
    <w:rsid w:val="00504243"/>
    <w:rsid w:val="00505920"/>
    <w:rsid w:val="00525DC6"/>
    <w:rsid w:val="005359EF"/>
    <w:rsid w:val="005404BA"/>
    <w:rsid w:val="00543280"/>
    <w:rsid w:val="0054599A"/>
    <w:rsid w:val="005506E0"/>
    <w:rsid w:val="00552476"/>
    <w:rsid w:val="005543C0"/>
    <w:rsid w:val="005567CD"/>
    <w:rsid w:val="00557612"/>
    <w:rsid w:val="00562FEE"/>
    <w:rsid w:val="005651F7"/>
    <w:rsid w:val="00567565"/>
    <w:rsid w:val="005716D4"/>
    <w:rsid w:val="0057555D"/>
    <w:rsid w:val="0057663A"/>
    <w:rsid w:val="005857B9"/>
    <w:rsid w:val="00591179"/>
    <w:rsid w:val="00591781"/>
    <w:rsid w:val="005940D1"/>
    <w:rsid w:val="005963F8"/>
    <w:rsid w:val="005A25CA"/>
    <w:rsid w:val="005A3A03"/>
    <w:rsid w:val="005A5F1C"/>
    <w:rsid w:val="005A770F"/>
    <w:rsid w:val="005B318C"/>
    <w:rsid w:val="005B7FB6"/>
    <w:rsid w:val="005C1924"/>
    <w:rsid w:val="005C5747"/>
    <w:rsid w:val="005D00FA"/>
    <w:rsid w:val="005D290C"/>
    <w:rsid w:val="005E0866"/>
    <w:rsid w:val="005E14E6"/>
    <w:rsid w:val="005E1C2A"/>
    <w:rsid w:val="005E3766"/>
    <w:rsid w:val="005E6E48"/>
    <w:rsid w:val="005F7F02"/>
    <w:rsid w:val="0060044E"/>
    <w:rsid w:val="00612D50"/>
    <w:rsid w:val="00613B71"/>
    <w:rsid w:val="00623047"/>
    <w:rsid w:val="006306D0"/>
    <w:rsid w:val="006315DD"/>
    <w:rsid w:val="00643218"/>
    <w:rsid w:val="006442D4"/>
    <w:rsid w:val="00644880"/>
    <w:rsid w:val="00655768"/>
    <w:rsid w:val="00656B5B"/>
    <w:rsid w:val="0065723F"/>
    <w:rsid w:val="00660730"/>
    <w:rsid w:val="00660F61"/>
    <w:rsid w:val="00662B05"/>
    <w:rsid w:val="006657E9"/>
    <w:rsid w:val="00665877"/>
    <w:rsid w:val="006768A8"/>
    <w:rsid w:val="00681002"/>
    <w:rsid w:val="006A4D85"/>
    <w:rsid w:val="006A55BB"/>
    <w:rsid w:val="006A5F21"/>
    <w:rsid w:val="006B1C1E"/>
    <w:rsid w:val="006B44D9"/>
    <w:rsid w:val="006C077E"/>
    <w:rsid w:val="006C2730"/>
    <w:rsid w:val="006C292B"/>
    <w:rsid w:val="006C75D7"/>
    <w:rsid w:val="006D29B2"/>
    <w:rsid w:val="006D4E5A"/>
    <w:rsid w:val="006D57E4"/>
    <w:rsid w:val="006E0A8A"/>
    <w:rsid w:val="006E25EC"/>
    <w:rsid w:val="006E409F"/>
    <w:rsid w:val="00700A3A"/>
    <w:rsid w:val="007033CF"/>
    <w:rsid w:val="00704E40"/>
    <w:rsid w:val="007124C0"/>
    <w:rsid w:val="00714794"/>
    <w:rsid w:val="007174B8"/>
    <w:rsid w:val="007237E3"/>
    <w:rsid w:val="00724A59"/>
    <w:rsid w:val="00730F01"/>
    <w:rsid w:val="007335F6"/>
    <w:rsid w:val="007418C2"/>
    <w:rsid w:val="0074263A"/>
    <w:rsid w:val="00753E19"/>
    <w:rsid w:val="007559F8"/>
    <w:rsid w:val="007578CE"/>
    <w:rsid w:val="00762334"/>
    <w:rsid w:val="007624D3"/>
    <w:rsid w:val="007654FC"/>
    <w:rsid w:val="007718E9"/>
    <w:rsid w:val="00782A42"/>
    <w:rsid w:val="007849D3"/>
    <w:rsid w:val="00791D26"/>
    <w:rsid w:val="00791D51"/>
    <w:rsid w:val="007937C1"/>
    <w:rsid w:val="0079395B"/>
    <w:rsid w:val="00794A0A"/>
    <w:rsid w:val="00797894"/>
    <w:rsid w:val="007A101A"/>
    <w:rsid w:val="007A64C7"/>
    <w:rsid w:val="007A7B6B"/>
    <w:rsid w:val="007B0B11"/>
    <w:rsid w:val="007B2070"/>
    <w:rsid w:val="007B20C7"/>
    <w:rsid w:val="007C3B75"/>
    <w:rsid w:val="007D7849"/>
    <w:rsid w:val="007E2764"/>
    <w:rsid w:val="007E54CE"/>
    <w:rsid w:val="00801FB9"/>
    <w:rsid w:val="00802E98"/>
    <w:rsid w:val="00815967"/>
    <w:rsid w:val="0081729F"/>
    <w:rsid w:val="00821F3C"/>
    <w:rsid w:val="00826FE7"/>
    <w:rsid w:val="00827695"/>
    <w:rsid w:val="00831B92"/>
    <w:rsid w:val="00831E58"/>
    <w:rsid w:val="00835292"/>
    <w:rsid w:val="00837649"/>
    <w:rsid w:val="008464B8"/>
    <w:rsid w:val="00847DC2"/>
    <w:rsid w:val="00853DE3"/>
    <w:rsid w:val="0085494D"/>
    <w:rsid w:val="00866191"/>
    <w:rsid w:val="00873DCC"/>
    <w:rsid w:val="0088047F"/>
    <w:rsid w:val="0088534C"/>
    <w:rsid w:val="00885BB4"/>
    <w:rsid w:val="008952C8"/>
    <w:rsid w:val="008A1018"/>
    <w:rsid w:val="008B1008"/>
    <w:rsid w:val="008B1D2B"/>
    <w:rsid w:val="008C7413"/>
    <w:rsid w:val="008D0862"/>
    <w:rsid w:val="008D34BA"/>
    <w:rsid w:val="008D686E"/>
    <w:rsid w:val="008E34A4"/>
    <w:rsid w:val="008F4781"/>
    <w:rsid w:val="008F4F55"/>
    <w:rsid w:val="008F5285"/>
    <w:rsid w:val="008F5C64"/>
    <w:rsid w:val="008F5EC5"/>
    <w:rsid w:val="00901B32"/>
    <w:rsid w:val="00911425"/>
    <w:rsid w:val="00912519"/>
    <w:rsid w:val="00917577"/>
    <w:rsid w:val="00925741"/>
    <w:rsid w:val="009413D3"/>
    <w:rsid w:val="00941CE3"/>
    <w:rsid w:val="009437E2"/>
    <w:rsid w:val="00945D7A"/>
    <w:rsid w:val="00946152"/>
    <w:rsid w:val="009518E1"/>
    <w:rsid w:val="0095267F"/>
    <w:rsid w:val="00953FE8"/>
    <w:rsid w:val="00957619"/>
    <w:rsid w:val="0096441A"/>
    <w:rsid w:val="0096487E"/>
    <w:rsid w:val="00972640"/>
    <w:rsid w:val="009756BE"/>
    <w:rsid w:val="009761DE"/>
    <w:rsid w:val="00976550"/>
    <w:rsid w:val="009800AE"/>
    <w:rsid w:val="00983852"/>
    <w:rsid w:val="00995882"/>
    <w:rsid w:val="009A538D"/>
    <w:rsid w:val="009B0366"/>
    <w:rsid w:val="009B46C8"/>
    <w:rsid w:val="009B62F1"/>
    <w:rsid w:val="009C161B"/>
    <w:rsid w:val="009C3D5F"/>
    <w:rsid w:val="009C4E74"/>
    <w:rsid w:val="009D0245"/>
    <w:rsid w:val="009D18DD"/>
    <w:rsid w:val="009D2F67"/>
    <w:rsid w:val="009D407C"/>
    <w:rsid w:val="009E00C6"/>
    <w:rsid w:val="009E2678"/>
    <w:rsid w:val="009E5C20"/>
    <w:rsid w:val="009F0C73"/>
    <w:rsid w:val="009F0E0C"/>
    <w:rsid w:val="009F10C4"/>
    <w:rsid w:val="009F2054"/>
    <w:rsid w:val="00A02033"/>
    <w:rsid w:val="00A05BF8"/>
    <w:rsid w:val="00A07D60"/>
    <w:rsid w:val="00A202A5"/>
    <w:rsid w:val="00A32869"/>
    <w:rsid w:val="00A34BEB"/>
    <w:rsid w:val="00A40B6F"/>
    <w:rsid w:val="00A41296"/>
    <w:rsid w:val="00A41D03"/>
    <w:rsid w:val="00A41FA6"/>
    <w:rsid w:val="00A43FE4"/>
    <w:rsid w:val="00A52B2B"/>
    <w:rsid w:val="00A5371B"/>
    <w:rsid w:val="00A545C8"/>
    <w:rsid w:val="00A54613"/>
    <w:rsid w:val="00A5601D"/>
    <w:rsid w:val="00A57340"/>
    <w:rsid w:val="00A805BB"/>
    <w:rsid w:val="00A810AD"/>
    <w:rsid w:val="00A847D8"/>
    <w:rsid w:val="00A86978"/>
    <w:rsid w:val="00A927BA"/>
    <w:rsid w:val="00A92EFA"/>
    <w:rsid w:val="00A93A22"/>
    <w:rsid w:val="00A949AD"/>
    <w:rsid w:val="00A95712"/>
    <w:rsid w:val="00AA5740"/>
    <w:rsid w:val="00AA69AC"/>
    <w:rsid w:val="00AA729A"/>
    <w:rsid w:val="00AB1925"/>
    <w:rsid w:val="00AB1A8A"/>
    <w:rsid w:val="00AB1FF5"/>
    <w:rsid w:val="00AB5D04"/>
    <w:rsid w:val="00AC703A"/>
    <w:rsid w:val="00AE4660"/>
    <w:rsid w:val="00AF2D77"/>
    <w:rsid w:val="00B03679"/>
    <w:rsid w:val="00B039E4"/>
    <w:rsid w:val="00B05810"/>
    <w:rsid w:val="00B113A6"/>
    <w:rsid w:val="00B11603"/>
    <w:rsid w:val="00B200D6"/>
    <w:rsid w:val="00B2114E"/>
    <w:rsid w:val="00B4416D"/>
    <w:rsid w:val="00B4466C"/>
    <w:rsid w:val="00B47EFF"/>
    <w:rsid w:val="00B5014D"/>
    <w:rsid w:val="00B52FD1"/>
    <w:rsid w:val="00B54718"/>
    <w:rsid w:val="00B55A8E"/>
    <w:rsid w:val="00B56D51"/>
    <w:rsid w:val="00B60393"/>
    <w:rsid w:val="00B60AD1"/>
    <w:rsid w:val="00B617D6"/>
    <w:rsid w:val="00B67FA2"/>
    <w:rsid w:val="00B73451"/>
    <w:rsid w:val="00B75136"/>
    <w:rsid w:val="00B755F5"/>
    <w:rsid w:val="00B759A4"/>
    <w:rsid w:val="00B83EEF"/>
    <w:rsid w:val="00B91C7F"/>
    <w:rsid w:val="00B94688"/>
    <w:rsid w:val="00B94FDC"/>
    <w:rsid w:val="00BA17D9"/>
    <w:rsid w:val="00BA3ED0"/>
    <w:rsid w:val="00BB64E6"/>
    <w:rsid w:val="00BB6C59"/>
    <w:rsid w:val="00BC0C9A"/>
    <w:rsid w:val="00BC1567"/>
    <w:rsid w:val="00BC1939"/>
    <w:rsid w:val="00BC651C"/>
    <w:rsid w:val="00BC6780"/>
    <w:rsid w:val="00BD51EC"/>
    <w:rsid w:val="00BD77ED"/>
    <w:rsid w:val="00BE13C8"/>
    <w:rsid w:val="00BE2AC1"/>
    <w:rsid w:val="00BE691B"/>
    <w:rsid w:val="00BE6DF8"/>
    <w:rsid w:val="00BE7C0A"/>
    <w:rsid w:val="00BF71D1"/>
    <w:rsid w:val="00C00413"/>
    <w:rsid w:val="00C057D6"/>
    <w:rsid w:val="00C15AFF"/>
    <w:rsid w:val="00C1654D"/>
    <w:rsid w:val="00C31A62"/>
    <w:rsid w:val="00C3317D"/>
    <w:rsid w:val="00C36B64"/>
    <w:rsid w:val="00C370E4"/>
    <w:rsid w:val="00C4687E"/>
    <w:rsid w:val="00C554A3"/>
    <w:rsid w:val="00C618C4"/>
    <w:rsid w:val="00C62B18"/>
    <w:rsid w:val="00C63CF4"/>
    <w:rsid w:val="00C64A14"/>
    <w:rsid w:val="00C7178A"/>
    <w:rsid w:val="00C7613B"/>
    <w:rsid w:val="00C80E4A"/>
    <w:rsid w:val="00C840C1"/>
    <w:rsid w:val="00C861CF"/>
    <w:rsid w:val="00C93D2E"/>
    <w:rsid w:val="00CA05CC"/>
    <w:rsid w:val="00CA6E6C"/>
    <w:rsid w:val="00CB2298"/>
    <w:rsid w:val="00CB76CD"/>
    <w:rsid w:val="00CC0B08"/>
    <w:rsid w:val="00CC4C96"/>
    <w:rsid w:val="00CC6192"/>
    <w:rsid w:val="00CC6606"/>
    <w:rsid w:val="00CD519F"/>
    <w:rsid w:val="00CD79BB"/>
    <w:rsid w:val="00CE2020"/>
    <w:rsid w:val="00CE3028"/>
    <w:rsid w:val="00CE60C2"/>
    <w:rsid w:val="00CF442E"/>
    <w:rsid w:val="00D12294"/>
    <w:rsid w:val="00D17EFF"/>
    <w:rsid w:val="00D22632"/>
    <w:rsid w:val="00D252BB"/>
    <w:rsid w:val="00D319AC"/>
    <w:rsid w:val="00D3228B"/>
    <w:rsid w:val="00D324BD"/>
    <w:rsid w:val="00D363FE"/>
    <w:rsid w:val="00D4056B"/>
    <w:rsid w:val="00D423A2"/>
    <w:rsid w:val="00D42574"/>
    <w:rsid w:val="00D42FDE"/>
    <w:rsid w:val="00D46827"/>
    <w:rsid w:val="00D47C9C"/>
    <w:rsid w:val="00D50EFC"/>
    <w:rsid w:val="00D529AD"/>
    <w:rsid w:val="00D52B3A"/>
    <w:rsid w:val="00D54FD4"/>
    <w:rsid w:val="00D609FF"/>
    <w:rsid w:val="00D62418"/>
    <w:rsid w:val="00D654B5"/>
    <w:rsid w:val="00D66C06"/>
    <w:rsid w:val="00D71331"/>
    <w:rsid w:val="00D71CC4"/>
    <w:rsid w:val="00D73703"/>
    <w:rsid w:val="00D7504F"/>
    <w:rsid w:val="00D8218E"/>
    <w:rsid w:val="00D82319"/>
    <w:rsid w:val="00D86633"/>
    <w:rsid w:val="00D87824"/>
    <w:rsid w:val="00D91228"/>
    <w:rsid w:val="00D921C2"/>
    <w:rsid w:val="00D93BBC"/>
    <w:rsid w:val="00D956F7"/>
    <w:rsid w:val="00D972D8"/>
    <w:rsid w:val="00DA1DEE"/>
    <w:rsid w:val="00DB0AD1"/>
    <w:rsid w:val="00DB4DC6"/>
    <w:rsid w:val="00DB5BD5"/>
    <w:rsid w:val="00DC0D8F"/>
    <w:rsid w:val="00DC1E48"/>
    <w:rsid w:val="00DC3D8E"/>
    <w:rsid w:val="00DC6A87"/>
    <w:rsid w:val="00DC7044"/>
    <w:rsid w:val="00DD2F6D"/>
    <w:rsid w:val="00DD2FEA"/>
    <w:rsid w:val="00DD45BE"/>
    <w:rsid w:val="00DE29DF"/>
    <w:rsid w:val="00DE554F"/>
    <w:rsid w:val="00DF4CA4"/>
    <w:rsid w:val="00DF6F0C"/>
    <w:rsid w:val="00DF7F93"/>
    <w:rsid w:val="00E0014D"/>
    <w:rsid w:val="00E10D86"/>
    <w:rsid w:val="00E12381"/>
    <w:rsid w:val="00E147C9"/>
    <w:rsid w:val="00E1726A"/>
    <w:rsid w:val="00E21E26"/>
    <w:rsid w:val="00E22B53"/>
    <w:rsid w:val="00E31B9E"/>
    <w:rsid w:val="00E31D73"/>
    <w:rsid w:val="00E35C53"/>
    <w:rsid w:val="00E40596"/>
    <w:rsid w:val="00E4063C"/>
    <w:rsid w:val="00E46FDE"/>
    <w:rsid w:val="00E47623"/>
    <w:rsid w:val="00E5079A"/>
    <w:rsid w:val="00E57329"/>
    <w:rsid w:val="00E57623"/>
    <w:rsid w:val="00E64C52"/>
    <w:rsid w:val="00E674E0"/>
    <w:rsid w:val="00E71762"/>
    <w:rsid w:val="00E82065"/>
    <w:rsid w:val="00E835A3"/>
    <w:rsid w:val="00E91006"/>
    <w:rsid w:val="00E94851"/>
    <w:rsid w:val="00E95620"/>
    <w:rsid w:val="00E97E49"/>
    <w:rsid w:val="00EA0E61"/>
    <w:rsid w:val="00EA1029"/>
    <w:rsid w:val="00EA1798"/>
    <w:rsid w:val="00EA4351"/>
    <w:rsid w:val="00EB621C"/>
    <w:rsid w:val="00EC1A49"/>
    <w:rsid w:val="00EC3388"/>
    <w:rsid w:val="00ED4891"/>
    <w:rsid w:val="00ED644D"/>
    <w:rsid w:val="00EE6B18"/>
    <w:rsid w:val="00EF1E0E"/>
    <w:rsid w:val="00EF7398"/>
    <w:rsid w:val="00EF7C35"/>
    <w:rsid w:val="00F06DFE"/>
    <w:rsid w:val="00F073DC"/>
    <w:rsid w:val="00F10066"/>
    <w:rsid w:val="00F10315"/>
    <w:rsid w:val="00F15F63"/>
    <w:rsid w:val="00F213B6"/>
    <w:rsid w:val="00F22521"/>
    <w:rsid w:val="00F22B57"/>
    <w:rsid w:val="00F300F9"/>
    <w:rsid w:val="00F302CE"/>
    <w:rsid w:val="00F326DD"/>
    <w:rsid w:val="00F41C71"/>
    <w:rsid w:val="00F4614B"/>
    <w:rsid w:val="00F61FDE"/>
    <w:rsid w:val="00F7665A"/>
    <w:rsid w:val="00F80098"/>
    <w:rsid w:val="00F802A3"/>
    <w:rsid w:val="00F80D67"/>
    <w:rsid w:val="00F842C9"/>
    <w:rsid w:val="00F86C29"/>
    <w:rsid w:val="00F95088"/>
    <w:rsid w:val="00FA063C"/>
    <w:rsid w:val="00FA45F7"/>
    <w:rsid w:val="00FB27B5"/>
    <w:rsid w:val="00FB67BC"/>
    <w:rsid w:val="00FB7E6D"/>
    <w:rsid w:val="00FC354E"/>
    <w:rsid w:val="00FC4A47"/>
    <w:rsid w:val="00FC53C3"/>
    <w:rsid w:val="00FD208D"/>
    <w:rsid w:val="00FD3248"/>
    <w:rsid w:val="00FD4882"/>
    <w:rsid w:val="00FD6368"/>
    <w:rsid w:val="00FD77B3"/>
    <w:rsid w:val="00FF00B5"/>
    <w:rsid w:val="00FF10FA"/>
    <w:rsid w:val="00FF279E"/>
    <w:rsid w:val="00FF3B20"/>
    <w:rsid w:val="00FF6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57E6EA"/>
  <w15:chartTrackingRefBased/>
  <w15:docId w15:val="{18C53CB5-AA5F-48FD-BF4E-D84AA98CB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2B2B"/>
  </w:style>
  <w:style w:type="paragraph" w:styleId="Heading1">
    <w:name w:val="heading 1"/>
    <w:basedOn w:val="Normal"/>
    <w:next w:val="Normal"/>
    <w:link w:val="Heading1Char"/>
    <w:uiPriority w:val="9"/>
    <w:qFormat/>
    <w:rsid w:val="00A52B2B"/>
    <w:pPr>
      <w:pBdr>
        <w:top w:val="single" w:sz="24" w:space="0" w:color="4A66AC" w:themeColor="accent1"/>
        <w:left w:val="single" w:sz="24" w:space="0" w:color="4A66AC" w:themeColor="accent1"/>
        <w:bottom w:val="single" w:sz="24" w:space="0" w:color="4A66AC" w:themeColor="accent1"/>
        <w:right w:val="single" w:sz="24" w:space="0" w:color="4A66AC" w:themeColor="accent1"/>
      </w:pBdr>
      <w:shd w:val="clear" w:color="auto" w:fill="4A66AC"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A52B2B"/>
    <w:pPr>
      <w:pBdr>
        <w:top w:val="single" w:sz="24" w:space="0" w:color="D9DFEF" w:themeColor="accent1" w:themeTint="33"/>
        <w:left w:val="single" w:sz="24" w:space="0" w:color="D9DFEF" w:themeColor="accent1" w:themeTint="33"/>
        <w:bottom w:val="single" w:sz="24" w:space="0" w:color="D9DFEF" w:themeColor="accent1" w:themeTint="33"/>
        <w:right w:val="single" w:sz="24" w:space="0" w:color="D9DFEF" w:themeColor="accent1" w:themeTint="33"/>
      </w:pBdr>
      <w:shd w:val="clear" w:color="auto" w:fill="D9DFEF"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A52B2B"/>
    <w:pPr>
      <w:pBdr>
        <w:top w:val="single" w:sz="6" w:space="2" w:color="4A66AC" w:themeColor="accent1"/>
      </w:pBdr>
      <w:spacing w:before="300" w:after="0"/>
      <w:outlineLvl w:val="2"/>
    </w:pPr>
    <w:rPr>
      <w:caps/>
      <w:color w:val="243255" w:themeColor="accent1" w:themeShade="7F"/>
      <w:spacing w:val="15"/>
    </w:rPr>
  </w:style>
  <w:style w:type="paragraph" w:styleId="Heading4">
    <w:name w:val="heading 4"/>
    <w:basedOn w:val="Normal"/>
    <w:next w:val="Normal"/>
    <w:link w:val="Heading4Char"/>
    <w:uiPriority w:val="9"/>
    <w:unhideWhenUsed/>
    <w:qFormat/>
    <w:rsid w:val="00A52B2B"/>
    <w:pPr>
      <w:pBdr>
        <w:top w:val="dotted" w:sz="6" w:space="2" w:color="4A66AC" w:themeColor="accent1"/>
      </w:pBdr>
      <w:spacing w:before="200" w:after="0"/>
      <w:outlineLvl w:val="3"/>
    </w:pPr>
    <w:rPr>
      <w:caps/>
      <w:color w:val="374C80" w:themeColor="accent1" w:themeShade="BF"/>
      <w:spacing w:val="10"/>
    </w:rPr>
  </w:style>
  <w:style w:type="paragraph" w:styleId="Heading5">
    <w:name w:val="heading 5"/>
    <w:basedOn w:val="Normal"/>
    <w:next w:val="Normal"/>
    <w:link w:val="Heading5Char"/>
    <w:uiPriority w:val="9"/>
    <w:unhideWhenUsed/>
    <w:qFormat/>
    <w:rsid w:val="00A52B2B"/>
    <w:pPr>
      <w:pBdr>
        <w:bottom w:val="single" w:sz="6" w:space="1" w:color="4A66AC" w:themeColor="accent1"/>
      </w:pBdr>
      <w:spacing w:before="200" w:after="0"/>
      <w:outlineLvl w:val="4"/>
    </w:pPr>
    <w:rPr>
      <w:caps/>
      <w:color w:val="374C80" w:themeColor="accent1" w:themeShade="BF"/>
      <w:spacing w:val="10"/>
    </w:rPr>
  </w:style>
  <w:style w:type="paragraph" w:styleId="Heading6">
    <w:name w:val="heading 6"/>
    <w:basedOn w:val="Normal"/>
    <w:next w:val="Normal"/>
    <w:link w:val="Heading6Char"/>
    <w:uiPriority w:val="9"/>
    <w:semiHidden/>
    <w:unhideWhenUsed/>
    <w:qFormat/>
    <w:rsid w:val="00A52B2B"/>
    <w:pPr>
      <w:pBdr>
        <w:bottom w:val="dotted" w:sz="6" w:space="1" w:color="4A66AC" w:themeColor="accent1"/>
      </w:pBdr>
      <w:spacing w:before="200" w:after="0"/>
      <w:outlineLvl w:val="5"/>
    </w:pPr>
    <w:rPr>
      <w:caps/>
      <w:color w:val="374C80" w:themeColor="accent1" w:themeShade="BF"/>
      <w:spacing w:val="10"/>
    </w:rPr>
  </w:style>
  <w:style w:type="paragraph" w:styleId="Heading7">
    <w:name w:val="heading 7"/>
    <w:basedOn w:val="Normal"/>
    <w:next w:val="Normal"/>
    <w:link w:val="Heading7Char"/>
    <w:uiPriority w:val="9"/>
    <w:semiHidden/>
    <w:unhideWhenUsed/>
    <w:qFormat/>
    <w:rsid w:val="00A52B2B"/>
    <w:pPr>
      <w:spacing w:before="200" w:after="0"/>
      <w:outlineLvl w:val="6"/>
    </w:pPr>
    <w:rPr>
      <w:caps/>
      <w:color w:val="374C80" w:themeColor="accent1" w:themeShade="BF"/>
      <w:spacing w:val="10"/>
    </w:rPr>
  </w:style>
  <w:style w:type="paragraph" w:styleId="Heading8">
    <w:name w:val="heading 8"/>
    <w:basedOn w:val="Normal"/>
    <w:next w:val="Normal"/>
    <w:link w:val="Heading8Char"/>
    <w:uiPriority w:val="9"/>
    <w:semiHidden/>
    <w:unhideWhenUsed/>
    <w:qFormat/>
    <w:rsid w:val="00A52B2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52B2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7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795"/>
  </w:style>
  <w:style w:type="paragraph" w:styleId="Footer">
    <w:name w:val="footer"/>
    <w:basedOn w:val="Normal"/>
    <w:link w:val="FooterChar"/>
    <w:uiPriority w:val="99"/>
    <w:unhideWhenUsed/>
    <w:rsid w:val="002637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795"/>
  </w:style>
  <w:style w:type="paragraph" w:styleId="IntenseQuote">
    <w:name w:val="Intense Quote"/>
    <w:basedOn w:val="Normal"/>
    <w:next w:val="Normal"/>
    <w:link w:val="IntenseQuoteChar"/>
    <w:uiPriority w:val="30"/>
    <w:qFormat/>
    <w:rsid w:val="00A52B2B"/>
    <w:pPr>
      <w:spacing w:before="240" w:after="240" w:line="240" w:lineRule="auto"/>
      <w:ind w:left="1080" w:right="1080"/>
      <w:jc w:val="center"/>
    </w:pPr>
    <w:rPr>
      <w:color w:val="4A66AC" w:themeColor="accent1"/>
      <w:sz w:val="24"/>
      <w:szCs w:val="24"/>
    </w:rPr>
  </w:style>
  <w:style w:type="character" w:customStyle="1" w:styleId="IntenseQuoteChar">
    <w:name w:val="Intense Quote Char"/>
    <w:basedOn w:val="DefaultParagraphFont"/>
    <w:link w:val="IntenseQuote"/>
    <w:uiPriority w:val="30"/>
    <w:rsid w:val="00A52B2B"/>
    <w:rPr>
      <w:color w:val="4A66AC" w:themeColor="accent1"/>
      <w:sz w:val="24"/>
      <w:szCs w:val="24"/>
    </w:rPr>
  </w:style>
  <w:style w:type="paragraph" w:styleId="ListParagraph">
    <w:name w:val="List Paragraph"/>
    <w:basedOn w:val="Normal"/>
    <w:link w:val="ListParagraphChar"/>
    <w:uiPriority w:val="34"/>
    <w:qFormat/>
    <w:rsid w:val="00263795"/>
    <w:pPr>
      <w:ind w:left="720"/>
      <w:contextualSpacing/>
    </w:pPr>
  </w:style>
  <w:style w:type="character" w:styleId="IntenseReference">
    <w:name w:val="Intense Reference"/>
    <w:uiPriority w:val="32"/>
    <w:qFormat/>
    <w:rsid w:val="00A52B2B"/>
    <w:rPr>
      <w:b/>
      <w:bCs/>
      <w:i/>
      <w:iCs/>
      <w:caps/>
      <w:color w:val="4A66AC" w:themeColor="accent1"/>
    </w:rPr>
  </w:style>
  <w:style w:type="character" w:customStyle="1" w:styleId="Heading2Char">
    <w:name w:val="Heading 2 Char"/>
    <w:basedOn w:val="DefaultParagraphFont"/>
    <w:link w:val="Heading2"/>
    <w:uiPriority w:val="9"/>
    <w:rsid w:val="00A52B2B"/>
    <w:rPr>
      <w:caps/>
      <w:spacing w:val="15"/>
      <w:shd w:val="clear" w:color="auto" w:fill="D9DFEF" w:themeFill="accent1" w:themeFillTint="33"/>
    </w:rPr>
  </w:style>
  <w:style w:type="character" w:customStyle="1" w:styleId="Heading1Char">
    <w:name w:val="Heading 1 Char"/>
    <w:basedOn w:val="DefaultParagraphFont"/>
    <w:link w:val="Heading1"/>
    <w:uiPriority w:val="9"/>
    <w:rsid w:val="00A52B2B"/>
    <w:rPr>
      <w:caps/>
      <w:color w:val="FFFFFF" w:themeColor="background1"/>
      <w:spacing w:val="15"/>
      <w:sz w:val="22"/>
      <w:szCs w:val="22"/>
      <w:shd w:val="clear" w:color="auto" w:fill="4A66AC" w:themeFill="accent1"/>
    </w:rPr>
  </w:style>
  <w:style w:type="character" w:styleId="IntenseEmphasis">
    <w:name w:val="Intense Emphasis"/>
    <w:uiPriority w:val="21"/>
    <w:qFormat/>
    <w:rsid w:val="00A52B2B"/>
    <w:rPr>
      <w:b/>
      <w:bCs/>
      <w:caps/>
      <w:color w:val="243255" w:themeColor="accent1" w:themeShade="7F"/>
      <w:spacing w:val="10"/>
    </w:rPr>
  </w:style>
  <w:style w:type="paragraph" w:styleId="FootnoteText">
    <w:name w:val="footnote text"/>
    <w:basedOn w:val="Normal"/>
    <w:link w:val="FootnoteTextChar"/>
    <w:uiPriority w:val="99"/>
    <w:semiHidden/>
    <w:unhideWhenUsed/>
    <w:rsid w:val="008952C8"/>
    <w:pPr>
      <w:spacing w:after="0" w:line="240" w:lineRule="auto"/>
    </w:pPr>
  </w:style>
  <w:style w:type="character" w:customStyle="1" w:styleId="FootnoteTextChar">
    <w:name w:val="Footnote Text Char"/>
    <w:basedOn w:val="DefaultParagraphFont"/>
    <w:link w:val="FootnoteText"/>
    <w:uiPriority w:val="99"/>
    <w:semiHidden/>
    <w:rsid w:val="008952C8"/>
    <w:rPr>
      <w:sz w:val="20"/>
      <w:szCs w:val="20"/>
    </w:rPr>
  </w:style>
  <w:style w:type="character" w:styleId="FootnoteReference">
    <w:name w:val="footnote reference"/>
    <w:basedOn w:val="DefaultParagraphFont"/>
    <w:uiPriority w:val="99"/>
    <w:semiHidden/>
    <w:unhideWhenUsed/>
    <w:rsid w:val="008952C8"/>
    <w:rPr>
      <w:vertAlign w:val="superscript"/>
    </w:rPr>
  </w:style>
  <w:style w:type="paragraph" w:styleId="NormalWeb">
    <w:name w:val="Normal (Web)"/>
    <w:basedOn w:val="Normal"/>
    <w:uiPriority w:val="99"/>
    <w:unhideWhenUsed/>
    <w:rsid w:val="004B6F48"/>
    <w:pPr>
      <w:spacing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2114E"/>
    <w:rPr>
      <w:sz w:val="16"/>
      <w:szCs w:val="16"/>
    </w:rPr>
  </w:style>
  <w:style w:type="paragraph" w:styleId="CommentText">
    <w:name w:val="annotation text"/>
    <w:basedOn w:val="Normal"/>
    <w:link w:val="CommentTextChar"/>
    <w:uiPriority w:val="99"/>
    <w:unhideWhenUsed/>
    <w:rsid w:val="00B2114E"/>
    <w:pPr>
      <w:spacing w:line="240" w:lineRule="auto"/>
    </w:pPr>
  </w:style>
  <w:style w:type="character" w:customStyle="1" w:styleId="CommentTextChar">
    <w:name w:val="Comment Text Char"/>
    <w:basedOn w:val="DefaultParagraphFont"/>
    <w:link w:val="CommentText"/>
    <w:uiPriority w:val="99"/>
    <w:rsid w:val="00B2114E"/>
    <w:rPr>
      <w:sz w:val="20"/>
      <w:szCs w:val="20"/>
    </w:rPr>
  </w:style>
  <w:style w:type="paragraph" w:styleId="CommentSubject">
    <w:name w:val="annotation subject"/>
    <w:basedOn w:val="CommentText"/>
    <w:next w:val="CommentText"/>
    <w:link w:val="CommentSubjectChar"/>
    <w:uiPriority w:val="99"/>
    <w:semiHidden/>
    <w:unhideWhenUsed/>
    <w:rsid w:val="00B2114E"/>
    <w:rPr>
      <w:b/>
      <w:bCs/>
    </w:rPr>
  </w:style>
  <w:style w:type="character" w:customStyle="1" w:styleId="CommentSubjectChar">
    <w:name w:val="Comment Subject Char"/>
    <w:basedOn w:val="CommentTextChar"/>
    <w:link w:val="CommentSubject"/>
    <w:uiPriority w:val="99"/>
    <w:semiHidden/>
    <w:rsid w:val="00B2114E"/>
    <w:rPr>
      <w:b/>
      <w:bCs/>
      <w:sz w:val="20"/>
      <w:szCs w:val="20"/>
    </w:rPr>
  </w:style>
  <w:style w:type="paragraph" w:styleId="BalloonText">
    <w:name w:val="Balloon Text"/>
    <w:basedOn w:val="Normal"/>
    <w:link w:val="BalloonTextChar"/>
    <w:uiPriority w:val="99"/>
    <w:semiHidden/>
    <w:unhideWhenUsed/>
    <w:rsid w:val="00B211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14E"/>
    <w:rPr>
      <w:rFonts w:ascii="Segoe UI" w:hAnsi="Segoe UI" w:cs="Segoe UI"/>
      <w:sz w:val="18"/>
      <w:szCs w:val="18"/>
    </w:rPr>
  </w:style>
  <w:style w:type="paragraph" w:styleId="EndnoteText">
    <w:name w:val="endnote text"/>
    <w:basedOn w:val="Normal"/>
    <w:link w:val="EndnoteTextChar"/>
    <w:uiPriority w:val="99"/>
    <w:semiHidden/>
    <w:unhideWhenUsed/>
    <w:rsid w:val="00B47EFF"/>
    <w:pPr>
      <w:spacing w:after="0" w:line="240" w:lineRule="auto"/>
    </w:pPr>
  </w:style>
  <w:style w:type="character" w:customStyle="1" w:styleId="EndnoteTextChar">
    <w:name w:val="Endnote Text Char"/>
    <w:basedOn w:val="DefaultParagraphFont"/>
    <w:link w:val="EndnoteText"/>
    <w:uiPriority w:val="99"/>
    <w:semiHidden/>
    <w:rsid w:val="00B47EFF"/>
    <w:rPr>
      <w:sz w:val="20"/>
      <w:szCs w:val="20"/>
    </w:rPr>
  </w:style>
  <w:style w:type="character" w:styleId="EndnoteReference">
    <w:name w:val="endnote reference"/>
    <w:basedOn w:val="DefaultParagraphFont"/>
    <w:uiPriority w:val="99"/>
    <w:semiHidden/>
    <w:unhideWhenUsed/>
    <w:rsid w:val="00B47EFF"/>
    <w:rPr>
      <w:vertAlign w:val="superscript"/>
    </w:rPr>
  </w:style>
  <w:style w:type="character" w:styleId="Hyperlink">
    <w:name w:val="Hyperlink"/>
    <w:basedOn w:val="DefaultParagraphFont"/>
    <w:uiPriority w:val="99"/>
    <w:unhideWhenUsed/>
    <w:rsid w:val="00B47EFF"/>
    <w:rPr>
      <w:color w:val="9454C3" w:themeColor="hyperlink"/>
      <w:u w:val="single"/>
    </w:rPr>
  </w:style>
  <w:style w:type="character" w:customStyle="1" w:styleId="Heading3Char">
    <w:name w:val="Heading 3 Char"/>
    <w:basedOn w:val="DefaultParagraphFont"/>
    <w:link w:val="Heading3"/>
    <w:uiPriority w:val="9"/>
    <w:rsid w:val="00A52B2B"/>
    <w:rPr>
      <w:caps/>
      <w:color w:val="243255" w:themeColor="accent1" w:themeShade="7F"/>
      <w:spacing w:val="15"/>
    </w:rPr>
  </w:style>
  <w:style w:type="character" w:customStyle="1" w:styleId="Heading4Char">
    <w:name w:val="Heading 4 Char"/>
    <w:basedOn w:val="DefaultParagraphFont"/>
    <w:link w:val="Heading4"/>
    <w:uiPriority w:val="9"/>
    <w:rsid w:val="00A52B2B"/>
    <w:rPr>
      <w:caps/>
      <w:color w:val="374C80" w:themeColor="accent1" w:themeShade="BF"/>
      <w:spacing w:val="10"/>
    </w:rPr>
  </w:style>
  <w:style w:type="paragraph" w:styleId="NoSpacing">
    <w:name w:val="No Spacing"/>
    <w:link w:val="NoSpacingChar"/>
    <w:uiPriority w:val="1"/>
    <w:qFormat/>
    <w:rsid w:val="00A52B2B"/>
    <w:pPr>
      <w:spacing w:after="0" w:line="240" w:lineRule="auto"/>
    </w:pPr>
  </w:style>
  <w:style w:type="character" w:customStyle="1" w:styleId="NoSpacingChar">
    <w:name w:val="No Spacing Char"/>
    <w:basedOn w:val="DefaultParagraphFont"/>
    <w:link w:val="NoSpacing"/>
    <w:uiPriority w:val="1"/>
    <w:rsid w:val="00D91228"/>
  </w:style>
  <w:style w:type="table" w:styleId="TableGrid">
    <w:name w:val="Table Grid"/>
    <w:basedOn w:val="TableNormal"/>
    <w:uiPriority w:val="39"/>
    <w:rsid w:val="00D91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A52B2B"/>
    <w:rPr>
      <w:caps/>
      <w:color w:val="243255" w:themeColor="accent1" w:themeShade="7F"/>
      <w:spacing w:val="5"/>
    </w:rPr>
  </w:style>
  <w:style w:type="character" w:customStyle="1" w:styleId="Heading5Char">
    <w:name w:val="Heading 5 Char"/>
    <w:basedOn w:val="DefaultParagraphFont"/>
    <w:link w:val="Heading5"/>
    <w:uiPriority w:val="9"/>
    <w:rsid w:val="00A52B2B"/>
    <w:rPr>
      <w:caps/>
      <w:color w:val="374C80" w:themeColor="accent1" w:themeShade="BF"/>
      <w:spacing w:val="10"/>
    </w:rPr>
  </w:style>
  <w:style w:type="paragraph" w:styleId="Revision">
    <w:name w:val="Revision"/>
    <w:hidden/>
    <w:uiPriority w:val="99"/>
    <w:semiHidden/>
    <w:rsid w:val="005D290C"/>
    <w:pPr>
      <w:spacing w:after="0" w:line="240" w:lineRule="auto"/>
    </w:pPr>
  </w:style>
  <w:style w:type="paragraph" w:styleId="TOCHeading">
    <w:name w:val="TOC Heading"/>
    <w:basedOn w:val="Heading1"/>
    <w:next w:val="Normal"/>
    <w:uiPriority w:val="39"/>
    <w:unhideWhenUsed/>
    <w:qFormat/>
    <w:rsid w:val="00A52B2B"/>
    <w:pPr>
      <w:outlineLvl w:val="9"/>
    </w:pPr>
  </w:style>
  <w:style w:type="paragraph" w:styleId="TOC1">
    <w:name w:val="toc 1"/>
    <w:basedOn w:val="Normal"/>
    <w:next w:val="Normal"/>
    <w:autoRedefine/>
    <w:uiPriority w:val="39"/>
    <w:unhideWhenUsed/>
    <w:rsid w:val="00157053"/>
    <w:pPr>
      <w:spacing w:after="100"/>
    </w:pPr>
  </w:style>
  <w:style w:type="paragraph" w:styleId="TOC2">
    <w:name w:val="toc 2"/>
    <w:basedOn w:val="Normal"/>
    <w:next w:val="Normal"/>
    <w:autoRedefine/>
    <w:uiPriority w:val="39"/>
    <w:unhideWhenUsed/>
    <w:rsid w:val="00157053"/>
    <w:pPr>
      <w:spacing w:after="100"/>
      <w:ind w:left="220"/>
    </w:pPr>
  </w:style>
  <w:style w:type="paragraph" w:styleId="TOC3">
    <w:name w:val="toc 3"/>
    <w:basedOn w:val="Normal"/>
    <w:next w:val="Normal"/>
    <w:autoRedefine/>
    <w:uiPriority w:val="39"/>
    <w:unhideWhenUsed/>
    <w:rsid w:val="00157053"/>
    <w:pPr>
      <w:spacing w:after="100"/>
      <w:ind w:left="440"/>
    </w:pPr>
    <w:rPr>
      <w:rFonts w:cs="Times New Roman"/>
    </w:rPr>
  </w:style>
  <w:style w:type="character" w:customStyle="1" w:styleId="Heading6Char">
    <w:name w:val="Heading 6 Char"/>
    <w:basedOn w:val="DefaultParagraphFont"/>
    <w:link w:val="Heading6"/>
    <w:uiPriority w:val="9"/>
    <w:semiHidden/>
    <w:rsid w:val="00A52B2B"/>
    <w:rPr>
      <w:caps/>
      <w:color w:val="374C80" w:themeColor="accent1" w:themeShade="BF"/>
      <w:spacing w:val="10"/>
    </w:rPr>
  </w:style>
  <w:style w:type="character" w:customStyle="1" w:styleId="Heading7Char">
    <w:name w:val="Heading 7 Char"/>
    <w:basedOn w:val="DefaultParagraphFont"/>
    <w:link w:val="Heading7"/>
    <w:uiPriority w:val="9"/>
    <w:semiHidden/>
    <w:rsid w:val="00A52B2B"/>
    <w:rPr>
      <w:caps/>
      <w:color w:val="374C80" w:themeColor="accent1" w:themeShade="BF"/>
      <w:spacing w:val="10"/>
    </w:rPr>
  </w:style>
  <w:style w:type="character" w:customStyle="1" w:styleId="Heading8Char">
    <w:name w:val="Heading 8 Char"/>
    <w:basedOn w:val="DefaultParagraphFont"/>
    <w:link w:val="Heading8"/>
    <w:uiPriority w:val="9"/>
    <w:semiHidden/>
    <w:rsid w:val="00A52B2B"/>
    <w:rPr>
      <w:caps/>
      <w:spacing w:val="10"/>
      <w:sz w:val="18"/>
      <w:szCs w:val="18"/>
    </w:rPr>
  </w:style>
  <w:style w:type="character" w:customStyle="1" w:styleId="Heading9Char">
    <w:name w:val="Heading 9 Char"/>
    <w:basedOn w:val="DefaultParagraphFont"/>
    <w:link w:val="Heading9"/>
    <w:uiPriority w:val="9"/>
    <w:semiHidden/>
    <w:rsid w:val="00A52B2B"/>
    <w:rPr>
      <w:i/>
      <w:iCs/>
      <w:caps/>
      <w:spacing w:val="10"/>
      <w:sz w:val="18"/>
      <w:szCs w:val="18"/>
    </w:rPr>
  </w:style>
  <w:style w:type="paragraph" w:styleId="Caption">
    <w:name w:val="caption"/>
    <w:basedOn w:val="Normal"/>
    <w:next w:val="Normal"/>
    <w:uiPriority w:val="35"/>
    <w:semiHidden/>
    <w:unhideWhenUsed/>
    <w:qFormat/>
    <w:rsid w:val="00A52B2B"/>
    <w:rPr>
      <w:b/>
      <w:bCs/>
      <w:color w:val="374C80" w:themeColor="accent1" w:themeShade="BF"/>
      <w:sz w:val="16"/>
      <w:szCs w:val="16"/>
    </w:rPr>
  </w:style>
  <w:style w:type="paragraph" w:styleId="Title">
    <w:name w:val="Title"/>
    <w:basedOn w:val="Normal"/>
    <w:next w:val="Normal"/>
    <w:link w:val="TitleChar"/>
    <w:uiPriority w:val="10"/>
    <w:qFormat/>
    <w:rsid w:val="00A52B2B"/>
    <w:pPr>
      <w:spacing w:before="0" w:after="0"/>
    </w:pPr>
    <w:rPr>
      <w:rFonts w:asciiTheme="majorHAnsi" w:eastAsiaTheme="majorEastAsia" w:hAnsiTheme="majorHAnsi" w:cstheme="majorBidi"/>
      <w:caps/>
      <w:color w:val="4A66AC" w:themeColor="accent1"/>
      <w:spacing w:val="10"/>
      <w:sz w:val="52"/>
      <w:szCs w:val="52"/>
    </w:rPr>
  </w:style>
  <w:style w:type="character" w:customStyle="1" w:styleId="TitleChar">
    <w:name w:val="Title Char"/>
    <w:basedOn w:val="DefaultParagraphFont"/>
    <w:link w:val="Title"/>
    <w:uiPriority w:val="10"/>
    <w:rsid w:val="00A52B2B"/>
    <w:rPr>
      <w:rFonts w:asciiTheme="majorHAnsi" w:eastAsiaTheme="majorEastAsia" w:hAnsiTheme="majorHAnsi" w:cstheme="majorBidi"/>
      <w:caps/>
      <w:color w:val="4A66AC" w:themeColor="accent1"/>
      <w:spacing w:val="10"/>
      <w:sz w:val="52"/>
      <w:szCs w:val="52"/>
    </w:rPr>
  </w:style>
  <w:style w:type="paragraph" w:styleId="Subtitle">
    <w:name w:val="Subtitle"/>
    <w:basedOn w:val="Normal"/>
    <w:next w:val="Normal"/>
    <w:link w:val="SubtitleChar"/>
    <w:uiPriority w:val="11"/>
    <w:qFormat/>
    <w:rsid w:val="00A52B2B"/>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A52B2B"/>
    <w:rPr>
      <w:caps/>
      <w:color w:val="595959" w:themeColor="text1" w:themeTint="A6"/>
      <w:spacing w:val="10"/>
      <w:sz w:val="21"/>
      <w:szCs w:val="21"/>
    </w:rPr>
  </w:style>
  <w:style w:type="character" w:styleId="Strong">
    <w:name w:val="Strong"/>
    <w:uiPriority w:val="22"/>
    <w:qFormat/>
    <w:rsid w:val="00A52B2B"/>
    <w:rPr>
      <w:b/>
      <w:bCs/>
    </w:rPr>
  </w:style>
  <w:style w:type="paragraph" w:styleId="Quote">
    <w:name w:val="Quote"/>
    <w:basedOn w:val="Normal"/>
    <w:next w:val="Normal"/>
    <w:link w:val="QuoteChar"/>
    <w:uiPriority w:val="29"/>
    <w:qFormat/>
    <w:rsid w:val="00A52B2B"/>
    <w:rPr>
      <w:i/>
      <w:iCs/>
      <w:sz w:val="24"/>
      <w:szCs w:val="24"/>
    </w:rPr>
  </w:style>
  <w:style w:type="character" w:customStyle="1" w:styleId="QuoteChar">
    <w:name w:val="Quote Char"/>
    <w:basedOn w:val="DefaultParagraphFont"/>
    <w:link w:val="Quote"/>
    <w:uiPriority w:val="29"/>
    <w:rsid w:val="00A52B2B"/>
    <w:rPr>
      <w:i/>
      <w:iCs/>
      <w:sz w:val="24"/>
      <w:szCs w:val="24"/>
    </w:rPr>
  </w:style>
  <w:style w:type="character" w:styleId="SubtleEmphasis">
    <w:name w:val="Subtle Emphasis"/>
    <w:uiPriority w:val="19"/>
    <w:qFormat/>
    <w:rsid w:val="00A52B2B"/>
    <w:rPr>
      <w:i/>
      <w:iCs/>
      <w:color w:val="243255" w:themeColor="accent1" w:themeShade="7F"/>
    </w:rPr>
  </w:style>
  <w:style w:type="character" w:styleId="SubtleReference">
    <w:name w:val="Subtle Reference"/>
    <w:uiPriority w:val="31"/>
    <w:qFormat/>
    <w:rsid w:val="00A52B2B"/>
    <w:rPr>
      <w:b/>
      <w:bCs/>
      <w:color w:val="4A66AC" w:themeColor="accent1"/>
    </w:rPr>
  </w:style>
  <w:style w:type="character" w:styleId="BookTitle">
    <w:name w:val="Book Title"/>
    <w:uiPriority w:val="33"/>
    <w:qFormat/>
    <w:rsid w:val="00A52B2B"/>
    <w:rPr>
      <w:b/>
      <w:bCs/>
      <w:i/>
      <w:iCs/>
      <w:spacing w:val="0"/>
    </w:rPr>
  </w:style>
  <w:style w:type="character" w:customStyle="1" w:styleId="prov2txtil">
    <w:name w:val="prov2txtil"/>
    <w:basedOn w:val="DefaultParagraphFont"/>
    <w:rsid w:val="000F0C2A"/>
  </w:style>
  <w:style w:type="character" w:customStyle="1" w:styleId="ListParagraphChar">
    <w:name w:val="List Paragraph Char"/>
    <w:basedOn w:val="DefaultParagraphFont"/>
    <w:link w:val="ListParagraph"/>
    <w:uiPriority w:val="34"/>
    <w:locked/>
    <w:rsid w:val="00E31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13520">
      <w:bodyDiv w:val="1"/>
      <w:marLeft w:val="0"/>
      <w:marRight w:val="0"/>
      <w:marTop w:val="0"/>
      <w:marBottom w:val="0"/>
      <w:divBdr>
        <w:top w:val="none" w:sz="0" w:space="0" w:color="auto"/>
        <w:left w:val="none" w:sz="0" w:space="0" w:color="auto"/>
        <w:bottom w:val="none" w:sz="0" w:space="0" w:color="auto"/>
        <w:right w:val="none" w:sz="0" w:space="0" w:color="auto"/>
      </w:divBdr>
      <w:divsChild>
        <w:div w:id="275601717">
          <w:marLeft w:val="0"/>
          <w:marRight w:val="0"/>
          <w:marTop w:val="0"/>
          <w:marBottom w:val="0"/>
          <w:divBdr>
            <w:top w:val="none" w:sz="0" w:space="0" w:color="auto"/>
            <w:left w:val="none" w:sz="0" w:space="0" w:color="auto"/>
            <w:bottom w:val="none" w:sz="0" w:space="0" w:color="auto"/>
            <w:right w:val="none" w:sz="0" w:space="0" w:color="auto"/>
          </w:divBdr>
          <w:divsChild>
            <w:div w:id="1503351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4579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80958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5338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664168">
      <w:bodyDiv w:val="1"/>
      <w:marLeft w:val="0"/>
      <w:marRight w:val="0"/>
      <w:marTop w:val="0"/>
      <w:marBottom w:val="0"/>
      <w:divBdr>
        <w:top w:val="none" w:sz="0" w:space="0" w:color="auto"/>
        <w:left w:val="none" w:sz="0" w:space="0" w:color="auto"/>
        <w:bottom w:val="none" w:sz="0" w:space="0" w:color="auto"/>
        <w:right w:val="none" w:sz="0" w:space="0" w:color="auto"/>
      </w:divBdr>
    </w:div>
    <w:div w:id="489174153">
      <w:bodyDiv w:val="1"/>
      <w:marLeft w:val="0"/>
      <w:marRight w:val="0"/>
      <w:marTop w:val="0"/>
      <w:marBottom w:val="0"/>
      <w:divBdr>
        <w:top w:val="none" w:sz="0" w:space="0" w:color="auto"/>
        <w:left w:val="none" w:sz="0" w:space="0" w:color="auto"/>
        <w:bottom w:val="none" w:sz="0" w:space="0" w:color="auto"/>
        <w:right w:val="none" w:sz="0" w:space="0" w:color="auto"/>
      </w:divBdr>
    </w:div>
    <w:div w:id="490949028">
      <w:bodyDiv w:val="1"/>
      <w:marLeft w:val="0"/>
      <w:marRight w:val="0"/>
      <w:marTop w:val="0"/>
      <w:marBottom w:val="0"/>
      <w:divBdr>
        <w:top w:val="none" w:sz="0" w:space="0" w:color="auto"/>
        <w:left w:val="none" w:sz="0" w:space="0" w:color="auto"/>
        <w:bottom w:val="none" w:sz="0" w:space="0" w:color="auto"/>
        <w:right w:val="none" w:sz="0" w:space="0" w:color="auto"/>
      </w:divBdr>
    </w:div>
    <w:div w:id="862129141">
      <w:bodyDiv w:val="1"/>
      <w:marLeft w:val="0"/>
      <w:marRight w:val="0"/>
      <w:marTop w:val="0"/>
      <w:marBottom w:val="0"/>
      <w:divBdr>
        <w:top w:val="none" w:sz="0" w:space="0" w:color="auto"/>
        <w:left w:val="none" w:sz="0" w:space="0" w:color="auto"/>
        <w:bottom w:val="none" w:sz="0" w:space="0" w:color="auto"/>
        <w:right w:val="none" w:sz="0" w:space="0" w:color="auto"/>
      </w:divBdr>
    </w:div>
    <w:div w:id="1075249400">
      <w:bodyDiv w:val="1"/>
      <w:marLeft w:val="0"/>
      <w:marRight w:val="0"/>
      <w:marTop w:val="0"/>
      <w:marBottom w:val="0"/>
      <w:divBdr>
        <w:top w:val="none" w:sz="0" w:space="0" w:color="auto"/>
        <w:left w:val="none" w:sz="0" w:space="0" w:color="auto"/>
        <w:bottom w:val="none" w:sz="0" w:space="0" w:color="auto"/>
        <w:right w:val="none" w:sz="0" w:space="0" w:color="auto"/>
      </w:divBdr>
    </w:div>
    <w:div w:id="1152990231">
      <w:bodyDiv w:val="1"/>
      <w:marLeft w:val="0"/>
      <w:marRight w:val="0"/>
      <w:marTop w:val="0"/>
      <w:marBottom w:val="0"/>
      <w:divBdr>
        <w:top w:val="none" w:sz="0" w:space="0" w:color="auto"/>
        <w:left w:val="none" w:sz="0" w:space="0" w:color="auto"/>
        <w:bottom w:val="none" w:sz="0" w:space="0" w:color="auto"/>
        <w:right w:val="none" w:sz="0" w:space="0" w:color="auto"/>
      </w:divBdr>
    </w:div>
    <w:div w:id="1259101115">
      <w:bodyDiv w:val="1"/>
      <w:marLeft w:val="0"/>
      <w:marRight w:val="0"/>
      <w:marTop w:val="0"/>
      <w:marBottom w:val="0"/>
      <w:divBdr>
        <w:top w:val="none" w:sz="0" w:space="0" w:color="auto"/>
        <w:left w:val="none" w:sz="0" w:space="0" w:color="auto"/>
        <w:bottom w:val="none" w:sz="0" w:space="0" w:color="auto"/>
        <w:right w:val="none" w:sz="0" w:space="0" w:color="auto"/>
      </w:divBdr>
    </w:div>
    <w:div w:id="1293634311">
      <w:bodyDiv w:val="1"/>
      <w:marLeft w:val="0"/>
      <w:marRight w:val="0"/>
      <w:marTop w:val="0"/>
      <w:marBottom w:val="0"/>
      <w:divBdr>
        <w:top w:val="none" w:sz="0" w:space="0" w:color="auto"/>
        <w:left w:val="none" w:sz="0" w:space="0" w:color="auto"/>
        <w:bottom w:val="none" w:sz="0" w:space="0" w:color="auto"/>
        <w:right w:val="none" w:sz="0" w:space="0" w:color="auto"/>
      </w:divBdr>
    </w:div>
    <w:div w:id="1339966047">
      <w:bodyDiv w:val="1"/>
      <w:marLeft w:val="0"/>
      <w:marRight w:val="0"/>
      <w:marTop w:val="0"/>
      <w:marBottom w:val="0"/>
      <w:divBdr>
        <w:top w:val="none" w:sz="0" w:space="0" w:color="auto"/>
        <w:left w:val="none" w:sz="0" w:space="0" w:color="auto"/>
        <w:bottom w:val="none" w:sz="0" w:space="0" w:color="auto"/>
        <w:right w:val="none" w:sz="0" w:space="0" w:color="auto"/>
      </w:divBdr>
    </w:div>
    <w:div w:id="1720976551">
      <w:bodyDiv w:val="1"/>
      <w:marLeft w:val="0"/>
      <w:marRight w:val="0"/>
      <w:marTop w:val="0"/>
      <w:marBottom w:val="0"/>
      <w:divBdr>
        <w:top w:val="none" w:sz="0" w:space="0" w:color="auto"/>
        <w:left w:val="none" w:sz="0" w:space="0" w:color="auto"/>
        <w:bottom w:val="none" w:sz="0" w:space="0" w:color="auto"/>
        <w:right w:val="none" w:sz="0" w:space="0" w:color="auto"/>
      </w:divBdr>
      <w:divsChild>
        <w:div w:id="1156844544">
          <w:marLeft w:val="0"/>
          <w:marRight w:val="0"/>
          <w:marTop w:val="0"/>
          <w:marBottom w:val="0"/>
          <w:divBdr>
            <w:top w:val="none" w:sz="0" w:space="0" w:color="auto"/>
            <w:left w:val="none" w:sz="0" w:space="0" w:color="auto"/>
            <w:bottom w:val="none" w:sz="0" w:space="0" w:color="auto"/>
            <w:right w:val="none" w:sz="0" w:space="0" w:color="auto"/>
          </w:divBdr>
          <w:divsChild>
            <w:div w:id="978656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6516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74169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6077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397614B75B84E4C841CE911BA0CCB9D" ma:contentTypeVersion="0" ma:contentTypeDescription="Create a new document." ma:contentTypeScope="" ma:versionID="1767317f18db5fda6be79de3c4e3da6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714008-D291-4E57-9FEB-1FEFE0868375}">
  <ds:schemaRefs>
    <ds:schemaRef ds:uri="http://schemas.openxmlformats.org/officeDocument/2006/bibliography"/>
  </ds:schemaRefs>
</ds:datastoreItem>
</file>

<file path=customXml/itemProps2.xml><?xml version="1.0" encoding="utf-8"?>
<ds:datastoreItem xmlns:ds="http://schemas.openxmlformats.org/officeDocument/2006/customXml" ds:itemID="{F401F541-B546-4570-B37E-2A4D905357FA}"/>
</file>

<file path=customXml/itemProps3.xml><?xml version="1.0" encoding="utf-8"?>
<ds:datastoreItem xmlns:ds="http://schemas.openxmlformats.org/officeDocument/2006/customXml" ds:itemID="{2254FC26-A9A5-4F08-A53A-B7C598D916D1}"/>
</file>

<file path=customXml/itemProps4.xml><?xml version="1.0" encoding="utf-8"?>
<ds:datastoreItem xmlns:ds="http://schemas.openxmlformats.org/officeDocument/2006/customXml" ds:itemID="{B6CF739C-F1FC-4A91-A73B-1584BAB7B076}"/>
</file>

<file path=docProps/app.xml><?xml version="1.0" encoding="utf-8"?>
<Properties xmlns="http://schemas.openxmlformats.org/officeDocument/2006/extended-properties" xmlns:vt="http://schemas.openxmlformats.org/officeDocument/2006/docPropsVTypes">
  <Template>Normal.dotm</Template>
  <TotalTime>3</TotalTime>
  <Pages>8</Pages>
  <Words>1665</Words>
  <Characters>9493</Characters>
  <Application>Microsoft Office Word</Application>
  <DocSecurity>2</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11136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Bresnahan</dc:creator>
  <cp:keywords/>
  <dc:description/>
  <cp:lastModifiedBy>Erin Bresnahan</cp:lastModifiedBy>
  <cp:revision>5</cp:revision>
  <cp:lastPrinted>2020-01-03T22:52:00Z</cp:lastPrinted>
  <dcterms:created xsi:type="dcterms:W3CDTF">2022-10-03T17:06:00Z</dcterms:created>
  <dcterms:modified xsi:type="dcterms:W3CDTF">2022-10-03T17:09:00Z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0x010100F397614B75B84E4C841CE911BA0CCB9D</vt:lpwstr>
  </property>
</Properties>
</file>