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5468" w14:textId="77777777" w:rsidR="00004160" w:rsidRPr="00B4084A" w:rsidRDefault="00004160" w:rsidP="00004160">
      <w:pPr>
        <w:spacing w:line="276" w:lineRule="auto"/>
        <w:jc w:val="center"/>
        <w:rPr>
          <w:rFonts w:asciiTheme="majorBidi" w:hAnsiTheme="majorBidi" w:cstheme="majorBidi"/>
          <w:b/>
          <w:bCs/>
          <w:sz w:val="32"/>
          <w:szCs w:val="32"/>
          <w:lang w:bidi="ar-EG"/>
        </w:rPr>
      </w:pPr>
      <w:r>
        <w:rPr>
          <w:rFonts w:asciiTheme="majorBidi" w:hAnsiTheme="majorBidi" w:cstheme="majorBidi"/>
          <w:b/>
          <w:bCs/>
          <w:color w:val="0070C0"/>
          <w:sz w:val="32"/>
          <w:szCs w:val="32"/>
          <w:u w:val="single"/>
          <w:lang w:bidi="ar-EG"/>
        </w:rPr>
        <w:t>Maat for Peace’ submission on “</w:t>
      </w:r>
      <w:r w:rsidRPr="00B4084A">
        <w:rPr>
          <w:rFonts w:asciiTheme="majorBidi" w:hAnsiTheme="majorBidi" w:cstheme="majorBidi"/>
          <w:b/>
          <w:bCs/>
          <w:color w:val="0070C0"/>
          <w:sz w:val="32"/>
          <w:szCs w:val="32"/>
          <w:u w:val="single"/>
          <w:lang w:bidi="ar-EG"/>
        </w:rPr>
        <w:t>the State of Bahrain</w:t>
      </w:r>
      <w:r>
        <w:rPr>
          <w:rFonts w:asciiTheme="majorBidi" w:hAnsiTheme="majorBidi" w:cstheme="majorBidi"/>
          <w:b/>
          <w:bCs/>
          <w:color w:val="0070C0"/>
          <w:sz w:val="32"/>
          <w:szCs w:val="32"/>
          <w:u w:val="single"/>
          <w:lang w:bidi="ar-EG"/>
        </w:rPr>
        <w:t>”</w:t>
      </w:r>
    </w:p>
    <w:p w14:paraId="43C60694" w14:textId="77777777" w:rsidR="00004160" w:rsidRPr="00B4084A" w:rsidRDefault="00004160" w:rsidP="00004160">
      <w:pPr>
        <w:tabs>
          <w:tab w:val="left" w:pos="5572"/>
        </w:tabs>
        <w:spacing w:line="276" w:lineRule="auto"/>
        <w:rPr>
          <w:rFonts w:asciiTheme="majorBidi" w:hAnsiTheme="majorBidi" w:cstheme="majorBidi"/>
          <w:b/>
          <w:bCs/>
          <w:color w:val="0070C0"/>
          <w:sz w:val="24"/>
          <w:szCs w:val="24"/>
          <w:rtl/>
        </w:rPr>
      </w:pPr>
      <w:r w:rsidRPr="00B4084A">
        <w:rPr>
          <w:rFonts w:asciiTheme="majorBidi" w:hAnsiTheme="majorBidi" w:cstheme="majorBidi"/>
          <w:b/>
          <w:bCs/>
          <w:color w:val="0070C0"/>
          <w:sz w:val="24"/>
          <w:szCs w:val="24"/>
        </w:rPr>
        <w:t>Executive summary</w:t>
      </w:r>
      <w:r w:rsidRPr="00B4084A">
        <w:rPr>
          <w:rFonts w:asciiTheme="majorBidi" w:hAnsiTheme="majorBidi" w:cstheme="majorBidi"/>
          <w:b/>
          <w:bCs/>
          <w:color w:val="0070C0"/>
          <w:sz w:val="24"/>
          <w:szCs w:val="24"/>
          <w:rtl/>
        </w:rPr>
        <w:t>:</w:t>
      </w:r>
    </w:p>
    <w:p w14:paraId="1EF72BB7" w14:textId="77777777" w:rsidR="00004160" w:rsidRPr="00B4084A" w:rsidRDefault="00004160" w:rsidP="00004160">
      <w:pPr>
        <w:pStyle w:val="ListParagraph"/>
        <w:spacing w:line="276" w:lineRule="auto"/>
        <w:ind w:left="0" w:firstLine="720"/>
        <w:jc w:val="both"/>
        <w:rPr>
          <w:rFonts w:asciiTheme="majorBidi" w:hAnsiTheme="majorBidi" w:cstheme="majorBidi"/>
          <w:sz w:val="24"/>
          <w:szCs w:val="24"/>
          <w:lang w:bidi="ar-EG"/>
        </w:rPr>
      </w:pPr>
      <w:r w:rsidRPr="00B4084A">
        <w:rPr>
          <w:rFonts w:asciiTheme="majorBidi" w:hAnsiTheme="majorBidi" w:cstheme="majorBidi"/>
          <w:sz w:val="24"/>
          <w:szCs w:val="24"/>
          <w:lang w:bidi="ar-EG"/>
        </w:rPr>
        <w:t>The State of Bahrain ratified the International Convention on the Elimination of All Forms of Racial Discrimination on March 27, 1990. It has become legally obligated to adapt and harmonize its national legislation and laws to the provisions of the Convention. In fact, from a legal point of view, Bahrain adapted the legislation to the International Convention on the Elimination of All Forms of Racial Discrimination. The Constitution and law in Bahrain currently contain many articles and texts that prohibit all forms of racial discrimination and ensure that all individuals in Bahrain enjoy all human rights without discrimination based on race, origin, religion, color, or sex. For example, Article No. 18 of the Bahraini Constitution states that people are equal in human dignity, citizens are equal before the law in public rights and duties, and there is no discrimination between them based on gender, origin, language, religion, or belief. Article No. (2 bis) of Decree-Law No. (59) of 2018 amending some provisions of the Labor Law in the private sector prohibits discrimination between workers based on gender, origin, language, religion, or belief.</w:t>
      </w:r>
    </w:p>
    <w:p w14:paraId="0B54DE0E" w14:textId="77777777" w:rsidR="00004160" w:rsidRPr="00B4084A" w:rsidRDefault="00004160" w:rsidP="00004160">
      <w:pPr>
        <w:pStyle w:val="ListParagraph"/>
        <w:spacing w:line="276" w:lineRule="auto"/>
        <w:ind w:left="0" w:firstLine="720"/>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The legal framework in Bahrain has prohibited racial discrimination and established the enjoyment by all individuals of all human rights without discrimination. However, in practice, many individuals in Bahrain, including women and migrant workers, are subjected to discrimination and inequality in human rights and violations of civil, political, economic, social, and cultural rights. So, Maat for Peace, Development and Human Rights presents in this report detailed observations of Bahrain’s commitment to the provisions of the Convention on the Elimination of All Forms of Racial Discrimination on the State party's review by the Committee on the Elimination of Racial Discrimination at its 108th session, focusing on the most important articles of the Convention that involves some human rights issues of particular concern to Maat, which we will discuss in detail as follows</w:t>
      </w:r>
      <w:r w:rsidRPr="00B4084A">
        <w:rPr>
          <w:rFonts w:asciiTheme="majorBidi" w:hAnsiTheme="majorBidi" w:cstheme="majorBidi"/>
          <w:sz w:val="24"/>
          <w:szCs w:val="24"/>
          <w:rtl/>
          <w:lang w:bidi="ar-EG"/>
        </w:rPr>
        <w:t>:</w:t>
      </w:r>
    </w:p>
    <w:p w14:paraId="51D77901" w14:textId="77777777" w:rsidR="00004160" w:rsidRPr="00B4084A" w:rsidRDefault="00004160" w:rsidP="00004160">
      <w:pPr>
        <w:tabs>
          <w:tab w:val="left" w:pos="5572"/>
        </w:tabs>
        <w:spacing w:line="276" w:lineRule="auto"/>
        <w:rPr>
          <w:rFonts w:asciiTheme="majorBidi" w:hAnsiTheme="majorBidi" w:cstheme="majorBidi"/>
          <w:b/>
          <w:bCs/>
          <w:color w:val="0070C0"/>
          <w:sz w:val="24"/>
          <w:szCs w:val="24"/>
          <w:rtl/>
        </w:rPr>
      </w:pPr>
      <w:r w:rsidRPr="00B4084A">
        <w:rPr>
          <w:rFonts w:asciiTheme="majorBidi" w:hAnsiTheme="majorBidi" w:cstheme="majorBidi"/>
          <w:b/>
          <w:bCs/>
          <w:color w:val="0070C0"/>
          <w:sz w:val="24"/>
          <w:szCs w:val="24"/>
        </w:rPr>
        <w:t>Measures to Prohibit or End Racial Discrimination</w:t>
      </w:r>
    </w:p>
    <w:p w14:paraId="524A04DD" w14:textId="77777777" w:rsidR="00004160" w:rsidRPr="00B4084A" w:rsidRDefault="00004160" w:rsidP="00004160">
      <w:pPr>
        <w:pStyle w:val="ListParagraph"/>
        <w:spacing w:line="276" w:lineRule="auto"/>
        <w:ind w:left="0" w:firstLine="720"/>
        <w:jc w:val="both"/>
        <w:rPr>
          <w:rFonts w:asciiTheme="majorBidi" w:hAnsiTheme="majorBidi" w:cstheme="majorBidi"/>
          <w:sz w:val="24"/>
          <w:szCs w:val="24"/>
          <w:lang w:bidi="ar-EG"/>
        </w:rPr>
      </w:pPr>
      <w:bookmarkStart w:id="0" w:name="OLE_LINK37"/>
      <w:r w:rsidRPr="00B4084A">
        <w:rPr>
          <w:rFonts w:asciiTheme="majorBidi" w:hAnsiTheme="majorBidi" w:cstheme="majorBidi"/>
          <w:sz w:val="24"/>
          <w:szCs w:val="24"/>
          <w:lang w:bidi="ar-EG"/>
        </w:rPr>
        <w:t xml:space="preserve">Article 2 of the International Convention on the Elimination of All Forms of Racial Discrimination stipulates that every state party to the Convention must take the necessary measures to prohibit or end all forms of racial discrimination by: adopting legislation that explicitly prohibits racial discrimination, amending or repealing any laws or regulations that lead to racial discrimination, and adopting strategies, action plans, and initiatives promoting equality, </w:t>
      </w:r>
      <w:bookmarkStart w:id="1" w:name="OLE_LINK35"/>
      <w:bookmarkStart w:id="2" w:name="OLE_LINK36"/>
      <w:r w:rsidRPr="00B4084A">
        <w:rPr>
          <w:rFonts w:asciiTheme="majorBidi" w:hAnsiTheme="majorBidi" w:cstheme="majorBidi"/>
          <w:sz w:val="24"/>
          <w:szCs w:val="24"/>
          <w:lang w:bidi="ar-EG"/>
        </w:rPr>
        <w:t xml:space="preserve">non-discrimination, tolerance and peaceful coexistence </w:t>
      </w:r>
      <w:bookmarkEnd w:id="1"/>
      <w:bookmarkEnd w:id="2"/>
      <w:r w:rsidRPr="00B4084A">
        <w:rPr>
          <w:rFonts w:asciiTheme="majorBidi" w:hAnsiTheme="majorBidi" w:cstheme="majorBidi"/>
          <w:sz w:val="24"/>
          <w:szCs w:val="24"/>
          <w:lang w:bidi="ar-EG"/>
        </w:rPr>
        <w:t>among various sects and groups of society</w:t>
      </w:r>
      <w:bookmarkEnd w:id="0"/>
      <w:r w:rsidRPr="00B4084A">
        <w:rPr>
          <w:rFonts w:asciiTheme="majorBidi" w:hAnsiTheme="majorBidi" w:cstheme="majorBidi"/>
          <w:sz w:val="24"/>
          <w:szCs w:val="24"/>
          <w:lang w:bidi="ar-EG"/>
        </w:rPr>
        <w:t>.</w:t>
      </w:r>
    </w:p>
    <w:p w14:paraId="7CA96288" w14:textId="77777777" w:rsidR="00004160" w:rsidRPr="00B4084A" w:rsidRDefault="00004160" w:rsidP="00004160">
      <w:pPr>
        <w:pStyle w:val="ListParagraph"/>
        <w:spacing w:line="276" w:lineRule="auto"/>
        <w:ind w:left="0" w:firstLine="720"/>
        <w:jc w:val="both"/>
        <w:rPr>
          <w:rFonts w:asciiTheme="majorBidi" w:hAnsiTheme="majorBidi" w:cstheme="majorBidi"/>
          <w:sz w:val="24"/>
          <w:szCs w:val="24"/>
          <w:lang w:bidi="ar-EG"/>
        </w:rPr>
      </w:pPr>
      <w:r w:rsidRPr="00B4084A">
        <w:rPr>
          <w:rFonts w:asciiTheme="majorBidi" w:hAnsiTheme="majorBidi" w:cstheme="majorBidi"/>
          <w:sz w:val="24"/>
          <w:szCs w:val="24"/>
          <w:lang w:bidi="ar-EG"/>
        </w:rPr>
        <w:t xml:space="preserve">The State of Bahrain adopted, since its accession to the International Convention on the Elimination of All Forms of Racial Discrimination in 1990s, some legislations aiming at harmonizing its national laws with the provisions of the Convention. For example, texts and articles included in the Constitution and law of Bahrain prohibit all forms of discrimination and inequality. Article No. 18 of the Bahraini Constitution states that people are equal in human dignity, citizens are equal before the law </w:t>
      </w:r>
      <w:r w:rsidRPr="00B4084A">
        <w:rPr>
          <w:rFonts w:asciiTheme="majorBidi" w:hAnsiTheme="majorBidi" w:cstheme="majorBidi"/>
          <w:sz w:val="24"/>
          <w:szCs w:val="24"/>
          <w:lang w:bidi="ar-EG"/>
        </w:rPr>
        <w:lastRenderedPageBreak/>
        <w:t>in public rights and duties, and there is no discrimination based on gender, origin, language, religion, or creed</w:t>
      </w:r>
      <w:r w:rsidRPr="00B4084A">
        <w:rPr>
          <w:rStyle w:val="FootnoteReference"/>
          <w:rFonts w:asciiTheme="majorBidi" w:hAnsiTheme="majorBidi" w:cstheme="majorBidi"/>
          <w:sz w:val="24"/>
          <w:szCs w:val="24"/>
          <w:rtl/>
          <w:lang w:bidi="ar-EG"/>
        </w:rPr>
        <w:footnoteReference w:id="1"/>
      </w:r>
      <w:r w:rsidRPr="00B4084A">
        <w:rPr>
          <w:rFonts w:asciiTheme="majorBidi" w:hAnsiTheme="majorBidi" w:cstheme="majorBidi"/>
          <w:sz w:val="24"/>
          <w:szCs w:val="24"/>
          <w:lang w:bidi="ar-EG"/>
        </w:rPr>
        <w:t>. In addition to Article No. (2 bis) of Decree-Law No. (59) of 2018 regarding the amendment of some provisions of the Labor Law in the Private Sector No. (36) of 2012, which stipulates the prohibition of discrimination between workers based on sex, origin, language, religion, or belief. In addition to Article No. (1) and (2) of Decree-Law No. (16) of 2021 amending some provisions of the Labor Law in the Private Sector No. (36) of 2012 prohibited wage discrimination between male and female workers and the abolition of the ban imposed on women working in some jobs. So, women in Bahrain have the opportunity to work in any field without restricting their rights</w:t>
      </w:r>
      <w:r w:rsidRPr="00B4084A">
        <w:rPr>
          <w:rStyle w:val="FootnoteReference"/>
          <w:rFonts w:asciiTheme="majorBidi" w:hAnsiTheme="majorBidi" w:cstheme="majorBidi"/>
          <w:sz w:val="24"/>
          <w:szCs w:val="24"/>
          <w:rtl/>
          <w:lang w:bidi="ar-EG"/>
        </w:rPr>
        <w:footnoteReference w:id="2"/>
      </w:r>
      <w:r w:rsidRPr="00B4084A">
        <w:rPr>
          <w:rFonts w:asciiTheme="majorBidi" w:hAnsiTheme="majorBidi" w:cstheme="majorBidi"/>
          <w:sz w:val="24"/>
          <w:szCs w:val="24"/>
          <w:lang w:bidi="ar-EG"/>
        </w:rPr>
        <w:t>.</w:t>
      </w:r>
    </w:p>
    <w:p w14:paraId="0935E9DB" w14:textId="77777777" w:rsidR="00004160" w:rsidRPr="00B4084A" w:rsidRDefault="00004160" w:rsidP="00004160">
      <w:pPr>
        <w:pStyle w:val="ListParagraph"/>
        <w:spacing w:line="276" w:lineRule="auto"/>
        <w:ind w:left="0"/>
        <w:jc w:val="both"/>
        <w:rPr>
          <w:rFonts w:asciiTheme="majorBidi" w:hAnsiTheme="majorBidi" w:cstheme="majorBidi"/>
          <w:sz w:val="24"/>
          <w:szCs w:val="24"/>
          <w:rtl/>
          <w:lang w:bidi="ar-EG"/>
        </w:rPr>
      </w:pPr>
    </w:p>
    <w:p w14:paraId="74592024" w14:textId="77777777" w:rsidR="00004160" w:rsidRPr="00B4084A" w:rsidRDefault="00004160" w:rsidP="00004160">
      <w:pPr>
        <w:pStyle w:val="ListParagraph"/>
        <w:spacing w:line="276" w:lineRule="auto"/>
        <w:ind w:left="0" w:firstLine="720"/>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Looking at the legislative framework against discrimination and inequality in Bahrain, Maat found that it consists of articles scattered in many provisions of Bahraini law. Until writing this report, the Bahraini authorities had failed to adopt unified legislation to combat all forms of racial discrimination, despite the legislative attempts made by the Bahraini authorities, the draft law on combating discrimination, hatred, and sectarianism from 2015 until now.</w:t>
      </w:r>
    </w:p>
    <w:p w14:paraId="1A32FE04" w14:textId="77777777" w:rsidR="00004160" w:rsidRPr="00B4084A" w:rsidRDefault="00004160" w:rsidP="00004160">
      <w:pPr>
        <w:pStyle w:val="ListParagraph"/>
        <w:spacing w:line="276" w:lineRule="auto"/>
        <w:ind w:left="0" w:firstLine="720"/>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There is no national strategy for promoting the right to equality and combating racial discrimination in Bahrain. At the time of writing this report, Maat has noted that the Kingdom of Bahrain has, over the past years, adopted a set of strategic plans and national initiatives related to human rights and combating racial discrimination, such as the National Plan for the Advancement of Bahraini Women (2013-2022). In addition, the Kingdom of Bahrain’s Declaration of Tolerance on September 13, 2017, consolidated moderation and rejected intolerance, promoted the values ​​of love and peace among human beings, and rejected all forms of discrimination and racism</w:t>
      </w:r>
      <w:r w:rsidRPr="00B4084A">
        <w:rPr>
          <w:rStyle w:val="FootnoteReference"/>
          <w:rFonts w:asciiTheme="majorBidi" w:hAnsiTheme="majorBidi" w:cstheme="majorBidi"/>
          <w:sz w:val="24"/>
          <w:szCs w:val="24"/>
          <w:rtl/>
          <w:lang w:bidi="ar-EG"/>
        </w:rPr>
        <w:footnoteReference w:id="3"/>
      </w:r>
      <w:r w:rsidRPr="00B4084A">
        <w:rPr>
          <w:rFonts w:asciiTheme="majorBidi" w:hAnsiTheme="majorBidi" w:cstheme="majorBidi"/>
          <w:sz w:val="24"/>
          <w:szCs w:val="24"/>
          <w:lang w:bidi="ar-EG"/>
        </w:rPr>
        <w:t>. The King Hamad Global Center for Peaceful Coexistence was established under Royal Decree No. (15) of 2018 to promote tolerance and peaceful coexistence and combat all forms of racial discrimination and inequality among all sects of society in Bahrain</w:t>
      </w:r>
      <w:r w:rsidRPr="00B4084A">
        <w:rPr>
          <w:rStyle w:val="FootnoteReference"/>
          <w:rFonts w:asciiTheme="majorBidi" w:hAnsiTheme="majorBidi" w:cstheme="majorBidi"/>
          <w:sz w:val="24"/>
          <w:szCs w:val="24"/>
          <w:rtl/>
          <w:lang w:bidi="ar-EG"/>
        </w:rPr>
        <w:footnoteReference w:id="4"/>
      </w:r>
      <w:r w:rsidRPr="00B4084A">
        <w:rPr>
          <w:rFonts w:asciiTheme="majorBidi" w:hAnsiTheme="majorBidi" w:cstheme="majorBidi"/>
          <w:sz w:val="24"/>
          <w:szCs w:val="24"/>
          <w:rtl/>
          <w:lang w:bidi="ar-EG"/>
        </w:rPr>
        <w:t>.</w:t>
      </w:r>
    </w:p>
    <w:p w14:paraId="31479986" w14:textId="77777777" w:rsidR="00004160" w:rsidRPr="00B4084A" w:rsidRDefault="00004160" w:rsidP="00004160">
      <w:pPr>
        <w:pStyle w:val="ListParagraph"/>
        <w:bidi/>
        <w:spacing w:line="276" w:lineRule="auto"/>
        <w:ind w:left="0"/>
        <w:jc w:val="right"/>
        <w:rPr>
          <w:rFonts w:asciiTheme="majorBidi" w:hAnsiTheme="majorBidi" w:cstheme="majorBidi"/>
          <w:sz w:val="24"/>
          <w:szCs w:val="24"/>
          <w:rtl/>
          <w:lang w:bidi="ar-EG"/>
        </w:rPr>
      </w:pPr>
    </w:p>
    <w:p w14:paraId="22D97AC1" w14:textId="77777777" w:rsidR="00004160" w:rsidRPr="00B4084A" w:rsidRDefault="00004160" w:rsidP="00004160">
      <w:pPr>
        <w:pStyle w:val="ListParagraph"/>
        <w:spacing w:line="276" w:lineRule="auto"/>
        <w:ind w:left="0"/>
        <w:rPr>
          <w:rFonts w:asciiTheme="majorBidi" w:hAnsiTheme="majorBidi" w:cstheme="majorBidi"/>
          <w:b/>
          <w:bCs/>
          <w:color w:val="1F497D" w:themeColor="text2"/>
          <w:sz w:val="24"/>
          <w:szCs w:val="24"/>
          <w:rtl/>
          <w:lang w:bidi="ar-EG"/>
        </w:rPr>
      </w:pPr>
      <w:r w:rsidRPr="00B4084A">
        <w:rPr>
          <w:rFonts w:asciiTheme="majorBidi" w:hAnsiTheme="majorBidi" w:cstheme="majorBidi"/>
          <w:b/>
          <w:bCs/>
          <w:color w:val="1F497D" w:themeColor="text2"/>
          <w:sz w:val="24"/>
          <w:szCs w:val="24"/>
          <w:lang w:bidi="ar-EG"/>
        </w:rPr>
        <w:t>Recommendations</w:t>
      </w:r>
      <w:r w:rsidRPr="00B4084A">
        <w:rPr>
          <w:rFonts w:asciiTheme="majorBidi" w:hAnsiTheme="majorBidi" w:cstheme="majorBidi"/>
          <w:b/>
          <w:bCs/>
          <w:color w:val="1F497D" w:themeColor="text2"/>
          <w:sz w:val="24"/>
          <w:szCs w:val="24"/>
          <w:rtl/>
          <w:lang w:bidi="ar-EG"/>
        </w:rPr>
        <w:t>:</w:t>
      </w:r>
    </w:p>
    <w:p w14:paraId="0C47061F" w14:textId="77777777" w:rsidR="00004160" w:rsidRPr="00B4084A" w:rsidRDefault="00004160" w:rsidP="00004160">
      <w:pPr>
        <w:pStyle w:val="ListParagraph"/>
        <w:numPr>
          <w:ilvl w:val="0"/>
          <w:numId w:val="20"/>
        </w:numPr>
        <w:spacing w:line="276" w:lineRule="auto"/>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Exerting more efforts and intensifying measures aimed at eliminating all forms of racial discrimination</w:t>
      </w:r>
      <w:r w:rsidRPr="00B4084A">
        <w:rPr>
          <w:rFonts w:asciiTheme="majorBidi" w:hAnsiTheme="majorBidi" w:cstheme="majorBidi"/>
          <w:sz w:val="24"/>
          <w:szCs w:val="24"/>
          <w:rtl/>
          <w:lang w:bidi="ar-EG"/>
        </w:rPr>
        <w:t>.</w:t>
      </w:r>
    </w:p>
    <w:p w14:paraId="1BC29C18" w14:textId="77777777" w:rsidR="00004160" w:rsidRPr="00B4084A" w:rsidRDefault="00004160" w:rsidP="00004160">
      <w:pPr>
        <w:pStyle w:val="ListParagraph"/>
        <w:numPr>
          <w:ilvl w:val="0"/>
          <w:numId w:val="20"/>
        </w:numPr>
        <w:spacing w:line="276" w:lineRule="auto"/>
        <w:jc w:val="both"/>
        <w:rPr>
          <w:rFonts w:asciiTheme="majorBidi" w:hAnsiTheme="majorBidi" w:cstheme="majorBidi"/>
          <w:sz w:val="24"/>
          <w:szCs w:val="24"/>
          <w:lang w:bidi="ar-EG"/>
        </w:rPr>
      </w:pPr>
      <w:r w:rsidRPr="00B4084A">
        <w:rPr>
          <w:rFonts w:asciiTheme="majorBidi" w:hAnsiTheme="majorBidi" w:cstheme="majorBidi"/>
          <w:sz w:val="24"/>
          <w:szCs w:val="24"/>
          <w:lang w:bidi="ar-EG"/>
        </w:rPr>
        <w:t>Adopting a unified legislation or law to combat all forms of racial discrimination</w:t>
      </w:r>
      <w:r w:rsidRPr="00B4084A">
        <w:rPr>
          <w:rFonts w:asciiTheme="majorBidi" w:hAnsiTheme="majorBidi" w:cstheme="majorBidi"/>
          <w:sz w:val="24"/>
          <w:szCs w:val="24"/>
          <w:rtl/>
          <w:lang w:bidi="ar-EG"/>
        </w:rPr>
        <w:t>.</w:t>
      </w:r>
    </w:p>
    <w:p w14:paraId="13EB0D7A" w14:textId="77777777" w:rsidR="00004160" w:rsidRPr="00B4084A" w:rsidRDefault="00004160" w:rsidP="00004160">
      <w:pPr>
        <w:pStyle w:val="ListParagraph"/>
        <w:numPr>
          <w:ilvl w:val="0"/>
          <w:numId w:val="20"/>
        </w:numPr>
        <w:spacing w:line="276" w:lineRule="auto"/>
        <w:jc w:val="both"/>
        <w:rPr>
          <w:rFonts w:asciiTheme="majorBidi" w:hAnsiTheme="majorBidi" w:cstheme="majorBidi"/>
          <w:sz w:val="24"/>
          <w:szCs w:val="24"/>
          <w:lang w:bidi="ar-EG"/>
        </w:rPr>
      </w:pPr>
      <w:r w:rsidRPr="00B4084A">
        <w:rPr>
          <w:rFonts w:asciiTheme="majorBidi" w:hAnsiTheme="majorBidi" w:cstheme="majorBidi"/>
          <w:sz w:val="24"/>
          <w:szCs w:val="24"/>
          <w:lang w:bidi="ar-EG"/>
        </w:rPr>
        <w:t>Adopting a national strategy to combat all forms of racial discrimination and inequality</w:t>
      </w:r>
      <w:r w:rsidRPr="00B4084A">
        <w:rPr>
          <w:rFonts w:asciiTheme="majorBidi" w:hAnsiTheme="majorBidi" w:cstheme="majorBidi"/>
          <w:sz w:val="24"/>
          <w:szCs w:val="24"/>
          <w:rtl/>
          <w:lang w:bidi="ar-EG"/>
        </w:rPr>
        <w:t>.</w:t>
      </w:r>
    </w:p>
    <w:p w14:paraId="3B70C31C" w14:textId="77777777" w:rsidR="00004160" w:rsidRPr="00B4084A" w:rsidRDefault="00004160" w:rsidP="00004160">
      <w:pPr>
        <w:tabs>
          <w:tab w:val="left" w:pos="5572"/>
        </w:tabs>
        <w:spacing w:line="276" w:lineRule="auto"/>
        <w:rPr>
          <w:rFonts w:asciiTheme="majorBidi" w:hAnsiTheme="majorBidi" w:cstheme="majorBidi"/>
          <w:b/>
          <w:bCs/>
          <w:color w:val="0070C0"/>
          <w:sz w:val="24"/>
          <w:szCs w:val="24"/>
          <w:rtl/>
        </w:rPr>
      </w:pPr>
      <w:r w:rsidRPr="00B4084A">
        <w:rPr>
          <w:rFonts w:asciiTheme="majorBidi" w:hAnsiTheme="majorBidi" w:cstheme="majorBidi"/>
          <w:b/>
          <w:bCs/>
          <w:color w:val="0070C0"/>
          <w:sz w:val="24"/>
          <w:szCs w:val="24"/>
        </w:rPr>
        <w:t>Ensuring that foreign workers enjoy economic, social and cultural rights without discrimination</w:t>
      </w:r>
    </w:p>
    <w:p w14:paraId="6FF9CF14" w14:textId="77777777" w:rsidR="00004160" w:rsidRPr="00B4084A" w:rsidRDefault="00004160" w:rsidP="00004160">
      <w:pPr>
        <w:spacing w:line="276" w:lineRule="auto"/>
        <w:ind w:firstLine="720"/>
        <w:jc w:val="both"/>
        <w:rPr>
          <w:rFonts w:asciiTheme="majorBidi" w:hAnsiTheme="majorBidi" w:cstheme="majorBidi"/>
          <w:sz w:val="24"/>
          <w:szCs w:val="24"/>
          <w:lang w:bidi="ar-EG"/>
        </w:rPr>
      </w:pPr>
      <w:r w:rsidRPr="00B4084A">
        <w:rPr>
          <w:rFonts w:asciiTheme="majorBidi" w:hAnsiTheme="majorBidi" w:cstheme="majorBidi"/>
          <w:sz w:val="24"/>
          <w:szCs w:val="24"/>
          <w:lang w:bidi="ar-EG"/>
        </w:rPr>
        <w:t>Article 5(e) of the International Convention on the Elimination of All Forms of Racial Discrimination obligates states party to the convention to ensure that all individuals, without distinction as to race, color, or national or ethnic origin, enjoy economic, social and cultural rights, in particular the right to work</w:t>
      </w:r>
      <w:r w:rsidRPr="00B4084A">
        <w:rPr>
          <w:rFonts w:asciiTheme="majorBidi" w:hAnsiTheme="majorBidi" w:cstheme="majorBidi"/>
          <w:sz w:val="24"/>
          <w:szCs w:val="24"/>
          <w:rtl/>
          <w:lang w:bidi="ar-EG"/>
        </w:rPr>
        <w:t>.</w:t>
      </w:r>
    </w:p>
    <w:p w14:paraId="5D8A1E29" w14:textId="77777777" w:rsidR="00004160" w:rsidRPr="00B4084A" w:rsidRDefault="00004160" w:rsidP="00004160">
      <w:pPr>
        <w:spacing w:line="276" w:lineRule="auto"/>
        <w:ind w:firstLine="720"/>
        <w:jc w:val="both"/>
        <w:rPr>
          <w:rFonts w:asciiTheme="majorBidi" w:hAnsiTheme="majorBidi" w:cstheme="majorBidi"/>
          <w:sz w:val="24"/>
          <w:szCs w:val="24"/>
          <w:lang w:bidi="ar-EG"/>
        </w:rPr>
      </w:pPr>
      <w:r w:rsidRPr="00B4084A">
        <w:rPr>
          <w:rFonts w:asciiTheme="majorBidi" w:hAnsiTheme="majorBidi" w:cstheme="majorBidi"/>
          <w:sz w:val="24"/>
          <w:szCs w:val="24"/>
          <w:lang w:bidi="ar-EG"/>
        </w:rPr>
        <w:lastRenderedPageBreak/>
        <w:t>The State of Bahrain is obligated under this article to ensure that all individuals enjoy economic, social, and cultural rights without discrimination based on any basis, particularly the right to work. However, Maat noted that the Bahraini authorities continued, over the past years, to discriminate against foreign workers. Maat has seen reliable local and international reports that foreign workers in Bahrain are subjected to systematic discrimination in the recruitment process and the workplace. It is common for employers in Bahrain to advertise jobs for specific nationalities or languages ​​without justifying the reason for accepting people of that nationality or language group, which is the same discrimination faced by Shiite citizens in Bahrain. Some local human rights organizations have reported that Shiite citizens in Bahrain face widespread job discrimination in both the public and private sectors, as they are denied access to high governmental, leadership, and administrative professions and positions in the country</w:t>
      </w:r>
      <w:r w:rsidRPr="00B4084A">
        <w:rPr>
          <w:rStyle w:val="FootnoteReference"/>
          <w:rFonts w:asciiTheme="majorBidi" w:hAnsiTheme="majorBidi" w:cstheme="majorBidi"/>
          <w:sz w:val="24"/>
          <w:szCs w:val="24"/>
          <w:rtl/>
        </w:rPr>
        <w:footnoteReference w:id="5"/>
      </w:r>
      <w:r w:rsidRPr="00B4084A">
        <w:rPr>
          <w:rFonts w:asciiTheme="majorBidi" w:hAnsiTheme="majorBidi" w:cstheme="majorBidi"/>
          <w:sz w:val="24"/>
          <w:szCs w:val="24"/>
          <w:rtl/>
          <w:lang w:bidi="ar-EG"/>
        </w:rPr>
        <w:t>.</w:t>
      </w:r>
    </w:p>
    <w:p w14:paraId="16B3FA51" w14:textId="77777777" w:rsidR="00004160" w:rsidRPr="00B4084A" w:rsidRDefault="00004160" w:rsidP="00004160">
      <w:pPr>
        <w:spacing w:line="276" w:lineRule="auto"/>
        <w:ind w:firstLine="720"/>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Maat also noted that the Bahraini labor law completely excludes domestic workers from the scope of its protection, as they do not have protection, which puts them at risk of exploitation and abuse by employers. According to reliable reports, more than 86,000 domestic workers in Bahrain are exposed to widespread violations, non-payment of wages, passport confiscation, deprivation of food, and inappropriate accommodation. They work too long working hours that sometimes reach 16 hours per day continuously without a break. They were subjected to verbal and physical abuse and denied all fair and satisfactory work conditions, including rest times, weekends, and overtime compensation</w:t>
      </w:r>
      <w:r w:rsidRPr="00B4084A">
        <w:rPr>
          <w:rStyle w:val="FootnoteReference"/>
          <w:rFonts w:asciiTheme="majorBidi" w:eastAsia="Calibri" w:hAnsiTheme="majorBidi" w:cstheme="majorBidi"/>
          <w:sz w:val="24"/>
          <w:szCs w:val="24"/>
          <w:rtl/>
          <w:lang w:bidi="ar-EG"/>
        </w:rPr>
        <w:footnoteReference w:id="6"/>
      </w:r>
      <w:r w:rsidRPr="00B4084A">
        <w:rPr>
          <w:rFonts w:asciiTheme="majorBidi" w:hAnsiTheme="majorBidi" w:cstheme="majorBidi"/>
          <w:sz w:val="24"/>
          <w:szCs w:val="24"/>
          <w:rtl/>
          <w:lang w:bidi="ar-EG"/>
        </w:rPr>
        <w:t>.</w:t>
      </w:r>
    </w:p>
    <w:p w14:paraId="1196ACBA" w14:textId="77777777" w:rsidR="00004160" w:rsidRPr="00B4084A" w:rsidRDefault="00004160" w:rsidP="00004160">
      <w:pPr>
        <w:pStyle w:val="ListParagraph"/>
        <w:spacing w:line="276" w:lineRule="auto"/>
        <w:ind w:left="0"/>
        <w:jc w:val="both"/>
        <w:rPr>
          <w:rFonts w:asciiTheme="majorBidi" w:hAnsiTheme="majorBidi" w:cstheme="majorBidi"/>
          <w:b/>
          <w:bCs/>
          <w:color w:val="1F497D" w:themeColor="text2"/>
          <w:sz w:val="24"/>
          <w:szCs w:val="24"/>
          <w:lang w:val="en-GB" w:bidi="ar-EG"/>
        </w:rPr>
      </w:pPr>
      <w:r w:rsidRPr="00B4084A">
        <w:rPr>
          <w:rFonts w:asciiTheme="majorBidi" w:hAnsiTheme="majorBidi" w:cstheme="majorBidi"/>
          <w:b/>
          <w:bCs/>
          <w:color w:val="1F497D" w:themeColor="text2"/>
          <w:sz w:val="24"/>
          <w:szCs w:val="24"/>
          <w:lang w:bidi="ar-EG"/>
        </w:rPr>
        <w:t>Recommendations</w:t>
      </w:r>
      <w:r w:rsidRPr="00B4084A">
        <w:rPr>
          <w:rFonts w:asciiTheme="majorBidi" w:hAnsiTheme="majorBidi" w:cstheme="majorBidi"/>
          <w:b/>
          <w:bCs/>
          <w:color w:val="1F497D" w:themeColor="text2"/>
          <w:sz w:val="24"/>
          <w:szCs w:val="24"/>
          <w:rtl/>
          <w:lang w:bidi="ar-EG"/>
        </w:rPr>
        <w:t>:</w:t>
      </w:r>
    </w:p>
    <w:p w14:paraId="5C6D10FE" w14:textId="77777777" w:rsidR="00004160" w:rsidRPr="00B4084A" w:rsidRDefault="00004160" w:rsidP="00004160">
      <w:pPr>
        <w:pStyle w:val="ListParagraph"/>
        <w:numPr>
          <w:ilvl w:val="0"/>
          <w:numId w:val="19"/>
        </w:numPr>
        <w:spacing w:line="276" w:lineRule="auto"/>
        <w:jc w:val="both"/>
        <w:rPr>
          <w:rFonts w:asciiTheme="majorBidi" w:eastAsia="Calibri" w:hAnsiTheme="majorBidi" w:cstheme="majorBidi"/>
          <w:sz w:val="24"/>
          <w:szCs w:val="24"/>
          <w:lang w:bidi="ar-EG"/>
        </w:rPr>
      </w:pPr>
      <w:r w:rsidRPr="00B4084A">
        <w:rPr>
          <w:rFonts w:asciiTheme="majorBidi" w:eastAsia="Calibri" w:hAnsiTheme="majorBidi" w:cstheme="majorBidi"/>
          <w:sz w:val="24"/>
          <w:szCs w:val="24"/>
          <w:lang w:bidi="ar-EG"/>
        </w:rPr>
        <w:t>Taking the necessary measures to ensure that all individuals, without distinction as to race, color, or national or ethnic origin, enjoy economic, social, and cultural rights, particularly the right to work.</w:t>
      </w:r>
    </w:p>
    <w:p w14:paraId="5F31CDAB" w14:textId="77777777" w:rsidR="00004160" w:rsidRPr="00B4084A" w:rsidRDefault="00004160" w:rsidP="00004160">
      <w:pPr>
        <w:pStyle w:val="ListParagraph"/>
        <w:numPr>
          <w:ilvl w:val="0"/>
          <w:numId w:val="19"/>
        </w:numPr>
        <w:spacing w:line="276" w:lineRule="auto"/>
        <w:jc w:val="both"/>
        <w:rPr>
          <w:rFonts w:asciiTheme="majorBidi" w:eastAsia="Calibri" w:hAnsiTheme="majorBidi" w:cstheme="majorBidi"/>
          <w:sz w:val="24"/>
          <w:szCs w:val="24"/>
          <w:rtl/>
          <w:lang w:bidi="ar-EG"/>
        </w:rPr>
      </w:pPr>
      <w:r w:rsidRPr="00B4084A">
        <w:rPr>
          <w:rFonts w:asciiTheme="majorBidi" w:eastAsia="Calibri" w:hAnsiTheme="majorBidi" w:cstheme="majorBidi"/>
          <w:sz w:val="24"/>
          <w:szCs w:val="24"/>
          <w:lang w:bidi="ar-EG"/>
        </w:rPr>
        <w:t>Working to end all forms of discrimination in the recruitment process against foreign workers and Shiite citizens and to allow them to take up all professions like other citizens of the state, including sensitive professions in the security sector and the Bahraini army.</w:t>
      </w:r>
    </w:p>
    <w:p w14:paraId="14ABFA75" w14:textId="77777777" w:rsidR="00004160" w:rsidRPr="00B4084A" w:rsidRDefault="00004160" w:rsidP="00004160">
      <w:pPr>
        <w:pStyle w:val="ListParagraph"/>
        <w:spacing w:line="276" w:lineRule="auto"/>
        <w:rPr>
          <w:rFonts w:asciiTheme="majorBidi" w:eastAsia="Calibri" w:hAnsiTheme="majorBidi" w:cstheme="majorBidi"/>
          <w:sz w:val="24"/>
          <w:szCs w:val="24"/>
          <w:rtl/>
          <w:lang w:bidi="ar-EG"/>
        </w:rPr>
      </w:pPr>
    </w:p>
    <w:p w14:paraId="24B40C1C" w14:textId="77777777" w:rsidR="00004160" w:rsidRPr="00B4084A" w:rsidRDefault="00004160" w:rsidP="00004160">
      <w:pPr>
        <w:spacing w:line="276" w:lineRule="auto"/>
        <w:rPr>
          <w:rFonts w:asciiTheme="majorBidi" w:hAnsiTheme="majorBidi" w:cstheme="majorBidi"/>
          <w:b/>
          <w:bCs/>
          <w:color w:val="0070C0"/>
          <w:sz w:val="24"/>
          <w:szCs w:val="24"/>
          <w:rtl/>
        </w:rPr>
      </w:pPr>
      <w:r w:rsidRPr="00B4084A">
        <w:rPr>
          <w:rFonts w:asciiTheme="majorBidi" w:hAnsiTheme="majorBidi" w:cstheme="majorBidi"/>
          <w:b/>
          <w:bCs/>
          <w:color w:val="0070C0"/>
          <w:sz w:val="24"/>
          <w:szCs w:val="24"/>
        </w:rPr>
        <w:t>Ensuring equal rights for men and women to enjoy all economic, social and cultural rights</w:t>
      </w:r>
    </w:p>
    <w:p w14:paraId="2A414B17" w14:textId="77777777" w:rsidR="00004160" w:rsidRPr="00B4084A" w:rsidRDefault="00004160" w:rsidP="00004160">
      <w:pPr>
        <w:spacing w:line="276" w:lineRule="auto"/>
        <w:ind w:firstLine="720"/>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Over the past years, the Kingdom of Bahrain has ensured equality between men and women in all economic, social, and cultural rights. In this context, paragraph (b) of Article (5) of the Bahraini Constitution enshrined equality between men and women in all fields of political, social, cultural, and economic life. The article states that the state guarantees reconciliation between women’s duties towards the family and her work in society and her equality with men in political, social, cultural, and economic life without prejudice to the provisions of Islamic Sharia. The Kingdom has also established, under Resolution No. (4) of 2014 issued by the Civil Service Commission, committees for equal opportunities between the sexes in the government sector to ensure equal opportunities for women and men in government jobs</w:t>
      </w:r>
      <w:r w:rsidRPr="00B4084A">
        <w:rPr>
          <w:rFonts w:asciiTheme="majorBidi" w:hAnsiTheme="majorBidi" w:cstheme="majorBidi"/>
          <w:sz w:val="24"/>
          <w:szCs w:val="24"/>
          <w:rtl/>
          <w:lang w:bidi="ar-EG"/>
        </w:rPr>
        <w:t>.</w:t>
      </w:r>
    </w:p>
    <w:p w14:paraId="25EA7EAF" w14:textId="77777777" w:rsidR="00004160" w:rsidRPr="00B4084A" w:rsidRDefault="00004160" w:rsidP="00004160">
      <w:pPr>
        <w:spacing w:line="276" w:lineRule="auto"/>
        <w:ind w:firstLine="720"/>
        <w:jc w:val="both"/>
        <w:rPr>
          <w:rFonts w:asciiTheme="majorBidi" w:hAnsiTheme="majorBidi" w:cstheme="majorBidi"/>
          <w:sz w:val="24"/>
          <w:szCs w:val="24"/>
          <w:lang w:bidi="ar-EG"/>
        </w:rPr>
      </w:pPr>
      <w:r w:rsidRPr="00B4084A">
        <w:rPr>
          <w:rFonts w:asciiTheme="majorBidi" w:hAnsiTheme="majorBidi" w:cstheme="majorBidi"/>
          <w:sz w:val="24"/>
          <w:szCs w:val="24"/>
          <w:lang w:bidi="ar-EG"/>
        </w:rPr>
        <w:lastRenderedPageBreak/>
        <w:t>Bahraini law guarantees women the same economic rights as men. Article 72 of the Bahraini Civil Code stipulates that every person is qualified to contract unless his capacity has diminished by law. Article 10 of the Trade Law stipulates, in this regard, that every Bahraini who has reached the age of eighteen and has not had a legal impediment related to his person or the type of commercial transaction that he conducts is qualified to engage in trade. Hence, the Bahraini law has equated that Men and women can acquire the eligibility to contract and engage in trade without discrimination based on gender. In further reforms in promoting women’s economic rights, the Bahraini Ministry of Labor and Social Development canceled on August 28, 2020, the ban imposed on women working at night, as it issued decision No. (50) of 2020; it allows women to work at night in the same jobs as their male counterparts</w:t>
      </w:r>
      <w:r w:rsidRPr="00B4084A">
        <w:rPr>
          <w:rStyle w:val="FootnoteReference"/>
          <w:rFonts w:asciiTheme="majorBidi" w:hAnsiTheme="majorBidi" w:cstheme="majorBidi"/>
          <w:sz w:val="24"/>
          <w:szCs w:val="24"/>
          <w:rtl/>
          <w:lang w:bidi="ar-EG"/>
        </w:rPr>
        <w:footnoteReference w:id="7"/>
      </w:r>
      <w:r w:rsidRPr="00B4084A">
        <w:rPr>
          <w:rFonts w:asciiTheme="majorBidi" w:hAnsiTheme="majorBidi" w:cstheme="majorBidi"/>
          <w:sz w:val="24"/>
          <w:szCs w:val="24"/>
          <w:rtl/>
          <w:lang w:bidi="ar-EG"/>
        </w:rPr>
        <w:t>.</w:t>
      </w:r>
    </w:p>
    <w:p w14:paraId="300AC46F" w14:textId="77777777" w:rsidR="00004160" w:rsidRPr="00B4084A" w:rsidRDefault="00004160" w:rsidP="00004160">
      <w:pPr>
        <w:spacing w:line="276" w:lineRule="auto"/>
        <w:jc w:val="both"/>
        <w:rPr>
          <w:rFonts w:asciiTheme="majorBidi" w:hAnsiTheme="majorBidi" w:cstheme="majorBidi"/>
          <w:sz w:val="24"/>
          <w:szCs w:val="24"/>
          <w:rtl/>
          <w:lang w:bidi="ar-EG"/>
        </w:rPr>
      </w:pPr>
      <w:r w:rsidRPr="00B4084A">
        <w:rPr>
          <w:rFonts w:asciiTheme="majorBidi" w:hAnsiTheme="majorBidi" w:cstheme="majorBidi"/>
          <w:sz w:val="24"/>
          <w:szCs w:val="24"/>
          <w:rtl/>
          <w:lang w:bidi="ar-EG"/>
        </w:rPr>
        <w:t xml:space="preserve"> </w:t>
      </w:r>
      <w:r w:rsidRPr="00B4084A">
        <w:rPr>
          <w:rFonts w:asciiTheme="majorBidi" w:hAnsiTheme="majorBidi" w:cstheme="majorBidi"/>
          <w:sz w:val="24"/>
          <w:szCs w:val="24"/>
          <w:lang w:bidi="ar-EG"/>
        </w:rPr>
        <w:tab/>
        <w:t xml:space="preserve">Women are still suffering despite the efforts taken by the Bahraini government to promote women's economic rights on the same basis as men. Women suffer from societal stereotypes that impede their participation in the labor market in Bahrain, which are stereotypes related to gender roles in society. There is a societal view that limits the role of women in Bahraini society to the scope of the family and the upbringing of young people. Unemployment rates among women in Bahrain are the highest in the world, as well as their low contribution to the labor market compared to men. According to the </w:t>
      </w:r>
      <w:bookmarkStart w:id="3" w:name="OLE_LINK38"/>
      <w:r w:rsidRPr="00B4084A">
        <w:rPr>
          <w:rFonts w:asciiTheme="majorBidi" w:hAnsiTheme="majorBidi" w:cstheme="majorBidi"/>
          <w:sz w:val="24"/>
          <w:szCs w:val="24"/>
          <w:lang w:bidi="ar-EG"/>
        </w:rPr>
        <w:t>General Federation of Bahrain Trade</w:t>
      </w:r>
      <w:bookmarkEnd w:id="3"/>
      <w:r w:rsidRPr="00B4084A">
        <w:rPr>
          <w:rFonts w:asciiTheme="majorBidi" w:hAnsiTheme="majorBidi" w:cstheme="majorBidi"/>
          <w:sz w:val="24"/>
          <w:szCs w:val="24"/>
          <w:lang w:bidi="ar-EG"/>
        </w:rPr>
        <w:t xml:space="preserve"> Unions, the percentage of unemployed women in Bahrain exceeds 63 %. It also represents only about a fifth of the working population, which is a low percentage compared to the reforms of the Bahraini government to increase its participation in the labor market</w:t>
      </w:r>
      <w:r w:rsidRPr="00B4084A">
        <w:rPr>
          <w:rStyle w:val="FootnoteReference"/>
          <w:rFonts w:asciiTheme="majorBidi" w:hAnsiTheme="majorBidi" w:cstheme="majorBidi"/>
          <w:sz w:val="24"/>
          <w:szCs w:val="24"/>
          <w:rtl/>
          <w:lang w:bidi="ar-EG"/>
        </w:rPr>
        <w:footnoteReference w:id="8"/>
      </w:r>
      <w:r w:rsidRPr="00B4084A">
        <w:rPr>
          <w:rFonts w:asciiTheme="majorBidi" w:hAnsiTheme="majorBidi" w:cstheme="majorBidi"/>
          <w:sz w:val="24"/>
          <w:szCs w:val="24"/>
          <w:rtl/>
          <w:lang w:bidi="ar-EG"/>
        </w:rPr>
        <w:t>.</w:t>
      </w:r>
    </w:p>
    <w:p w14:paraId="281EAD65" w14:textId="77777777" w:rsidR="00004160" w:rsidRPr="00B4084A" w:rsidRDefault="00004160" w:rsidP="00004160">
      <w:pPr>
        <w:pStyle w:val="ListParagraph"/>
        <w:spacing w:line="276" w:lineRule="auto"/>
        <w:ind w:left="0"/>
        <w:jc w:val="both"/>
        <w:rPr>
          <w:rFonts w:asciiTheme="majorBidi" w:hAnsiTheme="majorBidi" w:cstheme="majorBidi"/>
          <w:b/>
          <w:bCs/>
          <w:color w:val="1F497D" w:themeColor="text2"/>
          <w:sz w:val="24"/>
          <w:szCs w:val="24"/>
          <w:lang w:bidi="ar-EG"/>
        </w:rPr>
      </w:pPr>
      <w:r w:rsidRPr="00B4084A">
        <w:rPr>
          <w:rFonts w:asciiTheme="majorBidi" w:hAnsiTheme="majorBidi" w:cstheme="majorBidi"/>
          <w:b/>
          <w:bCs/>
          <w:color w:val="1F497D" w:themeColor="text2"/>
          <w:sz w:val="24"/>
          <w:szCs w:val="24"/>
          <w:lang w:bidi="ar-EG"/>
        </w:rPr>
        <w:t>Recommendations</w:t>
      </w:r>
      <w:r w:rsidRPr="00B4084A">
        <w:rPr>
          <w:rFonts w:asciiTheme="majorBidi" w:hAnsiTheme="majorBidi" w:cstheme="majorBidi"/>
          <w:b/>
          <w:bCs/>
          <w:color w:val="1F497D" w:themeColor="text2"/>
          <w:sz w:val="24"/>
          <w:szCs w:val="24"/>
          <w:rtl/>
          <w:lang w:bidi="ar-EG"/>
        </w:rPr>
        <w:t>:</w:t>
      </w:r>
    </w:p>
    <w:p w14:paraId="3BEEB1B7" w14:textId="77777777" w:rsidR="00004160" w:rsidRPr="00B4084A" w:rsidRDefault="00004160" w:rsidP="00004160">
      <w:pPr>
        <w:pStyle w:val="ListParagraph"/>
        <w:numPr>
          <w:ilvl w:val="0"/>
          <w:numId w:val="21"/>
        </w:numPr>
        <w:spacing w:line="276" w:lineRule="auto"/>
        <w:jc w:val="both"/>
        <w:rPr>
          <w:rFonts w:asciiTheme="majorBidi" w:hAnsiTheme="majorBidi" w:cstheme="majorBidi"/>
          <w:sz w:val="24"/>
          <w:szCs w:val="24"/>
          <w:lang w:bidi="ar-EG"/>
        </w:rPr>
      </w:pPr>
      <w:r w:rsidRPr="00B4084A">
        <w:rPr>
          <w:rFonts w:asciiTheme="majorBidi" w:hAnsiTheme="majorBidi" w:cstheme="majorBidi"/>
          <w:sz w:val="24"/>
          <w:szCs w:val="24"/>
          <w:lang w:bidi="ar-EG"/>
        </w:rPr>
        <w:t>The necessity of working to increase the rate of women's participation in the labor market</w:t>
      </w:r>
      <w:r w:rsidRPr="00B4084A">
        <w:rPr>
          <w:rFonts w:asciiTheme="majorBidi" w:hAnsiTheme="majorBidi" w:cstheme="majorBidi"/>
          <w:sz w:val="24"/>
          <w:szCs w:val="24"/>
          <w:rtl/>
          <w:lang w:bidi="ar-EG"/>
        </w:rPr>
        <w:t>.</w:t>
      </w:r>
    </w:p>
    <w:p w14:paraId="4F2491E5" w14:textId="77777777" w:rsidR="00004160" w:rsidRPr="00B4084A" w:rsidRDefault="00004160" w:rsidP="00004160">
      <w:pPr>
        <w:pStyle w:val="ListParagraph"/>
        <w:numPr>
          <w:ilvl w:val="0"/>
          <w:numId w:val="21"/>
        </w:numPr>
        <w:spacing w:line="276" w:lineRule="auto"/>
        <w:jc w:val="both"/>
        <w:rPr>
          <w:rFonts w:asciiTheme="majorBidi" w:hAnsiTheme="majorBidi" w:cstheme="majorBidi"/>
          <w:sz w:val="24"/>
          <w:szCs w:val="24"/>
          <w:rtl/>
          <w:lang w:bidi="ar-EG"/>
        </w:rPr>
      </w:pPr>
      <w:r w:rsidRPr="00B4084A">
        <w:rPr>
          <w:rFonts w:asciiTheme="majorBidi" w:hAnsiTheme="majorBidi" w:cstheme="majorBidi"/>
          <w:sz w:val="24"/>
          <w:szCs w:val="24"/>
          <w:lang w:bidi="ar-EG"/>
        </w:rPr>
        <w:t>The need to work on adopting many initiatives, programs, and awareness campaigns aimed at changing stereotypes about the role of women in Bahraini society</w:t>
      </w:r>
      <w:r w:rsidRPr="00B4084A">
        <w:rPr>
          <w:rFonts w:asciiTheme="majorBidi" w:hAnsiTheme="majorBidi" w:cstheme="majorBidi"/>
          <w:sz w:val="24"/>
          <w:szCs w:val="24"/>
          <w:rtl/>
          <w:lang w:bidi="ar-EG"/>
        </w:rPr>
        <w:t>.</w:t>
      </w:r>
    </w:p>
    <w:p w14:paraId="48FDE4EB" w14:textId="77777777" w:rsidR="00004160" w:rsidRPr="000E5C82" w:rsidRDefault="00004160" w:rsidP="00DA2F54">
      <w:pPr>
        <w:ind w:hanging="300"/>
        <w:rPr>
          <w:rFonts w:ascii="AbdoLine" w:hAnsi="AbdoLine" w:cs="AbdoLine"/>
          <w:sz w:val="28"/>
          <w:szCs w:val="28"/>
          <w:rtl/>
          <w:lang w:bidi="ar-EG"/>
        </w:rPr>
      </w:pPr>
    </w:p>
    <w:p w14:paraId="4F43E655" w14:textId="77777777" w:rsidR="00004160" w:rsidRDefault="00004160">
      <w:pPr>
        <w:rPr>
          <w:lang w:bidi="ar-EG"/>
        </w:rPr>
      </w:pPr>
    </w:p>
    <w:p w14:paraId="3EB0BA29" w14:textId="77777777" w:rsidR="00C41B4E" w:rsidRPr="00004160" w:rsidRDefault="00C41B4E" w:rsidP="00004160">
      <w:pPr>
        <w:rPr>
          <w:rFonts w:asciiTheme="majorBidi" w:hAnsiTheme="majorBidi" w:cstheme="majorBidi"/>
          <w:sz w:val="24"/>
          <w:szCs w:val="24"/>
          <w:rtl/>
          <w:lang w:bidi="ar-EG"/>
        </w:rPr>
      </w:pPr>
    </w:p>
    <w:sectPr w:rsidR="00C41B4E" w:rsidRPr="00004160" w:rsidSect="006B714E">
      <w:headerReference w:type="default" r:id="rId8"/>
      <w:footerReference w:type="default" r:id="rId9"/>
      <w:headerReference w:type="first" r:id="rId10"/>
      <w:footerReference w:type="first" r:id="rId11"/>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391F" w14:textId="77777777" w:rsidR="00084DF4" w:rsidRDefault="00084DF4" w:rsidP="00CF1B4C">
      <w:pPr>
        <w:spacing w:after="0" w:line="240" w:lineRule="auto"/>
      </w:pPr>
      <w:r>
        <w:separator/>
      </w:r>
    </w:p>
  </w:endnote>
  <w:endnote w:type="continuationSeparator" w:id="0">
    <w:p w14:paraId="281DFF97" w14:textId="77777777" w:rsidR="00084DF4" w:rsidRDefault="00084DF4"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bdoLine">
    <w:altName w:val="Segoe UI"/>
    <w:panose1 w:val="00000000000000000000"/>
    <w:charset w:val="00"/>
    <w:family w:val="modern"/>
    <w:notTrueType/>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77C23BFF"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68D9A0AF" wp14:editId="7FF63A4E">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71848BB0"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635C0CEF" w14:textId="77777777" w:rsidTr="0036671B">
      <w:trPr>
        <w:jc w:val="center"/>
      </w:trPr>
      <w:tc>
        <w:tcPr>
          <w:tcW w:w="646" w:type="pct"/>
          <w:vMerge w:val="restart"/>
          <w:vAlign w:val="center"/>
        </w:tcPr>
        <w:p w14:paraId="6448C680" w14:textId="77777777" w:rsidR="006B714E" w:rsidRDefault="006B714E" w:rsidP="006B714E">
          <w:pPr>
            <w:spacing w:after="60" w:line="240" w:lineRule="auto"/>
            <w:jc w:val="center"/>
            <w:rPr>
              <w:noProof/>
              <w:rtl/>
            </w:rPr>
          </w:pPr>
          <w:r>
            <w:rPr>
              <w:rFonts w:hint="cs"/>
              <w:noProof/>
            </w:rPr>
            <w:drawing>
              <wp:inline distT="0" distB="0" distL="0" distR="0" wp14:anchorId="35F79F11" wp14:editId="779E27F6">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56F3F9EF" w14:textId="77777777" w:rsidR="006B714E" w:rsidRDefault="006B714E" w:rsidP="006B714E">
          <w:pPr>
            <w:spacing w:after="60" w:line="240" w:lineRule="auto"/>
            <w:rPr>
              <w:rFonts w:ascii="Times New Roman" w:hAnsi="Times New Roman" w:cs="Times New Roman"/>
              <w:b/>
              <w:bCs/>
              <w:color w:val="000066"/>
              <w:sz w:val="20"/>
              <w:szCs w:val="20"/>
            </w:rPr>
          </w:pPr>
        </w:p>
        <w:p w14:paraId="68C83311"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44E3CE28" w14:textId="77777777" w:rsidTr="0036671B">
      <w:trPr>
        <w:jc w:val="center"/>
      </w:trPr>
      <w:tc>
        <w:tcPr>
          <w:tcW w:w="646" w:type="pct"/>
          <w:vMerge/>
        </w:tcPr>
        <w:p w14:paraId="5D690D08" w14:textId="77777777" w:rsidR="006B714E" w:rsidRDefault="006B714E" w:rsidP="006B714E">
          <w:pPr>
            <w:spacing w:after="0"/>
            <w:jc w:val="center"/>
            <w:rPr>
              <w:b/>
              <w:bCs/>
              <w:noProof/>
              <w:lang w:bidi="ar-EG"/>
            </w:rPr>
          </w:pPr>
        </w:p>
      </w:tc>
      <w:tc>
        <w:tcPr>
          <w:tcW w:w="278" w:type="pct"/>
          <w:vMerge w:val="restart"/>
          <w:vAlign w:val="center"/>
        </w:tcPr>
        <w:p w14:paraId="2225CE70" w14:textId="77777777" w:rsidR="006B714E" w:rsidRPr="000F15D5" w:rsidRDefault="006B714E" w:rsidP="006B714E">
          <w:pPr>
            <w:spacing w:after="0"/>
            <w:jc w:val="center"/>
            <w:rPr>
              <w:b/>
              <w:bCs/>
              <w:lang w:bidi="ar-EG"/>
            </w:rPr>
          </w:pPr>
          <w:r>
            <w:rPr>
              <w:b/>
              <w:bCs/>
              <w:noProof/>
              <w:lang w:bidi="ar-EG"/>
            </w:rPr>
            <w:drawing>
              <wp:inline distT="0" distB="0" distL="0" distR="0" wp14:anchorId="097011F0" wp14:editId="2B6CEA8C">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1F6D730F"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67D379AF" w14:textId="77777777" w:rsidTr="0036671B">
      <w:trPr>
        <w:jc w:val="center"/>
      </w:trPr>
      <w:tc>
        <w:tcPr>
          <w:tcW w:w="646" w:type="pct"/>
          <w:vMerge/>
        </w:tcPr>
        <w:p w14:paraId="7268A7D9" w14:textId="77777777" w:rsidR="006B714E" w:rsidRDefault="006B714E" w:rsidP="006B714E">
          <w:pPr>
            <w:spacing w:after="0"/>
            <w:jc w:val="center"/>
            <w:rPr>
              <w:lang w:bidi="ar-EG"/>
            </w:rPr>
          </w:pPr>
        </w:p>
      </w:tc>
      <w:tc>
        <w:tcPr>
          <w:tcW w:w="278" w:type="pct"/>
          <w:vMerge/>
          <w:vAlign w:val="center"/>
        </w:tcPr>
        <w:p w14:paraId="33FC2F70" w14:textId="77777777" w:rsidR="006B714E" w:rsidRDefault="006B714E" w:rsidP="006B714E">
          <w:pPr>
            <w:spacing w:after="0"/>
            <w:jc w:val="center"/>
            <w:rPr>
              <w:lang w:bidi="ar-EG"/>
            </w:rPr>
          </w:pPr>
        </w:p>
      </w:tc>
      <w:tc>
        <w:tcPr>
          <w:tcW w:w="4076" w:type="pct"/>
          <w:gridSpan w:val="5"/>
          <w:vAlign w:val="center"/>
        </w:tcPr>
        <w:p w14:paraId="6CB49C0C"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5492235F" w14:textId="77777777" w:rsidTr="0036671B">
      <w:trPr>
        <w:jc w:val="center"/>
      </w:trPr>
      <w:tc>
        <w:tcPr>
          <w:tcW w:w="646" w:type="pct"/>
          <w:vMerge/>
        </w:tcPr>
        <w:p w14:paraId="36F01C32" w14:textId="77777777" w:rsidR="006B714E" w:rsidRDefault="006B714E" w:rsidP="006B714E">
          <w:pPr>
            <w:spacing w:after="0"/>
            <w:jc w:val="center"/>
            <w:rPr>
              <w:noProof/>
              <w:lang w:bidi="ar-EG"/>
            </w:rPr>
          </w:pPr>
        </w:p>
      </w:tc>
      <w:tc>
        <w:tcPr>
          <w:tcW w:w="278" w:type="pct"/>
          <w:vAlign w:val="center"/>
        </w:tcPr>
        <w:p w14:paraId="34767A0A" w14:textId="77777777" w:rsidR="006B714E" w:rsidRDefault="006B714E" w:rsidP="006B714E">
          <w:pPr>
            <w:spacing w:after="0"/>
            <w:jc w:val="center"/>
            <w:rPr>
              <w:lang w:bidi="ar-EG"/>
            </w:rPr>
          </w:pPr>
          <w:r>
            <w:rPr>
              <w:noProof/>
              <w:lang w:bidi="ar-EG"/>
            </w:rPr>
            <w:drawing>
              <wp:inline distT="0" distB="0" distL="0" distR="0" wp14:anchorId="0C6EC5D8" wp14:editId="10A89FCD">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40349D3C"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3D80EB34"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15CBECA8"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30073505" wp14:editId="1F89C77A">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4B429670"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68CA2C8E" w14:textId="77777777" w:rsidTr="0036671B">
      <w:trPr>
        <w:jc w:val="center"/>
      </w:trPr>
      <w:tc>
        <w:tcPr>
          <w:tcW w:w="646" w:type="pct"/>
          <w:vMerge/>
        </w:tcPr>
        <w:p w14:paraId="0563E7CE" w14:textId="77777777" w:rsidR="006B714E" w:rsidRDefault="006B714E" w:rsidP="006B714E">
          <w:pPr>
            <w:spacing w:after="0"/>
            <w:jc w:val="center"/>
            <w:rPr>
              <w:noProof/>
              <w:lang w:bidi="ar-EG"/>
            </w:rPr>
          </w:pPr>
        </w:p>
      </w:tc>
      <w:tc>
        <w:tcPr>
          <w:tcW w:w="278" w:type="pct"/>
          <w:vAlign w:val="center"/>
        </w:tcPr>
        <w:p w14:paraId="64C079B7" w14:textId="77777777" w:rsidR="006B714E" w:rsidRDefault="006B714E" w:rsidP="006B714E">
          <w:pPr>
            <w:spacing w:after="0"/>
            <w:jc w:val="center"/>
            <w:rPr>
              <w:noProof/>
              <w:lang w:bidi="ar-EG"/>
            </w:rPr>
          </w:pPr>
          <w:r>
            <w:rPr>
              <w:noProof/>
              <w:lang w:bidi="ar-EG"/>
            </w:rPr>
            <w:drawing>
              <wp:inline distT="0" distB="0" distL="0" distR="0" wp14:anchorId="03B651D1" wp14:editId="046D5EC6">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470A3DF1"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6EF725EF"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1A77246F"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72D98CF8" wp14:editId="1F020B65">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67BD6B4C"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2F1C3DA5"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2C7BDA90" wp14:editId="267C9AFC">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E9CA" w14:textId="77777777" w:rsidR="00084DF4" w:rsidRDefault="00084DF4" w:rsidP="00CF1B4C">
      <w:pPr>
        <w:spacing w:after="0" w:line="240" w:lineRule="auto"/>
      </w:pPr>
      <w:r>
        <w:separator/>
      </w:r>
    </w:p>
  </w:footnote>
  <w:footnote w:type="continuationSeparator" w:id="0">
    <w:p w14:paraId="3562501F" w14:textId="77777777" w:rsidR="00084DF4" w:rsidRDefault="00084DF4" w:rsidP="00CF1B4C">
      <w:pPr>
        <w:spacing w:after="0" w:line="240" w:lineRule="auto"/>
      </w:pPr>
      <w:r>
        <w:continuationSeparator/>
      </w:r>
    </w:p>
  </w:footnote>
  <w:footnote w:id="1">
    <w:p w14:paraId="7AE83859" w14:textId="77777777" w:rsidR="00004160" w:rsidRDefault="00004160" w:rsidP="00DA2F54">
      <w:pPr>
        <w:pStyle w:val="FootnoteText"/>
        <w:bidi/>
        <w:rPr>
          <w:rtl/>
          <w:lang w:bidi="ar-EG"/>
        </w:rPr>
      </w:pPr>
      <w:r>
        <w:rPr>
          <w:rStyle w:val="FootnoteReference"/>
        </w:rPr>
        <w:footnoteRef/>
      </w:r>
      <w:r>
        <w:t xml:space="preserve"> </w:t>
      </w:r>
      <w:r w:rsidRPr="004B5A55">
        <w:rPr>
          <w:rFonts w:cs="Arial" w:hint="eastAsia"/>
          <w:rtl/>
          <w:lang w:bidi="ar-EG"/>
        </w:rPr>
        <w:t>المادة</w:t>
      </w:r>
      <w:r w:rsidRPr="004B5A55">
        <w:rPr>
          <w:rFonts w:cs="Arial"/>
          <w:rtl/>
          <w:lang w:bidi="ar-EG"/>
        </w:rPr>
        <w:t xml:space="preserve"> </w:t>
      </w:r>
      <w:r w:rsidRPr="004B5A55">
        <w:rPr>
          <w:rFonts w:cs="Arial" w:hint="eastAsia"/>
          <w:rtl/>
          <w:lang w:bidi="ar-EG"/>
        </w:rPr>
        <w:t>رقم</w:t>
      </w:r>
      <w:r w:rsidRPr="004B5A55">
        <w:rPr>
          <w:rFonts w:cs="Arial"/>
          <w:rtl/>
          <w:lang w:bidi="ar-EG"/>
        </w:rPr>
        <w:t xml:space="preserve"> 18 </w:t>
      </w:r>
      <w:r w:rsidRPr="004B5A55">
        <w:rPr>
          <w:rFonts w:cs="Arial" w:hint="eastAsia"/>
          <w:rtl/>
          <w:lang w:bidi="ar-EG"/>
        </w:rPr>
        <w:t>من</w:t>
      </w:r>
      <w:r w:rsidRPr="004B5A55">
        <w:rPr>
          <w:rFonts w:cs="Arial"/>
          <w:rtl/>
          <w:lang w:bidi="ar-EG"/>
        </w:rPr>
        <w:t xml:space="preserve"> </w:t>
      </w:r>
      <w:r w:rsidRPr="004B5A55">
        <w:rPr>
          <w:rFonts w:cs="Arial" w:hint="eastAsia"/>
          <w:rtl/>
          <w:lang w:bidi="ar-EG"/>
        </w:rPr>
        <w:t>الدستور</w:t>
      </w:r>
      <w:r w:rsidRPr="004B5A55">
        <w:rPr>
          <w:rFonts w:cs="Arial"/>
          <w:rtl/>
          <w:lang w:bidi="ar-EG"/>
        </w:rPr>
        <w:t xml:space="preserve"> </w:t>
      </w:r>
      <w:r w:rsidRPr="004B5A55">
        <w:rPr>
          <w:rFonts w:cs="Arial" w:hint="eastAsia"/>
          <w:rtl/>
          <w:lang w:bidi="ar-EG"/>
        </w:rPr>
        <w:t>البحريني</w:t>
      </w:r>
      <w:r>
        <w:rPr>
          <w:rFonts w:hint="cs"/>
          <w:rtl/>
          <w:lang w:bidi="ar-EG"/>
        </w:rPr>
        <w:t xml:space="preserve">، يمكن الاطلاع عل كامل مواد الدستور من خلال الرابط التالي: </w:t>
      </w:r>
      <w:hyperlink r:id="rId1" w:history="1">
        <w:r w:rsidRPr="00296DF4">
          <w:rPr>
            <w:rStyle w:val="Hyperlink"/>
            <w:lang w:bidi="ar-EG"/>
          </w:rPr>
          <w:t>https://bit.ly/3F6PvGz</w:t>
        </w:r>
      </w:hyperlink>
      <w:r>
        <w:rPr>
          <w:rFonts w:hint="cs"/>
          <w:rtl/>
          <w:lang w:bidi="ar-EG"/>
        </w:rPr>
        <w:t xml:space="preserve"> </w:t>
      </w:r>
    </w:p>
  </w:footnote>
  <w:footnote w:id="2">
    <w:p w14:paraId="39C696A2" w14:textId="77777777" w:rsidR="00004160" w:rsidRDefault="00004160" w:rsidP="00DA2F54">
      <w:pPr>
        <w:pStyle w:val="FootnoteText"/>
        <w:bidi/>
        <w:rPr>
          <w:rtl/>
          <w:lang w:bidi="ar-EG"/>
        </w:rPr>
      </w:pPr>
      <w:r>
        <w:rPr>
          <w:rStyle w:val="FootnoteReference"/>
        </w:rPr>
        <w:footnoteRef/>
      </w:r>
      <w:r>
        <w:t xml:space="preserve"> </w:t>
      </w:r>
      <w:r>
        <w:rPr>
          <w:rFonts w:cs="Arial" w:hint="cs"/>
          <w:rtl/>
          <w:lang w:bidi="ar-EG"/>
        </w:rPr>
        <w:t xml:space="preserve"> ا</w:t>
      </w:r>
      <w:r w:rsidRPr="005F4481">
        <w:rPr>
          <w:rFonts w:cs="Arial" w:hint="eastAsia"/>
          <w:rtl/>
          <w:lang w:bidi="ar-EG"/>
        </w:rPr>
        <w:t>لمادتان</w:t>
      </w:r>
      <w:r w:rsidRPr="005F4481">
        <w:rPr>
          <w:rFonts w:cs="Arial"/>
          <w:rtl/>
          <w:lang w:bidi="ar-EG"/>
        </w:rPr>
        <w:t xml:space="preserve"> </w:t>
      </w:r>
      <w:r w:rsidRPr="005F4481">
        <w:rPr>
          <w:rFonts w:cs="Arial" w:hint="eastAsia"/>
          <w:rtl/>
          <w:lang w:bidi="ar-EG"/>
        </w:rPr>
        <w:t>رقم</w:t>
      </w:r>
      <w:r w:rsidRPr="005F4481">
        <w:rPr>
          <w:rFonts w:cs="Arial"/>
          <w:rtl/>
          <w:lang w:bidi="ar-EG"/>
        </w:rPr>
        <w:t xml:space="preserve"> (1) </w:t>
      </w:r>
      <w:r w:rsidRPr="005F4481">
        <w:rPr>
          <w:rFonts w:cs="Arial" w:hint="eastAsia"/>
          <w:rtl/>
          <w:lang w:bidi="ar-EG"/>
        </w:rPr>
        <w:t>و</w:t>
      </w:r>
      <w:r w:rsidRPr="005F4481">
        <w:rPr>
          <w:rFonts w:cs="Arial"/>
          <w:rtl/>
          <w:lang w:bidi="ar-EG"/>
        </w:rPr>
        <w:t xml:space="preserve">(2) </w:t>
      </w:r>
      <w:r w:rsidRPr="005F4481">
        <w:rPr>
          <w:rFonts w:cs="Arial" w:hint="eastAsia"/>
          <w:rtl/>
          <w:lang w:bidi="ar-EG"/>
        </w:rPr>
        <w:t>من</w:t>
      </w:r>
      <w:r w:rsidRPr="005F4481">
        <w:rPr>
          <w:rFonts w:cs="Arial"/>
          <w:rtl/>
          <w:lang w:bidi="ar-EG"/>
        </w:rPr>
        <w:t xml:space="preserve"> </w:t>
      </w:r>
      <w:r w:rsidRPr="005F4481">
        <w:rPr>
          <w:rFonts w:cs="Arial" w:hint="eastAsia"/>
          <w:rtl/>
          <w:lang w:bidi="ar-EG"/>
        </w:rPr>
        <w:t>المرسوم</w:t>
      </w:r>
      <w:r w:rsidRPr="005F4481">
        <w:rPr>
          <w:rFonts w:cs="Arial"/>
          <w:rtl/>
          <w:lang w:bidi="ar-EG"/>
        </w:rPr>
        <w:t xml:space="preserve"> </w:t>
      </w:r>
      <w:r w:rsidRPr="005F4481">
        <w:rPr>
          <w:rFonts w:cs="Arial" w:hint="eastAsia"/>
          <w:rtl/>
          <w:lang w:bidi="ar-EG"/>
        </w:rPr>
        <w:t>بقانون</w:t>
      </w:r>
      <w:r w:rsidRPr="005F4481">
        <w:rPr>
          <w:rFonts w:cs="Arial"/>
          <w:rtl/>
          <w:lang w:bidi="ar-EG"/>
        </w:rPr>
        <w:t xml:space="preserve"> </w:t>
      </w:r>
      <w:r w:rsidRPr="005F4481">
        <w:rPr>
          <w:rFonts w:cs="Arial" w:hint="eastAsia"/>
          <w:rtl/>
          <w:lang w:bidi="ar-EG"/>
        </w:rPr>
        <w:t>رقم</w:t>
      </w:r>
      <w:r w:rsidRPr="005F4481">
        <w:rPr>
          <w:rFonts w:cs="Arial"/>
          <w:rtl/>
          <w:lang w:bidi="ar-EG"/>
        </w:rPr>
        <w:t xml:space="preserve"> (16) </w:t>
      </w:r>
      <w:r w:rsidRPr="005F4481">
        <w:rPr>
          <w:rFonts w:cs="Arial" w:hint="eastAsia"/>
          <w:rtl/>
          <w:lang w:bidi="ar-EG"/>
        </w:rPr>
        <w:t>لعام</w:t>
      </w:r>
      <w:r w:rsidRPr="005F4481">
        <w:rPr>
          <w:rFonts w:cs="Arial"/>
          <w:rtl/>
          <w:lang w:bidi="ar-EG"/>
        </w:rPr>
        <w:t xml:space="preserve"> 2021 </w:t>
      </w:r>
      <w:r w:rsidRPr="005F4481">
        <w:rPr>
          <w:rFonts w:cs="Arial" w:hint="eastAsia"/>
          <w:rtl/>
          <w:lang w:bidi="ar-EG"/>
        </w:rPr>
        <w:t>الخاص</w:t>
      </w:r>
      <w:r w:rsidRPr="005F4481">
        <w:rPr>
          <w:rFonts w:cs="Arial"/>
          <w:rtl/>
          <w:lang w:bidi="ar-EG"/>
        </w:rPr>
        <w:t xml:space="preserve"> </w:t>
      </w:r>
      <w:r w:rsidRPr="005F4481">
        <w:rPr>
          <w:rFonts w:cs="Arial" w:hint="eastAsia"/>
          <w:rtl/>
          <w:lang w:bidi="ar-EG"/>
        </w:rPr>
        <w:t>بتعديل</w:t>
      </w:r>
      <w:r w:rsidRPr="005F4481">
        <w:rPr>
          <w:rFonts w:cs="Arial"/>
          <w:rtl/>
          <w:lang w:bidi="ar-EG"/>
        </w:rPr>
        <w:t xml:space="preserve"> </w:t>
      </w:r>
      <w:r w:rsidRPr="005F4481">
        <w:rPr>
          <w:rFonts w:cs="Arial" w:hint="eastAsia"/>
          <w:rtl/>
          <w:lang w:bidi="ar-EG"/>
        </w:rPr>
        <w:t>بعض</w:t>
      </w:r>
      <w:r w:rsidRPr="005F4481">
        <w:rPr>
          <w:rFonts w:cs="Arial"/>
          <w:rtl/>
          <w:lang w:bidi="ar-EG"/>
        </w:rPr>
        <w:t xml:space="preserve"> </w:t>
      </w:r>
      <w:r w:rsidRPr="005F4481">
        <w:rPr>
          <w:rFonts w:cs="Arial" w:hint="eastAsia"/>
          <w:rtl/>
          <w:lang w:bidi="ar-EG"/>
        </w:rPr>
        <w:t>أحكام</w:t>
      </w:r>
      <w:r w:rsidRPr="005F4481">
        <w:rPr>
          <w:rFonts w:cs="Arial"/>
          <w:rtl/>
          <w:lang w:bidi="ar-EG"/>
        </w:rPr>
        <w:t xml:space="preserve"> </w:t>
      </w:r>
      <w:r w:rsidRPr="005F4481">
        <w:rPr>
          <w:rFonts w:cs="Arial" w:hint="eastAsia"/>
          <w:rtl/>
          <w:lang w:bidi="ar-EG"/>
        </w:rPr>
        <w:t>قانون</w:t>
      </w:r>
      <w:r w:rsidRPr="005F4481">
        <w:rPr>
          <w:rFonts w:cs="Arial"/>
          <w:rtl/>
          <w:lang w:bidi="ar-EG"/>
        </w:rPr>
        <w:t xml:space="preserve"> </w:t>
      </w:r>
      <w:r w:rsidRPr="005F4481">
        <w:rPr>
          <w:rFonts w:cs="Arial" w:hint="eastAsia"/>
          <w:rtl/>
          <w:lang w:bidi="ar-EG"/>
        </w:rPr>
        <w:t>العمل</w:t>
      </w:r>
      <w:r w:rsidRPr="005F4481">
        <w:rPr>
          <w:rFonts w:cs="Arial"/>
          <w:rtl/>
          <w:lang w:bidi="ar-EG"/>
        </w:rPr>
        <w:t xml:space="preserve"> </w:t>
      </w:r>
      <w:r w:rsidRPr="005F4481">
        <w:rPr>
          <w:rFonts w:cs="Arial" w:hint="eastAsia"/>
          <w:rtl/>
          <w:lang w:bidi="ar-EG"/>
        </w:rPr>
        <w:t>في</w:t>
      </w:r>
      <w:r w:rsidRPr="005F4481">
        <w:rPr>
          <w:rFonts w:cs="Arial"/>
          <w:rtl/>
          <w:lang w:bidi="ar-EG"/>
        </w:rPr>
        <w:t xml:space="preserve"> </w:t>
      </w:r>
      <w:r w:rsidRPr="005F4481">
        <w:rPr>
          <w:rFonts w:cs="Arial" w:hint="eastAsia"/>
          <w:rtl/>
          <w:lang w:bidi="ar-EG"/>
        </w:rPr>
        <w:t>القطاع</w:t>
      </w:r>
      <w:r w:rsidRPr="005F4481">
        <w:rPr>
          <w:rFonts w:cs="Arial"/>
          <w:rtl/>
          <w:lang w:bidi="ar-EG"/>
        </w:rPr>
        <w:t xml:space="preserve"> </w:t>
      </w:r>
      <w:r w:rsidRPr="005F4481">
        <w:rPr>
          <w:rFonts w:cs="Arial" w:hint="eastAsia"/>
          <w:rtl/>
          <w:lang w:bidi="ar-EG"/>
        </w:rPr>
        <w:t>الخاص</w:t>
      </w:r>
      <w:r w:rsidRPr="005F4481">
        <w:rPr>
          <w:rFonts w:cs="Arial"/>
          <w:rtl/>
          <w:lang w:bidi="ar-EG"/>
        </w:rPr>
        <w:t xml:space="preserve"> </w:t>
      </w:r>
      <w:r w:rsidRPr="005F4481">
        <w:rPr>
          <w:rFonts w:cs="Arial" w:hint="eastAsia"/>
          <w:rtl/>
          <w:lang w:bidi="ar-EG"/>
        </w:rPr>
        <w:t>رقم</w:t>
      </w:r>
      <w:r w:rsidRPr="005F4481">
        <w:rPr>
          <w:rFonts w:cs="Arial"/>
          <w:rtl/>
          <w:lang w:bidi="ar-EG"/>
        </w:rPr>
        <w:t xml:space="preserve"> (36) </w:t>
      </w:r>
      <w:r w:rsidRPr="005F4481">
        <w:rPr>
          <w:rFonts w:cs="Arial" w:hint="eastAsia"/>
          <w:rtl/>
          <w:lang w:bidi="ar-EG"/>
        </w:rPr>
        <w:t>لسنة</w:t>
      </w:r>
      <w:r w:rsidRPr="005F4481">
        <w:rPr>
          <w:rFonts w:cs="Arial"/>
          <w:rtl/>
          <w:lang w:bidi="ar-EG"/>
        </w:rPr>
        <w:t xml:space="preserve"> 2012</w:t>
      </w:r>
      <w:r>
        <w:rPr>
          <w:rFonts w:hint="cs"/>
          <w:rtl/>
          <w:lang w:bidi="ar-EG"/>
        </w:rPr>
        <w:t xml:space="preserve">، الرابط: </w:t>
      </w:r>
      <w:hyperlink r:id="rId2" w:history="1">
        <w:r w:rsidRPr="00296DF4">
          <w:rPr>
            <w:rStyle w:val="Hyperlink"/>
            <w:lang w:bidi="ar-EG"/>
          </w:rPr>
          <w:t>https://bit.ly/3eIz0W3</w:t>
        </w:r>
      </w:hyperlink>
      <w:r>
        <w:rPr>
          <w:rFonts w:hint="cs"/>
          <w:rtl/>
          <w:lang w:bidi="ar-EG"/>
        </w:rPr>
        <w:t xml:space="preserve"> </w:t>
      </w:r>
    </w:p>
  </w:footnote>
  <w:footnote w:id="3">
    <w:p w14:paraId="128D98B3" w14:textId="77777777" w:rsidR="00004160" w:rsidRPr="00053306" w:rsidRDefault="00004160" w:rsidP="00DA2F54">
      <w:pPr>
        <w:pStyle w:val="FootnoteText"/>
        <w:bidi/>
        <w:rPr>
          <w:rtl/>
          <w:lang w:bidi="ar-EG"/>
        </w:rPr>
      </w:pPr>
      <w:r>
        <w:rPr>
          <w:rStyle w:val="FootnoteReference"/>
        </w:rPr>
        <w:footnoteRef/>
      </w:r>
      <w:r>
        <w:t xml:space="preserve"> </w:t>
      </w:r>
      <w:r w:rsidRPr="00053306">
        <w:rPr>
          <w:rFonts w:cs="Arial" w:hint="eastAsia"/>
          <w:rtl/>
          <w:lang w:bidi="ar-EG"/>
        </w:rPr>
        <w:t>برعاية</w:t>
      </w:r>
      <w:r w:rsidRPr="00053306">
        <w:rPr>
          <w:rFonts w:cs="Arial"/>
          <w:rtl/>
          <w:lang w:bidi="ar-EG"/>
        </w:rPr>
        <w:t xml:space="preserve"> </w:t>
      </w:r>
      <w:r w:rsidRPr="00053306">
        <w:rPr>
          <w:rFonts w:cs="Arial" w:hint="eastAsia"/>
          <w:rtl/>
          <w:lang w:bidi="ar-EG"/>
        </w:rPr>
        <w:t>ملكية</w:t>
      </w:r>
      <w:r w:rsidRPr="00053306">
        <w:rPr>
          <w:rFonts w:cs="Arial"/>
          <w:rtl/>
          <w:lang w:bidi="ar-EG"/>
        </w:rPr>
        <w:t>..</w:t>
      </w:r>
      <w:r w:rsidRPr="00053306">
        <w:rPr>
          <w:rFonts w:cs="Arial" w:hint="eastAsia"/>
          <w:rtl/>
          <w:lang w:bidi="ar-EG"/>
        </w:rPr>
        <w:t>إطلاق</w:t>
      </w:r>
      <w:r w:rsidRPr="00053306">
        <w:rPr>
          <w:rFonts w:cs="Arial"/>
          <w:rtl/>
          <w:lang w:bidi="ar-EG"/>
        </w:rPr>
        <w:t xml:space="preserve"> "</w:t>
      </w:r>
      <w:r w:rsidRPr="00053306">
        <w:rPr>
          <w:rFonts w:cs="Arial" w:hint="eastAsia"/>
          <w:rtl/>
          <w:lang w:bidi="ar-EG"/>
        </w:rPr>
        <w:t>إعلان</w:t>
      </w:r>
      <w:r w:rsidRPr="00053306">
        <w:rPr>
          <w:rFonts w:cs="Arial"/>
          <w:rtl/>
          <w:lang w:bidi="ar-EG"/>
        </w:rPr>
        <w:t xml:space="preserve"> </w:t>
      </w:r>
      <w:r w:rsidRPr="00053306">
        <w:rPr>
          <w:rFonts w:cs="Arial" w:hint="eastAsia"/>
          <w:rtl/>
          <w:lang w:bidi="ar-EG"/>
        </w:rPr>
        <w:t>البحرين</w:t>
      </w:r>
      <w:r w:rsidRPr="00053306">
        <w:rPr>
          <w:rFonts w:cs="Arial"/>
          <w:rtl/>
          <w:lang w:bidi="ar-EG"/>
        </w:rPr>
        <w:t xml:space="preserve">" </w:t>
      </w:r>
      <w:r w:rsidRPr="00053306">
        <w:rPr>
          <w:rFonts w:cs="Arial" w:hint="eastAsia"/>
          <w:rtl/>
          <w:lang w:bidi="ar-EG"/>
        </w:rPr>
        <w:t>في</w:t>
      </w:r>
      <w:r w:rsidRPr="00053306">
        <w:rPr>
          <w:rFonts w:cs="Arial"/>
          <w:rtl/>
          <w:lang w:bidi="ar-EG"/>
        </w:rPr>
        <w:t xml:space="preserve"> </w:t>
      </w:r>
      <w:r w:rsidRPr="00053306">
        <w:rPr>
          <w:rFonts w:cs="Arial" w:hint="eastAsia"/>
          <w:rtl/>
          <w:lang w:bidi="ar-EG"/>
        </w:rPr>
        <w:t>لوس</w:t>
      </w:r>
      <w:r w:rsidRPr="00053306">
        <w:rPr>
          <w:rFonts w:cs="Arial"/>
          <w:rtl/>
          <w:lang w:bidi="ar-EG"/>
        </w:rPr>
        <w:t xml:space="preserve"> </w:t>
      </w:r>
      <w:r w:rsidRPr="00053306">
        <w:rPr>
          <w:rFonts w:cs="Arial" w:hint="eastAsia"/>
          <w:rtl/>
          <w:lang w:bidi="ar-EG"/>
        </w:rPr>
        <w:t>أنجلس</w:t>
      </w:r>
      <w:r w:rsidRPr="00053306">
        <w:rPr>
          <w:rFonts w:cs="Arial"/>
          <w:rtl/>
          <w:lang w:bidi="ar-EG"/>
        </w:rPr>
        <w:t xml:space="preserve"> </w:t>
      </w:r>
      <w:r w:rsidRPr="00053306">
        <w:rPr>
          <w:rFonts w:cs="Arial" w:hint="eastAsia"/>
          <w:rtl/>
          <w:lang w:bidi="ar-EG"/>
        </w:rPr>
        <w:t>وتدشين</w:t>
      </w:r>
      <w:r w:rsidRPr="00053306">
        <w:rPr>
          <w:rFonts w:cs="Arial"/>
          <w:rtl/>
          <w:lang w:bidi="ar-EG"/>
        </w:rPr>
        <w:t xml:space="preserve"> </w:t>
      </w:r>
      <w:r w:rsidRPr="00053306">
        <w:rPr>
          <w:rFonts w:cs="Arial" w:hint="eastAsia"/>
          <w:rtl/>
          <w:lang w:bidi="ar-EG"/>
        </w:rPr>
        <w:t>مركز</w:t>
      </w:r>
      <w:r w:rsidRPr="00053306">
        <w:rPr>
          <w:rFonts w:cs="Arial"/>
          <w:rtl/>
          <w:lang w:bidi="ar-EG"/>
        </w:rPr>
        <w:t xml:space="preserve"> </w:t>
      </w:r>
      <w:r w:rsidRPr="00053306">
        <w:rPr>
          <w:rFonts w:cs="Arial" w:hint="eastAsia"/>
          <w:rtl/>
          <w:lang w:bidi="ar-EG"/>
        </w:rPr>
        <w:t>الملك</w:t>
      </w:r>
      <w:r w:rsidRPr="00053306">
        <w:rPr>
          <w:rFonts w:cs="Arial"/>
          <w:rtl/>
          <w:lang w:bidi="ar-EG"/>
        </w:rPr>
        <w:t xml:space="preserve"> </w:t>
      </w:r>
      <w:r w:rsidRPr="00053306">
        <w:rPr>
          <w:rFonts w:cs="Arial" w:hint="eastAsia"/>
          <w:rtl/>
          <w:lang w:bidi="ar-EG"/>
        </w:rPr>
        <w:t>حمد</w:t>
      </w:r>
      <w:r w:rsidRPr="00053306">
        <w:rPr>
          <w:rFonts w:cs="Arial"/>
          <w:rtl/>
          <w:lang w:bidi="ar-EG"/>
        </w:rPr>
        <w:t xml:space="preserve"> "</w:t>
      </w:r>
      <w:r w:rsidRPr="00053306">
        <w:rPr>
          <w:rFonts w:cs="Arial" w:hint="eastAsia"/>
          <w:rtl/>
          <w:lang w:bidi="ar-EG"/>
        </w:rPr>
        <w:t>للحوار</w:t>
      </w:r>
      <w:r w:rsidRPr="00053306">
        <w:rPr>
          <w:rFonts w:cs="Arial"/>
          <w:rtl/>
          <w:lang w:bidi="ar-EG"/>
        </w:rPr>
        <w:t xml:space="preserve"> </w:t>
      </w:r>
      <w:r w:rsidRPr="00053306">
        <w:rPr>
          <w:rFonts w:cs="Arial" w:hint="eastAsia"/>
          <w:rtl/>
          <w:lang w:bidi="ar-EG"/>
        </w:rPr>
        <w:t>بين</w:t>
      </w:r>
      <w:r w:rsidRPr="00053306">
        <w:rPr>
          <w:rFonts w:cs="Arial"/>
          <w:rtl/>
          <w:lang w:bidi="ar-EG"/>
        </w:rPr>
        <w:t xml:space="preserve"> </w:t>
      </w:r>
      <w:r w:rsidRPr="00053306">
        <w:rPr>
          <w:rFonts w:cs="Arial" w:hint="eastAsia"/>
          <w:rtl/>
          <w:lang w:bidi="ar-EG"/>
        </w:rPr>
        <w:t>الأديان</w:t>
      </w:r>
      <w:r w:rsidRPr="00053306">
        <w:rPr>
          <w:rFonts w:cs="Arial"/>
          <w:rtl/>
          <w:lang w:bidi="ar-EG"/>
        </w:rPr>
        <w:t>"</w:t>
      </w:r>
      <w:r>
        <w:rPr>
          <w:rFonts w:hint="cs"/>
          <w:rtl/>
          <w:lang w:bidi="ar-EG"/>
        </w:rPr>
        <w:t xml:space="preserve">، الوطن، </w:t>
      </w:r>
      <w:r w:rsidRPr="00053306">
        <w:rPr>
          <w:rFonts w:cs="Arial"/>
          <w:rtl/>
          <w:lang w:bidi="ar-EG"/>
        </w:rPr>
        <w:t xml:space="preserve">12 </w:t>
      </w:r>
      <w:r w:rsidRPr="00053306">
        <w:rPr>
          <w:rFonts w:cs="Arial" w:hint="eastAsia"/>
          <w:rtl/>
          <w:lang w:bidi="ar-EG"/>
        </w:rPr>
        <w:t>سبتمبر</w:t>
      </w:r>
      <w:r w:rsidRPr="00053306">
        <w:rPr>
          <w:rFonts w:cs="Arial"/>
          <w:rtl/>
          <w:lang w:bidi="ar-EG"/>
        </w:rPr>
        <w:t xml:space="preserve"> 2017</w:t>
      </w:r>
      <w:r>
        <w:rPr>
          <w:rFonts w:cs="Arial" w:hint="cs"/>
          <w:rtl/>
          <w:lang w:bidi="ar-EG"/>
        </w:rPr>
        <w:t xml:space="preserve">، </w:t>
      </w:r>
      <w:hyperlink r:id="rId3" w:history="1">
        <w:r w:rsidRPr="00296DF4">
          <w:rPr>
            <w:rStyle w:val="Hyperlink"/>
            <w:rFonts w:cs="Arial"/>
            <w:lang w:bidi="ar-EG"/>
          </w:rPr>
          <w:t>https://bit.ly/3CHq9fl</w:t>
        </w:r>
      </w:hyperlink>
      <w:r>
        <w:rPr>
          <w:rFonts w:cs="Arial" w:hint="cs"/>
          <w:rtl/>
          <w:lang w:bidi="ar-EG"/>
        </w:rPr>
        <w:t xml:space="preserve"> </w:t>
      </w:r>
    </w:p>
  </w:footnote>
  <w:footnote w:id="4">
    <w:p w14:paraId="5D27C851" w14:textId="77777777" w:rsidR="00004160" w:rsidRDefault="00004160" w:rsidP="00DA2F54">
      <w:pPr>
        <w:pStyle w:val="FootnoteText"/>
        <w:bidi/>
        <w:rPr>
          <w:rtl/>
          <w:lang w:bidi="ar-EG"/>
        </w:rPr>
      </w:pPr>
      <w:r>
        <w:rPr>
          <w:rStyle w:val="FootnoteReference"/>
        </w:rPr>
        <w:footnoteRef/>
      </w:r>
      <w:r>
        <w:t xml:space="preserve"> </w:t>
      </w:r>
      <w:r w:rsidRPr="0056309E">
        <w:rPr>
          <w:rFonts w:cs="Arial" w:hint="eastAsia"/>
          <w:rtl/>
        </w:rPr>
        <w:t>أمر</w:t>
      </w:r>
      <w:r w:rsidRPr="0056309E">
        <w:rPr>
          <w:rFonts w:cs="Arial"/>
          <w:rtl/>
        </w:rPr>
        <w:t xml:space="preserve"> </w:t>
      </w:r>
      <w:r w:rsidRPr="0056309E">
        <w:rPr>
          <w:rFonts w:cs="Arial" w:hint="eastAsia"/>
          <w:rtl/>
        </w:rPr>
        <w:t>ملكي</w:t>
      </w:r>
      <w:r w:rsidRPr="0056309E">
        <w:rPr>
          <w:rFonts w:cs="Arial"/>
          <w:rtl/>
        </w:rPr>
        <w:t xml:space="preserve"> </w:t>
      </w:r>
      <w:r w:rsidRPr="0056309E">
        <w:rPr>
          <w:rFonts w:cs="Arial" w:hint="eastAsia"/>
          <w:rtl/>
        </w:rPr>
        <w:t>بإنشاء</w:t>
      </w:r>
      <w:r w:rsidRPr="0056309E">
        <w:rPr>
          <w:rFonts w:cs="Arial"/>
          <w:rtl/>
        </w:rPr>
        <w:t xml:space="preserve"> </w:t>
      </w:r>
      <w:r w:rsidRPr="0056309E">
        <w:rPr>
          <w:rFonts w:cs="Arial" w:hint="eastAsia"/>
          <w:rtl/>
        </w:rPr>
        <w:t>مركز</w:t>
      </w:r>
      <w:r w:rsidRPr="0056309E">
        <w:rPr>
          <w:rFonts w:cs="Arial"/>
          <w:rtl/>
        </w:rPr>
        <w:t xml:space="preserve"> </w:t>
      </w:r>
      <w:r w:rsidRPr="0056309E">
        <w:rPr>
          <w:rFonts w:cs="Arial" w:hint="eastAsia"/>
          <w:rtl/>
        </w:rPr>
        <w:t>الملك</w:t>
      </w:r>
      <w:r w:rsidRPr="0056309E">
        <w:rPr>
          <w:rFonts w:cs="Arial"/>
          <w:rtl/>
        </w:rPr>
        <w:t xml:space="preserve"> </w:t>
      </w:r>
      <w:r w:rsidRPr="0056309E">
        <w:rPr>
          <w:rFonts w:cs="Arial" w:hint="eastAsia"/>
          <w:rtl/>
        </w:rPr>
        <w:t>حمد</w:t>
      </w:r>
      <w:r w:rsidRPr="0056309E">
        <w:rPr>
          <w:rFonts w:cs="Arial"/>
          <w:rtl/>
        </w:rPr>
        <w:t xml:space="preserve"> </w:t>
      </w:r>
      <w:r w:rsidRPr="0056309E">
        <w:rPr>
          <w:rFonts w:cs="Arial" w:hint="eastAsia"/>
          <w:rtl/>
        </w:rPr>
        <w:t>العالمي</w:t>
      </w:r>
      <w:r w:rsidRPr="0056309E">
        <w:rPr>
          <w:rFonts w:cs="Arial"/>
          <w:rtl/>
        </w:rPr>
        <w:t xml:space="preserve"> </w:t>
      </w:r>
      <w:r w:rsidRPr="0056309E">
        <w:rPr>
          <w:rFonts w:cs="Arial" w:hint="eastAsia"/>
          <w:rtl/>
        </w:rPr>
        <w:t>للتعايش</w:t>
      </w:r>
      <w:r w:rsidRPr="0056309E">
        <w:rPr>
          <w:rFonts w:cs="Arial"/>
          <w:rtl/>
        </w:rPr>
        <w:t xml:space="preserve"> </w:t>
      </w:r>
      <w:r w:rsidRPr="0056309E">
        <w:rPr>
          <w:rFonts w:cs="Arial" w:hint="eastAsia"/>
          <w:rtl/>
        </w:rPr>
        <w:t>السلمي</w:t>
      </w:r>
      <w:r>
        <w:rPr>
          <w:rFonts w:cs="Arial" w:hint="cs"/>
          <w:rtl/>
        </w:rPr>
        <w:t xml:space="preserve">، الايام، </w:t>
      </w:r>
      <w:r w:rsidRPr="0056309E">
        <w:rPr>
          <w:rFonts w:cs="Arial"/>
          <w:rtl/>
        </w:rPr>
        <w:t xml:space="preserve">02 </w:t>
      </w:r>
      <w:r w:rsidRPr="0056309E">
        <w:rPr>
          <w:rFonts w:cs="Arial" w:hint="eastAsia"/>
          <w:rtl/>
        </w:rPr>
        <w:t>مارس</w:t>
      </w:r>
      <w:r w:rsidRPr="0056309E">
        <w:rPr>
          <w:rFonts w:cs="Arial"/>
          <w:rtl/>
        </w:rPr>
        <w:t xml:space="preserve"> 2018</w:t>
      </w:r>
      <w:r>
        <w:rPr>
          <w:rFonts w:cs="Arial" w:hint="cs"/>
          <w:rtl/>
        </w:rPr>
        <w:t xml:space="preserve">، الرابط: </w:t>
      </w:r>
      <w:hyperlink r:id="rId4" w:history="1">
        <w:r w:rsidRPr="00296DF4">
          <w:rPr>
            <w:rStyle w:val="Hyperlink"/>
            <w:rFonts w:cs="Arial"/>
          </w:rPr>
          <w:t>https://bit.ly/3yOgfaH</w:t>
        </w:r>
      </w:hyperlink>
      <w:r>
        <w:rPr>
          <w:rFonts w:cs="Arial" w:hint="cs"/>
          <w:rtl/>
        </w:rPr>
        <w:t xml:space="preserve"> </w:t>
      </w:r>
    </w:p>
  </w:footnote>
  <w:footnote w:id="5">
    <w:p w14:paraId="5A3CBB98" w14:textId="77777777" w:rsidR="00004160" w:rsidRDefault="00004160" w:rsidP="00DA2F54">
      <w:pPr>
        <w:pStyle w:val="FootnoteText"/>
        <w:rPr>
          <w:lang w:bidi="ar-EG"/>
        </w:rPr>
      </w:pPr>
      <w:r>
        <w:rPr>
          <w:rStyle w:val="FootnoteReference"/>
        </w:rPr>
        <w:footnoteRef/>
      </w:r>
      <w:r>
        <w:t xml:space="preserve"> </w:t>
      </w:r>
      <w:r w:rsidRPr="000E78E6">
        <w:t xml:space="preserve">2021 Country Reports on Human Rights Practices: Bahrain, US Department of State, April 2022, link: </w:t>
      </w:r>
      <w:hyperlink r:id="rId5" w:history="1">
        <w:r w:rsidRPr="00296DF4">
          <w:rPr>
            <w:rStyle w:val="Hyperlink"/>
          </w:rPr>
          <w:t>https://bit.ly/3s4fwhF</w:t>
        </w:r>
      </w:hyperlink>
      <w:r>
        <w:rPr>
          <w:rFonts w:hint="cs"/>
          <w:rtl/>
        </w:rPr>
        <w:t xml:space="preserve"> </w:t>
      </w:r>
    </w:p>
  </w:footnote>
  <w:footnote w:id="6">
    <w:p w14:paraId="66F58CD5" w14:textId="77777777" w:rsidR="00004160" w:rsidRPr="008A442E" w:rsidRDefault="00004160" w:rsidP="00DA2F54">
      <w:pPr>
        <w:pStyle w:val="FootnoteText"/>
        <w:rPr>
          <w:rtl/>
          <w:lang w:bidi="ar-EG"/>
        </w:rPr>
      </w:pPr>
      <w:r>
        <w:rPr>
          <w:rStyle w:val="FootnoteReference"/>
        </w:rPr>
        <w:footnoteRef/>
      </w:r>
      <w:r>
        <w:t xml:space="preserve"> </w:t>
      </w:r>
      <w:r w:rsidRPr="00A865C8">
        <w:rPr>
          <w:lang w:bidi="ar-EG"/>
        </w:rPr>
        <w:t xml:space="preserve">2020 Country Reports on Human Rights Practices: Bahrain,  Us department of state, March 30, 2021,  link: </w:t>
      </w:r>
      <w:hyperlink r:id="rId6" w:history="1">
        <w:r w:rsidRPr="00167F37">
          <w:rPr>
            <w:rStyle w:val="Hyperlink"/>
            <w:lang w:bidi="ar-EG"/>
          </w:rPr>
          <w:t>https://bit.ly/3mLsPBT</w:t>
        </w:r>
      </w:hyperlink>
      <w:r>
        <w:rPr>
          <w:lang w:bidi="ar-EG"/>
        </w:rPr>
        <w:t xml:space="preserve"> </w:t>
      </w:r>
    </w:p>
  </w:footnote>
  <w:footnote w:id="7">
    <w:p w14:paraId="7528C6AE" w14:textId="77777777" w:rsidR="00004160" w:rsidRPr="00A15C34" w:rsidRDefault="00004160" w:rsidP="00DA2F54">
      <w:pPr>
        <w:pStyle w:val="FootnoteText"/>
        <w:rPr>
          <w:lang w:bidi="ar-EG"/>
        </w:rPr>
      </w:pPr>
      <w:r>
        <w:rPr>
          <w:rStyle w:val="FootnoteReference"/>
        </w:rPr>
        <w:footnoteRef/>
      </w:r>
      <w:r>
        <w:t xml:space="preserve"> </w:t>
      </w:r>
      <w:r w:rsidRPr="00A15C34">
        <w:rPr>
          <w:lang w:bidi="ar-EG"/>
        </w:rPr>
        <w:t xml:space="preserve">Resolution No. (50) of 2020 regarding the employment of women at night,  Legislation and Legal Opinion commission,  August 27, 2020 link: </w:t>
      </w:r>
      <w:hyperlink r:id="rId7" w:history="1">
        <w:r w:rsidRPr="00167F37">
          <w:rPr>
            <w:rStyle w:val="Hyperlink"/>
            <w:lang w:bidi="ar-EG"/>
          </w:rPr>
          <w:t>https://www.lloc.gov.bh/15497.aspx?cms=q8FmFJgiscJUAh5wTFxPQnjc67hw%2Bcd53dCDU8XkwhyDqZn9xoYKj62QFqJ90AeHiV8fR84xDwasQrYsc01MLw%3D%3D</w:t>
        </w:r>
      </w:hyperlink>
      <w:r>
        <w:rPr>
          <w:rFonts w:hint="cs"/>
          <w:rtl/>
          <w:lang w:bidi="ar-EG"/>
        </w:rPr>
        <w:t xml:space="preserve"> </w:t>
      </w:r>
    </w:p>
  </w:footnote>
  <w:footnote w:id="8">
    <w:p w14:paraId="385AF25A" w14:textId="77777777" w:rsidR="00004160" w:rsidRDefault="00004160" w:rsidP="00DA2F54">
      <w:pPr>
        <w:pStyle w:val="FootnoteText"/>
        <w:rPr>
          <w:lang w:bidi="ar-EG"/>
        </w:rPr>
      </w:pPr>
      <w:r>
        <w:rPr>
          <w:rStyle w:val="FootnoteReference"/>
        </w:rPr>
        <w:footnoteRef/>
      </w:r>
      <w:r>
        <w:t xml:space="preserve"> </w:t>
      </w:r>
      <w:r w:rsidRPr="00A15C34">
        <w:rPr>
          <w:lang w:bidi="ar-EG"/>
        </w:rPr>
        <w:t xml:space="preserve">THE TWO SIDES OF WOMEN’S RIGHTS IN BAHRAIN,  The </w:t>
      </w:r>
      <w:proofErr w:type="spellStart"/>
      <w:r w:rsidRPr="00A15C34">
        <w:rPr>
          <w:lang w:bidi="ar-EG"/>
        </w:rPr>
        <w:t>Borgen</w:t>
      </w:r>
      <w:proofErr w:type="spellEnd"/>
      <w:r w:rsidRPr="00A15C34">
        <w:rPr>
          <w:lang w:bidi="ar-EG"/>
        </w:rPr>
        <w:t xml:space="preserve"> project,  MARCH 19, 2021,  link: </w:t>
      </w:r>
      <w:hyperlink r:id="rId8" w:history="1">
        <w:r w:rsidRPr="00167F37">
          <w:rPr>
            <w:rStyle w:val="Hyperlink"/>
            <w:lang w:bidi="ar-EG"/>
          </w:rPr>
          <w:t>https://bit.ly/3bPbJge</w:t>
        </w:r>
      </w:hyperlink>
      <w:r>
        <w:rPr>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1286" w14:textId="77777777" w:rsidR="00AC72CC" w:rsidRDefault="00EB74DC">
    <w:r>
      <w:rPr>
        <w:rFonts w:hint="cs"/>
        <w:noProof/>
      </w:rPr>
      <w:drawing>
        <wp:inline distT="0" distB="0" distL="0" distR="0" wp14:anchorId="1FBCADEC" wp14:editId="2468F05B">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6652A2E4" w14:textId="77777777" w:rsidTr="00295CF7">
      <w:tc>
        <w:tcPr>
          <w:tcW w:w="2500" w:type="pct"/>
        </w:tcPr>
        <w:p w14:paraId="7DDAE1A7" w14:textId="77777777" w:rsidR="006B714E" w:rsidRDefault="006B714E" w:rsidP="006B714E">
          <w:pPr>
            <w:pStyle w:val="Header"/>
          </w:pPr>
          <w:r>
            <w:rPr>
              <w:rFonts w:hint="cs"/>
              <w:noProof/>
            </w:rPr>
            <w:drawing>
              <wp:inline distT="0" distB="0" distL="0" distR="0" wp14:anchorId="2427AF49" wp14:editId="217C3B32">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510FCDAF" w14:textId="77777777" w:rsidR="006B714E" w:rsidRDefault="006B714E" w:rsidP="006B714E">
          <w:pPr>
            <w:pStyle w:val="Header"/>
          </w:pPr>
        </w:p>
      </w:tc>
    </w:tr>
  </w:tbl>
  <w:p w14:paraId="0B3FE963"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20197"/>
    <w:multiLevelType w:val="hybridMultilevel"/>
    <w:tmpl w:val="559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1759AE"/>
    <w:multiLevelType w:val="hybridMultilevel"/>
    <w:tmpl w:val="7754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7CA34492"/>
    <w:multiLevelType w:val="hybridMultilevel"/>
    <w:tmpl w:val="89EA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10"/>
  </w:num>
  <w:num w:numId="5">
    <w:abstractNumId w:val="12"/>
  </w:num>
  <w:num w:numId="6">
    <w:abstractNumId w:val="1"/>
  </w:num>
  <w:num w:numId="7">
    <w:abstractNumId w:val="15"/>
  </w:num>
  <w:num w:numId="8">
    <w:abstractNumId w:val="7"/>
  </w:num>
  <w:num w:numId="9">
    <w:abstractNumId w:val="6"/>
  </w:num>
  <w:num w:numId="10">
    <w:abstractNumId w:val="14"/>
  </w:num>
  <w:num w:numId="11">
    <w:abstractNumId w:val="11"/>
  </w:num>
  <w:num w:numId="12">
    <w:abstractNumId w:val="16"/>
  </w:num>
  <w:num w:numId="13">
    <w:abstractNumId w:val="18"/>
  </w:num>
  <w:num w:numId="14">
    <w:abstractNumId w:val="0"/>
  </w:num>
  <w:num w:numId="15">
    <w:abstractNumId w:val="8"/>
  </w:num>
  <w:num w:numId="16">
    <w:abstractNumId w:val="4"/>
  </w:num>
  <w:num w:numId="17">
    <w:abstractNumId w:val="3"/>
  </w:num>
  <w:num w:numId="18">
    <w:abstractNumId w:val="5"/>
  </w:num>
  <w:num w:numId="19">
    <w:abstractNumId w:val="9"/>
  </w:num>
  <w:num w:numId="20">
    <w:abstractNumId w:val="17"/>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60"/>
    <w:rsid w:val="0000141C"/>
    <w:rsid w:val="00003699"/>
    <w:rsid w:val="00004160"/>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4DF4"/>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98C0B"/>
  <w15:docId w15:val="{68583679-6508-4A97-92D6-84974A8C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bit.ly/3bPbJge" TargetMode="External"/><Relationship Id="rId3" Type="http://schemas.openxmlformats.org/officeDocument/2006/relationships/hyperlink" Target="https://bit.ly/3CHq9fl" TargetMode="External"/><Relationship Id="rId7" Type="http://schemas.openxmlformats.org/officeDocument/2006/relationships/hyperlink" Target="https://www.lloc.gov.bh/15497.aspx?cms=q8FmFJgiscJUAh5wTFxPQnjc67hw%2Bcd53dCDU8XkwhyDqZn9xoYKj62QFqJ90AeHiV8fR84xDwasQrYsc01MLw%3D%3D" TargetMode="External"/><Relationship Id="rId2" Type="http://schemas.openxmlformats.org/officeDocument/2006/relationships/hyperlink" Target="https://bit.ly/3eIz0W3" TargetMode="External"/><Relationship Id="rId1" Type="http://schemas.openxmlformats.org/officeDocument/2006/relationships/hyperlink" Target="https://bit.ly/3F6PvGz" TargetMode="External"/><Relationship Id="rId6" Type="http://schemas.openxmlformats.org/officeDocument/2006/relationships/hyperlink" Target="https://bit.ly/3mLsPBT" TargetMode="External"/><Relationship Id="rId5" Type="http://schemas.openxmlformats.org/officeDocument/2006/relationships/hyperlink" Target="https://bit.ly/3s4fwhF" TargetMode="External"/><Relationship Id="rId4" Type="http://schemas.openxmlformats.org/officeDocument/2006/relationships/hyperlink" Target="https://bit.ly/3yOgf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customXml/itemProps2.xml><?xml version="1.0" encoding="utf-8"?>
<ds:datastoreItem xmlns:ds="http://schemas.openxmlformats.org/officeDocument/2006/customXml" ds:itemID="{EEBA8274-A8A8-4717-A568-0183169C5106}"/>
</file>

<file path=customXml/itemProps3.xml><?xml version="1.0" encoding="utf-8"?>
<ds:datastoreItem xmlns:ds="http://schemas.openxmlformats.org/officeDocument/2006/customXml" ds:itemID="{2486A9F5-EBDF-417F-A7BA-DB7E871BC075}"/>
</file>

<file path=customXml/itemProps4.xml><?xml version="1.0" encoding="utf-8"?>
<ds:datastoreItem xmlns:ds="http://schemas.openxmlformats.org/officeDocument/2006/customXml" ds:itemID="{5EA32AF8-1176-4F06-B6B6-C3EDD094C253}"/>
</file>

<file path=docProps/app.xml><?xml version="1.0" encoding="utf-8"?>
<Properties xmlns="http://schemas.openxmlformats.org/officeDocument/2006/extended-properties" xmlns:vt="http://schemas.openxmlformats.org/officeDocument/2006/docPropsVTypes">
  <Template>Maat</Template>
  <TotalTime>2</TotalTime>
  <Pages>4</Pages>
  <Words>1692</Words>
  <Characters>9647</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مؤشر الإرهاب في المنطقة العربية</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m.sabri@maatpeace.org</cp:lastModifiedBy>
  <cp:revision>1</cp:revision>
  <dcterms:created xsi:type="dcterms:W3CDTF">2022-10-27T10:47:00Z</dcterms:created>
  <dcterms:modified xsi:type="dcterms:W3CDTF">2022-10-27T10:49:00Z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