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D55F7" w14:textId="2F242D7B" w:rsidR="003C0D2E" w:rsidRDefault="001307F9" w:rsidP="00F31C39">
      <w:pPr>
        <w:rPr>
          <w:lang w:val="en-GB"/>
        </w:rPr>
      </w:pPr>
      <w:r>
        <w:rPr>
          <w:noProof/>
        </w:rPr>
        <w:drawing>
          <wp:anchor distT="0" distB="0" distL="114300" distR="114300" simplePos="0" relativeHeight="251664384" behindDoc="0" locked="0" layoutInCell="1" hidden="0" allowOverlap="1" wp14:anchorId="48DC7CDF" wp14:editId="5DEDC8D9">
            <wp:simplePos x="0" y="0"/>
            <wp:positionH relativeFrom="column">
              <wp:posOffset>512762</wp:posOffset>
            </wp:positionH>
            <wp:positionV relativeFrom="paragraph">
              <wp:posOffset>540385</wp:posOffset>
            </wp:positionV>
            <wp:extent cx="2471420" cy="709295"/>
            <wp:effectExtent l="0" t="0" r="508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471420" cy="709295"/>
                    </a:xfrm>
                    <a:prstGeom prst="rect">
                      <a:avLst/>
                    </a:prstGeom>
                    <a:ln/>
                  </pic:spPr>
                </pic:pic>
              </a:graphicData>
            </a:graphic>
            <wp14:sizeRelH relativeFrom="margin">
              <wp14:pctWidth>0</wp14:pctWidth>
            </wp14:sizeRelH>
            <wp14:sizeRelV relativeFrom="margin">
              <wp14:pctHeight>0</wp14:pctHeight>
            </wp14:sizeRelV>
          </wp:anchor>
        </w:drawing>
      </w:r>
    </w:p>
    <w:p w14:paraId="62C95020" w14:textId="55FB9230" w:rsidR="00BB5BAD" w:rsidRDefault="00BA4024" w:rsidP="00F31C39">
      <w:pPr>
        <w:rPr>
          <w:lang w:val="en-GB"/>
        </w:rPr>
      </w:pPr>
      <w:r>
        <w:rPr>
          <w:lang w:val="en-GB"/>
        </w:rPr>
        <w:t xml:space="preserve">    </w:t>
      </w:r>
      <w:r w:rsidR="00C93164">
        <w:rPr>
          <w:lang w:val="en-GB"/>
        </w:rPr>
        <w:tab/>
      </w:r>
      <w:r w:rsidR="00C93164">
        <w:rPr>
          <w:lang w:val="en-GB"/>
        </w:rPr>
        <w:tab/>
      </w:r>
      <w:r w:rsidR="00705A2D">
        <w:rPr>
          <w:lang w:val="en-GB"/>
        </w:rPr>
        <w:tab/>
      </w:r>
      <w:r w:rsidR="00C93164">
        <w:rPr>
          <w:lang w:val="en-GB"/>
        </w:rPr>
        <w:tab/>
      </w:r>
      <w:r>
        <w:rPr>
          <w:lang w:val="en-GB"/>
        </w:rPr>
        <w:t xml:space="preserve"> </w:t>
      </w:r>
      <w:r w:rsidR="00923EBB" w:rsidRPr="005547A9">
        <w:rPr>
          <w:noProof/>
          <w:lang w:eastAsia="en-GB"/>
        </w:rPr>
        <w:drawing>
          <wp:inline distT="0" distB="0" distL="0" distR="0" wp14:anchorId="430FBEE0" wp14:editId="09C2AC59">
            <wp:extent cx="1008612" cy="1190625"/>
            <wp:effectExtent l="0" t="0" r="1270" b="0"/>
            <wp:docPr id="1" name="Picture 1" descr="page1image22710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27105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5640" cy="1246139"/>
                    </a:xfrm>
                    <a:prstGeom prst="rect">
                      <a:avLst/>
                    </a:prstGeom>
                    <a:noFill/>
                    <a:ln>
                      <a:noFill/>
                    </a:ln>
                  </pic:spPr>
                </pic:pic>
              </a:graphicData>
            </a:graphic>
          </wp:inline>
        </w:drawing>
      </w:r>
      <w:r w:rsidR="009F7F85" w:rsidRPr="005547A9">
        <w:rPr>
          <w:lang w:eastAsia="en-GB"/>
        </w:rPr>
        <w:fldChar w:fldCharType="begin"/>
      </w:r>
      <w:r w:rsidR="000A38B8">
        <w:rPr>
          <w:lang w:eastAsia="en-GB"/>
        </w:rPr>
        <w:instrText xml:space="preserve"> INCLUDEPICTURE "C:\\var\\folders\\db\\bk59n4552zg_jffr3mnvxvd00000gn\\T\\com.microsoft.Word\\WebArchiveCopyPasteTempFiles\\page1image22710512" \* MERGEFORMAT </w:instrText>
      </w:r>
      <w:r w:rsidR="00000000">
        <w:rPr>
          <w:lang w:eastAsia="en-GB"/>
        </w:rPr>
        <w:fldChar w:fldCharType="separate"/>
      </w:r>
      <w:r w:rsidR="009F7F85" w:rsidRPr="005547A9">
        <w:rPr>
          <w:lang w:eastAsia="en-GB"/>
        </w:rPr>
        <w:fldChar w:fldCharType="end"/>
      </w:r>
    </w:p>
    <w:p w14:paraId="2F268D65" w14:textId="77777777" w:rsidR="00A90364" w:rsidRPr="003D3854" w:rsidRDefault="00A90364" w:rsidP="00557249">
      <w:pPr>
        <w:ind w:left="0"/>
        <w:rPr>
          <w:lang w:val="en-GB"/>
        </w:rPr>
      </w:pPr>
    </w:p>
    <w:p w14:paraId="30B996C7" w14:textId="29EA1A1D" w:rsidR="00FC260E" w:rsidRPr="003D3854" w:rsidRDefault="00FC260E" w:rsidP="001307F9">
      <w:pPr>
        <w:pStyle w:val="Titel"/>
        <w:jc w:val="center"/>
      </w:pPr>
      <w:r w:rsidRPr="001307F9">
        <w:rPr>
          <w:noProof/>
          <w:sz w:val="34"/>
          <w:szCs w:val="34"/>
        </w:rPr>
        <mc:AlternateContent>
          <mc:Choice Requires="wpg">
            <w:drawing>
              <wp:anchor distT="0" distB="0" distL="114300" distR="114300" simplePos="0" relativeHeight="251662336" behindDoc="0" locked="0" layoutInCell="1" hidden="0" allowOverlap="1" wp14:anchorId="06F7B5C6" wp14:editId="608EDBD4">
                <wp:simplePos x="0" y="0"/>
                <wp:positionH relativeFrom="column">
                  <wp:posOffset>-863599</wp:posOffset>
                </wp:positionH>
                <wp:positionV relativeFrom="paragraph">
                  <wp:posOffset>-685799</wp:posOffset>
                </wp:positionV>
                <wp:extent cx="1270" cy="1270"/>
                <wp:effectExtent l="0" t="0" r="0" b="0"/>
                <wp:wrapNone/>
                <wp:docPr id="10" name="Gruppieren 10"/>
                <wp:cNvGraphicFramePr/>
                <a:graphic xmlns:a="http://schemas.openxmlformats.org/drawingml/2006/main">
                  <a:graphicData uri="http://schemas.microsoft.com/office/word/2010/wordprocessingGroup">
                    <wpg:wgp>
                      <wpg:cNvGrpSpPr/>
                      <wpg:grpSpPr>
                        <a:xfrm>
                          <a:off x="0" y="0"/>
                          <a:ext cx="1270" cy="1270"/>
                          <a:chOff x="5345365" y="3779365"/>
                          <a:chExt cx="1270" cy="1270"/>
                        </a:xfrm>
                      </wpg:grpSpPr>
                      <wpg:grpSp>
                        <wpg:cNvPr id="11" name="Gruppieren 11"/>
                        <wpg:cNvGrpSpPr/>
                        <wpg:grpSpPr>
                          <a:xfrm>
                            <a:off x="5345365" y="3779365"/>
                            <a:ext cx="1270" cy="1270"/>
                            <a:chOff x="5345365" y="3779365"/>
                            <a:chExt cx="1270" cy="1270"/>
                          </a:xfrm>
                        </wpg:grpSpPr>
                        <wps:wsp>
                          <wps:cNvPr id="12" name="Rechteck 12"/>
                          <wps:cNvSpPr/>
                          <wps:spPr>
                            <a:xfrm>
                              <a:off x="5345365" y="3779365"/>
                              <a:ext cx="1250" cy="1250"/>
                            </a:xfrm>
                            <a:prstGeom prst="rect">
                              <a:avLst/>
                            </a:prstGeom>
                            <a:noFill/>
                            <a:ln>
                              <a:noFill/>
                            </a:ln>
                          </wps:spPr>
                          <wps:txbx>
                            <w:txbxContent>
                              <w:p w14:paraId="26207DAC" w14:textId="77777777" w:rsidR="00FC260E" w:rsidRDefault="00FC260E" w:rsidP="00F31C39"/>
                            </w:txbxContent>
                          </wps:txbx>
                          <wps:bodyPr spcFirstLastPara="1" wrap="square" lIns="91425" tIns="91425" rIns="91425" bIns="91425" anchor="ctr" anchorCtr="0">
                            <a:noAutofit/>
                          </wps:bodyPr>
                        </wps:wsp>
                        <wpg:grpSp>
                          <wpg:cNvPr id="13" name="Gruppieren 13"/>
                          <wpg:cNvGrpSpPr/>
                          <wpg:grpSpPr>
                            <a:xfrm>
                              <a:off x="5345365" y="3779365"/>
                              <a:ext cx="1270" cy="1270"/>
                              <a:chOff x="0" y="0"/>
                              <a:chExt cx="5345365" cy="3779365"/>
                            </a:xfrm>
                          </wpg:grpSpPr>
                          <wps:wsp>
                            <wps:cNvPr id="14" name="Rechteck 14"/>
                            <wps:cNvSpPr/>
                            <wps:spPr>
                              <a:xfrm>
                                <a:off x="0" y="0"/>
                                <a:ext cx="5345350" cy="3779350"/>
                              </a:xfrm>
                              <a:prstGeom prst="rect">
                                <a:avLst/>
                              </a:prstGeom>
                              <a:noFill/>
                              <a:ln>
                                <a:noFill/>
                              </a:ln>
                            </wps:spPr>
                            <wps:txbx>
                              <w:txbxContent>
                                <w:p w14:paraId="5ED5730D" w14:textId="77777777" w:rsidR="00FC260E" w:rsidRDefault="00FC260E" w:rsidP="00F31C39"/>
                              </w:txbxContent>
                            </wps:txbx>
                            <wps:bodyPr spcFirstLastPara="1" wrap="square" lIns="91425" tIns="91425" rIns="91425" bIns="91425" anchor="ctr" anchorCtr="0">
                              <a:noAutofit/>
                            </wps:bodyPr>
                          </wps:wsp>
                          <wps:wsp>
                            <wps:cNvPr id="15" name="Rechteck 15"/>
                            <wps:cNvSpPr/>
                            <wps:spPr>
                              <a:xfrm>
                                <a:off x="5345365" y="3779365"/>
                                <a:ext cx="0" cy="0"/>
                              </a:xfrm>
                              <a:prstGeom prst="rect">
                                <a:avLst/>
                              </a:prstGeom>
                              <a:noFill/>
                              <a:ln>
                                <a:noFill/>
                              </a:ln>
                            </wps:spPr>
                            <wps:txbx>
                              <w:txbxContent>
                                <w:p w14:paraId="7E761CDF" w14:textId="77777777" w:rsidR="00FC260E" w:rsidRDefault="00FC260E" w:rsidP="00F31C39"/>
                              </w:txbxContent>
                            </wps:txbx>
                            <wps:bodyPr spcFirstLastPara="1" wrap="square" lIns="91425" tIns="91425" rIns="91425" bIns="91425" anchor="ctr" anchorCtr="0">
                              <a:noAutofit/>
                            </wps:bodyPr>
                          </wps:wsp>
                          <wps:wsp>
                            <wps:cNvPr id="16" name="Freihandform: Form 16"/>
                            <wps:cNvSpPr/>
                            <wps:spPr>
                              <a:xfrm>
                                <a:off x="0" y="0"/>
                                <a:ext cx="2" cy="2"/>
                              </a:xfrm>
                              <a:custGeom>
                                <a:avLst/>
                                <a:gdLst/>
                                <a:ahLst/>
                                <a:cxnLst/>
                                <a:rect l="l" t="t" r="r" b="b"/>
                                <a:pathLst>
                                  <a:path w="120000" h="120000" extrusionOk="0">
                                    <a:moveTo>
                                      <a:pt x="0" y="0"/>
                                    </a:moveTo>
                                    <a:lnTo>
                                      <a:pt x="0" y="0"/>
                                    </a:lnTo>
                                    <a:close/>
                                  </a:path>
                                </a:pathLst>
                              </a:custGeom>
                              <a:solidFill>
                                <a:srgbClr val="6F2FA0"/>
                              </a:solidFill>
                              <a:ln>
                                <a:noFill/>
                              </a:ln>
                            </wps:spPr>
                            <wps:bodyPr spcFirstLastPara="1" wrap="square" lIns="91425" tIns="91425" rIns="91425" bIns="91425" anchor="ctr" anchorCtr="0">
                              <a:noAutofit/>
                            </wps:bodyPr>
                          </wps:wsp>
                          <wps:wsp>
                            <wps:cNvPr id="17" name="Freihandform: Form 17"/>
                            <wps:cNvSpPr/>
                            <wps:spPr>
                              <a:xfrm>
                                <a:off x="0" y="0"/>
                                <a:ext cx="2" cy="2"/>
                              </a:xfrm>
                              <a:custGeom>
                                <a:avLst/>
                                <a:gdLst/>
                                <a:ahLst/>
                                <a:cxnLst/>
                                <a:rect l="l" t="t" r="r" b="b"/>
                                <a:pathLst>
                                  <a:path w="120000" h="120000" extrusionOk="0">
                                    <a:moveTo>
                                      <a:pt x="0" y="0"/>
                                    </a:moveTo>
                                    <a:lnTo>
                                      <a:pt x="0" y="0"/>
                                    </a:lnTo>
                                    <a:close/>
                                  </a:path>
                                </a:pathLst>
                              </a:custGeom>
                              <a:solidFill>
                                <a:srgbClr val="000000"/>
                              </a:solidFill>
                              <a:ln>
                                <a:noFill/>
                              </a:ln>
                            </wps:spPr>
                            <wps:bodyPr spcFirstLastPara="1" wrap="square" lIns="91425" tIns="91425" rIns="91425" bIns="91425" anchor="ctr" anchorCtr="0">
                              <a:noAutofit/>
                            </wps:bodyPr>
                          </wps:wsp>
                        </wpg:grpSp>
                      </wpg:grpSp>
                    </wpg:wgp>
                  </a:graphicData>
                </a:graphic>
              </wp:anchor>
            </w:drawing>
          </mc:Choice>
          <mc:Fallback>
            <w:pict>
              <v:group w14:anchorId="06F7B5C6" id="Gruppieren 10" o:spid="_x0000_s1026" style="position:absolute;left:0;text-align:left;margin-left:-68pt;margin-top:-54pt;width:.1pt;height:.1pt;z-index:251662336" coordorigin="53453,37793" coordsize="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cdpYAMAAA4QAAAOAAAAZHJzL2Uyb0RvYy54bWzsV1tP2zAUfp+0/2D5faT3jogUIVirSWig&#10;wX6A6zhNRGJ7ttuUf79jJ07SAhOwiU4TfUiPL7HP5fvOOTk53RY52jClM8Ej3D/qYcQ4FXHGVxH+&#10;cTv/9BkjbQiPSS44i/A90/h09vHDSSlDNhCpyGOmEBzCdVjKCKfGyDAINE1ZQfSRkIzDYiJUQQwM&#10;1SqIFSnh9CIPBr3eJCiFiqUSlGkNsxfVIp6585OEUXOVJJoZlEcYdDPuqdxzaZ/B7ISEK0VkmtFa&#10;DfIKLQqScbi0OeqCGILWKntwVJFRJbRIzBEVRSCSJKPM2QDW9Ht71iyUWEtnyyosV7JxE7h2z0+v&#10;PpZ+2yyUvJHXCjxRyhX4wo2sLdtEFfYftERb57L7xmVsaxCFyf5gCm6lsOAk506ags/tG+PhaDyc&#10;jDGC5eF0emzleseXJ98P/MXBjjrNoFIT9L5WKIvh3j5GnBSArYVaS5kxxTiCydqeFxj4pLoHMBbY&#10;oNuA6z8L+E1KJHM40mHHcQPvuO+MpobRO9QfVG5z2xpQ6FADPh5BxDMcNm7QARKEpIkuCaXSZsFE&#10;gawQYQVcdRQim0ttqq1+i72bi3mW5w4+Od+ZgDPtDODFa2ols11uHQZ0uBTxPaBFSzrP4K5Los01&#10;UcBzgE4J3I+w/rkmimGUf+Xg6+P+aACoNd2B6g6W3QHhNBWQUqhRGFWDc+NSTKXl2dqIJHMWWb0q&#10;ZWp1Icgd2j2A9tBHqAvt4ZtDG2LYMp+mnrtN+C39O/xuYrzP4LcA9ci7rAX16EWg3jHWM9+Z6rHs&#10;TD0EnKt8563551H9FuEGmlbJvw23qzGWaZDq/kIOqxPYAbKXC3eTkd/DDfl64sM9VyxLoa20nWGI&#10;5vBEsFjn+2cF/lGeQ0m0ycw5vUljJKTrqlTZhO7LE/R6cVWoYC71Et1yL9qCZtvO3LWdBiOoCVAh&#10;oO1cWkWhABJj3/MiKm0T1YMfRmkrQgpSa9teX93Z7svuLsSG3Qr3ntnrzEDpdjXnT+/yazQXmoE6&#10;8KLVpxGcYjDZNV2LPIttFbZXa7VanucKbQjYOJkP5meeIjvbnlWr37EN8Z7+DtvTd2xbiB4C25aR&#10;wMmKI/8dttsezbWk9QdgLcNHp0sI9Qey/artjt2u9jN+9gsAAP//AwBQSwMEFAAGAAgAAAAhACsp&#10;lI7hAAAADwEAAA8AAABkcnMvZG93bnJldi54bWxMT8FqwkAUvBf6D8sTetNNKtoQsxGRticpVAul&#10;t2f2mQSzuyG7JvHv++yl3ubNDPNmsvVoGtFT52tnFcSzCATZwunalgq+Dm/TBIQPaDU2zpKCK3lY&#10;548PGabaDfaT+n0oBYdYn6KCKoQ2ldIXFRn0M9eSZe3kOoOBz66UusOBw00jn6NoKQ3Wlj9U2NK2&#10;ouK8vxgF7wMOm3n82u/Op+3157D4+N7FpNTTZNysQAQaw78ZbvW5OuTc6eguVnvRKJjG8yWPCTcU&#10;JYzYw9yC9xz/uJcEZJ7J+x35LwAAAP//AwBQSwECLQAUAAYACAAAACEAtoM4kv4AAADhAQAAEwAA&#10;AAAAAAAAAAAAAAAAAAAAW0NvbnRlbnRfVHlwZXNdLnhtbFBLAQItABQABgAIAAAAIQA4/SH/1gAA&#10;AJQBAAALAAAAAAAAAAAAAAAAAC8BAABfcmVscy8ucmVsc1BLAQItABQABgAIAAAAIQCsgcdpYAMA&#10;AA4QAAAOAAAAAAAAAAAAAAAAAC4CAABkcnMvZTJvRG9jLnhtbFBLAQItABQABgAIAAAAIQArKZSO&#10;4QAAAA8BAAAPAAAAAAAAAAAAAAAAALoFAABkcnMvZG93bnJldi54bWxQSwUGAAAAAAQABADzAAAA&#10;yAYAAAAA&#10;">
                <v:group id="Gruppieren 11" o:spid="_x0000_s1027" style="position:absolute;left:53453;top:37793;width:13;height:13" coordorigin="53453,37793"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hteck 12" o:spid="_x0000_s1028" style="position:absolute;left:53453;top:37793;width:1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14:paraId="26207DAC" w14:textId="77777777" w:rsidR="00FC260E" w:rsidRDefault="00FC260E" w:rsidP="00F31C39"/>
                      </w:txbxContent>
                    </v:textbox>
                  </v:rect>
                  <v:group id="Gruppieren 13" o:spid="_x0000_s1029" style="position:absolute;left:53453;top:37793;width:13;height:13" coordsize="53453,37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hteck 14" o:spid="_x0000_s1030" style="position:absolute;width:53453;height:37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ugwQAAANsAAAAPAAAAZHJzL2Rvd25yZXYueG1sRE/NasJA&#10;EL4LvsMyBW+6aRCxqZtQi0LrySZ9gGl2mg3NzqbZVdO37wqCt/n4fmdTjLYTZxp861jB4yIBQVw7&#10;3XKj4LPaz9cgfEDW2DkmBX/kocinkw1m2l34g85laEQMYZ+hAhNCn0npa0MW/cL1xJH7doPFEOHQ&#10;SD3gJYbbTqZJspIWW44NBnt6NVT/lCer4Lh0lO5Svy0b+2TGr+rw/osrpWYP48sziEBjuItv7jcd&#10;5y/h+ks8QOb/AAAA//8DAFBLAQItABQABgAIAAAAIQDb4fbL7gAAAIUBAAATAAAAAAAAAAAAAAAA&#10;AAAAAABbQ29udGVudF9UeXBlc10ueG1sUEsBAi0AFAAGAAgAAAAhAFr0LFu/AAAAFQEAAAsAAAAA&#10;AAAAAAAAAAAAHwEAAF9yZWxzLy5yZWxzUEsBAi0AFAAGAAgAAAAhAChdi6DBAAAA2wAAAA8AAAAA&#10;AAAAAAAAAAAABwIAAGRycy9kb3ducmV2LnhtbFBLBQYAAAAAAwADALcAAAD1AgAAAAA=&#10;" filled="f" stroked="f">
                      <v:textbox inset="2.53958mm,2.53958mm,2.53958mm,2.53958mm">
                        <w:txbxContent>
                          <w:p w14:paraId="5ED5730D" w14:textId="77777777" w:rsidR="00FC260E" w:rsidRDefault="00FC260E" w:rsidP="00F31C39"/>
                        </w:txbxContent>
                      </v:textbox>
                    </v:rect>
                    <v:rect id="Rechteck 15" o:spid="_x0000_s1031" style="position:absolute;left:53453;top:37793;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S47wAAAANsAAAAPAAAAZHJzL2Rvd25yZXYueG1sRE/NasJA&#10;EL4LvsMygjfdGKxo6ipaLLSeNPYBptlpNpidTbOrpm/fFQRv8/H9znLd2VpcqfWVYwWTcQKCuHC6&#10;4lLB1+l9NAfhA7LG2jEp+CMP61W/t8RMuxsf6ZqHUsQQ9hkqMCE0mZS+MGTRj11DHLkf11oMEbal&#10;1C3eYritZZokM2mx4thgsKE3Q8U5v1gFh6mjdJf6bV7ahem+T/vPX5wpNRx0m1cQgbrwFD/cHzrO&#10;f4H7L/EAufoHAAD//wMAUEsBAi0AFAAGAAgAAAAhANvh9svuAAAAhQEAABMAAAAAAAAAAAAAAAAA&#10;AAAAAFtDb250ZW50X1R5cGVzXS54bWxQSwECLQAUAAYACAAAACEAWvQsW78AAAAVAQAACwAAAAAA&#10;AAAAAAAAAAAfAQAAX3JlbHMvLnJlbHNQSwECLQAUAAYACAAAACEARxEuO8AAAADbAAAADwAAAAAA&#10;AAAAAAAAAAAHAgAAZHJzL2Rvd25yZXYueG1sUEsFBgAAAAADAAMAtwAAAPQCAAAAAA==&#10;" filled="f" stroked="f">
                      <v:textbox inset="2.53958mm,2.53958mm,2.53958mm,2.53958mm">
                        <w:txbxContent>
                          <w:p w14:paraId="7E761CDF" w14:textId="77777777" w:rsidR="00FC260E" w:rsidRDefault="00FC260E" w:rsidP="00F31C39"/>
                        </w:txbxContent>
                      </v:textbox>
                    </v:rect>
                    <v:shape id="Freihandform: Form 16" o:spid="_x0000_s1032" style="position:absolute;width:0;height: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9VUwAAAANsAAAAPAAAAZHJzL2Rvd25yZXYueG1sRE9Na8JA&#10;EL0X+h+WEXqrG0uRGl1FCqGl9GDVi7chOybB7GzITnT9911B8DaP9zmLVXStOlMfGs8GJuMMFHHp&#10;bcOVgf2ueP0AFQTZYuuZDFwpwGr5/LTA3PoL/9F5K5VKIRxyNFCLdLnWoazJYRj7jjhxR987lAT7&#10;StseLynctfoty6baYcOpocaOPmsqT9vBGYhF9UvXIh5+huFLaL8RGt5nxryM4noOSijKQ3x3f9s0&#10;fwq3X9IBevkPAAD//wMAUEsBAi0AFAAGAAgAAAAhANvh9svuAAAAhQEAABMAAAAAAAAAAAAAAAAA&#10;AAAAAFtDb250ZW50X1R5cGVzXS54bWxQSwECLQAUAAYACAAAACEAWvQsW78AAAAVAQAACwAAAAAA&#10;AAAAAAAAAAAfAQAAX3JlbHMvLnJlbHNQSwECLQAUAAYACAAAACEAwZ/VVMAAAADbAAAADwAAAAAA&#10;AAAAAAAAAAAHAgAAZHJzL2Rvd25yZXYueG1sUEsFBgAAAAADAAMAtwAAAPQCAAAAAA==&#10;" path="m,l,xe" fillcolor="#6f2fa0" stroked="f">
                      <v:path arrowok="t" o:extrusionok="f"/>
                    </v:shape>
                    <v:shape id="Freihandform: Form 17" o:spid="_x0000_s1033" style="position:absolute;width:0;height: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ygnwAAAANsAAAAPAAAAZHJzL2Rvd25yZXYueG1sRE9NS8NA&#10;EL0X/A/LCN7ajR5sidmUIBRKwUOivQ/ZMYnNzqTZbRP/vSsUepvH+5xsO7teXWn0nbCB51UCirgW&#10;23Fj4Otzt9yA8gHZYi9MBn7JwzZ/WGSYWpm4pGsVGhVD2KdooA1hSLX2dUsO/UoG4sh9y+gwRDg2&#10;2o44xXDX65ckedUOO44NLQ703lJ9qi7OgOz1uTh8dLvi9FPOcizP4o5ozNPjXLyBCjSHu/jm3ts4&#10;fw3/v8QDdP4HAAD//wMAUEsBAi0AFAAGAAgAAAAhANvh9svuAAAAhQEAABMAAAAAAAAAAAAAAAAA&#10;AAAAAFtDb250ZW50X1R5cGVzXS54bWxQSwECLQAUAAYACAAAACEAWvQsW78AAAAVAQAACwAAAAAA&#10;AAAAAAAAAAAfAQAAX3JlbHMvLnJlbHNQSwECLQAUAAYACAAAACEAysMoJ8AAAADbAAAADwAAAAAA&#10;AAAAAAAAAAAHAgAAZHJzL2Rvd25yZXYueG1sUEsFBgAAAAADAAMAtwAAAPQCAAAAAA==&#10;" path="m,l,xe" fillcolor="black" stroked="f">
                      <v:path arrowok="t" o:extrusionok="f"/>
                    </v:shape>
                  </v:group>
                </v:group>
              </v:group>
            </w:pict>
          </mc:Fallback>
        </mc:AlternateContent>
      </w:r>
      <w:r w:rsidR="00BB5BAD" w:rsidRPr="001307F9">
        <w:rPr>
          <w:sz w:val="34"/>
          <w:szCs w:val="34"/>
        </w:rPr>
        <w:t>Committee on the Elimination of Discrimination against Women</w:t>
      </w:r>
      <w:r w:rsidR="00BB5BAD" w:rsidRPr="001307F9">
        <w:rPr>
          <w:sz w:val="34"/>
          <w:szCs w:val="34"/>
        </w:rPr>
        <w:br/>
        <w:t>Reporting Cycle VI</w:t>
      </w:r>
      <w:r w:rsidR="00D422D9" w:rsidRPr="001307F9">
        <w:rPr>
          <w:sz w:val="34"/>
          <w:szCs w:val="34"/>
        </w:rPr>
        <w:t xml:space="preserve"> – Switzerland</w:t>
      </w:r>
      <w:r w:rsidR="001C62AB" w:rsidRPr="001307F9">
        <w:rPr>
          <w:sz w:val="34"/>
          <w:szCs w:val="34"/>
        </w:rPr>
        <w:t xml:space="preserve"> </w:t>
      </w:r>
      <w:r w:rsidR="00E631E8" w:rsidRPr="001307F9">
        <w:rPr>
          <w:sz w:val="34"/>
          <w:szCs w:val="34"/>
        </w:rPr>
        <w:t>– 83rd Session</w:t>
      </w:r>
      <w:r w:rsidR="00BB5BAD" w:rsidRPr="001307F9">
        <w:rPr>
          <w:sz w:val="34"/>
          <w:szCs w:val="34"/>
        </w:rPr>
        <w:br/>
      </w:r>
      <w:r w:rsidR="004C2433" w:rsidRPr="001307F9">
        <w:rPr>
          <w:sz w:val="34"/>
          <w:szCs w:val="34"/>
        </w:rPr>
        <w:t xml:space="preserve">JOINT </w:t>
      </w:r>
      <w:r w:rsidR="00BB5BAD" w:rsidRPr="001307F9">
        <w:rPr>
          <w:sz w:val="34"/>
          <w:szCs w:val="34"/>
        </w:rPr>
        <w:t>NGO-repot of InterAction Switzerland</w:t>
      </w:r>
      <w:r w:rsidR="00BA4024" w:rsidRPr="001307F9">
        <w:rPr>
          <w:sz w:val="34"/>
          <w:szCs w:val="34"/>
        </w:rPr>
        <w:t xml:space="preserve"> and ILGA WORLD</w:t>
      </w:r>
      <w:r w:rsidR="004C4E57">
        <w:br/>
      </w:r>
      <w:r w:rsidR="004C4E57" w:rsidRPr="004C4E57">
        <w:rPr>
          <w:sz w:val="24"/>
          <w:szCs w:val="22"/>
          <w:lang w:val="en-GB"/>
        </w:rPr>
        <w:t xml:space="preserve">may be posted </w:t>
      </w:r>
      <w:r w:rsidR="00860F64" w:rsidRPr="00860F64">
        <w:rPr>
          <w:sz w:val="24"/>
          <w:szCs w:val="22"/>
          <w:lang w:val="en-GB"/>
        </w:rPr>
        <w:t>on the OHCHR website</w:t>
      </w:r>
    </w:p>
    <w:p w14:paraId="0827C650" w14:textId="77777777" w:rsidR="00D82D7F" w:rsidRDefault="00D82D7F" w:rsidP="00557249">
      <w:pPr>
        <w:pStyle w:val="Default"/>
        <w:ind w:left="426"/>
        <w:rPr>
          <w:rFonts w:asciiTheme="minorHAnsi" w:hAnsiTheme="minorHAnsi" w:cstheme="minorHAnsi"/>
          <w:color w:val="7030A0"/>
          <w:sz w:val="28"/>
          <w:szCs w:val="28"/>
          <w:lang w:val="en-GB"/>
        </w:rPr>
      </w:pPr>
    </w:p>
    <w:p w14:paraId="1FB923A6" w14:textId="78EF9A0A" w:rsidR="00D422D9" w:rsidRPr="008E491B" w:rsidRDefault="00D422D9" w:rsidP="00557249">
      <w:pPr>
        <w:pStyle w:val="Default"/>
        <w:ind w:left="426"/>
        <w:rPr>
          <w:rFonts w:asciiTheme="minorHAnsi" w:hAnsiTheme="minorHAnsi" w:cstheme="minorHAnsi"/>
          <w:color w:val="7030A0"/>
          <w:sz w:val="28"/>
          <w:szCs w:val="28"/>
          <w:lang w:val="en-GB"/>
        </w:rPr>
      </w:pPr>
      <w:r w:rsidRPr="008E491B">
        <w:rPr>
          <w:rFonts w:asciiTheme="minorHAnsi" w:hAnsiTheme="minorHAnsi" w:cstheme="minorHAnsi"/>
          <w:color w:val="7030A0"/>
          <w:sz w:val="28"/>
          <w:szCs w:val="28"/>
          <w:lang w:val="en-GB"/>
        </w:rPr>
        <w:t>InterAction – Association Suisse pour les Intersexes</w:t>
      </w:r>
      <w:r w:rsidRPr="008E491B">
        <w:rPr>
          <w:rFonts w:asciiTheme="minorHAnsi" w:hAnsiTheme="minorHAnsi" w:cstheme="minorHAnsi"/>
          <w:color w:val="7030A0"/>
          <w:sz w:val="28"/>
          <w:szCs w:val="28"/>
          <w:lang w:val="en-GB"/>
        </w:rPr>
        <w:br/>
        <w:t>InterAction – Verein Intergeschlechtliche Menschen Schweiz</w:t>
      </w:r>
    </w:p>
    <w:p w14:paraId="1C996575" w14:textId="415FC1D7" w:rsidR="00D422D9" w:rsidRPr="008E491B" w:rsidRDefault="00D422D9" w:rsidP="00557249">
      <w:pPr>
        <w:pStyle w:val="Default"/>
        <w:ind w:left="426"/>
        <w:rPr>
          <w:rFonts w:asciiTheme="minorHAnsi" w:hAnsiTheme="minorHAnsi" w:cstheme="minorHAnsi"/>
          <w:color w:val="7030A0"/>
          <w:sz w:val="28"/>
          <w:szCs w:val="28"/>
          <w:lang w:val="en-GB"/>
        </w:rPr>
      </w:pPr>
      <w:r w:rsidRPr="008E491B">
        <w:rPr>
          <w:rFonts w:asciiTheme="minorHAnsi" w:hAnsiTheme="minorHAnsi" w:cstheme="minorHAnsi"/>
          <w:b/>
          <w:color w:val="7030A0"/>
          <w:sz w:val="28"/>
          <w:szCs w:val="28"/>
          <w:lang w:val="en-GB"/>
        </w:rPr>
        <w:t xml:space="preserve">InterAction – Swiss Association for </w:t>
      </w:r>
      <w:r w:rsidR="00791BA7">
        <w:rPr>
          <w:rFonts w:asciiTheme="minorHAnsi" w:hAnsiTheme="minorHAnsi" w:cstheme="minorHAnsi"/>
          <w:b/>
          <w:color w:val="7030A0"/>
          <w:sz w:val="28"/>
          <w:szCs w:val="28"/>
          <w:lang w:val="en-GB"/>
        </w:rPr>
        <w:t>I</w:t>
      </w:r>
      <w:r w:rsidRPr="008E491B">
        <w:rPr>
          <w:rFonts w:asciiTheme="minorHAnsi" w:hAnsiTheme="minorHAnsi" w:cstheme="minorHAnsi"/>
          <w:b/>
          <w:color w:val="7030A0"/>
          <w:sz w:val="28"/>
          <w:szCs w:val="28"/>
          <w:lang w:val="en-GB"/>
        </w:rPr>
        <w:t xml:space="preserve">ntersex </w:t>
      </w:r>
      <w:r w:rsidR="00791BA7">
        <w:rPr>
          <w:rFonts w:asciiTheme="minorHAnsi" w:hAnsiTheme="minorHAnsi" w:cstheme="minorHAnsi"/>
          <w:b/>
          <w:color w:val="7030A0"/>
          <w:sz w:val="28"/>
          <w:szCs w:val="28"/>
          <w:lang w:val="en-GB"/>
        </w:rPr>
        <w:t>P</w:t>
      </w:r>
      <w:r w:rsidRPr="008E491B">
        <w:rPr>
          <w:rFonts w:asciiTheme="minorHAnsi" w:hAnsiTheme="minorHAnsi" w:cstheme="minorHAnsi"/>
          <w:b/>
          <w:color w:val="7030A0"/>
          <w:sz w:val="28"/>
          <w:szCs w:val="28"/>
          <w:lang w:val="en-GB"/>
        </w:rPr>
        <w:t>eople</w:t>
      </w:r>
    </w:p>
    <w:p w14:paraId="03892CFC" w14:textId="0989CF4A" w:rsidR="00D422D9" w:rsidRPr="00174E94" w:rsidRDefault="00000000" w:rsidP="00557249">
      <w:pPr>
        <w:rPr>
          <w:lang w:val="en-GB"/>
        </w:rPr>
      </w:pPr>
      <w:hyperlink r:id="rId10" w:history="1">
        <w:r w:rsidR="00D422D9" w:rsidRPr="00983AB7">
          <w:rPr>
            <w:rStyle w:val="Hyperlink"/>
            <w:rFonts w:asciiTheme="majorHAnsi" w:hAnsiTheme="majorHAnsi"/>
            <w:b/>
            <w:color w:val="7030A0"/>
            <w:lang w:val="en-GB"/>
          </w:rPr>
          <w:t>www.inter-action-suisse.ch</w:t>
        </w:r>
      </w:hyperlink>
      <w:r w:rsidR="00D422D9" w:rsidRPr="00983AB7">
        <w:rPr>
          <w:rStyle w:val="Hyperlink"/>
          <w:b/>
          <w:color w:val="7030A0"/>
          <w:lang w:val="en-GB"/>
        </w:rPr>
        <w:br/>
      </w:r>
      <w:r w:rsidR="00D422D9" w:rsidRPr="00174E94">
        <w:rPr>
          <w:lang w:val="en-GB"/>
        </w:rPr>
        <w:t xml:space="preserve">email: </w:t>
      </w:r>
      <w:r w:rsidR="00D422D9" w:rsidRPr="004A060B">
        <w:rPr>
          <w:lang w:val="en-GB"/>
        </w:rPr>
        <w:t xml:space="preserve">legal@interactionsuisse.ch </w:t>
      </w:r>
    </w:p>
    <w:p w14:paraId="408F79B1" w14:textId="4F5A58C3" w:rsidR="00D422D9" w:rsidRDefault="00D422D9" w:rsidP="00F31C39">
      <w:pPr>
        <w:rPr>
          <w:lang w:val="en-GB"/>
        </w:rPr>
      </w:pPr>
      <w:r w:rsidRPr="000E3CA7">
        <w:rPr>
          <w:lang w:val="en-GB"/>
        </w:rPr>
        <w:t>1</w:t>
      </w:r>
      <w:r>
        <w:rPr>
          <w:lang w:val="en-GB"/>
        </w:rPr>
        <w:t>0</w:t>
      </w:r>
      <w:r w:rsidRPr="000E3CA7">
        <w:rPr>
          <w:lang w:val="en-GB"/>
        </w:rPr>
        <w:t xml:space="preserve"> </w:t>
      </w:r>
      <w:r>
        <w:rPr>
          <w:lang w:val="en-GB"/>
        </w:rPr>
        <w:t>September</w:t>
      </w:r>
      <w:r w:rsidRPr="000E3CA7">
        <w:rPr>
          <w:lang w:val="en-GB"/>
        </w:rPr>
        <w:t xml:space="preserve"> 2022</w:t>
      </w:r>
    </w:p>
    <w:p w14:paraId="5B3C5357" w14:textId="77777777" w:rsidR="00D422D9" w:rsidRDefault="00D422D9" w:rsidP="004C2433">
      <w:pPr>
        <w:ind w:left="0"/>
        <w:rPr>
          <w:lang w:val="en-GB"/>
        </w:rPr>
      </w:pPr>
    </w:p>
    <w:p w14:paraId="34561ADB" w14:textId="49DC472D" w:rsidR="00D422D9" w:rsidRPr="00514E71" w:rsidRDefault="00D422D9" w:rsidP="00F31C39">
      <w:r w:rsidRPr="00514E71">
        <w:rPr>
          <w:b/>
          <w:color w:val="7030A0"/>
        </w:rPr>
        <w:t>InterAction Switzerland</w:t>
      </w:r>
      <w:r w:rsidRPr="00514E71">
        <w:rPr>
          <w:color w:val="7030A0"/>
        </w:rPr>
        <w:t xml:space="preserve"> </w:t>
      </w:r>
      <w:r w:rsidRPr="00514E71">
        <w:t xml:space="preserve">is a non-governmental organization (article 60ff. Swiss Civil Code) for and by intersex women, </w:t>
      </w:r>
      <w:proofErr w:type="gramStart"/>
      <w:r w:rsidRPr="00514E71">
        <w:t>men</w:t>
      </w:r>
      <w:proofErr w:type="gramEnd"/>
      <w:r w:rsidRPr="00514E71">
        <w:t xml:space="preserve"> and non-binary intersex people of all ages and from all linguistic parts of the country, founded on 26 October 2017.</w:t>
      </w:r>
      <w:r w:rsidRPr="00514E71">
        <w:rPr>
          <w:rStyle w:val="Endnotenzeichen"/>
          <w:sz w:val="28"/>
          <w:szCs w:val="28"/>
        </w:rPr>
        <w:endnoteReference w:id="1"/>
      </w:r>
      <w:r w:rsidRPr="00514E71">
        <w:t xml:space="preserve"> We are committed to political advocacy, providing education in schools and to medical professionals, higher education institutions and medical students, public awareness-raising and monthly community meetings.</w:t>
      </w:r>
    </w:p>
    <w:p w14:paraId="593BB80A" w14:textId="7A34E47C" w:rsidR="00BA4024" w:rsidRPr="00923EBB" w:rsidRDefault="00D422D9" w:rsidP="00923EBB">
      <w:pPr>
        <w:rPr>
          <w:lang w:val="en-GB"/>
        </w:rPr>
      </w:pPr>
      <w:r w:rsidRPr="00514E71">
        <w:rPr>
          <w:lang w:val="en-GB"/>
        </w:rPr>
        <w:t>InterAction Switzerland is part of the LGBTIQ+ family and other human-rights-networks and child protection organizations.</w:t>
      </w:r>
    </w:p>
    <w:p w14:paraId="3590CFE0" w14:textId="78B1BCEF" w:rsidR="00F91DE4" w:rsidRDefault="0096284C" w:rsidP="007F2E30">
      <w:pPr>
        <w:spacing w:after="240"/>
        <w:rPr>
          <w:lang w:val="en-GB"/>
        </w:rPr>
      </w:pPr>
      <w:r w:rsidRPr="0096284C">
        <w:rPr>
          <w:rFonts w:cstheme="minorHAnsi"/>
          <w:b/>
          <w:bCs/>
          <w:lang w:eastAsia="en-GB"/>
        </w:rPr>
        <w:t xml:space="preserve">ILGA World </w:t>
      </w:r>
      <w:r w:rsidRPr="007F2E30">
        <w:rPr>
          <w:rFonts w:cstheme="minorHAnsi"/>
          <w:lang w:eastAsia="en-GB"/>
        </w:rPr>
        <w:t xml:space="preserve">– the International Lesbian, Gay, Bisexual, </w:t>
      </w:r>
      <w:proofErr w:type="gramStart"/>
      <w:r w:rsidRPr="007F2E30">
        <w:rPr>
          <w:rFonts w:cstheme="minorHAnsi"/>
          <w:lang w:eastAsia="en-GB"/>
        </w:rPr>
        <w:t>Trans</w:t>
      </w:r>
      <w:proofErr w:type="gramEnd"/>
      <w:r w:rsidRPr="007F2E30">
        <w:rPr>
          <w:rFonts w:cstheme="minorHAnsi"/>
          <w:lang w:eastAsia="en-GB"/>
        </w:rPr>
        <w:t xml:space="preserve"> and Intersex Association</w:t>
      </w:r>
      <w:r w:rsidRPr="0096284C">
        <w:rPr>
          <w:rFonts w:cstheme="minorHAnsi"/>
          <w:shd w:val="clear" w:color="auto" w:fill="FFFFFF"/>
          <w:lang w:eastAsia="en-GB"/>
        </w:rPr>
        <w:t>- is a worldwide federation of more than 1,700 organisations from over 160 countries and territories campaigning for lesbian, gay, bisexual, trans and intersex human rights.</w:t>
      </w:r>
      <w:r w:rsidR="00A90364">
        <w:rPr>
          <w:rFonts w:cstheme="minorHAnsi"/>
          <w:shd w:val="clear" w:color="auto" w:fill="F9F9F9"/>
          <w:lang w:eastAsia="en-GB"/>
        </w:rPr>
        <w:t xml:space="preserve"> </w:t>
      </w:r>
      <w:r w:rsidRPr="0096284C">
        <w:rPr>
          <w:rFonts w:cstheme="minorHAnsi"/>
          <w:shd w:val="clear" w:color="auto" w:fill="F9F9F9"/>
          <w:lang w:eastAsia="en-GB"/>
        </w:rPr>
        <w:t>ILGA</w:t>
      </w:r>
      <w:r w:rsidR="00A90364">
        <w:rPr>
          <w:rFonts w:cstheme="minorHAnsi"/>
          <w:shd w:val="clear" w:color="auto" w:fill="F9F9F9"/>
          <w:lang w:eastAsia="en-GB"/>
        </w:rPr>
        <w:t xml:space="preserve"> </w:t>
      </w:r>
      <w:r w:rsidRPr="0096284C">
        <w:rPr>
          <w:rFonts w:cstheme="minorHAnsi"/>
          <w:shd w:val="clear" w:color="auto" w:fill="F9F9F9"/>
          <w:lang w:eastAsia="en-GB"/>
        </w:rPr>
        <w:t>works</w:t>
      </w:r>
      <w:r w:rsidR="00A90364">
        <w:rPr>
          <w:rFonts w:cstheme="minorHAnsi"/>
          <w:shd w:val="clear" w:color="auto" w:fill="F9F9F9"/>
          <w:lang w:eastAsia="en-GB"/>
        </w:rPr>
        <w:t xml:space="preserve"> </w:t>
      </w:r>
      <w:r w:rsidRPr="0096284C">
        <w:rPr>
          <w:rFonts w:cstheme="minorHAnsi"/>
          <w:shd w:val="clear" w:color="auto" w:fill="F9F9F9"/>
          <w:lang w:eastAsia="en-GB"/>
        </w:rPr>
        <w:t xml:space="preserve">to achieve and maintain recognition and protection of the human rights of people with diverse </w:t>
      </w:r>
      <w:r w:rsidR="007F2E30">
        <w:t>sexual orientations, gender identities, gender expressions and sex characteristics (SOGIESC)</w:t>
      </w:r>
      <w:r w:rsidRPr="0096284C">
        <w:rPr>
          <w:rFonts w:cstheme="minorHAnsi"/>
          <w:shd w:val="clear" w:color="auto" w:fill="F9F9F9"/>
          <w:lang w:eastAsia="en-GB"/>
        </w:rPr>
        <w:t xml:space="preserve"> by the United Nations and other global institution</w:t>
      </w:r>
      <w:r w:rsidR="001307F9">
        <w:rPr>
          <w:rFonts w:cstheme="minorHAnsi"/>
          <w:shd w:val="clear" w:color="auto" w:fill="F9F9F9"/>
          <w:lang w:eastAsia="en-GB"/>
        </w:rPr>
        <w:t>.</w:t>
      </w:r>
      <w:r w:rsidR="00F91DE4">
        <w:rPr>
          <w:lang w:val="en-GB"/>
        </w:rPr>
        <w:br w:type="page"/>
      </w:r>
    </w:p>
    <w:p w14:paraId="1A436258" w14:textId="4A504FBA" w:rsidR="00FC260E" w:rsidRPr="005F0A18" w:rsidRDefault="00D81015" w:rsidP="00E713CB">
      <w:pPr>
        <w:pStyle w:val="berschrift1"/>
      </w:pPr>
      <w:r>
        <w:lastRenderedPageBreak/>
        <w:t xml:space="preserve">Meaning </w:t>
      </w:r>
      <w:r w:rsidR="003D53A7">
        <w:t>of Intersex and e</w:t>
      </w:r>
      <w:r w:rsidR="005F0A18" w:rsidRPr="005F0A18">
        <w:t xml:space="preserve">xecutive </w:t>
      </w:r>
      <w:r w:rsidR="003D53A7">
        <w:t>s</w:t>
      </w:r>
      <w:r w:rsidR="005F0A18" w:rsidRPr="005F0A18">
        <w:t>ummary</w:t>
      </w:r>
    </w:p>
    <w:p w14:paraId="7E8018B2" w14:textId="77777777" w:rsidR="00C9512D" w:rsidRPr="00CF7015" w:rsidRDefault="00C9512D" w:rsidP="00F31C39">
      <w:pPr>
        <w:pStyle w:val="Randziffern"/>
        <w:framePr w:wrap="around"/>
      </w:pPr>
    </w:p>
    <w:p w14:paraId="478141F3" w14:textId="373B3FE9" w:rsidR="0039604B" w:rsidRDefault="00C9512D" w:rsidP="00F31C39">
      <w:r w:rsidRPr="006D26D8">
        <w:rPr>
          <w:b/>
        </w:rPr>
        <w:t>Intersex is an umbrella term</w:t>
      </w:r>
      <w:r>
        <w:t xml:space="preserve">, </w:t>
      </w:r>
      <w:r w:rsidRPr="0003324F">
        <w:t xml:space="preserve">a spectrum to describe </w:t>
      </w:r>
      <w:r>
        <w:t xml:space="preserve">innate </w:t>
      </w:r>
      <w:r w:rsidRPr="0003324F">
        <w:t>variations of sex</w:t>
      </w:r>
      <w:r>
        <w:t xml:space="preserve"> characteristics</w:t>
      </w:r>
      <w:r w:rsidRPr="0003324F">
        <w:t xml:space="preserve"> (</w:t>
      </w:r>
      <w:r w:rsidRPr="003303FB">
        <w:rPr>
          <w:b/>
          <w:bCs/>
        </w:rPr>
        <w:t>VSC</w:t>
      </w:r>
      <w:r w:rsidRPr="0003324F">
        <w:t>)</w:t>
      </w:r>
      <w:r>
        <w:t xml:space="preserve"> regarding </w:t>
      </w:r>
      <w:r w:rsidRPr="0056303D">
        <w:t>reproductive organs</w:t>
      </w:r>
      <w:r>
        <w:t xml:space="preserve"> / </w:t>
      </w:r>
      <w:r w:rsidRPr="0003324F">
        <w:t>internal or external sex / genital characteristics</w:t>
      </w:r>
      <w:r w:rsidRPr="0056303D">
        <w:t>, hormonal structure and/or</w:t>
      </w:r>
      <w:r>
        <w:t xml:space="preserve"> </w:t>
      </w:r>
      <w:r w:rsidRPr="0056303D">
        <w:t xml:space="preserve">levels and/or chromosomal patterns that </w:t>
      </w:r>
      <w:r>
        <w:t xml:space="preserve">are different from the </w:t>
      </w:r>
      <w:r w:rsidRPr="0056303D">
        <w:t>definition of male or fema</w:t>
      </w:r>
      <w:r>
        <w:t>le.</w:t>
      </w:r>
      <w:r w:rsidR="00A0141E">
        <w:t xml:space="preserve"> I</w:t>
      </w:r>
      <w:r w:rsidRPr="000852E8">
        <w:t>ntersex children are either boys or girls</w:t>
      </w:r>
      <w:r w:rsidRPr="0003324F">
        <w:t>.</w:t>
      </w:r>
      <w:r>
        <w:t xml:space="preserve"> </w:t>
      </w:r>
      <w:r w:rsidRPr="000852E8">
        <w:t>Inter</w:t>
      </w:r>
      <w:r w:rsidRPr="006033D2">
        <w:rPr>
          <w:b/>
          <w:bCs/>
        </w:rPr>
        <w:t>sex</w:t>
      </w:r>
      <w:r w:rsidRPr="000852E8">
        <w:t xml:space="preserve"> should be distinguished from </w:t>
      </w:r>
      <w:r w:rsidRPr="006033D2">
        <w:rPr>
          <w:b/>
          <w:bCs/>
        </w:rPr>
        <w:t xml:space="preserve">gender </w:t>
      </w:r>
      <w:r w:rsidRPr="00514E71">
        <w:t>identity</w:t>
      </w:r>
      <w:r w:rsidRPr="000852E8">
        <w:t xml:space="preserve"> (</w:t>
      </w:r>
      <w:proofErr w:type="gramStart"/>
      <w:r w:rsidRPr="000852E8">
        <w:t>e.g.</w:t>
      </w:r>
      <w:proofErr w:type="gramEnd"/>
      <w:r w:rsidRPr="000852E8">
        <w:t xml:space="preserve"> non-binary gender identity</w:t>
      </w:r>
      <w:r>
        <w:t>, men/</w:t>
      </w:r>
      <w:r w:rsidRPr="000852E8">
        <w:t xml:space="preserve">boys or </w:t>
      </w:r>
      <w:r>
        <w:t>women/</w:t>
      </w:r>
      <w:r w:rsidRPr="000852E8">
        <w:t>girls).</w:t>
      </w:r>
      <w:bookmarkStart w:id="0" w:name="_Ref110011489"/>
      <w:r w:rsidR="0039604B">
        <w:rPr>
          <w:rStyle w:val="Endnotenzeichen"/>
        </w:rPr>
        <w:endnoteReference w:id="2"/>
      </w:r>
      <w:bookmarkEnd w:id="0"/>
      <w:r w:rsidR="005F169A">
        <w:t xml:space="preserve"> The </w:t>
      </w:r>
      <w:r w:rsidR="00F719F1">
        <w:t>UN</w:t>
      </w:r>
      <w:r w:rsidR="005F169A">
        <w:t xml:space="preserve"> estimates that at least 1.7% of the population have been born with intersex traits.</w:t>
      </w:r>
      <w:r w:rsidR="005F169A">
        <w:rPr>
          <w:rStyle w:val="Endnotenzeichen"/>
        </w:rPr>
        <w:endnoteReference w:id="3"/>
      </w:r>
      <w:r w:rsidR="00E222EE" w:rsidRPr="00E222EE">
        <w:t xml:space="preserve"> </w:t>
      </w:r>
      <w:r w:rsidR="00791BA7">
        <w:t>Like any</w:t>
      </w:r>
      <w:r w:rsidR="00E222EE">
        <w:t xml:space="preserve"> human being, intersex people may later in life have a non-binary gender-identity or have any kind of sexual orientation (lesbian, gay, bisexual or heterosexual etc.). People with a VSC are therefore as diverse as the rest of the Swiss population (endosex people).</w:t>
      </w:r>
    </w:p>
    <w:p w14:paraId="41AF0BA5" w14:textId="77777777" w:rsidR="00E222EE" w:rsidRPr="00CF7015" w:rsidRDefault="00E222EE" w:rsidP="00F31C39">
      <w:pPr>
        <w:pStyle w:val="Randziffern"/>
        <w:framePr w:wrap="around"/>
      </w:pPr>
      <w:bookmarkStart w:id="1" w:name="_Ref110124668"/>
    </w:p>
    <w:bookmarkEnd w:id="1"/>
    <w:p w14:paraId="0FBBDE1E" w14:textId="46F223F1" w:rsidR="00C9512D" w:rsidRDefault="00C9512D" w:rsidP="00F31C39">
      <w:r>
        <w:t xml:space="preserve">Mostly, medical interventions are not proportionate </w:t>
      </w:r>
      <w:r w:rsidRPr="001B1106">
        <w:t>but aim to fit the child into a soc</w:t>
      </w:r>
      <w:r>
        <w:t>io</w:t>
      </w:r>
      <w:r w:rsidRPr="001B1106">
        <w:t>-medical norm.</w:t>
      </w:r>
      <w:r>
        <w:t xml:space="preserve"> </w:t>
      </w:r>
      <w:r w:rsidRPr="006D26D8">
        <w:rPr>
          <w:bCs/>
        </w:rPr>
        <w:t xml:space="preserve">We understand </w:t>
      </w:r>
      <w:r w:rsidRPr="006D26D8">
        <w:rPr>
          <w:b/>
        </w:rPr>
        <w:t>modifications of sex characteristics</w:t>
      </w:r>
      <w:r w:rsidRPr="006D26D8">
        <w:rPr>
          <w:bCs/>
        </w:rPr>
        <w:t xml:space="preserve"> as</w:t>
      </w:r>
      <w:r w:rsidRPr="0003324F">
        <w:t xml:space="preserve"> all forms of modifying internal or external sex / genital characteristics </w:t>
      </w:r>
      <w:r>
        <w:t>a</w:t>
      </w:r>
      <w:r w:rsidRPr="0003324F">
        <w:t>nd as harmful practices</w:t>
      </w:r>
      <w:r w:rsidR="009C3DBF">
        <w:t>.</w:t>
      </w:r>
      <w:r w:rsidR="009C3DBF">
        <w:rPr>
          <w:rStyle w:val="Endnotenzeichen"/>
        </w:rPr>
        <w:endnoteReference w:id="4"/>
      </w:r>
      <w:r w:rsidRPr="0003324F">
        <w:t xml:space="preserve"> </w:t>
      </w:r>
    </w:p>
    <w:p w14:paraId="2CD879AF" w14:textId="48CEEE38" w:rsidR="00B50ED7" w:rsidRPr="007F2E30" w:rsidRDefault="005E7523" w:rsidP="00F31C39">
      <w:pPr>
        <w:rPr>
          <w:b/>
          <w:bCs/>
        </w:rPr>
      </w:pPr>
      <w:r w:rsidRPr="007F2E30">
        <w:rPr>
          <w:b/>
          <w:bCs/>
        </w:rPr>
        <w:t xml:space="preserve">Forms of modifying internal or external sex / genital characteristics: </w:t>
      </w:r>
    </w:p>
    <w:p w14:paraId="3D2DA737" w14:textId="267198F6" w:rsidR="005F169A" w:rsidRPr="007C5E15" w:rsidRDefault="005F169A" w:rsidP="00F31C39">
      <w:pPr>
        <w:rPr>
          <w:lang w:val="en-GB"/>
        </w:rPr>
      </w:pPr>
      <w:r w:rsidRPr="007C5E15">
        <w:t xml:space="preserve">genital surgeries, gonadectomies, partial clitoris amputations, dilation of a surgically created vagina on girls, plastic surgeries on </w:t>
      </w:r>
      <w:r w:rsidR="00E4670D">
        <w:t xml:space="preserve">the </w:t>
      </w:r>
      <w:r w:rsidRPr="007C5E15">
        <w:t xml:space="preserve">vulva, vagina, plastic surgeries of the scrotum, testicles, and penis, including ‘corrections’ of hypospadias, and other irreversible interventions </w:t>
      </w:r>
      <w:r w:rsidR="00D01EB4">
        <w:t xml:space="preserve">such </w:t>
      </w:r>
      <w:r w:rsidRPr="007C5E15">
        <w:t>as sterilizing procedures, ovariectom</w:t>
      </w:r>
      <w:r w:rsidR="00DE45D4">
        <w:t>ies</w:t>
      </w:r>
      <w:r w:rsidRPr="007C5E15">
        <w:t>, hysterectom</w:t>
      </w:r>
      <w:r w:rsidR="00DE45D4">
        <w:t>ies</w:t>
      </w:r>
      <w:r w:rsidRPr="007C5E15">
        <w:t xml:space="preserve">, involving medical treatment that terminates or permanently reduces reproductive </w:t>
      </w:r>
      <w:r w:rsidR="005364E6" w:rsidRPr="007C5E15">
        <w:t>autonomy</w:t>
      </w:r>
      <w:r w:rsidRPr="007C5E15">
        <w:t xml:space="preserve"> – </w:t>
      </w:r>
      <w:r w:rsidRPr="007C5E15">
        <w:rPr>
          <w:i/>
          <w:iCs/>
        </w:rPr>
        <w:t>unless such interventions are lifesaving and of crucial importance for the health of the child</w:t>
      </w:r>
      <w:r w:rsidRPr="007C5E15">
        <w:t>.</w:t>
      </w:r>
      <w:bookmarkStart w:id="2" w:name="_Ref110018097"/>
      <w:r w:rsidRPr="007C5E15">
        <w:rPr>
          <w:rStyle w:val="Endnotenzeichen"/>
        </w:rPr>
        <w:endnoteReference w:id="5"/>
      </w:r>
      <w:bookmarkEnd w:id="2"/>
      <w:r w:rsidRPr="007C5E15">
        <w:t xml:space="preserve">. Prenatal </w:t>
      </w:r>
      <w:r w:rsidR="00D01EB4">
        <w:t>‘</w:t>
      </w:r>
      <w:r w:rsidRPr="007C5E15">
        <w:t>therapies</w:t>
      </w:r>
      <w:r w:rsidR="00D01EB4">
        <w:t>’</w:t>
      </w:r>
      <w:r w:rsidRPr="007C5E15">
        <w:t xml:space="preserve"> with dexamethasone and selective abortion cannot </w:t>
      </w:r>
      <w:r w:rsidR="00D01EB4">
        <w:t xml:space="preserve">strictly </w:t>
      </w:r>
      <w:r w:rsidRPr="007C5E15">
        <w:t>be considered</w:t>
      </w:r>
      <w:r w:rsidR="007C5E15">
        <w:t xml:space="preserve"> </w:t>
      </w:r>
      <w:r w:rsidR="004B3FB2" w:rsidRPr="007C5E15">
        <w:t xml:space="preserve">a </w:t>
      </w:r>
      <w:r w:rsidRPr="007C5E15">
        <w:t>modification of sex characteristics but aim to prevent children be</w:t>
      </w:r>
      <w:r w:rsidR="00733DAC">
        <w:t>ing</w:t>
      </w:r>
      <w:r w:rsidRPr="007C5E15">
        <w:t xml:space="preserve"> born with an </w:t>
      </w:r>
      <w:r w:rsidR="007C5E15">
        <w:t>enlarged clitoris</w:t>
      </w:r>
      <w:r w:rsidRPr="007C5E15">
        <w:t>.</w:t>
      </w:r>
    </w:p>
    <w:p w14:paraId="3FFAA13C" w14:textId="77777777" w:rsidR="00C9512D" w:rsidRPr="00FE4533" w:rsidRDefault="00C9512D" w:rsidP="001307F9">
      <w:pPr>
        <w:pStyle w:val="Default"/>
        <w:spacing w:before="80" w:after="80"/>
        <w:ind w:left="426"/>
        <w:rPr>
          <w:rFonts w:asciiTheme="minorHAnsi" w:hAnsiTheme="minorHAnsi" w:cstheme="minorHAnsi"/>
          <w:b/>
          <w:bCs/>
          <w:sz w:val="28"/>
          <w:szCs w:val="28"/>
          <w:lang w:val="en-GB"/>
        </w:rPr>
      </w:pPr>
      <w:r w:rsidRPr="00FE4533">
        <w:rPr>
          <w:rFonts w:asciiTheme="minorHAnsi" w:hAnsiTheme="minorHAnsi" w:cstheme="minorHAnsi"/>
          <w:b/>
          <w:bCs/>
          <w:sz w:val="28"/>
          <w:szCs w:val="28"/>
          <w:lang w:val="en-GB"/>
        </w:rPr>
        <w:t xml:space="preserve">Executive Summary </w:t>
      </w:r>
    </w:p>
    <w:p w14:paraId="0D08607A" w14:textId="77777777" w:rsidR="00C9512D" w:rsidRPr="00CF7015" w:rsidRDefault="00C9512D" w:rsidP="00F31C39">
      <w:pPr>
        <w:pStyle w:val="Randziffern"/>
        <w:framePr w:wrap="around"/>
      </w:pPr>
    </w:p>
    <w:p w14:paraId="1569EE75" w14:textId="5C1CF20D" w:rsidR="00C9512D" w:rsidRPr="00370323" w:rsidRDefault="00C9512D" w:rsidP="00F31C39">
      <w:r w:rsidRPr="00370323">
        <w:t xml:space="preserve">This report is submitted by </w:t>
      </w:r>
      <w:r>
        <w:t>InterAction Switzerland</w:t>
      </w:r>
      <w:r w:rsidR="0071525E">
        <w:t xml:space="preserve"> in collaboration with ILGA World</w:t>
      </w:r>
      <w:r>
        <w:t xml:space="preserve">. </w:t>
      </w:r>
      <w:r w:rsidR="00E4670D" w:rsidRPr="00CC10CB">
        <w:t xml:space="preserve">We may also refer to the </w:t>
      </w:r>
      <w:r w:rsidR="00E4670D">
        <w:t>j</w:t>
      </w:r>
      <w:r w:rsidR="00E4670D" w:rsidRPr="00CC10CB">
        <w:t>oint NGO submission of</w:t>
      </w:r>
      <w:r w:rsidR="00E4670D">
        <w:t xml:space="preserve"> the </w:t>
      </w:r>
      <w:r w:rsidR="00E4670D">
        <w:rPr>
          <w:rStyle w:val="markedcontent"/>
          <w:rFonts w:cs="Arial"/>
          <w:sz w:val="25"/>
          <w:szCs w:val="25"/>
        </w:rPr>
        <w:t>NGO-Coordination post Beijing Switzerland</w:t>
      </w:r>
      <w:r w:rsidR="00E4670D" w:rsidRPr="006540AF">
        <w:t xml:space="preserve"> </w:t>
      </w:r>
      <w:r w:rsidR="00E4670D" w:rsidRPr="00171B87">
        <w:t>w</w:t>
      </w:r>
      <w:r w:rsidR="00E4670D">
        <w:t>ith which w</w:t>
      </w:r>
      <w:r w:rsidR="00E4670D" w:rsidRPr="00171B87">
        <w:t>e are working in this cycle</w:t>
      </w:r>
      <w:r w:rsidR="00E4670D">
        <w:rPr>
          <w:b/>
          <w:bCs/>
        </w:rPr>
        <w:t xml:space="preserve">. </w:t>
      </w:r>
      <w:r w:rsidR="00C97106" w:rsidRPr="00870968">
        <w:rPr>
          <w:b/>
          <w:bCs/>
        </w:rPr>
        <w:t>Key facts:</w:t>
      </w:r>
    </w:p>
    <w:p w14:paraId="1BEDB295" w14:textId="12C64E04" w:rsidR="00C9512D" w:rsidRPr="00F91DE4" w:rsidRDefault="00817E3C" w:rsidP="00F31C39">
      <w:pPr>
        <w:pStyle w:val="Listenabsatz"/>
      </w:pPr>
      <w:r w:rsidRPr="00817E3C">
        <w:t>Lack of legal security and lack of implementation of the Swiss Constitution.</w:t>
      </w:r>
      <w:r>
        <w:rPr>
          <w:rStyle w:val="Funotenzeichen"/>
        </w:rPr>
        <w:t xml:space="preserve"> </w:t>
      </w:r>
      <w:r w:rsidR="0039604B">
        <w:rPr>
          <w:rStyle w:val="Funotenzeichen"/>
        </w:rPr>
        <w:footnoteReference w:id="1"/>
      </w:r>
      <w:r w:rsidR="007C5E15">
        <w:t>,</w:t>
      </w:r>
    </w:p>
    <w:p w14:paraId="6353E912" w14:textId="12A16EBB" w:rsidR="00C9512D" w:rsidRPr="00F91DE4" w:rsidRDefault="007C5E15" w:rsidP="00F31C39">
      <w:pPr>
        <w:pStyle w:val="Listenabsatz"/>
      </w:pPr>
      <w:r>
        <w:t>l</w:t>
      </w:r>
      <w:r w:rsidR="00C9512D" w:rsidRPr="00F91DE4">
        <w:t>ack of access to justice and compensation</w:t>
      </w:r>
      <w:r>
        <w:t>,</w:t>
      </w:r>
    </w:p>
    <w:p w14:paraId="2E85D8A7" w14:textId="210033C4" w:rsidR="00183565" w:rsidRPr="00F91DE4" w:rsidRDefault="007C5E15" w:rsidP="00F31C39">
      <w:pPr>
        <w:pStyle w:val="Listenabsatz"/>
      </w:pPr>
      <w:r>
        <w:t>s</w:t>
      </w:r>
      <w:r w:rsidR="00183565" w:rsidRPr="00F91DE4">
        <w:t>hift in responsibility from the state to the medical profession and shift in responsibility by the medical profession to parents of intersex children (</w:t>
      </w:r>
      <w:proofErr w:type="spellStart"/>
      <w:r w:rsidR="00183565" w:rsidRPr="00F91DE4">
        <w:t>blackbo</w:t>
      </w:r>
      <w:r w:rsidR="00733DAC">
        <w:t>x</w:t>
      </w:r>
      <w:r w:rsidR="00183565" w:rsidRPr="00F91DE4">
        <w:t>ing</w:t>
      </w:r>
      <w:proofErr w:type="spellEnd"/>
      <w:r w:rsidR="00183565" w:rsidRPr="00F91DE4">
        <w:t xml:space="preserve"> of intersex)</w:t>
      </w:r>
      <w:r w:rsidR="00CA56D4">
        <w:t>,</w:t>
      </w:r>
    </w:p>
    <w:p w14:paraId="27A1F6A7" w14:textId="0035FE46" w:rsidR="00F758F3" w:rsidRPr="00F91DE4" w:rsidRDefault="007C5E15" w:rsidP="00F31C39">
      <w:pPr>
        <w:pStyle w:val="Listenabsatz"/>
      </w:pPr>
      <w:r>
        <w:t>l</w:t>
      </w:r>
      <w:r w:rsidR="00183565" w:rsidRPr="00F91DE4">
        <w:t>ack of integration of InterAction into medical psychosocial care</w:t>
      </w:r>
      <w:r w:rsidR="00CA56D4">
        <w:t>,</w:t>
      </w:r>
    </w:p>
    <w:p w14:paraId="25214F20" w14:textId="69D7D449" w:rsidR="00C9512D" w:rsidRDefault="007C5E15" w:rsidP="00F31C39">
      <w:pPr>
        <w:pStyle w:val="Listenabsatz"/>
      </w:pPr>
      <w:r>
        <w:t>a</w:t>
      </w:r>
      <w:r w:rsidR="00C9512D" w:rsidRPr="00F91DE4">
        <w:t xml:space="preserve">bsence of a strategy or action </w:t>
      </w:r>
      <w:r w:rsidR="00C9512D" w:rsidRPr="009519D8">
        <w:t>plan</w:t>
      </w:r>
      <w:r w:rsidR="00C9512D" w:rsidRPr="00F91DE4">
        <w:t xml:space="preserve"> to promote awareness, </w:t>
      </w:r>
      <w:proofErr w:type="gramStart"/>
      <w:r w:rsidR="00C9512D" w:rsidRPr="00F91DE4">
        <w:t>health</w:t>
      </w:r>
      <w:proofErr w:type="gramEnd"/>
      <w:r w:rsidR="00C9512D" w:rsidRPr="00F91DE4">
        <w:t xml:space="preserve"> and rights</w:t>
      </w:r>
      <w:r w:rsidR="00CA56D4">
        <w:t>,</w:t>
      </w:r>
    </w:p>
    <w:p w14:paraId="1DF62EBA" w14:textId="51F0952B" w:rsidR="00183565" w:rsidRDefault="007C5E15" w:rsidP="00F31C39">
      <w:pPr>
        <w:pStyle w:val="Listenabsatz"/>
      </w:pPr>
      <w:r>
        <w:t>a</w:t>
      </w:r>
      <w:r w:rsidR="00A117E4" w:rsidRPr="00A117E4">
        <w:t xml:space="preserve">bsence of progress </w:t>
      </w:r>
      <w:r w:rsidR="00C97106" w:rsidRPr="00D76273">
        <w:t xml:space="preserve">in implementing </w:t>
      </w:r>
      <w:r w:rsidR="00C97106">
        <w:t xml:space="preserve">human rights of intersex children </w:t>
      </w:r>
      <w:r w:rsidR="00C97106" w:rsidRPr="00D37D41">
        <w:t>and</w:t>
      </w:r>
      <w:r w:rsidR="00C97106">
        <w:t xml:space="preserve"> adults</w:t>
      </w:r>
      <w:r w:rsidR="00A117E4">
        <w:t xml:space="preserve"> in Switzerland</w:t>
      </w:r>
      <w:r w:rsidR="00C9512D">
        <w:t>.</w:t>
      </w:r>
      <w:r w:rsidR="00183565">
        <w:br w:type="page"/>
      </w:r>
    </w:p>
    <w:p w14:paraId="130F6D68" w14:textId="5542C236" w:rsidR="00242698" w:rsidRPr="00E713CB" w:rsidRDefault="00242698" w:rsidP="00E713CB">
      <w:pPr>
        <w:pStyle w:val="berschrift1"/>
      </w:pPr>
      <w:r w:rsidRPr="00E713CB">
        <w:lastRenderedPageBreak/>
        <w:t xml:space="preserve">Introduction and </w:t>
      </w:r>
      <w:r w:rsidR="00BC566F" w:rsidRPr="00E713CB">
        <w:t>k</w:t>
      </w:r>
      <w:r w:rsidR="00FB31BD" w:rsidRPr="00E713CB">
        <w:t>ey facts</w:t>
      </w:r>
    </w:p>
    <w:p w14:paraId="208BE37B" w14:textId="4ED55730" w:rsidR="00242698" w:rsidRDefault="00242698" w:rsidP="00F31C39">
      <w:pPr>
        <w:pStyle w:val="berschrift2"/>
      </w:pPr>
      <w:r>
        <w:t xml:space="preserve">Intersex Genital Mutilation and Female Genital Mutilation as Harmful Practices </w:t>
      </w:r>
    </w:p>
    <w:p w14:paraId="2B7BF9A1" w14:textId="77777777" w:rsidR="00594D6F" w:rsidRPr="00CF7015" w:rsidRDefault="00594D6F" w:rsidP="00F31C39">
      <w:pPr>
        <w:pStyle w:val="Randziffern"/>
        <w:framePr w:wrap="around"/>
      </w:pPr>
    </w:p>
    <w:p w14:paraId="6E2D4D23" w14:textId="584520EF" w:rsidR="00242698" w:rsidRDefault="00C00DBB" w:rsidP="00F31C39">
      <w:r>
        <w:t>B</w:t>
      </w:r>
      <w:r w:rsidR="00827E37" w:rsidRPr="00827E37">
        <w:t xml:space="preserve">oth intersex </w:t>
      </w:r>
      <w:r w:rsidR="00827E37">
        <w:t>girls and boys</w:t>
      </w:r>
      <w:r w:rsidR="00827E37" w:rsidRPr="00827E37">
        <w:t xml:space="preserve"> and </w:t>
      </w:r>
      <w:r w:rsidR="00827E37">
        <w:t xml:space="preserve">girls </w:t>
      </w:r>
      <w:r w:rsidR="00695E78" w:rsidRPr="00695E78">
        <w:t>who experience female genital mutilation</w:t>
      </w:r>
      <w:r w:rsidR="00242698">
        <w:t xml:space="preserve"> </w:t>
      </w:r>
      <w:r w:rsidR="00695E78">
        <w:t>“</w:t>
      </w:r>
      <w:r w:rsidR="00B902A8" w:rsidRPr="00B902A8">
        <w:t>are denied basic human rights including freedom from violence, freedom from gender and sex-based discrimination, the right to bodily integrity and the right to the highest attainable standard of health</w:t>
      </w:r>
      <w:r w:rsidR="00242698">
        <w:t>.”</w:t>
      </w:r>
      <w:bookmarkStart w:id="3" w:name="_Ref70267600"/>
      <w:r w:rsidR="00491448">
        <w:rPr>
          <w:vertAlign w:val="superscript"/>
        </w:rPr>
        <w:endnoteReference w:id="6"/>
      </w:r>
      <w:bookmarkEnd w:id="3"/>
      <w:r w:rsidR="00491448">
        <w:t xml:space="preserve"> </w:t>
      </w:r>
      <w:r w:rsidR="00E4670D">
        <w:t>Jones</w:t>
      </w:r>
      <w:r w:rsidR="00242698">
        <w:t xml:space="preserve"> continues</w:t>
      </w:r>
      <w:r w:rsidR="00EB170E">
        <w:t xml:space="preserve"> </w:t>
      </w:r>
      <w:r w:rsidR="00242698">
        <w:t>(note</w:t>
      </w:r>
      <w:r w:rsidR="00695E78">
        <w:t xml:space="preserve"> </w:t>
      </w:r>
      <w:r w:rsidR="00242698">
        <w:fldChar w:fldCharType="begin"/>
      </w:r>
      <w:r w:rsidR="00242698">
        <w:instrText xml:space="preserve"> NOTEREF _Ref70267600 \h </w:instrText>
      </w:r>
      <w:r w:rsidR="00242698">
        <w:fldChar w:fldCharType="separate"/>
      </w:r>
      <w:r w:rsidR="00860F64">
        <w:t>vi</w:t>
      </w:r>
      <w:r w:rsidR="00242698">
        <w:fldChar w:fldCharType="end"/>
      </w:r>
      <w:r w:rsidR="00242698">
        <w:t xml:space="preserve">, p.403): “As with FGM, IGM practices carry a large number of known risks of physical and psychological harm. As with FGM, these include loss or impairment of sexual sensation, poorer sexual function, painful scarring, painful intercourse, incontinence, problems with passing urine, increased sexual anxieties, […] less sexual activity, lifelong </w:t>
      </w:r>
      <w:proofErr w:type="gramStart"/>
      <w:r w:rsidR="00242698">
        <w:t>trauma</w:t>
      </w:r>
      <w:proofErr w:type="gramEnd"/>
      <w:r w:rsidR="00242698">
        <w:t xml:space="preserve"> and mental suffering.” Experiences are different (relating to the variation), but include elevated rates of self-harming behaviour, suicidal tendencies comparable to those who have experienced child sexual abuse, loss of reproductive capabilities, </w:t>
      </w:r>
      <w:r w:rsidR="004B1BB1">
        <w:t>lifelong need for Hormone Replacement Therapy</w:t>
      </w:r>
      <w:r w:rsidR="00242698">
        <w:t>.</w:t>
      </w:r>
    </w:p>
    <w:p w14:paraId="636BA23E" w14:textId="77777777" w:rsidR="00594D6F" w:rsidRPr="00CF7015" w:rsidRDefault="00594D6F" w:rsidP="00F31C39">
      <w:pPr>
        <w:pStyle w:val="Randziffern"/>
        <w:framePr w:wrap="around"/>
      </w:pPr>
    </w:p>
    <w:p w14:paraId="0AE8AFBA" w14:textId="60B6CAFF" w:rsidR="00491448" w:rsidRDefault="00242698" w:rsidP="00F31C39">
      <w:r>
        <w:rPr>
          <w:b/>
        </w:rPr>
        <w:t>Resulting health problems, lack of healthcare</w:t>
      </w:r>
      <w:r>
        <w:t xml:space="preserve">, inadequate </w:t>
      </w:r>
      <w:r w:rsidR="007A2767">
        <w:t>support,</w:t>
      </w:r>
      <w:r>
        <w:t xml:space="preserve"> and irreversible consequences, </w:t>
      </w:r>
      <w:r>
        <w:rPr>
          <w:b/>
        </w:rPr>
        <w:t>are a result of harmful practices</w:t>
      </w:r>
      <w:r>
        <w:t xml:space="preserve"> to emphasize the </w:t>
      </w:r>
      <w:r w:rsidR="004B1BB1" w:rsidRPr="00EB170E">
        <w:rPr>
          <w:i/>
          <w:iCs/>
        </w:rPr>
        <w:t>surgically</w:t>
      </w:r>
      <w:r w:rsidR="004B1BB1">
        <w:t xml:space="preserve"> </w:t>
      </w:r>
      <w:r>
        <w:t>assigned sex (</w:t>
      </w:r>
      <w:proofErr w:type="gramStart"/>
      <w:r w:rsidR="00196D8B">
        <w:t>e.g.</w:t>
      </w:r>
      <w:proofErr w:type="gramEnd"/>
      <w:r w:rsidR="00196D8B">
        <w:t xml:space="preserve"> </w:t>
      </w:r>
      <w:r>
        <w:t xml:space="preserve">CEDAW/C/DEU/CO/7-8, </w:t>
      </w:r>
      <w:r w:rsidR="00C309B0">
        <w:t>no.</w:t>
      </w:r>
      <w:r>
        <w:t xml:space="preserve">23(e), CEDAW/C/CHE/CO/4-5, </w:t>
      </w:r>
      <w:r w:rsidR="00175D4A">
        <w:t>no.</w:t>
      </w:r>
      <w:r>
        <w:t xml:space="preserve">24(c), CRC/C/CHE/CO/2-4, </w:t>
      </w:r>
      <w:r w:rsidR="00175D4A">
        <w:t>no.</w:t>
      </w:r>
      <w:r>
        <w:t>4</w:t>
      </w:r>
      <w:r w:rsidR="00175D4A">
        <w:t>2(b)</w:t>
      </w:r>
      <w:r w:rsidR="00196D8B">
        <w:t>)</w:t>
      </w:r>
      <w:r>
        <w:t>.</w:t>
      </w:r>
    </w:p>
    <w:p w14:paraId="333C0ED9" w14:textId="77777777" w:rsidR="00594D6F" w:rsidRPr="00CF7015" w:rsidRDefault="00594D6F" w:rsidP="00F31C39">
      <w:pPr>
        <w:pStyle w:val="Randziffern"/>
        <w:framePr w:wrap="around"/>
      </w:pPr>
    </w:p>
    <w:p w14:paraId="69B629B3" w14:textId="2E0468ED" w:rsidR="00242698" w:rsidRDefault="00242698" w:rsidP="00F31C39">
      <w:r>
        <w:t>Medical professionals and the Swiss Government do not explicitly act against such practices.</w:t>
      </w:r>
      <w:bookmarkStart w:id="4" w:name="_Ref69317349"/>
      <w:r w:rsidR="00491448">
        <w:rPr>
          <w:vertAlign w:val="superscript"/>
        </w:rPr>
        <w:endnoteReference w:id="7"/>
      </w:r>
      <w:bookmarkEnd w:id="4"/>
      <w:r w:rsidR="00491448">
        <w:t xml:space="preserve"> </w:t>
      </w:r>
      <w:r>
        <w:t>However, modifying sex characteristics</w:t>
      </w:r>
      <w:r>
        <w:rPr>
          <w:b/>
        </w:rPr>
        <w:t xml:space="preserve"> </w:t>
      </w:r>
      <w:r>
        <w:t xml:space="preserve">is still </w:t>
      </w:r>
      <w:r w:rsidR="00F31C39">
        <w:t>practiced</w:t>
      </w:r>
      <w:r>
        <w:t xml:space="preserve"> in Switzerland: all these interventions of ‘unspecified malformation of the female/male genitalia’ remain constant or even increase</w:t>
      </w:r>
      <w:bookmarkStart w:id="5" w:name="_Ref67939378"/>
      <w:r w:rsidR="00491448">
        <w:rPr>
          <w:vertAlign w:val="superscript"/>
        </w:rPr>
        <w:endnoteReference w:id="8"/>
      </w:r>
      <w:bookmarkEnd w:id="5"/>
      <w:r w:rsidR="00491448">
        <w:t xml:space="preserve"> </w:t>
      </w:r>
      <w:r>
        <w:t xml:space="preserve">and must be understood as </w:t>
      </w:r>
      <w:r>
        <w:rPr>
          <w:b/>
        </w:rPr>
        <w:t>harmful practices</w:t>
      </w:r>
      <w:bookmarkStart w:id="6" w:name="_Ref74182245"/>
      <w:r w:rsidR="00070329" w:rsidRPr="005F00B3">
        <w:rPr>
          <w:bCs/>
          <w:vertAlign w:val="superscript"/>
        </w:rPr>
        <w:endnoteReference w:id="9"/>
      </w:r>
      <w:bookmarkEnd w:id="6"/>
      <w:r w:rsidR="00070329">
        <w:t>.</w:t>
      </w:r>
      <w:r>
        <w:t xml:space="preserve"> </w:t>
      </w:r>
      <w:r w:rsidR="00B34379">
        <w:t>T</w:t>
      </w:r>
      <w:r>
        <w:t xml:space="preserve">hese practices </w:t>
      </w:r>
    </w:p>
    <w:p w14:paraId="0C6ABA55" w14:textId="15351766" w:rsidR="00242698" w:rsidRPr="00313C24" w:rsidRDefault="00242698" w:rsidP="00F31C39">
      <w:pPr>
        <w:pStyle w:val="Listenabsatz"/>
      </w:pPr>
      <w:r w:rsidRPr="00313C24">
        <w:t>“</w:t>
      </w:r>
      <w:proofErr w:type="gramStart"/>
      <w:r w:rsidR="00527783" w:rsidRPr="00527783">
        <w:t>constitute</w:t>
      </w:r>
      <w:proofErr w:type="gramEnd"/>
      <w:r w:rsidR="00527783" w:rsidRPr="00527783">
        <w:t xml:space="preserve"> a denial of the dignity and/or integrity of the individual and a violation of the human rights and fundamental freedoms enshrined in the two Conventions</w:t>
      </w:r>
      <w:r w:rsidRPr="00313C24">
        <w:t>”;</w:t>
      </w:r>
    </w:p>
    <w:p w14:paraId="757AFD7B" w14:textId="6D116F23" w:rsidR="00242698" w:rsidRPr="00313C24" w:rsidRDefault="00242698" w:rsidP="00F31C39">
      <w:pPr>
        <w:pStyle w:val="Listenabsatz"/>
      </w:pPr>
      <w:r w:rsidRPr="00313C24">
        <w:t>“</w:t>
      </w:r>
      <w:proofErr w:type="gramStart"/>
      <w:r w:rsidRPr="00313C24">
        <w:t>constitute</w:t>
      </w:r>
      <w:proofErr w:type="gramEnd"/>
      <w:r w:rsidRPr="00313C24">
        <w:t xml:space="preserve"> discrimination against women or children and are harmful” in various regards; </w:t>
      </w:r>
    </w:p>
    <w:p w14:paraId="0A5B5724" w14:textId="04C8E820" w:rsidR="00242698" w:rsidRPr="00313C24" w:rsidRDefault="00242698" w:rsidP="00F31C39">
      <w:pPr>
        <w:pStyle w:val="Listenabsatz"/>
      </w:pPr>
      <w:r w:rsidRPr="00313C24">
        <w:t>they “are traditional, re-emerging or emerging practices that are prescribed and/or kept in place by social norms […] on the basis of sex, gender, age and other intersecting factors</w:t>
      </w:r>
      <w:proofErr w:type="gramStart"/>
      <w:r w:rsidRPr="00313C24">
        <w:t>”</w:t>
      </w:r>
      <w:r w:rsidR="00192BC5">
        <w:t>;</w:t>
      </w:r>
      <w:proofErr w:type="gramEnd"/>
    </w:p>
    <w:p w14:paraId="6D2AB281" w14:textId="468DAF45" w:rsidR="00242698" w:rsidRPr="00313C24" w:rsidRDefault="00242698" w:rsidP="00F31C39">
      <w:pPr>
        <w:pStyle w:val="Listenabsatz"/>
      </w:pPr>
      <w:r w:rsidRPr="00313C24">
        <w:t>“</w:t>
      </w:r>
      <w:proofErr w:type="gramStart"/>
      <w:r w:rsidRPr="00313C24">
        <w:t>are</w:t>
      </w:r>
      <w:proofErr w:type="gramEnd"/>
      <w:r w:rsidRPr="00313C24">
        <w:t xml:space="preserve"> imposed on women and children by family members, community members or society at large, regardless of whether the victim provides, or is able to provide, full, free and informed consent”</w:t>
      </w:r>
      <w:r w:rsidR="00070329">
        <w:rPr>
          <w:rStyle w:val="Endnotenzeichen"/>
        </w:rPr>
        <w:endnoteReference w:id="10"/>
      </w:r>
      <w:r w:rsidR="00070329" w:rsidRPr="00313C24">
        <w:t>.</w:t>
      </w:r>
    </w:p>
    <w:p w14:paraId="1A0EE212" w14:textId="77777777" w:rsidR="00242698" w:rsidRDefault="00242698" w:rsidP="00F31C39">
      <w:pPr>
        <w:pStyle w:val="berschrift2"/>
      </w:pPr>
      <w:r>
        <w:t>Shift in responsibility</w:t>
      </w:r>
    </w:p>
    <w:p w14:paraId="22126B02" w14:textId="77777777" w:rsidR="00594D6F" w:rsidRPr="00CF7015" w:rsidRDefault="00594D6F" w:rsidP="00F31C39">
      <w:pPr>
        <w:pStyle w:val="Randziffern"/>
        <w:framePr w:wrap="around"/>
      </w:pPr>
    </w:p>
    <w:p w14:paraId="682D3706" w14:textId="07D7C256" w:rsidR="005E7523" w:rsidRDefault="00242698" w:rsidP="007A2EFB">
      <w:r>
        <w:t>Furthermore, there is a “</w:t>
      </w:r>
      <w:r w:rsidR="00D97C09" w:rsidRPr="00D97C09">
        <w:t>shift in responsibility from the state to the medical profession.[...] Similar shifts in responsibility are also utilised by the medical profession to deflect responsibility from themselves and to place it onto [...] parents of intersex embodied children. This ‘funnelling’ of responsibility away from institutions and towards individuals enables the continuation of non-therapeutic medical interventions on children and prevents collective action against them</w:t>
      </w:r>
      <w:r>
        <w:t>.”</w:t>
      </w:r>
      <w:r w:rsidR="00070329">
        <w:rPr>
          <w:rStyle w:val="Endnotenzeichen"/>
        </w:rPr>
        <w:endnoteReference w:id="11"/>
      </w:r>
      <w:r w:rsidR="00070329">
        <w:t xml:space="preserve"> </w:t>
      </w:r>
      <w:r>
        <w:t>This leads to the “</w:t>
      </w:r>
      <w:proofErr w:type="spellStart"/>
      <w:r>
        <w:t>blackboxing</w:t>
      </w:r>
      <w:proofErr w:type="spellEnd"/>
      <w:r>
        <w:t>” of intersex that maintains the schism between human rights and non-therapeutic, irreversible non-consented bodily interventions o</w:t>
      </w:r>
      <w:r w:rsidR="005F00B3">
        <w:t>n</w:t>
      </w:r>
      <w:r>
        <w:t xml:space="preserve"> children.</w:t>
      </w:r>
      <w:r w:rsidR="000548AB">
        <w:t xml:space="preserve"> </w:t>
      </w:r>
      <w:r w:rsidR="005E7523">
        <w:rPr>
          <w:b/>
          <w:bCs/>
        </w:rPr>
        <w:br w:type="page"/>
      </w:r>
    </w:p>
    <w:p w14:paraId="19FD5ABA" w14:textId="53CFDBB9" w:rsidR="00C9512D" w:rsidRPr="002E0725" w:rsidRDefault="00C9512D" w:rsidP="00E713CB">
      <w:pPr>
        <w:pStyle w:val="berschrift1"/>
      </w:pPr>
      <w:r w:rsidRPr="002E0725">
        <w:lastRenderedPageBreak/>
        <w:t>Implementation of international children’s rights and l</w:t>
      </w:r>
      <w:r w:rsidRPr="00313C24">
        <w:t xml:space="preserve">egal framework </w:t>
      </w:r>
    </w:p>
    <w:p w14:paraId="278E43ED" w14:textId="77777777" w:rsidR="00C9512D" w:rsidRPr="00CF7015" w:rsidRDefault="00C9512D" w:rsidP="00F31C39">
      <w:pPr>
        <w:pStyle w:val="Randziffern"/>
        <w:framePr w:wrap="around"/>
      </w:pPr>
    </w:p>
    <w:p w14:paraId="17D090F9" w14:textId="00AB80BE" w:rsidR="00C9512D" w:rsidRPr="00961A06" w:rsidRDefault="00C9512D" w:rsidP="00F31C39">
      <w:pPr>
        <w:rPr>
          <w:lang w:val="en-GB"/>
        </w:rPr>
      </w:pPr>
      <w:r w:rsidRPr="00005049">
        <w:t xml:space="preserve">In several concluding observations of </w:t>
      </w:r>
      <w:r w:rsidRPr="00CE6FD6">
        <w:rPr>
          <w:b/>
          <w:bCs/>
        </w:rPr>
        <w:t>UN treaty bodies</w:t>
      </w:r>
      <w:r>
        <w:rPr>
          <w:b/>
          <w:bCs/>
        </w:rPr>
        <w:t>,</w:t>
      </w:r>
      <w:r w:rsidRPr="00005049">
        <w:t xml:space="preserve"> Switzerland</w:t>
      </w:r>
      <w:r>
        <w:t xml:space="preserve"> had been recommended to stop</w:t>
      </w:r>
      <w:r w:rsidR="00E4670D">
        <w:t xml:space="preserve"> or prohibit</w:t>
      </w:r>
      <w:r>
        <w:t xml:space="preserve"> non-voluntary, deferrable, irreversible modifications of sex characteristics of intersex children</w:t>
      </w:r>
      <w:r w:rsidRPr="00005049">
        <w:t>.</w:t>
      </w:r>
      <w:bookmarkStart w:id="7" w:name="_Ref107531193"/>
      <w:bookmarkStart w:id="8" w:name="_Ref68397886"/>
      <w:r>
        <w:rPr>
          <w:vertAlign w:val="superscript"/>
        </w:rPr>
        <w:endnoteReference w:id="12"/>
      </w:r>
      <w:bookmarkEnd w:id="7"/>
      <w:r>
        <w:t xml:space="preserve"> </w:t>
      </w:r>
      <w:bookmarkEnd w:id="8"/>
      <w:r w:rsidRPr="00415B54">
        <w:t xml:space="preserve">On </w:t>
      </w:r>
      <w:r>
        <w:t>the</w:t>
      </w:r>
      <w:r w:rsidRPr="00415B54">
        <w:t xml:space="preserve"> </w:t>
      </w:r>
      <w:r w:rsidRPr="00F13710">
        <w:rPr>
          <w:b/>
          <w:bCs/>
        </w:rPr>
        <w:t>regional level</w:t>
      </w:r>
      <w:r>
        <w:rPr>
          <w:b/>
          <w:bCs/>
        </w:rPr>
        <w:t>,</w:t>
      </w:r>
      <w:r>
        <w:t xml:space="preserve"> </w:t>
      </w:r>
      <w:r w:rsidRPr="000D1147">
        <w:t>ECRI require</w:t>
      </w:r>
      <w:r>
        <w:t>d</w:t>
      </w:r>
      <w:r w:rsidRPr="000D1147">
        <w:t xml:space="preserve"> the same in 2019</w:t>
      </w:r>
      <w:r w:rsidRPr="00710109">
        <w:rPr>
          <w:rStyle w:val="Endnotenzeichen"/>
          <w:bCs/>
        </w:rPr>
        <w:endnoteReference w:id="13"/>
      </w:r>
      <w:r w:rsidRPr="00710109">
        <w:rPr>
          <w:bCs/>
        </w:rPr>
        <w:t>;</w:t>
      </w:r>
      <w:r>
        <w:t xml:space="preserve"> </w:t>
      </w:r>
      <w:r w:rsidRPr="00215DDC">
        <w:t xml:space="preserve">GREVIO </w:t>
      </w:r>
      <w:r>
        <w:t>will publish recommendations this year.</w:t>
      </w:r>
      <w:r w:rsidRPr="00710109">
        <w:rPr>
          <w:rStyle w:val="Endnotenzeichen"/>
          <w:bCs/>
        </w:rPr>
        <w:endnoteReference w:id="14"/>
      </w:r>
    </w:p>
    <w:p w14:paraId="37566AF0" w14:textId="77777777" w:rsidR="00C9512D" w:rsidRPr="00CF7015" w:rsidRDefault="00C9512D" w:rsidP="00F31C39">
      <w:pPr>
        <w:pStyle w:val="Randziffern"/>
        <w:framePr w:wrap="around"/>
      </w:pPr>
      <w:bookmarkStart w:id="10" w:name="_Ref110000152"/>
    </w:p>
    <w:bookmarkEnd w:id="10"/>
    <w:p w14:paraId="07482388" w14:textId="5BA2693D" w:rsidR="00062079" w:rsidRDefault="00C9512D" w:rsidP="00F31C39">
      <w:pPr>
        <w:rPr>
          <w:lang w:val="en-GB"/>
        </w:rPr>
      </w:pPr>
      <w:r w:rsidRPr="005F3C20">
        <w:rPr>
          <w:lang w:val="en-GB"/>
        </w:rPr>
        <w:t xml:space="preserve">On the </w:t>
      </w:r>
      <w:r w:rsidRPr="00734B67">
        <w:rPr>
          <w:b/>
          <w:bCs/>
          <w:lang w:val="en-GB"/>
        </w:rPr>
        <w:t>national level</w:t>
      </w:r>
      <w:r>
        <w:rPr>
          <w:b/>
          <w:bCs/>
          <w:lang w:val="en-GB"/>
        </w:rPr>
        <w:t>,</w:t>
      </w:r>
      <w:r w:rsidRPr="005F3C20">
        <w:rPr>
          <w:lang w:val="en-GB"/>
        </w:rPr>
        <w:t xml:space="preserve"> th</w:t>
      </w:r>
      <w:r>
        <w:rPr>
          <w:lang w:val="en-GB"/>
        </w:rPr>
        <w:t xml:space="preserve">e NCE recommended already twice to prohibit </w:t>
      </w:r>
      <w:r w:rsidRPr="005F3C20">
        <w:rPr>
          <w:lang w:val="en-GB"/>
        </w:rPr>
        <w:t xml:space="preserve">sex </w:t>
      </w:r>
      <w:r>
        <w:rPr>
          <w:lang w:val="en-GB"/>
        </w:rPr>
        <w:t xml:space="preserve">modifying </w:t>
      </w:r>
      <w:r w:rsidRPr="005F3C20">
        <w:rPr>
          <w:lang w:val="en-GB"/>
        </w:rPr>
        <w:t xml:space="preserve">procedures </w:t>
      </w:r>
      <w:r w:rsidR="005F00B3">
        <w:rPr>
          <w:lang w:val="en-GB"/>
        </w:rPr>
        <w:t>of</w:t>
      </w:r>
      <w:r w:rsidRPr="005F3C20">
        <w:rPr>
          <w:lang w:val="en-GB"/>
        </w:rPr>
        <w:t xml:space="preserve"> intersex children</w:t>
      </w:r>
      <w:r w:rsidRPr="00F91037">
        <w:rPr>
          <w:lang w:val="en-GB"/>
        </w:rPr>
        <w:t xml:space="preserve"> </w:t>
      </w:r>
      <w:r w:rsidRPr="005F3C20">
        <w:rPr>
          <w:lang w:val="en-GB"/>
        </w:rPr>
        <w:t>lacking capacity</w:t>
      </w:r>
      <w:r>
        <w:rPr>
          <w:lang w:val="en-GB"/>
        </w:rPr>
        <w:t>.</w:t>
      </w:r>
      <w:bookmarkStart w:id="11" w:name="_Ref107613816"/>
      <w:r>
        <w:rPr>
          <w:rStyle w:val="Endnotenzeichen"/>
          <w:lang w:val="en-GB"/>
        </w:rPr>
        <w:endnoteReference w:id="15"/>
      </w:r>
      <w:bookmarkEnd w:id="11"/>
      <w:r w:rsidR="00FB5A11">
        <w:rPr>
          <w:lang w:val="en-GB"/>
        </w:rPr>
        <w:t xml:space="preserve"> </w:t>
      </w:r>
      <w:r w:rsidR="00062079">
        <w:rPr>
          <w:lang w:val="en-GB"/>
        </w:rPr>
        <w:t>The NCE concluded</w:t>
      </w:r>
      <w:r w:rsidR="00995268">
        <w:rPr>
          <w:lang w:val="en-GB"/>
        </w:rPr>
        <w:t xml:space="preserve"> (p.13)</w:t>
      </w:r>
      <w:r w:rsidR="00062079">
        <w:rPr>
          <w:lang w:val="en-GB"/>
        </w:rPr>
        <w:t>:</w:t>
      </w:r>
      <w:r w:rsidR="00062079">
        <w:t xml:space="preserve"> “An irreversible sex assignment intervention involving harmful physical and psychological consequences cannot be justified on the grounds that the family, </w:t>
      </w:r>
      <w:proofErr w:type="gramStart"/>
      <w:r w:rsidR="00062079">
        <w:t>school</w:t>
      </w:r>
      <w:proofErr w:type="gramEnd"/>
      <w:r w:rsidR="00062079">
        <w:t xml:space="preserve"> or social environment has difficulty in accepting the child’s natural physical characteristics.</w:t>
      </w:r>
      <w:r w:rsidR="00FB5A11">
        <w:t xml:space="preserve"> […]</w:t>
      </w:r>
      <w:r w:rsidR="00062079">
        <w:t xml:space="preserve"> </w:t>
      </w:r>
      <w:r w:rsidR="00FB5A11">
        <w:t>In addition, t</w:t>
      </w:r>
      <w:r w:rsidR="00062079">
        <w:t>here is no guarantee that the intended purpose (integration) will be achieved”</w:t>
      </w:r>
      <w:r w:rsidR="006F0F3D">
        <w:t xml:space="preserve"> (see: </w:t>
      </w:r>
      <w:r w:rsidR="006F0F3D" w:rsidRPr="006F0F3D">
        <w:t>CEDAW/C/CHE/CO/4-5, 24(d)</w:t>
      </w:r>
      <w:r w:rsidR="006F0F3D">
        <w:t>).</w:t>
      </w:r>
    </w:p>
    <w:p w14:paraId="775CA68C" w14:textId="1A158853" w:rsidR="00D466D8" w:rsidRPr="00D466D8" w:rsidRDefault="00E86F60" w:rsidP="00F31C39">
      <w:pPr>
        <w:rPr>
          <w:rFonts w:ascii="Times New Roman" w:hAnsi="Times New Roman" w:cs="Times New Roman"/>
          <w:szCs w:val="24"/>
          <w:lang w:val="en-GB"/>
        </w:rPr>
      </w:pPr>
      <w:r>
        <w:rPr>
          <w:lang w:val="en-GB"/>
        </w:rPr>
        <w:t xml:space="preserve">Any </w:t>
      </w:r>
      <w:r w:rsidRPr="00ED72AF">
        <w:t>restriction on fundamental rights must have a legal basis and</w:t>
      </w:r>
      <w:r>
        <w:t xml:space="preserve"> </w:t>
      </w:r>
      <w:r w:rsidRPr="00ED72AF">
        <w:t xml:space="preserve">must be justified as </w:t>
      </w:r>
      <w:r>
        <w:t xml:space="preserve">being in the </w:t>
      </w:r>
      <w:r w:rsidRPr="00ED72AF">
        <w:t xml:space="preserve">public interest and be proportionate; above all, the essence of fundamental rights is inviolable </w:t>
      </w:r>
      <w:r>
        <w:t xml:space="preserve">(article 36(4) </w:t>
      </w:r>
      <w:proofErr w:type="spellStart"/>
      <w:r w:rsidRPr="0031411F">
        <w:t>Fed</w:t>
      </w:r>
      <w:r>
        <w:t>.Cst</w:t>
      </w:r>
      <w:proofErr w:type="spellEnd"/>
      <w:r>
        <w:t>.)</w:t>
      </w:r>
      <w:r w:rsidRPr="00ED72AF">
        <w:t>.</w:t>
      </w:r>
      <w:r>
        <w:rPr>
          <w:rStyle w:val="Endnotenzeichen"/>
        </w:rPr>
        <w:endnoteReference w:id="16"/>
      </w:r>
      <w:r w:rsidRPr="00ED72AF">
        <w:t xml:space="preserve"> </w:t>
      </w:r>
      <w:r w:rsidR="00C9512D">
        <w:rPr>
          <w:lang w:val="en-GB"/>
        </w:rPr>
        <w:t xml:space="preserve">In </w:t>
      </w:r>
      <w:r w:rsidR="00C9512D" w:rsidRPr="00A5498B">
        <w:rPr>
          <w:lang w:val="en-GB"/>
        </w:rPr>
        <w:t xml:space="preserve">addition to constitutional law, civil law is of particular importance, especially </w:t>
      </w:r>
      <w:r w:rsidR="00C9512D">
        <w:rPr>
          <w:lang w:val="en-GB"/>
        </w:rPr>
        <w:t xml:space="preserve">the </w:t>
      </w:r>
      <w:r w:rsidR="00C9512D" w:rsidRPr="00A5498B">
        <w:rPr>
          <w:lang w:val="en-GB"/>
        </w:rPr>
        <w:t xml:space="preserve">protection </w:t>
      </w:r>
      <w:r w:rsidR="00C9512D">
        <w:rPr>
          <w:lang w:val="en-GB"/>
        </w:rPr>
        <w:t xml:space="preserve">of </w:t>
      </w:r>
      <w:r w:rsidR="00C9512D" w:rsidRPr="00A5498B">
        <w:rPr>
          <w:lang w:val="en-GB"/>
        </w:rPr>
        <w:t>child</w:t>
      </w:r>
      <w:r w:rsidR="00C9512D">
        <w:rPr>
          <w:lang w:val="en-GB"/>
        </w:rPr>
        <w:t>ren’s rights</w:t>
      </w:r>
      <w:r w:rsidR="00C9512D" w:rsidRPr="00A5498B">
        <w:rPr>
          <w:lang w:val="en-GB"/>
        </w:rPr>
        <w:t xml:space="preserve"> </w:t>
      </w:r>
      <w:r w:rsidR="00240B52">
        <w:rPr>
          <w:lang w:val="en-GB"/>
        </w:rPr>
        <w:t>(</w:t>
      </w:r>
      <w:r w:rsidR="00C9512D" w:rsidRPr="00AC2333">
        <w:rPr>
          <w:lang w:val="en-GB"/>
        </w:rPr>
        <w:t xml:space="preserve">articles 19c and 296ff. </w:t>
      </w:r>
      <w:r w:rsidR="003D5CD6" w:rsidRPr="00AC2333">
        <w:rPr>
          <w:lang w:val="en-GB"/>
        </w:rPr>
        <w:t>Swiss Civil Code</w:t>
      </w:r>
      <w:r w:rsidR="003D5CD6" w:rsidRPr="00AC2333">
        <w:t xml:space="preserve"> (RS 210)</w:t>
      </w:r>
      <w:r w:rsidR="003D5CD6">
        <w:rPr>
          <w:rStyle w:val="Funotenzeichen"/>
        </w:rPr>
        <w:footnoteReference w:id="2"/>
      </w:r>
      <w:r w:rsidR="00C9512D" w:rsidRPr="00A5498B">
        <w:rPr>
          <w:lang w:val="en-GB"/>
        </w:rPr>
        <w:t>.</w:t>
      </w:r>
      <w:r w:rsidR="00C9512D">
        <w:rPr>
          <w:lang w:val="en-GB"/>
        </w:rPr>
        <w:t xml:space="preserve"> </w:t>
      </w:r>
      <w:r w:rsidR="00D466D8">
        <w:t>These rights are not guaranteed yet in Switzerland, either for boys and girls or for adults with a VSC.</w:t>
      </w:r>
    </w:p>
    <w:p w14:paraId="42D93D45" w14:textId="77777777" w:rsidR="00D466D8" w:rsidRPr="00CF7015" w:rsidRDefault="00D466D8" w:rsidP="00F31C39">
      <w:pPr>
        <w:pStyle w:val="Randziffern"/>
        <w:framePr w:wrap="around"/>
      </w:pPr>
    </w:p>
    <w:p w14:paraId="5A91D0DD" w14:textId="51CCFCC4" w:rsidR="005E49E7" w:rsidRDefault="00C9512D" w:rsidP="00F31C39">
      <w:r w:rsidRPr="00ED72AF">
        <w:t xml:space="preserve">Regarding </w:t>
      </w:r>
      <w:r>
        <w:t>f</w:t>
      </w:r>
      <w:r w:rsidRPr="00822952">
        <w:t>emale genital mutilation</w:t>
      </w:r>
      <w:r w:rsidRPr="00ED72AF">
        <w:t>, a new provision (</w:t>
      </w:r>
      <w:r>
        <w:t>article</w:t>
      </w:r>
      <w:r w:rsidRPr="00ED72AF">
        <w:t xml:space="preserve"> 124) was added to the </w:t>
      </w:r>
      <w:r w:rsidR="00282C74">
        <w:t xml:space="preserve">Swiss </w:t>
      </w:r>
      <w:r>
        <w:rPr>
          <w:b/>
        </w:rPr>
        <w:t>C</w:t>
      </w:r>
      <w:r w:rsidRPr="00ED72AF">
        <w:rPr>
          <w:b/>
        </w:rPr>
        <w:t>riminal Code</w:t>
      </w:r>
      <w:r w:rsidR="00282C74">
        <w:rPr>
          <w:b/>
        </w:rPr>
        <w:t xml:space="preserve"> </w:t>
      </w:r>
      <w:r w:rsidR="00282C74">
        <w:t>(RS 311.0)</w:t>
      </w:r>
      <w:r w:rsidR="00282C74">
        <w:rPr>
          <w:rStyle w:val="Funotenzeichen"/>
        </w:rPr>
        <w:footnoteReference w:id="3"/>
      </w:r>
      <w:r w:rsidRPr="00ED72AF">
        <w:t xml:space="preserve"> </w:t>
      </w:r>
      <w:r>
        <w:t xml:space="preserve">in </w:t>
      </w:r>
      <w:r w:rsidRPr="00ED72AF">
        <w:t xml:space="preserve">2012 to put an end to the </w:t>
      </w:r>
      <w:r>
        <w:t>lack of legal security. N</w:t>
      </w:r>
      <w:r w:rsidRPr="00E51D00">
        <w:t>o such provision</w:t>
      </w:r>
      <w:r>
        <w:t xml:space="preserve"> in the Criminal Code</w:t>
      </w:r>
      <w:r w:rsidR="00E850AC">
        <w:t>,</w:t>
      </w:r>
      <w:r w:rsidRPr="00E51D00">
        <w:t xml:space="preserve"> </w:t>
      </w:r>
      <w:r w:rsidR="00345D03">
        <w:rPr>
          <w:i/>
          <w:iCs/>
        </w:rPr>
        <w:t xml:space="preserve">hence </w:t>
      </w:r>
      <w:r w:rsidR="00FB5A11">
        <w:rPr>
          <w:lang w:val="en-GB"/>
        </w:rPr>
        <w:t>no l</w:t>
      </w:r>
      <w:r w:rsidRPr="00390693">
        <w:rPr>
          <w:lang w:val="en-GB"/>
        </w:rPr>
        <w:t>egal security</w:t>
      </w:r>
      <w:r w:rsidR="00D84E2C">
        <w:rPr>
          <w:lang w:val="en-GB"/>
        </w:rPr>
        <w:t>,</w:t>
      </w:r>
      <w:r>
        <w:t xml:space="preserve"> </w:t>
      </w:r>
      <w:r w:rsidRPr="00E51D00">
        <w:t xml:space="preserve">exists against harmful medical treatment of intersex </w:t>
      </w:r>
      <w:r w:rsidRPr="00E657CA">
        <w:rPr>
          <w:lang w:val="en-GB"/>
        </w:rPr>
        <w:t xml:space="preserve">children (e.g., articles </w:t>
      </w:r>
      <w:r w:rsidR="00A504D4" w:rsidRPr="00E657CA">
        <w:rPr>
          <w:lang w:val="en-GB"/>
        </w:rPr>
        <w:t xml:space="preserve">2, 3, </w:t>
      </w:r>
      <w:r w:rsidR="0047599A" w:rsidRPr="00E657CA">
        <w:rPr>
          <w:lang w:val="en-GB"/>
        </w:rPr>
        <w:t xml:space="preserve">4, </w:t>
      </w:r>
      <w:r w:rsidRPr="00E657CA">
        <w:rPr>
          <w:lang w:val="en-GB"/>
        </w:rPr>
        <w:t>12, 19, 24(3), 37a CRC</w:t>
      </w:r>
      <w:r w:rsidR="004B6006" w:rsidRPr="00E657CA">
        <w:rPr>
          <w:lang w:val="en-GB"/>
        </w:rPr>
        <w:t xml:space="preserve"> / articles</w:t>
      </w:r>
      <w:r w:rsidR="00A504D4" w:rsidRPr="00E657CA">
        <w:rPr>
          <w:lang w:val="en-GB"/>
        </w:rPr>
        <w:t xml:space="preserve"> 2, 5, 10-13, 15</w:t>
      </w:r>
      <w:r w:rsidR="004B6006" w:rsidRPr="00E657CA">
        <w:rPr>
          <w:lang w:val="en-GB"/>
        </w:rPr>
        <w:t xml:space="preserve"> CEDAW</w:t>
      </w:r>
      <w:r w:rsidRPr="00E657CA">
        <w:rPr>
          <w:lang w:val="en-GB"/>
        </w:rPr>
        <w:t>).</w:t>
      </w:r>
    </w:p>
    <w:p w14:paraId="6BFA7767" w14:textId="409086A8" w:rsidR="00011015" w:rsidRDefault="00011015" w:rsidP="00F31C39">
      <w:r>
        <w:br w:type="page"/>
      </w:r>
    </w:p>
    <w:p w14:paraId="20CFD99C" w14:textId="2FFC7837" w:rsidR="00412A41" w:rsidRPr="00412A41" w:rsidRDefault="00412A41" w:rsidP="00E713CB">
      <w:pPr>
        <w:pStyle w:val="berschrift1"/>
      </w:pPr>
      <w:r w:rsidRPr="00412A41">
        <w:lastRenderedPageBreak/>
        <w:t>Shape of an action plan regarding our recommendations</w:t>
      </w:r>
    </w:p>
    <w:p w14:paraId="7450FE94" w14:textId="77777777" w:rsidR="00412A41" w:rsidRPr="000C7671" w:rsidRDefault="00412A41" w:rsidP="00412A41">
      <w:pPr>
        <w:spacing w:before="240" w:after="120"/>
        <w:jc w:val="center"/>
        <w:rPr>
          <w:b/>
          <w:szCs w:val="24"/>
        </w:rPr>
      </w:pPr>
      <w:r w:rsidRPr="000C7671">
        <w:rPr>
          <w:b/>
          <w:szCs w:val="24"/>
        </w:rPr>
        <w:t xml:space="preserve">We </w:t>
      </w:r>
      <w:r w:rsidRPr="00805856">
        <w:rPr>
          <w:b/>
          <w:szCs w:val="24"/>
        </w:rPr>
        <w:t>recommend</w:t>
      </w:r>
      <w:r w:rsidRPr="000C7671">
        <w:rPr>
          <w:b/>
          <w:szCs w:val="24"/>
        </w:rPr>
        <w:t xml:space="preserve"> the following plan of action in general…</w:t>
      </w:r>
    </w:p>
    <w:p w14:paraId="624366C7" w14:textId="77777777" w:rsidR="00412A41" w:rsidRDefault="00412A41">
      <w:pPr>
        <w:pStyle w:val="Listenabsatz"/>
      </w:pPr>
      <w:r>
        <w:t xml:space="preserve">Awareness-raising measures: </w:t>
      </w:r>
      <w:r w:rsidRPr="00D472C0">
        <w:t>demonstrate that variations</w:t>
      </w:r>
      <w:r>
        <w:t xml:space="preserve"> of sex characteristics</w:t>
      </w:r>
      <w:r w:rsidRPr="00D472C0">
        <w:t xml:space="preserve"> are not a disease</w:t>
      </w:r>
      <w:r>
        <w:t xml:space="preserve">, and that </w:t>
      </w:r>
      <w:r w:rsidRPr="00412A41">
        <w:t xml:space="preserve">culture, custom, tradition </w:t>
      </w:r>
      <w:r>
        <w:t xml:space="preserve">should not be considered </w:t>
      </w:r>
      <w:r w:rsidRPr="00412A41">
        <w:t xml:space="preserve">as justification for </w:t>
      </w:r>
      <w:r w:rsidRPr="009D7A0C">
        <w:t xml:space="preserve">violence against intersex </w:t>
      </w:r>
      <w:r>
        <w:t>children.</w:t>
      </w:r>
    </w:p>
    <w:p w14:paraId="4ECAD99A" w14:textId="77777777" w:rsidR="00412A41" w:rsidRDefault="00412A41">
      <w:pPr>
        <w:pStyle w:val="Listenabsatz"/>
      </w:pPr>
      <w:r>
        <w:t>Establish independent and interdisciplinary working groups (including intersex peer experts).</w:t>
      </w:r>
    </w:p>
    <w:p w14:paraId="570AC5B5" w14:textId="77777777" w:rsidR="00412A41" w:rsidRDefault="00412A41">
      <w:pPr>
        <w:pStyle w:val="Listenabsatz"/>
      </w:pPr>
      <w:r>
        <w:t>Education and awareness-raising in hospitals and schools.</w:t>
      </w:r>
    </w:p>
    <w:p w14:paraId="534F85A6" w14:textId="287A6242" w:rsidR="00412A41" w:rsidRDefault="00412A41">
      <w:pPr>
        <w:pStyle w:val="Listenabsatz"/>
      </w:pPr>
      <w:r>
        <w:t>Awareness-raising and training of medical staffs (</w:t>
      </w:r>
      <w:r w:rsidR="00A90364">
        <w:t>e.g.,</w:t>
      </w:r>
      <w:r>
        <w:t xml:space="preserve"> midwives) on the harmful effects of non-urgent medical interventions on intersex children.</w:t>
      </w:r>
    </w:p>
    <w:p w14:paraId="2CC7036D" w14:textId="77777777" w:rsidR="00412A41" w:rsidRDefault="00412A41">
      <w:pPr>
        <w:pStyle w:val="Listenabsatz"/>
      </w:pPr>
      <w:r>
        <w:t>Raising media awareness to draw attention to intersectional discrimination.</w:t>
      </w:r>
    </w:p>
    <w:p w14:paraId="69DB496E" w14:textId="77777777" w:rsidR="00412A41" w:rsidRDefault="00412A41">
      <w:pPr>
        <w:pStyle w:val="Listenabsatz"/>
      </w:pPr>
      <w:r>
        <w:t>Increase the visibility of intersex girls and boys in society and reduce isolation and stigmatization.</w:t>
      </w:r>
    </w:p>
    <w:p w14:paraId="1C9D0330" w14:textId="77777777" w:rsidR="00412A41" w:rsidRPr="00805856" w:rsidRDefault="00412A41" w:rsidP="00412A41">
      <w:pPr>
        <w:spacing w:before="240" w:after="120"/>
        <w:jc w:val="center"/>
        <w:rPr>
          <w:b/>
          <w:szCs w:val="24"/>
        </w:rPr>
      </w:pPr>
      <w:r>
        <w:rPr>
          <w:b/>
          <w:szCs w:val="24"/>
        </w:rPr>
        <w:t>…and</w:t>
      </w:r>
      <w:r w:rsidRPr="00805856">
        <w:rPr>
          <w:b/>
          <w:szCs w:val="24"/>
        </w:rPr>
        <w:t xml:space="preserve"> in particular</w:t>
      </w:r>
    </w:p>
    <w:p w14:paraId="4E901670" w14:textId="77777777" w:rsidR="00412A41" w:rsidRDefault="00412A41" w:rsidP="00412A41">
      <w:r>
        <w:t>a</w:t>
      </w:r>
      <w:r w:rsidRPr="00D472C0">
        <w:t xml:space="preserve">n information, </w:t>
      </w:r>
      <w:proofErr w:type="gramStart"/>
      <w:r w:rsidRPr="00D472C0">
        <w:t>counselling</w:t>
      </w:r>
      <w:proofErr w:type="gramEnd"/>
      <w:r w:rsidRPr="00D472C0">
        <w:t xml:space="preserve"> and prevention campaign by </w:t>
      </w:r>
      <w:r>
        <w:t>the Federal Social Insurance Office FSIO – com</w:t>
      </w:r>
      <w:r w:rsidRPr="00D472C0">
        <w:t>parable to the measures against female genital mutilation. In our opinion, such a campaign should include us, InterAction Switzerland</w:t>
      </w:r>
      <w:r>
        <w:t>,</w:t>
      </w:r>
      <w:r w:rsidRPr="00D472C0">
        <w:t xml:space="preserve"> as a specialized NGO</w:t>
      </w:r>
      <w:r>
        <w:t xml:space="preserve"> on the </w:t>
      </w:r>
      <w:r w:rsidRPr="00D472C0">
        <w:t xml:space="preserve">harmful consequences </w:t>
      </w:r>
      <w:r>
        <w:t>of</w:t>
      </w:r>
      <w:r w:rsidRPr="00D472C0">
        <w:t xml:space="preserve"> violence and domestic violence</w:t>
      </w:r>
      <w:r>
        <w:t xml:space="preserve"> </w:t>
      </w:r>
      <w:r w:rsidRPr="00D472C0">
        <w:t xml:space="preserve">against </w:t>
      </w:r>
      <w:r>
        <w:t>intersex children and adults</w:t>
      </w:r>
      <w:r w:rsidRPr="00D472C0">
        <w:t>.</w:t>
      </w:r>
    </w:p>
    <w:p w14:paraId="08B9A3E7" w14:textId="77777777" w:rsidR="00412A41" w:rsidRDefault="00412A41" w:rsidP="00412A41">
      <w:r w:rsidRPr="00793DF2">
        <w:t>A campaign should underline the negative consequences that violence and domestic violence can have on children - e.g.</w:t>
      </w:r>
      <w:r>
        <w:t>,</w:t>
      </w:r>
      <w:r w:rsidRPr="00793DF2">
        <w:t xml:space="preserve"> regarding their right to empowerment, their </w:t>
      </w:r>
      <w:proofErr w:type="gramStart"/>
      <w:r w:rsidRPr="00793DF2">
        <w:t>development</w:t>
      </w:r>
      <w:proofErr w:type="gramEnd"/>
      <w:r w:rsidRPr="00793DF2">
        <w:t xml:space="preserve"> and their physical and mental health. On the other hand, such a campaign should raise awareness to reveal that variations of sex development are not a disease.</w:t>
      </w:r>
    </w:p>
    <w:p w14:paraId="54D186E5" w14:textId="07C3BD61" w:rsidR="00412A41" w:rsidRPr="00D472C0" w:rsidRDefault="00412A41" w:rsidP="00412A41">
      <w:r>
        <w:t xml:space="preserve">The </w:t>
      </w:r>
      <w:r w:rsidRPr="00D472C0">
        <w:t>following aspects</w:t>
      </w:r>
      <w:r>
        <w:t xml:space="preserve"> should be included</w:t>
      </w:r>
      <w:r w:rsidRPr="00D472C0">
        <w:t xml:space="preserve"> in the Lehrplan21</w:t>
      </w:r>
      <w:r w:rsidR="00631410">
        <w:rPr>
          <w:rStyle w:val="Endnotenzeichen"/>
        </w:rPr>
        <w:endnoteReference w:id="17"/>
      </w:r>
      <w:r w:rsidR="00631410">
        <w:t xml:space="preserve"> </w:t>
      </w:r>
      <w:r>
        <w:t xml:space="preserve">– with </w:t>
      </w:r>
      <w:r w:rsidRPr="00D472C0">
        <w:t>a positive effect against stereotypes:</w:t>
      </w:r>
    </w:p>
    <w:p w14:paraId="0530DEF4" w14:textId="77777777" w:rsidR="00412A41" w:rsidRPr="00D472C0" w:rsidRDefault="00412A41">
      <w:pPr>
        <w:pStyle w:val="Listenabsatz"/>
      </w:pPr>
      <w:r w:rsidRPr="00D472C0">
        <w:t xml:space="preserve">understanding the </w:t>
      </w:r>
      <w:r>
        <w:t>diversity</w:t>
      </w:r>
      <w:r w:rsidRPr="00D472C0">
        <w:t xml:space="preserve"> </w:t>
      </w:r>
      <w:r>
        <w:t xml:space="preserve">in variations of sex </w:t>
      </w:r>
      <w:proofErr w:type="gramStart"/>
      <w:r>
        <w:t>characteristics</w:t>
      </w:r>
      <w:r w:rsidRPr="00D472C0">
        <w:t>;</w:t>
      </w:r>
      <w:proofErr w:type="gramEnd"/>
    </w:p>
    <w:p w14:paraId="3EE5EF5D" w14:textId="77777777" w:rsidR="00412A41" w:rsidRPr="00D472C0" w:rsidRDefault="00412A41">
      <w:pPr>
        <w:pStyle w:val="Listenabsatz"/>
      </w:pPr>
      <w:r w:rsidRPr="00D472C0">
        <w:t>understand</w:t>
      </w:r>
      <w:r>
        <w:t>ing</w:t>
      </w:r>
      <w:r w:rsidRPr="00D472C0">
        <w:t xml:space="preserve"> that </w:t>
      </w:r>
      <w:r>
        <w:t xml:space="preserve">intersex variations </w:t>
      </w:r>
      <w:r w:rsidRPr="00D472C0">
        <w:t xml:space="preserve">may </w:t>
      </w:r>
      <w:r>
        <w:t>be different</w:t>
      </w:r>
      <w:r w:rsidRPr="00D472C0">
        <w:t xml:space="preserve"> from the traditional understanding of </w:t>
      </w:r>
      <w:r>
        <w:t>“</w:t>
      </w:r>
      <w:r w:rsidRPr="00D472C0">
        <w:t>male</w:t>
      </w:r>
      <w:r>
        <w:t>”</w:t>
      </w:r>
      <w:r w:rsidRPr="00D472C0">
        <w:t xml:space="preserve"> or </w:t>
      </w:r>
      <w:r>
        <w:t>“</w:t>
      </w:r>
      <w:r w:rsidRPr="00D472C0">
        <w:t>female</w:t>
      </w:r>
      <w:r>
        <w:t xml:space="preserve">” </w:t>
      </w:r>
      <w:proofErr w:type="gramStart"/>
      <w:r>
        <w:t>bodies;</w:t>
      </w:r>
      <w:proofErr w:type="gramEnd"/>
    </w:p>
    <w:p w14:paraId="161C8985" w14:textId="77777777" w:rsidR="00412A41" w:rsidRPr="00D472C0" w:rsidRDefault="00412A41">
      <w:pPr>
        <w:pStyle w:val="Listenabsatz"/>
      </w:pPr>
      <w:r>
        <w:t>u</w:t>
      </w:r>
      <w:r w:rsidRPr="00D472C0">
        <w:t>nderstand</w:t>
      </w:r>
      <w:r>
        <w:t>ing</w:t>
      </w:r>
      <w:r w:rsidRPr="00D472C0">
        <w:t xml:space="preserve"> that children born intersex are usually as healthy as all other children and that, as a rule, no medical intervention is </w:t>
      </w:r>
      <w:proofErr w:type="gramStart"/>
      <w:r>
        <w:t>proportionate;</w:t>
      </w:r>
      <w:proofErr w:type="gramEnd"/>
    </w:p>
    <w:p w14:paraId="5FD478C6" w14:textId="77777777" w:rsidR="00412A41" w:rsidRPr="00D472C0" w:rsidRDefault="00412A41">
      <w:pPr>
        <w:pStyle w:val="Listenabsatz"/>
      </w:pPr>
      <w:r w:rsidRPr="00D472C0">
        <w:t>understand</w:t>
      </w:r>
      <w:r>
        <w:t>ing</w:t>
      </w:r>
      <w:r w:rsidRPr="00D472C0">
        <w:t xml:space="preserve"> that intersex children are very different from each other (variations) and that these variations are not as rare as often </w:t>
      </w:r>
      <w:proofErr w:type="gramStart"/>
      <w:r w:rsidRPr="00D472C0">
        <w:t>assumed;</w:t>
      </w:r>
      <w:proofErr w:type="gramEnd"/>
    </w:p>
    <w:p w14:paraId="752A2C60" w14:textId="77777777" w:rsidR="00412A41" w:rsidRDefault="00412A41">
      <w:pPr>
        <w:pStyle w:val="Listenabsatz"/>
      </w:pPr>
      <w:r w:rsidRPr="00D472C0">
        <w:t>understand</w:t>
      </w:r>
      <w:r>
        <w:t>ing</w:t>
      </w:r>
      <w:r w:rsidRPr="00D472C0">
        <w:t xml:space="preserve"> that</w:t>
      </w:r>
      <w:r>
        <w:t xml:space="preserve"> </w:t>
      </w:r>
      <w:r w:rsidRPr="00D472C0">
        <w:t>intersex children</w:t>
      </w:r>
      <w:r>
        <w:t xml:space="preserve"> should not </w:t>
      </w:r>
      <w:r w:rsidRPr="00787372">
        <w:t xml:space="preserve">be grouped </w:t>
      </w:r>
      <w:r>
        <w:t>as</w:t>
      </w:r>
      <w:r w:rsidRPr="00787372">
        <w:t xml:space="preserve"> a new category, as “third-sex-</w:t>
      </w:r>
      <w:r>
        <w:t xml:space="preserve">children”, </w:t>
      </w:r>
      <w:proofErr w:type="gramStart"/>
      <w:r w:rsidRPr="00E50F77">
        <w:t>the vast majority of</w:t>
      </w:r>
      <w:proofErr w:type="gramEnd"/>
      <w:r w:rsidRPr="00E50F77">
        <w:t xml:space="preserve"> </w:t>
      </w:r>
      <w:r>
        <w:t>people with a variation of sex characteristics</w:t>
      </w:r>
      <w:r w:rsidRPr="00E50F77">
        <w:t xml:space="preserve"> have a gender identity as </w:t>
      </w:r>
      <w:r>
        <w:t>women</w:t>
      </w:r>
      <w:r w:rsidRPr="00E50F77">
        <w:t xml:space="preserve"> or </w:t>
      </w:r>
      <w:r>
        <w:t>men</w:t>
      </w:r>
      <w:r w:rsidRPr="00D472C0">
        <w:t>.</w:t>
      </w:r>
      <w:r>
        <w:t xml:space="preserve"> </w:t>
      </w:r>
      <w:r>
        <w:br w:type="page"/>
      </w:r>
    </w:p>
    <w:p w14:paraId="6DF56704" w14:textId="77777777" w:rsidR="00412A41" w:rsidRPr="00D472C0" w:rsidRDefault="00412A41" w:rsidP="00412A41">
      <w:pPr>
        <w:pStyle w:val="Listenabsatz"/>
        <w:numPr>
          <w:ilvl w:val="0"/>
          <w:numId w:val="0"/>
        </w:numPr>
        <w:spacing w:line="240" w:lineRule="auto"/>
        <w:ind w:left="567"/>
      </w:pPr>
    </w:p>
    <w:p w14:paraId="7A7E064D" w14:textId="77777777" w:rsidR="00412A41" w:rsidRPr="00F42B35" w:rsidRDefault="00412A41" w:rsidP="00412A41">
      <w:pPr>
        <w:spacing w:before="100" w:beforeAutospacing="1" w:after="120"/>
        <w:jc w:val="center"/>
        <w:rPr>
          <w:b/>
          <w:szCs w:val="24"/>
        </w:rPr>
      </w:pPr>
      <w:r w:rsidRPr="00F42B35">
        <w:rPr>
          <w:b/>
          <w:szCs w:val="24"/>
        </w:rPr>
        <w:t>Educational curricula, teaching and vocational materials should:</w:t>
      </w:r>
    </w:p>
    <w:p w14:paraId="4FC4AFEF" w14:textId="77777777" w:rsidR="00412A41" w:rsidRDefault="00412A41">
      <w:pPr>
        <w:pStyle w:val="Listenabsatz"/>
      </w:pPr>
      <w:r>
        <w:t xml:space="preserve">implement </w:t>
      </w:r>
      <w:r w:rsidRPr="00E17788">
        <w:t xml:space="preserve">intersex </w:t>
      </w:r>
      <w:r>
        <w:t>and VSC</w:t>
      </w:r>
      <w:r w:rsidRPr="00E17788">
        <w:t xml:space="preserve"> as a healthy variation of the human body in medical education and </w:t>
      </w:r>
      <w:r>
        <w:t xml:space="preserve">regular </w:t>
      </w:r>
      <w:r w:rsidRPr="00362284">
        <w:t>medical training</w:t>
      </w:r>
      <w:r>
        <w:t xml:space="preserve">, medical curricula and </w:t>
      </w:r>
      <w:proofErr w:type="gramStart"/>
      <w:r>
        <w:t>schoolbooks;</w:t>
      </w:r>
      <w:proofErr w:type="gramEnd"/>
    </w:p>
    <w:p w14:paraId="479E3652" w14:textId="77777777" w:rsidR="00412A41" w:rsidRDefault="00412A41">
      <w:pPr>
        <w:pStyle w:val="Listenabsatz"/>
      </w:pPr>
      <w:r>
        <w:t xml:space="preserve">ensure that sensitive teaching materials are available, including information on </w:t>
      </w:r>
      <w:proofErr w:type="gramStart"/>
      <w:r>
        <w:t>VSC;</w:t>
      </w:r>
      <w:proofErr w:type="gramEnd"/>
    </w:p>
    <w:p w14:paraId="1B96C11B" w14:textId="77777777" w:rsidR="00412A41" w:rsidRPr="00E17788" w:rsidRDefault="00412A41">
      <w:pPr>
        <w:pStyle w:val="Listenabsatz"/>
      </w:pPr>
      <w:r w:rsidRPr="00E17788">
        <w:t>implement</w:t>
      </w:r>
      <w:r>
        <w:t xml:space="preserve"> </w:t>
      </w:r>
      <w:r w:rsidRPr="00E17788">
        <w:t xml:space="preserve">measures to ensure that girls </w:t>
      </w:r>
      <w:r>
        <w:t>and boys</w:t>
      </w:r>
      <w:r w:rsidRPr="00E17788">
        <w:t xml:space="preserve"> with a variation of sex characteristics are portrayed in textbooks as healthy human beings in a non-pathologizing and empowering </w:t>
      </w:r>
      <w:proofErr w:type="gramStart"/>
      <w:r w:rsidRPr="00E17788">
        <w:t>manner;</w:t>
      </w:r>
      <w:proofErr w:type="gramEnd"/>
    </w:p>
    <w:p w14:paraId="017AF012" w14:textId="77777777" w:rsidR="00412A41" w:rsidRDefault="00412A41">
      <w:pPr>
        <w:pStyle w:val="Listenabsatz"/>
      </w:pPr>
      <w:r>
        <w:t>a</w:t>
      </w:r>
      <w:r w:rsidRPr="00E17788">
        <w:t>ddress the lack of consultation and advice of intersex people in interdisciplinary working groups at all stages and professions of medical training/education as a non-pathologizing and human rights-based perspective.</w:t>
      </w:r>
    </w:p>
    <w:p w14:paraId="64588C0C" w14:textId="77777777" w:rsidR="00412A41" w:rsidRPr="00E17788" w:rsidRDefault="00412A41" w:rsidP="00412A41">
      <w:pPr>
        <w:spacing w:before="100" w:beforeAutospacing="1" w:after="120"/>
        <w:jc w:val="center"/>
        <w:rPr>
          <w:b/>
          <w:bCs/>
        </w:rPr>
      </w:pPr>
      <w:r w:rsidRPr="00F42B35">
        <w:rPr>
          <w:b/>
          <w:szCs w:val="24"/>
        </w:rPr>
        <w:t>Other prevention and protection measures</w:t>
      </w:r>
      <w:r w:rsidRPr="00E17788">
        <w:rPr>
          <w:b/>
        </w:rPr>
        <w:t>:</w:t>
      </w:r>
    </w:p>
    <w:p w14:paraId="34019A54" w14:textId="77777777" w:rsidR="00412A41" w:rsidRDefault="00412A41">
      <w:pPr>
        <w:pStyle w:val="Listenabsatz"/>
      </w:pPr>
      <w:r>
        <w:t xml:space="preserve">Leaflets and other information for authorities (e.g., police, judiciary, medicine, </w:t>
      </w:r>
      <w:proofErr w:type="gramStart"/>
      <w:r>
        <w:t>Child</w:t>
      </w:r>
      <w:proofErr w:type="gramEnd"/>
      <w:r>
        <w:t xml:space="preserve"> and Adult Protection Authority) on all forms of violence against intersex children should be developed in order to make violence against intersex children visible. </w:t>
      </w:r>
    </w:p>
    <w:p w14:paraId="3C8A5205" w14:textId="77777777" w:rsidR="00412A41" w:rsidRDefault="00412A41">
      <w:pPr>
        <w:pStyle w:val="Listenabsatz"/>
      </w:pPr>
      <w:r>
        <w:t>Counselling and prevention services and psychological care for parents and adolescent intersex people are to be set up outside and in addition to the medical health care in the cantonal hospitals.</w:t>
      </w:r>
    </w:p>
    <w:p w14:paraId="21796AED" w14:textId="77777777" w:rsidR="00412A41" w:rsidRDefault="00412A41">
      <w:pPr>
        <w:pStyle w:val="Listenabsatz"/>
      </w:pPr>
      <w:r>
        <w:t>In cooperation with InterAction Switzerland, counselling services independent of medicine are to be set up for pregnant women who are expecting a child with a variation of sex characteristics (intersex). Many of these women consent to abortion because of inadequate and pathologizing counselling.</w:t>
      </w:r>
    </w:p>
    <w:p w14:paraId="4A07C928" w14:textId="77777777" w:rsidR="00412A41" w:rsidRDefault="00412A41">
      <w:pPr>
        <w:pStyle w:val="Listenabsatz"/>
      </w:pPr>
      <w:r w:rsidRPr="00AF1FB7">
        <w:t xml:space="preserve">InterAction Switzerland </w:t>
      </w:r>
      <w:r>
        <w:t>should</w:t>
      </w:r>
      <w:r w:rsidRPr="00AF1FB7">
        <w:t xml:space="preserve"> be involved and financed for counselling services.</w:t>
      </w:r>
    </w:p>
    <w:p w14:paraId="27BCF32D" w14:textId="77777777" w:rsidR="00412A41" w:rsidRDefault="00412A41" w:rsidP="00412A41">
      <w:pPr>
        <w:spacing w:before="100" w:beforeAutospacing="1" w:after="120"/>
        <w:jc w:val="center"/>
        <w:rPr>
          <w:b/>
        </w:rPr>
      </w:pPr>
      <w:r w:rsidRPr="00D715AE">
        <w:rPr>
          <w:b/>
        </w:rPr>
        <w:t>An action plan does not replace legislative action for a criminal prohibition due to legal security considerations.</w:t>
      </w:r>
    </w:p>
    <w:p w14:paraId="038AB938" w14:textId="0A6D23B5" w:rsidR="00412A41" w:rsidRDefault="00412A41">
      <w:pPr>
        <w:widowControl/>
        <w:spacing w:before="0" w:after="160" w:line="259" w:lineRule="auto"/>
        <w:ind w:left="0"/>
        <w:jc w:val="left"/>
      </w:pPr>
      <w:r>
        <w:br w:type="page"/>
      </w:r>
    </w:p>
    <w:p w14:paraId="409D9429" w14:textId="37C0BC6C" w:rsidR="00631410" w:rsidRPr="00631410" w:rsidRDefault="00631410" w:rsidP="00E713CB">
      <w:pPr>
        <w:pStyle w:val="berschrift1"/>
      </w:pPr>
      <w:r w:rsidRPr="00631410">
        <w:lastRenderedPageBreak/>
        <w:t>Sources of statements, reports by human rights institutions</w:t>
      </w:r>
      <w:r w:rsidR="004C2433">
        <w:t xml:space="preserve"> </w:t>
      </w:r>
      <w:r w:rsidR="004C2433" w:rsidRPr="001307F9">
        <w:t>regarding</w:t>
      </w:r>
      <w:r w:rsidR="004C2433">
        <w:t xml:space="preserve"> human rights of intersex people </w:t>
      </w:r>
      <w:r w:rsidRPr="00631410">
        <w:t xml:space="preserve">and </w:t>
      </w:r>
      <w:r w:rsidR="004C2433">
        <w:t>v</w:t>
      </w:r>
      <w:r w:rsidRPr="00631410">
        <w:t xml:space="preserve">oices of </w:t>
      </w:r>
      <w:r w:rsidR="004C2433">
        <w:t>i</w:t>
      </w:r>
      <w:r w:rsidRPr="00631410">
        <w:t>ntersex people</w:t>
      </w:r>
    </w:p>
    <w:p w14:paraId="25770230" w14:textId="77777777" w:rsidR="00631410" w:rsidRDefault="00631410" w:rsidP="00631410">
      <w:pPr>
        <w:pStyle w:val="berschrift2"/>
      </w:pPr>
      <w:r w:rsidRPr="001C1CB2">
        <w:t>UN</w:t>
      </w:r>
      <w:r>
        <w:t xml:space="preserve"> regarding Switzerland</w:t>
      </w:r>
    </w:p>
    <w:p w14:paraId="619BB5EA" w14:textId="77777777" w:rsidR="00631410" w:rsidRDefault="00631410" w:rsidP="00631410">
      <w:r w:rsidRPr="00B114E5">
        <w:t xml:space="preserve">2015: </w:t>
      </w:r>
      <w:hyperlink r:id="rId11" w:history="1">
        <w:r w:rsidRPr="001C1CB2">
          <w:rPr>
            <w:rStyle w:val="Hyperlink"/>
          </w:rPr>
          <w:t>CAT/C/CHE/CO/7</w:t>
        </w:r>
      </w:hyperlink>
      <w:r w:rsidRPr="00B114E5">
        <w:t xml:space="preserve">, </w:t>
      </w:r>
      <w:r>
        <w:t>para.</w:t>
      </w:r>
      <w:r w:rsidRPr="00ED72AF">
        <w:t>20</w:t>
      </w:r>
      <w:r>
        <w:t>(</w:t>
      </w:r>
      <w:r w:rsidRPr="00ED72AF">
        <w:t>a-c</w:t>
      </w:r>
      <w:r>
        <w:t>)</w:t>
      </w:r>
      <w:r w:rsidRPr="00B114E5">
        <w:t xml:space="preserve">; </w:t>
      </w:r>
      <w:hyperlink r:id="rId12" w:history="1">
        <w:r w:rsidRPr="001C1CB2">
          <w:rPr>
            <w:rStyle w:val="Hyperlink"/>
          </w:rPr>
          <w:t>CRC/C/CHE/CO/2-4</w:t>
        </w:r>
      </w:hyperlink>
      <w:r w:rsidRPr="00B114E5">
        <w:t xml:space="preserve">, </w:t>
      </w:r>
      <w:r>
        <w:t>para.</w:t>
      </w:r>
      <w:r w:rsidRPr="00ED72AF">
        <w:t>43</w:t>
      </w:r>
      <w:r>
        <w:t>(</w:t>
      </w:r>
      <w:r w:rsidRPr="00ED72AF">
        <w:t>b</w:t>
      </w:r>
      <w:r>
        <w:t>)</w:t>
      </w:r>
    </w:p>
    <w:p w14:paraId="2D9EC0FA" w14:textId="77777777" w:rsidR="00631410" w:rsidRDefault="00631410" w:rsidP="00631410">
      <w:r w:rsidRPr="00B114E5">
        <w:t xml:space="preserve">2016: </w:t>
      </w:r>
      <w:hyperlink r:id="rId13" w:history="1">
        <w:r w:rsidRPr="001C1CB2">
          <w:rPr>
            <w:rStyle w:val="Hyperlink"/>
          </w:rPr>
          <w:t>CEDAW/C/CHE/CO/4-5</w:t>
        </w:r>
      </w:hyperlink>
      <w:r w:rsidRPr="00B114E5">
        <w:t xml:space="preserve">, </w:t>
      </w:r>
      <w:r>
        <w:t>para.</w:t>
      </w:r>
      <w:r w:rsidRPr="00ED72AF">
        <w:t>25</w:t>
      </w:r>
      <w:r>
        <w:t>(a</w:t>
      </w:r>
      <w:r w:rsidRPr="00ED72AF">
        <w:t>-e</w:t>
      </w:r>
      <w:r>
        <w:t>)</w:t>
      </w:r>
    </w:p>
    <w:p w14:paraId="3E5E1109" w14:textId="77777777" w:rsidR="00631410" w:rsidRDefault="00631410" w:rsidP="00631410">
      <w:r w:rsidRPr="00B114E5">
        <w:t xml:space="preserve">2017: </w:t>
      </w:r>
      <w:hyperlink r:id="rId14" w:history="1">
        <w:r w:rsidRPr="001C1CB2">
          <w:rPr>
            <w:rStyle w:val="Hyperlink"/>
          </w:rPr>
          <w:t>CCPR/C/CHE/CO/4</w:t>
        </w:r>
      </w:hyperlink>
      <w:r w:rsidRPr="00B114E5">
        <w:t xml:space="preserve">, </w:t>
      </w:r>
      <w:r>
        <w:t>para.</w:t>
      </w:r>
      <w:r w:rsidRPr="00ED72AF">
        <w:t>25</w:t>
      </w:r>
      <w:r>
        <w:t>(a-c)</w:t>
      </w:r>
    </w:p>
    <w:p w14:paraId="39C0546C" w14:textId="77777777" w:rsidR="00631410" w:rsidRDefault="00631410" w:rsidP="00631410">
      <w:r w:rsidRPr="00931C03">
        <w:rPr>
          <w:b/>
        </w:rPr>
        <w:t xml:space="preserve">2021: </w:t>
      </w:r>
      <w:hyperlink r:id="rId15" w:history="1">
        <w:r w:rsidRPr="001C1CB2">
          <w:rPr>
            <w:rStyle w:val="Hyperlink"/>
            <w:b/>
          </w:rPr>
          <w:t>CRC/C/CHE/CO/5-6</w:t>
        </w:r>
      </w:hyperlink>
      <w:r w:rsidRPr="00931C03">
        <w:rPr>
          <w:b/>
        </w:rPr>
        <w:t xml:space="preserve">, </w:t>
      </w:r>
      <w:r>
        <w:t>para</w:t>
      </w:r>
      <w:r w:rsidRPr="000D1147">
        <w:t>.29(</w:t>
      </w:r>
      <w:r>
        <w:t>a-d):</w:t>
      </w:r>
      <w:r w:rsidRPr="00ED0AB9">
        <w:t xml:space="preserve"> recommending a prohibition of </w:t>
      </w:r>
      <w:r>
        <w:t>t</w:t>
      </w:r>
      <w:r w:rsidRPr="00ED0AB9">
        <w:t>he performance of medical or surgical treatment on</w:t>
      </w:r>
      <w:r>
        <w:t xml:space="preserve"> </w:t>
      </w:r>
      <w:r w:rsidRPr="00ED0AB9">
        <w:t>intersex children where those procedures may be safely deferred until children are able</w:t>
      </w:r>
      <w:r>
        <w:t xml:space="preserve"> </w:t>
      </w:r>
      <w:r w:rsidRPr="00ED0AB9">
        <w:t>to provide their informed consent</w:t>
      </w:r>
      <w:r>
        <w:t xml:space="preserve">; </w:t>
      </w:r>
      <w:bookmarkStart w:id="12" w:name="_Hlk108382104"/>
      <w:r>
        <w:t>para</w:t>
      </w:r>
      <w:r w:rsidRPr="000D1147">
        <w:t>.39</w:t>
      </w:r>
      <w:r>
        <w:t xml:space="preserve">(d): </w:t>
      </w:r>
      <w:r w:rsidRPr="000D1147">
        <w:t>adequate counselling, support</w:t>
      </w:r>
      <w:r>
        <w:t>; para.</w:t>
      </w:r>
      <w:r w:rsidRPr="000D1147">
        <w:t>15(a)</w:t>
      </w:r>
      <w:bookmarkEnd w:id="12"/>
      <w:r>
        <w:t xml:space="preserve">: </w:t>
      </w:r>
      <w:r w:rsidRPr="000D1147">
        <w:t>cooperation with children’s organization</w:t>
      </w:r>
      <w:r>
        <w:t>s</w:t>
      </w:r>
      <w:r w:rsidRPr="000D1147">
        <w:t xml:space="preserve"> as InterAction </w:t>
      </w:r>
      <w:r w:rsidRPr="00E06673">
        <w:t>in the formulation, implementation and monitoring of public policies and programmes concerning their rights</w:t>
      </w:r>
    </w:p>
    <w:p w14:paraId="22737805" w14:textId="77777777" w:rsidR="00631410" w:rsidRDefault="00631410" w:rsidP="00631410">
      <w:pPr>
        <w:pStyle w:val="berschrift2"/>
      </w:pPr>
      <w:r w:rsidRPr="00982DDD">
        <w:t>European Commission against Racism and</w:t>
      </w:r>
      <w:r>
        <w:t xml:space="preserve"> </w:t>
      </w:r>
      <w:r w:rsidRPr="00982DDD">
        <w:t>Intolerance (ECRI)</w:t>
      </w:r>
    </w:p>
    <w:p w14:paraId="42D027EA" w14:textId="77777777" w:rsidR="00631410" w:rsidRPr="00982DDD" w:rsidRDefault="00631410" w:rsidP="00631410">
      <w:r w:rsidRPr="001C1CB2">
        <w:t xml:space="preserve">2019: </w:t>
      </w:r>
      <w:hyperlink r:id="rId16" w:history="1">
        <w:r w:rsidRPr="002262FB">
          <w:rPr>
            <w:rStyle w:val="Hyperlink"/>
            <w:rFonts w:eastAsia="Times New Roman"/>
          </w:rPr>
          <w:t>ECRI REPORT ON SWITZERLAND</w:t>
        </w:r>
      </w:hyperlink>
      <w:r w:rsidRPr="001C1CB2">
        <w:t xml:space="preserve"> (sixth monitoring cycle), Adopted on 10 December 2019</w:t>
      </w:r>
      <w:r>
        <w:t xml:space="preserve">, </w:t>
      </w:r>
      <w:r>
        <w:br/>
        <w:t xml:space="preserve">recommendation no. </w:t>
      </w:r>
      <w:r w:rsidRPr="001C1CB2">
        <w:t>5.</w:t>
      </w:r>
      <w:r w:rsidRPr="00982DDD">
        <w:t xml:space="preserve"> (§ 23): recommending a prohibition of </w:t>
      </w:r>
      <w:r w:rsidRPr="0092393B">
        <w:t>sex-“</w:t>
      </w:r>
      <w:proofErr w:type="spellStart"/>
      <w:r w:rsidRPr="0092393B">
        <w:t>normalising</w:t>
      </w:r>
      <w:proofErr w:type="spellEnd"/>
      <w:r w:rsidRPr="0092393B">
        <w:t>”</w:t>
      </w:r>
      <w:r>
        <w:t xml:space="preserve"> </w:t>
      </w:r>
      <w:r w:rsidRPr="0092393B">
        <w:t xml:space="preserve">surgery and other treatments are prohibited until such time as the child </w:t>
      </w:r>
      <w:proofErr w:type="gramStart"/>
      <w:r w:rsidRPr="0092393B">
        <w:t>is able to</w:t>
      </w:r>
      <w:proofErr w:type="gramEnd"/>
      <w:r>
        <w:t xml:space="preserve"> </w:t>
      </w:r>
      <w:r w:rsidRPr="0092393B">
        <w:t>participate in the decision, based on the right to self-determination and on the</w:t>
      </w:r>
      <w:r>
        <w:t xml:space="preserve"> </w:t>
      </w:r>
      <w:r w:rsidRPr="0092393B">
        <w:t>principle of free and informed consent</w:t>
      </w:r>
      <w:r>
        <w:t>.</w:t>
      </w:r>
    </w:p>
    <w:p w14:paraId="46981C84" w14:textId="77777777" w:rsidR="00631410" w:rsidRPr="00ED0AB9" w:rsidRDefault="00631410" w:rsidP="00BA4024">
      <w:pPr>
        <w:pStyle w:val="berschrift2"/>
      </w:pPr>
      <w:r w:rsidRPr="00ED0AB9">
        <w:t>Reports</w:t>
      </w:r>
    </w:p>
    <w:p w14:paraId="548ACBFE" w14:textId="77777777" w:rsidR="00631410" w:rsidRPr="00DB4563" w:rsidRDefault="00631410">
      <w:pPr>
        <w:pStyle w:val="Listenabsatz"/>
        <w:numPr>
          <w:ilvl w:val="0"/>
          <w:numId w:val="6"/>
        </w:numPr>
        <w:pBdr>
          <w:top w:val="nil"/>
          <w:left w:val="nil"/>
          <w:bottom w:val="nil"/>
          <w:right w:val="nil"/>
          <w:between w:val="nil"/>
        </w:pBdr>
        <w:spacing w:before="0" w:after="0" w:line="264" w:lineRule="auto"/>
      </w:pPr>
      <w:r w:rsidRPr="008A2A81">
        <w:rPr>
          <w:b/>
          <w:bCs/>
        </w:rPr>
        <w:t>Australian Human Rights Commission</w:t>
      </w:r>
      <w:r w:rsidRPr="00DB4563">
        <w:t xml:space="preserve"> (AHRC), Ensuring health and bodily integrity: towards a human rights approach for people born with variations in sex characteristics, October 2021</w:t>
      </w:r>
      <w:r>
        <w:t>.</w:t>
      </w:r>
    </w:p>
    <w:p w14:paraId="6BC0B985" w14:textId="77777777" w:rsidR="00631410" w:rsidRDefault="00631410">
      <w:pPr>
        <w:pStyle w:val="Listenabsatz"/>
        <w:numPr>
          <w:ilvl w:val="0"/>
          <w:numId w:val="6"/>
        </w:numPr>
        <w:pBdr>
          <w:top w:val="nil"/>
          <w:left w:val="nil"/>
          <w:bottom w:val="nil"/>
          <w:right w:val="nil"/>
          <w:between w:val="nil"/>
        </w:pBdr>
        <w:spacing w:before="0" w:after="0" w:line="264" w:lineRule="auto"/>
      </w:pPr>
      <w:r w:rsidRPr="00DB4563">
        <w:t>Committee on the Elimination of Discrimination against Women, and Committee on the Rights of the Child, Joint General Recommendation No. 31 of the Committee on the Elimination of Discrimination against Women/General Comment No. 18 of the Committee on the Rights of the Child on Harmful Practices, 2014</w:t>
      </w:r>
      <w:r>
        <w:t>.</w:t>
      </w:r>
    </w:p>
    <w:p w14:paraId="5B9A12E2" w14:textId="23892BD5" w:rsidR="00631410" w:rsidRDefault="00631410">
      <w:pPr>
        <w:pStyle w:val="Listenabsatz"/>
        <w:numPr>
          <w:ilvl w:val="0"/>
          <w:numId w:val="6"/>
        </w:numPr>
        <w:pBdr>
          <w:top w:val="nil"/>
          <w:left w:val="nil"/>
          <w:bottom w:val="nil"/>
          <w:right w:val="nil"/>
          <w:between w:val="nil"/>
        </w:pBdr>
        <w:spacing w:before="0" w:after="0" w:line="264" w:lineRule="auto"/>
      </w:pPr>
      <w:r w:rsidRPr="00ED4110">
        <w:t>Council of Europe, Office</w:t>
      </w:r>
      <w:r w:rsidRPr="00DB4563">
        <w:t xml:space="preserve"> of the Commissioner for Human Rights: Office of the High Commissioner for Human Rights/African Commission on Human and Peoples’ Rights/Council of Europe/Office of the Commissioner for Human Rights/Inter-American Commission on Human Rights/Special Rapporteur on torture and other cruel, inhuman, or degrading treatment or punishment/Special Rapporteur on the right of everyone to the enjoyment of the highest attainable standard of physical and mental health/Special Rapporteur on violence against women, its causes and consequences/Special Representative of the UN Secretary-General on Violence against Children, Intersex Awareness Day – Wednesday 26 October, </w:t>
      </w:r>
      <w:r w:rsidRPr="0027485E">
        <w:t>Public statement of UN and regional human rights experts, “End Violence and Harmful Medical Practices on</w:t>
      </w:r>
      <w:r>
        <w:t xml:space="preserve"> </w:t>
      </w:r>
      <w:r w:rsidRPr="0027485E">
        <w:t>Intersex Children and Adults</w:t>
      </w:r>
      <w:r w:rsidRPr="00DB4563">
        <w:t>, 2016</w:t>
      </w:r>
      <w:r>
        <w:t>; also</w:t>
      </w:r>
      <w:r w:rsidRPr="00DB4563">
        <w:t xml:space="preserve"> Background Note on Human Rights Violations against Intersex People</w:t>
      </w:r>
      <w:r w:rsidR="00FA0D37">
        <w:t>:</w:t>
      </w:r>
      <w:r w:rsidRPr="00DB4563">
        <w:t xml:space="preserve"> </w:t>
      </w:r>
      <w:r w:rsidRPr="0027485E">
        <w:t>https://www.ohchr.org/sites/default/files/BackgroundNoteHumanRightsViolationsagainstIntersexPeople.pdf</w:t>
      </w:r>
      <w:r w:rsidRPr="00DB4563">
        <w:t>,</w:t>
      </w:r>
      <w:r>
        <w:t xml:space="preserve"> </w:t>
      </w:r>
      <w:r w:rsidRPr="00DB4563">
        <w:t xml:space="preserve"> October 2019 (</w:t>
      </w:r>
      <w:r>
        <w:t>last visited</w:t>
      </w:r>
      <w:r w:rsidRPr="00DB4563">
        <w:t xml:space="preserve"> </w:t>
      </w:r>
      <w:r>
        <w:t>July 2022</w:t>
      </w:r>
      <w:r w:rsidRPr="00DB4563">
        <w:t>)</w:t>
      </w:r>
      <w:r>
        <w:t>.</w:t>
      </w:r>
    </w:p>
    <w:p w14:paraId="40D353C6" w14:textId="77777777" w:rsidR="00631410" w:rsidRDefault="00631410" w:rsidP="00631410">
      <w:pPr>
        <w:spacing w:line="240" w:lineRule="auto"/>
      </w:pPr>
      <w:r>
        <w:br w:type="page"/>
      </w:r>
    </w:p>
    <w:p w14:paraId="0641AD72" w14:textId="77777777" w:rsidR="00631410" w:rsidRPr="00DB4563" w:rsidRDefault="00631410">
      <w:pPr>
        <w:pStyle w:val="Listenabsatz"/>
        <w:numPr>
          <w:ilvl w:val="0"/>
          <w:numId w:val="6"/>
        </w:numPr>
        <w:pBdr>
          <w:top w:val="nil"/>
          <w:left w:val="nil"/>
          <w:bottom w:val="nil"/>
          <w:right w:val="nil"/>
          <w:between w:val="nil"/>
        </w:pBdr>
        <w:spacing w:before="0" w:after="0" w:line="264" w:lineRule="auto"/>
      </w:pPr>
      <w:r w:rsidRPr="00DB4563">
        <w:lastRenderedPageBreak/>
        <w:t>Council of Europe, GREVIO, Explanatory Report to the Council of Europe Convention on preventing and combating violence against women and domestic violence, Istanbul, 11.V.2011</w:t>
      </w:r>
      <w:r>
        <w:t>.</w:t>
      </w:r>
    </w:p>
    <w:p w14:paraId="20A7B214" w14:textId="77777777" w:rsidR="00631410" w:rsidRDefault="00631410">
      <w:pPr>
        <w:pStyle w:val="Listenabsatz"/>
        <w:numPr>
          <w:ilvl w:val="0"/>
          <w:numId w:val="6"/>
        </w:numPr>
        <w:pBdr>
          <w:top w:val="nil"/>
          <w:left w:val="nil"/>
          <w:bottom w:val="nil"/>
          <w:right w:val="nil"/>
          <w:between w:val="nil"/>
        </w:pBdr>
        <w:spacing w:before="0" w:after="0" w:line="264" w:lineRule="auto"/>
      </w:pPr>
      <w:r w:rsidRPr="00DB4563">
        <w:t>Council of Europe, Parliamentary Assembly, Promoting the human rights of and eliminating discrimination against intersex people, Resolution 2191 (2017), 12/10/2017</w:t>
      </w:r>
      <w:r>
        <w:t>.</w:t>
      </w:r>
    </w:p>
    <w:p w14:paraId="5C675D90" w14:textId="77777777" w:rsidR="00631410" w:rsidRPr="00DB4563" w:rsidRDefault="00631410">
      <w:pPr>
        <w:pStyle w:val="Listenabsatz"/>
        <w:numPr>
          <w:ilvl w:val="0"/>
          <w:numId w:val="6"/>
        </w:numPr>
        <w:pBdr>
          <w:top w:val="nil"/>
          <w:left w:val="nil"/>
          <w:bottom w:val="nil"/>
          <w:right w:val="nil"/>
          <w:between w:val="nil"/>
        </w:pBdr>
        <w:spacing w:before="0" w:after="0" w:line="264" w:lineRule="auto"/>
      </w:pPr>
      <w:r w:rsidRPr="00DB4563">
        <w:t xml:space="preserve">Council of Europe, Commissioner for Human Rights, Human </w:t>
      </w:r>
      <w:proofErr w:type="gramStart"/>
      <w:r w:rsidRPr="00DB4563">
        <w:t>rights</w:t>
      </w:r>
      <w:proofErr w:type="gramEnd"/>
      <w:r w:rsidRPr="00DB4563">
        <w:t xml:space="preserve"> and intersex people, 2015</w:t>
      </w:r>
      <w:r>
        <w:t>.</w:t>
      </w:r>
    </w:p>
    <w:p w14:paraId="047D5547" w14:textId="77777777" w:rsidR="00631410" w:rsidRPr="00DB4563" w:rsidRDefault="00631410">
      <w:pPr>
        <w:pStyle w:val="Listenabsatz"/>
        <w:numPr>
          <w:ilvl w:val="0"/>
          <w:numId w:val="6"/>
        </w:numPr>
        <w:pBdr>
          <w:top w:val="nil"/>
          <w:left w:val="nil"/>
          <w:bottom w:val="nil"/>
          <w:right w:val="nil"/>
          <w:between w:val="nil"/>
        </w:pBdr>
        <w:spacing w:before="0" w:after="0" w:line="264" w:lineRule="auto"/>
      </w:pPr>
      <w:r w:rsidRPr="00DB4563">
        <w:t>Council of Europe, Parliamentary Assembly, Children’s Right to physical integrity, Resolution 1952 (2013), 01/10/2013</w:t>
      </w:r>
      <w:r>
        <w:t>.</w:t>
      </w:r>
    </w:p>
    <w:p w14:paraId="573D30DA" w14:textId="77777777" w:rsidR="00631410" w:rsidRPr="00DB4563" w:rsidRDefault="00631410">
      <w:pPr>
        <w:pStyle w:val="Listenabsatz"/>
        <w:numPr>
          <w:ilvl w:val="0"/>
          <w:numId w:val="6"/>
        </w:numPr>
        <w:pBdr>
          <w:top w:val="nil"/>
          <w:left w:val="nil"/>
          <w:bottom w:val="nil"/>
          <w:right w:val="nil"/>
          <w:between w:val="nil"/>
        </w:pBdr>
        <w:spacing w:before="0" w:after="0" w:line="264" w:lineRule="auto"/>
      </w:pPr>
      <w:r w:rsidRPr="00DB4563">
        <w:t xml:space="preserve">Council of Europe, Commissioner for Human Rights, Issue paper on human rights and gender identity, </w:t>
      </w:r>
      <w:proofErr w:type="spellStart"/>
      <w:r w:rsidRPr="00DB4563">
        <w:t>CommDH</w:t>
      </w:r>
      <w:proofErr w:type="spellEnd"/>
      <w:r w:rsidRPr="00DB4563">
        <w:t>/</w:t>
      </w:r>
      <w:proofErr w:type="spellStart"/>
      <w:r w:rsidRPr="00DB4563">
        <w:t>IssuePaper</w:t>
      </w:r>
      <w:proofErr w:type="spellEnd"/>
      <w:r w:rsidRPr="00DB4563">
        <w:t>(2009)2, July 2009</w:t>
      </w:r>
      <w:r>
        <w:t>.</w:t>
      </w:r>
    </w:p>
    <w:p w14:paraId="6187ED8A" w14:textId="77777777" w:rsidR="00631410" w:rsidRPr="00DB4563" w:rsidRDefault="00631410">
      <w:pPr>
        <w:pStyle w:val="Listenabsatz"/>
        <w:numPr>
          <w:ilvl w:val="0"/>
          <w:numId w:val="6"/>
        </w:numPr>
        <w:pBdr>
          <w:top w:val="nil"/>
          <w:left w:val="nil"/>
          <w:bottom w:val="nil"/>
          <w:right w:val="nil"/>
          <w:between w:val="nil"/>
        </w:pBdr>
        <w:spacing w:before="0" w:after="0" w:line="264" w:lineRule="auto"/>
      </w:pPr>
      <w:r w:rsidRPr="00DB4563">
        <w:t xml:space="preserve">Council of Europe, Explanatory Report to the Convention for the Protection of Human Rights and Dignity of the Human Being </w:t>
      </w:r>
      <w:proofErr w:type="gramStart"/>
      <w:r w:rsidRPr="00DB4563">
        <w:t>with Regard to</w:t>
      </w:r>
      <w:proofErr w:type="gramEnd"/>
      <w:r w:rsidRPr="00DB4563">
        <w:t xml:space="preserve"> the Application of Biology and Medicine (CETS 164),</w:t>
      </w:r>
      <w:r>
        <w:t xml:space="preserve"> </w:t>
      </w:r>
      <w:r w:rsidRPr="002B6A8E">
        <w:t>1997</w:t>
      </w:r>
      <w:r>
        <w:t>:</w:t>
      </w:r>
      <w:r w:rsidRPr="00DB4563">
        <w:t xml:space="preserve"> Art. 8 (Emergency situations), N 56</w:t>
      </w:r>
      <w:r>
        <w:t>-</w:t>
      </w:r>
      <w:r w:rsidRPr="00DB4563">
        <w:t>59.</w:t>
      </w:r>
    </w:p>
    <w:p w14:paraId="36B0B8E0" w14:textId="77777777" w:rsidR="00631410" w:rsidRPr="00496313" w:rsidRDefault="00631410">
      <w:pPr>
        <w:pStyle w:val="Listenabsatz"/>
        <w:numPr>
          <w:ilvl w:val="0"/>
          <w:numId w:val="6"/>
        </w:numPr>
        <w:pBdr>
          <w:top w:val="nil"/>
          <w:left w:val="nil"/>
          <w:bottom w:val="nil"/>
          <w:right w:val="nil"/>
          <w:between w:val="nil"/>
        </w:pBdr>
        <w:spacing w:before="0" w:after="0" w:line="264" w:lineRule="auto"/>
        <w:rPr>
          <w:rFonts w:eastAsiaTheme="minorHAnsi" w:cs="Calibri"/>
          <w:bCs/>
        </w:rPr>
      </w:pPr>
      <w:bookmarkStart w:id="13" w:name="_Hlk92295384"/>
      <w:r w:rsidRPr="002300C3">
        <w:rPr>
          <w:b/>
          <w:bCs/>
        </w:rPr>
        <w:t>European Commission</w:t>
      </w:r>
      <w:r w:rsidRPr="00496313">
        <w:t>, Communication from the Commission to the European Parliament, the Council, the European Economic and Social Committee and the Committee of the Regions Empty - EU strategy on the rights of the child, Brussels</w:t>
      </w:r>
      <w:r>
        <w:t xml:space="preserve"> </w:t>
      </w:r>
      <w:r w:rsidRPr="00496313">
        <w:t>2021, COM(2021) 142 final.</w:t>
      </w:r>
    </w:p>
    <w:p w14:paraId="34B138E0" w14:textId="77777777" w:rsidR="00631410" w:rsidRPr="00496313" w:rsidRDefault="00631410">
      <w:pPr>
        <w:pStyle w:val="Listenabsatz"/>
        <w:numPr>
          <w:ilvl w:val="0"/>
          <w:numId w:val="6"/>
        </w:numPr>
        <w:pBdr>
          <w:top w:val="nil"/>
          <w:left w:val="nil"/>
          <w:bottom w:val="nil"/>
          <w:right w:val="nil"/>
          <w:between w:val="nil"/>
        </w:pBdr>
        <w:spacing w:before="0" w:after="0" w:line="264" w:lineRule="auto"/>
      </w:pPr>
      <w:r w:rsidRPr="00496313">
        <w:t>European Commission, Communication from the Commission to the European Parliament, the Council, the European Economic and Social Committee and the Committee of the Regions - Union of Equality: LGBTIQ Equality Strategy 2020-2025, Brussels 2020, COM(2020) 698 final</w:t>
      </w:r>
      <w:r>
        <w:t>.</w:t>
      </w:r>
    </w:p>
    <w:p w14:paraId="0DDFB881" w14:textId="77777777" w:rsidR="00631410" w:rsidRPr="00DB4563" w:rsidRDefault="00631410">
      <w:pPr>
        <w:pStyle w:val="Listenabsatz"/>
        <w:numPr>
          <w:ilvl w:val="0"/>
          <w:numId w:val="6"/>
        </w:numPr>
        <w:pBdr>
          <w:top w:val="nil"/>
          <w:left w:val="nil"/>
          <w:bottom w:val="nil"/>
          <w:right w:val="nil"/>
          <w:between w:val="nil"/>
        </w:pBdr>
        <w:spacing w:before="0" w:after="0" w:line="264" w:lineRule="auto"/>
      </w:pPr>
      <w:r w:rsidRPr="002300C3">
        <w:rPr>
          <w:b/>
          <w:bCs/>
        </w:rPr>
        <w:t>European Union</w:t>
      </w:r>
      <w:r w:rsidRPr="00DB4563">
        <w:t xml:space="preserve">, Agency for Fundamental Rights. A long way to go for LGBTI equality, </w:t>
      </w:r>
      <w:r>
        <w:t>Vienna</w:t>
      </w:r>
      <w:r w:rsidRPr="00DB4563">
        <w:t xml:space="preserve"> 2020</w:t>
      </w:r>
      <w:bookmarkEnd w:id="13"/>
      <w:r>
        <w:t>.</w:t>
      </w:r>
    </w:p>
    <w:p w14:paraId="5AB5D925" w14:textId="77777777" w:rsidR="00631410" w:rsidRPr="00DB4563" w:rsidRDefault="00631410">
      <w:pPr>
        <w:pStyle w:val="Listenabsatz"/>
        <w:numPr>
          <w:ilvl w:val="0"/>
          <w:numId w:val="6"/>
        </w:numPr>
        <w:pBdr>
          <w:top w:val="nil"/>
          <w:left w:val="nil"/>
          <w:bottom w:val="nil"/>
          <w:right w:val="nil"/>
          <w:between w:val="nil"/>
        </w:pBdr>
        <w:spacing w:before="0" w:after="0" w:line="264" w:lineRule="auto"/>
      </w:pPr>
      <w:r w:rsidRPr="00DB4563">
        <w:t>European Union, Agency for Fundamental Rights, FRA Focus Paper, The Fundamental Rights Situation of Intersex People, Vienna 2015</w:t>
      </w:r>
      <w:r>
        <w:t>.</w:t>
      </w:r>
    </w:p>
    <w:p w14:paraId="0D5847B2" w14:textId="77777777" w:rsidR="00631410" w:rsidRDefault="00631410">
      <w:pPr>
        <w:pStyle w:val="Listenabsatz"/>
        <w:numPr>
          <w:ilvl w:val="0"/>
          <w:numId w:val="6"/>
        </w:numPr>
        <w:pBdr>
          <w:top w:val="nil"/>
          <w:left w:val="nil"/>
          <w:bottom w:val="nil"/>
          <w:right w:val="nil"/>
          <w:between w:val="nil"/>
        </w:pBdr>
        <w:spacing w:before="0" w:after="0" w:line="264" w:lineRule="auto"/>
      </w:pPr>
      <w:r w:rsidRPr="00DB4563">
        <w:t xml:space="preserve">European Parliament </w:t>
      </w:r>
      <w:r>
        <w:t>R</w:t>
      </w:r>
      <w:r w:rsidRPr="00DB4563">
        <w:t>esolution of 14 February 2019 on the rights of intersex people (2018/2878(RSP))</w:t>
      </w:r>
      <w:r>
        <w:t>.</w:t>
      </w:r>
    </w:p>
    <w:p w14:paraId="0EC336AF" w14:textId="77777777" w:rsidR="00631410" w:rsidRPr="00DB4563" w:rsidRDefault="00631410">
      <w:pPr>
        <w:pStyle w:val="Listenabsatz"/>
        <w:numPr>
          <w:ilvl w:val="0"/>
          <w:numId w:val="6"/>
        </w:numPr>
        <w:pBdr>
          <w:top w:val="nil"/>
          <w:left w:val="nil"/>
          <w:bottom w:val="nil"/>
          <w:right w:val="nil"/>
          <w:between w:val="nil"/>
        </w:pBdr>
        <w:spacing w:before="0" w:after="0" w:line="264" w:lineRule="auto"/>
      </w:pPr>
      <w:r w:rsidRPr="00DB4563">
        <w:t xml:space="preserve">European Union, Agency for Fundamental Rights (FRA), Homophobia and Discrimination on Grounds of Sexual Orientation and Gender Identity in the EU Member States: Part II: The Social Situation, </w:t>
      </w:r>
      <w:r>
        <w:t xml:space="preserve">Vienna </w:t>
      </w:r>
      <w:r w:rsidRPr="00DB4563">
        <w:t>2009</w:t>
      </w:r>
      <w:r>
        <w:t>.</w:t>
      </w:r>
    </w:p>
    <w:p w14:paraId="721581D5" w14:textId="77777777" w:rsidR="00631410" w:rsidRPr="00DB4563" w:rsidRDefault="00631410">
      <w:pPr>
        <w:pStyle w:val="Listenabsatz"/>
        <w:numPr>
          <w:ilvl w:val="0"/>
          <w:numId w:val="6"/>
        </w:numPr>
        <w:pBdr>
          <w:top w:val="nil"/>
          <w:left w:val="nil"/>
          <w:bottom w:val="nil"/>
          <w:right w:val="nil"/>
          <w:between w:val="nil"/>
        </w:pBdr>
        <w:spacing w:before="0" w:after="0" w:line="264" w:lineRule="auto"/>
      </w:pPr>
      <w:r w:rsidRPr="004514DC">
        <w:rPr>
          <w:b/>
          <w:bCs/>
        </w:rPr>
        <w:t>Human Rights Commission, City &amp; county of San Francisco</w:t>
      </w:r>
      <w:r w:rsidRPr="00DB4563">
        <w:t>, Marcus de María Arana, A Human Rights Investigation into the medical “Normalization” of Intersex People. A Report of a Public Hearing, April 28, 2005: www.sf-hrc.org &gt; Publications &gt; Reports, Research &amp; Investigations</w:t>
      </w:r>
      <w:r>
        <w:t xml:space="preserve"> (last visited July 2022), San Francisco 2005.</w:t>
      </w:r>
    </w:p>
    <w:p w14:paraId="3E22B34D" w14:textId="77777777" w:rsidR="00631410" w:rsidRPr="00DB4563" w:rsidRDefault="00631410">
      <w:pPr>
        <w:pStyle w:val="Listenabsatz"/>
        <w:numPr>
          <w:ilvl w:val="0"/>
          <w:numId w:val="6"/>
        </w:numPr>
        <w:pBdr>
          <w:top w:val="nil"/>
          <w:left w:val="nil"/>
          <w:bottom w:val="nil"/>
          <w:right w:val="nil"/>
          <w:between w:val="nil"/>
        </w:pBdr>
        <w:spacing w:before="0" w:after="0" w:line="264" w:lineRule="auto"/>
      </w:pPr>
      <w:r w:rsidRPr="002300C3">
        <w:rPr>
          <w:b/>
          <w:bCs/>
        </w:rPr>
        <w:t>IACHR/ACHPR/United Nations</w:t>
      </w:r>
      <w:r w:rsidRPr="00DB4563">
        <w:t>, Joint thematic dialogue on sexual orientation, gender identity and intersex related issues between the Inter-American Commission on Human Rights, the African Commission on Human and Peoples’ Rights and United Nations human rights mechanisms - Final report and annexes, Washington DC 2018</w:t>
      </w:r>
      <w:r>
        <w:t>.</w:t>
      </w:r>
    </w:p>
    <w:p w14:paraId="5445729A" w14:textId="77777777" w:rsidR="00631410" w:rsidRDefault="00631410">
      <w:pPr>
        <w:pStyle w:val="Listenabsatz"/>
        <w:numPr>
          <w:ilvl w:val="0"/>
          <w:numId w:val="6"/>
        </w:numPr>
        <w:pBdr>
          <w:top w:val="nil"/>
          <w:left w:val="nil"/>
          <w:bottom w:val="nil"/>
          <w:right w:val="nil"/>
          <w:between w:val="nil"/>
        </w:pBdr>
        <w:spacing w:before="0" w:after="0" w:line="264" w:lineRule="auto"/>
      </w:pPr>
      <w:r w:rsidRPr="002300C3">
        <w:rPr>
          <w:b/>
          <w:bCs/>
        </w:rPr>
        <w:t xml:space="preserve">International Lesbian, Gay, Bisexual, </w:t>
      </w:r>
      <w:proofErr w:type="gramStart"/>
      <w:r w:rsidRPr="002300C3">
        <w:rPr>
          <w:b/>
          <w:bCs/>
        </w:rPr>
        <w:t>Trans</w:t>
      </w:r>
      <w:proofErr w:type="gramEnd"/>
      <w:r w:rsidRPr="002300C3">
        <w:rPr>
          <w:b/>
          <w:bCs/>
        </w:rPr>
        <w:t xml:space="preserve"> and Intersex Association (ILGA) World)</w:t>
      </w:r>
      <w:r w:rsidRPr="00DB4563">
        <w:t xml:space="preserve">, Kseniya </w:t>
      </w:r>
      <w:proofErr w:type="spellStart"/>
      <w:r w:rsidRPr="00DB4563">
        <w:t>Kirichenko</w:t>
      </w:r>
      <w:proofErr w:type="spellEnd"/>
      <w:r w:rsidRPr="00DB4563">
        <w:t>, United Nations Treaty Bodies: References to sexual orientation, gender identity, gender expression and sex characteristics: Annual Report 2019, Geneva 2020</w:t>
      </w:r>
      <w:r>
        <w:t>.</w:t>
      </w:r>
    </w:p>
    <w:p w14:paraId="074A71CA" w14:textId="77777777" w:rsidR="00631410" w:rsidRDefault="00631410">
      <w:pPr>
        <w:pStyle w:val="Listenabsatz"/>
        <w:numPr>
          <w:ilvl w:val="0"/>
          <w:numId w:val="6"/>
        </w:numPr>
        <w:pBdr>
          <w:top w:val="nil"/>
          <w:left w:val="nil"/>
          <w:bottom w:val="nil"/>
          <w:right w:val="nil"/>
          <w:between w:val="nil"/>
        </w:pBdr>
        <w:spacing w:before="0" w:after="0" w:line="264" w:lineRule="auto"/>
      </w:pPr>
      <w:r w:rsidRPr="00DB4563">
        <w:t>Legal Grounds III: Reproductive and Sexual Rights in Sub-Saharan African Courts, Center for Reproductive Rights/International Reproductive and Sexual Health Law Program/Centre for Human Rights (Eds.), New York/Toronto/Pretoria 2017</w:t>
      </w:r>
      <w:r>
        <w:t>.</w:t>
      </w:r>
    </w:p>
    <w:p w14:paraId="4DFBFED1" w14:textId="77777777" w:rsidR="00631410" w:rsidRDefault="00631410" w:rsidP="00631410">
      <w:pPr>
        <w:spacing w:line="240" w:lineRule="auto"/>
      </w:pPr>
      <w:r>
        <w:br w:type="page"/>
      </w:r>
    </w:p>
    <w:p w14:paraId="576B66C0" w14:textId="77777777" w:rsidR="00631410" w:rsidRDefault="00631410" w:rsidP="00631410">
      <w:pPr>
        <w:pStyle w:val="Listenabsatz"/>
        <w:numPr>
          <w:ilvl w:val="0"/>
          <w:numId w:val="0"/>
        </w:numPr>
        <w:ind w:left="720"/>
      </w:pPr>
    </w:p>
    <w:p w14:paraId="4E51B0E3" w14:textId="77777777" w:rsidR="00631410" w:rsidRDefault="00631410">
      <w:pPr>
        <w:pStyle w:val="Listenabsatz"/>
        <w:numPr>
          <w:ilvl w:val="0"/>
          <w:numId w:val="6"/>
        </w:numPr>
        <w:pBdr>
          <w:top w:val="nil"/>
          <w:left w:val="nil"/>
          <w:bottom w:val="nil"/>
          <w:right w:val="nil"/>
          <w:between w:val="nil"/>
        </w:pBdr>
        <w:spacing w:before="0" w:after="0" w:line="264" w:lineRule="auto"/>
      </w:pPr>
      <w:r w:rsidRPr="002300C3">
        <w:rPr>
          <w:b/>
          <w:bCs/>
        </w:rPr>
        <w:t>National Advisory Commission on Biomedical Ethics, NCE</w:t>
      </w:r>
      <w:r w:rsidRPr="004C61D3">
        <w:t xml:space="preserve"> </w:t>
      </w:r>
    </w:p>
    <w:p w14:paraId="2EFBC5D7" w14:textId="42ACE70C" w:rsidR="00631410" w:rsidRPr="004C61D3" w:rsidRDefault="00631410" w:rsidP="00631410">
      <w:pPr>
        <w:pStyle w:val="Listenabsatz"/>
        <w:numPr>
          <w:ilvl w:val="0"/>
          <w:numId w:val="0"/>
        </w:numPr>
        <w:ind w:left="720"/>
      </w:pPr>
      <w:r w:rsidRPr="004C61D3">
        <w:t>www.nek-cne.admin.ch/en/publications/opinions:</w:t>
      </w:r>
    </w:p>
    <w:p w14:paraId="0BE186A0" w14:textId="77777777" w:rsidR="00631410" w:rsidRDefault="00631410">
      <w:pPr>
        <w:pStyle w:val="Listenabsatz"/>
        <w:numPr>
          <w:ilvl w:val="0"/>
          <w:numId w:val="7"/>
        </w:numPr>
        <w:pBdr>
          <w:top w:val="nil"/>
          <w:left w:val="nil"/>
          <w:bottom w:val="nil"/>
          <w:right w:val="nil"/>
          <w:between w:val="nil"/>
        </w:pBdr>
        <w:spacing w:before="0" w:after="0" w:line="264" w:lineRule="auto"/>
        <w:ind w:left="1134"/>
        <w:rPr>
          <w:lang w:val="en-GB"/>
        </w:rPr>
      </w:pPr>
      <w:r w:rsidRPr="005F3C20">
        <w:rPr>
          <w:lang w:val="en-GB"/>
        </w:rPr>
        <w:t>On the management of differences of sex development, no.20/</w:t>
      </w:r>
      <w:r w:rsidRPr="004C61D3">
        <w:rPr>
          <w:lang w:val="en-GB"/>
        </w:rPr>
        <w:t>2012</w:t>
      </w:r>
      <w:r>
        <w:rPr>
          <w:lang w:val="en-GB"/>
        </w:rPr>
        <w:t>, Berne.</w:t>
      </w:r>
    </w:p>
    <w:p w14:paraId="65F66078" w14:textId="77777777" w:rsidR="00631410" w:rsidRPr="007D5A5B" w:rsidRDefault="00631410">
      <w:pPr>
        <w:pStyle w:val="Listenabsatz"/>
        <w:numPr>
          <w:ilvl w:val="0"/>
          <w:numId w:val="7"/>
        </w:numPr>
        <w:pBdr>
          <w:top w:val="nil"/>
          <w:left w:val="nil"/>
          <w:bottom w:val="nil"/>
          <w:right w:val="nil"/>
          <w:between w:val="nil"/>
        </w:pBdr>
        <w:spacing w:before="0" w:after="0" w:line="264" w:lineRule="auto"/>
        <w:ind w:left="1134"/>
        <w:rPr>
          <w:lang w:val="en-GB"/>
        </w:rPr>
      </w:pPr>
      <w:r w:rsidRPr="007D5A5B">
        <w:rPr>
          <w:lang w:val="en-GB"/>
        </w:rPr>
        <w:t>Officially recorded gender. Ethical considerations on the management of the recording of gender in the civil register</w:t>
      </w:r>
      <w:r>
        <w:rPr>
          <w:lang w:val="en-GB"/>
        </w:rPr>
        <w:t>, no. 36/2020, Berne.</w:t>
      </w:r>
    </w:p>
    <w:p w14:paraId="37DFCC36" w14:textId="77777777" w:rsidR="00631410" w:rsidRDefault="00631410">
      <w:pPr>
        <w:pStyle w:val="Listenabsatz"/>
        <w:numPr>
          <w:ilvl w:val="0"/>
          <w:numId w:val="6"/>
        </w:numPr>
        <w:pBdr>
          <w:top w:val="nil"/>
          <w:left w:val="nil"/>
          <w:bottom w:val="nil"/>
          <w:right w:val="nil"/>
          <w:between w:val="nil"/>
        </w:pBdr>
        <w:spacing w:before="0" w:after="0" w:line="264" w:lineRule="auto"/>
      </w:pPr>
      <w:r w:rsidRPr="004C61D3">
        <w:rPr>
          <w:lang w:val="en-GB"/>
        </w:rPr>
        <w:t xml:space="preserve"> </w:t>
      </w:r>
      <w:r w:rsidRPr="004E2E29">
        <w:rPr>
          <w:b/>
          <w:bCs/>
        </w:rPr>
        <w:t>United Nations</w:t>
      </w:r>
      <w:r w:rsidRPr="001404D2">
        <w:t xml:space="preserve">, Human Rights Council, </w:t>
      </w:r>
      <w:proofErr w:type="spellStart"/>
      <w:r w:rsidRPr="001404D2">
        <w:t>Tlaleng</w:t>
      </w:r>
      <w:proofErr w:type="spellEnd"/>
      <w:r w:rsidRPr="001404D2">
        <w:t xml:space="preserve"> Mofokeng, Violence and its impact on the right to health</w:t>
      </w:r>
      <w:r>
        <w:t xml:space="preserve">, </w:t>
      </w:r>
      <w:r w:rsidRPr="001404D2">
        <w:t xml:space="preserve">Report of the Special Rapporteur on the right of everyone to the enjoyment of the highest attainable standard of physical and mental health </w:t>
      </w:r>
      <w:r>
        <w:t>(</w:t>
      </w:r>
      <w:r w:rsidRPr="001404D2">
        <w:t>A/HRC/50/28</w:t>
      </w:r>
      <w:r>
        <w:t>)</w:t>
      </w:r>
      <w:r w:rsidRPr="001404D2">
        <w:t>, 2022</w:t>
      </w:r>
      <w:r>
        <w:t>.</w:t>
      </w:r>
    </w:p>
    <w:p w14:paraId="1FAA0DAF" w14:textId="4C71A6B2" w:rsidR="00631410" w:rsidRPr="003958AB" w:rsidRDefault="00631410">
      <w:pPr>
        <w:pStyle w:val="Listenabsatz"/>
        <w:numPr>
          <w:ilvl w:val="0"/>
          <w:numId w:val="6"/>
        </w:numPr>
        <w:pBdr>
          <w:top w:val="nil"/>
          <w:left w:val="nil"/>
          <w:bottom w:val="nil"/>
          <w:right w:val="nil"/>
          <w:between w:val="nil"/>
        </w:pBdr>
        <w:spacing w:before="0" w:after="0" w:line="264" w:lineRule="auto"/>
        <w:rPr>
          <w:lang w:val="en-GB"/>
        </w:rPr>
      </w:pPr>
      <w:r w:rsidRPr="003958AB">
        <w:rPr>
          <w:lang w:val="en-GB"/>
        </w:rPr>
        <w:t>UN Free &amp; Equal</w:t>
      </w:r>
      <w:r w:rsidR="003958AB" w:rsidRPr="003958AB">
        <w:rPr>
          <w:lang w:val="en-GB"/>
        </w:rPr>
        <w:t xml:space="preserve">: </w:t>
      </w:r>
      <w:r w:rsidRPr="003958AB">
        <w:rPr>
          <w:lang w:val="en-GB"/>
        </w:rPr>
        <w:t>https://www.unfe.org/wp-content/uploads/2018/10/Intersex-English.pdf).</w:t>
      </w:r>
    </w:p>
    <w:p w14:paraId="59DBB2C9" w14:textId="77777777" w:rsidR="00631410" w:rsidRPr="00DB4563" w:rsidRDefault="00631410">
      <w:pPr>
        <w:pStyle w:val="Listenabsatz"/>
        <w:numPr>
          <w:ilvl w:val="0"/>
          <w:numId w:val="6"/>
        </w:numPr>
        <w:pBdr>
          <w:top w:val="nil"/>
          <w:left w:val="nil"/>
          <w:bottom w:val="nil"/>
          <w:right w:val="nil"/>
          <w:between w:val="nil"/>
        </w:pBdr>
        <w:spacing w:before="0" w:after="0" w:line="264" w:lineRule="auto"/>
      </w:pPr>
      <w:r w:rsidRPr="00DB4563">
        <w:t xml:space="preserve">United Nations, Human Rights Council, Juan E. Méndez, Report of the Special Rapporteur on torture and other cruel, </w:t>
      </w:r>
      <w:proofErr w:type="gramStart"/>
      <w:r w:rsidRPr="00DB4563">
        <w:t>inhuman</w:t>
      </w:r>
      <w:proofErr w:type="gramEnd"/>
      <w:r w:rsidRPr="00DB4563">
        <w:t xml:space="preserve"> or degrading treatment or punishment</w:t>
      </w:r>
      <w:r>
        <w:t xml:space="preserve"> (</w:t>
      </w:r>
      <w:r w:rsidRPr="00DB4563">
        <w:t>A/HRC/22/53</w:t>
      </w:r>
      <w:r>
        <w:t>)</w:t>
      </w:r>
      <w:r w:rsidRPr="00DB4563">
        <w:t>,</w:t>
      </w:r>
      <w:r>
        <w:t xml:space="preserve"> </w:t>
      </w:r>
      <w:r w:rsidRPr="00DB4563">
        <w:t>2013</w:t>
      </w:r>
      <w:r>
        <w:t>.</w:t>
      </w:r>
    </w:p>
    <w:p w14:paraId="5C66BC68" w14:textId="77777777" w:rsidR="00631410" w:rsidRPr="00DB4563" w:rsidRDefault="00631410">
      <w:pPr>
        <w:pStyle w:val="Listenabsatz"/>
        <w:numPr>
          <w:ilvl w:val="0"/>
          <w:numId w:val="6"/>
        </w:numPr>
        <w:pBdr>
          <w:top w:val="nil"/>
          <w:left w:val="nil"/>
          <w:bottom w:val="nil"/>
          <w:right w:val="nil"/>
          <w:between w:val="nil"/>
        </w:pBdr>
        <w:spacing w:before="0" w:after="0" w:line="264" w:lineRule="auto"/>
      </w:pPr>
      <w:r w:rsidRPr="00DB4563">
        <w:t>United Nations General Assembly, Grover Anand, Special Rapporteur on the right of everyone to the enjoyment of the highest attainable standard of physical and mental health</w:t>
      </w:r>
      <w:r>
        <w:t xml:space="preserve">, </w:t>
      </w:r>
      <w:proofErr w:type="gramStart"/>
      <w:r w:rsidRPr="00094ED8">
        <w:t>Right</w:t>
      </w:r>
      <w:proofErr w:type="gramEnd"/>
      <w:r w:rsidRPr="00094ED8">
        <w:t xml:space="preserve"> of everyone to the enjoyment of the highest attainable standard of physical and mental health</w:t>
      </w:r>
      <w:r>
        <w:t xml:space="preserve"> (</w:t>
      </w:r>
      <w:r w:rsidRPr="00DB4563">
        <w:t>A/64/272</w:t>
      </w:r>
      <w:r>
        <w:t>)</w:t>
      </w:r>
      <w:r w:rsidRPr="00DB4563">
        <w:t>, 2009</w:t>
      </w:r>
      <w:r>
        <w:t>.</w:t>
      </w:r>
    </w:p>
    <w:p w14:paraId="6C56D77E" w14:textId="77777777" w:rsidR="00631410" w:rsidRPr="00DB4563" w:rsidRDefault="00631410">
      <w:pPr>
        <w:pStyle w:val="Listenabsatz"/>
        <w:numPr>
          <w:ilvl w:val="0"/>
          <w:numId w:val="6"/>
        </w:numPr>
        <w:pBdr>
          <w:top w:val="nil"/>
          <w:left w:val="nil"/>
          <w:bottom w:val="nil"/>
          <w:right w:val="nil"/>
          <w:between w:val="nil"/>
        </w:pBdr>
        <w:spacing w:before="0" w:after="0" w:line="264" w:lineRule="auto"/>
      </w:pPr>
      <w:r w:rsidRPr="00DB4563">
        <w:t>World Health Organization</w:t>
      </w:r>
      <w:r>
        <w:t xml:space="preserve"> (WHO)</w:t>
      </w:r>
      <w:r w:rsidRPr="00DB4563">
        <w:t>, Sexual health, human rights and the law, Geneva 2015</w:t>
      </w:r>
      <w:r>
        <w:t>.</w:t>
      </w:r>
    </w:p>
    <w:p w14:paraId="5A95E453" w14:textId="77777777" w:rsidR="00631410" w:rsidRPr="00DB4563" w:rsidRDefault="00631410">
      <w:pPr>
        <w:pStyle w:val="Listenabsatz"/>
        <w:numPr>
          <w:ilvl w:val="0"/>
          <w:numId w:val="6"/>
        </w:numPr>
        <w:pBdr>
          <w:top w:val="nil"/>
          <w:left w:val="nil"/>
          <w:bottom w:val="nil"/>
          <w:right w:val="nil"/>
          <w:between w:val="nil"/>
        </w:pBdr>
        <w:spacing w:before="0" w:after="0" w:line="264" w:lineRule="auto"/>
      </w:pPr>
      <w:r w:rsidRPr="00DB4563">
        <w:t xml:space="preserve">World Health Organization (WHO), Eliminating forced, </w:t>
      </w:r>
      <w:proofErr w:type="gramStart"/>
      <w:r w:rsidRPr="00DB4563">
        <w:t>coercive</w:t>
      </w:r>
      <w:proofErr w:type="gramEnd"/>
      <w:r w:rsidRPr="00DB4563">
        <w:t xml:space="preserve"> and otherwise involuntary sterilization. An interagency statement, OHCHR, UN Women, UNAIDS, UNDP, UNFPA, UNICEF and WHO, Geneva 2014</w:t>
      </w:r>
      <w:r>
        <w:t>.</w:t>
      </w:r>
    </w:p>
    <w:p w14:paraId="43651F31" w14:textId="77777777" w:rsidR="00631410" w:rsidRDefault="00631410">
      <w:pPr>
        <w:pStyle w:val="Listenabsatz"/>
        <w:numPr>
          <w:ilvl w:val="0"/>
          <w:numId w:val="6"/>
        </w:numPr>
        <w:pBdr>
          <w:top w:val="nil"/>
          <w:left w:val="nil"/>
          <w:bottom w:val="nil"/>
          <w:right w:val="nil"/>
          <w:between w:val="nil"/>
        </w:pBdr>
        <w:spacing w:before="0" w:after="0" w:line="264" w:lineRule="auto"/>
      </w:pPr>
      <w:r w:rsidRPr="00DB4563">
        <w:t>World Health Organization</w:t>
      </w:r>
      <w:r>
        <w:t xml:space="preserve"> (WHO)</w:t>
      </w:r>
      <w:r w:rsidRPr="00DB4563">
        <w:t>, OHCHR, UNAIDS, UNDP, UNECA, UNESCO, UNFPA, UNHCR, UNICEF, UNIFEM, WHO, Eliminating female genital mutilation: an interagency statement, Geneva 2008</w:t>
      </w:r>
      <w:r>
        <w:t>.</w:t>
      </w:r>
    </w:p>
    <w:p w14:paraId="196A68E1" w14:textId="77777777" w:rsidR="00631410" w:rsidRDefault="00631410" w:rsidP="00631410">
      <w:pPr>
        <w:pStyle w:val="Listenabsatz"/>
        <w:numPr>
          <w:ilvl w:val="0"/>
          <w:numId w:val="0"/>
        </w:numPr>
        <w:ind w:left="720"/>
      </w:pPr>
    </w:p>
    <w:p w14:paraId="22463D8E" w14:textId="77777777" w:rsidR="00631410" w:rsidRDefault="00631410" w:rsidP="00BA4024">
      <w:pPr>
        <w:pStyle w:val="berschrift2"/>
      </w:pPr>
      <w:r>
        <w:t>Voices of intersex people</w:t>
      </w:r>
    </w:p>
    <w:p w14:paraId="7BB444CD" w14:textId="77777777" w:rsidR="00631410" w:rsidRDefault="00631410">
      <w:pPr>
        <w:pStyle w:val="Listenabsatz"/>
        <w:numPr>
          <w:ilvl w:val="0"/>
          <w:numId w:val="6"/>
        </w:numPr>
        <w:spacing w:before="0" w:after="0" w:line="264" w:lineRule="auto"/>
      </w:pPr>
      <w:r w:rsidRPr="002300C3">
        <w:rPr>
          <w:b/>
          <w:bCs/>
        </w:rPr>
        <w:t>Voices of intersex people</w:t>
      </w:r>
      <w:r w:rsidRPr="00DB4563">
        <w:t xml:space="preserve"> in Jens M. </w:t>
      </w:r>
      <w:proofErr w:type="spellStart"/>
      <w:r w:rsidRPr="00DB4563">
        <w:t>Scherpe</w:t>
      </w:r>
      <w:proofErr w:type="spellEnd"/>
      <w:r w:rsidRPr="00DB4563">
        <w:t>/Anatol Dutta, Tobias Helms (eds.), The Legal Status of Intersex Persons, Cambridge 2018: Malta Declaration (2013), 7 ff.; Darlington Statement (2017), 11 ff., Vienna Statement (2017), 19 ff.</w:t>
      </w:r>
    </w:p>
    <w:p w14:paraId="4DC072F8" w14:textId="77777777" w:rsidR="00631410" w:rsidRPr="00CA79CF" w:rsidRDefault="00631410" w:rsidP="00631410">
      <w:pPr>
        <w:ind w:left="709"/>
        <w:rPr>
          <w:lang w:val="en-GB"/>
        </w:rPr>
      </w:pPr>
      <w:r w:rsidRPr="00CA79CF">
        <w:rPr>
          <w:lang w:val="en-GB"/>
        </w:rPr>
        <w:t>Malta Declaration, 2013: https://www.oiieurope.org/malta-declaration/ (last visited 2022)</w:t>
      </w:r>
    </w:p>
    <w:p w14:paraId="6B076FBB" w14:textId="77777777" w:rsidR="00631410" w:rsidRPr="00CA79CF" w:rsidRDefault="00631410" w:rsidP="00631410">
      <w:pPr>
        <w:ind w:left="709"/>
        <w:rPr>
          <w:lang w:val="en-GB"/>
        </w:rPr>
      </w:pPr>
      <w:r w:rsidRPr="00CA79CF">
        <w:rPr>
          <w:lang w:val="en-GB"/>
        </w:rPr>
        <w:t>Darlington Statement, 2017: https://ihra.org.au/darlington-statement/ (last visited 2022)</w:t>
      </w:r>
    </w:p>
    <w:p w14:paraId="17563865" w14:textId="77777777" w:rsidR="00631410" w:rsidRPr="00CA79CF" w:rsidRDefault="00631410" w:rsidP="00631410">
      <w:pPr>
        <w:ind w:left="709"/>
        <w:rPr>
          <w:lang w:val="en-GB"/>
        </w:rPr>
      </w:pPr>
      <w:r w:rsidRPr="00CA79CF">
        <w:rPr>
          <w:lang w:val="en-GB"/>
        </w:rPr>
        <w:t>Vienna Statement, 2017: https://intersexgreece.org.gr/wp-content/uploads/2021/04/2017-the-Vienna-Statement-of-the-1st-European-Intersex-Community-Event-in-Vienna-OII-Europe__EN.pdf (last visited 2022)</w:t>
      </w:r>
    </w:p>
    <w:p w14:paraId="61BE3E0D" w14:textId="77777777" w:rsidR="00631410" w:rsidRPr="00DB4563" w:rsidRDefault="00631410">
      <w:pPr>
        <w:pStyle w:val="Listenabsatz"/>
        <w:numPr>
          <w:ilvl w:val="0"/>
          <w:numId w:val="6"/>
        </w:numPr>
        <w:spacing w:before="0" w:after="0" w:line="264" w:lineRule="auto"/>
      </w:pPr>
      <w:r w:rsidRPr="00DB4563">
        <w:t xml:space="preserve">VOICES, Personal stories from the pages of Narrative Inquiry in Bioethics (NIB), Normalizing Intersex. Personal Narratives by </w:t>
      </w:r>
      <w:proofErr w:type="spellStart"/>
      <w:r>
        <w:rPr>
          <w:sz w:val="25"/>
          <w:szCs w:val="25"/>
        </w:rPr>
        <w:t>Georgiann</w:t>
      </w:r>
      <w:proofErr w:type="spellEnd"/>
      <w:r>
        <w:rPr>
          <w:sz w:val="25"/>
          <w:szCs w:val="25"/>
        </w:rPr>
        <w:t xml:space="preserve"> </w:t>
      </w:r>
      <w:r>
        <w:rPr>
          <w:rStyle w:val="highlight"/>
          <w:sz w:val="25"/>
          <w:szCs w:val="25"/>
        </w:rPr>
        <w:t>Davis</w:t>
      </w:r>
      <w:r>
        <w:t xml:space="preserve">, </w:t>
      </w:r>
      <w:r w:rsidRPr="00DB4563">
        <w:t xml:space="preserve">Konrad Blair, Diana Garcia, Laura Inter, Amanda, </w:t>
      </w:r>
      <w:proofErr w:type="spellStart"/>
      <w:r w:rsidRPr="00DB4563">
        <w:t>Lynnell</w:t>
      </w:r>
      <w:proofErr w:type="spellEnd"/>
      <w:r w:rsidRPr="00DB4563">
        <w:t xml:space="preserve"> Stephani Long, Pidgeon Pagonis, Jay Kyle Petersen, Emily Quinn, Daniela </w:t>
      </w:r>
      <w:proofErr w:type="spellStart"/>
      <w:r w:rsidRPr="00DB4563">
        <w:t>Truffer</w:t>
      </w:r>
      <w:proofErr w:type="spellEnd"/>
      <w:r w:rsidRPr="00DB4563">
        <w:t xml:space="preserve">, </w:t>
      </w:r>
      <w:proofErr w:type="spellStart"/>
      <w:r w:rsidRPr="00DB4563">
        <w:t>Hida</w:t>
      </w:r>
      <w:proofErr w:type="spellEnd"/>
      <w:r w:rsidRPr="00DB4563">
        <w:t xml:space="preserve"> Viloria, Sean </w:t>
      </w:r>
      <w:proofErr w:type="spellStart"/>
      <w:r w:rsidRPr="00DB4563">
        <w:t>Saifa</w:t>
      </w:r>
      <w:proofErr w:type="spellEnd"/>
      <w:r w:rsidRPr="00DB4563">
        <w:t xml:space="preserve"> Wall, Karen A. Walsh, Kimberly </w:t>
      </w:r>
      <w:proofErr w:type="spellStart"/>
      <w:r w:rsidRPr="00DB4563">
        <w:t>Zieselman</w:t>
      </w:r>
      <w:proofErr w:type="spellEnd"/>
      <w:r w:rsidRPr="00DB4563">
        <w:t xml:space="preserve"> and Commentaries, James M. DuBois/Ana S. </w:t>
      </w:r>
      <w:proofErr w:type="spellStart"/>
      <w:r w:rsidRPr="00DB4563">
        <w:t>Iltis</w:t>
      </w:r>
      <w:proofErr w:type="spellEnd"/>
      <w:r w:rsidRPr="00DB4563">
        <w:t xml:space="preserve"> (Eds.), </w:t>
      </w:r>
      <w:r>
        <w:t xml:space="preserve">Baltimore </w:t>
      </w:r>
      <w:r w:rsidRPr="00DB4563">
        <w:t>2016.</w:t>
      </w:r>
    </w:p>
    <w:p w14:paraId="5A5F5DE0" w14:textId="7784EBC3" w:rsidR="00BA4024" w:rsidRDefault="00BA4024">
      <w:pPr>
        <w:widowControl/>
        <w:spacing w:before="0" w:after="160" w:line="259" w:lineRule="auto"/>
        <w:ind w:left="0"/>
        <w:jc w:val="left"/>
        <w:rPr>
          <w:lang w:val="en-GB"/>
        </w:rPr>
      </w:pPr>
      <w:r>
        <w:rPr>
          <w:lang w:val="en-GB"/>
        </w:rPr>
        <w:br w:type="page"/>
      </w:r>
    </w:p>
    <w:p w14:paraId="0BFF698C" w14:textId="58C07FFA" w:rsidR="00C9512D" w:rsidRPr="00313C24" w:rsidRDefault="00C9512D" w:rsidP="00E713CB">
      <w:pPr>
        <w:pStyle w:val="berschrift1"/>
      </w:pPr>
      <w:r w:rsidRPr="00313C24">
        <w:lastRenderedPageBreak/>
        <w:t>Recommendations for the State under Review</w:t>
      </w:r>
    </w:p>
    <w:p w14:paraId="6080DA01" w14:textId="77777777" w:rsidR="00C9512D" w:rsidRPr="003D0C42" w:rsidRDefault="00C9512D" w:rsidP="00F31C39">
      <w:pPr>
        <w:pStyle w:val="Randziffern"/>
        <w:framePr w:wrap="around"/>
      </w:pPr>
    </w:p>
    <w:p w14:paraId="7A18EBC0" w14:textId="6105AADA" w:rsidR="00F91DE4" w:rsidRDefault="00C9512D" w:rsidP="00F31C39">
      <w:r>
        <w:rPr>
          <w:lang w:val="en-GB"/>
        </w:rPr>
        <w:t xml:space="preserve">The following recommendations aim </w:t>
      </w:r>
      <w:r w:rsidRPr="003D1E12">
        <w:rPr>
          <w:lang w:val="en-GB"/>
        </w:rPr>
        <w:t xml:space="preserve">to promote </w:t>
      </w:r>
      <w:r>
        <w:rPr>
          <w:lang w:val="en-GB"/>
        </w:rPr>
        <w:t xml:space="preserve">the </w:t>
      </w:r>
      <w:r w:rsidRPr="00FD483F">
        <w:rPr>
          <w:lang w:val="en-GB"/>
        </w:rPr>
        <w:t xml:space="preserve">human rights situation </w:t>
      </w:r>
      <w:r>
        <w:rPr>
          <w:lang w:val="en-GB"/>
        </w:rPr>
        <w:t xml:space="preserve">of intersex people and especially children </w:t>
      </w:r>
      <w:r w:rsidRPr="00FD483F">
        <w:rPr>
          <w:lang w:val="en-GB"/>
        </w:rPr>
        <w:t xml:space="preserve">in </w:t>
      </w:r>
      <w:r>
        <w:rPr>
          <w:lang w:val="en-GB"/>
        </w:rPr>
        <w:t>Switzerland.</w:t>
      </w:r>
      <w:r w:rsidR="00652B5B" w:rsidRPr="00652B5B">
        <w:t xml:space="preserve"> </w:t>
      </w:r>
      <w:r w:rsidR="00652B5B">
        <w:t xml:space="preserve">Our </w:t>
      </w:r>
      <w:hyperlink r:id="rId17" w:history="1">
        <w:r w:rsidR="00652B5B">
          <w:rPr>
            <w:rStyle w:val="Hyperlink"/>
          </w:rPr>
          <w:t>LOIPR of 26.09.2019</w:t>
        </w:r>
      </w:hyperlink>
      <w:r w:rsidR="00652B5B">
        <w:t xml:space="preserve"> was sent to the federal administration (Swiss government) in July 2020.</w:t>
      </w:r>
    </w:p>
    <w:p w14:paraId="31786681" w14:textId="77777777" w:rsidR="00394CF8" w:rsidRDefault="00394CF8" w:rsidP="00F31C39">
      <w:pPr>
        <w:rPr>
          <w:lang w:val="en-GB"/>
        </w:rPr>
      </w:pPr>
    </w:p>
    <w:p w14:paraId="68A5C9AA" w14:textId="0E9BBAC7" w:rsidR="00C9512D" w:rsidRPr="00394CF8" w:rsidRDefault="00B4126A">
      <w:pPr>
        <w:pStyle w:val="Listenabsatz"/>
        <w:numPr>
          <w:ilvl w:val="0"/>
          <w:numId w:val="5"/>
        </w:numPr>
        <w:rPr>
          <w:rStyle w:val="Hervorhebung"/>
        </w:rPr>
      </w:pPr>
      <w:r w:rsidRPr="00394CF8">
        <w:rPr>
          <w:rStyle w:val="Hervorhebung"/>
        </w:rPr>
        <w:t>Explicitly p</w:t>
      </w:r>
      <w:r w:rsidR="00C9512D" w:rsidRPr="00394CF8">
        <w:rPr>
          <w:rStyle w:val="Hervorhebung"/>
        </w:rPr>
        <w:t>rohibit</w:t>
      </w:r>
      <w:r w:rsidR="00617B39" w:rsidRPr="00394CF8">
        <w:rPr>
          <w:rStyle w:val="Hervorhebung"/>
        </w:rPr>
        <w:t xml:space="preserve"> in the Criminal Code</w:t>
      </w:r>
      <w:r w:rsidR="00C9512D" w:rsidRPr="00394CF8">
        <w:rPr>
          <w:rStyle w:val="Hervorhebung"/>
        </w:rPr>
        <w:t xml:space="preserve"> any practice that modifies children’s sex characteristics without medical reasons and full and informed consent unless the intervention is lifesaving or of crucial importance for the child’s health.</w:t>
      </w:r>
    </w:p>
    <w:p w14:paraId="23582601" w14:textId="77777777" w:rsidR="003904EC" w:rsidRPr="003D0C42" w:rsidRDefault="003904EC" w:rsidP="00F31C39">
      <w:pPr>
        <w:pStyle w:val="Randziffern"/>
        <w:framePr w:wrap="around"/>
      </w:pPr>
    </w:p>
    <w:p w14:paraId="10685F62" w14:textId="6D211FFA" w:rsidR="004C4E57" w:rsidRDefault="004B6006" w:rsidP="00F31C39">
      <w:r w:rsidRPr="00342BBD">
        <w:t xml:space="preserve">The legal situation is essentially the same as it was before the ban on female genital mutilation in </w:t>
      </w:r>
      <w:r>
        <w:t>article</w:t>
      </w:r>
      <w:r w:rsidRPr="00342BBD">
        <w:t xml:space="preserve"> 124 Criminal Code.</w:t>
      </w:r>
      <w:r>
        <w:t xml:space="preserve"> </w:t>
      </w:r>
      <w:r w:rsidR="0066565C">
        <w:t>Explicit l</w:t>
      </w:r>
      <w:r w:rsidR="0066565C" w:rsidRPr="005404FB">
        <w:t>egislation to protect the bodily integrity</w:t>
      </w:r>
      <w:r w:rsidR="0066565C">
        <w:t xml:space="preserve"> and</w:t>
      </w:r>
      <w:r w:rsidR="0066565C" w:rsidRPr="005404FB">
        <w:t xml:space="preserve"> self-determination of intersex children doesn't exist </w:t>
      </w:r>
      <w:r w:rsidR="0066565C" w:rsidRPr="008A28A5">
        <w:t>(</w:t>
      </w:r>
      <w:r w:rsidR="0066565C">
        <w:t xml:space="preserve">CEDAW/C/CHE/CO/4-5, </w:t>
      </w:r>
      <w:r w:rsidR="0066565C" w:rsidRPr="00B445F0">
        <w:t>para. 25(c))</w:t>
      </w:r>
      <w:r w:rsidR="0066565C">
        <w:t>.</w:t>
      </w:r>
      <w:r w:rsidR="0066565C">
        <w:rPr>
          <w:rStyle w:val="Funotenzeichen"/>
        </w:rPr>
        <w:footnoteReference w:id="4"/>
      </w:r>
      <w:r w:rsidR="0066565C" w:rsidRPr="008A28A5">
        <w:rPr>
          <w:rFonts w:ascii="Times New Roman" w:hAnsi="Times New Roman" w:cs="Times New Roman"/>
          <w:szCs w:val="24"/>
          <w:lang w:val="en-GB"/>
        </w:rPr>
        <w:t xml:space="preserve"> </w:t>
      </w:r>
      <w:r w:rsidRPr="00E8057A">
        <w:t xml:space="preserve">The recommendations from the Swiss Ethics Commission </w:t>
      </w:r>
      <w:r>
        <w:t>have</w:t>
      </w:r>
      <w:r w:rsidRPr="00E8057A">
        <w:t xml:space="preserve"> </w:t>
      </w:r>
      <w:r>
        <w:t>not</w:t>
      </w:r>
      <w:r w:rsidRPr="00E8057A">
        <w:t xml:space="preserve"> </w:t>
      </w:r>
      <w:r>
        <w:t xml:space="preserve">been </w:t>
      </w:r>
      <w:r w:rsidRPr="00E8057A">
        <w:t xml:space="preserve">implemented by </w:t>
      </w:r>
      <w:r>
        <w:t xml:space="preserve">the </w:t>
      </w:r>
      <w:r w:rsidRPr="00E8057A">
        <w:t>Swiss Government (</w:t>
      </w:r>
      <w:r>
        <w:t>margin</w:t>
      </w:r>
      <w:r>
        <w:fldChar w:fldCharType="begin"/>
      </w:r>
      <w:r>
        <w:instrText xml:space="preserve"> REF _Ref110000152 \r \h </w:instrText>
      </w:r>
      <w:r>
        <w:fldChar w:fldCharType="separate"/>
      </w:r>
      <w:r w:rsidR="00860F64">
        <w:t>9</w:t>
      </w:r>
      <w:r>
        <w:fldChar w:fldCharType="end"/>
      </w:r>
      <w:r w:rsidRPr="00E8057A">
        <w:t>).</w:t>
      </w:r>
      <w:r>
        <w:t xml:space="preserve"> The State party report (CEDAW/C/CHE/6)</w:t>
      </w:r>
      <w:r>
        <w:rPr>
          <w:rStyle w:val="Funotenzeichen"/>
        </w:rPr>
        <w:footnoteReference w:id="5"/>
      </w:r>
      <w:r w:rsidRPr="00B445F0">
        <w:rPr>
          <w:rFonts w:ascii="Times New Roman" w:hAnsi="Times New Roman" w:cs="Times New Roman"/>
          <w:szCs w:val="24"/>
          <w:lang w:val="en-GB"/>
        </w:rPr>
        <w:t xml:space="preserve"> </w:t>
      </w:r>
      <w:r>
        <w:t xml:space="preserve">does not take this into account and does not address questions 11, 19(c) of </w:t>
      </w:r>
      <w:r w:rsidR="006F583F">
        <w:t>CEDAW/C/CHE/QPR/6.</w:t>
      </w:r>
      <w:r w:rsidR="006F583F">
        <w:rPr>
          <w:rStyle w:val="Funotenzeichen"/>
        </w:rPr>
        <w:footnoteReference w:id="6"/>
      </w:r>
      <w:r>
        <w:t xml:space="preserve"> </w:t>
      </w:r>
    </w:p>
    <w:p w14:paraId="12C4E43E" w14:textId="180366DC" w:rsidR="003904EC" w:rsidRDefault="00C9512D" w:rsidP="00F31C39">
      <w:r w:rsidRPr="001E1BE9">
        <w:rPr>
          <w:lang w:val="en-GB"/>
        </w:rPr>
        <w:t xml:space="preserve">Motion </w:t>
      </w:r>
      <w:hyperlink r:id="rId18" w:history="1">
        <w:r w:rsidRPr="001E1BE9">
          <w:rPr>
            <w:rStyle w:val="Hyperlink"/>
            <w:color w:val="auto"/>
            <w:lang w:val="en-GB"/>
          </w:rPr>
          <w:t>22.3355</w:t>
        </w:r>
      </w:hyperlink>
      <w:r w:rsidRPr="001E1BE9">
        <w:rPr>
          <w:lang w:val="en-GB"/>
        </w:rPr>
        <w:t xml:space="preserve"> </w:t>
      </w:r>
      <w:r w:rsidRPr="001E1BE9">
        <w:t xml:space="preserve">was submitted </w:t>
      </w:r>
      <w:r w:rsidR="001E1BE9">
        <w:t>to</w:t>
      </w:r>
      <w:r w:rsidRPr="001E1BE9">
        <w:t xml:space="preserve"> the </w:t>
      </w:r>
      <w:r w:rsidRPr="001E1BE9">
        <w:rPr>
          <w:lang w:val="en-GB"/>
        </w:rPr>
        <w:t>Council</w:t>
      </w:r>
      <w:r w:rsidRPr="001E1BE9">
        <w:t xml:space="preserve"> of States on 18 March 2022. </w:t>
      </w:r>
      <w:r w:rsidRPr="00342BBD">
        <w:t>A</w:t>
      </w:r>
      <w:r w:rsidR="00EB2CAF">
        <w:t>n explicit</w:t>
      </w:r>
      <w:r w:rsidRPr="00342BBD">
        <w:t xml:space="preserve"> prohibition </w:t>
      </w:r>
      <w:r>
        <w:t xml:space="preserve">in the </w:t>
      </w:r>
      <w:r w:rsidRPr="00342BBD">
        <w:t xml:space="preserve">Criminal Code of </w:t>
      </w:r>
      <w:r>
        <w:t>modifications of sex characteristics of</w:t>
      </w:r>
      <w:r w:rsidRPr="00342BBD">
        <w:t xml:space="preserve"> child</w:t>
      </w:r>
      <w:r>
        <w:t xml:space="preserve">ren </w:t>
      </w:r>
      <w:r w:rsidRPr="00342BBD">
        <w:t xml:space="preserve">not capable of judgement is </w:t>
      </w:r>
      <w:r>
        <w:t>crucial</w:t>
      </w:r>
      <w:r w:rsidRPr="00342BBD">
        <w:t xml:space="preserve"> </w:t>
      </w:r>
      <w:r w:rsidR="004C13DD">
        <w:t xml:space="preserve">and </w:t>
      </w:r>
      <w:r w:rsidR="001E1BE9">
        <w:t>indispensable</w:t>
      </w:r>
      <w:r w:rsidR="004C13DD">
        <w:t xml:space="preserve"> </w:t>
      </w:r>
      <w:r w:rsidRPr="00342BBD">
        <w:t xml:space="preserve">to ensure legal security. </w:t>
      </w:r>
    </w:p>
    <w:p w14:paraId="393595FB" w14:textId="6750D7FA" w:rsidR="006F0F3D" w:rsidRPr="00557249" w:rsidRDefault="006F0F3D" w:rsidP="00557249">
      <w:pPr>
        <w:pBdr>
          <w:top w:val="single" w:sz="4" w:space="1" w:color="auto"/>
          <w:left w:val="single" w:sz="4" w:space="4" w:color="auto"/>
          <w:bottom w:val="single" w:sz="4" w:space="1" w:color="auto"/>
          <w:right w:val="single" w:sz="4" w:space="4" w:color="auto"/>
        </w:pBdr>
        <w:shd w:val="pct10" w:color="auto" w:fill="auto"/>
        <w:ind w:right="5902"/>
        <w:rPr>
          <w:b/>
          <w:bCs/>
        </w:rPr>
      </w:pPr>
      <w:r w:rsidRPr="00557249">
        <w:rPr>
          <w:b/>
          <w:bCs/>
        </w:rPr>
        <w:t>COB 2</w:t>
      </w:r>
      <w:r w:rsidR="00BF3679" w:rsidRPr="00557249">
        <w:rPr>
          <w:b/>
          <w:bCs/>
        </w:rPr>
        <w:t>5</w:t>
      </w:r>
      <w:r w:rsidRPr="00557249">
        <w:rPr>
          <w:b/>
          <w:bCs/>
        </w:rPr>
        <w:t>(</w:t>
      </w:r>
      <w:r w:rsidR="00BF3679" w:rsidRPr="00557249">
        <w:rPr>
          <w:b/>
          <w:bCs/>
        </w:rPr>
        <w:t>c</w:t>
      </w:r>
      <w:r w:rsidRPr="00557249">
        <w:rPr>
          <w:b/>
          <w:bCs/>
        </w:rPr>
        <w:t>)</w:t>
      </w:r>
      <w:r w:rsidR="004433EE" w:rsidRPr="00557249">
        <w:rPr>
          <w:b/>
          <w:bCs/>
        </w:rPr>
        <w:t xml:space="preserve"> / QPR/6, 11, 19(c)</w:t>
      </w:r>
    </w:p>
    <w:p w14:paraId="45C3E007" w14:textId="77777777" w:rsidR="00287E81" w:rsidRPr="0001058E" w:rsidRDefault="00287E81" w:rsidP="00F31C39"/>
    <w:p w14:paraId="2C97E143" w14:textId="383F590A" w:rsidR="00C9512D" w:rsidRPr="00394CF8" w:rsidRDefault="00C9512D">
      <w:pPr>
        <w:pStyle w:val="Listenabsatz"/>
        <w:numPr>
          <w:ilvl w:val="0"/>
          <w:numId w:val="5"/>
        </w:numPr>
        <w:rPr>
          <w:rStyle w:val="Hervorhebung"/>
        </w:rPr>
      </w:pPr>
      <w:r w:rsidRPr="00394CF8">
        <w:rPr>
          <w:rStyle w:val="Hervorhebung"/>
        </w:rPr>
        <w:t xml:space="preserve">Withdraw paragraph 4 of </w:t>
      </w:r>
      <w:r w:rsidR="00EB2CAF">
        <w:rPr>
          <w:rStyle w:val="Hervorhebung"/>
        </w:rPr>
        <w:t>A</w:t>
      </w:r>
      <w:r w:rsidRPr="00394CF8">
        <w:rPr>
          <w:rStyle w:val="Hervorhebung"/>
        </w:rPr>
        <w:t>rticle 30b Swiss Civil Code.</w:t>
      </w:r>
    </w:p>
    <w:p w14:paraId="255D9DC0" w14:textId="77777777" w:rsidR="00C9512D" w:rsidRPr="003D0C42" w:rsidRDefault="00C9512D" w:rsidP="00F31C39">
      <w:pPr>
        <w:pStyle w:val="Randziffern"/>
        <w:framePr w:wrap="around"/>
      </w:pPr>
      <w:bookmarkStart w:id="14" w:name="_Ref107421703"/>
    </w:p>
    <w:bookmarkEnd w:id="14"/>
    <w:p w14:paraId="6D8334EC" w14:textId="0D2B7E4F" w:rsidR="006D628A" w:rsidRDefault="00C9512D" w:rsidP="00F31C39">
      <w:r>
        <w:t>We strongly criticize the government's l</w:t>
      </w:r>
      <w:r w:rsidRPr="00590A99">
        <w:t xml:space="preserve">egislative proposal </w:t>
      </w:r>
      <w:r>
        <w:t>of a</w:t>
      </w:r>
      <w:r w:rsidRPr="00441423">
        <w:t xml:space="preserve"> </w:t>
      </w:r>
      <w:r w:rsidRPr="000240C2">
        <w:rPr>
          <w:i/>
          <w:iCs/>
        </w:rPr>
        <w:t>simplified</w:t>
      </w:r>
      <w:r>
        <w:t xml:space="preserve"> gender recognition in the civil status register: the government has linked </w:t>
      </w:r>
      <w:r w:rsidRPr="00C82793">
        <w:rPr>
          <w:i/>
          <w:iCs/>
        </w:rPr>
        <w:t>simplified</w:t>
      </w:r>
      <w:r>
        <w:t xml:space="preserve"> legal gender recognition with a </w:t>
      </w:r>
      <w:r w:rsidRPr="00C82793">
        <w:rPr>
          <w:b/>
        </w:rPr>
        <w:t xml:space="preserve">previously non-existent consent of parents for </w:t>
      </w:r>
      <w:r>
        <w:rPr>
          <w:b/>
        </w:rPr>
        <w:t>minors</w:t>
      </w:r>
      <w:r w:rsidRPr="00C82793">
        <w:rPr>
          <w:b/>
        </w:rPr>
        <w:t xml:space="preserve"> capable of judgement</w:t>
      </w:r>
      <w:r w:rsidR="00245590">
        <w:rPr>
          <w:b/>
        </w:rPr>
        <w:t xml:space="preserve"> (</w:t>
      </w:r>
      <w:r w:rsidR="00245590">
        <w:t xml:space="preserve">see </w:t>
      </w:r>
      <w:hyperlink r:id="rId19" w:anchor="art_19_c" w:history="1">
        <w:r w:rsidR="001E1BE9">
          <w:rPr>
            <w:rStyle w:val="Hyperlink"/>
          </w:rPr>
          <w:t>Article 19c SCC</w:t>
        </w:r>
      </w:hyperlink>
      <w:r w:rsidR="00245590">
        <w:t>)</w:t>
      </w:r>
      <w:r w:rsidR="004433EE">
        <w:t>.</w:t>
      </w:r>
      <w:r>
        <w:t xml:space="preserve"> T</w:t>
      </w:r>
      <w:r w:rsidRPr="00E66BDC">
        <w:rPr>
          <w:rStyle w:val="normal10"/>
        </w:rPr>
        <w:t xml:space="preserve">he government’s proposal </w:t>
      </w:r>
      <w:r>
        <w:t xml:space="preserve">was a profoundly serious step backwards regarding </w:t>
      </w:r>
      <w:r w:rsidRPr="000240C2">
        <w:rPr>
          <w:b/>
          <w:u w:val="single"/>
        </w:rPr>
        <w:t>para</w:t>
      </w:r>
      <w:r>
        <w:rPr>
          <w:b/>
          <w:u w:val="single"/>
        </w:rPr>
        <w:t xml:space="preserve">graph </w:t>
      </w:r>
      <w:r w:rsidRPr="000240C2">
        <w:rPr>
          <w:b/>
          <w:u w:val="single"/>
        </w:rPr>
        <w:t>4</w:t>
      </w:r>
      <w:r>
        <w:t xml:space="preserve"> of </w:t>
      </w:r>
      <w:r w:rsidR="00EA7B39">
        <w:t>A</w:t>
      </w:r>
      <w:r>
        <w:t>rticle 30b SCC</w:t>
      </w:r>
      <w:r w:rsidR="00245590">
        <w:t xml:space="preserve"> – </w:t>
      </w:r>
      <w:r>
        <w:t>rejected by all child protection organizations in Switzerland, criticized by child protection experts (</w:t>
      </w:r>
      <w:r w:rsidRPr="00DE0BF7">
        <w:t>COPMA/KOKES</w:t>
      </w:r>
      <w:r>
        <w:t xml:space="preserve">) by the </w:t>
      </w:r>
      <w:r>
        <w:rPr>
          <w:rStyle w:val="hidden-xs"/>
        </w:rPr>
        <w:t>National Ethics</w:t>
      </w:r>
      <w:r>
        <w:t xml:space="preserve"> </w:t>
      </w:r>
      <w:r w:rsidR="004433EE">
        <w:rPr>
          <w:rStyle w:val="hidden-xs"/>
        </w:rPr>
        <w:t>Commission</w:t>
      </w:r>
      <w:r>
        <w:t xml:space="preserve">, and all human </w:t>
      </w:r>
      <w:r w:rsidR="00044670">
        <w:t>rights NGO</w:t>
      </w:r>
      <w:r w:rsidR="006D628A">
        <w:t>s</w:t>
      </w:r>
      <w:r>
        <w:t>.</w:t>
      </w:r>
      <w:r>
        <w:rPr>
          <w:rStyle w:val="Endnotenzeichen"/>
        </w:rPr>
        <w:endnoteReference w:id="18"/>
      </w:r>
    </w:p>
    <w:p w14:paraId="0CB942CD" w14:textId="77777777" w:rsidR="00011015" w:rsidRDefault="00011015" w:rsidP="00F31C39">
      <w:r>
        <w:br w:type="page"/>
      </w:r>
    </w:p>
    <w:p w14:paraId="14C8B140" w14:textId="2318E295" w:rsidR="00C9512D" w:rsidRPr="00594D6F" w:rsidRDefault="00C9512D">
      <w:pPr>
        <w:pStyle w:val="Listenabsatz"/>
        <w:numPr>
          <w:ilvl w:val="0"/>
          <w:numId w:val="5"/>
        </w:numPr>
        <w:rPr>
          <w:rStyle w:val="IntensiverVerweis"/>
        </w:rPr>
      </w:pPr>
      <w:r w:rsidRPr="00594D6F">
        <w:rPr>
          <w:rStyle w:val="IntensiverVerweis"/>
        </w:rPr>
        <w:lastRenderedPageBreak/>
        <w:t>Collect systematic, disaggregated (i.a. age, medical reasoning) data regarding the numbers of irreversible sex-modifying practices on children</w:t>
      </w:r>
      <w:r w:rsidR="00B81F73">
        <w:rPr>
          <w:rStyle w:val="IntensiverVerweis"/>
        </w:rPr>
        <w:t xml:space="preserve"> with a VSC</w:t>
      </w:r>
      <w:r w:rsidRPr="00594D6F">
        <w:rPr>
          <w:rStyle w:val="IntensiverVerweis"/>
        </w:rPr>
        <w:t>.</w:t>
      </w:r>
    </w:p>
    <w:p w14:paraId="2A70B7B5" w14:textId="77777777" w:rsidR="00C9512D" w:rsidRPr="003D0C42" w:rsidRDefault="00C9512D" w:rsidP="00F31C39">
      <w:pPr>
        <w:pStyle w:val="Randziffern"/>
        <w:framePr w:wrap="around"/>
      </w:pPr>
    </w:p>
    <w:p w14:paraId="2B7A7DA3" w14:textId="77777777" w:rsidR="00E77976" w:rsidRDefault="00C9512D" w:rsidP="00F31C39">
      <w:r>
        <w:t xml:space="preserve">Detailed statistics on medical practices in relation to </w:t>
      </w:r>
      <w:r w:rsidR="0066565C">
        <w:t>medical</w:t>
      </w:r>
      <w:r>
        <w:t xml:space="preserve"> treatments of intersex girls and boys are not available. </w:t>
      </w:r>
      <w:r w:rsidRPr="00BE38FA">
        <w:t xml:space="preserve">141 intersex infants aged 0-2 years received medical treatments in a hospital in Switzerland between 2010 and 2017. </w:t>
      </w:r>
      <w:r w:rsidRPr="00EB2DE8">
        <w:t xml:space="preserve">According to data from the Children's Hospital in Zurich (Jan 2022), 85-135 genital operations are performed each year on children </w:t>
      </w:r>
      <w:r>
        <w:t>with a VSC</w:t>
      </w:r>
      <w:r w:rsidRPr="00BE38FA">
        <w:t>.</w:t>
      </w:r>
      <w:bookmarkStart w:id="15" w:name="_Ref107704592"/>
      <w:r>
        <w:rPr>
          <w:rStyle w:val="Endnotenzeichen"/>
        </w:rPr>
        <w:endnoteReference w:id="19"/>
      </w:r>
      <w:bookmarkEnd w:id="15"/>
      <w:r w:rsidR="0051426F">
        <w:t xml:space="preserve"> </w:t>
      </w:r>
      <w:r w:rsidR="00E91A6E">
        <w:t>S</w:t>
      </w:r>
      <w:r w:rsidR="00491448">
        <w:t xml:space="preserve">tatistics on medical practices </w:t>
      </w:r>
      <w:proofErr w:type="gramStart"/>
      <w:r w:rsidR="00491448">
        <w:t>have to</w:t>
      </w:r>
      <w:proofErr w:type="gramEnd"/>
      <w:r w:rsidR="00491448">
        <w:t xml:space="preserve"> be independent and include </w:t>
      </w:r>
      <w:r w:rsidR="001E4408">
        <w:t>all above-mentioned</w:t>
      </w:r>
      <w:r w:rsidR="00491448">
        <w:t xml:space="preserve"> interventions.</w:t>
      </w:r>
      <w:r w:rsidR="00B81F73">
        <w:t xml:space="preserve"> </w:t>
      </w:r>
    </w:p>
    <w:p w14:paraId="381D7B9F" w14:textId="6AFC19F3" w:rsidR="0051426F" w:rsidRPr="00557249" w:rsidRDefault="006F0F3D" w:rsidP="00557249">
      <w:pPr>
        <w:pBdr>
          <w:top w:val="single" w:sz="4" w:space="1" w:color="auto"/>
          <w:left w:val="single" w:sz="4" w:space="4" w:color="auto"/>
          <w:bottom w:val="single" w:sz="4" w:space="1" w:color="auto"/>
          <w:right w:val="single" w:sz="4" w:space="4" w:color="auto"/>
        </w:pBdr>
        <w:shd w:val="pct10" w:color="auto" w:fill="auto"/>
        <w:ind w:right="5902"/>
        <w:rPr>
          <w:b/>
          <w:bCs/>
        </w:rPr>
      </w:pPr>
      <w:r w:rsidRPr="00557249">
        <w:rPr>
          <w:b/>
          <w:bCs/>
        </w:rPr>
        <w:t>COB 25(a)</w:t>
      </w:r>
      <w:r w:rsidR="004433EE" w:rsidRPr="00557249">
        <w:rPr>
          <w:b/>
          <w:bCs/>
        </w:rPr>
        <w:t xml:space="preserve"> / QPR/6, 13</w:t>
      </w:r>
    </w:p>
    <w:p w14:paraId="795110C1" w14:textId="77777777" w:rsidR="00394CF8" w:rsidRPr="0001058E" w:rsidRDefault="00394CF8" w:rsidP="00F31C39"/>
    <w:p w14:paraId="57C4720F" w14:textId="77777777" w:rsidR="00C9512D" w:rsidRPr="00594D6F" w:rsidRDefault="00C9512D">
      <w:pPr>
        <w:pStyle w:val="Listenabsatz"/>
        <w:numPr>
          <w:ilvl w:val="0"/>
          <w:numId w:val="5"/>
        </w:numPr>
        <w:rPr>
          <w:rStyle w:val="IntensiverVerweis"/>
        </w:rPr>
      </w:pPr>
      <w:r w:rsidRPr="00594D6F">
        <w:rPr>
          <w:rStyle w:val="IntensiverVerweis"/>
        </w:rPr>
        <w:t xml:space="preserve">Provide </w:t>
      </w:r>
      <w:r w:rsidRPr="00394CF8">
        <w:rPr>
          <w:rStyle w:val="Hervorhebung"/>
          <w:bCs w:val="0"/>
          <w:smallCaps w:val="0"/>
        </w:rPr>
        <w:t>families</w:t>
      </w:r>
      <w:r w:rsidRPr="00594D6F">
        <w:rPr>
          <w:rStyle w:val="IntensiverVerweis"/>
        </w:rPr>
        <w:t xml:space="preserve"> with intersex children and intersex people with adequate counselling, empowering support and peer-to-peer counselling.</w:t>
      </w:r>
    </w:p>
    <w:p w14:paraId="11B4ED28" w14:textId="77777777" w:rsidR="00C9512D" w:rsidRPr="003D0C42" w:rsidRDefault="00C9512D" w:rsidP="00F31C39">
      <w:pPr>
        <w:pStyle w:val="Randziffern"/>
        <w:framePr w:wrap="around"/>
      </w:pPr>
    </w:p>
    <w:p w14:paraId="64FAC7B5" w14:textId="36035698" w:rsidR="00C9512D" w:rsidRDefault="009E415B" w:rsidP="00F31C39">
      <w:r>
        <w:t>T</w:t>
      </w:r>
      <w:r w:rsidR="00C9512D">
        <w:t xml:space="preserve">here is currently </w:t>
      </w:r>
      <w:r w:rsidR="00D70878">
        <w:t>little</w:t>
      </w:r>
      <w:r w:rsidR="00C9512D">
        <w:t xml:space="preserve"> evidence that</w:t>
      </w:r>
      <w:r w:rsidR="00D70878">
        <w:t xml:space="preserve"> medical</w:t>
      </w:r>
      <w:r w:rsidR="00C9512D">
        <w:t xml:space="preserve"> practice has changed. Supporting families in parenting intersex children has not been developed or supported by government healthcare systems.</w:t>
      </w:r>
      <w:r w:rsidR="00C9512D">
        <w:rPr>
          <w:rStyle w:val="Endnotenzeichen"/>
        </w:rPr>
        <w:endnoteReference w:id="20"/>
      </w:r>
      <w:r w:rsidR="00C9512D">
        <w:t xml:space="preserve"> Moreover, learning from empowerment and peer-to-peer concepts and </w:t>
      </w:r>
      <w:r w:rsidR="00C9512D" w:rsidRPr="00996C9B">
        <w:t>counselling</w:t>
      </w:r>
      <w:r w:rsidR="00C9512D">
        <w:t>, such as initially developed by patient groups, the exchange between lived-experience experts, relatives and experts should be promoted to enhance mutual understanding of the different perspectives.</w:t>
      </w:r>
      <w:r w:rsidR="00C9512D">
        <w:rPr>
          <w:rStyle w:val="Endnotenzeichen"/>
        </w:rPr>
        <w:endnoteReference w:id="21"/>
      </w:r>
      <w:r w:rsidR="00C9512D">
        <w:t xml:space="preserve"> </w:t>
      </w:r>
      <w:r w:rsidR="003625C6" w:rsidRPr="004C2433">
        <w:t>Apart from what we offer (</w:t>
      </w:r>
      <w:bookmarkStart w:id="17" w:name="_Hlk113788786"/>
      <w:r w:rsidR="003625C6" w:rsidRPr="004C2433">
        <w:t>self-help</w:t>
      </w:r>
      <w:r w:rsidR="00EB2CAF">
        <w:t>- or peer</w:t>
      </w:r>
      <w:r w:rsidR="009602D1" w:rsidRPr="004C2433">
        <w:t>-</w:t>
      </w:r>
      <w:r w:rsidR="003625C6" w:rsidRPr="004C2433">
        <w:t>groups</w:t>
      </w:r>
      <w:bookmarkEnd w:id="17"/>
      <w:r w:rsidR="003625C6" w:rsidRPr="004C2433">
        <w:t xml:space="preserve">), </w:t>
      </w:r>
      <w:r w:rsidR="003625C6">
        <w:t>i</w:t>
      </w:r>
      <w:r w:rsidR="00C9512D">
        <w:t xml:space="preserve">n Switzerland no such </w:t>
      </w:r>
      <w:r w:rsidR="00C9512D" w:rsidRPr="00D62186">
        <w:rPr>
          <w:i/>
          <w:iCs/>
        </w:rPr>
        <w:t>independent</w:t>
      </w:r>
      <w:r w:rsidR="00C9512D">
        <w:t xml:space="preserve"> counselling services exist.</w:t>
      </w:r>
    </w:p>
    <w:p w14:paraId="7BB91DD6" w14:textId="7CF31CDF" w:rsidR="00E77976" w:rsidRPr="00557249" w:rsidRDefault="00F13720" w:rsidP="00557249">
      <w:pPr>
        <w:pBdr>
          <w:top w:val="single" w:sz="4" w:space="1" w:color="auto"/>
          <w:left w:val="single" w:sz="4" w:space="4" w:color="auto"/>
          <w:bottom w:val="single" w:sz="4" w:space="1" w:color="auto"/>
          <w:right w:val="single" w:sz="4" w:space="4" w:color="auto"/>
        </w:pBdr>
        <w:shd w:val="pct10" w:color="auto" w:fill="auto"/>
        <w:ind w:right="5902"/>
        <w:rPr>
          <w:b/>
          <w:bCs/>
        </w:rPr>
      </w:pPr>
      <w:r w:rsidRPr="00557249">
        <w:rPr>
          <w:b/>
          <w:bCs/>
        </w:rPr>
        <w:t xml:space="preserve">COB 25(c) / </w:t>
      </w:r>
      <w:r w:rsidR="00E77976" w:rsidRPr="00557249">
        <w:rPr>
          <w:b/>
          <w:bCs/>
        </w:rPr>
        <w:t>QPR/6, 13</w:t>
      </w:r>
    </w:p>
    <w:p w14:paraId="53023841" w14:textId="4F9757AD" w:rsidR="00C9512D" w:rsidRPr="00594D6F" w:rsidRDefault="00FE4533">
      <w:pPr>
        <w:pStyle w:val="Listenabsatz"/>
        <w:numPr>
          <w:ilvl w:val="0"/>
          <w:numId w:val="5"/>
        </w:numPr>
        <w:rPr>
          <w:rStyle w:val="IntensiverVerweis"/>
        </w:rPr>
      </w:pPr>
      <w:r w:rsidRPr="00594D6F">
        <w:rPr>
          <w:rStyle w:val="IntensiverVerweis"/>
        </w:rPr>
        <w:t>a</w:t>
      </w:r>
      <w:r w:rsidR="00C9512D" w:rsidRPr="00594D6F">
        <w:rPr>
          <w:rStyle w:val="IntensiverVerweis"/>
        </w:rPr>
        <w:t>) Provide adequate compensation</w:t>
      </w:r>
      <w:r w:rsidR="009901CD">
        <w:rPr>
          <w:rStyle w:val="IntensiverVerweis"/>
        </w:rPr>
        <w:t>/redress</w:t>
      </w:r>
      <w:r w:rsidR="00C9512D" w:rsidRPr="00594D6F">
        <w:rPr>
          <w:rStyle w:val="IntensiverVerweis"/>
        </w:rPr>
        <w:t xml:space="preserve"> to intersex people affected by surgical or other medical treatment without their free</w:t>
      </w:r>
      <w:r w:rsidR="00C06024">
        <w:rPr>
          <w:rStyle w:val="IntensiverVerweis"/>
        </w:rPr>
        <w:t>/</w:t>
      </w:r>
      <w:r w:rsidR="00C9512D" w:rsidRPr="00594D6F">
        <w:rPr>
          <w:rStyle w:val="IntensiverVerweis"/>
        </w:rPr>
        <w:t>full informed consent and establish specific funds for compensation.</w:t>
      </w:r>
      <w:r w:rsidR="007A2EFB">
        <w:rPr>
          <w:rStyle w:val="IntensiverVerweis"/>
        </w:rPr>
        <w:br/>
      </w:r>
      <w:r w:rsidR="00C9512D" w:rsidRPr="00594D6F">
        <w:rPr>
          <w:rStyle w:val="IntensiverVerweis"/>
        </w:rPr>
        <w:t>b) Extend the retention period for medical records to 40 years, beginning with the age of maturity, and establish a federal central register.</w:t>
      </w:r>
    </w:p>
    <w:p w14:paraId="35BB74A5" w14:textId="77777777" w:rsidR="00C9512D" w:rsidRPr="003D0C42" w:rsidRDefault="00C9512D" w:rsidP="00F31C39">
      <w:pPr>
        <w:pStyle w:val="Randziffern"/>
        <w:framePr w:wrap="around"/>
      </w:pPr>
    </w:p>
    <w:p w14:paraId="47450C3A" w14:textId="2EAD781B" w:rsidR="0058448D" w:rsidRDefault="00A12A50" w:rsidP="00F31C39">
      <w:r>
        <w:t>Intersex people in Switzerland</w:t>
      </w:r>
      <w:r w:rsidRPr="00B2631F">
        <w:t xml:space="preserve"> </w:t>
      </w:r>
      <w:r w:rsidR="00C9512D">
        <w:t>deserve</w:t>
      </w:r>
      <w:r w:rsidR="00C9512D" w:rsidRPr="00B2631F">
        <w:t xml:space="preserve"> compensation for </w:t>
      </w:r>
      <w:r w:rsidR="00C9512D">
        <w:t xml:space="preserve">the </w:t>
      </w:r>
      <w:r w:rsidR="00C9512D" w:rsidRPr="00B2631F">
        <w:t>human rights violations they have suffered and are suffering from.</w:t>
      </w:r>
      <w:r w:rsidR="00C9512D">
        <w:rPr>
          <w:rStyle w:val="Endnotenzeichen"/>
        </w:rPr>
        <w:endnoteReference w:id="22"/>
      </w:r>
      <w:r w:rsidR="00C9512D" w:rsidRPr="009E6945">
        <w:t xml:space="preserve"> </w:t>
      </w:r>
      <w:r w:rsidR="00D279D2">
        <w:t>It s</w:t>
      </w:r>
      <w:r w:rsidR="00C9512D">
        <w:t>hould be noted</w:t>
      </w:r>
      <w:r w:rsidR="00D279D2">
        <w:t xml:space="preserve"> that</w:t>
      </w:r>
      <w:r w:rsidR="00C9512D">
        <w:t xml:space="preserve"> a</w:t>
      </w:r>
      <w:r w:rsidR="00C9512D" w:rsidRPr="00447CCD">
        <w:t xml:space="preserve">ccess to legal remedies is </w:t>
      </w:r>
      <w:r w:rsidR="00C9512D">
        <w:t>rendered impossible</w:t>
      </w:r>
      <w:r w:rsidR="00C9512D" w:rsidRPr="00447CCD">
        <w:t xml:space="preserve">, as the retention period for medical records </w:t>
      </w:r>
      <w:r w:rsidR="00D279D2">
        <w:t xml:space="preserve">has </w:t>
      </w:r>
      <w:r w:rsidR="00C9512D" w:rsidRPr="00447CCD">
        <w:t>often expired by the time intersex children reach adulthood</w:t>
      </w:r>
      <w:r>
        <w:t xml:space="preserve">. </w:t>
      </w:r>
      <w:r w:rsidR="009E415B">
        <w:t>Funds for reparations should be established.</w:t>
      </w:r>
      <w:r w:rsidRPr="00A12A50">
        <w:t xml:space="preserve"> </w:t>
      </w:r>
      <w:r w:rsidR="004A130E">
        <w:t xml:space="preserve">A </w:t>
      </w:r>
      <w:r>
        <w:t xml:space="preserve">federal central register should be introduced for all genital modifying operations or other treatments that may result in a modification of internal or external </w:t>
      </w:r>
      <w:r w:rsidR="004A130E">
        <w:t>sex characteristics</w:t>
      </w:r>
      <w:r>
        <w:t>.</w:t>
      </w:r>
    </w:p>
    <w:p w14:paraId="4484188E" w14:textId="64D659CB" w:rsidR="00011015" w:rsidRPr="003625C6" w:rsidRDefault="00FD346C" w:rsidP="00557249">
      <w:pPr>
        <w:pBdr>
          <w:top w:val="single" w:sz="4" w:space="1" w:color="auto"/>
          <w:left w:val="single" w:sz="4" w:space="4" w:color="auto"/>
          <w:bottom w:val="single" w:sz="4" w:space="1" w:color="auto"/>
          <w:right w:val="single" w:sz="4" w:space="4" w:color="auto"/>
        </w:pBdr>
        <w:shd w:val="pct10" w:color="auto" w:fill="auto"/>
        <w:ind w:right="5902"/>
      </w:pPr>
      <w:r w:rsidRPr="00557249">
        <w:rPr>
          <w:b/>
          <w:bCs/>
        </w:rPr>
        <w:t xml:space="preserve">COB </w:t>
      </w:r>
      <w:r w:rsidR="009602D1" w:rsidRPr="00557249">
        <w:rPr>
          <w:b/>
          <w:bCs/>
        </w:rPr>
        <w:t xml:space="preserve">24(d), </w:t>
      </w:r>
      <w:r w:rsidRPr="00557249">
        <w:rPr>
          <w:b/>
          <w:bCs/>
        </w:rPr>
        <w:t xml:space="preserve">25(d) / </w:t>
      </w:r>
      <w:r w:rsidR="00E77976" w:rsidRPr="00557249">
        <w:rPr>
          <w:b/>
          <w:bCs/>
        </w:rPr>
        <w:t>QPR/6, 11</w:t>
      </w:r>
      <w:r w:rsidR="00FE7A67" w:rsidRPr="00557249">
        <w:rPr>
          <w:b/>
          <w:bCs/>
        </w:rPr>
        <w:t>, 19</w:t>
      </w:r>
      <w:r w:rsidR="00011015" w:rsidRPr="009602D1">
        <w:br w:type="page"/>
      </w:r>
    </w:p>
    <w:p w14:paraId="4D2E7B42" w14:textId="77777777" w:rsidR="00A90364" w:rsidRPr="00A90364" w:rsidRDefault="00A90364" w:rsidP="00A90364">
      <w:pPr>
        <w:rPr>
          <w:b/>
          <w:bCs/>
          <w:smallCaps/>
        </w:rPr>
      </w:pPr>
    </w:p>
    <w:p w14:paraId="2CC8A194" w14:textId="58E7BC45" w:rsidR="00C9512D" w:rsidRPr="00EE4042" w:rsidRDefault="00C9512D" w:rsidP="00A90364">
      <w:pPr>
        <w:pStyle w:val="Listenabsatz"/>
        <w:numPr>
          <w:ilvl w:val="0"/>
          <w:numId w:val="5"/>
        </w:numPr>
        <w:rPr>
          <w:rStyle w:val="IntensiverVerweis"/>
        </w:rPr>
      </w:pPr>
      <w:r w:rsidRPr="00EE4042">
        <w:rPr>
          <w:rStyle w:val="IntensiverVerweis"/>
        </w:rPr>
        <w:t xml:space="preserve">Adopt a national action plan to prevent all forms of violence against intersex children/adults, including e.g.: awareness-raising measures, teaching of medical students and pupils in medical curricula, schoolbooks, lack of healthcare, intersex in </w:t>
      </w:r>
      <w:r w:rsidRPr="00394CF8">
        <w:rPr>
          <w:rStyle w:val="Hervorhebung"/>
        </w:rPr>
        <w:t>health</w:t>
      </w:r>
      <w:r w:rsidRPr="00EE4042">
        <w:rPr>
          <w:rStyle w:val="IntensiverVerweis"/>
        </w:rPr>
        <w:t xml:space="preserve"> surveys and registers, </w:t>
      </w:r>
      <w:proofErr w:type="gramStart"/>
      <w:r w:rsidRPr="00EE4042">
        <w:rPr>
          <w:rStyle w:val="IntensiverVerweis"/>
        </w:rPr>
        <w:t>gender</w:t>
      </w:r>
      <w:proofErr w:type="gramEnd"/>
      <w:r w:rsidRPr="00EE4042">
        <w:rPr>
          <w:rStyle w:val="IntensiverVerweis"/>
        </w:rPr>
        <w:t xml:space="preserve"> and sex stereotypes.</w:t>
      </w:r>
    </w:p>
    <w:p w14:paraId="443EA32C" w14:textId="77CCBB6D" w:rsidR="00F4172F" w:rsidRPr="00557249" w:rsidRDefault="00F4172F" w:rsidP="00557249">
      <w:pPr>
        <w:pBdr>
          <w:top w:val="single" w:sz="4" w:space="1" w:color="auto"/>
          <w:left w:val="single" w:sz="4" w:space="4" w:color="auto"/>
          <w:bottom w:val="single" w:sz="4" w:space="1" w:color="auto"/>
          <w:right w:val="single" w:sz="4" w:space="4" w:color="auto"/>
        </w:pBdr>
        <w:shd w:val="pct10" w:color="auto" w:fill="auto"/>
        <w:ind w:right="5902"/>
        <w:rPr>
          <w:b/>
          <w:bCs/>
        </w:rPr>
      </w:pPr>
      <w:bookmarkStart w:id="18" w:name="_Hlk109948671"/>
      <w:r w:rsidRPr="00557249">
        <w:rPr>
          <w:b/>
          <w:bCs/>
        </w:rPr>
        <w:t>Education (COB 23(b)</w:t>
      </w:r>
      <w:r w:rsidR="00F244EC" w:rsidRPr="00557249">
        <w:rPr>
          <w:b/>
          <w:bCs/>
        </w:rPr>
        <w:t xml:space="preserve">, </w:t>
      </w:r>
      <w:r w:rsidRPr="00557249">
        <w:rPr>
          <w:b/>
          <w:bCs/>
        </w:rPr>
        <w:t>25(e)</w:t>
      </w:r>
      <w:r w:rsidR="00F244EC" w:rsidRPr="00557249">
        <w:rPr>
          <w:b/>
          <w:bCs/>
        </w:rPr>
        <w:t xml:space="preserve">, </w:t>
      </w:r>
      <w:r w:rsidRPr="00557249">
        <w:rPr>
          <w:b/>
          <w:bCs/>
        </w:rPr>
        <w:t>35)</w:t>
      </w:r>
      <w:bookmarkEnd w:id="18"/>
    </w:p>
    <w:p w14:paraId="6B99B5CF" w14:textId="77777777" w:rsidR="00594D6F" w:rsidRPr="00CF7015" w:rsidRDefault="00594D6F" w:rsidP="00F31C39">
      <w:pPr>
        <w:pStyle w:val="Randziffern"/>
        <w:framePr w:wrap="around"/>
      </w:pPr>
    </w:p>
    <w:p w14:paraId="05021F62" w14:textId="70F4CE2C" w:rsidR="00273E83" w:rsidRPr="002E555C" w:rsidRDefault="00D76484" w:rsidP="00F31C39">
      <w:pPr>
        <w:pStyle w:val="Listenabsatz"/>
      </w:pPr>
      <w:r w:rsidRPr="002E555C">
        <w:t xml:space="preserve">About one third of respondents (in FRA 2020) say that a medical determination was made, but </w:t>
      </w:r>
      <w:r w:rsidRPr="00640BF2">
        <w:rPr>
          <w:rStyle w:val="Buchtitel"/>
        </w:rPr>
        <w:t>that</w:t>
      </w:r>
      <w:r w:rsidRPr="002E555C">
        <w:t xml:space="preserve"> they did not get a specific diagnosis or clear information.</w:t>
      </w:r>
      <w:bookmarkStart w:id="19" w:name="_Ref68042304"/>
      <w:r w:rsidR="00AC4DBC">
        <w:rPr>
          <w:rStyle w:val="Endnotenzeichen"/>
        </w:rPr>
        <w:endnoteReference w:id="23"/>
      </w:r>
      <w:bookmarkEnd w:id="19"/>
    </w:p>
    <w:p w14:paraId="3B4F9275" w14:textId="4C564CDD" w:rsidR="00273E83" w:rsidRPr="002E555C" w:rsidRDefault="00273E83" w:rsidP="00F31C39">
      <w:pPr>
        <w:pStyle w:val="Listenabsatz"/>
      </w:pPr>
      <w:r w:rsidRPr="002E555C">
        <w:t>S</w:t>
      </w:r>
      <w:r w:rsidR="00D76484" w:rsidRPr="002E555C">
        <w:t xml:space="preserve">tigmatization and isolation </w:t>
      </w:r>
      <w:r w:rsidRPr="002E555C">
        <w:t>hinder</w:t>
      </w:r>
      <w:r w:rsidR="00D76484" w:rsidRPr="002E555C">
        <w:t xml:space="preserve"> </w:t>
      </w:r>
      <w:r w:rsidR="00D279D2">
        <w:t xml:space="preserve">the </w:t>
      </w:r>
      <w:r w:rsidR="00D76484" w:rsidRPr="002E555C">
        <w:t>development</w:t>
      </w:r>
      <w:r w:rsidRPr="002E555C">
        <w:t xml:space="preserve"> of young intersex persons</w:t>
      </w:r>
      <w:r w:rsidR="00D76484" w:rsidRPr="002E555C">
        <w:t xml:space="preserve">. </w:t>
      </w:r>
    </w:p>
    <w:p w14:paraId="4592F7B7" w14:textId="7A2B19BE" w:rsidR="002E555C" w:rsidRPr="002E555C" w:rsidRDefault="00273E83" w:rsidP="00F31C39">
      <w:pPr>
        <w:pStyle w:val="Listenabsatz"/>
      </w:pPr>
      <w:r w:rsidRPr="002E555C">
        <w:t>D</w:t>
      </w:r>
      <w:r w:rsidR="00D76484" w:rsidRPr="002E555C">
        <w:t>evelopment of a healthy self-esteem is extremely difficult</w:t>
      </w:r>
      <w:r w:rsidR="009675AB">
        <w:t>.</w:t>
      </w:r>
    </w:p>
    <w:p w14:paraId="58060599" w14:textId="1CD0ADB3" w:rsidR="005901FD" w:rsidRDefault="004A1CB1" w:rsidP="00F31C39">
      <w:r>
        <w:t>Y</w:t>
      </w:r>
      <w:r w:rsidR="00D76484">
        <w:t xml:space="preserve">oung intersex children </w:t>
      </w:r>
      <w:r w:rsidR="002E555C">
        <w:t>should be</w:t>
      </w:r>
      <w:r w:rsidR="00D76484">
        <w:t xml:space="preserve"> informed at school, by medical professionals or peers like us</w:t>
      </w:r>
      <w:r>
        <w:t>,</w:t>
      </w:r>
      <w:r w:rsidR="00D76484">
        <w:t xml:space="preserve"> that intersex variations are healthy variations of the human body (CEDAW/C/GC/36, nos.12, 45s., 66). SPR/6 does not take </w:t>
      </w:r>
      <w:r w:rsidR="003B7FE3">
        <w:t xml:space="preserve">this </w:t>
      </w:r>
      <w:r w:rsidR="00D76484">
        <w:t>into account and does not address these matters (QPR/6, 17).</w:t>
      </w:r>
    </w:p>
    <w:p w14:paraId="4608A6FF" w14:textId="238C25B9" w:rsidR="00F4172F" w:rsidRPr="00EB2CAF" w:rsidRDefault="00F4172F" w:rsidP="00EB2CAF">
      <w:pPr>
        <w:pBdr>
          <w:top w:val="single" w:sz="4" w:space="1" w:color="auto"/>
          <w:left w:val="single" w:sz="4" w:space="4" w:color="auto"/>
          <w:bottom w:val="single" w:sz="4" w:space="1" w:color="auto"/>
          <w:right w:val="single" w:sz="4" w:space="4" w:color="auto"/>
        </w:pBdr>
        <w:shd w:val="pct10" w:color="auto" w:fill="auto"/>
        <w:ind w:right="5902"/>
        <w:rPr>
          <w:b/>
          <w:bCs/>
        </w:rPr>
      </w:pPr>
      <w:r w:rsidRPr="00EB2CAF">
        <w:rPr>
          <w:b/>
          <w:bCs/>
        </w:rPr>
        <w:t>Health</w:t>
      </w:r>
      <w:r w:rsidR="005901FD" w:rsidRPr="00EB2CAF">
        <w:rPr>
          <w:b/>
          <w:bCs/>
        </w:rPr>
        <w:t xml:space="preserve"> (</w:t>
      </w:r>
      <w:r w:rsidRPr="00EB2CAF">
        <w:rPr>
          <w:b/>
          <w:bCs/>
        </w:rPr>
        <w:t>COB 38(c), 39</w:t>
      </w:r>
      <w:r w:rsidR="005901FD" w:rsidRPr="00EB2CAF">
        <w:rPr>
          <w:b/>
          <w:bCs/>
        </w:rPr>
        <w:t>)</w:t>
      </w:r>
    </w:p>
    <w:p w14:paraId="02E0A955" w14:textId="77777777" w:rsidR="00594D6F" w:rsidRPr="00CF7015" w:rsidRDefault="00594D6F" w:rsidP="00F31C39">
      <w:pPr>
        <w:pStyle w:val="Randziffern"/>
        <w:framePr w:wrap="around"/>
      </w:pPr>
    </w:p>
    <w:p w14:paraId="480E5AE4" w14:textId="58996321" w:rsidR="00F4172F" w:rsidRDefault="002E555C" w:rsidP="00F31C39">
      <w:r>
        <w:t>Switzerland</w:t>
      </w:r>
      <w:r w:rsidR="00F4172F">
        <w:t xml:space="preserve"> (SPR/6) does not address specific health matters of intersex women and men (QPR/6, 19(d)</w:t>
      </w:r>
      <w:r w:rsidR="00D8098F">
        <w:t xml:space="preserve">, </w:t>
      </w:r>
      <w:r w:rsidR="00D8098F" w:rsidRPr="00D8098F">
        <w:t>analogously</w:t>
      </w:r>
      <w:r w:rsidR="00F4172F">
        <w:t xml:space="preserve">). </w:t>
      </w:r>
      <w:r w:rsidR="009602D1">
        <w:t>Most</w:t>
      </w:r>
      <w:r w:rsidR="00F4172F">
        <w:t xml:space="preserve"> forms of modifying sex characteristics are </w:t>
      </w:r>
      <w:r w:rsidR="003B7FE3">
        <w:t xml:space="preserve">violations of the </w:t>
      </w:r>
      <w:r w:rsidR="00F4172F">
        <w:t>human rights o</w:t>
      </w:r>
      <w:r w:rsidR="003B7FE3">
        <w:t>f</w:t>
      </w:r>
      <w:r w:rsidR="00F4172F">
        <w:t xml:space="preserve"> healthy children. Long-term health problems, lack of healthcare</w:t>
      </w:r>
      <w:r w:rsidR="003B7FE3">
        <w:t xml:space="preserve"> and</w:t>
      </w:r>
      <w:r w:rsidR="00F4172F">
        <w:t xml:space="preserve"> inadequate support result from these interventions. Access to healthcare for adult people with a VSC is not guaranteed. Reference to, and documentation on intersex women, </w:t>
      </w:r>
      <w:proofErr w:type="gramStart"/>
      <w:r w:rsidR="00F4172F">
        <w:t>men</w:t>
      </w:r>
      <w:proofErr w:type="gramEnd"/>
      <w:r w:rsidR="00F4172F">
        <w:t xml:space="preserve"> and non-binary intersex </w:t>
      </w:r>
      <w:r w:rsidR="00B602E5">
        <w:t xml:space="preserve">(and LGBT) </w:t>
      </w:r>
      <w:r w:rsidR="00F4172F">
        <w:t>persons in national health surveys and registers is lacking (COB 39(c)).</w:t>
      </w:r>
    </w:p>
    <w:p w14:paraId="2A92F6B5" w14:textId="043F2B2E" w:rsidR="00D76484" w:rsidRPr="00557249" w:rsidRDefault="005901FD" w:rsidP="00557249">
      <w:pPr>
        <w:pBdr>
          <w:top w:val="single" w:sz="4" w:space="1" w:color="auto"/>
          <w:left w:val="single" w:sz="4" w:space="4" w:color="auto"/>
          <w:bottom w:val="single" w:sz="4" w:space="1" w:color="auto"/>
          <w:right w:val="single" w:sz="4" w:space="4" w:color="auto"/>
        </w:pBdr>
        <w:shd w:val="pct10" w:color="auto" w:fill="auto"/>
        <w:ind w:right="5902"/>
        <w:rPr>
          <w:b/>
          <w:bCs/>
        </w:rPr>
      </w:pPr>
      <w:r w:rsidRPr="00557249">
        <w:rPr>
          <w:b/>
          <w:bCs/>
        </w:rPr>
        <w:t>Stereotypes (COB 2</w:t>
      </w:r>
      <w:r w:rsidR="00CF00E6" w:rsidRPr="00557249">
        <w:rPr>
          <w:b/>
          <w:bCs/>
        </w:rPr>
        <w:t>2, 23</w:t>
      </w:r>
      <w:r w:rsidRPr="00557249">
        <w:rPr>
          <w:b/>
          <w:bCs/>
        </w:rPr>
        <w:t>)</w:t>
      </w:r>
    </w:p>
    <w:p w14:paraId="7FCCE157" w14:textId="77777777" w:rsidR="00594D6F" w:rsidRPr="00CF7015" w:rsidRDefault="00594D6F" w:rsidP="00F31C39">
      <w:pPr>
        <w:pStyle w:val="Randziffern"/>
        <w:framePr w:wrap="around"/>
      </w:pPr>
    </w:p>
    <w:p w14:paraId="189EC8E6" w14:textId="69E9C9E5" w:rsidR="001759C0" w:rsidRDefault="00B602E5" w:rsidP="00F31C39">
      <w:r>
        <w:t>CEDAW</w:t>
      </w:r>
      <w:r w:rsidR="005901FD">
        <w:t xml:space="preserve"> </w:t>
      </w:r>
      <w:r w:rsidR="00CF00E6">
        <w:t>mentions</w:t>
      </w:r>
      <w:r w:rsidR="005901FD">
        <w:t xml:space="preserve"> in art</w:t>
      </w:r>
      <w:r w:rsidR="00640BF2">
        <w:t>icle</w:t>
      </w:r>
      <w:r w:rsidR="005901FD">
        <w:t xml:space="preserve"> 5(a) the obligation to eradicate stereotypes</w:t>
      </w:r>
      <w:r w:rsidR="002A0BF8">
        <w:t xml:space="preserve"> </w:t>
      </w:r>
      <w:r w:rsidR="005901FD">
        <w:t>to “modify the social and cultural patterns of conduct of men and women, with a view to achieving the elimination of prejudices and customary and all other practices which are based on the idea of the inferiority</w:t>
      </w:r>
      <w:r w:rsidR="008F1C69">
        <w:t xml:space="preserve"> […]</w:t>
      </w:r>
      <w:r w:rsidR="005901FD">
        <w:t>”.</w:t>
      </w:r>
      <w:r w:rsidR="00070329">
        <w:rPr>
          <w:rStyle w:val="Endnotenzeichen"/>
        </w:rPr>
        <w:endnoteReference w:id="24"/>
      </w:r>
      <w:r w:rsidR="00070329">
        <w:t xml:space="preserve"> </w:t>
      </w:r>
      <w:r w:rsidR="005901FD">
        <w:t xml:space="preserve">Intersex human beings are considered as particularly </w:t>
      </w:r>
      <w:r w:rsidR="005901FD">
        <w:rPr>
          <w:i/>
          <w:iCs/>
        </w:rPr>
        <w:t>inferior</w:t>
      </w:r>
      <w:r w:rsidR="005901FD">
        <w:t xml:space="preserve"> to other human beings. The eradication of prejudices, customs, traditions</w:t>
      </w:r>
      <w:r w:rsidR="008F1C69">
        <w:t xml:space="preserve"> </w:t>
      </w:r>
      <w:r w:rsidR="005901FD">
        <w:t>is of high discriminatory potential for intersex human rights.</w:t>
      </w:r>
      <w:r w:rsidR="005E7523">
        <w:t xml:space="preserve"> These </w:t>
      </w:r>
      <w:r w:rsidR="005901FD">
        <w:t>stereotypes</w:t>
      </w:r>
      <w:r w:rsidR="001E5A20">
        <w:t xml:space="preserve"> </w:t>
      </w:r>
      <w:r w:rsidR="005901FD">
        <w:t>affect intersex women and people, not based on their social role or their gender identity (</w:t>
      </w:r>
      <w:r w:rsidR="005901FD">
        <w:rPr>
          <w:smallCaps/>
        </w:rPr>
        <w:t>gender</w:t>
      </w:r>
      <w:r w:rsidR="005901FD">
        <w:t xml:space="preserve">) </w:t>
      </w:r>
      <w:r w:rsidR="005901FD">
        <w:rPr>
          <w:i/>
          <w:iCs/>
        </w:rPr>
        <w:t xml:space="preserve">but </w:t>
      </w:r>
      <w:r w:rsidR="002A0BF8">
        <w:rPr>
          <w:i/>
          <w:iCs/>
        </w:rPr>
        <w:t xml:space="preserve">mainly </w:t>
      </w:r>
      <w:r w:rsidR="005901FD">
        <w:rPr>
          <w:i/>
          <w:iCs/>
        </w:rPr>
        <w:t xml:space="preserve">is based on stereotyped </w:t>
      </w:r>
      <w:r w:rsidR="005901FD">
        <w:rPr>
          <w:i/>
          <w:iCs/>
          <w:smallCaps/>
        </w:rPr>
        <w:t>sex</w:t>
      </w:r>
      <w:r w:rsidR="005901FD">
        <w:rPr>
          <w:i/>
          <w:iCs/>
        </w:rPr>
        <w:t xml:space="preserve"> characteristics</w:t>
      </w:r>
      <w:r w:rsidR="005901FD">
        <w:t>.</w:t>
      </w:r>
      <w:r w:rsidR="00AC4DBC">
        <w:t xml:space="preserve"> </w:t>
      </w:r>
      <w:r w:rsidR="005901FD">
        <w:t>The Swiss Government (SPR/6) does not take</w:t>
      </w:r>
      <w:r w:rsidR="003B7FE3">
        <w:t xml:space="preserve"> this</w:t>
      </w:r>
      <w:r w:rsidR="005901FD">
        <w:t xml:space="preserve"> into account and does not address these matters relating to intersex women</w:t>
      </w:r>
      <w:r w:rsidR="002A0BF8">
        <w:t>/girls</w:t>
      </w:r>
      <w:r w:rsidR="005901FD">
        <w:t xml:space="preserve"> and men</w:t>
      </w:r>
      <w:r w:rsidR="002A0BF8">
        <w:t>/boys</w:t>
      </w:r>
      <w:r w:rsidR="005901FD">
        <w:t xml:space="preserve"> (QPR/6, 10).</w:t>
      </w:r>
    </w:p>
    <w:p w14:paraId="42DCE075" w14:textId="77777777" w:rsidR="001759C0" w:rsidRDefault="001759C0" w:rsidP="00F31C39"/>
    <w:p w14:paraId="2A90D27D" w14:textId="1E8DD97A" w:rsidR="00C9512D" w:rsidRDefault="00C9512D" w:rsidP="00F31C39">
      <w:r>
        <w:br w:type="page"/>
      </w:r>
    </w:p>
    <w:sectPr w:rsidR="00C9512D" w:rsidSect="007A2EFB">
      <w:footerReference w:type="default" r:id="rId20"/>
      <w:pgSz w:w="11920" w:h="16860"/>
      <w:pgMar w:top="851" w:right="1340" w:bottom="1276" w:left="850" w:header="737" w:footer="24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AE696" w14:textId="77777777" w:rsidR="002804E9" w:rsidRDefault="002804E9" w:rsidP="00F31C39">
      <w:r>
        <w:separator/>
      </w:r>
    </w:p>
  </w:endnote>
  <w:endnote w:type="continuationSeparator" w:id="0">
    <w:p w14:paraId="6DABDA83" w14:textId="77777777" w:rsidR="002804E9" w:rsidRDefault="002804E9" w:rsidP="00F31C39">
      <w:r>
        <w:continuationSeparator/>
      </w:r>
    </w:p>
  </w:endnote>
  <w:endnote w:id="1">
    <w:p w14:paraId="29C30A75" w14:textId="73F41A5D" w:rsidR="00D422D9" w:rsidRPr="006D26D8" w:rsidRDefault="00D422D9" w:rsidP="00F31C39">
      <w:pPr>
        <w:pStyle w:val="Fussnotentext"/>
      </w:pPr>
      <w:r>
        <w:rPr>
          <w:rStyle w:val="Endnotenzeichen"/>
        </w:rPr>
        <w:endnoteRef/>
      </w:r>
      <w:r>
        <w:t xml:space="preserve"> </w:t>
      </w:r>
      <w:r>
        <w:tab/>
        <w:t>Se</w:t>
      </w:r>
      <w:r w:rsidRPr="00DF38CF">
        <w:t>e our by-laws on our website (French).</w:t>
      </w:r>
    </w:p>
  </w:endnote>
  <w:endnote w:id="2">
    <w:p w14:paraId="016EF8C4" w14:textId="77777777" w:rsidR="006033D2" w:rsidRDefault="0039604B" w:rsidP="00F31C39">
      <w:pPr>
        <w:pStyle w:val="Fussnotentext"/>
      </w:pPr>
      <w:r>
        <w:rPr>
          <w:rStyle w:val="Endnotenzeichen"/>
        </w:rPr>
        <w:endnoteRef/>
      </w:r>
      <w:r w:rsidRPr="0039604B">
        <w:t xml:space="preserve"> </w:t>
      </w:r>
      <w:r w:rsidRPr="0039604B">
        <w:tab/>
      </w:r>
      <w:r w:rsidR="006033D2">
        <w:t xml:space="preserve">CEDAW/C/BGR/CO/8, no.34(e), where the Committee recommends that intersex </w:t>
      </w:r>
      <w:r w:rsidR="006033D2">
        <w:rPr>
          <w:i/>
          <w:iCs/>
        </w:rPr>
        <w:t>women</w:t>
      </w:r>
      <w:r w:rsidR="006033D2">
        <w:t xml:space="preserve"> are not subjected to surgery or treatment without their free, informed and prior consent. </w:t>
      </w:r>
    </w:p>
    <w:p w14:paraId="3266A03A" w14:textId="265F3135" w:rsidR="0039604B" w:rsidRDefault="006033D2" w:rsidP="00F31C39">
      <w:pPr>
        <w:pStyle w:val="Endnotentext"/>
      </w:pPr>
      <w:r>
        <w:t xml:space="preserve">About </w:t>
      </w:r>
      <w:r w:rsidR="00554826">
        <w:t>7-10</w:t>
      </w:r>
      <w:r>
        <w:t>% of inter</w:t>
      </w:r>
      <w:r w:rsidRPr="00514E71">
        <w:rPr>
          <w:b/>
          <w:bCs/>
        </w:rPr>
        <w:t>sex</w:t>
      </w:r>
      <w:r>
        <w:t xml:space="preserve"> people</w:t>
      </w:r>
      <w:r w:rsidR="003B3C10">
        <w:t xml:space="preserve"> </w:t>
      </w:r>
      <w:r>
        <w:t xml:space="preserve">have a </w:t>
      </w:r>
      <w:r w:rsidRPr="00554826">
        <w:rPr>
          <w:b/>
          <w:bCs/>
        </w:rPr>
        <w:t>non-binary gender identity</w:t>
      </w:r>
      <w:r>
        <w:t xml:space="preserve">; Ramesh Babu/Utsav Shah, Gender identity “disorder” (GID) </w:t>
      </w:r>
      <w:r w:rsidR="00BE379F">
        <w:t>[</w:t>
      </w:r>
      <w:r>
        <w:t>sic!</w:t>
      </w:r>
      <w:r w:rsidR="00BE379F">
        <w:t>]</w:t>
      </w:r>
      <w:r>
        <w:t xml:space="preserve"> in adolescents and adults with differences of sex development (DSD): A systematic review and meta-analysis, Journal of Pediatric Urology (17/1) 2021, 39-47: mean: 15%; however, men with hypospadias (one of the most common variations) are not included in surveys; European Union, Agency for Fundamental Rights</w:t>
      </w:r>
      <w:r w:rsidR="00B30029">
        <w:t xml:space="preserve"> (FRA)</w:t>
      </w:r>
      <w:r>
        <w:t>, A long way to go for LGBTI equality, Luxembourg 2020</w:t>
      </w:r>
      <w:r w:rsidR="00BE379F">
        <w:t>:</w:t>
      </w:r>
      <w:r w:rsidR="00BE379F" w:rsidRPr="00BE379F">
        <w:t xml:space="preserve"> 1</w:t>
      </w:r>
      <w:r w:rsidR="00BE379F">
        <w:t>’</w:t>
      </w:r>
      <w:r w:rsidR="00BE379F" w:rsidRPr="00BE379F">
        <w:t xml:space="preserve">519 intersex persons were interviewed, </w:t>
      </w:r>
      <w:r w:rsidR="003B3C10">
        <w:t xml:space="preserve">only </w:t>
      </w:r>
      <w:r w:rsidR="00BE379F" w:rsidRPr="00BE379F">
        <w:t>7% identified as non-binary</w:t>
      </w:r>
      <w:r>
        <w:t xml:space="preserve"> </w:t>
      </w:r>
      <w:r w:rsidR="00BE379F">
        <w:t>(</w:t>
      </w:r>
      <w:r>
        <w:t>p.60</w:t>
      </w:r>
      <w:r w:rsidR="00BE379F">
        <w:t>).</w:t>
      </w:r>
    </w:p>
    <w:p w14:paraId="19ECAAF9" w14:textId="6D66F770" w:rsidR="006033D2" w:rsidRPr="004F0DB3" w:rsidRDefault="006033D2" w:rsidP="00F31C39">
      <w:pPr>
        <w:pStyle w:val="Endnotentext"/>
        <w:rPr>
          <w:lang w:val="fr-CH"/>
        </w:rPr>
      </w:pPr>
      <w:r w:rsidRPr="004F0DB3">
        <w:rPr>
          <w:lang w:val="fr-CH"/>
        </w:rPr>
        <w:t>see: CEDAW/C/GC/28, no</w:t>
      </w:r>
      <w:r w:rsidR="00B30029">
        <w:rPr>
          <w:lang w:val="fr-CH"/>
        </w:rPr>
        <w:t>s</w:t>
      </w:r>
      <w:r w:rsidRPr="004F0DB3">
        <w:rPr>
          <w:lang w:val="fr-CH"/>
        </w:rPr>
        <w:t>.5</w:t>
      </w:r>
      <w:r w:rsidR="00B30029">
        <w:rPr>
          <w:lang w:val="fr-CH"/>
        </w:rPr>
        <w:t xml:space="preserve"> 22</w:t>
      </w:r>
      <w:r w:rsidRPr="004F0DB3">
        <w:rPr>
          <w:lang w:val="fr-CH"/>
        </w:rPr>
        <w:t xml:space="preserve">; </w:t>
      </w:r>
      <w:r w:rsidR="004F0DB3" w:rsidRPr="004F0DB3">
        <w:rPr>
          <w:lang w:val="fr-CH"/>
        </w:rPr>
        <w:t xml:space="preserve">Michelle Cottier, Article 5 CEDEF, 131-162, in: CEDEF - La Convention sur l'élimination de toutes les formes de discrimination à l'égard des femmes et son Protocole facultatif. Commentaire, Maya Hertig Randall, Michel Hottelier/Karine Lempen (éds.), Genève 2019. </w:t>
      </w:r>
      <w:r w:rsidRPr="004F0DB3">
        <w:rPr>
          <w:lang w:val="fr-CH"/>
        </w:rPr>
        <w:t xml:space="preserve"> no.22f.</w:t>
      </w:r>
      <w:r w:rsidRPr="0020089D">
        <w:rPr>
          <w:lang w:val="fr-CH"/>
        </w:rPr>
        <w:t xml:space="preserve"> and </w:t>
      </w:r>
      <w:r w:rsidR="0020089D" w:rsidRPr="0020089D">
        <w:rPr>
          <w:lang w:val="fr-CH"/>
        </w:rPr>
        <w:t>Karine Lempen, Repenser la discrimination «à raison du sexe» au sens de la loi fédérale sur l'égalité à la lumière de la CEDEF, Revue de droit suisse 2021(vol.II), 191-275</w:t>
      </w:r>
      <w:r w:rsidRPr="004F0DB3">
        <w:rPr>
          <w:lang w:val="fr-CH"/>
        </w:rPr>
        <w:t>, 208</w:t>
      </w:r>
      <w:r w:rsidR="00B30029">
        <w:rPr>
          <w:lang w:val="fr-CH"/>
        </w:rPr>
        <w:t>f.</w:t>
      </w:r>
      <w:r w:rsidRPr="004F0DB3">
        <w:rPr>
          <w:lang w:val="fr-CH"/>
        </w:rPr>
        <w:t xml:space="preserve">: “la convention […] vise […] une modification des rôles </w:t>
      </w:r>
      <w:r w:rsidR="00B30029">
        <w:rPr>
          <w:lang w:val="fr-CH"/>
        </w:rPr>
        <w:t>sociaux</w:t>
      </w:r>
      <w:r w:rsidRPr="004F0DB3">
        <w:rPr>
          <w:lang w:val="fr-CH"/>
        </w:rPr>
        <w:t>”</w:t>
      </w:r>
      <w:r w:rsidR="00B30029">
        <w:rPr>
          <w:lang w:val="fr-CH"/>
        </w:rPr>
        <w:t>, also 229f</w:t>
      </w:r>
      <w:r w:rsidRPr="004F0DB3">
        <w:rPr>
          <w:lang w:val="fr-CH"/>
        </w:rPr>
        <w:t>.</w:t>
      </w:r>
    </w:p>
  </w:endnote>
  <w:endnote w:id="3">
    <w:p w14:paraId="6448E264" w14:textId="77777777" w:rsidR="005F169A" w:rsidRDefault="005F169A" w:rsidP="00F31C39">
      <w:pPr>
        <w:pStyle w:val="Fussnotentext"/>
      </w:pPr>
      <w:r>
        <w:rPr>
          <w:rStyle w:val="Endnotenzeichen"/>
        </w:rPr>
        <w:endnoteRef/>
      </w:r>
      <w:r w:rsidRPr="003B2866">
        <w:t xml:space="preserve"> </w:t>
      </w:r>
      <w:r w:rsidRPr="003B2866">
        <w:tab/>
        <w:t xml:space="preserve">Melanie Blackless/et al., </w:t>
      </w:r>
      <w:r>
        <w:t>How sexually dimorphic are we? Review and synthesis, American Journal of Human Biology 2000(12/2), 151-66.</w:t>
      </w:r>
    </w:p>
  </w:endnote>
  <w:endnote w:id="4">
    <w:p w14:paraId="1CB2C836" w14:textId="3EC16C57" w:rsidR="009C3DBF" w:rsidRPr="00AC12E6" w:rsidRDefault="009C3DBF" w:rsidP="00F31C39">
      <w:pPr>
        <w:pStyle w:val="Fussnotentext"/>
      </w:pPr>
      <w:r>
        <w:rPr>
          <w:rStyle w:val="Endnotenzeichen"/>
        </w:rPr>
        <w:endnoteRef/>
      </w:r>
      <w:r w:rsidRPr="00E9700D">
        <w:t xml:space="preserve"> </w:t>
      </w:r>
      <w:r w:rsidRPr="00E9700D">
        <w:tab/>
      </w:r>
      <w:r>
        <w:t xml:space="preserve">Already: </w:t>
      </w:r>
      <w:r w:rsidRPr="00E9700D">
        <w:t>WHO, Sexual health, human rights and the law,</w:t>
      </w:r>
      <w:r w:rsidR="003B3C10">
        <w:t xml:space="preserve"> </w:t>
      </w:r>
      <w:r w:rsidR="005419A1" w:rsidRPr="003B3C10">
        <w:t xml:space="preserve">Geneva </w:t>
      </w:r>
      <w:r w:rsidRPr="00E9700D">
        <w:t xml:space="preserve">2015, </w:t>
      </w:r>
      <w:r w:rsidR="005419A1">
        <w:t>sections</w:t>
      </w:r>
      <w:r w:rsidRPr="00E9700D">
        <w:t>3.4.9, 5.2.7</w:t>
      </w:r>
      <w:r>
        <w:t>,</w:t>
      </w:r>
      <w:r w:rsidRPr="00E9700D">
        <w:t xml:space="preserve"> (</w:t>
      </w:r>
      <w:r w:rsidR="003518BC" w:rsidRPr="003518BC">
        <w:t>https://www.who.int/publications/i/item/9789241564984</w:t>
      </w:r>
      <w:r w:rsidR="003518BC">
        <w:t>, visited: June 2022</w:t>
      </w:r>
      <w:r w:rsidRPr="00AC12E6">
        <w:t>)</w:t>
      </w:r>
      <w:r>
        <w:t xml:space="preserve">; </w:t>
      </w:r>
      <w:r w:rsidRPr="009C3DBF">
        <w:t>United Nations, Human Rights Council, Tlaleng Mofokeng, Violence and its impact on the right to health, Report of the Special Rapporteur on the right of everyone to the enjoyment of the highest attainable standard of physical and mental health (A/HRC/50/28), 2022, e.g. no.16, 47, 59, 60</w:t>
      </w:r>
      <w:r>
        <w:t>.</w:t>
      </w:r>
    </w:p>
  </w:endnote>
  <w:endnote w:id="5">
    <w:p w14:paraId="6B28EF86" w14:textId="53C7DF65" w:rsidR="005F169A" w:rsidRDefault="005F169A" w:rsidP="00F31C39">
      <w:pPr>
        <w:pStyle w:val="Fussnotentext"/>
      </w:pPr>
      <w:r>
        <w:rPr>
          <w:rStyle w:val="Endnotenzeichen"/>
        </w:rPr>
        <w:endnoteRef/>
      </w:r>
      <w:r>
        <w:t xml:space="preserve"> </w:t>
      </w:r>
      <w:r>
        <w:tab/>
        <w:t>Melinda</w:t>
      </w:r>
      <w:r>
        <w:rPr>
          <w:smallCaps/>
        </w:rPr>
        <w:t xml:space="preserve"> </w:t>
      </w:r>
      <w:r>
        <w:t>Jones, Intersex Genital Mutilation – A Western Version of FGM, International Journal of Children’s Rights 2017</w:t>
      </w:r>
      <w:r w:rsidR="00B30029">
        <w:t>(25)</w:t>
      </w:r>
      <w:r>
        <w:t>, 396-411, 399</w:t>
      </w:r>
      <w:r w:rsidR="0020089D">
        <w:t>f</w:t>
      </w:r>
      <w:r>
        <w:t>.</w:t>
      </w:r>
    </w:p>
  </w:endnote>
  <w:endnote w:id="6">
    <w:p w14:paraId="4E6F8C3F" w14:textId="2047CD0E" w:rsidR="00491448" w:rsidRDefault="00491448" w:rsidP="00F31C39">
      <w:pPr>
        <w:pStyle w:val="Fussnotentext"/>
      </w:pPr>
      <w:r>
        <w:rPr>
          <w:vertAlign w:val="superscript"/>
        </w:rPr>
        <w:endnoteRef/>
      </w:r>
      <w:r w:rsidRPr="003B7FE3">
        <w:t xml:space="preserve"> </w:t>
      </w:r>
      <w:r w:rsidRPr="003B7FE3">
        <w:tab/>
      </w:r>
      <w:r w:rsidR="0020089D" w:rsidRPr="003B7FE3">
        <w:t>Ibid.</w:t>
      </w:r>
      <w:r w:rsidR="00210C5D" w:rsidRPr="003B7FE3">
        <w:t>,</w:t>
      </w:r>
      <w:r w:rsidR="003B7FE3">
        <w:t xml:space="preserve"> </w:t>
      </w:r>
      <w:r>
        <w:t xml:space="preserve">397; also Nancy Ehrenreich/Mark Barr, Intersex Surgery, Female Genital Cutting, and the Selective Condemnation of </w:t>
      </w:r>
      <w:r w:rsidR="003B7FE3">
        <w:t>“</w:t>
      </w:r>
      <w:r>
        <w:t>Cultural Practices</w:t>
      </w:r>
      <w:r w:rsidR="003B7FE3">
        <w:t>”</w:t>
      </w:r>
      <w:r>
        <w:t>, Harvard Civil Rights-Civil Liberties Law Review 2005</w:t>
      </w:r>
      <w:r w:rsidR="00B30029">
        <w:t>(40</w:t>
      </w:r>
      <w:r>
        <w:t>/1</w:t>
      </w:r>
      <w:r w:rsidR="00B30029">
        <w:t>)</w:t>
      </w:r>
      <w:r>
        <w:t xml:space="preserve">, 71-140; Martine Cools/et al., Caring for individuals with a difference of sex development (DSD): a Consensus Statement, Nature Reviews/Endocrinology 2018(14), 415-429, </w:t>
      </w:r>
      <w:r w:rsidRPr="00B30029">
        <w:rPr>
          <w:b/>
          <w:bCs w:val="0"/>
        </w:rPr>
        <w:t>416</w:t>
      </w:r>
      <w:r w:rsidR="00A90364">
        <w:t>.</w:t>
      </w:r>
    </w:p>
  </w:endnote>
  <w:endnote w:id="7">
    <w:p w14:paraId="75E878EE" w14:textId="3CE8D5D3" w:rsidR="00491448" w:rsidRDefault="00491448" w:rsidP="00F31C39">
      <w:pPr>
        <w:pStyle w:val="Fussnotentext"/>
      </w:pPr>
      <w:r>
        <w:rPr>
          <w:vertAlign w:val="superscript"/>
        </w:rPr>
        <w:endnoteRef/>
      </w:r>
      <w:r w:rsidRPr="00D51210">
        <w:t xml:space="preserve"> </w:t>
      </w:r>
      <w:r w:rsidRPr="00D51210">
        <w:tab/>
      </w:r>
      <w:r>
        <w:t xml:space="preserve">See our </w:t>
      </w:r>
      <w:hyperlink r:id="rId1" w:history="1">
        <w:r>
          <w:rPr>
            <w:rStyle w:val="Hyperlink"/>
          </w:rPr>
          <w:t>media release of 23 of July 2019</w:t>
        </w:r>
      </w:hyperlink>
      <w:r>
        <w:t xml:space="preserve"> : Altérations et mutilations des caractéristiques sexuelles pratiquées sur des enfants intersexués et données statistiques; the development of the number of cases until 2019 did not change: Florence Brenzikofer, Heure des questions in the Swiss parliament, </w:t>
      </w:r>
      <w:hyperlink r:id="rId2" w:history="1">
        <w:r w:rsidRPr="00B30029">
          <w:rPr>
            <w:rStyle w:val="Hyperlink"/>
          </w:rPr>
          <w:t>20.6005</w:t>
        </w:r>
      </w:hyperlink>
      <w:r w:rsidRPr="00B30029">
        <w:t>, 14.12.2020</w:t>
      </w:r>
      <w:r>
        <w:t xml:space="preserve">; see </w:t>
      </w:r>
      <w:r w:rsidR="00196D8B">
        <w:t>end</w:t>
      </w:r>
      <w:r>
        <w:t>note</w:t>
      </w:r>
      <w:r w:rsidR="00D51210">
        <w:t xml:space="preserve"> </w:t>
      </w:r>
      <w:r>
        <w:fldChar w:fldCharType="begin"/>
      </w:r>
      <w:r>
        <w:instrText xml:space="preserve"> NOTEREF _Ref67939378 \h </w:instrText>
      </w:r>
      <w:r>
        <w:fldChar w:fldCharType="separate"/>
      </w:r>
      <w:r w:rsidR="00860F64">
        <w:t>viii</w:t>
      </w:r>
      <w:r>
        <w:fldChar w:fldCharType="end"/>
      </w:r>
      <w:r>
        <w:t xml:space="preserve"> for Germany</w:t>
      </w:r>
      <w:r w:rsidR="00EB170E">
        <w:t xml:space="preserve">, </w:t>
      </w:r>
      <w:r>
        <w:t>the situation is probably the same in Switzerland</w:t>
      </w:r>
      <w:r w:rsidR="00EB170E">
        <w:t>.</w:t>
      </w:r>
    </w:p>
  </w:endnote>
  <w:endnote w:id="8">
    <w:p w14:paraId="72742C08" w14:textId="5A872754" w:rsidR="00491448" w:rsidRDefault="00491448" w:rsidP="00F31C39">
      <w:pPr>
        <w:pStyle w:val="Fussnotentext"/>
      </w:pPr>
      <w:r>
        <w:rPr>
          <w:vertAlign w:val="superscript"/>
        </w:rPr>
        <w:endnoteRef/>
      </w:r>
      <w:r w:rsidRPr="003B2866">
        <w:t xml:space="preserve"> </w:t>
      </w:r>
      <w:r w:rsidRPr="003B2866">
        <w:tab/>
        <w:t>Josch Hoenes/</w:t>
      </w:r>
      <w:r w:rsidR="00196D8B">
        <w:t>et al.</w:t>
      </w:r>
      <w:r w:rsidRPr="003B2866">
        <w:t>, Häufigkeit normangleichender Operationen „</w:t>
      </w:r>
      <w:r w:rsidRPr="003B2866">
        <w:t xml:space="preserve">uneindeutiger“ Genitalien im Kindesalter - Follow Up‐Studie, Bochum 2019, 2: The study shows </w:t>
      </w:r>
      <w:r w:rsidR="00FF5A25">
        <w:t>“</w:t>
      </w:r>
      <w:r w:rsidRPr="003B2866">
        <w:t xml:space="preserve">that nothing has changed – notwithstanding discourse, reports and opinions. </w:t>
      </w:r>
      <w:r>
        <w:t xml:space="preserve">Surgeries continue to be carried out, </w:t>
      </w:r>
      <w:r w:rsidR="00253C69">
        <w:t>no matter how many round tables and hearings there may be</w:t>
      </w:r>
      <w:r>
        <w:t>.</w:t>
      </w:r>
      <w:r w:rsidR="003B7FE3">
        <w:t>”</w:t>
      </w:r>
    </w:p>
  </w:endnote>
  <w:endnote w:id="9">
    <w:p w14:paraId="55E9014F" w14:textId="535A9861" w:rsidR="00190782" w:rsidRDefault="00070329" w:rsidP="00F31C39">
      <w:pPr>
        <w:pStyle w:val="Fussnotentext"/>
      </w:pPr>
      <w:r>
        <w:rPr>
          <w:vertAlign w:val="superscript"/>
        </w:rPr>
        <w:endnoteRef/>
      </w:r>
      <w:r>
        <w:t xml:space="preserve"> </w:t>
      </w:r>
      <w:r>
        <w:tab/>
      </w:r>
      <w:r w:rsidR="00190782" w:rsidRPr="00DB4563">
        <w:t xml:space="preserve">Committee on the Elimination of Discrimination against Women, and Committee on the Rights of the Child, </w:t>
      </w:r>
      <w:r w:rsidR="00190782" w:rsidRPr="00044670">
        <w:t>Joint general recommendation No. 31 of the Committee on the Elimination of Discrimination against Women/general comment No. 18 of the Committee on the Rights of the Child on harmful practices</w:t>
      </w:r>
      <w:r w:rsidR="00190782" w:rsidRPr="00DB4563">
        <w:t>, 2014</w:t>
      </w:r>
      <w:r>
        <w:t xml:space="preserve"> (CEDAW/C/GC/31 - CRC/C/GC/18).</w:t>
      </w:r>
    </w:p>
  </w:endnote>
  <w:endnote w:id="10">
    <w:p w14:paraId="0B8E5B8F" w14:textId="734DE2CD" w:rsidR="00070329" w:rsidRPr="00313C24" w:rsidRDefault="00070329" w:rsidP="00F31C39">
      <w:pPr>
        <w:pStyle w:val="Fussnotentext"/>
        <w:rPr>
          <w:lang w:val="en-US"/>
        </w:rPr>
      </w:pPr>
      <w:r>
        <w:rPr>
          <w:rStyle w:val="Endnotenzeichen"/>
        </w:rPr>
        <w:endnoteRef/>
      </w:r>
      <w:r>
        <w:t xml:space="preserve"> </w:t>
      </w:r>
      <w:r>
        <w:tab/>
      </w:r>
      <w:r w:rsidR="0029783F">
        <w:t>Ibid.</w:t>
      </w:r>
      <w:r w:rsidR="00245590">
        <w:t xml:space="preserve">, </w:t>
      </w:r>
      <w:r w:rsidRPr="00313C24">
        <w:t>no.16(a)-(d).</w:t>
      </w:r>
    </w:p>
  </w:endnote>
  <w:endnote w:id="11">
    <w:p w14:paraId="5AE80585" w14:textId="490142D9" w:rsidR="00070329" w:rsidRPr="00313C24" w:rsidRDefault="00070329" w:rsidP="00F31C39">
      <w:pPr>
        <w:pStyle w:val="Fussnotentext"/>
      </w:pPr>
      <w:r>
        <w:rPr>
          <w:rStyle w:val="Endnotenzeichen"/>
        </w:rPr>
        <w:endnoteRef/>
      </w:r>
      <w:r w:rsidRPr="00313C24">
        <w:t xml:space="preserve"> </w:t>
      </w:r>
      <w:r w:rsidRPr="00313C24">
        <w:tab/>
        <w:t>Fae Garland</w:t>
      </w:r>
      <w:r w:rsidR="003B2866">
        <w:t>/et al.</w:t>
      </w:r>
      <w:r w:rsidRPr="00313C24">
        <w:t>, Intersex Activism, Medical Power/Knowledge and the Scalar Limitations of the United Nations, Human Rights Law Review 2022</w:t>
      </w:r>
      <w:r w:rsidR="0029783F">
        <w:t>(</w:t>
      </w:r>
      <w:r w:rsidRPr="00313C24">
        <w:t>22</w:t>
      </w:r>
      <w:r w:rsidR="0029783F">
        <w:t>)</w:t>
      </w:r>
      <w:r w:rsidRPr="00313C24">
        <w:t>, 1–22, 12</w:t>
      </w:r>
      <w:r w:rsidR="00631410">
        <w:t>.</w:t>
      </w:r>
    </w:p>
  </w:endnote>
  <w:endnote w:id="12">
    <w:p w14:paraId="335C28E2" w14:textId="2E3E5821" w:rsidR="00C9512D" w:rsidRPr="00ED72AF" w:rsidRDefault="00C9512D" w:rsidP="00F31C39">
      <w:pPr>
        <w:pStyle w:val="Fussnotentext"/>
      </w:pPr>
      <w:r>
        <w:rPr>
          <w:vertAlign w:val="superscript"/>
        </w:rPr>
        <w:endnoteRef/>
      </w:r>
      <w:r w:rsidRPr="00ED72AF">
        <w:t xml:space="preserve"> </w:t>
      </w:r>
      <w:r w:rsidRPr="00ED72AF">
        <w:tab/>
        <w:t xml:space="preserve">2015: CAT/C/CHE/CO/7, </w:t>
      </w:r>
      <w:r w:rsidR="00780CD4">
        <w:t>para</w:t>
      </w:r>
      <w:r>
        <w:t>.</w:t>
      </w:r>
      <w:r w:rsidRPr="00ED72AF">
        <w:t>20</w:t>
      </w:r>
      <w:r>
        <w:t>(</w:t>
      </w:r>
      <w:r w:rsidRPr="00ED72AF">
        <w:t>a-c</w:t>
      </w:r>
      <w:r>
        <w:t>)</w:t>
      </w:r>
      <w:r w:rsidRPr="00ED72AF">
        <w:t xml:space="preserve"> and CRC/C/CHE/CO/2-4, </w:t>
      </w:r>
      <w:r w:rsidR="00780CD4">
        <w:t>para</w:t>
      </w:r>
      <w:r>
        <w:t>.</w:t>
      </w:r>
      <w:r w:rsidRPr="00ED72AF">
        <w:t>43</w:t>
      </w:r>
      <w:r w:rsidR="00780CD4">
        <w:t>(</w:t>
      </w:r>
      <w:r w:rsidRPr="00ED72AF">
        <w:t>b</w:t>
      </w:r>
      <w:r w:rsidR="00780CD4">
        <w:t>)</w:t>
      </w:r>
      <w:r w:rsidRPr="00ED72AF">
        <w:t xml:space="preserve"> (Harmful practices); 2016: CEDAW/C/CHE/CO/4-5, </w:t>
      </w:r>
      <w:r w:rsidR="00780CD4">
        <w:t>para</w:t>
      </w:r>
      <w:r>
        <w:t>.</w:t>
      </w:r>
      <w:r w:rsidRPr="00ED72AF">
        <w:t>25</w:t>
      </w:r>
      <w:r w:rsidR="00780CD4">
        <w:t>(a</w:t>
      </w:r>
      <w:r w:rsidRPr="00ED72AF">
        <w:t>-e</w:t>
      </w:r>
      <w:r w:rsidR="00780CD4">
        <w:t>)</w:t>
      </w:r>
      <w:r w:rsidRPr="00ED72AF">
        <w:t xml:space="preserve"> (Harmful practices) and 2017: CCPR/C/CHE/CO/4, </w:t>
      </w:r>
      <w:r w:rsidR="00780CD4">
        <w:t>para</w:t>
      </w:r>
      <w:r>
        <w:t>.</w:t>
      </w:r>
      <w:r w:rsidRPr="00ED72AF">
        <w:t>25</w:t>
      </w:r>
      <w:r w:rsidR="00780CD4">
        <w:t>(a-c)</w:t>
      </w:r>
      <w:r>
        <w:t xml:space="preserve">; </w:t>
      </w:r>
      <w:r w:rsidRPr="000D1147">
        <w:rPr>
          <w:b/>
        </w:rPr>
        <w:t>2021: CRC CRC/C/CHE/CO/5-6</w:t>
      </w:r>
      <w:r w:rsidRPr="000D1147">
        <w:t xml:space="preserve">, </w:t>
      </w:r>
      <w:bookmarkStart w:id="9" w:name="_Hlk108375431"/>
      <w:r w:rsidR="004B59FE">
        <w:t>para</w:t>
      </w:r>
      <w:r w:rsidR="004B59FE" w:rsidRPr="000D1147">
        <w:t>.29(</w:t>
      </w:r>
      <w:r w:rsidR="004B59FE">
        <w:t>a-d)</w:t>
      </w:r>
      <w:r w:rsidR="00891C61">
        <w:t xml:space="preserve">: </w:t>
      </w:r>
      <w:r w:rsidR="00891C61" w:rsidRPr="00891C61">
        <w:t xml:space="preserve">recommending a </w:t>
      </w:r>
      <w:r w:rsidR="00891C61" w:rsidRPr="005F00B3">
        <w:rPr>
          <w:b/>
        </w:rPr>
        <w:t>prohibition</w:t>
      </w:r>
      <w:r w:rsidR="00891C61" w:rsidRPr="00891C61">
        <w:t xml:space="preserve"> of the </w:t>
      </w:r>
      <w:r w:rsidR="00F619FD">
        <w:t>“</w:t>
      </w:r>
      <w:r w:rsidR="00F619FD" w:rsidRPr="00891C61">
        <w:t>performance of medical or surgical treatment on intersex children where those procedures may be safely deferred</w:t>
      </w:r>
      <w:r w:rsidR="00F619FD">
        <w:t xml:space="preserve"> </w:t>
      </w:r>
      <w:r w:rsidR="00F619FD" w:rsidRPr="00323BBD">
        <w:t>until children are able to provide their informed consent</w:t>
      </w:r>
      <w:r w:rsidR="00F619FD">
        <w:t>”</w:t>
      </w:r>
      <w:r w:rsidR="00062079">
        <w:t xml:space="preserve"> (b)</w:t>
      </w:r>
      <w:r w:rsidR="00B04930">
        <w:t xml:space="preserve">, </w:t>
      </w:r>
      <w:bookmarkEnd w:id="9"/>
      <w:r w:rsidR="00B04930">
        <w:t>para</w:t>
      </w:r>
      <w:r w:rsidR="00B04930" w:rsidRPr="000D1147">
        <w:t>.39</w:t>
      </w:r>
      <w:r w:rsidR="00B04930">
        <w:t>(d); para.</w:t>
      </w:r>
      <w:r w:rsidR="00B04930" w:rsidRPr="000D1147">
        <w:t>15(a)</w:t>
      </w:r>
      <w:r w:rsidR="004B59FE">
        <w:t xml:space="preserve">; </w:t>
      </w:r>
      <w:r w:rsidR="008D70E2">
        <w:t>s</w:t>
      </w:r>
      <w:r>
        <w:t xml:space="preserve">ee our website or the </w:t>
      </w:r>
      <w:hyperlink r:id="rId3" w:history="1">
        <w:r w:rsidRPr="00710A22">
          <w:rPr>
            <w:rStyle w:val="Hyperlink"/>
          </w:rPr>
          <w:t>TB database</w:t>
        </w:r>
      </w:hyperlink>
      <w:r>
        <w:t xml:space="preserve"> (88. Session)).</w:t>
      </w:r>
    </w:p>
  </w:endnote>
  <w:endnote w:id="13">
    <w:p w14:paraId="63F85D03" w14:textId="7116840C" w:rsidR="00E77976" w:rsidRPr="00D96CC8" w:rsidRDefault="00C9512D" w:rsidP="00F31C39">
      <w:pPr>
        <w:pStyle w:val="Fussnotentext"/>
      </w:pPr>
      <w:r>
        <w:rPr>
          <w:rStyle w:val="Endnotenzeichen"/>
        </w:rPr>
        <w:endnoteRef/>
      </w:r>
      <w:r w:rsidRPr="00D96CC8">
        <w:t xml:space="preserve"> </w:t>
      </w:r>
      <w:r w:rsidRPr="00D96CC8">
        <w:tab/>
        <w:t>ECRI Report on Switzerland (sixth monitoring cycle), on 10 December 2019 (rec. no. 5 "effectively protected"/</w:t>
      </w:r>
      <w:r w:rsidR="0029783F">
        <w:t xml:space="preserve"> prohibit “</w:t>
      </w:r>
      <w:r w:rsidRPr="00D96CC8">
        <w:t>sex-“normalising”</w:t>
      </w:r>
      <w:r>
        <w:t xml:space="preserve"> </w:t>
      </w:r>
      <w:r w:rsidRPr="00D96CC8">
        <w:t>surgery")</w:t>
      </w:r>
      <w:r>
        <w:t>.</w:t>
      </w:r>
    </w:p>
  </w:endnote>
  <w:endnote w:id="14">
    <w:p w14:paraId="68799BA8" w14:textId="1B6183D9" w:rsidR="004B3FB2" w:rsidRDefault="00C9512D" w:rsidP="00F31C39">
      <w:pPr>
        <w:pStyle w:val="Fussnotentext"/>
      </w:pPr>
      <w:r>
        <w:rPr>
          <w:rStyle w:val="Endnotenzeichen"/>
        </w:rPr>
        <w:endnoteRef/>
      </w:r>
      <w:r w:rsidRPr="00215DDC">
        <w:t xml:space="preserve"> </w:t>
      </w:r>
      <w:r w:rsidRPr="00215DDC">
        <w:tab/>
        <w:t xml:space="preserve">First (baseline) evaluation </w:t>
      </w:r>
      <w:r>
        <w:t>regarding the Istanbul Convention</w:t>
      </w:r>
      <w:r w:rsidRPr="00215DDC">
        <w:t xml:space="preserve"> and </w:t>
      </w:r>
      <w:r>
        <w:t xml:space="preserve">our </w:t>
      </w:r>
      <w:r w:rsidRPr="00215DDC">
        <w:t>repor</w:t>
      </w:r>
      <w:r>
        <w:t xml:space="preserve">t, </w:t>
      </w:r>
      <w:r w:rsidRPr="00215DDC">
        <w:t>supported in the common Alternative report: https://www.coe.int/en/web/istanbul-convention/switzerland (visited June 2022).</w:t>
      </w:r>
    </w:p>
    <w:p w14:paraId="070BD634" w14:textId="515C8475" w:rsidR="00631410" w:rsidRDefault="00631410" w:rsidP="00F31C39">
      <w:pPr>
        <w:pStyle w:val="Fussnotentext"/>
      </w:pPr>
    </w:p>
    <w:p w14:paraId="65524C3A" w14:textId="77777777" w:rsidR="0029783F" w:rsidRPr="00215DDC" w:rsidRDefault="0029783F" w:rsidP="00F31C39">
      <w:pPr>
        <w:pStyle w:val="Fussnotentext"/>
      </w:pPr>
    </w:p>
  </w:endnote>
  <w:endnote w:id="15">
    <w:p w14:paraId="0226C59D" w14:textId="35DD930A" w:rsidR="00C9512D" w:rsidRDefault="00C9512D" w:rsidP="00F31C39">
      <w:pPr>
        <w:pStyle w:val="Fussnotentext"/>
      </w:pPr>
      <w:r>
        <w:rPr>
          <w:rStyle w:val="Endnotenzeichen"/>
        </w:rPr>
        <w:endnoteRef/>
      </w:r>
      <w:r>
        <w:t xml:space="preserve"> </w:t>
      </w:r>
      <w:r>
        <w:tab/>
      </w:r>
      <w:r w:rsidRPr="005F3C20">
        <w:t xml:space="preserve">National Advisory Commission on Biomedical Ethics, NCE </w:t>
      </w:r>
      <w:r w:rsidR="006866AD">
        <w:t xml:space="preserve"> </w:t>
      </w:r>
    </w:p>
    <w:p w14:paraId="2477BA0E" w14:textId="22F1EB53" w:rsidR="00C9512D" w:rsidRPr="005F3C20" w:rsidRDefault="00C9512D" w:rsidP="00F31C39">
      <w:pPr>
        <w:pStyle w:val="Endnotentext"/>
        <w:rPr>
          <w:lang w:val="en-GB"/>
        </w:rPr>
      </w:pPr>
      <w:r w:rsidRPr="00A82296">
        <w:rPr>
          <w:lang w:val="en-GB"/>
        </w:rPr>
        <w:t>https://www.nek-cne.admin.ch/en/publications/opinions</w:t>
      </w:r>
      <w:r>
        <w:rPr>
          <w:lang w:val="en-GB"/>
        </w:rPr>
        <w:t>:</w:t>
      </w:r>
    </w:p>
    <w:p w14:paraId="20297066" w14:textId="4A455BE8" w:rsidR="00C9512D" w:rsidRDefault="00C9512D">
      <w:pPr>
        <w:pStyle w:val="Endnotentext"/>
        <w:numPr>
          <w:ilvl w:val="0"/>
          <w:numId w:val="3"/>
        </w:numPr>
        <w:rPr>
          <w:lang w:val="en-GB"/>
        </w:rPr>
      </w:pPr>
      <w:r w:rsidRPr="005F3C20">
        <w:rPr>
          <w:lang w:val="en-GB"/>
        </w:rPr>
        <w:t>On the management of differences of sex development, no.20/</w:t>
      </w:r>
      <w:r w:rsidRPr="005F3C20">
        <w:rPr>
          <w:b/>
          <w:bCs/>
          <w:lang w:val="en-GB"/>
        </w:rPr>
        <w:t>2012</w:t>
      </w:r>
      <w:r w:rsidRPr="005F3C20">
        <w:rPr>
          <w:lang w:val="en-GB"/>
        </w:rPr>
        <w:t xml:space="preserve">, </w:t>
      </w:r>
      <w:r w:rsidR="00995268">
        <w:rPr>
          <w:lang w:val="en-GB"/>
        </w:rPr>
        <w:t xml:space="preserve">13 and </w:t>
      </w:r>
      <w:r>
        <w:rPr>
          <w:lang w:val="en-GB"/>
        </w:rPr>
        <w:t>rec.</w:t>
      </w:r>
      <w:r w:rsidRPr="005F3C20">
        <w:rPr>
          <w:lang w:val="en-GB"/>
        </w:rPr>
        <w:t xml:space="preserve"> 3</w:t>
      </w:r>
      <w:r>
        <w:rPr>
          <w:lang w:val="en-GB"/>
        </w:rPr>
        <w:t xml:space="preserve"> and 4;</w:t>
      </w:r>
    </w:p>
    <w:p w14:paraId="15ABF4B7" w14:textId="2D0EA433" w:rsidR="00995268" w:rsidRPr="00995268" w:rsidRDefault="00C9512D">
      <w:pPr>
        <w:pStyle w:val="Endnotentext"/>
        <w:numPr>
          <w:ilvl w:val="0"/>
          <w:numId w:val="3"/>
        </w:numPr>
        <w:rPr>
          <w:lang w:val="en-GB"/>
        </w:rPr>
      </w:pPr>
      <w:r w:rsidRPr="007D5A5B">
        <w:rPr>
          <w:lang w:val="en-GB"/>
        </w:rPr>
        <w:t>Officially recorded gender. Ethical considerations on the management of the recording of gender in the civil register, no.36/</w:t>
      </w:r>
      <w:r w:rsidRPr="007D5A5B">
        <w:rPr>
          <w:b/>
          <w:bCs/>
          <w:lang w:val="en-GB"/>
        </w:rPr>
        <w:t>2020</w:t>
      </w:r>
      <w:r w:rsidRPr="007D5A5B">
        <w:rPr>
          <w:lang w:val="en-GB"/>
        </w:rPr>
        <w:t xml:space="preserve">, </w:t>
      </w:r>
      <w:r>
        <w:rPr>
          <w:lang w:val="en-GB"/>
        </w:rPr>
        <w:t>29.</w:t>
      </w:r>
      <w:r w:rsidR="00995268" w:rsidRPr="00995268">
        <w:t xml:space="preserve"> </w:t>
      </w:r>
    </w:p>
    <w:p w14:paraId="70C9C435" w14:textId="5E5F1C27" w:rsidR="00C9512D" w:rsidRPr="007D5A5B" w:rsidRDefault="00995268" w:rsidP="00F31C39">
      <w:pPr>
        <w:pStyle w:val="Endnotentext"/>
        <w:rPr>
          <w:lang w:val="en-GB"/>
        </w:rPr>
      </w:pPr>
      <w:r w:rsidRPr="00B34379">
        <w:t>see</w:t>
      </w:r>
      <w:r>
        <w:t xml:space="preserve"> also: Katrina Roen, Intersex or Diverse Sex Development: Critical Review of Psychosocial Health Care Research and Indications for Practice, The Journal of Sex Research, 2019(56/4-5</w:t>
      </w:r>
      <w:r w:rsidR="0029783F">
        <w:t>)</w:t>
      </w:r>
      <w:r>
        <w:t>, 511-528, 526.</w:t>
      </w:r>
    </w:p>
  </w:endnote>
  <w:endnote w:id="16">
    <w:p w14:paraId="338BED26" w14:textId="377524F4" w:rsidR="00E86F60" w:rsidRDefault="00E86F60" w:rsidP="00F31C39">
      <w:pPr>
        <w:pStyle w:val="Fussnotentext"/>
        <w:rPr>
          <w:rFonts w:ascii="Calibri" w:hAnsi="Calibri"/>
          <w:sz w:val="16"/>
        </w:rPr>
      </w:pPr>
      <w:r>
        <w:rPr>
          <w:rStyle w:val="Endnotenzeichen"/>
        </w:rPr>
        <w:endnoteRef/>
      </w:r>
      <w:r>
        <w:rPr>
          <w:rStyle w:val="Endnotenzeichen"/>
        </w:rPr>
        <w:t xml:space="preserve"> </w:t>
      </w:r>
      <w:r>
        <w:tab/>
        <w:t>On the regional level see</w:t>
      </w:r>
      <w:r w:rsidR="009C3DBF">
        <w:t xml:space="preserve"> e.g.</w:t>
      </w:r>
      <w:r>
        <w:t>: European Parliament resolution of 14 February 2019 on the rights of intersex people (2018/2878(RSP)); Promoting the human rights of and eliminating discrimination against intersex people</w:t>
      </w:r>
      <w:r w:rsidR="0029783F">
        <w:t>,</w:t>
      </w:r>
      <w:r>
        <w:t xml:space="preserve"> Resolution 2191 (2017); European Union</w:t>
      </w:r>
      <w:r w:rsidR="0029783F">
        <w:t xml:space="preserve"> (FRA)</w:t>
      </w:r>
      <w:r>
        <w:t xml:space="preserve">, 2020 (endnote </w:t>
      </w:r>
      <w:r>
        <w:fldChar w:fldCharType="begin"/>
      </w:r>
      <w:r>
        <w:instrText xml:space="preserve"> NOTEREF _Ref110011489 \h </w:instrText>
      </w:r>
      <w:r>
        <w:fldChar w:fldCharType="separate"/>
      </w:r>
      <w:r w:rsidR="00860F64">
        <w:t>ii</w:t>
      </w:r>
      <w:r>
        <w:fldChar w:fldCharType="end"/>
      </w:r>
      <w:r>
        <w:t>), no 2.4: 62% of 1’519 intersex respondents were not asked for their or their parents’ consent before undergoing surgical intervention to modify their sex characteristics.</w:t>
      </w:r>
    </w:p>
  </w:endnote>
  <w:endnote w:id="17">
    <w:p w14:paraId="52DBF176" w14:textId="51882887" w:rsidR="00631410" w:rsidRPr="000C7671" w:rsidRDefault="00631410" w:rsidP="00631410">
      <w:pPr>
        <w:pStyle w:val="Fussnotentext"/>
        <w:rPr>
          <w:bCs w:val="0"/>
        </w:rPr>
      </w:pPr>
      <w:r>
        <w:rPr>
          <w:rStyle w:val="Endnotenzeichen"/>
        </w:rPr>
        <w:endnoteRef/>
      </w:r>
      <w:r>
        <w:t xml:space="preserve"> </w:t>
      </w:r>
      <w:r w:rsidRPr="000C7671">
        <w:tab/>
        <w:t>Lehrplan 21, based on article 62 Fed.Cst. - The Key facts:</w:t>
      </w:r>
      <w:r>
        <w:t xml:space="preserve"> </w:t>
      </w:r>
      <w:r w:rsidRPr="000C7671">
        <w:t>https://www.lehrplan21.ch/sites/default/files/The%20key%20facts%20at%20a%20glance.pdf</w:t>
      </w:r>
      <w:r>
        <w:t>.</w:t>
      </w:r>
    </w:p>
  </w:endnote>
  <w:endnote w:id="18">
    <w:p w14:paraId="093A4114" w14:textId="448F5F8B" w:rsidR="00C9512D" w:rsidRPr="00C82793" w:rsidRDefault="00C9512D" w:rsidP="00F31C39">
      <w:pPr>
        <w:pStyle w:val="Fussnotentext"/>
      </w:pPr>
      <w:r>
        <w:rPr>
          <w:rStyle w:val="Endnotenzeichen"/>
        </w:rPr>
        <w:endnoteRef/>
      </w:r>
      <w:r w:rsidRPr="00631410">
        <w:rPr>
          <w:lang w:val="fr-CH"/>
        </w:rPr>
        <w:t xml:space="preserve"> </w:t>
      </w:r>
      <w:r w:rsidRPr="00631410">
        <w:rPr>
          <w:lang w:val="fr-CH"/>
        </w:rPr>
        <w:tab/>
        <w:t>See Conférence en matière de protection des mineurs et des adultes (</w:t>
      </w:r>
      <w:r w:rsidRPr="00631410">
        <w:rPr>
          <w:b/>
          <w:lang w:val="fr-CH"/>
        </w:rPr>
        <w:t>COPMA</w:t>
      </w:r>
      <w:r w:rsidRPr="00631410">
        <w:rPr>
          <w:lang w:val="fr-CH"/>
        </w:rPr>
        <w:t>): (</w:t>
      </w:r>
      <w:r w:rsidR="00000000">
        <w:fldChar w:fldCharType="begin"/>
      </w:r>
      <w:r w:rsidR="00000000" w:rsidRPr="00860F64">
        <w:rPr>
          <w:lang w:val="fr-CH"/>
        </w:rPr>
        <w:instrText xml:space="preserve"> HYPERLINK "https://www.kokes.ch/application/files/8015/9110/2452/Vernehmlassung_KOKES.pdf" </w:instrText>
      </w:r>
      <w:r w:rsidR="00000000">
        <w:fldChar w:fldCharType="separate"/>
      </w:r>
      <w:r w:rsidRPr="00F32F7D">
        <w:rPr>
          <w:rStyle w:val="Hyperlink"/>
          <w:lang w:val="fr-CH"/>
        </w:rPr>
        <w:t>https://www.kokes.ch/application/files/8015/9110/2452/Vernehmlassung_KOKES.pdf</w:t>
      </w:r>
      <w:r w:rsidR="00000000">
        <w:rPr>
          <w:rStyle w:val="Hyperlink"/>
          <w:lang w:val="fr-CH"/>
        </w:rPr>
        <w:fldChar w:fldCharType="end"/>
      </w:r>
      <w:r w:rsidRPr="00631410">
        <w:rPr>
          <w:lang w:val="fr-CH"/>
        </w:rPr>
        <w:t xml:space="preserve">, visited July 2022) and </w:t>
      </w:r>
      <w:r w:rsidRPr="00EA7B39">
        <w:rPr>
          <w:rStyle w:val="hidden-xs"/>
          <w:b/>
          <w:bCs w:val="0"/>
          <w:lang w:val="fr-CH"/>
        </w:rPr>
        <w:t xml:space="preserve">National Advisory Commission on Biomedical Ethics </w:t>
      </w:r>
      <w:r w:rsidR="00EA7B39">
        <w:rPr>
          <w:rStyle w:val="hidden-xs"/>
          <w:b/>
          <w:bCs w:val="0"/>
          <w:lang w:val="fr-CH"/>
        </w:rPr>
        <w:t>(</w:t>
      </w:r>
      <w:r w:rsidRPr="00EA7B39">
        <w:rPr>
          <w:rStyle w:val="hidden-xs"/>
          <w:b/>
          <w:bCs w:val="0"/>
          <w:lang w:val="fr-CH"/>
        </w:rPr>
        <w:t>NCE</w:t>
      </w:r>
      <w:r w:rsidR="00EA7B39">
        <w:rPr>
          <w:rStyle w:val="hidden-xs"/>
          <w:b/>
          <w:bCs w:val="0"/>
          <w:lang w:val="fr-CH"/>
        </w:rPr>
        <w:t>)</w:t>
      </w:r>
      <w:r w:rsidRPr="00F32F7D">
        <w:rPr>
          <w:rStyle w:val="hidden-xs"/>
          <w:lang w:val="fr-CH"/>
        </w:rPr>
        <w:t xml:space="preserve"> (</w:t>
      </w:r>
      <w:hyperlink r:id="rId4" w:history="1">
        <w:r w:rsidRPr="00F32F7D">
          <w:rPr>
            <w:rStyle w:val="Hyperlink"/>
            <w:lang w:val="fr-CH"/>
          </w:rPr>
          <w:t>https://www.nek-cne.admin.ch/inhalte/Themen/Vernehmlassungsantworten/NEK-CNE_CC_changement_de_sexe_a_l_etat_civil_final.pdf</w:t>
        </w:r>
      </w:hyperlink>
      <w:r w:rsidRPr="00F32F7D">
        <w:rPr>
          <w:rStyle w:val="hidden-xs"/>
          <w:lang w:val="fr-CH"/>
        </w:rPr>
        <w:t xml:space="preserve">), para. </w:t>
      </w:r>
      <w:r>
        <w:rPr>
          <w:rStyle w:val="hidden-xs"/>
        </w:rPr>
        <w:t xml:space="preserve">5; </w:t>
      </w:r>
      <w:r>
        <w:t>o</w:t>
      </w:r>
      <w:r w:rsidRPr="00C82793">
        <w:t xml:space="preserve">ur </w:t>
      </w:r>
      <w:r>
        <w:t xml:space="preserve">joint </w:t>
      </w:r>
      <w:r w:rsidRPr="00C82793">
        <w:t>statement h</w:t>
      </w:r>
      <w:r>
        <w:t xml:space="preserve">ere: </w:t>
      </w:r>
      <w:hyperlink r:id="rId5" w:history="1">
        <w:r w:rsidRPr="00AD6795">
          <w:rPr>
            <w:rStyle w:val="Hyperlink"/>
          </w:rPr>
          <w:t>https://us8.campaign-archive.com/?e=&amp;u=d73952ab7f346daa87bfece51&amp;id=fa589b31f4</w:t>
        </w:r>
      </w:hyperlink>
      <w:r>
        <w:t xml:space="preserve"> (visited June 2022).</w:t>
      </w:r>
    </w:p>
  </w:endnote>
  <w:endnote w:id="19">
    <w:p w14:paraId="02902E62" w14:textId="4C0E6A62" w:rsidR="00C9512D" w:rsidRPr="00B626F4" w:rsidRDefault="00C9512D" w:rsidP="00F31C39">
      <w:pPr>
        <w:pStyle w:val="Fussnotentext"/>
        <w:rPr>
          <w:rFonts w:cstheme="majorHAnsi"/>
        </w:rPr>
      </w:pPr>
      <w:r>
        <w:rPr>
          <w:rStyle w:val="Endnotenzeichen"/>
        </w:rPr>
        <w:endnoteRef/>
      </w:r>
      <w:r w:rsidRPr="00923EBB">
        <w:rPr>
          <w:lang w:val="fr-CH"/>
        </w:rPr>
        <w:t xml:space="preserve"> </w:t>
      </w:r>
      <w:r w:rsidRPr="00923EBB">
        <w:rPr>
          <w:lang w:val="fr-CH"/>
        </w:rPr>
        <w:tab/>
        <w:t xml:space="preserve">See our </w:t>
      </w:r>
      <w:r w:rsidR="00000000">
        <w:fldChar w:fldCharType="begin"/>
      </w:r>
      <w:r w:rsidR="00000000" w:rsidRPr="00860F64">
        <w:rPr>
          <w:lang w:val="fr-CH"/>
        </w:rPr>
        <w:instrText xml:space="preserve"> HYPERLINK "https://www.inter-action-suisse.ch/post/com-de-presse-mutilation-g%C3%A9nitales-en-suisse-medienmitteilung-verts%C3%BCmmelungen-in-der-schweiz" </w:instrText>
      </w:r>
      <w:r w:rsidR="00000000">
        <w:fldChar w:fldCharType="separate"/>
      </w:r>
      <w:r w:rsidRPr="00B14C40">
        <w:rPr>
          <w:rStyle w:val="Hyperlink"/>
          <w:lang w:val="fr-CH"/>
        </w:rPr>
        <w:t>media release of 23 of July 2019</w:t>
      </w:r>
      <w:r w:rsidR="00000000">
        <w:rPr>
          <w:rStyle w:val="Hyperlink"/>
          <w:lang w:val="fr-CH"/>
        </w:rPr>
        <w:fldChar w:fldCharType="end"/>
      </w:r>
      <w:r w:rsidRPr="00923EBB">
        <w:rPr>
          <w:lang w:val="fr-CH"/>
        </w:rPr>
        <w:t xml:space="preserve"> (French): 4ème rapport périodique de la Suisse sur la mise en œuvre de la Convention internationale relative aux droits économiques, sociaux et culturels; Ulrike Klöppel, Zur Aktualität kosmetischer Operationen „uneindeutiger“ Genitalien im Kindesalter, Zentrum für transdisziplinäre Geschlechterstudien, Bulletin Texte 42, Berlin 2016; Josch Hoenes/Eugen Januschke/Ulrike Klöppel, Häufigkeit normangleichender Operationen „uneindeutiger“ Genitalien im Kindesalter - Follow Up‐Studie, Bochum 2019, 2: Surgeries continue to be carried out.</w:t>
      </w:r>
      <w:r w:rsidR="00B14C40" w:rsidRPr="00923EBB">
        <w:rPr>
          <w:lang w:val="fr-CH"/>
        </w:rPr>
        <w:t xml:space="preserve"> - </w:t>
      </w:r>
      <w:r w:rsidRPr="00923EBB">
        <w:rPr>
          <w:b/>
          <w:lang w:val="fr-CH"/>
        </w:rPr>
        <w:t>Voir Canton de Zurich RRB-2022-0125</w:t>
      </w:r>
      <w:r w:rsidRPr="00923EBB">
        <w:rPr>
          <w:lang w:val="fr-CH"/>
        </w:rPr>
        <w:t xml:space="preserve"> : selon les données de l'Hôpital pour enfants de Zurich, 85 à 135 opérations génitales sont effectuées chaque année sur des enfants présentant des "variantes du développement sexuel": </w:t>
      </w:r>
      <w:r w:rsidRPr="00C035C2">
        <w:rPr>
          <w:rStyle w:val="Hyperlink"/>
          <w:rFonts w:cstheme="majorHAnsi"/>
          <w:color w:val="auto"/>
          <w:lang w:val="fr-CH"/>
        </w:rPr>
        <w:t>Postulat du 15.11.2021</w:t>
      </w:r>
      <w:r>
        <w:rPr>
          <w:rStyle w:val="Hyperlink"/>
          <w:rFonts w:cstheme="majorHAnsi"/>
          <w:color w:val="auto"/>
          <w:lang w:val="fr-CH"/>
        </w:rPr>
        <w:t xml:space="preserve">, </w:t>
      </w:r>
      <w:r w:rsidRPr="00C035C2">
        <w:rPr>
          <w:rStyle w:val="Hyperlink"/>
          <w:rFonts w:cstheme="majorHAnsi"/>
          <w:color w:val="auto"/>
          <w:lang w:val="fr-CH"/>
        </w:rPr>
        <w:t>Extrait du procès-verbal du Conseil d'Etat du canton de Zurich du 26.01.2022</w:t>
      </w:r>
      <w:r w:rsidRPr="00C035C2">
        <w:rPr>
          <w:rStyle w:val="Hyperlink"/>
          <w:rFonts w:cstheme="majorHAnsi"/>
          <w:lang w:val="fr-CH"/>
        </w:rPr>
        <w:t xml:space="preserve">, </w:t>
      </w:r>
      <w:bookmarkStart w:id="16" w:name="_Hlk104934940"/>
      <w:r w:rsidRPr="00C035C2">
        <w:rPr>
          <w:rStyle w:val="Hyperlink"/>
          <w:rFonts w:cstheme="majorHAnsi"/>
          <w:lang w:val="fr-CH"/>
        </w:rPr>
        <w:fldChar w:fldCharType="begin"/>
      </w:r>
      <w:r w:rsidRPr="00C035C2">
        <w:rPr>
          <w:rStyle w:val="Hyperlink"/>
          <w:rFonts w:cstheme="majorHAnsi"/>
          <w:lang w:val="fr-CH"/>
        </w:rPr>
        <w:instrText xml:space="preserve"> HYPERLINK "https://parlzhcdws.cmicloud.ch/parlzh5/cdws/Files/6c7cce82840d461db9a63433a11ac313-332/1/pdf" </w:instrText>
      </w:r>
      <w:r w:rsidRPr="00C035C2">
        <w:rPr>
          <w:rStyle w:val="Hyperlink"/>
          <w:rFonts w:cstheme="majorHAnsi"/>
          <w:lang w:val="fr-CH"/>
        </w:rPr>
        <w:fldChar w:fldCharType="separate"/>
      </w:r>
      <w:r w:rsidRPr="00C035C2">
        <w:rPr>
          <w:rStyle w:val="Hyperlink"/>
          <w:rFonts w:cstheme="majorHAnsi"/>
          <w:lang w:val="fr-CH"/>
        </w:rPr>
        <w:t xml:space="preserve">KR-Nr. </w:t>
      </w:r>
      <w:r w:rsidRPr="00B626F4">
        <w:rPr>
          <w:rStyle w:val="Hyperlink"/>
          <w:rFonts w:cstheme="majorHAnsi"/>
        </w:rPr>
        <w:t>394/2021</w:t>
      </w:r>
      <w:bookmarkEnd w:id="16"/>
      <w:r w:rsidRPr="00C035C2">
        <w:rPr>
          <w:rStyle w:val="Hyperlink"/>
          <w:rFonts w:cstheme="majorHAnsi"/>
          <w:lang w:val="fr-CH"/>
        </w:rPr>
        <w:fldChar w:fldCharType="end"/>
      </w:r>
      <w:r>
        <w:rPr>
          <w:rFonts w:cstheme="majorHAnsi"/>
        </w:rPr>
        <w:t xml:space="preserve"> (</w:t>
      </w:r>
      <w:r>
        <w:t>visited June 2022</w:t>
      </w:r>
      <w:r>
        <w:rPr>
          <w:rFonts w:cstheme="majorHAnsi"/>
        </w:rPr>
        <w:t>).</w:t>
      </w:r>
    </w:p>
  </w:endnote>
  <w:endnote w:id="20">
    <w:p w14:paraId="70501328" w14:textId="3E858A2E" w:rsidR="00C9512D" w:rsidRPr="00996C9B" w:rsidRDefault="00C9512D" w:rsidP="00F31C39">
      <w:pPr>
        <w:pStyle w:val="Fussnotentext"/>
      </w:pPr>
      <w:r>
        <w:rPr>
          <w:rStyle w:val="Endnotenzeichen"/>
        </w:rPr>
        <w:endnoteRef/>
      </w:r>
      <w:r>
        <w:t xml:space="preserve"> </w:t>
      </w:r>
      <w:r>
        <w:tab/>
      </w:r>
      <w:r w:rsidRPr="008D4659">
        <w:t xml:space="preserve">Martine Cools/et al., </w:t>
      </w:r>
      <w:r>
        <w:t>Caring for individuals with a difference of sex development (DSD): a Consensus Statement, Nature Reviews/Endocrinology 2018(14), 415-429, 416.</w:t>
      </w:r>
    </w:p>
  </w:endnote>
  <w:endnote w:id="21">
    <w:p w14:paraId="4AFBD028" w14:textId="2412ED97" w:rsidR="00C9512D" w:rsidRPr="00996C9B" w:rsidRDefault="00C9512D" w:rsidP="00F31C39">
      <w:pPr>
        <w:pStyle w:val="Fussnotentext"/>
      </w:pPr>
      <w:r>
        <w:rPr>
          <w:rStyle w:val="Endnotenzeichen"/>
        </w:rPr>
        <w:endnoteRef/>
      </w:r>
      <w:r>
        <w:t xml:space="preserve"> </w:t>
      </w:r>
      <w:r>
        <w:tab/>
        <w:t>Ute Lampalzer/</w:t>
      </w:r>
      <w:r w:rsidR="003B2866">
        <w:t>et al.</w:t>
      </w:r>
      <w:r>
        <w:t xml:space="preserve">, Psychosocial care and support in the field of intersex/diverse sex development (dsd): counselling experiences, localisation and needed improvements, Sexual Medicine Journal 2021(33), 228–242, 238 f.; </w:t>
      </w:r>
      <w:r w:rsidRPr="00AB3D87">
        <w:t>Susanne Krege</w:t>
      </w:r>
      <w:r>
        <w:t xml:space="preserve">/et al., </w:t>
      </w:r>
      <w:r w:rsidRPr="00FB4046">
        <w:t xml:space="preserve">Variations of sex development: The first </w:t>
      </w:r>
      <w:r w:rsidRPr="00AB3D87">
        <w:t>German interdisciplinary consensus paper</w:t>
      </w:r>
      <w:r>
        <w:t xml:space="preserve">, </w:t>
      </w:r>
      <w:r w:rsidRPr="00FB4046">
        <w:t xml:space="preserve">Journal of Pediatric Urology </w:t>
      </w:r>
      <w:r w:rsidRPr="00AB3D87">
        <w:t>2019</w:t>
      </w:r>
      <w:r w:rsidRPr="00FB4046">
        <w:t>(15)</w:t>
      </w:r>
      <w:r>
        <w:t xml:space="preserve">, </w:t>
      </w:r>
      <w:r w:rsidRPr="00FB4046">
        <w:t>114-</w:t>
      </w:r>
      <w:r>
        <w:t>1</w:t>
      </w:r>
      <w:r w:rsidRPr="00FB4046">
        <w:t>23</w:t>
      </w:r>
      <w:r>
        <w:t>, 115f.</w:t>
      </w:r>
    </w:p>
  </w:endnote>
  <w:endnote w:id="22">
    <w:p w14:paraId="396D6B38" w14:textId="357920E4" w:rsidR="00C9512D" w:rsidRPr="00AB3D87" w:rsidRDefault="00C9512D" w:rsidP="00F31C39">
      <w:pPr>
        <w:pStyle w:val="Fussnotentext"/>
      </w:pPr>
      <w:r>
        <w:rPr>
          <w:rStyle w:val="Endnotenzeichen"/>
        </w:rPr>
        <w:endnoteRef/>
      </w:r>
      <w:r>
        <w:t xml:space="preserve"> </w:t>
      </w:r>
      <w:r w:rsidRPr="00AB3D87">
        <w:tab/>
      </w:r>
      <w:r w:rsidRPr="009E6945">
        <w:t>CEDAW/C/GC/35, no</w:t>
      </w:r>
      <w:r w:rsidR="0007338F">
        <w:t>s</w:t>
      </w:r>
      <w:r w:rsidRPr="009E6945">
        <w:t>.</w:t>
      </w:r>
      <w:r w:rsidR="0007338F">
        <w:t xml:space="preserve"> 12, </w:t>
      </w:r>
      <w:r w:rsidRPr="009E6945">
        <w:t>3</w:t>
      </w:r>
      <w:r>
        <w:t>3.</w:t>
      </w:r>
    </w:p>
  </w:endnote>
  <w:endnote w:id="23">
    <w:p w14:paraId="6E34F8A5" w14:textId="34DD6089" w:rsidR="00AC4DBC" w:rsidRPr="00AC4DBC" w:rsidRDefault="00AC4DBC" w:rsidP="00F31C39">
      <w:pPr>
        <w:pStyle w:val="Fussnotentext"/>
      </w:pPr>
      <w:r>
        <w:rPr>
          <w:rStyle w:val="Endnotenzeichen"/>
        </w:rPr>
        <w:endnoteRef/>
      </w:r>
      <w:r>
        <w:t xml:space="preserve"> </w:t>
      </w:r>
      <w:r w:rsidRPr="00AC4DBC">
        <w:tab/>
      </w:r>
      <w:r w:rsidR="0074026C">
        <w:t>European Union</w:t>
      </w:r>
      <w:r w:rsidR="0007338F">
        <w:t xml:space="preserve"> (FRA)</w:t>
      </w:r>
      <w:r w:rsidR="0074026C">
        <w:t xml:space="preserve">, 2020 (endnote </w:t>
      </w:r>
      <w:r w:rsidR="0074026C">
        <w:fldChar w:fldCharType="begin"/>
      </w:r>
      <w:r w:rsidR="0074026C">
        <w:instrText xml:space="preserve"> NOTEREF _Ref110011489 \h </w:instrText>
      </w:r>
      <w:r w:rsidR="0074026C">
        <w:fldChar w:fldCharType="separate"/>
      </w:r>
      <w:r w:rsidR="00860F64">
        <w:t>ii</w:t>
      </w:r>
      <w:r w:rsidR="0074026C">
        <w:fldChar w:fldCharType="end"/>
      </w:r>
      <w:r w:rsidR="0074026C">
        <w:t>)</w:t>
      </w:r>
      <w:r>
        <w:t>, no.2.4.3; see also: Tiffany Jones, The needs of students with intersex variations, Sex Education 2016(16/6), 602-618, 616.</w:t>
      </w:r>
    </w:p>
  </w:endnote>
  <w:endnote w:id="24">
    <w:p w14:paraId="32491AFA" w14:textId="7D3DE520" w:rsidR="00070329" w:rsidRDefault="00070329" w:rsidP="00F31C39">
      <w:pPr>
        <w:pStyle w:val="Fussnotentext"/>
      </w:pPr>
      <w:r>
        <w:rPr>
          <w:rStyle w:val="Endnotenzeichen"/>
        </w:rPr>
        <w:endnoteRef/>
      </w:r>
      <w:r>
        <w:t xml:space="preserve"> </w:t>
      </w:r>
      <w:r>
        <w:tab/>
        <w:t>Johanna Niemi/</w:t>
      </w:r>
      <w:r w:rsidR="003B2866">
        <w:t>et al.</w:t>
      </w:r>
      <w:r>
        <w:t>, Introduction</w:t>
      </w:r>
      <w:r w:rsidR="00104D95">
        <w:t>:</w:t>
      </w:r>
      <w:r w:rsidR="00FD10B6">
        <w:t xml:space="preserve"> </w:t>
      </w:r>
      <w:r w:rsidR="002E60DF">
        <w:t xml:space="preserve">no.5.1 and </w:t>
      </w:r>
      <w:r w:rsidR="00104D95" w:rsidRPr="00104D95">
        <w:t>Ruth M. Mestre</w:t>
      </w:r>
      <w:r w:rsidR="00104D95">
        <w:t xml:space="preserve">, </w:t>
      </w:r>
      <w:r w:rsidR="002E60DF">
        <w:t>Chap.7</w:t>
      </w:r>
      <w:r w:rsidR="00104D95">
        <w:t>: no.3, noting</w:t>
      </w:r>
      <w:r w:rsidR="008F1C69">
        <w:t xml:space="preserve">, </w:t>
      </w:r>
      <w:r w:rsidR="00104D95" w:rsidRPr="00104D95">
        <w:t>similar practices (to FGM/C) remains a regular practice with intersex babies</w:t>
      </w:r>
      <w:r>
        <w:t>,</w:t>
      </w:r>
      <w:r w:rsidR="00FD10B6">
        <w:t xml:space="preserve"> in:</w:t>
      </w:r>
      <w:r>
        <w:t xml:space="preserve"> Johanna Niemi/</w:t>
      </w:r>
      <w:r w:rsidR="00C309B0">
        <w:t>et al.</w:t>
      </w:r>
      <w:r>
        <w:t xml:space="preserve"> (Eds.), International Law and Violence Against Women</w:t>
      </w:r>
      <w:r w:rsidR="00FD10B6">
        <w:t>.</w:t>
      </w:r>
      <w:r>
        <w:t xml:space="preserve"> Europe and the Istanbul Convention, London/New York 2020</w:t>
      </w:r>
      <w:r w:rsidR="00640BF2">
        <w:t xml:space="preserve">; </w:t>
      </w:r>
      <w:r w:rsidR="00640BF2">
        <w:t>also endnot</w:t>
      </w:r>
      <w:r w:rsidR="00210C5D">
        <w:t>e</w:t>
      </w:r>
      <w:r w:rsidR="00C309B0">
        <w:t xml:space="preserve"> </w:t>
      </w:r>
      <w:r w:rsidR="00DA5D34">
        <w:fldChar w:fldCharType="begin"/>
      </w:r>
      <w:r w:rsidR="00DA5D34">
        <w:instrText xml:space="preserve"> NOTEREF _Ref110011489 \h </w:instrText>
      </w:r>
      <w:r w:rsidR="00DA5D34">
        <w:fldChar w:fldCharType="separate"/>
      </w:r>
      <w:r w:rsidR="00860F64">
        <w:t>ii</w:t>
      </w:r>
      <w:r w:rsidR="00DA5D34">
        <w:fldChar w:fldCharType="end"/>
      </w:r>
      <w:r w:rsidR="00DA5D34">
        <w:t xml:space="preserve"> (Cottier (2019)</w:t>
      </w:r>
      <w:r w:rsidR="008F1C69">
        <w:t xml:space="preserve"> and</w:t>
      </w:r>
      <w:r w:rsidR="00DA5D34">
        <w:t xml:space="preserve"> Lempen (2021)</w:t>
      </w:r>
      <w:r w:rsidR="00640BF2">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EEF64" w14:textId="3EC6C113" w:rsidR="00F03D7C" w:rsidRPr="00EB2CAF" w:rsidRDefault="004B6EC4" w:rsidP="007A2EFB">
    <w:pPr>
      <w:jc w:val="left"/>
      <w:rPr>
        <w:sz w:val="22"/>
        <w:lang w:val="en-GB"/>
      </w:rPr>
    </w:pPr>
    <w:r w:rsidRPr="00EB2CAF">
      <w:rPr>
        <w:sz w:val="22"/>
        <w:lang w:val="en-GB"/>
      </w:rPr>
      <w:t>InterAction – Swiss Association for intersex people</w:t>
    </w:r>
    <w:r w:rsidR="004C2433" w:rsidRPr="00EB2CAF">
      <w:rPr>
        <w:sz w:val="22"/>
        <w:lang w:val="en-GB"/>
      </w:rPr>
      <w:t xml:space="preserve"> and ILGA World</w:t>
    </w:r>
    <w:r w:rsidRPr="00EB2CAF">
      <w:rPr>
        <w:sz w:val="22"/>
        <w:lang w:val="en-GB"/>
      </w:rPr>
      <w:br/>
    </w:r>
    <w:r w:rsidR="00021053" w:rsidRPr="00EB2CAF">
      <w:rPr>
        <w:noProof/>
        <w:sz w:val="22"/>
        <w:lang w:val="en-GB"/>
      </w:rPr>
      <w:t>CEDAW Reporting Cycle VI – Switzerland</w:t>
    </w:r>
    <w:r w:rsidRPr="00EB2CAF">
      <w:rPr>
        <w:sz w:val="22"/>
        <w:lang w:val="en-GB"/>
      </w:rPr>
      <w:t xml:space="preserve"> -</w:t>
    </w:r>
    <w:r w:rsidR="004C2433" w:rsidRPr="00EB2CAF">
      <w:rPr>
        <w:sz w:val="22"/>
      </w:rPr>
      <w:tab/>
    </w:r>
    <w:r w:rsidR="004C2433" w:rsidRPr="00EB2CAF">
      <w:rPr>
        <w:sz w:val="22"/>
      </w:rPr>
      <w:tab/>
    </w:r>
    <w:r w:rsidR="004C2433" w:rsidRPr="00EB2CAF">
      <w:rPr>
        <w:sz w:val="22"/>
      </w:rPr>
      <w:tab/>
    </w:r>
    <w:r w:rsidR="00EB2CAF">
      <w:rPr>
        <w:sz w:val="22"/>
      </w:rPr>
      <w:tab/>
    </w:r>
    <w:r w:rsidRPr="00EB2CAF">
      <w:rPr>
        <w:sz w:val="22"/>
        <w:lang w:val="en-GB"/>
      </w:rPr>
      <w:tab/>
    </w:r>
    <w:r w:rsidR="00544CB4" w:rsidRPr="00EB2CAF">
      <w:rPr>
        <w:sz w:val="22"/>
        <w:lang w:val="en-GB"/>
      </w:rPr>
      <w:tab/>
    </w:r>
    <w:r w:rsidRPr="00EB2CAF">
      <w:rPr>
        <w:sz w:val="22"/>
        <w:lang w:val="en-GB"/>
      </w:rPr>
      <w:tab/>
    </w:r>
    <w:r w:rsidRPr="00EB2CAF">
      <w:rPr>
        <w:sz w:val="22"/>
        <w:lang w:val="en-GB"/>
      </w:rPr>
      <w:tab/>
    </w:r>
    <w:r w:rsidRPr="00EB2CAF">
      <w:rPr>
        <w:sz w:val="22"/>
      </w:rPr>
      <w:fldChar w:fldCharType="begin"/>
    </w:r>
    <w:r w:rsidRPr="00EB2CAF">
      <w:rPr>
        <w:sz w:val="22"/>
        <w:lang w:val="en-GB"/>
      </w:rPr>
      <w:instrText>PAGE</w:instrText>
    </w:r>
    <w:r w:rsidRPr="00EB2CAF">
      <w:rPr>
        <w:sz w:val="22"/>
      </w:rPr>
      <w:fldChar w:fldCharType="separate"/>
    </w:r>
    <w:r w:rsidRPr="00EB2CAF">
      <w:rPr>
        <w:noProof/>
        <w:sz w:val="22"/>
        <w:lang w:val="en-GB"/>
      </w:rPr>
      <w:t>1</w:t>
    </w:r>
    <w:r w:rsidRPr="00EB2CAF">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6F49B" w14:textId="77777777" w:rsidR="002804E9" w:rsidRDefault="002804E9" w:rsidP="00F31C39">
      <w:r>
        <w:separator/>
      </w:r>
    </w:p>
  </w:footnote>
  <w:footnote w:type="continuationSeparator" w:id="0">
    <w:p w14:paraId="2D289894" w14:textId="77777777" w:rsidR="002804E9" w:rsidRDefault="002804E9" w:rsidP="00F31C39">
      <w:r>
        <w:continuationSeparator/>
      </w:r>
    </w:p>
  </w:footnote>
  <w:footnote w:id="1">
    <w:p w14:paraId="55CDABE5" w14:textId="18E480B0" w:rsidR="0039604B" w:rsidRPr="00733DAC" w:rsidRDefault="0039604B" w:rsidP="00F31C39">
      <w:pPr>
        <w:pStyle w:val="Funotentext"/>
        <w:rPr>
          <w:lang w:val="en-GB"/>
        </w:rPr>
      </w:pPr>
      <w:r>
        <w:rPr>
          <w:rStyle w:val="Funotenzeichen"/>
        </w:rPr>
        <w:footnoteRef/>
      </w:r>
      <w:r w:rsidRPr="00733DAC">
        <w:rPr>
          <w:lang w:val="en-GB"/>
        </w:rPr>
        <w:t xml:space="preserve"> </w:t>
      </w:r>
      <w:r w:rsidRPr="00733DAC">
        <w:rPr>
          <w:lang w:val="en-GB"/>
        </w:rPr>
        <w:tab/>
        <w:t xml:space="preserve">Hereafter </w:t>
      </w:r>
      <w:proofErr w:type="spellStart"/>
      <w:r w:rsidRPr="00733DAC">
        <w:rPr>
          <w:lang w:val="en-GB"/>
        </w:rPr>
        <w:t>Fed.Cst</w:t>
      </w:r>
      <w:proofErr w:type="spellEnd"/>
      <w:r w:rsidRPr="00733DAC">
        <w:rPr>
          <w:lang w:val="en-GB"/>
        </w:rPr>
        <w:t xml:space="preserve">. (RS </w:t>
      </w:r>
      <w:proofErr w:type="gramStart"/>
      <w:r w:rsidRPr="00733DAC">
        <w:rPr>
          <w:lang w:val="en-GB"/>
        </w:rPr>
        <w:t>101 :</w:t>
      </w:r>
      <w:proofErr w:type="gramEnd"/>
      <w:r w:rsidRPr="00733DAC">
        <w:rPr>
          <w:lang w:val="en-GB"/>
        </w:rPr>
        <w:t xml:space="preserve"> </w:t>
      </w:r>
      <w:r w:rsidR="00733DAC" w:rsidRPr="00733DAC">
        <w:rPr>
          <w:lang w:val="en-GB"/>
        </w:rPr>
        <w:t>Compi</w:t>
      </w:r>
      <w:r w:rsidR="00733DAC">
        <w:rPr>
          <w:lang w:val="en-GB"/>
        </w:rPr>
        <w:t>lation</w:t>
      </w:r>
      <w:r w:rsidRPr="00733DAC">
        <w:rPr>
          <w:lang w:val="en-GB"/>
        </w:rPr>
        <w:t xml:space="preserve"> (https://www.fedlex.admin.ch/eli/cc/1999/404/fr).</w:t>
      </w:r>
    </w:p>
  </w:footnote>
  <w:footnote w:id="2">
    <w:p w14:paraId="03A8B43D" w14:textId="77777777" w:rsidR="003D5CD6" w:rsidRPr="00242F07" w:rsidRDefault="003D5CD6" w:rsidP="00F31C39">
      <w:pPr>
        <w:pStyle w:val="Fussnotentext"/>
      </w:pPr>
      <w:r>
        <w:rPr>
          <w:rStyle w:val="Funotenzeichen"/>
        </w:rPr>
        <w:footnoteRef/>
      </w:r>
      <w:r>
        <w:t xml:space="preserve"> </w:t>
      </w:r>
      <w:r>
        <w:tab/>
      </w:r>
      <w:r w:rsidRPr="00282C74">
        <w:t>Hereafter</w:t>
      </w:r>
      <w:r>
        <w:t xml:space="preserve"> Civil Code.</w:t>
      </w:r>
    </w:p>
  </w:footnote>
  <w:footnote w:id="3">
    <w:p w14:paraId="294F2763" w14:textId="77777777" w:rsidR="00282C74" w:rsidRPr="00282C74" w:rsidRDefault="00282C74" w:rsidP="00F31C39">
      <w:pPr>
        <w:pStyle w:val="Fussnotentext"/>
      </w:pPr>
      <w:r>
        <w:rPr>
          <w:rStyle w:val="Funotenzeichen"/>
        </w:rPr>
        <w:footnoteRef/>
      </w:r>
      <w:r>
        <w:t xml:space="preserve"> </w:t>
      </w:r>
      <w:r>
        <w:tab/>
        <w:t>Hereafter Criminal Code.</w:t>
      </w:r>
    </w:p>
  </w:footnote>
  <w:footnote w:id="4">
    <w:p w14:paraId="5F55D1A0" w14:textId="77777777" w:rsidR="0066565C" w:rsidRDefault="0066565C" w:rsidP="00F31C39">
      <w:pPr>
        <w:pStyle w:val="Fussnotentext"/>
        <w:rPr>
          <w:rFonts w:ascii="Calibri" w:hAnsi="Calibri"/>
          <w:sz w:val="16"/>
        </w:rPr>
      </w:pPr>
      <w:r>
        <w:rPr>
          <w:rStyle w:val="Funotenzeichen"/>
        </w:rPr>
        <w:footnoteRef/>
      </w:r>
      <w:r w:rsidRPr="00AC2333">
        <w:t xml:space="preserve"> </w:t>
      </w:r>
      <w:r w:rsidRPr="00AC2333">
        <w:tab/>
      </w:r>
      <w:r w:rsidRPr="00282C74">
        <w:t>Hereafter</w:t>
      </w:r>
      <w:r w:rsidRPr="00AC2333">
        <w:t xml:space="preserve"> COB.</w:t>
      </w:r>
    </w:p>
  </w:footnote>
  <w:footnote w:id="5">
    <w:p w14:paraId="57C610B3" w14:textId="77777777" w:rsidR="004B6006" w:rsidRDefault="004B6006" w:rsidP="00F31C39">
      <w:pPr>
        <w:pStyle w:val="Fussnotentext"/>
        <w:rPr>
          <w:rFonts w:ascii="Calibri" w:hAnsi="Calibri"/>
          <w:sz w:val="16"/>
        </w:rPr>
      </w:pPr>
      <w:r>
        <w:rPr>
          <w:rStyle w:val="Funotenzeichen"/>
        </w:rPr>
        <w:footnoteRef/>
      </w:r>
      <w:r>
        <w:t xml:space="preserve"> </w:t>
      </w:r>
      <w:r>
        <w:tab/>
        <w:t>Hereafter SPR/6 (State party report).</w:t>
      </w:r>
    </w:p>
  </w:footnote>
  <w:footnote w:id="6">
    <w:p w14:paraId="384EF32E" w14:textId="77777777" w:rsidR="006F583F" w:rsidRDefault="006F583F" w:rsidP="00F31C39">
      <w:pPr>
        <w:pStyle w:val="Fussnotentext"/>
      </w:pPr>
      <w:r>
        <w:rPr>
          <w:rStyle w:val="Funotenzeichen"/>
        </w:rPr>
        <w:footnoteRef/>
      </w:r>
      <w:r>
        <w:t xml:space="preserve"> </w:t>
      </w:r>
      <w:r>
        <w:tab/>
        <w:t>Hereafter QPR/6.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100F"/>
    <w:multiLevelType w:val="hybridMultilevel"/>
    <w:tmpl w:val="839A0BB2"/>
    <w:lvl w:ilvl="0" w:tplc="D8BC478E">
      <w:start w:val="5"/>
      <w:numFmt w:val="bullet"/>
      <w:lvlText w:val="-"/>
      <w:lvlJc w:val="left"/>
      <w:pPr>
        <w:ind w:left="1209" w:hanging="360"/>
      </w:pPr>
      <w:rPr>
        <w:rFonts w:ascii="Calibri" w:eastAsia="Calibri" w:hAnsi="Calibri" w:cs="Calibri" w:hint="default"/>
      </w:rPr>
    </w:lvl>
    <w:lvl w:ilvl="1" w:tplc="08070003" w:tentative="1">
      <w:start w:val="1"/>
      <w:numFmt w:val="bullet"/>
      <w:lvlText w:val="o"/>
      <w:lvlJc w:val="left"/>
      <w:pPr>
        <w:ind w:left="1929" w:hanging="360"/>
      </w:pPr>
      <w:rPr>
        <w:rFonts w:ascii="Courier New" w:hAnsi="Courier New" w:cs="Courier New" w:hint="default"/>
      </w:rPr>
    </w:lvl>
    <w:lvl w:ilvl="2" w:tplc="08070005" w:tentative="1">
      <w:start w:val="1"/>
      <w:numFmt w:val="bullet"/>
      <w:lvlText w:val=""/>
      <w:lvlJc w:val="left"/>
      <w:pPr>
        <w:ind w:left="2649" w:hanging="360"/>
      </w:pPr>
      <w:rPr>
        <w:rFonts w:ascii="Wingdings" w:hAnsi="Wingdings" w:hint="default"/>
      </w:rPr>
    </w:lvl>
    <w:lvl w:ilvl="3" w:tplc="08070001" w:tentative="1">
      <w:start w:val="1"/>
      <w:numFmt w:val="bullet"/>
      <w:lvlText w:val=""/>
      <w:lvlJc w:val="left"/>
      <w:pPr>
        <w:ind w:left="3369" w:hanging="360"/>
      </w:pPr>
      <w:rPr>
        <w:rFonts w:ascii="Symbol" w:hAnsi="Symbol" w:hint="default"/>
      </w:rPr>
    </w:lvl>
    <w:lvl w:ilvl="4" w:tplc="08070003" w:tentative="1">
      <w:start w:val="1"/>
      <w:numFmt w:val="bullet"/>
      <w:lvlText w:val="o"/>
      <w:lvlJc w:val="left"/>
      <w:pPr>
        <w:ind w:left="4089" w:hanging="360"/>
      </w:pPr>
      <w:rPr>
        <w:rFonts w:ascii="Courier New" w:hAnsi="Courier New" w:cs="Courier New" w:hint="default"/>
      </w:rPr>
    </w:lvl>
    <w:lvl w:ilvl="5" w:tplc="08070005" w:tentative="1">
      <w:start w:val="1"/>
      <w:numFmt w:val="bullet"/>
      <w:lvlText w:val=""/>
      <w:lvlJc w:val="left"/>
      <w:pPr>
        <w:ind w:left="4809" w:hanging="360"/>
      </w:pPr>
      <w:rPr>
        <w:rFonts w:ascii="Wingdings" w:hAnsi="Wingdings" w:hint="default"/>
      </w:rPr>
    </w:lvl>
    <w:lvl w:ilvl="6" w:tplc="08070001" w:tentative="1">
      <w:start w:val="1"/>
      <w:numFmt w:val="bullet"/>
      <w:lvlText w:val=""/>
      <w:lvlJc w:val="left"/>
      <w:pPr>
        <w:ind w:left="5529" w:hanging="360"/>
      </w:pPr>
      <w:rPr>
        <w:rFonts w:ascii="Symbol" w:hAnsi="Symbol" w:hint="default"/>
      </w:rPr>
    </w:lvl>
    <w:lvl w:ilvl="7" w:tplc="08070003" w:tentative="1">
      <w:start w:val="1"/>
      <w:numFmt w:val="bullet"/>
      <w:lvlText w:val="o"/>
      <w:lvlJc w:val="left"/>
      <w:pPr>
        <w:ind w:left="6249" w:hanging="360"/>
      </w:pPr>
      <w:rPr>
        <w:rFonts w:ascii="Courier New" w:hAnsi="Courier New" w:cs="Courier New" w:hint="default"/>
      </w:rPr>
    </w:lvl>
    <w:lvl w:ilvl="8" w:tplc="08070005" w:tentative="1">
      <w:start w:val="1"/>
      <w:numFmt w:val="bullet"/>
      <w:lvlText w:val=""/>
      <w:lvlJc w:val="left"/>
      <w:pPr>
        <w:ind w:left="6969" w:hanging="360"/>
      </w:pPr>
      <w:rPr>
        <w:rFonts w:ascii="Wingdings" w:hAnsi="Wingdings" w:hint="default"/>
      </w:rPr>
    </w:lvl>
  </w:abstractNum>
  <w:abstractNum w:abstractNumId="1" w15:restartNumberingAfterBreak="0">
    <w:nsid w:val="27A80646"/>
    <w:multiLevelType w:val="multilevel"/>
    <w:tmpl w:val="1456A02A"/>
    <w:lvl w:ilvl="0">
      <w:start w:val="1"/>
      <w:numFmt w:val="upperRoman"/>
      <w:pStyle w:val="berschrift1"/>
      <w:lvlText w:val="%1."/>
      <w:lvlJc w:val="left"/>
      <w:pPr>
        <w:ind w:left="360" w:hanging="360"/>
      </w:pPr>
      <w:rPr>
        <w:rFonts w:hint="default"/>
        <w:b/>
        <w:bCs/>
        <w:i w:val="0"/>
        <w:vanish w:val="0"/>
        <w:color w:val="auto"/>
        <w:sz w:val="28"/>
      </w:rPr>
    </w:lvl>
    <w:lvl w:ilvl="1">
      <w:start w:val="1"/>
      <w:numFmt w:val="decimal"/>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2" w15:restartNumberingAfterBreak="0">
    <w:nsid w:val="2F9C40F7"/>
    <w:multiLevelType w:val="hybridMultilevel"/>
    <w:tmpl w:val="F53E06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8E43AFB"/>
    <w:multiLevelType w:val="hybridMultilevel"/>
    <w:tmpl w:val="5E22B1C8"/>
    <w:lvl w:ilvl="0" w:tplc="DE88C01E">
      <w:start w:val="1"/>
      <w:numFmt w:val="decimal"/>
      <w:lvlText w:val="(%1)"/>
      <w:lvlJc w:val="left"/>
      <w:pPr>
        <w:ind w:left="1211" w:hanging="360"/>
      </w:pPr>
      <w:rPr>
        <w:b/>
        <w:bCs/>
        <w:lang w:val="en-GB"/>
      </w:rPr>
    </w:lvl>
    <w:lvl w:ilvl="1" w:tplc="08070019" w:tentative="1">
      <w:start w:val="1"/>
      <w:numFmt w:val="lowerLetter"/>
      <w:lvlText w:val="%2."/>
      <w:lvlJc w:val="left"/>
      <w:pPr>
        <w:ind w:left="-1254" w:hanging="360"/>
      </w:pPr>
    </w:lvl>
    <w:lvl w:ilvl="2" w:tplc="0807001B" w:tentative="1">
      <w:start w:val="1"/>
      <w:numFmt w:val="lowerRoman"/>
      <w:lvlText w:val="%3."/>
      <w:lvlJc w:val="right"/>
      <w:pPr>
        <w:ind w:left="-534" w:hanging="180"/>
      </w:pPr>
    </w:lvl>
    <w:lvl w:ilvl="3" w:tplc="0807000F" w:tentative="1">
      <w:start w:val="1"/>
      <w:numFmt w:val="decimal"/>
      <w:lvlText w:val="%4."/>
      <w:lvlJc w:val="left"/>
      <w:pPr>
        <w:ind w:left="186" w:hanging="360"/>
      </w:pPr>
    </w:lvl>
    <w:lvl w:ilvl="4" w:tplc="08070019" w:tentative="1">
      <w:start w:val="1"/>
      <w:numFmt w:val="lowerLetter"/>
      <w:lvlText w:val="%5."/>
      <w:lvlJc w:val="left"/>
      <w:pPr>
        <w:ind w:left="906" w:hanging="360"/>
      </w:pPr>
    </w:lvl>
    <w:lvl w:ilvl="5" w:tplc="0807001B" w:tentative="1">
      <w:start w:val="1"/>
      <w:numFmt w:val="lowerRoman"/>
      <w:lvlText w:val="%6."/>
      <w:lvlJc w:val="right"/>
      <w:pPr>
        <w:ind w:left="1626" w:hanging="180"/>
      </w:pPr>
    </w:lvl>
    <w:lvl w:ilvl="6" w:tplc="0807000F" w:tentative="1">
      <w:start w:val="1"/>
      <w:numFmt w:val="decimal"/>
      <w:lvlText w:val="%7."/>
      <w:lvlJc w:val="left"/>
      <w:pPr>
        <w:ind w:left="2346" w:hanging="360"/>
      </w:pPr>
    </w:lvl>
    <w:lvl w:ilvl="7" w:tplc="08070019" w:tentative="1">
      <w:start w:val="1"/>
      <w:numFmt w:val="lowerLetter"/>
      <w:lvlText w:val="%8."/>
      <w:lvlJc w:val="left"/>
      <w:pPr>
        <w:ind w:left="3066" w:hanging="360"/>
      </w:pPr>
    </w:lvl>
    <w:lvl w:ilvl="8" w:tplc="0807001B" w:tentative="1">
      <w:start w:val="1"/>
      <w:numFmt w:val="lowerRoman"/>
      <w:lvlText w:val="%9."/>
      <w:lvlJc w:val="right"/>
      <w:pPr>
        <w:ind w:left="3786" w:hanging="180"/>
      </w:pPr>
    </w:lvl>
  </w:abstractNum>
  <w:abstractNum w:abstractNumId="4" w15:restartNumberingAfterBreak="0">
    <w:nsid w:val="464E61A9"/>
    <w:multiLevelType w:val="hybridMultilevel"/>
    <w:tmpl w:val="5CC09D64"/>
    <w:lvl w:ilvl="0" w:tplc="8676E3D2">
      <w:start w:val="5"/>
      <w:numFmt w:val="bullet"/>
      <w:pStyle w:val="Listenabsatz"/>
      <w:lvlText w:val="-"/>
      <w:lvlJc w:val="left"/>
      <w:pPr>
        <w:ind w:left="927"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7123811"/>
    <w:multiLevelType w:val="hybridMultilevel"/>
    <w:tmpl w:val="E312B5FA"/>
    <w:lvl w:ilvl="0" w:tplc="7E0E545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2405AB1"/>
    <w:multiLevelType w:val="hybridMultilevel"/>
    <w:tmpl w:val="09BEF886"/>
    <w:lvl w:ilvl="0" w:tplc="C61CDDE6">
      <w:start w:val="1"/>
      <w:numFmt w:val="decimal"/>
      <w:pStyle w:val="Randziffern"/>
      <w:suff w:val="nothing"/>
      <w:lvlText w:val="%1"/>
      <w:lvlJc w:val="center"/>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866405178">
    <w:abstractNumId w:val="1"/>
  </w:num>
  <w:num w:numId="2" w16cid:durableId="347603985">
    <w:abstractNumId w:val="6"/>
  </w:num>
  <w:num w:numId="3" w16cid:durableId="991719698">
    <w:abstractNumId w:val="0"/>
  </w:num>
  <w:num w:numId="4" w16cid:durableId="206992028">
    <w:abstractNumId w:val="4"/>
  </w:num>
  <w:num w:numId="5" w16cid:durableId="745422238">
    <w:abstractNumId w:val="3"/>
  </w:num>
  <w:num w:numId="6" w16cid:durableId="237326252">
    <w:abstractNumId w:val="2"/>
  </w:num>
  <w:num w:numId="7" w16cid:durableId="923343958">
    <w:abstractNumId w:val="5"/>
  </w:num>
  <w:num w:numId="8" w16cid:durableId="1602832343">
    <w:abstractNumId w:val="4"/>
  </w:num>
  <w:num w:numId="9" w16cid:durableId="110522401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12D"/>
    <w:rsid w:val="00003691"/>
    <w:rsid w:val="0001058E"/>
    <w:rsid w:val="00011015"/>
    <w:rsid w:val="00016754"/>
    <w:rsid w:val="0002070B"/>
    <w:rsid w:val="00021053"/>
    <w:rsid w:val="000376E8"/>
    <w:rsid w:val="00044670"/>
    <w:rsid w:val="00045B14"/>
    <w:rsid w:val="000548AB"/>
    <w:rsid w:val="00062079"/>
    <w:rsid w:val="00062601"/>
    <w:rsid w:val="00070329"/>
    <w:rsid w:val="0007338F"/>
    <w:rsid w:val="00091521"/>
    <w:rsid w:val="000A38B8"/>
    <w:rsid w:val="000B6873"/>
    <w:rsid w:val="000C38EF"/>
    <w:rsid w:val="000E1448"/>
    <w:rsid w:val="000E3CA7"/>
    <w:rsid w:val="000E62F2"/>
    <w:rsid w:val="000E75BC"/>
    <w:rsid w:val="00104D95"/>
    <w:rsid w:val="001307F9"/>
    <w:rsid w:val="001433D8"/>
    <w:rsid w:val="001436F8"/>
    <w:rsid w:val="00155772"/>
    <w:rsid w:val="00171B87"/>
    <w:rsid w:val="001759C0"/>
    <w:rsid w:val="00175D4A"/>
    <w:rsid w:val="00176336"/>
    <w:rsid w:val="00176BC8"/>
    <w:rsid w:val="00183565"/>
    <w:rsid w:val="00190782"/>
    <w:rsid w:val="00192BC5"/>
    <w:rsid w:val="00196D8B"/>
    <w:rsid w:val="001A4084"/>
    <w:rsid w:val="001A6596"/>
    <w:rsid w:val="001B0E32"/>
    <w:rsid w:val="001B41A6"/>
    <w:rsid w:val="001C62AB"/>
    <w:rsid w:val="001E1BE9"/>
    <w:rsid w:val="001E4408"/>
    <w:rsid w:val="001E5A20"/>
    <w:rsid w:val="001F664F"/>
    <w:rsid w:val="0020089D"/>
    <w:rsid w:val="00210C5D"/>
    <w:rsid w:val="00212F19"/>
    <w:rsid w:val="002155E2"/>
    <w:rsid w:val="00220BA3"/>
    <w:rsid w:val="00240B52"/>
    <w:rsid w:val="00242698"/>
    <w:rsid w:val="00245590"/>
    <w:rsid w:val="00246C6A"/>
    <w:rsid w:val="00253C69"/>
    <w:rsid w:val="00273E83"/>
    <w:rsid w:val="002804E9"/>
    <w:rsid w:val="00282C74"/>
    <w:rsid w:val="00284210"/>
    <w:rsid w:val="002865A2"/>
    <w:rsid w:val="00287E81"/>
    <w:rsid w:val="0029111A"/>
    <w:rsid w:val="0029783F"/>
    <w:rsid w:val="002A0BF8"/>
    <w:rsid w:val="002A6F86"/>
    <w:rsid w:val="002E0725"/>
    <w:rsid w:val="002E555C"/>
    <w:rsid w:val="002E60DF"/>
    <w:rsid w:val="003075EC"/>
    <w:rsid w:val="00313C24"/>
    <w:rsid w:val="00327932"/>
    <w:rsid w:val="00327F35"/>
    <w:rsid w:val="003315E1"/>
    <w:rsid w:val="00345D03"/>
    <w:rsid w:val="0035099F"/>
    <w:rsid w:val="003518BC"/>
    <w:rsid w:val="003625C6"/>
    <w:rsid w:val="003904EC"/>
    <w:rsid w:val="00394CF8"/>
    <w:rsid w:val="003958AB"/>
    <w:rsid w:val="0039604B"/>
    <w:rsid w:val="003A0AFE"/>
    <w:rsid w:val="003B2866"/>
    <w:rsid w:val="003B3C10"/>
    <w:rsid w:val="003B6286"/>
    <w:rsid w:val="003B7FE3"/>
    <w:rsid w:val="003C0D2E"/>
    <w:rsid w:val="003D2B9E"/>
    <w:rsid w:val="003D3854"/>
    <w:rsid w:val="003D53A7"/>
    <w:rsid w:val="003D5CD6"/>
    <w:rsid w:val="003F0057"/>
    <w:rsid w:val="00412293"/>
    <w:rsid w:val="00412A41"/>
    <w:rsid w:val="00424350"/>
    <w:rsid w:val="004433EE"/>
    <w:rsid w:val="004501C0"/>
    <w:rsid w:val="0047599A"/>
    <w:rsid w:val="00486B1B"/>
    <w:rsid w:val="00491448"/>
    <w:rsid w:val="004942C5"/>
    <w:rsid w:val="004A060B"/>
    <w:rsid w:val="004A130E"/>
    <w:rsid w:val="004A1CB1"/>
    <w:rsid w:val="004A21FB"/>
    <w:rsid w:val="004B1BB1"/>
    <w:rsid w:val="004B3FB2"/>
    <w:rsid w:val="004B59FE"/>
    <w:rsid w:val="004B6006"/>
    <w:rsid w:val="004B686F"/>
    <w:rsid w:val="004B6EC4"/>
    <w:rsid w:val="004C13DD"/>
    <w:rsid w:val="004C2433"/>
    <w:rsid w:val="004C4E57"/>
    <w:rsid w:val="004C7D75"/>
    <w:rsid w:val="004E42B7"/>
    <w:rsid w:val="004F0DB3"/>
    <w:rsid w:val="005126D9"/>
    <w:rsid w:val="0051426F"/>
    <w:rsid w:val="00514E71"/>
    <w:rsid w:val="00525D35"/>
    <w:rsid w:val="00527783"/>
    <w:rsid w:val="005364E6"/>
    <w:rsid w:val="00540A19"/>
    <w:rsid w:val="005419A1"/>
    <w:rsid w:val="00544CB4"/>
    <w:rsid w:val="00554826"/>
    <w:rsid w:val="00557249"/>
    <w:rsid w:val="00566177"/>
    <w:rsid w:val="00576A5D"/>
    <w:rsid w:val="0058448D"/>
    <w:rsid w:val="00584BFC"/>
    <w:rsid w:val="005901FD"/>
    <w:rsid w:val="00594D6F"/>
    <w:rsid w:val="00595489"/>
    <w:rsid w:val="005C57BA"/>
    <w:rsid w:val="005D436F"/>
    <w:rsid w:val="005D7C66"/>
    <w:rsid w:val="005E49E7"/>
    <w:rsid w:val="005E7523"/>
    <w:rsid w:val="005F00B3"/>
    <w:rsid w:val="005F0A18"/>
    <w:rsid w:val="005F169A"/>
    <w:rsid w:val="006033D2"/>
    <w:rsid w:val="006078A6"/>
    <w:rsid w:val="00617B39"/>
    <w:rsid w:val="00627F76"/>
    <w:rsid w:val="00630BB4"/>
    <w:rsid w:val="00631410"/>
    <w:rsid w:val="00640BF2"/>
    <w:rsid w:val="00652B5B"/>
    <w:rsid w:val="006576DB"/>
    <w:rsid w:val="00664F36"/>
    <w:rsid w:val="0066565C"/>
    <w:rsid w:val="00665AAB"/>
    <w:rsid w:val="006776C0"/>
    <w:rsid w:val="006866AD"/>
    <w:rsid w:val="00695E78"/>
    <w:rsid w:val="006A26F3"/>
    <w:rsid w:val="006A4296"/>
    <w:rsid w:val="006D3751"/>
    <w:rsid w:val="006D628A"/>
    <w:rsid w:val="006F0965"/>
    <w:rsid w:val="006F0F3D"/>
    <w:rsid w:val="006F23AB"/>
    <w:rsid w:val="006F583F"/>
    <w:rsid w:val="00705A2D"/>
    <w:rsid w:val="0071525E"/>
    <w:rsid w:val="00733DAC"/>
    <w:rsid w:val="0074026C"/>
    <w:rsid w:val="00751B94"/>
    <w:rsid w:val="00776C3B"/>
    <w:rsid w:val="00780CD4"/>
    <w:rsid w:val="00791BA7"/>
    <w:rsid w:val="00797DEA"/>
    <w:rsid w:val="007A2767"/>
    <w:rsid w:val="007A2EFB"/>
    <w:rsid w:val="007A3BCF"/>
    <w:rsid w:val="007B709C"/>
    <w:rsid w:val="007C5E15"/>
    <w:rsid w:val="007F2E30"/>
    <w:rsid w:val="008026C0"/>
    <w:rsid w:val="00817E3C"/>
    <w:rsid w:val="00827E37"/>
    <w:rsid w:val="008375A0"/>
    <w:rsid w:val="00860F64"/>
    <w:rsid w:val="00870968"/>
    <w:rsid w:val="00880DE1"/>
    <w:rsid w:val="00891C61"/>
    <w:rsid w:val="008A0E65"/>
    <w:rsid w:val="008A28A5"/>
    <w:rsid w:val="008C28F8"/>
    <w:rsid w:val="008D70E2"/>
    <w:rsid w:val="008E491B"/>
    <w:rsid w:val="008F0842"/>
    <w:rsid w:val="008F1C69"/>
    <w:rsid w:val="008F69C7"/>
    <w:rsid w:val="008F723E"/>
    <w:rsid w:val="00914DA2"/>
    <w:rsid w:val="00923EBB"/>
    <w:rsid w:val="00936AAC"/>
    <w:rsid w:val="009519D8"/>
    <w:rsid w:val="00953F28"/>
    <w:rsid w:val="009602D1"/>
    <w:rsid w:val="0096284C"/>
    <w:rsid w:val="009675AB"/>
    <w:rsid w:val="0097287D"/>
    <w:rsid w:val="009901CD"/>
    <w:rsid w:val="00995268"/>
    <w:rsid w:val="009C2F8D"/>
    <w:rsid w:val="009C3DBF"/>
    <w:rsid w:val="009E17B2"/>
    <w:rsid w:val="009E415B"/>
    <w:rsid w:val="009E6FC0"/>
    <w:rsid w:val="009F7F85"/>
    <w:rsid w:val="00A0141E"/>
    <w:rsid w:val="00A117E4"/>
    <w:rsid w:val="00A12A50"/>
    <w:rsid w:val="00A47F51"/>
    <w:rsid w:val="00A504D4"/>
    <w:rsid w:val="00A54BFC"/>
    <w:rsid w:val="00A55B26"/>
    <w:rsid w:val="00A81B59"/>
    <w:rsid w:val="00A82296"/>
    <w:rsid w:val="00A90364"/>
    <w:rsid w:val="00A91778"/>
    <w:rsid w:val="00AB2484"/>
    <w:rsid w:val="00AC2333"/>
    <w:rsid w:val="00AC4DBC"/>
    <w:rsid w:val="00AC7A32"/>
    <w:rsid w:val="00AE48A4"/>
    <w:rsid w:val="00B04930"/>
    <w:rsid w:val="00B14C40"/>
    <w:rsid w:val="00B30029"/>
    <w:rsid w:val="00B30C0A"/>
    <w:rsid w:val="00B34379"/>
    <w:rsid w:val="00B4126A"/>
    <w:rsid w:val="00B445F0"/>
    <w:rsid w:val="00B50ED7"/>
    <w:rsid w:val="00B602E5"/>
    <w:rsid w:val="00B73DFA"/>
    <w:rsid w:val="00B81D59"/>
    <w:rsid w:val="00B81F73"/>
    <w:rsid w:val="00B830DC"/>
    <w:rsid w:val="00B879A4"/>
    <w:rsid w:val="00B902A8"/>
    <w:rsid w:val="00BA4024"/>
    <w:rsid w:val="00BB5BAD"/>
    <w:rsid w:val="00BC566F"/>
    <w:rsid w:val="00BD71B0"/>
    <w:rsid w:val="00BE379F"/>
    <w:rsid w:val="00BF3679"/>
    <w:rsid w:val="00C00DBB"/>
    <w:rsid w:val="00C0200E"/>
    <w:rsid w:val="00C06024"/>
    <w:rsid w:val="00C1054D"/>
    <w:rsid w:val="00C22869"/>
    <w:rsid w:val="00C23D27"/>
    <w:rsid w:val="00C309B0"/>
    <w:rsid w:val="00C319B4"/>
    <w:rsid w:val="00C93164"/>
    <w:rsid w:val="00C9512D"/>
    <w:rsid w:val="00C97106"/>
    <w:rsid w:val="00CA56D4"/>
    <w:rsid w:val="00CC03CA"/>
    <w:rsid w:val="00CC7708"/>
    <w:rsid w:val="00CD2659"/>
    <w:rsid w:val="00CE27E5"/>
    <w:rsid w:val="00CE43B1"/>
    <w:rsid w:val="00CF00E6"/>
    <w:rsid w:val="00D01EB4"/>
    <w:rsid w:val="00D10307"/>
    <w:rsid w:val="00D1370B"/>
    <w:rsid w:val="00D279D2"/>
    <w:rsid w:val="00D4175F"/>
    <w:rsid w:val="00D422D9"/>
    <w:rsid w:val="00D466D8"/>
    <w:rsid w:val="00D51210"/>
    <w:rsid w:val="00D61641"/>
    <w:rsid w:val="00D62186"/>
    <w:rsid w:val="00D6356A"/>
    <w:rsid w:val="00D70878"/>
    <w:rsid w:val="00D76484"/>
    <w:rsid w:val="00D8098F"/>
    <w:rsid w:val="00D81015"/>
    <w:rsid w:val="00D82D7F"/>
    <w:rsid w:val="00D84E2C"/>
    <w:rsid w:val="00D93223"/>
    <w:rsid w:val="00D9399F"/>
    <w:rsid w:val="00D97C09"/>
    <w:rsid w:val="00DA5D34"/>
    <w:rsid w:val="00DB6382"/>
    <w:rsid w:val="00DE45D4"/>
    <w:rsid w:val="00DF157E"/>
    <w:rsid w:val="00E222EE"/>
    <w:rsid w:val="00E4670D"/>
    <w:rsid w:val="00E53BF5"/>
    <w:rsid w:val="00E631E8"/>
    <w:rsid w:val="00E657CA"/>
    <w:rsid w:val="00E713CB"/>
    <w:rsid w:val="00E77976"/>
    <w:rsid w:val="00E850AC"/>
    <w:rsid w:val="00E86F60"/>
    <w:rsid w:val="00E875D2"/>
    <w:rsid w:val="00E91A6E"/>
    <w:rsid w:val="00EA7B39"/>
    <w:rsid w:val="00EB170E"/>
    <w:rsid w:val="00EB2CAF"/>
    <w:rsid w:val="00EE4042"/>
    <w:rsid w:val="00F13720"/>
    <w:rsid w:val="00F244EC"/>
    <w:rsid w:val="00F31C39"/>
    <w:rsid w:val="00F40105"/>
    <w:rsid w:val="00F410E8"/>
    <w:rsid w:val="00F4172F"/>
    <w:rsid w:val="00F619FD"/>
    <w:rsid w:val="00F719F1"/>
    <w:rsid w:val="00F758F3"/>
    <w:rsid w:val="00F87D94"/>
    <w:rsid w:val="00F91DE4"/>
    <w:rsid w:val="00FA0D37"/>
    <w:rsid w:val="00FB31BD"/>
    <w:rsid w:val="00FB5A11"/>
    <w:rsid w:val="00FC260E"/>
    <w:rsid w:val="00FD10B6"/>
    <w:rsid w:val="00FD346C"/>
    <w:rsid w:val="00FE4533"/>
    <w:rsid w:val="00FE7A67"/>
    <w:rsid w:val="00FF21F4"/>
    <w:rsid w:val="00FF5A2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5A24EA"/>
  <w15:chartTrackingRefBased/>
  <w15:docId w15:val="{3C10E068-129A-40AD-BB4C-AAF92618C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31C39"/>
    <w:pPr>
      <w:widowControl w:val="0"/>
      <w:spacing w:before="60" w:after="60" w:line="312" w:lineRule="auto"/>
      <w:ind w:left="426"/>
      <w:jc w:val="both"/>
    </w:pPr>
    <w:rPr>
      <w:rFonts w:eastAsia="Calibri" w:cstheme="majorHAnsi"/>
      <w:sz w:val="24"/>
      <w:lang w:val="en-US" w:eastAsia="de-CH"/>
    </w:rPr>
  </w:style>
  <w:style w:type="paragraph" w:styleId="berschrift1">
    <w:name w:val="heading 1"/>
    <w:basedOn w:val="Standard"/>
    <w:next w:val="Standard"/>
    <w:link w:val="berschrift1Zchn"/>
    <w:qFormat/>
    <w:rsid w:val="00E713CB"/>
    <w:pPr>
      <w:keepNext/>
      <w:keepLines/>
      <w:numPr>
        <w:numId w:val="1"/>
      </w:numPr>
      <w:spacing w:before="320" w:after="200" w:line="336" w:lineRule="atLeast"/>
      <w:ind w:left="709" w:hanging="283"/>
      <w:outlineLvl w:val="0"/>
    </w:pPr>
    <w:rPr>
      <w:rFonts w:ascii="Arial" w:hAnsi="Arial" w:cs="Times New Roman"/>
      <w:b/>
      <w:bCs/>
      <w:sz w:val="28"/>
      <w:szCs w:val="28"/>
    </w:rPr>
  </w:style>
  <w:style w:type="paragraph" w:styleId="berschrift2">
    <w:name w:val="heading 2"/>
    <w:basedOn w:val="Standard"/>
    <w:next w:val="Standard"/>
    <w:link w:val="berschrift2Zchn"/>
    <w:uiPriority w:val="9"/>
    <w:qFormat/>
    <w:rsid w:val="00242698"/>
    <w:pPr>
      <w:keepNext/>
      <w:keepLines/>
      <w:tabs>
        <w:tab w:val="left" w:pos="567"/>
        <w:tab w:val="left" w:pos="794"/>
      </w:tabs>
      <w:spacing w:before="120" w:after="120" w:line="244" w:lineRule="atLeast"/>
      <w:outlineLvl w:val="1"/>
    </w:pPr>
    <w:rPr>
      <w:rFonts w:ascii="Arial" w:hAnsi="Arial" w:cs="Times New Roman"/>
      <w:b/>
      <w:bCs/>
      <w:szCs w:val="26"/>
    </w:rPr>
  </w:style>
  <w:style w:type="paragraph" w:styleId="berschrift3">
    <w:name w:val="heading 3"/>
    <w:basedOn w:val="Standard"/>
    <w:next w:val="Standard"/>
    <w:link w:val="berschrift3Zchn"/>
    <w:qFormat/>
    <w:rsid w:val="002865A2"/>
    <w:pPr>
      <w:keepNext/>
      <w:numPr>
        <w:ilvl w:val="2"/>
        <w:numId w:val="1"/>
      </w:numPr>
      <w:spacing w:line="244" w:lineRule="atLeast"/>
      <w:outlineLvl w:val="2"/>
    </w:pPr>
    <w:rPr>
      <w:rFonts w:ascii="Arial" w:eastAsia="Lucida Sans" w:hAnsi="Arial" w:cs="Arial"/>
      <w:bCs/>
      <w:sz w:val="19"/>
      <w:szCs w:val="26"/>
    </w:rPr>
  </w:style>
  <w:style w:type="paragraph" w:styleId="berschrift4">
    <w:name w:val="heading 4"/>
    <w:basedOn w:val="Standard"/>
    <w:next w:val="Standard"/>
    <w:link w:val="berschrift4Zchn"/>
    <w:qFormat/>
    <w:rsid w:val="002865A2"/>
    <w:pPr>
      <w:keepNext/>
      <w:numPr>
        <w:ilvl w:val="3"/>
        <w:numId w:val="1"/>
      </w:numPr>
      <w:spacing w:line="244" w:lineRule="atLeast"/>
      <w:outlineLvl w:val="3"/>
    </w:pPr>
    <w:rPr>
      <w:rFonts w:ascii="Arial" w:eastAsia="Lucida Sans" w:hAnsi="Arial" w:cs="Times New Roman"/>
      <w:bCs/>
      <w:sz w:val="19"/>
      <w:szCs w:val="28"/>
    </w:rPr>
  </w:style>
  <w:style w:type="paragraph" w:styleId="berschrift5">
    <w:name w:val="heading 5"/>
    <w:basedOn w:val="Standard"/>
    <w:next w:val="Standard"/>
    <w:link w:val="berschrift5Zchn"/>
    <w:qFormat/>
    <w:rsid w:val="002865A2"/>
    <w:pPr>
      <w:numPr>
        <w:ilvl w:val="4"/>
        <w:numId w:val="1"/>
      </w:numPr>
      <w:spacing w:line="244" w:lineRule="atLeast"/>
      <w:outlineLvl w:val="4"/>
    </w:pPr>
    <w:rPr>
      <w:rFonts w:ascii="Arial" w:eastAsia="Lucida Sans" w:hAnsi="Arial" w:cs="Times New Roman"/>
      <w:bCs/>
      <w:iCs/>
      <w:sz w:val="19"/>
      <w:szCs w:val="26"/>
    </w:rPr>
  </w:style>
  <w:style w:type="paragraph" w:styleId="berschrift6">
    <w:name w:val="heading 6"/>
    <w:basedOn w:val="Standard"/>
    <w:next w:val="Standard"/>
    <w:link w:val="berschrift6Zchn"/>
    <w:qFormat/>
    <w:rsid w:val="002865A2"/>
    <w:pPr>
      <w:spacing w:line="244" w:lineRule="atLeast"/>
      <w:outlineLvl w:val="5"/>
    </w:pPr>
    <w:rPr>
      <w:rFonts w:ascii="Arial" w:eastAsia="Lucida Sans" w:hAnsi="Arial" w:cs="Lucida Sans"/>
      <w:bCs/>
      <w:sz w:val="19"/>
      <w:szCs w:val="19"/>
    </w:rPr>
  </w:style>
  <w:style w:type="paragraph" w:styleId="berschrift7">
    <w:name w:val="heading 7"/>
    <w:basedOn w:val="Standard"/>
    <w:next w:val="Standard"/>
    <w:link w:val="berschrift7Zchn"/>
    <w:semiHidden/>
    <w:qFormat/>
    <w:rsid w:val="002865A2"/>
    <w:pPr>
      <w:spacing w:line="244" w:lineRule="atLeast"/>
      <w:outlineLvl w:val="6"/>
    </w:pPr>
    <w:rPr>
      <w:rFonts w:ascii="Arial" w:eastAsia="Lucida Sans" w:hAnsi="Arial" w:cs="Lucida Sans"/>
      <w:sz w:val="19"/>
      <w:szCs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2865A2"/>
    <w:rPr>
      <w:rFonts w:ascii="Arial" w:eastAsia="Lucida Sans" w:hAnsi="Arial" w:cs="Arial"/>
      <w:bCs/>
      <w:sz w:val="19"/>
      <w:szCs w:val="26"/>
      <w:lang w:val="en-US" w:eastAsia="de-CH"/>
    </w:rPr>
  </w:style>
  <w:style w:type="character" w:customStyle="1" w:styleId="berschrift1Zchn">
    <w:name w:val="Überschrift 1 Zchn"/>
    <w:link w:val="berschrift1"/>
    <w:rsid w:val="00E713CB"/>
    <w:rPr>
      <w:rFonts w:ascii="Arial" w:eastAsia="Calibri" w:hAnsi="Arial" w:cs="Times New Roman"/>
      <w:b/>
      <w:bCs/>
      <w:sz w:val="28"/>
      <w:szCs w:val="28"/>
      <w:lang w:val="en-US" w:eastAsia="de-CH"/>
    </w:rPr>
  </w:style>
  <w:style w:type="character" w:customStyle="1" w:styleId="berschrift2Zchn">
    <w:name w:val="Überschrift 2 Zchn"/>
    <w:link w:val="berschrift2"/>
    <w:uiPriority w:val="9"/>
    <w:rsid w:val="00242698"/>
    <w:rPr>
      <w:rFonts w:ascii="Arial" w:eastAsia="Calibri" w:hAnsi="Arial" w:cs="Times New Roman"/>
      <w:b/>
      <w:bCs/>
      <w:sz w:val="24"/>
      <w:szCs w:val="26"/>
      <w:lang w:val="en-US" w:eastAsia="de-CH"/>
    </w:rPr>
  </w:style>
  <w:style w:type="character" w:customStyle="1" w:styleId="berschrift4Zchn">
    <w:name w:val="Überschrift 4 Zchn"/>
    <w:basedOn w:val="Absatz-Standardschriftart"/>
    <w:link w:val="berschrift4"/>
    <w:rsid w:val="002865A2"/>
    <w:rPr>
      <w:rFonts w:ascii="Arial" w:eastAsia="Lucida Sans" w:hAnsi="Arial" w:cs="Times New Roman"/>
      <w:bCs/>
      <w:sz w:val="19"/>
      <w:szCs w:val="28"/>
      <w:lang w:val="en-US" w:eastAsia="de-CH"/>
    </w:rPr>
  </w:style>
  <w:style w:type="character" w:customStyle="1" w:styleId="berschrift5Zchn">
    <w:name w:val="Überschrift 5 Zchn"/>
    <w:basedOn w:val="Absatz-Standardschriftart"/>
    <w:link w:val="berschrift5"/>
    <w:rsid w:val="002865A2"/>
    <w:rPr>
      <w:rFonts w:ascii="Arial" w:eastAsia="Lucida Sans" w:hAnsi="Arial" w:cs="Times New Roman"/>
      <w:bCs/>
      <w:iCs/>
      <w:sz w:val="19"/>
      <w:szCs w:val="26"/>
      <w:lang w:val="en-US" w:eastAsia="de-CH"/>
    </w:rPr>
  </w:style>
  <w:style w:type="character" w:customStyle="1" w:styleId="berschrift6Zchn">
    <w:name w:val="Überschrift 6 Zchn"/>
    <w:basedOn w:val="Absatz-Standardschriftart"/>
    <w:link w:val="berschrift6"/>
    <w:rsid w:val="002865A2"/>
    <w:rPr>
      <w:rFonts w:ascii="Arial" w:eastAsia="Lucida Sans" w:hAnsi="Arial" w:cs="Lucida Sans"/>
      <w:bCs/>
      <w:sz w:val="19"/>
      <w:szCs w:val="19"/>
    </w:rPr>
  </w:style>
  <w:style w:type="character" w:customStyle="1" w:styleId="berschrift7Zchn">
    <w:name w:val="Überschrift 7 Zchn"/>
    <w:basedOn w:val="Absatz-Standardschriftart"/>
    <w:link w:val="berschrift7"/>
    <w:semiHidden/>
    <w:rsid w:val="002865A2"/>
    <w:rPr>
      <w:rFonts w:ascii="Arial" w:eastAsia="Lucida Sans" w:hAnsi="Arial" w:cs="Lucida Sans"/>
      <w:sz w:val="19"/>
      <w:szCs w:val="19"/>
    </w:rPr>
  </w:style>
  <w:style w:type="paragraph" w:styleId="Titel">
    <w:name w:val="Title"/>
    <w:basedOn w:val="Standard"/>
    <w:next w:val="Standard"/>
    <w:link w:val="TitelZchn"/>
    <w:uiPriority w:val="10"/>
    <w:qFormat/>
    <w:rsid w:val="003D3854"/>
    <w:pPr>
      <w:keepNext/>
      <w:keepLines/>
      <w:spacing w:before="480" w:after="120"/>
    </w:pPr>
    <w:rPr>
      <w:b/>
      <w:sz w:val="36"/>
      <w:szCs w:val="72"/>
    </w:rPr>
  </w:style>
  <w:style w:type="character" w:customStyle="1" w:styleId="TitelZchn">
    <w:name w:val="Titel Zchn"/>
    <w:basedOn w:val="Absatz-Standardschriftart"/>
    <w:link w:val="Titel"/>
    <w:uiPriority w:val="10"/>
    <w:rsid w:val="003D3854"/>
    <w:rPr>
      <w:rFonts w:eastAsia="Calibri" w:cstheme="majorHAnsi"/>
      <w:b/>
      <w:sz w:val="36"/>
      <w:szCs w:val="72"/>
      <w:lang w:val="en-US" w:eastAsia="de-CH"/>
    </w:rPr>
  </w:style>
  <w:style w:type="paragraph" w:styleId="Fuzeile">
    <w:name w:val="footer"/>
    <w:basedOn w:val="Standard"/>
    <w:link w:val="FuzeileZchn"/>
    <w:uiPriority w:val="99"/>
    <w:unhideWhenUsed/>
    <w:rsid w:val="00C9512D"/>
    <w:pPr>
      <w:tabs>
        <w:tab w:val="center" w:pos="4536"/>
        <w:tab w:val="right" w:pos="9072"/>
      </w:tabs>
    </w:pPr>
  </w:style>
  <w:style w:type="character" w:customStyle="1" w:styleId="FuzeileZchn">
    <w:name w:val="Fußzeile Zchn"/>
    <w:basedOn w:val="Absatz-Standardschriftart"/>
    <w:link w:val="Fuzeile"/>
    <w:uiPriority w:val="99"/>
    <w:rsid w:val="00C9512D"/>
    <w:rPr>
      <w:rFonts w:asciiTheme="majorHAnsi" w:eastAsia="Calibri" w:hAnsiTheme="majorHAnsi" w:cstheme="majorHAnsi"/>
      <w:sz w:val="24"/>
      <w:lang w:val="en-US" w:eastAsia="de-CH"/>
    </w:rPr>
  </w:style>
  <w:style w:type="paragraph" w:styleId="Listenabsatz">
    <w:name w:val="List Paragraph"/>
    <w:basedOn w:val="Standard"/>
    <w:uiPriority w:val="34"/>
    <w:qFormat/>
    <w:rsid w:val="009519D8"/>
    <w:pPr>
      <w:numPr>
        <w:numId w:val="4"/>
      </w:numPr>
      <w:spacing w:before="120" w:after="120" w:line="288" w:lineRule="auto"/>
      <w:contextualSpacing/>
    </w:pPr>
  </w:style>
  <w:style w:type="character" w:styleId="Funotenzeichen">
    <w:name w:val="footnote reference"/>
    <w:aliases w:val="4_G"/>
    <w:basedOn w:val="Absatz-Standardschriftart"/>
    <w:unhideWhenUsed/>
    <w:qFormat/>
    <w:rsid w:val="00C9512D"/>
    <w:rPr>
      <w:vertAlign w:val="superscript"/>
    </w:rPr>
  </w:style>
  <w:style w:type="character" w:styleId="Hyperlink">
    <w:name w:val="Hyperlink"/>
    <w:basedOn w:val="Absatz-Standardschriftart"/>
    <w:uiPriority w:val="99"/>
    <w:unhideWhenUsed/>
    <w:rsid w:val="00C9512D"/>
    <w:rPr>
      <w:color w:val="0563C1" w:themeColor="hyperlink"/>
      <w:u w:val="single"/>
    </w:rPr>
  </w:style>
  <w:style w:type="paragraph" w:customStyle="1" w:styleId="Fussnotentext">
    <w:name w:val="Fussnotentext"/>
    <w:basedOn w:val="Funotentext"/>
    <w:link w:val="FussnotentextZchn"/>
    <w:qFormat/>
    <w:rsid w:val="00E77976"/>
    <w:pPr>
      <w:pBdr>
        <w:top w:val="nil"/>
        <w:left w:val="nil"/>
        <w:bottom w:val="nil"/>
        <w:right w:val="nil"/>
        <w:between w:val="nil"/>
      </w:pBdr>
      <w:spacing w:line="240" w:lineRule="auto"/>
      <w:ind w:left="425" w:hanging="425"/>
    </w:pPr>
    <w:rPr>
      <w:rFonts w:eastAsia="Tahoma" w:cstheme="minorHAnsi"/>
      <w:bCs/>
      <w:color w:val="000000"/>
      <w:lang w:val="en-GB"/>
    </w:rPr>
  </w:style>
  <w:style w:type="character" w:customStyle="1" w:styleId="FussnotentextZchn">
    <w:name w:val="Fussnotentext Zchn"/>
    <w:basedOn w:val="FunotentextZchn"/>
    <w:link w:val="Fussnotentext"/>
    <w:rsid w:val="00E77976"/>
    <w:rPr>
      <w:rFonts w:eastAsia="Tahoma" w:cstheme="minorHAnsi"/>
      <w:bCs/>
      <w:color w:val="000000"/>
      <w:sz w:val="20"/>
      <w:szCs w:val="20"/>
      <w:lang w:val="en-GB" w:eastAsia="de-CH"/>
    </w:rPr>
  </w:style>
  <w:style w:type="paragraph" w:styleId="Funotentext">
    <w:name w:val="footnote text"/>
    <w:basedOn w:val="Standard"/>
    <w:link w:val="FunotentextZchn"/>
    <w:uiPriority w:val="99"/>
    <w:unhideWhenUsed/>
    <w:rsid w:val="00282C74"/>
    <w:pPr>
      <w:ind w:left="510" w:hanging="510"/>
    </w:pPr>
    <w:rPr>
      <w:sz w:val="20"/>
      <w:szCs w:val="20"/>
    </w:rPr>
  </w:style>
  <w:style w:type="character" w:customStyle="1" w:styleId="FunotentextZchn">
    <w:name w:val="Fußnotentext Zchn"/>
    <w:basedOn w:val="Absatz-Standardschriftart"/>
    <w:link w:val="Funotentext"/>
    <w:uiPriority w:val="99"/>
    <w:rsid w:val="00282C74"/>
    <w:rPr>
      <w:rFonts w:eastAsia="Calibri" w:cstheme="majorHAnsi"/>
      <w:sz w:val="20"/>
      <w:szCs w:val="20"/>
      <w:lang w:val="en-US" w:eastAsia="de-CH"/>
    </w:rPr>
  </w:style>
  <w:style w:type="paragraph" w:customStyle="1" w:styleId="Default">
    <w:name w:val="Default"/>
    <w:rsid w:val="00C9512D"/>
    <w:pPr>
      <w:autoSpaceDE w:val="0"/>
      <w:autoSpaceDN w:val="0"/>
      <w:adjustRightInd w:val="0"/>
      <w:spacing w:after="0" w:line="240" w:lineRule="auto"/>
    </w:pPr>
    <w:rPr>
      <w:rFonts w:ascii="Times New Roman" w:eastAsia="Calibri" w:hAnsi="Times New Roman" w:cs="Times New Roman"/>
      <w:color w:val="000000"/>
      <w:sz w:val="24"/>
      <w:szCs w:val="24"/>
      <w:lang w:eastAsia="de-CH"/>
    </w:rPr>
  </w:style>
  <w:style w:type="character" w:styleId="IntensiverVerweis">
    <w:name w:val="Intense Reference"/>
    <w:basedOn w:val="Absatz-Standardschriftart"/>
    <w:uiPriority w:val="32"/>
    <w:qFormat/>
    <w:rsid w:val="009519D8"/>
    <w:rPr>
      <w:rFonts w:asciiTheme="minorHAnsi" w:hAnsiTheme="minorHAnsi"/>
      <w:b/>
      <w:bCs/>
      <w:smallCaps/>
      <w:color w:val="0070C0"/>
      <w:spacing w:val="5"/>
      <w:sz w:val="28"/>
      <w:szCs w:val="28"/>
      <w:shd w:val="pct5" w:color="auto" w:fill="auto"/>
    </w:rPr>
  </w:style>
  <w:style w:type="paragraph" w:customStyle="1" w:styleId="Randziffern">
    <w:name w:val="Randziffern"/>
    <w:basedOn w:val="Standard"/>
    <w:next w:val="Standard"/>
    <w:autoRedefine/>
    <w:qFormat/>
    <w:rsid w:val="00070329"/>
    <w:pPr>
      <w:keepNext/>
      <w:framePr w:h="454" w:hRule="exact" w:hSpace="198" w:wrap="around" w:vAnchor="text" w:hAnchor="page" w:xAlign="outside" w:y="1"/>
      <w:widowControl/>
      <w:numPr>
        <w:numId w:val="2"/>
      </w:numPr>
      <w:shd w:val="solid" w:color="FFFFFF" w:fill="FFFFFF"/>
      <w:spacing w:before="20" w:after="80" w:line="160" w:lineRule="exact"/>
      <w:jc w:val="center"/>
    </w:pPr>
    <w:rPr>
      <w:rFonts w:eastAsia="Times New Roman" w:cs="Arial Unicode MS"/>
      <w:sz w:val="18"/>
      <w:szCs w:val="16"/>
      <w:lang w:val="en-GB" w:eastAsia="fr-FR" w:bidi="km-KH"/>
    </w:rPr>
  </w:style>
  <w:style w:type="paragraph" w:styleId="Beschriftung">
    <w:name w:val="caption"/>
    <w:basedOn w:val="Standard"/>
    <w:next w:val="Standard"/>
    <w:qFormat/>
    <w:rsid w:val="00C9512D"/>
    <w:pPr>
      <w:widowControl/>
    </w:pPr>
    <w:rPr>
      <w:rFonts w:eastAsia="Times New Roman" w:cs="Times New Roman"/>
      <w:bCs/>
      <w:sz w:val="20"/>
      <w:szCs w:val="20"/>
      <w:lang w:val="de-CH" w:eastAsia="de-DE"/>
    </w:rPr>
  </w:style>
  <w:style w:type="character" w:customStyle="1" w:styleId="normal10">
    <w:name w:val="normal10"/>
    <w:basedOn w:val="Absatz-Standardschriftart"/>
    <w:rsid w:val="00C9512D"/>
  </w:style>
  <w:style w:type="character" w:styleId="BesuchterLink">
    <w:name w:val="FollowedHyperlink"/>
    <w:basedOn w:val="Absatz-Standardschriftart"/>
    <w:uiPriority w:val="99"/>
    <w:semiHidden/>
    <w:unhideWhenUsed/>
    <w:rsid w:val="00C9512D"/>
    <w:rPr>
      <w:color w:val="954F72" w:themeColor="followedHyperlink"/>
      <w:u w:val="single"/>
    </w:rPr>
  </w:style>
  <w:style w:type="character" w:customStyle="1" w:styleId="markedcontent">
    <w:name w:val="markedcontent"/>
    <w:basedOn w:val="Absatz-Standardschriftart"/>
    <w:rsid w:val="00C9512D"/>
  </w:style>
  <w:style w:type="paragraph" w:styleId="Endnotentext">
    <w:name w:val="endnote text"/>
    <w:basedOn w:val="Standard"/>
    <w:link w:val="EndnotentextZchn"/>
    <w:uiPriority w:val="99"/>
    <w:unhideWhenUsed/>
    <w:rsid w:val="00C9512D"/>
    <w:pPr>
      <w:spacing w:line="240" w:lineRule="auto"/>
    </w:pPr>
    <w:rPr>
      <w:sz w:val="20"/>
      <w:szCs w:val="20"/>
    </w:rPr>
  </w:style>
  <w:style w:type="character" w:customStyle="1" w:styleId="EndnotentextZchn">
    <w:name w:val="Endnotentext Zchn"/>
    <w:basedOn w:val="Absatz-Standardschriftart"/>
    <w:link w:val="Endnotentext"/>
    <w:uiPriority w:val="99"/>
    <w:rsid w:val="00C9512D"/>
    <w:rPr>
      <w:rFonts w:asciiTheme="majorHAnsi" w:eastAsia="Calibri" w:hAnsiTheme="majorHAnsi" w:cstheme="majorHAnsi"/>
      <w:sz w:val="20"/>
      <w:szCs w:val="20"/>
      <w:lang w:val="en-US" w:eastAsia="de-CH"/>
    </w:rPr>
  </w:style>
  <w:style w:type="character" w:styleId="Endnotenzeichen">
    <w:name w:val="endnote reference"/>
    <w:basedOn w:val="Absatz-Standardschriftart"/>
    <w:uiPriority w:val="99"/>
    <w:semiHidden/>
    <w:unhideWhenUsed/>
    <w:rsid w:val="00C9512D"/>
    <w:rPr>
      <w:vertAlign w:val="superscript"/>
    </w:rPr>
  </w:style>
  <w:style w:type="character" w:customStyle="1" w:styleId="hidden-xs">
    <w:name w:val="hidden-xs"/>
    <w:basedOn w:val="Absatz-Standardschriftart"/>
    <w:rsid w:val="00C9512D"/>
  </w:style>
  <w:style w:type="paragraph" w:styleId="Kopfzeile">
    <w:name w:val="header"/>
    <w:basedOn w:val="Standard"/>
    <w:link w:val="KopfzeileZchn"/>
    <w:uiPriority w:val="99"/>
    <w:unhideWhenUsed/>
    <w:rsid w:val="00FE453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E4533"/>
    <w:rPr>
      <w:rFonts w:eastAsia="Calibri" w:cstheme="majorHAnsi"/>
      <w:sz w:val="24"/>
      <w:lang w:val="en-US" w:eastAsia="de-CH"/>
    </w:rPr>
  </w:style>
  <w:style w:type="character" w:styleId="NichtaufgelsteErwhnung">
    <w:name w:val="Unresolved Mention"/>
    <w:basedOn w:val="Absatz-Standardschriftart"/>
    <w:uiPriority w:val="99"/>
    <w:semiHidden/>
    <w:unhideWhenUsed/>
    <w:rsid w:val="00B14C40"/>
    <w:rPr>
      <w:color w:val="605E5C"/>
      <w:shd w:val="clear" w:color="auto" w:fill="E1DFDD"/>
    </w:rPr>
  </w:style>
  <w:style w:type="character" w:styleId="Buchtitel">
    <w:name w:val="Book Title"/>
    <w:uiPriority w:val="33"/>
    <w:qFormat/>
    <w:rsid w:val="00640BF2"/>
  </w:style>
  <w:style w:type="character" w:styleId="Hervorhebung">
    <w:name w:val="Emphasis"/>
    <w:basedOn w:val="Absatz-Standardschriftart"/>
    <w:uiPriority w:val="20"/>
    <w:qFormat/>
    <w:rsid w:val="00394CF8"/>
    <w:rPr>
      <w:b/>
      <w:bCs/>
      <w:iCs/>
      <w:smallCaps/>
      <w:color w:val="2E74B5" w:themeColor="accent5" w:themeShade="BF"/>
      <w:sz w:val="28"/>
    </w:rPr>
  </w:style>
  <w:style w:type="character" w:customStyle="1" w:styleId="cf01">
    <w:name w:val="cf01"/>
    <w:basedOn w:val="Absatz-Standardschriftart"/>
    <w:rsid w:val="00817E3C"/>
    <w:rPr>
      <w:rFonts w:ascii="Segoe UI" w:hAnsi="Segoe UI" w:cs="Segoe UI" w:hint="default"/>
      <w:sz w:val="18"/>
      <w:szCs w:val="18"/>
    </w:rPr>
  </w:style>
  <w:style w:type="character" w:customStyle="1" w:styleId="highlight">
    <w:name w:val="highlight"/>
    <w:basedOn w:val="Absatz-Standardschriftart"/>
    <w:rsid w:val="00631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5047">
      <w:bodyDiv w:val="1"/>
      <w:marLeft w:val="0"/>
      <w:marRight w:val="0"/>
      <w:marTop w:val="0"/>
      <w:marBottom w:val="0"/>
      <w:divBdr>
        <w:top w:val="none" w:sz="0" w:space="0" w:color="auto"/>
        <w:left w:val="none" w:sz="0" w:space="0" w:color="auto"/>
        <w:bottom w:val="none" w:sz="0" w:space="0" w:color="auto"/>
        <w:right w:val="none" w:sz="0" w:space="0" w:color="auto"/>
      </w:divBdr>
    </w:div>
    <w:div w:id="62602872">
      <w:bodyDiv w:val="1"/>
      <w:marLeft w:val="0"/>
      <w:marRight w:val="0"/>
      <w:marTop w:val="0"/>
      <w:marBottom w:val="0"/>
      <w:divBdr>
        <w:top w:val="none" w:sz="0" w:space="0" w:color="auto"/>
        <w:left w:val="none" w:sz="0" w:space="0" w:color="auto"/>
        <w:bottom w:val="none" w:sz="0" w:space="0" w:color="auto"/>
        <w:right w:val="none" w:sz="0" w:space="0" w:color="auto"/>
      </w:divBdr>
    </w:div>
    <w:div w:id="245193341">
      <w:bodyDiv w:val="1"/>
      <w:marLeft w:val="0"/>
      <w:marRight w:val="0"/>
      <w:marTop w:val="0"/>
      <w:marBottom w:val="0"/>
      <w:divBdr>
        <w:top w:val="none" w:sz="0" w:space="0" w:color="auto"/>
        <w:left w:val="none" w:sz="0" w:space="0" w:color="auto"/>
        <w:bottom w:val="none" w:sz="0" w:space="0" w:color="auto"/>
        <w:right w:val="none" w:sz="0" w:space="0" w:color="auto"/>
      </w:divBdr>
    </w:div>
    <w:div w:id="421682167">
      <w:bodyDiv w:val="1"/>
      <w:marLeft w:val="0"/>
      <w:marRight w:val="0"/>
      <w:marTop w:val="0"/>
      <w:marBottom w:val="0"/>
      <w:divBdr>
        <w:top w:val="none" w:sz="0" w:space="0" w:color="auto"/>
        <w:left w:val="none" w:sz="0" w:space="0" w:color="auto"/>
        <w:bottom w:val="none" w:sz="0" w:space="0" w:color="auto"/>
        <w:right w:val="none" w:sz="0" w:space="0" w:color="auto"/>
      </w:divBdr>
    </w:div>
    <w:div w:id="793329176">
      <w:bodyDiv w:val="1"/>
      <w:marLeft w:val="0"/>
      <w:marRight w:val="0"/>
      <w:marTop w:val="0"/>
      <w:marBottom w:val="0"/>
      <w:divBdr>
        <w:top w:val="none" w:sz="0" w:space="0" w:color="auto"/>
        <w:left w:val="none" w:sz="0" w:space="0" w:color="auto"/>
        <w:bottom w:val="none" w:sz="0" w:space="0" w:color="auto"/>
        <w:right w:val="none" w:sz="0" w:space="0" w:color="auto"/>
      </w:divBdr>
    </w:div>
    <w:div w:id="910625748">
      <w:bodyDiv w:val="1"/>
      <w:marLeft w:val="0"/>
      <w:marRight w:val="0"/>
      <w:marTop w:val="0"/>
      <w:marBottom w:val="0"/>
      <w:divBdr>
        <w:top w:val="none" w:sz="0" w:space="0" w:color="auto"/>
        <w:left w:val="none" w:sz="0" w:space="0" w:color="auto"/>
        <w:bottom w:val="none" w:sz="0" w:space="0" w:color="auto"/>
        <w:right w:val="none" w:sz="0" w:space="0" w:color="auto"/>
      </w:divBdr>
    </w:div>
    <w:div w:id="1048720808">
      <w:bodyDiv w:val="1"/>
      <w:marLeft w:val="0"/>
      <w:marRight w:val="0"/>
      <w:marTop w:val="0"/>
      <w:marBottom w:val="0"/>
      <w:divBdr>
        <w:top w:val="none" w:sz="0" w:space="0" w:color="auto"/>
        <w:left w:val="none" w:sz="0" w:space="0" w:color="auto"/>
        <w:bottom w:val="none" w:sz="0" w:space="0" w:color="auto"/>
        <w:right w:val="none" w:sz="0" w:space="0" w:color="auto"/>
      </w:divBdr>
    </w:div>
    <w:div w:id="1096438396">
      <w:bodyDiv w:val="1"/>
      <w:marLeft w:val="0"/>
      <w:marRight w:val="0"/>
      <w:marTop w:val="0"/>
      <w:marBottom w:val="0"/>
      <w:divBdr>
        <w:top w:val="none" w:sz="0" w:space="0" w:color="auto"/>
        <w:left w:val="none" w:sz="0" w:space="0" w:color="auto"/>
        <w:bottom w:val="none" w:sz="0" w:space="0" w:color="auto"/>
        <w:right w:val="none" w:sz="0" w:space="0" w:color="auto"/>
      </w:divBdr>
    </w:div>
    <w:div w:id="1266227763">
      <w:bodyDiv w:val="1"/>
      <w:marLeft w:val="0"/>
      <w:marRight w:val="0"/>
      <w:marTop w:val="0"/>
      <w:marBottom w:val="0"/>
      <w:divBdr>
        <w:top w:val="none" w:sz="0" w:space="0" w:color="auto"/>
        <w:left w:val="none" w:sz="0" w:space="0" w:color="auto"/>
        <w:bottom w:val="none" w:sz="0" w:space="0" w:color="auto"/>
        <w:right w:val="none" w:sz="0" w:space="0" w:color="auto"/>
      </w:divBdr>
    </w:div>
    <w:div w:id="1647587941">
      <w:bodyDiv w:val="1"/>
      <w:marLeft w:val="0"/>
      <w:marRight w:val="0"/>
      <w:marTop w:val="0"/>
      <w:marBottom w:val="0"/>
      <w:divBdr>
        <w:top w:val="none" w:sz="0" w:space="0" w:color="auto"/>
        <w:left w:val="none" w:sz="0" w:space="0" w:color="auto"/>
        <w:bottom w:val="none" w:sz="0" w:space="0" w:color="auto"/>
        <w:right w:val="none" w:sz="0" w:space="0" w:color="auto"/>
      </w:divBdr>
    </w:div>
    <w:div w:id="1898131101">
      <w:bodyDiv w:val="1"/>
      <w:marLeft w:val="0"/>
      <w:marRight w:val="0"/>
      <w:marTop w:val="0"/>
      <w:marBottom w:val="0"/>
      <w:divBdr>
        <w:top w:val="none" w:sz="0" w:space="0" w:color="auto"/>
        <w:left w:val="none" w:sz="0" w:space="0" w:color="auto"/>
        <w:bottom w:val="none" w:sz="0" w:space="0" w:color="auto"/>
        <w:right w:val="none" w:sz="0" w:space="0" w:color="auto"/>
      </w:divBdr>
    </w:div>
    <w:div w:id="1917131950">
      <w:bodyDiv w:val="1"/>
      <w:marLeft w:val="0"/>
      <w:marRight w:val="0"/>
      <w:marTop w:val="0"/>
      <w:marBottom w:val="0"/>
      <w:divBdr>
        <w:top w:val="none" w:sz="0" w:space="0" w:color="auto"/>
        <w:left w:val="none" w:sz="0" w:space="0" w:color="auto"/>
        <w:bottom w:val="none" w:sz="0" w:space="0" w:color="auto"/>
        <w:right w:val="none" w:sz="0" w:space="0" w:color="auto"/>
      </w:divBdr>
    </w:div>
    <w:div w:id="209010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binternet.ohchr.org/_layouts/15/treatybodyexternal/Download.aspx?symbolno=CEDAW/C/CHE/CO/4-5&amp;Lang=En" TargetMode="External"/><Relationship Id="rId18" Type="http://schemas.openxmlformats.org/officeDocument/2006/relationships/hyperlink" Target="https://www.parlament.ch/fr/ratsbetrieb/suche-curia-vista/geschaeft?AffairId=2022335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ndocs.org/en/CRC/C/CHE/CO/2-4" TargetMode="External"/><Relationship Id="rId17" Type="http://schemas.openxmlformats.org/officeDocument/2006/relationships/hyperlink" Target="https://tbinternet.ohchr.org/_layouts/15/treatybodyexternal/Download.aspx?symbolno=INT%2fCEDAW%2fICS%2fCHE%2f37274&amp;Lang=en"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rm.coe.int/ecri-report-on-switzerland-sixth-monitoring-cycle-/16809ce4b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docs.org/en/CAT/C/CHE/CO/7"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undocs.org/CRC/C/CHE/CO/5-6" TargetMode="External"/><Relationship Id="rId23" Type="http://schemas.openxmlformats.org/officeDocument/2006/relationships/customXml" Target="../customXml/item2.xml"/><Relationship Id="rId10" Type="http://schemas.openxmlformats.org/officeDocument/2006/relationships/hyperlink" Target="http://www.inter-action-suisse.ch" TargetMode="External"/><Relationship Id="rId19" Type="http://schemas.openxmlformats.org/officeDocument/2006/relationships/hyperlink" Target="https://www.fedlex.admin.ch/eli/cc/24/233_245_233/e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undocs.org/CCPR/C/CHE/CO/4"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tbinternet.ohchr.org/_layouts/15/TreatyBodyExternal/SessionsList.aspx?Treaty=CRC" TargetMode="External"/><Relationship Id="rId2" Type="http://schemas.openxmlformats.org/officeDocument/2006/relationships/hyperlink" Target="https://www.parlament.ch/de/ratsbetrieb/amtliches-bulletin/amtliches-bulletin-die-verhandlungen?SubjectId=51209" TargetMode="External"/><Relationship Id="rId1" Type="http://schemas.openxmlformats.org/officeDocument/2006/relationships/hyperlink" Target="https://drive.google.com/file/d/1cbfkCdj0SlknqPnuo7CSkK2pDrIMTzfe/view?usp=sharing" TargetMode="External"/><Relationship Id="rId5" Type="http://schemas.openxmlformats.org/officeDocument/2006/relationships/hyperlink" Target="https://us8.campaign-archive.com/?e=&amp;u=d73952ab7f346daa87bfece51&amp;id=fa589b31f4" TargetMode="External"/><Relationship Id="rId4" Type="http://schemas.openxmlformats.org/officeDocument/2006/relationships/hyperlink" Target="https://www.nek-cne.admin.ch/inhalte/Themen/Vernehmlassungsantworten/NEK-CNE_CC_changement_de_sexe_a_l_etat_civil_final.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57F858-BAD1-4814-B185-131A8615A8C7}">
  <ds:schemaRefs>
    <ds:schemaRef ds:uri="http://schemas.openxmlformats.org/officeDocument/2006/bibliography"/>
  </ds:schemaRefs>
</ds:datastoreItem>
</file>

<file path=customXml/itemProps2.xml><?xml version="1.0" encoding="utf-8"?>
<ds:datastoreItem xmlns:ds="http://schemas.openxmlformats.org/officeDocument/2006/customXml" ds:itemID="{F891FC2F-8C91-4530-8F97-F24FEB527660}"/>
</file>

<file path=customXml/itemProps3.xml><?xml version="1.0" encoding="utf-8"?>
<ds:datastoreItem xmlns:ds="http://schemas.openxmlformats.org/officeDocument/2006/customXml" ds:itemID="{B38D7329-F023-4B6F-870E-50CE9EE92184}"/>
</file>

<file path=customXml/itemProps4.xml><?xml version="1.0" encoding="utf-8"?>
<ds:datastoreItem xmlns:ds="http://schemas.openxmlformats.org/officeDocument/2006/customXml" ds:itemID="{2FDAE540-7290-42A9-9F56-A1E09AA7D4EB}"/>
</file>

<file path=docProps/app.xml><?xml version="1.0" encoding="utf-8"?>
<Properties xmlns="http://schemas.openxmlformats.org/officeDocument/2006/extended-properties" xmlns:vt="http://schemas.openxmlformats.org/officeDocument/2006/docPropsVTypes">
  <Template>Normal.dotm</Template>
  <TotalTime>0</TotalTime>
  <Pages>14</Pages>
  <Words>4011</Words>
  <Characters>25274</Characters>
  <Application>Microsoft Office Word</Application>
  <DocSecurity>0</DocSecurity>
  <Lines>210</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InterAction Suisse;ILGA World</dc:creator>
  <cp:keywords/>
  <dc:description/>
  <cp:lastModifiedBy>MW</cp:lastModifiedBy>
  <cp:revision>2</cp:revision>
  <cp:lastPrinted>2022-09-11T21:56:00Z</cp:lastPrinted>
  <dcterms:created xsi:type="dcterms:W3CDTF">2022-09-11T21:57:00Z</dcterms:created>
  <dcterms:modified xsi:type="dcterms:W3CDTF">2022-09-11T21:57:00Z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