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493" w:type="dxa"/>
        <w:tblLook w:val="04A0" w:firstRow="1" w:lastRow="0" w:firstColumn="1" w:lastColumn="0" w:noHBand="0" w:noVBand="1"/>
      </w:tblPr>
      <w:tblGrid>
        <w:gridCol w:w="9493"/>
      </w:tblGrid>
      <w:tr w:rsidR="002847C8" w14:paraId="5B86F021" w14:textId="77777777" w:rsidTr="002847C8">
        <w:trPr>
          <w:trHeight w:val="14166"/>
        </w:trPr>
        <w:tc>
          <w:tcPr>
            <w:tcW w:w="9493" w:type="dxa"/>
          </w:tcPr>
          <w:p w14:paraId="4DD536DE" w14:textId="7217147E" w:rsidR="002847C8" w:rsidRDefault="002847C8"/>
          <w:p w14:paraId="23B94C27" w14:textId="77777777" w:rsidR="002847C8" w:rsidRPr="002847C8" w:rsidRDefault="002847C8" w:rsidP="002847C8"/>
          <w:p w14:paraId="4086E652" w14:textId="664785CB" w:rsidR="002847C8" w:rsidRPr="002847C8" w:rsidRDefault="002847C8" w:rsidP="002847C8"/>
          <w:p w14:paraId="070C6360" w14:textId="2EB63030" w:rsidR="002847C8" w:rsidRPr="002847C8" w:rsidRDefault="002847C8" w:rsidP="002847C8"/>
          <w:p w14:paraId="0467C2F9" w14:textId="77777777" w:rsidR="002847C8" w:rsidRPr="002847C8" w:rsidRDefault="002847C8" w:rsidP="002847C8"/>
          <w:p w14:paraId="386D80C0" w14:textId="7BCFB5DC" w:rsidR="002847C8" w:rsidRPr="002847C8" w:rsidRDefault="002847C8" w:rsidP="002847C8"/>
          <w:p w14:paraId="4A93D9CE" w14:textId="697F5161" w:rsidR="002847C8" w:rsidRPr="002847C8" w:rsidRDefault="002847C8" w:rsidP="002847C8"/>
          <w:p w14:paraId="1301FEC4" w14:textId="0829A110" w:rsidR="002847C8" w:rsidRPr="002847C8" w:rsidRDefault="002847C8" w:rsidP="002847C8"/>
          <w:p w14:paraId="1F379CA0" w14:textId="4014A666" w:rsidR="002847C8" w:rsidRPr="002847C8" w:rsidRDefault="002C643B" w:rsidP="002847C8">
            <w:r>
              <w:rPr>
                <w:noProof/>
              </w:rPr>
              <w:object w:dxaOrig="1440" w:dyaOrig="1440" w14:anchorId="7EFED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4pt;margin-top:2.1pt;width:328.8pt;height:56.4pt;z-index:251659264;mso-position-horizontal-relative:text;mso-position-vertical-relative:text;mso-width-relative:page;mso-height-relative:page">
                  <v:imagedata r:id="rId7" o:title=""/>
                  <w10:wrap type="square"/>
                </v:shape>
                <o:OLEObject Type="Embed" ProgID="PBrush" ShapeID="_x0000_s1026" DrawAspect="Content" ObjectID="_1724503456" r:id="rId8"/>
              </w:object>
            </w:r>
          </w:p>
          <w:p w14:paraId="626C8767" w14:textId="77777777" w:rsidR="002847C8" w:rsidRPr="002847C8" w:rsidRDefault="002847C8" w:rsidP="002847C8"/>
          <w:p w14:paraId="49A95BE7" w14:textId="77777777" w:rsidR="002847C8" w:rsidRPr="002847C8" w:rsidRDefault="002847C8" w:rsidP="002847C8"/>
          <w:p w14:paraId="4BD77F86" w14:textId="77777777" w:rsidR="002847C8" w:rsidRPr="002847C8" w:rsidRDefault="002847C8" w:rsidP="002847C8"/>
          <w:p w14:paraId="425D960D" w14:textId="77777777" w:rsidR="002847C8" w:rsidRDefault="002847C8" w:rsidP="002847C8"/>
          <w:p w14:paraId="40311A68" w14:textId="210681F8" w:rsidR="002847C8" w:rsidRPr="002847C8" w:rsidRDefault="002847C8" w:rsidP="002847C8"/>
          <w:p w14:paraId="380615B4" w14:textId="17FC4FA8" w:rsidR="002847C8" w:rsidRPr="002847C8" w:rsidRDefault="002847C8" w:rsidP="002847C8"/>
          <w:p w14:paraId="071E2D7F" w14:textId="77777777" w:rsidR="002847C8" w:rsidRPr="002847C8" w:rsidRDefault="002847C8" w:rsidP="002847C8"/>
          <w:p w14:paraId="1E20A826" w14:textId="77777777" w:rsidR="002847C8" w:rsidRPr="002847C8" w:rsidRDefault="002847C8" w:rsidP="002847C8"/>
          <w:p w14:paraId="46E91AE8" w14:textId="77777777" w:rsidR="002847C8" w:rsidRDefault="002847C8" w:rsidP="002847C8"/>
          <w:p w14:paraId="383FE47A" w14:textId="77777777" w:rsidR="002847C8" w:rsidRPr="002847C8" w:rsidRDefault="002847C8" w:rsidP="002847C8"/>
          <w:p w14:paraId="05A197EF" w14:textId="77777777" w:rsidR="002847C8" w:rsidRDefault="002847C8" w:rsidP="002847C8"/>
          <w:p w14:paraId="0F68ED22" w14:textId="77777777" w:rsidR="002847C8" w:rsidRDefault="002847C8" w:rsidP="002847C8"/>
          <w:p w14:paraId="475DE594" w14:textId="77777777" w:rsidR="002847C8" w:rsidRPr="002847C8" w:rsidRDefault="002847C8" w:rsidP="002847C8">
            <w:pPr>
              <w:ind w:firstLine="708"/>
              <w:jc w:val="center"/>
            </w:pPr>
          </w:p>
          <w:p w14:paraId="417F75D8" w14:textId="5AC055DF" w:rsidR="002847C8" w:rsidRPr="002847C8" w:rsidRDefault="002847C8" w:rsidP="002C16AF">
            <w:pPr>
              <w:spacing w:line="360" w:lineRule="auto"/>
              <w:ind w:firstLine="708"/>
              <w:rPr>
                <w:rFonts w:asciiTheme="majorHAnsi" w:hAnsiTheme="majorHAnsi" w:cstheme="majorHAnsi"/>
                <w:b/>
                <w:bCs/>
              </w:rPr>
            </w:pPr>
            <w:r>
              <w:rPr>
                <w:rFonts w:asciiTheme="majorHAnsi" w:hAnsiTheme="majorHAnsi" w:cstheme="majorHAnsi"/>
                <w:b/>
                <w:bCs/>
              </w:rPr>
              <w:t xml:space="preserve">      </w:t>
            </w:r>
            <w:r w:rsidRPr="002847C8">
              <w:rPr>
                <w:rFonts w:asciiTheme="majorHAnsi" w:hAnsiTheme="majorHAnsi" w:cstheme="majorHAnsi"/>
                <w:b/>
                <w:bCs/>
              </w:rPr>
              <w:t>Rapport alternatif de l’Institut pour l’égalité des femmes et des hommes</w:t>
            </w:r>
            <w:r>
              <w:rPr>
                <w:rFonts w:asciiTheme="majorHAnsi" w:hAnsiTheme="majorHAnsi" w:cstheme="majorHAnsi"/>
                <w:b/>
                <w:bCs/>
              </w:rPr>
              <w:t xml:space="preserve"> - </w:t>
            </w:r>
            <w:r w:rsidRPr="002847C8">
              <w:rPr>
                <w:rFonts w:asciiTheme="majorHAnsi" w:hAnsiTheme="majorHAnsi" w:cstheme="majorHAnsi"/>
                <w:b/>
                <w:bCs/>
              </w:rPr>
              <w:t>CEDAW</w:t>
            </w:r>
          </w:p>
          <w:p w14:paraId="51D8B556" w14:textId="5447983B" w:rsidR="002847C8" w:rsidRPr="002847C8" w:rsidRDefault="002847C8" w:rsidP="002C16AF">
            <w:pPr>
              <w:spacing w:line="360" w:lineRule="auto"/>
              <w:ind w:firstLine="708"/>
              <w:rPr>
                <w:rFonts w:asciiTheme="majorHAnsi" w:hAnsiTheme="majorHAnsi" w:cstheme="majorHAnsi"/>
                <w:b/>
                <w:bCs/>
              </w:rPr>
            </w:pPr>
            <w:r>
              <w:rPr>
                <w:rFonts w:asciiTheme="majorHAnsi" w:hAnsiTheme="majorHAnsi" w:cstheme="majorHAnsi"/>
                <w:b/>
                <w:bCs/>
              </w:rPr>
              <w:t xml:space="preserve">                                                             </w:t>
            </w:r>
            <w:r w:rsidRPr="002847C8">
              <w:rPr>
                <w:rFonts w:asciiTheme="majorHAnsi" w:hAnsiTheme="majorHAnsi" w:cstheme="majorHAnsi"/>
                <w:b/>
                <w:bCs/>
              </w:rPr>
              <w:t>Septembre 2022</w:t>
            </w:r>
          </w:p>
          <w:p w14:paraId="425F4280" w14:textId="234E56E9" w:rsidR="002847C8" w:rsidRPr="002847C8" w:rsidRDefault="002847C8" w:rsidP="002847C8">
            <w:pPr>
              <w:ind w:firstLine="708"/>
            </w:pPr>
          </w:p>
        </w:tc>
      </w:tr>
    </w:tbl>
    <w:p w14:paraId="7D0C9951" w14:textId="598FFEBB" w:rsidR="00F96557" w:rsidRPr="003B41CB" w:rsidRDefault="00F96557" w:rsidP="003B41CB">
      <w:pPr>
        <w:jc w:val="both"/>
        <w:rPr>
          <w:rFonts w:ascii="Arial" w:hAnsi="Arial" w:cs="Arial"/>
          <w:sz w:val="20"/>
          <w:szCs w:val="20"/>
          <w:u w:val="single"/>
        </w:rPr>
      </w:pPr>
      <w:r w:rsidRPr="003B41CB">
        <w:rPr>
          <w:rFonts w:ascii="Arial" w:hAnsi="Arial" w:cs="Arial"/>
          <w:sz w:val="20"/>
          <w:szCs w:val="20"/>
          <w:u w:val="single"/>
        </w:rPr>
        <w:lastRenderedPageBreak/>
        <w:t>Introduction</w:t>
      </w:r>
    </w:p>
    <w:p w14:paraId="21CF7A17" w14:textId="77777777" w:rsidR="005B6AFA" w:rsidRPr="003B41CB" w:rsidRDefault="005B6AFA" w:rsidP="003B41CB">
      <w:pPr>
        <w:jc w:val="both"/>
        <w:rPr>
          <w:rFonts w:ascii="Arial" w:hAnsi="Arial" w:cs="Arial"/>
          <w:sz w:val="20"/>
          <w:szCs w:val="20"/>
        </w:rPr>
      </w:pPr>
    </w:p>
    <w:p w14:paraId="395373F8" w14:textId="395F8DCB" w:rsidR="00286F9F" w:rsidRPr="003B41CB" w:rsidRDefault="000125F8" w:rsidP="003B41CB">
      <w:pPr>
        <w:jc w:val="both"/>
        <w:rPr>
          <w:rFonts w:ascii="Arial" w:hAnsi="Arial" w:cs="Arial"/>
          <w:sz w:val="20"/>
          <w:szCs w:val="20"/>
        </w:rPr>
      </w:pPr>
      <w:r w:rsidRPr="003B41CB">
        <w:rPr>
          <w:rFonts w:ascii="Arial" w:hAnsi="Arial" w:cs="Arial"/>
          <w:sz w:val="20"/>
          <w:szCs w:val="20"/>
        </w:rPr>
        <w:t xml:space="preserve">L’Institut pour l’égalité des femmes et des hommes a pour mission d’ancrer l’égalité de genre, et notamment l’égalité des femmes et des hommes, dans les mentalités et les pratiques. </w:t>
      </w:r>
    </w:p>
    <w:p w14:paraId="0F6D0BDC" w14:textId="7BDF1C73" w:rsidR="000125F8" w:rsidRPr="003B41CB" w:rsidRDefault="000125F8" w:rsidP="003B41CB">
      <w:pPr>
        <w:jc w:val="both"/>
        <w:rPr>
          <w:rFonts w:ascii="Arial" w:hAnsi="Arial" w:cs="Arial"/>
          <w:sz w:val="20"/>
          <w:szCs w:val="20"/>
        </w:rPr>
      </w:pPr>
      <w:r w:rsidRPr="003B41CB">
        <w:rPr>
          <w:rFonts w:ascii="Arial" w:hAnsi="Arial" w:cs="Arial"/>
          <w:sz w:val="20"/>
          <w:szCs w:val="20"/>
        </w:rPr>
        <w:t xml:space="preserve">En tant qu’institution publique indépendante, il promeut et protège cette égalité en combattant toute forme de discrimination et d’inégalité fondées sur le sexe ou le genre. </w:t>
      </w:r>
    </w:p>
    <w:p w14:paraId="405A8B04" w14:textId="2376FCA3" w:rsidR="000125F8" w:rsidRPr="003B41CB" w:rsidRDefault="000125F8" w:rsidP="003B41CB">
      <w:pPr>
        <w:jc w:val="both"/>
        <w:rPr>
          <w:rFonts w:ascii="Arial" w:hAnsi="Arial" w:cs="Arial"/>
          <w:sz w:val="20"/>
          <w:szCs w:val="20"/>
        </w:rPr>
      </w:pPr>
      <w:r w:rsidRPr="003B41CB">
        <w:rPr>
          <w:rFonts w:ascii="Arial" w:hAnsi="Arial" w:cs="Arial"/>
          <w:sz w:val="20"/>
          <w:szCs w:val="20"/>
        </w:rPr>
        <w:t xml:space="preserve">Dans ce cadre, l’Institut </w:t>
      </w:r>
      <w:r w:rsidR="00C154AF" w:rsidRPr="003B41CB">
        <w:rPr>
          <w:rFonts w:ascii="Arial" w:hAnsi="Arial" w:cs="Arial"/>
          <w:sz w:val="20"/>
          <w:szCs w:val="20"/>
        </w:rPr>
        <w:t xml:space="preserve">est habilité à soutenir </w:t>
      </w:r>
      <w:r w:rsidRPr="003B41CB">
        <w:rPr>
          <w:rFonts w:ascii="Arial" w:hAnsi="Arial" w:cs="Arial"/>
          <w:sz w:val="20"/>
          <w:szCs w:val="20"/>
        </w:rPr>
        <w:t>les victimes de discrimination et de</w:t>
      </w:r>
      <w:r w:rsidR="00C154AF" w:rsidRPr="003B41CB">
        <w:rPr>
          <w:rFonts w:ascii="Arial" w:hAnsi="Arial" w:cs="Arial"/>
          <w:sz w:val="20"/>
          <w:szCs w:val="20"/>
        </w:rPr>
        <w:t xml:space="preserve"> </w:t>
      </w:r>
      <w:r w:rsidRPr="003B41CB">
        <w:rPr>
          <w:rFonts w:ascii="Arial" w:hAnsi="Arial" w:cs="Arial"/>
          <w:sz w:val="20"/>
          <w:szCs w:val="20"/>
        </w:rPr>
        <w:t>sexisme</w:t>
      </w:r>
      <w:r w:rsidR="00952ACA" w:rsidRPr="003B41CB">
        <w:rPr>
          <w:rFonts w:ascii="Arial" w:hAnsi="Arial" w:cs="Arial"/>
          <w:sz w:val="20"/>
          <w:szCs w:val="20"/>
        </w:rPr>
        <w:t xml:space="preserve">. </w:t>
      </w:r>
    </w:p>
    <w:p w14:paraId="02AAB223" w14:textId="77777777" w:rsidR="00E01E04" w:rsidRPr="003B41CB" w:rsidRDefault="000125F8" w:rsidP="003B41CB">
      <w:pPr>
        <w:jc w:val="both"/>
        <w:rPr>
          <w:rFonts w:ascii="Arial" w:hAnsi="Arial" w:cs="Arial"/>
          <w:sz w:val="20"/>
          <w:szCs w:val="20"/>
        </w:rPr>
      </w:pPr>
      <w:r w:rsidRPr="003B41CB">
        <w:rPr>
          <w:rFonts w:ascii="Arial" w:hAnsi="Arial" w:cs="Arial"/>
          <w:sz w:val="20"/>
          <w:szCs w:val="20"/>
        </w:rPr>
        <w:t>Il aide les victimes de discrimination et leurs avocat-e-s en</w:t>
      </w:r>
      <w:r w:rsidR="00E01E04" w:rsidRPr="003B41CB">
        <w:rPr>
          <w:rFonts w:ascii="Arial" w:hAnsi="Arial" w:cs="Arial"/>
          <w:sz w:val="20"/>
          <w:szCs w:val="20"/>
        </w:rPr>
        <w:t xml:space="preserve"> </w:t>
      </w:r>
      <w:r w:rsidRPr="003B41CB">
        <w:rPr>
          <w:rFonts w:ascii="Arial" w:hAnsi="Arial" w:cs="Arial"/>
          <w:sz w:val="20"/>
          <w:szCs w:val="20"/>
        </w:rPr>
        <w:t>leur fournissant des informations et en les accompagnant</w:t>
      </w:r>
      <w:r w:rsidR="00E01E04" w:rsidRPr="003B41CB">
        <w:rPr>
          <w:rFonts w:ascii="Arial" w:hAnsi="Arial" w:cs="Arial"/>
          <w:sz w:val="20"/>
          <w:szCs w:val="20"/>
        </w:rPr>
        <w:t xml:space="preserve"> </w:t>
      </w:r>
      <w:r w:rsidRPr="003B41CB">
        <w:rPr>
          <w:rFonts w:ascii="Arial" w:hAnsi="Arial" w:cs="Arial"/>
          <w:sz w:val="20"/>
          <w:szCs w:val="20"/>
        </w:rPr>
        <w:t>lors de négociations ou d’actions en justice.</w:t>
      </w:r>
    </w:p>
    <w:p w14:paraId="15D360CC" w14:textId="1A98AB81" w:rsidR="000125F8" w:rsidRPr="003B41CB" w:rsidRDefault="00E01E04" w:rsidP="003B41CB">
      <w:pPr>
        <w:jc w:val="both"/>
        <w:rPr>
          <w:rFonts w:ascii="Arial" w:hAnsi="Arial" w:cs="Arial"/>
          <w:sz w:val="20"/>
          <w:szCs w:val="20"/>
        </w:rPr>
      </w:pPr>
      <w:r w:rsidRPr="003B41CB">
        <w:rPr>
          <w:rFonts w:ascii="Arial" w:hAnsi="Arial" w:cs="Arial"/>
          <w:sz w:val="20"/>
          <w:szCs w:val="20"/>
        </w:rPr>
        <w:t xml:space="preserve">L’Institut </w:t>
      </w:r>
      <w:r w:rsidR="000125F8" w:rsidRPr="003B41CB">
        <w:rPr>
          <w:rFonts w:ascii="Arial" w:hAnsi="Arial" w:cs="Arial"/>
          <w:sz w:val="20"/>
          <w:szCs w:val="20"/>
        </w:rPr>
        <w:t>traite les demandes d’information au sujet de la législation</w:t>
      </w:r>
      <w:r w:rsidRPr="003B41CB">
        <w:rPr>
          <w:rFonts w:ascii="Arial" w:hAnsi="Arial" w:cs="Arial"/>
          <w:sz w:val="20"/>
          <w:szCs w:val="20"/>
        </w:rPr>
        <w:t xml:space="preserve"> </w:t>
      </w:r>
      <w:r w:rsidR="000125F8" w:rsidRPr="003B41CB">
        <w:rPr>
          <w:rFonts w:ascii="Arial" w:hAnsi="Arial" w:cs="Arial"/>
          <w:sz w:val="20"/>
          <w:szCs w:val="20"/>
        </w:rPr>
        <w:t>visant à promouvoir l’égalité de genre et l’égalité des femmes</w:t>
      </w:r>
      <w:r w:rsidRPr="003B41CB">
        <w:rPr>
          <w:rFonts w:ascii="Arial" w:hAnsi="Arial" w:cs="Arial"/>
          <w:sz w:val="20"/>
          <w:szCs w:val="20"/>
        </w:rPr>
        <w:t xml:space="preserve"> </w:t>
      </w:r>
      <w:r w:rsidR="000125F8" w:rsidRPr="003B41CB">
        <w:rPr>
          <w:rFonts w:ascii="Arial" w:hAnsi="Arial" w:cs="Arial"/>
          <w:sz w:val="20"/>
          <w:szCs w:val="20"/>
        </w:rPr>
        <w:t>et des hommes.</w:t>
      </w:r>
      <w:r w:rsidR="005F3D90" w:rsidRPr="003B41CB">
        <w:rPr>
          <w:rFonts w:ascii="Arial" w:hAnsi="Arial" w:cs="Arial"/>
          <w:sz w:val="20"/>
          <w:szCs w:val="20"/>
        </w:rPr>
        <w:t xml:space="preserve"> </w:t>
      </w:r>
    </w:p>
    <w:p w14:paraId="07961172" w14:textId="77777777" w:rsidR="003869F3" w:rsidRPr="003B41CB" w:rsidRDefault="005F3D90" w:rsidP="003B41CB">
      <w:pPr>
        <w:jc w:val="both"/>
        <w:rPr>
          <w:rFonts w:ascii="Arial" w:hAnsi="Arial" w:cs="Arial"/>
          <w:sz w:val="20"/>
          <w:szCs w:val="20"/>
        </w:rPr>
      </w:pPr>
      <w:r w:rsidRPr="003B41CB">
        <w:rPr>
          <w:rFonts w:ascii="Arial" w:hAnsi="Arial" w:cs="Arial"/>
          <w:sz w:val="20"/>
          <w:szCs w:val="20"/>
        </w:rPr>
        <w:t xml:space="preserve">L’Institut formule aussi des avis et des recommandations à l’intention des pouvoirs publics, des partenaires sociaux, des organisations privées et d’autres parties prenantes. </w:t>
      </w:r>
    </w:p>
    <w:p w14:paraId="6DF82131" w14:textId="155B10C4" w:rsidR="005F3D90" w:rsidRPr="003B41CB" w:rsidRDefault="005F3D90" w:rsidP="003B41CB">
      <w:pPr>
        <w:jc w:val="both"/>
        <w:rPr>
          <w:rFonts w:ascii="Arial" w:hAnsi="Arial" w:cs="Arial"/>
          <w:sz w:val="20"/>
          <w:szCs w:val="20"/>
        </w:rPr>
      </w:pPr>
      <w:r w:rsidRPr="003B41CB">
        <w:rPr>
          <w:rFonts w:ascii="Arial" w:hAnsi="Arial" w:cs="Arial"/>
          <w:sz w:val="20"/>
          <w:szCs w:val="20"/>
        </w:rPr>
        <w:t>Pour ce faire, l’Institut se base sur les demandes et les plaintes qu’il reçoit et sur les études et les recherches qu’il entreprend.</w:t>
      </w:r>
      <w:r w:rsidR="00D30A22" w:rsidRPr="003B41CB">
        <w:rPr>
          <w:rFonts w:ascii="Arial" w:hAnsi="Arial" w:cs="Arial"/>
          <w:sz w:val="20"/>
          <w:szCs w:val="20"/>
        </w:rPr>
        <w:t xml:space="preserve"> </w:t>
      </w:r>
    </w:p>
    <w:p w14:paraId="4E8467DA" w14:textId="77777777" w:rsidR="005C07B5" w:rsidRPr="003B41CB" w:rsidRDefault="00D30A22" w:rsidP="003B41CB">
      <w:pPr>
        <w:jc w:val="both"/>
        <w:rPr>
          <w:rFonts w:ascii="Arial" w:hAnsi="Arial" w:cs="Arial"/>
          <w:sz w:val="20"/>
          <w:szCs w:val="20"/>
        </w:rPr>
      </w:pPr>
      <w:r w:rsidRPr="003B41CB">
        <w:rPr>
          <w:rFonts w:ascii="Arial" w:hAnsi="Arial" w:cs="Arial"/>
          <w:sz w:val="20"/>
          <w:szCs w:val="20"/>
        </w:rPr>
        <w:t xml:space="preserve">La Belgique a connu des avancées législatives </w:t>
      </w:r>
      <w:r w:rsidR="006C144C" w:rsidRPr="003B41CB">
        <w:rPr>
          <w:rFonts w:ascii="Arial" w:hAnsi="Arial" w:cs="Arial"/>
          <w:sz w:val="20"/>
          <w:szCs w:val="20"/>
        </w:rPr>
        <w:t>intéressantes</w:t>
      </w:r>
      <w:r w:rsidR="0008023E" w:rsidRPr="003B41CB">
        <w:rPr>
          <w:rFonts w:ascii="Arial" w:hAnsi="Arial" w:cs="Arial"/>
          <w:sz w:val="20"/>
          <w:szCs w:val="20"/>
        </w:rPr>
        <w:t xml:space="preserve"> </w:t>
      </w:r>
      <w:r w:rsidR="00FB2A88" w:rsidRPr="003B41CB">
        <w:rPr>
          <w:rFonts w:ascii="Arial" w:hAnsi="Arial" w:cs="Arial"/>
          <w:sz w:val="20"/>
          <w:szCs w:val="20"/>
        </w:rPr>
        <w:t>en termes d’égalité de genre</w:t>
      </w:r>
      <w:r w:rsidR="003F23C5" w:rsidRPr="003B41CB">
        <w:rPr>
          <w:rFonts w:ascii="Arial" w:hAnsi="Arial" w:cs="Arial"/>
          <w:sz w:val="20"/>
          <w:szCs w:val="20"/>
        </w:rPr>
        <w:t> ;</w:t>
      </w:r>
      <w:r w:rsidR="00FB2A88" w:rsidRPr="003B41CB">
        <w:rPr>
          <w:rFonts w:ascii="Arial" w:hAnsi="Arial" w:cs="Arial"/>
          <w:sz w:val="20"/>
          <w:szCs w:val="20"/>
        </w:rPr>
        <w:t xml:space="preserve"> </w:t>
      </w:r>
      <w:r w:rsidR="00580A02" w:rsidRPr="003B41CB">
        <w:rPr>
          <w:rFonts w:ascii="Arial" w:hAnsi="Arial" w:cs="Arial"/>
          <w:sz w:val="20"/>
          <w:szCs w:val="20"/>
        </w:rPr>
        <w:t>ces avancées législatives font de la Belgique un des pays les mieux armés pour lutter contre les discriminations de genre et promouvoir l’égalité des femmes et des hommes</w:t>
      </w:r>
      <w:r w:rsidR="003F23C5" w:rsidRPr="003B41CB">
        <w:rPr>
          <w:rFonts w:ascii="Arial" w:hAnsi="Arial" w:cs="Arial"/>
          <w:sz w:val="20"/>
          <w:szCs w:val="20"/>
        </w:rPr>
        <w:t xml:space="preserve">. </w:t>
      </w:r>
    </w:p>
    <w:p w14:paraId="15A755EE" w14:textId="3E7B4AB5" w:rsidR="00D30A22" w:rsidRPr="003B41CB" w:rsidRDefault="003F23C5" w:rsidP="003B41CB">
      <w:pPr>
        <w:jc w:val="both"/>
        <w:rPr>
          <w:rFonts w:ascii="Arial" w:hAnsi="Arial" w:cs="Arial"/>
          <w:sz w:val="20"/>
          <w:szCs w:val="20"/>
        </w:rPr>
      </w:pPr>
      <w:r w:rsidRPr="003B41CB">
        <w:rPr>
          <w:rFonts w:ascii="Arial" w:hAnsi="Arial" w:cs="Arial"/>
          <w:sz w:val="20"/>
          <w:szCs w:val="20"/>
        </w:rPr>
        <w:t>Dans son travail quotidien</w:t>
      </w:r>
      <w:r w:rsidR="003B26D6" w:rsidRPr="003B41CB">
        <w:rPr>
          <w:rFonts w:ascii="Arial" w:hAnsi="Arial" w:cs="Arial"/>
          <w:sz w:val="20"/>
          <w:szCs w:val="20"/>
        </w:rPr>
        <w:t xml:space="preserve">, l’Institut remarque cependant que </w:t>
      </w:r>
      <w:r w:rsidR="00580A02" w:rsidRPr="003B41CB">
        <w:rPr>
          <w:rFonts w:ascii="Arial" w:hAnsi="Arial" w:cs="Arial"/>
          <w:sz w:val="20"/>
          <w:szCs w:val="20"/>
        </w:rPr>
        <w:t>de nombreux obstacles font encore barrage à une égalité</w:t>
      </w:r>
      <w:r w:rsidR="003B26D6" w:rsidRPr="003B41CB">
        <w:rPr>
          <w:rFonts w:ascii="Arial" w:hAnsi="Arial" w:cs="Arial"/>
          <w:sz w:val="20"/>
          <w:szCs w:val="20"/>
        </w:rPr>
        <w:t xml:space="preserve"> de genre</w:t>
      </w:r>
      <w:r w:rsidR="00580A02" w:rsidRPr="003B41CB">
        <w:rPr>
          <w:rFonts w:ascii="Arial" w:hAnsi="Arial" w:cs="Arial"/>
          <w:sz w:val="20"/>
          <w:szCs w:val="20"/>
        </w:rPr>
        <w:t xml:space="preserve"> effective</w:t>
      </w:r>
      <w:r w:rsidR="003B26D6" w:rsidRPr="003B41CB">
        <w:rPr>
          <w:rFonts w:ascii="Arial" w:hAnsi="Arial" w:cs="Arial"/>
          <w:sz w:val="20"/>
          <w:szCs w:val="20"/>
        </w:rPr>
        <w:t xml:space="preserve">. </w:t>
      </w:r>
    </w:p>
    <w:p w14:paraId="37F7744C" w14:textId="1B15CBF6" w:rsidR="004F62D7" w:rsidRPr="003B41CB" w:rsidRDefault="004F62D7" w:rsidP="003B41CB">
      <w:pPr>
        <w:jc w:val="both"/>
        <w:rPr>
          <w:rFonts w:ascii="Arial" w:hAnsi="Arial" w:cs="Arial"/>
          <w:sz w:val="20"/>
          <w:szCs w:val="20"/>
        </w:rPr>
      </w:pPr>
      <w:r w:rsidRPr="003B41CB">
        <w:rPr>
          <w:rFonts w:ascii="Arial" w:hAnsi="Arial" w:cs="Arial"/>
          <w:sz w:val="20"/>
          <w:szCs w:val="20"/>
        </w:rPr>
        <w:t xml:space="preserve">Le cadre juridique belge actuel constitue certainement un outil performant de lutte contre les discriminations de genre. </w:t>
      </w:r>
    </w:p>
    <w:p w14:paraId="1AEDE423" w14:textId="5E5FE7E2" w:rsidR="004F62D7" w:rsidRPr="003B41CB" w:rsidRDefault="004F62D7" w:rsidP="003B41CB">
      <w:pPr>
        <w:jc w:val="both"/>
        <w:rPr>
          <w:rFonts w:ascii="Arial" w:hAnsi="Arial" w:cs="Arial"/>
          <w:sz w:val="20"/>
          <w:szCs w:val="20"/>
        </w:rPr>
      </w:pPr>
      <w:r w:rsidRPr="003B41CB">
        <w:rPr>
          <w:rFonts w:ascii="Arial" w:hAnsi="Arial" w:cs="Arial"/>
          <w:sz w:val="20"/>
          <w:szCs w:val="20"/>
        </w:rPr>
        <w:t>Mais c’est un outil qui doit pouvoir être</w:t>
      </w:r>
      <w:r w:rsidR="00F85C8E" w:rsidRPr="003B41CB">
        <w:rPr>
          <w:rFonts w:ascii="Arial" w:hAnsi="Arial" w:cs="Arial"/>
          <w:sz w:val="20"/>
          <w:szCs w:val="20"/>
        </w:rPr>
        <w:t xml:space="preserve"> mieux connu,</w:t>
      </w:r>
      <w:r w:rsidR="003B41CB" w:rsidRPr="003B41CB">
        <w:rPr>
          <w:rFonts w:ascii="Arial" w:hAnsi="Arial" w:cs="Arial"/>
          <w:sz w:val="20"/>
          <w:szCs w:val="20"/>
        </w:rPr>
        <w:t xml:space="preserve"> questionné</w:t>
      </w:r>
      <w:r w:rsidRPr="003B41CB">
        <w:rPr>
          <w:rFonts w:ascii="Arial" w:hAnsi="Arial" w:cs="Arial"/>
          <w:sz w:val="20"/>
          <w:szCs w:val="20"/>
        </w:rPr>
        <w:t xml:space="preserve"> et éventuellement complété afin de constituer un levier vers l’égalité effective.</w:t>
      </w:r>
      <w:r w:rsidR="002E0672" w:rsidRPr="003B41CB">
        <w:rPr>
          <w:rFonts w:ascii="Arial" w:hAnsi="Arial" w:cs="Arial"/>
          <w:sz w:val="20"/>
          <w:szCs w:val="20"/>
        </w:rPr>
        <w:t xml:space="preserve"> </w:t>
      </w:r>
    </w:p>
    <w:p w14:paraId="537F8B66" w14:textId="38C6933B" w:rsidR="002E0672" w:rsidRPr="003B41CB" w:rsidRDefault="002E0672" w:rsidP="003B41CB">
      <w:pPr>
        <w:jc w:val="both"/>
        <w:rPr>
          <w:rFonts w:ascii="Arial" w:hAnsi="Arial" w:cs="Arial"/>
          <w:sz w:val="20"/>
          <w:szCs w:val="20"/>
        </w:rPr>
      </w:pPr>
    </w:p>
    <w:p w14:paraId="5D631A31" w14:textId="204FAFE8" w:rsidR="005F3D90" w:rsidRPr="003B41CB" w:rsidRDefault="005F3D90" w:rsidP="003B41CB">
      <w:pPr>
        <w:jc w:val="both"/>
        <w:rPr>
          <w:rFonts w:ascii="Arial" w:hAnsi="Arial" w:cs="Arial"/>
          <w:sz w:val="20"/>
          <w:szCs w:val="20"/>
        </w:rPr>
      </w:pPr>
    </w:p>
    <w:p w14:paraId="2C1C12DA" w14:textId="4C0BF82E" w:rsidR="003B41CB" w:rsidRPr="003B41CB" w:rsidRDefault="003B41CB" w:rsidP="003B41CB">
      <w:pPr>
        <w:jc w:val="both"/>
        <w:rPr>
          <w:rFonts w:ascii="Arial" w:hAnsi="Arial" w:cs="Arial"/>
          <w:sz w:val="20"/>
          <w:szCs w:val="20"/>
        </w:rPr>
      </w:pPr>
    </w:p>
    <w:p w14:paraId="023CE564" w14:textId="7538D749" w:rsidR="003B41CB" w:rsidRPr="003B41CB" w:rsidRDefault="003B41CB" w:rsidP="003B41CB">
      <w:pPr>
        <w:jc w:val="both"/>
        <w:rPr>
          <w:rFonts w:ascii="Arial" w:hAnsi="Arial" w:cs="Arial"/>
          <w:sz w:val="20"/>
          <w:szCs w:val="20"/>
        </w:rPr>
      </w:pPr>
    </w:p>
    <w:p w14:paraId="20A800F0" w14:textId="6838B381" w:rsidR="003B41CB" w:rsidRPr="003B41CB" w:rsidRDefault="003B41CB" w:rsidP="003B41CB">
      <w:pPr>
        <w:jc w:val="both"/>
        <w:rPr>
          <w:rFonts w:ascii="Arial" w:hAnsi="Arial" w:cs="Arial"/>
          <w:sz w:val="20"/>
          <w:szCs w:val="20"/>
        </w:rPr>
      </w:pPr>
    </w:p>
    <w:p w14:paraId="624B3E2B" w14:textId="7B9CDD72" w:rsidR="003B41CB" w:rsidRPr="003B41CB" w:rsidRDefault="003B41CB" w:rsidP="003B41CB">
      <w:pPr>
        <w:jc w:val="both"/>
        <w:rPr>
          <w:rFonts w:ascii="Arial" w:hAnsi="Arial" w:cs="Arial"/>
          <w:sz w:val="20"/>
          <w:szCs w:val="20"/>
        </w:rPr>
      </w:pPr>
    </w:p>
    <w:p w14:paraId="4BE858D9" w14:textId="2BA54F2E" w:rsidR="003B41CB" w:rsidRPr="003B41CB" w:rsidRDefault="003B41CB" w:rsidP="003B41CB">
      <w:pPr>
        <w:jc w:val="both"/>
        <w:rPr>
          <w:rFonts w:ascii="Arial" w:hAnsi="Arial" w:cs="Arial"/>
          <w:sz w:val="20"/>
          <w:szCs w:val="20"/>
        </w:rPr>
      </w:pPr>
    </w:p>
    <w:p w14:paraId="7FDB6316" w14:textId="7D065BE3" w:rsidR="003B41CB" w:rsidRDefault="003B41CB" w:rsidP="003B41CB">
      <w:pPr>
        <w:jc w:val="both"/>
        <w:rPr>
          <w:rFonts w:ascii="Arial" w:hAnsi="Arial" w:cs="Arial"/>
          <w:sz w:val="20"/>
          <w:szCs w:val="20"/>
        </w:rPr>
      </w:pPr>
    </w:p>
    <w:p w14:paraId="78000919" w14:textId="0303BD02" w:rsidR="003B41CB" w:rsidRDefault="003B41CB" w:rsidP="003B41CB">
      <w:pPr>
        <w:jc w:val="both"/>
        <w:rPr>
          <w:rFonts w:ascii="Arial" w:hAnsi="Arial" w:cs="Arial"/>
          <w:sz w:val="20"/>
          <w:szCs w:val="20"/>
        </w:rPr>
      </w:pPr>
    </w:p>
    <w:p w14:paraId="41769592" w14:textId="7D54E372" w:rsidR="003B41CB" w:rsidRDefault="003B41CB" w:rsidP="003B41CB">
      <w:pPr>
        <w:jc w:val="both"/>
        <w:rPr>
          <w:rFonts w:ascii="Arial" w:hAnsi="Arial" w:cs="Arial"/>
          <w:sz w:val="20"/>
          <w:szCs w:val="20"/>
        </w:rPr>
      </w:pPr>
    </w:p>
    <w:p w14:paraId="3CA6825A" w14:textId="5AE38CF0" w:rsidR="003B41CB" w:rsidRDefault="003B41CB" w:rsidP="003B41CB">
      <w:pPr>
        <w:jc w:val="both"/>
        <w:rPr>
          <w:rFonts w:ascii="Arial" w:hAnsi="Arial" w:cs="Arial"/>
          <w:sz w:val="20"/>
          <w:szCs w:val="20"/>
        </w:rPr>
      </w:pPr>
    </w:p>
    <w:p w14:paraId="66A2AFA6" w14:textId="77777777" w:rsidR="003B41CB" w:rsidRPr="003B41CB" w:rsidRDefault="003B41CB" w:rsidP="003B41CB">
      <w:pPr>
        <w:jc w:val="both"/>
        <w:rPr>
          <w:rFonts w:ascii="Arial" w:hAnsi="Arial" w:cs="Arial"/>
          <w:sz w:val="20"/>
          <w:szCs w:val="20"/>
        </w:rPr>
      </w:pPr>
    </w:p>
    <w:p w14:paraId="1212F8C3" w14:textId="7CDE0416" w:rsidR="003B41CB" w:rsidRPr="003B41CB" w:rsidRDefault="003B41CB" w:rsidP="003B41CB">
      <w:pPr>
        <w:jc w:val="both"/>
        <w:rPr>
          <w:rFonts w:ascii="Arial" w:hAnsi="Arial" w:cs="Arial"/>
          <w:sz w:val="20"/>
          <w:szCs w:val="20"/>
        </w:rPr>
      </w:pPr>
    </w:p>
    <w:p w14:paraId="6C4FC97C" w14:textId="77777777" w:rsidR="003B41CB" w:rsidRPr="003B41CB" w:rsidRDefault="003B41CB" w:rsidP="003B41CB">
      <w:pPr>
        <w:jc w:val="both"/>
        <w:rPr>
          <w:rFonts w:ascii="Arial" w:hAnsi="Arial" w:cs="Arial"/>
          <w:sz w:val="20"/>
          <w:szCs w:val="20"/>
        </w:rPr>
      </w:pPr>
    </w:p>
    <w:p w14:paraId="395CA13B" w14:textId="77777777" w:rsidR="000125F8" w:rsidRPr="003B41CB" w:rsidRDefault="000125F8" w:rsidP="003B41CB">
      <w:pPr>
        <w:jc w:val="both"/>
        <w:rPr>
          <w:rFonts w:ascii="Arial" w:hAnsi="Arial" w:cs="Arial"/>
          <w:sz w:val="20"/>
          <w:szCs w:val="20"/>
        </w:rPr>
      </w:pPr>
    </w:p>
    <w:p w14:paraId="3499D354" w14:textId="525511E3" w:rsidR="000125F8" w:rsidRPr="003B41CB" w:rsidRDefault="00FB1CE8" w:rsidP="003B41CB">
      <w:pPr>
        <w:jc w:val="both"/>
        <w:rPr>
          <w:rFonts w:ascii="Arial" w:hAnsi="Arial" w:cs="Arial"/>
          <w:sz w:val="20"/>
          <w:szCs w:val="20"/>
          <w:u w:val="single"/>
        </w:rPr>
      </w:pPr>
      <w:r w:rsidRPr="003B41CB">
        <w:rPr>
          <w:rFonts w:ascii="Arial" w:hAnsi="Arial" w:cs="Arial"/>
          <w:sz w:val="20"/>
          <w:szCs w:val="20"/>
          <w:u w:val="single"/>
        </w:rPr>
        <w:lastRenderedPageBreak/>
        <w:t xml:space="preserve">Point 16 - </w:t>
      </w:r>
      <w:r w:rsidR="00FF110E" w:rsidRPr="003B41CB">
        <w:rPr>
          <w:rFonts w:ascii="Arial" w:hAnsi="Arial" w:cs="Arial"/>
          <w:sz w:val="20"/>
          <w:szCs w:val="20"/>
          <w:u w:val="single"/>
        </w:rPr>
        <w:t xml:space="preserve">Responsabilités familiales </w:t>
      </w:r>
    </w:p>
    <w:p w14:paraId="2DF1AFDB" w14:textId="77777777" w:rsidR="00D31D7D" w:rsidRPr="003B41CB" w:rsidRDefault="00D31D7D" w:rsidP="003B41CB">
      <w:pPr>
        <w:jc w:val="both"/>
        <w:rPr>
          <w:rFonts w:ascii="Arial" w:hAnsi="Arial" w:cs="Arial"/>
          <w:sz w:val="20"/>
          <w:szCs w:val="20"/>
        </w:rPr>
      </w:pPr>
    </w:p>
    <w:p w14:paraId="659B06A8" w14:textId="6CE1CFE7" w:rsidR="00FF110E" w:rsidRPr="003B41CB" w:rsidRDefault="00FF110E" w:rsidP="003B41CB">
      <w:pPr>
        <w:jc w:val="both"/>
        <w:rPr>
          <w:rFonts w:ascii="Arial" w:hAnsi="Arial" w:cs="Arial"/>
          <w:sz w:val="20"/>
          <w:szCs w:val="20"/>
        </w:rPr>
      </w:pPr>
      <w:r w:rsidRPr="003B41CB">
        <w:rPr>
          <w:rFonts w:ascii="Arial" w:hAnsi="Arial" w:cs="Arial"/>
          <w:sz w:val="20"/>
          <w:szCs w:val="20"/>
        </w:rPr>
        <w:t xml:space="preserve">Sur le travail à temps partiel, les chiffres de </w:t>
      </w:r>
      <w:proofErr w:type="spellStart"/>
      <w:r w:rsidRPr="003B41CB">
        <w:rPr>
          <w:rFonts w:ascii="Arial" w:hAnsi="Arial" w:cs="Arial"/>
          <w:sz w:val="20"/>
          <w:szCs w:val="20"/>
        </w:rPr>
        <w:t>Statbel</w:t>
      </w:r>
      <w:proofErr w:type="spellEnd"/>
      <w:r w:rsidRPr="003B41CB">
        <w:rPr>
          <w:rFonts w:ascii="Arial" w:hAnsi="Arial" w:cs="Arial"/>
          <w:sz w:val="20"/>
          <w:szCs w:val="20"/>
        </w:rPr>
        <w:t xml:space="preserve"> montrent qu'en 2020, 42,5 % des femmes salariées travaillaient à temps partiel, contre 11,8 % des hommes salariés.</w:t>
      </w:r>
    </w:p>
    <w:p w14:paraId="075B3D44" w14:textId="0B240771" w:rsidR="00FF110E" w:rsidRPr="003B41CB" w:rsidRDefault="00FF110E" w:rsidP="003B41CB">
      <w:pPr>
        <w:jc w:val="both"/>
        <w:rPr>
          <w:rFonts w:ascii="Arial" w:hAnsi="Arial" w:cs="Arial"/>
          <w:sz w:val="20"/>
          <w:szCs w:val="20"/>
        </w:rPr>
      </w:pPr>
      <w:r w:rsidRPr="003B41CB">
        <w:rPr>
          <w:rFonts w:ascii="Arial" w:hAnsi="Arial" w:cs="Arial"/>
          <w:sz w:val="20"/>
          <w:szCs w:val="20"/>
        </w:rPr>
        <w:t xml:space="preserve">Quant aux raisons </w:t>
      </w:r>
      <w:r w:rsidR="008A7A2C">
        <w:rPr>
          <w:rFonts w:ascii="Arial" w:hAnsi="Arial" w:cs="Arial"/>
          <w:sz w:val="20"/>
          <w:szCs w:val="20"/>
        </w:rPr>
        <w:t>du travail</w:t>
      </w:r>
      <w:r w:rsidRPr="003B41CB">
        <w:rPr>
          <w:rFonts w:ascii="Arial" w:hAnsi="Arial" w:cs="Arial"/>
          <w:sz w:val="20"/>
          <w:szCs w:val="20"/>
        </w:rPr>
        <w:t xml:space="preserve"> à temps partiel, le rapport de l'Institut sur l'écart salarial en 2021 montre que les soins apportés aux enfants ou à toute autre personne dépendante sont beaucoup plus souvent cité</w:t>
      </w:r>
      <w:r w:rsidR="00E652F5">
        <w:rPr>
          <w:rFonts w:ascii="Arial" w:hAnsi="Arial" w:cs="Arial"/>
          <w:sz w:val="20"/>
          <w:szCs w:val="20"/>
        </w:rPr>
        <w:t>e</w:t>
      </w:r>
      <w:r w:rsidRPr="003B41CB">
        <w:rPr>
          <w:rFonts w:ascii="Arial" w:hAnsi="Arial" w:cs="Arial"/>
          <w:sz w:val="20"/>
          <w:szCs w:val="20"/>
        </w:rPr>
        <w:t>s par les femmes que par les hommes. Pour 45% des femmes, la combinaison entre vie professionnelle et vie privée constitue la raison principal</w:t>
      </w:r>
      <w:r w:rsidR="00647766" w:rsidRPr="003B41CB">
        <w:rPr>
          <w:rFonts w:ascii="Arial" w:hAnsi="Arial" w:cs="Arial"/>
          <w:sz w:val="20"/>
          <w:szCs w:val="20"/>
        </w:rPr>
        <w:t>e</w:t>
      </w:r>
      <w:r w:rsidRPr="003B41CB">
        <w:rPr>
          <w:rFonts w:ascii="Arial" w:hAnsi="Arial" w:cs="Arial"/>
          <w:sz w:val="20"/>
          <w:szCs w:val="20"/>
        </w:rPr>
        <w:t xml:space="preserve"> du recours au travail à temps partiel</w:t>
      </w:r>
      <w:r w:rsidR="00636697">
        <w:rPr>
          <w:rStyle w:val="Appelnotedebasdep"/>
          <w:rFonts w:ascii="Arial" w:hAnsi="Arial" w:cs="Arial"/>
          <w:sz w:val="20"/>
          <w:szCs w:val="20"/>
        </w:rPr>
        <w:footnoteReference w:id="1"/>
      </w:r>
      <w:r w:rsidRPr="003B41CB">
        <w:rPr>
          <w:rFonts w:ascii="Arial" w:hAnsi="Arial" w:cs="Arial"/>
          <w:sz w:val="20"/>
          <w:szCs w:val="20"/>
        </w:rPr>
        <w:t xml:space="preserve"> . Ces chiffres confirment que les femmes recourent, aujourd’hui encore, plus que les hommes au travail à temps partiel pour</w:t>
      </w:r>
      <w:r w:rsidR="000F2C2B">
        <w:rPr>
          <w:rFonts w:ascii="Arial" w:hAnsi="Arial" w:cs="Arial"/>
          <w:sz w:val="20"/>
          <w:szCs w:val="20"/>
        </w:rPr>
        <w:t xml:space="preserve"> des</w:t>
      </w:r>
      <w:r w:rsidRPr="003B41CB">
        <w:rPr>
          <w:rFonts w:ascii="Arial" w:hAnsi="Arial" w:cs="Arial"/>
          <w:sz w:val="20"/>
          <w:szCs w:val="20"/>
        </w:rPr>
        <w:t xml:space="preserve"> raisons familiales.</w:t>
      </w:r>
    </w:p>
    <w:p w14:paraId="6553C238" w14:textId="555F0A87" w:rsidR="00D67FD5" w:rsidRPr="003B41CB" w:rsidRDefault="007325B3" w:rsidP="003B41CB">
      <w:pPr>
        <w:jc w:val="both"/>
        <w:rPr>
          <w:rFonts w:ascii="Arial" w:hAnsi="Arial" w:cs="Arial"/>
          <w:sz w:val="20"/>
          <w:szCs w:val="20"/>
        </w:rPr>
      </w:pPr>
      <w:r>
        <w:rPr>
          <w:rFonts w:ascii="Arial" w:hAnsi="Arial" w:cs="Arial"/>
          <w:sz w:val="20"/>
          <w:szCs w:val="20"/>
        </w:rPr>
        <w:t xml:space="preserve">Cette </w:t>
      </w:r>
      <w:r w:rsidRPr="003B41CB">
        <w:rPr>
          <w:rFonts w:ascii="Arial" w:hAnsi="Arial" w:cs="Arial"/>
          <w:sz w:val="20"/>
          <w:szCs w:val="20"/>
        </w:rPr>
        <w:t>répartition</w:t>
      </w:r>
      <w:r w:rsidR="00FF110E" w:rsidRPr="003B41CB">
        <w:rPr>
          <w:rFonts w:ascii="Arial" w:hAnsi="Arial" w:cs="Arial"/>
          <w:sz w:val="20"/>
          <w:szCs w:val="20"/>
        </w:rPr>
        <w:t xml:space="preserve"> inégale entre les femmes et les hommes se </w:t>
      </w:r>
      <w:r>
        <w:rPr>
          <w:rFonts w:ascii="Arial" w:hAnsi="Arial" w:cs="Arial"/>
          <w:sz w:val="20"/>
          <w:szCs w:val="20"/>
        </w:rPr>
        <w:t>remarque aussi dans</w:t>
      </w:r>
      <w:r w:rsidR="00FF110E" w:rsidRPr="003B41CB">
        <w:rPr>
          <w:rFonts w:ascii="Arial" w:hAnsi="Arial" w:cs="Arial"/>
          <w:sz w:val="20"/>
          <w:szCs w:val="20"/>
        </w:rPr>
        <w:t xml:space="preserve"> l’utilisation du congé parental. En 2020, </w:t>
      </w:r>
      <w:r w:rsidR="0005250C" w:rsidRPr="003B41CB">
        <w:rPr>
          <w:rFonts w:ascii="Arial" w:hAnsi="Arial" w:cs="Arial"/>
          <w:sz w:val="20"/>
          <w:szCs w:val="20"/>
        </w:rPr>
        <w:t>on note</w:t>
      </w:r>
      <w:r w:rsidR="00FF110E" w:rsidRPr="003B41CB">
        <w:rPr>
          <w:rFonts w:ascii="Arial" w:hAnsi="Arial" w:cs="Arial"/>
          <w:sz w:val="20"/>
          <w:szCs w:val="20"/>
        </w:rPr>
        <w:t xml:space="preserve"> une répartition de 33% d’hommes et de 67% de femmes.</w:t>
      </w:r>
      <w:r w:rsidR="00763307" w:rsidRPr="003B41CB">
        <w:rPr>
          <w:rFonts w:ascii="Arial" w:hAnsi="Arial" w:cs="Arial"/>
          <w:sz w:val="20"/>
          <w:szCs w:val="20"/>
        </w:rPr>
        <w:t xml:space="preserve"> </w:t>
      </w:r>
    </w:p>
    <w:p w14:paraId="5FBD3E90" w14:textId="17F4BE90" w:rsidR="008D776F" w:rsidRDefault="00055AC6" w:rsidP="003B41CB">
      <w:pPr>
        <w:jc w:val="both"/>
        <w:rPr>
          <w:rFonts w:ascii="Arial" w:hAnsi="Arial" w:cs="Arial"/>
          <w:sz w:val="20"/>
          <w:szCs w:val="20"/>
        </w:rPr>
      </w:pPr>
      <w:r w:rsidRPr="003B41CB">
        <w:rPr>
          <w:rFonts w:ascii="Arial" w:hAnsi="Arial" w:cs="Arial"/>
          <w:sz w:val="20"/>
          <w:szCs w:val="20"/>
        </w:rPr>
        <w:t xml:space="preserve">En outre, </w:t>
      </w:r>
      <w:r w:rsidR="00D8320F" w:rsidRPr="003B41CB">
        <w:rPr>
          <w:rFonts w:ascii="Arial" w:hAnsi="Arial" w:cs="Arial"/>
          <w:sz w:val="20"/>
          <w:szCs w:val="20"/>
        </w:rPr>
        <w:t xml:space="preserve">il ressort des signalements reçus par l'Institut qu’il est nécessaire d’assurer une </w:t>
      </w:r>
      <w:r w:rsidR="00C61055" w:rsidRPr="003B41CB">
        <w:rPr>
          <w:rFonts w:ascii="Arial" w:hAnsi="Arial" w:cs="Arial"/>
          <w:sz w:val="20"/>
          <w:szCs w:val="20"/>
        </w:rPr>
        <w:t>protection</w:t>
      </w:r>
      <w:r w:rsidR="00D8320F" w:rsidRPr="003B41CB">
        <w:rPr>
          <w:rFonts w:ascii="Arial" w:hAnsi="Arial" w:cs="Arial"/>
          <w:sz w:val="20"/>
          <w:szCs w:val="20"/>
        </w:rPr>
        <w:t xml:space="preserve"> contre les discriminations </w:t>
      </w:r>
      <w:r w:rsidR="003E3056" w:rsidRPr="003B41CB">
        <w:rPr>
          <w:rFonts w:ascii="Arial" w:hAnsi="Arial" w:cs="Arial"/>
          <w:sz w:val="20"/>
          <w:szCs w:val="20"/>
        </w:rPr>
        <w:t>fondées sur la prise de congés</w:t>
      </w:r>
      <w:r w:rsidR="00D8320F" w:rsidRPr="003B41CB">
        <w:rPr>
          <w:rFonts w:ascii="Arial" w:hAnsi="Arial" w:cs="Arial"/>
          <w:sz w:val="20"/>
          <w:szCs w:val="20"/>
        </w:rPr>
        <w:t>. Le nombre de signalements sur d'éventuelles discriminations dans le domaine des relations de travail reste élevé. En 2020</w:t>
      </w:r>
      <w:r w:rsidR="00636697">
        <w:rPr>
          <w:rStyle w:val="Appelnotedebasdep"/>
          <w:rFonts w:ascii="Arial" w:hAnsi="Arial" w:cs="Arial"/>
          <w:sz w:val="20"/>
          <w:szCs w:val="20"/>
        </w:rPr>
        <w:footnoteReference w:id="2"/>
      </w:r>
      <w:r w:rsidR="00D8320F" w:rsidRPr="003B41CB">
        <w:rPr>
          <w:rFonts w:ascii="Arial" w:hAnsi="Arial" w:cs="Arial"/>
          <w:sz w:val="20"/>
          <w:szCs w:val="20"/>
        </w:rPr>
        <w:t>, l'Institut a reçu 350 signalements. Les signalements portaient principalement sur l’accès au travail (33%), les conditions de travail et de rémunération (31%) et la rupture de la relation de travail (22%).</w:t>
      </w:r>
      <w:r w:rsidR="00A63E2A" w:rsidRPr="003B41CB">
        <w:rPr>
          <w:rFonts w:ascii="Arial" w:hAnsi="Arial" w:cs="Arial"/>
          <w:sz w:val="20"/>
          <w:szCs w:val="20"/>
        </w:rPr>
        <w:t xml:space="preserve"> Près d’un quart des signalements relatifs aux « conditions de travail et de rémunération » avaient trait à des problèmes dans le cadre de la demande et de la prise de régimes de congés (congé de maternité, congé parental, congé de naissance). D’autres difficultés fréquemment signalées concernaient la modification de la fonction ou des conditions de travail, souvent après un retour de congé de maternité ou de congé parental, et la détermination du salaire (14%).</w:t>
      </w:r>
      <w:r w:rsidR="00DE36EF" w:rsidRPr="003B41CB">
        <w:rPr>
          <w:rFonts w:ascii="Arial" w:hAnsi="Arial" w:cs="Arial"/>
          <w:sz w:val="20"/>
          <w:szCs w:val="20"/>
        </w:rPr>
        <w:t xml:space="preserve"> </w:t>
      </w:r>
    </w:p>
    <w:p w14:paraId="30527121" w14:textId="41BF3767" w:rsidR="00763307" w:rsidRPr="003B41CB" w:rsidRDefault="00DE36EF" w:rsidP="003B41CB">
      <w:pPr>
        <w:jc w:val="both"/>
        <w:rPr>
          <w:rFonts w:ascii="Arial" w:hAnsi="Arial" w:cs="Arial"/>
          <w:sz w:val="20"/>
          <w:szCs w:val="20"/>
        </w:rPr>
      </w:pPr>
      <w:r w:rsidRPr="003B41CB">
        <w:rPr>
          <w:rFonts w:ascii="Arial" w:hAnsi="Arial" w:cs="Arial"/>
          <w:sz w:val="20"/>
          <w:szCs w:val="20"/>
        </w:rPr>
        <w:t xml:space="preserve">Ces discriminations contribuent à l’éloignement des femmes du marché </w:t>
      </w:r>
      <w:r w:rsidR="00703C70" w:rsidRPr="003B41CB">
        <w:rPr>
          <w:rFonts w:ascii="Arial" w:hAnsi="Arial" w:cs="Arial"/>
          <w:sz w:val="20"/>
          <w:szCs w:val="20"/>
        </w:rPr>
        <w:t xml:space="preserve">du travail et rendent difficile </w:t>
      </w:r>
      <w:r w:rsidR="00881FE1" w:rsidRPr="003B41CB">
        <w:rPr>
          <w:rFonts w:ascii="Arial" w:hAnsi="Arial" w:cs="Arial"/>
          <w:sz w:val="20"/>
          <w:szCs w:val="20"/>
        </w:rPr>
        <w:t xml:space="preserve">le maintien des femmes au travail à temps plein. </w:t>
      </w:r>
    </w:p>
    <w:p w14:paraId="395AE396" w14:textId="77777777" w:rsidR="0054517E" w:rsidRPr="003B41CB" w:rsidRDefault="00881FE1"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B41CB">
        <w:rPr>
          <w:rFonts w:ascii="Arial" w:hAnsi="Arial" w:cs="Arial"/>
          <w:sz w:val="20"/>
          <w:szCs w:val="20"/>
        </w:rPr>
        <w:t>Recommandation</w:t>
      </w:r>
      <w:r w:rsidR="0054517E" w:rsidRPr="003B41CB">
        <w:rPr>
          <w:rFonts w:ascii="Arial" w:hAnsi="Arial" w:cs="Arial"/>
          <w:sz w:val="20"/>
          <w:szCs w:val="20"/>
        </w:rPr>
        <w:t>s</w:t>
      </w:r>
      <w:r w:rsidRPr="003B41CB">
        <w:rPr>
          <w:rFonts w:ascii="Arial" w:hAnsi="Arial" w:cs="Arial"/>
          <w:sz w:val="20"/>
          <w:szCs w:val="20"/>
        </w:rPr>
        <w:t xml:space="preserve"> : </w:t>
      </w:r>
    </w:p>
    <w:p w14:paraId="7560829F" w14:textId="685C55F7" w:rsidR="00881FE1" w:rsidRPr="003B41CB" w:rsidRDefault="00BF54B8"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B41CB">
        <w:rPr>
          <w:rFonts w:ascii="Arial" w:hAnsi="Arial" w:cs="Arial"/>
          <w:sz w:val="20"/>
          <w:szCs w:val="20"/>
        </w:rPr>
        <w:t xml:space="preserve">Améliorer la lutte contre les discriminations dont sont victimes </w:t>
      </w:r>
      <w:r w:rsidR="00DB31FF" w:rsidRPr="003B41CB">
        <w:rPr>
          <w:rFonts w:ascii="Arial" w:hAnsi="Arial" w:cs="Arial"/>
          <w:sz w:val="20"/>
          <w:szCs w:val="20"/>
        </w:rPr>
        <w:t xml:space="preserve">les femmes qui outre le travail rémunéré, </w:t>
      </w:r>
      <w:r w:rsidR="00DD65CC" w:rsidRPr="003B41CB">
        <w:rPr>
          <w:rFonts w:ascii="Arial" w:hAnsi="Arial" w:cs="Arial"/>
          <w:sz w:val="20"/>
          <w:szCs w:val="20"/>
        </w:rPr>
        <w:t>assument majoritairement les</w:t>
      </w:r>
      <w:r w:rsidR="00B305C8" w:rsidRPr="003B41CB">
        <w:rPr>
          <w:rFonts w:ascii="Arial" w:hAnsi="Arial" w:cs="Arial"/>
          <w:sz w:val="20"/>
          <w:szCs w:val="20"/>
        </w:rPr>
        <w:t xml:space="preserve"> responsabilités familiales</w:t>
      </w:r>
    </w:p>
    <w:p w14:paraId="2B676952" w14:textId="2E8DA72B" w:rsidR="00DD65CC" w:rsidRDefault="00DD65CC"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B41CB">
        <w:rPr>
          <w:rFonts w:ascii="Arial" w:hAnsi="Arial" w:cs="Arial"/>
          <w:sz w:val="20"/>
          <w:szCs w:val="20"/>
        </w:rPr>
        <w:t>Adopter des mesures</w:t>
      </w:r>
      <w:r w:rsidR="00BC28BC" w:rsidRPr="003B41CB">
        <w:rPr>
          <w:rFonts w:ascii="Arial" w:hAnsi="Arial" w:cs="Arial"/>
          <w:sz w:val="20"/>
          <w:szCs w:val="20"/>
        </w:rPr>
        <w:t xml:space="preserve"> qui</w:t>
      </w:r>
      <w:r w:rsidRPr="003B41CB">
        <w:rPr>
          <w:rFonts w:ascii="Arial" w:hAnsi="Arial" w:cs="Arial"/>
          <w:sz w:val="20"/>
          <w:szCs w:val="20"/>
        </w:rPr>
        <w:t xml:space="preserve"> visent à promouvoir l’égalité de genre en favorisant</w:t>
      </w:r>
      <w:r w:rsidR="00BC28BC" w:rsidRPr="003B41CB">
        <w:rPr>
          <w:rFonts w:ascii="Arial" w:hAnsi="Arial" w:cs="Arial"/>
          <w:sz w:val="20"/>
          <w:szCs w:val="20"/>
        </w:rPr>
        <w:t xml:space="preserve"> </w:t>
      </w:r>
      <w:r w:rsidR="00DB5128" w:rsidRPr="003B41CB">
        <w:rPr>
          <w:rFonts w:ascii="Arial" w:hAnsi="Arial" w:cs="Arial"/>
          <w:sz w:val="20"/>
          <w:szCs w:val="20"/>
        </w:rPr>
        <w:t>la participation des femmes au marché du travail</w:t>
      </w:r>
      <w:r w:rsidR="00F2324D" w:rsidRPr="003B41CB">
        <w:rPr>
          <w:rFonts w:ascii="Arial" w:hAnsi="Arial" w:cs="Arial"/>
          <w:sz w:val="20"/>
          <w:szCs w:val="20"/>
        </w:rPr>
        <w:t xml:space="preserve">, </w:t>
      </w:r>
      <w:r w:rsidR="00DB5128" w:rsidRPr="003B41CB">
        <w:rPr>
          <w:rFonts w:ascii="Arial" w:hAnsi="Arial" w:cs="Arial"/>
          <w:sz w:val="20"/>
          <w:szCs w:val="20"/>
        </w:rPr>
        <w:t>en prévoyant une répartition plus équilibrée des responsabilités familiales entre les femmes et les hommes</w:t>
      </w:r>
      <w:r w:rsidR="00F2324D" w:rsidRPr="003B41CB">
        <w:rPr>
          <w:rFonts w:ascii="Arial" w:hAnsi="Arial" w:cs="Arial"/>
          <w:sz w:val="20"/>
          <w:szCs w:val="20"/>
        </w:rPr>
        <w:t xml:space="preserve">, afin de </w:t>
      </w:r>
      <w:r w:rsidR="0054517E" w:rsidRPr="003B41CB">
        <w:rPr>
          <w:rFonts w:ascii="Arial" w:hAnsi="Arial" w:cs="Arial"/>
          <w:sz w:val="20"/>
          <w:szCs w:val="20"/>
        </w:rPr>
        <w:t xml:space="preserve">réduire les écarts de salaire </w:t>
      </w:r>
    </w:p>
    <w:p w14:paraId="0B52EC33" w14:textId="77777777" w:rsidR="000335C3" w:rsidRPr="003B41CB" w:rsidRDefault="000335C3"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BA79F9C" w14:textId="77777777" w:rsidR="00F86EBD" w:rsidRDefault="00F86EBD" w:rsidP="00F86EBD">
      <w:pPr>
        <w:jc w:val="both"/>
        <w:rPr>
          <w:rFonts w:ascii="Arial" w:hAnsi="Arial" w:cs="Arial"/>
          <w:sz w:val="20"/>
          <w:szCs w:val="20"/>
          <w:u w:val="single"/>
        </w:rPr>
      </w:pPr>
    </w:p>
    <w:p w14:paraId="22181225" w14:textId="5413EE3E" w:rsidR="00F86EBD" w:rsidRPr="00F86EBD" w:rsidRDefault="00F86EBD" w:rsidP="00F86EBD">
      <w:pPr>
        <w:jc w:val="both"/>
        <w:rPr>
          <w:rFonts w:ascii="Arial" w:hAnsi="Arial" w:cs="Arial"/>
          <w:sz w:val="20"/>
          <w:szCs w:val="20"/>
          <w:u w:val="single"/>
        </w:rPr>
      </w:pPr>
      <w:r w:rsidRPr="00F86EBD">
        <w:rPr>
          <w:rFonts w:ascii="Arial" w:hAnsi="Arial" w:cs="Arial"/>
          <w:sz w:val="20"/>
          <w:szCs w:val="20"/>
          <w:u w:val="single"/>
        </w:rPr>
        <w:t xml:space="preserve">Point 18 – Discriminations dans l’emploi sur base de la grossesse et de la maternité </w:t>
      </w:r>
    </w:p>
    <w:p w14:paraId="107CCD6B" w14:textId="77777777" w:rsidR="00F86EBD" w:rsidRPr="00F86EBD" w:rsidRDefault="00F86EBD" w:rsidP="00F86EBD">
      <w:pPr>
        <w:jc w:val="both"/>
        <w:rPr>
          <w:rFonts w:ascii="Arial" w:hAnsi="Arial" w:cs="Arial"/>
          <w:sz w:val="20"/>
          <w:szCs w:val="20"/>
        </w:rPr>
      </w:pPr>
      <w:r w:rsidRPr="00F86EBD">
        <w:rPr>
          <w:rFonts w:ascii="Arial" w:hAnsi="Arial" w:cs="Arial"/>
          <w:sz w:val="20"/>
          <w:szCs w:val="20"/>
        </w:rPr>
        <w:t xml:space="preserve">L’Institut a enregistré 1020 signalements en 2021. </w:t>
      </w:r>
    </w:p>
    <w:p w14:paraId="1EE12949" w14:textId="1A683320" w:rsidR="00F86EBD" w:rsidRPr="00F86EBD" w:rsidRDefault="00F86EBD" w:rsidP="00F86EBD">
      <w:pPr>
        <w:jc w:val="both"/>
        <w:rPr>
          <w:rFonts w:ascii="Arial" w:hAnsi="Arial" w:cs="Arial"/>
          <w:sz w:val="20"/>
          <w:szCs w:val="20"/>
        </w:rPr>
      </w:pPr>
      <w:r w:rsidRPr="00F86EBD">
        <w:rPr>
          <w:rFonts w:ascii="Arial" w:hAnsi="Arial" w:cs="Arial"/>
          <w:sz w:val="20"/>
          <w:szCs w:val="20"/>
        </w:rPr>
        <w:t>Dans son rapport d’activités 2021</w:t>
      </w:r>
      <w:r w:rsidR="00636697">
        <w:rPr>
          <w:rStyle w:val="Appelnotedebasdep"/>
          <w:rFonts w:ascii="Arial" w:hAnsi="Arial" w:cs="Arial"/>
          <w:sz w:val="20"/>
          <w:szCs w:val="20"/>
        </w:rPr>
        <w:footnoteReference w:id="3"/>
      </w:r>
      <w:r w:rsidRPr="00F86EBD">
        <w:rPr>
          <w:rFonts w:ascii="Arial" w:hAnsi="Arial" w:cs="Arial"/>
          <w:sz w:val="20"/>
          <w:szCs w:val="20"/>
        </w:rPr>
        <w:t xml:space="preserve">, l’Institut note que le thème « grossesse/accouchement/maternité » représente 12% de tous les signalements.  Depuis 2020, il y a eu une multiplication des thèmes pour lesquels l’Institut peut recevoir des signalements (allaitement, maternité, paternité, coparentalité, adoption, procréation médicalement assistée et caractéristiques sexuelles). En comptabilisant l’ensemble des critères de discrimination liés à la maternité au sens large, on constate que 14% des signalements relèvent de ces critères. </w:t>
      </w:r>
    </w:p>
    <w:p w14:paraId="3EF99DD3" w14:textId="77CC47B0" w:rsidR="00F86EBD" w:rsidRPr="00F86EBD" w:rsidRDefault="00F86EBD" w:rsidP="00F86EBD">
      <w:pPr>
        <w:jc w:val="both"/>
        <w:rPr>
          <w:rFonts w:ascii="Arial" w:hAnsi="Arial" w:cs="Arial"/>
          <w:sz w:val="20"/>
          <w:szCs w:val="20"/>
        </w:rPr>
      </w:pPr>
      <w:r w:rsidRPr="00F86EBD">
        <w:rPr>
          <w:rFonts w:ascii="Arial" w:hAnsi="Arial" w:cs="Arial"/>
          <w:sz w:val="20"/>
          <w:szCs w:val="20"/>
        </w:rPr>
        <w:t xml:space="preserve">Ceci ne constitue probablement qu’une part minime des discriminations vécues par les femmes enceintes dans le domaine de l’emploi, puisqu’une enquête de l’Institut révèle que seulement 53% des </w:t>
      </w:r>
      <w:r w:rsidRPr="00F86EBD">
        <w:rPr>
          <w:rFonts w:ascii="Arial" w:hAnsi="Arial" w:cs="Arial"/>
          <w:sz w:val="20"/>
          <w:szCs w:val="20"/>
        </w:rPr>
        <w:lastRenderedPageBreak/>
        <w:t>femmes ayant déclaré avoir subi au moins une forme de discrimination sur la base de la grossesse ou maternité considéraient cela comme un problème</w:t>
      </w:r>
      <w:r w:rsidR="00636697">
        <w:rPr>
          <w:rStyle w:val="Appelnotedebasdep"/>
          <w:rFonts w:ascii="Arial" w:hAnsi="Arial" w:cs="Arial"/>
          <w:sz w:val="20"/>
          <w:szCs w:val="20"/>
        </w:rPr>
        <w:footnoteReference w:id="4"/>
      </w:r>
      <w:r w:rsidRPr="00F86EBD">
        <w:rPr>
          <w:rFonts w:ascii="Arial" w:hAnsi="Arial" w:cs="Arial"/>
          <w:sz w:val="20"/>
          <w:szCs w:val="20"/>
        </w:rPr>
        <w:t xml:space="preserve">. </w:t>
      </w:r>
    </w:p>
    <w:p w14:paraId="09288C5C" w14:textId="77777777" w:rsidR="00F86EBD" w:rsidRPr="00F86EBD" w:rsidRDefault="00F86EBD" w:rsidP="00F86EBD">
      <w:pPr>
        <w:jc w:val="both"/>
        <w:rPr>
          <w:rFonts w:ascii="Arial" w:hAnsi="Arial" w:cs="Arial"/>
          <w:sz w:val="20"/>
          <w:szCs w:val="20"/>
        </w:rPr>
      </w:pPr>
      <w:r w:rsidRPr="00F86EBD">
        <w:rPr>
          <w:rFonts w:ascii="Arial" w:hAnsi="Arial" w:cs="Arial"/>
          <w:sz w:val="20"/>
          <w:szCs w:val="20"/>
        </w:rPr>
        <w:t xml:space="preserve">Les décisions rendues dans les affaires soutenues par l’Institut montrent que les employeurs connaissent mal la Loi Genre. Aussi, malgré les acquis législatifs et jurisprudentiels, repris par la loi </w:t>
      </w:r>
      <w:proofErr w:type="gramStart"/>
      <w:r w:rsidRPr="00F86EBD">
        <w:rPr>
          <w:rFonts w:ascii="Arial" w:hAnsi="Arial" w:cs="Arial"/>
          <w:sz w:val="20"/>
          <w:szCs w:val="20"/>
        </w:rPr>
        <w:t>Genre,  les</w:t>
      </w:r>
      <w:proofErr w:type="gramEnd"/>
      <w:r w:rsidRPr="00F86EBD">
        <w:rPr>
          <w:rFonts w:ascii="Arial" w:hAnsi="Arial" w:cs="Arial"/>
          <w:sz w:val="20"/>
          <w:szCs w:val="20"/>
        </w:rPr>
        <w:t xml:space="preserve"> discriminations liées à la grossesse et à la maternité sont encore nombreuses en Belgique. Il apparaît donc nécessaire de faire évoluer les mentalités afin que la grossesse et la maternité cessent enfin d’être un obstacle pour les femmes sur le marché de l’emploi.</w:t>
      </w:r>
    </w:p>
    <w:p w14:paraId="739D5DB1" w14:textId="77777777" w:rsidR="00F86EBD" w:rsidRPr="00F86EBD" w:rsidRDefault="00F86EBD" w:rsidP="00F86EBD">
      <w:pPr>
        <w:jc w:val="both"/>
        <w:rPr>
          <w:rFonts w:ascii="Arial" w:hAnsi="Arial" w:cs="Arial"/>
          <w:sz w:val="20"/>
          <w:szCs w:val="20"/>
        </w:rPr>
      </w:pPr>
    </w:p>
    <w:p w14:paraId="772038F2" w14:textId="77777777" w:rsidR="00F86EBD" w:rsidRPr="00F86EBD" w:rsidRDefault="00F86EBD" w:rsidP="00F86EB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86EBD">
        <w:rPr>
          <w:rFonts w:ascii="Arial" w:hAnsi="Arial" w:cs="Arial"/>
          <w:sz w:val="20"/>
          <w:szCs w:val="20"/>
        </w:rPr>
        <w:t xml:space="preserve">Recommandation : </w:t>
      </w:r>
    </w:p>
    <w:p w14:paraId="22830962" w14:textId="77777777" w:rsidR="004846F5" w:rsidRDefault="00F86EBD" w:rsidP="00F86EB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86EBD">
        <w:rPr>
          <w:rFonts w:ascii="Arial" w:hAnsi="Arial" w:cs="Arial"/>
          <w:sz w:val="20"/>
          <w:szCs w:val="20"/>
        </w:rPr>
        <w:t xml:space="preserve">Développer une campagne d’information d’ampleur à destination des employeurs et des travailleuses enceintes </w:t>
      </w:r>
    </w:p>
    <w:p w14:paraId="2A35A09D" w14:textId="2CD27FF1" w:rsidR="00F86EBD" w:rsidRPr="00F86EBD" w:rsidRDefault="00F86EBD" w:rsidP="00F86EB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86EBD">
        <w:rPr>
          <w:rFonts w:ascii="Arial" w:hAnsi="Arial" w:cs="Arial"/>
          <w:sz w:val="20"/>
          <w:szCs w:val="20"/>
        </w:rPr>
        <w:t xml:space="preserve"> </w:t>
      </w:r>
    </w:p>
    <w:p w14:paraId="41E22DD4" w14:textId="77777777" w:rsidR="00D67FD5" w:rsidRPr="003B41CB" w:rsidRDefault="00D67FD5" w:rsidP="003B41CB">
      <w:pPr>
        <w:jc w:val="both"/>
        <w:rPr>
          <w:rFonts w:ascii="Arial" w:hAnsi="Arial" w:cs="Arial"/>
          <w:sz w:val="20"/>
          <w:szCs w:val="20"/>
        </w:rPr>
      </w:pPr>
    </w:p>
    <w:p w14:paraId="34615888" w14:textId="356D6823" w:rsidR="00226FB8" w:rsidRPr="003B41CB" w:rsidRDefault="00952ACA" w:rsidP="003B41CB">
      <w:pPr>
        <w:jc w:val="both"/>
        <w:rPr>
          <w:rFonts w:ascii="Arial" w:hAnsi="Arial" w:cs="Arial"/>
          <w:sz w:val="20"/>
          <w:szCs w:val="20"/>
          <w:u w:val="single"/>
        </w:rPr>
      </w:pPr>
      <w:r w:rsidRPr="003B41CB">
        <w:rPr>
          <w:rFonts w:ascii="Arial" w:hAnsi="Arial" w:cs="Arial"/>
          <w:sz w:val="20"/>
          <w:szCs w:val="20"/>
          <w:u w:val="single"/>
        </w:rPr>
        <w:t>Point</w:t>
      </w:r>
      <w:r w:rsidR="00226FB8" w:rsidRPr="003B41CB">
        <w:rPr>
          <w:rFonts w:ascii="Arial" w:hAnsi="Arial" w:cs="Arial"/>
          <w:sz w:val="20"/>
          <w:szCs w:val="20"/>
          <w:u w:val="single"/>
        </w:rPr>
        <w:t xml:space="preserve"> 22 </w:t>
      </w:r>
      <w:r w:rsidR="005C3D37" w:rsidRPr="003B41CB">
        <w:rPr>
          <w:rFonts w:ascii="Arial" w:hAnsi="Arial" w:cs="Arial"/>
          <w:sz w:val="20"/>
          <w:szCs w:val="20"/>
          <w:u w:val="single"/>
        </w:rPr>
        <w:t>–</w:t>
      </w:r>
      <w:r w:rsidR="00226FB8" w:rsidRPr="003B41CB">
        <w:rPr>
          <w:rFonts w:ascii="Arial" w:hAnsi="Arial" w:cs="Arial"/>
          <w:sz w:val="20"/>
          <w:szCs w:val="20"/>
          <w:u w:val="single"/>
        </w:rPr>
        <w:t xml:space="preserve"> </w:t>
      </w:r>
      <w:r w:rsidR="005C3D37" w:rsidRPr="003B41CB">
        <w:rPr>
          <w:rFonts w:ascii="Arial" w:hAnsi="Arial" w:cs="Arial"/>
          <w:sz w:val="20"/>
          <w:szCs w:val="20"/>
          <w:u w:val="single"/>
        </w:rPr>
        <w:t xml:space="preserve">Droits fondamentaux des femmes victimes de discriminations croisées </w:t>
      </w:r>
    </w:p>
    <w:p w14:paraId="0751779A" w14:textId="77777777" w:rsidR="00226FB8" w:rsidRPr="003B41CB" w:rsidRDefault="00226FB8" w:rsidP="003B41CB">
      <w:pPr>
        <w:jc w:val="both"/>
        <w:rPr>
          <w:rFonts w:ascii="Arial" w:hAnsi="Arial" w:cs="Arial"/>
          <w:sz w:val="20"/>
          <w:szCs w:val="20"/>
        </w:rPr>
      </w:pPr>
    </w:p>
    <w:p w14:paraId="3039AA8E" w14:textId="158E1893" w:rsidR="00F92E33" w:rsidRPr="003B41CB" w:rsidRDefault="00F92E33" w:rsidP="003B41CB">
      <w:pPr>
        <w:jc w:val="both"/>
        <w:rPr>
          <w:rFonts w:ascii="Arial" w:hAnsi="Arial" w:cs="Arial"/>
          <w:i/>
          <w:iCs/>
          <w:sz w:val="20"/>
          <w:szCs w:val="20"/>
          <w:u w:val="single"/>
        </w:rPr>
      </w:pPr>
      <w:r w:rsidRPr="003B41CB">
        <w:rPr>
          <w:rFonts w:ascii="Arial" w:hAnsi="Arial" w:cs="Arial"/>
          <w:i/>
          <w:iCs/>
          <w:sz w:val="20"/>
          <w:szCs w:val="20"/>
          <w:u w:val="single"/>
        </w:rPr>
        <w:t xml:space="preserve">Actions positives dans le secteur public </w:t>
      </w:r>
    </w:p>
    <w:p w14:paraId="0DAA56FC" w14:textId="1237C1EA" w:rsidR="005F66DC" w:rsidRPr="003B41CB" w:rsidRDefault="005F66DC" w:rsidP="003B41CB">
      <w:pPr>
        <w:jc w:val="both"/>
        <w:rPr>
          <w:rFonts w:ascii="Arial" w:hAnsi="Arial" w:cs="Arial"/>
          <w:sz w:val="20"/>
          <w:szCs w:val="20"/>
        </w:rPr>
      </w:pPr>
      <w:r w:rsidRPr="003B41CB">
        <w:rPr>
          <w:rFonts w:ascii="Arial" w:hAnsi="Arial" w:cs="Arial"/>
          <w:sz w:val="20"/>
          <w:szCs w:val="20"/>
        </w:rPr>
        <w:t xml:space="preserve">La Loi Genre prévoit qu’un arrêté royal doit être adopté pour déterminer les hypothèses et les conditions dans lesquelles une mesure d’action positive peut être mise en œuvre. Le 11 février 2019, le gouvernement fédéral a adopté un arrêté royal « fixant les conditions de l’action positive ». </w:t>
      </w:r>
      <w:r w:rsidR="007D0109" w:rsidRPr="003B41CB">
        <w:rPr>
          <w:rFonts w:ascii="Arial" w:hAnsi="Arial" w:cs="Arial"/>
          <w:sz w:val="20"/>
          <w:szCs w:val="20"/>
        </w:rPr>
        <w:t>Mais c</w:t>
      </w:r>
      <w:r w:rsidRPr="003B41CB">
        <w:rPr>
          <w:rFonts w:ascii="Arial" w:hAnsi="Arial" w:cs="Arial"/>
          <w:sz w:val="20"/>
          <w:szCs w:val="20"/>
        </w:rPr>
        <w:t>et arrêté</w:t>
      </w:r>
      <w:r w:rsidR="007D0109" w:rsidRPr="003B41CB">
        <w:rPr>
          <w:rFonts w:ascii="Arial" w:hAnsi="Arial" w:cs="Arial"/>
          <w:sz w:val="20"/>
          <w:szCs w:val="20"/>
        </w:rPr>
        <w:t xml:space="preserve"> ne </w:t>
      </w:r>
      <w:r w:rsidRPr="003B41CB">
        <w:rPr>
          <w:rFonts w:ascii="Arial" w:hAnsi="Arial" w:cs="Arial"/>
          <w:sz w:val="20"/>
          <w:szCs w:val="20"/>
        </w:rPr>
        <w:t xml:space="preserve">concerne </w:t>
      </w:r>
      <w:r w:rsidR="007D0109" w:rsidRPr="003B41CB">
        <w:rPr>
          <w:rFonts w:ascii="Arial" w:hAnsi="Arial" w:cs="Arial"/>
          <w:sz w:val="20"/>
          <w:szCs w:val="20"/>
        </w:rPr>
        <w:t>que</w:t>
      </w:r>
      <w:r w:rsidRPr="003B41CB">
        <w:rPr>
          <w:rFonts w:ascii="Arial" w:hAnsi="Arial" w:cs="Arial"/>
          <w:sz w:val="20"/>
          <w:szCs w:val="20"/>
        </w:rPr>
        <w:t xml:space="preserve"> l’emploi dans le secteur privé. </w:t>
      </w:r>
      <w:r w:rsidR="00F702E8" w:rsidRPr="003B41CB">
        <w:rPr>
          <w:rFonts w:ascii="Arial" w:hAnsi="Arial" w:cs="Arial"/>
          <w:sz w:val="20"/>
          <w:szCs w:val="20"/>
        </w:rPr>
        <w:t>A</w:t>
      </w:r>
      <w:r w:rsidRPr="003B41CB">
        <w:rPr>
          <w:rFonts w:ascii="Arial" w:hAnsi="Arial" w:cs="Arial"/>
          <w:sz w:val="20"/>
          <w:szCs w:val="20"/>
        </w:rPr>
        <w:t xml:space="preserve">ucun arrêté royal de portée générale réglementant l’action positive dans le secteur public n’a été pris jusqu’à présent. </w:t>
      </w:r>
    </w:p>
    <w:p w14:paraId="2F50E18E" w14:textId="073C1043" w:rsidR="00F92E33" w:rsidRPr="003B41CB" w:rsidRDefault="0037241E" w:rsidP="003B41CB">
      <w:pPr>
        <w:jc w:val="both"/>
        <w:rPr>
          <w:rFonts w:ascii="Arial" w:hAnsi="Arial" w:cs="Arial"/>
          <w:sz w:val="20"/>
          <w:szCs w:val="20"/>
        </w:rPr>
      </w:pPr>
      <w:r w:rsidRPr="003B41CB">
        <w:rPr>
          <w:rFonts w:ascii="Arial" w:hAnsi="Arial" w:cs="Arial"/>
          <w:sz w:val="20"/>
          <w:szCs w:val="20"/>
        </w:rPr>
        <w:t>L</w:t>
      </w:r>
      <w:r w:rsidR="00F92E33" w:rsidRPr="003B41CB">
        <w:rPr>
          <w:rFonts w:ascii="Arial" w:hAnsi="Arial" w:cs="Arial"/>
          <w:sz w:val="20"/>
          <w:szCs w:val="20"/>
        </w:rPr>
        <w:t xml:space="preserve">’absence d’arrêté royal pour le secteur public entrave la possibilité, pour une institution publique, de recourir à l’action positive pour combattre les discriminations ou inégalités structurelles auxquelles </w:t>
      </w:r>
      <w:r w:rsidR="00571EF5" w:rsidRPr="003B41CB">
        <w:rPr>
          <w:rFonts w:ascii="Arial" w:hAnsi="Arial" w:cs="Arial"/>
          <w:sz w:val="20"/>
          <w:szCs w:val="20"/>
        </w:rPr>
        <w:t>les femmes sont encore souvent confrontées</w:t>
      </w:r>
      <w:r w:rsidR="00E8743F" w:rsidRPr="003B41CB">
        <w:rPr>
          <w:rFonts w:ascii="Arial" w:hAnsi="Arial" w:cs="Arial"/>
          <w:sz w:val="20"/>
          <w:szCs w:val="20"/>
        </w:rPr>
        <w:t>,</w:t>
      </w:r>
      <w:r w:rsidR="00F92E33" w:rsidRPr="003B41CB">
        <w:rPr>
          <w:rFonts w:ascii="Arial" w:hAnsi="Arial" w:cs="Arial"/>
          <w:sz w:val="20"/>
          <w:szCs w:val="20"/>
        </w:rPr>
        <w:t xml:space="preserve"> et qui limitent leur accès ou leur progression dans l’emploi dans le secteur public.</w:t>
      </w:r>
      <w:r w:rsidR="00833486" w:rsidRPr="003B41CB">
        <w:rPr>
          <w:rFonts w:ascii="Arial" w:hAnsi="Arial" w:cs="Arial"/>
          <w:sz w:val="20"/>
          <w:szCs w:val="20"/>
        </w:rPr>
        <w:t xml:space="preserve"> </w:t>
      </w:r>
    </w:p>
    <w:p w14:paraId="46767634" w14:textId="180BBD5C" w:rsidR="008B28F9" w:rsidRDefault="008B28F9" w:rsidP="003B41CB">
      <w:pPr>
        <w:jc w:val="both"/>
        <w:rPr>
          <w:rFonts w:ascii="Arial" w:hAnsi="Arial" w:cs="Arial"/>
          <w:sz w:val="20"/>
          <w:szCs w:val="20"/>
        </w:rPr>
      </w:pPr>
      <w:r w:rsidRPr="003B41CB">
        <w:rPr>
          <w:rFonts w:ascii="Arial" w:hAnsi="Arial" w:cs="Arial"/>
          <w:sz w:val="20"/>
          <w:szCs w:val="20"/>
        </w:rPr>
        <w:t>Afin de lutter</w:t>
      </w:r>
      <w:r w:rsidR="00C2236E" w:rsidRPr="003B41CB">
        <w:rPr>
          <w:rFonts w:ascii="Arial" w:hAnsi="Arial" w:cs="Arial"/>
          <w:sz w:val="20"/>
          <w:szCs w:val="20"/>
        </w:rPr>
        <w:t xml:space="preserve"> le plus</w:t>
      </w:r>
      <w:r w:rsidRPr="003B41CB">
        <w:rPr>
          <w:rFonts w:ascii="Arial" w:hAnsi="Arial" w:cs="Arial"/>
          <w:sz w:val="20"/>
          <w:szCs w:val="20"/>
        </w:rPr>
        <w:t xml:space="preserve"> efficacement</w:t>
      </w:r>
      <w:r w:rsidR="00C2236E" w:rsidRPr="003B41CB">
        <w:rPr>
          <w:rFonts w:ascii="Arial" w:hAnsi="Arial" w:cs="Arial"/>
          <w:sz w:val="20"/>
          <w:szCs w:val="20"/>
        </w:rPr>
        <w:t xml:space="preserve"> possible</w:t>
      </w:r>
      <w:r w:rsidRPr="003B41CB">
        <w:rPr>
          <w:rFonts w:ascii="Arial" w:hAnsi="Arial" w:cs="Arial"/>
          <w:sz w:val="20"/>
          <w:szCs w:val="20"/>
        </w:rPr>
        <w:t xml:space="preserve"> </w:t>
      </w:r>
      <w:r w:rsidR="00E11761" w:rsidRPr="003B41CB">
        <w:rPr>
          <w:rFonts w:ascii="Arial" w:hAnsi="Arial" w:cs="Arial"/>
          <w:sz w:val="20"/>
          <w:szCs w:val="20"/>
        </w:rPr>
        <w:t>contre les inégalités structurelles do</w:t>
      </w:r>
      <w:r w:rsidR="00662056" w:rsidRPr="003B41CB">
        <w:rPr>
          <w:rFonts w:ascii="Arial" w:hAnsi="Arial" w:cs="Arial"/>
          <w:sz w:val="20"/>
          <w:szCs w:val="20"/>
        </w:rPr>
        <w:t xml:space="preserve">nt sont encore victimes les femmes sur le marché du travail, </w:t>
      </w:r>
      <w:r w:rsidR="009D213B" w:rsidRPr="003B41CB">
        <w:rPr>
          <w:rFonts w:ascii="Arial" w:hAnsi="Arial" w:cs="Arial"/>
          <w:sz w:val="20"/>
          <w:szCs w:val="20"/>
        </w:rPr>
        <w:t xml:space="preserve">et lever les obstacles </w:t>
      </w:r>
      <w:r w:rsidR="006F7E75" w:rsidRPr="003B41CB">
        <w:rPr>
          <w:rFonts w:ascii="Arial" w:hAnsi="Arial" w:cs="Arial"/>
          <w:sz w:val="20"/>
          <w:szCs w:val="20"/>
        </w:rPr>
        <w:t xml:space="preserve">qui empêchent leur progression sur le marché de l’emploi, un cadre juridique complet </w:t>
      </w:r>
      <w:r w:rsidR="00C73839">
        <w:rPr>
          <w:rFonts w:ascii="Arial" w:hAnsi="Arial" w:cs="Arial"/>
          <w:sz w:val="20"/>
          <w:szCs w:val="20"/>
        </w:rPr>
        <w:t xml:space="preserve">est </w:t>
      </w:r>
      <w:r w:rsidR="00C73839" w:rsidRPr="003B41CB">
        <w:rPr>
          <w:rFonts w:ascii="Arial" w:hAnsi="Arial" w:cs="Arial"/>
          <w:sz w:val="20"/>
          <w:szCs w:val="20"/>
        </w:rPr>
        <w:t>nécessaire</w:t>
      </w:r>
      <w:r w:rsidR="00164BA5" w:rsidRPr="003B41CB">
        <w:rPr>
          <w:rFonts w:ascii="Arial" w:hAnsi="Arial" w:cs="Arial"/>
          <w:sz w:val="20"/>
          <w:szCs w:val="20"/>
        </w:rPr>
        <w:t xml:space="preserve">. </w:t>
      </w:r>
    </w:p>
    <w:p w14:paraId="156C3436" w14:textId="77777777" w:rsidR="004846F5" w:rsidRPr="003B41CB" w:rsidRDefault="004846F5" w:rsidP="003B41CB">
      <w:pPr>
        <w:jc w:val="both"/>
        <w:rPr>
          <w:rFonts w:ascii="Arial" w:hAnsi="Arial" w:cs="Arial"/>
          <w:sz w:val="20"/>
          <w:szCs w:val="20"/>
        </w:rPr>
      </w:pPr>
    </w:p>
    <w:p w14:paraId="4393B795" w14:textId="77777777" w:rsidR="00C41E0D" w:rsidRDefault="00833486"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B41CB">
        <w:rPr>
          <w:rFonts w:ascii="Arial" w:hAnsi="Arial" w:cs="Arial"/>
          <w:sz w:val="20"/>
          <w:szCs w:val="20"/>
        </w:rPr>
        <w:t xml:space="preserve">Recommandation : </w:t>
      </w:r>
    </w:p>
    <w:p w14:paraId="7724E433" w14:textId="640FDC91" w:rsidR="00833486" w:rsidRDefault="00C41E0D"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C</w:t>
      </w:r>
      <w:r w:rsidR="001605F7" w:rsidRPr="003B41CB">
        <w:rPr>
          <w:rFonts w:ascii="Arial" w:hAnsi="Arial" w:cs="Arial"/>
          <w:sz w:val="20"/>
          <w:szCs w:val="20"/>
        </w:rPr>
        <w:t>ompléter le cadre juridique</w:t>
      </w:r>
      <w:r>
        <w:rPr>
          <w:rFonts w:ascii="Arial" w:hAnsi="Arial" w:cs="Arial"/>
          <w:sz w:val="20"/>
          <w:szCs w:val="20"/>
        </w:rPr>
        <w:t xml:space="preserve"> sur l’action positive</w:t>
      </w:r>
      <w:r w:rsidR="001605F7" w:rsidRPr="003B41CB">
        <w:rPr>
          <w:rFonts w:ascii="Arial" w:hAnsi="Arial" w:cs="Arial"/>
          <w:sz w:val="20"/>
          <w:szCs w:val="20"/>
        </w:rPr>
        <w:t xml:space="preserve"> en adoptant</w:t>
      </w:r>
      <w:r w:rsidR="00833486" w:rsidRPr="003B41CB">
        <w:rPr>
          <w:rFonts w:ascii="Arial" w:hAnsi="Arial" w:cs="Arial"/>
          <w:sz w:val="20"/>
          <w:szCs w:val="20"/>
        </w:rPr>
        <w:t xml:space="preserve"> un arrêt</w:t>
      </w:r>
      <w:r w:rsidR="001605F7" w:rsidRPr="003B41CB">
        <w:rPr>
          <w:rFonts w:ascii="Arial" w:hAnsi="Arial" w:cs="Arial"/>
          <w:sz w:val="20"/>
          <w:szCs w:val="20"/>
        </w:rPr>
        <w:t>é</w:t>
      </w:r>
      <w:r w:rsidR="00833486" w:rsidRPr="003B41CB">
        <w:rPr>
          <w:rFonts w:ascii="Arial" w:hAnsi="Arial" w:cs="Arial"/>
          <w:sz w:val="20"/>
          <w:szCs w:val="20"/>
        </w:rPr>
        <w:t xml:space="preserve"> royal fixant les </w:t>
      </w:r>
      <w:r w:rsidR="00BB40CE" w:rsidRPr="003B41CB">
        <w:rPr>
          <w:rFonts w:ascii="Arial" w:hAnsi="Arial" w:cs="Arial"/>
          <w:sz w:val="20"/>
          <w:szCs w:val="20"/>
        </w:rPr>
        <w:t>conditions de l’action positive dans le secteur public</w:t>
      </w:r>
    </w:p>
    <w:p w14:paraId="4F8D8011" w14:textId="77777777" w:rsidR="00C41E0D" w:rsidRPr="003B41CB" w:rsidRDefault="00C41E0D"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CE9C181" w14:textId="77777777" w:rsidR="00F92E33" w:rsidRPr="003B41CB" w:rsidRDefault="00F92E33" w:rsidP="003B41CB">
      <w:pPr>
        <w:jc w:val="both"/>
        <w:rPr>
          <w:rFonts w:ascii="Arial" w:hAnsi="Arial" w:cs="Arial"/>
          <w:sz w:val="20"/>
          <w:szCs w:val="20"/>
        </w:rPr>
      </w:pPr>
    </w:p>
    <w:p w14:paraId="3EB13F31" w14:textId="243B853C" w:rsidR="00F92E33" w:rsidRPr="003B41CB" w:rsidRDefault="00F92E33" w:rsidP="003B41CB">
      <w:pPr>
        <w:jc w:val="both"/>
        <w:rPr>
          <w:rFonts w:ascii="Arial" w:hAnsi="Arial" w:cs="Arial"/>
          <w:i/>
          <w:iCs/>
          <w:sz w:val="20"/>
          <w:szCs w:val="20"/>
          <w:u w:val="single"/>
        </w:rPr>
      </w:pPr>
      <w:r w:rsidRPr="003B41CB">
        <w:rPr>
          <w:rFonts w:ascii="Arial" w:hAnsi="Arial" w:cs="Arial"/>
          <w:i/>
          <w:iCs/>
          <w:sz w:val="20"/>
          <w:szCs w:val="20"/>
          <w:u w:val="single"/>
        </w:rPr>
        <w:t>Discrimination multiple</w:t>
      </w:r>
      <w:r w:rsidR="00A83F2A" w:rsidRPr="003B41CB">
        <w:rPr>
          <w:rFonts w:ascii="Arial" w:hAnsi="Arial" w:cs="Arial"/>
          <w:i/>
          <w:iCs/>
          <w:sz w:val="20"/>
          <w:szCs w:val="20"/>
          <w:u w:val="single"/>
        </w:rPr>
        <w:t>, discrimination</w:t>
      </w:r>
      <w:r w:rsidRPr="003B41CB">
        <w:rPr>
          <w:rFonts w:ascii="Arial" w:hAnsi="Arial" w:cs="Arial"/>
          <w:i/>
          <w:iCs/>
          <w:sz w:val="20"/>
          <w:szCs w:val="20"/>
          <w:u w:val="single"/>
        </w:rPr>
        <w:t xml:space="preserve"> intersectionnelle</w:t>
      </w:r>
      <w:r w:rsidR="00A83F2A" w:rsidRPr="003B41CB">
        <w:rPr>
          <w:rFonts w:ascii="Arial" w:hAnsi="Arial" w:cs="Arial"/>
          <w:i/>
          <w:iCs/>
          <w:sz w:val="20"/>
          <w:szCs w:val="20"/>
          <w:u w:val="single"/>
        </w:rPr>
        <w:t xml:space="preserve"> et discrimination par association</w:t>
      </w:r>
      <w:r w:rsidRPr="003B41CB">
        <w:rPr>
          <w:rFonts w:ascii="Arial" w:hAnsi="Arial" w:cs="Arial"/>
          <w:i/>
          <w:iCs/>
          <w:sz w:val="20"/>
          <w:szCs w:val="20"/>
          <w:u w:val="single"/>
        </w:rPr>
        <w:t xml:space="preserve"> </w:t>
      </w:r>
    </w:p>
    <w:p w14:paraId="0349CD77" w14:textId="5B8828B1" w:rsidR="00F92E33" w:rsidRPr="003B41CB" w:rsidRDefault="00E8743F" w:rsidP="003B41CB">
      <w:pPr>
        <w:jc w:val="both"/>
        <w:rPr>
          <w:rFonts w:ascii="Arial" w:hAnsi="Arial" w:cs="Arial"/>
          <w:sz w:val="20"/>
          <w:szCs w:val="20"/>
        </w:rPr>
      </w:pPr>
      <w:r w:rsidRPr="003B41CB">
        <w:rPr>
          <w:rFonts w:ascii="Arial" w:hAnsi="Arial" w:cs="Arial"/>
          <w:sz w:val="20"/>
          <w:szCs w:val="20"/>
        </w:rPr>
        <w:t>La Loi Genre de 2007</w:t>
      </w:r>
      <w:r w:rsidR="00F92E33" w:rsidRPr="003B41CB">
        <w:rPr>
          <w:rFonts w:ascii="Arial" w:hAnsi="Arial" w:cs="Arial"/>
          <w:sz w:val="20"/>
          <w:szCs w:val="20"/>
        </w:rPr>
        <w:t xml:space="preserve"> n’a envisagé que la discrimination basée sur un seul critère protégé. Le cadre législatif n’a pas été pensé pour viser</w:t>
      </w:r>
      <w:r w:rsidR="00E96E36">
        <w:rPr>
          <w:rFonts w:ascii="Arial" w:hAnsi="Arial" w:cs="Arial"/>
          <w:sz w:val="20"/>
          <w:szCs w:val="20"/>
        </w:rPr>
        <w:t xml:space="preserve"> de manière spéci</w:t>
      </w:r>
      <w:r w:rsidR="001E1D1D">
        <w:rPr>
          <w:rFonts w:ascii="Arial" w:hAnsi="Arial" w:cs="Arial"/>
          <w:sz w:val="20"/>
          <w:szCs w:val="20"/>
        </w:rPr>
        <w:t>fique</w:t>
      </w:r>
      <w:r w:rsidR="00F92E33" w:rsidRPr="003B41CB">
        <w:rPr>
          <w:rFonts w:ascii="Arial" w:hAnsi="Arial" w:cs="Arial"/>
          <w:sz w:val="20"/>
          <w:szCs w:val="20"/>
        </w:rPr>
        <w:t xml:space="preserve"> la discrimination multiple, à savoir la discrimination résultant de plusieurs critères de discrimination</w:t>
      </w:r>
      <w:r w:rsidR="0073183F" w:rsidRPr="003B41CB">
        <w:rPr>
          <w:rFonts w:ascii="Arial" w:hAnsi="Arial" w:cs="Arial"/>
          <w:sz w:val="20"/>
          <w:szCs w:val="20"/>
        </w:rPr>
        <w:t>, additionnés l’un à l’autre ou intrinsèquement liés</w:t>
      </w:r>
      <w:r w:rsidR="00B93944" w:rsidRPr="003B41CB">
        <w:rPr>
          <w:rFonts w:ascii="Arial" w:hAnsi="Arial" w:cs="Arial"/>
          <w:sz w:val="20"/>
          <w:szCs w:val="20"/>
        </w:rPr>
        <w:t xml:space="preserve">. Dans ce dernier cas, on parle de </w:t>
      </w:r>
      <w:r w:rsidR="00F92E33" w:rsidRPr="003B41CB">
        <w:rPr>
          <w:rFonts w:ascii="Arial" w:hAnsi="Arial" w:cs="Arial"/>
          <w:sz w:val="20"/>
          <w:szCs w:val="20"/>
        </w:rPr>
        <w:t>discrimination intersectionnelle</w:t>
      </w:r>
      <w:r w:rsidR="00B93944" w:rsidRPr="003B41CB">
        <w:rPr>
          <w:rFonts w:ascii="Arial" w:hAnsi="Arial" w:cs="Arial"/>
          <w:sz w:val="20"/>
          <w:szCs w:val="20"/>
        </w:rPr>
        <w:t>, notion absente de la loi</w:t>
      </w:r>
      <w:r w:rsidR="00F92E33" w:rsidRPr="003B41CB">
        <w:rPr>
          <w:rFonts w:ascii="Arial" w:hAnsi="Arial" w:cs="Arial"/>
          <w:sz w:val="20"/>
          <w:szCs w:val="20"/>
        </w:rPr>
        <w:t xml:space="preserve">. </w:t>
      </w:r>
    </w:p>
    <w:p w14:paraId="415C0441" w14:textId="15B8E847" w:rsidR="00F92E33" w:rsidRPr="003B41CB" w:rsidRDefault="00F92E33" w:rsidP="003B41CB">
      <w:pPr>
        <w:jc w:val="both"/>
        <w:rPr>
          <w:rFonts w:ascii="Arial" w:hAnsi="Arial" w:cs="Arial"/>
          <w:sz w:val="20"/>
          <w:szCs w:val="20"/>
        </w:rPr>
      </w:pPr>
      <w:r w:rsidRPr="003B41CB">
        <w:rPr>
          <w:rFonts w:ascii="Arial" w:hAnsi="Arial" w:cs="Arial"/>
          <w:sz w:val="20"/>
          <w:szCs w:val="20"/>
        </w:rPr>
        <w:lastRenderedPageBreak/>
        <w:t>La notion de « discrimination par association » fait référence à une situation dans laquelle une personne est discriminée en raison du fait qu’elle est étroitement associée à un individu présentant un motif protégé. Cela peut être, par exemple, le cas des parents d’un enfant en situation de handicap</w:t>
      </w:r>
      <w:r w:rsidR="00A83F2A" w:rsidRPr="003B41CB">
        <w:rPr>
          <w:rFonts w:ascii="Arial" w:hAnsi="Arial" w:cs="Arial"/>
          <w:sz w:val="20"/>
          <w:szCs w:val="20"/>
        </w:rPr>
        <w:t xml:space="preserve">, </w:t>
      </w:r>
      <w:r w:rsidR="005E44C8" w:rsidRPr="003B41CB">
        <w:rPr>
          <w:rFonts w:ascii="Arial" w:hAnsi="Arial" w:cs="Arial"/>
          <w:sz w:val="20"/>
          <w:szCs w:val="20"/>
        </w:rPr>
        <w:t>ou encore les parents d’une enfant transgenre</w:t>
      </w:r>
      <w:r w:rsidRPr="003B41CB">
        <w:rPr>
          <w:rFonts w:ascii="Arial" w:hAnsi="Arial" w:cs="Arial"/>
          <w:sz w:val="20"/>
          <w:szCs w:val="20"/>
        </w:rPr>
        <w:t>. Cette notion</w:t>
      </w:r>
      <w:r w:rsidR="005E44C8" w:rsidRPr="003B41CB">
        <w:rPr>
          <w:rFonts w:ascii="Arial" w:hAnsi="Arial" w:cs="Arial"/>
          <w:sz w:val="20"/>
          <w:szCs w:val="20"/>
        </w:rPr>
        <w:t xml:space="preserve"> de discrimination par association</w:t>
      </w:r>
      <w:r w:rsidRPr="003B41CB">
        <w:rPr>
          <w:rFonts w:ascii="Arial" w:hAnsi="Arial" w:cs="Arial"/>
          <w:sz w:val="20"/>
          <w:szCs w:val="20"/>
        </w:rPr>
        <w:t xml:space="preserve"> n’est pas non plus couverte par la loi. </w:t>
      </w:r>
    </w:p>
    <w:p w14:paraId="3111A5A8" w14:textId="464BBA38" w:rsidR="003669F9" w:rsidRPr="003B41CB" w:rsidRDefault="00F92E33" w:rsidP="003B41CB">
      <w:pPr>
        <w:jc w:val="both"/>
        <w:rPr>
          <w:rFonts w:ascii="Arial" w:hAnsi="Arial" w:cs="Arial"/>
          <w:sz w:val="20"/>
          <w:szCs w:val="20"/>
        </w:rPr>
      </w:pPr>
      <w:r w:rsidRPr="003B41CB">
        <w:rPr>
          <w:rFonts w:ascii="Arial" w:hAnsi="Arial" w:cs="Arial"/>
          <w:sz w:val="20"/>
          <w:szCs w:val="20"/>
        </w:rPr>
        <w:t xml:space="preserve">Malgré </w:t>
      </w:r>
      <w:r w:rsidR="00812D37" w:rsidRPr="003B41CB">
        <w:rPr>
          <w:rFonts w:ascii="Arial" w:hAnsi="Arial" w:cs="Arial"/>
          <w:sz w:val="20"/>
          <w:szCs w:val="20"/>
        </w:rPr>
        <w:t>un cadre légal performant</w:t>
      </w:r>
      <w:r w:rsidRPr="003B41CB">
        <w:rPr>
          <w:rFonts w:ascii="Arial" w:hAnsi="Arial" w:cs="Arial"/>
          <w:sz w:val="20"/>
          <w:szCs w:val="20"/>
        </w:rPr>
        <w:t>, de nombreuses situations</w:t>
      </w:r>
      <w:r w:rsidR="00720975">
        <w:rPr>
          <w:rFonts w:ascii="Arial" w:hAnsi="Arial" w:cs="Arial"/>
          <w:sz w:val="20"/>
          <w:szCs w:val="20"/>
        </w:rPr>
        <w:t xml:space="preserve"> de discrimination</w:t>
      </w:r>
      <w:r w:rsidRPr="003B41CB">
        <w:rPr>
          <w:rFonts w:ascii="Arial" w:hAnsi="Arial" w:cs="Arial"/>
          <w:sz w:val="20"/>
          <w:szCs w:val="20"/>
        </w:rPr>
        <w:t xml:space="preserve"> sont </w:t>
      </w:r>
      <w:r w:rsidR="005A5B4E" w:rsidRPr="003B41CB">
        <w:rPr>
          <w:rFonts w:ascii="Arial" w:hAnsi="Arial" w:cs="Arial"/>
          <w:sz w:val="20"/>
          <w:szCs w:val="20"/>
        </w:rPr>
        <w:t xml:space="preserve">donc </w:t>
      </w:r>
      <w:r w:rsidRPr="003B41CB">
        <w:rPr>
          <w:rFonts w:ascii="Arial" w:hAnsi="Arial" w:cs="Arial"/>
          <w:sz w:val="20"/>
          <w:szCs w:val="20"/>
        </w:rPr>
        <w:t>encore imparfaitement appréhendées par le droit</w:t>
      </w:r>
      <w:r w:rsidR="007B5453" w:rsidRPr="003B41CB">
        <w:rPr>
          <w:rFonts w:ascii="Arial" w:hAnsi="Arial" w:cs="Arial"/>
          <w:sz w:val="20"/>
          <w:szCs w:val="20"/>
        </w:rPr>
        <w:t xml:space="preserve"> belge</w:t>
      </w:r>
      <w:r w:rsidRPr="003B41CB">
        <w:rPr>
          <w:rFonts w:ascii="Arial" w:hAnsi="Arial" w:cs="Arial"/>
          <w:sz w:val="20"/>
          <w:szCs w:val="20"/>
        </w:rPr>
        <w:t xml:space="preserve">. </w:t>
      </w:r>
      <w:r w:rsidR="002E6B5B" w:rsidRPr="003B41CB">
        <w:rPr>
          <w:rFonts w:ascii="Arial" w:hAnsi="Arial" w:cs="Arial"/>
          <w:sz w:val="20"/>
          <w:szCs w:val="20"/>
        </w:rPr>
        <w:t xml:space="preserve"> </w:t>
      </w:r>
      <w:r w:rsidR="003A56B5" w:rsidRPr="003B41CB">
        <w:rPr>
          <w:rFonts w:ascii="Arial" w:hAnsi="Arial" w:cs="Arial"/>
          <w:sz w:val="20"/>
          <w:szCs w:val="20"/>
        </w:rPr>
        <w:t xml:space="preserve">Tout d’abord, le silence de certains instruments légaux quant à ces notions peut entraîner </w:t>
      </w:r>
      <w:r w:rsidR="005B45F3" w:rsidRPr="003B41CB">
        <w:rPr>
          <w:rFonts w:ascii="Arial" w:hAnsi="Arial" w:cs="Arial"/>
          <w:sz w:val="20"/>
          <w:szCs w:val="20"/>
        </w:rPr>
        <w:t xml:space="preserve">des </w:t>
      </w:r>
      <w:r w:rsidR="00116C13" w:rsidRPr="003B41CB">
        <w:rPr>
          <w:rFonts w:ascii="Arial" w:hAnsi="Arial" w:cs="Arial"/>
          <w:sz w:val="20"/>
          <w:szCs w:val="20"/>
        </w:rPr>
        <w:t>incertitudes</w:t>
      </w:r>
      <w:r w:rsidR="005B45F3" w:rsidRPr="003B41CB">
        <w:rPr>
          <w:rFonts w:ascii="Arial" w:hAnsi="Arial" w:cs="Arial"/>
          <w:sz w:val="20"/>
          <w:szCs w:val="20"/>
        </w:rPr>
        <w:t xml:space="preserve"> ou des </w:t>
      </w:r>
      <w:r w:rsidR="00116C13" w:rsidRPr="003B41CB">
        <w:rPr>
          <w:rFonts w:ascii="Arial" w:hAnsi="Arial" w:cs="Arial"/>
          <w:sz w:val="20"/>
          <w:szCs w:val="20"/>
        </w:rPr>
        <w:t>ambigüités</w:t>
      </w:r>
      <w:r w:rsidR="005B45F3" w:rsidRPr="003B41CB">
        <w:rPr>
          <w:rFonts w:ascii="Arial" w:hAnsi="Arial" w:cs="Arial"/>
          <w:sz w:val="20"/>
          <w:szCs w:val="20"/>
        </w:rPr>
        <w:t xml:space="preserve"> </w:t>
      </w:r>
      <w:r w:rsidR="00244F37" w:rsidRPr="003B41CB">
        <w:rPr>
          <w:rFonts w:ascii="Arial" w:hAnsi="Arial" w:cs="Arial"/>
          <w:sz w:val="20"/>
          <w:szCs w:val="20"/>
        </w:rPr>
        <w:t xml:space="preserve">sur la manière de traiter ces </w:t>
      </w:r>
      <w:r w:rsidR="00A00520" w:rsidRPr="003B41CB">
        <w:rPr>
          <w:rFonts w:ascii="Arial" w:hAnsi="Arial" w:cs="Arial"/>
          <w:sz w:val="20"/>
          <w:szCs w:val="20"/>
        </w:rPr>
        <w:t xml:space="preserve">cas de discrimination. </w:t>
      </w:r>
    </w:p>
    <w:p w14:paraId="021C0A09" w14:textId="2B73A5BC" w:rsidR="00F92E33" w:rsidRDefault="005A5B4E" w:rsidP="003B41CB">
      <w:pPr>
        <w:jc w:val="both"/>
        <w:rPr>
          <w:rFonts w:ascii="Arial" w:hAnsi="Arial" w:cs="Arial"/>
          <w:sz w:val="20"/>
          <w:szCs w:val="20"/>
        </w:rPr>
      </w:pPr>
      <w:r w:rsidRPr="003B41CB">
        <w:rPr>
          <w:rFonts w:ascii="Arial" w:hAnsi="Arial" w:cs="Arial"/>
          <w:sz w:val="20"/>
          <w:szCs w:val="20"/>
        </w:rPr>
        <w:t>Ensuite, c</w:t>
      </w:r>
      <w:r w:rsidR="00123511" w:rsidRPr="003B41CB">
        <w:rPr>
          <w:rFonts w:ascii="Arial" w:hAnsi="Arial" w:cs="Arial"/>
          <w:sz w:val="20"/>
          <w:szCs w:val="20"/>
        </w:rPr>
        <w:t>ertaines entités fédérées ont déjà intégré ces notions dans le</w:t>
      </w:r>
      <w:r w:rsidR="00454828" w:rsidRPr="003B41CB">
        <w:rPr>
          <w:rFonts w:ascii="Arial" w:hAnsi="Arial" w:cs="Arial"/>
          <w:sz w:val="20"/>
          <w:szCs w:val="20"/>
        </w:rPr>
        <w:t>urs normes</w:t>
      </w:r>
      <w:r w:rsidR="003669F9" w:rsidRPr="003B41CB">
        <w:rPr>
          <w:rFonts w:ascii="Arial" w:hAnsi="Arial" w:cs="Arial"/>
          <w:sz w:val="20"/>
          <w:szCs w:val="20"/>
        </w:rPr>
        <w:t>,</w:t>
      </w:r>
      <w:r w:rsidR="00116C13">
        <w:rPr>
          <w:rFonts w:ascii="Arial" w:hAnsi="Arial" w:cs="Arial"/>
          <w:sz w:val="20"/>
          <w:szCs w:val="20"/>
        </w:rPr>
        <w:t xml:space="preserve"> alors que</w:t>
      </w:r>
      <w:r w:rsidR="003669F9" w:rsidRPr="003B41CB">
        <w:rPr>
          <w:rFonts w:ascii="Arial" w:hAnsi="Arial" w:cs="Arial"/>
          <w:sz w:val="20"/>
          <w:szCs w:val="20"/>
        </w:rPr>
        <w:t xml:space="preserve"> d’autres pas</w:t>
      </w:r>
      <w:r w:rsidR="00157E6E">
        <w:rPr>
          <w:rFonts w:ascii="Arial" w:hAnsi="Arial" w:cs="Arial"/>
          <w:sz w:val="20"/>
          <w:szCs w:val="20"/>
        </w:rPr>
        <w:t>,</w:t>
      </w:r>
      <w:r w:rsidR="003669F9" w:rsidRPr="003B41CB">
        <w:rPr>
          <w:rFonts w:ascii="Arial" w:hAnsi="Arial" w:cs="Arial"/>
          <w:sz w:val="20"/>
          <w:szCs w:val="20"/>
        </w:rPr>
        <w:t xml:space="preserve"> ce qui crée un cadre </w:t>
      </w:r>
      <w:r w:rsidR="00087896" w:rsidRPr="003B41CB">
        <w:rPr>
          <w:rFonts w:ascii="Arial" w:hAnsi="Arial" w:cs="Arial"/>
          <w:sz w:val="20"/>
          <w:szCs w:val="20"/>
        </w:rPr>
        <w:t xml:space="preserve">juridique </w:t>
      </w:r>
      <w:r w:rsidR="005F1F50">
        <w:rPr>
          <w:rFonts w:ascii="Arial" w:hAnsi="Arial" w:cs="Arial"/>
          <w:sz w:val="20"/>
          <w:szCs w:val="20"/>
        </w:rPr>
        <w:t>imparfait</w:t>
      </w:r>
      <w:r w:rsidR="00454828" w:rsidRPr="003B41CB">
        <w:rPr>
          <w:rFonts w:ascii="Arial" w:hAnsi="Arial" w:cs="Arial"/>
          <w:sz w:val="20"/>
          <w:szCs w:val="20"/>
        </w:rPr>
        <w:t>.</w:t>
      </w:r>
      <w:r w:rsidR="00087896" w:rsidRPr="003B41CB">
        <w:rPr>
          <w:rFonts w:ascii="Arial" w:hAnsi="Arial" w:cs="Arial"/>
          <w:sz w:val="20"/>
          <w:szCs w:val="20"/>
        </w:rPr>
        <w:t xml:space="preserve"> </w:t>
      </w:r>
      <w:r w:rsidR="00454828" w:rsidRPr="003B41CB">
        <w:rPr>
          <w:rFonts w:ascii="Arial" w:hAnsi="Arial" w:cs="Arial"/>
          <w:sz w:val="20"/>
          <w:szCs w:val="20"/>
        </w:rPr>
        <w:t xml:space="preserve"> </w:t>
      </w:r>
      <w:r w:rsidR="00484992" w:rsidRPr="003B41CB">
        <w:rPr>
          <w:rFonts w:ascii="Arial" w:hAnsi="Arial" w:cs="Arial"/>
          <w:sz w:val="20"/>
          <w:szCs w:val="20"/>
        </w:rPr>
        <w:t xml:space="preserve">L’Institut est </w:t>
      </w:r>
      <w:r w:rsidR="00FD090A" w:rsidRPr="003B41CB">
        <w:rPr>
          <w:rFonts w:ascii="Arial" w:hAnsi="Arial" w:cs="Arial"/>
          <w:sz w:val="20"/>
          <w:szCs w:val="20"/>
        </w:rPr>
        <w:t>d’</w:t>
      </w:r>
      <w:r w:rsidR="00484992" w:rsidRPr="003B41CB">
        <w:rPr>
          <w:rFonts w:ascii="Arial" w:hAnsi="Arial" w:cs="Arial"/>
          <w:sz w:val="20"/>
          <w:szCs w:val="20"/>
        </w:rPr>
        <w:t xml:space="preserve">avis que </w:t>
      </w:r>
      <w:r w:rsidR="00CF0992">
        <w:rPr>
          <w:rFonts w:ascii="Arial" w:hAnsi="Arial" w:cs="Arial"/>
          <w:sz w:val="20"/>
          <w:szCs w:val="20"/>
        </w:rPr>
        <w:t>l</w:t>
      </w:r>
      <w:r w:rsidR="00454828" w:rsidRPr="003B41CB">
        <w:rPr>
          <w:rFonts w:ascii="Arial" w:hAnsi="Arial" w:cs="Arial"/>
          <w:sz w:val="20"/>
          <w:szCs w:val="20"/>
        </w:rPr>
        <w:t xml:space="preserve">es </w:t>
      </w:r>
      <w:r w:rsidR="00CF0992">
        <w:rPr>
          <w:rFonts w:ascii="Arial" w:hAnsi="Arial" w:cs="Arial"/>
          <w:sz w:val="20"/>
          <w:szCs w:val="20"/>
        </w:rPr>
        <w:t>formes de discrimination précitées</w:t>
      </w:r>
      <w:r w:rsidR="00454828" w:rsidRPr="003B41CB">
        <w:rPr>
          <w:rFonts w:ascii="Arial" w:hAnsi="Arial" w:cs="Arial"/>
          <w:sz w:val="20"/>
          <w:szCs w:val="20"/>
        </w:rPr>
        <w:t xml:space="preserve"> </w:t>
      </w:r>
      <w:r w:rsidR="00B267BD" w:rsidRPr="003B41CB">
        <w:rPr>
          <w:rFonts w:ascii="Arial" w:hAnsi="Arial" w:cs="Arial"/>
          <w:sz w:val="20"/>
          <w:szCs w:val="20"/>
        </w:rPr>
        <w:t xml:space="preserve">devraient </w:t>
      </w:r>
      <w:r w:rsidR="00D246EB">
        <w:rPr>
          <w:rFonts w:ascii="Arial" w:hAnsi="Arial" w:cs="Arial"/>
          <w:sz w:val="20"/>
          <w:szCs w:val="20"/>
        </w:rPr>
        <w:t>être prohibées dans</w:t>
      </w:r>
      <w:r w:rsidR="00B267BD" w:rsidRPr="003B41CB">
        <w:rPr>
          <w:rFonts w:ascii="Arial" w:hAnsi="Arial" w:cs="Arial"/>
          <w:sz w:val="20"/>
          <w:szCs w:val="20"/>
        </w:rPr>
        <w:t xml:space="preserve"> l’ensemble des domaines de compétences</w:t>
      </w:r>
      <w:r w:rsidR="00E84BAF" w:rsidRPr="003B41CB">
        <w:rPr>
          <w:rFonts w:ascii="Arial" w:hAnsi="Arial" w:cs="Arial"/>
          <w:sz w:val="20"/>
          <w:szCs w:val="20"/>
        </w:rPr>
        <w:t xml:space="preserve"> en Belgique. </w:t>
      </w:r>
      <w:r w:rsidR="00484992" w:rsidRPr="003B41CB">
        <w:rPr>
          <w:rFonts w:ascii="Arial" w:hAnsi="Arial" w:cs="Arial"/>
          <w:sz w:val="20"/>
          <w:szCs w:val="20"/>
        </w:rPr>
        <w:t>Une</w:t>
      </w:r>
      <w:r w:rsidR="008C3C8C" w:rsidRPr="003B41CB">
        <w:rPr>
          <w:rFonts w:ascii="Arial" w:hAnsi="Arial" w:cs="Arial"/>
          <w:sz w:val="20"/>
          <w:szCs w:val="20"/>
        </w:rPr>
        <w:t xml:space="preserve"> harmonisation</w:t>
      </w:r>
      <w:r w:rsidR="00484992" w:rsidRPr="003B41CB">
        <w:rPr>
          <w:rFonts w:ascii="Arial" w:hAnsi="Arial" w:cs="Arial"/>
          <w:sz w:val="20"/>
          <w:szCs w:val="20"/>
        </w:rPr>
        <w:t xml:space="preserve"> des normes donnerait davantage de sécurité juridique au</w:t>
      </w:r>
      <w:r w:rsidR="004D15B1" w:rsidRPr="003B41CB">
        <w:rPr>
          <w:rFonts w:ascii="Arial" w:hAnsi="Arial" w:cs="Arial"/>
          <w:sz w:val="20"/>
          <w:szCs w:val="20"/>
        </w:rPr>
        <w:t>x</w:t>
      </w:r>
      <w:r w:rsidR="00484992" w:rsidRPr="003B41CB">
        <w:rPr>
          <w:rFonts w:ascii="Arial" w:hAnsi="Arial" w:cs="Arial"/>
          <w:sz w:val="20"/>
          <w:szCs w:val="20"/>
        </w:rPr>
        <w:t xml:space="preserve"> victimes et</w:t>
      </w:r>
      <w:r w:rsidR="008C3C8C" w:rsidRPr="003B41CB">
        <w:rPr>
          <w:rFonts w:ascii="Arial" w:hAnsi="Arial" w:cs="Arial"/>
          <w:sz w:val="20"/>
          <w:szCs w:val="20"/>
        </w:rPr>
        <w:t xml:space="preserve"> permettrait également d’éviter le développement de jurisprudences divergentes sur ce</w:t>
      </w:r>
      <w:r w:rsidR="009D67C7" w:rsidRPr="003B41CB">
        <w:rPr>
          <w:rFonts w:ascii="Arial" w:hAnsi="Arial" w:cs="Arial"/>
          <w:sz w:val="20"/>
          <w:szCs w:val="20"/>
        </w:rPr>
        <w:t xml:space="preserve"> type de discriminations</w:t>
      </w:r>
      <w:r w:rsidR="008C3C8C" w:rsidRPr="003B41CB">
        <w:rPr>
          <w:rFonts w:ascii="Arial" w:hAnsi="Arial" w:cs="Arial"/>
          <w:sz w:val="20"/>
          <w:szCs w:val="20"/>
        </w:rPr>
        <w:t>.</w:t>
      </w:r>
    </w:p>
    <w:p w14:paraId="0EA9EDC6" w14:textId="77777777" w:rsidR="0020310B" w:rsidRPr="003B41CB" w:rsidRDefault="0020310B" w:rsidP="003B41CB">
      <w:pPr>
        <w:jc w:val="both"/>
        <w:rPr>
          <w:rFonts w:ascii="Arial" w:hAnsi="Arial" w:cs="Arial"/>
          <w:sz w:val="20"/>
          <w:szCs w:val="20"/>
        </w:rPr>
      </w:pPr>
    </w:p>
    <w:p w14:paraId="19FB8120" w14:textId="77777777" w:rsidR="00E17EC3" w:rsidRPr="003B41CB" w:rsidRDefault="00F92E33"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B41CB">
        <w:rPr>
          <w:rFonts w:ascii="Arial" w:hAnsi="Arial" w:cs="Arial"/>
          <w:sz w:val="20"/>
          <w:szCs w:val="20"/>
        </w:rPr>
        <w:t xml:space="preserve">Recommandation : </w:t>
      </w:r>
    </w:p>
    <w:p w14:paraId="08B9AC47" w14:textId="47679D46" w:rsidR="00F92E33" w:rsidRPr="003B41CB" w:rsidRDefault="0035769F"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B41CB">
        <w:rPr>
          <w:rFonts w:ascii="Arial" w:hAnsi="Arial" w:cs="Arial"/>
          <w:sz w:val="20"/>
          <w:szCs w:val="20"/>
        </w:rPr>
        <w:t>I</w:t>
      </w:r>
      <w:r w:rsidR="00F92E33" w:rsidRPr="003B41CB">
        <w:rPr>
          <w:rFonts w:ascii="Arial" w:hAnsi="Arial" w:cs="Arial"/>
          <w:sz w:val="20"/>
          <w:szCs w:val="20"/>
        </w:rPr>
        <w:t xml:space="preserve">nclure les notions de discrimination multiple, </w:t>
      </w:r>
      <w:r w:rsidRPr="003B41CB">
        <w:rPr>
          <w:rFonts w:ascii="Arial" w:hAnsi="Arial" w:cs="Arial"/>
          <w:sz w:val="20"/>
          <w:szCs w:val="20"/>
        </w:rPr>
        <w:t xml:space="preserve">de </w:t>
      </w:r>
      <w:r w:rsidR="00F92E33" w:rsidRPr="003B41CB">
        <w:rPr>
          <w:rFonts w:ascii="Arial" w:hAnsi="Arial" w:cs="Arial"/>
          <w:sz w:val="20"/>
          <w:szCs w:val="20"/>
        </w:rPr>
        <w:t>discrimination intersectionnelle et de discrimination par association dans la Loi Genre afin de protéger un maximum de femmes et afin d’accroître l’effectivité de la protection qu</w:t>
      </w:r>
      <w:r w:rsidR="00324755" w:rsidRPr="003B41CB">
        <w:rPr>
          <w:rFonts w:ascii="Arial" w:hAnsi="Arial" w:cs="Arial"/>
          <w:sz w:val="20"/>
          <w:szCs w:val="20"/>
        </w:rPr>
        <w:t xml:space="preserve">e cette loi </w:t>
      </w:r>
      <w:r w:rsidR="00F92E33" w:rsidRPr="003B41CB">
        <w:rPr>
          <w:rFonts w:ascii="Arial" w:hAnsi="Arial" w:cs="Arial"/>
          <w:sz w:val="20"/>
          <w:szCs w:val="20"/>
        </w:rPr>
        <w:t xml:space="preserve">offre aux victimes de telles discriminations </w:t>
      </w:r>
    </w:p>
    <w:p w14:paraId="5612CB54" w14:textId="3ACB8AF0" w:rsidR="00F92E33" w:rsidRDefault="00F92E33"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B41CB">
        <w:rPr>
          <w:rFonts w:ascii="Arial" w:hAnsi="Arial" w:cs="Arial"/>
          <w:sz w:val="20"/>
          <w:szCs w:val="20"/>
        </w:rPr>
        <w:t xml:space="preserve">Veiller à harmoniser l’ensemble des dispositions légales et décrétales sur ce point </w:t>
      </w:r>
    </w:p>
    <w:p w14:paraId="2D9DFCFF" w14:textId="5646C369" w:rsidR="00930000" w:rsidRPr="003B41CB" w:rsidRDefault="004300C1"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Veiller à informer le public et les professionnels du droit des modifications légales apportées </w:t>
      </w:r>
    </w:p>
    <w:p w14:paraId="5EE029ED" w14:textId="40469B3A" w:rsidR="003C704A" w:rsidRDefault="003C704A" w:rsidP="003B41CB">
      <w:pPr>
        <w:jc w:val="both"/>
        <w:rPr>
          <w:rFonts w:ascii="Arial" w:hAnsi="Arial" w:cs="Arial"/>
          <w:sz w:val="20"/>
          <w:szCs w:val="20"/>
        </w:rPr>
      </w:pPr>
    </w:p>
    <w:p w14:paraId="0A4F4074" w14:textId="795E3C48" w:rsidR="00DB2725" w:rsidRPr="00DB2725" w:rsidRDefault="00DB2725" w:rsidP="00DB2725">
      <w:pPr>
        <w:jc w:val="both"/>
        <w:rPr>
          <w:rFonts w:ascii="Arial" w:hAnsi="Arial" w:cs="Arial"/>
          <w:sz w:val="20"/>
          <w:szCs w:val="20"/>
        </w:rPr>
      </w:pPr>
      <w:r>
        <w:rPr>
          <w:rFonts w:ascii="Arial" w:hAnsi="Arial" w:cs="Arial"/>
          <w:sz w:val="20"/>
          <w:szCs w:val="20"/>
        </w:rPr>
        <w:t>En outre, l</w:t>
      </w:r>
      <w:r w:rsidRPr="00DB2725">
        <w:rPr>
          <w:rFonts w:ascii="Arial" w:hAnsi="Arial" w:cs="Arial"/>
          <w:sz w:val="20"/>
          <w:szCs w:val="20"/>
        </w:rPr>
        <w:t xml:space="preserve">a jurisprudence n’est pas systématiquement publiée en Belgique. La Documentation de base de l’Institut vise à recenser les affaires traitant la question de la discrimination de genre. La COL 13 prévoit un mécanisme de transmission des copies des jugements en matière de discriminations, discours de haine et de délits de haine. </w:t>
      </w:r>
    </w:p>
    <w:p w14:paraId="1D6849EE" w14:textId="77777777" w:rsidR="00DB2725" w:rsidRPr="00DB2725" w:rsidRDefault="00DB2725" w:rsidP="00DB2725">
      <w:pPr>
        <w:jc w:val="both"/>
        <w:rPr>
          <w:rFonts w:ascii="Arial" w:hAnsi="Arial" w:cs="Arial"/>
          <w:sz w:val="20"/>
          <w:szCs w:val="20"/>
        </w:rPr>
      </w:pPr>
      <w:r w:rsidRPr="00DB2725">
        <w:rPr>
          <w:rFonts w:ascii="Arial" w:hAnsi="Arial" w:cs="Arial"/>
          <w:sz w:val="20"/>
          <w:szCs w:val="20"/>
        </w:rPr>
        <w:t xml:space="preserve">Ces mécanismes sont insuffisants pour permettre à l’Institut d’analyser en profondeur la jurisprudence en matière de non-discrimination, et de délits de haine. </w:t>
      </w:r>
    </w:p>
    <w:p w14:paraId="44E8F43F" w14:textId="77777777" w:rsidR="00DB2725" w:rsidRPr="00DB2725" w:rsidRDefault="00DB2725" w:rsidP="00DB2725">
      <w:pPr>
        <w:jc w:val="both"/>
        <w:rPr>
          <w:rFonts w:ascii="Arial" w:hAnsi="Arial" w:cs="Arial"/>
          <w:sz w:val="20"/>
          <w:szCs w:val="20"/>
        </w:rPr>
      </w:pPr>
      <w:r w:rsidRPr="00DB2725">
        <w:rPr>
          <w:rFonts w:ascii="Arial" w:hAnsi="Arial" w:cs="Arial"/>
          <w:sz w:val="20"/>
          <w:szCs w:val="20"/>
        </w:rPr>
        <w:t>Pour affiner les informations et les données sur la situation des droits fondamentaux des femmes victimes de discrimination en Belgique, une information méthodique du contentieux de l’égalité et de la non-discrimination pourrait permettre un traitement et une analyse systématiques de la jurisprudence. Un tel mécanisme permettrait d’une part de détecter les difficultés et lacunes dans l’utilisation et l’interprétation de la loi par les juges et d’autre part, par une évaluation approfondie, de détecter les améliorations à apporter à la loi pour qu’elle produise au mieux les effets recherchés sur les situations qu’elle entend couvrir.</w:t>
      </w:r>
    </w:p>
    <w:p w14:paraId="37EEE4FC" w14:textId="77777777" w:rsidR="00DB2725" w:rsidRPr="00DB2725" w:rsidRDefault="00DB2725" w:rsidP="00DB2725">
      <w:pPr>
        <w:jc w:val="both"/>
        <w:rPr>
          <w:rFonts w:ascii="Arial" w:hAnsi="Arial" w:cs="Arial"/>
          <w:sz w:val="20"/>
          <w:szCs w:val="20"/>
        </w:rPr>
      </w:pPr>
    </w:p>
    <w:p w14:paraId="62D3780D" w14:textId="77777777" w:rsidR="00DB2725" w:rsidRPr="00DB2725" w:rsidRDefault="00DB2725" w:rsidP="00BC4F3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B2725">
        <w:rPr>
          <w:rFonts w:ascii="Arial" w:hAnsi="Arial" w:cs="Arial"/>
          <w:sz w:val="20"/>
          <w:szCs w:val="20"/>
        </w:rPr>
        <w:t xml:space="preserve">Recommandation : </w:t>
      </w:r>
    </w:p>
    <w:p w14:paraId="65B18920" w14:textId="77777777" w:rsidR="00DB2725" w:rsidRPr="00DB2725" w:rsidRDefault="00DB2725" w:rsidP="00BC4F3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B2725">
        <w:rPr>
          <w:rFonts w:ascii="Arial" w:hAnsi="Arial" w:cs="Arial"/>
          <w:sz w:val="20"/>
          <w:szCs w:val="20"/>
        </w:rPr>
        <w:t>Prévoir dans la loi Genre un mécanisme de communication systématique de la jurisprudence à l’Institut</w:t>
      </w:r>
    </w:p>
    <w:p w14:paraId="66E67ADF" w14:textId="77777777" w:rsidR="00DB2725" w:rsidRPr="00DB2725" w:rsidRDefault="00DB2725" w:rsidP="00BC4F3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B2725">
        <w:rPr>
          <w:rFonts w:ascii="Arial" w:hAnsi="Arial" w:cs="Arial"/>
          <w:sz w:val="20"/>
          <w:szCs w:val="20"/>
        </w:rPr>
        <w:t xml:space="preserve"> </w:t>
      </w:r>
    </w:p>
    <w:p w14:paraId="01BE5261" w14:textId="441AE1A9" w:rsidR="00E661AA" w:rsidRDefault="00E661AA" w:rsidP="003B41CB">
      <w:pPr>
        <w:jc w:val="both"/>
        <w:rPr>
          <w:rFonts w:ascii="Arial" w:hAnsi="Arial" w:cs="Arial"/>
          <w:sz w:val="20"/>
          <w:szCs w:val="20"/>
        </w:rPr>
      </w:pPr>
    </w:p>
    <w:p w14:paraId="564FF180" w14:textId="5AACC904" w:rsidR="00CF287F" w:rsidRDefault="00CF287F" w:rsidP="003B41CB">
      <w:pPr>
        <w:jc w:val="both"/>
        <w:rPr>
          <w:rFonts w:ascii="Arial" w:hAnsi="Arial" w:cs="Arial"/>
          <w:sz w:val="20"/>
          <w:szCs w:val="20"/>
        </w:rPr>
      </w:pPr>
    </w:p>
    <w:p w14:paraId="31A877B2" w14:textId="2704A7F4" w:rsidR="00F54A16" w:rsidRDefault="00F54A16" w:rsidP="003B41CB">
      <w:pPr>
        <w:jc w:val="both"/>
        <w:rPr>
          <w:rFonts w:ascii="Arial" w:hAnsi="Arial" w:cs="Arial"/>
          <w:sz w:val="20"/>
          <w:szCs w:val="20"/>
        </w:rPr>
      </w:pPr>
    </w:p>
    <w:p w14:paraId="78AC0FA2" w14:textId="77777777" w:rsidR="00F54A16" w:rsidRPr="003B41CB" w:rsidRDefault="00F54A16" w:rsidP="003B41CB">
      <w:pPr>
        <w:jc w:val="both"/>
        <w:rPr>
          <w:rFonts w:ascii="Arial" w:hAnsi="Arial" w:cs="Arial"/>
          <w:sz w:val="20"/>
          <w:szCs w:val="20"/>
        </w:rPr>
      </w:pPr>
    </w:p>
    <w:p w14:paraId="4EDEBC5A" w14:textId="7FB46D6F" w:rsidR="00110BF7" w:rsidRPr="003B41CB" w:rsidRDefault="00952ACA" w:rsidP="003B41CB">
      <w:pPr>
        <w:jc w:val="both"/>
        <w:rPr>
          <w:rFonts w:ascii="Arial" w:hAnsi="Arial" w:cs="Arial"/>
          <w:sz w:val="20"/>
          <w:szCs w:val="20"/>
          <w:u w:val="single"/>
        </w:rPr>
      </w:pPr>
      <w:r w:rsidRPr="003B41CB">
        <w:rPr>
          <w:rFonts w:ascii="Arial" w:hAnsi="Arial" w:cs="Arial"/>
          <w:sz w:val="20"/>
          <w:szCs w:val="20"/>
          <w:u w:val="single"/>
        </w:rPr>
        <w:lastRenderedPageBreak/>
        <w:t>Point</w:t>
      </w:r>
      <w:r w:rsidR="00F41A76" w:rsidRPr="003B41CB">
        <w:rPr>
          <w:rFonts w:ascii="Arial" w:hAnsi="Arial" w:cs="Arial"/>
          <w:sz w:val="20"/>
          <w:szCs w:val="20"/>
          <w:u w:val="single"/>
        </w:rPr>
        <w:t xml:space="preserve"> 7 - </w:t>
      </w:r>
      <w:r w:rsidR="00F96557" w:rsidRPr="003B41CB">
        <w:rPr>
          <w:rFonts w:ascii="Arial" w:hAnsi="Arial" w:cs="Arial"/>
          <w:sz w:val="20"/>
          <w:szCs w:val="20"/>
          <w:u w:val="single"/>
        </w:rPr>
        <w:t xml:space="preserve">Stéréotypes et pratiques préjudiciables </w:t>
      </w:r>
    </w:p>
    <w:p w14:paraId="5DA240A4" w14:textId="5CCAEFAD" w:rsidR="00F96557" w:rsidRPr="003B41CB" w:rsidRDefault="00F96557" w:rsidP="003B41CB">
      <w:pPr>
        <w:jc w:val="both"/>
        <w:rPr>
          <w:rFonts w:ascii="Arial" w:hAnsi="Arial" w:cs="Arial"/>
          <w:sz w:val="20"/>
          <w:szCs w:val="20"/>
        </w:rPr>
      </w:pPr>
      <w:r w:rsidRPr="003B41CB">
        <w:rPr>
          <w:rFonts w:ascii="Arial" w:hAnsi="Arial" w:cs="Arial"/>
          <w:sz w:val="20"/>
          <w:szCs w:val="20"/>
        </w:rPr>
        <w:t xml:space="preserve">La loi du 22 mai 2014 tendant à lutter contre le sexisme dans l’espace public a certainement constitué une avancée législative importante. </w:t>
      </w:r>
    </w:p>
    <w:p w14:paraId="70599E2E" w14:textId="58824B4D" w:rsidR="008E50A2" w:rsidRPr="003B41CB" w:rsidRDefault="008E50A2" w:rsidP="003B41CB">
      <w:pPr>
        <w:jc w:val="both"/>
        <w:rPr>
          <w:rFonts w:ascii="Arial" w:hAnsi="Arial" w:cs="Arial"/>
          <w:sz w:val="20"/>
          <w:szCs w:val="20"/>
        </w:rPr>
      </w:pPr>
      <w:r w:rsidRPr="003B41CB">
        <w:rPr>
          <w:rFonts w:ascii="Arial" w:hAnsi="Arial" w:cs="Arial"/>
          <w:sz w:val="20"/>
          <w:szCs w:val="20"/>
        </w:rPr>
        <w:t>Cette législation offre à la victime de sexisme la possibilité de</w:t>
      </w:r>
      <w:r w:rsidR="00D52E74" w:rsidRPr="003B41CB">
        <w:rPr>
          <w:rFonts w:ascii="Arial" w:hAnsi="Arial" w:cs="Arial"/>
          <w:sz w:val="20"/>
          <w:szCs w:val="20"/>
        </w:rPr>
        <w:t xml:space="preserve"> déposer plainte à la police ou auprès de l’Institut. Les si</w:t>
      </w:r>
      <w:r w:rsidR="000831F1" w:rsidRPr="003B41CB">
        <w:rPr>
          <w:rFonts w:ascii="Arial" w:hAnsi="Arial" w:cs="Arial"/>
          <w:sz w:val="20"/>
          <w:szCs w:val="20"/>
        </w:rPr>
        <w:t>gnalements adressés à l’Institut n’ont cessé d’augmenter au cours de ces dernières années</w:t>
      </w:r>
      <w:r w:rsidR="00F43D75" w:rsidRPr="003B41CB">
        <w:rPr>
          <w:rFonts w:ascii="Arial" w:hAnsi="Arial" w:cs="Arial"/>
          <w:sz w:val="20"/>
          <w:szCs w:val="20"/>
        </w:rPr>
        <w:t xml:space="preserve"> et l</w:t>
      </w:r>
      <w:r w:rsidR="00395728" w:rsidRPr="003B41CB">
        <w:rPr>
          <w:rFonts w:ascii="Arial" w:hAnsi="Arial" w:cs="Arial"/>
          <w:sz w:val="20"/>
          <w:szCs w:val="20"/>
        </w:rPr>
        <w:t>’Institut a</w:t>
      </w:r>
      <w:r w:rsidR="00F43D75" w:rsidRPr="003B41CB">
        <w:rPr>
          <w:rFonts w:ascii="Arial" w:hAnsi="Arial" w:cs="Arial"/>
          <w:sz w:val="20"/>
          <w:szCs w:val="20"/>
        </w:rPr>
        <w:t xml:space="preserve"> </w:t>
      </w:r>
      <w:r w:rsidR="00395728" w:rsidRPr="003B41CB">
        <w:rPr>
          <w:rFonts w:ascii="Arial" w:hAnsi="Arial" w:cs="Arial"/>
          <w:sz w:val="20"/>
          <w:szCs w:val="20"/>
        </w:rPr>
        <w:t>déployé de nombreux efforts pour faire connaître cette loi</w:t>
      </w:r>
      <w:r w:rsidR="006D37CB" w:rsidRPr="003B41CB">
        <w:rPr>
          <w:rFonts w:ascii="Arial" w:hAnsi="Arial" w:cs="Arial"/>
          <w:sz w:val="20"/>
          <w:szCs w:val="20"/>
        </w:rPr>
        <w:t xml:space="preserve"> auprès du public et auprès des policiers et magistrats</w:t>
      </w:r>
      <w:r w:rsidR="00310146" w:rsidRPr="003B41CB">
        <w:rPr>
          <w:rFonts w:ascii="Arial" w:hAnsi="Arial" w:cs="Arial"/>
          <w:sz w:val="20"/>
          <w:szCs w:val="20"/>
        </w:rPr>
        <w:t xml:space="preserve">. </w:t>
      </w:r>
    </w:p>
    <w:p w14:paraId="5E899DAE" w14:textId="1BF75052" w:rsidR="00F96557" w:rsidRPr="003B41CB" w:rsidRDefault="00F96557" w:rsidP="003B41CB">
      <w:pPr>
        <w:jc w:val="both"/>
        <w:rPr>
          <w:rFonts w:ascii="Arial" w:hAnsi="Arial" w:cs="Arial"/>
          <w:sz w:val="20"/>
          <w:szCs w:val="20"/>
        </w:rPr>
      </w:pPr>
      <w:r w:rsidRPr="003B41CB">
        <w:rPr>
          <w:rFonts w:ascii="Arial" w:hAnsi="Arial" w:cs="Arial"/>
          <w:sz w:val="20"/>
          <w:szCs w:val="20"/>
        </w:rPr>
        <w:t>Toutefois</w:t>
      </w:r>
      <w:r w:rsidR="00310146" w:rsidRPr="003B41CB">
        <w:rPr>
          <w:rFonts w:ascii="Arial" w:hAnsi="Arial" w:cs="Arial"/>
          <w:sz w:val="20"/>
          <w:szCs w:val="20"/>
        </w:rPr>
        <w:t>, le sexisme demeure présent</w:t>
      </w:r>
      <w:r w:rsidR="00A87B31" w:rsidRPr="003B41CB">
        <w:rPr>
          <w:rFonts w:ascii="Arial" w:hAnsi="Arial" w:cs="Arial"/>
          <w:sz w:val="20"/>
          <w:szCs w:val="20"/>
        </w:rPr>
        <w:t xml:space="preserve"> dans la société</w:t>
      </w:r>
      <w:r w:rsidR="00E661AA">
        <w:rPr>
          <w:rFonts w:ascii="Arial" w:hAnsi="Arial" w:cs="Arial"/>
          <w:sz w:val="20"/>
          <w:szCs w:val="20"/>
        </w:rPr>
        <w:t>. L</w:t>
      </w:r>
      <w:r w:rsidR="00A87B31" w:rsidRPr="003B41CB">
        <w:rPr>
          <w:rFonts w:ascii="Arial" w:hAnsi="Arial" w:cs="Arial"/>
          <w:sz w:val="20"/>
          <w:szCs w:val="20"/>
        </w:rPr>
        <w:t xml:space="preserve">’amélioration de </w:t>
      </w:r>
      <w:r w:rsidR="006E24E5" w:rsidRPr="003B41CB">
        <w:rPr>
          <w:rFonts w:ascii="Arial" w:hAnsi="Arial" w:cs="Arial"/>
          <w:sz w:val="20"/>
          <w:szCs w:val="20"/>
        </w:rPr>
        <w:t xml:space="preserve">la loi </w:t>
      </w:r>
      <w:r w:rsidR="000D40F9" w:rsidRPr="003B41CB">
        <w:rPr>
          <w:rFonts w:ascii="Arial" w:hAnsi="Arial" w:cs="Arial"/>
          <w:sz w:val="20"/>
          <w:szCs w:val="20"/>
        </w:rPr>
        <w:t>sexisme constitue un levier</w:t>
      </w:r>
      <w:r w:rsidR="0041284A" w:rsidRPr="003B41CB">
        <w:rPr>
          <w:rFonts w:ascii="Arial" w:hAnsi="Arial" w:cs="Arial"/>
          <w:sz w:val="20"/>
          <w:szCs w:val="20"/>
        </w:rPr>
        <w:t xml:space="preserve"> important</w:t>
      </w:r>
      <w:r w:rsidR="006E24E5" w:rsidRPr="003B41CB">
        <w:rPr>
          <w:rFonts w:ascii="Arial" w:hAnsi="Arial" w:cs="Arial"/>
          <w:sz w:val="20"/>
          <w:szCs w:val="20"/>
        </w:rPr>
        <w:t xml:space="preserve"> pour appréhender </w:t>
      </w:r>
      <w:r w:rsidR="00DF2F83" w:rsidRPr="003B41CB">
        <w:rPr>
          <w:rFonts w:ascii="Arial" w:hAnsi="Arial" w:cs="Arial"/>
          <w:sz w:val="20"/>
          <w:szCs w:val="20"/>
        </w:rPr>
        <w:t xml:space="preserve">les faits de sexisme. </w:t>
      </w:r>
      <w:r w:rsidRPr="003B41CB">
        <w:rPr>
          <w:rFonts w:ascii="Arial" w:hAnsi="Arial" w:cs="Arial"/>
          <w:sz w:val="20"/>
          <w:szCs w:val="20"/>
        </w:rPr>
        <w:t xml:space="preserve"> </w:t>
      </w:r>
    </w:p>
    <w:p w14:paraId="64185D73" w14:textId="77777777" w:rsidR="000D63A4" w:rsidRDefault="00943753" w:rsidP="003B41CB">
      <w:pPr>
        <w:jc w:val="both"/>
        <w:rPr>
          <w:rFonts w:ascii="Arial" w:hAnsi="Arial" w:cs="Arial"/>
          <w:sz w:val="20"/>
          <w:szCs w:val="20"/>
        </w:rPr>
      </w:pPr>
      <w:r w:rsidRPr="003B41CB">
        <w:rPr>
          <w:rFonts w:ascii="Arial" w:hAnsi="Arial" w:cs="Arial"/>
          <w:sz w:val="20"/>
          <w:szCs w:val="20"/>
        </w:rPr>
        <w:t xml:space="preserve">L’analyse des plaintes reçues par l’Institut et des jugements rendus sur base de cette loi, montrent que plusieurs obstacles </w:t>
      </w:r>
      <w:r w:rsidR="00363AF9" w:rsidRPr="003B41CB">
        <w:rPr>
          <w:rFonts w:ascii="Arial" w:hAnsi="Arial" w:cs="Arial"/>
          <w:sz w:val="20"/>
          <w:szCs w:val="20"/>
        </w:rPr>
        <w:t>restent à lever pour lui donner sa pleine eff</w:t>
      </w:r>
      <w:r w:rsidR="001276A9" w:rsidRPr="003B41CB">
        <w:rPr>
          <w:rFonts w:ascii="Arial" w:hAnsi="Arial" w:cs="Arial"/>
          <w:sz w:val="20"/>
          <w:szCs w:val="20"/>
        </w:rPr>
        <w:t>ectivité</w:t>
      </w:r>
      <w:r w:rsidR="00363AF9" w:rsidRPr="003B41CB">
        <w:rPr>
          <w:rFonts w:ascii="Arial" w:hAnsi="Arial" w:cs="Arial"/>
          <w:sz w:val="20"/>
          <w:szCs w:val="20"/>
        </w:rPr>
        <w:t xml:space="preserve">. Par exemple, </w:t>
      </w:r>
      <w:r w:rsidR="00F16403" w:rsidRPr="003B41CB">
        <w:rPr>
          <w:rFonts w:ascii="Arial" w:hAnsi="Arial" w:cs="Arial"/>
          <w:sz w:val="20"/>
          <w:szCs w:val="20"/>
        </w:rPr>
        <w:t xml:space="preserve">il appartient à la victime de prouver le geste ou le comportement sexiste. S’agissant </w:t>
      </w:r>
      <w:r w:rsidR="000F4951" w:rsidRPr="003B41CB">
        <w:rPr>
          <w:rFonts w:ascii="Arial" w:hAnsi="Arial" w:cs="Arial"/>
          <w:sz w:val="20"/>
          <w:szCs w:val="20"/>
        </w:rPr>
        <w:t xml:space="preserve">de propos ou de gestes, il est souvent difficile de prouver ces faits. </w:t>
      </w:r>
    </w:p>
    <w:p w14:paraId="568DAD2B" w14:textId="6467258C" w:rsidR="00943753" w:rsidRPr="003B41CB" w:rsidRDefault="00111740" w:rsidP="003B41CB">
      <w:pPr>
        <w:jc w:val="both"/>
        <w:rPr>
          <w:rFonts w:ascii="Arial" w:hAnsi="Arial" w:cs="Arial"/>
          <w:sz w:val="20"/>
          <w:szCs w:val="20"/>
        </w:rPr>
      </w:pPr>
      <w:r w:rsidRPr="003B41CB">
        <w:rPr>
          <w:rFonts w:ascii="Arial" w:hAnsi="Arial" w:cs="Arial"/>
          <w:sz w:val="20"/>
          <w:szCs w:val="20"/>
        </w:rPr>
        <w:t>Des clarifications pourraient aussi être apportés quant aux formes de sexisme appréhendées</w:t>
      </w:r>
      <w:r w:rsidR="00A4690C" w:rsidRPr="003B41CB">
        <w:rPr>
          <w:rFonts w:ascii="Arial" w:hAnsi="Arial" w:cs="Arial"/>
          <w:sz w:val="20"/>
          <w:szCs w:val="20"/>
        </w:rPr>
        <w:t xml:space="preserve"> par la loi</w:t>
      </w:r>
      <w:r w:rsidRPr="003B41CB">
        <w:rPr>
          <w:rFonts w:ascii="Arial" w:hAnsi="Arial" w:cs="Arial"/>
          <w:sz w:val="20"/>
          <w:szCs w:val="20"/>
        </w:rPr>
        <w:t xml:space="preserve">. </w:t>
      </w:r>
      <w:r w:rsidR="00943753" w:rsidRPr="003B41CB">
        <w:rPr>
          <w:rFonts w:ascii="Arial" w:hAnsi="Arial" w:cs="Arial"/>
          <w:sz w:val="20"/>
          <w:szCs w:val="20"/>
        </w:rPr>
        <w:t xml:space="preserve"> </w:t>
      </w:r>
    </w:p>
    <w:p w14:paraId="39BF183E" w14:textId="7311D252" w:rsidR="00F96557" w:rsidRPr="003B41CB" w:rsidRDefault="00F96557" w:rsidP="003B41CB">
      <w:pPr>
        <w:jc w:val="both"/>
        <w:rPr>
          <w:rFonts w:ascii="Arial" w:hAnsi="Arial" w:cs="Arial"/>
          <w:sz w:val="20"/>
          <w:szCs w:val="20"/>
        </w:rPr>
      </w:pPr>
    </w:p>
    <w:p w14:paraId="3326A346" w14:textId="0D354EEB" w:rsidR="000D63A4" w:rsidRDefault="00F96557"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B41CB">
        <w:rPr>
          <w:rFonts w:ascii="Arial" w:hAnsi="Arial" w:cs="Arial"/>
          <w:sz w:val="20"/>
          <w:szCs w:val="20"/>
        </w:rPr>
        <w:t xml:space="preserve">Recommandation : </w:t>
      </w:r>
    </w:p>
    <w:p w14:paraId="0DBE7ECA" w14:textId="4DCE9867" w:rsidR="00F96557" w:rsidRDefault="000D63A4"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P</w:t>
      </w:r>
      <w:r w:rsidR="00F96557" w:rsidRPr="003B41CB">
        <w:rPr>
          <w:rFonts w:ascii="Arial" w:hAnsi="Arial" w:cs="Arial"/>
          <w:sz w:val="20"/>
          <w:szCs w:val="20"/>
        </w:rPr>
        <w:t xml:space="preserve">rocéder à l’évaluation </w:t>
      </w:r>
      <w:r>
        <w:rPr>
          <w:rFonts w:ascii="Arial" w:hAnsi="Arial" w:cs="Arial"/>
          <w:sz w:val="20"/>
          <w:szCs w:val="20"/>
        </w:rPr>
        <w:t xml:space="preserve">et la modification </w:t>
      </w:r>
      <w:r w:rsidR="00F96557" w:rsidRPr="003B41CB">
        <w:rPr>
          <w:rFonts w:ascii="Arial" w:hAnsi="Arial" w:cs="Arial"/>
          <w:sz w:val="20"/>
          <w:szCs w:val="20"/>
        </w:rPr>
        <w:t xml:space="preserve">de la Loi Sexisme </w:t>
      </w:r>
      <w:r w:rsidR="00704CCE" w:rsidRPr="003B41CB">
        <w:rPr>
          <w:rFonts w:ascii="Arial" w:hAnsi="Arial" w:cs="Arial"/>
          <w:sz w:val="20"/>
          <w:szCs w:val="20"/>
        </w:rPr>
        <w:t>en vue d’accroitre son e</w:t>
      </w:r>
      <w:r w:rsidR="00665B76" w:rsidRPr="003B41CB">
        <w:rPr>
          <w:rFonts w:ascii="Arial" w:hAnsi="Arial" w:cs="Arial"/>
          <w:sz w:val="20"/>
          <w:szCs w:val="20"/>
        </w:rPr>
        <w:t xml:space="preserve">ffectivité </w:t>
      </w:r>
    </w:p>
    <w:p w14:paraId="09B98F33" w14:textId="77777777" w:rsidR="000D63A4" w:rsidRPr="003B41CB" w:rsidRDefault="000D63A4" w:rsidP="003B41CB">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17B4588" w14:textId="77777777" w:rsidR="002362EB" w:rsidRPr="003B41CB" w:rsidRDefault="002362EB" w:rsidP="003B41CB">
      <w:pPr>
        <w:jc w:val="both"/>
        <w:rPr>
          <w:rFonts w:ascii="Arial" w:hAnsi="Arial" w:cs="Arial"/>
          <w:sz w:val="20"/>
          <w:szCs w:val="20"/>
        </w:rPr>
      </w:pPr>
    </w:p>
    <w:sectPr w:rsidR="002362EB" w:rsidRPr="003B41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14FE" w14:textId="77777777" w:rsidR="002C643B" w:rsidRDefault="002C643B" w:rsidP="004B1C5F">
      <w:pPr>
        <w:spacing w:after="0" w:line="240" w:lineRule="auto"/>
      </w:pPr>
      <w:r>
        <w:separator/>
      </w:r>
    </w:p>
  </w:endnote>
  <w:endnote w:type="continuationSeparator" w:id="0">
    <w:p w14:paraId="5F73B7CD" w14:textId="77777777" w:rsidR="002C643B" w:rsidRDefault="002C643B" w:rsidP="004B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08509"/>
      <w:docPartObj>
        <w:docPartGallery w:val="Page Numbers (Bottom of Page)"/>
        <w:docPartUnique/>
      </w:docPartObj>
    </w:sdtPr>
    <w:sdtEndPr/>
    <w:sdtContent>
      <w:p w14:paraId="570A0887" w14:textId="19CA4F8C" w:rsidR="00636697" w:rsidRDefault="00636697">
        <w:pPr>
          <w:pStyle w:val="Pieddepage"/>
          <w:jc w:val="right"/>
        </w:pPr>
        <w:r>
          <w:fldChar w:fldCharType="begin"/>
        </w:r>
        <w:r>
          <w:instrText>PAGE   \* MERGEFORMAT</w:instrText>
        </w:r>
        <w:r>
          <w:fldChar w:fldCharType="separate"/>
        </w:r>
        <w:r>
          <w:rPr>
            <w:lang w:val="fr-FR"/>
          </w:rPr>
          <w:t>2</w:t>
        </w:r>
        <w:r>
          <w:fldChar w:fldCharType="end"/>
        </w:r>
      </w:p>
    </w:sdtContent>
  </w:sdt>
  <w:p w14:paraId="120EA34E" w14:textId="77777777" w:rsidR="00636697" w:rsidRDefault="006366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5D10" w14:textId="77777777" w:rsidR="002C643B" w:rsidRDefault="002C643B" w:rsidP="004B1C5F">
      <w:pPr>
        <w:spacing w:after="0" w:line="240" w:lineRule="auto"/>
      </w:pPr>
      <w:r>
        <w:separator/>
      </w:r>
    </w:p>
  </w:footnote>
  <w:footnote w:type="continuationSeparator" w:id="0">
    <w:p w14:paraId="08F18FCB" w14:textId="77777777" w:rsidR="002C643B" w:rsidRDefault="002C643B" w:rsidP="004B1C5F">
      <w:pPr>
        <w:spacing w:after="0" w:line="240" w:lineRule="auto"/>
      </w:pPr>
      <w:r>
        <w:continuationSeparator/>
      </w:r>
    </w:p>
  </w:footnote>
  <w:footnote w:id="1">
    <w:p w14:paraId="48440BF0" w14:textId="7747C8F1" w:rsidR="00636697" w:rsidRDefault="00636697">
      <w:pPr>
        <w:pStyle w:val="Notedebasdepage"/>
      </w:pPr>
      <w:r>
        <w:rPr>
          <w:rStyle w:val="Appelnotedebasdep"/>
        </w:rPr>
        <w:footnoteRef/>
      </w:r>
      <w:r>
        <w:t xml:space="preserve"> </w:t>
      </w:r>
      <w:hyperlink r:id="rId1" w:history="1">
        <w:r w:rsidRPr="00A50CBF">
          <w:rPr>
            <w:rStyle w:val="Lienhypertexte"/>
          </w:rPr>
          <w:t>https://igvm-iefh.belgium.be/sites/default/files/136_-_rapport_ecart_salarial_2021_0.pdf</w:t>
        </w:r>
      </w:hyperlink>
      <w:r>
        <w:t xml:space="preserve"> </w:t>
      </w:r>
    </w:p>
  </w:footnote>
  <w:footnote w:id="2">
    <w:p w14:paraId="233F5B47" w14:textId="6A13F343" w:rsidR="00636697" w:rsidRDefault="00636697">
      <w:pPr>
        <w:pStyle w:val="Notedebasdepage"/>
      </w:pPr>
      <w:r>
        <w:rPr>
          <w:rStyle w:val="Appelnotedebasdep"/>
        </w:rPr>
        <w:footnoteRef/>
      </w:r>
      <w:r>
        <w:t xml:space="preserve"> </w:t>
      </w:r>
      <w:hyperlink r:id="rId2" w:history="1">
        <w:r w:rsidRPr="00A50CBF">
          <w:rPr>
            <w:rStyle w:val="Lienhypertexte"/>
          </w:rPr>
          <w:t>https://igvm-iefh.belgium.be/sites/default/files/147_-_rapport_annuel_2020_0.pdf</w:t>
        </w:r>
      </w:hyperlink>
      <w:r>
        <w:t xml:space="preserve"> </w:t>
      </w:r>
    </w:p>
  </w:footnote>
  <w:footnote w:id="3">
    <w:p w14:paraId="2A7E07AD" w14:textId="4E5E831A" w:rsidR="00636697" w:rsidRDefault="00636697">
      <w:pPr>
        <w:pStyle w:val="Notedebasdepage"/>
      </w:pPr>
      <w:r>
        <w:rPr>
          <w:rStyle w:val="Appelnotedebasdep"/>
        </w:rPr>
        <w:footnoteRef/>
      </w:r>
      <w:r>
        <w:t xml:space="preserve"> </w:t>
      </w:r>
      <w:hyperlink r:id="rId3" w:history="1">
        <w:r w:rsidRPr="00A50CBF">
          <w:rPr>
            <w:rStyle w:val="Lienhypertexte"/>
          </w:rPr>
          <w:t>https://igvm-iefh.belgium.be/sites/default/files/158_-_rapport_annuel_2021_1.pdf</w:t>
        </w:r>
      </w:hyperlink>
      <w:r>
        <w:t xml:space="preserve"> </w:t>
      </w:r>
    </w:p>
  </w:footnote>
  <w:footnote w:id="4">
    <w:p w14:paraId="72E73387" w14:textId="56955A0D" w:rsidR="00636697" w:rsidRDefault="00636697">
      <w:pPr>
        <w:pStyle w:val="Notedebasdepage"/>
      </w:pPr>
      <w:r>
        <w:rPr>
          <w:rStyle w:val="Appelnotedebasdep"/>
        </w:rPr>
        <w:footnoteRef/>
      </w:r>
      <w:r>
        <w:t xml:space="preserve"> </w:t>
      </w:r>
      <w:hyperlink r:id="rId4" w:history="1">
        <w:r w:rsidRPr="00A50CBF">
          <w:rPr>
            <w:rStyle w:val="Lienhypertexte"/>
          </w:rPr>
          <w:t>https://igvm-iefh.belgium.be/sites/default/files/107_-_grossesse_au_travail_0.pdf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F7"/>
    <w:rsid w:val="000125F8"/>
    <w:rsid w:val="000335C3"/>
    <w:rsid w:val="0005250C"/>
    <w:rsid w:val="00055AC6"/>
    <w:rsid w:val="00077C54"/>
    <w:rsid w:val="0008023E"/>
    <w:rsid w:val="0008088F"/>
    <w:rsid w:val="000831F1"/>
    <w:rsid w:val="00087896"/>
    <w:rsid w:val="0009784B"/>
    <w:rsid w:val="000A569E"/>
    <w:rsid w:val="000B1006"/>
    <w:rsid w:val="000D40F9"/>
    <w:rsid w:val="000D63A4"/>
    <w:rsid w:val="000E6345"/>
    <w:rsid w:val="000F2C2B"/>
    <w:rsid w:val="000F4951"/>
    <w:rsid w:val="00105463"/>
    <w:rsid w:val="00110BF7"/>
    <w:rsid w:val="00111740"/>
    <w:rsid w:val="00116C13"/>
    <w:rsid w:val="00123511"/>
    <w:rsid w:val="001276A9"/>
    <w:rsid w:val="0013193F"/>
    <w:rsid w:val="00140927"/>
    <w:rsid w:val="00151B38"/>
    <w:rsid w:val="00157E6E"/>
    <w:rsid w:val="001605F7"/>
    <w:rsid w:val="00163D9F"/>
    <w:rsid w:val="00164BA5"/>
    <w:rsid w:val="00165627"/>
    <w:rsid w:val="00173176"/>
    <w:rsid w:val="0018492E"/>
    <w:rsid w:val="001B3848"/>
    <w:rsid w:val="001E1D1D"/>
    <w:rsid w:val="001E2E07"/>
    <w:rsid w:val="0020310B"/>
    <w:rsid w:val="00226FB8"/>
    <w:rsid w:val="00232B19"/>
    <w:rsid w:val="002362EB"/>
    <w:rsid w:val="00244F37"/>
    <w:rsid w:val="00247E21"/>
    <w:rsid w:val="00265E2F"/>
    <w:rsid w:val="002834B2"/>
    <w:rsid w:val="002847C8"/>
    <w:rsid w:val="00286F9F"/>
    <w:rsid w:val="0028715F"/>
    <w:rsid w:val="002A22D9"/>
    <w:rsid w:val="002A39FD"/>
    <w:rsid w:val="002C16AF"/>
    <w:rsid w:val="002C6034"/>
    <w:rsid w:val="002C643B"/>
    <w:rsid w:val="002E0672"/>
    <w:rsid w:val="002E6B5B"/>
    <w:rsid w:val="00310146"/>
    <w:rsid w:val="00324755"/>
    <w:rsid w:val="0035769F"/>
    <w:rsid w:val="0036333C"/>
    <w:rsid w:val="00363AF9"/>
    <w:rsid w:val="003669F9"/>
    <w:rsid w:val="0037135A"/>
    <w:rsid w:val="0037241E"/>
    <w:rsid w:val="00372599"/>
    <w:rsid w:val="0038314C"/>
    <w:rsid w:val="003869F3"/>
    <w:rsid w:val="00395728"/>
    <w:rsid w:val="003A56B5"/>
    <w:rsid w:val="003B26D6"/>
    <w:rsid w:val="003B41CB"/>
    <w:rsid w:val="003C704A"/>
    <w:rsid w:val="003E3056"/>
    <w:rsid w:val="003E74D6"/>
    <w:rsid w:val="003F23C5"/>
    <w:rsid w:val="0041284A"/>
    <w:rsid w:val="00416987"/>
    <w:rsid w:val="00424E4B"/>
    <w:rsid w:val="004300C1"/>
    <w:rsid w:val="00432EA7"/>
    <w:rsid w:val="00451883"/>
    <w:rsid w:val="00454828"/>
    <w:rsid w:val="00456A26"/>
    <w:rsid w:val="00463D4A"/>
    <w:rsid w:val="004846F5"/>
    <w:rsid w:val="00484992"/>
    <w:rsid w:val="004B1C5F"/>
    <w:rsid w:val="004D15B1"/>
    <w:rsid w:val="004F1405"/>
    <w:rsid w:val="004F62D7"/>
    <w:rsid w:val="005164B2"/>
    <w:rsid w:val="005412C4"/>
    <w:rsid w:val="0054315B"/>
    <w:rsid w:val="0054517E"/>
    <w:rsid w:val="00571EF5"/>
    <w:rsid w:val="00580A02"/>
    <w:rsid w:val="005951C3"/>
    <w:rsid w:val="005A5B4E"/>
    <w:rsid w:val="005B45F3"/>
    <w:rsid w:val="005B6AFA"/>
    <w:rsid w:val="005C07B5"/>
    <w:rsid w:val="005C3D37"/>
    <w:rsid w:val="005E124E"/>
    <w:rsid w:val="005E25E5"/>
    <w:rsid w:val="005E44C8"/>
    <w:rsid w:val="005F1F50"/>
    <w:rsid w:val="005F3D90"/>
    <w:rsid w:val="005F66DC"/>
    <w:rsid w:val="00614781"/>
    <w:rsid w:val="00636697"/>
    <w:rsid w:val="00647766"/>
    <w:rsid w:val="00662056"/>
    <w:rsid w:val="00665B76"/>
    <w:rsid w:val="006C144C"/>
    <w:rsid w:val="006D37CB"/>
    <w:rsid w:val="006E24E5"/>
    <w:rsid w:val="006E760C"/>
    <w:rsid w:val="006F19EE"/>
    <w:rsid w:val="006F75D7"/>
    <w:rsid w:val="006F7E75"/>
    <w:rsid w:val="00703C70"/>
    <w:rsid w:val="00704CCE"/>
    <w:rsid w:val="00717F7D"/>
    <w:rsid w:val="00720975"/>
    <w:rsid w:val="0073183F"/>
    <w:rsid w:val="007325B3"/>
    <w:rsid w:val="00763307"/>
    <w:rsid w:val="00767DCB"/>
    <w:rsid w:val="007A63DA"/>
    <w:rsid w:val="007B5453"/>
    <w:rsid w:val="007C411C"/>
    <w:rsid w:val="007D0109"/>
    <w:rsid w:val="007D09B1"/>
    <w:rsid w:val="007D19F1"/>
    <w:rsid w:val="00812D37"/>
    <w:rsid w:val="00833486"/>
    <w:rsid w:val="00857492"/>
    <w:rsid w:val="0086515D"/>
    <w:rsid w:val="008655D9"/>
    <w:rsid w:val="00881FE1"/>
    <w:rsid w:val="008A7A2C"/>
    <w:rsid w:val="008B28F9"/>
    <w:rsid w:val="008B479A"/>
    <w:rsid w:val="008C3C8C"/>
    <w:rsid w:val="008D776F"/>
    <w:rsid w:val="008E50A2"/>
    <w:rsid w:val="008F366A"/>
    <w:rsid w:val="008F6EBF"/>
    <w:rsid w:val="00915F05"/>
    <w:rsid w:val="00925AD5"/>
    <w:rsid w:val="00930000"/>
    <w:rsid w:val="009409DF"/>
    <w:rsid w:val="009423A0"/>
    <w:rsid w:val="00943753"/>
    <w:rsid w:val="00952ACA"/>
    <w:rsid w:val="00976051"/>
    <w:rsid w:val="009B5FF6"/>
    <w:rsid w:val="009C3AE1"/>
    <w:rsid w:val="009D213B"/>
    <w:rsid w:val="009D65D2"/>
    <w:rsid w:val="009D67C7"/>
    <w:rsid w:val="009E77ED"/>
    <w:rsid w:val="009F66D8"/>
    <w:rsid w:val="00A00520"/>
    <w:rsid w:val="00A015E2"/>
    <w:rsid w:val="00A24F13"/>
    <w:rsid w:val="00A4690C"/>
    <w:rsid w:val="00A615D4"/>
    <w:rsid w:val="00A63E2A"/>
    <w:rsid w:val="00A83F2A"/>
    <w:rsid w:val="00A8552D"/>
    <w:rsid w:val="00A86008"/>
    <w:rsid w:val="00A87B31"/>
    <w:rsid w:val="00A91FAE"/>
    <w:rsid w:val="00A9660B"/>
    <w:rsid w:val="00AA317B"/>
    <w:rsid w:val="00AB4603"/>
    <w:rsid w:val="00B267BD"/>
    <w:rsid w:val="00B305C8"/>
    <w:rsid w:val="00B70C83"/>
    <w:rsid w:val="00B85833"/>
    <w:rsid w:val="00B93944"/>
    <w:rsid w:val="00BB2AAE"/>
    <w:rsid w:val="00BB40CE"/>
    <w:rsid w:val="00BC28BC"/>
    <w:rsid w:val="00BC4F34"/>
    <w:rsid w:val="00BC7820"/>
    <w:rsid w:val="00BE1929"/>
    <w:rsid w:val="00BF54B8"/>
    <w:rsid w:val="00C154AF"/>
    <w:rsid w:val="00C2236E"/>
    <w:rsid w:val="00C41E0D"/>
    <w:rsid w:val="00C45738"/>
    <w:rsid w:val="00C61055"/>
    <w:rsid w:val="00C73839"/>
    <w:rsid w:val="00CB2413"/>
    <w:rsid w:val="00CD6803"/>
    <w:rsid w:val="00CE0F3D"/>
    <w:rsid w:val="00CE367A"/>
    <w:rsid w:val="00CF0992"/>
    <w:rsid w:val="00CF287F"/>
    <w:rsid w:val="00D246EB"/>
    <w:rsid w:val="00D30A22"/>
    <w:rsid w:val="00D31D7D"/>
    <w:rsid w:val="00D33093"/>
    <w:rsid w:val="00D52E74"/>
    <w:rsid w:val="00D67FD5"/>
    <w:rsid w:val="00D7209C"/>
    <w:rsid w:val="00D8320F"/>
    <w:rsid w:val="00DB2725"/>
    <w:rsid w:val="00DB31FF"/>
    <w:rsid w:val="00DB5128"/>
    <w:rsid w:val="00DB72C8"/>
    <w:rsid w:val="00DD65CC"/>
    <w:rsid w:val="00DE36EF"/>
    <w:rsid w:val="00DF2F83"/>
    <w:rsid w:val="00E01E04"/>
    <w:rsid w:val="00E06577"/>
    <w:rsid w:val="00E11761"/>
    <w:rsid w:val="00E1241C"/>
    <w:rsid w:val="00E17EC3"/>
    <w:rsid w:val="00E20B24"/>
    <w:rsid w:val="00E22BFA"/>
    <w:rsid w:val="00E41362"/>
    <w:rsid w:val="00E652F5"/>
    <w:rsid w:val="00E661AA"/>
    <w:rsid w:val="00E71B35"/>
    <w:rsid w:val="00E72BAA"/>
    <w:rsid w:val="00E84BAF"/>
    <w:rsid w:val="00E8743F"/>
    <w:rsid w:val="00E96E36"/>
    <w:rsid w:val="00ED285A"/>
    <w:rsid w:val="00F03E0C"/>
    <w:rsid w:val="00F16403"/>
    <w:rsid w:val="00F2324D"/>
    <w:rsid w:val="00F3797E"/>
    <w:rsid w:val="00F41A76"/>
    <w:rsid w:val="00F43D75"/>
    <w:rsid w:val="00F54A16"/>
    <w:rsid w:val="00F702E8"/>
    <w:rsid w:val="00F85C8E"/>
    <w:rsid w:val="00F86EBD"/>
    <w:rsid w:val="00F92E33"/>
    <w:rsid w:val="00F96557"/>
    <w:rsid w:val="00FA5CF7"/>
    <w:rsid w:val="00FB1CE8"/>
    <w:rsid w:val="00FB2A88"/>
    <w:rsid w:val="00FD090A"/>
    <w:rsid w:val="00FE03E9"/>
    <w:rsid w:val="00FF11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42D75E"/>
  <w15:chartTrackingRefBased/>
  <w15:docId w15:val="{EB79B9A9-FE5B-4F71-98BD-B4C4E33C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B1C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1C5F"/>
    <w:rPr>
      <w:sz w:val="20"/>
      <w:szCs w:val="20"/>
    </w:rPr>
  </w:style>
  <w:style w:type="character" w:styleId="Appelnotedebasdep">
    <w:name w:val="footnote reference"/>
    <w:basedOn w:val="Policepardfaut"/>
    <w:uiPriority w:val="99"/>
    <w:semiHidden/>
    <w:unhideWhenUsed/>
    <w:rsid w:val="004B1C5F"/>
    <w:rPr>
      <w:vertAlign w:val="superscript"/>
    </w:rPr>
  </w:style>
  <w:style w:type="table" w:styleId="Grilledutableau">
    <w:name w:val="Table Grid"/>
    <w:basedOn w:val="TableauNormal"/>
    <w:uiPriority w:val="39"/>
    <w:rsid w:val="0028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697"/>
    <w:pPr>
      <w:tabs>
        <w:tab w:val="center" w:pos="4536"/>
        <w:tab w:val="right" w:pos="9072"/>
      </w:tabs>
      <w:spacing w:after="0" w:line="240" w:lineRule="auto"/>
    </w:pPr>
  </w:style>
  <w:style w:type="character" w:customStyle="1" w:styleId="En-tteCar">
    <w:name w:val="En-tête Car"/>
    <w:basedOn w:val="Policepardfaut"/>
    <w:link w:val="En-tte"/>
    <w:uiPriority w:val="99"/>
    <w:rsid w:val="00636697"/>
  </w:style>
  <w:style w:type="paragraph" w:styleId="Pieddepage">
    <w:name w:val="footer"/>
    <w:basedOn w:val="Normal"/>
    <w:link w:val="PieddepageCar"/>
    <w:uiPriority w:val="99"/>
    <w:unhideWhenUsed/>
    <w:rsid w:val="006366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697"/>
  </w:style>
  <w:style w:type="character" w:styleId="Lienhypertexte">
    <w:name w:val="Hyperlink"/>
    <w:basedOn w:val="Policepardfaut"/>
    <w:uiPriority w:val="99"/>
    <w:unhideWhenUsed/>
    <w:rsid w:val="00636697"/>
    <w:rPr>
      <w:color w:val="0563C1" w:themeColor="hyperlink"/>
      <w:u w:val="single"/>
    </w:rPr>
  </w:style>
  <w:style w:type="character" w:styleId="Mentionnonrsolue">
    <w:name w:val="Unresolved Mention"/>
    <w:basedOn w:val="Policepardfaut"/>
    <w:uiPriority w:val="99"/>
    <w:semiHidden/>
    <w:unhideWhenUsed/>
    <w:rsid w:val="00636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igvm-iefh.belgium.be/sites/default/files/158_-_rapport_annuel_2021_1.pdf" TargetMode="External"/><Relationship Id="rId2" Type="http://schemas.openxmlformats.org/officeDocument/2006/relationships/hyperlink" Target="https://igvm-iefh.belgium.be/sites/default/files/147_-_rapport_annuel_2020_0.pdf" TargetMode="External"/><Relationship Id="rId1" Type="http://schemas.openxmlformats.org/officeDocument/2006/relationships/hyperlink" Target="https://igvm-iefh.belgium.be/sites/default/files/136_-_rapport_ecart_salarial_2021_0.pdf" TargetMode="External"/><Relationship Id="rId4" Type="http://schemas.openxmlformats.org/officeDocument/2006/relationships/hyperlink" Target="https://igvm-iefh.belgium.be/sites/default/files/107_-_grossesse_au_travail_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A7BED-4D42-4597-8951-43BC0A25FED5}">
  <ds:schemaRefs>
    <ds:schemaRef ds:uri="http://schemas.openxmlformats.org/officeDocument/2006/bibliography"/>
  </ds:schemaRefs>
</ds:datastoreItem>
</file>

<file path=customXml/itemProps2.xml><?xml version="1.0" encoding="utf-8"?>
<ds:datastoreItem xmlns:ds="http://schemas.openxmlformats.org/officeDocument/2006/customXml" ds:itemID="{42BC863F-AA1C-48CD-B075-E6DA579809BA}"/>
</file>

<file path=customXml/itemProps3.xml><?xml version="1.0" encoding="utf-8"?>
<ds:datastoreItem xmlns:ds="http://schemas.openxmlformats.org/officeDocument/2006/customXml" ds:itemID="{8FFC02A2-FCE1-43D7-8136-2C176DC05070}"/>
</file>

<file path=customXml/itemProps4.xml><?xml version="1.0" encoding="utf-8"?>
<ds:datastoreItem xmlns:ds="http://schemas.openxmlformats.org/officeDocument/2006/customXml" ds:itemID="{91CE2531-5F5D-4D49-9F2E-B415A729FD44}"/>
</file>

<file path=docProps/app.xml><?xml version="1.0" encoding="utf-8"?>
<Properties xmlns="http://schemas.openxmlformats.org/officeDocument/2006/extended-properties" xmlns:vt="http://schemas.openxmlformats.org/officeDocument/2006/docPropsVTypes">
  <Template>Normal</Template>
  <TotalTime>3</TotalTime>
  <Pages>6</Pages>
  <Words>1888</Words>
  <Characters>10387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FOD WASO SPF ETCS</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Kuzyn (Instituut voor de gelijkheid - Institut pour l'égalité)</dc:creator>
  <cp:keywords/>
  <dc:description/>
  <cp:lastModifiedBy>Danuta Kuzyn (Instituut voor de gelijkheid - Institut pour l'égalité)</cp:lastModifiedBy>
  <cp:revision>3</cp:revision>
  <dcterms:created xsi:type="dcterms:W3CDTF">2022-09-12T13:45:00Z</dcterms:created>
  <dcterms:modified xsi:type="dcterms:W3CDTF">2022-09-12T13:58:00Z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