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79E0A3" w14:textId="77777777" w:rsidR="007C4C66" w:rsidRPr="009055BB" w:rsidRDefault="007C4C66" w:rsidP="007C4C66">
      <w:pPr>
        <w:spacing w:before="100" w:beforeAutospacing="1" w:after="100" w:afterAutospacing="1"/>
        <w:jc w:val="both"/>
        <w:outlineLvl w:val="0"/>
        <w:rPr>
          <w:rFonts w:ascii="Futura Medium" w:eastAsia="Times New Roman" w:hAnsi="Futura Medium" w:cs="Futura Medium"/>
          <w:i/>
          <w:iCs/>
          <w:kern w:val="36"/>
          <w:sz w:val="44"/>
          <w:szCs w:val="44"/>
          <w:lang w:eastAsia="fr-FR"/>
          <w14:ligatures w14:val="none"/>
        </w:rPr>
      </w:pPr>
      <w:r w:rsidRPr="009055BB">
        <w:rPr>
          <w:rFonts w:ascii="Futura Medium" w:eastAsia="Times New Roman" w:hAnsi="Futura Medium" w:cs="Futura Medium" w:hint="cs"/>
          <w:i/>
          <w:iCs/>
          <w:kern w:val="36"/>
          <w:sz w:val="44"/>
          <w:szCs w:val="44"/>
          <w:lang w:eastAsia="fr-FR"/>
          <w14:ligatures w14:val="none"/>
        </w:rPr>
        <w:t>Rapport alternatif de la coalition d’OSC sur la mise en œuvre de la CEDEF à Madagascar</w:t>
      </w:r>
    </w:p>
    <w:p w14:paraId="3918F169" w14:textId="77777777" w:rsidR="00CC5837" w:rsidRPr="007752C0" w:rsidRDefault="00CC5837" w:rsidP="007C4C66">
      <w:pPr>
        <w:spacing w:before="100" w:beforeAutospacing="1" w:after="100" w:afterAutospacing="1"/>
        <w:jc w:val="both"/>
        <w:outlineLvl w:val="1"/>
        <w:rPr>
          <w:rFonts w:eastAsia="Times New Roman" w:cstheme="minorHAnsi"/>
          <w:b/>
          <w:bCs/>
          <w:kern w:val="0"/>
          <w:sz w:val="36"/>
          <w:szCs w:val="36"/>
          <w:lang w:eastAsia="fr-FR"/>
          <w14:ligatures w14:val="none"/>
        </w:rPr>
      </w:pPr>
      <w:r w:rsidRPr="007752C0">
        <w:rPr>
          <w:rFonts w:eastAsia="Times New Roman" w:cstheme="minorHAnsi"/>
          <w:b/>
          <w:bCs/>
          <w:kern w:val="0"/>
          <w:sz w:val="36"/>
          <w:szCs w:val="36"/>
          <w:lang w:eastAsia="fr-FR"/>
          <w14:ligatures w14:val="none"/>
        </w:rPr>
        <w:t>Article 1 – Définition de la discrimination</w:t>
      </w:r>
    </w:p>
    <w:p w14:paraId="0CF2235D" w14:textId="77777777" w:rsidR="00CC5837" w:rsidRPr="007752C0" w:rsidRDefault="00CC5837" w:rsidP="00CC5837">
      <w:pPr>
        <w:spacing w:before="100" w:beforeAutospacing="1" w:after="100" w:afterAutospacing="1"/>
        <w:rPr>
          <w:rFonts w:eastAsia="Times New Roman" w:cstheme="minorHAnsi"/>
          <w:kern w:val="0"/>
          <w:lang w:eastAsia="fr-FR"/>
          <w14:ligatures w14:val="none"/>
        </w:rPr>
      </w:pPr>
      <w:r w:rsidRPr="007752C0">
        <w:rPr>
          <w:rFonts w:eastAsia="Times New Roman" w:cstheme="minorHAnsi"/>
          <w:b/>
          <w:bCs/>
          <w:kern w:val="0"/>
          <w:lang w:eastAsia="fr-FR"/>
          <w14:ligatures w14:val="none"/>
        </w:rPr>
        <w:t>Constats</w:t>
      </w:r>
      <w:r w:rsidRPr="007752C0">
        <w:rPr>
          <w:rFonts w:eastAsia="Times New Roman" w:cstheme="minorHAnsi"/>
          <w:kern w:val="0"/>
          <w:lang w:eastAsia="fr-FR"/>
          <w14:ligatures w14:val="none"/>
        </w:rPr>
        <w:br/>
        <w:t>Le Comité CEDEF a rappelé en 2015 que Madagascar devait intégrer dans son droit interne une définition complète de la discrimination fondée sur le sexe et le genre, conformément à l’article 1 de la Convention. Cette exigence reste d’actualité.</w:t>
      </w:r>
    </w:p>
    <w:p w14:paraId="40434E93" w14:textId="77777777" w:rsidR="00CC5837" w:rsidRPr="007752C0" w:rsidRDefault="00CC5837" w:rsidP="00CC5837">
      <w:pPr>
        <w:spacing w:before="100" w:beforeAutospacing="1" w:after="100" w:afterAutospacing="1"/>
        <w:rPr>
          <w:rFonts w:eastAsia="Times New Roman" w:cstheme="minorHAnsi"/>
          <w:kern w:val="0"/>
          <w:lang w:eastAsia="fr-FR"/>
          <w14:ligatures w14:val="none"/>
        </w:rPr>
      </w:pPr>
      <w:r w:rsidRPr="007752C0">
        <w:rPr>
          <w:rFonts w:eastAsia="Times New Roman" w:cstheme="minorHAnsi"/>
          <w:kern w:val="0"/>
          <w:lang w:eastAsia="fr-FR"/>
          <w14:ligatures w14:val="none"/>
        </w:rPr>
        <w:t>La législation nationale ne contient pas encore de définition explicite de la discrimination directe et indirecte, ni de dispositions couvrant toutes les sphères de la vie publique et privée. Cette lacune fragilise l’accès des femmes à des recours effectifs.</w:t>
      </w:r>
    </w:p>
    <w:p w14:paraId="712A222F" w14:textId="7038E269" w:rsidR="00CC5837" w:rsidRPr="007752C0" w:rsidRDefault="00CC5837" w:rsidP="007752C0">
      <w:pPr>
        <w:spacing w:before="100" w:beforeAutospacing="1" w:after="100" w:afterAutospacing="1"/>
        <w:jc w:val="both"/>
        <w:rPr>
          <w:rFonts w:eastAsia="Times New Roman" w:cstheme="minorHAnsi"/>
          <w:kern w:val="0"/>
          <w:lang w:eastAsia="fr-FR"/>
          <w14:ligatures w14:val="none"/>
        </w:rPr>
      </w:pPr>
      <w:r w:rsidRPr="007752C0">
        <w:rPr>
          <w:rFonts w:eastAsia="Times New Roman" w:cstheme="minorHAnsi"/>
          <w:kern w:val="0"/>
          <w:lang w:eastAsia="fr-FR"/>
          <w14:ligatures w14:val="none"/>
        </w:rPr>
        <w:t>Un avant-projet de loi-cadre pour l’égalité femmes-hommes a été élaboré en 2019, à travers un processus inclusif impliquant les ministères, les OSC</w:t>
      </w:r>
      <w:r w:rsidR="007752C0" w:rsidRPr="007752C0">
        <w:rPr>
          <w:rFonts w:eastAsia="Times New Roman" w:cstheme="minorHAnsi"/>
          <w:kern w:val="0"/>
          <w:lang w:eastAsia="fr-FR"/>
          <w14:ligatures w14:val="none"/>
        </w:rPr>
        <w:t xml:space="preserve"> – </w:t>
      </w:r>
      <w:r w:rsidRPr="007752C0">
        <w:rPr>
          <w:rFonts w:eastAsia="Times New Roman" w:cstheme="minorHAnsi"/>
          <w:kern w:val="0"/>
          <w:lang w:eastAsia="fr-FR"/>
          <w14:ligatures w14:val="none"/>
        </w:rPr>
        <w:t>dont Focus Development Association, la FFBKEM</w:t>
      </w:r>
      <w:r w:rsidR="00806D62">
        <w:rPr>
          <w:rFonts w:eastAsia="Times New Roman" w:cstheme="minorHAnsi"/>
          <w:kern w:val="0"/>
          <w:lang w:eastAsia="fr-FR"/>
          <w14:ligatures w14:val="none"/>
        </w:rPr>
        <w:t xml:space="preserve"> de </w:t>
      </w:r>
      <w:r w:rsidRPr="007752C0">
        <w:rPr>
          <w:rFonts w:eastAsia="Times New Roman" w:cstheme="minorHAnsi"/>
          <w:kern w:val="0"/>
          <w:lang w:eastAsia="fr-FR"/>
          <w14:ligatures w14:val="none"/>
        </w:rPr>
        <w:t>Pax Romana, l’ASSEFFEMA</w:t>
      </w:r>
      <w:r w:rsidR="00806D62">
        <w:rPr>
          <w:rFonts w:eastAsia="Times New Roman" w:cstheme="minorHAnsi"/>
          <w:kern w:val="0"/>
          <w:lang w:eastAsia="fr-FR"/>
          <w14:ligatures w14:val="none"/>
        </w:rPr>
        <w:t xml:space="preserve">, </w:t>
      </w:r>
      <w:r w:rsidRPr="007752C0">
        <w:rPr>
          <w:rFonts w:eastAsia="Times New Roman" w:cstheme="minorHAnsi"/>
          <w:kern w:val="0"/>
          <w:lang w:eastAsia="fr-FR"/>
          <w14:ligatures w14:val="none"/>
        </w:rPr>
        <w:t>le Conseil National des Femmes</w:t>
      </w:r>
      <w:r w:rsidR="004F1A30">
        <w:rPr>
          <w:rFonts w:eastAsia="Times New Roman" w:cstheme="minorHAnsi"/>
          <w:kern w:val="0"/>
          <w:lang w:eastAsia="fr-FR"/>
          <w14:ligatures w14:val="none"/>
        </w:rPr>
        <w:t xml:space="preserve"> de Madagascar </w:t>
      </w:r>
      <w:r w:rsidR="00806D62">
        <w:rPr>
          <w:rFonts w:eastAsia="Times New Roman" w:cstheme="minorHAnsi"/>
          <w:kern w:val="0"/>
          <w:lang w:eastAsia="fr-FR"/>
          <w14:ligatures w14:val="none"/>
        </w:rPr>
        <w:t xml:space="preserve">(CNFM) </w:t>
      </w:r>
      <w:r w:rsidR="007752C0" w:rsidRPr="007752C0">
        <w:rPr>
          <w:rFonts w:eastAsia="Times New Roman" w:cstheme="minorHAnsi"/>
          <w:kern w:val="0"/>
          <w:lang w:eastAsia="fr-FR"/>
          <w14:ligatures w14:val="none"/>
        </w:rPr>
        <w:t xml:space="preserve"> –</w:t>
      </w:r>
      <w:r w:rsidR="00806D62">
        <w:rPr>
          <w:rFonts w:eastAsia="Times New Roman" w:cstheme="minorHAnsi"/>
          <w:kern w:val="0"/>
          <w:lang w:eastAsia="fr-FR"/>
          <w14:ligatures w14:val="none"/>
        </w:rPr>
        <w:t xml:space="preserve">  et </w:t>
      </w:r>
      <w:r w:rsidRPr="007752C0">
        <w:rPr>
          <w:rFonts w:eastAsia="Times New Roman" w:cstheme="minorHAnsi"/>
          <w:kern w:val="0"/>
          <w:lang w:eastAsia="fr-FR"/>
          <w14:ligatures w14:val="none"/>
        </w:rPr>
        <w:t>les partenaires techniques et financiers. Ce texte prévoyait 47 articles traitant de l’égalité d’accès, de la participation, du traitement équitable, de la dignité corporelle et de la protection sociale. Malgré ce travail consensuel, l’avant-projet n’a pas été soumis au Parlement, en raison notamment de l’instabilité institutionnelle et des changements fréquents de responsables au ministère en charge des droits des femmes.</w:t>
      </w:r>
    </w:p>
    <w:p w14:paraId="786E5B88" w14:textId="77777777" w:rsidR="00CC5837" w:rsidRPr="007752C0" w:rsidRDefault="00CC5837" w:rsidP="007752C0">
      <w:pPr>
        <w:spacing w:before="100" w:beforeAutospacing="1" w:after="100" w:afterAutospacing="1"/>
        <w:rPr>
          <w:rFonts w:eastAsia="Times New Roman" w:cstheme="minorHAnsi"/>
          <w:kern w:val="0"/>
          <w:lang w:eastAsia="fr-FR"/>
          <w14:ligatures w14:val="none"/>
        </w:rPr>
      </w:pPr>
      <w:r w:rsidRPr="007752C0">
        <w:rPr>
          <w:rFonts w:eastAsia="Times New Roman" w:cstheme="minorHAnsi"/>
          <w:b/>
          <w:bCs/>
          <w:kern w:val="0"/>
          <w:lang w:eastAsia="fr-FR"/>
          <w14:ligatures w14:val="none"/>
        </w:rPr>
        <w:t>OSC contributrices</w:t>
      </w:r>
      <w:r w:rsidRPr="007752C0">
        <w:rPr>
          <w:rFonts w:eastAsia="Times New Roman" w:cstheme="minorHAnsi"/>
          <w:kern w:val="0"/>
          <w:lang w:eastAsia="fr-FR"/>
          <w14:ligatures w14:val="none"/>
        </w:rPr>
        <w:br/>
        <w:t>Les organisations signataires insistent sur la nécessité d’adopter un texte qui formalise l’interdiction de toute discrimination à l’égard des femmes et des filles, afin de fournir un cadre clair pour les réformes sectorielles. Elles rappellent que l’existence d’un texte national faciliterait également la mobilisation de financements et la coordination avec les partenaires internationaux.</w:t>
      </w:r>
    </w:p>
    <w:p w14:paraId="3145A906" w14:textId="77777777" w:rsidR="007752C0" w:rsidRDefault="00CC5837" w:rsidP="007752C0">
      <w:pPr>
        <w:rPr>
          <w:rFonts w:eastAsia="Times New Roman" w:cstheme="minorHAnsi"/>
          <w:b/>
          <w:bCs/>
          <w:kern w:val="0"/>
          <w:lang w:eastAsia="fr-FR"/>
          <w14:ligatures w14:val="none"/>
        </w:rPr>
      </w:pPr>
      <w:r w:rsidRPr="007752C0">
        <w:rPr>
          <w:rFonts w:eastAsia="Times New Roman" w:cstheme="minorHAnsi"/>
          <w:b/>
          <w:bCs/>
          <w:kern w:val="0"/>
          <w:lang w:eastAsia="fr-FR"/>
          <w14:ligatures w14:val="none"/>
        </w:rPr>
        <w:t>Recommandation CEDEF</w:t>
      </w:r>
      <w:r w:rsidR="007752C0" w:rsidRPr="007752C0">
        <w:rPr>
          <w:rFonts w:eastAsia="Times New Roman" w:cstheme="minorHAnsi"/>
          <w:b/>
          <w:bCs/>
          <w:kern w:val="0"/>
          <w:lang w:eastAsia="fr-FR"/>
          <w14:ligatures w14:val="none"/>
        </w:rPr>
        <w:t xml:space="preserve"> </w:t>
      </w:r>
    </w:p>
    <w:p w14:paraId="3CBA775A" w14:textId="6F6282ED" w:rsidR="00CC5837" w:rsidRPr="007752C0" w:rsidRDefault="00CC5837" w:rsidP="007752C0">
      <w:pPr>
        <w:rPr>
          <w:rFonts w:eastAsia="Times New Roman" w:cstheme="minorHAnsi"/>
          <w:kern w:val="0"/>
          <w:lang w:eastAsia="fr-FR"/>
          <w14:ligatures w14:val="none"/>
        </w:rPr>
      </w:pPr>
      <w:r w:rsidRPr="007752C0">
        <w:rPr>
          <w:rFonts w:eastAsia="Times New Roman" w:cstheme="minorHAnsi"/>
          <w:kern w:val="0"/>
          <w:lang w:eastAsia="fr-FR"/>
          <w14:ligatures w14:val="none"/>
        </w:rPr>
        <w:t>Nous encourageons le gouvernement à introduire et adopter la loi-cadre sur l’égalité femmes-hommes, en reprenant les dispositions de l’avant-projet de 2019, et à harmoniser l’ensemble du cadre juridique avec la CEDEF et les autres instruments ratifiés.</w:t>
      </w:r>
    </w:p>
    <w:p w14:paraId="7E823D63" w14:textId="77777777" w:rsidR="00CC5837" w:rsidRPr="00806D62" w:rsidRDefault="00CC5837" w:rsidP="00CC5837">
      <w:pPr>
        <w:spacing w:before="100" w:beforeAutospacing="1" w:after="100" w:afterAutospacing="1"/>
        <w:outlineLvl w:val="1"/>
        <w:rPr>
          <w:rFonts w:eastAsia="Times New Roman" w:cstheme="minorHAnsi"/>
          <w:b/>
          <w:bCs/>
          <w:kern w:val="0"/>
          <w:sz w:val="36"/>
          <w:szCs w:val="36"/>
          <w:lang w:eastAsia="fr-FR"/>
          <w14:ligatures w14:val="none"/>
        </w:rPr>
      </w:pPr>
      <w:r w:rsidRPr="00806D62">
        <w:rPr>
          <w:rFonts w:eastAsia="Times New Roman" w:cstheme="minorHAnsi"/>
          <w:b/>
          <w:bCs/>
          <w:kern w:val="0"/>
          <w:sz w:val="36"/>
          <w:szCs w:val="36"/>
          <w:lang w:eastAsia="fr-FR"/>
          <w14:ligatures w14:val="none"/>
        </w:rPr>
        <w:t>Article 2 – Obligations de l’État et cadre juridique</w:t>
      </w:r>
    </w:p>
    <w:p w14:paraId="6579EAC9" w14:textId="4FAE272F" w:rsidR="00CC5837" w:rsidRPr="00806D62" w:rsidRDefault="00CC5837" w:rsidP="007752C0">
      <w:pPr>
        <w:spacing w:before="100" w:beforeAutospacing="1" w:after="100" w:afterAutospacing="1"/>
        <w:jc w:val="both"/>
        <w:rPr>
          <w:rFonts w:eastAsia="Times New Roman" w:cstheme="minorHAnsi"/>
          <w:kern w:val="0"/>
          <w:lang w:eastAsia="fr-FR"/>
          <w14:ligatures w14:val="none"/>
        </w:rPr>
      </w:pPr>
      <w:r w:rsidRPr="00806D62">
        <w:rPr>
          <w:rFonts w:eastAsia="Times New Roman" w:cstheme="minorHAnsi"/>
          <w:b/>
          <w:bCs/>
          <w:kern w:val="0"/>
          <w:lang w:eastAsia="fr-FR"/>
          <w14:ligatures w14:val="none"/>
        </w:rPr>
        <w:t>Constats</w:t>
      </w:r>
      <w:r w:rsidRPr="00806D62">
        <w:rPr>
          <w:rFonts w:eastAsia="Times New Roman" w:cstheme="minorHAnsi"/>
          <w:kern w:val="0"/>
          <w:lang w:eastAsia="fr-FR"/>
          <w14:ligatures w14:val="none"/>
        </w:rPr>
        <w:br/>
        <w:t>Le Comité avait recommandé en 2015 l’abrogation de toutes les lois discriminatoires (Code civil, Code de la nationalité, Code pénal). Certaines avancées ont été réalisées, notamment la réforme de 201</w:t>
      </w:r>
      <w:r w:rsidR="007752C0" w:rsidRPr="00806D62">
        <w:rPr>
          <w:rFonts w:eastAsia="Times New Roman" w:cstheme="minorHAnsi"/>
          <w:kern w:val="0"/>
          <w:lang w:eastAsia="fr-FR"/>
          <w14:ligatures w14:val="none"/>
        </w:rPr>
        <w:t xml:space="preserve">7 </w:t>
      </w:r>
      <w:r w:rsidRPr="00806D62">
        <w:rPr>
          <w:rFonts w:eastAsia="Times New Roman" w:cstheme="minorHAnsi"/>
          <w:kern w:val="0"/>
          <w:lang w:eastAsia="fr-FR"/>
          <w14:ligatures w14:val="none"/>
        </w:rPr>
        <w:t>permettant aux femmes de transmettre leur nationalité à leurs enfants. Cependant, les discriminations persistent :</w:t>
      </w:r>
    </w:p>
    <w:p w14:paraId="1131098C" w14:textId="558E7BA7" w:rsidR="00CC5837" w:rsidRPr="00806D62" w:rsidRDefault="00CC5837" w:rsidP="007752C0">
      <w:pPr>
        <w:numPr>
          <w:ilvl w:val="0"/>
          <w:numId w:val="4"/>
        </w:numPr>
        <w:spacing w:before="100" w:beforeAutospacing="1" w:after="100" w:afterAutospacing="1"/>
        <w:rPr>
          <w:rFonts w:eastAsia="Times New Roman" w:cstheme="minorHAnsi"/>
          <w:spacing w:val="-8"/>
          <w:kern w:val="0"/>
          <w:lang w:eastAsia="fr-FR"/>
          <w14:ligatures w14:val="none"/>
        </w:rPr>
      </w:pPr>
      <w:r w:rsidRPr="00806D62">
        <w:rPr>
          <w:rFonts w:eastAsia="Times New Roman" w:cstheme="minorHAnsi"/>
          <w:spacing w:val="-8"/>
          <w:kern w:val="0"/>
          <w:lang w:eastAsia="fr-FR"/>
          <w14:ligatures w14:val="none"/>
        </w:rPr>
        <w:lastRenderedPageBreak/>
        <w:t>les femmes ne peuvent pas transmettre leur nationalité à leur conjoint étranger</w:t>
      </w:r>
      <w:r w:rsidR="00806D62" w:rsidRPr="00806D62">
        <w:rPr>
          <w:rFonts w:eastAsia="Times New Roman" w:cstheme="minorHAnsi"/>
          <w:spacing w:val="-8"/>
          <w:kern w:val="0"/>
          <w:lang w:eastAsia="fr-FR"/>
          <w14:ligatures w14:val="none"/>
        </w:rPr>
        <w:t xml:space="preserve"> ou apatride,</w:t>
      </w:r>
    </w:p>
    <w:p w14:paraId="2148023F" w14:textId="77777777" w:rsidR="00CC5837" w:rsidRPr="00806D62" w:rsidRDefault="00CC5837" w:rsidP="007752C0">
      <w:pPr>
        <w:numPr>
          <w:ilvl w:val="0"/>
          <w:numId w:val="4"/>
        </w:numPr>
        <w:spacing w:before="100" w:beforeAutospacing="1" w:after="100" w:afterAutospacing="1"/>
        <w:rPr>
          <w:rFonts w:eastAsia="Times New Roman" w:cstheme="minorHAnsi"/>
          <w:spacing w:val="-8"/>
          <w:kern w:val="0"/>
          <w:lang w:eastAsia="fr-FR"/>
          <w14:ligatures w14:val="none"/>
        </w:rPr>
      </w:pPr>
      <w:r w:rsidRPr="00806D62">
        <w:rPr>
          <w:rFonts w:eastAsia="Times New Roman" w:cstheme="minorHAnsi"/>
          <w:spacing w:val="-8"/>
          <w:kern w:val="0"/>
          <w:lang w:eastAsia="fr-FR"/>
          <w14:ligatures w14:val="none"/>
        </w:rPr>
        <w:t>les lois successorales et foncières maintiennent des inégalités d’accès à la terre et à l’héritage,</w:t>
      </w:r>
    </w:p>
    <w:p w14:paraId="628B022D" w14:textId="77777777" w:rsidR="00CC5837" w:rsidRPr="00806D62" w:rsidRDefault="00CC5837" w:rsidP="007752C0">
      <w:pPr>
        <w:numPr>
          <w:ilvl w:val="0"/>
          <w:numId w:val="4"/>
        </w:numPr>
        <w:spacing w:before="100" w:beforeAutospacing="1" w:after="100" w:afterAutospacing="1"/>
        <w:rPr>
          <w:rFonts w:eastAsia="Times New Roman" w:cstheme="minorHAnsi"/>
          <w:kern w:val="0"/>
          <w:lang w:eastAsia="fr-FR"/>
          <w14:ligatures w14:val="none"/>
        </w:rPr>
      </w:pPr>
      <w:r w:rsidRPr="00806D62">
        <w:rPr>
          <w:rFonts w:eastAsia="Times New Roman" w:cstheme="minorHAnsi"/>
          <w:kern w:val="0"/>
          <w:lang w:eastAsia="fr-FR"/>
          <w14:ligatures w14:val="none"/>
        </w:rPr>
        <w:t>le Code pénal criminalise encore totalement l’avortement.</w:t>
      </w:r>
    </w:p>
    <w:p w14:paraId="09DF69A5" w14:textId="77777777" w:rsidR="00CC5837" w:rsidRPr="00806D62" w:rsidRDefault="00CC5837" w:rsidP="007752C0">
      <w:pPr>
        <w:spacing w:before="100" w:beforeAutospacing="1" w:after="100" w:afterAutospacing="1"/>
        <w:jc w:val="both"/>
        <w:rPr>
          <w:rFonts w:eastAsia="Times New Roman" w:cstheme="minorHAnsi"/>
          <w:kern w:val="0"/>
          <w:lang w:eastAsia="fr-FR"/>
          <w14:ligatures w14:val="none"/>
        </w:rPr>
      </w:pPr>
      <w:r w:rsidRPr="00806D62">
        <w:rPr>
          <w:rFonts w:eastAsia="Times New Roman" w:cstheme="minorHAnsi"/>
          <w:kern w:val="0"/>
          <w:lang w:eastAsia="fr-FR"/>
          <w14:ligatures w14:val="none"/>
        </w:rPr>
        <w:t xml:space="preserve">La PNEFH 2025–2035 prévoit un </w:t>
      </w:r>
      <w:r w:rsidRPr="00806D62">
        <w:rPr>
          <w:rFonts w:eastAsia="Times New Roman" w:cstheme="minorHAnsi"/>
          <w:b/>
          <w:bCs/>
          <w:i/>
          <w:iCs/>
          <w:kern w:val="0"/>
          <w:lang w:eastAsia="fr-FR"/>
          <w14:ligatures w14:val="none"/>
        </w:rPr>
        <w:t>Axe 1 consacré au renforcement du cadre juridique,</w:t>
      </w:r>
      <w:r w:rsidRPr="00806D62">
        <w:rPr>
          <w:rFonts w:eastAsia="Times New Roman" w:cstheme="minorHAnsi"/>
          <w:kern w:val="0"/>
          <w:lang w:eastAsia="fr-FR"/>
          <w14:ligatures w14:val="none"/>
        </w:rPr>
        <w:t xml:space="preserve"> incluant la révision des lois discriminatoires et le plaidoyer pour la ratification du Protocole de Maputo et du Protocole facultatif à la CEDEF.</w:t>
      </w:r>
    </w:p>
    <w:p w14:paraId="5AE484A1" w14:textId="20E01F0E" w:rsidR="00CC5837" w:rsidRPr="00806D62" w:rsidRDefault="00CC5837" w:rsidP="007752C0">
      <w:pPr>
        <w:spacing w:before="100" w:beforeAutospacing="1" w:after="100" w:afterAutospacing="1"/>
        <w:rPr>
          <w:rFonts w:eastAsia="Times New Roman" w:cstheme="minorHAnsi"/>
          <w:kern w:val="0"/>
          <w:lang w:eastAsia="fr-FR"/>
          <w14:ligatures w14:val="none"/>
        </w:rPr>
      </w:pPr>
      <w:r w:rsidRPr="00806D62">
        <w:rPr>
          <w:rFonts w:eastAsia="Times New Roman" w:cstheme="minorHAnsi"/>
          <w:b/>
          <w:bCs/>
          <w:kern w:val="0"/>
          <w:lang w:eastAsia="fr-FR"/>
          <w14:ligatures w14:val="none"/>
        </w:rPr>
        <w:t>OSC contributrices</w:t>
      </w:r>
      <w:r w:rsidRPr="00806D62">
        <w:rPr>
          <w:rFonts w:eastAsia="Times New Roman" w:cstheme="minorHAnsi"/>
          <w:kern w:val="0"/>
          <w:lang w:eastAsia="fr-FR"/>
          <w14:ligatures w14:val="none"/>
        </w:rPr>
        <w:br/>
      </w:r>
      <w:r w:rsidRPr="00806D62">
        <w:rPr>
          <w:rFonts w:eastAsia="Times New Roman" w:cstheme="minorHAnsi"/>
          <w:spacing w:val="-6"/>
          <w:kern w:val="0"/>
          <w:lang w:eastAsia="fr-FR"/>
          <w14:ligatures w14:val="none"/>
        </w:rPr>
        <w:t xml:space="preserve">Les OSC membres de la coalition rappellent que l’absence de cadre légal clair alimente les stéréotypes et affaiblit les politiques publiques. </w:t>
      </w:r>
      <w:r w:rsidR="00806D62" w:rsidRPr="00806D62">
        <w:rPr>
          <w:rFonts w:eastAsia="Times New Roman" w:cstheme="minorHAnsi"/>
          <w:spacing w:val="-6"/>
          <w:kern w:val="0"/>
          <w:lang w:eastAsia="fr-FR"/>
          <w14:ligatures w14:val="none"/>
        </w:rPr>
        <w:t xml:space="preserve">Focus Development Association, </w:t>
      </w:r>
      <w:r w:rsidRPr="00806D62">
        <w:rPr>
          <w:rFonts w:eastAsia="Times New Roman" w:cstheme="minorHAnsi"/>
          <w:spacing w:val="-6"/>
          <w:kern w:val="0"/>
          <w:lang w:eastAsia="fr-FR"/>
          <w14:ligatures w14:val="none"/>
        </w:rPr>
        <w:t xml:space="preserve"> FFBKEM soulignent qu’une loi anti-discrimination offrirait un</w:t>
      </w:r>
      <w:r w:rsidR="007752C0" w:rsidRPr="00806D62">
        <w:rPr>
          <w:rFonts w:eastAsia="Times New Roman" w:cstheme="minorHAnsi"/>
          <w:spacing w:val="-6"/>
          <w:kern w:val="0"/>
          <w:lang w:eastAsia="fr-FR"/>
          <w14:ligatures w14:val="none"/>
        </w:rPr>
        <w:t xml:space="preserve"> référentiel </w:t>
      </w:r>
      <w:r w:rsidR="00806D62" w:rsidRPr="00806D62">
        <w:rPr>
          <w:rFonts w:eastAsia="Times New Roman" w:cstheme="minorHAnsi"/>
          <w:spacing w:val="-6"/>
          <w:kern w:val="0"/>
          <w:lang w:eastAsia="fr-FR"/>
          <w14:ligatures w14:val="none"/>
        </w:rPr>
        <w:t xml:space="preserve">fiable </w:t>
      </w:r>
      <w:r w:rsidRPr="00806D62">
        <w:rPr>
          <w:rFonts w:eastAsia="Times New Roman" w:cstheme="minorHAnsi"/>
          <w:spacing w:val="-6"/>
          <w:kern w:val="0"/>
          <w:lang w:eastAsia="fr-FR"/>
          <w14:ligatures w14:val="none"/>
        </w:rPr>
        <w:t>pour garantir l’égalité réelle.</w:t>
      </w:r>
    </w:p>
    <w:p w14:paraId="0BC0FC58" w14:textId="6E855201" w:rsidR="00CC5837" w:rsidRPr="00806D62" w:rsidRDefault="00CC5837" w:rsidP="00CC5837">
      <w:pPr>
        <w:spacing w:before="100" w:beforeAutospacing="1" w:after="100" w:afterAutospacing="1"/>
        <w:rPr>
          <w:rFonts w:eastAsia="Times New Roman" w:cstheme="minorHAnsi"/>
          <w:kern w:val="0"/>
          <w:lang w:eastAsia="fr-FR"/>
          <w14:ligatures w14:val="none"/>
        </w:rPr>
      </w:pPr>
      <w:r w:rsidRPr="00806D62">
        <w:rPr>
          <w:rFonts w:eastAsia="Times New Roman" w:cstheme="minorHAnsi"/>
          <w:b/>
          <w:bCs/>
          <w:kern w:val="0"/>
          <w:lang w:eastAsia="fr-FR"/>
          <w14:ligatures w14:val="none"/>
        </w:rPr>
        <w:t>Recommandation CEDEF</w:t>
      </w:r>
      <w:r w:rsidRPr="00806D62">
        <w:rPr>
          <w:rFonts w:eastAsia="Times New Roman" w:cstheme="minorHAnsi"/>
          <w:kern w:val="0"/>
          <w:lang w:eastAsia="fr-FR"/>
          <w14:ligatures w14:val="none"/>
        </w:rPr>
        <w:br/>
        <w:t>Abroger sans délai les dispositions discriminatoires encore en vigueur, notamment celles relatives à la nationalité, aux successions et à la santé reproductive, et adopter un cadre juridique conforme à la CEDEF.</w:t>
      </w:r>
    </w:p>
    <w:p w14:paraId="025F0A63" w14:textId="77777777" w:rsidR="00CC5837" w:rsidRPr="00806D62" w:rsidRDefault="00CC5837" w:rsidP="00CC5837">
      <w:pPr>
        <w:spacing w:before="100" w:beforeAutospacing="1" w:after="100" w:afterAutospacing="1"/>
        <w:outlineLvl w:val="1"/>
        <w:rPr>
          <w:rFonts w:eastAsia="Times New Roman" w:cstheme="minorHAnsi"/>
          <w:b/>
          <w:bCs/>
          <w:kern w:val="0"/>
          <w:sz w:val="36"/>
          <w:szCs w:val="36"/>
          <w:lang w:eastAsia="fr-FR"/>
          <w14:ligatures w14:val="none"/>
        </w:rPr>
      </w:pPr>
      <w:r w:rsidRPr="00806D62">
        <w:rPr>
          <w:rFonts w:eastAsia="Times New Roman" w:cstheme="minorHAnsi"/>
          <w:b/>
          <w:bCs/>
          <w:kern w:val="0"/>
          <w:sz w:val="36"/>
          <w:szCs w:val="36"/>
          <w:lang w:eastAsia="fr-FR"/>
          <w14:ligatures w14:val="none"/>
        </w:rPr>
        <w:t>Article 3 – Développement et promotion des femmes</w:t>
      </w:r>
    </w:p>
    <w:p w14:paraId="131E1929" w14:textId="5B9C6160" w:rsidR="00CC5837" w:rsidRPr="00806D62" w:rsidRDefault="00CC5837" w:rsidP="00806D62">
      <w:pPr>
        <w:spacing w:before="100" w:beforeAutospacing="1" w:after="100" w:afterAutospacing="1"/>
        <w:jc w:val="both"/>
        <w:rPr>
          <w:rFonts w:eastAsia="Times New Roman" w:cstheme="minorHAnsi"/>
          <w:kern w:val="0"/>
          <w:lang w:eastAsia="fr-FR"/>
          <w14:ligatures w14:val="none"/>
        </w:rPr>
      </w:pPr>
      <w:r w:rsidRPr="00806D62">
        <w:rPr>
          <w:rFonts w:eastAsia="Times New Roman" w:cstheme="minorHAnsi"/>
          <w:b/>
          <w:bCs/>
          <w:kern w:val="0"/>
          <w:lang w:eastAsia="fr-FR"/>
          <w14:ligatures w14:val="none"/>
        </w:rPr>
        <w:t>Constats</w:t>
      </w:r>
      <w:r w:rsidRPr="00806D62">
        <w:rPr>
          <w:rFonts w:eastAsia="Times New Roman" w:cstheme="minorHAnsi"/>
          <w:kern w:val="0"/>
          <w:lang w:eastAsia="fr-FR"/>
          <w14:ligatures w14:val="none"/>
        </w:rPr>
        <w:br/>
        <w:t>L’AS-EFH (2023)</w:t>
      </w:r>
      <w:r w:rsidR="00806D62">
        <w:rPr>
          <w:rFonts w:eastAsia="Times New Roman" w:cstheme="minorHAnsi"/>
          <w:kern w:val="0"/>
          <w:lang w:eastAsia="fr-FR"/>
          <w14:ligatures w14:val="none"/>
        </w:rPr>
        <w:t xml:space="preserve"> </w:t>
      </w:r>
      <w:r w:rsidRPr="00806D62">
        <w:rPr>
          <w:rFonts w:eastAsia="Times New Roman" w:cstheme="minorHAnsi"/>
          <w:kern w:val="0"/>
          <w:lang w:eastAsia="fr-FR"/>
          <w14:ligatures w14:val="none"/>
        </w:rPr>
        <w:t>relève que, malgré des stratégies ponctuelles, la promotion des droits des femmes reste tributaire de financements externes et souffre d’une faible appropriation nationale. Le ministère en charge de la promotion de la femme (MPS) dispose de ressources limitées, ce qui empêche la mise en œuvre de programmes ambitieux.</w:t>
      </w:r>
    </w:p>
    <w:p w14:paraId="04B7FF49" w14:textId="77777777" w:rsidR="00CC5837" w:rsidRPr="00806D62" w:rsidRDefault="00CC5837" w:rsidP="00806D62">
      <w:pPr>
        <w:spacing w:before="100" w:beforeAutospacing="1" w:after="100" w:afterAutospacing="1"/>
        <w:jc w:val="both"/>
        <w:rPr>
          <w:rFonts w:eastAsia="Times New Roman" w:cstheme="minorHAnsi"/>
          <w:kern w:val="0"/>
          <w:lang w:eastAsia="fr-FR"/>
          <w14:ligatures w14:val="none"/>
        </w:rPr>
      </w:pPr>
      <w:r w:rsidRPr="00806D62">
        <w:rPr>
          <w:rFonts w:eastAsia="Times New Roman" w:cstheme="minorHAnsi"/>
          <w:kern w:val="0"/>
          <w:lang w:eastAsia="fr-FR"/>
          <w14:ligatures w14:val="none"/>
        </w:rPr>
        <w:t>La PNEFH 2025–2035 propose de renforcer le rôle du ministère et d’assurer une coordination interministérielle sous l’égide de la Primature. Elle prévoit aussi la généralisation de la budgétisation sensible au genre et un mécanisme national de suivi-évaluation.</w:t>
      </w:r>
    </w:p>
    <w:p w14:paraId="21C93F48" w14:textId="5001D3E1" w:rsidR="00CC5837" w:rsidRPr="00806D62" w:rsidRDefault="00CC5837" w:rsidP="00CC5837">
      <w:pPr>
        <w:spacing w:before="100" w:beforeAutospacing="1" w:after="100" w:afterAutospacing="1"/>
        <w:rPr>
          <w:rFonts w:eastAsia="Times New Roman" w:cstheme="minorHAnsi"/>
          <w:kern w:val="0"/>
          <w:lang w:eastAsia="fr-FR"/>
          <w14:ligatures w14:val="none"/>
        </w:rPr>
      </w:pPr>
      <w:r w:rsidRPr="00806D62">
        <w:rPr>
          <w:rFonts w:eastAsia="Times New Roman" w:cstheme="minorHAnsi"/>
          <w:b/>
          <w:bCs/>
          <w:kern w:val="0"/>
          <w:lang w:eastAsia="fr-FR"/>
          <w14:ligatures w14:val="none"/>
        </w:rPr>
        <w:t>OSC contributrices</w:t>
      </w:r>
      <w:r w:rsidRPr="00806D62">
        <w:rPr>
          <w:rFonts w:eastAsia="Times New Roman" w:cstheme="minorHAnsi"/>
          <w:kern w:val="0"/>
          <w:lang w:eastAsia="fr-FR"/>
          <w14:ligatures w14:val="none"/>
        </w:rPr>
        <w:br/>
      </w:r>
      <w:r w:rsidR="00806D62">
        <w:rPr>
          <w:rFonts w:eastAsia="Times New Roman" w:cstheme="minorHAnsi"/>
          <w:kern w:val="0"/>
          <w:lang w:eastAsia="fr-FR"/>
          <w14:ligatures w14:val="none"/>
        </w:rPr>
        <w:t xml:space="preserve">Focus Development Association, membre du CNFM, </w:t>
      </w:r>
      <w:r w:rsidRPr="00806D62">
        <w:rPr>
          <w:rFonts w:eastAsia="Times New Roman" w:cstheme="minorHAnsi"/>
          <w:kern w:val="0"/>
          <w:lang w:eastAsia="fr-FR"/>
          <w14:ligatures w14:val="none"/>
        </w:rPr>
        <w:t>insiste sur la nécessité d’un financement national prévisible et durable, pour éviter que les politiques d’égalité ne dépendent exclusivement des partenaires techniques et financiers.</w:t>
      </w:r>
    </w:p>
    <w:p w14:paraId="408D63A1" w14:textId="43F79E00" w:rsidR="00CC5837" w:rsidRPr="00806D62" w:rsidRDefault="00CC5837" w:rsidP="00CC5837">
      <w:pPr>
        <w:spacing w:before="100" w:beforeAutospacing="1" w:after="100" w:afterAutospacing="1"/>
        <w:rPr>
          <w:rFonts w:eastAsia="Times New Roman" w:cstheme="minorHAnsi"/>
          <w:kern w:val="0"/>
          <w:lang w:eastAsia="fr-FR"/>
          <w14:ligatures w14:val="none"/>
        </w:rPr>
      </w:pPr>
      <w:r w:rsidRPr="00806D62">
        <w:rPr>
          <w:rFonts w:eastAsia="Times New Roman" w:cstheme="minorHAnsi"/>
          <w:b/>
          <w:bCs/>
          <w:kern w:val="0"/>
          <w:lang w:eastAsia="fr-FR"/>
          <w14:ligatures w14:val="none"/>
        </w:rPr>
        <w:t>Recommandation CEDEF</w:t>
      </w:r>
      <w:r w:rsidRPr="00806D62">
        <w:rPr>
          <w:rFonts w:eastAsia="Times New Roman" w:cstheme="minorHAnsi"/>
          <w:kern w:val="0"/>
          <w:lang w:eastAsia="fr-FR"/>
          <w14:ligatures w14:val="none"/>
        </w:rPr>
        <w:br/>
        <w:t>Allouer des ressources humaines et financières suffisantes au M</w:t>
      </w:r>
      <w:r w:rsidR="0007295A">
        <w:rPr>
          <w:rFonts w:eastAsia="Times New Roman" w:cstheme="minorHAnsi"/>
          <w:kern w:val="0"/>
          <w:lang w:eastAsia="fr-FR"/>
          <w14:ligatures w14:val="none"/>
        </w:rPr>
        <w:t>PS</w:t>
      </w:r>
      <w:r w:rsidRPr="00806D62">
        <w:rPr>
          <w:rFonts w:eastAsia="Times New Roman" w:cstheme="minorHAnsi"/>
          <w:kern w:val="0"/>
          <w:lang w:eastAsia="fr-FR"/>
          <w14:ligatures w14:val="none"/>
        </w:rPr>
        <w:t xml:space="preserve"> et garantir la mise en œuvre effective de la PNEFH 2025–2035 une fois adoptée.</w:t>
      </w:r>
    </w:p>
    <w:p w14:paraId="630B91B2" w14:textId="77777777" w:rsidR="00CC5837" w:rsidRPr="00806D62" w:rsidRDefault="00CC5837" w:rsidP="00CC5837">
      <w:pPr>
        <w:spacing w:before="100" w:beforeAutospacing="1" w:after="100" w:afterAutospacing="1"/>
        <w:outlineLvl w:val="1"/>
        <w:rPr>
          <w:rFonts w:eastAsia="Times New Roman" w:cstheme="minorHAnsi"/>
          <w:b/>
          <w:bCs/>
          <w:kern w:val="0"/>
          <w:sz w:val="36"/>
          <w:szCs w:val="36"/>
          <w:lang w:eastAsia="fr-FR"/>
          <w14:ligatures w14:val="none"/>
        </w:rPr>
      </w:pPr>
      <w:r w:rsidRPr="00806D62">
        <w:rPr>
          <w:rFonts w:eastAsia="Times New Roman" w:cstheme="minorHAnsi"/>
          <w:b/>
          <w:bCs/>
          <w:kern w:val="0"/>
          <w:sz w:val="36"/>
          <w:szCs w:val="36"/>
          <w:lang w:eastAsia="fr-FR"/>
          <w14:ligatures w14:val="none"/>
        </w:rPr>
        <w:t>Article 4 – Mesures temporaires spéciales</w:t>
      </w:r>
    </w:p>
    <w:p w14:paraId="4DE136E0" w14:textId="77777777" w:rsidR="00CC5837" w:rsidRPr="00806D62" w:rsidRDefault="00CC5837" w:rsidP="00CC5837">
      <w:pPr>
        <w:spacing w:before="100" w:beforeAutospacing="1" w:after="100" w:afterAutospacing="1"/>
        <w:rPr>
          <w:rFonts w:eastAsia="Times New Roman" w:cstheme="minorHAnsi"/>
          <w:kern w:val="0"/>
          <w:lang w:eastAsia="fr-FR"/>
          <w14:ligatures w14:val="none"/>
        </w:rPr>
      </w:pPr>
      <w:r w:rsidRPr="00806D62">
        <w:rPr>
          <w:rFonts w:eastAsia="Times New Roman" w:cstheme="minorHAnsi"/>
          <w:b/>
          <w:bCs/>
          <w:kern w:val="0"/>
          <w:lang w:eastAsia="fr-FR"/>
          <w14:ligatures w14:val="none"/>
        </w:rPr>
        <w:t>Constats</w:t>
      </w:r>
      <w:r w:rsidRPr="00806D62">
        <w:rPr>
          <w:rFonts w:eastAsia="Times New Roman" w:cstheme="minorHAnsi"/>
          <w:kern w:val="0"/>
          <w:lang w:eastAsia="fr-FR"/>
          <w14:ligatures w14:val="none"/>
        </w:rPr>
        <w:br/>
        <w:t>En 2015, le Comité avait recommandé l’adoption de mesures temporaires spéciales, telles que des quotas, pour accélérer la représentation des femmes. Ces mesures n’ont pas encore été introduites dans la législation.</w:t>
      </w:r>
    </w:p>
    <w:p w14:paraId="540307B7" w14:textId="77777777" w:rsidR="00CC5837" w:rsidRPr="00806D62" w:rsidRDefault="00CC5837" w:rsidP="00CC5837">
      <w:pPr>
        <w:spacing w:before="100" w:beforeAutospacing="1" w:after="100" w:afterAutospacing="1"/>
        <w:rPr>
          <w:rFonts w:eastAsia="Times New Roman" w:cstheme="minorHAnsi"/>
          <w:kern w:val="0"/>
          <w:lang w:eastAsia="fr-FR"/>
          <w14:ligatures w14:val="none"/>
        </w:rPr>
      </w:pPr>
      <w:r w:rsidRPr="00806D62">
        <w:rPr>
          <w:rFonts w:eastAsia="Times New Roman" w:cstheme="minorHAnsi"/>
          <w:kern w:val="0"/>
          <w:lang w:eastAsia="fr-FR"/>
          <w14:ligatures w14:val="none"/>
        </w:rPr>
        <w:lastRenderedPageBreak/>
        <w:t>En pratique, la participation des femmes dans la vie politique et économique reste faible : 17 % de députées, moins de 5 % de mairesses, 2 gouverneures sur 23. La proposition de loi sur la participation politique des femmes, déposée par la Présidente de l’Assemblée nationale, a été rejetée pour non-conformité constitutionnelle.</w:t>
      </w:r>
    </w:p>
    <w:p w14:paraId="134BD73E" w14:textId="77777777" w:rsidR="00CC5837" w:rsidRPr="00806D62" w:rsidRDefault="00CC5837" w:rsidP="00CC5837">
      <w:pPr>
        <w:spacing w:before="100" w:beforeAutospacing="1" w:after="100" w:afterAutospacing="1"/>
        <w:rPr>
          <w:rFonts w:eastAsia="Times New Roman" w:cstheme="minorHAnsi"/>
          <w:kern w:val="0"/>
          <w:lang w:eastAsia="fr-FR"/>
          <w14:ligatures w14:val="none"/>
        </w:rPr>
      </w:pPr>
      <w:r w:rsidRPr="00806D62">
        <w:rPr>
          <w:rFonts w:eastAsia="Times New Roman" w:cstheme="minorHAnsi"/>
          <w:kern w:val="0"/>
          <w:lang w:eastAsia="fr-FR"/>
          <w14:ligatures w14:val="none"/>
        </w:rPr>
        <w:t xml:space="preserve">La PNEFH 2025–2035 prévoit, dans </w:t>
      </w:r>
      <w:r w:rsidRPr="0007295A">
        <w:rPr>
          <w:rFonts w:eastAsia="Times New Roman" w:cstheme="minorHAnsi"/>
          <w:b/>
          <w:bCs/>
          <w:i/>
          <w:iCs/>
          <w:kern w:val="0"/>
          <w:lang w:eastAsia="fr-FR"/>
          <w14:ligatures w14:val="none"/>
        </w:rPr>
        <w:t>son Axe 4</w:t>
      </w:r>
      <w:r w:rsidRPr="00806D62">
        <w:rPr>
          <w:rFonts w:eastAsia="Times New Roman" w:cstheme="minorHAnsi"/>
          <w:kern w:val="0"/>
          <w:lang w:eastAsia="fr-FR"/>
          <w14:ligatures w14:val="none"/>
        </w:rPr>
        <w:t>, l’introduction de quotas obligatoires et de mesures volontaristes, ainsi que le renforcement du leadership féminin.</w:t>
      </w:r>
    </w:p>
    <w:p w14:paraId="5F8D1E3E" w14:textId="1FF11165" w:rsidR="00CC5837" w:rsidRPr="00806D62" w:rsidRDefault="00CC5837" w:rsidP="00CC5837">
      <w:pPr>
        <w:spacing w:before="100" w:beforeAutospacing="1" w:after="100" w:afterAutospacing="1"/>
        <w:rPr>
          <w:rFonts w:eastAsia="Times New Roman" w:cstheme="minorHAnsi"/>
          <w:kern w:val="0"/>
          <w:lang w:eastAsia="fr-FR"/>
          <w14:ligatures w14:val="none"/>
        </w:rPr>
      </w:pPr>
      <w:r w:rsidRPr="00806D62">
        <w:rPr>
          <w:rFonts w:eastAsia="Times New Roman" w:cstheme="minorHAnsi"/>
          <w:b/>
          <w:bCs/>
          <w:kern w:val="0"/>
          <w:lang w:eastAsia="fr-FR"/>
          <w14:ligatures w14:val="none"/>
        </w:rPr>
        <w:t>OSC contributrices</w:t>
      </w:r>
      <w:r w:rsidRPr="00806D62">
        <w:rPr>
          <w:rFonts w:eastAsia="Times New Roman" w:cstheme="minorHAnsi"/>
          <w:kern w:val="0"/>
          <w:lang w:eastAsia="fr-FR"/>
          <w14:ligatures w14:val="none"/>
        </w:rPr>
        <w:br/>
      </w:r>
      <w:r w:rsidR="0007295A">
        <w:rPr>
          <w:rFonts w:eastAsia="Times New Roman" w:cstheme="minorHAnsi"/>
          <w:kern w:val="0"/>
          <w:lang w:eastAsia="fr-FR"/>
          <w14:ligatures w14:val="none"/>
        </w:rPr>
        <w:t xml:space="preserve">Focus Development Association et </w:t>
      </w:r>
      <w:r w:rsidRPr="00806D62">
        <w:rPr>
          <w:rFonts w:eastAsia="Times New Roman" w:cstheme="minorHAnsi"/>
          <w:kern w:val="0"/>
          <w:lang w:eastAsia="fr-FR"/>
          <w14:ligatures w14:val="none"/>
        </w:rPr>
        <w:t>FFBKEM</w:t>
      </w:r>
      <w:r w:rsidR="0007295A">
        <w:rPr>
          <w:rFonts w:eastAsia="Times New Roman" w:cstheme="minorHAnsi"/>
          <w:kern w:val="0"/>
          <w:lang w:eastAsia="fr-FR"/>
          <w14:ligatures w14:val="none"/>
        </w:rPr>
        <w:t xml:space="preserve"> de </w:t>
      </w:r>
      <w:r w:rsidRPr="00806D62">
        <w:rPr>
          <w:rFonts w:eastAsia="Times New Roman" w:cstheme="minorHAnsi"/>
          <w:kern w:val="0"/>
          <w:lang w:eastAsia="fr-FR"/>
          <w14:ligatures w14:val="none"/>
        </w:rPr>
        <w:t xml:space="preserve">Pax Romana insistent sur l’importance de </w:t>
      </w:r>
      <w:r w:rsidRPr="004F1A30">
        <w:rPr>
          <w:rFonts w:eastAsia="Times New Roman" w:cstheme="minorHAnsi"/>
          <w:kern w:val="0"/>
          <w:lang w:eastAsia="fr-FR"/>
          <w14:ligatures w14:val="none"/>
        </w:rPr>
        <w:t>mesures temporaires spéciales pour lever les</w:t>
      </w:r>
      <w:r w:rsidRPr="00806D62">
        <w:rPr>
          <w:rFonts w:eastAsia="Times New Roman" w:cstheme="minorHAnsi"/>
          <w:kern w:val="0"/>
          <w:lang w:eastAsia="fr-FR"/>
          <w14:ligatures w14:val="none"/>
        </w:rPr>
        <w:t xml:space="preserve"> obstacles structurels. Elles rappellent que la participation des femmes dans les instances décisionnelles est une condition essentielle à l’égalité réelle.</w:t>
      </w:r>
    </w:p>
    <w:p w14:paraId="43CE1D9E" w14:textId="33749CAD" w:rsidR="00CC5837" w:rsidRDefault="00CC5837" w:rsidP="00CC5837">
      <w:pPr>
        <w:spacing w:before="100" w:beforeAutospacing="1" w:after="100" w:afterAutospacing="1"/>
        <w:rPr>
          <w:rFonts w:eastAsia="Times New Roman" w:cstheme="minorHAnsi"/>
          <w:kern w:val="0"/>
          <w:lang w:eastAsia="fr-FR"/>
          <w14:ligatures w14:val="none"/>
        </w:rPr>
      </w:pPr>
      <w:r w:rsidRPr="004F1A30">
        <w:rPr>
          <w:rFonts w:eastAsia="Times New Roman" w:cstheme="minorHAnsi"/>
          <w:b/>
          <w:bCs/>
          <w:kern w:val="0"/>
          <w:lang w:eastAsia="fr-FR"/>
          <w14:ligatures w14:val="none"/>
        </w:rPr>
        <w:t>Recommandation CEDEF</w:t>
      </w:r>
      <w:r w:rsidRPr="004F1A30">
        <w:rPr>
          <w:rFonts w:eastAsia="Times New Roman" w:cstheme="minorHAnsi"/>
          <w:kern w:val="0"/>
          <w:lang w:eastAsia="fr-FR"/>
          <w14:ligatures w14:val="none"/>
        </w:rPr>
        <w:br/>
        <w:t>Introduire des quotas électoraux et administratifs, assortis de mécanismes de suivi et de sanctions, afin d’assurer une participation équilibrée des femmes dans les postes de responsabilité.</w:t>
      </w:r>
    </w:p>
    <w:p w14:paraId="347492FC" w14:textId="77777777" w:rsidR="00621F66" w:rsidRPr="001F681F" w:rsidRDefault="00621F66" w:rsidP="00621F66">
      <w:pPr>
        <w:spacing w:before="100" w:beforeAutospacing="1" w:after="100" w:afterAutospacing="1"/>
        <w:outlineLvl w:val="1"/>
        <w:rPr>
          <w:rFonts w:eastAsia="Times New Roman" w:cstheme="minorHAnsi"/>
          <w:b/>
          <w:bCs/>
          <w:kern w:val="0"/>
          <w:sz w:val="36"/>
          <w:szCs w:val="36"/>
          <w:lang w:eastAsia="fr-FR"/>
          <w14:ligatures w14:val="none"/>
        </w:rPr>
      </w:pPr>
      <w:r w:rsidRPr="001F681F">
        <w:rPr>
          <w:rFonts w:eastAsia="Times New Roman" w:cstheme="minorHAnsi"/>
          <w:b/>
          <w:bCs/>
          <w:kern w:val="0"/>
          <w:sz w:val="36"/>
          <w:szCs w:val="36"/>
          <w:lang w:eastAsia="fr-FR"/>
          <w14:ligatures w14:val="none"/>
        </w:rPr>
        <w:t>Article 5 – Stéréotypes et pratiques néfastes</w:t>
      </w:r>
    </w:p>
    <w:p w14:paraId="773798FF" w14:textId="77777777" w:rsidR="00621F66" w:rsidRPr="001F681F" w:rsidRDefault="00621F66" w:rsidP="00621F66">
      <w:pPr>
        <w:spacing w:before="100" w:beforeAutospacing="1" w:after="100" w:afterAutospacing="1"/>
        <w:jc w:val="both"/>
        <w:rPr>
          <w:rFonts w:eastAsia="Times New Roman" w:cstheme="minorHAnsi"/>
          <w:kern w:val="0"/>
          <w:lang w:eastAsia="fr-FR"/>
          <w14:ligatures w14:val="none"/>
        </w:rPr>
      </w:pPr>
      <w:r w:rsidRPr="001F681F">
        <w:rPr>
          <w:rFonts w:eastAsia="Times New Roman" w:cstheme="minorHAnsi"/>
          <w:b/>
          <w:bCs/>
          <w:kern w:val="0"/>
          <w:lang w:eastAsia="fr-FR"/>
          <w14:ligatures w14:val="none"/>
        </w:rPr>
        <w:t>Constats</w:t>
      </w:r>
      <w:r w:rsidRPr="001F681F">
        <w:rPr>
          <w:rFonts w:eastAsia="Times New Roman" w:cstheme="minorHAnsi"/>
          <w:kern w:val="0"/>
          <w:lang w:eastAsia="fr-FR"/>
          <w14:ligatures w14:val="none"/>
        </w:rPr>
        <w:br/>
        <w:t>Le Comité CEDEF avait exprimé en 2015 une préoccupation majeure quant à la persistance de stéréotypes sexistes et de pratiques préjudiciables, notamment les mariages précoces et forcés, la polygamie, la dot (</w:t>
      </w:r>
      <w:r w:rsidRPr="001F681F">
        <w:rPr>
          <w:rFonts w:eastAsia="Times New Roman" w:cstheme="minorHAnsi"/>
          <w:i/>
          <w:iCs/>
          <w:kern w:val="0"/>
          <w:lang w:eastAsia="fr-FR"/>
          <w14:ligatures w14:val="none"/>
        </w:rPr>
        <w:t>moletry</w:t>
      </w:r>
      <w:r w:rsidRPr="001F681F">
        <w:rPr>
          <w:rFonts w:eastAsia="Times New Roman" w:cstheme="minorHAnsi"/>
          <w:kern w:val="0"/>
          <w:lang w:eastAsia="fr-FR"/>
          <w14:ligatures w14:val="none"/>
        </w:rPr>
        <w:t>) et les « marchés aux filles » (</w:t>
      </w:r>
      <w:r w:rsidRPr="001F681F">
        <w:rPr>
          <w:rFonts w:eastAsia="Times New Roman" w:cstheme="minorHAnsi"/>
          <w:i/>
          <w:iCs/>
          <w:kern w:val="0"/>
          <w:lang w:eastAsia="fr-FR"/>
          <w14:ligatures w14:val="none"/>
        </w:rPr>
        <w:t>tsenan’ampela</w:t>
      </w:r>
      <w:r w:rsidRPr="001F681F">
        <w:rPr>
          <w:rFonts w:eastAsia="Times New Roman" w:cstheme="minorHAnsi"/>
          <w:kern w:val="0"/>
          <w:lang w:eastAsia="fr-FR"/>
          <w14:ligatures w14:val="none"/>
        </w:rPr>
        <w:t>). Ces pratiques, profondément enracinées dans les traditions et coutumes, continuent d’avoir des effets négatifs sur les droits fondamentaux des femmes et des filles.</w:t>
      </w:r>
    </w:p>
    <w:p w14:paraId="2AF56B78" w14:textId="77777777" w:rsidR="00621F66" w:rsidRDefault="00621F66" w:rsidP="00621F66">
      <w:pPr>
        <w:spacing w:before="100" w:beforeAutospacing="1" w:after="100" w:afterAutospacing="1"/>
        <w:jc w:val="both"/>
        <w:rPr>
          <w:rFonts w:eastAsia="Times New Roman" w:cstheme="minorHAnsi"/>
          <w:kern w:val="0"/>
          <w:lang w:eastAsia="fr-FR"/>
          <w14:ligatures w14:val="none"/>
        </w:rPr>
      </w:pPr>
      <w:r w:rsidRPr="001F681F">
        <w:rPr>
          <w:rFonts w:eastAsia="Times New Roman" w:cstheme="minorHAnsi"/>
          <w:kern w:val="0"/>
          <w:lang w:eastAsia="fr-FR"/>
          <w14:ligatures w14:val="none"/>
        </w:rPr>
        <w:t xml:space="preserve">L’AS-EFH (2023) confirme que les stéréotypes restent particulièrement répandus. Les femmes sont encore perçues comme </w:t>
      </w:r>
      <w:r w:rsidRPr="001F681F">
        <w:rPr>
          <w:rFonts w:eastAsia="Times New Roman" w:cstheme="minorHAnsi"/>
          <w:i/>
          <w:iCs/>
          <w:kern w:val="0"/>
          <w:lang w:eastAsia="fr-FR"/>
          <w14:ligatures w14:val="none"/>
        </w:rPr>
        <w:t>fanaka malemy</w:t>
      </w:r>
      <w:r w:rsidRPr="001F681F">
        <w:rPr>
          <w:rFonts w:eastAsia="Times New Roman" w:cstheme="minorHAnsi"/>
          <w:kern w:val="0"/>
          <w:lang w:eastAsia="fr-FR"/>
          <w14:ligatures w14:val="none"/>
        </w:rPr>
        <w:t xml:space="preserve"> (« meuble fragile »), ce qui limite leur participation dans la vie publique et politique. Les données révèlent que près de 40 % des filles sont mariées avant l’âge de 18 ans, un chiffre qui demeure alarmant malgré l’interdiction légale du mariage précoce.</w:t>
      </w:r>
    </w:p>
    <w:p w14:paraId="550ECE13" w14:textId="586644B0" w:rsidR="0087572B" w:rsidRPr="0087572B" w:rsidRDefault="0087572B" w:rsidP="00621F66">
      <w:pPr>
        <w:spacing w:before="100" w:beforeAutospacing="1" w:after="100" w:afterAutospacing="1"/>
        <w:jc w:val="both"/>
        <w:rPr>
          <w:rFonts w:eastAsia="Times New Roman" w:cstheme="minorHAnsi"/>
          <w:kern w:val="0"/>
          <w:lang w:eastAsia="fr-FR"/>
          <w14:ligatures w14:val="none"/>
        </w:rPr>
      </w:pPr>
      <w:r w:rsidRPr="004A5826">
        <w:rPr>
          <w:rFonts w:eastAsia="Times New Roman" w:cstheme="minorHAnsi"/>
          <w:kern w:val="0"/>
          <w:lang w:eastAsia="fr-FR"/>
          <w14:ligatures w14:val="none"/>
        </w:rPr>
        <w:t>La persistance de stéréotypes et de pratiques coutumières qui limitent la place des femmes dans la sphère publique et politique est contraire aux recommandations du Comité. La RG n°40 souligne en effet que les États parties ont l’obligation d’éliminer les obstacles systémiques et culturels qui entravent la participation des femmes, y compris ceux liés aux normes sociales discriminatoires.</w:t>
      </w:r>
    </w:p>
    <w:p w14:paraId="2428A599" w14:textId="77777777" w:rsidR="00621F66" w:rsidRPr="001F681F" w:rsidRDefault="00621F66" w:rsidP="00621F66">
      <w:pPr>
        <w:spacing w:before="100" w:beforeAutospacing="1" w:after="100" w:afterAutospacing="1"/>
        <w:jc w:val="both"/>
        <w:rPr>
          <w:rFonts w:eastAsia="Times New Roman" w:cstheme="minorHAnsi"/>
          <w:kern w:val="0"/>
          <w:lang w:eastAsia="fr-FR"/>
          <w14:ligatures w14:val="none"/>
        </w:rPr>
      </w:pPr>
      <w:r w:rsidRPr="001F681F">
        <w:rPr>
          <w:rFonts w:eastAsia="Times New Roman" w:cstheme="minorHAnsi"/>
          <w:kern w:val="0"/>
          <w:lang w:eastAsia="fr-FR"/>
          <w14:ligatures w14:val="none"/>
        </w:rPr>
        <w:t>La PNEFH 2025–2035 prévoit, à travers son Axe 3, des campagnes nationales de sensibilisation pour transformer les normes sociales, la révision des curricula scolaires afin d’éliminer les stéréotypes de genre, et l’implication des leaders religieux et communautaires. La SNLCVBG 2025–2030 prévoit quant à elle un axe dédié à la prévention, incluant des campagnes massives contre les mariages précoces et une sensibilisation systématique des communautés.</w:t>
      </w:r>
    </w:p>
    <w:p w14:paraId="3EC2CBF3" w14:textId="77777777" w:rsidR="0087572B" w:rsidRDefault="00621F66" w:rsidP="0087572B">
      <w:pPr>
        <w:spacing w:before="100" w:beforeAutospacing="1"/>
        <w:jc w:val="both"/>
        <w:rPr>
          <w:rFonts w:eastAsia="Times New Roman" w:cstheme="minorHAnsi"/>
          <w:kern w:val="0"/>
          <w:lang w:eastAsia="fr-FR"/>
          <w14:ligatures w14:val="none"/>
        </w:rPr>
      </w:pPr>
      <w:r w:rsidRPr="001F681F">
        <w:rPr>
          <w:rFonts w:eastAsia="Times New Roman" w:cstheme="minorHAnsi"/>
          <w:b/>
          <w:bCs/>
          <w:kern w:val="0"/>
          <w:lang w:eastAsia="fr-FR"/>
          <w14:ligatures w14:val="none"/>
        </w:rPr>
        <w:lastRenderedPageBreak/>
        <w:t>OSC contributrices</w:t>
      </w:r>
    </w:p>
    <w:p w14:paraId="4665B19A" w14:textId="0429482E" w:rsidR="00621F66" w:rsidRPr="00FE0345" w:rsidRDefault="00621F66" w:rsidP="0087572B">
      <w:pPr>
        <w:spacing w:before="100" w:beforeAutospacing="1" w:after="100" w:afterAutospacing="1"/>
        <w:jc w:val="both"/>
        <w:rPr>
          <w:rFonts w:eastAsia="Times New Roman" w:cstheme="minorHAnsi"/>
          <w:kern w:val="0"/>
          <w:lang w:eastAsia="fr-FR"/>
          <w14:ligatures w14:val="none"/>
        </w:rPr>
      </w:pPr>
      <w:r w:rsidRPr="001F681F">
        <w:rPr>
          <w:rFonts w:eastAsia="Times New Roman" w:cstheme="minorHAnsi"/>
          <w:kern w:val="0"/>
          <w:lang w:eastAsia="fr-FR"/>
          <w14:ligatures w14:val="none"/>
        </w:rPr>
        <w:t xml:space="preserve">Les organisations membres de la coalition soulignent que les stéréotypes continuent de justifier l’exclusion des femmes des postes décisionnels, renforçant une vision de la société où la place de la femme reste limitée au foyer. Pax Romana insiste sur </w:t>
      </w:r>
      <w:r w:rsidRPr="00FE0345">
        <w:rPr>
          <w:rFonts w:eastAsia="Times New Roman" w:cstheme="minorHAnsi"/>
          <w:kern w:val="0"/>
          <w:lang w:eastAsia="fr-FR"/>
          <w14:ligatures w14:val="none"/>
        </w:rPr>
        <w:t>la masculinisation des espaces sociaux et politiques, qui constitue un frein structurel à l’égalité.</w:t>
      </w:r>
    </w:p>
    <w:p w14:paraId="1CDDEB7F" w14:textId="77777777" w:rsidR="0087572B" w:rsidRDefault="00621F66" w:rsidP="0087572B">
      <w:pPr>
        <w:spacing w:before="100" w:beforeAutospacing="1"/>
        <w:jc w:val="both"/>
        <w:rPr>
          <w:rFonts w:eastAsia="Times New Roman" w:cstheme="minorHAnsi"/>
          <w:kern w:val="0"/>
          <w:lang w:eastAsia="fr-FR"/>
          <w14:ligatures w14:val="none"/>
        </w:rPr>
      </w:pPr>
      <w:r w:rsidRPr="001F681F">
        <w:rPr>
          <w:rFonts w:eastAsia="Times New Roman" w:cstheme="minorHAnsi"/>
          <w:b/>
          <w:bCs/>
          <w:kern w:val="0"/>
          <w:lang w:eastAsia="fr-FR"/>
          <w14:ligatures w14:val="none"/>
        </w:rPr>
        <w:t>Recommandation CEDEF</w:t>
      </w:r>
    </w:p>
    <w:p w14:paraId="465B44AD" w14:textId="07B3EED4" w:rsidR="00621F66" w:rsidRPr="001F681F" w:rsidRDefault="00621F66" w:rsidP="0087572B">
      <w:pPr>
        <w:spacing w:before="100" w:beforeAutospacing="1" w:after="100" w:afterAutospacing="1"/>
        <w:jc w:val="both"/>
        <w:rPr>
          <w:rFonts w:eastAsia="Times New Roman" w:cstheme="minorHAnsi"/>
          <w:kern w:val="0"/>
          <w:lang w:eastAsia="fr-FR"/>
          <w14:ligatures w14:val="none"/>
        </w:rPr>
      </w:pPr>
      <w:r>
        <w:rPr>
          <w:rFonts w:eastAsia="Times New Roman" w:cstheme="minorHAnsi"/>
          <w:kern w:val="0"/>
          <w:lang w:eastAsia="fr-FR"/>
          <w14:ligatures w14:val="none"/>
        </w:rPr>
        <w:t>Adopter la PNEFH et accélérer sa mise en œuvre. I</w:t>
      </w:r>
      <w:r w:rsidRPr="001F681F">
        <w:rPr>
          <w:rFonts w:eastAsia="Times New Roman" w:cstheme="minorHAnsi"/>
          <w:kern w:val="0"/>
          <w:lang w:eastAsia="fr-FR"/>
          <w14:ligatures w14:val="none"/>
        </w:rPr>
        <w:t xml:space="preserve">ntensifier </w:t>
      </w:r>
      <w:r>
        <w:rPr>
          <w:rFonts w:eastAsia="Times New Roman" w:cstheme="minorHAnsi"/>
          <w:kern w:val="0"/>
          <w:lang w:eastAsia="fr-FR"/>
          <w14:ligatures w14:val="none"/>
        </w:rPr>
        <w:t xml:space="preserve">ainsi </w:t>
      </w:r>
      <w:r w:rsidRPr="001F681F">
        <w:rPr>
          <w:rFonts w:eastAsia="Times New Roman" w:cstheme="minorHAnsi"/>
          <w:kern w:val="0"/>
          <w:lang w:eastAsia="fr-FR"/>
          <w14:ligatures w14:val="none"/>
        </w:rPr>
        <w:t>les campagnes nationales de sensibilisation sur l’</w:t>
      </w:r>
      <w:r>
        <w:rPr>
          <w:rFonts w:eastAsia="Times New Roman" w:cstheme="minorHAnsi"/>
          <w:kern w:val="0"/>
          <w:lang w:eastAsia="fr-FR"/>
          <w14:ligatures w14:val="none"/>
        </w:rPr>
        <w:t>EFH</w:t>
      </w:r>
      <w:r w:rsidRPr="001F681F">
        <w:rPr>
          <w:rFonts w:eastAsia="Times New Roman" w:cstheme="minorHAnsi"/>
          <w:kern w:val="0"/>
          <w:lang w:eastAsia="fr-FR"/>
          <w14:ligatures w14:val="none"/>
        </w:rPr>
        <w:t>, éradiquer les pratiques néfastes, supprimer les stéréotypes dans l’éducation et les médias, et impliquer activement les leaders communautaires et religieux dans la promotion du changement social.</w:t>
      </w:r>
    </w:p>
    <w:p w14:paraId="3666719F" w14:textId="77777777" w:rsidR="00621F66" w:rsidRPr="001F681F" w:rsidRDefault="00621F66" w:rsidP="00621F66">
      <w:pPr>
        <w:spacing w:before="100" w:beforeAutospacing="1" w:after="100" w:afterAutospacing="1"/>
        <w:outlineLvl w:val="1"/>
        <w:rPr>
          <w:rFonts w:eastAsia="Times New Roman" w:cstheme="minorHAnsi"/>
          <w:b/>
          <w:bCs/>
          <w:kern w:val="0"/>
          <w:sz w:val="36"/>
          <w:szCs w:val="36"/>
          <w:lang w:eastAsia="fr-FR"/>
          <w14:ligatures w14:val="none"/>
        </w:rPr>
      </w:pPr>
      <w:r w:rsidRPr="001F681F">
        <w:rPr>
          <w:rFonts w:eastAsia="Times New Roman" w:cstheme="minorHAnsi"/>
          <w:b/>
          <w:bCs/>
          <w:kern w:val="0"/>
          <w:sz w:val="36"/>
          <w:szCs w:val="36"/>
          <w:lang w:eastAsia="fr-FR"/>
          <w14:ligatures w14:val="none"/>
        </w:rPr>
        <w:t>Article 6 – Traite des femmes et exploitation</w:t>
      </w:r>
    </w:p>
    <w:p w14:paraId="1321B343" w14:textId="77777777" w:rsidR="00621F66" w:rsidRPr="001F681F" w:rsidRDefault="00621F66" w:rsidP="00621F66">
      <w:pPr>
        <w:spacing w:before="100" w:beforeAutospacing="1" w:after="100" w:afterAutospacing="1"/>
        <w:jc w:val="both"/>
        <w:rPr>
          <w:rFonts w:eastAsia="Times New Roman" w:cstheme="minorHAnsi"/>
          <w:kern w:val="0"/>
          <w:lang w:eastAsia="fr-FR"/>
          <w14:ligatures w14:val="none"/>
        </w:rPr>
      </w:pPr>
      <w:r w:rsidRPr="001F681F">
        <w:rPr>
          <w:rFonts w:eastAsia="Times New Roman" w:cstheme="minorHAnsi"/>
          <w:b/>
          <w:bCs/>
          <w:kern w:val="0"/>
          <w:lang w:eastAsia="fr-FR"/>
          <w14:ligatures w14:val="none"/>
        </w:rPr>
        <w:t>Constats</w:t>
      </w:r>
      <w:r w:rsidRPr="001F681F">
        <w:rPr>
          <w:rFonts w:eastAsia="Times New Roman" w:cstheme="minorHAnsi"/>
          <w:kern w:val="0"/>
          <w:lang w:eastAsia="fr-FR"/>
          <w14:ligatures w14:val="none"/>
        </w:rPr>
        <w:br/>
        <w:t>En 2015, le Comité CEDEF a recommandé à Madagascar de rendre pleinement opérationnel le Bureau national de lutte contre la traite, d’allouer des ressources suffisantes au plan d’action national et de renforcer les mécanismes de prévention et de protection des victimes.</w:t>
      </w:r>
    </w:p>
    <w:p w14:paraId="0EE6C44B" w14:textId="77777777" w:rsidR="00621F66" w:rsidRPr="001F681F" w:rsidRDefault="00621F66" w:rsidP="00621F66">
      <w:pPr>
        <w:spacing w:before="100" w:beforeAutospacing="1" w:after="100" w:afterAutospacing="1"/>
        <w:jc w:val="both"/>
        <w:rPr>
          <w:rFonts w:eastAsia="Times New Roman" w:cstheme="minorHAnsi"/>
          <w:kern w:val="0"/>
          <w:lang w:eastAsia="fr-FR"/>
          <w14:ligatures w14:val="none"/>
        </w:rPr>
      </w:pPr>
      <w:r w:rsidRPr="001F681F">
        <w:rPr>
          <w:rFonts w:eastAsia="Times New Roman" w:cstheme="minorHAnsi"/>
          <w:kern w:val="0"/>
          <w:lang w:eastAsia="fr-FR"/>
          <w14:ligatures w14:val="none"/>
        </w:rPr>
        <w:t>L’AS-EFH (2023) note que malgré l’adoption de la loi 2014-040 sur la lutte contre la traite, les mécanismes restent fragiles. Le Bureau national existe mais manque de moyens financiers et techniques. Les femmes et filles, particulièrement celles en situation de pauvreté, demeurent vulnérables à l’exploitation domestique, à la traite à des fins sexuelles et au travail forcé.</w:t>
      </w:r>
    </w:p>
    <w:p w14:paraId="46053881" w14:textId="77777777" w:rsidR="00621F66" w:rsidRPr="001F681F" w:rsidRDefault="00621F66" w:rsidP="00621F66">
      <w:pPr>
        <w:spacing w:before="100" w:beforeAutospacing="1" w:after="100" w:afterAutospacing="1"/>
        <w:jc w:val="both"/>
        <w:rPr>
          <w:rFonts w:eastAsia="Times New Roman" w:cstheme="minorHAnsi"/>
          <w:kern w:val="0"/>
          <w:lang w:eastAsia="fr-FR"/>
          <w14:ligatures w14:val="none"/>
        </w:rPr>
      </w:pPr>
      <w:r w:rsidRPr="001F681F">
        <w:rPr>
          <w:rFonts w:eastAsia="Times New Roman" w:cstheme="minorHAnsi"/>
          <w:kern w:val="0"/>
          <w:lang w:eastAsia="fr-FR"/>
          <w14:ligatures w14:val="none"/>
        </w:rPr>
        <w:t>La PNEFH 2025–2035 prévoit, dans son Axe 5 consacré à la lutte contre les VBG, le renforcement du Bureau national, l’amélioration de la coordination interinstitutionnelle et la mise en œuvre de campagnes nationales contre la traite et l’exploitation. La SNLCVBG 2025–2030 intègre également un axe sur la traite, avec des mesures de prévention et de protection pour les femmes et filles victimes.</w:t>
      </w:r>
    </w:p>
    <w:p w14:paraId="4D47DBF8" w14:textId="77777777" w:rsidR="0087572B" w:rsidRDefault="00621F66" w:rsidP="0087572B">
      <w:pPr>
        <w:spacing w:before="100" w:beforeAutospacing="1"/>
        <w:rPr>
          <w:rFonts w:eastAsia="Times New Roman" w:cstheme="minorHAnsi"/>
          <w:kern w:val="0"/>
          <w:lang w:eastAsia="fr-FR"/>
          <w14:ligatures w14:val="none"/>
        </w:rPr>
      </w:pPr>
      <w:r w:rsidRPr="001F681F">
        <w:rPr>
          <w:rFonts w:eastAsia="Times New Roman" w:cstheme="minorHAnsi"/>
          <w:b/>
          <w:bCs/>
          <w:kern w:val="0"/>
          <w:lang w:eastAsia="fr-FR"/>
          <w14:ligatures w14:val="none"/>
        </w:rPr>
        <w:t>OSC contributrices</w:t>
      </w:r>
    </w:p>
    <w:p w14:paraId="51557CBC" w14:textId="720F3A98" w:rsidR="00621F66" w:rsidRPr="001F681F" w:rsidRDefault="00621F66" w:rsidP="0087572B">
      <w:pPr>
        <w:spacing w:before="100" w:beforeAutospacing="1" w:after="100" w:afterAutospacing="1"/>
        <w:jc w:val="both"/>
        <w:rPr>
          <w:rFonts w:eastAsia="Times New Roman" w:cstheme="minorHAnsi"/>
          <w:kern w:val="0"/>
          <w:lang w:eastAsia="fr-FR"/>
          <w14:ligatures w14:val="none"/>
        </w:rPr>
      </w:pPr>
      <w:r w:rsidRPr="001F681F">
        <w:rPr>
          <w:rFonts w:eastAsia="Times New Roman" w:cstheme="minorHAnsi"/>
          <w:kern w:val="0"/>
          <w:lang w:eastAsia="fr-FR"/>
          <w14:ligatures w14:val="none"/>
        </w:rPr>
        <w:t>Les organisations de la coalition rappellent que la traite des femmes est intimement liée à la pauvreté, à la migration interne et internationale, et au manque d’alternatives économiques pour les femmes rurales et jeunes filles. Elles insistent sur la nécessité de renforcer la coopération régionale et internationale et de mieux protéger les travailleuses migrantes.</w:t>
      </w:r>
    </w:p>
    <w:p w14:paraId="1C39CE38" w14:textId="77777777" w:rsidR="0087572B" w:rsidRDefault="00621F66" w:rsidP="0087572B">
      <w:pPr>
        <w:spacing w:before="100" w:beforeAutospacing="1"/>
        <w:jc w:val="both"/>
        <w:rPr>
          <w:rFonts w:eastAsia="Times New Roman" w:cstheme="minorHAnsi"/>
          <w:kern w:val="0"/>
          <w:lang w:eastAsia="fr-FR"/>
          <w14:ligatures w14:val="none"/>
        </w:rPr>
      </w:pPr>
      <w:r w:rsidRPr="001F681F">
        <w:rPr>
          <w:rFonts w:eastAsia="Times New Roman" w:cstheme="minorHAnsi"/>
          <w:b/>
          <w:bCs/>
          <w:kern w:val="0"/>
          <w:lang w:eastAsia="fr-FR"/>
          <w14:ligatures w14:val="none"/>
        </w:rPr>
        <w:t>Recommandation CEDEF</w:t>
      </w:r>
    </w:p>
    <w:p w14:paraId="579F2A43" w14:textId="25D29F66" w:rsidR="00621F66" w:rsidRPr="001F681F" w:rsidRDefault="00621F66" w:rsidP="0087572B">
      <w:pPr>
        <w:spacing w:before="100" w:beforeAutospacing="1" w:after="100" w:afterAutospacing="1"/>
        <w:jc w:val="both"/>
        <w:rPr>
          <w:rFonts w:eastAsia="Times New Roman" w:cstheme="minorHAnsi"/>
          <w:kern w:val="0"/>
          <w:lang w:eastAsia="fr-FR"/>
          <w14:ligatures w14:val="none"/>
        </w:rPr>
      </w:pPr>
      <w:r w:rsidRPr="001F681F">
        <w:rPr>
          <w:rFonts w:eastAsia="Times New Roman" w:cstheme="minorHAnsi"/>
          <w:kern w:val="0"/>
          <w:lang w:eastAsia="fr-FR"/>
          <w14:ligatures w14:val="none"/>
        </w:rPr>
        <w:t>Doter le Bureau national de ressources humaines, techniques et financières suffisantes, renforcer la coopération internationale et mettre en place des mécanismes de protection efficaces pour les victimes de traite et d’exploitation.</w:t>
      </w:r>
    </w:p>
    <w:p w14:paraId="102530BF" w14:textId="77777777" w:rsidR="00621F66" w:rsidRPr="001F681F" w:rsidRDefault="00621F66" w:rsidP="00621F66">
      <w:pPr>
        <w:spacing w:before="100" w:beforeAutospacing="1" w:after="100" w:afterAutospacing="1"/>
        <w:outlineLvl w:val="1"/>
        <w:rPr>
          <w:rFonts w:eastAsia="Times New Roman" w:cstheme="minorHAnsi"/>
          <w:b/>
          <w:bCs/>
          <w:kern w:val="0"/>
          <w:sz w:val="36"/>
          <w:szCs w:val="36"/>
          <w:lang w:eastAsia="fr-FR"/>
          <w14:ligatures w14:val="none"/>
        </w:rPr>
      </w:pPr>
      <w:r w:rsidRPr="001F681F">
        <w:rPr>
          <w:rFonts w:eastAsia="Times New Roman" w:cstheme="minorHAnsi"/>
          <w:b/>
          <w:bCs/>
          <w:kern w:val="0"/>
          <w:sz w:val="36"/>
          <w:szCs w:val="36"/>
          <w:lang w:eastAsia="fr-FR"/>
          <w14:ligatures w14:val="none"/>
        </w:rPr>
        <w:lastRenderedPageBreak/>
        <w:t>Article 7 – Participation politique et publique</w:t>
      </w:r>
    </w:p>
    <w:p w14:paraId="7DCBD225" w14:textId="77777777" w:rsidR="00621F66" w:rsidRPr="001F681F" w:rsidRDefault="00621F66" w:rsidP="0087572B">
      <w:pPr>
        <w:spacing w:before="100" w:beforeAutospacing="1" w:after="100" w:afterAutospacing="1"/>
        <w:jc w:val="both"/>
        <w:rPr>
          <w:rFonts w:eastAsia="Times New Roman" w:cstheme="minorHAnsi"/>
          <w:kern w:val="0"/>
          <w:lang w:eastAsia="fr-FR"/>
          <w14:ligatures w14:val="none"/>
        </w:rPr>
      </w:pPr>
      <w:r w:rsidRPr="001F681F">
        <w:rPr>
          <w:rFonts w:eastAsia="Times New Roman" w:cstheme="minorHAnsi"/>
          <w:b/>
          <w:bCs/>
          <w:kern w:val="0"/>
          <w:lang w:eastAsia="fr-FR"/>
          <w14:ligatures w14:val="none"/>
        </w:rPr>
        <w:t>Constats</w:t>
      </w:r>
      <w:r w:rsidRPr="001F681F">
        <w:rPr>
          <w:rFonts w:eastAsia="Times New Roman" w:cstheme="minorHAnsi"/>
          <w:kern w:val="0"/>
          <w:lang w:eastAsia="fr-FR"/>
          <w14:ligatures w14:val="none"/>
        </w:rPr>
        <w:br/>
        <w:t>Le Comité avait recommandé en 2015 l’introduction de quotas et de mesures temporaires spéciales pour garantir une représentation équilibrée des femmes dans les institutions politiques et publiques.</w:t>
      </w:r>
    </w:p>
    <w:p w14:paraId="0F49CF94" w14:textId="77777777" w:rsidR="00621F66" w:rsidRPr="001F681F" w:rsidRDefault="00621F66" w:rsidP="0087572B">
      <w:pPr>
        <w:spacing w:before="100" w:beforeAutospacing="1" w:after="100" w:afterAutospacing="1"/>
        <w:jc w:val="both"/>
        <w:rPr>
          <w:rFonts w:eastAsia="Times New Roman" w:cstheme="minorHAnsi"/>
          <w:kern w:val="0"/>
          <w:lang w:eastAsia="fr-FR"/>
          <w14:ligatures w14:val="none"/>
        </w:rPr>
      </w:pPr>
      <w:r w:rsidRPr="001F681F">
        <w:rPr>
          <w:rFonts w:eastAsia="Times New Roman" w:cstheme="minorHAnsi"/>
          <w:kern w:val="0"/>
          <w:lang w:eastAsia="fr-FR"/>
          <w14:ligatures w14:val="none"/>
        </w:rPr>
        <w:t>Aujourd’hui, les progrès restent limités :</w:t>
      </w:r>
    </w:p>
    <w:p w14:paraId="1DAD1717" w14:textId="77777777" w:rsidR="00621F66" w:rsidRPr="001F681F" w:rsidRDefault="00621F66" w:rsidP="0087572B">
      <w:pPr>
        <w:numPr>
          <w:ilvl w:val="0"/>
          <w:numId w:val="5"/>
        </w:numPr>
        <w:spacing w:before="100" w:beforeAutospacing="1" w:after="100" w:afterAutospacing="1"/>
        <w:jc w:val="both"/>
        <w:rPr>
          <w:rFonts w:eastAsia="Times New Roman" w:cstheme="minorHAnsi"/>
          <w:kern w:val="0"/>
          <w:lang w:eastAsia="fr-FR"/>
          <w14:ligatures w14:val="none"/>
        </w:rPr>
      </w:pPr>
      <w:r w:rsidRPr="001F681F">
        <w:rPr>
          <w:rFonts w:eastAsia="Times New Roman" w:cstheme="minorHAnsi"/>
          <w:kern w:val="0"/>
          <w:lang w:eastAsia="fr-FR"/>
          <w14:ligatures w14:val="none"/>
        </w:rPr>
        <w:t>Les femmes représentent 17 % des députés à l’Assemblée nationale (contre 21 % lors de la précédente législature).</w:t>
      </w:r>
    </w:p>
    <w:p w14:paraId="145B9B49" w14:textId="77777777" w:rsidR="00621F66" w:rsidRPr="001F681F" w:rsidRDefault="00621F66" w:rsidP="0087572B">
      <w:pPr>
        <w:numPr>
          <w:ilvl w:val="0"/>
          <w:numId w:val="5"/>
        </w:numPr>
        <w:spacing w:before="100" w:beforeAutospacing="1" w:after="100" w:afterAutospacing="1"/>
        <w:jc w:val="both"/>
        <w:rPr>
          <w:rFonts w:eastAsia="Times New Roman" w:cstheme="minorHAnsi"/>
          <w:kern w:val="0"/>
          <w:lang w:eastAsia="fr-FR"/>
          <w14:ligatures w14:val="none"/>
        </w:rPr>
      </w:pPr>
      <w:r w:rsidRPr="001F681F">
        <w:rPr>
          <w:rFonts w:eastAsia="Times New Roman" w:cstheme="minorHAnsi"/>
          <w:kern w:val="0"/>
          <w:lang w:eastAsia="fr-FR"/>
          <w14:ligatures w14:val="none"/>
        </w:rPr>
        <w:t>Moins de 5 % des maires sont des femmes.</w:t>
      </w:r>
    </w:p>
    <w:p w14:paraId="1960EF67" w14:textId="77777777" w:rsidR="00621F66" w:rsidRPr="001F681F" w:rsidRDefault="00621F66" w:rsidP="0087572B">
      <w:pPr>
        <w:numPr>
          <w:ilvl w:val="0"/>
          <w:numId w:val="5"/>
        </w:numPr>
        <w:spacing w:before="100" w:beforeAutospacing="1" w:after="100" w:afterAutospacing="1"/>
        <w:jc w:val="both"/>
        <w:rPr>
          <w:rFonts w:eastAsia="Times New Roman" w:cstheme="minorHAnsi"/>
          <w:kern w:val="0"/>
          <w:lang w:eastAsia="fr-FR"/>
          <w14:ligatures w14:val="none"/>
        </w:rPr>
      </w:pPr>
      <w:r w:rsidRPr="001F681F">
        <w:rPr>
          <w:rFonts w:eastAsia="Times New Roman" w:cstheme="minorHAnsi"/>
          <w:kern w:val="0"/>
          <w:lang w:eastAsia="fr-FR"/>
          <w14:ligatures w14:val="none"/>
        </w:rPr>
        <w:t>Sur 23 gouverneurs, seules 2 sont des femmes.</w:t>
      </w:r>
    </w:p>
    <w:p w14:paraId="36CCF884" w14:textId="77777777" w:rsidR="00621F66" w:rsidRPr="001F681F" w:rsidRDefault="00621F66" w:rsidP="0087572B">
      <w:pPr>
        <w:numPr>
          <w:ilvl w:val="0"/>
          <w:numId w:val="5"/>
        </w:numPr>
        <w:spacing w:before="100" w:beforeAutospacing="1" w:after="100" w:afterAutospacing="1"/>
        <w:jc w:val="both"/>
        <w:rPr>
          <w:rFonts w:eastAsia="Times New Roman" w:cstheme="minorHAnsi"/>
          <w:kern w:val="0"/>
          <w:lang w:eastAsia="fr-FR"/>
          <w14:ligatures w14:val="none"/>
        </w:rPr>
      </w:pPr>
      <w:r w:rsidRPr="001F681F">
        <w:rPr>
          <w:rFonts w:eastAsia="Times New Roman" w:cstheme="minorHAnsi"/>
          <w:kern w:val="0"/>
          <w:lang w:eastAsia="fr-FR"/>
          <w14:ligatures w14:val="none"/>
        </w:rPr>
        <w:t>Au niveau gouvernemental, la proportion des femmes reste en deçà de 40 %.</w:t>
      </w:r>
    </w:p>
    <w:p w14:paraId="7066BF56" w14:textId="77777777" w:rsidR="00621F66" w:rsidRPr="001F681F" w:rsidRDefault="00621F66" w:rsidP="0087572B">
      <w:pPr>
        <w:spacing w:before="100" w:beforeAutospacing="1" w:after="100" w:afterAutospacing="1"/>
        <w:jc w:val="both"/>
        <w:rPr>
          <w:rFonts w:eastAsia="Times New Roman" w:cstheme="minorHAnsi"/>
          <w:kern w:val="0"/>
          <w:lang w:eastAsia="fr-FR"/>
          <w14:ligatures w14:val="none"/>
        </w:rPr>
      </w:pPr>
      <w:r w:rsidRPr="001F681F">
        <w:rPr>
          <w:rFonts w:eastAsia="Times New Roman" w:cstheme="minorHAnsi"/>
          <w:kern w:val="0"/>
          <w:lang w:eastAsia="fr-FR"/>
          <w14:ligatures w14:val="none"/>
        </w:rPr>
        <w:t>L’AS-EFH (2023) souligne que la stratégie « Genre et Élections » (2015–2020) n’a pas été renouvelée. La proposition de loi sur la participation politique des femmes, déposée par la Présidente de l’Assemblée nationale, a été rejetée au motif de non-conformité à la Constitution.</w:t>
      </w:r>
    </w:p>
    <w:p w14:paraId="30C728D9" w14:textId="77777777" w:rsidR="00621F66" w:rsidRPr="001F681F" w:rsidRDefault="00621F66" w:rsidP="0087572B">
      <w:pPr>
        <w:spacing w:before="100" w:beforeAutospacing="1" w:after="100" w:afterAutospacing="1"/>
        <w:jc w:val="both"/>
        <w:rPr>
          <w:rFonts w:eastAsia="Times New Roman" w:cstheme="minorHAnsi"/>
          <w:kern w:val="0"/>
          <w:lang w:eastAsia="fr-FR"/>
          <w14:ligatures w14:val="none"/>
        </w:rPr>
      </w:pPr>
      <w:r w:rsidRPr="001F681F">
        <w:rPr>
          <w:rFonts w:eastAsia="Times New Roman" w:cstheme="minorHAnsi"/>
          <w:kern w:val="0"/>
          <w:lang w:eastAsia="fr-FR"/>
          <w14:ligatures w14:val="none"/>
        </w:rPr>
        <w:t>La PNEFH 2025–2035, via son Axe 4, prévoit la mise en place de quotas électoraux, la relance d’une stratégie nationale sur le genre et les élections, et le renforcement du leadership féminin.</w:t>
      </w:r>
    </w:p>
    <w:p w14:paraId="37387617" w14:textId="77777777" w:rsidR="0087572B" w:rsidRDefault="00621F66" w:rsidP="0087572B">
      <w:pPr>
        <w:spacing w:before="100" w:beforeAutospacing="1"/>
        <w:jc w:val="both"/>
        <w:rPr>
          <w:rFonts w:eastAsia="Times New Roman" w:cstheme="minorHAnsi"/>
          <w:b/>
          <w:bCs/>
          <w:kern w:val="0"/>
          <w:lang w:eastAsia="fr-FR"/>
          <w14:ligatures w14:val="none"/>
        </w:rPr>
      </w:pPr>
      <w:r w:rsidRPr="001F681F">
        <w:rPr>
          <w:rFonts w:eastAsia="Times New Roman" w:cstheme="minorHAnsi"/>
          <w:b/>
          <w:bCs/>
          <w:kern w:val="0"/>
          <w:lang w:eastAsia="fr-FR"/>
          <w14:ligatures w14:val="none"/>
        </w:rPr>
        <w:t>OSC contributrices</w:t>
      </w:r>
    </w:p>
    <w:p w14:paraId="6376E82B" w14:textId="6379E7AE" w:rsidR="00621F66" w:rsidRPr="001F681F" w:rsidRDefault="00621F66" w:rsidP="0087572B">
      <w:pPr>
        <w:spacing w:before="100" w:beforeAutospacing="1" w:after="100" w:afterAutospacing="1"/>
        <w:jc w:val="both"/>
        <w:rPr>
          <w:rFonts w:eastAsia="Times New Roman" w:cstheme="minorHAnsi"/>
          <w:kern w:val="0"/>
          <w:lang w:eastAsia="fr-FR"/>
          <w14:ligatures w14:val="none"/>
        </w:rPr>
      </w:pPr>
      <w:r w:rsidRPr="001F681F">
        <w:rPr>
          <w:rFonts w:eastAsia="Times New Roman" w:cstheme="minorHAnsi"/>
          <w:kern w:val="0"/>
          <w:lang w:eastAsia="fr-FR"/>
          <w14:ligatures w14:val="none"/>
        </w:rPr>
        <w:t>Les OSC de la coalition rappellent que selon l’INSTAT (2024), les femmes représentent près de 50 % de la population nationale (30,3 millions d’habitants). La sous-représentation des femmes dans les instances de décision ne reflète donc pas leur poids démographique ni leur contribution économique et sociale. La FFBKEM et Pax Romana soulignent que la pleine participation des femmes à la vie publique est non seulement une exigence en matière de droits humains, mais aussi un facteur de stabilité et de développement durable.</w:t>
      </w:r>
    </w:p>
    <w:p w14:paraId="63B5A391" w14:textId="77777777" w:rsidR="00621F66" w:rsidRDefault="00621F66" w:rsidP="0087572B">
      <w:pPr>
        <w:spacing w:before="100" w:beforeAutospacing="1" w:after="100" w:afterAutospacing="1"/>
        <w:jc w:val="both"/>
        <w:rPr>
          <w:rFonts w:eastAsia="Times New Roman" w:cstheme="minorHAnsi"/>
          <w:i/>
          <w:iCs/>
          <w:kern w:val="0"/>
          <w:lang w:eastAsia="fr-FR"/>
          <w14:ligatures w14:val="none"/>
        </w:rPr>
      </w:pPr>
      <w:r w:rsidRPr="001F681F">
        <w:rPr>
          <w:rFonts w:eastAsia="Times New Roman" w:cstheme="minorHAnsi"/>
          <w:kern w:val="0"/>
          <w:lang w:eastAsia="fr-FR"/>
          <w14:ligatures w14:val="none"/>
        </w:rPr>
        <w:t xml:space="preserve">Comme le déclarait l’ancien Secrétaire général des Nations Unies, Ban Ki-Moon : </w:t>
      </w:r>
      <w:r w:rsidRPr="001F681F">
        <w:rPr>
          <w:rFonts w:eastAsia="Times New Roman" w:cstheme="minorHAnsi"/>
          <w:i/>
          <w:iCs/>
          <w:kern w:val="0"/>
          <w:lang w:eastAsia="fr-FR"/>
          <w14:ligatures w14:val="none"/>
        </w:rPr>
        <w:t>« Les femmes doivent être présentes à la table des négociations afin de jouer le rôle qui leur revient de droit en matière de prévention et de résolution des conflits ainsi que de maintien et de consolidation de la paix. »</w:t>
      </w:r>
    </w:p>
    <w:p w14:paraId="785C14BD" w14:textId="5E9B7DAB" w:rsidR="0087572B" w:rsidRPr="0087572B" w:rsidRDefault="0087572B" w:rsidP="0087572B">
      <w:pPr>
        <w:spacing w:before="100" w:beforeAutospacing="1" w:after="100" w:afterAutospacing="1"/>
        <w:jc w:val="both"/>
        <w:rPr>
          <w:rFonts w:eastAsia="Times New Roman" w:cstheme="minorHAnsi"/>
          <w:kern w:val="0"/>
          <w:lang w:eastAsia="fr-FR"/>
          <w14:ligatures w14:val="none"/>
        </w:rPr>
      </w:pPr>
      <w:r w:rsidRPr="004A5826">
        <w:rPr>
          <w:rFonts w:eastAsia="Times New Roman" w:cstheme="minorHAnsi"/>
          <w:kern w:val="0"/>
          <w:lang w:eastAsia="fr-FR"/>
          <w14:ligatures w14:val="none"/>
        </w:rPr>
        <w:t>Conformément à la RG n°40, le Comité a rappelé que les États parties doivent adopter des mesures, y compris des quotas et autres mesures temporaires spéciales, pour garantir la participation pleine, égale, libre et démocratique des femmes à la vie politique et publique, et lever tous les obstacles structurels à leur représentation dans les instances de décision.</w:t>
      </w:r>
    </w:p>
    <w:p w14:paraId="4A50EBBC" w14:textId="77777777" w:rsidR="00621F66" w:rsidRDefault="00621F66" w:rsidP="00621F66">
      <w:pPr>
        <w:spacing w:before="100" w:beforeAutospacing="1" w:after="100" w:afterAutospacing="1"/>
        <w:rPr>
          <w:rFonts w:eastAsia="Times New Roman" w:cstheme="minorHAnsi"/>
          <w:kern w:val="0"/>
          <w:lang w:eastAsia="fr-FR"/>
          <w14:ligatures w14:val="none"/>
        </w:rPr>
      </w:pPr>
      <w:r w:rsidRPr="007C4C66">
        <w:rPr>
          <w:rFonts w:eastAsia="Times New Roman" w:cstheme="minorHAnsi"/>
          <w:b/>
          <w:bCs/>
          <w:kern w:val="0"/>
          <w:lang w:eastAsia="fr-FR"/>
          <w14:ligatures w14:val="none"/>
        </w:rPr>
        <w:t>Recommandation CEDEF</w:t>
      </w:r>
      <w:r w:rsidRPr="007C4C66">
        <w:rPr>
          <w:rFonts w:eastAsia="Times New Roman" w:cstheme="minorHAnsi"/>
          <w:kern w:val="0"/>
          <w:lang w:eastAsia="fr-FR"/>
          <w14:ligatures w14:val="none"/>
        </w:rPr>
        <w:br/>
        <w:t xml:space="preserve">Adopter des mesures législatives instaurant des quotas obligatoires avec sanctions, relancer </w:t>
      </w:r>
      <w:r w:rsidRPr="007C4C66">
        <w:rPr>
          <w:rFonts w:eastAsia="Times New Roman" w:cstheme="minorHAnsi"/>
          <w:kern w:val="0"/>
          <w:lang w:eastAsia="fr-FR"/>
          <w14:ligatures w14:val="none"/>
        </w:rPr>
        <w:lastRenderedPageBreak/>
        <w:t>une stratégie nationale « Genre et Élections », et renforcer le leadership féminin à tous les niveaux, y compris dans la haute administration, les collectivités locales et les institutions publiques.</w:t>
      </w:r>
    </w:p>
    <w:p w14:paraId="39CFCFF9" w14:textId="77777777" w:rsidR="007C4C66" w:rsidRPr="008E1A39" w:rsidRDefault="007C4C66" w:rsidP="007C4C66">
      <w:pPr>
        <w:spacing w:before="100" w:beforeAutospacing="1" w:after="100" w:afterAutospacing="1"/>
        <w:outlineLvl w:val="1"/>
        <w:rPr>
          <w:rFonts w:eastAsia="Times New Roman" w:cstheme="minorHAnsi"/>
          <w:b/>
          <w:bCs/>
          <w:kern w:val="0"/>
          <w:sz w:val="36"/>
          <w:szCs w:val="36"/>
          <w:lang w:eastAsia="fr-FR"/>
          <w14:ligatures w14:val="none"/>
        </w:rPr>
      </w:pPr>
      <w:r w:rsidRPr="008E1A39">
        <w:rPr>
          <w:rFonts w:eastAsia="Times New Roman" w:cstheme="minorHAnsi"/>
          <w:b/>
          <w:bCs/>
          <w:kern w:val="0"/>
          <w:sz w:val="36"/>
          <w:szCs w:val="36"/>
          <w:lang w:eastAsia="fr-FR"/>
          <w14:ligatures w14:val="none"/>
        </w:rPr>
        <w:t>Article 8 – Représentation internationale</w:t>
      </w:r>
    </w:p>
    <w:p w14:paraId="746A5114" w14:textId="77777777" w:rsidR="007C4C66" w:rsidRPr="008E1A39" w:rsidRDefault="007C4C66" w:rsidP="007C4C66">
      <w:pPr>
        <w:spacing w:before="100" w:beforeAutospacing="1" w:after="100" w:afterAutospacing="1"/>
        <w:jc w:val="both"/>
        <w:rPr>
          <w:rFonts w:eastAsia="Times New Roman" w:cstheme="minorHAnsi"/>
          <w:kern w:val="0"/>
          <w:lang w:eastAsia="fr-FR"/>
          <w14:ligatures w14:val="none"/>
        </w:rPr>
      </w:pPr>
      <w:r w:rsidRPr="008E1A39">
        <w:rPr>
          <w:rFonts w:eastAsia="Times New Roman" w:cstheme="minorHAnsi"/>
          <w:b/>
          <w:bCs/>
          <w:kern w:val="0"/>
          <w:lang w:eastAsia="fr-FR"/>
          <w14:ligatures w14:val="none"/>
        </w:rPr>
        <w:t>Constats</w:t>
      </w:r>
      <w:r w:rsidRPr="008E1A39">
        <w:rPr>
          <w:rFonts w:eastAsia="Times New Roman" w:cstheme="minorHAnsi"/>
          <w:kern w:val="0"/>
          <w:lang w:eastAsia="fr-FR"/>
          <w14:ligatures w14:val="none"/>
        </w:rPr>
        <w:br/>
        <w:t>En 2015, le Comité CEDEF avait recommandé à Madagascar de renforcer la représentation des femmes dans les organisations internationales et régionales, ainsi que dans les postes diplomatiques.</w:t>
      </w:r>
    </w:p>
    <w:p w14:paraId="2DB5735D" w14:textId="77777777" w:rsidR="007C4C66" w:rsidRPr="008E1A39" w:rsidRDefault="007C4C66" w:rsidP="007C4C66">
      <w:pPr>
        <w:spacing w:before="100" w:beforeAutospacing="1" w:after="100" w:afterAutospacing="1"/>
        <w:jc w:val="both"/>
        <w:rPr>
          <w:rFonts w:eastAsia="Times New Roman" w:cstheme="minorHAnsi"/>
          <w:kern w:val="0"/>
          <w:lang w:eastAsia="fr-FR"/>
          <w14:ligatures w14:val="none"/>
        </w:rPr>
      </w:pPr>
      <w:r w:rsidRPr="008E1A39">
        <w:rPr>
          <w:rFonts w:eastAsia="Times New Roman" w:cstheme="minorHAnsi"/>
          <w:kern w:val="0"/>
          <w:lang w:eastAsia="fr-FR"/>
          <w14:ligatures w14:val="none"/>
        </w:rPr>
        <w:t>L’AS-EFH (2023) confirme que la présence des femmes dans la diplomatie reste marginale. Les ambassadrices et consules générales se comptent sur les doigts d’une main. Les femmes sont également sous-représentées dans les délégations officielles aux instances multilatérales, malgré la reconnaissance de leur rôle dans la prévention des conflits et la consolidation de la paix.</w:t>
      </w:r>
    </w:p>
    <w:p w14:paraId="25177D72" w14:textId="77777777" w:rsidR="007C4C66" w:rsidRPr="008E1A39" w:rsidRDefault="007C4C66" w:rsidP="007C4C66">
      <w:pPr>
        <w:spacing w:before="100" w:beforeAutospacing="1" w:after="100" w:afterAutospacing="1"/>
        <w:jc w:val="both"/>
        <w:rPr>
          <w:rFonts w:eastAsia="Times New Roman" w:cstheme="minorHAnsi"/>
          <w:kern w:val="0"/>
          <w:lang w:eastAsia="fr-FR"/>
          <w14:ligatures w14:val="none"/>
        </w:rPr>
      </w:pPr>
      <w:r w:rsidRPr="008E1A39">
        <w:rPr>
          <w:rFonts w:eastAsia="Times New Roman" w:cstheme="minorHAnsi"/>
          <w:kern w:val="0"/>
          <w:lang w:eastAsia="fr-FR"/>
          <w14:ligatures w14:val="none"/>
        </w:rPr>
        <w:t>La PNEFH 2025–2035 propose des mesures pour encourager et accompagner les femmes dans la carrière diplomatique, à travers des programmes de mentorat, de formation et de promotion du leadership féminin dans les affaires internationales.</w:t>
      </w:r>
    </w:p>
    <w:p w14:paraId="11343CE8" w14:textId="77777777" w:rsidR="007C4C66" w:rsidRPr="008E1A39" w:rsidRDefault="007C4C66" w:rsidP="007C4C66">
      <w:pPr>
        <w:spacing w:before="100" w:beforeAutospacing="1" w:after="100" w:afterAutospacing="1"/>
        <w:rPr>
          <w:rFonts w:eastAsia="Times New Roman" w:cstheme="minorHAnsi"/>
          <w:kern w:val="0"/>
          <w:lang w:eastAsia="fr-FR"/>
          <w14:ligatures w14:val="none"/>
        </w:rPr>
      </w:pPr>
      <w:r w:rsidRPr="008E1A39">
        <w:rPr>
          <w:rFonts w:eastAsia="Times New Roman" w:cstheme="minorHAnsi"/>
          <w:b/>
          <w:bCs/>
          <w:kern w:val="0"/>
          <w:lang w:eastAsia="fr-FR"/>
          <w14:ligatures w14:val="none"/>
        </w:rPr>
        <w:t>OSC contributrices</w:t>
      </w:r>
      <w:r w:rsidRPr="008E1A39">
        <w:rPr>
          <w:rFonts w:eastAsia="Times New Roman" w:cstheme="minorHAnsi"/>
          <w:kern w:val="0"/>
          <w:lang w:eastAsia="fr-FR"/>
          <w14:ligatures w14:val="none"/>
        </w:rPr>
        <w:br/>
      </w:r>
      <w:r>
        <w:rPr>
          <w:rFonts w:eastAsia="Times New Roman" w:cstheme="minorHAnsi"/>
          <w:kern w:val="0"/>
          <w:lang w:eastAsia="fr-FR"/>
          <w14:ligatures w14:val="none"/>
        </w:rPr>
        <w:t xml:space="preserve">Focus Development Association et  </w:t>
      </w:r>
      <w:r w:rsidRPr="008D084A">
        <w:rPr>
          <w:rFonts w:eastAsia="Times New Roman" w:cstheme="minorHAnsi"/>
          <w:kern w:val="0"/>
          <w:lang w:eastAsia="fr-FR"/>
          <w14:ligatures w14:val="none"/>
        </w:rPr>
        <w:t>FFBKEM de Pax Romana</w:t>
      </w:r>
      <w:r>
        <w:rPr>
          <w:rFonts w:eastAsia="Times New Roman" w:cstheme="minorHAnsi"/>
          <w:kern w:val="0"/>
          <w:lang w:eastAsia="fr-FR"/>
          <w14:ligatures w14:val="none"/>
        </w:rPr>
        <w:t xml:space="preserve"> </w:t>
      </w:r>
      <w:r w:rsidRPr="008E1A39">
        <w:rPr>
          <w:rFonts w:eastAsia="Times New Roman" w:cstheme="minorHAnsi"/>
          <w:kern w:val="0"/>
          <w:lang w:eastAsia="fr-FR"/>
          <w14:ligatures w14:val="none"/>
        </w:rPr>
        <w:t>insistent sur le fait que la présence accrue des femmes dans les instances internationales renforcerait non seulement l’image du pays, mais garantirait aussi une meilleure prise en compte des préoccupations féminines dans la coopération régionale et internationale.</w:t>
      </w:r>
    </w:p>
    <w:p w14:paraId="1C11567E" w14:textId="77777777" w:rsidR="007C4C66" w:rsidRPr="008E1A39" w:rsidRDefault="007C4C66" w:rsidP="007C4C66">
      <w:pPr>
        <w:spacing w:before="100" w:beforeAutospacing="1" w:after="100" w:afterAutospacing="1"/>
        <w:rPr>
          <w:rFonts w:eastAsia="Times New Roman" w:cstheme="minorHAnsi"/>
          <w:kern w:val="0"/>
          <w:lang w:eastAsia="fr-FR"/>
          <w14:ligatures w14:val="none"/>
        </w:rPr>
      </w:pPr>
      <w:r w:rsidRPr="008E1A39">
        <w:rPr>
          <w:rFonts w:eastAsia="Times New Roman" w:cstheme="minorHAnsi"/>
          <w:b/>
          <w:bCs/>
          <w:kern w:val="0"/>
          <w:lang w:eastAsia="fr-FR"/>
          <w14:ligatures w14:val="none"/>
        </w:rPr>
        <w:t>Recommandation CEDEF</w:t>
      </w:r>
      <w:r w:rsidRPr="008E1A39">
        <w:rPr>
          <w:rFonts w:eastAsia="Times New Roman" w:cstheme="minorHAnsi"/>
          <w:kern w:val="0"/>
          <w:lang w:eastAsia="fr-FR"/>
          <w14:ligatures w14:val="none"/>
        </w:rPr>
        <w:br/>
        <w:t>Mettre en place des mécanismes de promotion des femmes dans la diplomatie, assurer leur participation systématique dans les délégations officielles et viser une représentation paritaire dans les postes de haut niveau des organisations internationales.</w:t>
      </w:r>
    </w:p>
    <w:p w14:paraId="602FDAD1" w14:textId="77777777" w:rsidR="007C4C66" w:rsidRPr="008E1A39" w:rsidRDefault="007C4C66" w:rsidP="007C4C66">
      <w:pPr>
        <w:spacing w:before="100" w:beforeAutospacing="1" w:after="100" w:afterAutospacing="1"/>
        <w:outlineLvl w:val="1"/>
        <w:rPr>
          <w:rFonts w:eastAsia="Times New Roman" w:cstheme="minorHAnsi"/>
          <w:b/>
          <w:bCs/>
          <w:kern w:val="0"/>
          <w:sz w:val="36"/>
          <w:szCs w:val="36"/>
          <w:lang w:eastAsia="fr-FR"/>
          <w14:ligatures w14:val="none"/>
        </w:rPr>
      </w:pPr>
      <w:r w:rsidRPr="008E1A39">
        <w:rPr>
          <w:rFonts w:eastAsia="Times New Roman" w:cstheme="minorHAnsi"/>
          <w:b/>
          <w:bCs/>
          <w:kern w:val="0"/>
          <w:sz w:val="36"/>
          <w:szCs w:val="36"/>
          <w:lang w:eastAsia="fr-FR"/>
          <w14:ligatures w14:val="none"/>
        </w:rPr>
        <w:t>Article 9 – Nationalité</w:t>
      </w:r>
    </w:p>
    <w:p w14:paraId="26EA62DD" w14:textId="77777777" w:rsidR="007C4C66" w:rsidRPr="008E1A39" w:rsidRDefault="007C4C66" w:rsidP="007C4C66">
      <w:pPr>
        <w:spacing w:before="100" w:beforeAutospacing="1" w:after="100" w:afterAutospacing="1"/>
        <w:rPr>
          <w:rFonts w:eastAsia="Times New Roman" w:cstheme="minorHAnsi"/>
          <w:kern w:val="0"/>
          <w:lang w:eastAsia="fr-FR"/>
          <w14:ligatures w14:val="none"/>
        </w:rPr>
      </w:pPr>
      <w:r w:rsidRPr="008E1A39">
        <w:rPr>
          <w:rFonts w:eastAsia="Times New Roman" w:cstheme="minorHAnsi"/>
          <w:b/>
          <w:bCs/>
          <w:kern w:val="0"/>
          <w:lang w:eastAsia="fr-FR"/>
          <w14:ligatures w14:val="none"/>
        </w:rPr>
        <w:t>Constats</w:t>
      </w:r>
      <w:r w:rsidRPr="008E1A39">
        <w:rPr>
          <w:rFonts w:eastAsia="Times New Roman" w:cstheme="minorHAnsi"/>
          <w:kern w:val="0"/>
          <w:lang w:eastAsia="fr-FR"/>
          <w14:ligatures w14:val="none"/>
        </w:rPr>
        <w:br/>
        <w:t>En 2015, le Comité avait recommandé la réforme du Code de la nationalité afin de permettre aux femmes de transmettre leur nationalité à leur conjoint étranger, de renforcer l’enregistrement des naissances et d’assurer la rétroactivité des réformes pour prévenir l’apatridie.</w:t>
      </w:r>
    </w:p>
    <w:p w14:paraId="08DF7116" w14:textId="77777777" w:rsidR="007C4C66" w:rsidRPr="008E1A39" w:rsidRDefault="007C4C66" w:rsidP="007C4C66">
      <w:pPr>
        <w:spacing w:before="100" w:beforeAutospacing="1" w:after="100" w:afterAutospacing="1"/>
        <w:rPr>
          <w:rFonts w:eastAsia="Times New Roman" w:cstheme="minorHAnsi"/>
          <w:kern w:val="0"/>
          <w:lang w:eastAsia="fr-FR"/>
          <w14:ligatures w14:val="none"/>
        </w:rPr>
      </w:pPr>
      <w:r w:rsidRPr="008E1A39">
        <w:rPr>
          <w:rFonts w:eastAsia="Times New Roman" w:cstheme="minorHAnsi"/>
          <w:kern w:val="0"/>
          <w:lang w:eastAsia="fr-FR"/>
          <w14:ligatures w14:val="none"/>
        </w:rPr>
        <w:t>Des avancées ont été réalisées avec la loi de 201</w:t>
      </w:r>
      <w:r>
        <w:rPr>
          <w:rFonts w:eastAsia="Times New Roman" w:cstheme="minorHAnsi"/>
          <w:kern w:val="0"/>
          <w:lang w:eastAsia="fr-FR"/>
          <w14:ligatures w14:val="none"/>
        </w:rPr>
        <w:t>7</w:t>
      </w:r>
      <w:r w:rsidRPr="008E1A39">
        <w:rPr>
          <w:rFonts w:eastAsia="Times New Roman" w:cstheme="minorHAnsi"/>
          <w:kern w:val="0"/>
          <w:lang w:eastAsia="fr-FR"/>
          <w14:ligatures w14:val="none"/>
        </w:rPr>
        <w:t>, qui permet aux femmes de transmettre leur nationalité à leurs enfants. Cependant, plusieurs discriminations subsistent :</w:t>
      </w:r>
    </w:p>
    <w:p w14:paraId="7F020053" w14:textId="77777777" w:rsidR="007C4C66" w:rsidRPr="008E1A39" w:rsidRDefault="007C4C66" w:rsidP="007C4C66">
      <w:pPr>
        <w:numPr>
          <w:ilvl w:val="0"/>
          <w:numId w:val="6"/>
        </w:numPr>
        <w:spacing w:before="100" w:beforeAutospacing="1" w:after="100" w:afterAutospacing="1"/>
        <w:rPr>
          <w:rFonts w:eastAsia="Times New Roman" w:cstheme="minorHAnsi"/>
          <w:kern w:val="0"/>
          <w:lang w:eastAsia="fr-FR"/>
          <w14:ligatures w14:val="none"/>
        </w:rPr>
      </w:pPr>
      <w:r w:rsidRPr="008E1A39">
        <w:rPr>
          <w:rFonts w:eastAsia="Times New Roman" w:cstheme="minorHAnsi"/>
          <w:kern w:val="0"/>
          <w:lang w:eastAsia="fr-FR"/>
          <w14:ligatures w14:val="none"/>
        </w:rPr>
        <w:t>Les femmes ne peuvent toujours pas transmettre leur nationalité à leur conjoint étranger</w:t>
      </w:r>
      <w:r>
        <w:rPr>
          <w:rFonts w:eastAsia="Times New Roman" w:cstheme="minorHAnsi"/>
          <w:kern w:val="0"/>
          <w:lang w:eastAsia="fr-FR"/>
          <w14:ligatures w14:val="none"/>
        </w:rPr>
        <w:t xml:space="preserve"> ou apatride, </w:t>
      </w:r>
    </w:p>
    <w:p w14:paraId="0AD37E38" w14:textId="77777777" w:rsidR="007C4C66" w:rsidRPr="008E1A39" w:rsidRDefault="007C4C66" w:rsidP="007C4C66">
      <w:pPr>
        <w:numPr>
          <w:ilvl w:val="0"/>
          <w:numId w:val="6"/>
        </w:numPr>
        <w:spacing w:before="100" w:beforeAutospacing="1" w:after="100" w:afterAutospacing="1"/>
        <w:rPr>
          <w:rFonts w:eastAsia="Times New Roman" w:cstheme="minorHAnsi"/>
          <w:kern w:val="0"/>
          <w:lang w:eastAsia="fr-FR"/>
          <w14:ligatures w14:val="none"/>
        </w:rPr>
      </w:pPr>
      <w:r w:rsidRPr="008E1A39">
        <w:rPr>
          <w:rFonts w:eastAsia="Times New Roman" w:cstheme="minorHAnsi"/>
          <w:kern w:val="0"/>
          <w:lang w:eastAsia="fr-FR"/>
          <w14:ligatures w14:val="none"/>
        </w:rPr>
        <w:lastRenderedPageBreak/>
        <w:t>L’enregistrement des naissances reste incomplet : près de 2,5 millions d’enfants ne sont pas inscrits à l’état civil.</w:t>
      </w:r>
    </w:p>
    <w:p w14:paraId="6E9DECCD" w14:textId="77777777" w:rsidR="007C4C66" w:rsidRPr="008E1A39" w:rsidRDefault="007C4C66" w:rsidP="007C4C66">
      <w:pPr>
        <w:spacing w:before="100" w:beforeAutospacing="1" w:after="100" w:afterAutospacing="1"/>
        <w:rPr>
          <w:rFonts w:eastAsia="Times New Roman" w:cstheme="minorHAnsi"/>
          <w:kern w:val="0"/>
          <w:lang w:eastAsia="fr-FR"/>
          <w14:ligatures w14:val="none"/>
        </w:rPr>
      </w:pPr>
      <w:r w:rsidRPr="008E1A39">
        <w:rPr>
          <w:rFonts w:eastAsia="Times New Roman" w:cstheme="minorHAnsi"/>
          <w:kern w:val="0"/>
          <w:lang w:eastAsia="fr-FR"/>
          <w14:ligatures w14:val="none"/>
        </w:rPr>
        <w:t>La PNEFH 2025–2035 prévoit l’amendement du Code de la nationalité pour corriger ces discriminations, ainsi que la mise en place de programmes d’enregistrement universel des naissances, incluant des audiences foraines.</w:t>
      </w:r>
    </w:p>
    <w:p w14:paraId="3B927919" w14:textId="77777777" w:rsidR="007C4C66" w:rsidRPr="008E1A39" w:rsidRDefault="007C4C66" w:rsidP="007C4C66">
      <w:pPr>
        <w:spacing w:before="100" w:beforeAutospacing="1" w:after="100" w:afterAutospacing="1"/>
        <w:rPr>
          <w:rFonts w:eastAsia="Times New Roman" w:cstheme="minorHAnsi"/>
          <w:kern w:val="0"/>
          <w:lang w:eastAsia="fr-FR"/>
          <w14:ligatures w14:val="none"/>
        </w:rPr>
      </w:pPr>
      <w:r w:rsidRPr="008E1A39">
        <w:rPr>
          <w:rFonts w:eastAsia="Times New Roman" w:cstheme="minorHAnsi"/>
          <w:b/>
          <w:bCs/>
          <w:kern w:val="0"/>
          <w:lang w:eastAsia="fr-FR"/>
          <w14:ligatures w14:val="none"/>
        </w:rPr>
        <w:t>OSC contributrices</w:t>
      </w:r>
      <w:r w:rsidRPr="008E1A39">
        <w:rPr>
          <w:rFonts w:eastAsia="Times New Roman" w:cstheme="minorHAnsi"/>
          <w:kern w:val="0"/>
          <w:lang w:eastAsia="fr-FR"/>
          <w14:ligatures w14:val="none"/>
        </w:rPr>
        <w:br/>
        <w:t>Les OSC de la coalition insistent sur l’importance de garantir l’égalité totale entre femmes et hommes en matière de transmission de la nationalité. Elles rappellent aussi que l’absence d’enregistrement des naissances touche particulièrement les enfants issus de familles rurales pauvres et accroît leur vulnérabilité.</w:t>
      </w:r>
    </w:p>
    <w:p w14:paraId="7D3C7AE3" w14:textId="77777777" w:rsidR="007C4C66" w:rsidRPr="008E1A39" w:rsidRDefault="007C4C66" w:rsidP="007C4C66">
      <w:pPr>
        <w:spacing w:before="100" w:beforeAutospacing="1" w:after="100" w:afterAutospacing="1"/>
        <w:rPr>
          <w:rFonts w:eastAsia="Times New Roman" w:cstheme="minorHAnsi"/>
          <w:kern w:val="0"/>
          <w:lang w:eastAsia="fr-FR"/>
          <w14:ligatures w14:val="none"/>
        </w:rPr>
      </w:pPr>
      <w:r w:rsidRPr="008E1A39">
        <w:rPr>
          <w:rFonts w:eastAsia="Times New Roman" w:cstheme="minorHAnsi"/>
          <w:b/>
          <w:bCs/>
          <w:kern w:val="0"/>
          <w:lang w:eastAsia="fr-FR"/>
          <w14:ligatures w14:val="none"/>
        </w:rPr>
        <w:t>Recommandation CEDEF</w:t>
      </w:r>
      <w:r w:rsidRPr="008E1A39">
        <w:rPr>
          <w:rFonts w:eastAsia="Times New Roman" w:cstheme="minorHAnsi"/>
          <w:kern w:val="0"/>
          <w:lang w:eastAsia="fr-FR"/>
          <w14:ligatures w14:val="none"/>
        </w:rPr>
        <w:br/>
        <w:t>Réformer le Code de la nationalité pour permettre aux femmes de transmettre leur nationalité à leur conjoint, assurer l’enregistrement universel et gratuit des naissances, et appliquer rétroactivement les dispositions pour prévenir l’apatridie.</w:t>
      </w:r>
    </w:p>
    <w:p w14:paraId="14434942" w14:textId="77777777" w:rsidR="007C4C66" w:rsidRPr="008E1A39" w:rsidRDefault="007C4C66" w:rsidP="007C4C66">
      <w:pPr>
        <w:spacing w:before="100" w:beforeAutospacing="1" w:after="100" w:afterAutospacing="1"/>
        <w:outlineLvl w:val="1"/>
        <w:rPr>
          <w:rFonts w:eastAsia="Times New Roman" w:cstheme="minorHAnsi"/>
          <w:b/>
          <w:bCs/>
          <w:kern w:val="0"/>
          <w:sz w:val="36"/>
          <w:szCs w:val="36"/>
          <w:lang w:eastAsia="fr-FR"/>
          <w14:ligatures w14:val="none"/>
        </w:rPr>
      </w:pPr>
      <w:r w:rsidRPr="008E1A39">
        <w:rPr>
          <w:rFonts w:eastAsia="Times New Roman" w:cstheme="minorHAnsi"/>
          <w:b/>
          <w:bCs/>
          <w:kern w:val="0"/>
          <w:sz w:val="36"/>
          <w:szCs w:val="36"/>
          <w:lang w:eastAsia="fr-FR"/>
          <w14:ligatures w14:val="none"/>
        </w:rPr>
        <w:t>Article 10 – Éducation</w:t>
      </w:r>
    </w:p>
    <w:p w14:paraId="745E26F0" w14:textId="77777777" w:rsidR="007C4C66" w:rsidRPr="008E1A39" w:rsidRDefault="007C4C66" w:rsidP="007C4C66">
      <w:pPr>
        <w:spacing w:before="100" w:beforeAutospacing="1" w:after="100" w:afterAutospacing="1"/>
        <w:rPr>
          <w:rFonts w:eastAsia="Times New Roman" w:cstheme="minorHAnsi"/>
          <w:kern w:val="0"/>
          <w:lang w:eastAsia="fr-FR"/>
          <w14:ligatures w14:val="none"/>
        </w:rPr>
      </w:pPr>
      <w:r w:rsidRPr="008E1A39">
        <w:rPr>
          <w:rFonts w:eastAsia="Times New Roman" w:cstheme="minorHAnsi"/>
          <w:b/>
          <w:bCs/>
          <w:kern w:val="0"/>
          <w:lang w:eastAsia="fr-FR"/>
          <w14:ligatures w14:val="none"/>
        </w:rPr>
        <w:t>Constats</w:t>
      </w:r>
      <w:r w:rsidRPr="008E1A39">
        <w:rPr>
          <w:rFonts w:eastAsia="Times New Roman" w:cstheme="minorHAnsi"/>
          <w:kern w:val="0"/>
          <w:lang w:eastAsia="fr-FR"/>
          <w14:ligatures w14:val="none"/>
        </w:rPr>
        <w:br/>
        <w:t>Le Comité CEDEF avait recommandé de garantir l’accès des filles à l’éducation, d’empêcher leur exclusion en cas de grossesse et de promouvoir une éducation sexuelle complète.</w:t>
      </w:r>
    </w:p>
    <w:p w14:paraId="5B08CDB5" w14:textId="77777777" w:rsidR="007C4C66" w:rsidRPr="008E1A39" w:rsidRDefault="007C4C66" w:rsidP="007C4C66">
      <w:pPr>
        <w:spacing w:before="100" w:beforeAutospacing="1" w:after="100" w:afterAutospacing="1"/>
        <w:rPr>
          <w:rFonts w:eastAsia="Times New Roman" w:cstheme="minorHAnsi"/>
          <w:kern w:val="0"/>
          <w:lang w:eastAsia="fr-FR"/>
          <w14:ligatures w14:val="none"/>
        </w:rPr>
      </w:pPr>
      <w:r w:rsidRPr="008E1A39">
        <w:rPr>
          <w:rFonts w:eastAsia="Times New Roman" w:cstheme="minorHAnsi"/>
          <w:kern w:val="0"/>
          <w:lang w:eastAsia="fr-FR"/>
          <w14:ligatures w14:val="none"/>
        </w:rPr>
        <w:t>L’AS-EFH (2023) révèle que :</w:t>
      </w:r>
    </w:p>
    <w:p w14:paraId="7BC870A4" w14:textId="77777777" w:rsidR="007C4C66" w:rsidRPr="008E1A39" w:rsidRDefault="007C4C66" w:rsidP="007C4C66">
      <w:pPr>
        <w:numPr>
          <w:ilvl w:val="0"/>
          <w:numId w:val="7"/>
        </w:numPr>
        <w:spacing w:before="100" w:beforeAutospacing="1" w:after="100" w:afterAutospacing="1"/>
        <w:rPr>
          <w:rFonts w:eastAsia="Times New Roman" w:cstheme="minorHAnsi"/>
          <w:kern w:val="0"/>
          <w:lang w:eastAsia="fr-FR"/>
          <w14:ligatures w14:val="none"/>
        </w:rPr>
      </w:pPr>
      <w:r w:rsidRPr="008E1A39">
        <w:rPr>
          <w:rFonts w:eastAsia="Times New Roman" w:cstheme="minorHAnsi"/>
          <w:kern w:val="0"/>
          <w:lang w:eastAsia="fr-FR"/>
          <w14:ligatures w14:val="none"/>
        </w:rPr>
        <w:t>Les grossesses précoces constituent le principal frein à la scolarisation des filles.</w:t>
      </w:r>
    </w:p>
    <w:p w14:paraId="53964641" w14:textId="77777777" w:rsidR="007C4C66" w:rsidRPr="008E1A39" w:rsidRDefault="007C4C66" w:rsidP="007C4C66">
      <w:pPr>
        <w:numPr>
          <w:ilvl w:val="0"/>
          <w:numId w:val="7"/>
        </w:numPr>
        <w:spacing w:before="100" w:beforeAutospacing="1" w:after="100" w:afterAutospacing="1"/>
        <w:rPr>
          <w:rFonts w:eastAsia="Times New Roman" w:cstheme="minorHAnsi"/>
          <w:kern w:val="0"/>
          <w:lang w:eastAsia="fr-FR"/>
          <w14:ligatures w14:val="none"/>
        </w:rPr>
      </w:pPr>
      <w:r w:rsidRPr="008E1A39">
        <w:rPr>
          <w:rFonts w:eastAsia="Times New Roman" w:cstheme="minorHAnsi"/>
          <w:kern w:val="0"/>
          <w:lang w:eastAsia="fr-FR"/>
          <w14:ligatures w14:val="none"/>
        </w:rPr>
        <w:t>Le taux d’analphabétisme féminin reste élevé : 19,5 % au niveau national, atteignant 55,8 % dans la région de Menabe contre 26,9 % pour les garçons.</w:t>
      </w:r>
    </w:p>
    <w:p w14:paraId="4711FD0F" w14:textId="77777777" w:rsidR="007C4C66" w:rsidRPr="008E1A39" w:rsidRDefault="007C4C66" w:rsidP="007C4C66">
      <w:pPr>
        <w:numPr>
          <w:ilvl w:val="0"/>
          <w:numId w:val="7"/>
        </w:numPr>
        <w:spacing w:before="100" w:beforeAutospacing="1" w:after="100" w:afterAutospacing="1"/>
        <w:rPr>
          <w:rFonts w:eastAsia="Times New Roman" w:cstheme="minorHAnsi"/>
          <w:kern w:val="0"/>
          <w:lang w:eastAsia="fr-FR"/>
          <w14:ligatures w14:val="none"/>
        </w:rPr>
      </w:pPr>
      <w:r w:rsidRPr="008E1A39">
        <w:rPr>
          <w:rFonts w:eastAsia="Times New Roman" w:cstheme="minorHAnsi"/>
          <w:kern w:val="0"/>
          <w:lang w:eastAsia="fr-FR"/>
          <w14:ligatures w14:val="none"/>
        </w:rPr>
        <w:t>Les stéréotypes persistent dans les manuels scolaires et orientent les filles vers des filières à faible revenu, tandis que les garçons dominent les filières scientifiques et techniques.</w:t>
      </w:r>
    </w:p>
    <w:p w14:paraId="1826134D" w14:textId="77777777" w:rsidR="007C4C66" w:rsidRPr="008E1A39" w:rsidRDefault="007C4C66" w:rsidP="007C4C66">
      <w:pPr>
        <w:spacing w:before="100" w:beforeAutospacing="1" w:after="100" w:afterAutospacing="1"/>
        <w:rPr>
          <w:rFonts w:eastAsia="Times New Roman" w:cstheme="minorHAnsi"/>
          <w:kern w:val="0"/>
          <w:lang w:eastAsia="fr-FR"/>
          <w14:ligatures w14:val="none"/>
        </w:rPr>
      </w:pPr>
      <w:r w:rsidRPr="008E1A39">
        <w:rPr>
          <w:rFonts w:eastAsia="Times New Roman" w:cstheme="minorHAnsi"/>
          <w:kern w:val="0"/>
          <w:lang w:eastAsia="fr-FR"/>
          <w14:ligatures w14:val="none"/>
        </w:rPr>
        <w:t>La PNEFH 2025–2035 (Axe 7) prévoit le maintien et la réintégration des filles enceintes dans le système scolaire, la réforme des curricula pour supprimer les stéréotypes et l’orientation active des filles vers les filières STEM. Elle inclut aussi l’introduction d’une éducation complète à la santé sexuelle et reproductive.</w:t>
      </w:r>
    </w:p>
    <w:p w14:paraId="44004FC3" w14:textId="77777777" w:rsidR="007C4C66" w:rsidRDefault="007C4C66" w:rsidP="007C4C66">
      <w:pPr>
        <w:spacing w:before="100" w:beforeAutospacing="1"/>
        <w:rPr>
          <w:rFonts w:eastAsia="Times New Roman" w:cstheme="minorHAnsi"/>
          <w:kern w:val="0"/>
          <w:lang w:eastAsia="fr-FR"/>
          <w14:ligatures w14:val="none"/>
        </w:rPr>
      </w:pPr>
      <w:r w:rsidRPr="008E1A39">
        <w:rPr>
          <w:rFonts w:eastAsia="Times New Roman" w:cstheme="minorHAnsi"/>
          <w:b/>
          <w:bCs/>
          <w:kern w:val="0"/>
          <w:lang w:eastAsia="fr-FR"/>
          <w14:ligatures w14:val="none"/>
        </w:rPr>
        <w:t>OSC contributrices</w:t>
      </w:r>
    </w:p>
    <w:p w14:paraId="07BF2534" w14:textId="036B3C98" w:rsidR="007C4C66" w:rsidRPr="008E1A39" w:rsidRDefault="007C4C66" w:rsidP="007C4C66">
      <w:pPr>
        <w:spacing w:before="100" w:beforeAutospacing="1" w:after="100" w:afterAutospacing="1"/>
        <w:jc w:val="both"/>
        <w:rPr>
          <w:rFonts w:eastAsia="Times New Roman" w:cstheme="minorHAnsi"/>
          <w:kern w:val="0"/>
          <w:lang w:eastAsia="fr-FR"/>
          <w14:ligatures w14:val="none"/>
        </w:rPr>
      </w:pPr>
      <w:r w:rsidRPr="008E1A39">
        <w:rPr>
          <w:rFonts w:eastAsia="Times New Roman" w:cstheme="minorHAnsi"/>
          <w:kern w:val="0"/>
          <w:lang w:eastAsia="fr-FR"/>
          <w14:ligatures w14:val="none"/>
        </w:rPr>
        <w:t>La FFBKEM et l’ASSEFFEMA insistent sur la nécessité d’offrir aux filles les mêmes opportunités éducatives que les garçons, y compris dans les zones rurales reculées. Elles alertent également sur les inégalités régionales et socio-économiques qui accentuent la vulnérabilité des jeunes filles.</w:t>
      </w:r>
    </w:p>
    <w:p w14:paraId="5013E88B" w14:textId="77777777" w:rsidR="007C4C66" w:rsidRDefault="007C4C66" w:rsidP="007C4C66">
      <w:pPr>
        <w:spacing w:before="100" w:beforeAutospacing="1"/>
        <w:rPr>
          <w:rFonts w:eastAsia="Times New Roman" w:cstheme="minorHAnsi"/>
          <w:kern w:val="0"/>
          <w:lang w:eastAsia="fr-FR"/>
          <w14:ligatures w14:val="none"/>
        </w:rPr>
      </w:pPr>
      <w:r w:rsidRPr="008E1A39">
        <w:rPr>
          <w:rFonts w:eastAsia="Times New Roman" w:cstheme="minorHAnsi"/>
          <w:b/>
          <w:bCs/>
          <w:kern w:val="0"/>
          <w:lang w:eastAsia="fr-FR"/>
          <w14:ligatures w14:val="none"/>
        </w:rPr>
        <w:lastRenderedPageBreak/>
        <w:t>Recommandation CEDEF</w:t>
      </w:r>
    </w:p>
    <w:p w14:paraId="4B02E028" w14:textId="24FB19A7" w:rsidR="007C4C66" w:rsidRPr="008E1A39" w:rsidRDefault="007C4C66" w:rsidP="007C4C66">
      <w:pPr>
        <w:spacing w:after="100" w:afterAutospacing="1"/>
        <w:jc w:val="both"/>
        <w:rPr>
          <w:rFonts w:eastAsia="Times New Roman" w:cstheme="minorHAnsi"/>
          <w:kern w:val="0"/>
          <w:lang w:eastAsia="fr-FR"/>
          <w14:ligatures w14:val="none"/>
        </w:rPr>
      </w:pPr>
      <w:r w:rsidRPr="008E1A39">
        <w:rPr>
          <w:rFonts w:eastAsia="Times New Roman" w:cstheme="minorHAnsi"/>
          <w:kern w:val="0"/>
          <w:lang w:eastAsia="fr-FR"/>
          <w14:ligatures w14:val="none"/>
        </w:rPr>
        <w:t>Garantir la réintégration scolaire des filles enceintes, introduire une éducation sexuelle complète et adaptée, éradiquer les stéréotypes des curricula scolaires et promouvoir l’accès des filles aux filières scientifiques et techniques.</w:t>
      </w:r>
    </w:p>
    <w:p w14:paraId="485E3513" w14:textId="77777777" w:rsidR="007C4C66" w:rsidRPr="008E1A39" w:rsidRDefault="007C4C66" w:rsidP="007C4C66">
      <w:pPr>
        <w:spacing w:before="100" w:beforeAutospacing="1" w:after="100" w:afterAutospacing="1"/>
        <w:outlineLvl w:val="1"/>
        <w:rPr>
          <w:rFonts w:eastAsia="Times New Roman" w:cstheme="minorHAnsi"/>
          <w:b/>
          <w:bCs/>
          <w:kern w:val="0"/>
          <w:sz w:val="36"/>
          <w:szCs w:val="36"/>
          <w:lang w:eastAsia="fr-FR"/>
          <w14:ligatures w14:val="none"/>
        </w:rPr>
      </w:pPr>
      <w:r w:rsidRPr="008E1A39">
        <w:rPr>
          <w:rFonts w:eastAsia="Times New Roman" w:cstheme="minorHAnsi"/>
          <w:b/>
          <w:bCs/>
          <w:kern w:val="0"/>
          <w:sz w:val="36"/>
          <w:szCs w:val="36"/>
          <w:lang w:eastAsia="fr-FR"/>
          <w14:ligatures w14:val="none"/>
        </w:rPr>
        <w:t>Article 11 – Emploi et conditions de travail</w:t>
      </w:r>
    </w:p>
    <w:p w14:paraId="6126EBDF" w14:textId="77777777" w:rsidR="007C4C66" w:rsidRPr="008E1A39" w:rsidRDefault="007C4C66" w:rsidP="007C4C66">
      <w:pPr>
        <w:spacing w:before="100" w:beforeAutospacing="1" w:after="100" w:afterAutospacing="1"/>
        <w:rPr>
          <w:rFonts w:eastAsia="Times New Roman" w:cstheme="minorHAnsi"/>
          <w:kern w:val="0"/>
          <w:lang w:eastAsia="fr-FR"/>
          <w14:ligatures w14:val="none"/>
        </w:rPr>
      </w:pPr>
      <w:r w:rsidRPr="008E1A39">
        <w:rPr>
          <w:rFonts w:eastAsia="Times New Roman" w:cstheme="minorHAnsi"/>
          <w:b/>
          <w:bCs/>
          <w:kern w:val="0"/>
          <w:lang w:eastAsia="fr-FR"/>
          <w14:ligatures w14:val="none"/>
        </w:rPr>
        <w:t>Constats</w:t>
      </w:r>
      <w:r w:rsidRPr="008E1A39">
        <w:rPr>
          <w:rFonts w:eastAsia="Times New Roman" w:cstheme="minorHAnsi"/>
          <w:kern w:val="0"/>
          <w:lang w:eastAsia="fr-FR"/>
          <w14:ligatures w14:val="none"/>
        </w:rPr>
        <w:br/>
        <w:t>Le Comité avait recommandé en 2015 de combler les écarts salariaux, de protéger les travailleuses du secteur informel, de clarifier la loi sur le harcèlement sexuel et de ratifier la Convention OIT n°189 sur le travail domestique.</w:t>
      </w:r>
    </w:p>
    <w:p w14:paraId="2D33BF47" w14:textId="77777777" w:rsidR="007C4C66" w:rsidRPr="008E1A39" w:rsidRDefault="007C4C66" w:rsidP="007C4C66">
      <w:pPr>
        <w:spacing w:before="100" w:beforeAutospacing="1" w:after="100" w:afterAutospacing="1"/>
        <w:rPr>
          <w:rFonts w:eastAsia="Times New Roman" w:cstheme="minorHAnsi"/>
          <w:kern w:val="0"/>
          <w:lang w:eastAsia="fr-FR"/>
          <w14:ligatures w14:val="none"/>
        </w:rPr>
      </w:pPr>
      <w:r w:rsidRPr="008E1A39">
        <w:rPr>
          <w:rFonts w:eastAsia="Times New Roman" w:cstheme="minorHAnsi"/>
          <w:kern w:val="0"/>
          <w:lang w:eastAsia="fr-FR"/>
          <w14:ligatures w14:val="none"/>
        </w:rPr>
        <w:t>L’AS-EFH (2023) montre que :</w:t>
      </w:r>
    </w:p>
    <w:p w14:paraId="353DC489" w14:textId="77777777" w:rsidR="007C4C66" w:rsidRPr="008E1A39" w:rsidRDefault="007C4C66" w:rsidP="007C4C66">
      <w:pPr>
        <w:numPr>
          <w:ilvl w:val="0"/>
          <w:numId w:val="8"/>
        </w:numPr>
        <w:spacing w:before="100" w:beforeAutospacing="1" w:after="100" w:afterAutospacing="1"/>
        <w:rPr>
          <w:rFonts w:eastAsia="Times New Roman" w:cstheme="minorHAnsi"/>
          <w:kern w:val="0"/>
          <w:lang w:eastAsia="fr-FR"/>
          <w14:ligatures w14:val="none"/>
        </w:rPr>
      </w:pPr>
      <w:r w:rsidRPr="008E1A39">
        <w:rPr>
          <w:rFonts w:eastAsia="Times New Roman" w:cstheme="minorHAnsi"/>
          <w:kern w:val="0"/>
          <w:lang w:eastAsia="fr-FR"/>
          <w14:ligatures w14:val="none"/>
        </w:rPr>
        <w:t>L’écart salarial entre hommes et femmes est en moyenne de 28,9 points en faveur des hommes.</w:t>
      </w:r>
    </w:p>
    <w:p w14:paraId="1DA98906" w14:textId="77777777" w:rsidR="007C4C66" w:rsidRPr="008E1A39" w:rsidRDefault="007C4C66" w:rsidP="007C4C66">
      <w:pPr>
        <w:numPr>
          <w:ilvl w:val="0"/>
          <w:numId w:val="8"/>
        </w:numPr>
        <w:spacing w:before="100" w:beforeAutospacing="1" w:after="100" w:afterAutospacing="1"/>
        <w:rPr>
          <w:rFonts w:eastAsia="Times New Roman" w:cstheme="minorHAnsi"/>
          <w:kern w:val="0"/>
          <w:lang w:eastAsia="fr-FR"/>
          <w14:ligatures w14:val="none"/>
        </w:rPr>
      </w:pPr>
      <w:r w:rsidRPr="008E1A39">
        <w:rPr>
          <w:rFonts w:eastAsia="Times New Roman" w:cstheme="minorHAnsi"/>
          <w:kern w:val="0"/>
          <w:lang w:eastAsia="fr-FR"/>
          <w14:ligatures w14:val="none"/>
        </w:rPr>
        <w:t>Les femmes sont concentrées dans les secteurs informels, agricoles et domestiques, avec une protection sociale très limitée.</w:t>
      </w:r>
    </w:p>
    <w:p w14:paraId="0BFA6913" w14:textId="77777777" w:rsidR="007C4C66" w:rsidRPr="008E1A39" w:rsidRDefault="007C4C66" w:rsidP="007C4C66">
      <w:pPr>
        <w:numPr>
          <w:ilvl w:val="0"/>
          <w:numId w:val="8"/>
        </w:numPr>
        <w:spacing w:before="100" w:beforeAutospacing="1" w:after="100" w:afterAutospacing="1"/>
        <w:rPr>
          <w:rFonts w:eastAsia="Times New Roman" w:cstheme="minorHAnsi"/>
          <w:kern w:val="0"/>
          <w:lang w:eastAsia="fr-FR"/>
          <w14:ligatures w14:val="none"/>
        </w:rPr>
      </w:pPr>
      <w:r w:rsidRPr="008E1A39">
        <w:rPr>
          <w:rFonts w:eastAsia="Times New Roman" w:cstheme="minorHAnsi"/>
          <w:kern w:val="0"/>
          <w:lang w:eastAsia="fr-FR"/>
          <w14:ligatures w14:val="none"/>
        </w:rPr>
        <w:t>Le harcèlement sexuel reste fréquent et insuffisamment sanctionné.</w:t>
      </w:r>
    </w:p>
    <w:p w14:paraId="209DB2BB" w14:textId="77777777" w:rsidR="007C4C66" w:rsidRPr="008E1A39" w:rsidRDefault="007C4C66" w:rsidP="007C4C66">
      <w:pPr>
        <w:numPr>
          <w:ilvl w:val="0"/>
          <w:numId w:val="8"/>
        </w:numPr>
        <w:spacing w:before="100" w:beforeAutospacing="1" w:after="100" w:afterAutospacing="1"/>
        <w:rPr>
          <w:rFonts w:eastAsia="Times New Roman" w:cstheme="minorHAnsi"/>
          <w:kern w:val="0"/>
          <w:lang w:eastAsia="fr-FR"/>
          <w14:ligatures w14:val="none"/>
        </w:rPr>
      </w:pPr>
      <w:r w:rsidRPr="008E1A39">
        <w:rPr>
          <w:rFonts w:eastAsia="Times New Roman" w:cstheme="minorHAnsi"/>
          <w:kern w:val="0"/>
          <w:lang w:eastAsia="fr-FR"/>
          <w14:ligatures w14:val="none"/>
        </w:rPr>
        <w:t>La Convention OIT n°189 n’a toujours pas été ratifiée.</w:t>
      </w:r>
    </w:p>
    <w:p w14:paraId="5CDE6595" w14:textId="77777777" w:rsidR="007C4C66" w:rsidRPr="008E1A39" w:rsidRDefault="007C4C66" w:rsidP="007C4C66">
      <w:pPr>
        <w:spacing w:before="100" w:beforeAutospacing="1" w:after="100" w:afterAutospacing="1"/>
        <w:rPr>
          <w:rFonts w:eastAsia="Times New Roman" w:cstheme="minorHAnsi"/>
          <w:kern w:val="0"/>
          <w:lang w:eastAsia="fr-FR"/>
          <w14:ligatures w14:val="none"/>
        </w:rPr>
      </w:pPr>
      <w:r w:rsidRPr="008E1A39">
        <w:rPr>
          <w:rFonts w:eastAsia="Times New Roman" w:cstheme="minorHAnsi"/>
          <w:kern w:val="0"/>
          <w:lang w:eastAsia="fr-FR"/>
          <w14:ligatures w14:val="none"/>
        </w:rPr>
        <w:t>La PNEFH 2025–2035 (Axe 8) prévoit la réduction progressive des écarts salariaux, la réforme des lois sur le harcèlement sexuel, le plaidoyer pour la ratification de l’OIT 189, et des programmes d’appui pour formaliser les activités des travailleuses du secteur informel.</w:t>
      </w:r>
    </w:p>
    <w:p w14:paraId="5AEBE111" w14:textId="77777777" w:rsidR="007C4C66" w:rsidRPr="008E1A39" w:rsidRDefault="007C4C66" w:rsidP="007C4C66">
      <w:pPr>
        <w:spacing w:before="100" w:beforeAutospacing="1" w:after="100" w:afterAutospacing="1"/>
        <w:rPr>
          <w:rFonts w:eastAsia="Times New Roman" w:cstheme="minorHAnsi"/>
          <w:kern w:val="0"/>
          <w:lang w:eastAsia="fr-FR"/>
          <w14:ligatures w14:val="none"/>
        </w:rPr>
      </w:pPr>
      <w:r w:rsidRPr="008E1A39">
        <w:rPr>
          <w:rFonts w:eastAsia="Times New Roman" w:cstheme="minorHAnsi"/>
          <w:b/>
          <w:bCs/>
          <w:kern w:val="0"/>
          <w:lang w:eastAsia="fr-FR"/>
          <w14:ligatures w14:val="none"/>
        </w:rPr>
        <w:t>OSC contributrices</w:t>
      </w:r>
      <w:r w:rsidRPr="008E1A39">
        <w:rPr>
          <w:rFonts w:eastAsia="Times New Roman" w:cstheme="minorHAnsi"/>
          <w:kern w:val="0"/>
          <w:lang w:eastAsia="fr-FR"/>
          <w14:ligatures w14:val="none"/>
        </w:rPr>
        <w:br/>
        <w:t xml:space="preserve">La FFBKEM </w:t>
      </w:r>
      <w:r>
        <w:rPr>
          <w:rFonts w:eastAsia="Times New Roman" w:cstheme="minorHAnsi"/>
          <w:kern w:val="0"/>
          <w:lang w:eastAsia="fr-FR"/>
          <w14:ligatures w14:val="none"/>
        </w:rPr>
        <w:t xml:space="preserve">de </w:t>
      </w:r>
      <w:r w:rsidRPr="008E1A39">
        <w:rPr>
          <w:rFonts w:eastAsia="Times New Roman" w:cstheme="minorHAnsi"/>
          <w:kern w:val="0"/>
          <w:lang w:eastAsia="fr-FR"/>
          <w14:ligatures w14:val="none"/>
        </w:rPr>
        <w:t>Pax Romana dénoncent le plafond de verre qui empêche les femmes d’accéder à des postes décisionnels malgré leurs qualifications. Elles insistent aussi sur la nécessité de lutter contre les discriminations salariales, qui aggravent la pauvreté des femmes et compromettent leur autonomisation économique.</w:t>
      </w:r>
    </w:p>
    <w:p w14:paraId="26261E25" w14:textId="77777777" w:rsidR="007C4C66" w:rsidRPr="008E1A39" w:rsidRDefault="007C4C66" w:rsidP="007C4C66">
      <w:pPr>
        <w:spacing w:before="100" w:beforeAutospacing="1" w:after="100" w:afterAutospacing="1"/>
        <w:rPr>
          <w:rFonts w:eastAsia="Times New Roman" w:cstheme="minorHAnsi"/>
          <w:kern w:val="0"/>
          <w:lang w:eastAsia="fr-FR"/>
          <w14:ligatures w14:val="none"/>
        </w:rPr>
      </w:pPr>
      <w:r w:rsidRPr="008E1A39">
        <w:rPr>
          <w:rFonts w:eastAsia="Times New Roman" w:cstheme="minorHAnsi"/>
          <w:b/>
          <w:bCs/>
          <w:kern w:val="0"/>
          <w:lang w:eastAsia="fr-FR"/>
          <w14:ligatures w14:val="none"/>
        </w:rPr>
        <w:t>Recommandation CEDEF</w:t>
      </w:r>
      <w:r w:rsidRPr="008E1A39">
        <w:rPr>
          <w:rFonts w:eastAsia="Times New Roman" w:cstheme="minorHAnsi"/>
          <w:kern w:val="0"/>
          <w:lang w:eastAsia="fr-FR"/>
          <w14:ligatures w14:val="none"/>
        </w:rPr>
        <w:br/>
        <w:t>Combler les écarts salariaux entre femmes et hommes, ratifier la Convention OIT 189, renforcer la protection des travailleuses du secteur informel et adopter des mesures strictes contre le harcèlement sexuel au travail.</w:t>
      </w:r>
    </w:p>
    <w:p w14:paraId="1F5F4A89" w14:textId="77777777" w:rsidR="007C4C66" w:rsidRPr="008E1A39" w:rsidRDefault="007C4C66" w:rsidP="007C4C66">
      <w:pPr>
        <w:spacing w:before="100" w:beforeAutospacing="1" w:after="100" w:afterAutospacing="1"/>
        <w:outlineLvl w:val="1"/>
        <w:rPr>
          <w:rFonts w:eastAsia="Times New Roman" w:cstheme="minorHAnsi"/>
          <w:b/>
          <w:bCs/>
          <w:kern w:val="0"/>
          <w:sz w:val="36"/>
          <w:szCs w:val="36"/>
          <w:lang w:eastAsia="fr-FR"/>
          <w14:ligatures w14:val="none"/>
        </w:rPr>
      </w:pPr>
      <w:r w:rsidRPr="008E1A39">
        <w:rPr>
          <w:rFonts w:eastAsia="Times New Roman" w:cstheme="minorHAnsi"/>
          <w:b/>
          <w:bCs/>
          <w:kern w:val="0"/>
          <w:sz w:val="36"/>
          <w:szCs w:val="36"/>
          <w:lang w:eastAsia="fr-FR"/>
          <w14:ligatures w14:val="none"/>
        </w:rPr>
        <w:t>Article 12 – Santé</w:t>
      </w:r>
    </w:p>
    <w:p w14:paraId="25BB1C20" w14:textId="77777777" w:rsidR="007C4C66" w:rsidRPr="008E1A39" w:rsidRDefault="007C4C66" w:rsidP="007C4C66">
      <w:pPr>
        <w:spacing w:before="100" w:beforeAutospacing="1" w:after="100" w:afterAutospacing="1"/>
        <w:rPr>
          <w:rFonts w:eastAsia="Times New Roman" w:cstheme="minorHAnsi"/>
          <w:kern w:val="0"/>
          <w:lang w:eastAsia="fr-FR"/>
          <w14:ligatures w14:val="none"/>
        </w:rPr>
      </w:pPr>
      <w:r w:rsidRPr="008E1A39">
        <w:rPr>
          <w:rFonts w:eastAsia="Times New Roman" w:cstheme="minorHAnsi"/>
          <w:b/>
          <w:bCs/>
          <w:kern w:val="0"/>
          <w:lang w:eastAsia="fr-FR"/>
          <w14:ligatures w14:val="none"/>
        </w:rPr>
        <w:t>Constats</w:t>
      </w:r>
      <w:r w:rsidRPr="008E1A39">
        <w:rPr>
          <w:rFonts w:eastAsia="Times New Roman" w:cstheme="minorHAnsi"/>
          <w:kern w:val="0"/>
          <w:lang w:eastAsia="fr-FR"/>
          <w14:ligatures w14:val="none"/>
        </w:rPr>
        <w:br/>
        <w:t>En 2015, le Comité avait recommandé de réduire le taux de mortalité maternelle, d’améliorer l’accès aux soins obstétricaux, de légaliser l’avortement dans certains cas (viol, inceste, danger pour la mère, malformation) et d’assurer des soins post-avortement.</w:t>
      </w:r>
    </w:p>
    <w:p w14:paraId="1632AD80" w14:textId="77777777" w:rsidR="007C4C66" w:rsidRPr="008E1A39" w:rsidRDefault="007C4C66" w:rsidP="007C4C66">
      <w:pPr>
        <w:spacing w:before="100" w:beforeAutospacing="1" w:after="100" w:afterAutospacing="1"/>
        <w:rPr>
          <w:rFonts w:eastAsia="Times New Roman" w:cstheme="minorHAnsi"/>
          <w:kern w:val="0"/>
          <w:lang w:eastAsia="fr-FR"/>
          <w14:ligatures w14:val="none"/>
        </w:rPr>
      </w:pPr>
      <w:r w:rsidRPr="008E1A39">
        <w:rPr>
          <w:rFonts w:eastAsia="Times New Roman" w:cstheme="minorHAnsi"/>
          <w:kern w:val="0"/>
          <w:lang w:eastAsia="fr-FR"/>
          <w14:ligatures w14:val="none"/>
        </w:rPr>
        <w:t>L’AS-EFH (2023) indique que :</w:t>
      </w:r>
    </w:p>
    <w:p w14:paraId="3136D1FB" w14:textId="77777777" w:rsidR="007C4C66" w:rsidRPr="008E1A39" w:rsidRDefault="007C4C66" w:rsidP="007C4C66">
      <w:pPr>
        <w:numPr>
          <w:ilvl w:val="0"/>
          <w:numId w:val="9"/>
        </w:numPr>
        <w:spacing w:before="100" w:beforeAutospacing="1" w:after="100" w:afterAutospacing="1"/>
        <w:rPr>
          <w:rFonts w:eastAsia="Times New Roman" w:cstheme="minorHAnsi"/>
          <w:kern w:val="0"/>
          <w:lang w:eastAsia="fr-FR"/>
          <w14:ligatures w14:val="none"/>
        </w:rPr>
      </w:pPr>
      <w:r w:rsidRPr="008E1A39">
        <w:rPr>
          <w:rFonts w:eastAsia="Times New Roman" w:cstheme="minorHAnsi"/>
          <w:kern w:val="0"/>
          <w:lang w:eastAsia="fr-FR"/>
          <w14:ligatures w14:val="none"/>
        </w:rPr>
        <w:lastRenderedPageBreak/>
        <w:t>Le taux de mortalité maternelle reste très élevé (426 pour 100 000 naissances vivantes au niveau national, et &gt;600 dans certaines régions rurales).</w:t>
      </w:r>
    </w:p>
    <w:p w14:paraId="1F2252CB" w14:textId="77777777" w:rsidR="007C4C66" w:rsidRPr="008E1A39" w:rsidRDefault="007C4C66" w:rsidP="007C4C66">
      <w:pPr>
        <w:numPr>
          <w:ilvl w:val="0"/>
          <w:numId w:val="9"/>
        </w:numPr>
        <w:spacing w:before="100" w:beforeAutospacing="1" w:after="100" w:afterAutospacing="1"/>
        <w:rPr>
          <w:rFonts w:eastAsia="Times New Roman" w:cstheme="minorHAnsi"/>
          <w:kern w:val="0"/>
          <w:lang w:eastAsia="fr-FR"/>
          <w14:ligatures w14:val="none"/>
        </w:rPr>
      </w:pPr>
      <w:r w:rsidRPr="008E1A39">
        <w:rPr>
          <w:rFonts w:eastAsia="Times New Roman" w:cstheme="minorHAnsi"/>
          <w:kern w:val="0"/>
          <w:lang w:eastAsia="fr-FR"/>
          <w14:ligatures w14:val="none"/>
        </w:rPr>
        <w:t>L’avortement demeure totalement criminalisé par le Code pénal (article 317), ce qui conduit à environ 75 000 avortements clandestins par an, constituant la deuxième cause de mortalité maternelle.</w:t>
      </w:r>
    </w:p>
    <w:p w14:paraId="02CEE99A" w14:textId="77777777" w:rsidR="007C4C66" w:rsidRPr="008E1A39" w:rsidRDefault="007C4C66" w:rsidP="007C4C66">
      <w:pPr>
        <w:numPr>
          <w:ilvl w:val="0"/>
          <w:numId w:val="9"/>
        </w:numPr>
        <w:spacing w:before="100" w:beforeAutospacing="1" w:after="100" w:afterAutospacing="1"/>
        <w:rPr>
          <w:rFonts w:eastAsia="Times New Roman" w:cstheme="minorHAnsi"/>
          <w:kern w:val="0"/>
          <w:lang w:eastAsia="fr-FR"/>
          <w14:ligatures w14:val="none"/>
        </w:rPr>
      </w:pPr>
      <w:r w:rsidRPr="008E1A39">
        <w:rPr>
          <w:rFonts w:eastAsia="Times New Roman" w:cstheme="minorHAnsi"/>
          <w:kern w:val="0"/>
          <w:lang w:eastAsia="fr-FR"/>
          <w14:ligatures w14:val="none"/>
        </w:rPr>
        <w:t>L’accès à la contraception moderne reste limité, en particulier en zones rurales.</w:t>
      </w:r>
    </w:p>
    <w:p w14:paraId="56E460BB" w14:textId="77777777" w:rsidR="007C4C66" w:rsidRPr="008E1A39" w:rsidRDefault="007C4C66" w:rsidP="007C4C66">
      <w:pPr>
        <w:spacing w:before="100" w:beforeAutospacing="1" w:after="100" w:afterAutospacing="1"/>
        <w:rPr>
          <w:rFonts w:eastAsia="Times New Roman" w:cstheme="minorHAnsi"/>
          <w:kern w:val="0"/>
          <w:lang w:eastAsia="fr-FR"/>
          <w14:ligatures w14:val="none"/>
        </w:rPr>
      </w:pPr>
      <w:r w:rsidRPr="008E1A39">
        <w:rPr>
          <w:rFonts w:eastAsia="Times New Roman" w:cstheme="minorHAnsi"/>
          <w:kern w:val="0"/>
          <w:lang w:eastAsia="fr-FR"/>
          <w14:ligatures w14:val="none"/>
        </w:rPr>
        <w:t>La PNEFH 2025–2035 (Axe 9) prévoit la dépénalisation partielle de l’avortement dans les cas de viol, inceste, malformation ou danger pour la vie de la mère, ainsi que la gratuité des soins obstétricaux et l’amélioration de l’accès à la contraception. La SNLCVBG 2025–2030 complète ces engagements en garantissant des soins SSR et post-avortement pour les survivantes de VBG.</w:t>
      </w:r>
    </w:p>
    <w:p w14:paraId="125FD116" w14:textId="77777777" w:rsidR="007C4C66" w:rsidRPr="008E1A39" w:rsidRDefault="007C4C66" w:rsidP="007C4C66">
      <w:pPr>
        <w:spacing w:before="100" w:beforeAutospacing="1" w:after="100" w:afterAutospacing="1"/>
        <w:rPr>
          <w:rFonts w:eastAsia="Times New Roman" w:cstheme="minorHAnsi"/>
          <w:kern w:val="0"/>
          <w:lang w:eastAsia="fr-FR"/>
          <w14:ligatures w14:val="none"/>
        </w:rPr>
      </w:pPr>
      <w:r w:rsidRPr="008E1A39">
        <w:rPr>
          <w:rFonts w:eastAsia="Times New Roman" w:cstheme="minorHAnsi"/>
          <w:b/>
          <w:bCs/>
          <w:kern w:val="0"/>
          <w:lang w:eastAsia="fr-FR"/>
          <w14:ligatures w14:val="none"/>
        </w:rPr>
        <w:t>OSC contributrices</w:t>
      </w:r>
      <w:r w:rsidRPr="008E1A39">
        <w:rPr>
          <w:rFonts w:eastAsia="Times New Roman" w:cstheme="minorHAnsi"/>
          <w:kern w:val="0"/>
          <w:lang w:eastAsia="fr-FR"/>
          <w14:ligatures w14:val="none"/>
        </w:rPr>
        <w:br/>
        <w:t>Les organisations de la coalition rappellent que la mortalité maternelle élevée constitue une urgence nationale. Elles soulignent que l’absence de réforme du cadre légal sur l’avortement est un obstacle majeur à la santé et à la dignité des femmes.</w:t>
      </w:r>
    </w:p>
    <w:p w14:paraId="00E4F9BC" w14:textId="77777777" w:rsidR="007C4C66" w:rsidRPr="008E1A39" w:rsidRDefault="007C4C66" w:rsidP="007C4C66">
      <w:pPr>
        <w:spacing w:before="100" w:beforeAutospacing="1" w:after="100" w:afterAutospacing="1"/>
        <w:rPr>
          <w:rFonts w:eastAsia="Times New Roman" w:cstheme="minorHAnsi"/>
          <w:kern w:val="0"/>
          <w:lang w:eastAsia="fr-FR"/>
          <w14:ligatures w14:val="none"/>
        </w:rPr>
      </w:pPr>
      <w:r w:rsidRPr="008E1A39">
        <w:rPr>
          <w:rFonts w:eastAsia="Times New Roman" w:cstheme="minorHAnsi"/>
          <w:b/>
          <w:bCs/>
          <w:kern w:val="0"/>
          <w:lang w:eastAsia="fr-FR"/>
          <w14:ligatures w14:val="none"/>
        </w:rPr>
        <w:t>Recommandation CEDEF</w:t>
      </w:r>
      <w:r w:rsidRPr="008E1A39">
        <w:rPr>
          <w:rFonts w:eastAsia="Times New Roman" w:cstheme="minorHAnsi"/>
          <w:kern w:val="0"/>
          <w:lang w:eastAsia="fr-FR"/>
          <w14:ligatures w14:val="none"/>
        </w:rPr>
        <w:br/>
        <w:t>Réduire la mortalité maternelle en assurant l’accès universel aux soins obstétricaux, dépénaliser l’avortement dans les cas recommandés par le Comité, garantir des soins post-avortement de qualité et élargir l’accès à la contraception moderne.</w:t>
      </w:r>
    </w:p>
    <w:p w14:paraId="272844A6" w14:textId="77777777" w:rsidR="0087572B" w:rsidRPr="00A73193" w:rsidRDefault="0087572B" w:rsidP="0087572B">
      <w:pPr>
        <w:spacing w:before="100" w:beforeAutospacing="1" w:after="100" w:afterAutospacing="1"/>
        <w:outlineLvl w:val="1"/>
        <w:rPr>
          <w:rFonts w:eastAsia="Times New Roman" w:cstheme="minorHAnsi"/>
          <w:b/>
          <w:bCs/>
          <w:kern w:val="0"/>
          <w:sz w:val="36"/>
          <w:szCs w:val="36"/>
          <w:lang w:eastAsia="fr-FR"/>
          <w14:ligatures w14:val="none"/>
        </w:rPr>
      </w:pPr>
      <w:r w:rsidRPr="00A73193">
        <w:rPr>
          <w:rFonts w:eastAsia="Times New Roman" w:cstheme="minorHAnsi"/>
          <w:b/>
          <w:bCs/>
          <w:kern w:val="0"/>
          <w:sz w:val="36"/>
          <w:szCs w:val="36"/>
          <w:lang w:eastAsia="fr-FR"/>
          <w14:ligatures w14:val="none"/>
        </w:rPr>
        <w:t>Article 13 – Avantages sociaux et économiques</w:t>
      </w:r>
    </w:p>
    <w:p w14:paraId="4EDE6839" w14:textId="77777777" w:rsidR="0087572B" w:rsidRPr="00A73193" w:rsidRDefault="0087572B" w:rsidP="0087572B">
      <w:pPr>
        <w:spacing w:before="100" w:beforeAutospacing="1" w:after="100" w:afterAutospacing="1"/>
        <w:rPr>
          <w:rFonts w:eastAsia="Times New Roman" w:cstheme="minorHAnsi"/>
          <w:kern w:val="0"/>
          <w:lang w:eastAsia="fr-FR"/>
          <w14:ligatures w14:val="none"/>
        </w:rPr>
      </w:pPr>
      <w:r w:rsidRPr="00A73193">
        <w:rPr>
          <w:rFonts w:eastAsia="Times New Roman" w:cstheme="minorHAnsi"/>
          <w:b/>
          <w:bCs/>
          <w:kern w:val="0"/>
          <w:lang w:eastAsia="fr-FR"/>
          <w14:ligatures w14:val="none"/>
        </w:rPr>
        <w:t>Constats</w:t>
      </w:r>
      <w:r w:rsidRPr="00A73193">
        <w:rPr>
          <w:rFonts w:eastAsia="Times New Roman" w:cstheme="minorHAnsi"/>
          <w:kern w:val="0"/>
          <w:lang w:eastAsia="fr-FR"/>
          <w14:ligatures w14:val="none"/>
        </w:rPr>
        <w:br/>
        <w:t>Le Comité CEDEF a recommandé en 2015 d’assurer l’égalité entre femmes et hommes dans l’accès aux prestations sociales, aux crédits et aux services économiques.</w:t>
      </w:r>
    </w:p>
    <w:p w14:paraId="45513D54" w14:textId="77777777" w:rsidR="0087572B" w:rsidRPr="00A73193" w:rsidRDefault="0087572B" w:rsidP="0087572B">
      <w:pPr>
        <w:spacing w:before="100" w:beforeAutospacing="1" w:after="100" w:afterAutospacing="1"/>
        <w:rPr>
          <w:rFonts w:eastAsia="Times New Roman" w:cstheme="minorHAnsi"/>
          <w:kern w:val="0"/>
          <w:lang w:eastAsia="fr-FR"/>
          <w14:ligatures w14:val="none"/>
        </w:rPr>
      </w:pPr>
      <w:r w:rsidRPr="00A73193">
        <w:rPr>
          <w:rFonts w:eastAsia="Times New Roman" w:cstheme="minorHAnsi"/>
          <w:kern w:val="0"/>
          <w:lang w:eastAsia="fr-FR"/>
          <w14:ligatures w14:val="none"/>
        </w:rPr>
        <w:t>L’AS-EFH (2023) montre que les femmes, en particulier celles vivant en milieu rural, rencontrent encore de fortes discriminations :</w:t>
      </w:r>
    </w:p>
    <w:p w14:paraId="58AAAB90" w14:textId="77777777" w:rsidR="0087572B" w:rsidRPr="00A73193" w:rsidRDefault="0087572B" w:rsidP="0087572B">
      <w:pPr>
        <w:numPr>
          <w:ilvl w:val="0"/>
          <w:numId w:val="12"/>
        </w:numPr>
        <w:spacing w:before="100" w:beforeAutospacing="1" w:after="100" w:afterAutospacing="1"/>
        <w:rPr>
          <w:rFonts w:eastAsia="Times New Roman" w:cstheme="minorHAnsi"/>
          <w:kern w:val="0"/>
          <w:lang w:eastAsia="fr-FR"/>
          <w14:ligatures w14:val="none"/>
        </w:rPr>
      </w:pPr>
      <w:r w:rsidRPr="00A73193">
        <w:rPr>
          <w:rFonts w:eastAsia="Times New Roman" w:cstheme="minorHAnsi"/>
          <w:kern w:val="0"/>
          <w:lang w:eastAsia="fr-FR"/>
          <w14:ligatures w14:val="none"/>
        </w:rPr>
        <w:t>seules 15 % détiennent des titres fonciers, contre 52 % pour les hommes ;</w:t>
      </w:r>
    </w:p>
    <w:p w14:paraId="26848A4E" w14:textId="77777777" w:rsidR="0087572B" w:rsidRPr="00A73193" w:rsidRDefault="0087572B" w:rsidP="0087572B">
      <w:pPr>
        <w:numPr>
          <w:ilvl w:val="0"/>
          <w:numId w:val="12"/>
        </w:numPr>
        <w:spacing w:before="100" w:beforeAutospacing="1" w:after="100" w:afterAutospacing="1"/>
        <w:rPr>
          <w:rFonts w:eastAsia="Times New Roman" w:cstheme="minorHAnsi"/>
          <w:kern w:val="0"/>
          <w:lang w:eastAsia="fr-FR"/>
          <w14:ligatures w14:val="none"/>
        </w:rPr>
      </w:pPr>
      <w:r w:rsidRPr="00A73193">
        <w:rPr>
          <w:rFonts w:eastAsia="Times New Roman" w:cstheme="minorHAnsi"/>
          <w:kern w:val="0"/>
          <w:lang w:eastAsia="fr-FR"/>
          <w14:ligatures w14:val="none"/>
        </w:rPr>
        <w:t>leur accès au crédit formel est limité, en raison de l’absence de garanties et de discriminations institutionnelles ;</w:t>
      </w:r>
    </w:p>
    <w:p w14:paraId="45BAA7C1" w14:textId="77777777" w:rsidR="0087572B" w:rsidRPr="00A73193" w:rsidRDefault="0087572B" w:rsidP="0087572B">
      <w:pPr>
        <w:numPr>
          <w:ilvl w:val="0"/>
          <w:numId w:val="12"/>
        </w:numPr>
        <w:spacing w:before="100" w:beforeAutospacing="1" w:after="100" w:afterAutospacing="1"/>
        <w:rPr>
          <w:rFonts w:eastAsia="Times New Roman" w:cstheme="minorHAnsi"/>
          <w:kern w:val="0"/>
          <w:lang w:eastAsia="fr-FR"/>
          <w14:ligatures w14:val="none"/>
        </w:rPr>
      </w:pPr>
      <w:r w:rsidRPr="00A73193">
        <w:rPr>
          <w:rFonts w:eastAsia="Times New Roman" w:cstheme="minorHAnsi"/>
          <w:kern w:val="0"/>
          <w:lang w:eastAsia="fr-FR"/>
          <w14:ligatures w14:val="none"/>
        </w:rPr>
        <w:t>leur participation au secteur formel de l’économie reste marginale.</w:t>
      </w:r>
    </w:p>
    <w:p w14:paraId="24C273A7" w14:textId="77777777" w:rsidR="0087572B" w:rsidRPr="00A73193" w:rsidRDefault="0087572B" w:rsidP="0087572B">
      <w:pPr>
        <w:spacing w:before="100" w:beforeAutospacing="1" w:after="100" w:afterAutospacing="1"/>
        <w:rPr>
          <w:rFonts w:eastAsia="Times New Roman" w:cstheme="minorHAnsi"/>
          <w:kern w:val="0"/>
          <w:lang w:eastAsia="fr-FR"/>
          <w14:ligatures w14:val="none"/>
        </w:rPr>
      </w:pPr>
      <w:r w:rsidRPr="00A73193">
        <w:rPr>
          <w:rFonts w:eastAsia="Times New Roman" w:cstheme="minorHAnsi"/>
          <w:kern w:val="0"/>
          <w:lang w:eastAsia="fr-FR"/>
          <w14:ligatures w14:val="none"/>
        </w:rPr>
        <w:t>La PNEFH 2025–2035 (Axe 10) prévoit des réformes foncières et successorales pour garantir l’égalité, la mise en place de programmes d’inclusion financière pour les femmes rurales, et un appui renforcé à l’entrepreneuriat féminin.</w:t>
      </w:r>
    </w:p>
    <w:p w14:paraId="52DB8DA8" w14:textId="77777777" w:rsidR="0087572B" w:rsidRPr="00A73193" w:rsidRDefault="0087572B" w:rsidP="0087572B">
      <w:pPr>
        <w:spacing w:before="100" w:beforeAutospacing="1" w:after="100" w:afterAutospacing="1"/>
        <w:rPr>
          <w:rFonts w:eastAsia="Times New Roman" w:cstheme="minorHAnsi"/>
          <w:kern w:val="0"/>
          <w:lang w:eastAsia="fr-FR"/>
          <w14:ligatures w14:val="none"/>
        </w:rPr>
      </w:pPr>
      <w:r w:rsidRPr="00A73193">
        <w:rPr>
          <w:rFonts w:eastAsia="Times New Roman" w:cstheme="minorHAnsi"/>
          <w:b/>
          <w:bCs/>
          <w:kern w:val="0"/>
          <w:lang w:eastAsia="fr-FR"/>
          <w14:ligatures w14:val="none"/>
        </w:rPr>
        <w:t>OSC contributrices</w:t>
      </w:r>
      <w:r w:rsidRPr="00A73193">
        <w:rPr>
          <w:rFonts w:eastAsia="Times New Roman" w:cstheme="minorHAnsi"/>
          <w:kern w:val="0"/>
          <w:lang w:eastAsia="fr-FR"/>
          <w14:ligatures w14:val="none"/>
        </w:rPr>
        <w:br/>
        <w:t xml:space="preserve">Les organisations de la coalition rappellent que l’autonomisation économique des femmes est une condition indispensable à la réalisation de l’égalité réelle. La FFBKEM et </w:t>
      </w:r>
      <w:r w:rsidRPr="00A73193">
        <w:rPr>
          <w:rFonts w:eastAsia="Times New Roman" w:cstheme="minorHAnsi"/>
          <w:kern w:val="0"/>
          <w:lang w:eastAsia="fr-FR"/>
          <w14:ligatures w14:val="none"/>
        </w:rPr>
        <w:lastRenderedPageBreak/>
        <w:t>l’ASSEFFEMA soulignent que les obstacles structurels à l’accès aux ressources limitent le développement des femmes et des communautés entières.</w:t>
      </w:r>
    </w:p>
    <w:p w14:paraId="4BD64484" w14:textId="77777777" w:rsidR="0087572B" w:rsidRPr="00196C72" w:rsidRDefault="0087572B" w:rsidP="0087572B">
      <w:pPr>
        <w:spacing w:before="100" w:beforeAutospacing="1" w:after="100" w:afterAutospacing="1"/>
        <w:rPr>
          <w:rFonts w:eastAsia="Times New Roman" w:cstheme="minorHAnsi"/>
          <w:spacing w:val="-6"/>
          <w:kern w:val="0"/>
          <w:lang w:eastAsia="fr-FR"/>
          <w14:ligatures w14:val="none"/>
        </w:rPr>
      </w:pPr>
      <w:r w:rsidRPr="00196C72">
        <w:rPr>
          <w:rFonts w:eastAsia="Times New Roman" w:cstheme="minorHAnsi"/>
          <w:b/>
          <w:bCs/>
          <w:spacing w:val="-6"/>
          <w:kern w:val="0"/>
          <w:lang w:eastAsia="fr-FR"/>
          <w14:ligatures w14:val="none"/>
        </w:rPr>
        <w:t>Recommandation CEDEF</w:t>
      </w:r>
      <w:r w:rsidRPr="00196C72">
        <w:rPr>
          <w:rFonts w:eastAsia="Times New Roman" w:cstheme="minorHAnsi"/>
          <w:spacing w:val="-6"/>
          <w:kern w:val="0"/>
          <w:lang w:eastAsia="fr-FR"/>
          <w14:ligatures w14:val="none"/>
        </w:rPr>
        <w:br/>
        <w:t>Réformer les lois successorales et foncières, faciliter l’accès des femmes au crédit et aux services financiers, et appuyer l’entrepreneuriat féminin comme moteur de développement inclusif.</w:t>
      </w:r>
    </w:p>
    <w:p w14:paraId="760F57AA" w14:textId="77777777" w:rsidR="0087572B" w:rsidRPr="00A73193" w:rsidRDefault="0087572B" w:rsidP="0087572B">
      <w:pPr>
        <w:spacing w:before="100" w:beforeAutospacing="1" w:after="100" w:afterAutospacing="1"/>
        <w:outlineLvl w:val="1"/>
        <w:rPr>
          <w:rFonts w:eastAsia="Times New Roman" w:cstheme="minorHAnsi"/>
          <w:b/>
          <w:bCs/>
          <w:kern w:val="0"/>
          <w:sz w:val="36"/>
          <w:szCs w:val="36"/>
          <w:lang w:eastAsia="fr-FR"/>
          <w14:ligatures w14:val="none"/>
        </w:rPr>
      </w:pPr>
      <w:r w:rsidRPr="00A73193">
        <w:rPr>
          <w:rFonts w:eastAsia="Times New Roman" w:cstheme="minorHAnsi"/>
          <w:b/>
          <w:bCs/>
          <w:kern w:val="0"/>
          <w:sz w:val="36"/>
          <w:szCs w:val="36"/>
          <w:lang w:eastAsia="fr-FR"/>
          <w14:ligatures w14:val="none"/>
        </w:rPr>
        <w:t>Article 14 – Femmes rurales</w:t>
      </w:r>
    </w:p>
    <w:p w14:paraId="45A2FB2F" w14:textId="77777777" w:rsidR="0087572B" w:rsidRPr="00A73193" w:rsidRDefault="0087572B" w:rsidP="0087572B">
      <w:pPr>
        <w:spacing w:before="100" w:beforeAutospacing="1" w:after="100" w:afterAutospacing="1"/>
        <w:rPr>
          <w:rFonts w:eastAsia="Times New Roman" w:cstheme="minorHAnsi"/>
          <w:kern w:val="0"/>
          <w:lang w:eastAsia="fr-FR"/>
          <w14:ligatures w14:val="none"/>
        </w:rPr>
      </w:pPr>
      <w:r w:rsidRPr="00A73193">
        <w:rPr>
          <w:rFonts w:eastAsia="Times New Roman" w:cstheme="minorHAnsi"/>
          <w:b/>
          <w:bCs/>
          <w:kern w:val="0"/>
          <w:lang w:eastAsia="fr-FR"/>
          <w14:ligatures w14:val="none"/>
        </w:rPr>
        <w:t>Constats</w:t>
      </w:r>
      <w:r w:rsidRPr="00A73193">
        <w:rPr>
          <w:rFonts w:eastAsia="Times New Roman" w:cstheme="minorHAnsi"/>
          <w:kern w:val="0"/>
          <w:lang w:eastAsia="fr-FR"/>
          <w14:ligatures w14:val="none"/>
        </w:rPr>
        <w:br/>
        <w:t>Le Comité avait souligné en 2015 la nécessité de prêter une attention particulière aux femmes rurales, qui subissent des discriminations multiples.</w:t>
      </w:r>
    </w:p>
    <w:p w14:paraId="188B1F9B" w14:textId="77777777" w:rsidR="0087572B" w:rsidRPr="00A73193" w:rsidRDefault="0087572B" w:rsidP="0087572B">
      <w:pPr>
        <w:spacing w:before="100" w:beforeAutospacing="1" w:after="100" w:afterAutospacing="1"/>
        <w:rPr>
          <w:rFonts w:eastAsia="Times New Roman" w:cstheme="minorHAnsi"/>
          <w:kern w:val="0"/>
          <w:lang w:eastAsia="fr-FR"/>
          <w14:ligatures w14:val="none"/>
        </w:rPr>
      </w:pPr>
      <w:r w:rsidRPr="00A73193">
        <w:rPr>
          <w:rFonts w:eastAsia="Times New Roman" w:cstheme="minorHAnsi"/>
          <w:kern w:val="0"/>
          <w:lang w:eastAsia="fr-FR"/>
          <w14:ligatures w14:val="none"/>
        </w:rPr>
        <w:t>L’AS-EFH (2023) confirme ces inégalités :</w:t>
      </w:r>
    </w:p>
    <w:p w14:paraId="2C483582" w14:textId="77777777" w:rsidR="0087572B" w:rsidRPr="00196C72" w:rsidRDefault="0087572B" w:rsidP="0087572B">
      <w:pPr>
        <w:numPr>
          <w:ilvl w:val="0"/>
          <w:numId w:val="13"/>
        </w:numPr>
        <w:spacing w:before="100" w:beforeAutospacing="1" w:after="100" w:afterAutospacing="1"/>
        <w:rPr>
          <w:rFonts w:eastAsia="Times New Roman" w:cstheme="minorHAnsi"/>
          <w:spacing w:val="-6"/>
          <w:kern w:val="0"/>
          <w:lang w:eastAsia="fr-FR"/>
          <w14:ligatures w14:val="none"/>
        </w:rPr>
      </w:pPr>
      <w:r w:rsidRPr="00196C72">
        <w:rPr>
          <w:rFonts w:eastAsia="Times New Roman" w:cstheme="minorHAnsi"/>
          <w:spacing w:val="-6"/>
          <w:kern w:val="0"/>
          <w:lang w:eastAsia="fr-FR"/>
          <w14:ligatures w14:val="none"/>
        </w:rPr>
        <w:t>les femmes rurales ont un accès très limité à la terre, aux intrants agricoles et à l’éducation ;</w:t>
      </w:r>
    </w:p>
    <w:p w14:paraId="6939788B" w14:textId="77777777" w:rsidR="0087572B" w:rsidRPr="00196C72" w:rsidRDefault="0087572B" w:rsidP="0087572B">
      <w:pPr>
        <w:numPr>
          <w:ilvl w:val="0"/>
          <w:numId w:val="13"/>
        </w:numPr>
        <w:spacing w:before="100" w:beforeAutospacing="1" w:after="100" w:afterAutospacing="1"/>
        <w:rPr>
          <w:rFonts w:eastAsia="Times New Roman" w:cstheme="minorHAnsi"/>
          <w:spacing w:val="-6"/>
          <w:kern w:val="0"/>
          <w:lang w:eastAsia="fr-FR"/>
          <w14:ligatures w14:val="none"/>
        </w:rPr>
      </w:pPr>
      <w:r w:rsidRPr="00196C72">
        <w:rPr>
          <w:rFonts w:eastAsia="Times New Roman" w:cstheme="minorHAnsi"/>
          <w:spacing w:val="-6"/>
          <w:kern w:val="0"/>
          <w:lang w:eastAsia="fr-FR"/>
          <w14:ligatures w14:val="none"/>
        </w:rPr>
        <w:t>elles sont les plus exposées aux effets du changement climatique et à l’insécurité alimentaire ;</w:t>
      </w:r>
    </w:p>
    <w:p w14:paraId="5CD24ECD" w14:textId="77777777" w:rsidR="0087572B" w:rsidRPr="00196C72" w:rsidRDefault="0087572B" w:rsidP="0087572B">
      <w:pPr>
        <w:numPr>
          <w:ilvl w:val="0"/>
          <w:numId w:val="13"/>
        </w:numPr>
        <w:spacing w:before="100" w:beforeAutospacing="1" w:after="100" w:afterAutospacing="1"/>
        <w:rPr>
          <w:rFonts w:eastAsia="Times New Roman" w:cstheme="minorHAnsi"/>
          <w:spacing w:val="-6"/>
          <w:kern w:val="0"/>
          <w:lang w:eastAsia="fr-FR"/>
          <w14:ligatures w14:val="none"/>
        </w:rPr>
      </w:pPr>
      <w:r w:rsidRPr="00196C72">
        <w:rPr>
          <w:rFonts w:eastAsia="Times New Roman" w:cstheme="minorHAnsi"/>
          <w:spacing w:val="-6"/>
          <w:kern w:val="0"/>
          <w:lang w:eastAsia="fr-FR"/>
          <w14:ligatures w14:val="none"/>
        </w:rPr>
        <w:t>leur participation dans les instances locales de décision reste marginale.</w:t>
      </w:r>
    </w:p>
    <w:p w14:paraId="0B25F44E" w14:textId="77777777" w:rsidR="0087572B" w:rsidRPr="00A73193" w:rsidRDefault="0087572B" w:rsidP="0087572B">
      <w:pPr>
        <w:spacing w:before="100" w:beforeAutospacing="1" w:after="100" w:afterAutospacing="1"/>
        <w:rPr>
          <w:rFonts w:eastAsia="Times New Roman" w:cstheme="minorHAnsi"/>
          <w:kern w:val="0"/>
          <w:lang w:eastAsia="fr-FR"/>
          <w14:ligatures w14:val="none"/>
        </w:rPr>
      </w:pPr>
      <w:r w:rsidRPr="00A73193">
        <w:rPr>
          <w:rFonts w:eastAsia="Times New Roman" w:cstheme="minorHAnsi"/>
          <w:kern w:val="0"/>
          <w:lang w:eastAsia="fr-FR"/>
          <w14:ligatures w14:val="none"/>
        </w:rPr>
        <w:t>La PNEFH 2025–2035 (Axe 10) prévoit des mesures spécifiques en faveur des femmes rurales : réforme des lois successorales et foncières, inclusion financière, programmes de résilience climatique et d’appui à la sécurité alimentaire.</w:t>
      </w:r>
    </w:p>
    <w:p w14:paraId="4A1A020B" w14:textId="77777777" w:rsidR="0087572B" w:rsidRPr="00A73193" w:rsidRDefault="0087572B" w:rsidP="0087572B">
      <w:pPr>
        <w:spacing w:before="100" w:beforeAutospacing="1" w:after="100" w:afterAutospacing="1"/>
        <w:rPr>
          <w:rFonts w:eastAsia="Times New Roman" w:cstheme="minorHAnsi"/>
          <w:kern w:val="0"/>
          <w:lang w:eastAsia="fr-FR"/>
          <w14:ligatures w14:val="none"/>
        </w:rPr>
      </w:pPr>
      <w:r w:rsidRPr="00A73193">
        <w:rPr>
          <w:rFonts w:eastAsia="Times New Roman" w:cstheme="minorHAnsi"/>
          <w:b/>
          <w:bCs/>
          <w:kern w:val="0"/>
          <w:lang w:eastAsia="fr-FR"/>
          <w14:ligatures w14:val="none"/>
        </w:rPr>
        <w:t>OSC contributrices</w:t>
      </w:r>
      <w:r w:rsidRPr="00A73193">
        <w:rPr>
          <w:rFonts w:eastAsia="Times New Roman" w:cstheme="minorHAnsi"/>
          <w:kern w:val="0"/>
          <w:lang w:eastAsia="fr-FR"/>
          <w14:ligatures w14:val="none"/>
        </w:rPr>
        <w:br/>
      </w:r>
      <w:r>
        <w:rPr>
          <w:rFonts w:eastAsia="Times New Roman" w:cstheme="minorHAnsi"/>
          <w:kern w:val="0"/>
          <w:lang w:eastAsia="fr-FR"/>
          <w14:ligatures w14:val="none"/>
        </w:rPr>
        <w:t>Focus Development Association du CNFM ra</w:t>
      </w:r>
      <w:r w:rsidRPr="00A73193">
        <w:rPr>
          <w:rFonts w:eastAsia="Times New Roman" w:cstheme="minorHAnsi"/>
          <w:kern w:val="0"/>
          <w:lang w:eastAsia="fr-FR"/>
          <w14:ligatures w14:val="none"/>
        </w:rPr>
        <w:t>ppelle que les femmes rurales sont souvent exclues des programmes publics, et que leurs besoins spécifiques doivent être intégrés dans toutes les politiques agricoles, environnementales et climatiques.</w:t>
      </w:r>
    </w:p>
    <w:p w14:paraId="62CD3231" w14:textId="77777777" w:rsidR="0087572B" w:rsidRPr="00A73193" w:rsidRDefault="0087572B" w:rsidP="0087572B">
      <w:pPr>
        <w:spacing w:before="100" w:beforeAutospacing="1" w:after="100" w:afterAutospacing="1"/>
        <w:rPr>
          <w:rFonts w:eastAsia="Times New Roman" w:cstheme="minorHAnsi"/>
          <w:kern w:val="0"/>
          <w:lang w:eastAsia="fr-FR"/>
          <w14:ligatures w14:val="none"/>
        </w:rPr>
      </w:pPr>
      <w:r w:rsidRPr="00A73193">
        <w:rPr>
          <w:rFonts w:eastAsia="Times New Roman" w:cstheme="minorHAnsi"/>
          <w:b/>
          <w:bCs/>
          <w:kern w:val="0"/>
          <w:lang w:eastAsia="fr-FR"/>
          <w14:ligatures w14:val="none"/>
        </w:rPr>
        <w:t>Recommandation CEDEF</w:t>
      </w:r>
      <w:r w:rsidRPr="00A73193">
        <w:rPr>
          <w:rFonts w:eastAsia="Times New Roman" w:cstheme="minorHAnsi"/>
          <w:kern w:val="0"/>
          <w:lang w:eastAsia="fr-FR"/>
          <w14:ligatures w14:val="none"/>
        </w:rPr>
        <w:br/>
        <w:t>Assurer l’accès égal des femmes rurales à la terre et aux ressources productives, intégrer leurs besoins dans les politiques agricoles et climatiques, et renforcer leur participation aux instances locales de décision.</w:t>
      </w:r>
    </w:p>
    <w:p w14:paraId="750B659A" w14:textId="77777777" w:rsidR="0087572B" w:rsidRPr="00A73193" w:rsidRDefault="0087572B" w:rsidP="0087572B">
      <w:pPr>
        <w:spacing w:before="100" w:beforeAutospacing="1" w:after="100" w:afterAutospacing="1"/>
        <w:outlineLvl w:val="1"/>
        <w:rPr>
          <w:rFonts w:eastAsia="Times New Roman" w:cstheme="minorHAnsi"/>
          <w:b/>
          <w:bCs/>
          <w:kern w:val="0"/>
          <w:sz w:val="36"/>
          <w:szCs w:val="36"/>
          <w:lang w:eastAsia="fr-FR"/>
          <w14:ligatures w14:val="none"/>
        </w:rPr>
      </w:pPr>
      <w:r w:rsidRPr="00A73193">
        <w:rPr>
          <w:rFonts w:eastAsia="Times New Roman" w:cstheme="minorHAnsi"/>
          <w:b/>
          <w:bCs/>
          <w:kern w:val="0"/>
          <w:sz w:val="36"/>
          <w:szCs w:val="36"/>
          <w:lang w:eastAsia="fr-FR"/>
          <w14:ligatures w14:val="none"/>
        </w:rPr>
        <w:t>Article 15 – Égalité devant la loi</w:t>
      </w:r>
    </w:p>
    <w:p w14:paraId="5145C30D" w14:textId="77777777" w:rsidR="0087572B" w:rsidRPr="00A73193" w:rsidRDefault="0087572B" w:rsidP="0087572B">
      <w:pPr>
        <w:spacing w:before="100" w:beforeAutospacing="1" w:after="100" w:afterAutospacing="1"/>
        <w:rPr>
          <w:rFonts w:eastAsia="Times New Roman" w:cstheme="minorHAnsi"/>
          <w:kern w:val="0"/>
          <w:lang w:eastAsia="fr-FR"/>
          <w14:ligatures w14:val="none"/>
        </w:rPr>
      </w:pPr>
      <w:r w:rsidRPr="00A73193">
        <w:rPr>
          <w:rFonts w:eastAsia="Times New Roman" w:cstheme="minorHAnsi"/>
          <w:b/>
          <w:bCs/>
          <w:kern w:val="0"/>
          <w:lang w:eastAsia="fr-FR"/>
          <w14:ligatures w14:val="none"/>
        </w:rPr>
        <w:t>Constats</w:t>
      </w:r>
      <w:r w:rsidRPr="00A73193">
        <w:rPr>
          <w:rFonts w:eastAsia="Times New Roman" w:cstheme="minorHAnsi"/>
          <w:kern w:val="0"/>
          <w:lang w:eastAsia="fr-FR"/>
          <w14:ligatures w14:val="none"/>
        </w:rPr>
        <w:br/>
        <w:t>En 2015, le Comité avait insisté sur l’importance de garantir aux femmes l’égalité devant la loi et un accès effectif à la justice.</w:t>
      </w:r>
    </w:p>
    <w:p w14:paraId="7C58982B" w14:textId="77777777" w:rsidR="0087572B" w:rsidRPr="00A73193" w:rsidRDefault="0087572B" w:rsidP="0087572B">
      <w:pPr>
        <w:spacing w:before="100" w:beforeAutospacing="1" w:after="100" w:afterAutospacing="1"/>
        <w:rPr>
          <w:rFonts w:eastAsia="Times New Roman" w:cstheme="minorHAnsi"/>
          <w:kern w:val="0"/>
          <w:lang w:eastAsia="fr-FR"/>
          <w14:ligatures w14:val="none"/>
        </w:rPr>
      </w:pPr>
      <w:r w:rsidRPr="00A73193">
        <w:rPr>
          <w:rFonts w:eastAsia="Times New Roman" w:cstheme="minorHAnsi"/>
          <w:kern w:val="0"/>
          <w:lang w:eastAsia="fr-FR"/>
          <w14:ligatures w14:val="none"/>
        </w:rPr>
        <w:t>Aujourd’hui, l’AS-EFH (2023) indique que :</w:t>
      </w:r>
    </w:p>
    <w:p w14:paraId="6DD2B0A4" w14:textId="77777777" w:rsidR="0087572B" w:rsidRPr="00A73193" w:rsidRDefault="0087572B" w:rsidP="0087572B">
      <w:pPr>
        <w:numPr>
          <w:ilvl w:val="0"/>
          <w:numId w:val="10"/>
        </w:numPr>
        <w:spacing w:before="100" w:beforeAutospacing="1" w:after="100" w:afterAutospacing="1"/>
        <w:rPr>
          <w:rFonts w:eastAsia="Times New Roman" w:cstheme="minorHAnsi"/>
          <w:kern w:val="0"/>
          <w:lang w:eastAsia="fr-FR"/>
          <w14:ligatures w14:val="none"/>
        </w:rPr>
      </w:pPr>
      <w:r w:rsidRPr="00A73193">
        <w:rPr>
          <w:rFonts w:eastAsia="Times New Roman" w:cstheme="minorHAnsi"/>
          <w:kern w:val="0"/>
          <w:lang w:eastAsia="fr-FR"/>
          <w14:ligatures w14:val="none"/>
        </w:rPr>
        <w:t>les services d’aide juridique restent insuffisants et concentrés dans certaines zones ;</w:t>
      </w:r>
    </w:p>
    <w:p w14:paraId="46CF698E" w14:textId="77777777" w:rsidR="0087572B" w:rsidRPr="00A73193" w:rsidRDefault="0087572B" w:rsidP="0087572B">
      <w:pPr>
        <w:numPr>
          <w:ilvl w:val="0"/>
          <w:numId w:val="10"/>
        </w:numPr>
        <w:spacing w:before="100" w:beforeAutospacing="1" w:after="100" w:afterAutospacing="1"/>
        <w:rPr>
          <w:rFonts w:eastAsia="Times New Roman" w:cstheme="minorHAnsi"/>
          <w:kern w:val="0"/>
          <w:lang w:eastAsia="fr-FR"/>
          <w14:ligatures w14:val="none"/>
        </w:rPr>
      </w:pPr>
      <w:r w:rsidRPr="00A73193">
        <w:rPr>
          <w:rFonts w:eastAsia="Times New Roman" w:cstheme="minorHAnsi"/>
          <w:kern w:val="0"/>
          <w:lang w:eastAsia="fr-FR"/>
          <w14:ligatures w14:val="none"/>
        </w:rPr>
        <w:t>les victimes de violences doivent encore assumer des frais pour obtenir des certificats médicaux ;</w:t>
      </w:r>
    </w:p>
    <w:p w14:paraId="1E114EAB" w14:textId="77777777" w:rsidR="0087572B" w:rsidRPr="00A73193" w:rsidRDefault="0087572B" w:rsidP="0087572B">
      <w:pPr>
        <w:numPr>
          <w:ilvl w:val="0"/>
          <w:numId w:val="10"/>
        </w:numPr>
        <w:spacing w:before="100" w:beforeAutospacing="1" w:after="100" w:afterAutospacing="1"/>
        <w:rPr>
          <w:rFonts w:eastAsia="Times New Roman" w:cstheme="minorHAnsi"/>
          <w:kern w:val="0"/>
          <w:lang w:eastAsia="fr-FR"/>
          <w14:ligatures w14:val="none"/>
        </w:rPr>
      </w:pPr>
      <w:r w:rsidRPr="00A73193">
        <w:rPr>
          <w:rFonts w:eastAsia="Times New Roman" w:cstheme="minorHAnsi"/>
          <w:kern w:val="0"/>
          <w:lang w:eastAsia="fr-FR"/>
          <w14:ligatures w14:val="none"/>
        </w:rPr>
        <w:lastRenderedPageBreak/>
        <w:t>les magistrats, policiers et auxiliaires de justice manquent de formation spécifique aux droits des femmes.</w:t>
      </w:r>
    </w:p>
    <w:p w14:paraId="1903C70C" w14:textId="77777777" w:rsidR="0087572B" w:rsidRPr="00A73193" w:rsidRDefault="0087572B" w:rsidP="0087572B">
      <w:pPr>
        <w:spacing w:before="100" w:beforeAutospacing="1" w:after="100" w:afterAutospacing="1"/>
        <w:rPr>
          <w:rFonts w:eastAsia="Times New Roman" w:cstheme="minorHAnsi"/>
          <w:kern w:val="0"/>
          <w:lang w:eastAsia="fr-FR"/>
          <w14:ligatures w14:val="none"/>
        </w:rPr>
      </w:pPr>
      <w:r w:rsidRPr="00A73193">
        <w:rPr>
          <w:rFonts w:eastAsia="Times New Roman" w:cstheme="minorHAnsi"/>
          <w:kern w:val="0"/>
          <w:lang w:eastAsia="fr-FR"/>
          <w14:ligatures w14:val="none"/>
        </w:rPr>
        <w:t>La PNEFH 2025–2035 (Axe 2) prévoit l’extension des centres d’aide juridique, la gratuité des certificats médicaux pour les victimes, et la formation systématique des magistrats et forces de l’ordre. La SNLCVBG 2025–2030 complète ces mesures par la mise en place de brigades spécialisées et de cellules d’écoute communautaires.</w:t>
      </w:r>
    </w:p>
    <w:p w14:paraId="40F7D16E" w14:textId="77777777" w:rsidR="0087572B" w:rsidRPr="00A73193" w:rsidRDefault="0087572B" w:rsidP="0087572B">
      <w:pPr>
        <w:spacing w:before="100" w:beforeAutospacing="1" w:after="100" w:afterAutospacing="1"/>
        <w:rPr>
          <w:rFonts w:eastAsia="Times New Roman" w:cstheme="minorHAnsi"/>
          <w:kern w:val="0"/>
          <w:lang w:eastAsia="fr-FR"/>
          <w14:ligatures w14:val="none"/>
        </w:rPr>
      </w:pPr>
      <w:r w:rsidRPr="00A73193">
        <w:rPr>
          <w:rFonts w:eastAsia="Times New Roman" w:cstheme="minorHAnsi"/>
          <w:b/>
          <w:bCs/>
          <w:kern w:val="0"/>
          <w:lang w:eastAsia="fr-FR"/>
          <w14:ligatures w14:val="none"/>
        </w:rPr>
        <w:t>OSC contributrices</w:t>
      </w:r>
      <w:r w:rsidRPr="00A73193">
        <w:rPr>
          <w:rFonts w:eastAsia="Times New Roman" w:cstheme="minorHAnsi"/>
          <w:kern w:val="0"/>
          <w:lang w:eastAsia="fr-FR"/>
          <w14:ligatures w14:val="none"/>
        </w:rPr>
        <w:br/>
        <w:t>Focus Development Association et la FFBKEM soulignent que les femmes continuent de faire face à des obstacles pratiques et financiers pour accéder à la justice. Les OSC insistent sur la nécessité de créer un réseau national de services gratuits et accessibles.</w:t>
      </w:r>
    </w:p>
    <w:p w14:paraId="7E2A3A08" w14:textId="77777777" w:rsidR="0087572B" w:rsidRPr="00A73193" w:rsidRDefault="0087572B" w:rsidP="0087572B">
      <w:pPr>
        <w:spacing w:before="100" w:beforeAutospacing="1" w:after="100" w:afterAutospacing="1"/>
        <w:rPr>
          <w:rFonts w:eastAsia="Times New Roman" w:cstheme="minorHAnsi"/>
          <w:kern w:val="0"/>
          <w:lang w:eastAsia="fr-FR"/>
          <w14:ligatures w14:val="none"/>
        </w:rPr>
      </w:pPr>
      <w:r w:rsidRPr="00A73193">
        <w:rPr>
          <w:rFonts w:eastAsia="Times New Roman" w:cstheme="minorHAnsi"/>
          <w:b/>
          <w:bCs/>
          <w:kern w:val="0"/>
          <w:lang w:eastAsia="fr-FR"/>
          <w14:ligatures w14:val="none"/>
        </w:rPr>
        <w:t>Recommandation CEDEF</w:t>
      </w:r>
      <w:r w:rsidRPr="00A73193">
        <w:rPr>
          <w:rFonts w:eastAsia="Times New Roman" w:cstheme="minorHAnsi"/>
          <w:kern w:val="0"/>
          <w:lang w:eastAsia="fr-FR"/>
          <w14:ligatures w14:val="none"/>
        </w:rPr>
        <w:br/>
        <w:t>Étendre et renforcer les mécanismes d’aide juridique gratuite, garantir la gratuité des certificats médicaux pour les victimes, et former systématiquement tous les acteurs judiciaires et policiers aux droits des femmes.</w:t>
      </w:r>
    </w:p>
    <w:p w14:paraId="35013347" w14:textId="77777777" w:rsidR="0087572B" w:rsidRPr="00A73193" w:rsidRDefault="0087572B" w:rsidP="0087572B">
      <w:pPr>
        <w:spacing w:before="100" w:beforeAutospacing="1" w:after="100" w:afterAutospacing="1"/>
        <w:outlineLvl w:val="1"/>
        <w:rPr>
          <w:rFonts w:eastAsia="Times New Roman" w:cstheme="minorHAnsi"/>
          <w:b/>
          <w:bCs/>
          <w:kern w:val="0"/>
          <w:sz w:val="36"/>
          <w:szCs w:val="36"/>
          <w:lang w:eastAsia="fr-FR"/>
          <w14:ligatures w14:val="none"/>
        </w:rPr>
      </w:pPr>
      <w:r w:rsidRPr="00A73193">
        <w:rPr>
          <w:rFonts w:eastAsia="Times New Roman" w:cstheme="minorHAnsi"/>
          <w:b/>
          <w:bCs/>
          <w:kern w:val="0"/>
          <w:sz w:val="36"/>
          <w:szCs w:val="36"/>
          <w:lang w:eastAsia="fr-FR"/>
          <w14:ligatures w14:val="none"/>
        </w:rPr>
        <w:t>Article 16 – Mariage et famille</w:t>
      </w:r>
    </w:p>
    <w:p w14:paraId="0A18F3B4" w14:textId="77777777" w:rsidR="0087572B" w:rsidRPr="00A73193" w:rsidRDefault="0087572B" w:rsidP="0087572B">
      <w:pPr>
        <w:spacing w:before="100" w:beforeAutospacing="1" w:after="100" w:afterAutospacing="1"/>
        <w:rPr>
          <w:rFonts w:eastAsia="Times New Roman" w:cstheme="minorHAnsi"/>
          <w:kern w:val="0"/>
          <w:lang w:eastAsia="fr-FR"/>
          <w14:ligatures w14:val="none"/>
        </w:rPr>
      </w:pPr>
      <w:r w:rsidRPr="00A73193">
        <w:rPr>
          <w:rFonts w:eastAsia="Times New Roman" w:cstheme="minorHAnsi"/>
          <w:b/>
          <w:bCs/>
          <w:kern w:val="0"/>
          <w:lang w:eastAsia="fr-FR"/>
          <w14:ligatures w14:val="none"/>
        </w:rPr>
        <w:t>Constats</w:t>
      </w:r>
      <w:r w:rsidRPr="00A73193">
        <w:rPr>
          <w:rFonts w:eastAsia="Times New Roman" w:cstheme="minorHAnsi"/>
          <w:kern w:val="0"/>
          <w:lang w:eastAsia="fr-FR"/>
          <w14:ligatures w14:val="none"/>
        </w:rPr>
        <w:br/>
        <w:t>Le Comité CEDEF avait recommandé l’enregistrement obligatoire de tous les mariages, l’élimination de la polygamie et l’égalité des droits en matière de divorce, d’héritage et de garde des enfants.</w:t>
      </w:r>
    </w:p>
    <w:p w14:paraId="7A49E9BF" w14:textId="77777777" w:rsidR="0087572B" w:rsidRPr="00A73193" w:rsidRDefault="0087572B" w:rsidP="0087572B">
      <w:pPr>
        <w:spacing w:before="100" w:beforeAutospacing="1" w:after="100" w:afterAutospacing="1"/>
        <w:rPr>
          <w:rFonts w:eastAsia="Times New Roman" w:cstheme="minorHAnsi"/>
          <w:kern w:val="0"/>
          <w:lang w:eastAsia="fr-FR"/>
          <w14:ligatures w14:val="none"/>
        </w:rPr>
      </w:pPr>
      <w:r w:rsidRPr="00A73193">
        <w:rPr>
          <w:rFonts w:eastAsia="Times New Roman" w:cstheme="minorHAnsi"/>
          <w:kern w:val="0"/>
          <w:lang w:eastAsia="fr-FR"/>
          <w14:ligatures w14:val="none"/>
        </w:rPr>
        <w:t>L’AS-EFH (2023) confirme que :</w:t>
      </w:r>
    </w:p>
    <w:p w14:paraId="00994EC9" w14:textId="77777777" w:rsidR="0087572B" w:rsidRPr="00A73193" w:rsidRDefault="0087572B" w:rsidP="0087572B">
      <w:pPr>
        <w:numPr>
          <w:ilvl w:val="0"/>
          <w:numId w:val="14"/>
        </w:numPr>
        <w:spacing w:before="100" w:beforeAutospacing="1" w:after="100" w:afterAutospacing="1"/>
        <w:rPr>
          <w:rFonts w:eastAsia="Times New Roman" w:cstheme="minorHAnsi"/>
          <w:kern w:val="0"/>
          <w:lang w:eastAsia="fr-FR"/>
          <w14:ligatures w14:val="none"/>
        </w:rPr>
      </w:pPr>
      <w:r w:rsidRPr="00A73193">
        <w:rPr>
          <w:rFonts w:eastAsia="Times New Roman" w:cstheme="minorHAnsi"/>
          <w:kern w:val="0"/>
          <w:lang w:eastAsia="fr-FR"/>
          <w14:ligatures w14:val="none"/>
        </w:rPr>
        <w:t>environ 40 % des filles sont mariées avant 18 ans ;</w:t>
      </w:r>
    </w:p>
    <w:p w14:paraId="14701504" w14:textId="77777777" w:rsidR="0087572B" w:rsidRPr="00A73193" w:rsidRDefault="0087572B" w:rsidP="0087572B">
      <w:pPr>
        <w:numPr>
          <w:ilvl w:val="0"/>
          <w:numId w:val="14"/>
        </w:numPr>
        <w:spacing w:before="100" w:beforeAutospacing="1" w:after="100" w:afterAutospacing="1"/>
        <w:rPr>
          <w:rFonts w:eastAsia="Times New Roman" w:cstheme="minorHAnsi"/>
          <w:kern w:val="0"/>
          <w:lang w:eastAsia="fr-FR"/>
          <w14:ligatures w14:val="none"/>
        </w:rPr>
      </w:pPr>
      <w:r w:rsidRPr="00A73193">
        <w:rPr>
          <w:rFonts w:eastAsia="Times New Roman" w:cstheme="minorHAnsi"/>
          <w:kern w:val="0"/>
          <w:lang w:eastAsia="fr-FR"/>
          <w14:ligatures w14:val="none"/>
        </w:rPr>
        <w:t>les mariages non enregistrés restent fréquents, surtout en zones rurales ;</w:t>
      </w:r>
    </w:p>
    <w:p w14:paraId="2AE30370" w14:textId="77777777" w:rsidR="0087572B" w:rsidRPr="00A73193" w:rsidRDefault="0087572B" w:rsidP="0087572B">
      <w:pPr>
        <w:numPr>
          <w:ilvl w:val="0"/>
          <w:numId w:val="14"/>
        </w:numPr>
        <w:spacing w:before="100" w:beforeAutospacing="1" w:after="100" w:afterAutospacing="1"/>
        <w:rPr>
          <w:rFonts w:eastAsia="Times New Roman" w:cstheme="minorHAnsi"/>
          <w:kern w:val="0"/>
          <w:lang w:eastAsia="fr-FR"/>
          <w14:ligatures w14:val="none"/>
        </w:rPr>
      </w:pPr>
      <w:r w:rsidRPr="00A73193">
        <w:rPr>
          <w:rFonts w:eastAsia="Times New Roman" w:cstheme="minorHAnsi"/>
          <w:kern w:val="0"/>
          <w:lang w:eastAsia="fr-FR"/>
          <w14:ligatures w14:val="none"/>
        </w:rPr>
        <w:t>la polygamie continue d’être pratiquée malgré l’interdiction légale ;</w:t>
      </w:r>
    </w:p>
    <w:p w14:paraId="62079B84" w14:textId="77777777" w:rsidR="0087572B" w:rsidRPr="00A73193" w:rsidRDefault="0087572B" w:rsidP="0087572B">
      <w:pPr>
        <w:numPr>
          <w:ilvl w:val="0"/>
          <w:numId w:val="14"/>
        </w:numPr>
        <w:spacing w:before="100" w:beforeAutospacing="1" w:after="100" w:afterAutospacing="1"/>
        <w:rPr>
          <w:rFonts w:eastAsia="Times New Roman" w:cstheme="minorHAnsi"/>
          <w:kern w:val="0"/>
          <w:lang w:eastAsia="fr-FR"/>
          <w14:ligatures w14:val="none"/>
        </w:rPr>
      </w:pPr>
      <w:r w:rsidRPr="00A73193">
        <w:rPr>
          <w:rFonts w:eastAsia="Times New Roman" w:cstheme="minorHAnsi"/>
          <w:kern w:val="0"/>
          <w:lang w:eastAsia="fr-FR"/>
          <w14:ligatures w14:val="none"/>
        </w:rPr>
        <w:t>les lois successorales maintiennent des discriminations au détriment des femmes.</w:t>
      </w:r>
    </w:p>
    <w:p w14:paraId="58E60582" w14:textId="77777777" w:rsidR="0087572B" w:rsidRPr="00A73193" w:rsidRDefault="0087572B" w:rsidP="0087572B">
      <w:pPr>
        <w:spacing w:before="100" w:beforeAutospacing="1" w:after="100" w:afterAutospacing="1"/>
        <w:jc w:val="both"/>
        <w:rPr>
          <w:rFonts w:eastAsia="Times New Roman" w:cstheme="minorHAnsi"/>
          <w:kern w:val="0"/>
          <w:lang w:eastAsia="fr-FR"/>
          <w14:ligatures w14:val="none"/>
        </w:rPr>
      </w:pPr>
      <w:r w:rsidRPr="00A73193">
        <w:rPr>
          <w:rFonts w:eastAsia="Times New Roman" w:cstheme="minorHAnsi"/>
          <w:kern w:val="0"/>
          <w:lang w:eastAsia="fr-FR"/>
          <w14:ligatures w14:val="none"/>
        </w:rPr>
        <w:t>La PNEFH 2025–2035 (Axe 1) prévoit la suppression des dérogations permettant les mariages précoces, l’interdiction effective de la polygamie, l’enregistrement obligatoire des mariages et la réforme des lois successorales. La SNLCVBG 2025–2030 renforce ces engagements en mettant l’accent sur la prévention des mariages d’enfants et la sensibilisation communautaire.</w:t>
      </w:r>
    </w:p>
    <w:p w14:paraId="0B6E39B3" w14:textId="77777777" w:rsidR="0087572B" w:rsidRPr="00A73193" w:rsidRDefault="0087572B" w:rsidP="0087572B">
      <w:pPr>
        <w:spacing w:before="100" w:beforeAutospacing="1" w:after="100" w:afterAutospacing="1"/>
        <w:rPr>
          <w:rFonts w:eastAsia="Times New Roman" w:cstheme="minorHAnsi"/>
          <w:kern w:val="0"/>
          <w:lang w:eastAsia="fr-FR"/>
          <w14:ligatures w14:val="none"/>
        </w:rPr>
      </w:pPr>
      <w:r w:rsidRPr="00A73193">
        <w:rPr>
          <w:rFonts w:eastAsia="Times New Roman" w:cstheme="minorHAnsi"/>
          <w:b/>
          <w:bCs/>
          <w:kern w:val="0"/>
          <w:lang w:eastAsia="fr-FR"/>
          <w14:ligatures w14:val="none"/>
        </w:rPr>
        <w:t>OSC contributrices</w:t>
      </w:r>
      <w:r w:rsidRPr="00A73193">
        <w:rPr>
          <w:rFonts w:eastAsia="Times New Roman" w:cstheme="minorHAnsi"/>
          <w:kern w:val="0"/>
          <w:lang w:eastAsia="fr-FR"/>
          <w14:ligatures w14:val="none"/>
        </w:rPr>
        <w:br/>
        <w:t>Les OSC de la coalition rappellent que les mariages précoces compromettent l’éducation et la santé des filles et limitent durablement leur autonomie. Le Conseil National des Femmes insiste sur l’importance de réformes successorales égalitaires pour briser le cycle de pauvreté.</w:t>
      </w:r>
    </w:p>
    <w:p w14:paraId="1EA849F7" w14:textId="77777777" w:rsidR="0087572B" w:rsidRPr="00A73193" w:rsidRDefault="0087572B" w:rsidP="0087572B">
      <w:pPr>
        <w:spacing w:before="100" w:beforeAutospacing="1" w:after="100" w:afterAutospacing="1"/>
        <w:rPr>
          <w:rFonts w:eastAsia="Times New Roman" w:cstheme="minorHAnsi"/>
          <w:kern w:val="0"/>
          <w:lang w:eastAsia="fr-FR"/>
          <w14:ligatures w14:val="none"/>
        </w:rPr>
      </w:pPr>
      <w:r w:rsidRPr="00A73193">
        <w:rPr>
          <w:rFonts w:eastAsia="Times New Roman" w:cstheme="minorHAnsi"/>
          <w:b/>
          <w:bCs/>
          <w:kern w:val="0"/>
          <w:lang w:eastAsia="fr-FR"/>
          <w14:ligatures w14:val="none"/>
        </w:rPr>
        <w:lastRenderedPageBreak/>
        <w:t>Recommandation CEDEF</w:t>
      </w:r>
      <w:r w:rsidRPr="00A73193">
        <w:rPr>
          <w:rFonts w:eastAsia="Times New Roman" w:cstheme="minorHAnsi"/>
          <w:kern w:val="0"/>
          <w:lang w:eastAsia="fr-FR"/>
          <w14:ligatures w14:val="none"/>
        </w:rPr>
        <w:br/>
        <w:t>Supprimer toutes les dérogations à l’âge légal du mariage, appliquer strictement l’interdiction de la polygamie, rendre obligatoire l’enregistrement de tous les mariages, et garantir l’égalité successorale.</w:t>
      </w:r>
    </w:p>
    <w:p w14:paraId="392A5C93" w14:textId="77777777" w:rsidR="0087572B" w:rsidRPr="00A73193" w:rsidRDefault="0087572B" w:rsidP="0087572B">
      <w:pPr>
        <w:spacing w:before="100" w:beforeAutospacing="1" w:after="100" w:afterAutospacing="1"/>
        <w:outlineLvl w:val="0"/>
        <w:rPr>
          <w:rFonts w:eastAsia="Times New Roman" w:cstheme="minorHAnsi"/>
          <w:b/>
          <w:bCs/>
          <w:kern w:val="36"/>
          <w:sz w:val="48"/>
          <w:szCs w:val="48"/>
          <w:lang w:eastAsia="fr-FR"/>
          <w14:ligatures w14:val="none"/>
        </w:rPr>
      </w:pPr>
      <w:r w:rsidRPr="00A73193">
        <w:rPr>
          <w:rFonts w:eastAsia="Times New Roman" w:cstheme="minorHAnsi"/>
          <w:b/>
          <w:bCs/>
          <w:kern w:val="36"/>
          <w:sz w:val="48"/>
          <w:szCs w:val="48"/>
          <w:lang w:eastAsia="fr-FR"/>
          <w14:ligatures w14:val="none"/>
        </w:rPr>
        <w:t>Conclusion transversale</w:t>
      </w:r>
    </w:p>
    <w:p w14:paraId="292E570F" w14:textId="77777777" w:rsidR="0087572B" w:rsidRPr="001016DA" w:rsidRDefault="0087572B" w:rsidP="0087572B">
      <w:pPr>
        <w:spacing w:before="100" w:beforeAutospacing="1" w:after="100" w:afterAutospacing="1"/>
        <w:jc w:val="both"/>
        <w:rPr>
          <w:rFonts w:eastAsia="Times New Roman" w:cstheme="minorHAnsi"/>
          <w:spacing w:val="-4"/>
          <w:kern w:val="0"/>
          <w:lang w:eastAsia="fr-FR"/>
          <w14:ligatures w14:val="none"/>
        </w:rPr>
      </w:pPr>
      <w:r w:rsidRPr="001016DA">
        <w:rPr>
          <w:rFonts w:eastAsia="Times New Roman" w:cstheme="minorHAnsi"/>
          <w:spacing w:val="-4"/>
          <w:kern w:val="0"/>
          <w:lang w:eastAsia="fr-FR"/>
          <w14:ligatures w14:val="none"/>
        </w:rPr>
        <w:t>La coalition d’OSC – Focus Development Association, FFBKEM, ASSEFFEMA, CNFM – salue les efforts de Madagascar en matière de promotion de l’égalité femmes-hommes, en particulier l’élaboration participative de la PNEFH 2025–2035, de la SNLCVBG 2025–2030 et de l’avant-projet de loi-cadre sur l’égalité femmes-hommes (2019). Ces initiatives traduisent un consensus technique et social solide, fruit de larges consultations avec l’ensemble des parties prenantes.</w:t>
      </w:r>
    </w:p>
    <w:p w14:paraId="71CEA440" w14:textId="77777777" w:rsidR="0087572B" w:rsidRPr="001016DA" w:rsidRDefault="0087572B" w:rsidP="0087572B">
      <w:pPr>
        <w:spacing w:before="100" w:beforeAutospacing="1" w:after="100" w:afterAutospacing="1"/>
        <w:jc w:val="both"/>
        <w:rPr>
          <w:rFonts w:eastAsia="Times New Roman" w:cstheme="minorHAnsi"/>
          <w:kern w:val="0"/>
          <w:lang w:eastAsia="fr-FR"/>
          <w14:ligatures w14:val="none"/>
        </w:rPr>
      </w:pPr>
      <w:r w:rsidRPr="001016DA">
        <w:rPr>
          <w:rFonts w:eastAsia="Times New Roman" w:cstheme="minorHAnsi"/>
          <w:kern w:val="0"/>
          <w:lang w:eastAsia="fr-FR"/>
          <w14:ligatures w14:val="none"/>
        </w:rPr>
        <w:t>Cependant, l’absence de validation officielle prive le pays d’un cadre cohérent et contraignant, capable d’assurer la mise en œuvre effective de la CEDEF et de renforcer la crédibilité de Madagascar auprès de ses partenaires.</w:t>
      </w:r>
    </w:p>
    <w:p w14:paraId="3625666C" w14:textId="7BABBE43" w:rsidR="0087572B" w:rsidRPr="001016DA" w:rsidRDefault="0087572B" w:rsidP="0087572B">
      <w:pPr>
        <w:spacing w:before="100" w:beforeAutospacing="1" w:after="100" w:afterAutospacing="1"/>
        <w:rPr>
          <w:rFonts w:eastAsia="Times New Roman" w:cstheme="minorHAnsi"/>
          <w:kern w:val="0"/>
          <w:lang w:eastAsia="fr-FR"/>
          <w14:ligatures w14:val="none"/>
        </w:rPr>
      </w:pPr>
      <w:r w:rsidRPr="001016DA">
        <w:rPr>
          <w:rFonts w:eastAsia="Times New Roman" w:cstheme="minorHAnsi"/>
          <w:b/>
          <w:bCs/>
          <w:kern w:val="0"/>
          <w:lang w:eastAsia="fr-FR"/>
          <w14:ligatures w14:val="none"/>
        </w:rPr>
        <w:t>No</w:t>
      </w:r>
      <w:r w:rsidR="007F77D5">
        <w:rPr>
          <w:rFonts w:eastAsia="Times New Roman" w:cstheme="minorHAnsi"/>
          <w:b/>
          <w:bCs/>
          <w:kern w:val="0"/>
          <w:lang w:eastAsia="fr-FR"/>
          <w14:ligatures w14:val="none"/>
        </w:rPr>
        <w:t>s</w:t>
      </w:r>
      <w:r>
        <w:rPr>
          <w:rFonts w:eastAsia="Times New Roman" w:cstheme="minorHAnsi"/>
          <w:b/>
          <w:bCs/>
          <w:kern w:val="0"/>
          <w:lang w:eastAsia="fr-FR"/>
          <w14:ligatures w14:val="none"/>
        </w:rPr>
        <w:t xml:space="preserve"> message</w:t>
      </w:r>
      <w:r w:rsidR="007F77D5">
        <w:rPr>
          <w:rFonts w:eastAsia="Times New Roman" w:cstheme="minorHAnsi"/>
          <w:b/>
          <w:bCs/>
          <w:kern w:val="0"/>
          <w:lang w:eastAsia="fr-FR"/>
          <w14:ligatures w14:val="none"/>
        </w:rPr>
        <w:t>s clés</w:t>
      </w:r>
      <w:r w:rsidRPr="001016DA">
        <w:rPr>
          <w:rFonts w:eastAsia="Times New Roman" w:cstheme="minorHAnsi"/>
          <w:kern w:val="0"/>
          <w:lang w:eastAsia="fr-FR"/>
          <w14:ligatures w14:val="none"/>
        </w:rPr>
        <w:t xml:space="preserve"> : </w:t>
      </w:r>
    </w:p>
    <w:p w14:paraId="53D7181F" w14:textId="77777777" w:rsidR="0087572B" w:rsidRPr="00A73193" w:rsidRDefault="0087572B" w:rsidP="0087572B">
      <w:pPr>
        <w:numPr>
          <w:ilvl w:val="0"/>
          <w:numId w:val="11"/>
        </w:numPr>
        <w:spacing w:before="100" w:beforeAutospacing="1" w:after="100" w:afterAutospacing="1"/>
        <w:jc w:val="both"/>
        <w:rPr>
          <w:rFonts w:eastAsia="Times New Roman" w:cstheme="minorHAnsi"/>
          <w:kern w:val="0"/>
          <w:lang w:eastAsia="fr-FR"/>
          <w14:ligatures w14:val="none"/>
        </w:rPr>
      </w:pPr>
      <w:r w:rsidRPr="00A73193">
        <w:rPr>
          <w:rFonts w:eastAsia="Times New Roman" w:cstheme="minorHAnsi"/>
          <w:kern w:val="0"/>
          <w:lang w:eastAsia="fr-FR"/>
          <w14:ligatures w14:val="none"/>
        </w:rPr>
        <w:t>Les solutions existent déjà : elles ont été élaborées de manière inclusive avec les OSC et les partenaires.</w:t>
      </w:r>
    </w:p>
    <w:p w14:paraId="7DC543C3" w14:textId="77777777" w:rsidR="0087572B" w:rsidRPr="00A73193" w:rsidRDefault="0087572B" w:rsidP="0087572B">
      <w:pPr>
        <w:numPr>
          <w:ilvl w:val="0"/>
          <w:numId w:val="11"/>
        </w:numPr>
        <w:spacing w:before="100" w:beforeAutospacing="1" w:after="100" w:afterAutospacing="1"/>
        <w:jc w:val="both"/>
        <w:rPr>
          <w:rFonts w:eastAsia="Times New Roman" w:cstheme="minorHAnsi"/>
          <w:kern w:val="0"/>
          <w:lang w:eastAsia="fr-FR"/>
          <w14:ligatures w14:val="none"/>
        </w:rPr>
      </w:pPr>
      <w:r w:rsidRPr="00A73193">
        <w:rPr>
          <w:rFonts w:eastAsia="Times New Roman" w:cstheme="minorHAnsi"/>
          <w:kern w:val="0"/>
          <w:lang w:eastAsia="fr-FR"/>
          <w14:ligatures w14:val="none"/>
        </w:rPr>
        <w:t>Les techniciens et la société civile sont convaincus, mais la volonté politique reste insuffisante.</w:t>
      </w:r>
    </w:p>
    <w:p w14:paraId="13C57C44" w14:textId="77777777" w:rsidR="0087572B" w:rsidRPr="00A73193" w:rsidRDefault="0087572B" w:rsidP="0087572B">
      <w:pPr>
        <w:numPr>
          <w:ilvl w:val="0"/>
          <w:numId w:val="11"/>
        </w:numPr>
        <w:spacing w:before="100" w:beforeAutospacing="1" w:after="100" w:afterAutospacing="1"/>
        <w:jc w:val="both"/>
        <w:rPr>
          <w:rFonts w:eastAsia="Times New Roman" w:cstheme="minorHAnsi"/>
          <w:kern w:val="0"/>
          <w:lang w:eastAsia="fr-FR"/>
          <w14:ligatures w14:val="none"/>
        </w:rPr>
      </w:pPr>
      <w:r w:rsidRPr="00A73193">
        <w:rPr>
          <w:rFonts w:eastAsia="Times New Roman" w:cstheme="minorHAnsi"/>
          <w:kern w:val="0"/>
          <w:lang w:eastAsia="fr-FR"/>
          <w14:ligatures w14:val="none"/>
        </w:rPr>
        <w:t>Un signal politique fort est attendu : l’adoption immédiate de la PNEFH et de la SNLCVBG, la réintroduction et l’adoption de la loi-cadre sur l’égalité, et l’adoption d’une loi garantissant la participation politique effective des femmes.</w:t>
      </w:r>
    </w:p>
    <w:p w14:paraId="1A3CE9E3" w14:textId="77777777" w:rsidR="0087572B" w:rsidRPr="00A73193" w:rsidRDefault="0087572B" w:rsidP="0087572B">
      <w:pPr>
        <w:spacing w:before="100" w:beforeAutospacing="1" w:after="100" w:afterAutospacing="1"/>
        <w:rPr>
          <w:rFonts w:eastAsia="Times New Roman" w:cstheme="minorHAnsi"/>
          <w:kern w:val="0"/>
          <w:lang w:eastAsia="fr-FR"/>
          <w14:ligatures w14:val="none"/>
        </w:rPr>
      </w:pPr>
      <w:r w:rsidRPr="00A73193">
        <w:rPr>
          <w:rFonts w:eastAsia="Times New Roman" w:cstheme="minorHAnsi"/>
          <w:b/>
          <w:bCs/>
          <w:kern w:val="0"/>
          <w:lang w:eastAsia="fr-FR"/>
          <w14:ligatures w14:val="none"/>
        </w:rPr>
        <w:t>Recommandations transversales au gouvernement de Madagascar :</w:t>
      </w:r>
    </w:p>
    <w:p w14:paraId="2DE5713F" w14:textId="77777777" w:rsidR="0087572B" w:rsidRPr="00196C72" w:rsidRDefault="0087572B" w:rsidP="0087572B">
      <w:pPr>
        <w:numPr>
          <w:ilvl w:val="0"/>
          <w:numId w:val="15"/>
        </w:numPr>
        <w:spacing w:before="100" w:beforeAutospacing="1" w:after="100" w:afterAutospacing="1"/>
        <w:jc w:val="both"/>
        <w:rPr>
          <w:rFonts w:eastAsia="Times New Roman" w:cstheme="minorHAnsi"/>
          <w:kern w:val="0"/>
          <w:lang w:eastAsia="fr-FR"/>
          <w14:ligatures w14:val="none"/>
        </w:rPr>
      </w:pPr>
      <w:r w:rsidRPr="00A73193">
        <w:rPr>
          <w:rFonts w:eastAsia="Times New Roman" w:cstheme="minorHAnsi"/>
          <w:kern w:val="0"/>
          <w:lang w:eastAsia="fr-FR"/>
          <w14:ligatures w14:val="none"/>
        </w:rPr>
        <w:t xml:space="preserve">Adopter sans délai </w:t>
      </w:r>
      <w:r w:rsidRPr="00196C72">
        <w:rPr>
          <w:rFonts w:eastAsia="Times New Roman" w:cstheme="minorHAnsi"/>
          <w:kern w:val="0"/>
          <w:lang w:eastAsia="fr-FR"/>
          <w14:ligatures w14:val="none"/>
        </w:rPr>
        <w:t>la PNEFH 2025–2035 et la SNLCVBG 2025–2030.</w:t>
      </w:r>
    </w:p>
    <w:p w14:paraId="5636582D" w14:textId="77777777" w:rsidR="0087572B" w:rsidRPr="00196C72" w:rsidRDefault="0087572B" w:rsidP="0087572B">
      <w:pPr>
        <w:numPr>
          <w:ilvl w:val="0"/>
          <w:numId w:val="15"/>
        </w:numPr>
        <w:spacing w:before="100" w:beforeAutospacing="1" w:after="100" w:afterAutospacing="1"/>
        <w:jc w:val="both"/>
        <w:rPr>
          <w:rFonts w:eastAsia="Times New Roman" w:cstheme="minorHAnsi"/>
          <w:kern w:val="0"/>
          <w:lang w:eastAsia="fr-FR"/>
          <w14:ligatures w14:val="none"/>
        </w:rPr>
      </w:pPr>
      <w:r w:rsidRPr="00196C72">
        <w:rPr>
          <w:rFonts w:eastAsia="Times New Roman" w:cstheme="minorHAnsi"/>
          <w:kern w:val="0"/>
          <w:lang w:eastAsia="fr-FR"/>
          <w14:ligatures w14:val="none"/>
        </w:rPr>
        <w:t>Relancer et adopter la loi-cadre sur l’égalité femmes-hommes (2019).</w:t>
      </w:r>
    </w:p>
    <w:p w14:paraId="7DE18B76" w14:textId="77777777" w:rsidR="0087572B" w:rsidRPr="00196C72" w:rsidRDefault="0087572B" w:rsidP="0087572B">
      <w:pPr>
        <w:numPr>
          <w:ilvl w:val="0"/>
          <w:numId w:val="15"/>
        </w:numPr>
        <w:spacing w:before="100" w:beforeAutospacing="1" w:after="100" w:afterAutospacing="1"/>
        <w:jc w:val="both"/>
        <w:rPr>
          <w:rFonts w:eastAsia="Times New Roman" w:cstheme="minorHAnsi"/>
          <w:kern w:val="0"/>
          <w:lang w:eastAsia="fr-FR"/>
          <w14:ligatures w14:val="none"/>
        </w:rPr>
      </w:pPr>
      <w:r w:rsidRPr="00196C72">
        <w:rPr>
          <w:rFonts w:eastAsia="Times New Roman" w:cstheme="minorHAnsi"/>
          <w:kern w:val="0"/>
          <w:lang w:eastAsia="fr-FR"/>
          <w14:ligatures w14:val="none"/>
        </w:rPr>
        <w:t>Introduire une loi sur la participation politique des femmes avec des quotas contraignants.</w:t>
      </w:r>
    </w:p>
    <w:p w14:paraId="50B03B42" w14:textId="77777777" w:rsidR="0087572B" w:rsidRPr="00A73193" w:rsidRDefault="0087572B" w:rsidP="0087572B">
      <w:pPr>
        <w:numPr>
          <w:ilvl w:val="0"/>
          <w:numId w:val="15"/>
        </w:numPr>
        <w:spacing w:before="100" w:beforeAutospacing="1" w:after="100" w:afterAutospacing="1"/>
        <w:jc w:val="both"/>
        <w:rPr>
          <w:rFonts w:eastAsia="Times New Roman" w:cstheme="minorHAnsi"/>
          <w:kern w:val="0"/>
          <w:lang w:eastAsia="fr-FR"/>
          <w14:ligatures w14:val="none"/>
        </w:rPr>
      </w:pPr>
      <w:r w:rsidRPr="00A73193">
        <w:rPr>
          <w:rFonts w:eastAsia="Times New Roman" w:cstheme="minorHAnsi"/>
          <w:kern w:val="0"/>
          <w:lang w:eastAsia="fr-FR"/>
          <w14:ligatures w14:val="none"/>
        </w:rPr>
        <w:t>Réformer les lois successorales et foncières, et dépénaliser l’avortement dans les cas conformes aux recommandations CEDEF.</w:t>
      </w:r>
    </w:p>
    <w:p w14:paraId="13DE2387" w14:textId="77777777" w:rsidR="0087572B" w:rsidRPr="00A73193" w:rsidRDefault="0087572B" w:rsidP="0087572B">
      <w:pPr>
        <w:numPr>
          <w:ilvl w:val="0"/>
          <w:numId w:val="15"/>
        </w:numPr>
        <w:spacing w:before="100" w:beforeAutospacing="1" w:after="100" w:afterAutospacing="1"/>
        <w:jc w:val="both"/>
        <w:rPr>
          <w:rFonts w:eastAsia="Times New Roman" w:cstheme="minorHAnsi"/>
          <w:kern w:val="0"/>
          <w:lang w:eastAsia="fr-FR"/>
          <w14:ligatures w14:val="none"/>
        </w:rPr>
      </w:pPr>
      <w:r w:rsidRPr="00A73193">
        <w:rPr>
          <w:rFonts w:eastAsia="Times New Roman" w:cstheme="minorHAnsi"/>
          <w:kern w:val="0"/>
          <w:lang w:eastAsia="fr-FR"/>
          <w14:ligatures w14:val="none"/>
        </w:rPr>
        <w:t xml:space="preserve">Ratifier les instruments internationaux en attente </w:t>
      </w:r>
      <w:r>
        <w:rPr>
          <w:rFonts w:eastAsia="Times New Roman" w:cstheme="minorHAnsi"/>
          <w:kern w:val="0"/>
          <w:lang w:eastAsia="fr-FR"/>
          <w14:ligatures w14:val="none"/>
        </w:rPr>
        <w:t xml:space="preserve">: </w:t>
      </w:r>
      <w:r w:rsidRPr="00A73193">
        <w:rPr>
          <w:rFonts w:eastAsia="Times New Roman" w:cstheme="minorHAnsi"/>
          <w:kern w:val="0"/>
          <w:lang w:eastAsia="fr-FR"/>
          <w14:ligatures w14:val="none"/>
        </w:rPr>
        <w:t>Protocole de Maputo, Protocole facultatif CEDEF, Protocole Genre de la SADC, conventions sur l’apatridie.</w:t>
      </w:r>
    </w:p>
    <w:p w14:paraId="4C05AFA2" w14:textId="77777777" w:rsidR="0087572B" w:rsidRPr="00A73193" w:rsidRDefault="0087572B" w:rsidP="0087572B">
      <w:pPr>
        <w:numPr>
          <w:ilvl w:val="0"/>
          <w:numId w:val="15"/>
        </w:numPr>
        <w:spacing w:before="100" w:beforeAutospacing="1" w:after="100" w:afterAutospacing="1"/>
        <w:jc w:val="both"/>
        <w:rPr>
          <w:rFonts w:eastAsia="Times New Roman" w:cstheme="minorHAnsi"/>
          <w:kern w:val="0"/>
          <w:lang w:eastAsia="fr-FR"/>
          <w14:ligatures w14:val="none"/>
        </w:rPr>
      </w:pPr>
      <w:r w:rsidRPr="00A73193">
        <w:rPr>
          <w:rFonts w:eastAsia="Times New Roman" w:cstheme="minorHAnsi"/>
          <w:kern w:val="0"/>
          <w:lang w:eastAsia="fr-FR"/>
          <w14:ligatures w14:val="none"/>
        </w:rPr>
        <w:t>Allouer des ressources nationales suffisantes et mobiliser l’appui des partenaires techniques et financiers.</w:t>
      </w:r>
      <w:r>
        <w:rPr>
          <w:rFonts w:eastAsia="Times New Roman" w:cstheme="minorHAnsi"/>
          <w:kern w:val="0"/>
          <w:lang w:eastAsia="fr-FR"/>
          <w14:ligatures w14:val="none"/>
        </w:rPr>
        <w:t>/.</w:t>
      </w:r>
    </w:p>
    <w:p w14:paraId="286315B5" w14:textId="77777777" w:rsidR="007C4C66" w:rsidRPr="001F681F" w:rsidRDefault="007C4C66" w:rsidP="00621F66">
      <w:pPr>
        <w:spacing w:before="100" w:beforeAutospacing="1" w:after="100" w:afterAutospacing="1"/>
        <w:rPr>
          <w:rFonts w:eastAsia="Times New Roman" w:cstheme="minorHAnsi"/>
          <w:kern w:val="0"/>
          <w:lang w:eastAsia="fr-FR"/>
          <w14:ligatures w14:val="none"/>
        </w:rPr>
      </w:pPr>
    </w:p>
    <w:p w14:paraId="3B80EA8E" w14:textId="77777777" w:rsidR="00621F66" w:rsidRPr="00FE0345" w:rsidRDefault="00621F66" w:rsidP="00621F66">
      <w:pPr>
        <w:spacing w:before="100" w:beforeAutospacing="1" w:after="100" w:afterAutospacing="1"/>
        <w:jc w:val="both"/>
        <w:rPr>
          <w:rFonts w:eastAsia="Times New Roman" w:cstheme="minorHAnsi"/>
          <w:spacing w:val="-4"/>
          <w:kern w:val="0"/>
          <w:lang w:eastAsia="fr-FR"/>
          <w14:ligatures w14:val="none"/>
        </w:rPr>
      </w:pPr>
    </w:p>
    <w:p w14:paraId="1BB94126" w14:textId="77777777" w:rsidR="00621F66" w:rsidRPr="00806D62" w:rsidRDefault="00621F66" w:rsidP="00CC5837">
      <w:pPr>
        <w:spacing w:before="100" w:beforeAutospacing="1" w:after="100" w:afterAutospacing="1"/>
        <w:rPr>
          <w:rFonts w:eastAsia="Times New Roman" w:cstheme="minorHAnsi"/>
          <w:kern w:val="0"/>
          <w:lang w:eastAsia="fr-FR"/>
          <w14:ligatures w14:val="none"/>
        </w:rPr>
      </w:pPr>
    </w:p>
    <w:sectPr w:rsidR="00621F66" w:rsidRPr="00806D62">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F7274D" w14:textId="77777777" w:rsidR="0026433B" w:rsidRDefault="0026433B" w:rsidP="004F1A30">
      <w:r>
        <w:separator/>
      </w:r>
    </w:p>
  </w:endnote>
  <w:endnote w:type="continuationSeparator" w:id="0">
    <w:p w14:paraId="35AFD479" w14:textId="77777777" w:rsidR="0026433B" w:rsidRDefault="0026433B" w:rsidP="004F1A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Futura Medium">
    <w:altName w:val="FUTURA MEDIUM"/>
    <w:panose1 w:val="020B0602020204020303"/>
    <w:charset w:val="B1"/>
    <w:family w:val="swiss"/>
    <w:pitch w:val="variable"/>
    <w:sig w:usb0="80000867" w:usb1="00000000" w:usb2="00000000" w:usb3="00000000" w:csb0="000001FB"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33C71F" w14:textId="77777777" w:rsidR="0026433B" w:rsidRDefault="0026433B" w:rsidP="004F1A30">
      <w:r>
        <w:separator/>
      </w:r>
    </w:p>
  </w:footnote>
  <w:footnote w:type="continuationSeparator" w:id="0">
    <w:p w14:paraId="101F1C6A" w14:textId="77777777" w:rsidR="0026433B" w:rsidRDefault="0026433B" w:rsidP="004F1A3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C6283A" w14:textId="3FFABFD1" w:rsidR="004F1A30" w:rsidRDefault="00EA001E">
    <w:pPr>
      <w:pStyle w:val="En-tte"/>
    </w:pPr>
    <w:r>
      <w:rPr>
        <w:noProof/>
      </w:rPr>
      <w:drawing>
        <wp:anchor distT="0" distB="0" distL="114300" distR="114300" simplePos="0" relativeHeight="251659264" behindDoc="0" locked="0" layoutInCell="1" allowOverlap="1" wp14:anchorId="59C2B3A9" wp14:editId="5AEABBA3">
          <wp:simplePos x="0" y="0"/>
          <wp:positionH relativeFrom="column">
            <wp:posOffset>63500</wp:posOffset>
          </wp:positionH>
          <wp:positionV relativeFrom="paragraph">
            <wp:posOffset>-97155</wp:posOffset>
          </wp:positionV>
          <wp:extent cx="1203960" cy="601345"/>
          <wp:effectExtent l="0" t="0" r="2540" b="0"/>
          <wp:wrapTopAndBottom/>
          <wp:docPr id="1151062834"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1062834" name="Image 1151062834"/>
                  <pic:cNvPicPr/>
                </pic:nvPicPr>
                <pic:blipFill>
                  <a:blip r:embed="rId1">
                    <a:extLst>
                      <a:ext uri="{28A0092B-C50C-407E-A947-70E740481C1C}">
                        <a14:useLocalDpi xmlns:a14="http://schemas.microsoft.com/office/drawing/2010/main" val="0"/>
                      </a:ext>
                    </a:extLst>
                  </a:blip>
                  <a:stretch>
                    <a:fillRect/>
                  </a:stretch>
                </pic:blipFill>
                <pic:spPr>
                  <a:xfrm>
                    <a:off x="0" y="0"/>
                    <a:ext cx="1203960" cy="60134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1312" behindDoc="0" locked="0" layoutInCell="1" allowOverlap="1" wp14:anchorId="110A7A1D" wp14:editId="7A6314BC">
          <wp:simplePos x="0" y="0"/>
          <wp:positionH relativeFrom="column">
            <wp:posOffset>1810385</wp:posOffset>
          </wp:positionH>
          <wp:positionV relativeFrom="paragraph">
            <wp:posOffset>-67945</wp:posOffset>
          </wp:positionV>
          <wp:extent cx="932180" cy="508000"/>
          <wp:effectExtent l="0" t="0" r="0" b="0"/>
          <wp:wrapTopAndBottom/>
          <wp:docPr id="1159052588"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9052588" name="Image 1159052588"/>
                  <pic:cNvPicPr/>
                </pic:nvPicPr>
                <pic:blipFill>
                  <a:blip r:embed="rId2">
                    <a:extLst>
                      <a:ext uri="{28A0092B-C50C-407E-A947-70E740481C1C}">
                        <a14:useLocalDpi xmlns:a14="http://schemas.microsoft.com/office/drawing/2010/main" val="0"/>
                      </a:ext>
                    </a:extLst>
                  </a:blip>
                  <a:stretch>
                    <a:fillRect/>
                  </a:stretch>
                </pic:blipFill>
                <pic:spPr>
                  <a:xfrm>
                    <a:off x="0" y="0"/>
                    <a:ext cx="932180" cy="50800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0" locked="0" layoutInCell="1" allowOverlap="1" wp14:anchorId="1464BCBC" wp14:editId="3BD32EDF">
          <wp:simplePos x="0" y="0"/>
          <wp:positionH relativeFrom="column">
            <wp:posOffset>3327416</wp:posOffset>
          </wp:positionH>
          <wp:positionV relativeFrom="paragraph">
            <wp:posOffset>-241678</wp:posOffset>
          </wp:positionV>
          <wp:extent cx="822960" cy="822960"/>
          <wp:effectExtent l="0" t="0" r="2540" b="2540"/>
          <wp:wrapTopAndBottom/>
          <wp:docPr id="656983284"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6983284" name="Image 656983284"/>
                  <pic:cNvPicPr/>
                </pic:nvPicPr>
                <pic:blipFill>
                  <a:blip r:embed="rId3">
                    <a:extLst>
                      <a:ext uri="{28A0092B-C50C-407E-A947-70E740481C1C}">
                        <a14:useLocalDpi xmlns:a14="http://schemas.microsoft.com/office/drawing/2010/main" val="0"/>
                      </a:ext>
                    </a:extLst>
                  </a:blip>
                  <a:stretch>
                    <a:fillRect/>
                  </a:stretch>
                </pic:blipFill>
                <pic:spPr>
                  <a:xfrm>
                    <a:off x="0" y="0"/>
                    <a:ext cx="822960" cy="82296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0" behindDoc="0" locked="0" layoutInCell="1" allowOverlap="1" wp14:anchorId="0647D465" wp14:editId="3659972E">
          <wp:simplePos x="0" y="0"/>
          <wp:positionH relativeFrom="column">
            <wp:posOffset>4519729</wp:posOffset>
          </wp:positionH>
          <wp:positionV relativeFrom="paragraph">
            <wp:posOffset>-66675</wp:posOffset>
          </wp:positionV>
          <wp:extent cx="1270000" cy="508000"/>
          <wp:effectExtent l="0" t="0" r="0" b="0"/>
          <wp:wrapTopAndBottom/>
          <wp:docPr id="850831646"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0831646" name="Image 850831646"/>
                  <pic:cNvPicPr/>
                </pic:nvPicPr>
                <pic:blipFill>
                  <a:blip r:embed="rId4">
                    <a:extLst>
                      <a:ext uri="{28A0092B-C50C-407E-A947-70E740481C1C}">
                        <a14:useLocalDpi xmlns:a14="http://schemas.microsoft.com/office/drawing/2010/main" val="0"/>
                      </a:ext>
                    </a:extLst>
                  </a:blip>
                  <a:stretch>
                    <a:fillRect/>
                  </a:stretch>
                </pic:blipFill>
                <pic:spPr>
                  <a:xfrm>
                    <a:off x="0" y="0"/>
                    <a:ext cx="1270000" cy="50800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F6E27"/>
    <w:multiLevelType w:val="multilevel"/>
    <w:tmpl w:val="BDC4C16E"/>
    <w:lvl w:ilvl="0">
      <w:start w:val="1"/>
      <w:numFmt w:val="bullet"/>
      <w:lvlText w:val=""/>
      <w:lvlJc w:val="left"/>
      <w:pPr>
        <w:tabs>
          <w:tab w:val="num" w:pos="360"/>
        </w:tabs>
        <w:ind w:left="360" w:hanging="360"/>
      </w:pPr>
      <w:rPr>
        <w:rFonts w:ascii="Wingdings" w:hAnsi="Wingdings" w:hint="default"/>
        <w:sz w:val="24"/>
        <w:szCs w:val="24"/>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 w15:restartNumberingAfterBreak="0">
    <w:nsid w:val="14B04941"/>
    <w:multiLevelType w:val="multilevel"/>
    <w:tmpl w:val="7BEEBAB8"/>
    <w:lvl w:ilvl="0">
      <w:start w:val="1"/>
      <w:numFmt w:val="bullet"/>
      <w:lvlText w:val=""/>
      <w:lvlJc w:val="left"/>
      <w:pPr>
        <w:tabs>
          <w:tab w:val="num" w:pos="360"/>
        </w:tabs>
        <w:ind w:left="360" w:hanging="360"/>
      </w:pPr>
      <w:rPr>
        <w:rFonts w:ascii="Wingdings" w:hAnsi="Wingdings" w:hint="default"/>
        <w:sz w:val="24"/>
        <w:szCs w:val="24"/>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 w15:restartNumberingAfterBreak="0">
    <w:nsid w:val="14DD125C"/>
    <w:multiLevelType w:val="multilevel"/>
    <w:tmpl w:val="B9C2E1FE"/>
    <w:lvl w:ilvl="0">
      <w:start w:val="1"/>
      <w:numFmt w:val="bullet"/>
      <w:lvlText w:val=""/>
      <w:lvlJc w:val="left"/>
      <w:pPr>
        <w:tabs>
          <w:tab w:val="num" w:pos="360"/>
        </w:tabs>
        <w:ind w:left="360" w:hanging="360"/>
      </w:pPr>
      <w:rPr>
        <w:rFonts w:ascii="Wingdings" w:hAnsi="Wingdings" w:hint="default"/>
        <w:sz w:val="24"/>
        <w:szCs w:val="24"/>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 w15:restartNumberingAfterBreak="0">
    <w:nsid w:val="247F6554"/>
    <w:multiLevelType w:val="multilevel"/>
    <w:tmpl w:val="1B8C535E"/>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 w15:restartNumberingAfterBreak="0">
    <w:nsid w:val="260F4927"/>
    <w:multiLevelType w:val="multilevel"/>
    <w:tmpl w:val="312A6F58"/>
    <w:lvl w:ilvl="0">
      <w:start w:val="1"/>
      <w:numFmt w:val="bullet"/>
      <w:lvlText w:val=""/>
      <w:lvlJc w:val="left"/>
      <w:pPr>
        <w:tabs>
          <w:tab w:val="num" w:pos="360"/>
        </w:tabs>
        <w:ind w:left="360" w:hanging="360"/>
      </w:pPr>
      <w:rPr>
        <w:rFonts w:ascii="Wingdings" w:hAnsi="Wingdings"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 w15:restartNumberingAfterBreak="0">
    <w:nsid w:val="2B51766B"/>
    <w:multiLevelType w:val="multilevel"/>
    <w:tmpl w:val="1E96B6F2"/>
    <w:lvl w:ilvl="0">
      <w:start w:val="1"/>
      <w:numFmt w:val="bullet"/>
      <w:lvlText w:val=""/>
      <w:lvlJc w:val="left"/>
      <w:pPr>
        <w:tabs>
          <w:tab w:val="num" w:pos="360"/>
        </w:tabs>
        <w:ind w:left="360" w:hanging="360"/>
      </w:pPr>
      <w:rPr>
        <w:rFonts w:ascii="Wingdings" w:hAnsi="Wingdings" w:hint="default"/>
        <w:sz w:val="24"/>
        <w:szCs w:val="24"/>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 w15:restartNumberingAfterBreak="0">
    <w:nsid w:val="369E1459"/>
    <w:multiLevelType w:val="multilevel"/>
    <w:tmpl w:val="940060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9041744"/>
    <w:multiLevelType w:val="multilevel"/>
    <w:tmpl w:val="2B1C5B2C"/>
    <w:lvl w:ilvl="0">
      <w:start w:val="1"/>
      <w:numFmt w:val="bullet"/>
      <w:lvlText w:val=""/>
      <w:lvlJc w:val="left"/>
      <w:pPr>
        <w:tabs>
          <w:tab w:val="num" w:pos="360"/>
        </w:tabs>
        <w:ind w:left="360" w:hanging="360"/>
      </w:pPr>
      <w:rPr>
        <w:rFonts w:ascii="Wingdings" w:hAnsi="Wingdings" w:hint="default"/>
        <w:sz w:val="24"/>
        <w:szCs w:val="24"/>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8" w15:restartNumberingAfterBreak="0">
    <w:nsid w:val="39257615"/>
    <w:multiLevelType w:val="multilevel"/>
    <w:tmpl w:val="A846F8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7CB6FCA"/>
    <w:multiLevelType w:val="multilevel"/>
    <w:tmpl w:val="A1305B9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A7F1E27"/>
    <w:multiLevelType w:val="multilevel"/>
    <w:tmpl w:val="3BF21654"/>
    <w:lvl w:ilvl="0">
      <w:start w:val="1"/>
      <w:numFmt w:val="bullet"/>
      <w:lvlText w:val=""/>
      <w:lvlJc w:val="left"/>
      <w:pPr>
        <w:tabs>
          <w:tab w:val="num" w:pos="720"/>
        </w:tabs>
        <w:ind w:left="720" w:hanging="360"/>
      </w:pPr>
      <w:rPr>
        <w:rFonts w:ascii="Wingdings" w:hAnsi="Wingdings" w:hint="default"/>
        <w:sz w:val="24"/>
        <w:szCs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A8A484D"/>
    <w:multiLevelType w:val="multilevel"/>
    <w:tmpl w:val="496ADD4C"/>
    <w:lvl w:ilvl="0">
      <w:start w:val="1"/>
      <w:numFmt w:val="bullet"/>
      <w:lvlText w:val=""/>
      <w:lvlJc w:val="left"/>
      <w:pPr>
        <w:tabs>
          <w:tab w:val="num" w:pos="720"/>
        </w:tabs>
        <w:ind w:left="720" w:hanging="360"/>
      </w:pPr>
      <w:rPr>
        <w:rFonts w:ascii="Wingdings" w:hAnsi="Wingdings" w:hint="default"/>
        <w:sz w:val="24"/>
        <w:szCs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D0D363D"/>
    <w:multiLevelType w:val="multilevel"/>
    <w:tmpl w:val="F140AB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F9C3028"/>
    <w:multiLevelType w:val="multilevel"/>
    <w:tmpl w:val="57C0B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35A371F"/>
    <w:multiLevelType w:val="multilevel"/>
    <w:tmpl w:val="BB869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2A85636"/>
    <w:multiLevelType w:val="multilevel"/>
    <w:tmpl w:val="285230D0"/>
    <w:lvl w:ilvl="0">
      <w:start w:val="1"/>
      <w:numFmt w:val="bullet"/>
      <w:lvlText w:val=""/>
      <w:lvlJc w:val="left"/>
      <w:pPr>
        <w:tabs>
          <w:tab w:val="num" w:pos="360"/>
        </w:tabs>
        <w:ind w:left="360" w:hanging="360"/>
      </w:pPr>
      <w:rPr>
        <w:rFonts w:ascii="Wingdings" w:hAnsi="Wingdings" w:hint="default"/>
        <w:sz w:val="24"/>
        <w:szCs w:val="24"/>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6" w15:restartNumberingAfterBreak="0">
    <w:nsid w:val="79823436"/>
    <w:multiLevelType w:val="multilevel"/>
    <w:tmpl w:val="62608394"/>
    <w:lvl w:ilvl="0">
      <w:start w:val="1"/>
      <w:numFmt w:val="bullet"/>
      <w:lvlText w:val=""/>
      <w:lvlJc w:val="left"/>
      <w:pPr>
        <w:tabs>
          <w:tab w:val="num" w:pos="360"/>
        </w:tabs>
        <w:ind w:left="360" w:hanging="360"/>
      </w:pPr>
      <w:rPr>
        <w:rFonts w:ascii="Wingdings" w:hAnsi="Wingdings"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num w:numId="1" w16cid:durableId="473912911">
    <w:abstractNumId w:val="13"/>
  </w:num>
  <w:num w:numId="2" w16cid:durableId="2032561554">
    <w:abstractNumId w:val="14"/>
  </w:num>
  <w:num w:numId="3" w16cid:durableId="1950777277">
    <w:abstractNumId w:val="9"/>
  </w:num>
  <w:num w:numId="4" w16cid:durableId="1122457538">
    <w:abstractNumId w:val="5"/>
  </w:num>
  <w:num w:numId="5" w16cid:durableId="1660961819">
    <w:abstractNumId w:val="11"/>
  </w:num>
  <w:num w:numId="6" w16cid:durableId="1525049556">
    <w:abstractNumId w:val="6"/>
  </w:num>
  <w:num w:numId="7" w16cid:durableId="1150513657">
    <w:abstractNumId w:val="16"/>
  </w:num>
  <w:num w:numId="8" w16cid:durableId="311838003">
    <w:abstractNumId w:val="15"/>
  </w:num>
  <w:num w:numId="9" w16cid:durableId="82578257">
    <w:abstractNumId w:val="2"/>
  </w:num>
  <w:num w:numId="10" w16cid:durableId="1392077568">
    <w:abstractNumId w:val="0"/>
  </w:num>
  <w:num w:numId="11" w16cid:durableId="1290084602">
    <w:abstractNumId w:val="3"/>
  </w:num>
  <w:num w:numId="12" w16cid:durableId="1289816506">
    <w:abstractNumId w:val="7"/>
  </w:num>
  <w:num w:numId="13" w16cid:durableId="600063257">
    <w:abstractNumId w:val="4"/>
  </w:num>
  <w:num w:numId="14" w16cid:durableId="38211101">
    <w:abstractNumId w:val="10"/>
  </w:num>
  <w:num w:numId="15" w16cid:durableId="85662528">
    <w:abstractNumId w:val="1"/>
  </w:num>
  <w:num w:numId="16" w16cid:durableId="547499819">
    <w:abstractNumId w:val="8"/>
  </w:num>
  <w:num w:numId="17" w16cid:durableId="4156337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9"/>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5837"/>
    <w:rsid w:val="00005A7E"/>
    <w:rsid w:val="0007295A"/>
    <w:rsid w:val="00087483"/>
    <w:rsid w:val="00180C64"/>
    <w:rsid w:val="0026433B"/>
    <w:rsid w:val="00274C1E"/>
    <w:rsid w:val="00277014"/>
    <w:rsid w:val="004A5826"/>
    <w:rsid w:val="004F1A30"/>
    <w:rsid w:val="00621F66"/>
    <w:rsid w:val="00706056"/>
    <w:rsid w:val="00754138"/>
    <w:rsid w:val="007752C0"/>
    <w:rsid w:val="007A0DB6"/>
    <w:rsid w:val="007C4C66"/>
    <w:rsid w:val="007F77D5"/>
    <w:rsid w:val="00806D62"/>
    <w:rsid w:val="0087572B"/>
    <w:rsid w:val="008E5D24"/>
    <w:rsid w:val="00A60F6C"/>
    <w:rsid w:val="00BF036A"/>
    <w:rsid w:val="00C52367"/>
    <w:rsid w:val="00C7721F"/>
    <w:rsid w:val="00CB254E"/>
    <w:rsid w:val="00CC5837"/>
    <w:rsid w:val="00E70DA4"/>
    <w:rsid w:val="00EA001E"/>
  </w:rsids>
  <m:mathPr>
    <m:mathFont m:val="Cambria Math"/>
    <m:brkBin m:val="before"/>
    <m:brkBinSub m:val="--"/>
    <m:smallFrac m:val="0"/>
    <m:dispDef/>
    <m:lMargin m:val="0"/>
    <m:rMargin m:val="0"/>
    <m:defJc m:val="centerGroup"/>
    <m:wrapIndent m:val="1440"/>
    <m:intLim m:val="subSup"/>
    <m:naryLim m:val="undOvr"/>
  </m:mathPr>
  <w:themeFontLang w:val="fr-MG"/>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84D30E"/>
  <w15:chartTrackingRefBased/>
  <w15:docId w15:val="{C65E677C-8086-AB40-831A-D1F4F41213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fr-M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1">
    <w:name w:val="heading 1"/>
    <w:basedOn w:val="Normal"/>
    <w:next w:val="Normal"/>
    <w:link w:val="Titre1Car"/>
    <w:uiPriority w:val="9"/>
    <w:qFormat/>
    <w:rsid w:val="00CC583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itre2">
    <w:name w:val="heading 2"/>
    <w:basedOn w:val="Normal"/>
    <w:next w:val="Normal"/>
    <w:link w:val="Titre2Car"/>
    <w:uiPriority w:val="9"/>
    <w:unhideWhenUsed/>
    <w:qFormat/>
    <w:rsid w:val="00CC583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itre3">
    <w:name w:val="heading 3"/>
    <w:basedOn w:val="Normal"/>
    <w:next w:val="Normal"/>
    <w:link w:val="Titre3Car"/>
    <w:uiPriority w:val="9"/>
    <w:unhideWhenUsed/>
    <w:qFormat/>
    <w:rsid w:val="00CC5837"/>
    <w:pPr>
      <w:keepNext/>
      <w:keepLines/>
      <w:spacing w:before="160" w:after="80"/>
      <w:outlineLvl w:val="2"/>
    </w:pPr>
    <w:rPr>
      <w:rFonts w:eastAsiaTheme="majorEastAsia" w:cstheme="majorBidi"/>
      <w:color w:val="2F5496" w:themeColor="accent1" w:themeShade="BF"/>
      <w:sz w:val="28"/>
      <w:szCs w:val="28"/>
    </w:rPr>
  </w:style>
  <w:style w:type="paragraph" w:styleId="Titre4">
    <w:name w:val="heading 4"/>
    <w:basedOn w:val="Normal"/>
    <w:next w:val="Normal"/>
    <w:link w:val="Titre4Car"/>
    <w:uiPriority w:val="9"/>
    <w:semiHidden/>
    <w:unhideWhenUsed/>
    <w:qFormat/>
    <w:rsid w:val="00CC5837"/>
    <w:pPr>
      <w:keepNext/>
      <w:keepLines/>
      <w:spacing w:before="80" w:after="40"/>
      <w:outlineLvl w:val="3"/>
    </w:pPr>
    <w:rPr>
      <w:rFonts w:eastAsiaTheme="majorEastAsia" w:cstheme="majorBidi"/>
      <w:i/>
      <w:iCs/>
      <w:color w:val="2F5496" w:themeColor="accent1" w:themeShade="BF"/>
    </w:rPr>
  </w:style>
  <w:style w:type="paragraph" w:styleId="Titre5">
    <w:name w:val="heading 5"/>
    <w:basedOn w:val="Normal"/>
    <w:next w:val="Normal"/>
    <w:link w:val="Titre5Car"/>
    <w:uiPriority w:val="9"/>
    <w:semiHidden/>
    <w:unhideWhenUsed/>
    <w:qFormat/>
    <w:rsid w:val="00CC5837"/>
    <w:pPr>
      <w:keepNext/>
      <w:keepLines/>
      <w:spacing w:before="80" w:after="40"/>
      <w:outlineLvl w:val="4"/>
    </w:pPr>
    <w:rPr>
      <w:rFonts w:eastAsiaTheme="majorEastAsia" w:cstheme="majorBidi"/>
      <w:color w:val="2F5496" w:themeColor="accent1" w:themeShade="BF"/>
    </w:rPr>
  </w:style>
  <w:style w:type="paragraph" w:styleId="Titre6">
    <w:name w:val="heading 6"/>
    <w:basedOn w:val="Normal"/>
    <w:next w:val="Normal"/>
    <w:link w:val="Titre6Car"/>
    <w:uiPriority w:val="9"/>
    <w:semiHidden/>
    <w:unhideWhenUsed/>
    <w:qFormat/>
    <w:rsid w:val="00CC5837"/>
    <w:pPr>
      <w:keepNext/>
      <w:keepLines/>
      <w:spacing w:before="40"/>
      <w:outlineLvl w:val="5"/>
    </w:pPr>
    <w:rPr>
      <w:rFonts w:eastAsiaTheme="majorEastAsia" w:cstheme="majorBidi"/>
      <w:i/>
      <w:iCs/>
      <w:color w:val="595959" w:themeColor="text1" w:themeTint="A6"/>
    </w:rPr>
  </w:style>
  <w:style w:type="paragraph" w:styleId="Titre7">
    <w:name w:val="heading 7"/>
    <w:basedOn w:val="Normal"/>
    <w:next w:val="Normal"/>
    <w:link w:val="Titre7Car"/>
    <w:uiPriority w:val="9"/>
    <w:semiHidden/>
    <w:unhideWhenUsed/>
    <w:qFormat/>
    <w:rsid w:val="00CC5837"/>
    <w:pPr>
      <w:keepNext/>
      <w:keepLines/>
      <w:spacing w:before="40"/>
      <w:outlineLvl w:val="6"/>
    </w:pPr>
    <w:rPr>
      <w:rFonts w:eastAsiaTheme="majorEastAsia" w:cstheme="majorBidi"/>
      <w:color w:val="595959" w:themeColor="text1" w:themeTint="A6"/>
    </w:rPr>
  </w:style>
  <w:style w:type="paragraph" w:styleId="Titre8">
    <w:name w:val="heading 8"/>
    <w:basedOn w:val="Normal"/>
    <w:next w:val="Normal"/>
    <w:link w:val="Titre8Car"/>
    <w:uiPriority w:val="9"/>
    <w:semiHidden/>
    <w:unhideWhenUsed/>
    <w:qFormat/>
    <w:rsid w:val="00CC5837"/>
    <w:pPr>
      <w:keepNext/>
      <w:keepLines/>
      <w:outlineLvl w:val="7"/>
    </w:pPr>
    <w:rPr>
      <w:rFonts w:eastAsiaTheme="majorEastAsia" w:cstheme="majorBidi"/>
      <w:i/>
      <w:iCs/>
      <w:color w:val="272727" w:themeColor="text1" w:themeTint="D8"/>
    </w:rPr>
  </w:style>
  <w:style w:type="paragraph" w:styleId="Titre9">
    <w:name w:val="heading 9"/>
    <w:basedOn w:val="Normal"/>
    <w:next w:val="Normal"/>
    <w:link w:val="Titre9Car"/>
    <w:uiPriority w:val="9"/>
    <w:semiHidden/>
    <w:unhideWhenUsed/>
    <w:qFormat/>
    <w:rsid w:val="00CC5837"/>
    <w:pPr>
      <w:keepNext/>
      <w:keepLines/>
      <w:outlineLvl w:val="8"/>
    </w:pPr>
    <w:rPr>
      <w:rFonts w:eastAsiaTheme="majorEastAsia" w:cstheme="majorBidi"/>
      <w:color w:val="272727" w:themeColor="text1" w:themeTint="D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CC5837"/>
    <w:rPr>
      <w:rFonts w:asciiTheme="majorHAnsi" w:eastAsiaTheme="majorEastAsia" w:hAnsiTheme="majorHAnsi" w:cstheme="majorBidi"/>
      <w:color w:val="2F5496" w:themeColor="accent1" w:themeShade="BF"/>
      <w:sz w:val="40"/>
      <w:szCs w:val="40"/>
    </w:rPr>
  </w:style>
  <w:style w:type="character" w:customStyle="1" w:styleId="Titre2Car">
    <w:name w:val="Titre 2 Car"/>
    <w:basedOn w:val="Policepardfaut"/>
    <w:link w:val="Titre2"/>
    <w:uiPriority w:val="9"/>
    <w:rsid w:val="00CC5837"/>
    <w:rPr>
      <w:rFonts w:asciiTheme="majorHAnsi" w:eastAsiaTheme="majorEastAsia" w:hAnsiTheme="majorHAnsi" w:cstheme="majorBidi"/>
      <w:color w:val="2F5496" w:themeColor="accent1" w:themeShade="BF"/>
      <w:sz w:val="32"/>
      <w:szCs w:val="32"/>
    </w:rPr>
  </w:style>
  <w:style w:type="character" w:customStyle="1" w:styleId="Titre3Car">
    <w:name w:val="Titre 3 Car"/>
    <w:basedOn w:val="Policepardfaut"/>
    <w:link w:val="Titre3"/>
    <w:uiPriority w:val="9"/>
    <w:rsid w:val="00CC5837"/>
    <w:rPr>
      <w:rFonts w:eastAsiaTheme="majorEastAsia" w:cstheme="majorBidi"/>
      <w:color w:val="2F5496" w:themeColor="accent1" w:themeShade="BF"/>
      <w:sz w:val="28"/>
      <w:szCs w:val="28"/>
    </w:rPr>
  </w:style>
  <w:style w:type="character" w:customStyle="1" w:styleId="Titre4Car">
    <w:name w:val="Titre 4 Car"/>
    <w:basedOn w:val="Policepardfaut"/>
    <w:link w:val="Titre4"/>
    <w:uiPriority w:val="9"/>
    <w:semiHidden/>
    <w:rsid w:val="00CC5837"/>
    <w:rPr>
      <w:rFonts w:eastAsiaTheme="majorEastAsia" w:cstheme="majorBidi"/>
      <w:i/>
      <w:iCs/>
      <w:color w:val="2F5496" w:themeColor="accent1" w:themeShade="BF"/>
    </w:rPr>
  </w:style>
  <w:style w:type="character" w:customStyle="1" w:styleId="Titre5Car">
    <w:name w:val="Titre 5 Car"/>
    <w:basedOn w:val="Policepardfaut"/>
    <w:link w:val="Titre5"/>
    <w:uiPriority w:val="9"/>
    <w:semiHidden/>
    <w:rsid w:val="00CC5837"/>
    <w:rPr>
      <w:rFonts w:eastAsiaTheme="majorEastAsia" w:cstheme="majorBidi"/>
      <w:color w:val="2F5496" w:themeColor="accent1" w:themeShade="BF"/>
    </w:rPr>
  </w:style>
  <w:style w:type="character" w:customStyle="1" w:styleId="Titre6Car">
    <w:name w:val="Titre 6 Car"/>
    <w:basedOn w:val="Policepardfaut"/>
    <w:link w:val="Titre6"/>
    <w:uiPriority w:val="9"/>
    <w:semiHidden/>
    <w:rsid w:val="00CC5837"/>
    <w:rPr>
      <w:rFonts w:eastAsiaTheme="majorEastAsia" w:cstheme="majorBidi"/>
      <w:i/>
      <w:iCs/>
      <w:color w:val="595959" w:themeColor="text1" w:themeTint="A6"/>
    </w:rPr>
  </w:style>
  <w:style w:type="character" w:customStyle="1" w:styleId="Titre7Car">
    <w:name w:val="Titre 7 Car"/>
    <w:basedOn w:val="Policepardfaut"/>
    <w:link w:val="Titre7"/>
    <w:uiPriority w:val="9"/>
    <w:semiHidden/>
    <w:rsid w:val="00CC5837"/>
    <w:rPr>
      <w:rFonts w:eastAsiaTheme="majorEastAsia" w:cstheme="majorBidi"/>
      <w:color w:val="595959" w:themeColor="text1" w:themeTint="A6"/>
    </w:rPr>
  </w:style>
  <w:style w:type="character" w:customStyle="1" w:styleId="Titre8Car">
    <w:name w:val="Titre 8 Car"/>
    <w:basedOn w:val="Policepardfaut"/>
    <w:link w:val="Titre8"/>
    <w:uiPriority w:val="9"/>
    <w:semiHidden/>
    <w:rsid w:val="00CC5837"/>
    <w:rPr>
      <w:rFonts w:eastAsiaTheme="majorEastAsia" w:cstheme="majorBidi"/>
      <w:i/>
      <w:iCs/>
      <w:color w:val="272727" w:themeColor="text1" w:themeTint="D8"/>
    </w:rPr>
  </w:style>
  <w:style w:type="character" w:customStyle="1" w:styleId="Titre9Car">
    <w:name w:val="Titre 9 Car"/>
    <w:basedOn w:val="Policepardfaut"/>
    <w:link w:val="Titre9"/>
    <w:uiPriority w:val="9"/>
    <w:semiHidden/>
    <w:rsid w:val="00CC5837"/>
    <w:rPr>
      <w:rFonts w:eastAsiaTheme="majorEastAsia" w:cstheme="majorBidi"/>
      <w:color w:val="272727" w:themeColor="text1" w:themeTint="D8"/>
    </w:rPr>
  </w:style>
  <w:style w:type="paragraph" w:styleId="Titre">
    <w:name w:val="Title"/>
    <w:basedOn w:val="Normal"/>
    <w:next w:val="Normal"/>
    <w:link w:val="TitreCar"/>
    <w:uiPriority w:val="10"/>
    <w:qFormat/>
    <w:rsid w:val="00CC5837"/>
    <w:pPr>
      <w:spacing w:after="80"/>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CC5837"/>
    <w:rPr>
      <w:rFonts w:asciiTheme="majorHAnsi" w:eastAsiaTheme="majorEastAsia" w:hAnsiTheme="majorHAnsi" w:cstheme="majorBidi"/>
      <w:spacing w:val="-10"/>
      <w:kern w:val="28"/>
      <w:sz w:val="56"/>
      <w:szCs w:val="56"/>
    </w:rPr>
  </w:style>
  <w:style w:type="paragraph" w:styleId="Sous-titre">
    <w:name w:val="Subtitle"/>
    <w:basedOn w:val="Normal"/>
    <w:next w:val="Normal"/>
    <w:link w:val="Sous-titreCar"/>
    <w:uiPriority w:val="11"/>
    <w:qFormat/>
    <w:rsid w:val="00CC5837"/>
    <w:pPr>
      <w:numPr>
        <w:ilvl w:val="1"/>
      </w:numPr>
      <w:spacing w:after="160"/>
    </w:pPr>
    <w:rPr>
      <w:rFonts w:eastAsiaTheme="majorEastAsia" w:cstheme="majorBidi"/>
      <w:color w:val="595959" w:themeColor="text1" w:themeTint="A6"/>
      <w:spacing w:val="15"/>
      <w:sz w:val="28"/>
      <w:szCs w:val="28"/>
    </w:rPr>
  </w:style>
  <w:style w:type="character" w:customStyle="1" w:styleId="Sous-titreCar">
    <w:name w:val="Sous-titre Car"/>
    <w:basedOn w:val="Policepardfaut"/>
    <w:link w:val="Sous-titre"/>
    <w:uiPriority w:val="11"/>
    <w:rsid w:val="00CC5837"/>
    <w:rPr>
      <w:rFonts w:eastAsiaTheme="majorEastAsia" w:cstheme="majorBidi"/>
      <w:color w:val="595959" w:themeColor="text1" w:themeTint="A6"/>
      <w:spacing w:val="15"/>
      <w:sz w:val="28"/>
      <w:szCs w:val="28"/>
    </w:rPr>
  </w:style>
  <w:style w:type="paragraph" w:styleId="Citation">
    <w:name w:val="Quote"/>
    <w:basedOn w:val="Normal"/>
    <w:next w:val="Normal"/>
    <w:link w:val="CitationCar"/>
    <w:uiPriority w:val="29"/>
    <w:qFormat/>
    <w:rsid w:val="00CC5837"/>
    <w:pPr>
      <w:spacing w:before="160" w:after="160"/>
      <w:jc w:val="center"/>
    </w:pPr>
    <w:rPr>
      <w:i/>
      <w:iCs/>
      <w:color w:val="404040" w:themeColor="text1" w:themeTint="BF"/>
    </w:rPr>
  </w:style>
  <w:style w:type="character" w:customStyle="1" w:styleId="CitationCar">
    <w:name w:val="Citation Car"/>
    <w:basedOn w:val="Policepardfaut"/>
    <w:link w:val="Citation"/>
    <w:uiPriority w:val="29"/>
    <w:rsid w:val="00CC5837"/>
    <w:rPr>
      <w:i/>
      <w:iCs/>
      <w:color w:val="404040" w:themeColor="text1" w:themeTint="BF"/>
    </w:rPr>
  </w:style>
  <w:style w:type="paragraph" w:styleId="Paragraphedeliste">
    <w:name w:val="List Paragraph"/>
    <w:basedOn w:val="Normal"/>
    <w:uiPriority w:val="34"/>
    <w:qFormat/>
    <w:rsid w:val="00CC5837"/>
    <w:pPr>
      <w:ind w:left="720"/>
      <w:contextualSpacing/>
    </w:pPr>
  </w:style>
  <w:style w:type="character" w:styleId="Accentuationintense">
    <w:name w:val="Intense Emphasis"/>
    <w:basedOn w:val="Policepardfaut"/>
    <w:uiPriority w:val="21"/>
    <w:qFormat/>
    <w:rsid w:val="00CC5837"/>
    <w:rPr>
      <w:i/>
      <w:iCs/>
      <w:color w:val="2F5496" w:themeColor="accent1" w:themeShade="BF"/>
    </w:rPr>
  </w:style>
  <w:style w:type="paragraph" w:styleId="Citationintense">
    <w:name w:val="Intense Quote"/>
    <w:basedOn w:val="Normal"/>
    <w:next w:val="Normal"/>
    <w:link w:val="CitationintenseCar"/>
    <w:uiPriority w:val="30"/>
    <w:qFormat/>
    <w:rsid w:val="00CC583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tionintenseCar">
    <w:name w:val="Citation intense Car"/>
    <w:basedOn w:val="Policepardfaut"/>
    <w:link w:val="Citationintense"/>
    <w:uiPriority w:val="30"/>
    <w:rsid w:val="00CC5837"/>
    <w:rPr>
      <w:i/>
      <w:iCs/>
      <w:color w:val="2F5496" w:themeColor="accent1" w:themeShade="BF"/>
    </w:rPr>
  </w:style>
  <w:style w:type="character" w:styleId="Rfrenceintense">
    <w:name w:val="Intense Reference"/>
    <w:basedOn w:val="Policepardfaut"/>
    <w:uiPriority w:val="32"/>
    <w:qFormat/>
    <w:rsid w:val="00CC5837"/>
    <w:rPr>
      <w:b/>
      <w:bCs/>
      <w:smallCaps/>
      <w:color w:val="2F5496" w:themeColor="accent1" w:themeShade="BF"/>
      <w:spacing w:val="5"/>
    </w:rPr>
  </w:style>
  <w:style w:type="paragraph" w:styleId="NormalWeb">
    <w:name w:val="Normal (Web)"/>
    <w:basedOn w:val="Normal"/>
    <w:uiPriority w:val="99"/>
    <w:semiHidden/>
    <w:unhideWhenUsed/>
    <w:rsid w:val="00CC5837"/>
    <w:pPr>
      <w:spacing w:before="100" w:beforeAutospacing="1" w:after="100" w:afterAutospacing="1"/>
    </w:pPr>
    <w:rPr>
      <w:rFonts w:ascii="Times New Roman" w:eastAsia="Times New Roman" w:hAnsi="Times New Roman" w:cs="Times New Roman"/>
      <w:kern w:val="0"/>
      <w:lang w:eastAsia="fr-FR"/>
      <w14:ligatures w14:val="none"/>
    </w:rPr>
  </w:style>
  <w:style w:type="character" w:styleId="lev">
    <w:name w:val="Strong"/>
    <w:basedOn w:val="Policepardfaut"/>
    <w:uiPriority w:val="22"/>
    <w:qFormat/>
    <w:rsid w:val="00CC5837"/>
    <w:rPr>
      <w:b/>
      <w:bCs/>
    </w:rPr>
  </w:style>
  <w:style w:type="paragraph" w:styleId="En-tte">
    <w:name w:val="header"/>
    <w:basedOn w:val="Normal"/>
    <w:link w:val="En-tteCar"/>
    <w:uiPriority w:val="99"/>
    <w:unhideWhenUsed/>
    <w:rsid w:val="004F1A30"/>
    <w:pPr>
      <w:tabs>
        <w:tab w:val="center" w:pos="4513"/>
        <w:tab w:val="right" w:pos="9026"/>
      </w:tabs>
    </w:pPr>
  </w:style>
  <w:style w:type="character" w:customStyle="1" w:styleId="En-tteCar">
    <w:name w:val="En-tête Car"/>
    <w:basedOn w:val="Policepardfaut"/>
    <w:link w:val="En-tte"/>
    <w:uiPriority w:val="99"/>
    <w:rsid w:val="004F1A30"/>
  </w:style>
  <w:style w:type="paragraph" w:styleId="Pieddepage">
    <w:name w:val="footer"/>
    <w:basedOn w:val="Normal"/>
    <w:link w:val="PieddepageCar"/>
    <w:uiPriority w:val="99"/>
    <w:unhideWhenUsed/>
    <w:rsid w:val="004F1A30"/>
    <w:pPr>
      <w:tabs>
        <w:tab w:val="center" w:pos="4513"/>
        <w:tab w:val="right" w:pos="9026"/>
      </w:tabs>
    </w:pPr>
  </w:style>
  <w:style w:type="character" w:customStyle="1" w:styleId="PieddepageCar">
    <w:name w:val="Pied de page Car"/>
    <w:basedOn w:val="Policepardfaut"/>
    <w:link w:val="Pieddepage"/>
    <w:uiPriority w:val="99"/>
    <w:rsid w:val="004F1A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jp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4227</Words>
  <Characters>23252</Characters>
  <Application>Microsoft Office Word</Application>
  <DocSecurity>0</DocSecurity>
  <Lines>193</Lines>
  <Paragraphs>54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27425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Landiarimanana Randriamanantsoa</dc:creator>
  <cp:keywords/>
  <dc:description/>
  <cp:lastModifiedBy>Landiarimanana Randriamanantsoa</cp:lastModifiedBy>
  <cp:revision>3</cp:revision>
  <dcterms:created xsi:type="dcterms:W3CDTF">2025-09-29T21:41:00Z</dcterms:created>
  <dcterms:modified xsi:type="dcterms:W3CDTF">2025-09-29T21:43:00Z</dcterms:modified>
</cp:coreProperties>
</file>