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C4F57" w14:textId="77777777" w:rsidR="007D55B3" w:rsidRPr="006F3E90" w:rsidRDefault="00000000">
      <w:pPr>
        <w:ind w:firstLine="720"/>
        <w:rPr>
          <w:rFonts w:ascii="Nunito" w:eastAsia="Nunito" w:hAnsi="Nunito" w:cs="Nunito"/>
          <w:b/>
          <w:sz w:val="27"/>
          <w:szCs w:val="27"/>
          <w:lang w:val="en-US"/>
        </w:rPr>
      </w:pPr>
      <w:r w:rsidRPr="006F3E90">
        <w:rPr>
          <w:rFonts w:ascii="Nunito" w:eastAsia="Nunito" w:hAnsi="Nunito" w:cs="Nunito"/>
          <w:b/>
          <w:sz w:val="27"/>
          <w:szCs w:val="27"/>
          <w:lang w:val="en-US"/>
        </w:rPr>
        <w:t xml:space="preserve">                              ALTERNATIVE REPORT</w:t>
      </w:r>
    </w:p>
    <w:p w14:paraId="6AEC7061" w14:textId="77777777" w:rsidR="007D55B3" w:rsidRPr="006F3E90" w:rsidRDefault="007D55B3">
      <w:pPr>
        <w:jc w:val="center"/>
        <w:rPr>
          <w:rFonts w:ascii="Nunito" w:eastAsia="Nunito" w:hAnsi="Nunito" w:cs="Nunito"/>
          <w:b/>
          <w:sz w:val="27"/>
          <w:szCs w:val="27"/>
          <w:lang w:val="en-US"/>
        </w:rPr>
      </w:pPr>
    </w:p>
    <w:p w14:paraId="0BA026C9" w14:textId="77777777" w:rsidR="007D55B3" w:rsidRPr="006F3E90" w:rsidRDefault="00000000">
      <w:pPr>
        <w:jc w:val="center"/>
        <w:rPr>
          <w:rFonts w:ascii="Nunito" w:eastAsia="Nunito" w:hAnsi="Nunito" w:cs="Nunito"/>
          <w:b/>
          <w:sz w:val="27"/>
          <w:szCs w:val="27"/>
          <w:lang w:val="en-US"/>
        </w:rPr>
      </w:pPr>
      <w:r w:rsidRPr="006F3E90">
        <w:rPr>
          <w:rFonts w:ascii="Nunito" w:eastAsia="Nunito" w:hAnsi="Nunito" w:cs="Nunito"/>
          <w:b/>
          <w:sz w:val="27"/>
          <w:szCs w:val="27"/>
          <w:lang w:val="en-US"/>
        </w:rPr>
        <w:t xml:space="preserve">Committee on the Elimination of Racial Discrimination </w:t>
      </w:r>
    </w:p>
    <w:p w14:paraId="19FCB614" w14:textId="77777777" w:rsidR="007D55B3" w:rsidRPr="006F3E90" w:rsidRDefault="007D55B3">
      <w:pPr>
        <w:jc w:val="center"/>
        <w:rPr>
          <w:rFonts w:ascii="Nunito" w:eastAsia="Nunito" w:hAnsi="Nunito" w:cs="Nunito"/>
          <w:b/>
          <w:sz w:val="27"/>
          <w:szCs w:val="27"/>
          <w:lang w:val="en-US"/>
        </w:rPr>
      </w:pPr>
    </w:p>
    <w:p w14:paraId="0EE1D491" w14:textId="77777777" w:rsidR="007D55B3" w:rsidRPr="006F3E90" w:rsidRDefault="00000000">
      <w:pPr>
        <w:jc w:val="center"/>
        <w:rPr>
          <w:rFonts w:ascii="Nunito" w:eastAsia="Nunito" w:hAnsi="Nunito" w:cs="Nunito"/>
          <w:sz w:val="27"/>
          <w:szCs w:val="27"/>
          <w:lang w:val="en-US"/>
        </w:rPr>
      </w:pPr>
      <w:r w:rsidRPr="006F3E90">
        <w:rPr>
          <w:rFonts w:ascii="Nunito" w:eastAsia="Nunito" w:hAnsi="Nunito" w:cs="Nunito"/>
          <w:sz w:val="27"/>
          <w:szCs w:val="27"/>
          <w:lang w:val="en-US"/>
        </w:rPr>
        <w:t>In the framework of the review of the Republic of Guatemala regarding its compliance with the International Convention on the Elimination of All Forms of Racial Discrimination.</w:t>
      </w:r>
    </w:p>
    <w:p w14:paraId="08A4741A" w14:textId="77777777" w:rsidR="007D55B3" w:rsidRPr="006F3E90" w:rsidRDefault="007D55B3">
      <w:pPr>
        <w:jc w:val="center"/>
        <w:rPr>
          <w:rFonts w:ascii="Nunito" w:eastAsia="Nunito" w:hAnsi="Nunito" w:cs="Nunito"/>
          <w:sz w:val="27"/>
          <w:szCs w:val="27"/>
          <w:lang w:val="en-US"/>
        </w:rPr>
      </w:pPr>
    </w:p>
    <w:p w14:paraId="2806D07B" w14:textId="77777777" w:rsidR="007D55B3" w:rsidRPr="006F3E90" w:rsidRDefault="00000000">
      <w:pPr>
        <w:jc w:val="center"/>
        <w:rPr>
          <w:rFonts w:ascii="Nunito" w:eastAsia="Nunito" w:hAnsi="Nunito" w:cs="Nunito"/>
          <w:b/>
          <w:sz w:val="27"/>
          <w:szCs w:val="27"/>
          <w:lang w:val="en-US"/>
        </w:rPr>
      </w:pPr>
      <w:r w:rsidRPr="006F3E90">
        <w:rPr>
          <w:rFonts w:ascii="Nunito" w:eastAsia="Nunito" w:hAnsi="Nunito" w:cs="Nunito"/>
          <w:b/>
          <w:sz w:val="27"/>
          <w:szCs w:val="27"/>
          <w:lang w:val="en-US"/>
        </w:rPr>
        <w:t>116th session</w:t>
      </w:r>
    </w:p>
    <w:p w14:paraId="2878B9A7" w14:textId="77777777" w:rsidR="007D55B3" w:rsidRPr="006F3E90" w:rsidRDefault="00000000">
      <w:pPr>
        <w:jc w:val="center"/>
        <w:rPr>
          <w:rFonts w:ascii="Nunito" w:eastAsia="Nunito" w:hAnsi="Nunito" w:cs="Nunito"/>
          <w:b/>
          <w:sz w:val="27"/>
          <w:szCs w:val="27"/>
          <w:lang w:val="en-US"/>
        </w:rPr>
      </w:pPr>
      <w:r>
        <w:rPr>
          <w:noProof/>
        </w:rPr>
        <w:drawing>
          <wp:anchor distT="114300" distB="114300" distL="114300" distR="114300" simplePos="0" relativeHeight="251658240" behindDoc="1" locked="0" layoutInCell="1" hidden="0" allowOverlap="1" wp14:anchorId="04A9E319" wp14:editId="0479FB05">
            <wp:simplePos x="0" y="0"/>
            <wp:positionH relativeFrom="column">
              <wp:posOffset>1162050</wp:posOffset>
            </wp:positionH>
            <wp:positionV relativeFrom="paragraph">
              <wp:posOffset>335611</wp:posOffset>
            </wp:positionV>
            <wp:extent cx="1644650" cy="1535733"/>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644650" cy="1535733"/>
                    </a:xfrm>
                    <a:prstGeom prst="rect">
                      <a:avLst/>
                    </a:prstGeom>
                    <a:ln/>
                  </pic:spPr>
                </pic:pic>
              </a:graphicData>
            </a:graphic>
          </wp:anchor>
        </w:drawing>
      </w:r>
    </w:p>
    <w:p w14:paraId="3A7713A2" w14:textId="77777777" w:rsidR="007D55B3" w:rsidRPr="006F3E90" w:rsidRDefault="00000000">
      <w:pPr>
        <w:jc w:val="center"/>
        <w:rPr>
          <w:rFonts w:ascii="Nunito" w:eastAsia="Nunito" w:hAnsi="Nunito" w:cs="Nunito"/>
          <w:b/>
          <w:sz w:val="27"/>
          <w:szCs w:val="27"/>
          <w:lang w:val="en-US"/>
        </w:rPr>
      </w:pPr>
      <w:r>
        <w:rPr>
          <w:noProof/>
        </w:rPr>
        <w:drawing>
          <wp:anchor distT="114300" distB="114300" distL="114300" distR="114300" simplePos="0" relativeHeight="251659264" behindDoc="1" locked="0" layoutInCell="1" hidden="0" allowOverlap="1" wp14:anchorId="569FA67D" wp14:editId="45C2E1AD">
            <wp:simplePos x="0" y="0"/>
            <wp:positionH relativeFrom="column">
              <wp:posOffset>3028950</wp:posOffset>
            </wp:positionH>
            <wp:positionV relativeFrom="paragraph">
              <wp:posOffset>293039</wp:posOffset>
            </wp:positionV>
            <wp:extent cx="1619250" cy="107688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619250" cy="1076880"/>
                    </a:xfrm>
                    <a:prstGeom prst="rect">
                      <a:avLst/>
                    </a:prstGeom>
                    <a:ln/>
                  </pic:spPr>
                </pic:pic>
              </a:graphicData>
            </a:graphic>
          </wp:anchor>
        </w:drawing>
      </w:r>
    </w:p>
    <w:p w14:paraId="05391123" w14:textId="77777777" w:rsidR="007D55B3" w:rsidRPr="006F3E90" w:rsidRDefault="007D55B3">
      <w:pPr>
        <w:jc w:val="center"/>
        <w:rPr>
          <w:rFonts w:ascii="Nunito" w:eastAsia="Nunito" w:hAnsi="Nunito" w:cs="Nunito"/>
          <w:b/>
          <w:sz w:val="27"/>
          <w:szCs w:val="27"/>
          <w:lang w:val="en-US"/>
        </w:rPr>
      </w:pPr>
    </w:p>
    <w:p w14:paraId="795312AD" w14:textId="77777777" w:rsidR="007D55B3" w:rsidRPr="006F3E90" w:rsidRDefault="007D55B3">
      <w:pPr>
        <w:jc w:val="center"/>
        <w:rPr>
          <w:rFonts w:ascii="Nunito" w:eastAsia="Nunito" w:hAnsi="Nunito" w:cs="Nunito"/>
          <w:b/>
          <w:sz w:val="27"/>
          <w:szCs w:val="27"/>
          <w:lang w:val="en-US"/>
        </w:rPr>
      </w:pPr>
    </w:p>
    <w:p w14:paraId="03006213" w14:textId="77777777" w:rsidR="007D55B3" w:rsidRPr="006F3E90" w:rsidRDefault="007D55B3">
      <w:pPr>
        <w:jc w:val="center"/>
        <w:rPr>
          <w:rFonts w:ascii="Nunito" w:eastAsia="Nunito" w:hAnsi="Nunito" w:cs="Nunito"/>
          <w:b/>
          <w:sz w:val="27"/>
          <w:szCs w:val="27"/>
          <w:lang w:val="en-US"/>
        </w:rPr>
      </w:pPr>
    </w:p>
    <w:p w14:paraId="40BF23AE" w14:textId="77777777" w:rsidR="007D55B3" w:rsidRPr="006F3E90" w:rsidRDefault="007D55B3">
      <w:pPr>
        <w:jc w:val="center"/>
        <w:rPr>
          <w:rFonts w:ascii="Nunito" w:eastAsia="Nunito" w:hAnsi="Nunito" w:cs="Nunito"/>
          <w:b/>
          <w:sz w:val="27"/>
          <w:szCs w:val="27"/>
          <w:lang w:val="en-US"/>
        </w:rPr>
      </w:pPr>
    </w:p>
    <w:p w14:paraId="7FC8AD91" w14:textId="77777777" w:rsidR="007D55B3" w:rsidRPr="006F3E90" w:rsidRDefault="007D55B3">
      <w:pPr>
        <w:jc w:val="center"/>
        <w:rPr>
          <w:rFonts w:ascii="Nunito" w:eastAsia="Nunito" w:hAnsi="Nunito" w:cs="Nunito"/>
          <w:b/>
          <w:sz w:val="27"/>
          <w:szCs w:val="27"/>
          <w:lang w:val="en-US"/>
        </w:rPr>
      </w:pPr>
    </w:p>
    <w:p w14:paraId="50B77EF9" w14:textId="77777777" w:rsidR="007D55B3" w:rsidRPr="006F3E90" w:rsidRDefault="007D55B3">
      <w:pPr>
        <w:jc w:val="center"/>
        <w:rPr>
          <w:rFonts w:ascii="Nunito" w:eastAsia="Nunito" w:hAnsi="Nunito" w:cs="Nunito"/>
          <w:b/>
          <w:sz w:val="27"/>
          <w:szCs w:val="27"/>
          <w:lang w:val="en-US"/>
        </w:rPr>
      </w:pPr>
    </w:p>
    <w:p w14:paraId="2A8EF47E" w14:textId="77777777" w:rsidR="007D55B3" w:rsidRPr="006F3E90" w:rsidRDefault="007D55B3">
      <w:pPr>
        <w:rPr>
          <w:rFonts w:ascii="Nunito" w:eastAsia="Nunito" w:hAnsi="Nunito" w:cs="Nunito"/>
          <w:b/>
          <w:sz w:val="27"/>
          <w:szCs w:val="27"/>
          <w:lang w:val="en-US"/>
        </w:rPr>
      </w:pPr>
    </w:p>
    <w:p w14:paraId="49465E0A" w14:textId="77777777" w:rsidR="007D55B3" w:rsidRPr="006F3E90" w:rsidRDefault="007D55B3">
      <w:pPr>
        <w:rPr>
          <w:rFonts w:ascii="Nunito" w:eastAsia="Nunito" w:hAnsi="Nunito" w:cs="Nunito"/>
          <w:b/>
          <w:sz w:val="27"/>
          <w:szCs w:val="27"/>
          <w:lang w:val="en-US"/>
        </w:rPr>
      </w:pPr>
    </w:p>
    <w:p w14:paraId="2B927E6D" w14:textId="77777777" w:rsidR="007D55B3" w:rsidRPr="006F3E90" w:rsidRDefault="00000000">
      <w:pPr>
        <w:jc w:val="center"/>
        <w:rPr>
          <w:rFonts w:ascii="Nunito" w:eastAsia="Nunito" w:hAnsi="Nunito" w:cs="Nunito"/>
          <w:b/>
          <w:sz w:val="27"/>
          <w:szCs w:val="27"/>
          <w:lang w:val="en-US"/>
        </w:rPr>
      </w:pPr>
      <w:r w:rsidRPr="006F3E90">
        <w:rPr>
          <w:rFonts w:ascii="Nunito" w:eastAsia="Nunito" w:hAnsi="Nunito" w:cs="Nunito"/>
          <w:b/>
          <w:sz w:val="27"/>
          <w:szCs w:val="27"/>
          <w:lang w:val="en-US"/>
        </w:rPr>
        <w:t xml:space="preserve">November 17 - December 05 </w:t>
      </w:r>
    </w:p>
    <w:p w14:paraId="2E08D871" w14:textId="77777777" w:rsidR="007D55B3" w:rsidRPr="006F3E90" w:rsidRDefault="00000000">
      <w:pPr>
        <w:jc w:val="center"/>
        <w:rPr>
          <w:rFonts w:ascii="Nunito" w:eastAsia="Nunito" w:hAnsi="Nunito" w:cs="Nunito"/>
          <w:b/>
          <w:sz w:val="27"/>
          <w:szCs w:val="27"/>
          <w:lang w:val="en-US"/>
        </w:rPr>
      </w:pPr>
      <w:r w:rsidRPr="006F3E90">
        <w:rPr>
          <w:rFonts w:ascii="Nunito" w:eastAsia="Nunito" w:hAnsi="Nunito" w:cs="Nunito"/>
          <w:b/>
          <w:sz w:val="27"/>
          <w:szCs w:val="27"/>
          <w:lang w:val="en-US"/>
        </w:rPr>
        <w:t>2025</w:t>
      </w:r>
    </w:p>
    <w:p w14:paraId="24642D69" w14:textId="77777777" w:rsidR="007D55B3" w:rsidRPr="006F3E90" w:rsidRDefault="007D55B3">
      <w:pPr>
        <w:jc w:val="center"/>
        <w:rPr>
          <w:rFonts w:ascii="Nunito" w:eastAsia="Nunito" w:hAnsi="Nunito" w:cs="Nunito"/>
          <w:b/>
          <w:sz w:val="27"/>
          <w:szCs w:val="27"/>
          <w:lang w:val="en-US"/>
        </w:rPr>
      </w:pPr>
    </w:p>
    <w:p w14:paraId="322EDE20" w14:textId="77777777" w:rsidR="007D55B3" w:rsidRPr="006F3E90" w:rsidRDefault="007D55B3">
      <w:pPr>
        <w:jc w:val="both"/>
        <w:rPr>
          <w:rFonts w:ascii="Nunito" w:eastAsia="Nunito" w:hAnsi="Nunito" w:cs="Nunito"/>
          <w:b/>
          <w:sz w:val="25"/>
          <w:szCs w:val="25"/>
          <w:lang w:val="en-US"/>
        </w:rPr>
      </w:pPr>
    </w:p>
    <w:p w14:paraId="4B0C4851" w14:textId="77777777" w:rsidR="007D55B3" w:rsidRPr="006F3E90" w:rsidRDefault="007D55B3">
      <w:pPr>
        <w:jc w:val="both"/>
        <w:rPr>
          <w:rFonts w:ascii="Nunito" w:eastAsia="Nunito" w:hAnsi="Nunito" w:cs="Nunito"/>
          <w:sz w:val="21"/>
          <w:szCs w:val="21"/>
          <w:lang w:val="en-US"/>
        </w:rPr>
      </w:pPr>
    </w:p>
    <w:p w14:paraId="313F2B56" w14:textId="77777777" w:rsidR="007D55B3" w:rsidRPr="006F3E90" w:rsidRDefault="00000000">
      <w:pPr>
        <w:spacing w:line="259" w:lineRule="auto"/>
        <w:jc w:val="both"/>
        <w:rPr>
          <w:rFonts w:ascii="Nunito" w:eastAsia="Nunito" w:hAnsi="Nunito" w:cs="Nunito"/>
          <w:b/>
          <w:sz w:val="18"/>
          <w:szCs w:val="18"/>
          <w:lang w:val="en-US"/>
        </w:rPr>
      </w:pPr>
      <w:r w:rsidRPr="006F3E90">
        <w:rPr>
          <w:rFonts w:ascii="Nunito" w:eastAsia="Nunito" w:hAnsi="Nunito" w:cs="Nunito"/>
          <w:b/>
          <w:sz w:val="18"/>
          <w:szCs w:val="18"/>
          <w:lang w:val="en-US"/>
        </w:rPr>
        <w:t xml:space="preserve">ASOCIACIÓN LAMBDA </w:t>
      </w:r>
    </w:p>
    <w:p w14:paraId="5F6E48E6" w14:textId="77777777" w:rsidR="007D55B3" w:rsidRPr="006F3E90" w:rsidRDefault="00000000">
      <w:pPr>
        <w:spacing w:line="259" w:lineRule="auto"/>
        <w:jc w:val="both"/>
        <w:rPr>
          <w:rFonts w:ascii="Nunito" w:eastAsia="Nunito" w:hAnsi="Nunito" w:cs="Nunito"/>
          <w:color w:val="4A86E8"/>
          <w:sz w:val="18"/>
          <w:szCs w:val="18"/>
          <w:u w:val="single"/>
          <w:lang w:val="en-US"/>
        </w:rPr>
      </w:pPr>
      <w:r w:rsidRPr="006F3E90">
        <w:rPr>
          <w:rFonts w:ascii="Nunito" w:eastAsia="Nunito" w:hAnsi="Nunito" w:cs="Nunito"/>
          <w:sz w:val="18"/>
          <w:szCs w:val="18"/>
          <w:lang w:val="en-US"/>
        </w:rPr>
        <w:t xml:space="preserve">Website:  </w:t>
      </w:r>
      <w:hyperlink r:id="rId9">
        <w:r w:rsidRPr="006F3E90">
          <w:rPr>
            <w:rFonts w:ascii="Nunito" w:eastAsia="Nunito" w:hAnsi="Nunito" w:cs="Nunito"/>
            <w:color w:val="1155CC"/>
            <w:sz w:val="18"/>
            <w:szCs w:val="18"/>
            <w:u w:val="single"/>
            <w:lang w:val="en-US"/>
          </w:rPr>
          <w:t>https://www.asociacion-lambda.org</w:t>
        </w:r>
      </w:hyperlink>
      <w:r w:rsidRPr="006F3E90">
        <w:rPr>
          <w:rFonts w:ascii="Nunito" w:eastAsia="Nunito" w:hAnsi="Nunito" w:cs="Nunito"/>
          <w:sz w:val="18"/>
          <w:szCs w:val="18"/>
          <w:lang w:val="en-US"/>
        </w:rPr>
        <w:br/>
        <w:t xml:space="preserve">Email: </w:t>
      </w:r>
      <w:hyperlink r:id="rId10">
        <w:r w:rsidRPr="006F3E90">
          <w:rPr>
            <w:rFonts w:ascii="Nunito" w:eastAsia="Nunito" w:hAnsi="Nunito" w:cs="Nunito"/>
            <w:color w:val="1155CC"/>
            <w:sz w:val="18"/>
            <w:szCs w:val="18"/>
            <w:highlight w:val="white"/>
            <w:u w:val="single"/>
            <w:lang w:val="en-US"/>
          </w:rPr>
          <w:t>direccion1.lambda@gmail.com</w:t>
        </w:r>
      </w:hyperlink>
    </w:p>
    <w:p w14:paraId="24EF8469" w14:textId="77777777" w:rsidR="007D55B3" w:rsidRPr="006F3E90" w:rsidRDefault="007D55B3">
      <w:pPr>
        <w:spacing w:line="259" w:lineRule="auto"/>
        <w:jc w:val="both"/>
        <w:rPr>
          <w:rFonts w:ascii="Nunito" w:eastAsia="Nunito" w:hAnsi="Nunito" w:cs="Nunito"/>
          <w:sz w:val="18"/>
          <w:szCs w:val="18"/>
          <w:lang w:val="en-US"/>
        </w:rPr>
      </w:pPr>
    </w:p>
    <w:p w14:paraId="13B7765B" w14:textId="77777777" w:rsidR="007D55B3" w:rsidRDefault="00000000">
      <w:pPr>
        <w:spacing w:line="259" w:lineRule="auto"/>
        <w:jc w:val="both"/>
        <w:rPr>
          <w:rFonts w:ascii="Nunito" w:eastAsia="Nunito" w:hAnsi="Nunito" w:cs="Nunito"/>
          <w:sz w:val="18"/>
          <w:szCs w:val="18"/>
        </w:rPr>
      </w:pPr>
      <w:r>
        <w:rPr>
          <w:rFonts w:ascii="Nunito" w:eastAsia="Nunito" w:hAnsi="Nunito" w:cs="Nunito"/>
          <w:b/>
          <w:sz w:val="18"/>
          <w:szCs w:val="18"/>
        </w:rPr>
        <w:t xml:space="preserve">RED DE LITIGANTES LGBTI+ DE LAS AMÉRICAS </w:t>
      </w:r>
    </w:p>
    <w:p w14:paraId="00443C1B" w14:textId="77777777" w:rsidR="007D55B3" w:rsidRPr="006F3E90" w:rsidRDefault="00000000">
      <w:pPr>
        <w:spacing w:line="259" w:lineRule="auto"/>
        <w:jc w:val="both"/>
        <w:rPr>
          <w:rFonts w:ascii="Nunito" w:eastAsia="Nunito" w:hAnsi="Nunito" w:cs="Nunito"/>
          <w:color w:val="4A86E8"/>
          <w:sz w:val="18"/>
          <w:szCs w:val="18"/>
          <w:u w:val="single"/>
          <w:lang w:val="en-US"/>
        </w:rPr>
      </w:pPr>
      <w:r w:rsidRPr="006F3E90">
        <w:rPr>
          <w:rFonts w:ascii="Nunito" w:eastAsia="Nunito" w:hAnsi="Nunito" w:cs="Nunito"/>
          <w:sz w:val="18"/>
          <w:szCs w:val="18"/>
          <w:lang w:val="en-US"/>
        </w:rPr>
        <w:t xml:space="preserve">Website: </w:t>
      </w:r>
      <w:hyperlink r:id="rId11">
        <w:r w:rsidRPr="006F3E90">
          <w:rPr>
            <w:rFonts w:ascii="Nunito" w:eastAsia="Nunito" w:hAnsi="Nunito" w:cs="Nunito"/>
            <w:color w:val="1155CC"/>
            <w:sz w:val="18"/>
            <w:szCs w:val="18"/>
            <w:u w:val="single"/>
            <w:lang w:val="en-US"/>
          </w:rPr>
          <w:t xml:space="preserve"> https://litiganteslgbt.org</w:t>
        </w:r>
        <w:r w:rsidRPr="006F3E90">
          <w:rPr>
            <w:rFonts w:ascii="Nunito" w:eastAsia="Nunito" w:hAnsi="Nunito" w:cs="Nunito"/>
            <w:color w:val="1155CC"/>
            <w:sz w:val="18"/>
            <w:szCs w:val="18"/>
            <w:u w:val="single"/>
            <w:lang w:val="en-US"/>
          </w:rPr>
          <w:br/>
        </w:r>
      </w:hyperlink>
      <w:r w:rsidRPr="006F3E90">
        <w:rPr>
          <w:rFonts w:ascii="Nunito" w:eastAsia="Nunito" w:hAnsi="Nunito" w:cs="Nunito"/>
          <w:sz w:val="18"/>
          <w:szCs w:val="18"/>
          <w:lang w:val="en-US"/>
        </w:rPr>
        <w:t>Email:</w:t>
      </w:r>
      <w:hyperlink r:id="rId12">
        <w:r w:rsidRPr="006F3E90">
          <w:rPr>
            <w:rFonts w:ascii="Nunito" w:eastAsia="Nunito" w:hAnsi="Nunito" w:cs="Nunito"/>
            <w:color w:val="1155CC"/>
            <w:sz w:val="18"/>
            <w:szCs w:val="18"/>
            <w:u w:val="single"/>
            <w:lang w:val="en-US"/>
          </w:rPr>
          <w:t xml:space="preserve"> litiganteslgbtamericas@gmail.com</w:t>
        </w:r>
      </w:hyperlink>
    </w:p>
    <w:p w14:paraId="54C29061" w14:textId="77777777" w:rsidR="007D55B3" w:rsidRPr="006F3E90" w:rsidRDefault="00000000">
      <w:pPr>
        <w:spacing w:line="259" w:lineRule="auto"/>
        <w:jc w:val="both"/>
        <w:rPr>
          <w:rFonts w:ascii="Nunito" w:eastAsia="Nunito" w:hAnsi="Nunito" w:cs="Nunito"/>
          <w:sz w:val="18"/>
          <w:szCs w:val="18"/>
          <w:lang w:val="en-US"/>
        </w:rPr>
      </w:pPr>
      <w:r w:rsidRPr="006F3E90">
        <w:rPr>
          <w:rFonts w:ascii="Nunito" w:eastAsia="Nunito" w:hAnsi="Nunito" w:cs="Nunito"/>
          <w:sz w:val="18"/>
          <w:szCs w:val="18"/>
          <w:lang w:val="en-US"/>
        </w:rPr>
        <w:t xml:space="preserve"> </w:t>
      </w:r>
    </w:p>
    <w:p w14:paraId="4729B866" w14:textId="77777777" w:rsidR="007D55B3" w:rsidRPr="006F3E90" w:rsidRDefault="00000000">
      <w:pPr>
        <w:spacing w:line="259" w:lineRule="auto"/>
        <w:jc w:val="both"/>
        <w:rPr>
          <w:rFonts w:ascii="Nunito" w:eastAsia="Nunito" w:hAnsi="Nunito" w:cs="Nunito"/>
          <w:sz w:val="18"/>
          <w:szCs w:val="18"/>
          <w:lang w:val="en-US"/>
        </w:rPr>
      </w:pPr>
      <w:r w:rsidRPr="006F3E90">
        <w:rPr>
          <w:rFonts w:ascii="Nunito" w:eastAsia="Nunito" w:hAnsi="Nunito" w:cs="Nunito"/>
          <w:sz w:val="18"/>
          <w:szCs w:val="18"/>
          <w:lang w:val="en-US"/>
        </w:rPr>
        <w:t xml:space="preserve">This report was prepared with the technical collaboration of </w:t>
      </w:r>
      <w:proofErr w:type="spellStart"/>
      <w:r w:rsidRPr="006F3E90">
        <w:rPr>
          <w:rFonts w:ascii="Nunito" w:eastAsia="Nunito" w:hAnsi="Nunito" w:cs="Nunito"/>
          <w:sz w:val="18"/>
          <w:szCs w:val="18"/>
          <w:lang w:val="en-US"/>
        </w:rPr>
        <w:t>Akãhatã</w:t>
      </w:r>
      <w:proofErr w:type="spellEnd"/>
      <w:r w:rsidRPr="006F3E90">
        <w:rPr>
          <w:rFonts w:ascii="Nunito" w:eastAsia="Nunito" w:hAnsi="Nunito" w:cs="Nunito"/>
          <w:sz w:val="18"/>
          <w:szCs w:val="18"/>
          <w:lang w:val="en-US"/>
        </w:rPr>
        <w:t xml:space="preserve"> – Working Team on Sexualities and Genders.</w:t>
      </w:r>
    </w:p>
    <w:p w14:paraId="2693FD25" w14:textId="77777777" w:rsidR="007D55B3" w:rsidRPr="006F3E90" w:rsidRDefault="00000000">
      <w:pPr>
        <w:spacing w:line="259" w:lineRule="auto"/>
        <w:jc w:val="both"/>
        <w:rPr>
          <w:rFonts w:ascii="Nunito" w:eastAsia="Nunito" w:hAnsi="Nunito" w:cs="Nunito"/>
          <w:sz w:val="18"/>
          <w:szCs w:val="18"/>
          <w:lang w:val="en-US"/>
        </w:rPr>
      </w:pPr>
      <w:r w:rsidRPr="006F3E90">
        <w:rPr>
          <w:rFonts w:ascii="Nunito" w:eastAsia="Nunito" w:hAnsi="Nunito" w:cs="Nunito"/>
          <w:sz w:val="18"/>
          <w:szCs w:val="18"/>
          <w:lang w:val="en-US"/>
        </w:rPr>
        <w:t>Website:</w:t>
      </w:r>
      <w:hyperlink r:id="rId13">
        <w:r w:rsidRPr="006F3E90">
          <w:rPr>
            <w:rFonts w:ascii="Nunito" w:eastAsia="Nunito" w:hAnsi="Nunito" w:cs="Nunito"/>
            <w:sz w:val="18"/>
            <w:szCs w:val="18"/>
            <w:lang w:val="en-US"/>
          </w:rPr>
          <w:t xml:space="preserve"> </w:t>
        </w:r>
      </w:hyperlink>
      <w:hyperlink r:id="rId14">
        <w:r w:rsidRPr="006F3E90">
          <w:rPr>
            <w:rFonts w:ascii="Nunito" w:eastAsia="Nunito" w:hAnsi="Nunito" w:cs="Nunito"/>
            <w:color w:val="1155CC"/>
            <w:sz w:val="18"/>
            <w:szCs w:val="18"/>
            <w:u w:val="single"/>
            <w:lang w:val="en-US"/>
          </w:rPr>
          <w:t>https://akahataorg.org/</w:t>
        </w:r>
      </w:hyperlink>
    </w:p>
    <w:p w14:paraId="166330FD" w14:textId="77777777" w:rsidR="007D55B3" w:rsidRPr="006F3E90" w:rsidRDefault="007D55B3">
      <w:pPr>
        <w:spacing w:line="259" w:lineRule="auto"/>
        <w:jc w:val="both"/>
        <w:rPr>
          <w:rFonts w:ascii="Nunito" w:eastAsia="Nunito" w:hAnsi="Nunito" w:cs="Nunito"/>
          <w:sz w:val="18"/>
          <w:szCs w:val="18"/>
          <w:lang w:val="en-US"/>
        </w:rPr>
      </w:pPr>
    </w:p>
    <w:p w14:paraId="765B0464" w14:textId="77777777" w:rsidR="007D55B3" w:rsidRPr="006F3E90" w:rsidRDefault="007D55B3">
      <w:pPr>
        <w:spacing w:line="259" w:lineRule="auto"/>
        <w:jc w:val="both"/>
        <w:rPr>
          <w:rFonts w:ascii="Nunito" w:eastAsia="Nunito" w:hAnsi="Nunito" w:cs="Nunito"/>
          <w:sz w:val="18"/>
          <w:szCs w:val="18"/>
          <w:lang w:val="en-US"/>
        </w:rPr>
      </w:pPr>
    </w:p>
    <w:p w14:paraId="1CC47029" w14:textId="77777777" w:rsidR="007D55B3" w:rsidRPr="006F3E90" w:rsidRDefault="007D55B3">
      <w:pPr>
        <w:spacing w:line="259" w:lineRule="auto"/>
        <w:jc w:val="both"/>
        <w:rPr>
          <w:rFonts w:ascii="Nunito" w:eastAsia="Nunito" w:hAnsi="Nunito" w:cs="Nunito"/>
          <w:sz w:val="18"/>
          <w:szCs w:val="18"/>
          <w:lang w:val="en-US"/>
        </w:rPr>
      </w:pPr>
    </w:p>
    <w:p w14:paraId="370F83E0" w14:textId="77777777" w:rsidR="007D55B3" w:rsidRPr="006F3E90" w:rsidRDefault="00000000">
      <w:pPr>
        <w:spacing w:before="220" w:after="220"/>
        <w:jc w:val="both"/>
        <w:rPr>
          <w:rFonts w:ascii="Nunito" w:eastAsia="Nunito" w:hAnsi="Nunito" w:cs="Nunito"/>
          <w:b/>
          <w:sz w:val="24"/>
          <w:szCs w:val="24"/>
          <w:lang w:val="en-US"/>
        </w:rPr>
      </w:pPr>
      <w:r w:rsidRPr="006F3E90">
        <w:rPr>
          <w:rFonts w:ascii="Nunito" w:eastAsia="Nunito" w:hAnsi="Nunito" w:cs="Nunito"/>
          <w:b/>
          <w:sz w:val="24"/>
          <w:szCs w:val="24"/>
          <w:lang w:val="en-US"/>
        </w:rPr>
        <w:lastRenderedPageBreak/>
        <w:t>1. Introduction</w:t>
      </w:r>
    </w:p>
    <w:p w14:paraId="6942FDF1" w14:textId="77777777" w:rsidR="007D55B3" w:rsidRPr="006F3E90" w:rsidRDefault="00000000">
      <w:pPr>
        <w:spacing w:before="220" w:after="220"/>
        <w:jc w:val="both"/>
        <w:rPr>
          <w:rFonts w:ascii="Nunito" w:eastAsia="Nunito" w:hAnsi="Nunito" w:cs="Nunito"/>
          <w:sz w:val="24"/>
          <w:szCs w:val="24"/>
          <w:lang w:val="en-US"/>
        </w:rPr>
      </w:pPr>
      <w:proofErr w:type="spellStart"/>
      <w:r w:rsidRPr="006F3E90">
        <w:rPr>
          <w:rFonts w:ascii="Nunito" w:eastAsia="Nunito" w:hAnsi="Nunito" w:cs="Nunito"/>
          <w:b/>
          <w:sz w:val="24"/>
          <w:szCs w:val="24"/>
          <w:lang w:val="en-US"/>
        </w:rPr>
        <w:t>Asociación</w:t>
      </w:r>
      <w:proofErr w:type="spellEnd"/>
      <w:r w:rsidRPr="006F3E90">
        <w:rPr>
          <w:rFonts w:ascii="Nunito" w:eastAsia="Nunito" w:hAnsi="Nunito" w:cs="Nunito"/>
          <w:b/>
          <w:sz w:val="24"/>
          <w:szCs w:val="24"/>
          <w:lang w:val="en-US"/>
        </w:rPr>
        <w:t xml:space="preserve"> Lambda</w:t>
      </w:r>
      <w:r w:rsidRPr="006F3E90">
        <w:rPr>
          <w:rFonts w:ascii="Nunito" w:eastAsia="Nunito" w:hAnsi="Nunito" w:cs="Nunito"/>
          <w:sz w:val="24"/>
          <w:szCs w:val="24"/>
          <w:lang w:val="en-US"/>
        </w:rPr>
        <w:t xml:space="preserve"> is a Guatemalan non-governmental and nonprofit civil society organization, legally established in 2010. Its mission is to promote the inclusion and civic participation of LGBTIQ+ individuals in Guatemalan society, grounded in the exercise of human rights. The organization is a leading reference in the defense, guidance, promotion, training, capacity building, and inclusion of this population.</w:t>
      </w:r>
    </w:p>
    <w:p w14:paraId="4A14F106" w14:textId="77777777" w:rsidR="007D55B3" w:rsidRPr="006F3E90" w:rsidRDefault="00000000">
      <w:pPr>
        <w:spacing w:before="220" w:after="220"/>
        <w:jc w:val="both"/>
        <w:rPr>
          <w:rFonts w:ascii="Nunito" w:eastAsia="Nunito" w:hAnsi="Nunito" w:cs="Nunito"/>
          <w:sz w:val="24"/>
          <w:szCs w:val="24"/>
          <w:lang w:val="en-US"/>
        </w:rPr>
      </w:pPr>
      <w:r w:rsidRPr="006F3E90">
        <w:rPr>
          <w:rFonts w:ascii="Nunito" w:eastAsia="Nunito" w:hAnsi="Nunito" w:cs="Nunito"/>
          <w:sz w:val="24"/>
          <w:szCs w:val="24"/>
          <w:lang w:val="en-US"/>
        </w:rPr>
        <w:t xml:space="preserve">The </w:t>
      </w:r>
      <w:r w:rsidRPr="006F3E90">
        <w:rPr>
          <w:rFonts w:ascii="Nunito" w:eastAsia="Nunito" w:hAnsi="Nunito" w:cs="Nunito"/>
          <w:b/>
          <w:sz w:val="24"/>
          <w:szCs w:val="24"/>
          <w:lang w:val="en-US"/>
        </w:rPr>
        <w:t>LGBTI+ Litigators Network of the Americas</w:t>
      </w:r>
      <w:r w:rsidRPr="006F3E90">
        <w:rPr>
          <w:rFonts w:ascii="Nunito" w:eastAsia="Nunito" w:hAnsi="Nunito" w:cs="Nunito"/>
          <w:sz w:val="24"/>
          <w:szCs w:val="24"/>
          <w:lang w:val="en-US"/>
        </w:rPr>
        <w:t xml:space="preserve"> is an independent, international network composed of individuals and social organizations working towards the recognition, protection, and guarantee of the rights of LGBTI+ persons across the Americas through strategic litigation and advocacy. Established in 2019, the network serves as a platform for dialogue, cooperation, and exchange of experiences among its members, who represent 17 countries in Latin America and the Caribbean.</w:t>
      </w:r>
    </w:p>
    <w:p w14:paraId="206F514B" w14:textId="77777777" w:rsidR="007D55B3" w:rsidRPr="006F3E90" w:rsidRDefault="00000000">
      <w:pPr>
        <w:spacing w:before="220" w:after="220"/>
        <w:jc w:val="both"/>
        <w:rPr>
          <w:rFonts w:ascii="Nunito" w:eastAsia="Nunito" w:hAnsi="Nunito" w:cs="Nunito"/>
          <w:sz w:val="24"/>
          <w:szCs w:val="24"/>
          <w:lang w:val="en-US"/>
        </w:rPr>
      </w:pPr>
      <w:r w:rsidRPr="006F3E90">
        <w:rPr>
          <w:rFonts w:ascii="Nunito" w:eastAsia="Nunito" w:hAnsi="Nunito" w:cs="Nunito"/>
          <w:sz w:val="24"/>
          <w:szCs w:val="24"/>
          <w:lang w:val="en-US"/>
        </w:rPr>
        <w:t xml:space="preserve">Both organizations have formed a coalition for the preparation and submission of this alternative report to the Committee on the Elimination of Racial Discrimination (hereinafter “the Committee”) regarding Guatemala’s compliance of the </w:t>
      </w:r>
      <w:r w:rsidRPr="006F3E90">
        <w:rPr>
          <w:rFonts w:ascii="Nunito" w:eastAsia="Nunito" w:hAnsi="Nunito" w:cs="Nunito"/>
          <w:i/>
          <w:sz w:val="24"/>
          <w:szCs w:val="24"/>
          <w:lang w:val="en-US"/>
        </w:rPr>
        <w:t>International Convention on the Elimination of All Forms of Racial Discrimination</w:t>
      </w:r>
      <w:r w:rsidRPr="006F3E90">
        <w:rPr>
          <w:rFonts w:ascii="Nunito" w:eastAsia="Nunito" w:hAnsi="Nunito" w:cs="Nunito"/>
          <w:sz w:val="24"/>
          <w:szCs w:val="24"/>
          <w:lang w:val="en-US"/>
        </w:rPr>
        <w:t xml:space="preserve"> (hereinafter “the Convention”), as well as the implementation of some of the recommendations issued by the Committee to the Guatemalan State following the combined review of its 16th and 17th periodic reports (CERD/C/GTM/CO/16-17). This evaluation focuses on Indigenous LGBTIQ+ persons in Guatemala and the extent to which their rights are respected and guaranteed.</w:t>
      </w:r>
    </w:p>
    <w:p w14:paraId="698E631D" w14:textId="77777777" w:rsidR="007D55B3" w:rsidRPr="006F3E90" w:rsidRDefault="00000000">
      <w:pPr>
        <w:spacing w:before="220" w:after="220"/>
        <w:jc w:val="both"/>
        <w:rPr>
          <w:rFonts w:ascii="Nunito" w:eastAsia="Nunito" w:hAnsi="Nunito" w:cs="Nunito"/>
          <w:sz w:val="24"/>
          <w:szCs w:val="24"/>
          <w:lang w:val="en-US"/>
        </w:rPr>
      </w:pPr>
      <w:r w:rsidRPr="006F3E90">
        <w:rPr>
          <w:rFonts w:ascii="Nunito" w:eastAsia="Nunito" w:hAnsi="Nunito" w:cs="Nunito"/>
          <w:sz w:val="24"/>
          <w:szCs w:val="24"/>
          <w:lang w:val="en-US"/>
        </w:rPr>
        <w:t xml:space="preserve">The preparation of this report was based on </w:t>
      </w:r>
      <w:r w:rsidRPr="006F3E90">
        <w:rPr>
          <w:rFonts w:ascii="Nunito" w:eastAsia="Nunito" w:hAnsi="Nunito" w:cs="Nunito"/>
          <w:b/>
          <w:sz w:val="24"/>
          <w:szCs w:val="24"/>
          <w:lang w:val="en-US"/>
        </w:rPr>
        <w:t xml:space="preserve">qualitative and participatory research </w:t>
      </w:r>
      <w:r w:rsidRPr="006F3E90">
        <w:rPr>
          <w:rFonts w:ascii="Nunito" w:eastAsia="Nunito" w:hAnsi="Nunito" w:cs="Nunito"/>
          <w:sz w:val="24"/>
          <w:szCs w:val="24"/>
          <w:lang w:val="en-US"/>
        </w:rPr>
        <w:t xml:space="preserve">aimed at developing a theoretical and contextual analysis of the human rights situation of Indigenous LGBTQ+ persons in Guatemala. The methodology included a review of theoretical and legal documents, prior research, national legislation, as well as materials produced by civil society. In the first phase, relevant theoretical and normative frameworks were compiled and analyzed. Subsequently, interviewees were selected from among individuals who have accessed services provided by </w:t>
      </w:r>
      <w:proofErr w:type="spellStart"/>
      <w:r w:rsidRPr="006F3E90">
        <w:rPr>
          <w:rFonts w:ascii="Nunito" w:eastAsia="Nunito" w:hAnsi="Nunito" w:cs="Nunito"/>
          <w:sz w:val="24"/>
          <w:szCs w:val="24"/>
          <w:lang w:val="en-US"/>
        </w:rPr>
        <w:t>Asociación</w:t>
      </w:r>
      <w:proofErr w:type="spellEnd"/>
      <w:r w:rsidRPr="006F3E90">
        <w:rPr>
          <w:rFonts w:ascii="Nunito" w:eastAsia="Nunito" w:hAnsi="Nunito" w:cs="Nunito"/>
          <w:sz w:val="24"/>
          <w:szCs w:val="24"/>
          <w:lang w:val="en-US"/>
        </w:rPr>
        <w:t xml:space="preserve"> Lambda in its community programs. Due to logistical and accessibility constraints, only a limited number of participants across the national territory could be reached.</w:t>
      </w:r>
    </w:p>
    <w:p w14:paraId="167D4A92" w14:textId="77777777" w:rsidR="007D55B3" w:rsidRPr="006F3E90" w:rsidRDefault="00000000">
      <w:pPr>
        <w:spacing w:before="220" w:after="220"/>
        <w:jc w:val="both"/>
        <w:rPr>
          <w:rFonts w:ascii="Nunito" w:eastAsia="Nunito" w:hAnsi="Nunito" w:cs="Nunito"/>
          <w:sz w:val="24"/>
          <w:szCs w:val="24"/>
          <w:lang w:val="en-US"/>
        </w:rPr>
      </w:pPr>
      <w:r w:rsidRPr="006F3E90">
        <w:rPr>
          <w:rFonts w:ascii="Nunito" w:eastAsia="Nunito" w:hAnsi="Nunito" w:cs="Nunito"/>
          <w:sz w:val="24"/>
          <w:szCs w:val="24"/>
          <w:lang w:val="en-US"/>
        </w:rPr>
        <w:t>This report is a public document and, as such, may be published on the Committee’s website.</w:t>
      </w:r>
    </w:p>
    <w:p w14:paraId="5FA28041" w14:textId="77777777" w:rsidR="007D55B3" w:rsidRPr="006F3E90" w:rsidRDefault="007D55B3">
      <w:pPr>
        <w:jc w:val="both"/>
        <w:rPr>
          <w:rFonts w:ascii="Nunito" w:eastAsia="Nunito" w:hAnsi="Nunito" w:cs="Nunito"/>
          <w:b/>
          <w:sz w:val="24"/>
          <w:szCs w:val="24"/>
          <w:lang w:val="en-US"/>
        </w:rPr>
      </w:pPr>
    </w:p>
    <w:p w14:paraId="781F26CF" w14:textId="77777777" w:rsidR="007D55B3" w:rsidRPr="006F3E90" w:rsidRDefault="00000000">
      <w:pPr>
        <w:spacing w:before="220" w:after="220"/>
        <w:jc w:val="both"/>
        <w:rPr>
          <w:rFonts w:ascii="Nunito" w:eastAsia="Nunito" w:hAnsi="Nunito" w:cs="Nunito"/>
          <w:sz w:val="24"/>
          <w:szCs w:val="24"/>
          <w:lang w:val="en-US"/>
        </w:rPr>
      </w:pPr>
      <w:r w:rsidRPr="006F3E90">
        <w:rPr>
          <w:rFonts w:ascii="Nunito" w:eastAsia="Nunito" w:hAnsi="Nunito" w:cs="Nunito"/>
          <w:sz w:val="24"/>
          <w:szCs w:val="24"/>
          <w:lang w:val="en-US"/>
        </w:rPr>
        <w:t xml:space="preserve">The report will focus on the thematic areas of </w:t>
      </w:r>
      <w:r w:rsidRPr="006F3E90">
        <w:rPr>
          <w:rFonts w:ascii="Nunito" w:eastAsia="Nunito" w:hAnsi="Nunito" w:cs="Nunito"/>
          <w:b/>
          <w:sz w:val="24"/>
          <w:szCs w:val="24"/>
          <w:lang w:val="en-US"/>
        </w:rPr>
        <w:t>violence and discrimination</w:t>
      </w:r>
      <w:r w:rsidRPr="006F3E90">
        <w:rPr>
          <w:rFonts w:ascii="Nunito" w:eastAsia="Nunito" w:hAnsi="Nunito" w:cs="Nunito"/>
          <w:sz w:val="24"/>
          <w:szCs w:val="24"/>
          <w:lang w:val="en-US"/>
        </w:rPr>
        <w:t xml:space="preserve">, as well as </w:t>
      </w:r>
      <w:r w:rsidRPr="006F3E90">
        <w:rPr>
          <w:rFonts w:ascii="Nunito" w:eastAsia="Nunito" w:hAnsi="Nunito" w:cs="Nunito"/>
          <w:b/>
          <w:sz w:val="24"/>
          <w:szCs w:val="24"/>
          <w:lang w:val="en-US"/>
        </w:rPr>
        <w:t>education and health</w:t>
      </w:r>
      <w:r w:rsidRPr="006F3E90">
        <w:rPr>
          <w:rFonts w:ascii="Nunito" w:eastAsia="Nunito" w:hAnsi="Nunito" w:cs="Nunito"/>
          <w:sz w:val="24"/>
          <w:szCs w:val="24"/>
          <w:lang w:val="en-US"/>
        </w:rPr>
        <w:t>, examining their intersection with racial discrimination against LGBTQ+ individuals. Finally, it will provide a set of recommendations that the Committee may consider issuing to the State of Guatemala in these areas.</w:t>
      </w:r>
    </w:p>
    <w:p w14:paraId="5E20D44D" w14:textId="77777777" w:rsidR="007D55B3" w:rsidRPr="006F3E90" w:rsidRDefault="00000000">
      <w:pPr>
        <w:numPr>
          <w:ilvl w:val="0"/>
          <w:numId w:val="3"/>
        </w:numPr>
        <w:spacing w:before="220" w:after="220"/>
        <w:jc w:val="both"/>
        <w:rPr>
          <w:rFonts w:ascii="Nunito" w:eastAsia="Nunito" w:hAnsi="Nunito" w:cs="Nunito"/>
          <w:b/>
          <w:sz w:val="24"/>
          <w:szCs w:val="24"/>
          <w:lang w:val="en-US"/>
        </w:rPr>
      </w:pPr>
      <w:r w:rsidRPr="006F3E90">
        <w:rPr>
          <w:rFonts w:ascii="Nunito" w:eastAsia="Nunito" w:hAnsi="Nunito" w:cs="Nunito"/>
          <w:b/>
          <w:sz w:val="24"/>
          <w:szCs w:val="24"/>
          <w:lang w:val="en-US"/>
        </w:rPr>
        <w:t>Analysis of the Human Rights Situation of Indigenous LGBTQ+ Persons</w:t>
      </w:r>
    </w:p>
    <w:p w14:paraId="2C7D669D" w14:textId="77777777" w:rsidR="007D55B3" w:rsidRPr="006F3E90" w:rsidRDefault="007D55B3">
      <w:pPr>
        <w:spacing w:before="220" w:after="220"/>
        <w:jc w:val="both"/>
        <w:rPr>
          <w:rFonts w:ascii="Nunito" w:eastAsia="Nunito" w:hAnsi="Nunito" w:cs="Nunito"/>
          <w:b/>
          <w:sz w:val="24"/>
          <w:szCs w:val="24"/>
          <w:lang w:val="en-US"/>
        </w:rPr>
      </w:pPr>
    </w:p>
    <w:p w14:paraId="61D66A4D" w14:textId="77777777" w:rsidR="007D55B3" w:rsidRDefault="00000000">
      <w:pPr>
        <w:numPr>
          <w:ilvl w:val="0"/>
          <w:numId w:val="1"/>
        </w:numPr>
        <w:jc w:val="both"/>
        <w:rPr>
          <w:rFonts w:ascii="Nunito" w:eastAsia="Nunito" w:hAnsi="Nunito" w:cs="Nunito"/>
          <w:b/>
          <w:sz w:val="24"/>
          <w:szCs w:val="24"/>
        </w:rPr>
      </w:pPr>
      <w:proofErr w:type="spellStart"/>
      <w:r>
        <w:rPr>
          <w:rFonts w:ascii="Nunito" w:eastAsia="Nunito" w:hAnsi="Nunito" w:cs="Nunito"/>
          <w:b/>
          <w:sz w:val="24"/>
          <w:szCs w:val="24"/>
        </w:rPr>
        <w:t>Violence</w:t>
      </w:r>
      <w:proofErr w:type="spellEnd"/>
      <w:r>
        <w:rPr>
          <w:rFonts w:ascii="Nunito" w:eastAsia="Nunito" w:hAnsi="Nunito" w:cs="Nunito"/>
          <w:b/>
          <w:sz w:val="24"/>
          <w:szCs w:val="24"/>
        </w:rPr>
        <w:t xml:space="preserve"> and </w:t>
      </w:r>
      <w:proofErr w:type="spellStart"/>
      <w:r>
        <w:rPr>
          <w:rFonts w:ascii="Nunito" w:eastAsia="Nunito" w:hAnsi="Nunito" w:cs="Nunito"/>
          <w:b/>
          <w:sz w:val="24"/>
          <w:szCs w:val="24"/>
        </w:rPr>
        <w:t>discrimination</w:t>
      </w:r>
      <w:proofErr w:type="spellEnd"/>
      <w:r>
        <w:rPr>
          <w:rFonts w:ascii="Nunito" w:eastAsia="Nunito" w:hAnsi="Nunito" w:cs="Nunito"/>
          <w:b/>
          <w:sz w:val="24"/>
          <w:szCs w:val="24"/>
        </w:rPr>
        <w:t xml:space="preserve"> </w:t>
      </w:r>
    </w:p>
    <w:p w14:paraId="79B900EF" w14:textId="77777777" w:rsidR="007D55B3" w:rsidRDefault="007D55B3">
      <w:pPr>
        <w:ind w:left="720"/>
        <w:jc w:val="both"/>
        <w:rPr>
          <w:rFonts w:ascii="Nunito" w:eastAsia="Nunito" w:hAnsi="Nunito" w:cs="Nunito"/>
          <w:b/>
          <w:sz w:val="24"/>
          <w:szCs w:val="24"/>
        </w:rPr>
      </w:pPr>
    </w:p>
    <w:p w14:paraId="4965BF6B"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According to official data collected in 2023, at least 38.8% of Guatemala’s population identified as belonging to one of the country’s Indigenous peoples</w:t>
      </w:r>
      <w:r>
        <w:rPr>
          <w:rFonts w:ascii="Nunito" w:eastAsia="Nunito" w:hAnsi="Nunito" w:cs="Nunito"/>
          <w:sz w:val="24"/>
          <w:szCs w:val="24"/>
          <w:vertAlign w:val="superscript"/>
        </w:rPr>
        <w:footnoteReference w:id="1"/>
      </w:r>
      <w:r w:rsidRPr="006F3E90">
        <w:rPr>
          <w:rFonts w:ascii="Nunito" w:eastAsia="Nunito" w:hAnsi="Nunito" w:cs="Nunito"/>
          <w:sz w:val="24"/>
          <w:szCs w:val="24"/>
          <w:lang w:val="en-US"/>
        </w:rPr>
        <w:t xml:space="preserve"> who inhabit the territory, namely the Maya, </w:t>
      </w:r>
      <w:proofErr w:type="spellStart"/>
      <w:r w:rsidRPr="006F3E90">
        <w:rPr>
          <w:rFonts w:ascii="Nunito" w:eastAsia="Nunito" w:hAnsi="Nunito" w:cs="Nunito"/>
          <w:sz w:val="24"/>
          <w:szCs w:val="24"/>
          <w:lang w:val="en-US"/>
        </w:rPr>
        <w:t>Xinka</w:t>
      </w:r>
      <w:proofErr w:type="spellEnd"/>
      <w:r w:rsidRPr="006F3E90">
        <w:rPr>
          <w:rFonts w:ascii="Nunito" w:eastAsia="Nunito" w:hAnsi="Nunito" w:cs="Nunito"/>
          <w:sz w:val="24"/>
          <w:szCs w:val="24"/>
          <w:lang w:val="en-US"/>
        </w:rPr>
        <w:t xml:space="preserve">, and </w:t>
      </w:r>
      <w:proofErr w:type="spellStart"/>
      <w:r w:rsidRPr="006F3E90">
        <w:rPr>
          <w:rFonts w:ascii="Nunito" w:eastAsia="Nunito" w:hAnsi="Nunito" w:cs="Nunito"/>
          <w:sz w:val="24"/>
          <w:szCs w:val="24"/>
          <w:lang w:val="en-US"/>
        </w:rPr>
        <w:t>Garífuna</w:t>
      </w:r>
      <w:proofErr w:type="spellEnd"/>
      <w:r w:rsidRPr="006F3E90">
        <w:rPr>
          <w:rFonts w:ascii="Nunito" w:eastAsia="Nunito" w:hAnsi="Nunito" w:cs="Nunito"/>
          <w:sz w:val="24"/>
          <w:szCs w:val="24"/>
          <w:lang w:val="en-US"/>
        </w:rPr>
        <w:t xml:space="preserve"> peoples</w:t>
      </w:r>
      <w:r>
        <w:rPr>
          <w:rFonts w:ascii="Nunito" w:eastAsia="Nunito" w:hAnsi="Nunito" w:cs="Nunito"/>
          <w:sz w:val="24"/>
          <w:szCs w:val="24"/>
          <w:vertAlign w:val="superscript"/>
        </w:rPr>
        <w:footnoteReference w:id="2"/>
      </w:r>
      <w:r w:rsidRPr="006F3E90">
        <w:rPr>
          <w:rFonts w:ascii="Nunito" w:eastAsia="Nunito" w:hAnsi="Nunito" w:cs="Nunito"/>
          <w:sz w:val="24"/>
          <w:szCs w:val="24"/>
          <w:lang w:val="en-US"/>
        </w:rPr>
        <w:t xml:space="preserve">. The Maya people, Indigenous to the territory and composed of 22 distinct communities each with their own languages; the </w:t>
      </w:r>
      <w:proofErr w:type="spellStart"/>
      <w:r w:rsidRPr="006F3E90">
        <w:rPr>
          <w:rFonts w:ascii="Nunito" w:eastAsia="Nunito" w:hAnsi="Nunito" w:cs="Nunito"/>
          <w:sz w:val="24"/>
          <w:szCs w:val="24"/>
          <w:lang w:val="en-US"/>
        </w:rPr>
        <w:t>Xinka</w:t>
      </w:r>
      <w:proofErr w:type="spellEnd"/>
      <w:r w:rsidRPr="006F3E90">
        <w:rPr>
          <w:rFonts w:ascii="Nunito" w:eastAsia="Nunito" w:hAnsi="Nunito" w:cs="Nunito"/>
          <w:sz w:val="24"/>
          <w:szCs w:val="24"/>
          <w:lang w:val="en-US"/>
        </w:rPr>
        <w:t xml:space="preserve">, of southern Andean origin and with four languages; and the </w:t>
      </w:r>
      <w:proofErr w:type="spellStart"/>
      <w:r w:rsidRPr="006F3E90">
        <w:rPr>
          <w:rFonts w:ascii="Nunito" w:eastAsia="Nunito" w:hAnsi="Nunito" w:cs="Nunito"/>
          <w:sz w:val="24"/>
          <w:szCs w:val="24"/>
          <w:lang w:val="en-US"/>
        </w:rPr>
        <w:t>Garífuna</w:t>
      </w:r>
      <w:proofErr w:type="spellEnd"/>
      <w:r w:rsidRPr="006F3E90">
        <w:rPr>
          <w:rFonts w:ascii="Nunito" w:eastAsia="Nunito" w:hAnsi="Nunito" w:cs="Nunito"/>
          <w:sz w:val="24"/>
          <w:szCs w:val="24"/>
          <w:lang w:val="en-US"/>
        </w:rPr>
        <w:t>, of Afro-descendant origin</w:t>
      </w:r>
      <w:r>
        <w:rPr>
          <w:rFonts w:ascii="Nunito" w:eastAsia="Nunito" w:hAnsi="Nunito" w:cs="Nunito"/>
          <w:sz w:val="24"/>
          <w:szCs w:val="24"/>
          <w:vertAlign w:val="superscript"/>
        </w:rPr>
        <w:footnoteReference w:id="3"/>
      </w:r>
      <w:r w:rsidRPr="006F3E90">
        <w:rPr>
          <w:rFonts w:ascii="Nunito" w:eastAsia="Nunito" w:hAnsi="Nunito" w:cs="Nunito"/>
          <w:sz w:val="24"/>
          <w:szCs w:val="24"/>
          <w:lang w:val="en-US"/>
        </w:rPr>
        <w:t>. Indigenous populations are predominantly located in the northern regions of Guatemala, particularly in the departments of Huehuetenango, Quiché, Alta Verapaz, and Baja Verapaz</w:t>
      </w:r>
      <w:r>
        <w:rPr>
          <w:rFonts w:ascii="Nunito" w:eastAsia="Nunito" w:hAnsi="Nunito" w:cs="Nunito"/>
          <w:sz w:val="24"/>
          <w:szCs w:val="24"/>
          <w:vertAlign w:val="superscript"/>
        </w:rPr>
        <w:footnoteReference w:id="4"/>
      </w:r>
      <w:r w:rsidRPr="006F3E90">
        <w:rPr>
          <w:rFonts w:ascii="Nunito" w:eastAsia="Nunito" w:hAnsi="Nunito" w:cs="Nunito"/>
          <w:sz w:val="24"/>
          <w:szCs w:val="24"/>
          <w:lang w:val="en-US"/>
        </w:rPr>
        <w:t xml:space="preserve">, and The </w:t>
      </w:r>
      <w:proofErr w:type="spellStart"/>
      <w:r w:rsidRPr="006F3E90">
        <w:rPr>
          <w:rFonts w:ascii="Nunito" w:eastAsia="Nunito" w:hAnsi="Nunito" w:cs="Nunito"/>
          <w:sz w:val="24"/>
          <w:szCs w:val="24"/>
          <w:lang w:val="en-US"/>
        </w:rPr>
        <w:t>Garífuna</w:t>
      </w:r>
      <w:proofErr w:type="spellEnd"/>
      <w:r w:rsidRPr="006F3E90">
        <w:rPr>
          <w:rFonts w:ascii="Nunito" w:eastAsia="Nunito" w:hAnsi="Nunito" w:cs="Nunito"/>
          <w:sz w:val="24"/>
          <w:szCs w:val="24"/>
          <w:lang w:val="en-US"/>
        </w:rPr>
        <w:t xml:space="preserve"> population is concentrated mainly in the department of Izabal.</w:t>
      </w:r>
    </w:p>
    <w:p w14:paraId="5F6D499B" w14:textId="77777777" w:rsidR="007D55B3" w:rsidRPr="006F3E90" w:rsidRDefault="007D55B3">
      <w:pPr>
        <w:spacing w:line="259" w:lineRule="auto"/>
        <w:jc w:val="both"/>
        <w:rPr>
          <w:rFonts w:ascii="Nunito" w:eastAsia="Nunito" w:hAnsi="Nunito" w:cs="Nunito"/>
          <w:sz w:val="24"/>
          <w:szCs w:val="24"/>
          <w:lang w:val="en-US"/>
        </w:rPr>
      </w:pPr>
    </w:p>
    <w:p w14:paraId="7EADA210"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Despite their significant presence throughout Guatemalan territory, and despite the constitutional clause guaranteeing equality and non-discrimination</w:t>
      </w:r>
      <w:r>
        <w:rPr>
          <w:rFonts w:ascii="Nunito" w:eastAsia="Nunito" w:hAnsi="Nunito" w:cs="Nunito"/>
          <w:sz w:val="24"/>
          <w:szCs w:val="24"/>
          <w:vertAlign w:val="superscript"/>
        </w:rPr>
        <w:footnoteReference w:id="5"/>
      </w:r>
      <w:r w:rsidRPr="006F3E90">
        <w:rPr>
          <w:rFonts w:ascii="Nunito" w:eastAsia="Nunito" w:hAnsi="Nunito" w:cs="Nunito"/>
          <w:sz w:val="24"/>
          <w:szCs w:val="24"/>
          <w:lang w:val="en-US"/>
        </w:rPr>
        <w:t xml:space="preserve">, </w:t>
      </w:r>
      <w:proofErr w:type="spellStart"/>
      <w:r w:rsidRPr="006F3E90">
        <w:rPr>
          <w:rFonts w:ascii="Nunito" w:eastAsia="Nunito" w:hAnsi="Nunito" w:cs="Nunito"/>
          <w:sz w:val="24"/>
          <w:szCs w:val="24"/>
          <w:lang w:val="en-US"/>
        </w:rPr>
        <w:t>lIndigenous</w:t>
      </w:r>
      <w:proofErr w:type="spellEnd"/>
      <w:r w:rsidRPr="006F3E90">
        <w:rPr>
          <w:rFonts w:ascii="Nunito" w:eastAsia="Nunito" w:hAnsi="Nunito" w:cs="Nunito"/>
          <w:sz w:val="24"/>
          <w:szCs w:val="24"/>
          <w:lang w:val="en-US"/>
        </w:rPr>
        <w:t xml:space="preserve"> communities face conditions of extreme inequality in Guatemala. For instance, the areas with the highest prevalence of poverty and extreme poverty are those predominantly inhabited by Indigenous populations</w:t>
      </w:r>
      <w:r>
        <w:rPr>
          <w:rFonts w:ascii="Nunito" w:eastAsia="Nunito" w:hAnsi="Nunito" w:cs="Nunito"/>
          <w:sz w:val="24"/>
          <w:szCs w:val="24"/>
          <w:vertAlign w:val="superscript"/>
        </w:rPr>
        <w:footnoteReference w:id="6"/>
      </w:r>
      <w:r w:rsidRPr="006F3E90">
        <w:rPr>
          <w:rFonts w:ascii="Nunito" w:eastAsia="Nunito" w:hAnsi="Nunito" w:cs="Nunito"/>
          <w:sz w:val="24"/>
          <w:szCs w:val="24"/>
          <w:lang w:val="en-US"/>
        </w:rPr>
        <w:t>. This situation, combined with the lack of representation of Indigenous people in institutional positions of power</w:t>
      </w:r>
      <w:r>
        <w:rPr>
          <w:rFonts w:ascii="Nunito" w:eastAsia="Nunito" w:hAnsi="Nunito" w:cs="Nunito"/>
          <w:sz w:val="24"/>
          <w:szCs w:val="24"/>
          <w:vertAlign w:val="superscript"/>
        </w:rPr>
        <w:footnoteReference w:id="7"/>
      </w:r>
      <w:r w:rsidRPr="006F3E90">
        <w:rPr>
          <w:rFonts w:ascii="Nunito" w:eastAsia="Nunito" w:hAnsi="Nunito" w:cs="Nunito"/>
          <w:sz w:val="24"/>
          <w:szCs w:val="24"/>
          <w:lang w:val="en-US"/>
        </w:rPr>
        <w:t xml:space="preserve">, </w:t>
      </w:r>
      <w:r w:rsidRPr="006F3E90">
        <w:rPr>
          <w:rFonts w:ascii="Nunito" w:eastAsia="Nunito" w:hAnsi="Nunito" w:cs="Nunito"/>
          <w:sz w:val="24"/>
          <w:szCs w:val="24"/>
          <w:lang w:val="en-US"/>
        </w:rPr>
        <w:lastRenderedPageBreak/>
        <w:t>has entrenched a deeply rooted social imaginary that portrays Indigenous peoples in a pejorative and inferior light</w:t>
      </w:r>
      <w:r>
        <w:rPr>
          <w:rFonts w:ascii="Nunito" w:eastAsia="Nunito" w:hAnsi="Nunito" w:cs="Nunito"/>
          <w:sz w:val="24"/>
          <w:szCs w:val="24"/>
          <w:highlight w:val="white"/>
          <w:vertAlign w:val="superscript"/>
        </w:rPr>
        <w:footnoteReference w:id="8"/>
      </w:r>
      <w:r w:rsidRPr="006F3E90">
        <w:rPr>
          <w:rFonts w:ascii="Nunito" w:eastAsia="Nunito" w:hAnsi="Nunito" w:cs="Nunito"/>
          <w:sz w:val="24"/>
          <w:szCs w:val="24"/>
          <w:highlight w:val="white"/>
          <w:lang w:val="en-US"/>
        </w:rPr>
        <w:t>.</w:t>
      </w:r>
      <w:r w:rsidRPr="006F3E90">
        <w:rPr>
          <w:rFonts w:ascii="Nunito" w:eastAsia="Nunito" w:hAnsi="Nunito" w:cs="Nunito"/>
          <w:sz w:val="24"/>
          <w:szCs w:val="24"/>
          <w:lang w:val="en-US"/>
        </w:rPr>
        <w:t xml:space="preserve"> </w:t>
      </w:r>
    </w:p>
    <w:p w14:paraId="662F2916" w14:textId="77777777" w:rsidR="007D55B3" w:rsidRPr="006F3E90" w:rsidRDefault="00000000">
      <w:pPr>
        <w:spacing w:before="220" w:after="220"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In this challenging context, the lived experiences of Indigenous LGBTQ+ individuals are further compounded by prejudice against their identities, resulting in intersectional discrimination that has not been addressed by the Guatemalan State. Consequently, the State has failed to comply with the mandate issued by this Committee to interpret the prohibition of racial discrimination through an intersectional lens</w:t>
      </w:r>
      <w:r>
        <w:rPr>
          <w:rFonts w:ascii="Nunito" w:eastAsia="Nunito" w:hAnsi="Nunito" w:cs="Nunito"/>
          <w:sz w:val="24"/>
          <w:szCs w:val="24"/>
          <w:vertAlign w:val="superscript"/>
        </w:rPr>
        <w:footnoteReference w:id="9"/>
      </w:r>
      <w:r w:rsidRPr="006F3E90">
        <w:rPr>
          <w:rFonts w:ascii="Nunito" w:eastAsia="Nunito" w:hAnsi="Nunito" w:cs="Nunito"/>
          <w:sz w:val="24"/>
          <w:szCs w:val="24"/>
          <w:lang w:val="en-US"/>
        </w:rPr>
        <w:t xml:space="preserve">. </w:t>
      </w:r>
    </w:p>
    <w:p w14:paraId="3A4812C6"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The following section will address the segregation and lack of protection experienced by Indigenous people with diverse sexual orientations, gender identities, and expressions in Guatemala. It will then, based on the interviews conducted for this report, characterize the specific ways in which these dynamics manifest when intersecting with ethnic identity.</w:t>
      </w:r>
    </w:p>
    <w:p w14:paraId="7A051157" w14:textId="77777777" w:rsidR="007D55B3" w:rsidRPr="006F3E90" w:rsidRDefault="007D55B3">
      <w:pPr>
        <w:spacing w:line="259" w:lineRule="auto"/>
        <w:jc w:val="both"/>
        <w:rPr>
          <w:rFonts w:ascii="Nunito" w:eastAsia="Nunito" w:hAnsi="Nunito" w:cs="Nunito"/>
          <w:sz w:val="24"/>
          <w:szCs w:val="24"/>
          <w:lang w:val="en-US"/>
        </w:rPr>
      </w:pPr>
    </w:p>
    <w:p w14:paraId="2F772786"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In Guatemala, although same-sex relationships have been fully decriminalized since 1834,</w:t>
      </w:r>
      <w:r>
        <w:rPr>
          <w:rFonts w:ascii="Nunito" w:eastAsia="Nunito" w:hAnsi="Nunito" w:cs="Nunito"/>
          <w:sz w:val="24"/>
          <w:szCs w:val="24"/>
          <w:vertAlign w:val="superscript"/>
        </w:rPr>
        <w:footnoteReference w:id="10"/>
      </w:r>
      <w:r w:rsidRPr="006F3E90">
        <w:rPr>
          <w:rFonts w:ascii="Nunito" w:eastAsia="Nunito" w:hAnsi="Nunito" w:cs="Nunito"/>
          <w:sz w:val="24"/>
          <w:szCs w:val="24"/>
          <w:lang w:val="en-US"/>
        </w:rPr>
        <w:t>, there are no legal instruments that recognize or protect LGBTQ+ persons. Same-sex marriage has not been recognized in the country, nor has there been legal recognition of the gender identity of trans persons. The national legislature has not undertaken efforts to grant these rights; on the contrary, in response to progressive initiatives such as the bill project 5395 of 2018, which sought to recognize gender identity, religious social movements with strong political influence organized demonstrations and carried out campaigns of disinformation and stigmatization against individuals with diverse sexual orientations and gender identities.</w:t>
      </w:r>
      <w:r>
        <w:rPr>
          <w:rFonts w:ascii="Nunito" w:eastAsia="Nunito" w:hAnsi="Nunito" w:cs="Nunito"/>
          <w:sz w:val="24"/>
          <w:szCs w:val="24"/>
          <w:vertAlign w:val="superscript"/>
        </w:rPr>
        <w:footnoteReference w:id="11"/>
      </w:r>
      <w:r w:rsidRPr="006F3E90">
        <w:rPr>
          <w:rFonts w:ascii="Nunito" w:eastAsia="Nunito" w:hAnsi="Nunito" w:cs="Nunito"/>
          <w:sz w:val="24"/>
          <w:szCs w:val="24"/>
          <w:lang w:val="en-US"/>
        </w:rPr>
        <w:t xml:space="preserve"> which ultimately obstructed its approval. </w:t>
      </w:r>
    </w:p>
    <w:p w14:paraId="09340F55" w14:textId="77777777" w:rsidR="007D55B3" w:rsidRPr="006F3E90" w:rsidRDefault="007D55B3">
      <w:pPr>
        <w:spacing w:line="259" w:lineRule="auto"/>
        <w:jc w:val="both"/>
        <w:rPr>
          <w:rFonts w:ascii="Nunito" w:eastAsia="Nunito" w:hAnsi="Nunito" w:cs="Nunito"/>
          <w:sz w:val="24"/>
          <w:szCs w:val="24"/>
          <w:lang w:val="en-US"/>
        </w:rPr>
      </w:pPr>
    </w:p>
    <w:p w14:paraId="2D3CE694"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 xml:space="preserve">Moreover, openly discriminatory legislative proposals have been endorsed within the national congress. Such was the case of the </w:t>
      </w:r>
      <w:r w:rsidRPr="006F3E90">
        <w:rPr>
          <w:rFonts w:ascii="Nunito" w:eastAsia="Nunito" w:hAnsi="Nunito" w:cs="Nunito"/>
          <w:i/>
          <w:sz w:val="24"/>
          <w:szCs w:val="24"/>
          <w:lang w:val="en-US"/>
        </w:rPr>
        <w:t>“Law for the Protection of Life and the Family” Initiative</w:t>
      </w:r>
      <w:r>
        <w:rPr>
          <w:rFonts w:ascii="Nunito" w:eastAsia="Nunito" w:hAnsi="Nunito" w:cs="Nunito"/>
          <w:i/>
          <w:sz w:val="24"/>
          <w:szCs w:val="24"/>
          <w:vertAlign w:val="superscript"/>
        </w:rPr>
        <w:footnoteReference w:id="12"/>
      </w:r>
      <w:r w:rsidRPr="006F3E90">
        <w:rPr>
          <w:rFonts w:ascii="Nunito" w:eastAsia="Nunito" w:hAnsi="Nunito" w:cs="Nunito"/>
          <w:i/>
          <w:sz w:val="24"/>
          <w:szCs w:val="24"/>
          <w:lang w:val="en-US"/>
        </w:rPr>
        <w:t xml:space="preserve">, </w:t>
      </w:r>
      <w:r w:rsidRPr="006F3E90">
        <w:rPr>
          <w:rFonts w:ascii="Nunito" w:eastAsia="Nunito" w:hAnsi="Nunito" w:cs="Nunito"/>
          <w:sz w:val="24"/>
          <w:szCs w:val="24"/>
          <w:lang w:val="en-US"/>
        </w:rPr>
        <w:t xml:space="preserve">pushed forward by conservative blocs in Congress. Its objective was to explicitly prohibit same-sex marriage and define it solely as the union between a man and a woman “as assigned at birth,” thereby also excluding trans </w:t>
      </w:r>
      <w:r w:rsidRPr="006F3E90">
        <w:rPr>
          <w:rFonts w:ascii="Nunito" w:eastAsia="Nunito" w:hAnsi="Nunito" w:cs="Nunito"/>
          <w:sz w:val="24"/>
          <w:szCs w:val="24"/>
          <w:lang w:val="en-US"/>
        </w:rPr>
        <w:lastRenderedPageBreak/>
        <w:t>people from such recognition. Furthermore, the proposal sought to decriminalize acts of discrimination based on sexual orientation, ban sexuality and diversity education in educational institutions, and declare sexual diversity a “deviant behavior” that goes against human nature. This bill was approved in March 2022, but due to strong pressure from national and international human rights movements, it was ultimately shelved before being vetoed by the President.</w:t>
      </w:r>
      <w:r>
        <w:rPr>
          <w:rFonts w:ascii="Nunito" w:eastAsia="Nunito" w:hAnsi="Nunito" w:cs="Nunito"/>
          <w:sz w:val="24"/>
          <w:szCs w:val="24"/>
          <w:vertAlign w:val="superscript"/>
        </w:rPr>
        <w:footnoteReference w:id="13"/>
      </w:r>
      <w:r w:rsidRPr="006F3E90">
        <w:rPr>
          <w:rFonts w:ascii="Nunito" w:eastAsia="Nunito" w:hAnsi="Nunito" w:cs="Nunito"/>
          <w:sz w:val="24"/>
          <w:szCs w:val="24"/>
          <w:lang w:val="en-US"/>
        </w:rPr>
        <w:t xml:space="preserve">. </w:t>
      </w:r>
    </w:p>
    <w:p w14:paraId="1466862C" w14:textId="77777777" w:rsidR="007D55B3" w:rsidRPr="006F3E90" w:rsidRDefault="007D55B3">
      <w:pPr>
        <w:spacing w:line="259" w:lineRule="auto"/>
        <w:jc w:val="both"/>
        <w:rPr>
          <w:rFonts w:ascii="Nunito" w:eastAsia="Nunito" w:hAnsi="Nunito" w:cs="Nunito"/>
          <w:sz w:val="24"/>
          <w:szCs w:val="24"/>
          <w:lang w:val="en-US"/>
        </w:rPr>
      </w:pPr>
    </w:p>
    <w:p w14:paraId="3C36079F"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These institutional manifestations of homophobia and transphobia reinforce deeply discriminatory narratives against LGBTQ+ individuals, which regularly circulate among the population and in Guatemalan media. As a result, they hinder or outright prevent the exercise of several fundamental human rights, including political participation</w:t>
      </w:r>
      <w:r>
        <w:rPr>
          <w:rFonts w:ascii="Nunito" w:eastAsia="Nunito" w:hAnsi="Nunito" w:cs="Nunito"/>
          <w:sz w:val="24"/>
          <w:szCs w:val="24"/>
          <w:vertAlign w:val="superscript"/>
        </w:rPr>
        <w:footnoteReference w:id="14"/>
      </w:r>
      <w:r w:rsidRPr="006F3E90">
        <w:rPr>
          <w:rFonts w:ascii="Nunito" w:eastAsia="Nunito" w:hAnsi="Nunito" w:cs="Nunito"/>
          <w:sz w:val="24"/>
          <w:szCs w:val="24"/>
          <w:lang w:val="en-US"/>
        </w:rPr>
        <w:t xml:space="preserve"> or freedom of expression</w:t>
      </w:r>
      <w:r>
        <w:rPr>
          <w:rFonts w:ascii="Nunito" w:eastAsia="Nunito" w:hAnsi="Nunito" w:cs="Nunito"/>
          <w:sz w:val="24"/>
          <w:szCs w:val="24"/>
          <w:vertAlign w:val="superscript"/>
        </w:rPr>
        <w:footnoteReference w:id="15"/>
      </w:r>
      <w:r w:rsidRPr="006F3E90">
        <w:rPr>
          <w:rFonts w:ascii="Nunito" w:eastAsia="Nunito" w:hAnsi="Nunito" w:cs="Nunito"/>
          <w:sz w:val="24"/>
          <w:szCs w:val="24"/>
          <w:lang w:val="en-US"/>
        </w:rPr>
        <w:t>. In the case of Indigenous LGBTQ+ individuals, however, this framework of neglect — and even state-perpetuated discrimination arising from the convergence of multiple identity factors — manifests in specific ways that require targeted attention.</w:t>
      </w:r>
    </w:p>
    <w:p w14:paraId="7FCF3D18" w14:textId="77777777" w:rsidR="007D55B3" w:rsidRPr="006F3E90" w:rsidRDefault="007D55B3">
      <w:pPr>
        <w:spacing w:line="259" w:lineRule="auto"/>
        <w:jc w:val="both"/>
        <w:rPr>
          <w:rFonts w:ascii="Nunito" w:eastAsia="Nunito" w:hAnsi="Nunito" w:cs="Nunito"/>
          <w:sz w:val="24"/>
          <w:szCs w:val="24"/>
          <w:lang w:val="en-US"/>
        </w:rPr>
      </w:pPr>
    </w:p>
    <w:p w14:paraId="4C67B5DB"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 xml:space="preserve">According to the interviews conducted by </w:t>
      </w:r>
      <w:proofErr w:type="spellStart"/>
      <w:r w:rsidRPr="006F3E90">
        <w:rPr>
          <w:rFonts w:ascii="Nunito" w:eastAsia="Nunito" w:hAnsi="Nunito" w:cs="Nunito"/>
          <w:sz w:val="24"/>
          <w:szCs w:val="24"/>
          <w:lang w:val="en-US"/>
        </w:rPr>
        <w:t>Asociación</w:t>
      </w:r>
      <w:proofErr w:type="spellEnd"/>
      <w:r w:rsidRPr="006F3E90">
        <w:rPr>
          <w:rFonts w:ascii="Nunito" w:eastAsia="Nunito" w:hAnsi="Nunito" w:cs="Nunito"/>
          <w:sz w:val="24"/>
          <w:szCs w:val="24"/>
          <w:lang w:val="en-US"/>
        </w:rPr>
        <w:t xml:space="preserve"> Lambda for this report, the traditions, beliefs, and social structures of Guatemala’s Indigenous communities — although initially distinct from Western ones — were profoundly transformed </w:t>
      </w:r>
      <w:proofErr w:type="gramStart"/>
      <w:r w:rsidRPr="006F3E90">
        <w:rPr>
          <w:rFonts w:ascii="Nunito" w:eastAsia="Nunito" w:hAnsi="Nunito" w:cs="Nunito"/>
          <w:sz w:val="24"/>
          <w:szCs w:val="24"/>
          <w:lang w:val="en-US"/>
        </w:rPr>
        <w:t>as a result of</w:t>
      </w:r>
      <w:proofErr w:type="gramEnd"/>
      <w:r w:rsidRPr="006F3E90">
        <w:rPr>
          <w:rFonts w:ascii="Nunito" w:eastAsia="Nunito" w:hAnsi="Nunito" w:cs="Nunito"/>
          <w:sz w:val="24"/>
          <w:szCs w:val="24"/>
          <w:lang w:val="en-US"/>
        </w:rPr>
        <w:t xml:space="preserve"> the processes of conquest and colonization</w:t>
      </w:r>
      <w:r>
        <w:rPr>
          <w:rFonts w:ascii="Nunito" w:eastAsia="Nunito" w:hAnsi="Nunito" w:cs="Nunito"/>
          <w:sz w:val="24"/>
          <w:szCs w:val="24"/>
          <w:vertAlign w:val="superscript"/>
        </w:rPr>
        <w:footnoteReference w:id="16"/>
      </w:r>
      <w:r w:rsidRPr="006F3E90">
        <w:rPr>
          <w:rFonts w:ascii="Nunito" w:eastAsia="Nunito" w:hAnsi="Nunito" w:cs="Nunito"/>
          <w:sz w:val="24"/>
          <w:szCs w:val="24"/>
          <w:lang w:val="en-US"/>
        </w:rPr>
        <w:t xml:space="preserve"> and in result, most of them today largely reproduce hegemonic notions of family, gender, and sexuality. </w:t>
      </w:r>
      <w:proofErr w:type="gramStart"/>
      <w:r w:rsidRPr="006F3E90">
        <w:rPr>
          <w:rFonts w:ascii="Nunito" w:eastAsia="Nunito" w:hAnsi="Nunito" w:cs="Nunito"/>
          <w:sz w:val="24"/>
          <w:szCs w:val="24"/>
          <w:lang w:val="en-US"/>
        </w:rPr>
        <w:t>Consequently,  LGBTQ</w:t>
      </w:r>
      <w:proofErr w:type="gramEnd"/>
      <w:r w:rsidRPr="006F3E90">
        <w:rPr>
          <w:rFonts w:ascii="Nunito" w:eastAsia="Nunito" w:hAnsi="Nunito" w:cs="Nunito"/>
          <w:sz w:val="24"/>
          <w:szCs w:val="24"/>
          <w:lang w:val="en-US"/>
        </w:rPr>
        <w:t xml:space="preserve">+ individuals belonging to these groups often become victims of rejection, discrimination, ostracism, and even violence at the hands of their own </w:t>
      </w:r>
      <w:r w:rsidRPr="006F3E90">
        <w:rPr>
          <w:rFonts w:ascii="Nunito" w:eastAsia="Nunito" w:hAnsi="Nunito" w:cs="Nunito"/>
          <w:sz w:val="24"/>
          <w:szCs w:val="24"/>
          <w:lang w:val="en-US"/>
        </w:rPr>
        <w:lastRenderedPageBreak/>
        <w:t>families and other close community members</w:t>
      </w:r>
      <w:r>
        <w:rPr>
          <w:rFonts w:ascii="Nunito" w:eastAsia="Nunito" w:hAnsi="Nunito" w:cs="Nunito"/>
          <w:sz w:val="24"/>
          <w:szCs w:val="24"/>
          <w:vertAlign w:val="superscript"/>
        </w:rPr>
        <w:footnoteReference w:id="17"/>
      </w:r>
      <w:r w:rsidRPr="006F3E90">
        <w:rPr>
          <w:rFonts w:ascii="Nunito" w:eastAsia="Nunito" w:hAnsi="Nunito" w:cs="Nunito"/>
          <w:sz w:val="24"/>
          <w:szCs w:val="24"/>
          <w:lang w:val="en-US"/>
        </w:rPr>
        <w:t xml:space="preserve">who label them as a threat to community traditions or as a bad influence on other members, particularly on children. </w:t>
      </w:r>
    </w:p>
    <w:p w14:paraId="41B88161" w14:textId="77777777" w:rsidR="007D55B3" w:rsidRPr="006F3E90" w:rsidRDefault="007D55B3">
      <w:pPr>
        <w:spacing w:line="259" w:lineRule="auto"/>
        <w:jc w:val="both"/>
        <w:rPr>
          <w:rFonts w:ascii="Nunito" w:eastAsia="Nunito" w:hAnsi="Nunito" w:cs="Nunito"/>
          <w:sz w:val="24"/>
          <w:szCs w:val="24"/>
          <w:lang w:val="en-US"/>
        </w:rPr>
      </w:pPr>
    </w:p>
    <w:p w14:paraId="5E483284"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In addition, the significant geographical distance between Indigenous territories and municipal capitals or urban areas, where there is greater economic activity, encourages Indigenous LGBTIQ+ persons to migrate to cities where they believe they can express their sexuality or gender identity more freely, as well as find better employment opportunities. The most common destination they choose is Guatemala City. However, in these cities or municipalities, where a large part of the population is mestizo (ladino), exposure to racial discrimination increases significantly.</w:t>
      </w:r>
    </w:p>
    <w:p w14:paraId="12C6C859" w14:textId="77777777" w:rsidR="007D55B3" w:rsidRPr="006F3E90" w:rsidRDefault="007D55B3">
      <w:pPr>
        <w:spacing w:line="259" w:lineRule="auto"/>
        <w:jc w:val="both"/>
        <w:rPr>
          <w:rFonts w:ascii="Nunito" w:eastAsia="Nunito" w:hAnsi="Nunito" w:cs="Nunito"/>
          <w:sz w:val="24"/>
          <w:szCs w:val="24"/>
          <w:lang w:val="en-US"/>
        </w:rPr>
      </w:pPr>
    </w:p>
    <w:p w14:paraId="6F00C25D"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 xml:space="preserve">The testimonies of the LGBTQ+ individuals consulted are consistent in stating that, outside their territories, in addition to feeling targeted because of their gender identity, gender expression, or sexual orientation, they have also been discriminated against </w:t>
      </w:r>
      <w:proofErr w:type="gramStart"/>
      <w:r w:rsidRPr="006F3E90">
        <w:rPr>
          <w:rFonts w:ascii="Nunito" w:eastAsia="Nunito" w:hAnsi="Nunito" w:cs="Nunito"/>
          <w:sz w:val="24"/>
          <w:szCs w:val="24"/>
          <w:lang w:val="en-US"/>
        </w:rPr>
        <w:t>on the basis of</w:t>
      </w:r>
      <w:proofErr w:type="gramEnd"/>
      <w:r w:rsidRPr="006F3E90">
        <w:rPr>
          <w:rFonts w:ascii="Nunito" w:eastAsia="Nunito" w:hAnsi="Nunito" w:cs="Nunito"/>
          <w:sz w:val="24"/>
          <w:szCs w:val="24"/>
          <w:lang w:val="en-US"/>
        </w:rPr>
        <w:t xml:space="preserve"> their ethnic origin. In contexts where it is not known that these individuals identify as Indigenous, they have been stigmatized based on phenotypic traits, accents when speaking, the use of Indigenous languages, or Indigenous-origin surnames.</w:t>
      </w:r>
    </w:p>
    <w:p w14:paraId="0B2D674B" w14:textId="77777777" w:rsidR="007D55B3" w:rsidRPr="006F3E90" w:rsidRDefault="007D55B3">
      <w:pPr>
        <w:spacing w:line="259" w:lineRule="auto"/>
        <w:jc w:val="both"/>
        <w:rPr>
          <w:rFonts w:ascii="Nunito" w:eastAsia="Nunito" w:hAnsi="Nunito" w:cs="Nunito"/>
          <w:sz w:val="24"/>
          <w:szCs w:val="24"/>
          <w:lang w:val="en-US"/>
        </w:rPr>
      </w:pPr>
    </w:p>
    <w:p w14:paraId="67E0654F"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 xml:space="preserve">It is worth highlighting the experience of a trans woman who, while in Guatemala City, decided to wear traditional Maya clothing and was repeatedly subjected to insults and discrimination — both because of her attire and her feminine gender expression. Some Maya individuals also reported having experienced discrimination for not speaking Spanish. As a result, several interviewees stated that, </w:t>
      </w:r>
      <w:proofErr w:type="gramStart"/>
      <w:r w:rsidRPr="006F3E90">
        <w:rPr>
          <w:rFonts w:ascii="Nunito" w:eastAsia="Nunito" w:hAnsi="Nunito" w:cs="Nunito"/>
          <w:sz w:val="24"/>
          <w:szCs w:val="24"/>
          <w:lang w:val="en-US"/>
        </w:rPr>
        <w:t>in order to</w:t>
      </w:r>
      <w:proofErr w:type="gramEnd"/>
      <w:r w:rsidRPr="006F3E90">
        <w:rPr>
          <w:rFonts w:ascii="Nunito" w:eastAsia="Nunito" w:hAnsi="Nunito" w:cs="Nunito"/>
          <w:sz w:val="24"/>
          <w:szCs w:val="24"/>
          <w:lang w:val="en-US"/>
        </w:rPr>
        <w:t xml:space="preserve"> protect themselves from aggression and other forms of marginalization, they feel forced to conceal their ethnic identity. They often adopt a ladino or mestizo appearance or expression as a strategy to avoid discrimination — a reality that</w:t>
      </w:r>
      <w:proofErr w:type="gramStart"/>
      <w:r w:rsidRPr="006F3E90">
        <w:rPr>
          <w:rFonts w:ascii="Nunito" w:eastAsia="Nunito" w:hAnsi="Nunito" w:cs="Nunito"/>
          <w:sz w:val="24"/>
          <w:szCs w:val="24"/>
          <w:lang w:val="en-US"/>
        </w:rPr>
        <w:t>, in itself, constitutes</w:t>
      </w:r>
      <w:proofErr w:type="gramEnd"/>
      <w:r w:rsidRPr="006F3E90">
        <w:rPr>
          <w:rFonts w:ascii="Nunito" w:eastAsia="Nunito" w:hAnsi="Nunito" w:cs="Nunito"/>
          <w:sz w:val="24"/>
          <w:szCs w:val="24"/>
          <w:lang w:val="en-US"/>
        </w:rPr>
        <w:t xml:space="preserve"> a form of violence</w:t>
      </w:r>
      <w:r>
        <w:rPr>
          <w:rFonts w:ascii="Nunito" w:eastAsia="Nunito" w:hAnsi="Nunito" w:cs="Nunito"/>
          <w:sz w:val="24"/>
          <w:szCs w:val="24"/>
          <w:vertAlign w:val="superscript"/>
        </w:rPr>
        <w:footnoteReference w:id="18"/>
      </w:r>
      <w:r w:rsidRPr="006F3E90">
        <w:rPr>
          <w:rFonts w:ascii="Nunito" w:eastAsia="Nunito" w:hAnsi="Nunito" w:cs="Nunito"/>
          <w:sz w:val="24"/>
          <w:szCs w:val="24"/>
          <w:lang w:val="en-US"/>
        </w:rPr>
        <w:t xml:space="preserve">.  </w:t>
      </w:r>
    </w:p>
    <w:p w14:paraId="269B8954" w14:textId="77777777" w:rsidR="007D55B3" w:rsidRPr="006F3E90" w:rsidRDefault="007D55B3">
      <w:pPr>
        <w:spacing w:line="259" w:lineRule="auto"/>
        <w:jc w:val="both"/>
        <w:rPr>
          <w:rFonts w:ascii="Nunito" w:eastAsia="Nunito" w:hAnsi="Nunito" w:cs="Nunito"/>
          <w:sz w:val="24"/>
          <w:szCs w:val="24"/>
          <w:lang w:val="en-US"/>
        </w:rPr>
      </w:pPr>
    </w:p>
    <w:p w14:paraId="37F01822"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Consequently, the State has failed to comply with the Committee’s recommendation to adopt all necessary measures for the protection and preservation of the cultural identity of Indigenous peoples</w:t>
      </w:r>
      <w:r>
        <w:rPr>
          <w:rFonts w:ascii="Nunito" w:eastAsia="Nunito" w:hAnsi="Nunito" w:cs="Nunito"/>
          <w:sz w:val="24"/>
          <w:szCs w:val="24"/>
          <w:vertAlign w:val="superscript"/>
        </w:rPr>
        <w:footnoteReference w:id="19"/>
      </w:r>
      <w:r w:rsidRPr="006F3E90">
        <w:rPr>
          <w:rFonts w:ascii="Nunito" w:eastAsia="Nunito" w:hAnsi="Nunito" w:cs="Nunito"/>
          <w:sz w:val="24"/>
          <w:szCs w:val="24"/>
          <w:lang w:val="en-US"/>
        </w:rPr>
        <w:t xml:space="preserve">. </w:t>
      </w:r>
    </w:p>
    <w:p w14:paraId="10DAA82C" w14:textId="77777777" w:rsidR="007D55B3" w:rsidRPr="006F3E90" w:rsidRDefault="007D55B3">
      <w:pPr>
        <w:spacing w:line="259" w:lineRule="auto"/>
        <w:jc w:val="both"/>
        <w:rPr>
          <w:rFonts w:ascii="Nunito" w:eastAsia="Nunito" w:hAnsi="Nunito" w:cs="Nunito"/>
          <w:sz w:val="24"/>
          <w:szCs w:val="24"/>
          <w:lang w:val="en-US"/>
        </w:rPr>
      </w:pPr>
    </w:p>
    <w:p w14:paraId="2F724EF7"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lastRenderedPageBreak/>
        <w:t xml:space="preserve">As a result of these experiences of discrimination — and, in some cases, language barriers — the Indigenous LGBTQ+ individuals interviewed stated that they have faced significant challenges in accessing formal employment opportunities. This has often led them to participate in informal economic activities </w:t>
      </w:r>
      <w:proofErr w:type="gramStart"/>
      <w:r w:rsidRPr="006F3E90">
        <w:rPr>
          <w:rFonts w:ascii="Nunito" w:eastAsia="Nunito" w:hAnsi="Nunito" w:cs="Nunito"/>
          <w:sz w:val="24"/>
          <w:szCs w:val="24"/>
          <w:lang w:val="en-US"/>
        </w:rPr>
        <w:t>in order to</w:t>
      </w:r>
      <w:proofErr w:type="gramEnd"/>
      <w:r w:rsidRPr="006F3E90">
        <w:rPr>
          <w:rFonts w:ascii="Nunito" w:eastAsia="Nunito" w:hAnsi="Nunito" w:cs="Nunito"/>
          <w:sz w:val="24"/>
          <w:szCs w:val="24"/>
          <w:lang w:val="en-US"/>
        </w:rPr>
        <w:t xml:space="preserve"> support themselves. In the case of trans women, sex work has become their primary source of income. However, in carrying out this work, they reported also being discriminated against by other sex workers and by clients, who invoke racial prejudices.</w:t>
      </w:r>
    </w:p>
    <w:p w14:paraId="4F4C2F4C" w14:textId="77777777" w:rsidR="007D55B3" w:rsidRPr="006F3E90" w:rsidRDefault="007D55B3">
      <w:pPr>
        <w:spacing w:line="259" w:lineRule="auto"/>
        <w:jc w:val="both"/>
        <w:rPr>
          <w:rFonts w:ascii="Nunito" w:eastAsia="Nunito" w:hAnsi="Nunito" w:cs="Nunito"/>
          <w:sz w:val="24"/>
          <w:szCs w:val="24"/>
          <w:lang w:val="en-US"/>
        </w:rPr>
      </w:pPr>
    </w:p>
    <w:p w14:paraId="20FC40BE" w14:textId="0AF5A432"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Unfortunately, this demonstrates that the State of Guatemala has failed to implement the recommendation made in the previous review cycle to adopt a comprehensive national policy to combat racial discrimination and racism — one that would effectively promote social inclusion and reduce the high levels of poverty and inequality affecting members of Indigenous peoples</w:t>
      </w:r>
      <w:r>
        <w:rPr>
          <w:rFonts w:ascii="Nunito" w:eastAsia="Nunito" w:hAnsi="Nunito" w:cs="Nunito"/>
          <w:sz w:val="24"/>
          <w:szCs w:val="24"/>
          <w:vertAlign w:val="superscript"/>
        </w:rPr>
        <w:footnoteReference w:id="20"/>
      </w:r>
      <w:r w:rsidRPr="006F3E90">
        <w:rPr>
          <w:rFonts w:ascii="Nunito" w:eastAsia="Nunito" w:hAnsi="Nunito" w:cs="Nunito"/>
          <w:sz w:val="24"/>
          <w:szCs w:val="24"/>
          <w:lang w:val="en-US"/>
        </w:rPr>
        <w:t xml:space="preserve">. </w:t>
      </w:r>
    </w:p>
    <w:p w14:paraId="084C71E6" w14:textId="77777777" w:rsidR="007D55B3" w:rsidRPr="006F3E90" w:rsidRDefault="00000000">
      <w:pPr>
        <w:spacing w:before="220" w:after="220"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In addition to discrimination, Indigenous LGBTQ+ individuals are exposed to acts of violence. As mentioned previously, one of the main settings where these acts tend to occur is within their own communities. The interviews conducted revealed a widespread practice — particularly among Maya communities in Petén, Alta Verapaz, and Baja Verapaz — of punishing members who have a diverse sexual orientation, gender identity, or gender expression. Common practices include public shaming, beatings, lynchings, and death threats. Furthermore, in the case of trans women, they reported that one of the “sanctions” imposed is having their hair cut as a means of “correcting” their identity.</w:t>
      </w:r>
    </w:p>
    <w:p w14:paraId="77BA32DB"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It is also alarming that ancestral rituals are being used as Sexual Orientation and Gender Identity/Expression Change Efforts (SOGIECE) — practices considered by various United Nations bodies to constitute torture or other cruel, inhuman, or degrading treatment</w:t>
      </w:r>
      <w:r>
        <w:rPr>
          <w:rFonts w:ascii="Nunito" w:eastAsia="Nunito" w:hAnsi="Nunito" w:cs="Nunito"/>
          <w:sz w:val="24"/>
          <w:szCs w:val="24"/>
          <w:vertAlign w:val="superscript"/>
        </w:rPr>
        <w:footnoteReference w:id="21"/>
      </w:r>
      <w:r w:rsidRPr="006F3E90">
        <w:rPr>
          <w:rFonts w:ascii="Nunito" w:eastAsia="Nunito" w:hAnsi="Nunito" w:cs="Nunito"/>
          <w:sz w:val="24"/>
          <w:szCs w:val="24"/>
          <w:lang w:val="en-US"/>
        </w:rPr>
        <w:t xml:space="preserve">, against Indigenous LGBTQ+ persons. One such case involved a gay young man from Baja Verapaz, who was deceived by his father into going out to “buy medicine” but was instead taken to a group of Maya spiritual leaders. There, he was forced to drink a </w:t>
      </w:r>
      <w:proofErr w:type="spellStart"/>
      <w:r w:rsidRPr="006F3E90">
        <w:rPr>
          <w:rFonts w:ascii="Nunito" w:eastAsia="Nunito" w:hAnsi="Nunito" w:cs="Nunito"/>
          <w:i/>
          <w:sz w:val="24"/>
          <w:szCs w:val="24"/>
          <w:lang w:val="en-US"/>
        </w:rPr>
        <w:t>bebedizo</w:t>
      </w:r>
      <w:proofErr w:type="spellEnd"/>
      <w:r>
        <w:rPr>
          <w:rFonts w:ascii="Nunito" w:eastAsia="Nunito" w:hAnsi="Nunito" w:cs="Nunito"/>
          <w:sz w:val="24"/>
          <w:szCs w:val="24"/>
          <w:vertAlign w:val="superscript"/>
        </w:rPr>
        <w:footnoteReference w:id="22"/>
      </w:r>
      <w:r w:rsidRPr="006F3E90">
        <w:rPr>
          <w:rFonts w:ascii="Nunito" w:eastAsia="Nunito" w:hAnsi="Nunito" w:cs="Nunito"/>
          <w:sz w:val="24"/>
          <w:szCs w:val="24"/>
          <w:lang w:val="en-US"/>
        </w:rPr>
        <w:t xml:space="preserve"> while performing a ritual that claimed it would </w:t>
      </w:r>
      <w:r w:rsidRPr="006F3E90">
        <w:rPr>
          <w:rFonts w:ascii="Nunito" w:eastAsia="Nunito" w:hAnsi="Nunito" w:cs="Nunito"/>
          <w:i/>
          <w:sz w:val="24"/>
          <w:szCs w:val="24"/>
          <w:lang w:val="en-US"/>
        </w:rPr>
        <w:t>cure</w:t>
      </w:r>
      <w:r w:rsidRPr="006F3E90">
        <w:rPr>
          <w:rFonts w:ascii="Nunito" w:eastAsia="Nunito" w:hAnsi="Nunito" w:cs="Nunito"/>
          <w:sz w:val="24"/>
          <w:szCs w:val="24"/>
          <w:lang w:val="en-US"/>
        </w:rPr>
        <w:t xml:space="preserve"> him and make him attracted to women. This concoction caused severe gastrointestinal distress, which adversely affected his health.</w:t>
      </w:r>
    </w:p>
    <w:p w14:paraId="3D3E0581" w14:textId="77777777" w:rsidR="007D55B3" w:rsidRPr="006F3E90" w:rsidRDefault="007D55B3">
      <w:pPr>
        <w:spacing w:line="259" w:lineRule="auto"/>
        <w:jc w:val="both"/>
        <w:rPr>
          <w:rFonts w:ascii="Nunito" w:eastAsia="Nunito" w:hAnsi="Nunito" w:cs="Nunito"/>
          <w:sz w:val="24"/>
          <w:szCs w:val="24"/>
          <w:lang w:val="en-US"/>
        </w:rPr>
      </w:pPr>
    </w:p>
    <w:p w14:paraId="539FD5A3" w14:textId="7712F45F"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 xml:space="preserve">Lethal violence against Indigenous LGBTQ+ persons is the ultimate and most severe manifestation of the convergence between gender and sexuality-based prejudice and racism. Although Guatemala does not have an official registry reporting the number </w:t>
      </w:r>
      <w:r w:rsidRPr="006F3E90">
        <w:rPr>
          <w:rFonts w:ascii="Nunito" w:eastAsia="Nunito" w:hAnsi="Nunito" w:cs="Nunito"/>
          <w:sz w:val="24"/>
          <w:szCs w:val="24"/>
          <w:lang w:val="en-US"/>
        </w:rPr>
        <w:lastRenderedPageBreak/>
        <w:t xml:space="preserve">of violent deaths occurring for this reason, the Lambda Observatory on Human Rights and Violence Based on Sexual Orientation and Gender Identity reported Indigenous victims in 2024. The first case is a young man of Maya ethnicity, who was extrajudicially executed along with his partner — a Canadian citizen — by members of the National Civil Police in the department of Chimaltenango. In 2023, two violent deaths of at least two </w:t>
      </w:r>
      <w:proofErr w:type="spellStart"/>
      <w:r w:rsidRPr="006F3E90">
        <w:rPr>
          <w:rFonts w:ascii="Nunito" w:eastAsia="Nunito" w:hAnsi="Nunito" w:cs="Nunito"/>
          <w:sz w:val="24"/>
          <w:szCs w:val="24"/>
          <w:lang w:val="en-US"/>
        </w:rPr>
        <w:t>Garífuna</w:t>
      </w:r>
      <w:proofErr w:type="spellEnd"/>
      <w:r w:rsidRPr="006F3E90">
        <w:rPr>
          <w:rFonts w:ascii="Nunito" w:eastAsia="Nunito" w:hAnsi="Nunito" w:cs="Nunito"/>
          <w:sz w:val="24"/>
          <w:szCs w:val="24"/>
          <w:lang w:val="en-US"/>
        </w:rPr>
        <w:t xml:space="preserve"> LGBTI+ individuals were reported — one in the department of Izabal and another in Chiquimula. However, no further details are available regarding these case</w:t>
      </w:r>
      <w:r w:rsidR="006F3E90">
        <w:rPr>
          <w:rFonts w:ascii="Nunito" w:eastAsia="Nunito" w:hAnsi="Nunito" w:cs="Nunito"/>
          <w:sz w:val="24"/>
          <w:szCs w:val="24"/>
          <w:lang w:val="en-US"/>
        </w:rPr>
        <w:t xml:space="preserve">s. </w:t>
      </w:r>
    </w:p>
    <w:p w14:paraId="35D3A2A9" w14:textId="20B476F5" w:rsidR="007D55B3" w:rsidRPr="006F3E90" w:rsidRDefault="00000000">
      <w:pPr>
        <w:spacing w:before="220" w:after="220"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 xml:space="preserve">Another case illustrates how, in Guatemala, the convergence of subordinated identity factors — such as those linked to patriarchy and whiteness — combined with human rights activism, can expose individuals to severe situations of vulnerability that may ultimately lead to their murder. This is exemplified by the </w:t>
      </w:r>
      <w:proofErr w:type="spellStart"/>
      <w:r w:rsidRPr="006F3E90">
        <w:rPr>
          <w:rFonts w:ascii="Nunito" w:eastAsia="Nunito" w:hAnsi="Nunito" w:cs="Nunito"/>
          <w:sz w:val="24"/>
          <w:szCs w:val="24"/>
          <w:lang w:val="en-US"/>
        </w:rPr>
        <w:t>transfemicide</w:t>
      </w:r>
      <w:proofErr w:type="spellEnd"/>
      <w:r w:rsidRPr="006F3E90">
        <w:rPr>
          <w:rFonts w:ascii="Nunito" w:eastAsia="Nunito" w:hAnsi="Nunito" w:cs="Nunito"/>
          <w:sz w:val="24"/>
          <w:szCs w:val="24"/>
          <w:lang w:val="en-US"/>
        </w:rPr>
        <w:t xml:space="preserve"> </w:t>
      </w:r>
      <w:r w:rsidR="006F3E90">
        <w:rPr>
          <w:rFonts w:ascii="Nunito" w:eastAsia="Nunito" w:hAnsi="Nunito" w:cs="Nunito"/>
          <w:sz w:val="24"/>
          <w:szCs w:val="24"/>
          <w:lang w:val="en-US"/>
        </w:rPr>
        <w:t>of an indigenous</w:t>
      </w:r>
      <w:r w:rsidRPr="006F3E90">
        <w:rPr>
          <w:rFonts w:ascii="Nunito" w:eastAsia="Nunito" w:hAnsi="Nunito" w:cs="Nunito"/>
          <w:sz w:val="24"/>
          <w:szCs w:val="24"/>
          <w:lang w:val="en-US"/>
        </w:rPr>
        <w:t xml:space="preserve"> woman, </w:t>
      </w:r>
      <w:r w:rsidR="006F3E90">
        <w:rPr>
          <w:rFonts w:ascii="Nunito" w:eastAsia="Nunito" w:hAnsi="Nunito" w:cs="Nunito"/>
          <w:sz w:val="24"/>
          <w:szCs w:val="24"/>
          <w:lang w:val="en-US"/>
        </w:rPr>
        <w:t xml:space="preserve">who </w:t>
      </w:r>
      <w:r w:rsidRPr="006F3E90">
        <w:rPr>
          <w:rFonts w:ascii="Nunito" w:eastAsia="Nunito" w:hAnsi="Nunito" w:cs="Nunito"/>
          <w:sz w:val="24"/>
          <w:szCs w:val="24"/>
          <w:lang w:val="en-US"/>
        </w:rPr>
        <w:t>was a human rights defender and sex worker</w:t>
      </w:r>
      <w:r w:rsidR="006F3E90">
        <w:rPr>
          <w:rFonts w:ascii="Nunito" w:eastAsia="Nunito" w:hAnsi="Nunito" w:cs="Nunito"/>
          <w:sz w:val="24"/>
          <w:szCs w:val="24"/>
          <w:lang w:val="en-US"/>
        </w:rPr>
        <w:t xml:space="preserve">. She </w:t>
      </w:r>
      <w:r w:rsidRPr="006F3E90">
        <w:rPr>
          <w:rFonts w:ascii="Nunito" w:eastAsia="Nunito" w:hAnsi="Nunito" w:cs="Nunito"/>
          <w:sz w:val="24"/>
          <w:szCs w:val="24"/>
          <w:lang w:val="en-US"/>
        </w:rPr>
        <w:t>had moved to Guatemala City at a young age, fleeing poverty and family discrimination. After filing a complaint against the city police for extortion and mistreatment of sex workers, she was brutally beaten and threatened. Although she and her colleagues reported these incidents, one week later, a man mocked her gender identity before shooting her in the face</w:t>
      </w:r>
      <w:r>
        <w:rPr>
          <w:rFonts w:ascii="Nunito" w:eastAsia="Nunito" w:hAnsi="Nunito" w:cs="Nunito"/>
          <w:sz w:val="24"/>
          <w:szCs w:val="24"/>
          <w:vertAlign w:val="superscript"/>
        </w:rPr>
        <w:footnoteReference w:id="23"/>
      </w:r>
      <w:r w:rsidRPr="006F3E90">
        <w:rPr>
          <w:rFonts w:ascii="Nunito" w:eastAsia="Nunito" w:hAnsi="Nunito" w:cs="Nunito"/>
          <w:sz w:val="24"/>
          <w:szCs w:val="24"/>
          <w:lang w:val="en-US"/>
        </w:rPr>
        <w:t xml:space="preserve">. </w:t>
      </w:r>
    </w:p>
    <w:p w14:paraId="1313FC13" w14:textId="77777777" w:rsidR="007D55B3" w:rsidRPr="006F3E90" w:rsidRDefault="00000000">
      <w:pPr>
        <w:spacing w:line="259" w:lineRule="auto"/>
        <w:jc w:val="both"/>
        <w:rPr>
          <w:rFonts w:ascii="Nunito" w:eastAsia="Nunito" w:hAnsi="Nunito" w:cs="Nunito"/>
          <w:sz w:val="24"/>
          <w:szCs w:val="24"/>
          <w:lang w:val="en-US"/>
        </w:rPr>
      </w:pPr>
      <w:proofErr w:type="gramStart"/>
      <w:r w:rsidRPr="006F3E90">
        <w:rPr>
          <w:rFonts w:ascii="Nunito" w:eastAsia="Nunito" w:hAnsi="Nunito" w:cs="Nunito"/>
          <w:sz w:val="24"/>
          <w:szCs w:val="24"/>
          <w:lang w:val="en-US"/>
        </w:rPr>
        <w:t>In light of</w:t>
      </w:r>
      <w:proofErr w:type="gramEnd"/>
      <w:r w:rsidRPr="006F3E90">
        <w:rPr>
          <w:rFonts w:ascii="Nunito" w:eastAsia="Nunito" w:hAnsi="Nunito" w:cs="Nunito"/>
          <w:sz w:val="24"/>
          <w:szCs w:val="24"/>
          <w:lang w:val="en-US"/>
        </w:rPr>
        <w:t xml:space="preserve"> this case, it can be stated that the State of Guatemala failed to fulfill its conventional obligation to guarantee the right to personal security and to ensure protection by the State against any act of violence or attack on personal integrity committed by public officials or by any individual</w:t>
      </w:r>
      <w:r>
        <w:rPr>
          <w:rFonts w:ascii="Nunito" w:eastAsia="Nunito" w:hAnsi="Nunito" w:cs="Nunito"/>
          <w:sz w:val="24"/>
          <w:szCs w:val="24"/>
          <w:vertAlign w:val="superscript"/>
        </w:rPr>
        <w:footnoteReference w:id="24"/>
      </w:r>
      <w:r w:rsidRPr="006F3E90">
        <w:rPr>
          <w:rFonts w:ascii="Nunito" w:eastAsia="Nunito" w:hAnsi="Nunito" w:cs="Nunito"/>
          <w:sz w:val="24"/>
          <w:szCs w:val="24"/>
          <w:lang w:val="en-US"/>
        </w:rPr>
        <w:t xml:space="preserve">. </w:t>
      </w:r>
    </w:p>
    <w:p w14:paraId="00BA0DBE" w14:textId="77777777" w:rsidR="007D55B3" w:rsidRPr="006F3E90" w:rsidRDefault="007D55B3">
      <w:pPr>
        <w:spacing w:line="259" w:lineRule="auto"/>
        <w:jc w:val="both"/>
        <w:rPr>
          <w:rFonts w:ascii="Nunito" w:eastAsia="Nunito" w:hAnsi="Nunito" w:cs="Nunito"/>
          <w:sz w:val="24"/>
          <w:szCs w:val="24"/>
          <w:lang w:val="en-US"/>
        </w:rPr>
      </w:pPr>
    </w:p>
    <w:p w14:paraId="7CADE545" w14:textId="77777777" w:rsidR="007D55B3" w:rsidRPr="006F3E90" w:rsidRDefault="00000000">
      <w:pPr>
        <w:spacing w:line="259" w:lineRule="auto"/>
        <w:jc w:val="both"/>
        <w:rPr>
          <w:rFonts w:ascii="Nunito" w:eastAsia="Nunito" w:hAnsi="Nunito" w:cs="Nunito"/>
          <w:sz w:val="24"/>
          <w:szCs w:val="24"/>
          <w:lang w:val="en-US"/>
        </w:rPr>
      </w:pPr>
      <w:proofErr w:type="gramStart"/>
      <w:r w:rsidRPr="006F3E90">
        <w:rPr>
          <w:rFonts w:ascii="Nunito" w:eastAsia="Nunito" w:hAnsi="Nunito" w:cs="Nunito"/>
          <w:sz w:val="24"/>
          <w:szCs w:val="24"/>
          <w:lang w:val="en-US"/>
        </w:rPr>
        <w:t>In regard to</w:t>
      </w:r>
      <w:proofErr w:type="gramEnd"/>
      <w:r w:rsidRPr="006F3E90">
        <w:rPr>
          <w:rFonts w:ascii="Nunito" w:eastAsia="Nunito" w:hAnsi="Nunito" w:cs="Nunito"/>
          <w:sz w:val="24"/>
          <w:szCs w:val="24"/>
          <w:lang w:val="en-US"/>
        </w:rPr>
        <w:t xml:space="preserve"> the classification and prosecution of the discriminatory acts described herein, although the Criminal Code criminalizes discrimination,</w:t>
      </w:r>
      <w:r>
        <w:rPr>
          <w:rFonts w:ascii="Nunito" w:eastAsia="Nunito" w:hAnsi="Nunito" w:cs="Nunito"/>
          <w:sz w:val="24"/>
          <w:szCs w:val="24"/>
          <w:vertAlign w:val="superscript"/>
        </w:rPr>
        <w:footnoteReference w:id="25"/>
      </w:r>
      <w:r w:rsidRPr="006F3E90">
        <w:rPr>
          <w:rFonts w:ascii="Nunito" w:eastAsia="Nunito" w:hAnsi="Nunito" w:cs="Nunito"/>
          <w:sz w:val="24"/>
          <w:szCs w:val="24"/>
          <w:vertAlign w:val="superscript"/>
          <w:lang w:val="en-US"/>
        </w:rPr>
        <w:t xml:space="preserve"> </w:t>
      </w:r>
      <w:r w:rsidRPr="006F3E90">
        <w:rPr>
          <w:rFonts w:ascii="Nunito" w:eastAsia="Nunito" w:hAnsi="Nunito" w:cs="Nunito"/>
          <w:sz w:val="24"/>
          <w:szCs w:val="24"/>
          <w:lang w:val="en-US"/>
        </w:rPr>
        <w:t>as a criminal offense, the law does not explicitly include sexual orientation, gender identity, or gender expression as protected categories. And although it does include discrimination based on ethnic or racial grounds, the drafting of this provision did not involve prior consultation with Indigenous social movements</w:t>
      </w:r>
      <w:r>
        <w:rPr>
          <w:rFonts w:ascii="Nunito" w:eastAsia="Nunito" w:hAnsi="Nunito" w:cs="Nunito"/>
          <w:sz w:val="24"/>
          <w:szCs w:val="24"/>
          <w:vertAlign w:val="superscript"/>
        </w:rPr>
        <w:footnoteReference w:id="26"/>
      </w:r>
      <w:r w:rsidRPr="006F3E90">
        <w:rPr>
          <w:rFonts w:ascii="Nunito" w:eastAsia="Nunito" w:hAnsi="Nunito" w:cs="Nunito"/>
          <w:sz w:val="24"/>
          <w:szCs w:val="24"/>
          <w:lang w:val="en-US"/>
        </w:rPr>
        <w:t xml:space="preserve">. As a result, it also fails to address the specific experiences and needs of these communities, which, being non-uniform, require differentiated approaches — as is the case for Indigenous LGBTQ+ individuals. Consequently, in practice, this legal prohibition has not been effective in eliminating segregation against them and does not account for the convergence of identity factors that may lead to multiple or intersecting forms of discrimination, such </w:t>
      </w:r>
      <w:r w:rsidRPr="006F3E90">
        <w:rPr>
          <w:rFonts w:ascii="Nunito" w:eastAsia="Nunito" w:hAnsi="Nunito" w:cs="Nunito"/>
          <w:sz w:val="24"/>
          <w:szCs w:val="24"/>
          <w:lang w:val="en-US"/>
        </w:rPr>
        <w:lastRenderedPageBreak/>
        <w:t>as those based on race combined with sexual orientation, gender identity, or gender expression.</w:t>
      </w:r>
    </w:p>
    <w:p w14:paraId="36419190" w14:textId="77777777" w:rsidR="007D55B3" w:rsidRPr="006F3E90" w:rsidRDefault="007D55B3">
      <w:pPr>
        <w:spacing w:line="259" w:lineRule="auto"/>
        <w:jc w:val="both"/>
        <w:rPr>
          <w:rFonts w:ascii="Nunito" w:eastAsia="Nunito" w:hAnsi="Nunito" w:cs="Nunito"/>
          <w:sz w:val="24"/>
          <w:szCs w:val="24"/>
          <w:lang w:val="en-US"/>
        </w:rPr>
      </w:pPr>
    </w:p>
    <w:p w14:paraId="0C7A0C52" w14:textId="77777777" w:rsidR="007D55B3" w:rsidRPr="006F3E90" w:rsidRDefault="00000000">
      <w:pPr>
        <w:spacing w:line="259" w:lineRule="auto"/>
        <w:jc w:val="both"/>
        <w:rPr>
          <w:rFonts w:ascii="Nunito" w:eastAsia="Nunito" w:hAnsi="Nunito" w:cs="Nunito"/>
          <w:sz w:val="24"/>
          <w:szCs w:val="24"/>
          <w:lang w:val="en-US"/>
        </w:rPr>
      </w:pPr>
      <w:proofErr w:type="gramStart"/>
      <w:r w:rsidRPr="006F3E90">
        <w:rPr>
          <w:rFonts w:ascii="Nunito" w:eastAsia="Nunito" w:hAnsi="Nunito" w:cs="Nunito"/>
          <w:sz w:val="24"/>
          <w:szCs w:val="24"/>
          <w:lang w:val="en-US"/>
        </w:rPr>
        <w:t>With regard to</w:t>
      </w:r>
      <w:proofErr w:type="gramEnd"/>
      <w:r w:rsidRPr="006F3E90">
        <w:rPr>
          <w:rFonts w:ascii="Nunito" w:eastAsia="Nunito" w:hAnsi="Nunito" w:cs="Nunito"/>
          <w:sz w:val="24"/>
          <w:szCs w:val="24"/>
          <w:lang w:val="en-US"/>
        </w:rPr>
        <w:t xml:space="preserve"> the prosecution of cases invoking the crime of discrimination against Indigenous persons with diverse sexual orientations and gender identities, the Judicial Branch of Guatemala, through its Court Management System, does not provide precise information on the number of convictions or acquittals issued. It only reports that a total of 40 cases </w:t>
      </w:r>
      <w:proofErr w:type="gramStart"/>
      <w:r w:rsidRPr="006F3E90">
        <w:rPr>
          <w:rFonts w:ascii="Nunito" w:eastAsia="Nunito" w:hAnsi="Nunito" w:cs="Nunito"/>
          <w:sz w:val="24"/>
          <w:szCs w:val="24"/>
          <w:lang w:val="en-US"/>
        </w:rPr>
        <w:t>have</w:t>
      </w:r>
      <w:proofErr w:type="gramEnd"/>
      <w:r w:rsidRPr="006F3E90">
        <w:rPr>
          <w:rFonts w:ascii="Nunito" w:eastAsia="Nunito" w:hAnsi="Nunito" w:cs="Nunito"/>
          <w:sz w:val="24"/>
          <w:szCs w:val="24"/>
          <w:lang w:val="en-US"/>
        </w:rPr>
        <w:t xml:space="preserve"> been recorded up to the year 2024</w:t>
      </w:r>
      <w:r>
        <w:rPr>
          <w:rFonts w:ascii="Nunito" w:eastAsia="Nunito" w:hAnsi="Nunito" w:cs="Nunito"/>
          <w:sz w:val="24"/>
          <w:szCs w:val="24"/>
          <w:vertAlign w:val="superscript"/>
        </w:rPr>
        <w:footnoteReference w:id="27"/>
      </w:r>
      <w:r w:rsidRPr="006F3E90">
        <w:rPr>
          <w:rFonts w:ascii="Nunito" w:eastAsia="Nunito" w:hAnsi="Nunito" w:cs="Nunito"/>
          <w:sz w:val="24"/>
          <w:szCs w:val="24"/>
          <w:lang w:val="en-US"/>
        </w:rPr>
        <w:t>. Furthermore, the available statistics are not disaggregated by sexual orientation, gender identity, or the ethnic origin of the victims in the cases adjudicated</w:t>
      </w:r>
      <w:r>
        <w:rPr>
          <w:rFonts w:ascii="Nunito" w:eastAsia="Nunito" w:hAnsi="Nunito" w:cs="Nunito"/>
          <w:sz w:val="24"/>
          <w:szCs w:val="24"/>
          <w:vertAlign w:val="superscript"/>
        </w:rPr>
        <w:footnoteReference w:id="28"/>
      </w:r>
      <w:r w:rsidRPr="006F3E90">
        <w:rPr>
          <w:rFonts w:ascii="Nunito" w:eastAsia="Nunito" w:hAnsi="Nunito" w:cs="Nunito"/>
          <w:sz w:val="24"/>
          <w:szCs w:val="24"/>
          <w:lang w:val="en-US"/>
        </w:rPr>
        <w:t xml:space="preserve">. </w:t>
      </w:r>
    </w:p>
    <w:p w14:paraId="41375272" w14:textId="77777777" w:rsidR="007D55B3" w:rsidRPr="006F3E90" w:rsidRDefault="007D55B3">
      <w:pPr>
        <w:spacing w:line="259" w:lineRule="auto"/>
        <w:jc w:val="both"/>
        <w:rPr>
          <w:rFonts w:ascii="Nunito" w:eastAsia="Nunito" w:hAnsi="Nunito" w:cs="Nunito"/>
          <w:sz w:val="24"/>
          <w:szCs w:val="24"/>
          <w:lang w:val="en-US"/>
        </w:rPr>
      </w:pPr>
    </w:p>
    <w:p w14:paraId="0262C326"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However, the Public Prosecutor’s Office</w:t>
      </w:r>
      <w:r>
        <w:rPr>
          <w:rFonts w:ascii="Nunito" w:eastAsia="Nunito" w:hAnsi="Nunito" w:cs="Nunito"/>
          <w:sz w:val="24"/>
          <w:szCs w:val="24"/>
          <w:vertAlign w:val="superscript"/>
        </w:rPr>
        <w:footnoteReference w:id="29"/>
      </w:r>
      <w:r w:rsidRPr="006F3E90">
        <w:rPr>
          <w:rFonts w:ascii="Nunito" w:eastAsia="Nunito" w:hAnsi="Nunito" w:cs="Nunito"/>
          <w:sz w:val="24"/>
          <w:szCs w:val="24"/>
          <w:lang w:val="en-US"/>
        </w:rPr>
        <w:t xml:space="preserve"> does collect certain variables that allow for the gathering of some of this information. According to data provided by the institution, from January 2020 to July 17, 2025, a total of 68 complaints for the crime of discrimination were filed nationwide in Guatemala by LGBTIQ+ persons. Of these, only one complainant identified as an Indigenous person of Maya ethnicity, and none of the cases resulted in a conviction. Of the total complaints: 55 were dismissed, 5 were archived, 2 were resolved through an opportunity criterion, 1 was joined to another criminal case, 1 remains in the intermediate stage, and 4 are still under investigation.</w:t>
      </w:r>
    </w:p>
    <w:p w14:paraId="21E53337" w14:textId="77777777" w:rsidR="007D55B3" w:rsidRPr="006F3E90" w:rsidRDefault="00000000">
      <w:pPr>
        <w:spacing w:before="220" w:after="220"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 xml:space="preserve">This information highlights two main issues. First, the Guatemalan judicial system lacks records that incorporate variables such as ethnicity, sexual orientation, and gender identity of those who seek justice. As a result, there are no data that allow for an analysis of discrimination cases against Indigenous and racialized LGBTQ+ persons, nor of their effective access to justice. Second, it reveals the ineffectiveness of the criminal offense of discrimination motivated by racism, as well as the absence of an intersectional approach that </w:t>
      </w:r>
      <w:proofErr w:type="gramStart"/>
      <w:r w:rsidRPr="006F3E90">
        <w:rPr>
          <w:rFonts w:ascii="Nunito" w:eastAsia="Nunito" w:hAnsi="Nunito" w:cs="Nunito"/>
          <w:sz w:val="24"/>
          <w:szCs w:val="24"/>
          <w:lang w:val="en-US"/>
        </w:rPr>
        <w:t>takes into account</w:t>
      </w:r>
      <w:proofErr w:type="gramEnd"/>
      <w:r w:rsidRPr="006F3E90">
        <w:rPr>
          <w:rFonts w:ascii="Nunito" w:eastAsia="Nunito" w:hAnsi="Nunito" w:cs="Nunito"/>
          <w:sz w:val="24"/>
          <w:szCs w:val="24"/>
          <w:lang w:val="en-US"/>
        </w:rPr>
        <w:t xml:space="preserve"> identity factors such as sexual orientation, gender expression, and gender identity when analyzing discrimination complaints brought by this group.</w:t>
      </w:r>
    </w:p>
    <w:p w14:paraId="70EA977A"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The absence of official data that record variables such as sexual orientation and gender identity is not limited to the Judicial Branch of Guatemala. Institutions that play a key role in preventing and eliminating discrimination against Indigenous peoples, such as the Presidential Commission against Discrimination and Racism against Indigenous Peoples in Guatemala (CODISRA)</w:t>
      </w:r>
      <w:r>
        <w:rPr>
          <w:rFonts w:ascii="Nunito" w:eastAsia="Nunito" w:hAnsi="Nunito" w:cs="Nunito"/>
          <w:sz w:val="24"/>
          <w:szCs w:val="24"/>
          <w:vertAlign w:val="superscript"/>
        </w:rPr>
        <w:footnoteReference w:id="30"/>
      </w:r>
      <w:r w:rsidRPr="006F3E90">
        <w:rPr>
          <w:rFonts w:ascii="Nunito" w:eastAsia="Nunito" w:hAnsi="Nunito" w:cs="Nunito"/>
          <w:sz w:val="24"/>
          <w:szCs w:val="24"/>
          <w:lang w:val="en-US"/>
        </w:rPr>
        <w:t xml:space="preserve"> also do not collect such </w:t>
      </w:r>
      <w:r w:rsidRPr="006F3E90">
        <w:rPr>
          <w:rFonts w:ascii="Nunito" w:eastAsia="Nunito" w:hAnsi="Nunito" w:cs="Nunito"/>
          <w:sz w:val="24"/>
          <w:szCs w:val="24"/>
          <w:lang w:val="en-US"/>
        </w:rPr>
        <w:lastRenderedPageBreak/>
        <w:t>information. In the case of other key entities involved in combating discrimination and promoting cultural transformation, such as the Defender of Indigenous Women’s Office and the Ministry of Culture and Sports, their work has historically been limited to applying an ethnic-cultural approach</w:t>
      </w:r>
      <w:r>
        <w:rPr>
          <w:rFonts w:ascii="Nunito" w:eastAsia="Nunito" w:hAnsi="Nunito" w:cs="Nunito"/>
          <w:sz w:val="24"/>
          <w:szCs w:val="24"/>
          <w:vertAlign w:val="superscript"/>
        </w:rPr>
        <w:footnoteReference w:id="31"/>
      </w:r>
      <w:r w:rsidRPr="006F3E90">
        <w:rPr>
          <w:rFonts w:ascii="Nunito" w:eastAsia="Nunito" w:hAnsi="Nunito" w:cs="Nunito"/>
          <w:sz w:val="24"/>
          <w:szCs w:val="24"/>
          <w:lang w:val="en-US"/>
        </w:rPr>
        <w:t xml:space="preserve"> and have not explored other dimensions of identity that intersect with indigeneity, such as sexual orientation and gender identity or expression. As a result, none of these institutions have data that would allow for the characterization of the lived experiences and needs of Indigenous LGBTIQ+ individuals. Consequently, they are also unable to design public policies or allocate public resources to address these needs and fulfill their mandate to eliminate discrimination.</w:t>
      </w:r>
    </w:p>
    <w:p w14:paraId="72C213A3" w14:textId="77777777" w:rsidR="007D55B3" w:rsidRPr="006F3E90" w:rsidRDefault="007D55B3">
      <w:pPr>
        <w:spacing w:line="259" w:lineRule="auto"/>
        <w:jc w:val="both"/>
        <w:rPr>
          <w:rFonts w:ascii="Nunito" w:eastAsia="Nunito" w:hAnsi="Nunito" w:cs="Nunito"/>
          <w:sz w:val="24"/>
          <w:szCs w:val="24"/>
          <w:lang w:val="en-US"/>
        </w:rPr>
      </w:pPr>
    </w:p>
    <w:p w14:paraId="1A7838D9"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 xml:space="preserve">Based on the above, it is reasonable to conclude that Guatemala has failed to comply with the Committee’s recommendation to systematically collect demographic data disaggregated by variables such as gender, </w:t>
      </w:r>
      <w:proofErr w:type="gramStart"/>
      <w:r w:rsidRPr="006F3E90">
        <w:rPr>
          <w:rFonts w:ascii="Nunito" w:eastAsia="Nunito" w:hAnsi="Nunito" w:cs="Nunito"/>
          <w:sz w:val="24"/>
          <w:szCs w:val="24"/>
          <w:lang w:val="en-US"/>
        </w:rPr>
        <w:t>in order to</w:t>
      </w:r>
      <w:proofErr w:type="gramEnd"/>
      <w:r w:rsidRPr="006F3E90">
        <w:rPr>
          <w:rFonts w:ascii="Nunito" w:eastAsia="Nunito" w:hAnsi="Nunito" w:cs="Nunito"/>
          <w:sz w:val="24"/>
          <w:szCs w:val="24"/>
          <w:lang w:val="en-US"/>
        </w:rPr>
        <w:t xml:space="preserve"> design and evaluate public policies aimed at comprehensively eliminating racial discrimination</w:t>
      </w:r>
      <w:r>
        <w:rPr>
          <w:rFonts w:ascii="Nunito" w:eastAsia="Nunito" w:hAnsi="Nunito" w:cs="Nunito"/>
          <w:sz w:val="24"/>
          <w:szCs w:val="24"/>
          <w:vertAlign w:val="superscript"/>
        </w:rPr>
        <w:footnoteReference w:id="32"/>
      </w:r>
      <w:r w:rsidRPr="006F3E90">
        <w:rPr>
          <w:rFonts w:ascii="Nunito" w:eastAsia="Nunito" w:hAnsi="Nunito" w:cs="Nunito"/>
          <w:sz w:val="24"/>
          <w:szCs w:val="24"/>
          <w:lang w:val="en-US"/>
        </w:rPr>
        <w:t xml:space="preserve">. </w:t>
      </w:r>
    </w:p>
    <w:p w14:paraId="11298E37" w14:textId="77777777" w:rsidR="007D55B3" w:rsidRPr="006F3E90" w:rsidRDefault="007D55B3">
      <w:pPr>
        <w:spacing w:line="259" w:lineRule="auto"/>
        <w:jc w:val="both"/>
        <w:rPr>
          <w:rFonts w:ascii="Nunito" w:eastAsia="Nunito" w:hAnsi="Nunito" w:cs="Nunito"/>
          <w:sz w:val="24"/>
          <w:szCs w:val="24"/>
          <w:lang w:val="en-US"/>
        </w:rPr>
      </w:pPr>
    </w:p>
    <w:p w14:paraId="02417BFF" w14:textId="77777777" w:rsidR="007D55B3" w:rsidRDefault="00000000">
      <w:pPr>
        <w:numPr>
          <w:ilvl w:val="0"/>
          <w:numId w:val="1"/>
        </w:numPr>
        <w:spacing w:line="259" w:lineRule="auto"/>
        <w:jc w:val="both"/>
        <w:rPr>
          <w:rFonts w:ascii="Nunito" w:eastAsia="Nunito" w:hAnsi="Nunito" w:cs="Nunito"/>
          <w:b/>
          <w:sz w:val="24"/>
          <w:szCs w:val="24"/>
        </w:rPr>
      </w:pPr>
      <w:proofErr w:type="spellStart"/>
      <w:r>
        <w:rPr>
          <w:rFonts w:ascii="Nunito" w:eastAsia="Nunito" w:hAnsi="Nunito" w:cs="Nunito"/>
          <w:b/>
          <w:sz w:val="24"/>
          <w:szCs w:val="24"/>
        </w:rPr>
        <w:t>Education</w:t>
      </w:r>
      <w:proofErr w:type="spellEnd"/>
    </w:p>
    <w:p w14:paraId="253E98F7"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In Guatemala, one of the main factors hindering Indigenous peoples’ access to education is the significant geographical distance between their territories and local educational centers. Moreover, most communities lack sufficient teachers capable of providing basic education to children. Additionally, economic hardships, including poverty and extreme poverty, often prevent Indigenous children from participating in educational processes, as they are required to take on domestic and caregiving responsibilities</w:t>
      </w:r>
      <w:r>
        <w:rPr>
          <w:rFonts w:ascii="Nunito" w:eastAsia="Nunito" w:hAnsi="Nunito" w:cs="Nunito"/>
          <w:sz w:val="24"/>
          <w:szCs w:val="24"/>
          <w:vertAlign w:val="superscript"/>
        </w:rPr>
        <w:footnoteReference w:id="33"/>
      </w:r>
      <w:r w:rsidRPr="006F3E90">
        <w:rPr>
          <w:rFonts w:ascii="Nunito" w:eastAsia="Nunito" w:hAnsi="Nunito" w:cs="Nunito"/>
          <w:sz w:val="24"/>
          <w:szCs w:val="24"/>
          <w:lang w:val="en-US"/>
        </w:rPr>
        <w:t xml:space="preserve">. </w:t>
      </w:r>
    </w:p>
    <w:p w14:paraId="6D7EFF77" w14:textId="77777777" w:rsidR="007D55B3" w:rsidRPr="006F3E90" w:rsidRDefault="007D55B3">
      <w:pPr>
        <w:spacing w:line="259" w:lineRule="auto"/>
        <w:jc w:val="both"/>
        <w:rPr>
          <w:rFonts w:ascii="Nunito" w:eastAsia="Nunito" w:hAnsi="Nunito" w:cs="Nunito"/>
          <w:sz w:val="24"/>
          <w:szCs w:val="24"/>
          <w:lang w:val="en-US"/>
        </w:rPr>
      </w:pPr>
    </w:p>
    <w:p w14:paraId="3C1B70DE"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Indigenous LGBTQ+ individuals are even more vulnerable to dropping out of school because, in addition to the previously mentioned factors, educational environments often reproduce discriminatory narratives and become fertile spaces for harassment or bullying motivated by prejudice against diverse sexual orientations, gender identities, and gender expressions</w:t>
      </w:r>
      <w:r>
        <w:rPr>
          <w:rFonts w:ascii="Nunito" w:eastAsia="Nunito" w:hAnsi="Nunito" w:cs="Nunito"/>
          <w:sz w:val="24"/>
          <w:szCs w:val="24"/>
          <w:vertAlign w:val="superscript"/>
        </w:rPr>
        <w:footnoteReference w:id="34"/>
      </w:r>
      <w:r w:rsidRPr="006F3E90">
        <w:rPr>
          <w:rFonts w:ascii="Nunito" w:eastAsia="Nunito" w:hAnsi="Nunito" w:cs="Nunito"/>
          <w:sz w:val="24"/>
          <w:szCs w:val="24"/>
          <w:lang w:val="en-US"/>
        </w:rPr>
        <w:t xml:space="preserve">. Some trans people interviewed by the Lambda Association pointed out that socioeconomic vulnerability, combined with the discrimination they face in educational settings because of their gender identity, has been the main factor preventing them from completing their basic education. </w:t>
      </w:r>
    </w:p>
    <w:p w14:paraId="03C5B936" w14:textId="77777777" w:rsidR="007D55B3" w:rsidRPr="006F3E90" w:rsidRDefault="007D55B3">
      <w:pPr>
        <w:spacing w:line="259" w:lineRule="auto"/>
        <w:jc w:val="both"/>
        <w:rPr>
          <w:rFonts w:ascii="Nunito" w:eastAsia="Nunito" w:hAnsi="Nunito" w:cs="Nunito"/>
          <w:sz w:val="24"/>
          <w:szCs w:val="24"/>
          <w:lang w:val="en-US"/>
        </w:rPr>
      </w:pPr>
    </w:p>
    <w:p w14:paraId="535F07CF"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lastRenderedPageBreak/>
        <w:t>On the other hand, given that during the colonization process the Catholic Church undertook the task of evangelizing and, secondarily, teaching literacy and Spanish to Indigenous peoples,</w:t>
      </w:r>
      <w:r>
        <w:rPr>
          <w:rFonts w:ascii="Nunito" w:eastAsia="Nunito" w:hAnsi="Nunito" w:cs="Nunito"/>
          <w:sz w:val="24"/>
          <w:szCs w:val="24"/>
          <w:vertAlign w:val="superscript"/>
        </w:rPr>
        <w:footnoteReference w:id="35"/>
      </w:r>
      <w:r w:rsidRPr="006F3E90">
        <w:rPr>
          <w:rFonts w:ascii="Nunito" w:eastAsia="Nunito" w:hAnsi="Nunito" w:cs="Nunito"/>
          <w:sz w:val="24"/>
          <w:szCs w:val="24"/>
          <w:lang w:val="en-US"/>
        </w:rPr>
        <w:t>; religious missions, particularly evangelical missions, have played a central role in the education processes in these communities, along with the provision of other basic services that the state does not provide.</w:t>
      </w:r>
      <w:r>
        <w:rPr>
          <w:rFonts w:ascii="Nunito" w:eastAsia="Nunito" w:hAnsi="Nunito" w:cs="Nunito"/>
          <w:sz w:val="24"/>
          <w:szCs w:val="24"/>
          <w:vertAlign w:val="superscript"/>
        </w:rPr>
        <w:footnoteReference w:id="36"/>
      </w:r>
      <w:r w:rsidRPr="006F3E90">
        <w:rPr>
          <w:rFonts w:ascii="Nunito" w:eastAsia="Nunito" w:hAnsi="Nunito" w:cs="Nunito"/>
          <w:sz w:val="24"/>
          <w:szCs w:val="24"/>
          <w:lang w:val="en-US"/>
        </w:rPr>
        <w:t xml:space="preserve"> These organizations defend traditional and conservative views of sexuality, gender, and family</w:t>
      </w:r>
      <w:r>
        <w:rPr>
          <w:rFonts w:ascii="Nunito" w:eastAsia="Nunito" w:hAnsi="Nunito" w:cs="Nunito"/>
          <w:sz w:val="24"/>
          <w:szCs w:val="24"/>
          <w:vertAlign w:val="superscript"/>
        </w:rPr>
        <w:footnoteReference w:id="37"/>
      </w:r>
      <w:r w:rsidRPr="006F3E90">
        <w:rPr>
          <w:rFonts w:ascii="Nunito" w:eastAsia="Nunito" w:hAnsi="Nunito" w:cs="Nunito"/>
          <w:sz w:val="24"/>
          <w:szCs w:val="24"/>
          <w:lang w:val="en-US"/>
        </w:rPr>
        <w:t>, so when they take on educational tasks within indigenous territories, they reproduce this system of values and hate speech that reinforces structures of discrimination against LGTBIQ+ people in these territories, both inside and outside of school.</w:t>
      </w:r>
      <w:r>
        <w:rPr>
          <w:rFonts w:ascii="Nunito" w:eastAsia="Nunito" w:hAnsi="Nunito" w:cs="Nunito"/>
          <w:sz w:val="24"/>
          <w:szCs w:val="24"/>
          <w:vertAlign w:val="superscript"/>
        </w:rPr>
        <w:footnoteReference w:id="38"/>
      </w:r>
    </w:p>
    <w:p w14:paraId="7FBB7D11" w14:textId="77777777" w:rsidR="007D55B3" w:rsidRPr="006F3E90" w:rsidRDefault="007D55B3">
      <w:pPr>
        <w:spacing w:line="259" w:lineRule="auto"/>
        <w:jc w:val="both"/>
        <w:rPr>
          <w:rFonts w:ascii="Nunito" w:eastAsia="Nunito" w:hAnsi="Nunito" w:cs="Nunito"/>
          <w:sz w:val="24"/>
          <w:szCs w:val="24"/>
          <w:lang w:val="en-US"/>
        </w:rPr>
      </w:pPr>
    </w:p>
    <w:p w14:paraId="56B9F274"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In addition to having great legitimacy within indigenous communities due to the care work they carry out in their territories</w:t>
      </w:r>
      <w:r>
        <w:rPr>
          <w:rFonts w:ascii="Nunito" w:eastAsia="Nunito" w:hAnsi="Nunito" w:cs="Nunito"/>
          <w:sz w:val="24"/>
          <w:szCs w:val="24"/>
          <w:vertAlign w:val="superscript"/>
        </w:rPr>
        <w:footnoteReference w:id="39"/>
      </w:r>
      <w:r w:rsidRPr="006F3E90">
        <w:rPr>
          <w:rFonts w:ascii="Nunito" w:eastAsia="Nunito" w:hAnsi="Nunito" w:cs="Nunito"/>
          <w:sz w:val="24"/>
          <w:szCs w:val="24"/>
          <w:lang w:val="en-US"/>
        </w:rPr>
        <w:t>. These evangelical movements wield considerable political influence and have representatives in decision-making bodies such as the Congress of the Republic. They have promoted, for example, Bill 5272, which, in addition to seeking to have Guatemala City declared the Ibero-American capital of life and family, aimed to ban any program related to sexual diversity or the teaching of sexual behaviors other than heterosexuality.</w:t>
      </w:r>
      <w:r>
        <w:rPr>
          <w:rFonts w:ascii="Nunito" w:eastAsia="Nunito" w:hAnsi="Nunito" w:cs="Nunito"/>
          <w:sz w:val="24"/>
          <w:szCs w:val="24"/>
          <w:vertAlign w:val="superscript"/>
        </w:rPr>
        <w:footnoteReference w:id="40"/>
      </w:r>
      <w:r w:rsidRPr="006F3E90">
        <w:rPr>
          <w:rFonts w:ascii="Nunito" w:eastAsia="Nunito" w:hAnsi="Nunito" w:cs="Nunito"/>
          <w:sz w:val="24"/>
          <w:szCs w:val="24"/>
          <w:lang w:val="en-US"/>
        </w:rPr>
        <w:t xml:space="preserve"> These types of projects would be harmful and dangerous for LGBTQ+ indigenous people, who would not find a safe space to educate themselves either within their territories or outside of them. </w:t>
      </w:r>
    </w:p>
    <w:p w14:paraId="369740F4" w14:textId="77777777" w:rsidR="007D55B3" w:rsidRPr="006F3E90" w:rsidRDefault="007D55B3">
      <w:pPr>
        <w:spacing w:line="259" w:lineRule="auto"/>
        <w:jc w:val="both"/>
        <w:rPr>
          <w:rFonts w:ascii="Nunito" w:eastAsia="Nunito" w:hAnsi="Nunito" w:cs="Nunito"/>
          <w:sz w:val="24"/>
          <w:szCs w:val="24"/>
          <w:lang w:val="en-US"/>
        </w:rPr>
      </w:pPr>
    </w:p>
    <w:p w14:paraId="63A3B14C"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These situations indicate that the State of Guatemala has not complied with the recommendations made to States by this Committee in its General Recommendation No. 35 on combating racist hate speech, which stipulates that education systems should be based on human rights and should promote mutual respect and tolerance among individuals, nations, and racial and ethnic groups</w:t>
      </w:r>
      <w:r>
        <w:rPr>
          <w:rFonts w:ascii="Nunito" w:eastAsia="Nunito" w:hAnsi="Nunito" w:cs="Nunito"/>
          <w:sz w:val="24"/>
          <w:szCs w:val="24"/>
          <w:vertAlign w:val="superscript"/>
        </w:rPr>
        <w:footnoteReference w:id="41"/>
      </w:r>
      <w:r w:rsidRPr="006F3E90">
        <w:rPr>
          <w:rFonts w:ascii="Nunito" w:eastAsia="Nunito" w:hAnsi="Nunito" w:cs="Nunito"/>
          <w:sz w:val="24"/>
          <w:szCs w:val="24"/>
          <w:lang w:val="en-US"/>
        </w:rPr>
        <w:t xml:space="preserve">.  </w:t>
      </w:r>
    </w:p>
    <w:p w14:paraId="19D59697" w14:textId="77777777" w:rsidR="007D55B3" w:rsidRPr="006F3E90" w:rsidRDefault="007D55B3">
      <w:pPr>
        <w:spacing w:line="259" w:lineRule="auto"/>
        <w:jc w:val="both"/>
        <w:rPr>
          <w:rFonts w:ascii="Nunito" w:eastAsia="Nunito" w:hAnsi="Nunito" w:cs="Nunito"/>
          <w:sz w:val="24"/>
          <w:szCs w:val="24"/>
          <w:lang w:val="en-US"/>
        </w:rPr>
      </w:pPr>
    </w:p>
    <w:p w14:paraId="31FEDA80" w14:textId="77777777" w:rsidR="007D55B3" w:rsidRDefault="00000000">
      <w:pPr>
        <w:numPr>
          <w:ilvl w:val="0"/>
          <w:numId w:val="1"/>
        </w:numPr>
        <w:spacing w:line="259" w:lineRule="auto"/>
        <w:jc w:val="both"/>
        <w:rPr>
          <w:rFonts w:ascii="Nunito" w:eastAsia="Nunito" w:hAnsi="Nunito" w:cs="Nunito"/>
          <w:b/>
          <w:sz w:val="24"/>
          <w:szCs w:val="24"/>
        </w:rPr>
      </w:pPr>
      <w:proofErr w:type="spellStart"/>
      <w:r>
        <w:rPr>
          <w:rFonts w:ascii="Nunito" w:eastAsia="Nunito" w:hAnsi="Nunito" w:cs="Nunito"/>
          <w:b/>
          <w:sz w:val="24"/>
          <w:szCs w:val="24"/>
        </w:rPr>
        <w:t>Health</w:t>
      </w:r>
      <w:proofErr w:type="spellEnd"/>
    </w:p>
    <w:p w14:paraId="19112A75"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Indigenous people in Guatemala experience significant gaps in access to health services, resulting in higher morbidity and mortality rates in territories inhabited by indigenous peoples than in the rest of the population</w:t>
      </w:r>
      <w:r>
        <w:rPr>
          <w:rFonts w:ascii="Nunito" w:eastAsia="Nunito" w:hAnsi="Nunito" w:cs="Nunito"/>
          <w:sz w:val="24"/>
          <w:szCs w:val="24"/>
          <w:vertAlign w:val="superscript"/>
        </w:rPr>
        <w:footnoteReference w:id="42"/>
      </w:r>
      <w:r w:rsidRPr="006F3E90">
        <w:rPr>
          <w:rFonts w:ascii="Nunito" w:eastAsia="Nunito" w:hAnsi="Nunito" w:cs="Nunito"/>
          <w:sz w:val="24"/>
          <w:szCs w:val="24"/>
          <w:lang w:val="en-US"/>
        </w:rPr>
        <w:t>. Factors such as long journeys from rural areas to healthcare facilities; the economic burden of these journeys and of medical treatment; the lack of respect for cosmogonies and ancestral knowledge on the part of mestizo/ladino health professionals, and the absence of Maya-Spanish translators or protocols written in the Maya language significantly hinder these peoples' enjoyment of the highest level of physical and mental health</w:t>
      </w:r>
      <w:r>
        <w:rPr>
          <w:rFonts w:ascii="Nunito" w:eastAsia="Nunito" w:hAnsi="Nunito" w:cs="Nunito"/>
          <w:sz w:val="24"/>
          <w:szCs w:val="24"/>
          <w:vertAlign w:val="superscript"/>
        </w:rPr>
        <w:footnoteReference w:id="43"/>
      </w:r>
      <w:r w:rsidRPr="006F3E90">
        <w:rPr>
          <w:rFonts w:ascii="Nunito" w:eastAsia="Nunito" w:hAnsi="Nunito" w:cs="Nunito"/>
          <w:sz w:val="24"/>
          <w:szCs w:val="24"/>
          <w:lang w:val="en-US"/>
        </w:rPr>
        <w:t xml:space="preserve">. </w:t>
      </w:r>
    </w:p>
    <w:p w14:paraId="429688B2" w14:textId="77777777" w:rsidR="007D55B3" w:rsidRPr="006F3E90" w:rsidRDefault="007D55B3">
      <w:pPr>
        <w:spacing w:line="259" w:lineRule="auto"/>
        <w:jc w:val="both"/>
        <w:rPr>
          <w:rFonts w:ascii="Nunito" w:eastAsia="Nunito" w:hAnsi="Nunito" w:cs="Nunito"/>
          <w:sz w:val="24"/>
          <w:szCs w:val="24"/>
          <w:lang w:val="en-US"/>
        </w:rPr>
      </w:pPr>
    </w:p>
    <w:p w14:paraId="2406E55D"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 xml:space="preserve">Access to this service is even more complex for indigenous LGBTQ+ individuals, who, in addition to the barriers already mentioned, must face verbal or physical abuse from healthcare providers motivated by prejudice against their sexual orientation, gender expression, or gender identity. This was pointed out by several of the people interviewed by the LAMBDA Association. </w:t>
      </w:r>
    </w:p>
    <w:p w14:paraId="3799EC50" w14:textId="77777777" w:rsidR="007D55B3" w:rsidRPr="006F3E90" w:rsidRDefault="007D55B3">
      <w:pPr>
        <w:spacing w:line="259" w:lineRule="auto"/>
        <w:jc w:val="both"/>
        <w:rPr>
          <w:rFonts w:ascii="Nunito" w:eastAsia="Nunito" w:hAnsi="Nunito" w:cs="Nunito"/>
          <w:sz w:val="24"/>
          <w:szCs w:val="24"/>
          <w:lang w:val="en-US"/>
        </w:rPr>
      </w:pPr>
    </w:p>
    <w:p w14:paraId="270B9680"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In terms of mental health, the Ministry of Health has not updated the Medical Classification of Diagnoses from ICD-10 to ICD-11, which is why the Ministry of Health continues to register gender identity as a sexual preference disorder.</w:t>
      </w:r>
      <w:r>
        <w:rPr>
          <w:rFonts w:ascii="Nunito" w:eastAsia="Nunito" w:hAnsi="Nunito" w:cs="Nunito"/>
          <w:sz w:val="24"/>
          <w:szCs w:val="24"/>
          <w:vertAlign w:val="superscript"/>
        </w:rPr>
        <w:footnoteReference w:id="44"/>
      </w:r>
      <w:r w:rsidRPr="006F3E90">
        <w:rPr>
          <w:rFonts w:ascii="Nunito" w:eastAsia="Nunito" w:hAnsi="Nunito" w:cs="Nunito"/>
          <w:sz w:val="24"/>
          <w:szCs w:val="24"/>
          <w:lang w:val="en-US"/>
        </w:rPr>
        <w:t xml:space="preserve"> In the case of indigenous transgender people, due to the lack of institutional information translated into the Mayan language, as well as the absence of comprehensive sexuality education programs for indigenous communities, these pathologizing classifications of identity make them more likely to be involved, without their full knowledge, in practices that seek to change their gender identity (ECOSIEG)</w:t>
      </w:r>
      <w:r>
        <w:rPr>
          <w:rFonts w:ascii="Nunito" w:eastAsia="Nunito" w:hAnsi="Nunito" w:cs="Nunito"/>
          <w:sz w:val="24"/>
          <w:szCs w:val="24"/>
          <w:vertAlign w:val="superscript"/>
        </w:rPr>
        <w:footnoteReference w:id="45"/>
      </w:r>
      <w:r w:rsidRPr="006F3E90">
        <w:rPr>
          <w:rFonts w:ascii="Nunito" w:eastAsia="Nunito" w:hAnsi="Nunito" w:cs="Nunito"/>
          <w:sz w:val="24"/>
          <w:szCs w:val="24"/>
          <w:lang w:val="en-US"/>
        </w:rPr>
        <w:t xml:space="preserve">. </w:t>
      </w:r>
    </w:p>
    <w:p w14:paraId="02997363" w14:textId="77777777" w:rsidR="007D55B3" w:rsidRPr="006F3E90" w:rsidRDefault="007D55B3">
      <w:pPr>
        <w:spacing w:line="259" w:lineRule="auto"/>
        <w:jc w:val="both"/>
        <w:rPr>
          <w:rFonts w:ascii="Nunito" w:eastAsia="Nunito" w:hAnsi="Nunito" w:cs="Nunito"/>
          <w:sz w:val="24"/>
          <w:szCs w:val="24"/>
          <w:lang w:val="en-US"/>
        </w:rPr>
      </w:pPr>
    </w:p>
    <w:p w14:paraId="53EC49FF"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In 2019, the Ministry of Health designed the Manual of Comprehensive Health Care Guidelines for Lesbians, Gays, and Bisexuals</w:t>
      </w:r>
      <w:r>
        <w:rPr>
          <w:rFonts w:ascii="Nunito" w:eastAsia="Nunito" w:hAnsi="Nunito" w:cs="Nunito"/>
          <w:sz w:val="24"/>
          <w:szCs w:val="24"/>
          <w:vertAlign w:val="superscript"/>
        </w:rPr>
        <w:footnoteReference w:id="46"/>
      </w:r>
      <w:r w:rsidRPr="006F3E90">
        <w:rPr>
          <w:rFonts w:ascii="Nunito" w:eastAsia="Nunito" w:hAnsi="Nunito" w:cs="Nunito"/>
          <w:sz w:val="24"/>
          <w:szCs w:val="24"/>
          <w:lang w:val="en-US"/>
        </w:rPr>
        <w:t xml:space="preserve"> as well as the Strategy for Comprehensive and Differentiated Health Care for Transgender People 2016-</w:t>
      </w:r>
      <w:r w:rsidRPr="006F3E90">
        <w:rPr>
          <w:rFonts w:ascii="Nunito" w:eastAsia="Nunito" w:hAnsi="Nunito" w:cs="Nunito"/>
          <w:sz w:val="24"/>
          <w:szCs w:val="24"/>
          <w:lang w:val="en-US"/>
        </w:rPr>
        <w:lastRenderedPageBreak/>
        <w:t>2030</w:t>
      </w:r>
      <w:r>
        <w:rPr>
          <w:rFonts w:ascii="Nunito" w:eastAsia="Nunito" w:hAnsi="Nunito" w:cs="Nunito"/>
          <w:sz w:val="24"/>
          <w:szCs w:val="24"/>
          <w:vertAlign w:val="superscript"/>
        </w:rPr>
        <w:footnoteReference w:id="47"/>
      </w:r>
      <w:r w:rsidRPr="006F3E90">
        <w:rPr>
          <w:rFonts w:ascii="Nunito" w:eastAsia="Nunito" w:hAnsi="Nunito" w:cs="Nunito"/>
          <w:sz w:val="24"/>
          <w:szCs w:val="24"/>
          <w:lang w:val="en-US"/>
        </w:rPr>
        <w:t xml:space="preserve">, with the aim of ensuring that people who are part of sexual diversities are cared for in a comprehensive manner and free from discrimination. However, these protocols do not explore the intersectionality that can converge in the identities of LGBTQ+ people, leaving gaps in the treatment and differential care protocol required by indigenous people with diverse sexual orientations and gender identities. </w:t>
      </w:r>
    </w:p>
    <w:p w14:paraId="2ADF9BD9" w14:textId="77777777" w:rsidR="007D55B3" w:rsidRPr="006F3E90" w:rsidRDefault="007D55B3">
      <w:pPr>
        <w:spacing w:line="259" w:lineRule="auto"/>
        <w:jc w:val="both"/>
        <w:rPr>
          <w:rFonts w:ascii="Nunito" w:eastAsia="Nunito" w:hAnsi="Nunito" w:cs="Nunito"/>
          <w:sz w:val="24"/>
          <w:szCs w:val="24"/>
          <w:lang w:val="en-US"/>
        </w:rPr>
      </w:pPr>
    </w:p>
    <w:p w14:paraId="5F6AA700" w14:textId="77777777" w:rsidR="007D55B3" w:rsidRPr="006F3E90" w:rsidRDefault="00000000">
      <w:pPr>
        <w:spacing w:line="259" w:lineRule="auto"/>
        <w:jc w:val="both"/>
        <w:rPr>
          <w:rFonts w:ascii="Nunito" w:eastAsia="Nunito" w:hAnsi="Nunito" w:cs="Nunito"/>
          <w:sz w:val="24"/>
          <w:szCs w:val="24"/>
          <w:lang w:val="en-US"/>
        </w:rPr>
      </w:pPr>
      <w:r w:rsidRPr="006F3E90">
        <w:rPr>
          <w:rFonts w:ascii="Nunito" w:eastAsia="Nunito" w:hAnsi="Nunito" w:cs="Nunito"/>
          <w:sz w:val="24"/>
          <w:szCs w:val="24"/>
          <w:lang w:val="en-US"/>
        </w:rPr>
        <w:t>In this regard, health guidelines, medical studies, and consultations with medical professionals that take this intersection into account have been limited to the prevention and treatment of HIV and AIDS</w:t>
      </w:r>
      <w:r>
        <w:rPr>
          <w:rFonts w:ascii="Nunito" w:eastAsia="Nunito" w:hAnsi="Nunito" w:cs="Nunito"/>
          <w:sz w:val="24"/>
          <w:szCs w:val="24"/>
          <w:vertAlign w:val="superscript"/>
        </w:rPr>
        <w:footnoteReference w:id="48"/>
      </w:r>
      <w:r w:rsidRPr="006F3E90">
        <w:rPr>
          <w:rFonts w:ascii="Nunito" w:eastAsia="Nunito" w:hAnsi="Nunito" w:cs="Nunito"/>
          <w:sz w:val="24"/>
          <w:szCs w:val="24"/>
          <w:lang w:val="en-US"/>
        </w:rPr>
        <w:t>, resulting in discrimination based on both the ethnic and gender identity of these individuals, who believe that these are the only health issues that need to be addressed in this population.</w:t>
      </w:r>
    </w:p>
    <w:p w14:paraId="19959CAB" w14:textId="77777777" w:rsidR="007D55B3" w:rsidRPr="006F3E90" w:rsidRDefault="007D55B3">
      <w:pPr>
        <w:spacing w:line="259" w:lineRule="auto"/>
        <w:jc w:val="both"/>
        <w:rPr>
          <w:rFonts w:ascii="Nunito" w:eastAsia="Nunito" w:hAnsi="Nunito" w:cs="Nunito"/>
          <w:sz w:val="24"/>
          <w:szCs w:val="24"/>
          <w:lang w:val="en-US"/>
        </w:rPr>
      </w:pPr>
    </w:p>
    <w:p w14:paraId="1BA814A7" w14:textId="77777777" w:rsidR="007D55B3" w:rsidRPr="006F3E90" w:rsidRDefault="00000000">
      <w:pPr>
        <w:spacing w:line="259" w:lineRule="auto"/>
        <w:jc w:val="both"/>
        <w:rPr>
          <w:rFonts w:ascii="Nunito" w:eastAsia="Nunito" w:hAnsi="Nunito" w:cs="Nunito"/>
          <w:sz w:val="24"/>
          <w:szCs w:val="24"/>
          <w:lang w:val="en-US"/>
        </w:rPr>
      </w:pPr>
      <w:proofErr w:type="gramStart"/>
      <w:r w:rsidRPr="006F3E90">
        <w:rPr>
          <w:rFonts w:ascii="Nunito" w:eastAsia="Nunito" w:hAnsi="Nunito" w:cs="Nunito"/>
          <w:sz w:val="24"/>
          <w:szCs w:val="24"/>
          <w:lang w:val="en-US"/>
        </w:rPr>
        <w:t>In light of</w:t>
      </w:r>
      <w:proofErr w:type="gramEnd"/>
      <w:r w:rsidRPr="006F3E90">
        <w:rPr>
          <w:rFonts w:ascii="Nunito" w:eastAsia="Nunito" w:hAnsi="Nunito" w:cs="Nunito"/>
          <w:sz w:val="24"/>
          <w:szCs w:val="24"/>
          <w:lang w:val="en-US"/>
        </w:rPr>
        <w:t xml:space="preserve"> the above, there is no doubt that the State did not implement the recommendation made by this Committee in the previous cycle to combat the multiple forms of discrimination faced by indigenous peoples by strengthening the gender perspective in all public policies, particularly those that guarantee access to services such as health care. Likewise, they ignored the recommendation made to States by this Committee to provide access to universal health coverage for indigenous people, </w:t>
      </w:r>
      <w:proofErr w:type="gramStart"/>
      <w:r w:rsidRPr="006F3E90">
        <w:rPr>
          <w:rFonts w:ascii="Nunito" w:eastAsia="Nunito" w:hAnsi="Nunito" w:cs="Nunito"/>
          <w:sz w:val="24"/>
          <w:szCs w:val="24"/>
          <w:lang w:val="en-US"/>
        </w:rPr>
        <w:t>taking into account</w:t>
      </w:r>
      <w:proofErr w:type="gramEnd"/>
      <w:r w:rsidRPr="006F3E90">
        <w:rPr>
          <w:rFonts w:ascii="Nunito" w:eastAsia="Nunito" w:hAnsi="Nunito" w:cs="Nunito"/>
          <w:sz w:val="24"/>
          <w:szCs w:val="24"/>
          <w:lang w:val="en-US"/>
        </w:rPr>
        <w:t xml:space="preserve"> LGBTQ+ people who belong to these groups</w:t>
      </w:r>
      <w:r>
        <w:rPr>
          <w:rFonts w:ascii="Nunito" w:eastAsia="Nunito" w:hAnsi="Nunito" w:cs="Nunito"/>
          <w:sz w:val="24"/>
          <w:szCs w:val="24"/>
          <w:vertAlign w:val="superscript"/>
        </w:rPr>
        <w:footnoteReference w:id="49"/>
      </w:r>
      <w:r w:rsidRPr="006F3E90">
        <w:rPr>
          <w:rFonts w:ascii="Nunito" w:eastAsia="Nunito" w:hAnsi="Nunito" w:cs="Nunito"/>
          <w:sz w:val="24"/>
          <w:szCs w:val="24"/>
          <w:lang w:val="en-US"/>
        </w:rPr>
        <w:t xml:space="preserve">. </w:t>
      </w:r>
    </w:p>
    <w:p w14:paraId="1A2D1DEA" w14:textId="77777777" w:rsidR="007D55B3" w:rsidRPr="006F3E90" w:rsidRDefault="007D55B3">
      <w:pPr>
        <w:spacing w:after="160" w:line="240" w:lineRule="auto"/>
        <w:jc w:val="both"/>
        <w:rPr>
          <w:rFonts w:ascii="Calibri" w:eastAsia="Calibri" w:hAnsi="Calibri" w:cs="Calibri"/>
          <w:sz w:val="24"/>
          <w:szCs w:val="24"/>
          <w:lang w:val="en-US"/>
        </w:rPr>
      </w:pPr>
    </w:p>
    <w:p w14:paraId="4FE16C47" w14:textId="77777777" w:rsidR="007D55B3" w:rsidRPr="006F3E90" w:rsidRDefault="00000000">
      <w:pPr>
        <w:spacing w:line="240" w:lineRule="auto"/>
        <w:jc w:val="both"/>
        <w:rPr>
          <w:rFonts w:ascii="Nunito" w:eastAsia="Nunito" w:hAnsi="Nunito" w:cs="Nunito"/>
          <w:b/>
          <w:sz w:val="24"/>
          <w:szCs w:val="24"/>
          <w:lang w:val="en-US"/>
        </w:rPr>
      </w:pPr>
      <w:r w:rsidRPr="006F3E90">
        <w:rPr>
          <w:rFonts w:ascii="Nunito" w:eastAsia="Nunito" w:hAnsi="Nunito" w:cs="Nunito"/>
          <w:b/>
          <w:sz w:val="24"/>
          <w:szCs w:val="24"/>
          <w:lang w:val="en-US"/>
        </w:rPr>
        <w:t xml:space="preserve">RECOMMENDATIONS  </w:t>
      </w:r>
    </w:p>
    <w:p w14:paraId="1603CA92" w14:textId="77777777" w:rsidR="007D55B3" w:rsidRPr="006F3E90" w:rsidRDefault="007D55B3">
      <w:pPr>
        <w:spacing w:line="240" w:lineRule="auto"/>
        <w:jc w:val="both"/>
        <w:rPr>
          <w:rFonts w:ascii="Nunito" w:eastAsia="Nunito" w:hAnsi="Nunito" w:cs="Nunito"/>
          <w:b/>
          <w:sz w:val="24"/>
          <w:szCs w:val="24"/>
          <w:lang w:val="en-US"/>
        </w:rPr>
      </w:pPr>
    </w:p>
    <w:p w14:paraId="2A7EF04C" w14:textId="77777777" w:rsidR="007D55B3" w:rsidRPr="006F3E90" w:rsidRDefault="00000000">
      <w:pPr>
        <w:spacing w:line="240" w:lineRule="auto"/>
        <w:jc w:val="both"/>
        <w:rPr>
          <w:rFonts w:ascii="Nunito" w:eastAsia="Nunito" w:hAnsi="Nunito" w:cs="Nunito"/>
          <w:sz w:val="24"/>
          <w:szCs w:val="24"/>
          <w:lang w:val="en-US"/>
        </w:rPr>
      </w:pPr>
      <w:proofErr w:type="gramStart"/>
      <w:r w:rsidRPr="006F3E90">
        <w:rPr>
          <w:rFonts w:ascii="Nunito" w:eastAsia="Nunito" w:hAnsi="Nunito" w:cs="Nunito"/>
          <w:sz w:val="24"/>
          <w:szCs w:val="24"/>
          <w:lang w:val="en-US"/>
        </w:rPr>
        <w:t>In light of</w:t>
      </w:r>
      <w:proofErr w:type="gramEnd"/>
      <w:r w:rsidRPr="006F3E90">
        <w:rPr>
          <w:rFonts w:ascii="Nunito" w:eastAsia="Nunito" w:hAnsi="Nunito" w:cs="Nunito"/>
          <w:sz w:val="24"/>
          <w:szCs w:val="24"/>
          <w:lang w:val="en-US"/>
        </w:rPr>
        <w:t xml:space="preserve"> the information provided, we respectfully request that the Committee on the Elimination of Racial Discrimination make the following recommendations to the Republic of Guatemala, in accordance with the Convention:  </w:t>
      </w:r>
    </w:p>
    <w:p w14:paraId="62D5625B" w14:textId="77777777" w:rsidR="007D55B3" w:rsidRPr="006F3E90" w:rsidRDefault="007D55B3">
      <w:pPr>
        <w:spacing w:line="240" w:lineRule="auto"/>
        <w:ind w:left="720"/>
        <w:jc w:val="both"/>
        <w:rPr>
          <w:rFonts w:ascii="Nunito" w:eastAsia="Nunito" w:hAnsi="Nunito" w:cs="Nunito"/>
          <w:sz w:val="24"/>
          <w:szCs w:val="24"/>
          <w:lang w:val="en-US"/>
        </w:rPr>
      </w:pPr>
    </w:p>
    <w:p w14:paraId="2F2B3997" w14:textId="77777777" w:rsidR="007D55B3" w:rsidRPr="006F3E90" w:rsidRDefault="00000000">
      <w:pPr>
        <w:numPr>
          <w:ilvl w:val="0"/>
          <w:numId w:val="2"/>
        </w:numPr>
        <w:spacing w:line="240" w:lineRule="auto"/>
        <w:jc w:val="both"/>
        <w:rPr>
          <w:rFonts w:ascii="Calibri" w:eastAsia="Calibri" w:hAnsi="Calibri" w:cs="Calibri"/>
          <w:sz w:val="24"/>
          <w:szCs w:val="24"/>
          <w:lang w:val="en-US"/>
        </w:rPr>
      </w:pPr>
      <w:r w:rsidRPr="006F3E90">
        <w:rPr>
          <w:rFonts w:ascii="Nunito" w:eastAsia="Nunito" w:hAnsi="Nunito" w:cs="Nunito"/>
          <w:b/>
          <w:sz w:val="24"/>
          <w:szCs w:val="24"/>
          <w:lang w:val="en-US"/>
        </w:rPr>
        <w:t xml:space="preserve">Explicit classification of discrimination </w:t>
      </w:r>
      <w:r w:rsidRPr="006F3E90">
        <w:rPr>
          <w:rFonts w:ascii="Nunito" w:eastAsia="Nunito" w:hAnsi="Nunito" w:cs="Nunito"/>
          <w:sz w:val="24"/>
          <w:szCs w:val="24"/>
          <w:lang w:val="en-US"/>
        </w:rPr>
        <w:t>based on sexual orientation, gender identity, and gender expression, recognizing its intersections with ethnic and racial origin, to ensure its effective application within the legal framework.</w:t>
      </w:r>
    </w:p>
    <w:p w14:paraId="284D2B5A" w14:textId="77777777" w:rsidR="007D55B3" w:rsidRPr="006F3E90" w:rsidRDefault="00000000">
      <w:pPr>
        <w:numPr>
          <w:ilvl w:val="0"/>
          <w:numId w:val="2"/>
        </w:numPr>
        <w:spacing w:line="240" w:lineRule="auto"/>
        <w:jc w:val="both"/>
        <w:rPr>
          <w:rFonts w:ascii="Calibri" w:eastAsia="Calibri" w:hAnsi="Calibri" w:cs="Calibri"/>
          <w:sz w:val="24"/>
          <w:szCs w:val="24"/>
          <w:lang w:val="en-US"/>
        </w:rPr>
      </w:pPr>
      <w:r w:rsidRPr="006F3E90">
        <w:rPr>
          <w:rFonts w:ascii="Nunito" w:eastAsia="Nunito" w:hAnsi="Nunito" w:cs="Nunito"/>
          <w:b/>
          <w:sz w:val="24"/>
          <w:szCs w:val="24"/>
          <w:lang w:val="en-US"/>
        </w:rPr>
        <w:t>Strengthening of state information systems,</w:t>
      </w:r>
      <w:r w:rsidRPr="006F3E90">
        <w:rPr>
          <w:rFonts w:ascii="Nunito" w:eastAsia="Nunito" w:hAnsi="Nunito" w:cs="Nunito"/>
          <w:sz w:val="24"/>
          <w:szCs w:val="24"/>
          <w:lang w:val="en-US"/>
        </w:rPr>
        <w:t xml:space="preserve"> incorporating variables such as sexual orientation and gender identity in data collection and disaggregation. It is essential to have information that highlights identity intersections in indigenous and racialized groups (e.g., </w:t>
      </w:r>
      <w:proofErr w:type="spellStart"/>
      <w:r w:rsidRPr="006F3E90">
        <w:rPr>
          <w:rFonts w:ascii="Nunito" w:eastAsia="Nunito" w:hAnsi="Nunito" w:cs="Nunito"/>
          <w:sz w:val="24"/>
          <w:szCs w:val="24"/>
          <w:lang w:val="en-US"/>
        </w:rPr>
        <w:t>Q'eqchi</w:t>
      </w:r>
      <w:proofErr w:type="spellEnd"/>
      <w:r w:rsidRPr="006F3E90">
        <w:rPr>
          <w:rFonts w:ascii="Nunito" w:eastAsia="Nunito" w:hAnsi="Nunito" w:cs="Nunito"/>
          <w:sz w:val="24"/>
          <w:szCs w:val="24"/>
          <w:lang w:val="en-US"/>
        </w:rPr>
        <w:t xml:space="preserve">' trans people, </w:t>
      </w:r>
      <w:proofErr w:type="spellStart"/>
      <w:r w:rsidRPr="006F3E90">
        <w:rPr>
          <w:rFonts w:ascii="Nunito" w:eastAsia="Nunito" w:hAnsi="Nunito" w:cs="Nunito"/>
          <w:sz w:val="24"/>
          <w:szCs w:val="24"/>
          <w:lang w:val="en-US"/>
        </w:rPr>
        <w:t>Kaqchikel</w:t>
      </w:r>
      <w:proofErr w:type="spellEnd"/>
      <w:r w:rsidRPr="006F3E90">
        <w:rPr>
          <w:rFonts w:ascii="Nunito" w:eastAsia="Nunito" w:hAnsi="Nunito" w:cs="Nunito"/>
          <w:sz w:val="24"/>
          <w:szCs w:val="24"/>
          <w:lang w:val="en-US"/>
        </w:rPr>
        <w:t xml:space="preserve"> lesbian </w:t>
      </w:r>
      <w:r w:rsidRPr="006F3E90">
        <w:rPr>
          <w:rFonts w:ascii="Nunito" w:eastAsia="Nunito" w:hAnsi="Nunito" w:cs="Nunito"/>
          <w:sz w:val="24"/>
          <w:szCs w:val="24"/>
          <w:lang w:val="en-US"/>
        </w:rPr>
        <w:lastRenderedPageBreak/>
        <w:t>women, Ixil gay men), as well as other factors such as geographic location (rural or urban), socioeconomic status, and language, etc. This will make it possible to identify specific forms of discrimination and differentiated needs.</w:t>
      </w:r>
    </w:p>
    <w:p w14:paraId="3384D8D6" w14:textId="77777777" w:rsidR="007D55B3" w:rsidRPr="006F3E90" w:rsidRDefault="00000000">
      <w:pPr>
        <w:numPr>
          <w:ilvl w:val="0"/>
          <w:numId w:val="2"/>
        </w:numPr>
        <w:spacing w:line="240" w:lineRule="auto"/>
        <w:jc w:val="both"/>
        <w:rPr>
          <w:rFonts w:ascii="Calibri" w:eastAsia="Calibri" w:hAnsi="Calibri" w:cs="Calibri"/>
          <w:sz w:val="24"/>
          <w:szCs w:val="24"/>
          <w:lang w:val="en-US"/>
        </w:rPr>
      </w:pPr>
      <w:r w:rsidRPr="006F3E90">
        <w:rPr>
          <w:rFonts w:ascii="Nunito" w:eastAsia="Nunito" w:hAnsi="Nunito" w:cs="Nunito"/>
          <w:b/>
          <w:sz w:val="24"/>
          <w:szCs w:val="24"/>
          <w:lang w:val="en-US"/>
        </w:rPr>
        <w:t>Creation of a Comprehensive Gender Identity Law</w:t>
      </w:r>
      <w:r w:rsidRPr="006F3E90">
        <w:rPr>
          <w:rFonts w:ascii="Nunito" w:eastAsia="Nunito" w:hAnsi="Nunito" w:cs="Nunito"/>
          <w:sz w:val="24"/>
          <w:szCs w:val="24"/>
          <w:lang w:val="en-US"/>
        </w:rPr>
        <w:t xml:space="preserve"> that recognizes self-perceived gender identity as a right. This law should facilitate name and sex change for transgender and gender-diverse people throughout the country, including access to interpreters and culturally appropriate procedures for these individuals from indigenous and Afro-descendant communities.</w:t>
      </w:r>
    </w:p>
    <w:p w14:paraId="0A7F6BFA" w14:textId="77777777" w:rsidR="007D55B3" w:rsidRPr="006F3E90" w:rsidRDefault="00000000">
      <w:pPr>
        <w:numPr>
          <w:ilvl w:val="0"/>
          <w:numId w:val="2"/>
        </w:numPr>
        <w:spacing w:line="240" w:lineRule="auto"/>
        <w:jc w:val="both"/>
        <w:rPr>
          <w:rFonts w:ascii="Calibri" w:eastAsia="Calibri" w:hAnsi="Calibri" w:cs="Calibri"/>
          <w:sz w:val="24"/>
          <w:szCs w:val="24"/>
          <w:lang w:val="en-US"/>
        </w:rPr>
      </w:pPr>
      <w:r w:rsidRPr="006F3E90">
        <w:rPr>
          <w:rFonts w:ascii="Nunito" w:eastAsia="Nunito" w:hAnsi="Nunito" w:cs="Nunito"/>
          <w:b/>
          <w:sz w:val="24"/>
          <w:szCs w:val="24"/>
          <w:lang w:val="en-US"/>
        </w:rPr>
        <w:t>Inclusion of disaggregated questions in the next population and housing census</w:t>
      </w:r>
      <w:r w:rsidRPr="006F3E90">
        <w:rPr>
          <w:rFonts w:ascii="Nunito" w:eastAsia="Nunito" w:hAnsi="Nunito" w:cs="Nunito"/>
          <w:sz w:val="24"/>
          <w:szCs w:val="24"/>
          <w:lang w:val="en-US"/>
        </w:rPr>
        <w:t xml:space="preserve"> on sexual orientation and gender identity, guaranteeing confidentiality and respect for self-identification. Likewise, the creation of a registry that allows for the legal recognition of these identities is proposed, </w:t>
      </w:r>
      <w:proofErr w:type="gramStart"/>
      <w:r w:rsidRPr="006F3E90">
        <w:rPr>
          <w:rFonts w:ascii="Nunito" w:eastAsia="Nunito" w:hAnsi="Nunito" w:cs="Nunito"/>
          <w:sz w:val="24"/>
          <w:szCs w:val="24"/>
          <w:lang w:val="en-US"/>
        </w:rPr>
        <w:t>in order to</w:t>
      </w:r>
      <w:proofErr w:type="gramEnd"/>
      <w:r w:rsidRPr="006F3E90">
        <w:rPr>
          <w:rFonts w:ascii="Nunito" w:eastAsia="Nunito" w:hAnsi="Nunito" w:cs="Nunito"/>
          <w:sz w:val="24"/>
          <w:szCs w:val="24"/>
          <w:lang w:val="en-US"/>
        </w:rPr>
        <w:t xml:space="preserve"> have accurate data on the indigenous and racialized LGBTIQ+ population, and thus design evidence-based public policies from an intersectional approach.</w:t>
      </w:r>
    </w:p>
    <w:p w14:paraId="555E0E51" w14:textId="77777777" w:rsidR="007D55B3" w:rsidRPr="006F3E90" w:rsidRDefault="00000000">
      <w:pPr>
        <w:numPr>
          <w:ilvl w:val="0"/>
          <w:numId w:val="2"/>
        </w:numPr>
        <w:spacing w:line="240" w:lineRule="auto"/>
        <w:jc w:val="both"/>
        <w:rPr>
          <w:rFonts w:ascii="Calibri" w:eastAsia="Calibri" w:hAnsi="Calibri" w:cs="Calibri"/>
          <w:sz w:val="24"/>
          <w:szCs w:val="24"/>
          <w:lang w:val="en-US"/>
        </w:rPr>
      </w:pPr>
      <w:r w:rsidRPr="006F3E90">
        <w:rPr>
          <w:rFonts w:ascii="Nunito" w:eastAsia="Nunito" w:hAnsi="Nunito" w:cs="Nunito"/>
          <w:b/>
          <w:sz w:val="24"/>
          <w:szCs w:val="24"/>
          <w:lang w:val="en-US"/>
        </w:rPr>
        <w:t>Reform of the national education curriculum</w:t>
      </w:r>
      <w:r w:rsidRPr="006F3E90">
        <w:rPr>
          <w:rFonts w:ascii="Nunito" w:eastAsia="Nunito" w:hAnsi="Nunito" w:cs="Nunito"/>
          <w:sz w:val="24"/>
          <w:szCs w:val="24"/>
          <w:lang w:val="en-US"/>
        </w:rPr>
        <w:t xml:space="preserve"> to make comprehensive sexuality education compulsory. This must be inclusive, free of prejudice, and respectful of the cultural worldviews of indigenous and Afro-descendant peoples, recognizing the self-identification of indigenous people with diverse sexual orientations, gender expressions, and identities according to their cultures.</w:t>
      </w:r>
    </w:p>
    <w:p w14:paraId="1458119F" w14:textId="77777777" w:rsidR="007D55B3" w:rsidRPr="006F3E90" w:rsidRDefault="00000000">
      <w:pPr>
        <w:numPr>
          <w:ilvl w:val="0"/>
          <w:numId w:val="2"/>
        </w:numPr>
        <w:spacing w:line="240" w:lineRule="auto"/>
        <w:jc w:val="both"/>
        <w:rPr>
          <w:rFonts w:ascii="Calibri" w:eastAsia="Calibri" w:hAnsi="Calibri" w:cs="Calibri"/>
          <w:sz w:val="24"/>
          <w:szCs w:val="24"/>
          <w:lang w:val="en-US"/>
        </w:rPr>
      </w:pPr>
      <w:r w:rsidRPr="006F3E90">
        <w:rPr>
          <w:rFonts w:ascii="Nunito" w:eastAsia="Nunito" w:hAnsi="Nunito" w:cs="Nunito"/>
          <w:b/>
          <w:sz w:val="24"/>
          <w:szCs w:val="24"/>
          <w:lang w:val="en-US"/>
        </w:rPr>
        <w:t xml:space="preserve">Design and implementation of specific and culturally relevant protocols </w:t>
      </w:r>
      <w:r w:rsidRPr="006F3E90">
        <w:rPr>
          <w:rFonts w:ascii="Nunito" w:eastAsia="Nunito" w:hAnsi="Nunito" w:cs="Nunito"/>
          <w:sz w:val="24"/>
          <w:szCs w:val="24"/>
          <w:lang w:val="en-US"/>
        </w:rPr>
        <w:t>that guarantee effective and dignified access to the right to health for the indigenous and racialized LGBTIQ+ population. These protocols should address mental, sexual, and reproductive health and be accompanied by training in intercultural and gender approaches for health personnel in rural areas with high indigenous populations.</w:t>
      </w:r>
    </w:p>
    <w:p w14:paraId="11A8AC39" w14:textId="77777777" w:rsidR="007D55B3" w:rsidRPr="006F3E90" w:rsidRDefault="00000000">
      <w:pPr>
        <w:numPr>
          <w:ilvl w:val="0"/>
          <w:numId w:val="2"/>
        </w:numPr>
        <w:spacing w:line="240" w:lineRule="auto"/>
        <w:jc w:val="both"/>
        <w:rPr>
          <w:rFonts w:ascii="Calibri" w:eastAsia="Calibri" w:hAnsi="Calibri" w:cs="Calibri"/>
          <w:sz w:val="24"/>
          <w:szCs w:val="24"/>
          <w:lang w:val="en-US"/>
        </w:rPr>
      </w:pPr>
      <w:r w:rsidRPr="006F3E90">
        <w:rPr>
          <w:rFonts w:ascii="Nunito" w:eastAsia="Nunito" w:hAnsi="Nunito" w:cs="Nunito"/>
          <w:b/>
          <w:sz w:val="24"/>
          <w:szCs w:val="24"/>
          <w:lang w:val="en-US"/>
        </w:rPr>
        <w:t>Promotion of massive and sustained campaigns against discrimination</w:t>
      </w:r>
      <w:r w:rsidRPr="006F3E90">
        <w:rPr>
          <w:rFonts w:ascii="Nunito" w:eastAsia="Nunito" w:hAnsi="Nunito" w:cs="Nunito"/>
          <w:sz w:val="24"/>
          <w:szCs w:val="24"/>
          <w:lang w:val="en-US"/>
        </w:rPr>
        <w:t xml:space="preserve"> against indigenous LGBTIQ+ people, designed from an intersectional perspective that respects cultural self-identification. These campaigns should target both the general population and indigenous communities, in their respective languages and formats appropriate for combating prejudice.</w:t>
      </w:r>
    </w:p>
    <w:p w14:paraId="0EE3C7AC" w14:textId="77777777" w:rsidR="007D55B3" w:rsidRPr="006F3E90" w:rsidRDefault="00000000">
      <w:pPr>
        <w:numPr>
          <w:ilvl w:val="0"/>
          <w:numId w:val="2"/>
        </w:numPr>
        <w:spacing w:line="240" w:lineRule="auto"/>
        <w:jc w:val="both"/>
        <w:rPr>
          <w:rFonts w:ascii="Calibri" w:eastAsia="Calibri" w:hAnsi="Calibri" w:cs="Calibri"/>
          <w:sz w:val="24"/>
          <w:szCs w:val="24"/>
          <w:lang w:val="en-US"/>
        </w:rPr>
      </w:pPr>
      <w:r w:rsidRPr="006F3E90">
        <w:rPr>
          <w:rFonts w:ascii="Nunito" w:eastAsia="Nunito" w:hAnsi="Nunito" w:cs="Nunito"/>
          <w:b/>
          <w:sz w:val="24"/>
          <w:szCs w:val="24"/>
          <w:lang w:val="en-US"/>
        </w:rPr>
        <w:t>Explicit inclusion of the indigenous and Afro-descendant LGBTIQ+ population</w:t>
      </w:r>
      <w:r w:rsidRPr="006F3E90">
        <w:rPr>
          <w:rFonts w:ascii="Nunito" w:eastAsia="Nunito" w:hAnsi="Nunito" w:cs="Nunito"/>
          <w:sz w:val="24"/>
          <w:szCs w:val="24"/>
          <w:lang w:val="en-US"/>
        </w:rPr>
        <w:t xml:space="preserve"> in the actions of the Presidential Commission Against Discrimination and Racism Against Indigenous Peoples in Guatemala and the Office of the Ombudsman for Indigenous Women. The double discrimination faced by these individuals must be recognized and addressed.</w:t>
      </w:r>
    </w:p>
    <w:p w14:paraId="536FD777" w14:textId="77777777" w:rsidR="007D55B3" w:rsidRPr="006F3E90" w:rsidRDefault="00000000">
      <w:pPr>
        <w:numPr>
          <w:ilvl w:val="0"/>
          <w:numId w:val="2"/>
        </w:numPr>
        <w:spacing w:line="240" w:lineRule="auto"/>
        <w:jc w:val="both"/>
        <w:rPr>
          <w:rFonts w:ascii="Calibri" w:eastAsia="Calibri" w:hAnsi="Calibri" w:cs="Calibri"/>
          <w:sz w:val="24"/>
          <w:szCs w:val="24"/>
          <w:lang w:val="en-US"/>
        </w:rPr>
      </w:pPr>
      <w:r w:rsidRPr="006F3E90">
        <w:rPr>
          <w:rFonts w:ascii="Nunito" w:eastAsia="Nunito" w:hAnsi="Nunito" w:cs="Nunito"/>
          <w:b/>
          <w:sz w:val="24"/>
          <w:szCs w:val="24"/>
          <w:lang w:val="en-US"/>
        </w:rPr>
        <w:t xml:space="preserve">Implementation of mandatory and ongoing training programs </w:t>
      </w:r>
      <w:r w:rsidRPr="006F3E90">
        <w:rPr>
          <w:rFonts w:ascii="Nunito" w:eastAsia="Nunito" w:hAnsi="Nunito" w:cs="Nunito"/>
          <w:sz w:val="24"/>
          <w:szCs w:val="24"/>
          <w:lang w:val="en-US"/>
        </w:rPr>
        <w:t xml:space="preserve">for all public personnel (health, education, </w:t>
      </w:r>
      <w:proofErr w:type="gramStart"/>
      <w:r w:rsidRPr="006F3E90">
        <w:rPr>
          <w:rFonts w:ascii="Nunito" w:eastAsia="Nunito" w:hAnsi="Nunito" w:cs="Nunito"/>
          <w:sz w:val="24"/>
          <w:szCs w:val="24"/>
          <w:lang w:val="en-US"/>
        </w:rPr>
        <w:t>security, justice</w:t>
      </w:r>
      <w:proofErr w:type="gramEnd"/>
      <w:r w:rsidRPr="006F3E90">
        <w:rPr>
          <w:rFonts w:ascii="Nunito" w:eastAsia="Nunito" w:hAnsi="Nunito" w:cs="Nunito"/>
          <w:sz w:val="24"/>
          <w:szCs w:val="24"/>
          <w:lang w:val="en-US"/>
        </w:rPr>
        <w:t>, among others) on intersectional discrimination. These trainings should focus on the reality of the indigenous and racialized LGBTIQ+ population, ensuring dignified, prejudice-free, and culturally competent care.</w:t>
      </w:r>
    </w:p>
    <w:sectPr w:rsidR="007D55B3" w:rsidRPr="006F3E90">
      <w:foot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A20AD" w14:textId="77777777" w:rsidR="00EB31BF" w:rsidRDefault="00EB31BF">
      <w:pPr>
        <w:spacing w:line="240" w:lineRule="auto"/>
      </w:pPr>
      <w:r>
        <w:separator/>
      </w:r>
    </w:p>
  </w:endnote>
  <w:endnote w:type="continuationSeparator" w:id="0">
    <w:p w14:paraId="34CCC444" w14:textId="77777777" w:rsidR="00EB31BF" w:rsidRDefault="00EB31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unito">
    <w:charset w:val="00"/>
    <w:family w:val="auto"/>
    <w:pitch w:val="variable"/>
    <w:sig w:usb0="A00002FF" w:usb1="5000204B" w:usb2="00000000" w:usb3="00000000" w:csb0="00000197" w:csb1="00000000"/>
    <w:embedRegular r:id="rId1" w:fontKey="{69274AB8-8F96-4231-93A3-16F865E7CAFD}"/>
    <w:embedBold r:id="rId2" w:fontKey="{22138F8E-D90A-46DC-A0DF-FFCFAEFE7B85}"/>
    <w:embedItalic r:id="rId3" w:fontKey="{A4345F71-62AD-4D6B-91C3-B850E345A339}"/>
  </w:font>
  <w:font w:name="Calibri">
    <w:panose1 w:val="020F0502020204030204"/>
    <w:charset w:val="00"/>
    <w:family w:val="swiss"/>
    <w:pitch w:val="variable"/>
    <w:sig w:usb0="E4002EFF" w:usb1="C200247B" w:usb2="00000009" w:usb3="00000000" w:csb0="000001FF" w:csb1="00000000"/>
    <w:embedRegular r:id="rId4" w:fontKey="{58EB79CC-D977-4CA0-9B03-C555977D55E9}"/>
    <w:embedItalic r:id="rId5" w:fontKey="{47A0BD80-4D92-4919-9677-DF4DFDDBDDF4}"/>
  </w:font>
  <w:font w:name="Cambria">
    <w:panose1 w:val="02040503050406030204"/>
    <w:charset w:val="00"/>
    <w:family w:val="roman"/>
    <w:pitch w:val="variable"/>
    <w:sig w:usb0="E00006FF" w:usb1="420024FF" w:usb2="02000000" w:usb3="00000000" w:csb0="0000019F" w:csb1="00000000"/>
    <w:embedRegular r:id="rId6" w:fontKey="{BFA17325-EB1B-4D87-A69C-77255495885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F5025" w14:textId="77777777" w:rsidR="007D55B3" w:rsidRDefault="007D55B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6C1FB" w14:textId="77777777" w:rsidR="00EB31BF" w:rsidRDefault="00EB31BF">
      <w:pPr>
        <w:spacing w:line="240" w:lineRule="auto"/>
      </w:pPr>
      <w:r>
        <w:separator/>
      </w:r>
    </w:p>
  </w:footnote>
  <w:footnote w:type="continuationSeparator" w:id="0">
    <w:p w14:paraId="05AC99DC" w14:textId="77777777" w:rsidR="00EB31BF" w:rsidRDefault="00EB31BF">
      <w:pPr>
        <w:spacing w:line="240" w:lineRule="auto"/>
      </w:pPr>
      <w:r>
        <w:continuationSeparator/>
      </w:r>
    </w:p>
  </w:footnote>
  <w:footnote w:id="1">
    <w:p w14:paraId="78BE118D"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 xml:space="preserve">National Institute of Statistics. Demographic and poverty data of Indigenous peoples according to ENCOVI 2023. October 2024, p. 7. Available at: </w:t>
      </w:r>
      <w:hyperlink r:id="rId1">
        <w:r w:rsidRPr="006F3E90">
          <w:rPr>
            <w:rFonts w:ascii="Calibri" w:eastAsia="Calibri" w:hAnsi="Calibri" w:cs="Calibri"/>
            <w:color w:val="1155CC"/>
            <w:sz w:val="18"/>
            <w:szCs w:val="18"/>
            <w:u w:val="single"/>
            <w:lang w:val="en-US"/>
          </w:rPr>
          <w:t>https://www.ine.gob.gt/sistema/uploads/2024/12/05/20241205142224hb2DT5INXvYSKOiMBuPeeIOjO8GrLLIT.pdf</w:t>
        </w:r>
      </w:hyperlink>
      <w:r w:rsidRPr="006F3E90">
        <w:rPr>
          <w:rFonts w:ascii="Calibri" w:eastAsia="Calibri" w:hAnsi="Calibri" w:cs="Calibri"/>
          <w:sz w:val="18"/>
          <w:szCs w:val="18"/>
          <w:lang w:val="en-US"/>
        </w:rPr>
        <w:t xml:space="preserve"> </w:t>
      </w:r>
    </w:p>
  </w:footnote>
  <w:footnote w:id="2">
    <w:p w14:paraId="2EB43CBE"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 xml:space="preserve"> IWGIA. </w:t>
      </w:r>
      <w:r w:rsidRPr="006F3E90">
        <w:rPr>
          <w:rFonts w:ascii="Calibri" w:eastAsia="Calibri" w:hAnsi="Calibri" w:cs="Calibri"/>
          <w:i/>
          <w:sz w:val="18"/>
          <w:szCs w:val="18"/>
          <w:lang w:val="en-US"/>
        </w:rPr>
        <w:t>Indigenous Peoples in Guatemala.</w:t>
      </w:r>
      <w:r w:rsidRPr="006F3E90">
        <w:rPr>
          <w:rFonts w:ascii="Calibri" w:eastAsia="Calibri" w:hAnsi="Calibri" w:cs="Calibri"/>
          <w:sz w:val="18"/>
          <w:szCs w:val="18"/>
          <w:lang w:val="en-US"/>
        </w:rPr>
        <w:t xml:space="preserve"> Available at: </w:t>
      </w:r>
      <w:hyperlink r:id="rId2">
        <w:r w:rsidRPr="006F3E90">
          <w:rPr>
            <w:rFonts w:ascii="Calibri" w:eastAsia="Calibri" w:hAnsi="Calibri" w:cs="Calibri"/>
            <w:color w:val="1155CC"/>
            <w:sz w:val="18"/>
            <w:szCs w:val="18"/>
            <w:u w:val="single"/>
            <w:lang w:val="en-US"/>
          </w:rPr>
          <w:t>https://iwgia.org/es/guatemala.html</w:t>
        </w:r>
      </w:hyperlink>
      <w:r w:rsidRPr="006F3E90">
        <w:rPr>
          <w:rFonts w:ascii="Calibri" w:eastAsia="Calibri" w:hAnsi="Calibri" w:cs="Calibri"/>
          <w:sz w:val="18"/>
          <w:szCs w:val="18"/>
          <w:lang w:val="en-US"/>
        </w:rPr>
        <w:t xml:space="preserve"> </w:t>
      </w:r>
    </w:p>
  </w:footnote>
  <w:footnote w:id="3">
    <w:p w14:paraId="538B1BDD"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 xml:space="preserve"> Congress of the Republic of Guatemala. </w:t>
      </w:r>
      <w:r w:rsidRPr="006F3E90">
        <w:rPr>
          <w:rFonts w:ascii="Calibri" w:eastAsia="Calibri" w:hAnsi="Calibri" w:cs="Calibri"/>
          <w:i/>
          <w:sz w:val="18"/>
          <w:szCs w:val="18"/>
          <w:lang w:val="en-US"/>
        </w:rPr>
        <w:t>Hispanic Heritage Day: Highlighting Our Ethnic and Cultural Diversity.</w:t>
      </w:r>
      <w:r w:rsidRPr="006F3E90">
        <w:rPr>
          <w:rFonts w:ascii="Calibri" w:eastAsia="Calibri" w:hAnsi="Calibri" w:cs="Calibri"/>
          <w:sz w:val="18"/>
          <w:szCs w:val="18"/>
          <w:lang w:val="en-US"/>
        </w:rPr>
        <w:t xml:space="preserve"> October 12, 2022. Available at: </w:t>
      </w:r>
      <w:hyperlink r:id="rId3" w:anchor=":~:text=Entre%20los%20pueblos%20mayas%20se,%2C%20Tz'utujil%20y%20Uspanteko">
        <w:r w:rsidRPr="006F3E90">
          <w:rPr>
            <w:rFonts w:ascii="Calibri" w:eastAsia="Calibri" w:hAnsi="Calibri" w:cs="Calibri"/>
            <w:color w:val="1155CC"/>
            <w:sz w:val="18"/>
            <w:szCs w:val="18"/>
            <w:u w:val="single"/>
            <w:lang w:val="en-US"/>
          </w:rPr>
          <w:t>https://www.congreso.gob.gt/noticias_congreso/9233/2022/4#:~:text=Entre%20los%20pueblos%20mayas%20se,%2C%20Tz'utujil%20y%20Uspanteko</w:t>
        </w:r>
      </w:hyperlink>
      <w:r w:rsidRPr="006F3E90">
        <w:rPr>
          <w:rFonts w:ascii="Calibri" w:eastAsia="Calibri" w:hAnsi="Calibri" w:cs="Calibri"/>
          <w:sz w:val="18"/>
          <w:szCs w:val="18"/>
          <w:lang w:val="en-US"/>
        </w:rPr>
        <w:t xml:space="preserve">. </w:t>
      </w:r>
    </w:p>
  </w:footnote>
  <w:footnote w:id="4">
    <w:p w14:paraId="1AB8DB22"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 xml:space="preserve"> Op. Cit. National Institute of Statistics. p. 8. </w:t>
      </w:r>
    </w:p>
  </w:footnote>
  <w:footnote w:id="5">
    <w:p w14:paraId="40BB65C4"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 xml:space="preserve"> Political Constitution of the Republic of Guatemala, Art. 4. </w:t>
      </w:r>
    </w:p>
  </w:footnote>
  <w:footnote w:id="6">
    <w:p w14:paraId="703BF5CE"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 xml:space="preserve"> The departments with the highest poverty rates in 2023 are: Alta Verapaz with 90.3%, followed by Quiché with 86.4%, Huehuetenango with 81.2%, Baja Verapaz with 80.2%, and Jalapa with 80.0%. National Institute of Statistics. </w:t>
      </w:r>
      <w:r w:rsidRPr="006F3E90">
        <w:rPr>
          <w:rFonts w:ascii="Calibri" w:eastAsia="Calibri" w:hAnsi="Calibri" w:cs="Calibri"/>
          <w:i/>
          <w:sz w:val="18"/>
          <w:szCs w:val="18"/>
          <w:lang w:val="en-US"/>
        </w:rPr>
        <w:t>INE Presents Poverty Figures in Guatemala.</w:t>
      </w:r>
      <w:r w:rsidRPr="006F3E90">
        <w:rPr>
          <w:rFonts w:ascii="Calibri" w:eastAsia="Calibri" w:hAnsi="Calibri" w:cs="Calibri"/>
          <w:sz w:val="18"/>
          <w:szCs w:val="18"/>
          <w:lang w:val="en-US"/>
        </w:rPr>
        <w:t xml:space="preserve"> 2024. Available at:</w:t>
      </w:r>
      <w:hyperlink r:id="rId4">
        <w:r w:rsidRPr="006F3E90">
          <w:rPr>
            <w:rFonts w:ascii="Calibri" w:eastAsia="Calibri" w:hAnsi="Calibri" w:cs="Calibri"/>
            <w:color w:val="1155CC"/>
            <w:sz w:val="18"/>
            <w:szCs w:val="18"/>
            <w:u w:val="single"/>
            <w:lang w:val="en-US"/>
          </w:rPr>
          <w:t>https://www.ine.gob.gt/2024/08/21/el-ine-presenta-cifras-de-pobreza-en-guatemala/</w:t>
        </w:r>
      </w:hyperlink>
      <w:r w:rsidRPr="006F3E90">
        <w:rPr>
          <w:rFonts w:ascii="Calibri" w:eastAsia="Calibri" w:hAnsi="Calibri" w:cs="Calibri"/>
          <w:sz w:val="18"/>
          <w:szCs w:val="18"/>
          <w:lang w:val="en-US"/>
        </w:rPr>
        <w:t xml:space="preserve"> </w:t>
      </w:r>
    </w:p>
  </w:footnote>
  <w:footnote w:id="7">
    <w:p w14:paraId="4751C55D" w14:textId="77777777" w:rsidR="007D55B3" w:rsidRPr="006F3E90" w:rsidRDefault="00000000">
      <w:pPr>
        <w:spacing w:line="240" w:lineRule="auto"/>
        <w:rPr>
          <w:sz w:val="18"/>
          <w:szCs w:val="18"/>
          <w:lang w:val="en-US"/>
        </w:rPr>
      </w:pPr>
      <w:r>
        <w:rPr>
          <w:vertAlign w:val="superscript"/>
        </w:rPr>
        <w:footnoteRef/>
      </w:r>
      <w:r w:rsidRPr="006F3E90">
        <w:rPr>
          <w:sz w:val="18"/>
          <w:szCs w:val="18"/>
          <w:lang w:val="en-US"/>
        </w:rPr>
        <w:t xml:space="preserve"> </w:t>
      </w:r>
      <w:r w:rsidRPr="006F3E90">
        <w:rPr>
          <w:rFonts w:ascii="Calibri" w:eastAsia="Calibri" w:hAnsi="Calibri" w:cs="Calibri"/>
          <w:sz w:val="18"/>
          <w:szCs w:val="18"/>
          <w:lang w:val="en-US"/>
        </w:rPr>
        <w:t xml:space="preserve"> Inter-American Commission on Human Rights. </w:t>
      </w:r>
      <w:r w:rsidRPr="006F3E90">
        <w:rPr>
          <w:rFonts w:ascii="Calibri" w:eastAsia="Calibri" w:hAnsi="Calibri" w:cs="Calibri"/>
          <w:i/>
          <w:sz w:val="18"/>
          <w:szCs w:val="18"/>
          <w:lang w:val="en-US"/>
        </w:rPr>
        <w:t>Human Rights Situation in Guatemala: Diversity, Inequality, and Exclusion.</w:t>
      </w:r>
      <w:r w:rsidRPr="006F3E90">
        <w:rPr>
          <w:rFonts w:ascii="Calibri" w:eastAsia="Calibri" w:hAnsi="Calibri" w:cs="Calibri"/>
          <w:sz w:val="18"/>
          <w:szCs w:val="18"/>
          <w:lang w:val="en-US"/>
        </w:rPr>
        <w:t xml:space="preserve"> 2016. Pág. 56</w:t>
      </w:r>
    </w:p>
  </w:footnote>
  <w:footnote w:id="8">
    <w:p w14:paraId="270D5F6C"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 xml:space="preserve"> Ibid. p. 41</w:t>
      </w:r>
    </w:p>
  </w:footnote>
  <w:footnote w:id="9">
    <w:p w14:paraId="47127585"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 xml:space="preserve"> Committee on the Elimination of Racial Discrimination. General Recommendation No. 37 on Equality and the Right Not to Be Subject to Racial Discrimination in the Enjoyment of the Right to Health. 2024. CERD/C/GC/37, para. 12.</w:t>
      </w:r>
    </w:p>
  </w:footnote>
  <w:footnote w:id="10">
    <w:p w14:paraId="2A334D81"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 xml:space="preserve"> ILGA WORLD. </w:t>
      </w:r>
      <w:r w:rsidRPr="006F3E90">
        <w:rPr>
          <w:rFonts w:ascii="Calibri" w:eastAsia="Calibri" w:hAnsi="Calibri" w:cs="Calibri"/>
          <w:i/>
          <w:sz w:val="18"/>
          <w:szCs w:val="18"/>
          <w:lang w:val="en-US"/>
        </w:rPr>
        <w:t>State Homophobia Report.</w:t>
      </w:r>
      <w:r w:rsidRPr="006F3E90">
        <w:rPr>
          <w:rFonts w:ascii="Calibri" w:eastAsia="Calibri" w:hAnsi="Calibri" w:cs="Calibri"/>
          <w:sz w:val="18"/>
          <w:szCs w:val="18"/>
          <w:lang w:val="en-US"/>
        </w:rPr>
        <w:t xml:space="preserve"> 2020, p. 102. Available a at:</w:t>
      </w:r>
      <w:hyperlink r:id="rId5">
        <w:r w:rsidRPr="006F3E90">
          <w:rPr>
            <w:rFonts w:ascii="Calibri" w:eastAsia="Calibri" w:hAnsi="Calibri" w:cs="Calibri"/>
            <w:color w:val="1155CC"/>
            <w:sz w:val="18"/>
            <w:szCs w:val="18"/>
            <w:u w:val="single"/>
            <w:lang w:val="en-US"/>
          </w:rPr>
          <w:t>https://ilga.org/wp-content/uploads/2024/02/ILGA_Mundo_Homofobia_de_Estado_Actualizacion_Panorama_global_Legislacion_diciembre_2020.pdf</w:t>
        </w:r>
      </w:hyperlink>
      <w:r w:rsidRPr="006F3E90">
        <w:rPr>
          <w:rFonts w:ascii="Calibri" w:eastAsia="Calibri" w:hAnsi="Calibri" w:cs="Calibri"/>
          <w:sz w:val="18"/>
          <w:szCs w:val="18"/>
          <w:lang w:val="en-US"/>
        </w:rPr>
        <w:t xml:space="preserve"> </w:t>
      </w:r>
    </w:p>
  </w:footnote>
  <w:footnote w:id="11">
    <w:p w14:paraId="0D310DB5"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 xml:space="preserve"> ACIPRENSA.</w:t>
      </w:r>
      <w:r w:rsidRPr="006F3E90">
        <w:rPr>
          <w:rFonts w:ascii="Calibri" w:eastAsia="Calibri" w:hAnsi="Calibri" w:cs="Calibri"/>
          <w:i/>
          <w:sz w:val="18"/>
          <w:szCs w:val="18"/>
          <w:lang w:val="en-US"/>
        </w:rPr>
        <w:t xml:space="preserve"> National March in Defense of Life and Family Announced in Guatemala. August 27, 2018. </w:t>
      </w:r>
      <w:r w:rsidRPr="006F3E90">
        <w:rPr>
          <w:rFonts w:ascii="Calibri" w:eastAsia="Calibri" w:hAnsi="Calibri" w:cs="Calibri"/>
          <w:sz w:val="18"/>
          <w:szCs w:val="18"/>
          <w:lang w:val="en-US"/>
        </w:rPr>
        <w:t xml:space="preserve">Available at: </w:t>
      </w:r>
      <w:hyperlink r:id="rId6">
        <w:r w:rsidRPr="006F3E90">
          <w:rPr>
            <w:rFonts w:ascii="Calibri" w:eastAsia="Calibri" w:hAnsi="Calibri" w:cs="Calibri"/>
            <w:color w:val="1155CC"/>
            <w:sz w:val="18"/>
            <w:szCs w:val="18"/>
            <w:u w:val="single"/>
            <w:lang w:val="en-US"/>
          </w:rPr>
          <w:t>https://www.aciprensa.com/noticias/71669/anuncian-marcha-nacional-en-defensa-de-la-vida-y-la-familia-en-guatemala</w:t>
        </w:r>
      </w:hyperlink>
      <w:r w:rsidRPr="006F3E90">
        <w:rPr>
          <w:rFonts w:ascii="Calibri" w:eastAsia="Calibri" w:hAnsi="Calibri" w:cs="Calibri"/>
          <w:sz w:val="18"/>
          <w:szCs w:val="18"/>
          <w:lang w:val="en-US"/>
        </w:rPr>
        <w:t xml:space="preserve"> </w:t>
      </w:r>
    </w:p>
  </w:footnote>
  <w:footnote w:id="12">
    <w:p w14:paraId="2DE782F1"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 xml:space="preserve"> Congress of the Republic of Guatemala. </w:t>
      </w:r>
      <w:r w:rsidRPr="006F3E90">
        <w:rPr>
          <w:rFonts w:ascii="Calibri" w:eastAsia="Calibri" w:hAnsi="Calibri" w:cs="Calibri"/>
          <w:i/>
          <w:sz w:val="18"/>
          <w:szCs w:val="18"/>
          <w:lang w:val="en-US"/>
        </w:rPr>
        <w:t>Law for the Protection of Life and the Family Initiative No. 52/72.</w:t>
      </w:r>
      <w:r w:rsidRPr="006F3E90">
        <w:rPr>
          <w:rFonts w:ascii="Calibri" w:eastAsia="Calibri" w:hAnsi="Calibri" w:cs="Calibri"/>
          <w:sz w:val="18"/>
          <w:szCs w:val="18"/>
          <w:lang w:val="en-US"/>
        </w:rPr>
        <w:t xml:space="preserve"> Approved on March 8, 2022. Archived on March 15, 2022. Available at: </w:t>
      </w:r>
      <w:hyperlink r:id="rId7">
        <w:r w:rsidRPr="006F3E90">
          <w:rPr>
            <w:rFonts w:ascii="Calibri" w:eastAsia="Calibri" w:hAnsi="Calibri" w:cs="Calibri"/>
            <w:color w:val="1155CC"/>
            <w:sz w:val="18"/>
            <w:szCs w:val="18"/>
            <w:u w:val="single"/>
            <w:lang w:val="en-US"/>
          </w:rPr>
          <w:t>https://database.ilga.org/api/downloader/download/1/GT%20-%20LEG%20-%20Bill%205272%20(2017)%20-%20OR-OFF(es).pdf</w:t>
        </w:r>
      </w:hyperlink>
      <w:r w:rsidRPr="006F3E90">
        <w:rPr>
          <w:rFonts w:ascii="Calibri" w:eastAsia="Calibri" w:hAnsi="Calibri" w:cs="Calibri"/>
          <w:sz w:val="18"/>
          <w:szCs w:val="18"/>
          <w:lang w:val="en-US"/>
        </w:rPr>
        <w:t xml:space="preserve"> </w:t>
      </w:r>
    </w:p>
  </w:footnote>
  <w:footnote w:id="13">
    <w:p w14:paraId="25971525"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 xml:space="preserve"> OXFAM. </w:t>
      </w:r>
      <w:r w:rsidRPr="006F3E90">
        <w:rPr>
          <w:rFonts w:ascii="Calibri" w:eastAsia="Calibri" w:hAnsi="Calibri" w:cs="Calibri"/>
          <w:i/>
          <w:sz w:val="18"/>
          <w:szCs w:val="18"/>
          <w:lang w:val="en-US"/>
        </w:rPr>
        <w:t>Views and Voices: Guatemala 's Attempt to Ban LGBTQIA+ Rights Reflects How Far We Are from Achieving Equality.</w:t>
      </w:r>
      <w:r w:rsidRPr="006F3E90">
        <w:rPr>
          <w:rFonts w:ascii="Calibri" w:eastAsia="Calibri" w:hAnsi="Calibri" w:cs="Calibri"/>
          <w:sz w:val="18"/>
          <w:szCs w:val="18"/>
          <w:lang w:val="en-US"/>
        </w:rPr>
        <w:t xml:space="preserve"> 2022. Available at:</w:t>
      </w:r>
      <w:hyperlink r:id="rId8">
        <w:r w:rsidRPr="006F3E90">
          <w:rPr>
            <w:rFonts w:ascii="Calibri" w:eastAsia="Calibri" w:hAnsi="Calibri" w:cs="Calibri"/>
            <w:color w:val="1155CC"/>
            <w:sz w:val="18"/>
            <w:szCs w:val="18"/>
            <w:u w:val="single"/>
            <w:lang w:val="en-US"/>
          </w:rPr>
          <w:t>https://views-voices.oxfam.org.uk/2022/06/el-intento-de-guatemala-de-prohibir-los-derechos-de-las-personas-lgbtqia/</w:t>
        </w:r>
      </w:hyperlink>
      <w:r w:rsidRPr="006F3E90">
        <w:rPr>
          <w:rFonts w:ascii="Calibri" w:eastAsia="Calibri" w:hAnsi="Calibri" w:cs="Calibri"/>
          <w:sz w:val="18"/>
          <w:szCs w:val="18"/>
          <w:lang w:val="en-US"/>
        </w:rPr>
        <w:t xml:space="preserve"> </w:t>
      </w:r>
    </w:p>
  </w:footnote>
  <w:footnote w:id="14">
    <w:p w14:paraId="3012EBC2" w14:textId="77777777" w:rsidR="007D55B3" w:rsidRPr="006F3E90" w:rsidRDefault="00000000">
      <w:pPr>
        <w:spacing w:line="240" w:lineRule="auto"/>
        <w:rPr>
          <w:sz w:val="20"/>
          <w:szCs w:val="20"/>
          <w:lang w:val="en-US"/>
        </w:rPr>
      </w:pPr>
      <w:r>
        <w:rPr>
          <w:vertAlign w:val="superscript"/>
        </w:rPr>
        <w:footnoteRef/>
      </w:r>
      <w:r w:rsidRPr="006F3E90">
        <w:rPr>
          <w:rFonts w:ascii="Calibri" w:eastAsia="Calibri" w:hAnsi="Calibri" w:cs="Calibri"/>
          <w:sz w:val="18"/>
          <w:szCs w:val="18"/>
          <w:lang w:val="en-US"/>
        </w:rPr>
        <w:t xml:space="preserve">Aldo Dávila, a gay activist, became a member of the Congress of the Republic and faced political persecution that prevented him from participating in the 2023 elections. </w:t>
      </w:r>
      <w:r w:rsidRPr="006F3E90">
        <w:rPr>
          <w:rFonts w:ascii="Calibri" w:eastAsia="Calibri" w:hAnsi="Calibri" w:cs="Calibri"/>
          <w:i/>
          <w:sz w:val="18"/>
          <w:szCs w:val="18"/>
          <w:lang w:val="en-US"/>
        </w:rPr>
        <w:t>La Hora GT.</w:t>
      </w:r>
      <w:r w:rsidRPr="006F3E90">
        <w:rPr>
          <w:rFonts w:ascii="Calibri" w:eastAsia="Calibri" w:hAnsi="Calibri" w:cs="Calibri"/>
          <w:sz w:val="18"/>
          <w:szCs w:val="18"/>
          <w:lang w:val="en-US"/>
        </w:rPr>
        <w:t xml:space="preserve"> </w:t>
      </w:r>
      <w:r w:rsidRPr="006F3E90">
        <w:rPr>
          <w:rFonts w:ascii="Calibri" w:eastAsia="Calibri" w:hAnsi="Calibri" w:cs="Calibri"/>
          <w:i/>
          <w:sz w:val="18"/>
          <w:szCs w:val="18"/>
          <w:lang w:val="en-US"/>
        </w:rPr>
        <w:t>Organizations Denounce Judicial and Political Persecution Against Congressman Dávila.</w:t>
      </w:r>
      <w:r w:rsidRPr="006F3E90">
        <w:rPr>
          <w:rFonts w:ascii="Calibri" w:eastAsia="Calibri" w:hAnsi="Calibri" w:cs="Calibri"/>
          <w:sz w:val="18"/>
          <w:szCs w:val="18"/>
          <w:lang w:val="en-US"/>
        </w:rPr>
        <w:t xml:space="preserve"> November 18, 2021. Available at: </w:t>
      </w:r>
      <w:hyperlink r:id="rId9">
        <w:r w:rsidRPr="006F3E90">
          <w:rPr>
            <w:rFonts w:ascii="Calibri" w:eastAsia="Calibri" w:hAnsi="Calibri" w:cs="Calibri"/>
            <w:color w:val="1155CC"/>
            <w:sz w:val="18"/>
            <w:szCs w:val="18"/>
            <w:u w:val="single"/>
            <w:lang w:val="en-US"/>
          </w:rPr>
          <w:t>https://lahora.gt/nacionales/sara/2021/11/18/organizaciones-senalan-persecucion-judicial-y-politica-contra-el-diputado-davila/</w:t>
        </w:r>
      </w:hyperlink>
      <w:r w:rsidRPr="006F3E90">
        <w:rPr>
          <w:rFonts w:ascii="Calibri" w:eastAsia="Calibri" w:hAnsi="Calibri" w:cs="Calibri"/>
          <w:sz w:val="18"/>
          <w:szCs w:val="18"/>
          <w:lang w:val="en-US"/>
        </w:rPr>
        <w:t xml:space="preserve"> </w:t>
      </w:r>
    </w:p>
  </w:footnote>
  <w:footnote w:id="15">
    <w:p w14:paraId="60EB379C"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 xml:space="preserve"> On June 28, 2024, the Constitutional Court of Guatemala, in response to an amparo petition filed by a citizen seeking to prevent the Pride Parade from taking place in the country, issued a ruling ordering President Bernardo Arévalo and the State Security Forces to “safeguard the spiritual and moral values of society, especially those of children and adolescents.” LGBTI+ Litigators Network of the Americas. </w:t>
      </w:r>
      <w:r w:rsidRPr="006F3E90">
        <w:rPr>
          <w:rFonts w:ascii="Calibri" w:eastAsia="Calibri" w:hAnsi="Calibri" w:cs="Calibri"/>
          <w:i/>
          <w:sz w:val="18"/>
          <w:szCs w:val="18"/>
          <w:lang w:val="en-US"/>
        </w:rPr>
        <w:t>The LGBTI+ Litigators Network of the Americas Rejects the Obstacles to the Celebration of Pride Marches in Guatemala and Costa Rica.</w:t>
      </w:r>
      <w:r w:rsidRPr="006F3E90">
        <w:rPr>
          <w:rFonts w:ascii="Calibri" w:eastAsia="Calibri" w:hAnsi="Calibri" w:cs="Calibri"/>
          <w:sz w:val="18"/>
          <w:szCs w:val="18"/>
          <w:lang w:val="en-US"/>
        </w:rPr>
        <w:t xml:space="preserve"> July 4, 2024. Available at: </w:t>
      </w:r>
      <w:hyperlink r:id="rId10">
        <w:r w:rsidRPr="006F3E90">
          <w:rPr>
            <w:rFonts w:ascii="Calibri" w:eastAsia="Calibri" w:hAnsi="Calibri" w:cs="Calibri"/>
            <w:color w:val="1155CC"/>
            <w:sz w:val="18"/>
            <w:szCs w:val="18"/>
            <w:u w:val="single"/>
            <w:lang w:val="en-US"/>
          </w:rPr>
          <w:t>https://litiganteslgbt.org/news/la-red-de-litigantes-lgbti-de-las-americas-rechaza-los-obstaculos-al-desarrollo-de-las-marchas-del-orgullo/</w:t>
        </w:r>
      </w:hyperlink>
      <w:r w:rsidRPr="006F3E90">
        <w:rPr>
          <w:rFonts w:ascii="Calibri" w:eastAsia="Calibri" w:hAnsi="Calibri" w:cs="Calibri"/>
          <w:sz w:val="18"/>
          <w:szCs w:val="18"/>
          <w:lang w:val="en-US"/>
        </w:rPr>
        <w:t xml:space="preserve"> </w:t>
      </w:r>
    </w:p>
  </w:footnote>
  <w:footnote w:id="16">
    <w:p w14:paraId="3AC1361C" w14:textId="77777777" w:rsidR="007D55B3" w:rsidRPr="006F3E90" w:rsidRDefault="00000000">
      <w:pPr>
        <w:spacing w:line="240" w:lineRule="auto"/>
        <w:jc w:val="both"/>
        <w:rPr>
          <w:rFonts w:ascii="Calibri" w:eastAsia="Calibri" w:hAnsi="Calibri" w:cs="Calibri"/>
          <w:sz w:val="20"/>
          <w:szCs w:val="20"/>
          <w:lang w:val="en-US"/>
        </w:rPr>
      </w:pPr>
      <w:r>
        <w:rPr>
          <w:vertAlign w:val="superscript"/>
        </w:rPr>
        <w:footnoteRef/>
      </w:r>
      <w:r w:rsidRPr="006F3E90">
        <w:rPr>
          <w:rFonts w:ascii="Calibri" w:eastAsia="Calibri" w:hAnsi="Calibri" w:cs="Calibri"/>
          <w:sz w:val="18"/>
          <w:szCs w:val="18"/>
          <w:lang w:val="en-US"/>
        </w:rPr>
        <w:t xml:space="preserve">The sin of sodomy was incorporated into law during empires that followed the Romano-Christian order, such as the Spanish Empire. The criminalization of the sin-crime of sodomy justified the extermination of non-normative sexualities and gender identities that existed among the Indigenous peoples of the Americas. This technique of terror resulted in the progressive repression of non-normative sexualities and identities, embedding prejudice within colonized and mestizo societies and legitimizing the use of violence through the Inquisition tribunals — mechanisms that, in various forms, persist to this day. Christian Paula, LGBTI+ Litigators Network of the Americas. </w:t>
      </w:r>
      <w:r w:rsidRPr="006F3E90">
        <w:rPr>
          <w:rFonts w:ascii="Calibri" w:eastAsia="Calibri" w:hAnsi="Calibri" w:cs="Calibri"/>
          <w:i/>
          <w:sz w:val="18"/>
          <w:szCs w:val="18"/>
          <w:lang w:val="en-US"/>
        </w:rPr>
        <w:t>Contribution of the LGBTI+ Litigators Network of the Americas to the Thematic Report of the Independent Expert on SOGIE on Colonialism and Sexual Orientation and Gender Identity.</w:t>
      </w:r>
      <w:r w:rsidRPr="006F3E90">
        <w:rPr>
          <w:rFonts w:ascii="Calibri" w:eastAsia="Calibri" w:hAnsi="Calibri" w:cs="Calibri"/>
          <w:sz w:val="18"/>
          <w:szCs w:val="18"/>
          <w:lang w:val="en-US"/>
        </w:rPr>
        <w:t xml:space="preserve"> 2023. Available at: </w:t>
      </w:r>
      <w:hyperlink r:id="rId11">
        <w:r w:rsidRPr="006F3E90">
          <w:rPr>
            <w:rFonts w:ascii="Calibri" w:eastAsia="Calibri" w:hAnsi="Calibri" w:cs="Calibri"/>
            <w:color w:val="1155CC"/>
            <w:sz w:val="18"/>
            <w:szCs w:val="18"/>
            <w:u w:val="single"/>
            <w:lang w:val="en-US"/>
          </w:rPr>
          <w:t>https://docs.google.com/document/d/14wRfAjr4NK9gj8j2lzgG5UhT3YzK-mUP/edit?usp=sharing&amp;ouid=117981244824339983919&amp;rtpof=true&amp;sd=true</w:t>
        </w:r>
      </w:hyperlink>
      <w:r w:rsidRPr="006F3E90">
        <w:rPr>
          <w:rFonts w:ascii="Calibri" w:eastAsia="Calibri" w:hAnsi="Calibri" w:cs="Calibri"/>
          <w:sz w:val="18"/>
          <w:szCs w:val="18"/>
          <w:lang w:val="en-US"/>
        </w:rPr>
        <w:t xml:space="preserve"> </w:t>
      </w:r>
    </w:p>
  </w:footnote>
  <w:footnote w:id="17">
    <w:p w14:paraId="2145B33B"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 xml:space="preserve"> This has been reported on several occasions. See: Agencia </w:t>
      </w:r>
      <w:proofErr w:type="spellStart"/>
      <w:r w:rsidRPr="006F3E90">
        <w:rPr>
          <w:rFonts w:ascii="Calibri" w:eastAsia="Calibri" w:hAnsi="Calibri" w:cs="Calibri"/>
          <w:sz w:val="18"/>
          <w:szCs w:val="18"/>
          <w:lang w:val="en-US"/>
        </w:rPr>
        <w:t>Presentes</w:t>
      </w:r>
      <w:proofErr w:type="spellEnd"/>
      <w:r w:rsidRPr="006F3E90">
        <w:rPr>
          <w:rFonts w:ascii="Calibri" w:eastAsia="Calibri" w:hAnsi="Calibri" w:cs="Calibri"/>
          <w:sz w:val="18"/>
          <w:szCs w:val="18"/>
          <w:lang w:val="en-US"/>
        </w:rPr>
        <w:t xml:space="preserve">. </w:t>
      </w:r>
      <w:r w:rsidRPr="006F3E90">
        <w:rPr>
          <w:rFonts w:ascii="Calibri" w:eastAsia="Calibri" w:hAnsi="Calibri" w:cs="Calibri"/>
          <w:i/>
          <w:sz w:val="18"/>
          <w:szCs w:val="18"/>
          <w:lang w:val="en-US"/>
        </w:rPr>
        <w:t>Indigenous Gay Men Live Their Dissent Through Maya Spirituality.</w:t>
      </w:r>
      <w:r w:rsidRPr="006F3E90">
        <w:rPr>
          <w:rFonts w:ascii="Calibri" w:eastAsia="Calibri" w:hAnsi="Calibri" w:cs="Calibri"/>
          <w:sz w:val="18"/>
          <w:szCs w:val="18"/>
          <w:lang w:val="en-US"/>
        </w:rPr>
        <w:t xml:space="preserve"> 2023. Available at: </w:t>
      </w:r>
      <w:hyperlink r:id="rId12">
        <w:r w:rsidRPr="006F3E90">
          <w:rPr>
            <w:rFonts w:ascii="Calibri" w:eastAsia="Calibri" w:hAnsi="Calibri" w:cs="Calibri"/>
            <w:color w:val="1155CC"/>
            <w:sz w:val="18"/>
            <w:szCs w:val="18"/>
            <w:u w:val="single"/>
            <w:lang w:val="en-US"/>
          </w:rPr>
          <w:t>https://agenciapresentes.org/2023/01/17/hombres-gay-indigenas-viven-la-disidencia-desde-la-espiritualidad-maya/</w:t>
        </w:r>
      </w:hyperlink>
      <w:r w:rsidRPr="006F3E90">
        <w:rPr>
          <w:rFonts w:ascii="Calibri" w:eastAsia="Calibri" w:hAnsi="Calibri" w:cs="Calibri"/>
          <w:sz w:val="18"/>
          <w:szCs w:val="18"/>
          <w:lang w:val="en-US"/>
        </w:rPr>
        <w:t xml:space="preserve"> </w:t>
      </w:r>
    </w:p>
  </w:footnote>
  <w:footnote w:id="18">
    <w:p w14:paraId="09F996DC"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 xml:space="preserve"> Inter-American Commission on Human Rights. </w:t>
      </w:r>
      <w:r w:rsidRPr="006F3E90">
        <w:rPr>
          <w:rFonts w:ascii="Calibri" w:eastAsia="Calibri" w:hAnsi="Calibri" w:cs="Calibri"/>
          <w:i/>
          <w:sz w:val="18"/>
          <w:szCs w:val="18"/>
          <w:lang w:val="en-US"/>
        </w:rPr>
        <w:t>Violence Against Lesbian, Gay, Bisexual, Trans, and Intersex Persons in the Americas.</w:t>
      </w:r>
      <w:r w:rsidRPr="006F3E90">
        <w:rPr>
          <w:rFonts w:ascii="Calibri" w:eastAsia="Calibri" w:hAnsi="Calibri" w:cs="Calibri"/>
          <w:sz w:val="18"/>
          <w:szCs w:val="18"/>
          <w:lang w:val="en-US"/>
        </w:rPr>
        <w:t xml:space="preserve"> 2015, para. 266. </w:t>
      </w:r>
    </w:p>
  </w:footnote>
  <w:footnote w:id="19">
    <w:p w14:paraId="471D20C8" w14:textId="77777777" w:rsidR="007D55B3" w:rsidRPr="006F3E90" w:rsidRDefault="00000000">
      <w:pPr>
        <w:spacing w:line="240" w:lineRule="auto"/>
        <w:rPr>
          <w:sz w:val="20"/>
          <w:szCs w:val="20"/>
          <w:lang w:val="en-US"/>
        </w:rPr>
      </w:pPr>
      <w:r>
        <w:rPr>
          <w:vertAlign w:val="superscript"/>
        </w:rPr>
        <w:footnoteRef/>
      </w:r>
      <w:r w:rsidRPr="006F3E90">
        <w:rPr>
          <w:sz w:val="20"/>
          <w:szCs w:val="20"/>
          <w:lang w:val="en-US"/>
        </w:rPr>
        <w:t xml:space="preserve"> </w:t>
      </w:r>
      <w:r w:rsidRPr="006F3E90">
        <w:rPr>
          <w:rFonts w:ascii="Calibri" w:eastAsia="Calibri" w:hAnsi="Calibri" w:cs="Calibri"/>
          <w:sz w:val="18"/>
          <w:szCs w:val="18"/>
          <w:lang w:val="en-US"/>
        </w:rPr>
        <w:t xml:space="preserve"> Committee on the Elimination of Racial Discrimination. </w:t>
      </w:r>
      <w:r w:rsidRPr="006F3E90">
        <w:rPr>
          <w:rFonts w:ascii="Calibri" w:eastAsia="Calibri" w:hAnsi="Calibri" w:cs="Calibri"/>
          <w:i/>
          <w:sz w:val="18"/>
          <w:szCs w:val="18"/>
          <w:lang w:val="en-US"/>
        </w:rPr>
        <w:t>Concluding Observations on the Combined 16th and 17th Periodic Reports of Guatemala.</w:t>
      </w:r>
      <w:r w:rsidRPr="006F3E90">
        <w:rPr>
          <w:rFonts w:ascii="Calibri" w:eastAsia="Calibri" w:hAnsi="Calibri" w:cs="Calibri"/>
          <w:sz w:val="18"/>
          <w:szCs w:val="18"/>
          <w:lang w:val="en-US"/>
        </w:rPr>
        <w:t xml:space="preserve"> May 27, 2019. CERD/C/GTM/CO/16-17, para. 24.</w:t>
      </w:r>
    </w:p>
  </w:footnote>
  <w:footnote w:id="20">
    <w:p w14:paraId="437F6E99"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sz w:val="20"/>
          <w:szCs w:val="20"/>
          <w:lang w:val="en-US"/>
        </w:rPr>
        <w:t xml:space="preserve"> </w:t>
      </w:r>
      <w:r w:rsidRPr="006F3E90">
        <w:rPr>
          <w:rFonts w:ascii="Calibri" w:eastAsia="Calibri" w:hAnsi="Calibri" w:cs="Calibri"/>
          <w:sz w:val="18"/>
          <w:szCs w:val="18"/>
          <w:lang w:val="en-US"/>
        </w:rPr>
        <w:t xml:space="preserve">Ibid. Para. 14A.  </w:t>
      </w:r>
    </w:p>
  </w:footnote>
  <w:footnote w:id="21">
    <w:p w14:paraId="0AC2CA89"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 xml:space="preserve"> See also: A/HRC/44/53 </w:t>
      </w:r>
      <w:proofErr w:type="spellStart"/>
      <w:r w:rsidRPr="006F3E90">
        <w:rPr>
          <w:rFonts w:ascii="Calibri" w:eastAsia="Calibri" w:hAnsi="Calibri" w:cs="Calibri"/>
          <w:sz w:val="18"/>
          <w:szCs w:val="18"/>
          <w:lang w:val="en-US"/>
        </w:rPr>
        <w:t>párr</w:t>
      </w:r>
      <w:proofErr w:type="spellEnd"/>
      <w:r w:rsidRPr="006F3E90">
        <w:rPr>
          <w:rFonts w:ascii="Calibri" w:eastAsia="Calibri" w:hAnsi="Calibri" w:cs="Calibri"/>
          <w:sz w:val="18"/>
          <w:szCs w:val="18"/>
          <w:lang w:val="en-US"/>
        </w:rPr>
        <w:t xml:space="preserve">. </w:t>
      </w:r>
      <w:proofErr w:type="gramStart"/>
      <w:r w:rsidRPr="006F3E90">
        <w:rPr>
          <w:rFonts w:ascii="Calibri" w:eastAsia="Calibri" w:hAnsi="Calibri" w:cs="Calibri"/>
          <w:sz w:val="18"/>
          <w:szCs w:val="18"/>
          <w:lang w:val="en-US"/>
        </w:rPr>
        <w:t>64;  CAT</w:t>
      </w:r>
      <w:proofErr w:type="gramEnd"/>
      <w:r w:rsidRPr="006F3E90">
        <w:rPr>
          <w:rFonts w:ascii="Calibri" w:eastAsia="Calibri" w:hAnsi="Calibri" w:cs="Calibri"/>
          <w:sz w:val="18"/>
          <w:szCs w:val="18"/>
          <w:lang w:val="en-US"/>
        </w:rPr>
        <w:t xml:space="preserve">/C/CHN/CO/5, </w:t>
      </w:r>
      <w:proofErr w:type="spellStart"/>
      <w:r w:rsidRPr="006F3E90">
        <w:rPr>
          <w:rFonts w:ascii="Calibri" w:eastAsia="Calibri" w:hAnsi="Calibri" w:cs="Calibri"/>
          <w:sz w:val="18"/>
          <w:szCs w:val="18"/>
          <w:lang w:val="en-US"/>
        </w:rPr>
        <w:t>párr</w:t>
      </w:r>
      <w:proofErr w:type="spellEnd"/>
      <w:r w:rsidRPr="006F3E90">
        <w:rPr>
          <w:rFonts w:ascii="Calibri" w:eastAsia="Calibri" w:hAnsi="Calibri" w:cs="Calibri"/>
          <w:sz w:val="18"/>
          <w:szCs w:val="18"/>
          <w:lang w:val="en-US"/>
        </w:rPr>
        <w:t xml:space="preserve">. 55; CCPR/C/UKR/CO/7, </w:t>
      </w:r>
      <w:proofErr w:type="spellStart"/>
      <w:r w:rsidRPr="006F3E90">
        <w:rPr>
          <w:rFonts w:ascii="Calibri" w:eastAsia="Calibri" w:hAnsi="Calibri" w:cs="Calibri"/>
          <w:sz w:val="18"/>
          <w:szCs w:val="18"/>
          <w:lang w:val="en-US"/>
        </w:rPr>
        <w:t>párr</w:t>
      </w:r>
      <w:proofErr w:type="spellEnd"/>
      <w:r w:rsidRPr="006F3E90">
        <w:rPr>
          <w:rFonts w:ascii="Calibri" w:eastAsia="Calibri" w:hAnsi="Calibri" w:cs="Calibri"/>
          <w:sz w:val="18"/>
          <w:szCs w:val="18"/>
          <w:lang w:val="en-US"/>
        </w:rPr>
        <w:t>. 10</w:t>
      </w:r>
    </w:p>
  </w:footnote>
  <w:footnote w:id="22">
    <w:p w14:paraId="6DE0B346" w14:textId="77777777" w:rsidR="007D55B3" w:rsidRPr="006F3E90" w:rsidRDefault="00000000">
      <w:pPr>
        <w:spacing w:line="240" w:lineRule="auto"/>
        <w:jc w:val="both"/>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 xml:space="preserve"> A drink prepared with special ingredients, generally for healing, magical, or superstitious purposes.</w:t>
      </w:r>
    </w:p>
  </w:footnote>
  <w:footnote w:id="23">
    <w:p w14:paraId="4EFAA171"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 xml:space="preserve">Red </w:t>
      </w:r>
      <w:proofErr w:type="spellStart"/>
      <w:r w:rsidRPr="006F3E90">
        <w:rPr>
          <w:rFonts w:ascii="Calibri" w:eastAsia="Calibri" w:hAnsi="Calibri" w:cs="Calibri"/>
          <w:sz w:val="18"/>
          <w:szCs w:val="18"/>
          <w:lang w:val="en-US"/>
        </w:rPr>
        <w:t>SinViolencia</w:t>
      </w:r>
      <w:proofErr w:type="spellEnd"/>
      <w:r w:rsidRPr="006F3E90">
        <w:rPr>
          <w:rFonts w:ascii="Calibri" w:eastAsia="Calibri" w:hAnsi="Calibri" w:cs="Calibri"/>
          <w:sz w:val="18"/>
          <w:szCs w:val="18"/>
          <w:lang w:val="en-US"/>
        </w:rPr>
        <w:t xml:space="preserve"> LGBT. </w:t>
      </w:r>
      <w:r w:rsidRPr="006F3E90">
        <w:rPr>
          <w:rFonts w:ascii="Calibri" w:eastAsia="Calibri" w:hAnsi="Calibri" w:cs="Calibri"/>
          <w:i/>
          <w:sz w:val="18"/>
          <w:szCs w:val="18"/>
          <w:lang w:val="en-US"/>
        </w:rPr>
        <w:t>Thematic Bulletin No. 2 on Violent Deaths of LGBT Human Rights Defenders.</w:t>
      </w:r>
      <w:r w:rsidRPr="006F3E90">
        <w:rPr>
          <w:rFonts w:ascii="Calibri" w:eastAsia="Calibri" w:hAnsi="Calibri" w:cs="Calibri"/>
          <w:sz w:val="18"/>
          <w:szCs w:val="18"/>
          <w:lang w:val="en-US"/>
        </w:rPr>
        <w:t xml:space="preserve"> 2023, p. 4.</w:t>
      </w:r>
    </w:p>
  </w:footnote>
  <w:footnote w:id="24">
    <w:p w14:paraId="00105E9F"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International Convention on the Elimination of All Forms of Racial Discrimination, Article 5(b).</w:t>
      </w:r>
    </w:p>
  </w:footnote>
  <w:footnote w:id="25">
    <w:p w14:paraId="0F0AA2D3"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20"/>
          <w:szCs w:val="20"/>
          <w:lang w:val="en-US"/>
        </w:rPr>
        <w:t xml:space="preserve"> </w:t>
      </w:r>
      <w:r w:rsidRPr="006F3E90">
        <w:rPr>
          <w:rFonts w:ascii="Calibri" w:eastAsia="Calibri" w:hAnsi="Calibri" w:cs="Calibri"/>
          <w:sz w:val="18"/>
          <w:szCs w:val="18"/>
          <w:lang w:val="en-US"/>
        </w:rPr>
        <w:t>Criminal Code, Decree No. 17-73 of the Congress of the Republic, Art. 202 bis.</w:t>
      </w:r>
    </w:p>
  </w:footnote>
  <w:footnote w:id="26">
    <w:p w14:paraId="261540D0"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 xml:space="preserve"> Inter-American Commission on Human Rights. Human Rights Situation in Guatemala: Situation of Indigenous Peoples. 2003. Available at: </w:t>
      </w:r>
      <w:hyperlink r:id="rId13" w:anchor="_ftnref243">
        <w:r w:rsidRPr="006F3E90">
          <w:rPr>
            <w:rFonts w:ascii="Calibri" w:eastAsia="Calibri" w:hAnsi="Calibri" w:cs="Calibri"/>
            <w:color w:val="1155CC"/>
            <w:sz w:val="18"/>
            <w:szCs w:val="18"/>
            <w:u w:val="single"/>
            <w:lang w:val="en-US"/>
          </w:rPr>
          <w:t>https://cidh.oas.org/countryrep/guatemala2003sp/capitulo4.htm#_ftnref243</w:t>
        </w:r>
      </w:hyperlink>
      <w:r w:rsidRPr="006F3E90">
        <w:rPr>
          <w:rFonts w:ascii="Calibri" w:eastAsia="Calibri" w:hAnsi="Calibri" w:cs="Calibri"/>
          <w:sz w:val="18"/>
          <w:szCs w:val="18"/>
          <w:lang w:val="en-US"/>
        </w:rPr>
        <w:t xml:space="preserve"> </w:t>
      </w:r>
    </w:p>
  </w:footnote>
  <w:footnote w:id="27">
    <w:p w14:paraId="186429A0"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 xml:space="preserve"> Response to Request for Public Information. No. 2391-2025 IOROZCO </w:t>
      </w:r>
    </w:p>
  </w:footnote>
  <w:footnote w:id="28">
    <w:p w14:paraId="559D9A05" w14:textId="77777777" w:rsidR="007D55B3" w:rsidRPr="006F3E90" w:rsidRDefault="00000000">
      <w:pPr>
        <w:spacing w:line="240" w:lineRule="auto"/>
        <w:rPr>
          <w:rFonts w:ascii="Calibri" w:eastAsia="Calibri" w:hAnsi="Calibri" w:cs="Calibri"/>
          <w:sz w:val="20"/>
          <w:szCs w:val="20"/>
          <w:lang w:val="en-US"/>
        </w:rPr>
      </w:pPr>
      <w:r>
        <w:rPr>
          <w:vertAlign w:val="superscript"/>
        </w:rPr>
        <w:footnoteRef/>
      </w:r>
      <w:r w:rsidRPr="006F3E90">
        <w:rPr>
          <w:rFonts w:ascii="Calibri" w:eastAsia="Calibri" w:hAnsi="Calibri" w:cs="Calibri"/>
          <w:sz w:val="20"/>
          <w:szCs w:val="20"/>
          <w:lang w:val="en-US"/>
        </w:rPr>
        <w:t xml:space="preserve"> </w:t>
      </w:r>
      <w:r w:rsidRPr="006F3E90">
        <w:rPr>
          <w:rFonts w:ascii="Calibri" w:eastAsia="Calibri" w:hAnsi="Calibri" w:cs="Calibri"/>
          <w:sz w:val="18"/>
          <w:szCs w:val="18"/>
          <w:lang w:val="en-US"/>
        </w:rPr>
        <w:t>Ibid</w:t>
      </w:r>
      <w:r w:rsidRPr="006F3E90">
        <w:rPr>
          <w:rFonts w:ascii="Calibri" w:eastAsia="Calibri" w:hAnsi="Calibri" w:cs="Calibri"/>
          <w:sz w:val="20"/>
          <w:szCs w:val="20"/>
          <w:lang w:val="en-US"/>
        </w:rPr>
        <w:t>.</w:t>
      </w:r>
    </w:p>
  </w:footnote>
  <w:footnote w:id="29">
    <w:p w14:paraId="1A2A82D1"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Response to Request for Public Information. UDIP/G 2025 - O03991/</w:t>
      </w:r>
      <w:proofErr w:type="spellStart"/>
      <w:r w:rsidRPr="006F3E90">
        <w:rPr>
          <w:rFonts w:ascii="Calibri" w:eastAsia="Calibri" w:hAnsi="Calibri" w:cs="Calibri"/>
          <w:sz w:val="18"/>
          <w:szCs w:val="18"/>
          <w:lang w:val="en-US"/>
        </w:rPr>
        <w:t>bglp</w:t>
      </w:r>
      <w:proofErr w:type="spellEnd"/>
    </w:p>
  </w:footnote>
  <w:footnote w:id="30">
    <w:p w14:paraId="6BE94CF6"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 xml:space="preserve"> Response to public information request CCOORD No. 059-2025/VATS</w:t>
      </w:r>
    </w:p>
  </w:footnote>
  <w:footnote w:id="31">
    <w:p w14:paraId="703A6CAE" w14:textId="77777777" w:rsidR="007D55B3"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proofErr w:type="spellStart"/>
      <w:r>
        <w:rPr>
          <w:rFonts w:ascii="Calibri" w:eastAsia="Calibri" w:hAnsi="Calibri" w:cs="Calibri"/>
          <w:sz w:val="18"/>
          <w:szCs w:val="18"/>
        </w:rPr>
        <w:t>See</w:t>
      </w:r>
      <w:proofErr w:type="spellEnd"/>
      <w:r>
        <w:rPr>
          <w:rFonts w:ascii="Calibri" w:eastAsia="Calibri" w:hAnsi="Calibri" w:cs="Calibri"/>
          <w:sz w:val="18"/>
          <w:szCs w:val="18"/>
        </w:rPr>
        <w:t xml:space="preserve"> more </w:t>
      </w:r>
      <w:proofErr w:type="spellStart"/>
      <w:r>
        <w:rPr>
          <w:rFonts w:ascii="Calibri" w:eastAsia="Calibri" w:hAnsi="Calibri" w:cs="Calibri"/>
          <w:sz w:val="18"/>
          <w:szCs w:val="18"/>
        </w:rPr>
        <w:t>on</w:t>
      </w:r>
      <w:proofErr w:type="spellEnd"/>
      <w:r>
        <w:rPr>
          <w:rFonts w:ascii="Calibri" w:eastAsia="Calibri" w:hAnsi="Calibri" w:cs="Calibri"/>
          <w:sz w:val="18"/>
          <w:szCs w:val="18"/>
        </w:rPr>
        <w:t xml:space="preserve"> </w:t>
      </w:r>
      <w:proofErr w:type="spellStart"/>
      <w:r>
        <w:rPr>
          <w:rFonts w:ascii="Calibri" w:eastAsia="Calibri" w:hAnsi="Calibri" w:cs="Calibri"/>
          <w:sz w:val="18"/>
          <w:szCs w:val="18"/>
        </w:rPr>
        <w:t>this</w:t>
      </w:r>
      <w:proofErr w:type="spellEnd"/>
      <w:r>
        <w:rPr>
          <w:rFonts w:ascii="Calibri" w:eastAsia="Calibri" w:hAnsi="Calibri" w:cs="Calibri"/>
          <w:sz w:val="18"/>
          <w:szCs w:val="18"/>
        </w:rPr>
        <w:t xml:space="preserve"> </w:t>
      </w:r>
      <w:proofErr w:type="spellStart"/>
      <w:r>
        <w:rPr>
          <w:rFonts w:ascii="Calibri" w:eastAsia="Calibri" w:hAnsi="Calibri" w:cs="Calibri"/>
          <w:sz w:val="18"/>
          <w:szCs w:val="18"/>
        </w:rPr>
        <w:t>topic</w:t>
      </w:r>
      <w:proofErr w:type="spellEnd"/>
      <w:r>
        <w:rPr>
          <w:rFonts w:ascii="Calibri" w:eastAsia="Calibri" w:hAnsi="Calibri" w:cs="Calibri"/>
          <w:sz w:val="18"/>
          <w:szCs w:val="18"/>
        </w:rPr>
        <w:t xml:space="preserve"> at: </w:t>
      </w:r>
      <w:hyperlink r:id="rId14">
        <w:r>
          <w:rPr>
            <w:rFonts w:ascii="Calibri" w:eastAsia="Calibri" w:hAnsi="Calibri" w:cs="Calibri"/>
            <w:color w:val="1155CC"/>
            <w:sz w:val="18"/>
            <w:szCs w:val="18"/>
            <w:u w:val="single"/>
          </w:rPr>
          <w:t xml:space="preserve">Defensoría de la Mujer Indígena </w:t>
        </w:r>
      </w:hyperlink>
      <w:r>
        <w:rPr>
          <w:rFonts w:ascii="Calibri" w:eastAsia="Calibri" w:hAnsi="Calibri" w:cs="Calibri"/>
          <w:sz w:val="18"/>
          <w:szCs w:val="18"/>
        </w:rPr>
        <w:t xml:space="preserve">y </w:t>
      </w:r>
      <w:hyperlink r:id="rId15">
        <w:r>
          <w:rPr>
            <w:rFonts w:ascii="Calibri" w:eastAsia="Calibri" w:hAnsi="Calibri" w:cs="Calibri"/>
            <w:color w:val="1155CC"/>
            <w:sz w:val="18"/>
            <w:szCs w:val="18"/>
            <w:u w:val="single"/>
          </w:rPr>
          <w:t>Ministerio de la Cultura y Deporte</w:t>
        </w:r>
      </w:hyperlink>
    </w:p>
  </w:footnote>
  <w:footnote w:id="32">
    <w:p w14:paraId="0C683E09"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 xml:space="preserve"> Op. cit. Committee on the Elimination of Racial Discrimination. 2019. para. 8. </w:t>
      </w:r>
    </w:p>
  </w:footnote>
  <w:footnote w:id="33">
    <w:p w14:paraId="16208543"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Op. cit. Inter-American Commission on Human Rights. 2016. para. 85.</w:t>
      </w:r>
    </w:p>
  </w:footnote>
  <w:footnote w:id="34">
    <w:p w14:paraId="78A51256" w14:textId="77777777" w:rsidR="007D55B3" w:rsidRPr="006F3E90" w:rsidRDefault="00000000">
      <w:pPr>
        <w:spacing w:line="240" w:lineRule="auto"/>
        <w:rPr>
          <w:rFonts w:ascii="Calibri" w:eastAsia="Calibri" w:hAnsi="Calibri" w:cs="Calibri"/>
          <w:sz w:val="18"/>
          <w:szCs w:val="18"/>
          <w:lang w:val="en-US"/>
        </w:rPr>
      </w:pPr>
      <w:r>
        <w:rPr>
          <w:vertAlign w:val="superscript"/>
        </w:rPr>
        <w:footnoteRef/>
      </w:r>
      <w:r w:rsidRPr="006F3E90">
        <w:rPr>
          <w:rFonts w:ascii="Calibri" w:eastAsia="Calibri" w:hAnsi="Calibri" w:cs="Calibri"/>
          <w:sz w:val="18"/>
          <w:szCs w:val="18"/>
          <w:lang w:val="en-US"/>
        </w:rPr>
        <w:t xml:space="preserve"> Op. cit. Inter-American Commission on Human Rights. 2015. para. 322. </w:t>
      </w:r>
    </w:p>
  </w:footnote>
  <w:footnote w:id="35">
    <w:p w14:paraId="6FBD5384" w14:textId="77777777" w:rsidR="007D55B3" w:rsidRPr="006F3E90" w:rsidRDefault="00000000">
      <w:pPr>
        <w:spacing w:line="240" w:lineRule="auto"/>
        <w:rPr>
          <w:sz w:val="20"/>
          <w:szCs w:val="20"/>
          <w:lang w:val="en-US"/>
        </w:rPr>
      </w:pPr>
      <w:r>
        <w:rPr>
          <w:vertAlign w:val="superscript"/>
        </w:rPr>
        <w:footnoteRef/>
      </w:r>
      <w:r w:rsidRPr="006F3E90">
        <w:rPr>
          <w:sz w:val="20"/>
          <w:szCs w:val="20"/>
          <w:lang w:val="en-US"/>
        </w:rPr>
        <w:t xml:space="preserve"> Cervantes Institute. Teaching Spanish in Colonial America: 17th-century Venezuela. p. 479. Available at: </w:t>
      </w:r>
      <w:hyperlink r:id="rId16">
        <w:r w:rsidRPr="006F3E90">
          <w:rPr>
            <w:color w:val="1155CC"/>
            <w:sz w:val="20"/>
            <w:szCs w:val="20"/>
            <w:u w:val="single"/>
            <w:lang w:val="en-US"/>
          </w:rPr>
          <w:t>https://cvc.cervantes.es/literatura/cauce/pdf/cauce20-21/cauce20-21_27.pdf</w:t>
        </w:r>
      </w:hyperlink>
      <w:r w:rsidRPr="006F3E90">
        <w:rPr>
          <w:sz w:val="20"/>
          <w:szCs w:val="20"/>
          <w:lang w:val="en-US"/>
        </w:rPr>
        <w:t xml:space="preserve"> </w:t>
      </w:r>
    </w:p>
  </w:footnote>
  <w:footnote w:id="36">
    <w:p w14:paraId="4D39ECE8" w14:textId="77777777" w:rsidR="007D55B3" w:rsidRPr="006F3E90" w:rsidRDefault="00000000">
      <w:pPr>
        <w:spacing w:line="240" w:lineRule="auto"/>
        <w:rPr>
          <w:sz w:val="20"/>
          <w:szCs w:val="20"/>
          <w:lang w:val="en-US"/>
        </w:rPr>
      </w:pPr>
      <w:r>
        <w:rPr>
          <w:vertAlign w:val="superscript"/>
        </w:rPr>
        <w:footnoteRef/>
      </w:r>
      <w:r w:rsidRPr="006F3E90">
        <w:rPr>
          <w:sz w:val="20"/>
          <w:szCs w:val="20"/>
          <w:lang w:val="en-US"/>
        </w:rPr>
        <w:t xml:space="preserve"> García Vettorazzi, María. </w:t>
      </w:r>
      <w:r w:rsidRPr="006F3E90">
        <w:rPr>
          <w:i/>
          <w:sz w:val="20"/>
          <w:szCs w:val="20"/>
          <w:lang w:val="en-US"/>
        </w:rPr>
        <w:t xml:space="preserve">Religion, politics, and the Cold War in Guatemala. Rev. </w:t>
      </w:r>
      <w:proofErr w:type="spellStart"/>
      <w:r w:rsidRPr="006F3E90">
        <w:rPr>
          <w:i/>
          <w:sz w:val="20"/>
          <w:szCs w:val="20"/>
          <w:lang w:val="en-US"/>
        </w:rPr>
        <w:t>Rupturas</w:t>
      </w:r>
      <w:proofErr w:type="spellEnd"/>
      <w:r w:rsidRPr="006F3E90">
        <w:rPr>
          <w:i/>
          <w:sz w:val="20"/>
          <w:szCs w:val="20"/>
          <w:lang w:val="en-US"/>
        </w:rPr>
        <w:t xml:space="preserve"> 12(1), Costa Rica, Jan-Jun 2022. pp. 169-194</w:t>
      </w:r>
      <w:r w:rsidRPr="006F3E90">
        <w:rPr>
          <w:sz w:val="20"/>
          <w:szCs w:val="20"/>
          <w:lang w:val="en-US"/>
        </w:rPr>
        <w:t>.</w:t>
      </w:r>
    </w:p>
  </w:footnote>
  <w:footnote w:id="37">
    <w:p w14:paraId="42426728" w14:textId="77777777" w:rsidR="007D55B3" w:rsidRPr="006F3E90" w:rsidRDefault="00000000">
      <w:pPr>
        <w:spacing w:line="240" w:lineRule="auto"/>
        <w:rPr>
          <w:sz w:val="20"/>
          <w:szCs w:val="20"/>
          <w:lang w:val="en-US"/>
        </w:rPr>
      </w:pPr>
      <w:r>
        <w:rPr>
          <w:vertAlign w:val="superscript"/>
        </w:rPr>
        <w:footnoteRef/>
      </w:r>
      <w:r w:rsidRPr="006F3E90">
        <w:rPr>
          <w:sz w:val="20"/>
          <w:szCs w:val="20"/>
          <w:lang w:val="en-US"/>
        </w:rPr>
        <w:t xml:space="preserve"> Triana Ballesteros, E. </w:t>
      </w:r>
      <w:r w:rsidRPr="006F3E90">
        <w:rPr>
          <w:i/>
          <w:sz w:val="20"/>
          <w:szCs w:val="20"/>
          <w:lang w:val="en-US"/>
        </w:rPr>
        <w:t>Imaginaries about homosexuality in Colombian evangelical fundamentalism. National University of Colombia. 2021. Available at</w:t>
      </w:r>
      <w:r w:rsidRPr="006F3E90">
        <w:rPr>
          <w:sz w:val="20"/>
          <w:szCs w:val="20"/>
          <w:lang w:val="en-US"/>
        </w:rPr>
        <w:t xml:space="preserve">: </w:t>
      </w:r>
      <w:hyperlink r:id="rId17">
        <w:r w:rsidRPr="006F3E90">
          <w:rPr>
            <w:color w:val="1155CC"/>
            <w:sz w:val="20"/>
            <w:szCs w:val="20"/>
            <w:u w:val="single"/>
            <w:lang w:val="en-US"/>
          </w:rPr>
          <w:t>https://bffrepositorio.unal.edu.co/server/api/core/bitstreams/4f664120-cc11-42b1-a570-bcfa09074a43/content</w:t>
        </w:r>
      </w:hyperlink>
      <w:r w:rsidRPr="006F3E90">
        <w:rPr>
          <w:sz w:val="20"/>
          <w:szCs w:val="20"/>
          <w:lang w:val="en-US"/>
        </w:rPr>
        <w:t xml:space="preserve"> </w:t>
      </w:r>
    </w:p>
  </w:footnote>
  <w:footnote w:id="38">
    <w:p w14:paraId="087C526F" w14:textId="77777777" w:rsidR="007D55B3" w:rsidRPr="006F3E90" w:rsidRDefault="00000000">
      <w:pPr>
        <w:spacing w:line="240" w:lineRule="auto"/>
        <w:rPr>
          <w:i/>
          <w:sz w:val="20"/>
          <w:szCs w:val="20"/>
          <w:lang w:val="en-US"/>
        </w:rPr>
      </w:pPr>
      <w:r>
        <w:rPr>
          <w:vertAlign w:val="superscript"/>
        </w:rPr>
        <w:footnoteRef/>
      </w:r>
      <w:r w:rsidRPr="006F3E90">
        <w:rPr>
          <w:sz w:val="20"/>
          <w:szCs w:val="20"/>
          <w:lang w:val="en-US"/>
        </w:rPr>
        <w:t xml:space="preserve"> FLACSO </w:t>
      </w:r>
      <w:proofErr w:type="spellStart"/>
      <w:r w:rsidRPr="006F3E90">
        <w:rPr>
          <w:sz w:val="20"/>
          <w:szCs w:val="20"/>
          <w:lang w:val="en-US"/>
        </w:rPr>
        <w:t>Guatemala.</w:t>
      </w:r>
      <w:r w:rsidRPr="006F3E90">
        <w:rPr>
          <w:i/>
          <w:sz w:val="20"/>
          <w:szCs w:val="20"/>
          <w:lang w:val="en-US"/>
        </w:rPr>
        <w:t>Between</w:t>
      </w:r>
      <w:proofErr w:type="spellEnd"/>
      <w:r w:rsidRPr="006F3E90">
        <w:rPr>
          <w:i/>
          <w:sz w:val="20"/>
          <w:szCs w:val="20"/>
          <w:lang w:val="en-US"/>
        </w:rPr>
        <w:t xml:space="preserve"> survival and visibility: experiences of the LGBTIQ+ population in educational institutions. 2021</w:t>
      </w:r>
      <w:r w:rsidRPr="006F3E90">
        <w:rPr>
          <w:sz w:val="20"/>
          <w:szCs w:val="20"/>
          <w:lang w:val="en-US"/>
        </w:rPr>
        <w:t>. pp. 9,72</w:t>
      </w:r>
    </w:p>
  </w:footnote>
  <w:footnote w:id="39">
    <w:p w14:paraId="24732B31" w14:textId="77777777" w:rsidR="007D55B3" w:rsidRPr="006F3E90" w:rsidRDefault="00000000">
      <w:pPr>
        <w:spacing w:line="240" w:lineRule="auto"/>
        <w:rPr>
          <w:sz w:val="20"/>
          <w:szCs w:val="20"/>
          <w:lang w:val="en-US"/>
        </w:rPr>
      </w:pPr>
      <w:r>
        <w:rPr>
          <w:vertAlign w:val="superscript"/>
        </w:rPr>
        <w:footnoteRef/>
      </w:r>
      <w:r w:rsidRPr="006F3E90">
        <w:rPr>
          <w:sz w:val="20"/>
          <w:szCs w:val="20"/>
          <w:lang w:val="en-US"/>
        </w:rPr>
        <w:t xml:space="preserve"> Op.Cit. García Vettorazi.</w:t>
      </w:r>
    </w:p>
  </w:footnote>
  <w:footnote w:id="40">
    <w:p w14:paraId="714CB97C" w14:textId="77777777" w:rsidR="007D55B3" w:rsidRPr="006F3E90" w:rsidRDefault="00000000">
      <w:pPr>
        <w:spacing w:line="240" w:lineRule="auto"/>
        <w:rPr>
          <w:sz w:val="20"/>
          <w:szCs w:val="20"/>
          <w:lang w:val="en-US"/>
        </w:rPr>
      </w:pPr>
      <w:r>
        <w:rPr>
          <w:vertAlign w:val="superscript"/>
        </w:rPr>
        <w:footnoteRef/>
      </w:r>
      <w:r w:rsidRPr="006F3E90">
        <w:rPr>
          <w:sz w:val="20"/>
          <w:szCs w:val="20"/>
          <w:lang w:val="en-US"/>
        </w:rPr>
        <w:t xml:space="preserve"> BBC News. </w:t>
      </w:r>
      <w:r w:rsidRPr="006F3E90">
        <w:rPr>
          <w:i/>
          <w:sz w:val="20"/>
          <w:szCs w:val="20"/>
          <w:lang w:val="en-US"/>
        </w:rPr>
        <w:t xml:space="preserve">Guatemala: Congress passes a law prohibiting same-sex marriage and increasing penalties for abortion. March 9, 2022. Available at: </w:t>
      </w:r>
      <w:hyperlink r:id="rId18">
        <w:r w:rsidRPr="006F3E90">
          <w:rPr>
            <w:color w:val="1155CC"/>
            <w:sz w:val="20"/>
            <w:szCs w:val="20"/>
            <w:u w:val="single"/>
            <w:lang w:val="en-US"/>
          </w:rPr>
          <w:t>https://www.bbc.com/mundo/noticias-america-latina-60677336</w:t>
        </w:r>
      </w:hyperlink>
      <w:r w:rsidRPr="006F3E90">
        <w:rPr>
          <w:sz w:val="20"/>
          <w:szCs w:val="20"/>
          <w:lang w:val="en-US"/>
        </w:rPr>
        <w:t xml:space="preserve"> </w:t>
      </w:r>
    </w:p>
  </w:footnote>
  <w:footnote w:id="41">
    <w:p w14:paraId="2774BD37" w14:textId="77777777" w:rsidR="007D55B3" w:rsidRPr="006F3E90" w:rsidRDefault="00000000">
      <w:pPr>
        <w:spacing w:line="240" w:lineRule="auto"/>
        <w:jc w:val="both"/>
        <w:rPr>
          <w:sz w:val="20"/>
          <w:szCs w:val="20"/>
          <w:lang w:val="en-US"/>
        </w:rPr>
      </w:pPr>
      <w:r>
        <w:rPr>
          <w:vertAlign w:val="superscript"/>
        </w:rPr>
        <w:footnoteRef/>
      </w:r>
      <w:r w:rsidRPr="006F3E90">
        <w:rPr>
          <w:sz w:val="20"/>
          <w:szCs w:val="20"/>
          <w:lang w:val="en-US"/>
        </w:rPr>
        <w:t xml:space="preserve"> Committee on the Elimination of Racial Discrimination. General Recommendation No. 35. Combating racist hate speech. 2015. CERD/C/GC/35. para. 32. </w:t>
      </w:r>
    </w:p>
  </w:footnote>
  <w:footnote w:id="42">
    <w:p w14:paraId="448BA180" w14:textId="77777777" w:rsidR="007D55B3" w:rsidRPr="006F3E90" w:rsidRDefault="00000000">
      <w:pPr>
        <w:spacing w:line="240" w:lineRule="auto"/>
        <w:rPr>
          <w:sz w:val="20"/>
          <w:szCs w:val="20"/>
          <w:lang w:val="en-US"/>
        </w:rPr>
      </w:pPr>
      <w:r>
        <w:rPr>
          <w:vertAlign w:val="superscript"/>
        </w:rPr>
        <w:footnoteRef/>
      </w:r>
      <w:r w:rsidRPr="006F3E90">
        <w:rPr>
          <w:sz w:val="20"/>
          <w:szCs w:val="20"/>
          <w:lang w:val="en-US"/>
        </w:rPr>
        <w:t xml:space="preserve"> Op. Cit. Inter-American Commission on Human Rights. 2016. para. 91. </w:t>
      </w:r>
    </w:p>
  </w:footnote>
  <w:footnote w:id="43">
    <w:p w14:paraId="3BBF8005" w14:textId="77777777" w:rsidR="007D55B3" w:rsidRPr="006F3E90" w:rsidRDefault="00000000">
      <w:pPr>
        <w:spacing w:line="240" w:lineRule="auto"/>
        <w:rPr>
          <w:sz w:val="20"/>
          <w:szCs w:val="20"/>
          <w:lang w:val="en-US"/>
        </w:rPr>
      </w:pPr>
      <w:r>
        <w:rPr>
          <w:vertAlign w:val="superscript"/>
        </w:rPr>
        <w:footnoteRef/>
      </w:r>
      <w:r w:rsidRPr="006F3E90">
        <w:rPr>
          <w:sz w:val="20"/>
          <w:szCs w:val="20"/>
          <w:lang w:val="en-US"/>
        </w:rPr>
        <w:t xml:space="preserve"> PAHO. WHO. Analysis of barriers to access to health services and assessment of essential conditions in 22 municipal health districts in Alta Verapaz, Huehuetenango, Ixil, and Chiquimula. 2014. Available at: </w:t>
      </w:r>
      <w:hyperlink r:id="rId19">
        <w:r w:rsidRPr="006F3E90">
          <w:rPr>
            <w:color w:val="1155CC"/>
            <w:sz w:val="20"/>
            <w:szCs w:val="20"/>
            <w:u w:val="single"/>
            <w:lang w:val="en-US"/>
          </w:rPr>
          <w:t>https://www.paho.org/sites/default/files/2024-04/gtmanalisisbarrerasaccesoassen22dms4das.pdf</w:t>
        </w:r>
      </w:hyperlink>
      <w:r w:rsidRPr="006F3E90">
        <w:rPr>
          <w:sz w:val="20"/>
          <w:szCs w:val="20"/>
          <w:lang w:val="en-US"/>
        </w:rPr>
        <w:t xml:space="preserve"> </w:t>
      </w:r>
    </w:p>
  </w:footnote>
  <w:footnote w:id="44">
    <w:p w14:paraId="3C9F1576" w14:textId="77777777" w:rsidR="007D55B3" w:rsidRPr="006F3E90" w:rsidRDefault="00000000">
      <w:pPr>
        <w:spacing w:line="240" w:lineRule="auto"/>
        <w:rPr>
          <w:sz w:val="20"/>
          <w:szCs w:val="20"/>
          <w:lang w:val="en-US"/>
        </w:rPr>
      </w:pPr>
      <w:r>
        <w:rPr>
          <w:vertAlign w:val="superscript"/>
        </w:rPr>
        <w:footnoteRef/>
      </w:r>
      <w:r w:rsidRPr="006F3E90">
        <w:rPr>
          <w:sz w:val="20"/>
          <w:szCs w:val="20"/>
          <w:lang w:val="en-US"/>
        </w:rPr>
        <w:t xml:space="preserve"> Plaza Pública. </w:t>
      </w:r>
      <w:r w:rsidRPr="006F3E90">
        <w:rPr>
          <w:i/>
          <w:sz w:val="20"/>
          <w:szCs w:val="20"/>
          <w:lang w:val="en-US"/>
        </w:rPr>
        <w:t>For Public Health, gender identity continues to be a disorder. June 24, 2022. Available at</w:t>
      </w:r>
      <w:r w:rsidRPr="006F3E90">
        <w:rPr>
          <w:sz w:val="20"/>
          <w:szCs w:val="20"/>
          <w:lang w:val="en-US"/>
        </w:rPr>
        <w:t xml:space="preserve">: </w:t>
      </w:r>
      <w:hyperlink r:id="rId20">
        <w:r w:rsidRPr="006F3E90">
          <w:rPr>
            <w:color w:val="1155CC"/>
            <w:sz w:val="20"/>
            <w:szCs w:val="20"/>
            <w:u w:val="single"/>
            <w:lang w:val="en-US"/>
          </w:rPr>
          <w:t>https://www.plazapublica.com.gt/content/para-salud-publica-la-identidad-de-genero-sigue-siendo-un-trastorno</w:t>
        </w:r>
      </w:hyperlink>
      <w:r w:rsidRPr="006F3E90">
        <w:rPr>
          <w:sz w:val="20"/>
          <w:szCs w:val="20"/>
          <w:lang w:val="en-US"/>
        </w:rPr>
        <w:t xml:space="preserve"> </w:t>
      </w:r>
    </w:p>
  </w:footnote>
  <w:footnote w:id="45">
    <w:p w14:paraId="3E071AF2" w14:textId="77777777" w:rsidR="007D55B3" w:rsidRPr="006F3E90" w:rsidRDefault="00000000">
      <w:pPr>
        <w:spacing w:line="240" w:lineRule="auto"/>
        <w:rPr>
          <w:sz w:val="20"/>
          <w:szCs w:val="20"/>
          <w:lang w:val="en-US"/>
        </w:rPr>
      </w:pPr>
      <w:r>
        <w:rPr>
          <w:vertAlign w:val="superscript"/>
        </w:rPr>
        <w:footnoteRef/>
      </w:r>
      <w:r w:rsidRPr="006F3E90">
        <w:rPr>
          <w:sz w:val="20"/>
          <w:szCs w:val="20"/>
          <w:lang w:val="en-US"/>
        </w:rPr>
        <w:t xml:space="preserve"> The Trevor Project. The mental health and well-being of LGBTQ+ Indigenous youth. November 30, 2023. Available at: </w:t>
      </w:r>
      <w:hyperlink r:id="rId21">
        <w:r w:rsidRPr="006F3E90">
          <w:rPr>
            <w:color w:val="1155CC"/>
            <w:sz w:val="20"/>
            <w:szCs w:val="20"/>
            <w:u w:val="single"/>
            <w:lang w:val="en-US"/>
          </w:rPr>
          <w:t>https://www.thetrevorproject.org/research-briefs/the-mental-health-and-well-being-of-indigenous-lgbtq-young-people/</w:t>
        </w:r>
      </w:hyperlink>
      <w:r w:rsidRPr="006F3E90">
        <w:rPr>
          <w:sz w:val="20"/>
          <w:szCs w:val="20"/>
          <w:lang w:val="en-US"/>
        </w:rPr>
        <w:t xml:space="preserve"> </w:t>
      </w:r>
    </w:p>
  </w:footnote>
  <w:footnote w:id="46">
    <w:p w14:paraId="31A18FE7" w14:textId="77777777" w:rsidR="007D55B3" w:rsidRPr="006F3E90" w:rsidRDefault="00000000">
      <w:pPr>
        <w:spacing w:line="240" w:lineRule="auto"/>
        <w:rPr>
          <w:sz w:val="20"/>
          <w:szCs w:val="20"/>
          <w:lang w:val="en-US"/>
        </w:rPr>
      </w:pPr>
      <w:r>
        <w:rPr>
          <w:vertAlign w:val="superscript"/>
        </w:rPr>
        <w:footnoteRef/>
      </w:r>
      <w:r w:rsidRPr="006F3E90">
        <w:rPr>
          <w:sz w:val="20"/>
          <w:szCs w:val="20"/>
          <w:lang w:val="en-US"/>
        </w:rPr>
        <w:t xml:space="preserve"> </w:t>
      </w:r>
      <w:r w:rsidRPr="006F3E90">
        <w:rPr>
          <w:i/>
          <w:sz w:val="20"/>
          <w:szCs w:val="20"/>
          <w:lang w:val="en-US"/>
        </w:rPr>
        <w:t>Available at</w:t>
      </w:r>
      <w:r w:rsidRPr="006F3E90">
        <w:rPr>
          <w:sz w:val="20"/>
          <w:szCs w:val="20"/>
          <w:lang w:val="en-US"/>
        </w:rPr>
        <w:t xml:space="preserve">: </w:t>
      </w:r>
      <w:hyperlink r:id="rId22">
        <w:r w:rsidRPr="006F3E90">
          <w:rPr>
            <w:color w:val="1155CC"/>
            <w:sz w:val="20"/>
            <w:szCs w:val="20"/>
            <w:u w:val="single"/>
            <w:lang w:val="en-US"/>
          </w:rPr>
          <w:t>https://www.scribd.com/document/626200005/Manual-de-Lineamientos-de-Atencion-en-Salud-Para-Poblacion-Lgb</w:t>
        </w:r>
      </w:hyperlink>
      <w:r w:rsidRPr="006F3E90">
        <w:rPr>
          <w:sz w:val="20"/>
          <w:szCs w:val="20"/>
          <w:lang w:val="en-US"/>
        </w:rPr>
        <w:t xml:space="preserve"> </w:t>
      </w:r>
    </w:p>
  </w:footnote>
  <w:footnote w:id="47">
    <w:p w14:paraId="1E1A7087" w14:textId="77777777" w:rsidR="007D55B3" w:rsidRPr="006F3E90" w:rsidRDefault="00000000">
      <w:pPr>
        <w:spacing w:line="240" w:lineRule="auto"/>
        <w:rPr>
          <w:sz w:val="20"/>
          <w:szCs w:val="20"/>
          <w:lang w:val="en-US"/>
        </w:rPr>
      </w:pPr>
      <w:r>
        <w:rPr>
          <w:vertAlign w:val="superscript"/>
        </w:rPr>
        <w:footnoteRef/>
      </w:r>
      <w:r w:rsidRPr="006F3E90">
        <w:rPr>
          <w:sz w:val="20"/>
          <w:szCs w:val="20"/>
          <w:lang w:val="en-US"/>
        </w:rPr>
        <w:t xml:space="preserve"> </w:t>
      </w:r>
      <w:r w:rsidRPr="006F3E90">
        <w:rPr>
          <w:i/>
          <w:sz w:val="20"/>
          <w:szCs w:val="20"/>
          <w:lang w:val="en-US"/>
        </w:rPr>
        <w:t>Available at</w:t>
      </w:r>
      <w:r w:rsidRPr="006F3E90">
        <w:rPr>
          <w:sz w:val="20"/>
          <w:szCs w:val="20"/>
          <w:lang w:val="en-US"/>
        </w:rPr>
        <w:t xml:space="preserve">: </w:t>
      </w:r>
      <w:hyperlink r:id="rId23">
        <w:r w:rsidRPr="006F3E90">
          <w:rPr>
            <w:color w:val="1155CC"/>
            <w:sz w:val="20"/>
            <w:szCs w:val="20"/>
            <w:u w:val="single"/>
            <w:lang w:val="en-US"/>
          </w:rPr>
          <w:t>https://guatemala.unfpa.org/sites/default/files/pub-pdf/Estrategia%20Pob.%20TRANS.pdf</w:t>
        </w:r>
      </w:hyperlink>
      <w:r w:rsidRPr="006F3E90">
        <w:rPr>
          <w:sz w:val="20"/>
          <w:szCs w:val="20"/>
          <w:lang w:val="en-US"/>
        </w:rPr>
        <w:t xml:space="preserve"> </w:t>
      </w:r>
    </w:p>
  </w:footnote>
  <w:footnote w:id="48">
    <w:p w14:paraId="775BBC30" w14:textId="77777777" w:rsidR="007D55B3" w:rsidRPr="006F3E90" w:rsidRDefault="00000000">
      <w:pPr>
        <w:spacing w:line="240" w:lineRule="auto"/>
        <w:rPr>
          <w:sz w:val="20"/>
          <w:szCs w:val="20"/>
          <w:lang w:val="en-US"/>
        </w:rPr>
      </w:pPr>
      <w:r>
        <w:rPr>
          <w:vertAlign w:val="superscript"/>
        </w:rPr>
        <w:footnoteRef/>
      </w:r>
      <w:r w:rsidRPr="006F3E90">
        <w:rPr>
          <w:sz w:val="20"/>
          <w:szCs w:val="20"/>
          <w:lang w:val="en-US"/>
        </w:rPr>
        <w:t xml:space="preserve"> Davis, Orellana, Estrada, Brower. </w:t>
      </w:r>
      <w:r w:rsidRPr="006F3E90">
        <w:rPr>
          <w:i/>
          <w:sz w:val="20"/>
          <w:szCs w:val="20"/>
          <w:lang w:val="en-US"/>
        </w:rPr>
        <w:t>COVID-19, violence, and mental health among gay and bisexual indigenous men in Guatemala: An urgent call from key stakeholders. Glob Public Health. 2022. Available at</w:t>
      </w:r>
      <w:r w:rsidRPr="006F3E90">
        <w:rPr>
          <w:sz w:val="20"/>
          <w:szCs w:val="20"/>
          <w:lang w:val="en-US"/>
        </w:rPr>
        <w:t xml:space="preserve">: </w:t>
      </w:r>
      <w:hyperlink r:id="rId24">
        <w:r w:rsidRPr="006F3E90">
          <w:rPr>
            <w:color w:val="1155CC"/>
            <w:sz w:val="20"/>
            <w:szCs w:val="20"/>
            <w:u w:val="single"/>
            <w:lang w:val="en-US"/>
          </w:rPr>
          <w:t>https://pmc.ncbi.nlm.nih.gov/articles/PMC9118334/</w:t>
        </w:r>
      </w:hyperlink>
      <w:r w:rsidRPr="006F3E90">
        <w:rPr>
          <w:sz w:val="20"/>
          <w:szCs w:val="20"/>
          <w:lang w:val="en-US"/>
        </w:rPr>
        <w:t xml:space="preserve"> </w:t>
      </w:r>
    </w:p>
  </w:footnote>
  <w:footnote w:id="49">
    <w:p w14:paraId="154F72C7" w14:textId="77777777" w:rsidR="007D55B3" w:rsidRDefault="00000000">
      <w:pPr>
        <w:spacing w:line="240" w:lineRule="auto"/>
        <w:rPr>
          <w:sz w:val="20"/>
          <w:szCs w:val="20"/>
        </w:rPr>
      </w:pPr>
      <w:r>
        <w:rPr>
          <w:vertAlign w:val="superscript"/>
        </w:rPr>
        <w:footnoteRef/>
      </w:r>
      <w:r w:rsidRPr="006F3E90">
        <w:rPr>
          <w:sz w:val="20"/>
          <w:szCs w:val="20"/>
          <w:lang w:val="en-US"/>
        </w:rPr>
        <w:t xml:space="preserve"> Op. Cit. Committee on the Elimination of Racial Discrimination. </w:t>
      </w:r>
      <w:r>
        <w:rPr>
          <w:sz w:val="20"/>
          <w:szCs w:val="20"/>
        </w:rPr>
        <w:t xml:space="preserve">2024. para. 52D. </w:t>
      </w:r>
    </w:p>
    <w:p w14:paraId="23F30127" w14:textId="77777777" w:rsidR="007D55B3" w:rsidRDefault="007D55B3">
      <w:pPr>
        <w:spacing w:line="240" w:lineRule="auto"/>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C1480F"/>
    <w:multiLevelType w:val="multilevel"/>
    <w:tmpl w:val="47C265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F45122E"/>
    <w:multiLevelType w:val="multilevel"/>
    <w:tmpl w:val="3CF4C4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C554D53"/>
    <w:multiLevelType w:val="multilevel"/>
    <w:tmpl w:val="7E7863B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25963352">
    <w:abstractNumId w:val="2"/>
  </w:num>
  <w:num w:numId="2" w16cid:durableId="798454542">
    <w:abstractNumId w:val="0"/>
  </w:num>
  <w:num w:numId="3" w16cid:durableId="16175248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5B3"/>
    <w:rsid w:val="006F3E90"/>
    <w:rsid w:val="00706075"/>
    <w:rsid w:val="007D55B3"/>
    <w:rsid w:val="00EB31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5817E"/>
  <w15:docId w15:val="{BC579536-9026-42BD-A5F6-4AA864273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akahataorg.org/"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litiganteslgbtamericas@gmail.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tiganteslgbt.org"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direccion1.lambda@gmail.com"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s://www.asociacion-lambda.org" TargetMode="External"/><Relationship Id="rId14" Type="http://schemas.openxmlformats.org/officeDocument/2006/relationships/hyperlink" Target="https://akahataorg.org/"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views-voices.oxfam.org.uk/2022/06/el-intento-de-guatemala-de-prohibir-los-derechos-de-las-personas-lgbtqia/" TargetMode="External"/><Relationship Id="rId13" Type="http://schemas.openxmlformats.org/officeDocument/2006/relationships/hyperlink" Target="https://cidh.oas.org/countryrep/guatemala2003sp/capitulo4.htm" TargetMode="External"/><Relationship Id="rId18" Type="http://schemas.openxmlformats.org/officeDocument/2006/relationships/hyperlink" Target="https://www.bbc.com/mundo/noticias-america-latina-60677336" TargetMode="External"/><Relationship Id="rId3" Type="http://schemas.openxmlformats.org/officeDocument/2006/relationships/hyperlink" Target="https://www.congreso.gob.gt/noticias_congreso/9233/2022/4" TargetMode="External"/><Relationship Id="rId21" Type="http://schemas.openxmlformats.org/officeDocument/2006/relationships/hyperlink" Target="https://www.thetrevorproject.org/research-briefs/the-mental-health-and-well-being-of-indigenous-lgbtq-young-people/" TargetMode="External"/><Relationship Id="rId7" Type="http://schemas.openxmlformats.org/officeDocument/2006/relationships/hyperlink" Target="https://database.ilga.org/api/downloader/download/1/GT%20-%20LEG%20-%20Bill%205272%20(2017)%20-%20OR-OFF(es).pdf" TargetMode="External"/><Relationship Id="rId12" Type="http://schemas.openxmlformats.org/officeDocument/2006/relationships/hyperlink" Target="https://agenciapresentes.org/2023/01/17/hombres-gay-indigenas-viven-la-disidencia-desde-la-espiritualidad-maya/" TargetMode="External"/><Relationship Id="rId17" Type="http://schemas.openxmlformats.org/officeDocument/2006/relationships/hyperlink" Target="https://bffrepositorio.unal.edu.co/server/api/core/bitstreams/4f664120-cc11-42b1-a570-bcfa09074a43/content" TargetMode="External"/><Relationship Id="rId2" Type="http://schemas.openxmlformats.org/officeDocument/2006/relationships/hyperlink" Target="https://iwgia.org/es/guatemala.html" TargetMode="External"/><Relationship Id="rId16" Type="http://schemas.openxmlformats.org/officeDocument/2006/relationships/hyperlink" Target="https://cvc.cervantes.es/literatura/cauce/pdf/cauce20-21/cauce20-21_27.pdf" TargetMode="External"/><Relationship Id="rId20" Type="http://schemas.openxmlformats.org/officeDocument/2006/relationships/hyperlink" Target="https://www.plazapublica.com.gt/content/para-salud-publica-la-identidad-de-genero-sigue-siendo-un-trastorno" TargetMode="External"/><Relationship Id="rId1" Type="http://schemas.openxmlformats.org/officeDocument/2006/relationships/hyperlink" Target="https://www.ine.gob.gt/sistema/uploads/2024/12/05/20241205142224hb2DT5INXvYSKOiMBuPeeIOjO8GrLLIT.pdf" TargetMode="External"/><Relationship Id="rId6" Type="http://schemas.openxmlformats.org/officeDocument/2006/relationships/hyperlink" Target="https://www.aciprensa.com/noticias/71669/anuncian-marcha-nacional-en-defensa-de-la-vida-y-la-familia-en-guatemala" TargetMode="External"/><Relationship Id="rId11" Type="http://schemas.openxmlformats.org/officeDocument/2006/relationships/hyperlink" Target="https://docs.google.com/document/d/14wRfAjr4NK9gj8j2lzgG5UhT3YzK-mUP/edit?usp=sharing&amp;ouid=117981244824339983919&amp;rtpof=true&amp;sd=true" TargetMode="External"/><Relationship Id="rId24" Type="http://schemas.openxmlformats.org/officeDocument/2006/relationships/hyperlink" Target="https://pmc.ncbi.nlm.nih.gov/articles/PMC9118334/" TargetMode="External"/><Relationship Id="rId5" Type="http://schemas.openxmlformats.org/officeDocument/2006/relationships/hyperlink" Target="https://ilga.org/wp-content/uploads/2024/02/ILGA_Mundo_Homofobia_de_Estado_Actualizacion_Panorama_global_Legislacion_diciembre_2020.pdf" TargetMode="External"/><Relationship Id="rId15" Type="http://schemas.openxmlformats.org/officeDocument/2006/relationships/hyperlink" Target="https://mcd.gob.gt/mision-y-vision/" TargetMode="External"/><Relationship Id="rId23" Type="http://schemas.openxmlformats.org/officeDocument/2006/relationships/hyperlink" Target="https://guatemala.unfpa.org/sites/default/files/pub-pdf/Estrategia%20Pob.%20TRANS.pdf" TargetMode="External"/><Relationship Id="rId10" Type="http://schemas.openxmlformats.org/officeDocument/2006/relationships/hyperlink" Target="https://litiganteslgbt.org/news/la-red-de-litigantes-lgbti-de-las-americas-rechaza-los-obstaculos-al-desarrollo-de-las-marchas-del-orgullo/" TargetMode="External"/><Relationship Id="rId19" Type="http://schemas.openxmlformats.org/officeDocument/2006/relationships/hyperlink" Target="https://www.paho.org/sites/default/files/2024-04/gtmanalisisbarrerasaccesoassen22dms4das.pdf" TargetMode="External"/><Relationship Id="rId4" Type="http://schemas.openxmlformats.org/officeDocument/2006/relationships/hyperlink" Target="https://www.ine.gob.gt/2024/08/21/el-ine-presenta-cifras-de-pobreza-en-guatemala/" TargetMode="External"/><Relationship Id="rId9" Type="http://schemas.openxmlformats.org/officeDocument/2006/relationships/hyperlink" Target="https://lahora.gt/nacionales/sara/2021/11/18/organizaciones-senalan-persecucion-judicial-y-politica-contra-el-diputado-davila/" TargetMode="External"/><Relationship Id="rId14" Type="http://schemas.openxmlformats.org/officeDocument/2006/relationships/hyperlink" Target="https://consensomontevideo.cepal.org/es/instrumento/defensoria-de-la-mujer-indigena-demi" TargetMode="External"/><Relationship Id="rId22" Type="http://schemas.openxmlformats.org/officeDocument/2006/relationships/hyperlink" Target="https://www.scribd.com/document/626200005/Manual-de-Lineamientos-de-Atencion-en-Salud-Para-Poblacion-Lg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2025-10-21T15:06:58Z</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441C34F-457E-45FC-AAD5-9E7F52090FF6}"/>
</file>

<file path=customXml/itemProps2.xml><?xml version="1.0" encoding="utf-8"?>
<ds:datastoreItem xmlns:ds="http://schemas.openxmlformats.org/officeDocument/2006/customXml" ds:itemID="{B80C4746-F1DB-4A7F-BFAB-8F50AEC5E3F9}"/>
</file>

<file path=customXml/itemProps3.xml><?xml version="1.0" encoding="utf-8"?>
<ds:datastoreItem xmlns:ds="http://schemas.openxmlformats.org/officeDocument/2006/customXml" ds:itemID="{A7F2C712-259C-463D-9773-68B34A218F32}"/>
</file>

<file path=docProps/app.xml><?xml version="1.0" encoding="utf-8"?>
<Properties xmlns="http://schemas.openxmlformats.org/officeDocument/2006/extended-properties" xmlns:vt="http://schemas.openxmlformats.org/officeDocument/2006/docPropsVTypes">
  <Template>Normal</Template>
  <TotalTime>2</TotalTime>
  <Pages>14</Pages>
  <Words>4432</Words>
  <Characters>25266</Characters>
  <Application>Microsoft Office Word</Application>
  <DocSecurity>0</DocSecurity>
  <Lines>210</Lines>
  <Paragraphs>59</Paragraphs>
  <ScaleCrop>false</ScaleCrop>
  <Company/>
  <LinksUpToDate>false</LinksUpToDate>
  <CharactersWithSpaces>29639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Laura V. Rocha</cp:lastModifiedBy>
  <cp:revision>2</cp:revision>
  <dcterms:created xsi:type="dcterms:W3CDTF">2025-10-21T23:53:00Z</dcterms:created>
  <dcterms:modified xsi:type="dcterms:W3CDTF">2025-10-21T23:56:00Z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