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hd w:fill="ffffff" w:val="clear"/>
        <w:spacing w:after="220" w:before="220" w:line="327.27272727272725" w:lineRule="auto"/>
        <w:rPr/>
      </w:pPr>
      <w:bookmarkStart w:colFirst="0" w:colLast="0" w:name="_i8zbwcr1pqso" w:id="0"/>
      <w:bookmarkEnd w:id="0"/>
      <w:r w:rsidDel="00000000" w:rsidR="00000000" w:rsidRPr="00000000">
        <w:rPr>
          <w:rtl w:val="0"/>
        </w:rPr>
        <w:t xml:space="preserve">Informe</w:t>
      </w:r>
      <w:r w:rsidDel="00000000" w:rsidR="00000000" w:rsidRPr="00000000">
        <w:rPr>
          <w:rtl w:val="0"/>
        </w:rPr>
      </w:r>
    </w:p>
    <w:p w:rsidR="00000000" w:rsidDel="00000000" w:rsidP="00000000" w:rsidRDefault="00000000" w:rsidRPr="00000000" w14:paraId="00000002">
      <w:pPr>
        <w:shd w:fill="ffffff" w:val="clear"/>
        <w:spacing w:after="220" w:before="220" w:line="327.27272727272725" w:lineRule="auto"/>
        <w:rPr>
          <w:b w:val="1"/>
          <w:bCs w:val="1"/>
          <w:color w:val="002451"/>
        </w:rPr>
      </w:pPr>
      <w:r w:rsidDel="00000000" w:rsidR="00000000" w:rsidRPr="00000000">
        <w:rPr>
          <w:b w:val="1"/>
          <w:bCs w:val="1"/>
          <w:color w:val="002451"/>
          <w:rtl w:val="0"/>
        </w:rPr>
        <w:t xml:space="preserve">Tìtulo: Informe alternativo sobre implementación de modelos residenciales en Chile</w:t>
      </w:r>
    </w:p>
    <w:p w:rsidR="00000000" w:rsidDel="00000000" w:rsidP="00000000" w:rsidRDefault="00000000" w:rsidRPr="00000000" w14:paraId="00000003">
      <w:pPr>
        <w:shd w:fill="ffffff" w:val="clear"/>
        <w:spacing w:after="220" w:before="220" w:line="327.27272727272725" w:lineRule="auto"/>
        <w:rPr>
          <w:color w:val="002451"/>
        </w:rPr>
      </w:pPr>
      <w:r w:rsidDel="00000000" w:rsidR="00000000" w:rsidRPr="00000000">
        <w:rPr>
          <w:color w:val="002451"/>
          <w:rtl w:val="0"/>
        </w:rPr>
        <w:t xml:space="preserve">Autores(as): Soto Reyes, P., Besoain-Saldaña, A., Gutiérrez Monclus, P., Larenas Rosa, D., Loren Santana, C., Olivares Péndola, G., Puentes León, T. y Tapia-Saavedra, S., López Radrigan, C. y Núcleo Desarrollo Inclusivo</w:t>
      </w:r>
    </w:p>
    <w:p w:rsidR="00000000" w:rsidDel="00000000" w:rsidP="00000000" w:rsidRDefault="00000000" w:rsidRPr="00000000" w14:paraId="00000004">
      <w:pPr>
        <w:shd w:fill="ffffff" w:val="clear"/>
        <w:spacing w:after="220" w:before="220" w:line="327.27272727272725" w:lineRule="auto"/>
        <w:rPr>
          <w:b w:val="1"/>
          <w:bCs w:val="1"/>
          <w:color w:val="002451"/>
        </w:rPr>
      </w:pPr>
      <w:r w:rsidDel="00000000" w:rsidR="00000000" w:rsidRPr="00000000">
        <w:rPr>
          <w:b w:val="1"/>
          <w:bCs w:val="1"/>
          <w:color w:val="002451"/>
          <w:rtl w:val="0"/>
        </w:rPr>
        <w:t xml:space="preserve">Introducción</w:t>
      </w:r>
    </w:p>
    <w:p w:rsidR="00000000" w:rsidDel="00000000" w:rsidP="00000000" w:rsidRDefault="00000000" w:rsidRPr="00000000" w14:paraId="00000005">
      <w:pPr>
        <w:shd w:fill="ffffff" w:val="clear"/>
        <w:spacing w:after="220" w:before="220" w:line="327.27272727272725" w:lineRule="auto"/>
        <w:rPr>
          <w:color w:val="002451"/>
          <w:u w:val="single"/>
        </w:rPr>
      </w:pPr>
      <w:r w:rsidDel="00000000" w:rsidR="00000000" w:rsidRPr="00000000">
        <w:rPr>
          <w:color w:val="002451"/>
          <w:rtl w:val="0"/>
        </w:rPr>
        <w:t xml:space="preserve">1. </w:t>
      </w:r>
      <w:r w:rsidDel="00000000" w:rsidR="00000000" w:rsidRPr="00000000">
        <w:rPr>
          <w:color w:val="002451"/>
          <w:u w:val="single"/>
          <w:rtl w:val="0"/>
        </w:rPr>
        <w:t xml:space="preserve">Legislación</w:t>
      </w:r>
    </w:p>
    <w:p w:rsidR="00000000" w:rsidDel="00000000" w:rsidP="00000000" w:rsidRDefault="00000000" w:rsidRPr="00000000" w14:paraId="00000006">
      <w:pPr>
        <w:shd w:fill="ffffff" w:val="clear"/>
        <w:spacing w:after="220" w:before="220" w:line="327.27272727272725" w:lineRule="auto"/>
        <w:rPr>
          <w:color w:val="002451"/>
        </w:rPr>
      </w:pPr>
      <w:r w:rsidDel="00000000" w:rsidR="00000000" w:rsidRPr="00000000">
        <w:rPr>
          <w:color w:val="002451"/>
          <w:rtl w:val="0"/>
        </w:rPr>
        <w:t xml:space="preserve">En respuesta a la cuestión 16 (letras a y c) formulada por el Comité, se advierte que, si bien la Ley N.º 20.422 establece normas sobre igualdad de oportunidades, su marco normativo resulta insuficiente para garantizar que las personas con discapacidad puedan vivir de manera independiente con sistemas de apoyo integrales en la comunidad. Ni la legislación, ni el Estado,  ha logrado implementar medidas efectivas que reduzcan las diferencias en la disponibilidad de estos servicios entre las zonas urbanas y rurales.</w:t>
      </w:r>
    </w:p>
    <w:p w:rsidR="00000000" w:rsidDel="00000000" w:rsidP="00000000" w:rsidRDefault="00000000" w:rsidRPr="00000000" w14:paraId="00000007">
      <w:pPr>
        <w:shd w:fill="ffffff" w:val="clear"/>
        <w:spacing w:after="220" w:before="220" w:line="327.27272727272725" w:lineRule="auto"/>
        <w:rPr>
          <w:color w:val="002451"/>
        </w:rPr>
      </w:pPr>
      <w:r w:rsidDel="00000000" w:rsidR="00000000" w:rsidRPr="00000000">
        <w:rPr>
          <w:color w:val="002451"/>
          <w:rtl w:val="0"/>
        </w:rPr>
        <w:t xml:space="preserve">Asimismo, el marco legal sigue siendo insuficiente para prevenir el internamiento de niños y niñas por motivos de discapacidad, ya que carece de normas claras que eviten estancias prolongadas en instituciones residenciales y garanticen su derecho a vivir en familia. Adicionalmente, el ejercicio de este derecho se ve limitado por la vigencia del Código Civil de 1857 y la Ley N.º 18.600, que mantienen la figura de la interdicción civil, perpetuando la sustitución en la toma de decisiones.</w:t>
      </w:r>
    </w:p>
    <w:p w:rsidR="00000000" w:rsidDel="00000000" w:rsidP="00000000" w:rsidRDefault="00000000" w:rsidRPr="00000000" w14:paraId="00000008">
      <w:pPr>
        <w:shd w:fill="ffffff" w:val="clear"/>
        <w:spacing w:after="220" w:before="220" w:line="327.27272727272725" w:lineRule="auto"/>
        <w:rPr>
          <w:color w:val="002451"/>
          <w:u w:val="single"/>
        </w:rPr>
      </w:pPr>
      <w:r w:rsidDel="00000000" w:rsidR="00000000" w:rsidRPr="00000000">
        <w:rPr>
          <w:color w:val="002451"/>
          <w:rtl w:val="0"/>
        </w:rPr>
        <w:t xml:space="preserve">2. </w:t>
      </w:r>
      <w:r w:rsidDel="00000000" w:rsidR="00000000" w:rsidRPr="00000000">
        <w:rPr>
          <w:color w:val="002451"/>
          <w:u w:val="single"/>
          <w:rtl w:val="0"/>
        </w:rPr>
        <w:t xml:space="preserve">Políticas y Estrategias</w:t>
      </w:r>
    </w:p>
    <w:p w:rsidR="00000000" w:rsidDel="00000000" w:rsidP="00000000" w:rsidRDefault="00000000" w:rsidRPr="00000000" w14:paraId="00000009">
      <w:pPr>
        <w:shd w:fill="ffffff" w:val="clear"/>
        <w:spacing w:after="220" w:before="220" w:line="327.27272727272725" w:lineRule="auto"/>
        <w:rPr>
          <w:color w:val="002451"/>
        </w:rPr>
      </w:pPr>
      <w:r w:rsidDel="00000000" w:rsidR="00000000" w:rsidRPr="00000000">
        <w:rPr>
          <w:color w:val="002451"/>
          <w:rtl w:val="0"/>
        </w:rPr>
        <w:t xml:space="preserve">Respecto a la cuestión 16 (letra b) del Comité, el Estado no evidencia progresos sustantivos en la puesta en marcha de un plan nacional de desinstitucionalización con disposiciones claras para la transición a la vida independiente y el apoyo comunitario. La política pública central (como el "Programa Modelos Residenciales para Adultos con Discapacidad") opera bajo estrategias centralizadas y burocratizadas (como las complejas rendiciones mensuales en plataformas como SISREC), lo que limita la capacidad de los equipos para brindar apoyos reales para la vida independiente. Además, estas residencias no existen en todas las regiones y no cuentan con sistemas de apoyo suficientes que aseguren el principio de vida independiente y vida en comunidad.</w:t>
      </w:r>
    </w:p>
    <w:p w:rsidR="00000000" w:rsidDel="00000000" w:rsidP="00000000" w:rsidRDefault="00000000" w:rsidRPr="00000000" w14:paraId="0000000A">
      <w:pPr>
        <w:shd w:fill="ffffff" w:val="clear"/>
        <w:spacing w:after="220" w:before="220" w:line="327.27272727272725" w:lineRule="auto"/>
        <w:rPr>
          <w:color w:val="002451"/>
        </w:rPr>
      </w:pPr>
      <w:r w:rsidDel="00000000" w:rsidR="00000000" w:rsidRPr="00000000">
        <w:rPr>
          <w:color w:val="002451"/>
          <w:rtl w:val="0"/>
        </w:rPr>
        <w:t xml:space="preserve">Por otro lado, se ha levantado información cualitativa en terreno que confirma las deficiencias señaladas en la observación 64 del Comité. Existe un déficit crítico en la recopilación y actualización de datos y estadísticas sobre la base del modelo de derechos humanos. Las estrategias estatales deben incorporar de forma urgente datos desglosados por edad, sexo, género, tipo de discapacidad, pertenencia étnica y localización geográfica, haciendo especial énfasis en visibilizar el tipo de residencia o institucionalización, así como los casos por discriminación o violencia. La falta de esta información impide articular los vínculos entre el artículo 31 de la Convención y el objetivo 17 de los Objetivos de Desarrollo Sostenible (meta 17.18). Además, el desarrollo de estos procesos estadísticos y estratégicos omite sistemáticamente la consulta vinculante con las organizaciones de personas con discapacidad.</w:t>
      </w:r>
    </w:p>
    <w:p w:rsidR="00000000" w:rsidDel="00000000" w:rsidP="00000000" w:rsidRDefault="00000000" w:rsidRPr="00000000" w14:paraId="0000000B">
      <w:pPr>
        <w:shd w:fill="ffffff" w:val="clear"/>
        <w:spacing w:after="220" w:before="220" w:line="327.27272727272725" w:lineRule="auto"/>
        <w:rPr>
          <w:color w:val="002451"/>
          <w:u w:val="single"/>
        </w:rPr>
      </w:pPr>
      <w:r w:rsidDel="00000000" w:rsidR="00000000" w:rsidRPr="00000000">
        <w:rPr>
          <w:color w:val="002451"/>
          <w:rtl w:val="0"/>
        </w:rPr>
        <w:t xml:space="preserve">3. </w:t>
      </w:r>
      <w:r w:rsidDel="00000000" w:rsidR="00000000" w:rsidRPr="00000000">
        <w:rPr>
          <w:color w:val="002451"/>
          <w:u w:val="single"/>
          <w:rtl w:val="0"/>
        </w:rPr>
        <w:t xml:space="preserve">Modelos Residenciales (Análisis Cualitativo del Sistema de Apoyos)</w:t>
      </w:r>
    </w:p>
    <w:p w:rsidR="00000000" w:rsidDel="00000000" w:rsidP="00000000" w:rsidRDefault="00000000" w:rsidRPr="00000000" w14:paraId="0000000C">
      <w:pPr>
        <w:shd w:fill="ffffff" w:val="clear"/>
        <w:spacing w:after="220" w:before="220" w:line="327.27272727272725" w:lineRule="auto"/>
        <w:rPr>
          <w:color w:val="002451"/>
        </w:rPr>
      </w:pPr>
      <w:r w:rsidDel="00000000" w:rsidR="00000000" w:rsidRPr="00000000">
        <w:rPr>
          <w:color w:val="002451"/>
          <w:rtl w:val="0"/>
        </w:rPr>
        <w:t xml:space="preserve">A partir del levantamiento de información cualitativa a través de visitas de campo y la sistematización de literatura sobre buenas prácticas orientadas a la desinstitucionalización, se identifican los siguientes nudos críticos en la realidad operativa de los dispositivos:  </w:t>
      </w:r>
    </w:p>
    <w:p w:rsidR="00000000" w:rsidDel="00000000" w:rsidP="00000000" w:rsidRDefault="00000000" w:rsidRPr="00000000" w14:paraId="0000000D">
      <w:pPr>
        <w:shd w:fill="ffffff" w:val="clear"/>
        <w:spacing w:after="220" w:before="220" w:line="327.27272727272725" w:lineRule="auto"/>
        <w:rPr>
          <w:color w:val="002451"/>
        </w:rPr>
      </w:pPr>
      <w:r w:rsidDel="00000000" w:rsidR="00000000" w:rsidRPr="00000000">
        <w:rPr>
          <w:color w:val="002451"/>
          <w:rtl w:val="0"/>
        </w:rPr>
        <w:t xml:space="preserve">- Cobertura y articulación comunitaria: La provisión de apoyos presenta brechas de cobertura que limitan la vinculación de las residencias con su entorno territorial. La evidencia sobre procesos de desinstitucionalización destaca la necesidad de desarrollar estrategias de articulación comunitaria, tales como mesas de trabajo con actores locales, que favorezcan la participación de las personas con discapacidad en espacios comunitarios desde sus propios intereses y decisiones, lo que a su vez implica educar al entorno y trabajar colectivamente en los proceso de inclusión y participación. No obstante, la disponibilidad insuficiente de apoyos y servicios comunitarios restringe estas oportunidades, condicionando el acceso a redes, actividades y recursos del territorio.</w:t>
      </w:r>
    </w:p>
    <w:p w:rsidR="00000000" w:rsidDel="00000000" w:rsidP="00000000" w:rsidRDefault="00000000" w:rsidRPr="00000000" w14:paraId="0000000E">
      <w:pPr>
        <w:shd w:fill="ffffff" w:val="clear"/>
        <w:spacing w:after="220" w:before="220" w:line="327.27272727272725" w:lineRule="auto"/>
        <w:rPr>
          <w:color w:val="002451"/>
        </w:rPr>
      </w:pPr>
      <w:r w:rsidDel="00000000" w:rsidR="00000000" w:rsidRPr="00000000">
        <w:rPr>
          <w:color w:val="002451"/>
          <w:rtl w:val="0"/>
        </w:rPr>
        <w:t xml:space="preserve">- Modelo preventivo en la entrega de apoyos: El trabajo de campo evidencia que los equipos desarrollan su labor en un contexto de alta rotación de personal, escasas oportunidades de capacitación y apoyo técnico limitado. Estas condiciones dificultan la continuidad de los apoyos, el conocimiento de las historias, preferencias y necesidades de las personas usuarias, así como la planificación de intervenciones anticipatorias. En consecuencia, predomina una respuesta centrada en resolver situaciones una vez que ocurren, más que en prevenirlas mediante apoyos personalizados, seguimiento continuo y trabajo interdisciplinario.</w:t>
      </w:r>
    </w:p>
    <w:p w:rsidR="00000000" w:rsidDel="00000000" w:rsidP="00000000" w:rsidRDefault="00000000" w:rsidRPr="00000000" w14:paraId="0000000F">
      <w:pPr>
        <w:shd w:fill="ffffff" w:val="clear"/>
        <w:spacing w:after="220" w:before="220" w:line="327.27272727272725" w:lineRule="auto"/>
        <w:rPr>
          <w:color w:val="002451"/>
        </w:rPr>
      </w:pPr>
      <w:r w:rsidDel="00000000" w:rsidR="00000000" w:rsidRPr="00000000">
        <w:rPr>
          <w:color w:val="002451"/>
          <w:rtl w:val="0"/>
        </w:rPr>
        <w:t xml:space="preserve">- Manejo de desregulaciones (riesgo vs. malestar): Las desregulaciones emocionales o conductuales suelen abordarse principalmente desde una lógica de gestión del riesgo, más que como expresiones de malestar o respuestas a barreras del entorno. Esto se traduce en respuestas heterogéneas entre residencias y equipos, frecuentemente sustentadas en la experiencia individual de quienes intervienen. En algunos casos persiste el recurso a medidas restrictivas o de aislamiento temporal, en lugar de estrategias de co-regulación emocional y apoyos personalizados. Si bien varias residencias contaban con protocolos para abordar estas situaciones, su disponibilidad y grado de desarrollo no eran homogéneos, lo que refuerza la necesidad de contar con orientaciones comunes que promuevan la prevención y el manejo de las desregulaciones, que incluyan la identificación temprana de señales de malestar, la definición de responsabilidades, estrategias de anticipación, comunicación accesible, co-regulación, desescalamiento y revisión posterior de los episodios. Estos lineamientos debieran favorecer respuestas graduales, proporcionales y centradas en la persona, dejando las medidas restrictivas como un recurso excepcional, por el menor tiempo posible y con resguardos definidos. Asimismo, las condiciones materiales de algunos espacios residenciales presentan limitaciones en términos de comodidad y adecuación. La necesidad de responder a daños recurrentes en la infraestructura o el mobiliario reduce las posibilidades de adaptar los entornos a las preferencias y necesidades de las personas, afectando la calidad de los espacios de vida y de apoyo.</w:t>
      </w:r>
    </w:p>
    <w:p w:rsidR="00000000" w:rsidDel="00000000" w:rsidP="00000000" w:rsidRDefault="00000000" w:rsidRPr="00000000" w14:paraId="00000010">
      <w:pPr>
        <w:shd w:fill="ffffff" w:val="clear"/>
        <w:spacing w:after="220" w:before="220" w:line="327.27272727272725" w:lineRule="auto"/>
        <w:rPr>
          <w:color w:val="002451"/>
        </w:rPr>
      </w:pPr>
      <w:r w:rsidDel="00000000" w:rsidR="00000000" w:rsidRPr="00000000">
        <w:rPr>
          <w:color w:val="002451"/>
          <w:rtl w:val="0"/>
        </w:rPr>
        <w:t xml:space="preserve">- Integralidad y Participación: La atención en residencias sigue enfocada prioritariamente en la asistencia básica (techo, alimentación, higiene y medicación), dejando de lado un enfoque holístico centrado en la persona. La participación real exige que las personas con discapacidad sean protagonistas de su plan de intervención, lo que incluye levantar información vital sobre sus redes funcionales a través de ecomapas y fomentar una comunicación accesible (por ejemplo, mediante lectura fácil) que les permita expresar su consentimiento y decisiones diarias.  </w:t>
      </w:r>
    </w:p>
    <w:p w:rsidR="00000000" w:rsidDel="00000000" w:rsidP="00000000" w:rsidRDefault="00000000" w:rsidRPr="00000000" w14:paraId="00000011">
      <w:pPr>
        <w:shd w:fill="ffffff" w:val="clear"/>
        <w:spacing w:after="220" w:before="220" w:line="327.27272727272725" w:lineRule="auto"/>
        <w:rPr>
          <w:color w:val="002451"/>
        </w:rPr>
      </w:pPr>
      <w:r w:rsidDel="00000000" w:rsidR="00000000" w:rsidRPr="00000000">
        <w:rPr>
          <w:color w:val="002451"/>
          <w:rtl w:val="0"/>
        </w:rPr>
        <w:t xml:space="preserve">- La tensión entre Protección y Vulneración (La paradoja de la protección): Uno de los hallazgos más críticos es la tensión constante entre el deber de cuidado y el respeto a la autodeterminación. Con el afán de "proteger" a los residentes de posibles daños o malas decisiones, las dinámicas institucionales terminan vulnerando derechos fundamentales al suprimir su autonomía. Es imperativo que el sistema de apoyos incorpore el concepto de la "dignidad del riesgo"; es decir, garantizar que las personas con discapacidad tengan el derecho a explorar, tomar sus propias decisiones, asumir riesgos cotidianos evaluados y aprender de ellos, sin que la sobreprotección institucional se convierta en una forma encubierta de coerción.</w:t>
      </w:r>
    </w:p>
    <w:p w:rsidR="00000000" w:rsidDel="00000000" w:rsidP="00000000" w:rsidRDefault="00000000" w:rsidRPr="00000000" w14:paraId="00000012">
      <w:pPr>
        <w:shd w:fill="ffffff" w:val="clear"/>
        <w:spacing w:after="220" w:before="220" w:line="327.27272727272725" w:lineRule="auto"/>
        <w:rPr>
          <w:color w:val="002451"/>
        </w:rPr>
      </w:pPr>
      <w:r w:rsidDel="00000000" w:rsidR="00000000" w:rsidRPr="00000000">
        <w:rPr>
          <w:color w:val="002451"/>
          <w:rtl w:val="0"/>
        </w:rPr>
        <w:t xml:space="preserve">- Comunicación para la autonomía y el ejercicio de derechos: Otro hallazgo de gran relevancia corresponde al papel de la comunicación en el ejercicio de la autonomía de las personas residentes. Muchas de las personas residentes enfrentan desafíos expresivos y comprensivos relacionados a la comunicación oral verbal, y la ausencia de apoyos, recursos, herramientas y sistemas que faciliten formas aumentativas y alternativas de comunicación merma sus posibilidades de manifestar preferencias y opiniones, y por tanto, también limita su posibilidad de tomar decisiones relativas a su vida cotidiana. Así también, la mayoría de las residencias no cuenta con personal especializado en acompañamiento comunicativo, lo que dificulta el desarrollo de estrategias facilitadoras.</w:t>
      </w:r>
    </w:p>
    <w:p w:rsidR="00000000" w:rsidDel="00000000" w:rsidP="00000000" w:rsidRDefault="00000000" w:rsidRPr="00000000" w14:paraId="00000013">
      <w:pPr>
        <w:shd w:fill="ffffff" w:val="clear"/>
        <w:spacing w:after="220" w:before="220" w:line="327.27272727272725" w:lineRule="auto"/>
        <w:rPr>
          <w:color w:val="002451"/>
        </w:rPr>
      </w:pPr>
      <w:r w:rsidDel="00000000" w:rsidR="00000000" w:rsidRPr="00000000">
        <w:rPr>
          <w:rtl w:val="0"/>
        </w:rPr>
      </w:r>
    </w:p>
    <w:p w:rsidR="00000000" w:rsidDel="00000000" w:rsidP="00000000" w:rsidRDefault="00000000" w:rsidRPr="00000000" w14:paraId="00000014">
      <w:pPr>
        <w:shd w:fill="ffffff" w:val="clear"/>
        <w:spacing w:after="220" w:before="220" w:line="327.27272727272725" w:lineRule="auto"/>
        <w:rPr>
          <w:b w:val="1"/>
          <w:bCs w:val="1"/>
          <w:color w:val="002451"/>
        </w:rPr>
      </w:pPr>
      <w:r w:rsidDel="00000000" w:rsidR="00000000" w:rsidRPr="00000000">
        <w:rPr>
          <w:b w:val="1"/>
          <w:bCs w:val="1"/>
          <w:color w:val="002451"/>
          <w:rtl w:val="0"/>
        </w:rPr>
        <w:t xml:space="preserve">Recomendaciones al Estado Parte</w:t>
      </w:r>
    </w:p>
    <w:p w:rsidR="00000000" w:rsidDel="00000000" w:rsidP="00000000" w:rsidRDefault="00000000" w:rsidRPr="00000000" w14:paraId="00000015">
      <w:pPr>
        <w:shd w:fill="ffffff" w:val="clear"/>
        <w:spacing w:after="220" w:before="220" w:line="327.27272727272725" w:lineRule="auto"/>
        <w:rPr>
          <w:color w:val="002451"/>
        </w:rPr>
      </w:pPr>
      <w:r w:rsidDel="00000000" w:rsidR="00000000" w:rsidRPr="00000000">
        <w:rPr>
          <w:color w:val="002451"/>
          <w:rtl w:val="0"/>
        </w:rPr>
        <w:t xml:space="preserve">En consonancia con las brechas materiales y las barreras burocráticas identificadas, se formulan las siguientes recomendaciones urgentes para el Estado parte, estructuradas con indicadores claros y plazos definidos para su cumplimiento:</w:t>
      </w:r>
    </w:p>
    <w:p w:rsidR="00000000" w:rsidDel="00000000" w:rsidP="00000000" w:rsidRDefault="00000000" w:rsidRPr="00000000" w14:paraId="00000016">
      <w:pPr>
        <w:shd w:fill="ffffff" w:val="clear"/>
        <w:spacing w:after="220" w:before="220" w:line="327.27272727272725" w:lineRule="auto"/>
        <w:rPr>
          <w:color w:val="002451"/>
          <w:u w:val="single"/>
        </w:rPr>
      </w:pPr>
      <w:r w:rsidDel="00000000" w:rsidR="00000000" w:rsidRPr="00000000">
        <w:rPr>
          <w:color w:val="002451"/>
          <w:rtl w:val="0"/>
        </w:rPr>
        <w:t xml:space="preserve">1. </w:t>
      </w:r>
      <w:r w:rsidDel="00000000" w:rsidR="00000000" w:rsidRPr="00000000">
        <w:rPr>
          <w:color w:val="002451"/>
          <w:u w:val="single"/>
          <w:rtl w:val="0"/>
        </w:rPr>
        <w:t xml:space="preserve">Fortalecimiento del financiamiento para la inclusión comunitaria y desinstitucionalización</w:t>
      </w:r>
    </w:p>
    <w:p w:rsidR="00000000" w:rsidDel="00000000" w:rsidP="00000000" w:rsidRDefault="00000000" w:rsidRPr="00000000" w14:paraId="00000017">
      <w:pPr>
        <w:shd w:fill="ffffff" w:val="clear"/>
        <w:spacing w:after="220" w:before="220" w:line="327.27272727272725" w:lineRule="auto"/>
        <w:rPr>
          <w:color w:val="002451"/>
        </w:rPr>
      </w:pPr>
      <w:r w:rsidDel="00000000" w:rsidR="00000000" w:rsidRPr="00000000">
        <w:rPr>
          <w:color w:val="002451"/>
          <w:rtl w:val="0"/>
        </w:rPr>
        <w:t xml:space="preserve">Recomendamos al Estado parte rediseñar el modelo de financiamiento del "Programa de Modelos Residenciales para Adultos con Discapacidad", condicionando la transferencia de recursos públicos a la ejecución de planes de desinstitucionalización y trabajo comunitario. En un plazo de 12 meses, las nuevas bases técnicas de SENADIS deben garantizar que al menos un 30% de los fondos adjudicados se destine exclusivamente a apoyos flexibles en entornos abiertos, adaptaciones domiciliarias y mediación comunitaria. Esta medida, viable mediante la actualización de glosas presupuestarias (Subtítulo 24), responde directamente al Artículo 19 de la Convención, asegurando que los recursos dejen de subsidiar la custodia tradicional y promuevan el tránsito efectivo a la vida independiente.</w:t>
      </w:r>
    </w:p>
    <w:p w:rsidR="00000000" w:rsidDel="00000000" w:rsidP="00000000" w:rsidRDefault="00000000" w:rsidRPr="00000000" w14:paraId="00000018">
      <w:pPr>
        <w:shd w:fill="ffffff" w:val="clear"/>
        <w:spacing w:after="220" w:before="220" w:line="327.27272727272725" w:lineRule="auto"/>
        <w:rPr>
          <w:color w:val="002451"/>
          <w:u w:val="single"/>
        </w:rPr>
      </w:pPr>
      <w:r w:rsidDel="00000000" w:rsidR="00000000" w:rsidRPr="00000000">
        <w:rPr>
          <w:color w:val="002451"/>
          <w:rtl w:val="0"/>
        </w:rPr>
        <w:t xml:space="preserve">2. </w:t>
      </w:r>
      <w:r w:rsidDel="00000000" w:rsidR="00000000" w:rsidRPr="00000000">
        <w:rPr>
          <w:color w:val="002451"/>
          <w:u w:val="single"/>
          <w:rtl w:val="0"/>
        </w:rPr>
        <w:t xml:space="preserve">Simplificación operativa y reducción del tiempo administrativo</w:t>
      </w:r>
    </w:p>
    <w:p w:rsidR="00000000" w:rsidDel="00000000" w:rsidP="00000000" w:rsidRDefault="00000000" w:rsidRPr="00000000" w14:paraId="00000019">
      <w:pPr>
        <w:shd w:fill="ffffff" w:val="clear"/>
        <w:spacing w:after="220" w:before="220" w:line="327.27272727272725" w:lineRule="auto"/>
        <w:rPr>
          <w:color w:val="002451"/>
        </w:rPr>
      </w:pPr>
      <w:r w:rsidDel="00000000" w:rsidR="00000000" w:rsidRPr="00000000">
        <w:rPr>
          <w:color w:val="002451"/>
          <w:rtl w:val="0"/>
        </w:rPr>
        <w:t xml:space="preserve">Es urgente simplificar la carga administrativa que asfixia a los equipos de apoyo, con la meta de reducir en al menos un 40% el tiempo dedicado a la reportabilidad burocrática en los próximos 6 meses. Para ello, el Estado debe flexibilizar las exigencias de la plataforma SISREC y eliminar o adecuar la obligatoriedad de boletas de garantía (equivalentes al 5% del total) para las organizaciones de la sociedad civil. Al optimizar estos procesos, se liberarán horas críticas de los profesionales para reorientarlas exclusivamente a la atención directa, el manejo preventivo de desregulaciones y el fomento de la autonomía en terreno, salvaguardando la calidad del acompañamiento humano.</w:t>
      </w:r>
    </w:p>
    <w:p w:rsidR="00000000" w:rsidDel="00000000" w:rsidP="00000000" w:rsidRDefault="00000000" w:rsidRPr="00000000" w14:paraId="0000001A">
      <w:pPr>
        <w:shd w:fill="ffffff" w:val="clear"/>
        <w:spacing w:after="220" w:before="220" w:line="327.27272727272725" w:lineRule="auto"/>
        <w:rPr>
          <w:color w:val="002451"/>
          <w:u w:val="single"/>
        </w:rPr>
      </w:pPr>
      <w:r w:rsidDel="00000000" w:rsidR="00000000" w:rsidRPr="00000000">
        <w:rPr>
          <w:color w:val="002451"/>
          <w:rtl w:val="0"/>
        </w:rPr>
        <w:t xml:space="preserve">3. </w:t>
      </w:r>
      <w:r w:rsidDel="00000000" w:rsidR="00000000" w:rsidRPr="00000000">
        <w:rPr>
          <w:color w:val="002451"/>
          <w:u w:val="single"/>
          <w:rtl w:val="0"/>
        </w:rPr>
        <w:t xml:space="preserve">Institucionalización de acompañamiento colectivo y comunidades de práctica</w:t>
      </w:r>
    </w:p>
    <w:p w:rsidR="00000000" w:rsidDel="00000000" w:rsidP="00000000" w:rsidRDefault="00000000" w:rsidRPr="00000000" w14:paraId="0000001B">
      <w:pPr>
        <w:shd w:fill="ffffff" w:val="clear"/>
        <w:spacing w:after="220" w:before="220" w:line="327.27272727272725" w:lineRule="auto"/>
        <w:rPr>
          <w:color w:val="002451"/>
        </w:rPr>
      </w:pPr>
      <w:r w:rsidDel="00000000" w:rsidR="00000000" w:rsidRPr="00000000">
        <w:rPr>
          <w:color w:val="002451"/>
          <w:rtl w:val="0"/>
        </w:rPr>
        <w:t xml:space="preserve">Se recomienda instituir, en un plazo máximo de 12 meses, un Dispositivo Nacional y Regional de Acompañamiento Colectivo permanente que congregue a los equipos residenciales, Nivel Central, municipios y Organizaciones de Personas con Discapacidad (OPD). A través de un calendario que exija al menos 4 encuentros regionales presenciales y 2 jornadas nacionales virtuales anuales, se busca transitar de una capacitación puramente teórica a un modelo de acompañamiento práctico en terreno. Esta iniciativa permitirá a los equipos compartir especialmente buenas prácticas y bitácoras, en torno, por ejemplo a socializar estrategias de co-regulación emocional y co-diseñar soluciones preventivas frente a dilemas éticos, rompiendo el aislamiento institucional.</w:t>
      </w:r>
    </w:p>
    <w:p w:rsidR="00000000" w:rsidDel="00000000" w:rsidP="00000000" w:rsidRDefault="00000000" w:rsidRPr="00000000" w14:paraId="0000001C">
      <w:pPr>
        <w:shd w:fill="ffffff" w:val="clear"/>
        <w:spacing w:after="220" w:before="220" w:line="327.27272727272725" w:lineRule="auto"/>
        <w:rPr>
          <w:color w:val="002451"/>
          <w:u w:val="single"/>
        </w:rPr>
      </w:pPr>
      <w:r w:rsidDel="00000000" w:rsidR="00000000" w:rsidRPr="00000000">
        <w:rPr>
          <w:color w:val="002451"/>
          <w:rtl w:val="0"/>
        </w:rPr>
        <w:t xml:space="preserve">4. </w:t>
      </w:r>
      <w:r w:rsidDel="00000000" w:rsidR="00000000" w:rsidRPr="00000000">
        <w:rPr>
          <w:color w:val="002451"/>
          <w:u w:val="single"/>
          <w:rtl w:val="0"/>
        </w:rPr>
        <w:t xml:space="preserve">Articulación intersectorial vinculante con gobiernos locales</w:t>
      </w:r>
    </w:p>
    <w:p w:rsidR="00000000" w:rsidDel="00000000" w:rsidP="00000000" w:rsidRDefault="00000000" w:rsidRPr="00000000" w14:paraId="0000001D">
      <w:pPr>
        <w:shd w:fill="ffffff" w:val="clear"/>
        <w:spacing w:after="220" w:before="220" w:line="327.27272727272725" w:lineRule="auto"/>
        <w:rPr>
          <w:color w:val="002451"/>
        </w:rPr>
      </w:pPr>
      <w:r w:rsidDel="00000000" w:rsidR="00000000" w:rsidRPr="00000000">
        <w:rPr>
          <w:color w:val="002451"/>
          <w:rtl w:val="0"/>
        </w:rPr>
        <w:t xml:space="preserve">El Estado debe establecer, dentro de los próximos 18 meses, mesas de trabajo intersectorial y convenios vinculantes debidamente financiados entre las residencias, los gobiernos locales (oficinas municipales de discapacidad, cultura y deporte) y los Centros de Salud Familiar (CESFAM). Esta articulación debe asegurar que el 100% de los residentes cuente con un diagnóstico integral, un ecomapa de redes y un plan de vinculación territorial. Al incorporar esta estrategia como requisito técnico evaluable en las bases de SENADIS, favorecerá que se derriben las barreras de exclusión en zonas urbanas y rurales, materializando el derecho a participar activamente en la comunidad y acceder a espacios públicos en igualdad de condiciones.</w:t>
      </w:r>
    </w:p>
    <w:p w:rsidR="00000000" w:rsidDel="00000000" w:rsidP="00000000" w:rsidRDefault="00000000" w:rsidRPr="00000000" w14:paraId="0000001E">
      <w:pPr>
        <w:shd w:fill="ffffff" w:val="clear"/>
        <w:spacing w:after="220" w:before="220" w:line="327.27272727272725" w:lineRule="auto"/>
        <w:rPr>
          <w:b w:val="1"/>
          <w:bCs w:val="1"/>
          <w:color w:val="002451"/>
        </w:rPr>
      </w:pPr>
      <w:r w:rsidDel="00000000" w:rsidR="00000000" w:rsidRPr="00000000">
        <w:rPr>
          <w:b w:val="1"/>
          <w:bCs w:val="1"/>
          <w:color w:val="002451"/>
          <w:rtl w:val="0"/>
        </w:rPr>
        <w:t xml:space="preserve">Conclusión</w:t>
      </w:r>
    </w:p>
    <w:p w:rsidR="00000000" w:rsidDel="00000000" w:rsidP="00000000" w:rsidRDefault="00000000" w:rsidRPr="00000000" w14:paraId="0000001F">
      <w:pPr>
        <w:shd w:fill="ffffff" w:val="clear"/>
        <w:spacing w:after="220" w:before="220" w:line="327.27272727272725" w:lineRule="auto"/>
        <w:rPr>
          <w:color w:val="002451"/>
        </w:rPr>
      </w:pPr>
      <w:r w:rsidDel="00000000" w:rsidR="00000000" w:rsidRPr="00000000">
        <w:rPr>
          <w:color w:val="002451"/>
          <w:rtl w:val="0"/>
        </w:rPr>
        <w:t xml:space="preserve">La información recopilada muestra que, si bien Chile cuenta con un marco programático orientado a promover la vida independiente y la inclusión en la comunidad, persisten dificultades para que estos objetivos se traduzcan de manera consistente en la experiencia cotidiana de las personas con discapacidad que viven en residencias. Las brechas identificadas en cobertura territorial, disponibilidad de apoyos comunitarios, formación y acompañamiento de los equipos, así como las exigencias administrativas del programa, limitan la implementación de prácticas centradas en la persona y en el ejercicio de la autonomía.</w:t>
      </w:r>
    </w:p>
    <w:p w:rsidR="00000000" w:rsidDel="00000000" w:rsidP="00000000" w:rsidRDefault="00000000" w:rsidRPr="00000000" w14:paraId="00000020">
      <w:pPr>
        <w:shd w:fill="ffffff" w:val="clear"/>
        <w:spacing w:after="220" w:before="220" w:line="327.27272727272725" w:lineRule="auto"/>
        <w:rPr>
          <w:color w:val="002451"/>
        </w:rPr>
      </w:pPr>
      <w:r w:rsidDel="00000000" w:rsidR="00000000" w:rsidRPr="00000000">
        <w:rPr>
          <w:color w:val="002451"/>
          <w:rtl w:val="0"/>
        </w:rPr>
        <w:t xml:space="preserve">Las visitas de campo muestran que los equipos desarrollan su trabajo con compromiso, pero en condiciones que dificultan la continuidad de los apoyos, la planificación preventiva y la construcción de estrategias compartidas. Del mismo modo, las diferencias observadas entre residencias en aspectos como la articulación comunitaria, el manejo de las desregulaciones y las oportunidades de participación evidencian la necesidad de fortalecer orientaciones comunes, apoyo técnico y mecanismos de acompañamiento permanente.</w:t>
      </w:r>
    </w:p>
    <w:p w:rsidR="00000000" w:rsidDel="00000000" w:rsidP="00000000" w:rsidRDefault="00000000" w:rsidRPr="00000000" w14:paraId="00000021">
      <w:pPr>
        <w:shd w:fill="ffffff" w:val="clear"/>
        <w:spacing w:after="220" w:before="220" w:line="327.27272727272725" w:lineRule="auto"/>
        <w:rPr>
          <w:color w:val="002451"/>
        </w:rPr>
      </w:pPr>
      <w:r w:rsidDel="00000000" w:rsidR="00000000" w:rsidRPr="00000000">
        <w:rPr>
          <w:color w:val="002451"/>
          <w:rtl w:val="0"/>
        </w:rPr>
        <w:t xml:space="preserve">Asimismo, la permanencia de figuras jurídicas como la interdicción civil y la insuficiente disponibilidad de apoyos para la vida en comunidad continúan representando obstáculos para el pleno ejercicio del derecho reconocido en el artículo 19 de la Convención. En este contexto, las recomendaciones formuladas buscan contribuir al fortalecimiento del sistema de apoyos mediante medidas orientadas a mejorar su implementación, favorecer la coordinación territorial y generar condiciones que permitan a las personas con discapacidad desarrollar sus proyectos de vida con mayores oportunidades de participación, autonomía y elección en la comunidad.</w:t>
      </w:r>
      <w:r w:rsidDel="00000000" w:rsidR="00000000" w:rsidRPr="00000000">
        <w:br w:type="page"/>
      </w:r>
      <w:r w:rsidDel="00000000" w:rsidR="00000000" w:rsidRPr="00000000">
        <w:rPr>
          <w:rtl w:val="0"/>
        </w:rPr>
      </w:r>
    </w:p>
    <w:p w:rsidR="00000000" w:rsidDel="00000000" w:rsidP="00000000" w:rsidRDefault="00000000" w:rsidRPr="00000000" w14:paraId="00000022">
      <w:pPr>
        <w:shd w:fill="ffffff" w:val="clear"/>
        <w:spacing w:after="220" w:before="220" w:line="327.27272727272725" w:lineRule="auto"/>
        <w:rPr>
          <w:b w:val="1"/>
          <w:bCs w:val="1"/>
          <w:color w:val="002451"/>
        </w:rPr>
      </w:pPr>
      <w:r w:rsidDel="00000000" w:rsidR="00000000" w:rsidRPr="00000000">
        <w:rPr>
          <w:b w:val="1"/>
          <w:bCs w:val="1"/>
          <w:color w:val="002451"/>
          <w:rtl w:val="0"/>
        </w:rPr>
        <w:t xml:space="preserve">Referencias</w:t>
      </w:r>
    </w:p>
    <w:p w:rsidR="00000000" w:rsidDel="00000000" w:rsidP="00000000" w:rsidRDefault="00000000" w:rsidRPr="00000000" w14:paraId="00000023">
      <w:pPr>
        <w:shd w:fill="ffffff" w:val="clear"/>
        <w:spacing w:after="220" w:before="220" w:line="327.27272727272725" w:lineRule="auto"/>
        <w:rPr>
          <w:color w:val="002451"/>
        </w:rPr>
      </w:pPr>
      <w:r w:rsidDel="00000000" w:rsidR="00000000" w:rsidRPr="00000000">
        <w:rPr>
          <w:color w:val="002451"/>
          <w:rtl w:val="0"/>
        </w:rPr>
        <w:t xml:space="preserve">Besoain Saldaña, A., Gutiérrez Monclus, P., Larenas Rosa, D., Loren Santana, C., Olivares Péndola, G., Puentes Léon, T., Soto Reyes, P. y Tapia Saavedra, S. (2025). Buenas prácticas en el Programa de Modelo de Residencias. Universidad de Chile. Disponible en </w:t>
      </w:r>
      <w:hyperlink r:id="rId6">
        <w:r w:rsidDel="00000000" w:rsidR="00000000" w:rsidRPr="00000000">
          <w:rPr>
            <w:color w:val="1155cc"/>
            <w:u w:val="single"/>
            <w:rtl w:val="0"/>
          </w:rPr>
          <w:t xml:space="preserve">https://doi.org/10.34720/e619-sv69</w:t>
        </w:r>
      </w:hyperlink>
      <w:r w:rsidDel="00000000" w:rsidR="00000000" w:rsidRPr="00000000">
        <w:rPr>
          <w:color w:val="002451"/>
          <w:rtl w:val="0"/>
        </w:rPr>
        <w:t xml:space="preserve"> </w:t>
      </w:r>
    </w:p>
    <w:p w:rsidR="00000000" w:rsidDel="00000000" w:rsidP="00000000" w:rsidRDefault="00000000" w:rsidRPr="00000000" w14:paraId="00000024">
      <w:pPr>
        <w:shd w:fill="ffffff" w:val="clear"/>
        <w:spacing w:after="220" w:before="220" w:line="327.27272727272725" w:lineRule="auto"/>
        <w:rPr>
          <w:color w:val="002451"/>
        </w:rPr>
      </w:pPr>
      <w:r w:rsidDel="00000000" w:rsidR="00000000" w:rsidRPr="00000000">
        <w:rPr>
          <w:color w:val="002451"/>
          <w:rtl w:val="0"/>
        </w:rPr>
        <w:t xml:space="preserve">López Radrigán, C., Puentes Léon, T., Gutiérrez Monclus, P., Soto Reyes, P., Tapia Saavedra, S., Besoain Saldaña, A. y Larenas Rosa, D. (2024). Manual de apoyo sobre derechos, autonomía y vida independiente en servicios residenciales. Universidad de Chile, Facultad de Medicina. Disponible en </w:t>
      </w:r>
      <w:hyperlink r:id="rId7">
        <w:r w:rsidDel="00000000" w:rsidR="00000000" w:rsidRPr="00000000">
          <w:rPr>
            <w:color w:val="1155cc"/>
            <w:u w:val="single"/>
            <w:rtl w:val="0"/>
          </w:rPr>
          <w:t xml:space="preserve">https://doi.org/10.34720/8bpz-t796</w:t>
        </w:r>
      </w:hyperlink>
      <w:r w:rsidDel="00000000" w:rsidR="00000000" w:rsidRPr="00000000">
        <w:rPr>
          <w:color w:val="002451"/>
          <w:rtl w:val="0"/>
        </w:rPr>
        <w:t xml:space="preserve"> </w:t>
      </w:r>
    </w:p>
    <w:p w:rsidR="00000000" w:rsidDel="00000000" w:rsidP="00000000" w:rsidRDefault="00000000" w:rsidRPr="00000000" w14:paraId="00000025">
      <w:pPr>
        <w:shd w:fill="ffffff" w:val="clear"/>
        <w:spacing w:after="220" w:before="220" w:line="327.27272727272725" w:lineRule="auto"/>
        <w:rPr>
          <w:color w:val="002451"/>
        </w:rPr>
      </w:pPr>
      <w:r w:rsidDel="00000000" w:rsidR="00000000" w:rsidRPr="00000000">
        <w:rPr>
          <w:color w:val="002451"/>
          <w:rtl w:val="0"/>
        </w:rPr>
        <w:t xml:space="preserve">Puentes Léon, T., Gutiérrez Monclus, P., Soto Reyes, P., Tapia Saavedra, S., Larenas Rosa, D. y Besoain Saldaña, �. (2024). Independencia, autonomía, asistencia y apoyos en la atención en residencia de personas con discapacidad: Sistematización de literatura. Universidad de Chile. Disponible en </w:t>
      </w:r>
      <w:hyperlink r:id="rId8">
        <w:r w:rsidDel="00000000" w:rsidR="00000000" w:rsidRPr="00000000">
          <w:rPr>
            <w:color w:val="1155cc"/>
            <w:u w:val="single"/>
            <w:rtl w:val="0"/>
          </w:rPr>
          <w:t xml:space="preserve">https://doi.org/10.34720/wppb-0k92</w:t>
        </w:r>
      </w:hyperlink>
      <w:r w:rsidDel="00000000" w:rsidR="00000000" w:rsidRPr="00000000">
        <w:rPr>
          <w:color w:val="002451"/>
          <w:rtl w:val="0"/>
        </w:rPr>
        <w:t xml:space="preserve"> </w:t>
      </w:r>
    </w:p>
    <w:p w:rsidR="00000000" w:rsidDel="00000000" w:rsidP="00000000" w:rsidRDefault="00000000" w:rsidRPr="00000000" w14:paraId="00000026">
      <w:pPr>
        <w:shd w:fill="ffffff" w:val="clear"/>
        <w:spacing w:after="220" w:before="220" w:line="327.27272727272725" w:lineRule="auto"/>
        <w:rPr>
          <w:color w:val="002451"/>
        </w:rPr>
      </w:pPr>
      <w:r w:rsidDel="00000000" w:rsidR="00000000" w:rsidRPr="00000000">
        <w:rPr>
          <w:color w:val="002451"/>
          <w:rtl w:val="0"/>
        </w:rPr>
        <w:t xml:space="preserve">López Radrigán, C., Puentes León, T., Besoain Saldaña, �., Gutiérrez Monclus, P., Larenas Rosa, D., Soto Reyes, P., Tapia Saavedra, S., Lezana Zúñiga, M., Quinteros Pino, R., Guerra Martínez, A., Pavez Villarroel, R. y Valdés González, V. (2024). Manual de apoyo sobre derechos, autonomía y vida independiente en servicios residenciales: Versión Lectura fácil. SENADIS y Universidad de Chile. Disponible en </w:t>
      </w:r>
      <w:hyperlink r:id="rId9">
        <w:r w:rsidDel="00000000" w:rsidR="00000000" w:rsidRPr="00000000">
          <w:rPr>
            <w:color w:val="1155cc"/>
            <w:u w:val="single"/>
            <w:rtl w:val="0"/>
          </w:rPr>
          <w:t xml:space="preserve">https://doi.org/10.34720/es2f-v735</w:t>
        </w:r>
      </w:hyperlink>
      <w:r w:rsidDel="00000000" w:rsidR="00000000" w:rsidRPr="00000000">
        <w:rPr>
          <w:color w:val="002451"/>
          <w:rtl w:val="0"/>
        </w:rPr>
        <w:t xml:space="preserve"> </w:t>
      </w:r>
    </w:p>
    <w:p w:rsidR="00000000" w:rsidDel="00000000" w:rsidP="00000000" w:rsidRDefault="00000000" w:rsidRPr="00000000" w14:paraId="00000027">
      <w:pPr>
        <w:shd w:fill="ffffff" w:val="clear"/>
        <w:spacing w:after="220" w:before="220" w:line="327.27272727272725" w:lineRule="auto"/>
        <w:rPr>
          <w:color w:val="002451"/>
        </w:rPr>
      </w:pPr>
      <w:r w:rsidDel="00000000" w:rsidR="00000000" w:rsidRPr="00000000">
        <w:rPr>
          <w:color w:val="002451"/>
          <w:rtl w:val="0"/>
        </w:rPr>
        <w:t xml:space="preserve">Puentes Léon, T., Loren Santana, C., Gutiérrez Monclus, P., Soto Reyes, P., Tapia Saavedra, S., Larenas Rosa, D. y Besoain Saldaña, �. (2024). Independencia, autonomía, asistencia y apoyos en la atención en residencia de personas con discapacidad: Sistematización de visita de campo. Universidad de Chile. Disponible en </w:t>
      </w:r>
      <w:hyperlink r:id="rId10">
        <w:r w:rsidDel="00000000" w:rsidR="00000000" w:rsidRPr="00000000">
          <w:rPr>
            <w:color w:val="1155cc"/>
            <w:u w:val="single"/>
            <w:rtl w:val="0"/>
          </w:rPr>
          <w:t xml:space="preserve">https://doi.org/10.34720/jtgg-d351</w:t>
        </w:r>
      </w:hyperlink>
      <w:r w:rsidDel="00000000" w:rsidR="00000000" w:rsidRPr="00000000">
        <w:rPr>
          <w:color w:val="002451"/>
          <w:rtl w:val="0"/>
        </w:rPr>
        <w:t xml:space="preserve"> </w:t>
      </w:r>
    </w:p>
    <w:p w:rsidR="00000000" w:rsidDel="00000000" w:rsidP="00000000" w:rsidRDefault="00000000" w:rsidRPr="00000000" w14:paraId="00000028">
      <w:pPr>
        <w:shd w:fill="ffffff" w:val="clear"/>
        <w:spacing w:after="220" w:before="220" w:line="327.27272727272725" w:lineRule="auto"/>
        <w:rPr>
          <w:b w:val="1"/>
          <w:bCs w:val="1"/>
          <w:color w:val="002451"/>
        </w:rPr>
      </w:pPr>
      <w:r w:rsidDel="00000000" w:rsidR="00000000" w:rsidRPr="00000000">
        <w:rPr>
          <w:b w:val="1"/>
          <w:bCs w:val="1"/>
          <w:color w:val="002451"/>
          <w:rtl w:val="0"/>
        </w:rPr>
        <w:t xml:space="preserve"> </w:t>
      </w:r>
    </w:p>
    <w:p w:rsidR="00000000" w:rsidDel="00000000" w:rsidP="00000000" w:rsidRDefault="00000000" w:rsidRPr="00000000" w14:paraId="00000029">
      <w:pPr>
        <w:rPr>
          <w:color w:val="002451"/>
        </w:rPr>
      </w:pPr>
      <w:r w:rsidDel="00000000" w:rsidR="00000000" w:rsidRPr="00000000">
        <w:rPr>
          <w:rtl w:val="0"/>
        </w:rPr>
      </w:r>
    </w:p>
    <w:p w:rsidR="00000000" w:rsidDel="00000000" w:rsidP="00000000" w:rsidRDefault="00000000" w:rsidRPr="00000000" w14:paraId="0000002A">
      <w:pPr>
        <w:rPr>
          <w:color w:val="002451"/>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sectPr>
      <w:footerReference r:id="rId11" w:type="default"/>
      <w:footerReference r:id="rId12"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yperlink" Target="https://doi.org/10.34720/jtgg-d351" TargetMode="External"/><Relationship Id="rId12" Type="http://schemas.openxmlformats.org/officeDocument/2006/relationships/footer" Target="footer1.xml"/><Relationship Id="rId9" Type="http://schemas.openxmlformats.org/officeDocument/2006/relationships/hyperlink" Target="https://doi.org/10.34720/es2f-v735" TargetMode="External"/><Relationship Id="rId5" Type="http://schemas.openxmlformats.org/officeDocument/2006/relationships/styles" Target="styles.xml"/><Relationship Id="rId6" Type="http://schemas.openxmlformats.org/officeDocument/2006/relationships/hyperlink" Target="https://doi.org/10.34720/e619-sv69" TargetMode="External"/><Relationship Id="rId7" Type="http://schemas.openxmlformats.org/officeDocument/2006/relationships/hyperlink" Target="https://doi.org/10.34720/8bpz-t796" TargetMode="External"/><Relationship Id="rId8" Type="http://schemas.openxmlformats.org/officeDocument/2006/relationships/hyperlink" Target="https://doi.org/10.34720/wppb-0k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