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E561CC" w:rsidRPr="00AF3138" w:rsidRDefault="00E561CC">
      <w:pPr>
        <w:pStyle w:val="Title"/>
        <w:ind w:left="0"/>
        <w:jc w:val="center"/>
        <w:rPr>
          <w:rFonts w:asciiTheme="minorHAnsi" w:hAnsiTheme="minorHAnsi" w:cstheme="minorHAnsi"/>
          <w:lang w:val="en-GB"/>
        </w:rPr>
      </w:pPr>
      <w:bookmarkStart w:id="0" w:name="_heading=h.hr1zy4ti6yvs" w:colFirst="0" w:colLast="0"/>
      <w:bookmarkEnd w:id="0"/>
    </w:p>
    <w:p w14:paraId="06D77CAF" w14:textId="77777777" w:rsidR="00AC2C19" w:rsidRDefault="00AC2C19">
      <w:pPr>
        <w:pStyle w:val="Title"/>
        <w:ind w:left="0"/>
        <w:rPr>
          <w:rFonts w:asciiTheme="minorHAnsi" w:hAnsiTheme="minorHAnsi" w:cstheme="minorHAnsi"/>
          <w:lang w:val="en-GB"/>
        </w:rPr>
      </w:pPr>
      <w:bookmarkStart w:id="1" w:name="_heading=h.nnv8f9cgnhzc" w:colFirst="0" w:colLast="0"/>
      <w:bookmarkEnd w:id="1"/>
    </w:p>
    <w:p w14:paraId="3814C54B" w14:textId="77777777" w:rsidR="00AC2C19" w:rsidRDefault="00AC2C19">
      <w:pPr>
        <w:pStyle w:val="Title"/>
        <w:ind w:left="0"/>
        <w:rPr>
          <w:rFonts w:asciiTheme="minorHAnsi" w:hAnsiTheme="minorHAnsi" w:cstheme="minorHAnsi"/>
          <w:lang w:val="en-GB"/>
        </w:rPr>
      </w:pPr>
    </w:p>
    <w:p w14:paraId="00000003" w14:textId="13D6F229" w:rsidR="00E561CC" w:rsidRPr="00AF3138" w:rsidRDefault="00000000">
      <w:pPr>
        <w:pStyle w:val="Title"/>
        <w:ind w:left="0"/>
        <w:rPr>
          <w:rFonts w:asciiTheme="minorHAnsi" w:hAnsiTheme="minorHAnsi" w:cstheme="minorHAnsi" w:hint="cs"/>
          <w:rtl/>
          <w:lang w:val="en-GB" w:bidi="ar-SA"/>
        </w:rPr>
      </w:pPr>
      <w:r w:rsidRPr="00AF3138">
        <w:rPr>
          <w:rFonts w:asciiTheme="minorHAnsi" w:hAnsiTheme="minorHAnsi" w:cstheme="minorHAnsi"/>
          <w:lang w:val="en-GB"/>
        </w:rPr>
        <w:t>Syrian Arab Republic</w:t>
      </w:r>
    </w:p>
    <w:p w14:paraId="00000004" w14:textId="0FE1A325" w:rsidR="00E561CC" w:rsidRDefault="00E561CC">
      <w:pPr>
        <w:rPr>
          <w:rFonts w:asciiTheme="minorHAnsi" w:hAnsiTheme="minorHAnsi" w:cstheme="minorHAnsi"/>
          <w:lang w:val="en-GB"/>
        </w:rPr>
      </w:pPr>
    </w:p>
    <w:p w14:paraId="295C06A6" w14:textId="77777777" w:rsidR="00AC2C19" w:rsidRPr="00AF3138" w:rsidRDefault="00AC2C19">
      <w:pPr>
        <w:rPr>
          <w:rFonts w:asciiTheme="minorHAnsi" w:hAnsiTheme="minorHAnsi" w:cstheme="minorHAnsi"/>
          <w:lang w:val="en-GB"/>
        </w:rPr>
      </w:pPr>
    </w:p>
    <w:p w14:paraId="00000005" w14:textId="77777777" w:rsidR="00E561CC" w:rsidRPr="00AF3138" w:rsidRDefault="00000000">
      <w:pPr>
        <w:pStyle w:val="Title"/>
        <w:ind w:left="0"/>
        <w:jc w:val="center"/>
        <w:rPr>
          <w:rFonts w:asciiTheme="minorHAnsi" w:eastAsia="Arial" w:hAnsiTheme="minorHAnsi" w:cstheme="minorHAnsi"/>
          <w:bCs/>
          <w:sz w:val="34"/>
          <w:szCs w:val="34"/>
          <w:lang w:val="en-GB"/>
        </w:rPr>
      </w:pPr>
      <w:bookmarkStart w:id="2" w:name="_heading=h.iepvfg7w6qrh" w:colFirst="0" w:colLast="0"/>
      <w:bookmarkEnd w:id="2"/>
      <w:r w:rsidRPr="00AF3138">
        <w:rPr>
          <w:rFonts w:asciiTheme="minorHAnsi" w:hAnsiTheme="minorHAnsi" w:cstheme="minorHAnsi"/>
          <w:bCs/>
          <w:sz w:val="34"/>
          <w:szCs w:val="34"/>
          <w:lang w:val="en-GB"/>
        </w:rPr>
        <w:t xml:space="preserve">Submission to the Human Rights Committee (CCPR) in Advance of its Adoption of the List of Issues on Syria in its </w:t>
      </w:r>
    </w:p>
    <w:p w14:paraId="00000006" w14:textId="77777777" w:rsidR="00E561CC" w:rsidRPr="00AF3138" w:rsidRDefault="00000000">
      <w:pPr>
        <w:pStyle w:val="Title"/>
        <w:spacing w:after="120" w:line="489" w:lineRule="auto"/>
        <w:ind w:left="0"/>
        <w:jc w:val="center"/>
        <w:rPr>
          <w:rFonts w:asciiTheme="minorHAnsi" w:hAnsiTheme="minorHAnsi" w:cstheme="minorHAnsi"/>
          <w:bCs/>
          <w:sz w:val="34"/>
          <w:szCs w:val="34"/>
          <w:lang w:val="en-GB"/>
        </w:rPr>
      </w:pPr>
      <w:bookmarkStart w:id="3" w:name="_heading=h.hlym8u1sv6gg" w:colFirst="0" w:colLast="0"/>
      <w:bookmarkEnd w:id="3"/>
      <w:r w:rsidRPr="00AF3138">
        <w:rPr>
          <w:rFonts w:asciiTheme="minorHAnsi" w:hAnsiTheme="minorHAnsi" w:cstheme="minorHAnsi"/>
          <w:bCs/>
          <w:sz w:val="34"/>
          <w:szCs w:val="34"/>
          <w:lang w:val="en-GB"/>
        </w:rPr>
        <w:t>137</w:t>
      </w:r>
      <w:r w:rsidRPr="00AF3138">
        <w:rPr>
          <w:rFonts w:asciiTheme="minorHAnsi" w:eastAsia="Arial" w:hAnsiTheme="minorHAnsi" w:cstheme="minorHAnsi"/>
          <w:bCs/>
          <w:sz w:val="34"/>
          <w:szCs w:val="34"/>
          <w:vertAlign w:val="superscript"/>
          <w:lang w:val="en-GB"/>
        </w:rPr>
        <w:t>th</w:t>
      </w:r>
      <w:r w:rsidRPr="00AF3138">
        <w:rPr>
          <w:rFonts w:asciiTheme="minorHAnsi" w:eastAsia="Arial" w:hAnsiTheme="minorHAnsi" w:cstheme="minorHAnsi"/>
          <w:bCs/>
          <w:sz w:val="34"/>
          <w:szCs w:val="34"/>
          <w:lang w:val="en-GB"/>
        </w:rPr>
        <w:t xml:space="preserve"> </w:t>
      </w:r>
      <w:r w:rsidRPr="00AF3138">
        <w:rPr>
          <w:rFonts w:asciiTheme="minorHAnsi" w:hAnsiTheme="minorHAnsi" w:cstheme="minorHAnsi"/>
          <w:bCs/>
          <w:sz w:val="34"/>
          <w:szCs w:val="34"/>
          <w:lang w:val="en-GB"/>
        </w:rPr>
        <w:t xml:space="preserve">Session (27 February to 24 March 2023) </w:t>
      </w:r>
    </w:p>
    <w:p w14:paraId="3530AC6F" w14:textId="32375669" w:rsidR="009118ED" w:rsidRPr="00D4116C" w:rsidRDefault="00BD3E12" w:rsidP="008217FB">
      <w:pPr>
        <w:ind w:left="0"/>
        <w:jc w:val="center"/>
        <w:rPr>
          <w:rFonts w:asciiTheme="minorHAnsi" w:hAnsiTheme="minorHAnsi" w:cstheme="minorHAnsi"/>
          <w:b/>
          <w:highlight w:val="none"/>
          <w:lang w:val="en-GB"/>
        </w:rPr>
      </w:pPr>
      <w:r w:rsidRPr="00D4116C">
        <w:rPr>
          <w:rFonts w:asciiTheme="minorHAnsi" w:hAnsiTheme="minorHAnsi" w:cstheme="minorHAnsi"/>
          <w:b/>
          <w:highlight w:val="none"/>
          <w:lang w:val="en-GB"/>
        </w:rPr>
        <w:t xml:space="preserve">Submitted on </w:t>
      </w:r>
      <w:r w:rsidR="009118ED" w:rsidRPr="00D4116C">
        <w:rPr>
          <w:rFonts w:asciiTheme="minorHAnsi" w:hAnsiTheme="minorHAnsi" w:cstheme="minorHAnsi"/>
          <w:b/>
          <w:highlight w:val="none"/>
          <w:lang w:val="en-GB"/>
        </w:rPr>
        <w:t>29</w:t>
      </w:r>
      <w:r w:rsidRPr="00D4116C">
        <w:rPr>
          <w:rFonts w:asciiTheme="minorHAnsi" w:hAnsiTheme="minorHAnsi" w:cstheme="minorHAnsi"/>
          <w:b/>
          <w:highlight w:val="none"/>
          <w:lang w:val="en-GB"/>
        </w:rPr>
        <w:t xml:space="preserve"> </w:t>
      </w:r>
      <w:r w:rsidR="009118ED" w:rsidRPr="00D4116C">
        <w:rPr>
          <w:rFonts w:asciiTheme="minorHAnsi" w:hAnsiTheme="minorHAnsi" w:cstheme="minorHAnsi"/>
          <w:b/>
          <w:highlight w:val="none"/>
          <w:lang w:val="en-GB"/>
        </w:rPr>
        <w:t>December</w:t>
      </w:r>
      <w:r w:rsidRPr="00D4116C">
        <w:rPr>
          <w:rFonts w:asciiTheme="minorHAnsi" w:hAnsiTheme="minorHAnsi" w:cstheme="minorHAnsi"/>
          <w:b/>
          <w:highlight w:val="none"/>
          <w:lang w:val="en-GB"/>
        </w:rPr>
        <w:t xml:space="preserve"> 202</w:t>
      </w:r>
      <w:r w:rsidR="009118ED" w:rsidRPr="00D4116C">
        <w:rPr>
          <w:rFonts w:asciiTheme="minorHAnsi" w:hAnsiTheme="minorHAnsi" w:cstheme="minorHAnsi"/>
          <w:b/>
          <w:highlight w:val="none"/>
          <w:lang w:val="en-GB"/>
        </w:rPr>
        <w:t>2</w:t>
      </w:r>
    </w:p>
    <w:p w14:paraId="63AB1163" w14:textId="5181D3F0" w:rsidR="008217FB" w:rsidRDefault="009118ED" w:rsidP="00CB4A2F">
      <w:pPr>
        <w:ind w:left="0"/>
        <w:jc w:val="center"/>
        <w:rPr>
          <w:rFonts w:asciiTheme="minorHAnsi" w:hAnsiTheme="minorHAnsi" w:cstheme="minorHAnsi"/>
          <w:b/>
          <w:i/>
          <w:iCs/>
          <w:lang w:val="en-GB"/>
        </w:rPr>
      </w:pPr>
      <w:r w:rsidRPr="009118ED">
        <w:rPr>
          <w:rFonts w:asciiTheme="minorHAnsi" w:hAnsiTheme="minorHAnsi" w:cstheme="minorHAnsi"/>
          <w:b/>
          <w:i/>
          <w:iCs/>
          <w:lang w:val="en-GB"/>
        </w:rPr>
        <w:t xml:space="preserve">Word count excluding footnotes and annexes </w:t>
      </w:r>
      <w:r w:rsidRPr="009118ED">
        <w:rPr>
          <w:rFonts w:asciiTheme="minorHAnsi" w:hAnsiTheme="minorHAnsi" w:cstheme="minorHAnsi"/>
          <w:b/>
          <w:i/>
          <w:iCs/>
          <w:lang w:val="en-GB"/>
        </w:rPr>
        <w:t>(9274 words)</w:t>
      </w:r>
    </w:p>
    <w:p w14:paraId="4F805A10" w14:textId="77777777" w:rsidR="008217FB" w:rsidRDefault="008217FB" w:rsidP="008217FB">
      <w:pPr>
        <w:ind w:left="0"/>
        <w:rPr>
          <w:rFonts w:asciiTheme="minorHAnsi" w:hAnsiTheme="minorHAnsi" w:cstheme="minorHAnsi"/>
          <w:b/>
          <w:lang w:val="en-GB"/>
        </w:rPr>
      </w:pPr>
      <w:r w:rsidRPr="009118ED">
        <w:rPr>
          <w:rFonts w:asciiTheme="minorHAnsi" w:hAnsiTheme="minorHAnsi" w:cstheme="minorHAnsi"/>
          <w:b/>
          <w:u w:val="single"/>
          <w:lang w:val="en-GB"/>
        </w:rPr>
        <w:t>Joint submission by:</w:t>
      </w:r>
      <w:r w:rsidRPr="00AF3138">
        <w:rPr>
          <w:rFonts w:asciiTheme="minorHAnsi" w:hAnsiTheme="minorHAnsi" w:cstheme="minorHAnsi"/>
          <w:b/>
          <w:lang w:val="en-GB"/>
        </w:rPr>
        <w:t xml:space="preserve"> </w:t>
      </w:r>
    </w:p>
    <w:p w14:paraId="5E78A3C5"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Syrian Legal Development Programme (SLDP)</w:t>
      </w:r>
    </w:p>
    <w:p w14:paraId="45A8A891"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Lawyers and Doctors for Human Rights (LDHR)</w:t>
      </w:r>
    </w:p>
    <w:p w14:paraId="1BD45860"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Free Syrian Lawyers Association (FSLA)</w:t>
      </w:r>
    </w:p>
    <w:p w14:paraId="30B608DA"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The Coalition of Families of Persons kidnapped by ISIS (MASSAR)</w:t>
      </w:r>
    </w:p>
    <w:p w14:paraId="5D57BAA3"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proofErr w:type="spellStart"/>
      <w:r w:rsidRPr="008217FB">
        <w:rPr>
          <w:rFonts w:asciiTheme="minorHAnsi" w:hAnsiTheme="minorHAnsi" w:cstheme="minorHAnsi"/>
          <w:bCs/>
          <w:lang w:val="en-GB"/>
        </w:rPr>
        <w:t>Ta'afi</w:t>
      </w:r>
      <w:proofErr w:type="spellEnd"/>
      <w:r w:rsidRPr="008217FB">
        <w:rPr>
          <w:rFonts w:asciiTheme="minorHAnsi" w:hAnsiTheme="minorHAnsi" w:cstheme="minorHAnsi"/>
          <w:bCs/>
          <w:lang w:val="en-GB"/>
        </w:rPr>
        <w:t xml:space="preserve"> Initiative</w:t>
      </w:r>
    </w:p>
    <w:p w14:paraId="30E85500" w14:textId="77777777"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The Syrian Women's Network (Shams)</w:t>
      </w:r>
    </w:p>
    <w:p w14:paraId="74FDC064" w14:textId="0D3B2432"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Syrians for Truth and Justice (STJ)</w:t>
      </w:r>
    </w:p>
    <w:p w14:paraId="5256F555" w14:textId="6D0E9492" w:rsidR="008217FB" w:rsidRPr="008217FB" w:rsidRDefault="008217FB" w:rsidP="00837897">
      <w:pPr>
        <w:pStyle w:val="ListParagraph"/>
        <w:numPr>
          <w:ilvl w:val="0"/>
          <w:numId w:val="6"/>
        </w:numPr>
        <w:spacing w:line="276" w:lineRule="auto"/>
        <w:rPr>
          <w:rFonts w:asciiTheme="minorHAnsi" w:hAnsiTheme="minorHAnsi" w:cstheme="minorHAnsi"/>
          <w:bCs/>
          <w:lang w:val="en-GB"/>
        </w:rPr>
      </w:pPr>
      <w:proofErr w:type="spellStart"/>
      <w:r w:rsidRPr="008217FB">
        <w:rPr>
          <w:rFonts w:asciiTheme="minorHAnsi" w:hAnsiTheme="minorHAnsi" w:cstheme="minorHAnsi"/>
          <w:bCs/>
          <w:lang w:val="en-GB"/>
        </w:rPr>
        <w:t>Hurras</w:t>
      </w:r>
      <w:proofErr w:type="spellEnd"/>
      <w:r w:rsidRPr="008217FB">
        <w:rPr>
          <w:rFonts w:asciiTheme="minorHAnsi" w:hAnsiTheme="minorHAnsi" w:cstheme="minorHAnsi"/>
          <w:bCs/>
          <w:lang w:val="en-GB"/>
        </w:rPr>
        <w:t xml:space="preserve"> Network </w:t>
      </w:r>
    </w:p>
    <w:p w14:paraId="2E691287" w14:textId="78363332" w:rsidR="008217FB" w:rsidRPr="008217FB"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lang w:val="en-GB"/>
        </w:rPr>
        <w:t>The Day After (TDA)</w:t>
      </w:r>
    </w:p>
    <w:p w14:paraId="18E8F4ED" w14:textId="77777777" w:rsidR="008217FB" w:rsidRPr="008217FB" w:rsidRDefault="008217FB" w:rsidP="00837897">
      <w:pPr>
        <w:pStyle w:val="ListParagraph"/>
        <w:numPr>
          <w:ilvl w:val="0"/>
          <w:numId w:val="6"/>
        </w:numPr>
        <w:spacing w:line="276" w:lineRule="auto"/>
        <w:rPr>
          <w:rFonts w:asciiTheme="minorHAnsi" w:hAnsiTheme="minorHAnsi" w:cstheme="minorHAnsi"/>
          <w:bCs/>
        </w:rPr>
      </w:pPr>
      <w:r w:rsidRPr="008217FB">
        <w:rPr>
          <w:rFonts w:asciiTheme="minorHAnsi" w:hAnsiTheme="minorHAnsi" w:cstheme="minorHAnsi"/>
          <w:bCs/>
        </w:rPr>
        <w:t>Release Me</w:t>
      </w:r>
    </w:p>
    <w:p w14:paraId="04E5DE93" w14:textId="2AE471A8" w:rsidR="008217FB" w:rsidRPr="008217FB" w:rsidRDefault="008217FB" w:rsidP="00837897">
      <w:pPr>
        <w:pStyle w:val="ListParagraph"/>
        <w:numPr>
          <w:ilvl w:val="0"/>
          <w:numId w:val="6"/>
        </w:numPr>
        <w:spacing w:line="276" w:lineRule="auto"/>
        <w:rPr>
          <w:rFonts w:asciiTheme="minorHAnsi" w:hAnsiTheme="minorHAnsi" w:cstheme="minorHAnsi"/>
          <w:bCs/>
        </w:rPr>
      </w:pPr>
      <w:r w:rsidRPr="008217FB">
        <w:rPr>
          <w:rFonts w:asciiTheme="minorHAnsi" w:hAnsiTheme="minorHAnsi" w:cstheme="minorHAnsi"/>
          <w:bCs/>
        </w:rPr>
        <w:t>Justice for Life organization (JFL)</w:t>
      </w:r>
    </w:p>
    <w:p w14:paraId="0A0BF494" w14:textId="22898309" w:rsidR="008217FB" w:rsidRPr="00CB4A2F" w:rsidRDefault="008217FB" w:rsidP="00837897">
      <w:pPr>
        <w:pStyle w:val="ListParagraph"/>
        <w:numPr>
          <w:ilvl w:val="0"/>
          <w:numId w:val="6"/>
        </w:numPr>
        <w:spacing w:line="276" w:lineRule="auto"/>
        <w:rPr>
          <w:rFonts w:asciiTheme="minorHAnsi" w:hAnsiTheme="minorHAnsi" w:cstheme="minorHAnsi"/>
          <w:bCs/>
          <w:lang w:val="en-GB"/>
        </w:rPr>
      </w:pPr>
      <w:r w:rsidRPr="008217FB">
        <w:rPr>
          <w:rFonts w:asciiTheme="minorHAnsi" w:hAnsiTheme="minorHAnsi" w:cstheme="minorHAnsi"/>
          <w:bCs/>
        </w:rPr>
        <w:t>Urnammu for justice and human rights</w:t>
      </w:r>
    </w:p>
    <w:p w14:paraId="1074A672" w14:textId="432A3F3C" w:rsidR="00CB4A2F" w:rsidRPr="00CB4A2F" w:rsidRDefault="00CB4A2F" w:rsidP="00837897">
      <w:pPr>
        <w:pStyle w:val="ListParagraph"/>
        <w:numPr>
          <w:ilvl w:val="0"/>
          <w:numId w:val="6"/>
        </w:numPr>
        <w:spacing w:line="276" w:lineRule="auto"/>
        <w:rPr>
          <w:rFonts w:asciiTheme="minorHAnsi" w:hAnsiTheme="minorHAnsi" w:cstheme="minorHAnsi"/>
          <w:bCs/>
          <w:lang w:val="en-GB"/>
        </w:rPr>
      </w:pPr>
      <w:r>
        <w:rPr>
          <w:rFonts w:ascii="Arial" w:hAnsi="Arial" w:cs="Arial"/>
          <w:color w:val="222222"/>
          <w:shd w:val="clear" w:color="auto" w:fill="FFFFFF"/>
        </w:rPr>
        <w:t>Syrian Center for Policy Research</w:t>
      </w:r>
    </w:p>
    <w:p w14:paraId="46C8BE88" w14:textId="718641BA" w:rsidR="00CB4A2F" w:rsidRDefault="00CB4A2F" w:rsidP="00837897">
      <w:pPr>
        <w:pStyle w:val="ListParagraph"/>
        <w:numPr>
          <w:ilvl w:val="0"/>
          <w:numId w:val="6"/>
        </w:numPr>
        <w:spacing w:line="276" w:lineRule="auto"/>
        <w:rPr>
          <w:rFonts w:ascii="Arial" w:hAnsi="Arial" w:cs="Arial"/>
          <w:color w:val="222222"/>
          <w:shd w:val="clear" w:color="auto" w:fill="FFFFFF"/>
        </w:rPr>
      </w:pPr>
      <w:r w:rsidRPr="00CB4A2F">
        <w:rPr>
          <w:rFonts w:ascii="Arial" w:hAnsi="Arial" w:cs="Arial"/>
          <w:color w:val="222222"/>
          <w:shd w:val="clear" w:color="auto" w:fill="FFFFFF"/>
        </w:rPr>
        <w:t>Access Center for Human Rights (ACHR)</w:t>
      </w:r>
    </w:p>
    <w:p w14:paraId="46946000" w14:textId="76136C41" w:rsidR="00CB4A2F" w:rsidRDefault="00CB4A2F" w:rsidP="00837897">
      <w:pPr>
        <w:pStyle w:val="ListParagraph"/>
        <w:numPr>
          <w:ilvl w:val="0"/>
          <w:numId w:val="6"/>
        </w:numPr>
        <w:spacing w:line="276" w:lineRule="auto"/>
        <w:rPr>
          <w:rFonts w:ascii="Arial" w:hAnsi="Arial" w:cs="Arial"/>
          <w:color w:val="222222"/>
          <w:shd w:val="clear" w:color="auto" w:fill="FFFFFF"/>
        </w:rPr>
      </w:pPr>
      <w:r w:rsidRPr="00CB4A2F">
        <w:rPr>
          <w:rFonts w:ascii="Arial" w:hAnsi="Arial" w:cs="Arial"/>
          <w:color w:val="222222"/>
          <w:shd w:val="clear" w:color="auto" w:fill="FFFFFF"/>
        </w:rPr>
        <w:t>The Caesar Families Association (CFA)</w:t>
      </w:r>
    </w:p>
    <w:p w14:paraId="622CE86E" w14:textId="3FB9E4BB" w:rsidR="00837897" w:rsidRDefault="00837897" w:rsidP="00837897">
      <w:pPr>
        <w:pStyle w:val="ListParagraph"/>
        <w:numPr>
          <w:ilvl w:val="0"/>
          <w:numId w:val="6"/>
        </w:numPr>
        <w:spacing w:line="276" w:lineRule="auto"/>
        <w:rPr>
          <w:rFonts w:ascii="Arial" w:hAnsi="Arial" w:cs="Arial"/>
          <w:color w:val="222222"/>
          <w:shd w:val="clear" w:color="auto" w:fill="FFFFFF"/>
        </w:rPr>
      </w:pPr>
      <w:r w:rsidRPr="00837897">
        <w:rPr>
          <w:rFonts w:ascii="Arial" w:hAnsi="Arial" w:cs="Arial"/>
          <w:color w:val="222222"/>
          <w:shd w:val="clear" w:color="auto" w:fill="FFFFFF"/>
        </w:rPr>
        <w:t xml:space="preserve">The </w:t>
      </w:r>
      <w:proofErr w:type="spellStart"/>
      <w:r w:rsidRPr="00837897">
        <w:rPr>
          <w:rFonts w:ascii="Arial" w:hAnsi="Arial" w:cs="Arial"/>
          <w:color w:val="222222"/>
          <w:shd w:val="clear" w:color="auto" w:fill="FFFFFF"/>
        </w:rPr>
        <w:t>Center</w:t>
      </w:r>
      <w:proofErr w:type="spellEnd"/>
      <w:r w:rsidRPr="00837897">
        <w:rPr>
          <w:rFonts w:ascii="Arial" w:hAnsi="Arial" w:cs="Arial"/>
          <w:color w:val="222222"/>
          <w:shd w:val="clear" w:color="auto" w:fill="FFFFFF"/>
        </w:rPr>
        <w:t xml:space="preserve"> for Civil Society and Democracy (CCSD)</w:t>
      </w:r>
    </w:p>
    <w:p w14:paraId="5988B38C" w14:textId="5B796A48" w:rsidR="00837897" w:rsidRDefault="00837897" w:rsidP="00837897">
      <w:pPr>
        <w:pStyle w:val="ListParagraph"/>
        <w:numPr>
          <w:ilvl w:val="0"/>
          <w:numId w:val="6"/>
        </w:numPr>
        <w:spacing w:line="276" w:lineRule="auto"/>
        <w:rPr>
          <w:rFonts w:ascii="Arial" w:hAnsi="Arial" w:cs="Arial"/>
          <w:color w:val="222222"/>
          <w:shd w:val="clear" w:color="auto" w:fill="FFFFFF"/>
        </w:rPr>
      </w:pPr>
      <w:r w:rsidRPr="00837897">
        <w:rPr>
          <w:rFonts w:ascii="Arial" w:hAnsi="Arial" w:cs="Arial"/>
          <w:color w:val="222222"/>
          <w:shd w:val="clear" w:color="auto" w:fill="FFFFFF"/>
        </w:rPr>
        <w:t>The White Helmets</w:t>
      </w:r>
    </w:p>
    <w:p w14:paraId="5BEF2AF1" w14:textId="0C7F6BB3" w:rsidR="00837897" w:rsidRDefault="00837897" w:rsidP="00837897">
      <w:pPr>
        <w:pStyle w:val="ListParagraph"/>
        <w:numPr>
          <w:ilvl w:val="0"/>
          <w:numId w:val="6"/>
        </w:numPr>
        <w:spacing w:line="276" w:lineRule="auto"/>
        <w:rPr>
          <w:rFonts w:ascii="Arial" w:hAnsi="Arial" w:cs="Arial"/>
          <w:color w:val="222222"/>
          <w:shd w:val="clear" w:color="auto" w:fill="FFFFFF"/>
        </w:rPr>
      </w:pPr>
      <w:r>
        <w:rPr>
          <w:rFonts w:ascii="Arial" w:hAnsi="Arial" w:cs="Arial"/>
          <w:color w:val="222222"/>
          <w:shd w:val="clear" w:color="auto" w:fill="FFFFFF"/>
        </w:rPr>
        <w:t xml:space="preserve">Association </w:t>
      </w:r>
      <w:proofErr w:type="spellStart"/>
      <w:r>
        <w:rPr>
          <w:rFonts w:ascii="Arial" w:hAnsi="Arial" w:cs="Arial"/>
          <w:color w:val="222222"/>
          <w:shd w:val="clear" w:color="auto" w:fill="FFFFFF"/>
        </w:rPr>
        <w:t>Baytna</w:t>
      </w:r>
      <w:proofErr w:type="spellEnd"/>
      <w:r>
        <w:rPr>
          <w:rFonts w:ascii="Arial" w:hAnsi="Arial" w:cs="Arial"/>
          <w:color w:val="222222"/>
          <w:shd w:val="clear" w:color="auto" w:fill="FFFFFF"/>
        </w:rPr>
        <w:t xml:space="preserve"> pour le </w:t>
      </w:r>
      <w:proofErr w:type="spellStart"/>
      <w:r>
        <w:rPr>
          <w:rFonts w:ascii="Arial" w:hAnsi="Arial" w:cs="Arial"/>
          <w:color w:val="222222"/>
          <w:shd w:val="clear" w:color="auto" w:fill="FFFFFF"/>
        </w:rPr>
        <w:t>Soutien</w:t>
      </w:r>
      <w:proofErr w:type="spellEnd"/>
      <w:r>
        <w:rPr>
          <w:rFonts w:ascii="Arial" w:hAnsi="Arial" w:cs="Arial"/>
          <w:color w:val="222222"/>
          <w:shd w:val="clear" w:color="auto" w:fill="FFFFFF"/>
        </w:rPr>
        <w:t xml:space="preserve"> de la Société Civile</w:t>
      </w:r>
    </w:p>
    <w:p w14:paraId="0F535A44" w14:textId="1BDE37F3" w:rsidR="00837897" w:rsidRPr="00837897" w:rsidRDefault="00837897" w:rsidP="00837897">
      <w:pPr>
        <w:pStyle w:val="ListParagraph"/>
        <w:numPr>
          <w:ilvl w:val="0"/>
          <w:numId w:val="6"/>
        </w:numPr>
        <w:shd w:val="clear" w:color="auto" w:fill="FFFFFF"/>
        <w:spacing w:after="160" w:line="235" w:lineRule="atLeast"/>
        <w:rPr>
          <w:rFonts w:ascii="Arial" w:hAnsi="Arial" w:cs="Arial"/>
          <w:color w:val="222222"/>
          <w:shd w:val="clear" w:color="auto" w:fill="FFFFFF"/>
        </w:rPr>
      </w:pPr>
      <w:r w:rsidRPr="00837897">
        <w:rPr>
          <w:rFonts w:ascii="Arial" w:hAnsi="Arial" w:cs="Arial"/>
          <w:color w:val="222222"/>
          <w:shd w:val="clear" w:color="auto" w:fill="FFFFFF"/>
        </w:rPr>
        <w:t>Families for Freedom</w:t>
      </w:r>
    </w:p>
    <w:p w14:paraId="699335B5" w14:textId="77777777" w:rsidR="008217FB" w:rsidRPr="009118ED" w:rsidRDefault="008217FB">
      <w:pPr>
        <w:ind w:left="0"/>
        <w:jc w:val="center"/>
        <w:rPr>
          <w:rFonts w:asciiTheme="minorHAnsi" w:hAnsiTheme="minorHAnsi" w:cstheme="minorHAnsi"/>
          <w:b/>
          <w:i/>
          <w:iCs/>
          <w:lang w:val="en-GB"/>
        </w:rPr>
      </w:pPr>
    </w:p>
    <w:p w14:paraId="61D06346" w14:textId="0FFAD3B0" w:rsidR="009118ED" w:rsidRDefault="00BD3E12" w:rsidP="009118ED">
      <w:pPr>
        <w:rPr>
          <w:rFonts w:asciiTheme="minorHAnsi" w:hAnsiTheme="minorHAnsi" w:cstheme="minorHAnsi"/>
          <w:lang w:val="en-GB"/>
        </w:rPr>
      </w:pPr>
      <w:r w:rsidRPr="00AF3138">
        <w:rPr>
          <w:rFonts w:asciiTheme="minorHAnsi" w:hAnsiTheme="minorHAnsi" w:cstheme="minorHAnsi"/>
          <w:lang w:val="en-GB"/>
        </w:rPr>
        <w:br w:type="page"/>
      </w:r>
    </w:p>
    <w:p w14:paraId="2497BCBD" w14:textId="77777777" w:rsidR="008217FB" w:rsidRPr="00AF3138" w:rsidRDefault="008217FB" w:rsidP="009118ED">
      <w:pPr>
        <w:rPr>
          <w:rFonts w:asciiTheme="minorHAnsi" w:hAnsiTheme="minorHAnsi" w:cstheme="minorHAnsi"/>
          <w:lang w:val="en-GB"/>
        </w:rPr>
      </w:pPr>
    </w:p>
    <w:sdt>
      <w:sdtPr>
        <w:rPr>
          <w:b w:val="0"/>
          <w:bCs w:val="0"/>
          <w:color w:val="auto"/>
          <w:sz w:val="22"/>
          <w:szCs w:val="22"/>
          <w:highlight w:val="white"/>
          <w:lang w:eastAsia="en-GB" w:bidi="en-US"/>
        </w:rPr>
        <w:id w:val="1759641658"/>
        <w:docPartObj>
          <w:docPartGallery w:val="Table of Contents"/>
          <w:docPartUnique/>
        </w:docPartObj>
      </w:sdtPr>
      <w:sdtEndPr>
        <w:rPr>
          <w:noProof/>
        </w:rPr>
      </w:sdtEndPr>
      <w:sdtContent>
        <w:p w14:paraId="1FE70B36" w14:textId="166ED1C0" w:rsidR="00AF3138" w:rsidRPr="00AC2C19" w:rsidRDefault="00AF3138">
          <w:pPr>
            <w:pStyle w:val="TOCHeading"/>
          </w:pPr>
          <w:r w:rsidRPr="00AC2C19">
            <w:t>Table of Contents</w:t>
          </w:r>
        </w:p>
        <w:p w14:paraId="09372497" w14:textId="56A5F9C5" w:rsidR="00AC2C19" w:rsidRPr="00AC2C19" w:rsidRDefault="00AF3138">
          <w:pPr>
            <w:pStyle w:val="TOC1"/>
            <w:tabs>
              <w:tab w:val="right" w:leader="dot" w:pos="9016"/>
            </w:tabs>
            <w:rPr>
              <w:rFonts w:eastAsiaTheme="minorEastAsia" w:cstheme="minorBidi"/>
              <w:b w:val="0"/>
              <w:bCs w:val="0"/>
              <w:i w:val="0"/>
              <w:iCs w:val="0"/>
              <w:noProof/>
              <w:highlight w:val="none"/>
              <w:lang w:val="en-GB" w:bidi="ar-SA"/>
            </w:rPr>
          </w:pPr>
          <w:r w:rsidRPr="00AC2C19">
            <w:rPr>
              <w:b w:val="0"/>
              <w:bCs w:val="0"/>
              <w:highlight w:val="none"/>
            </w:rPr>
            <w:fldChar w:fldCharType="begin"/>
          </w:r>
          <w:r w:rsidRPr="00AC2C19">
            <w:rPr>
              <w:highlight w:val="none"/>
            </w:rPr>
            <w:instrText xml:space="preserve"> TOC \o "1-3" \h \z \u </w:instrText>
          </w:r>
          <w:r w:rsidRPr="00AC2C19">
            <w:rPr>
              <w:b w:val="0"/>
              <w:bCs w:val="0"/>
              <w:highlight w:val="none"/>
            </w:rPr>
            <w:fldChar w:fldCharType="separate"/>
          </w:r>
          <w:hyperlink w:anchor="_Toc122446194" w:history="1">
            <w:r w:rsidR="00AC2C19" w:rsidRPr="00AC2C19">
              <w:rPr>
                <w:rStyle w:val="Hyperlink"/>
                <w:noProof/>
                <w:highlight w:val="none"/>
                <w:lang w:val="en-GB"/>
              </w:rPr>
              <w:t>Introduction</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_Toc122446194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3</w:t>
            </w:r>
            <w:r w:rsidR="00AC2C19" w:rsidRPr="00AC2C19">
              <w:rPr>
                <w:noProof/>
                <w:webHidden/>
                <w:highlight w:val="none"/>
              </w:rPr>
              <w:fldChar w:fldCharType="end"/>
            </w:r>
          </w:hyperlink>
        </w:p>
        <w:p w14:paraId="23837239" w14:textId="09F0A75E" w:rsidR="00AC2C19" w:rsidRPr="00AC2C19" w:rsidRDefault="00000000">
          <w:pPr>
            <w:pStyle w:val="TOC1"/>
            <w:tabs>
              <w:tab w:val="left" w:pos="440"/>
              <w:tab w:val="right" w:leader="dot" w:pos="9016"/>
            </w:tabs>
            <w:rPr>
              <w:rFonts w:eastAsiaTheme="minorEastAsia" w:cstheme="minorBidi"/>
              <w:b w:val="0"/>
              <w:bCs w:val="0"/>
              <w:i w:val="0"/>
              <w:iCs w:val="0"/>
              <w:noProof/>
              <w:highlight w:val="none"/>
              <w:lang w:val="en-GB" w:bidi="ar-SA"/>
            </w:rPr>
          </w:pPr>
          <w:hyperlink w:anchor="_Toc122446195" w:history="1">
            <w:r w:rsidR="00AC2C19" w:rsidRPr="00AC2C19">
              <w:rPr>
                <w:rStyle w:val="Hyperlink"/>
                <w:noProof/>
                <w:highlight w:val="none"/>
                <w:lang w:val="en-GB"/>
              </w:rPr>
              <w:t>1</w:t>
            </w:r>
            <w:r w:rsidR="00AC2C19" w:rsidRPr="00AC2C19">
              <w:rPr>
                <w:rFonts w:eastAsiaTheme="minorEastAsia" w:cstheme="minorBidi"/>
                <w:b w:val="0"/>
                <w:bCs w:val="0"/>
                <w:i w:val="0"/>
                <w:iCs w:val="0"/>
                <w:noProof/>
                <w:highlight w:val="none"/>
                <w:lang w:val="en-GB" w:bidi="ar-SA"/>
              </w:rPr>
              <w:tab/>
            </w:r>
            <w:r w:rsidR="00AC2C19" w:rsidRPr="00AC2C19">
              <w:rPr>
                <w:rStyle w:val="Hyperlink"/>
                <w:noProof/>
                <w:highlight w:val="none"/>
                <w:lang w:val="en-GB"/>
              </w:rPr>
              <w:t>Arbitrary deprivation of Liberty</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_Toc122446195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4</w:t>
            </w:r>
            <w:r w:rsidR="00AC2C19" w:rsidRPr="00AC2C19">
              <w:rPr>
                <w:noProof/>
                <w:webHidden/>
                <w:highlight w:val="none"/>
              </w:rPr>
              <w:fldChar w:fldCharType="end"/>
            </w:r>
          </w:hyperlink>
        </w:p>
        <w:p w14:paraId="04C1C57C" w14:textId="5091926F" w:rsidR="00AC2C19" w:rsidRPr="00AC2C19" w:rsidRDefault="00000000">
          <w:pPr>
            <w:pStyle w:val="TOC2"/>
            <w:tabs>
              <w:tab w:val="left" w:pos="880"/>
              <w:tab w:val="right" w:leader="dot" w:pos="9016"/>
            </w:tabs>
            <w:rPr>
              <w:rFonts w:eastAsiaTheme="minorEastAsia" w:cstheme="minorBidi"/>
              <w:b w:val="0"/>
              <w:bCs w:val="0"/>
              <w:noProof/>
              <w:sz w:val="24"/>
              <w:szCs w:val="24"/>
              <w:highlight w:val="none"/>
              <w:lang w:val="en-GB" w:bidi="ar-SA"/>
            </w:rPr>
          </w:pPr>
          <w:hyperlink w:anchor="_Toc122446196" w:history="1">
            <w:r w:rsidR="00AC2C19" w:rsidRPr="00AC2C19">
              <w:rPr>
                <w:rStyle w:val="Hyperlink"/>
                <w:noProof/>
                <w:highlight w:val="none"/>
                <w:lang w:val="en-GB"/>
              </w:rPr>
              <w:t>1.1</w:t>
            </w:r>
            <w:r w:rsidR="00AC2C19" w:rsidRPr="00AC2C19">
              <w:rPr>
                <w:rFonts w:eastAsiaTheme="minorEastAsia" w:cstheme="minorBidi"/>
                <w:b w:val="0"/>
                <w:bCs w:val="0"/>
                <w:noProof/>
                <w:sz w:val="24"/>
                <w:szCs w:val="24"/>
                <w:highlight w:val="none"/>
                <w:lang w:val="en-GB" w:bidi="ar-SA"/>
              </w:rPr>
              <w:tab/>
            </w:r>
            <w:r w:rsidR="00AC2C19" w:rsidRPr="00AC2C19">
              <w:rPr>
                <w:rStyle w:val="Hyperlink"/>
                <w:noProof/>
                <w:highlight w:val="none"/>
                <w:lang w:val="en-GB"/>
              </w:rPr>
              <w:t>The State's failure to fulfill its Negative Obligations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_Toc122446196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4</w:t>
            </w:r>
            <w:r w:rsidR="00AC2C19" w:rsidRPr="00AC2C19">
              <w:rPr>
                <w:noProof/>
                <w:webHidden/>
                <w:highlight w:val="none"/>
              </w:rPr>
              <w:fldChar w:fldCharType="end"/>
            </w:r>
          </w:hyperlink>
        </w:p>
        <w:p w14:paraId="18C1D22F" w14:textId="6C6FECE4" w:rsidR="00AC2C19" w:rsidRPr="00AC2C19" w:rsidRDefault="00000000">
          <w:pPr>
            <w:pStyle w:val="TOC2"/>
            <w:tabs>
              <w:tab w:val="left" w:pos="880"/>
              <w:tab w:val="right" w:leader="dot" w:pos="9016"/>
            </w:tabs>
            <w:rPr>
              <w:rFonts w:eastAsiaTheme="minorEastAsia" w:cstheme="minorBidi"/>
              <w:b w:val="0"/>
              <w:bCs w:val="0"/>
              <w:noProof/>
              <w:sz w:val="24"/>
              <w:szCs w:val="24"/>
              <w:highlight w:val="none"/>
              <w:lang w:val="en-GB" w:bidi="ar-SA"/>
            </w:rPr>
          </w:pPr>
          <w:hyperlink w:anchor="_Toc122446197" w:history="1">
            <w:r w:rsidR="00AC2C19" w:rsidRPr="00AC2C19">
              <w:rPr>
                <w:rStyle w:val="Hyperlink"/>
                <w:noProof/>
                <w:highlight w:val="none"/>
                <w:lang w:val="en-GB"/>
              </w:rPr>
              <w:t>1.2</w:t>
            </w:r>
            <w:r w:rsidR="00AC2C19" w:rsidRPr="00AC2C19">
              <w:rPr>
                <w:rFonts w:eastAsiaTheme="minorEastAsia" w:cstheme="minorBidi"/>
                <w:b w:val="0"/>
                <w:bCs w:val="0"/>
                <w:noProof/>
                <w:sz w:val="24"/>
                <w:szCs w:val="24"/>
                <w:highlight w:val="none"/>
                <w:lang w:val="en-GB" w:bidi="ar-SA"/>
              </w:rPr>
              <w:tab/>
            </w:r>
            <w:r w:rsidR="00AC2C19" w:rsidRPr="00AC2C19">
              <w:rPr>
                <w:rStyle w:val="Hyperlink"/>
                <w:noProof/>
                <w:highlight w:val="none"/>
                <w:lang w:val="en-GB"/>
              </w:rPr>
              <w:t>The State's failure to fulfill its Positive Obligations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_Toc122446197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6</w:t>
            </w:r>
            <w:r w:rsidR="00AC2C19" w:rsidRPr="00AC2C19">
              <w:rPr>
                <w:noProof/>
                <w:webHidden/>
                <w:highlight w:val="none"/>
              </w:rPr>
              <w:fldChar w:fldCharType="end"/>
            </w:r>
          </w:hyperlink>
        </w:p>
        <w:p w14:paraId="5EA90806" w14:textId="50A6313A"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198" w:history="1">
            <w:r w:rsidR="00AC2C19" w:rsidRPr="00AC2C19">
              <w:rPr>
                <w:rStyle w:val="Hyperlink"/>
                <w:noProof/>
                <w:highlight w:val="none"/>
                <w:lang w:val="en-GB"/>
              </w:rPr>
              <w:t>1.2.1</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The State legalized arbitrary arrest and normalized the exception</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_Toc122446198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6</w:t>
            </w:r>
            <w:r w:rsidR="00AC2C19" w:rsidRPr="00AC2C19">
              <w:rPr>
                <w:noProof/>
                <w:webHidden/>
                <w:highlight w:val="none"/>
              </w:rPr>
              <w:fldChar w:fldCharType="end"/>
            </w:r>
          </w:hyperlink>
        </w:p>
        <w:p w14:paraId="15A5BBCD" w14:textId="7F353B34"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199" w:history="1">
            <w:r w:rsidR="00AC2C19" w:rsidRPr="00AC2C19">
              <w:rPr>
                <w:rStyle w:val="Hyperlink"/>
                <w:noProof/>
                <w:highlight w:val="none"/>
                <w:lang w:val="en-GB"/>
              </w:rPr>
              <w:t>1.2.2</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The State's facilitation of enforced disappearance</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_Toc122446199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8</w:t>
            </w:r>
            <w:r w:rsidR="00AC2C19" w:rsidRPr="00AC2C19">
              <w:rPr>
                <w:noProof/>
                <w:webHidden/>
                <w:highlight w:val="none"/>
              </w:rPr>
              <w:fldChar w:fldCharType="end"/>
            </w:r>
          </w:hyperlink>
        </w:p>
        <w:p w14:paraId="12227759" w14:textId="7672614B"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200" w:history="1">
            <w:r w:rsidR="00AC2C19" w:rsidRPr="00AC2C19">
              <w:rPr>
                <w:rStyle w:val="Hyperlink"/>
                <w:noProof/>
                <w:highlight w:val="none"/>
                <w:lang w:val="en-GB"/>
              </w:rPr>
              <w:t>1.2.3</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The State's failure to investigate and prosecute the alleged perpetrators and provide victims with effective remedies.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_Toc122446200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10</w:t>
            </w:r>
            <w:r w:rsidR="00AC2C19" w:rsidRPr="00AC2C19">
              <w:rPr>
                <w:noProof/>
                <w:webHidden/>
                <w:highlight w:val="none"/>
              </w:rPr>
              <w:fldChar w:fldCharType="end"/>
            </w:r>
          </w:hyperlink>
        </w:p>
        <w:p w14:paraId="4F495CEF" w14:textId="026F318C"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201" w:history="1">
            <w:r w:rsidR="00AC2C19" w:rsidRPr="00AC2C19">
              <w:rPr>
                <w:rStyle w:val="Hyperlink"/>
                <w:noProof/>
                <w:highlight w:val="none"/>
                <w:lang w:val="en-GB"/>
              </w:rPr>
              <w:t>1.2.4</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Sham procedures by the State to evade its responsibility</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_Toc122446201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12</w:t>
            </w:r>
            <w:r w:rsidR="00AC2C19" w:rsidRPr="00AC2C19">
              <w:rPr>
                <w:noProof/>
                <w:webHidden/>
                <w:highlight w:val="none"/>
              </w:rPr>
              <w:fldChar w:fldCharType="end"/>
            </w:r>
          </w:hyperlink>
        </w:p>
        <w:p w14:paraId="4C7F213A" w14:textId="5B9495C6" w:rsidR="00AC2C19" w:rsidRPr="00AC2C19" w:rsidRDefault="00000000">
          <w:pPr>
            <w:pStyle w:val="TOC1"/>
            <w:tabs>
              <w:tab w:val="left" w:pos="440"/>
              <w:tab w:val="right" w:leader="dot" w:pos="9016"/>
            </w:tabs>
            <w:rPr>
              <w:rFonts w:eastAsiaTheme="minorEastAsia" w:cstheme="minorBidi"/>
              <w:b w:val="0"/>
              <w:bCs w:val="0"/>
              <w:i w:val="0"/>
              <w:iCs w:val="0"/>
              <w:noProof/>
              <w:highlight w:val="none"/>
              <w:lang w:val="en-GB" w:bidi="ar-SA"/>
            </w:rPr>
          </w:pPr>
          <w:hyperlink w:anchor="_Toc122446202" w:history="1">
            <w:r w:rsidR="00AC2C19" w:rsidRPr="00AC2C19">
              <w:rPr>
                <w:rStyle w:val="Hyperlink"/>
                <w:noProof/>
                <w:highlight w:val="none"/>
                <w:lang w:val="en-GB"/>
              </w:rPr>
              <w:t>2</w:t>
            </w:r>
            <w:r w:rsidR="00AC2C19" w:rsidRPr="00AC2C19">
              <w:rPr>
                <w:rFonts w:eastAsiaTheme="minorEastAsia" w:cstheme="minorBidi"/>
                <w:b w:val="0"/>
                <w:bCs w:val="0"/>
                <w:i w:val="0"/>
                <w:iCs w:val="0"/>
                <w:noProof/>
                <w:highlight w:val="none"/>
                <w:lang w:val="en-GB" w:bidi="ar-SA"/>
              </w:rPr>
              <w:tab/>
            </w:r>
            <w:r w:rsidR="00AC2C19" w:rsidRPr="00AC2C19">
              <w:rPr>
                <w:rStyle w:val="Hyperlink"/>
                <w:noProof/>
                <w:highlight w:val="none"/>
                <w:lang w:val="en-GB"/>
              </w:rPr>
              <w:t>Fair Trials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_Toc122446202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16</w:t>
            </w:r>
            <w:r w:rsidR="00AC2C19" w:rsidRPr="00AC2C19">
              <w:rPr>
                <w:noProof/>
                <w:webHidden/>
                <w:highlight w:val="none"/>
              </w:rPr>
              <w:fldChar w:fldCharType="end"/>
            </w:r>
          </w:hyperlink>
        </w:p>
        <w:p w14:paraId="442A9732" w14:textId="639F671B" w:rsidR="00AC2C19" w:rsidRPr="00AC2C19" w:rsidRDefault="00000000">
          <w:pPr>
            <w:pStyle w:val="TOC2"/>
            <w:tabs>
              <w:tab w:val="left" w:pos="880"/>
              <w:tab w:val="right" w:leader="dot" w:pos="9016"/>
            </w:tabs>
            <w:rPr>
              <w:rFonts w:eastAsiaTheme="minorEastAsia" w:cstheme="minorBidi"/>
              <w:b w:val="0"/>
              <w:bCs w:val="0"/>
              <w:noProof/>
              <w:sz w:val="24"/>
              <w:szCs w:val="24"/>
              <w:highlight w:val="none"/>
              <w:lang w:val="en-GB" w:bidi="ar-SA"/>
            </w:rPr>
          </w:pPr>
          <w:hyperlink w:anchor="_Toc122446203" w:history="1">
            <w:r w:rsidR="00AC2C19" w:rsidRPr="00AC2C19">
              <w:rPr>
                <w:rStyle w:val="Hyperlink"/>
                <w:noProof/>
                <w:highlight w:val="none"/>
                <w:lang w:val="en-GB"/>
              </w:rPr>
              <w:t>2.1</w:t>
            </w:r>
            <w:r w:rsidR="00AC2C19" w:rsidRPr="00AC2C19">
              <w:rPr>
                <w:rFonts w:eastAsiaTheme="minorEastAsia" w:cstheme="minorBidi"/>
                <w:b w:val="0"/>
                <w:bCs w:val="0"/>
                <w:noProof/>
                <w:sz w:val="24"/>
                <w:szCs w:val="24"/>
                <w:highlight w:val="none"/>
                <w:lang w:val="en-GB" w:bidi="ar-SA"/>
              </w:rPr>
              <w:tab/>
            </w:r>
            <w:r w:rsidR="00AC2C19" w:rsidRPr="00AC2C19">
              <w:rPr>
                <w:rStyle w:val="Hyperlink"/>
                <w:noProof/>
                <w:highlight w:val="none"/>
                <w:lang w:val="en-GB"/>
              </w:rPr>
              <w:t>Vague charges and ambiguous legal texts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_Toc122446203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16</w:t>
            </w:r>
            <w:r w:rsidR="00AC2C19" w:rsidRPr="00AC2C19">
              <w:rPr>
                <w:noProof/>
                <w:webHidden/>
                <w:highlight w:val="none"/>
              </w:rPr>
              <w:fldChar w:fldCharType="end"/>
            </w:r>
          </w:hyperlink>
        </w:p>
        <w:p w14:paraId="30F72CEF" w14:textId="1288C7CE" w:rsidR="00AC2C19" w:rsidRPr="00AC2C19" w:rsidRDefault="00000000">
          <w:pPr>
            <w:pStyle w:val="TOC2"/>
            <w:tabs>
              <w:tab w:val="left" w:pos="880"/>
              <w:tab w:val="right" w:leader="dot" w:pos="9016"/>
            </w:tabs>
            <w:rPr>
              <w:rFonts w:eastAsiaTheme="minorEastAsia" w:cstheme="minorBidi"/>
              <w:b w:val="0"/>
              <w:bCs w:val="0"/>
              <w:noProof/>
              <w:sz w:val="24"/>
              <w:szCs w:val="24"/>
              <w:highlight w:val="none"/>
              <w:lang w:val="en-GB" w:bidi="ar-SA"/>
            </w:rPr>
          </w:pPr>
          <w:hyperlink w:anchor="_Toc122446204" w:history="1">
            <w:r w:rsidR="00AC2C19" w:rsidRPr="00AC2C19">
              <w:rPr>
                <w:rStyle w:val="Hyperlink"/>
                <w:noProof/>
                <w:highlight w:val="none"/>
                <w:lang w:val="en-GB"/>
              </w:rPr>
              <w:t>2.2</w:t>
            </w:r>
            <w:r w:rsidR="00AC2C19" w:rsidRPr="00AC2C19">
              <w:rPr>
                <w:rFonts w:eastAsiaTheme="minorEastAsia" w:cstheme="minorBidi"/>
                <w:b w:val="0"/>
                <w:bCs w:val="0"/>
                <w:noProof/>
                <w:sz w:val="24"/>
                <w:szCs w:val="24"/>
                <w:highlight w:val="none"/>
                <w:lang w:val="en-GB" w:bidi="ar-SA"/>
              </w:rPr>
              <w:tab/>
            </w:r>
            <w:r w:rsidR="00AC2C19" w:rsidRPr="00AC2C19">
              <w:rPr>
                <w:rStyle w:val="Hyperlink"/>
                <w:noProof/>
                <w:highlight w:val="none"/>
                <w:lang w:val="en-GB"/>
              </w:rPr>
              <w:t>A biased, non-independent judiciary</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_Toc122446204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17</w:t>
            </w:r>
            <w:r w:rsidR="00AC2C19" w:rsidRPr="00AC2C19">
              <w:rPr>
                <w:noProof/>
                <w:webHidden/>
                <w:highlight w:val="none"/>
              </w:rPr>
              <w:fldChar w:fldCharType="end"/>
            </w:r>
          </w:hyperlink>
        </w:p>
        <w:p w14:paraId="1583A983" w14:textId="61B77790"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205" w:history="1">
            <w:r w:rsidR="00AC2C19" w:rsidRPr="00AC2C19">
              <w:rPr>
                <w:rStyle w:val="Hyperlink"/>
                <w:noProof/>
                <w:highlight w:val="none"/>
                <w:lang w:val="en-GB"/>
              </w:rPr>
              <w:t>2.2.1</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Military Judiciary:</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_Toc122446205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18</w:t>
            </w:r>
            <w:r w:rsidR="00AC2C19" w:rsidRPr="00AC2C19">
              <w:rPr>
                <w:noProof/>
                <w:webHidden/>
                <w:highlight w:val="none"/>
              </w:rPr>
              <w:fldChar w:fldCharType="end"/>
            </w:r>
          </w:hyperlink>
        </w:p>
        <w:p w14:paraId="770AD483" w14:textId="4108EECD"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206" w:history="1">
            <w:r w:rsidR="00AC2C19" w:rsidRPr="00AC2C19">
              <w:rPr>
                <w:rStyle w:val="Hyperlink"/>
                <w:noProof/>
                <w:highlight w:val="none"/>
                <w:lang w:val="en-GB"/>
              </w:rPr>
              <w:t>2.2.2</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Military Field Courts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_Toc122446206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20</w:t>
            </w:r>
            <w:r w:rsidR="00AC2C19" w:rsidRPr="00AC2C19">
              <w:rPr>
                <w:noProof/>
                <w:webHidden/>
                <w:highlight w:val="none"/>
              </w:rPr>
              <w:fldChar w:fldCharType="end"/>
            </w:r>
          </w:hyperlink>
        </w:p>
        <w:p w14:paraId="7587A231" w14:textId="7D98C24D" w:rsidR="00AC2C19" w:rsidRPr="00AC2C19" w:rsidRDefault="00000000">
          <w:pPr>
            <w:pStyle w:val="TOC3"/>
            <w:tabs>
              <w:tab w:val="left" w:pos="1100"/>
              <w:tab w:val="right" w:leader="dot" w:pos="9016"/>
            </w:tabs>
            <w:rPr>
              <w:rFonts w:eastAsiaTheme="minorEastAsia" w:cstheme="minorBidi"/>
              <w:noProof/>
              <w:sz w:val="24"/>
              <w:szCs w:val="24"/>
              <w:highlight w:val="none"/>
              <w:lang w:val="en-GB" w:bidi="ar-SA"/>
            </w:rPr>
          </w:pPr>
          <w:hyperlink w:anchor="_Toc122446207" w:history="1">
            <w:r w:rsidR="00AC2C19" w:rsidRPr="00AC2C19">
              <w:rPr>
                <w:rStyle w:val="Hyperlink"/>
                <w:noProof/>
                <w:highlight w:val="none"/>
                <w:lang w:val="en-GB"/>
              </w:rPr>
              <w:t>2.2.3</w:t>
            </w:r>
            <w:r w:rsidR="00AC2C19" w:rsidRPr="00AC2C19">
              <w:rPr>
                <w:rFonts w:eastAsiaTheme="minorEastAsia" w:cstheme="minorBidi"/>
                <w:noProof/>
                <w:sz w:val="24"/>
                <w:szCs w:val="24"/>
                <w:highlight w:val="none"/>
                <w:lang w:val="en-GB" w:bidi="ar-SA"/>
              </w:rPr>
              <w:tab/>
            </w:r>
            <w:r w:rsidR="00AC2C19" w:rsidRPr="00AC2C19">
              <w:rPr>
                <w:rStyle w:val="Hyperlink"/>
                <w:noProof/>
                <w:highlight w:val="none"/>
                <w:lang w:val="en-GB"/>
              </w:rPr>
              <w:t>The Counter-Terrorism Court</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_Toc122446207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21</w:t>
            </w:r>
            <w:r w:rsidR="00AC2C19" w:rsidRPr="00AC2C19">
              <w:rPr>
                <w:noProof/>
                <w:webHidden/>
                <w:highlight w:val="none"/>
              </w:rPr>
              <w:fldChar w:fldCharType="end"/>
            </w:r>
          </w:hyperlink>
        </w:p>
        <w:p w14:paraId="6F6634B3" w14:textId="43F28DE7" w:rsidR="00AC2C19" w:rsidRPr="00AC2C19" w:rsidRDefault="00000000">
          <w:pPr>
            <w:pStyle w:val="TOC1"/>
            <w:tabs>
              <w:tab w:val="left" w:pos="440"/>
              <w:tab w:val="right" w:leader="dot" w:pos="9016"/>
            </w:tabs>
            <w:rPr>
              <w:rFonts w:eastAsiaTheme="minorEastAsia" w:cstheme="minorBidi"/>
              <w:b w:val="0"/>
              <w:bCs w:val="0"/>
              <w:i w:val="0"/>
              <w:iCs w:val="0"/>
              <w:noProof/>
              <w:highlight w:val="none"/>
              <w:lang w:val="en-GB" w:bidi="ar-SA"/>
            </w:rPr>
          </w:pPr>
          <w:hyperlink w:anchor="_Toc122446208" w:history="1">
            <w:r w:rsidR="00AC2C19" w:rsidRPr="00AC2C19">
              <w:rPr>
                <w:rStyle w:val="Hyperlink"/>
                <w:noProof/>
                <w:highlight w:val="none"/>
                <w:lang w:val="en-GB"/>
              </w:rPr>
              <w:t>3</w:t>
            </w:r>
            <w:r w:rsidR="00AC2C19" w:rsidRPr="00AC2C19">
              <w:rPr>
                <w:rFonts w:eastAsiaTheme="minorEastAsia" w:cstheme="minorBidi"/>
                <w:b w:val="0"/>
                <w:bCs w:val="0"/>
                <w:i w:val="0"/>
                <w:iCs w:val="0"/>
                <w:noProof/>
                <w:highlight w:val="none"/>
                <w:lang w:val="en-GB" w:bidi="ar-SA"/>
              </w:rPr>
              <w:tab/>
            </w:r>
            <w:r w:rsidR="00AC2C19" w:rsidRPr="00AC2C19">
              <w:rPr>
                <w:rStyle w:val="Hyperlink"/>
                <w:noProof/>
                <w:highlight w:val="none"/>
                <w:lang w:val="en-GB"/>
              </w:rPr>
              <w:t>The Right to Life:</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_Toc122446208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24</w:t>
            </w:r>
            <w:r w:rsidR="00AC2C19" w:rsidRPr="00AC2C19">
              <w:rPr>
                <w:noProof/>
                <w:webHidden/>
                <w:highlight w:val="none"/>
              </w:rPr>
              <w:fldChar w:fldCharType="end"/>
            </w:r>
          </w:hyperlink>
        </w:p>
        <w:p w14:paraId="3F009D74" w14:textId="3C56ACB7" w:rsidR="00AC2C19" w:rsidRPr="00AC2C19" w:rsidRDefault="00000000">
          <w:pPr>
            <w:pStyle w:val="TOC1"/>
            <w:tabs>
              <w:tab w:val="right" w:leader="dot" w:pos="9016"/>
            </w:tabs>
            <w:rPr>
              <w:rFonts w:eastAsiaTheme="minorEastAsia" w:cstheme="minorBidi"/>
              <w:b w:val="0"/>
              <w:bCs w:val="0"/>
              <w:i w:val="0"/>
              <w:iCs w:val="0"/>
              <w:noProof/>
              <w:highlight w:val="none"/>
              <w:lang w:val="en-GB" w:bidi="ar-SA"/>
            </w:rPr>
          </w:pPr>
          <w:hyperlink w:anchor="_Toc122446209" w:history="1">
            <w:r w:rsidR="00AC2C19" w:rsidRPr="00AC2C19">
              <w:rPr>
                <w:rStyle w:val="Hyperlink"/>
                <w:rFonts w:eastAsia="Arial"/>
                <w:noProof/>
                <w:highlight w:val="none"/>
                <w:lang w:val="en-GB"/>
              </w:rPr>
              <w:t>Annexes</w:t>
            </w:r>
            <w:r w:rsidR="00AC2C19" w:rsidRPr="00AC2C19">
              <w:rPr>
                <w:noProof/>
                <w:webHidden/>
                <w:highlight w:val="none"/>
              </w:rPr>
              <w:tab/>
            </w:r>
            <w:r w:rsidR="00AC2C19" w:rsidRPr="00AC2C19">
              <w:rPr>
                <w:noProof/>
                <w:webHidden/>
                <w:highlight w:val="none"/>
              </w:rPr>
              <w:fldChar w:fldCharType="begin"/>
            </w:r>
            <w:r w:rsidR="00AC2C19" w:rsidRPr="00AC2C19">
              <w:rPr>
                <w:noProof/>
                <w:webHidden/>
                <w:highlight w:val="none"/>
              </w:rPr>
              <w:instrText xml:space="preserve"> PAGEREF _Toc122446209 \h </w:instrText>
            </w:r>
            <w:r w:rsidR="00AC2C19" w:rsidRPr="00AC2C19">
              <w:rPr>
                <w:noProof/>
                <w:webHidden/>
                <w:highlight w:val="none"/>
              </w:rPr>
            </w:r>
            <w:r w:rsidR="00AC2C19" w:rsidRPr="00AC2C19">
              <w:rPr>
                <w:noProof/>
                <w:webHidden/>
                <w:highlight w:val="none"/>
              </w:rPr>
              <w:fldChar w:fldCharType="separate"/>
            </w:r>
            <w:r w:rsidR="009118ED">
              <w:rPr>
                <w:noProof/>
                <w:webHidden/>
                <w:highlight w:val="none"/>
              </w:rPr>
              <w:t>28</w:t>
            </w:r>
            <w:r w:rsidR="00AC2C19" w:rsidRPr="00AC2C19">
              <w:rPr>
                <w:noProof/>
                <w:webHidden/>
                <w:highlight w:val="none"/>
              </w:rPr>
              <w:fldChar w:fldCharType="end"/>
            </w:r>
          </w:hyperlink>
        </w:p>
        <w:p w14:paraId="7DA5D388" w14:textId="15A550AC" w:rsidR="00AF3138" w:rsidRDefault="00AF3138">
          <w:r w:rsidRPr="00AC2C19">
            <w:rPr>
              <w:b/>
              <w:bCs/>
              <w:noProof/>
              <w:highlight w:val="none"/>
            </w:rPr>
            <w:fldChar w:fldCharType="end"/>
          </w:r>
        </w:p>
      </w:sdtContent>
    </w:sdt>
    <w:p w14:paraId="56EC4E7C" w14:textId="77777777" w:rsidR="00BD3E12" w:rsidRPr="00AF3138" w:rsidRDefault="00BD3E12">
      <w:pPr>
        <w:rPr>
          <w:rFonts w:asciiTheme="minorHAnsi" w:hAnsiTheme="minorHAnsi" w:cstheme="minorHAnsi"/>
          <w:lang w:val="en-GB"/>
        </w:rPr>
      </w:pPr>
      <w:r w:rsidRPr="00AF3138">
        <w:rPr>
          <w:rFonts w:asciiTheme="minorHAnsi" w:hAnsiTheme="minorHAnsi" w:cstheme="minorHAnsi"/>
          <w:lang w:val="en-GB"/>
        </w:rPr>
        <w:br w:type="page"/>
      </w:r>
    </w:p>
    <w:p w14:paraId="05DF37B8" w14:textId="5DB0C365" w:rsidR="00BD3E12" w:rsidRPr="00AF3138" w:rsidRDefault="00BD3E12" w:rsidP="008E7279">
      <w:pPr>
        <w:pStyle w:val="Heading1"/>
        <w:numPr>
          <w:ilvl w:val="0"/>
          <w:numId w:val="0"/>
        </w:numPr>
        <w:ind w:left="360"/>
        <w:rPr>
          <w:lang w:val="en-GB"/>
        </w:rPr>
      </w:pPr>
      <w:bookmarkStart w:id="4" w:name="_Toc122446194"/>
      <w:r w:rsidRPr="00AF3138">
        <w:rPr>
          <w:lang w:val="en-GB"/>
        </w:rPr>
        <w:lastRenderedPageBreak/>
        <w:t>Introduction</w:t>
      </w:r>
      <w:bookmarkEnd w:id="4"/>
      <w:r w:rsidRPr="00AF3138">
        <w:rPr>
          <w:lang w:val="en-GB"/>
        </w:rPr>
        <w:t xml:space="preserve"> </w:t>
      </w:r>
    </w:p>
    <w:p w14:paraId="5BE50027" w14:textId="0F392241" w:rsidR="00B03379" w:rsidRPr="00AF3138" w:rsidRDefault="00B03379" w:rsidP="003C7A70">
      <w:pPr>
        <w:ind w:left="0"/>
        <w:jc w:val="both"/>
        <w:rPr>
          <w:rFonts w:asciiTheme="minorHAnsi" w:hAnsiTheme="minorHAnsi" w:cstheme="minorHAnsi"/>
          <w:color w:val="000000"/>
          <w:lang w:val="en-GB"/>
        </w:rPr>
      </w:pPr>
      <w:r w:rsidRPr="00AF3138">
        <w:rPr>
          <w:rFonts w:asciiTheme="minorHAnsi" w:hAnsiTheme="minorHAnsi" w:cstheme="minorHAnsi"/>
          <w:color w:val="000000"/>
          <w:lang w:val="en-GB"/>
        </w:rPr>
        <w:t xml:space="preserve">This submission explores aspects of the Syrian government's compliance with its negative and positive obligations under the ICCPR. It suggests questions to the Human Rights Committee to provide Syria before the upcoming review. Fundamentally, the submission tackles violations against the right to freedom from arbitrary deprivation of liberty, the right to life, and the right to a fair trial. </w:t>
      </w:r>
      <w:r w:rsidR="00F94B4C" w:rsidRPr="00F94B4C">
        <w:rPr>
          <w:rFonts w:asciiTheme="minorHAnsi" w:hAnsiTheme="minorHAnsi" w:cstheme="minorHAnsi"/>
          <w:color w:val="000000"/>
          <w:lang w:val="en-GB"/>
        </w:rPr>
        <w:t xml:space="preserve">In this regard, it responds to articles 6, 9, and 14 of the Covenant. </w:t>
      </w:r>
      <w:r w:rsidR="00F94B4C">
        <w:rPr>
          <w:rFonts w:asciiTheme="minorHAnsi" w:hAnsiTheme="minorHAnsi" w:cstheme="minorHAnsi"/>
          <w:color w:val="000000"/>
          <w:lang w:val="en-GB"/>
        </w:rPr>
        <w:t>I</w:t>
      </w:r>
      <w:r w:rsidR="00F94B4C" w:rsidRPr="00F94B4C">
        <w:rPr>
          <w:rFonts w:asciiTheme="minorHAnsi" w:hAnsiTheme="minorHAnsi" w:cstheme="minorHAnsi"/>
          <w:color w:val="000000"/>
          <w:lang w:val="en-GB"/>
        </w:rPr>
        <w:t xml:space="preserve">t also claims </w:t>
      </w:r>
      <w:r w:rsidR="00F94B4C">
        <w:rPr>
          <w:rFonts w:asciiTheme="minorHAnsi" w:hAnsiTheme="minorHAnsi" w:cstheme="minorHAnsi"/>
          <w:color w:val="000000"/>
          <w:lang w:val="en-GB"/>
        </w:rPr>
        <w:t>the</w:t>
      </w:r>
      <w:r w:rsidR="00F94B4C" w:rsidRPr="00F94B4C">
        <w:rPr>
          <w:rFonts w:asciiTheme="minorHAnsi" w:hAnsiTheme="minorHAnsi" w:cstheme="minorHAnsi"/>
          <w:color w:val="000000"/>
          <w:lang w:val="en-GB"/>
        </w:rPr>
        <w:t xml:space="preserve"> correlation between the violations of these rights and articles 2, 7, 16, and 23.1.</w:t>
      </w:r>
    </w:p>
    <w:p w14:paraId="08AF0ED1" w14:textId="3F8B3E62" w:rsidR="003C7A70" w:rsidRPr="00AF3138" w:rsidRDefault="003C7A70" w:rsidP="003C7A70">
      <w:pPr>
        <w:ind w:left="0"/>
        <w:jc w:val="both"/>
        <w:rPr>
          <w:rFonts w:asciiTheme="minorHAnsi" w:hAnsiTheme="minorHAnsi" w:cstheme="minorHAnsi"/>
          <w:color w:val="000000"/>
          <w:lang w:val="en-GB"/>
        </w:rPr>
      </w:pPr>
      <w:r w:rsidRPr="00AF3138">
        <w:rPr>
          <w:rFonts w:asciiTheme="minorHAnsi" w:hAnsiTheme="minorHAnsi" w:cstheme="minorHAnsi"/>
          <w:color w:val="000000"/>
          <w:lang w:val="en-GB"/>
        </w:rPr>
        <w:t>Indeed, it is fundamental to underline that after twelve years of delay, the fourth periodic report submitted by Syria is extremely disappointing and does not represent the gravity of the human rights violations that occurred in Syria in the last decade. Syrians witnessed unprecedented armed conflict in which systematic and widespread arbitrary detention, enforced disappearances, torture and ill-treatment, extrajudicial killings, and summary executions became the hallmark, amounting to crimes against humanity.</w:t>
      </w:r>
    </w:p>
    <w:p w14:paraId="0000000A" w14:textId="67D6B919" w:rsidR="008E7279" w:rsidRPr="00AF3138" w:rsidRDefault="003C7A70" w:rsidP="003C7A70">
      <w:pPr>
        <w:ind w:left="0"/>
        <w:jc w:val="both"/>
        <w:rPr>
          <w:rFonts w:asciiTheme="minorHAnsi" w:hAnsiTheme="minorHAnsi" w:cstheme="minorHAnsi"/>
          <w:color w:val="000000"/>
          <w:lang w:val="en-GB"/>
        </w:rPr>
      </w:pPr>
      <w:r w:rsidRPr="00AF3138">
        <w:rPr>
          <w:rFonts w:asciiTheme="minorHAnsi" w:hAnsiTheme="minorHAnsi" w:cstheme="minorHAnsi"/>
          <w:color w:val="000000"/>
          <w:lang w:val="en-GB"/>
        </w:rPr>
        <w:t xml:space="preserve">However, Syria's latest response to the Committee is part of a dialogue loop that highlights a lack of effort on the part of the Syrian state. Despite the grave human rights violations mentioned above and those highlighted by the Committee in the previous three reporting cycles, Syria seems to respond mechanically to the Committee without engaging in any contextual or structural change. The Syrian government's responses to the violations highlighted by the Committee reflect a pattern of responses that is not commensurate with the human rights issues at hand. </w:t>
      </w:r>
    </w:p>
    <w:p w14:paraId="34602776" w14:textId="00ED0F1E" w:rsidR="00E561CC" w:rsidRPr="00AF3138" w:rsidRDefault="008E7279" w:rsidP="008E7279">
      <w:pPr>
        <w:rPr>
          <w:rFonts w:asciiTheme="minorHAnsi" w:hAnsiTheme="minorHAnsi" w:cstheme="minorHAnsi"/>
          <w:color w:val="000000"/>
          <w:lang w:val="en-GB"/>
        </w:rPr>
      </w:pPr>
      <w:r w:rsidRPr="00AF3138">
        <w:rPr>
          <w:rFonts w:asciiTheme="minorHAnsi" w:hAnsiTheme="minorHAnsi" w:cstheme="minorHAnsi"/>
          <w:color w:val="000000"/>
          <w:lang w:val="en-GB"/>
        </w:rPr>
        <w:br w:type="page"/>
      </w:r>
    </w:p>
    <w:p w14:paraId="0000000B" w14:textId="77777777" w:rsidR="00E561CC" w:rsidRPr="00AF3138" w:rsidRDefault="00000000" w:rsidP="008E7279">
      <w:pPr>
        <w:pStyle w:val="Heading1"/>
        <w:rPr>
          <w:lang w:val="en-GB"/>
        </w:rPr>
      </w:pPr>
      <w:bookmarkStart w:id="5" w:name="_Toc122446195"/>
      <w:r w:rsidRPr="00AF3138">
        <w:rPr>
          <w:lang w:val="en-GB"/>
        </w:rPr>
        <w:lastRenderedPageBreak/>
        <w:t>Arbitrary deprivation of Liberty</w:t>
      </w:r>
      <w:bookmarkEnd w:id="5"/>
    </w:p>
    <w:p w14:paraId="0000000C" w14:textId="326B4463" w:rsidR="00E561CC" w:rsidRPr="00AF3138" w:rsidRDefault="008E7279">
      <w:pPr>
        <w:ind w:left="360"/>
        <w:jc w:val="both"/>
        <w:rPr>
          <w:rFonts w:asciiTheme="minorHAnsi" w:hAnsiTheme="minorHAnsi" w:cstheme="minorHAnsi"/>
          <w:b/>
          <w:i/>
          <w:sz w:val="28"/>
          <w:szCs w:val="28"/>
          <w:lang w:val="en-GB"/>
        </w:rPr>
      </w:pPr>
      <w:r w:rsidRPr="00AF3138">
        <w:rPr>
          <w:rFonts w:asciiTheme="minorHAnsi" w:hAnsiTheme="minorHAnsi" w:cstheme="minorHAnsi"/>
          <w:b/>
          <w:i/>
          <w:sz w:val="28"/>
          <w:szCs w:val="28"/>
          <w:lang w:val="en-GB"/>
        </w:rPr>
        <w:t xml:space="preserve">(This section </w:t>
      </w:r>
      <w:r w:rsidR="00081C8E">
        <w:rPr>
          <w:rFonts w:asciiTheme="minorHAnsi" w:hAnsiTheme="minorHAnsi" w:cstheme="minorHAnsi"/>
          <w:b/>
          <w:i/>
          <w:sz w:val="28"/>
          <w:szCs w:val="28"/>
          <w:lang w:val="en-GB"/>
        </w:rPr>
        <w:t xml:space="preserve">addresses the alleged </w:t>
      </w:r>
      <w:r w:rsidRPr="00AF3138">
        <w:rPr>
          <w:rFonts w:asciiTheme="minorHAnsi" w:hAnsiTheme="minorHAnsi" w:cstheme="minorHAnsi"/>
          <w:b/>
          <w:i/>
          <w:sz w:val="28"/>
          <w:szCs w:val="28"/>
          <w:lang w:val="en-GB"/>
        </w:rPr>
        <w:t xml:space="preserve">violations </w:t>
      </w:r>
      <w:r w:rsidR="00081C8E">
        <w:rPr>
          <w:rFonts w:asciiTheme="minorHAnsi" w:hAnsiTheme="minorHAnsi" w:cstheme="minorHAnsi"/>
          <w:b/>
          <w:i/>
          <w:sz w:val="28"/>
          <w:szCs w:val="28"/>
          <w:lang w:val="en-GB"/>
        </w:rPr>
        <w:t>of</w:t>
      </w:r>
      <w:r w:rsidRPr="00AF3138">
        <w:rPr>
          <w:rFonts w:asciiTheme="minorHAnsi" w:hAnsiTheme="minorHAnsi" w:cstheme="minorHAnsi"/>
          <w:b/>
          <w:i/>
          <w:sz w:val="28"/>
          <w:szCs w:val="28"/>
          <w:lang w:val="en-GB"/>
        </w:rPr>
        <w:t xml:space="preserve"> Art 9; it also </w:t>
      </w:r>
      <w:r w:rsidR="00081C8E">
        <w:rPr>
          <w:rFonts w:asciiTheme="minorHAnsi" w:hAnsiTheme="minorHAnsi" w:cstheme="minorHAnsi"/>
          <w:b/>
          <w:i/>
          <w:sz w:val="28"/>
          <w:szCs w:val="28"/>
          <w:lang w:val="en-GB"/>
        </w:rPr>
        <w:t>claims a correlation between</w:t>
      </w:r>
      <w:r w:rsidRPr="00AF3138">
        <w:rPr>
          <w:rFonts w:asciiTheme="minorHAnsi" w:hAnsiTheme="minorHAnsi" w:cstheme="minorHAnsi"/>
          <w:b/>
          <w:i/>
          <w:sz w:val="28"/>
          <w:szCs w:val="28"/>
          <w:lang w:val="en-GB"/>
        </w:rPr>
        <w:t xml:space="preserve"> the relevant violations </w:t>
      </w:r>
      <w:r w:rsidR="00081C8E">
        <w:rPr>
          <w:rFonts w:asciiTheme="minorHAnsi" w:hAnsiTheme="minorHAnsi" w:cstheme="minorHAnsi"/>
          <w:b/>
          <w:i/>
          <w:sz w:val="28"/>
          <w:szCs w:val="28"/>
          <w:lang w:val="en-GB"/>
        </w:rPr>
        <w:t>and</w:t>
      </w:r>
      <w:r w:rsidRPr="00AF3138">
        <w:rPr>
          <w:rFonts w:asciiTheme="minorHAnsi" w:hAnsiTheme="minorHAnsi" w:cstheme="minorHAnsi"/>
          <w:b/>
          <w:i/>
          <w:sz w:val="28"/>
          <w:szCs w:val="28"/>
          <w:lang w:val="en-GB"/>
        </w:rPr>
        <w:t xml:space="preserve"> Art 2, 6, 7, 16, and 23.1 of the ICCPR)</w:t>
      </w:r>
    </w:p>
    <w:p w14:paraId="0000000D" w14:textId="77777777" w:rsidR="00E561CC" w:rsidRPr="00AF3138" w:rsidRDefault="00000000">
      <w:pPr>
        <w:numPr>
          <w:ilvl w:val="0"/>
          <w:numId w:val="1"/>
        </w:numPr>
        <w:jc w:val="both"/>
        <w:rPr>
          <w:rFonts w:asciiTheme="minorHAnsi" w:hAnsiTheme="minorHAnsi" w:cstheme="minorHAnsi"/>
          <w:lang w:val="en-GB"/>
        </w:rPr>
      </w:pPr>
      <w:r w:rsidRPr="00AF3138">
        <w:rPr>
          <w:rFonts w:asciiTheme="minorHAnsi" w:hAnsiTheme="minorHAnsi" w:cstheme="minorHAnsi"/>
          <w:lang w:val="en-GB"/>
        </w:rPr>
        <w:t>The concluding observations of the Committee in the second and third rounds of reporting refer to concerns about the situation of arbitrary detention and enforced disappearance under the state of emergency in Syria, in conjunction with the presence of the Supreme State Security Court, which the Committee found inconsistent with the provisions of the Covenant. Despite the lifting of the state of emergency and the abolition of this court, the Syrian authorities have normalized arbitrary detention, enforced disappearance, and unfair trials in contravention of the international obligations under the Covenant.</w:t>
      </w:r>
    </w:p>
    <w:p w14:paraId="0000000E" w14:textId="77777777" w:rsidR="00E561CC" w:rsidRPr="00AF3138" w:rsidRDefault="00000000" w:rsidP="008E7279">
      <w:pPr>
        <w:pStyle w:val="Heading2"/>
        <w:rPr>
          <w:lang w:val="en-GB"/>
        </w:rPr>
      </w:pPr>
      <w:bookmarkStart w:id="6" w:name="_heading=h.9wh0fhvlc1qa" w:colFirst="0" w:colLast="0"/>
      <w:bookmarkStart w:id="7" w:name="_Toc122446196"/>
      <w:bookmarkEnd w:id="6"/>
      <w:r w:rsidRPr="00AF3138">
        <w:rPr>
          <w:lang w:val="en-GB"/>
        </w:rPr>
        <w:t xml:space="preserve">The State's failure to </w:t>
      </w:r>
      <w:proofErr w:type="spellStart"/>
      <w:r w:rsidRPr="00AF3138">
        <w:rPr>
          <w:lang w:val="en-GB"/>
        </w:rPr>
        <w:t>fulfill</w:t>
      </w:r>
      <w:proofErr w:type="spellEnd"/>
      <w:r w:rsidRPr="00AF3138">
        <w:rPr>
          <w:lang w:val="en-GB"/>
        </w:rPr>
        <w:t xml:space="preserve"> its Negative Obligations</w:t>
      </w:r>
      <w:bookmarkEnd w:id="7"/>
      <w:r w:rsidRPr="00AF3138">
        <w:rPr>
          <w:lang w:val="en-GB"/>
        </w:rPr>
        <w:t xml:space="preserve"> </w:t>
      </w:r>
    </w:p>
    <w:p w14:paraId="0000000F"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Over the past decade, dozens of human rights reports indicated a widespread and systematic pattern of arbitrary arrests conducted by the State against its political opponents.</w:t>
      </w:r>
      <w:r w:rsidRPr="00AF3138">
        <w:rPr>
          <w:rFonts w:asciiTheme="minorHAnsi" w:hAnsiTheme="minorHAnsi" w:cstheme="minorHAnsi"/>
          <w:vertAlign w:val="superscript"/>
          <w:lang w:val="en-GB"/>
        </w:rPr>
        <w:footnoteReference w:id="1"/>
      </w:r>
      <w:r w:rsidRPr="00AF3138">
        <w:rPr>
          <w:rFonts w:asciiTheme="minorHAnsi" w:hAnsiTheme="minorHAnsi" w:cstheme="minorHAnsi"/>
          <w:lang w:val="en-GB"/>
        </w:rPr>
        <w:t xml:space="preserve"> The participating organizations and victim groups documented hundreds of cases of arbitrary deprivation of liberty, accompanied by other violations such as torture, enforced disappearances, and extrajudicial killings. </w:t>
      </w:r>
    </w:p>
    <w:p w14:paraId="00000010" w14:textId="66162D43" w:rsidR="00E561CC" w:rsidRPr="00AF3138" w:rsidRDefault="00000000">
      <w:pPr>
        <w:numPr>
          <w:ilvl w:val="0"/>
          <w:numId w:val="1"/>
        </w:numPr>
        <w:pBdr>
          <w:top w:val="nil"/>
          <w:left w:val="nil"/>
          <w:bottom w:val="nil"/>
          <w:right w:val="nil"/>
          <w:between w:val="nil"/>
        </w:pBdr>
        <w:spacing w:after="0"/>
        <w:jc w:val="both"/>
        <w:rPr>
          <w:rFonts w:asciiTheme="minorHAnsi" w:hAnsiTheme="minorHAnsi" w:cstheme="minorHAnsi"/>
          <w:lang w:val="en-GB"/>
        </w:rPr>
      </w:pPr>
      <w:r w:rsidRPr="00AF3138">
        <w:rPr>
          <w:rFonts w:asciiTheme="minorHAnsi" w:hAnsiTheme="minorHAnsi" w:cstheme="minorHAnsi"/>
          <w:lang w:val="en-GB"/>
        </w:rPr>
        <w:t xml:space="preserve">An example of the cases documented by the victims' groups participating in this submission is the case of arbitrarily arresting and forcibly disappearing four men for exercising their political and civil rights. A government-affiliated security patrol arrested the four men in 2012 from their home, with the support of a masked man who pointed them to the house. The victims' families tried to search for their loved ones, but they did not get confirmed information about their fate or whereabouts. In 2014, the families received unconfirmed news from one of the previously detained persons that he had heard of the presence of two of the victims in the Air Force Intelligence building at Mezzeh Airport. In 2019, one of the victims' families visited the Ministry of National Reconciliation and learned from a government official there that two victims were alive and waiting for their trials. Unfortunately, there was no clue of the employee’s statements’ validity, who failed to provide any new information about the victims later. In 2021, the family received news through a person close to the security forces that two of the victims were in District </w:t>
      </w:r>
      <w:r w:rsidRPr="00AF3138">
        <w:rPr>
          <w:rFonts w:asciiTheme="minorHAnsi" w:hAnsiTheme="minorHAnsi" w:cstheme="minorHAnsi"/>
          <w:lang w:val="en-GB"/>
        </w:rPr>
        <w:lastRenderedPageBreak/>
        <w:t xml:space="preserve">Branch No.227 and that one of the victims had passed away in 2016. </w:t>
      </w:r>
      <w:r w:rsidR="008E7279" w:rsidRPr="00AF3138">
        <w:rPr>
          <w:rFonts w:asciiTheme="minorHAnsi" w:hAnsiTheme="minorHAnsi" w:cstheme="minorHAnsi"/>
          <w:lang w:val="en-GB"/>
        </w:rPr>
        <w:t>Again,</w:t>
      </w:r>
      <w:r w:rsidRPr="00AF3138">
        <w:rPr>
          <w:rFonts w:asciiTheme="minorHAnsi" w:hAnsiTheme="minorHAnsi" w:cstheme="minorHAnsi"/>
          <w:lang w:val="en-GB"/>
        </w:rPr>
        <w:t xml:space="preserve"> there was no evidence that the person's information was genuine. Until the date of this submission, the families of the victims do not know the fate and whereabouts of their loved ones.</w:t>
      </w:r>
      <w:r w:rsidR="00992984">
        <w:rPr>
          <w:rStyle w:val="FootnoteReference"/>
          <w:rFonts w:asciiTheme="minorHAnsi" w:hAnsiTheme="minorHAnsi" w:cstheme="minorHAnsi"/>
          <w:lang w:val="en-GB"/>
        </w:rPr>
        <w:footnoteReference w:id="2"/>
      </w:r>
    </w:p>
    <w:p w14:paraId="00000011" w14:textId="76E3A50E" w:rsidR="00E561CC" w:rsidRPr="00AF3138" w:rsidRDefault="00000000">
      <w:pPr>
        <w:numPr>
          <w:ilvl w:val="0"/>
          <w:numId w:val="1"/>
        </w:numPr>
        <w:pBdr>
          <w:top w:val="nil"/>
          <w:left w:val="nil"/>
          <w:bottom w:val="nil"/>
          <w:right w:val="nil"/>
          <w:between w:val="nil"/>
        </w:pBdr>
        <w:spacing w:after="0"/>
        <w:jc w:val="both"/>
        <w:rPr>
          <w:rFonts w:asciiTheme="minorHAnsi" w:hAnsiTheme="minorHAnsi" w:cstheme="minorHAnsi"/>
          <w:lang w:val="en-GB"/>
        </w:rPr>
      </w:pPr>
      <w:r w:rsidRPr="00AF3138">
        <w:rPr>
          <w:rFonts w:asciiTheme="minorHAnsi" w:hAnsiTheme="minorHAnsi" w:cstheme="minorHAnsi"/>
          <w:lang w:val="en-GB"/>
        </w:rPr>
        <w:t xml:space="preserve">In another example, a master's student in dentistry, </w:t>
      </w:r>
      <w:proofErr w:type="spellStart"/>
      <w:r w:rsidRPr="00AF3138">
        <w:rPr>
          <w:rFonts w:asciiTheme="minorHAnsi" w:hAnsiTheme="minorHAnsi" w:cstheme="minorHAnsi"/>
          <w:lang w:val="en-GB"/>
        </w:rPr>
        <w:t>Ayham</w:t>
      </w:r>
      <w:proofErr w:type="spellEnd"/>
      <w:r w:rsidRPr="00AF3138">
        <w:rPr>
          <w:rFonts w:asciiTheme="minorHAnsi" w:hAnsiTheme="minorHAnsi" w:cstheme="minorHAnsi"/>
          <w:lang w:val="en-GB"/>
        </w:rPr>
        <w:t xml:space="preserve"> Al-</w:t>
      </w:r>
      <w:proofErr w:type="spellStart"/>
      <w:r w:rsidRPr="00AF3138">
        <w:rPr>
          <w:rFonts w:asciiTheme="minorHAnsi" w:hAnsiTheme="minorHAnsi" w:cstheme="minorHAnsi"/>
          <w:lang w:val="en-GB"/>
        </w:rPr>
        <w:t>Ghazoul</w:t>
      </w:r>
      <w:proofErr w:type="spellEnd"/>
      <w:r w:rsidRPr="00AF3138">
        <w:rPr>
          <w:rFonts w:asciiTheme="minorHAnsi" w:hAnsiTheme="minorHAnsi" w:cstheme="minorHAnsi"/>
          <w:lang w:val="en-GB"/>
        </w:rPr>
        <w:t xml:space="preserve">, was detained by members of the Students' Union at Damascus University on 5/11/2012. This union is affiliated with the governmental security sectors; it acts with the state's support and acquiescence. </w:t>
      </w:r>
      <w:r w:rsidR="00BD3E12" w:rsidRPr="00AF3138">
        <w:rPr>
          <w:rFonts w:asciiTheme="minorHAnsi" w:hAnsiTheme="minorHAnsi" w:cstheme="minorHAnsi"/>
          <w:lang w:val="en-GB"/>
        </w:rPr>
        <w:t>The Students</w:t>
      </w:r>
      <w:r w:rsidRPr="00AF3138">
        <w:rPr>
          <w:rFonts w:asciiTheme="minorHAnsi" w:hAnsiTheme="minorHAnsi" w:cstheme="minorHAnsi"/>
          <w:lang w:val="en-GB"/>
        </w:rPr>
        <w:t xml:space="preserve">' Union members detained </w:t>
      </w:r>
      <w:proofErr w:type="spellStart"/>
      <w:r w:rsidRPr="00AF3138">
        <w:rPr>
          <w:rFonts w:asciiTheme="minorHAnsi" w:hAnsiTheme="minorHAnsi" w:cstheme="minorHAnsi"/>
          <w:lang w:val="en-GB"/>
        </w:rPr>
        <w:t>Ayham</w:t>
      </w:r>
      <w:proofErr w:type="spellEnd"/>
      <w:r w:rsidRPr="00AF3138">
        <w:rPr>
          <w:rFonts w:asciiTheme="minorHAnsi" w:hAnsiTheme="minorHAnsi" w:cstheme="minorHAnsi"/>
          <w:lang w:val="en-GB"/>
        </w:rPr>
        <w:t xml:space="preserve"> in a room belonging to the university administration. They inflicted various forms of torture and ill-treatment on </w:t>
      </w:r>
      <w:proofErr w:type="spellStart"/>
      <w:r w:rsidRPr="00AF3138">
        <w:rPr>
          <w:rFonts w:asciiTheme="minorHAnsi" w:hAnsiTheme="minorHAnsi" w:cstheme="minorHAnsi"/>
          <w:lang w:val="en-GB"/>
        </w:rPr>
        <w:t>Ayham</w:t>
      </w:r>
      <w:proofErr w:type="spellEnd"/>
      <w:r w:rsidRPr="00AF3138">
        <w:rPr>
          <w:rFonts w:asciiTheme="minorHAnsi" w:hAnsiTheme="minorHAnsi" w:cstheme="minorHAnsi"/>
          <w:lang w:val="en-GB"/>
        </w:rPr>
        <w:t xml:space="preserve"> before handing him over to Military Security Branch No. 215, according to the testimony of the victim's colleagues at the scene. </w:t>
      </w:r>
      <w:proofErr w:type="spellStart"/>
      <w:r w:rsidRPr="00AF3138">
        <w:rPr>
          <w:rFonts w:asciiTheme="minorHAnsi" w:hAnsiTheme="minorHAnsi" w:cstheme="minorHAnsi"/>
          <w:lang w:val="en-GB"/>
        </w:rPr>
        <w:t>Ayham's</w:t>
      </w:r>
      <w:proofErr w:type="spellEnd"/>
      <w:r w:rsidRPr="00AF3138">
        <w:rPr>
          <w:rFonts w:asciiTheme="minorHAnsi" w:hAnsiTheme="minorHAnsi" w:cstheme="minorHAnsi"/>
          <w:lang w:val="en-GB"/>
        </w:rPr>
        <w:t xml:space="preserve"> mother learned from one of the former detainees that </w:t>
      </w:r>
      <w:proofErr w:type="spellStart"/>
      <w:r w:rsidRPr="00AF3138">
        <w:rPr>
          <w:rFonts w:asciiTheme="minorHAnsi" w:hAnsiTheme="minorHAnsi" w:cstheme="minorHAnsi"/>
          <w:lang w:val="en-GB"/>
        </w:rPr>
        <w:t>Ayham</w:t>
      </w:r>
      <w:proofErr w:type="spellEnd"/>
      <w:r w:rsidRPr="00AF3138">
        <w:rPr>
          <w:rFonts w:asciiTheme="minorHAnsi" w:hAnsiTheme="minorHAnsi" w:cstheme="minorHAnsi"/>
          <w:lang w:val="en-GB"/>
        </w:rPr>
        <w:t xml:space="preserve"> had died five days after his arrest due to bleeding and severe beatings. The mother tried hard to reach confirmation of her son's death; she approached the Military Police branch in Damascus, and then she was referred to Tishreen Military Hospital, where she obtained a death certificate for her son, </w:t>
      </w:r>
      <w:proofErr w:type="spellStart"/>
      <w:r w:rsidRPr="00AF3138">
        <w:rPr>
          <w:rFonts w:asciiTheme="minorHAnsi" w:hAnsiTheme="minorHAnsi" w:cstheme="minorHAnsi"/>
          <w:lang w:val="en-GB"/>
        </w:rPr>
        <w:t>Ayham</w:t>
      </w:r>
      <w:proofErr w:type="spellEnd"/>
      <w:r w:rsidRPr="00AF3138">
        <w:rPr>
          <w:rFonts w:asciiTheme="minorHAnsi" w:hAnsiTheme="minorHAnsi" w:cstheme="minorHAnsi"/>
          <w:lang w:val="en-GB"/>
        </w:rPr>
        <w:t xml:space="preserve">. However, the concerned authorities did not hand over </w:t>
      </w:r>
      <w:proofErr w:type="spellStart"/>
      <w:r w:rsidRPr="00AF3138">
        <w:rPr>
          <w:rFonts w:asciiTheme="minorHAnsi" w:hAnsiTheme="minorHAnsi" w:cstheme="minorHAnsi"/>
          <w:lang w:val="en-GB"/>
        </w:rPr>
        <w:t>Ayham's</w:t>
      </w:r>
      <w:proofErr w:type="spellEnd"/>
      <w:r w:rsidRPr="00AF3138">
        <w:rPr>
          <w:rFonts w:asciiTheme="minorHAnsi" w:hAnsiTheme="minorHAnsi" w:cstheme="minorHAnsi"/>
          <w:lang w:val="en-GB"/>
        </w:rPr>
        <w:t xml:space="preserve"> body to his family, and the mother did not see her son's corpse, which kept her hoping that he was alive. This hope continued until she </w:t>
      </w:r>
      <w:r w:rsidR="00BD3E12" w:rsidRPr="00AF3138">
        <w:rPr>
          <w:rFonts w:asciiTheme="minorHAnsi" w:hAnsiTheme="minorHAnsi" w:cstheme="minorHAnsi"/>
          <w:lang w:val="en-GB"/>
        </w:rPr>
        <w:t>recognized</w:t>
      </w:r>
      <w:r w:rsidRPr="00AF3138">
        <w:rPr>
          <w:rFonts w:asciiTheme="minorHAnsi" w:hAnsiTheme="minorHAnsi" w:cstheme="minorHAnsi"/>
          <w:lang w:val="en-GB"/>
        </w:rPr>
        <w:t xml:space="preserve"> a picture of her son's body among the photos leaked by the dissident military photographer, nicknamed </w:t>
      </w:r>
      <w:proofErr w:type="spellStart"/>
      <w:r w:rsidRPr="00AF3138">
        <w:rPr>
          <w:rFonts w:asciiTheme="minorHAnsi" w:hAnsiTheme="minorHAnsi" w:cstheme="minorHAnsi"/>
          <w:lang w:val="en-GB"/>
        </w:rPr>
        <w:t>Ceaser</w:t>
      </w:r>
      <w:proofErr w:type="spellEnd"/>
      <w:r w:rsidRPr="00AF3138">
        <w:rPr>
          <w:rFonts w:asciiTheme="minorHAnsi" w:hAnsiTheme="minorHAnsi" w:cstheme="minorHAnsi"/>
          <w:lang w:val="en-GB"/>
        </w:rPr>
        <w:t>, in 2015. The branch's number (215) was written on the body.</w:t>
      </w:r>
      <w:r w:rsidR="00992984">
        <w:rPr>
          <w:rStyle w:val="FootnoteReference"/>
          <w:rFonts w:asciiTheme="minorHAnsi" w:hAnsiTheme="minorHAnsi" w:cstheme="minorHAnsi"/>
          <w:lang w:val="en-GB"/>
        </w:rPr>
        <w:footnoteReference w:id="3"/>
      </w:r>
    </w:p>
    <w:p w14:paraId="00000012" w14:textId="7F4F17C5" w:rsidR="00E561CC" w:rsidRPr="00AF3138" w:rsidRDefault="00000000">
      <w:pPr>
        <w:numPr>
          <w:ilvl w:val="0"/>
          <w:numId w:val="1"/>
        </w:numPr>
        <w:pBdr>
          <w:top w:val="nil"/>
          <w:left w:val="nil"/>
          <w:bottom w:val="nil"/>
          <w:right w:val="nil"/>
          <w:between w:val="nil"/>
        </w:pBdr>
        <w:spacing w:after="0"/>
        <w:jc w:val="both"/>
        <w:rPr>
          <w:rFonts w:asciiTheme="minorHAnsi" w:hAnsiTheme="minorHAnsi" w:cstheme="minorHAnsi"/>
          <w:lang w:val="en-GB"/>
        </w:rPr>
      </w:pPr>
      <w:r w:rsidRPr="00AF3138">
        <w:rPr>
          <w:rFonts w:asciiTheme="minorHAnsi" w:hAnsiTheme="minorHAnsi" w:cstheme="minorHAnsi"/>
          <w:lang w:val="en-GB"/>
        </w:rPr>
        <w:t xml:space="preserve">Another example would be the case of </w:t>
      </w:r>
      <w:proofErr w:type="spellStart"/>
      <w:r w:rsidRPr="00AF3138">
        <w:rPr>
          <w:rFonts w:asciiTheme="minorHAnsi" w:hAnsiTheme="minorHAnsi" w:cstheme="minorHAnsi"/>
          <w:lang w:val="en-GB"/>
        </w:rPr>
        <w:t>Uqba</w:t>
      </w:r>
      <w:proofErr w:type="spellEnd"/>
      <w:r w:rsidRPr="00AF3138">
        <w:rPr>
          <w:rFonts w:asciiTheme="minorHAnsi" w:hAnsiTheme="minorHAnsi" w:cstheme="minorHAnsi"/>
          <w:lang w:val="en-GB"/>
        </w:rPr>
        <w:t xml:space="preserve"> Al-</w:t>
      </w:r>
      <w:proofErr w:type="spellStart"/>
      <w:r w:rsidRPr="00AF3138">
        <w:rPr>
          <w:rFonts w:asciiTheme="minorHAnsi" w:hAnsiTheme="minorHAnsi" w:cstheme="minorHAnsi"/>
          <w:lang w:val="en-GB"/>
        </w:rPr>
        <w:t>Mashaan</w:t>
      </w:r>
      <w:proofErr w:type="spellEnd"/>
      <w:r w:rsidRPr="00AF3138">
        <w:rPr>
          <w:rFonts w:asciiTheme="minorHAnsi" w:hAnsiTheme="minorHAnsi" w:cstheme="minorHAnsi"/>
          <w:lang w:val="en-GB"/>
        </w:rPr>
        <w:t xml:space="preserve">, who was arrested on 28/03/2012 in Al-Bu Omar district of Deir Ezzor by one of the pro-government factions affiliated with the Baath Party (the ruling party in Syria). The faction handed the victim over to the Air Security Branch in the area after they shot the victim in the foot because he refused to be arrested by them. </w:t>
      </w:r>
      <w:proofErr w:type="spellStart"/>
      <w:r w:rsidRPr="00AF3138">
        <w:rPr>
          <w:rFonts w:asciiTheme="minorHAnsi" w:hAnsiTheme="minorHAnsi" w:cstheme="minorHAnsi"/>
          <w:lang w:val="en-GB"/>
        </w:rPr>
        <w:t>Uqba's</w:t>
      </w:r>
      <w:proofErr w:type="spellEnd"/>
      <w:r w:rsidRPr="00AF3138">
        <w:rPr>
          <w:rFonts w:asciiTheme="minorHAnsi" w:hAnsiTheme="minorHAnsi" w:cstheme="minorHAnsi"/>
          <w:lang w:val="en-GB"/>
        </w:rPr>
        <w:t xml:space="preserve"> uncle contacted the secretary of the Ba'ath Party branch in the district, who assured him that </w:t>
      </w:r>
      <w:proofErr w:type="spellStart"/>
      <w:r w:rsidRPr="00AF3138">
        <w:rPr>
          <w:rFonts w:asciiTheme="minorHAnsi" w:hAnsiTheme="minorHAnsi" w:cstheme="minorHAnsi"/>
          <w:lang w:val="en-GB"/>
        </w:rPr>
        <w:t>Uqba</w:t>
      </w:r>
      <w:proofErr w:type="spellEnd"/>
      <w:r w:rsidRPr="00AF3138">
        <w:rPr>
          <w:rFonts w:asciiTheme="minorHAnsi" w:hAnsiTheme="minorHAnsi" w:cstheme="minorHAnsi"/>
          <w:lang w:val="en-GB"/>
        </w:rPr>
        <w:t xml:space="preserve"> was at the Air Security Branch because his name was </w:t>
      </w:r>
      <w:proofErr w:type="gramStart"/>
      <w:r w:rsidRPr="00AF3138">
        <w:rPr>
          <w:rFonts w:asciiTheme="minorHAnsi" w:hAnsiTheme="minorHAnsi" w:cstheme="minorHAnsi"/>
          <w:lang w:val="en-GB"/>
        </w:rPr>
        <w:t>similar to</w:t>
      </w:r>
      <w:proofErr w:type="gramEnd"/>
      <w:r w:rsidRPr="00AF3138">
        <w:rPr>
          <w:rFonts w:asciiTheme="minorHAnsi" w:hAnsiTheme="minorHAnsi" w:cstheme="minorHAnsi"/>
          <w:lang w:val="en-GB"/>
        </w:rPr>
        <w:t xml:space="preserve"> that of a wanted dissident officer. </w:t>
      </w:r>
      <w:r w:rsidR="008E7279" w:rsidRPr="00AF3138">
        <w:rPr>
          <w:rFonts w:asciiTheme="minorHAnsi" w:hAnsiTheme="minorHAnsi" w:cstheme="minorHAnsi"/>
          <w:lang w:val="en-GB"/>
        </w:rPr>
        <w:t>Therefore,</w:t>
      </w:r>
      <w:r w:rsidRPr="00AF3138">
        <w:rPr>
          <w:rFonts w:asciiTheme="minorHAnsi" w:hAnsiTheme="minorHAnsi" w:cstheme="minorHAnsi"/>
          <w:lang w:val="en-GB"/>
        </w:rPr>
        <w:t xml:space="preserve"> </w:t>
      </w:r>
      <w:proofErr w:type="spellStart"/>
      <w:r w:rsidRPr="00AF3138">
        <w:rPr>
          <w:rFonts w:asciiTheme="minorHAnsi" w:hAnsiTheme="minorHAnsi" w:cstheme="minorHAnsi"/>
          <w:lang w:val="en-GB"/>
        </w:rPr>
        <w:t>Uqba's</w:t>
      </w:r>
      <w:proofErr w:type="spellEnd"/>
      <w:r w:rsidRPr="00AF3138">
        <w:rPr>
          <w:rFonts w:asciiTheme="minorHAnsi" w:hAnsiTheme="minorHAnsi" w:cstheme="minorHAnsi"/>
          <w:lang w:val="en-GB"/>
        </w:rPr>
        <w:t xml:space="preserve"> detention was temporary </w:t>
      </w:r>
      <w:proofErr w:type="gramStart"/>
      <w:r w:rsidRPr="00AF3138">
        <w:rPr>
          <w:rFonts w:asciiTheme="minorHAnsi" w:hAnsiTheme="minorHAnsi" w:cstheme="minorHAnsi"/>
          <w:lang w:val="en-GB"/>
        </w:rPr>
        <w:t>in order to</w:t>
      </w:r>
      <w:proofErr w:type="gramEnd"/>
      <w:r w:rsidRPr="00AF3138">
        <w:rPr>
          <w:rFonts w:asciiTheme="minorHAnsi" w:hAnsiTheme="minorHAnsi" w:cstheme="minorHAnsi"/>
          <w:lang w:val="en-GB"/>
        </w:rPr>
        <w:t xml:space="preserve"> verify that he was not the wanted person. However, </w:t>
      </w:r>
      <w:proofErr w:type="spellStart"/>
      <w:r w:rsidRPr="00AF3138">
        <w:rPr>
          <w:rFonts w:asciiTheme="minorHAnsi" w:hAnsiTheme="minorHAnsi" w:cstheme="minorHAnsi"/>
          <w:lang w:val="en-GB"/>
        </w:rPr>
        <w:t>Uqba</w:t>
      </w:r>
      <w:proofErr w:type="spellEnd"/>
      <w:r w:rsidRPr="00AF3138">
        <w:rPr>
          <w:rFonts w:asciiTheme="minorHAnsi" w:hAnsiTheme="minorHAnsi" w:cstheme="minorHAnsi"/>
          <w:lang w:val="en-GB"/>
        </w:rPr>
        <w:t xml:space="preserve"> was not released shortly. His mother sent a written request to the Minister of Justice inquiring about her son, but the response was that they had no information about </w:t>
      </w:r>
      <w:proofErr w:type="spellStart"/>
      <w:r w:rsidRPr="00AF3138">
        <w:rPr>
          <w:rFonts w:asciiTheme="minorHAnsi" w:hAnsiTheme="minorHAnsi" w:cstheme="minorHAnsi"/>
          <w:lang w:val="en-GB"/>
        </w:rPr>
        <w:t>Uqba</w:t>
      </w:r>
      <w:proofErr w:type="spellEnd"/>
      <w:r w:rsidRPr="00AF3138">
        <w:rPr>
          <w:rFonts w:asciiTheme="minorHAnsi" w:hAnsiTheme="minorHAnsi" w:cstheme="minorHAnsi"/>
          <w:lang w:val="en-GB"/>
        </w:rPr>
        <w:t xml:space="preserve">. Finally, on 15/03/2015, the family recognized a photo of </w:t>
      </w:r>
      <w:proofErr w:type="spellStart"/>
      <w:r w:rsidRPr="00AF3138">
        <w:rPr>
          <w:rFonts w:asciiTheme="minorHAnsi" w:hAnsiTheme="minorHAnsi" w:cstheme="minorHAnsi"/>
          <w:lang w:val="en-GB"/>
        </w:rPr>
        <w:t>Uqba's</w:t>
      </w:r>
      <w:proofErr w:type="spellEnd"/>
      <w:r w:rsidRPr="00AF3138">
        <w:rPr>
          <w:rFonts w:asciiTheme="minorHAnsi" w:hAnsiTheme="minorHAnsi" w:cstheme="minorHAnsi"/>
          <w:lang w:val="en-GB"/>
        </w:rPr>
        <w:t xml:space="preserve"> corpse among the photos leaked by the dissident military photographer, nicknamed </w:t>
      </w:r>
      <w:proofErr w:type="spellStart"/>
      <w:r w:rsidRPr="00AF3138">
        <w:rPr>
          <w:rFonts w:asciiTheme="minorHAnsi" w:hAnsiTheme="minorHAnsi" w:cstheme="minorHAnsi"/>
          <w:lang w:val="en-GB"/>
        </w:rPr>
        <w:t>Ceaser</w:t>
      </w:r>
      <w:proofErr w:type="spellEnd"/>
      <w:r w:rsidRPr="00AF3138">
        <w:rPr>
          <w:rFonts w:asciiTheme="minorHAnsi" w:hAnsiTheme="minorHAnsi" w:cstheme="minorHAnsi"/>
          <w:lang w:val="en-GB"/>
        </w:rPr>
        <w:t>.</w:t>
      </w:r>
      <w:r w:rsidR="00992984">
        <w:rPr>
          <w:rStyle w:val="FootnoteReference"/>
          <w:rFonts w:asciiTheme="minorHAnsi" w:hAnsiTheme="minorHAnsi" w:cstheme="minorHAnsi"/>
          <w:lang w:val="en-GB"/>
        </w:rPr>
        <w:footnoteReference w:id="4"/>
      </w:r>
    </w:p>
    <w:p w14:paraId="00000013" w14:textId="6888B4E1"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lastRenderedPageBreak/>
        <w:t>The Independent International Commission of Inquiry on Syria (</w:t>
      </w:r>
      <w:proofErr w:type="spellStart"/>
      <w:r w:rsidRPr="00AF3138">
        <w:rPr>
          <w:rFonts w:asciiTheme="minorHAnsi" w:eastAsia="Calibri" w:hAnsiTheme="minorHAnsi" w:cstheme="minorHAnsi"/>
          <w:color w:val="000000"/>
          <w:lang w:val="en-GB"/>
        </w:rPr>
        <w:t>CoI</w:t>
      </w:r>
      <w:proofErr w:type="spellEnd"/>
      <w:r w:rsidRPr="00AF3138">
        <w:rPr>
          <w:rFonts w:asciiTheme="minorHAnsi" w:eastAsia="Calibri" w:hAnsiTheme="minorHAnsi" w:cstheme="minorHAnsi"/>
          <w:color w:val="000000"/>
          <w:lang w:val="en-GB"/>
        </w:rPr>
        <w:t>) indicates that arbitrary detentions and the accompanying violations during the period of detention were committed by all parties, especially the Syrian government, as a form of systematic policy that it is impossible to occur without the awareness of the competent chain of command. Arbitrary detention was carried out in various forms, such as mass arrests of demonstrators</w:t>
      </w:r>
      <w:r w:rsidRPr="00AF3138">
        <w:rPr>
          <w:rFonts w:asciiTheme="minorHAnsi" w:hAnsiTheme="minorHAnsi" w:cstheme="minorHAnsi"/>
          <w:lang w:val="en-GB"/>
        </w:rPr>
        <w:t xml:space="preserve">, </w:t>
      </w:r>
      <w:r w:rsidRPr="00AF3138">
        <w:rPr>
          <w:rFonts w:asciiTheme="minorHAnsi" w:eastAsia="Calibri" w:hAnsiTheme="minorHAnsi" w:cstheme="minorHAnsi"/>
          <w:color w:val="000000"/>
          <w:lang w:val="en-GB"/>
        </w:rPr>
        <w:t xml:space="preserve">during military operations, </w:t>
      </w:r>
      <w:r w:rsidRPr="00AF3138">
        <w:rPr>
          <w:rFonts w:asciiTheme="minorHAnsi" w:hAnsiTheme="minorHAnsi" w:cstheme="minorHAnsi"/>
          <w:lang w:val="en-GB"/>
        </w:rPr>
        <w:t>and</w:t>
      </w:r>
      <w:r w:rsidRPr="00AF3138">
        <w:rPr>
          <w:rFonts w:asciiTheme="minorHAnsi" w:eastAsia="Calibri" w:hAnsiTheme="minorHAnsi" w:cstheme="minorHAnsi"/>
          <w:color w:val="000000"/>
          <w:lang w:val="en-GB"/>
        </w:rPr>
        <w:t xml:space="preserve"> arrests at borders and checkpoints. Arbitrary arrests have included human rights defenders, males of military service age, humanitarian workers, relatives of wanted individuals and other state opponents, women, men, girls and boy</w:t>
      </w:r>
      <w:r w:rsidRPr="00AF3138">
        <w:rPr>
          <w:rFonts w:asciiTheme="minorHAnsi" w:hAnsiTheme="minorHAnsi" w:cstheme="minorHAnsi"/>
          <w:lang w:val="en-GB"/>
        </w:rPr>
        <w:t>s</w:t>
      </w:r>
      <w:r w:rsidRPr="00AF3138">
        <w:rPr>
          <w:rFonts w:asciiTheme="minorHAnsi" w:eastAsia="Calibri" w:hAnsiTheme="minorHAnsi" w:cstheme="minorHAnsi"/>
          <w:color w:val="000000"/>
          <w:lang w:val="en-GB"/>
        </w:rPr>
        <w:t>.</w:t>
      </w:r>
      <w:r w:rsidRPr="00AF3138">
        <w:rPr>
          <w:rFonts w:asciiTheme="minorHAnsi" w:eastAsia="Calibri" w:hAnsiTheme="minorHAnsi" w:cstheme="minorHAnsi"/>
          <w:color w:val="000000"/>
          <w:vertAlign w:val="superscript"/>
          <w:lang w:val="en-GB"/>
        </w:rPr>
        <w:footnoteReference w:id="5"/>
      </w:r>
      <w:r w:rsidRPr="00AF3138">
        <w:rPr>
          <w:rFonts w:asciiTheme="minorHAnsi" w:eastAsia="Calibri" w:hAnsiTheme="minorHAnsi" w:cstheme="minorHAnsi"/>
          <w:color w:val="000000"/>
          <w:vertAlign w:val="superscript"/>
          <w:lang w:val="en-GB"/>
        </w:rPr>
        <w:t xml:space="preserve"> </w:t>
      </w:r>
      <w:r w:rsidRPr="00AF3138">
        <w:rPr>
          <w:rFonts w:asciiTheme="minorHAnsi" w:hAnsiTheme="minorHAnsi" w:cstheme="minorHAnsi"/>
          <w:lang w:val="en-GB"/>
        </w:rPr>
        <w:t>In other words, an</w:t>
      </w:r>
      <w:r w:rsidRPr="00AF3138">
        <w:rPr>
          <w:rFonts w:asciiTheme="minorHAnsi" w:eastAsia="Roboto" w:hAnsiTheme="minorHAnsi" w:cstheme="minorHAnsi"/>
          <w:sz w:val="21"/>
          <w:szCs w:val="21"/>
          <w:lang w:val="en-GB"/>
        </w:rPr>
        <w:t xml:space="preserve">yone and everyone could be a victim of </w:t>
      </w:r>
      <w:r w:rsidR="00BD3E12" w:rsidRPr="00AF3138">
        <w:rPr>
          <w:rFonts w:asciiTheme="minorHAnsi" w:eastAsia="Roboto" w:hAnsiTheme="minorHAnsi" w:cstheme="minorHAnsi"/>
          <w:sz w:val="21"/>
          <w:szCs w:val="21"/>
          <w:lang w:val="en-GB"/>
        </w:rPr>
        <w:t>arbitrary</w:t>
      </w:r>
      <w:r w:rsidRPr="00AF3138">
        <w:rPr>
          <w:rFonts w:asciiTheme="minorHAnsi" w:eastAsia="Roboto" w:hAnsiTheme="minorHAnsi" w:cstheme="minorHAnsi"/>
          <w:sz w:val="21"/>
          <w:szCs w:val="21"/>
          <w:lang w:val="en-GB"/>
        </w:rPr>
        <w:t xml:space="preserve"> arrest. </w:t>
      </w:r>
    </w:p>
    <w:p w14:paraId="00000014" w14:textId="77777777" w:rsidR="00E561CC" w:rsidRPr="00AF3138" w:rsidRDefault="00000000" w:rsidP="008E7279">
      <w:pPr>
        <w:pStyle w:val="Heading2"/>
        <w:rPr>
          <w:lang w:val="en-GB"/>
        </w:rPr>
      </w:pPr>
      <w:bookmarkStart w:id="8" w:name="_Toc122446197"/>
      <w:r w:rsidRPr="00AF3138">
        <w:rPr>
          <w:lang w:val="en-GB"/>
        </w:rPr>
        <w:t xml:space="preserve">The State's failure to </w:t>
      </w:r>
      <w:proofErr w:type="spellStart"/>
      <w:r w:rsidRPr="00AF3138">
        <w:rPr>
          <w:lang w:val="en-GB"/>
        </w:rPr>
        <w:t>fulfill</w:t>
      </w:r>
      <w:proofErr w:type="spellEnd"/>
      <w:r w:rsidRPr="00AF3138">
        <w:rPr>
          <w:lang w:val="en-GB"/>
        </w:rPr>
        <w:t xml:space="preserve"> its Positive Obligations</w:t>
      </w:r>
      <w:bookmarkEnd w:id="8"/>
      <w:r w:rsidRPr="00AF3138">
        <w:rPr>
          <w:lang w:val="en-GB"/>
        </w:rPr>
        <w:t xml:space="preserve"> </w:t>
      </w:r>
    </w:p>
    <w:p w14:paraId="00000016"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Committee concluded the last two reporting cycles with concerns of </w:t>
      </w:r>
      <w:r w:rsidRPr="00AF3138">
        <w:rPr>
          <w:rFonts w:asciiTheme="minorHAnsi" w:hAnsiTheme="minorHAnsi" w:cstheme="minorHAnsi"/>
          <w:lang w:val="en-GB"/>
        </w:rPr>
        <w:t xml:space="preserve">continuous </w:t>
      </w:r>
      <w:r w:rsidRPr="00AF3138">
        <w:rPr>
          <w:rFonts w:asciiTheme="minorHAnsi" w:eastAsia="Calibri" w:hAnsiTheme="minorHAnsi" w:cstheme="minorHAnsi"/>
          <w:color w:val="000000"/>
          <w:lang w:val="en-GB"/>
        </w:rPr>
        <w:t xml:space="preserve">torture and </w:t>
      </w:r>
      <w:r w:rsidRPr="00AF3138">
        <w:rPr>
          <w:rFonts w:asciiTheme="minorHAnsi" w:hAnsiTheme="minorHAnsi" w:cstheme="minorHAnsi"/>
          <w:lang w:val="en-GB"/>
        </w:rPr>
        <w:t>ill-treatment</w:t>
      </w:r>
      <w:r w:rsidRPr="00AF3138">
        <w:rPr>
          <w:rFonts w:asciiTheme="minorHAnsi" w:eastAsia="Calibri" w:hAnsiTheme="minorHAnsi" w:cstheme="minorHAnsi"/>
          <w:color w:val="000000"/>
          <w:lang w:val="en-GB"/>
        </w:rPr>
        <w:t xml:space="preserve"> during the prolonged incommunicado detention by the security or intelligence services. Therefore, the committee recommended that “the State party should take firm measures to stop the use of incommunicado detention and eradicate all forms of torture and cruel, inhuman or degrading treatment or punishment by law enforcement officials, and ensure prompt, thorough, and impartial investigations by an independent mechanism into all allegations of torture and ill-treatment, prosecute and punish perpetrators, and provide effective remedies and rehabilitation to the victims". It also recommended in 2001 that " </w:t>
      </w: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 xml:space="preserve">he State party should review its legislation </w:t>
      </w:r>
      <w:proofErr w:type="gramStart"/>
      <w:r w:rsidRPr="00AF3138">
        <w:rPr>
          <w:rFonts w:asciiTheme="minorHAnsi" w:eastAsia="Calibri" w:hAnsiTheme="minorHAnsi" w:cstheme="minorHAnsi"/>
          <w:color w:val="000000"/>
          <w:lang w:val="en-GB"/>
        </w:rPr>
        <w:t>in order to</w:t>
      </w:r>
      <w:proofErr w:type="gramEnd"/>
      <w:r w:rsidRPr="00AF3138">
        <w:rPr>
          <w:rFonts w:asciiTheme="minorHAnsi" w:eastAsia="Calibri" w:hAnsiTheme="minorHAnsi" w:cstheme="minorHAnsi"/>
          <w:color w:val="000000"/>
          <w:lang w:val="en-GB"/>
        </w:rPr>
        <w:t xml:space="preserve"> render it compatible with all the provisions of the Covenant. The Committee wishes to receive from the State party more precise information about the number of cases in which the Covenant was in fact invoked before the Syrian courts." However, the State did not apply any of these recommendations. On the contrary, it enacted </w:t>
      </w:r>
      <w:r w:rsidRPr="00AF3138">
        <w:rPr>
          <w:rFonts w:asciiTheme="minorHAnsi" w:hAnsiTheme="minorHAnsi" w:cstheme="minorHAnsi"/>
          <w:lang w:val="en-GB"/>
        </w:rPr>
        <w:t xml:space="preserve">a </w:t>
      </w:r>
      <w:r w:rsidRPr="00AF3138">
        <w:rPr>
          <w:rFonts w:asciiTheme="minorHAnsi" w:eastAsia="Calibri" w:hAnsiTheme="minorHAnsi" w:cstheme="minorHAnsi"/>
          <w:color w:val="000000"/>
          <w:lang w:val="en-GB"/>
        </w:rPr>
        <w:t xml:space="preserve">new law that </w:t>
      </w:r>
      <w:r w:rsidRPr="00AF3138">
        <w:rPr>
          <w:rFonts w:asciiTheme="minorHAnsi" w:hAnsiTheme="minorHAnsi" w:cstheme="minorHAnsi"/>
          <w:lang w:val="en-GB"/>
        </w:rPr>
        <w:t>legalized</w:t>
      </w:r>
      <w:r w:rsidRPr="00AF3138">
        <w:rPr>
          <w:rFonts w:asciiTheme="minorHAnsi" w:eastAsia="Calibri" w:hAnsiTheme="minorHAnsi" w:cstheme="minorHAnsi"/>
          <w:color w:val="000000"/>
          <w:lang w:val="en-GB"/>
        </w:rPr>
        <w:t xml:space="preserve"> prolonging the period of pre-trial detention and abstained from </w:t>
      </w:r>
      <w:r w:rsidRPr="00AF3138">
        <w:rPr>
          <w:rFonts w:asciiTheme="minorHAnsi" w:hAnsiTheme="minorHAnsi" w:cstheme="minorHAnsi"/>
          <w:lang w:val="en-GB"/>
        </w:rPr>
        <w:t>criminalizing</w:t>
      </w:r>
      <w:r w:rsidRPr="00AF3138">
        <w:rPr>
          <w:rFonts w:asciiTheme="minorHAnsi" w:eastAsia="Calibri" w:hAnsiTheme="minorHAnsi" w:cstheme="minorHAnsi"/>
          <w:color w:val="000000"/>
          <w:lang w:val="en-GB"/>
        </w:rPr>
        <w:t xml:space="preserve"> enforced disappearance as an </w:t>
      </w:r>
      <w:r w:rsidRPr="00AF3138">
        <w:rPr>
          <w:rFonts w:asciiTheme="minorHAnsi" w:hAnsiTheme="minorHAnsi" w:cstheme="minorHAnsi"/>
          <w:lang w:val="en-GB"/>
        </w:rPr>
        <w:t>autonomous</w:t>
      </w:r>
      <w:r w:rsidRPr="00AF3138">
        <w:rPr>
          <w:rFonts w:asciiTheme="minorHAnsi" w:eastAsia="Calibri" w:hAnsiTheme="minorHAnsi" w:cstheme="minorHAnsi"/>
          <w:color w:val="000000"/>
          <w:lang w:val="en-GB"/>
        </w:rPr>
        <w:t xml:space="preserve"> crime.</w:t>
      </w:r>
    </w:p>
    <w:p w14:paraId="00000017" w14:textId="77777777" w:rsidR="00E561CC" w:rsidRPr="00AF3138" w:rsidRDefault="00000000" w:rsidP="008E7279">
      <w:pPr>
        <w:pStyle w:val="Heading3"/>
        <w:rPr>
          <w:lang w:val="en-GB"/>
        </w:rPr>
      </w:pPr>
      <w:bookmarkStart w:id="9" w:name="_Toc122446198"/>
      <w:r w:rsidRPr="00AF3138">
        <w:rPr>
          <w:lang w:val="en-GB"/>
        </w:rPr>
        <w:t>The State legalized arbitrary arrest and normalized the exception</w:t>
      </w:r>
      <w:bookmarkEnd w:id="9"/>
    </w:p>
    <w:p w14:paraId="00000018"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general principles of criminal procedures in Syria oblige the competent authorities to bring the arrested person before the investigative judge within a period of 24 hours. However, following the lifting of the state of emergency in Syria, a legislative decree No 55/2011 was issued, amending the </w:t>
      </w:r>
      <w:proofErr w:type="gramStart"/>
      <w:r w:rsidRPr="00AF3138">
        <w:rPr>
          <w:rFonts w:asciiTheme="minorHAnsi" w:eastAsia="Calibri" w:hAnsiTheme="minorHAnsi" w:cstheme="minorHAnsi"/>
          <w:color w:val="000000"/>
          <w:lang w:val="en-GB"/>
        </w:rPr>
        <w:t>aforementioned general</w:t>
      </w:r>
      <w:proofErr w:type="gramEnd"/>
      <w:r w:rsidRPr="00AF3138">
        <w:rPr>
          <w:rFonts w:asciiTheme="minorHAnsi" w:eastAsia="Calibri" w:hAnsiTheme="minorHAnsi" w:cstheme="minorHAnsi"/>
          <w:color w:val="000000"/>
          <w:lang w:val="en-GB"/>
        </w:rPr>
        <w:t xml:space="preserve"> principle. </w:t>
      </w:r>
    </w:p>
    <w:p w14:paraId="00000019"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new amendment allowed the judicial police and its </w:t>
      </w:r>
      <w:r w:rsidRPr="00AF3138">
        <w:rPr>
          <w:rFonts w:asciiTheme="minorHAnsi" w:eastAsia="Calibri" w:hAnsiTheme="minorHAnsi" w:cstheme="minorHAnsi"/>
          <w:b/>
          <w:color w:val="000000"/>
          <w:lang w:val="en-GB"/>
        </w:rPr>
        <w:t>delegates</w:t>
      </w:r>
      <w:r w:rsidRPr="00AF3138">
        <w:rPr>
          <w:rFonts w:asciiTheme="minorHAnsi" w:eastAsia="Calibri" w:hAnsiTheme="minorHAnsi" w:cstheme="minorHAnsi"/>
          <w:color w:val="000000"/>
          <w:lang w:val="en-GB"/>
        </w:rPr>
        <w:t xml:space="preserve"> - opening the door to a wide range of mandates for the security branches - to investigate crimes against state security, </w:t>
      </w:r>
      <w:r w:rsidRPr="00AF3138">
        <w:rPr>
          <w:rFonts w:asciiTheme="minorHAnsi" w:eastAsia="Calibri" w:hAnsiTheme="minorHAnsi" w:cstheme="minorHAnsi"/>
          <w:color w:val="000000"/>
          <w:lang w:val="en-GB"/>
        </w:rPr>
        <w:lastRenderedPageBreak/>
        <w:t>interrogate suspects, and collect evidence. Moreover, it allowed them to detain persons for a period of seven days, extendable by the permission of the Public Prosecutor for up to sixty days.</w:t>
      </w:r>
      <w:r w:rsidRPr="00AF3138">
        <w:rPr>
          <w:rFonts w:asciiTheme="minorHAnsi" w:eastAsia="Calibri" w:hAnsiTheme="minorHAnsi" w:cstheme="minorHAnsi"/>
          <w:color w:val="000000"/>
          <w:vertAlign w:val="superscript"/>
          <w:lang w:val="en-GB"/>
        </w:rPr>
        <w:footnoteReference w:id="6"/>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Consequently, those suspects of vague state security crimes, such as making propaganda that "aims at prejudicing national identity"</w:t>
      </w:r>
      <w:r w:rsidRPr="00AF3138">
        <w:rPr>
          <w:rFonts w:asciiTheme="minorHAnsi" w:hAnsiTheme="minorHAnsi" w:cstheme="minorHAnsi"/>
          <w:vertAlign w:val="superscript"/>
          <w:lang w:val="en-GB"/>
        </w:rPr>
        <w:footnoteReference w:id="7"/>
      </w:r>
      <w:r w:rsidRPr="00AF3138">
        <w:rPr>
          <w:rFonts w:asciiTheme="minorHAnsi" w:hAnsiTheme="minorHAnsi" w:cstheme="minorHAnsi"/>
          <w:lang w:val="en-GB"/>
        </w:rPr>
        <w:t xml:space="preserve"> or sharing false or exaggerated news that could "spread despair or weakness among the members of society",</w:t>
      </w:r>
      <w:r w:rsidRPr="00AF3138">
        <w:rPr>
          <w:rFonts w:asciiTheme="minorHAnsi" w:hAnsiTheme="minorHAnsi" w:cstheme="minorHAnsi"/>
          <w:vertAlign w:val="superscript"/>
          <w:lang w:val="en-GB"/>
        </w:rPr>
        <w:footnoteReference w:id="8"/>
      </w:r>
      <w:r w:rsidRPr="00AF3138">
        <w:rPr>
          <w:rFonts w:asciiTheme="minorHAnsi" w:hAnsiTheme="minorHAnsi" w:cstheme="minorHAnsi"/>
          <w:lang w:val="en-GB"/>
        </w:rPr>
        <w:t xml:space="preserve"> who are often the political opponents of the State, can be detained before being presented to the judiciary for sixty days. T</w:t>
      </w:r>
      <w:r w:rsidRPr="00AF3138">
        <w:rPr>
          <w:rFonts w:asciiTheme="minorHAnsi" w:eastAsia="Calibri" w:hAnsiTheme="minorHAnsi" w:cstheme="minorHAnsi"/>
          <w:color w:val="000000"/>
          <w:lang w:val="en-GB"/>
        </w:rPr>
        <w:t>he practice shows that this period is usually exceeded</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though.</w:t>
      </w:r>
    </w:p>
    <w:p w14:paraId="0000001A"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hAnsiTheme="minorHAnsi" w:cstheme="minorHAnsi"/>
          <w:lang w:val="en-GB"/>
        </w:rPr>
        <w:t>E</w:t>
      </w:r>
      <w:r w:rsidRPr="00AF3138">
        <w:rPr>
          <w:rFonts w:asciiTheme="minorHAnsi" w:eastAsia="Calibri" w:hAnsiTheme="minorHAnsi" w:cstheme="minorHAnsi"/>
          <w:color w:val="000000"/>
          <w:lang w:val="en-GB"/>
        </w:rPr>
        <w:t xml:space="preserve">xtending the pretrial detention for up to sixty days is subject to the approval of the Public Prosecutor, who is a party to the lawsuit before the judiciary. In this regard, the jurisprudence of the Human Rights Committee has emphasized that the Public Prosecutor is not considered to have the institutional objectivity and impartiality necessary to consider them an "officer authorised to exercise judicial power" in the sense that is meant by Article 9 of the ICCPR. As in its views on the communication of </w:t>
      </w:r>
      <w:proofErr w:type="spellStart"/>
      <w:r w:rsidRPr="00AF3138">
        <w:rPr>
          <w:rFonts w:asciiTheme="minorHAnsi" w:eastAsia="Calibri" w:hAnsiTheme="minorHAnsi" w:cstheme="minorHAnsi"/>
          <w:i/>
          <w:color w:val="000000"/>
          <w:lang w:val="en-GB"/>
        </w:rPr>
        <w:t>Kulomin</w:t>
      </w:r>
      <w:proofErr w:type="spellEnd"/>
      <w:r w:rsidRPr="00AF3138">
        <w:rPr>
          <w:rFonts w:asciiTheme="minorHAnsi" w:eastAsia="Calibri" w:hAnsiTheme="minorHAnsi" w:cstheme="minorHAnsi"/>
          <w:i/>
          <w:color w:val="000000"/>
          <w:lang w:val="en-GB"/>
        </w:rPr>
        <w:t xml:space="preserve"> v. Hungary</w:t>
      </w:r>
      <w:r w:rsidRPr="00AF3138">
        <w:rPr>
          <w:rFonts w:asciiTheme="minorHAnsi" w:eastAsia="Calibri" w:hAnsiTheme="minorHAnsi" w:cstheme="minorHAnsi"/>
          <w:color w:val="000000"/>
          <w:lang w:val="en-GB"/>
        </w:rPr>
        <w:t>, the Human Rights Committee found that:</w:t>
      </w:r>
    </w:p>
    <w:p w14:paraId="0000001B" w14:textId="77777777" w:rsidR="00E561CC" w:rsidRPr="00AF3138" w:rsidRDefault="00000000">
      <w:pPr>
        <w:ind w:left="1440"/>
        <w:jc w:val="both"/>
        <w:rPr>
          <w:rFonts w:asciiTheme="minorHAnsi" w:hAnsiTheme="minorHAnsi" w:cstheme="minorHAnsi"/>
          <w:i/>
          <w:sz w:val="20"/>
          <w:szCs w:val="20"/>
          <w:lang w:val="en-GB"/>
        </w:rPr>
      </w:pPr>
      <w:r w:rsidRPr="00AF3138">
        <w:rPr>
          <w:rFonts w:asciiTheme="minorHAnsi" w:hAnsiTheme="minorHAnsi" w:cstheme="minorHAnsi"/>
          <w:i/>
          <w:sz w:val="20"/>
          <w:szCs w:val="20"/>
          <w:lang w:val="en-GB"/>
        </w:rPr>
        <w:t>“After his arrest on 20 August 1988, the author's pre-trial detention was ordered and subsequently renewed on several occasions by the public prosecutor, until the author was brought before a judge on 29 May 1989. The Committee considers that it is inherent to the proper exercise of judicial power, that it be exercised by an authority which is independent, objective and impartial in relation to the issues dealt with. In the circumstances of the instant case, the Committee is not satisfied that the public prosecutor could be regarded as having the institutional objectivity and impartiality necessary to be considered an "officer authorized to exercise judicial power" within the meaning of article 9(3).)”.</w:t>
      </w:r>
      <w:r w:rsidRPr="00AF3138">
        <w:rPr>
          <w:rFonts w:asciiTheme="minorHAnsi" w:hAnsiTheme="minorHAnsi" w:cstheme="minorHAnsi"/>
          <w:i/>
          <w:sz w:val="20"/>
          <w:szCs w:val="20"/>
          <w:vertAlign w:val="superscript"/>
          <w:lang w:val="en-GB"/>
        </w:rPr>
        <w:footnoteReference w:id="9"/>
      </w:r>
    </w:p>
    <w:p w14:paraId="0000001C" w14:textId="245C25EF"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Furthermore, the observations of the submitting organizations indicate that, in practice, detainees lose judicial guarantees and legal protections over this period, such as the ability to effectively benefit from a legal representative or communicate with their families, leaving them vulnerable to enforced disappearance, acts of torture, and ill-treatment. The </w:t>
      </w:r>
      <w:proofErr w:type="spellStart"/>
      <w:r w:rsidRPr="00AF3138">
        <w:rPr>
          <w:rFonts w:asciiTheme="minorHAnsi" w:eastAsia="Calibri" w:hAnsiTheme="minorHAnsi" w:cstheme="minorHAnsi"/>
          <w:color w:val="000000"/>
          <w:lang w:val="en-GB"/>
        </w:rPr>
        <w:t>CoI</w:t>
      </w:r>
      <w:proofErr w:type="spellEnd"/>
      <w:r w:rsidRPr="00AF3138">
        <w:rPr>
          <w:rFonts w:asciiTheme="minorHAnsi" w:eastAsia="Calibri" w:hAnsiTheme="minorHAnsi" w:cstheme="minorHAnsi"/>
          <w:color w:val="000000"/>
          <w:lang w:val="en-GB"/>
        </w:rPr>
        <w:t xml:space="preserve"> confirmed the </w:t>
      </w:r>
      <w:proofErr w:type="gramStart"/>
      <w:r w:rsidRPr="00AF3138">
        <w:rPr>
          <w:rFonts w:asciiTheme="minorHAnsi" w:eastAsia="Calibri" w:hAnsiTheme="minorHAnsi" w:cstheme="minorHAnsi"/>
          <w:color w:val="000000"/>
          <w:lang w:val="en-GB"/>
        </w:rPr>
        <w:t>aforementioned observations</w:t>
      </w:r>
      <w:proofErr w:type="gramEnd"/>
      <w:r w:rsidRPr="00AF3138">
        <w:rPr>
          <w:rFonts w:asciiTheme="minorHAnsi" w:eastAsia="Calibri" w:hAnsiTheme="minorHAnsi" w:cstheme="minorHAnsi"/>
          <w:color w:val="000000"/>
          <w:lang w:val="en-GB"/>
        </w:rPr>
        <w:t xml:space="preserve"> by interviewing more than five hundred former detainees. The interviews indicated that most of them had not been brought before the judiciary within a reasonable period; they </w:t>
      </w:r>
      <w:r w:rsidRPr="00AF3138">
        <w:rPr>
          <w:rFonts w:asciiTheme="minorHAnsi" w:hAnsiTheme="minorHAnsi" w:cstheme="minorHAnsi"/>
          <w:lang w:val="en-GB"/>
        </w:rPr>
        <w:t>also did not obtain information about their charges or the reason for their arrest</w:t>
      </w:r>
      <w:r w:rsidRPr="00AF3138">
        <w:rPr>
          <w:rFonts w:asciiTheme="minorHAnsi" w:eastAsia="Calibri" w:hAnsiTheme="minorHAnsi" w:cstheme="minorHAnsi"/>
          <w:color w:val="000000"/>
          <w:lang w:val="en-GB"/>
        </w:rPr>
        <w:t xml:space="preserve">. Moreover, the detainees were regularly tortured to extract confessions and signed </w:t>
      </w:r>
      <w:r w:rsidRPr="00AF3138">
        <w:rPr>
          <w:rFonts w:asciiTheme="minorHAnsi" w:eastAsia="Calibri" w:hAnsiTheme="minorHAnsi" w:cstheme="minorHAnsi"/>
          <w:color w:val="000000"/>
          <w:lang w:val="en-GB"/>
        </w:rPr>
        <w:lastRenderedPageBreak/>
        <w:t xml:space="preserve">statements that they were not allowed to read. As for those </w:t>
      </w:r>
      <w:r w:rsidRPr="00AF3138">
        <w:rPr>
          <w:rFonts w:asciiTheme="minorHAnsi" w:hAnsiTheme="minorHAnsi" w:cstheme="minorHAnsi"/>
          <w:lang w:val="en-GB"/>
        </w:rPr>
        <w:t>referred to the judiciary, they were subjected to systematic violations of their right to a fair trial, especially before the Counter-Terrorism Court and the Military Field Court, which</w:t>
      </w:r>
      <w:r w:rsidRPr="00AF3138">
        <w:rPr>
          <w:rFonts w:asciiTheme="minorHAnsi" w:eastAsia="Calibri" w:hAnsiTheme="minorHAnsi" w:cstheme="minorHAnsi"/>
          <w:color w:val="000000"/>
          <w:lang w:val="en-GB"/>
        </w:rPr>
        <w:t xml:space="preserve"> will be explained in section </w:t>
      </w:r>
      <w:r w:rsidRPr="00AF3138">
        <w:rPr>
          <w:rFonts w:asciiTheme="minorHAnsi" w:eastAsia="Calibri" w:hAnsiTheme="minorHAnsi" w:cstheme="minorHAnsi"/>
          <w:color w:val="000000"/>
          <w:highlight w:val="none"/>
          <w:lang w:val="en-GB"/>
        </w:rPr>
        <w:t>(</w:t>
      </w:r>
      <w:r w:rsidR="00511AB4" w:rsidRPr="00AF3138">
        <w:rPr>
          <w:rFonts w:asciiTheme="minorHAnsi" w:eastAsia="Calibri" w:hAnsiTheme="minorHAnsi" w:cstheme="minorHAnsi"/>
          <w:color w:val="000000"/>
          <w:highlight w:val="none"/>
          <w:lang w:val="en-GB"/>
        </w:rPr>
        <w:t>2</w:t>
      </w:r>
      <w:r w:rsidRPr="00AF3138">
        <w:rPr>
          <w:rFonts w:asciiTheme="minorHAnsi" w:eastAsia="Calibri" w:hAnsiTheme="minorHAnsi" w:cstheme="minorHAnsi"/>
          <w:color w:val="000000"/>
          <w:highlight w:val="none"/>
          <w:lang w:val="en-GB"/>
        </w:rPr>
        <w:t>).</w:t>
      </w:r>
      <w:r w:rsidRPr="00AF3138">
        <w:rPr>
          <w:rFonts w:asciiTheme="minorHAnsi" w:eastAsia="Calibri" w:hAnsiTheme="minorHAnsi" w:cstheme="minorHAnsi"/>
          <w:color w:val="000000"/>
          <w:highlight w:val="none"/>
          <w:vertAlign w:val="superscript"/>
          <w:lang w:val="en-GB"/>
        </w:rPr>
        <w:footnoteReference w:id="10"/>
      </w:r>
      <w:r w:rsidRPr="00AF3138">
        <w:rPr>
          <w:rFonts w:asciiTheme="minorHAnsi" w:eastAsia="Calibri" w:hAnsiTheme="minorHAnsi" w:cstheme="minorHAnsi"/>
          <w:color w:val="000000"/>
          <w:highlight w:val="none"/>
          <w:lang w:val="en-GB"/>
        </w:rPr>
        <w:t xml:space="preserve"> </w:t>
      </w:r>
    </w:p>
    <w:p w14:paraId="49FDAE6C" w14:textId="77777777" w:rsidR="008E7279" w:rsidRPr="00AF3138" w:rsidRDefault="00000000" w:rsidP="008E7279">
      <w:pPr>
        <w:numPr>
          <w:ilvl w:val="0"/>
          <w:numId w:val="1"/>
        </w:numPr>
        <w:pBdr>
          <w:top w:val="nil"/>
          <w:left w:val="nil"/>
          <w:bottom w:val="nil"/>
          <w:right w:val="nil"/>
          <w:between w:val="nil"/>
        </w:pBdr>
        <w:jc w:val="both"/>
        <w:rPr>
          <w:rFonts w:asciiTheme="minorHAnsi" w:hAnsiTheme="minorHAnsi" w:cstheme="minorHAnsi"/>
          <w:lang w:val="en-GB"/>
        </w:rPr>
      </w:pPr>
      <w:r w:rsidRPr="00AF3138">
        <w:rPr>
          <w:rFonts w:asciiTheme="minorHAnsi" w:eastAsia="Calibri" w:hAnsiTheme="minorHAnsi" w:cstheme="minorHAnsi"/>
          <w:color w:val="000000"/>
          <w:lang w:val="en-GB"/>
        </w:rPr>
        <w:t xml:space="preserve">It is worth noting that large numbers of detainees were not brought before a court but remained at risk of enforced disappearance, torture, or extra-judicial execution. It was also reported that their families paid bribes either to disclose their whereabouts, facilitate their visit to detention </w:t>
      </w:r>
      <w:proofErr w:type="spellStart"/>
      <w:r w:rsidRPr="00AF3138">
        <w:rPr>
          <w:rFonts w:asciiTheme="minorHAnsi" w:hAnsiTheme="minorHAnsi" w:cstheme="minorHAnsi"/>
          <w:lang w:val="en-GB"/>
        </w:rPr>
        <w:t>centers</w:t>
      </w:r>
      <w:proofErr w:type="spellEnd"/>
      <w:r w:rsidRPr="00AF3138">
        <w:rPr>
          <w:rFonts w:asciiTheme="minorHAnsi" w:eastAsia="Calibri" w:hAnsiTheme="minorHAnsi" w:cstheme="minorHAnsi"/>
          <w:color w:val="000000"/>
          <w:lang w:val="en-GB"/>
        </w:rPr>
        <w:t>, release them, expedite their presentation before the court or repeat their trial.</w:t>
      </w:r>
      <w:r w:rsidRPr="00AF3138">
        <w:rPr>
          <w:rFonts w:asciiTheme="minorHAnsi" w:eastAsia="Calibri" w:hAnsiTheme="minorHAnsi" w:cstheme="minorHAnsi"/>
          <w:color w:val="000000"/>
          <w:vertAlign w:val="superscript"/>
          <w:lang w:val="en-GB"/>
        </w:rPr>
        <w:footnoteReference w:id="11"/>
      </w:r>
      <w:bookmarkStart w:id="10" w:name="_heading=h.847f2wbrr5fl" w:colFirst="0" w:colLast="0"/>
      <w:bookmarkEnd w:id="10"/>
    </w:p>
    <w:p w14:paraId="0000001E" w14:textId="12FE89EB" w:rsidR="00E561CC" w:rsidRPr="00AF3138" w:rsidRDefault="00000000" w:rsidP="008E7279">
      <w:pPr>
        <w:pStyle w:val="Heading3"/>
        <w:rPr>
          <w:rFonts w:asciiTheme="minorHAnsi" w:hAnsiTheme="minorHAnsi" w:cstheme="minorHAnsi"/>
          <w:lang w:val="en-GB"/>
        </w:rPr>
      </w:pPr>
      <w:bookmarkStart w:id="11" w:name="_Toc122446199"/>
      <w:r w:rsidRPr="00AF3138">
        <w:rPr>
          <w:lang w:val="en-GB"/>
        </w:rPr>
        <w:t>The State's facilitation of enforced disappearance</w:t>
      </w:r>
      <w:bookmarkEnd w:id="11"/>
      <w:r w:rsidRPr="00AF3138">
        <w:rPr>
          <w:lang w:val="en-GB"/>
        </w:rPr>
        <w:t xml:space="preserve"> </w:t>
      </w:r>
    </w:p>
    <w:p w14:paraId="0000001F"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The cycle of human rights violations committed by state agents in detention settings continues in the absence of sufficient legislative measures to criminalize the most prominent acts that detainees may be subjected to, such as enforced disappearance, torture</w:t>
      </w:r>
      <w:r w:rsidRPr="00AF3138">
        <w:rPr>
          <w:rFonts w:asciiTheme="minorHAnsi" w:hAnsiTheme="minorHAnsi" w:cstheme="minorHAnsi"/>
          <w:lang w:val="en-GB"/>
        </w:rPr>
        <w:t xml:space="preserve">, </w:t>
      </w:r>
      <w:r w:rsidRPr="00AF3138">
        <w:rPr>
          <w:rFonts w:asciiTheme="minorHAnsi" w:eastAsia="Calibri" w:hAnsiTheme="minorHAnsi" w:cstheme="minorHAnsi"/>
          <w:color w:val="000000"/>
          <w:lang w:val="en-GB"/>
        </w:rPr>
        <w:t xml:space="preserve">and ill-treatment. The </w:t>
      </w:r>
      <w:proofErr w:type="spellStart"/>
      <w:r w:rsidRPr="00AF3138">
        <w:rPr>
          <w:rFonts w:asciiTheme="minorHAnsi" w:eastAsia="Calibri" w:hAnsiTheme="minorHAnsi" w:cstheme="minorHAnsi"/>
          <w:color w:val="000000"/>
          <w:lang w:val="en-GB"/>
        </w:rPr>
        <w:t>CoI</w:t>
      </w:r>
      <w:proofErr w:type="spellEnd"/>
      <w:r w:rsidRPr="00AF3138">
        <w:rPr>
          <w:rFonts w:asciiTheme="minorHAnsi" w:eastAsia="Calibri" w:hAnsiTheme="minorHAnsi" w:cstheme="minorHAnsi"/>
          <w:color w:val="000000"/>
          <w:lang w:val="en-GB"/>
        </w:rPr>
        <w:t xml:space="preserve"> has confirmed that the fate of tens of thousands of missing persons is still unknown; their relatives have constantly been exposed to extortion, complicated bureaucratic procedures and security risks as they try to obtain information about the whereabouts and fate of their missing loved ones. Even in the rare cases in which the government issued death notices, the bodies were not handed over to the families</w:t>
      </w:r>
      <w:r w:rsidRPr="00AF3138">
        <w:rPr>
          <w:rFonts w:asciiTheme="minorHAnsi" w:hAnsiTheme="minorHAnsi" w:cstheme="minorHAnsi"/>
          <w:lang w:val="en-GB"/>
        </w:rPr>
        <w:t>. The</w:t>
      </w:r>
      <w:r w:rsidRPr="00AF3138">
        <w:rPr>
          <w:rFonts w:asciiTheme="minorHAnsi" w:eastAsia="Calibri" w:hAnsiTheme="minorHAnsi" w:cstheme="minorHAnsi"/>
          <w:color w:val="000000"/>
          <w:lang w:val="en-GB"/>
        </w:rPr>
        <w:t xml:space="preserve"> cause of death was not indicated, let alone the death notices issued to them after many years.</w:t>
      </w:r>
      <w:r w:rsidRPr="00AF3138">
        <w:rPr>
          <w:rFonts w:asciiTheme="minorHAnsi" w:eastAsia="Calibri" w:hAnsiTheme="minorHAnsi" w:cstheme="minorHAnsi"/>
          <w:color w:val="000000"/>
          <w:vertAlign w:val="superscript"/>
          <w:lang w:val="en-GB"/>
        </w:rPr>
        <w:footnoteReference w:id="12"/>
      </w:r>
      <w:r w:rsidRPr="00AF3138">
        <w:rPr>
          <w:rFonts w:asciiTheme="minorHAnsi" w:eastAsia="Calibri" w:hAnsiTheme="minorHAnsi" w:cstheme="minorHAnsi"/>
          <w:color w:val="000000"/>
          <w:lang w:val="en-GB"/>
        </w:rPr>
        <w:t xml:space="preserve"> </w:t>
      </w:r>
    </w:p>
    <w:p w14:paraId="00000020"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Despite the seriousness and scope of the crime of enforced disappearance in Syria, the state still expressly refuses to criminalize this act as an autonomous </w:t>
      </w:r>
      <w:r w:rsidRPr="00AF3138">
        <w:rPr>
          <w:rFonts w:asciiTheme="minorHAnsi" w:hAnsiTheme="minorHAnsi" w:cstheme="minorHAnsi"/>
          <w:lang w:val="en-GB"/>
        </w:rPr>
        <w:t>offense</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Syria</w:t>
      </w:r>
      <w:r w:rsidRPr="00AF3138">
        <w:rPr>
          <w:rFonts w:asciiTheme="minorHAnsi" w:eastAsia="Calibri" w:hAnsiTheme="minorHAnsi" w:cstheme="minorHAnsi"/>
          <w:color w:val="000000"/>
          <w:lang w:val="en-GB"/>
        </w:rPr>
        <w:t xml:space="preserve"> affirmed in its last national UPR report that "[t]he </w:t>
      </w:r>
      <w:proofErr w:type="gramStart"/>
      <w:r w:rsidRPr="00AF3138">
        <w:rPr>
          <w:rFonts w:asciiTheme="minorHAnsi" w:eastAsia="Calibri" w:hAnsiTheme="minorHAnsi" w:cstheme="minorHAnsi"/>
          <w:color w:val="000000"/>
          <w:lang w:val="en-GB"/>
        </w:rPr>
        <w:t>term</w:t>
      </w:r>
      <w:proofErr w:type="gramEnd"/>
      <w:r w:rsidRPr="00AF3138">
        <w:rPr>
          <w:rFonts w:asciiTheme="minorHAnsi" w:eastAsia="Calibri" w:hAnsiTheme="minorHAnsi" w:cstheme="minorHAnsi"/>
          <w:color w:val="000000"/>
          <w:lang w:val="en-GB"/>
        </w:rPr>
        <w:t xml:space="preserve"> 'enforced disappearance' does not exist in Syrian law". The government stated that the law penalizes "abduction and deprivation of liberty</w:t>
      </w:r>
      <w:r w:rsidRPr="00AF3138">
        <w:rPr>
          <w:rFonts w:asciiTheme="minorHAnsi" w:hAnsiTheme="minorHAnsi" w:cstheme="minorHAnsi"/>
          <w:lang w:val="en-GB"/>
        </w:rPr>
        <w:t>, " which are internationally classified as enforced disappearance, according to the Syrian government</w:t>
      </w:r>
      <w:r w:rsidRPr="00AF3138">
        <w:rPr>
          <w:rFonts w:asciiTheme="minorHAnsi" w:eastAsia="Calibri" w:hAnsiTheme="minorHAnsi" w:cstheme="minorHAnsi"/>
          <w:color w:val="000000"/>
          <w:lang w:val="en-GB"/>
        </w:rPr>
        <w:t>. In this regard, the government explicitly referred to Legislative Decree No. 20 of 2013, which criminalizes the act of kidnapping if it is committed with a particular criminal intent to achieve a political or material purpose, or with the intent of revenge, vengeance, sectarian motive, or with the intent to demand a ransom.</w:t>
      </w:r>
      <w:r w:rsidRPr="00AF3138">
        <w:rPr>
          <w:rFonts w:asciiTheme="minorHAnsi" w:eastAsia="Calibri" w:hAnsiTheme="minorHAnsi" w:cstheme="minorHAnsi"/>
          <w:color w:val="000000"/>
          <w:vertAlign w:val="superscript"/>
          <w:lang w:val="en-GB"/>
        </w:rPr>
        <w:footnoteReference w:id="13"/>
      </w:r>
      <w:r w:rsidRPr="00AF3138">
        <w:rPr>
          <w:rFonts w:asciiTheme="minorHAnsi" w:eastAsia="Calibri" w:hAnsiTheme="minorHAnsi" w:cstheme="minorHAnsi"/>
          <w:color w:val="000000"/>
          <w:lang w:val="en-GB"/>
        </w:rPr>
        <w:t xml:space="preserve"> The argument was reiterated by the Ambassador, the Permanent Representative of Syria to the United Nations, in the session of adopting the </w:t>
      </w:r>
      <w:r w:rsidRPr="00AF3138">
        <w:rPr>
          <w:rFonts w:asciiTheme="minorHAnsi" w:eastAsia="Calibri" w:hAnsiTheme="minorHAnsi" w:cstheme="minorHAnsi"/>
          <w:color w:val="000000"/>
          <w:lang w:val="en-GB"/>
        </w:rPr>
        <w:lastRenderedPageBreak/>
        <w:t>outcomes of the reports of the third cycle of UPR.</w:t>
      </w:r>
      <w:r w:rsidRPr="00AF3138">
        <w:rPr>
          <w:rFonts w:asciiTheme="minorHAnsi" w:eastAsia="Calibri" w:hAnsiTheme="minorHAnsi" w:cstheme="minorHAnsi"/>
          <w:color w:val="000000"/>
          <w:vertAlign w:val="superscript"/>
          <w:lang w:val="en-GB"/>
        </w:rPr>
        <w:footnoteReference w:id="14"/>
      </w:r>
      <w:r w:rsidRPr="00AF3138">
        <w:rPr>
          <w:rFonts w:asciiTheme="minorHAnsi" w:eastAsia="Calibri" w:hAnsiTheme="minorHAnsi" w:cstheme="minorHAnsi"/>
          <w:color w:val="000000"/>
          <w:lang w:val="en-GB"/>
        </w:rPr>
        <w:t xml:space="preserve"> This position asserted by the Syrian authorities lacks legal accuracy; It denies the right of victims of enforced disappearance to know the truth, as will be explained below.</w:t>
      </w:r>
    </w:p>
    <w:p w14:paraId="00000021" w14:textId="77777777" w:rsidR="00E561CC" w:rsidRPr="00AF3138" w:rsidRDefault="00000000" w:rsidP="008E7279">
      <w:pPr>
        <w:pStyle w:val="Heading4"/>
        <w:rPr>
          <w:lang w:val="en-GB"/>
        </w:rPr>
      </w:pPr>
      <w:bookmarkStart w:id="12" w:name="_heading=h.gjdgxs" w:colFirst="0" w:colLast="0"/>
      <w:bookmarkEnd w:id="12"/>
      <w:r w:rsidRPr="00AF3138">
        <w:rPr>
          <w:lang w:val="en-GB"/>
        </w:rPr>
        <w:t>Kidnapping and deprivation of liberty compared with enforced disappearance.</w:t>
      </w:r>
    </w:p>
    <w:p w14:paraId="00000022"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Syrian law criminalizes kidnapping and deprivation of liberty under Articles 555 and 556 of the General Penal Code, in addition to Decree 20 of 2013 mentioned above. According to Syrian law, the </w:t>
      </w:r>
      <w:r w:rsidRPr="00AF3138">
        <w:rPr>
          <w:rFonts w:asciiTheme="minorHAnsi" w:eastAsia="Calibri" w:hAnsiTheme="minorHAnsi" w:cstheme="minorHAnsi"/>
          <w:i/>
          <w:color w:val="000000"/>
          <w:lang w:val="en-GB"/>
        </w:rPr>
        <w:t>actus reus</w:t>
      </w:r>
      <w:r w:rsidRPr="00AF3138">
        <w:rPr>
          <w:rFonts w:asciiTheme="minorHAnsi" w:eastAsia="Calibri" w:hAnsiTheme="minorHAnsi" w:cstheme="minorHAnsi"/>
          <w:color w:val="000000"/>
          <w:lang w:val="en-GB"/>
        </w:rPr>
        <w:t xml:space="preserve"> of the crime of kidnapping is fulfilled when the offender extracts the victims from their whereabouts and takes them to another place, depriving them of their liberty, regardless of whether this act occurred through coercion or deception of the victim.</w:t>
      </w:r>
      <w:r w:rsidRPr="00AF3138">
        <w:rPr>
          <w:rFonts w:asciiTheme="minorHAnsi" w:eastAsia="Calibri" w:hAnsiTheme="minorHAnsi" w:cstheme="minorHAnsi"/>
          <w:color w:val="000000"/>
          <w:vertAlign w:val="superscript"/>
          <w:lang w:val="en-GB"/>
        </w:rPr>
        <w:footnoteReference w:id="15"/>
      </w:r>
      <w:r w:rsidRPr="00AF3138">
        <w:rPr>
          <w:rFonts w:asciiTheme="minorHAnsi" w:eastAsia="Calibri" w:hAnsiTheme="minorHAnsi" w:cstheme="minorHAnsi"/>
          <w:color w:val="000000"/>
          <w:lang w:val="en-GB"/>
        </w:rPr>
        <w:t xml:space="preserve"> In this regard, the </w:t>
      </w:r>
      <w:r w:rsidRPr="00AF3138">
        <w:rPr>
          <w:rFonts w:asciiTheme="minorHAnsi" w:hAnsiTheme="minorHAnsi" w:cstheme="minorHAnsi"/>
          <w:lang w:val="en-GB"/>
        </w:rPr>
        <w:t xml:space="preserve">Syrian Court of Cassation jurisprudence </w:t>
      </w:r>
      <w:r w:rsidRPr="00AF3138">
        <w:rPr>
          <w:rFonts w:asciiTheme="minorHAnsi" w:eastAsia="Calibri" w:hAnsiTheme="minorHAnsi" w:cstheme="minorHAnsi"/>
          <w:color w:val="000000"/>
          <w:lang w:val="en-GB"/>
        </w:rPr>
        <w:t>shows that the kidnapping is committed by removing the kidnapped from their whereabouts and transporting them to another place.</w:t>
      </w:r>
      <w:r w:rsidRPr="00AF3138">
        <w:rPr>
          <w:rFonts w:asciiTheme="minorHAnsi" w:eastAsia="Calibri" w:hAnsiTheme="minorHAnsi" w:cstheme="minorHAnsi"/>
          <w:color w:val="000000"/>
          <w:vertAlign w:val="superscript"/>
          <w:lang w:val="en-GB"/>
        </w:rPr>
        <w:footnoteReference w:id="16"/>
      </w:r>
      <w:r w:rsidRPr="00AF3138">
        <w:rPr>
          <w:rFonts w:asciiTheme="minorHAnsi" w:eastAsia="Calibri" w:hAnsiTheme="minorHAnsi" w:cstheme="minorHAnsi"/>
          <w:color w:val="000000"/>
          <w:lang w:val="en-GB"/>
        </w:rPr>
        <w:t xml:space="preserve"> Regarding the </w:t>
      </w:r>
      <w:proofErr w:type="spellStart"/>
      <w:r w:rsidRPr="00AF3138">
        <w:rPr>
          <w:rFonts w:asciiTheme="minorHAnsi" w:eastAsia="Calibri" w:hAnsiTheme="minorHAnsi" w:cstheme="minorHAnsi"/>
          <w:i/>
          <w:color w:val="000000"/>
          <w:lang w:val="en-GB"/>
        </w:rPr>
        <w:t>mens</w:t>
      </w:r>
      <w:proofErr w:type="spellEnd"/>
      <w:r w:rsidRPr="00AF3138">
        <w:rPr>
          <w:rFonts w:asciiTheme="minorHAnsi" w:eastAsia="Calibri" w:hAnsiTheme="minorHAnsi" w:cstheme="minorHAnsi"/>
          <w:i/>
          <w:color w:val="000000"/>
          <w:lang w:val="en-GB"/>
        </w:rPr>
        <w:t xml:space="preserve"> rea</w:t>
      </w:r>
      <w:r w:rsidRPr="00AF3138">
        <w:rPr>
          <w:rFonts w:asciiTheme="minorHAnsi" w:eastAsia="Calibri" w:hAnsiTheme="minorHAnsi" w:cstheme="minorHAnsi"/>
          <w:color w:val="000000"/>
          <w:lang w:val="en-GB"/>
        </w:rPr>
        <w:t xml:space="preserve"> of this crime, it is sufficient to prove that the offender knows that such an act will deprive the victims of their freedom, with the intent to do so.</w:t>
      </w:r>
      <w:r w:rsidRPr="00AF3138">
        <w:rPr>
          <w:rFonts w:asciiTheme="minorHAnsi" w:eastAsia="Calibri" w:hAnsiTheme="minorHAnsi" w:cstheme="minorHAnsi"/>
          <w:color w:val="000000"/>
          <w:vertAlign w:val="superscript"/>
          <w:lang w:val="en-GB"/>
        </w:rPr>
        <w:footnoteReference w:id="17"/>
      </w:r>
    </w:p>
    <w:p w14:paraId="00000023"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By comparing the crime of kidnapping in Syrian law and enforced disappearance in International Criminal Law, the incompatibility between the two crimes becomes clear. While the crime of enforced disappearance requires refusing to disclose the fate or whereabouts of the disappeared persons, Syrian law does not require this element for the crime of kidnapping. The kidnapper usually does not deny the kidnapping but rather communicates with the family of the kidnapped person and informs them of their fate, asking for a ransom to free them. However, enforced disappearance requires that the family does not know the fate and whereabouts of the disappeared persons. </w:t>
      </w:r>
    </w:p>
    <w:p w14:paraId="00000024"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Furthermore, the Rome Statute affirms that enforced disappearance must be committed, authorized, supported, or acquiesced by a state or a political organization to remove the </w:t>
      </w:r>
      <w:r w:rsidRPr="00AF3138">
        <w:rPr>
          <w:rFonts w:asciiTheme="minorHAnsi" w:hAnsiTheme="minorHAnsi" w:cstheme="minorHAnsi"/>
          <w:lang w:val="en-GB"/>
        </w:rPr>
        <w:t xml:space="preserve">disappeared from the protection of the law for a prolonged </w:t>
      </w:r>
      <w:r w:rsidRPr="00AF3138">
        <w:rPr>
          <w:rFonts w:asciiTheme="minorHAnsi" w:eastAsia="Calibri" w:hAnsiTheme="minorHAnsi" w:cstheme="minorHAnsi"/>
          <w:color w:val="000000"/>
          <w:lang w:val="en-GB"/>
        </w:rPr>
        <w:t>time.</w:t>
      </w:r>
      <w:r w:rsidRPr="00AF3138">
        <w:rPr>
          <w:rFonts w:asciiTheme="minorHAnsi" w:eastAsia="Calibri" w:hAnsiTheme="minorHAnsi" w:cstheme="minorHAnsi"/>
          <w:color w:val="000000"/>
          <w:vertAlign w:val="superscript"/>
          <w:lang w:val="en-GB"/>
        </w:rPr>
        <w:footnoteReference w:id="18"/>
      </w:r>
      <w:r w:rsidRPr="00AF3138">
        <w:rPr>
          <w:rFonts w:asciiTheme="minorHAnsi" w:eastAsia="Calibri" w:hAnsiTheme="minorHAnsi" w:cstheme="minorHAnsi"/>
          <w:color w:val="000000"/>
          <w:lang w:val="en-GB"/>
        </w:rPr>
        <w:t xml:space="preserve"> In contrast, Syrian law does not require these elements in the crime of kidnapping. This crime concerns ordinary individuals, and the legislature does not mean by it the state officials who arrest or detain people in </w:t>
      </w:r>
      <w:r w:rsidRPr="00AF3138">
        <w:rPr>
          <w:rFonts w:asciiTheme="minorHAnsi" w:hAnsiTheme="minorHAnsi" w:cstheme="minorHAnsi"/>
          <w:lang w:val="en-GB"/>
        </w:rPr>
        <w:t xml:space="preserve">the </w:t>
      </w:r>
      <w:r w:rsidRPr="00AF3138">
        <w:rPr>
          <w:rFonts w:asciiTheme="minorHAnsi" w:eastAsia="Calibri" w:hAnsiTheme="minorHAnsi" w:cstheme="minorHAnsi"/>
          <w:color w:val="000000"/>
          <w:lang w:val="en-GB"/>
        </w:rPr>
        <w:t xml:space="preserve">line </w:t>
      </w:r>
      <w:r w:rsidRPr="00AF3138">
        <w:rPr>
          <w:rFonts w:asciiTheme="minorHAnsi" w:eastAsia="Calibri" w:hAnsiTheme="minorHAnsi" w:cstheme="minorHAnsi"/>
          <w:color w:val="000000"/>
          <w:lang w:val="en-GB"/>
        </w:rPr>
        <w:lastRenderedPageBreak/>
        <w:t>of duty.</w:t>
      </w:r>
      <w:r w:rsidRPr="00AF3138">
        <w:rPr>
          <w:rFonts w:asciiTheme="minorHAnsi" w:eastAsia="Calibri" w:hAnsiTheme="minorHAnsi" w:cstheme="minorHAnsi"/>
          <w:color w:val="000000"/>
          <w:vertAlign w:val="superscript"/>
          <w:lang w:val="en-GB"/>
        </w:rPr>
        <w:footnoteReference w:id="19"/>
      </w:r>
      <w:r w:rsidRPr="00AF3138">
        <w:rPr>
          <w:rFonts w:asciiTheme="minorHAnsi" w:eastAsia="Calibri" w:hAnsiTheme="minorHAnsi" w:cstheme="minorHAnsi"/>
          <w:color w:val="000000"/>
          <w:lang w:val="en-GB"/>
        </w:rPr>
        <w:t xml:space="preserve"> Consequently, it can be said that this analogy provided by the Syrian government between the two crimes of enforced disappearance and kidnapping is legally inaccurate.</w:t>
      </w:r>
    </w:p>
    <w:p w14:paraId="00000025"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This legal fallacy denies the victims' right to know the truth because the crime of kidnapping ends when the abduction ends with the release or death of the kidnapped. In contrast, the crime of enforced disappearance remains continuous. It does not end until the individuals' fate and whereabouts are revealed, or the location of their remains are clarified </w:t>
      </w:r>
      <w:r w:rsidRPr="00AF3138">
        <w:rPr>
          <w:rFonts w:asciiTheme="minorHAnsi" w:hAnsiTheme="minorHAnsi" w:cstheme="minorHAnsi"/>
          <w:lang w:val="en-GB"/>
        </w:rPr>
        <w:t>and</w:t>
      </w:r>
      <w:r w:rsidRPr="00AF3138">
        <w:rPr>
          <w:rFonts w:asciiTheme="minorHAnsi" w:eastAsia="Calibri" w:hAnsiTheme="minorHAnsi" w:cstheme="minorHAnsi"/>
          <w:color w:val="000000"/>
          <w:lang w:val="en-GB"/>
        </w:rPr>
        <w:t xml:space="preserve"> handed over to their relatives in the event of death.</w:t>
      </w:r>
      <w:r w:rsidRPr="00AF3138">
        <w:rPr>
          <w:rFonts w:asciiTheme="minorHAnsi" w:eastAsia="Calibri" w:hAnsiTheme="minorHAnsi" w:cstheme="minorHAnsi"/>
          <w:color w:val="000000"/>
          <w:vertAlign w:val="superscript"/>
          <w:lang w:val="en-GB"/>
        </w:rPr>
        <w:footnoteReference w:id="20"/>
      </w:r>
      <w:r w:rsidRPr="00AF3138">
        <w:rPr>
          <w:rFonts w:asciiTheme="minorHAnsi" w:eastAsia="Calibri" w:hAnsiTheme="minorHAnsi" w:cstheme="minorHAnsi"/>
          <w:color w:val="000000"/>
          <w:lang w:val="en-GB"/>
        </w:rPr>
        <w:t xml:space="preserve"> Moreover, this legal fallacy ignores that the crime of enforced disappearance is not only initiated by abduction but can also begin with arrest or detention followed by a refusal to acknowledge the deprivation of liberty or to reveal the fate or whereabouts of persons. This arrest may be unlawful, or it may be lawful at the beginning and then become unlawful. </w:t>
      </w:r>
    </w:p>
    <w:p w14:paraId="00000026"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As mentioned</w:t>
      </w:r>
      <w:r w:rsidRPr="00AF3138">
        <w:rPr>
          <w:rFonts w:asciiTheme="minorHAnsi" w:hAnsiTheme="minorHAnsi" w:cstheme="minorHAnsi"/>
          <w:lang w:val="en-GB"/>
        </w:rPr>
        <w:t xml:space="preserve">, persons suspected of committing state security crimes can be kept in custody before being brought to the competent judiciary for </w:t>
      </w:r>
      <w:r w:rsidRPr="00AF3138">
        <w:rPr>
          <w:rFonts w:asciiTheme="minorHAnsi" w:eastAsia="Calibri" w:hAnsiTheme="minorHAnsi" w:cstheme="minorHAnsi"/>
          <w:color w:val="000000"/>
          <w:lang w:val="en-GB"/>
        </w:rPr>
        <w:t xml:space="preserve">60 days, according to Syrian law. In addition to the fact that this period is long and deprives the detainee of legal protection, the practice and observations of the submitting organizations indicate that the security branches do not abide by this period, do not disclose the whereabouts of the detainees and do not appoint lawyers for them. Most of the detainees may remain in the custody of the security branches for a period exceeding sixty days without knowing their fate and whereabouts or presenting them to a judge. </w:t>
      </w:r>
    </w:p>
    <w:p w14:paraId="00000027" w14:textId="77777777" w:rsidR="00E561CC" w:rsidRPr="00AF3138" w:rsidRDefault="00000000" w:rsidP="008E7279">
      <w:pPr>
        <w:pStyle w:val="Heading3"/>
        <w:rPr>
          <w:lang w:val="en-GB"/>
        </w:rPr>
      </w:pPr>
      <w:bookmarkStart w:id="13" w:name="_Toc122446200"/>
      <w:r w:rsidRPr="00AF3138">
        <w:rPr>
          <w:highlight w:val="white"/>
          <w:lang w:val="en-GB"/>
        </w:rPr>
        <w:t>The State's failure to investigate and prosecute the alleged perpetrators and provide victims with effective remedies.</w:t>
      </w:r>
      <w:bookmarkEnd w:id="13"/>
      <w:r w:rsidRPr="00AF3138">
        <w:rPr>
          <w:lang w:val="en-GB"/>
        </w:rPr>
        <w:t xml:space="preserve"> </w:t>
      </w:r>
    </w:p>
    <w:p w14:paraId="00000028"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It is worth noting that illegally prolonging the period of detention is considered a </w:t>
      </w:r>
      <w:r w:rsidRPr="00AF3138">
        <w:rPr>
          <w:rFonts w:asciiTheme="minorHAnsi" w:hAnsiTheme="minorHAnsi" w:cstheme="minorHAnsi"/>
          <w:lang w:val="en-GB"/>
        </w:rPr>
        <w:t>misdemeanour</w:t>
      </w:r>
      <w:r w:rsidRPr="00AF3138">
        <w:rPr>
          <w:rFonts w:asciiTheme="minorHAnsi" w:eastAsia="Calibri" w:hAnsiTheme="minorHAnsi" w:cstheme="minorHAnsi"/>
          <w:color w:val="000000"/>
          <w:lang w:val="en-GB"/>
        </w:rPr>
        <w:t xml:space="preserve"> in Syrian law but not a serious crime. </w:t>
      </w:r>
      <w:r w:rsidRPr="00AF3138">
        <w:rPr>
          <w:rFonts w:asciiTheme="minorHAnsi" w:hAnsiTheme="minorHAnsi" w:cstheme="minorHAnsi"/>
          <w:lang w:val="en-GB"/>
        </w:rPr>
        <w:t xml:space="preserve">According to Article 358 of the General Penal Code, the perpetrator of this crime is sentenced </w:t>
      </w:r>
      <w:r w:rsidRPr="00AF3138">
        <w:rPr>
          <w:rFonts w:asciiTheme="minorHAnsi" w:eastAsia="Calibri" w:hAnsiTheme="minorHAnsi" w:cstheme="minorHAnsi"/>
          <w:color w:val="000000"/>
          <w:lang w:val="en-GB"/>
        </w:rPr>
        <w:t xml:space="preserve">to jail </w:t>
      </w:r>
      <w:r w:rsidRPr="00AF3138">
        <w:rPr>
          <w:rFonts w:asciiTheme="minorHAnsi" w:hAnsiTheme="minorHAnsi" w:cstheme="minorHAnsi"/>
          <w:lang w:val="en-GB"/>
        </w:rPr>
        <w:t>for</w:t>
      </w:r>
      <w:r w:rsidRPr="00AF3138">
        <w:rPr>
          <w:rFonts w:asciiTheme="minorHAnsi" w:eastAsia="Calibri" w:hAnsiTheme="minorHAnsi" w:cstheme="minorHAnsi"/>
          <w:color w:val="000000"/>
          <w:lang w:val="en-GB"/>
        </w:rPr>
        <w:t xml:space="preserve"> one to three years, which is a </w:t>
      </w:r>
      <w:r w:rsidRPr="00AF3138">
        <w:rPr>
          <w:rFonts w:asciiTheme="minorHAnsi" w:hAnsiTheme="minorHAnsi" w:cstheme="minorHAnsi"/>
          <w:lang w:val="en-GB"/>
        </w:rPr>
        <w:t>misdemeanour</w:t>
      </w:r>
      <w:r w:rsidRPr="00AF3138">
        <w:rPr>
          <w:rFonts w:asciiTheme="minorHAnsi" w:eastAsia="Calibri" w:hAnsiTheme="minorHAnsi" w:cstheme="minorHAnsi"/>
          <w:color w:val="000000"/>
          <w:lang w:val="en-GB"/>
        </w:rPr>
        <w:t xml:space="preserve"> penalty.</w:t>
      </w:r>
      <w:r w:rsidRPr="00AF3138">
        <w:rPr>
          <w:rFonts w:asciiTheme="minorHAnsi" w:eastAsia="Calibri" w:hAnsiTheme="minorHAnsi" w:cstheme="minorHAnsi"/>
          <w:color w:val="000000"/>
          <w:vertAlign w:val="superscript"/>
          <w:lang w:val="en-GB"/>
        </w:rPr>
        <w:footnoteReference w:id="21"/>
      </w:r>
      <w:r w:rsidRPr="00AF3138">
        <w:rPr>
          <w:rFonts w:asciiTheme="minorHAnsi" w:eastAsia="Calibri" w:hAnsiTheme="minorHAnsi" w:cstheme="minorHAnsi"/>
          <w:color w:val="000000"/>
          <w:lang w:val="en-GB"/>
        </w:rPr>
        <w:t xml:space="preserve"> One of the adverse consequences of considering arbitrary arrests a </w:t>
      </w:r>
      <w:r w:rsidRPr="00AF3138">
        <w:rPr>
          <w:rFonts w:asciiTheme="minorHAnsi" w:hAnsiTheme="minorHAnsi" w:cstheme="minorHAnsi"/>
          <w:lang w:val="en-GB"/>
        </w:rPr>
        <w:t>misdemeanour</w:t>
      </w:r>
      <w:r w:rsidRPr="00AF3138">
        <w:rPr>
          <w:rFonts w:asciiTheme="minorHAnsi" w:eastAsia="Calibri" w:hAnsiTheme="minorHAnsi" w:cstheme="minorHAnsi"/>
          <w:color w:val="000000"/>
          <w:lang w:val="en-GB"/>
        </w:rPr>
        <w:t xml:space="preserve"> is </w:t>
      </w:r>
      <w:r w:rsidRPr="00AF3138">
        <w:rPr>
          <w:rFonts w:asciiTheme="minorHAnsi" w:hAnsiTheme="minorHAnsi" w:cstheme="minorHAnsi"/>
          <w:lang w:val="en-GB"/>
        </w:rPr>
        <w:t xml:space="preserve">that </w:t>
      </w:r>
      <w:r w:rsidRPr="00AF3138">
        <w:rPr>
          <w:rFonts w:asciiTheme="minorHAnsi" w:eastAsia="Calibri" w:hAnsiTheme="minorHAnsi" w:cstheme="minorHAnsi"/>
          <w:color w:val="000000"/>
          <w:lang w:val="en-GB"/>
        </w:rPr>
        <w:t>the right to sue its alleged perpetrators</w:t>
      </w:r>
      <w:r w:rsidRPr="00AF3138">
        <w:rPr>
          <w:rFonts w:asciiTheme="minorHAnsi" w:hAnsiTheme="minorHAnsi" w:cstheme="minorHAnsi"/>
          <w:lang w:val="en-GB"/>
        </w:rPr>
        <w:t xml:space="preserve"> is forfeited under</w:t>
      </w:r>
      <w:r w:rsidRPr="00AF3138">
        <w:rPr>
          <w:rFonts w:asciiTheme="minorHAnsi" w:eastAsia="Calibri" w:hAnsiTheme="minorHAnsi" w:cstheme="minorHAnsi"/>
          <w:color w:val="000000"/>
          <w:lang w:val="en-GB"/>
        </w:rPr>
        <w:t xml:space="preserve"> the statute of limitation after the lapse of three years if no prosecutions are in place. </w:t>
      </w:r>
    </w:p>
    <w:p w14:paraId="00000029"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Importantly, it should be noted that prosecuting these crimes is obstructed by different challenges. One of which is that the victims often fear prosecuting state agents after being released. Moreover, </w:t>
      </w:r>
      <w:r w:rsidRPr="00AF3138">
        <w:rPr>
          <w:rFonts w:asciiTheme="minorHAnsi" w:hAnsiTheme="minorHAnsi" w:cstheme="minorHAnsi"/>
          <w:lang w:val="en-GB"/>
        </w:rPr>
        <w:t xml:space="preserve">national legislations in force </w:t>
      </w:r>
      <w:r w:rsidRPr="00AF3138">
        <w:rPr>
          <w:rFonts w:asciiTheme="minorHAnsi" w:eastAsia="Calibri" w:hAnsiTheme="minorHAnsi" w:cstheme="minorHAnsi"/>
          <w:color w:val="000000"/>
          <w:lang w:val="en-GB"/>
        </w:rPr>
        <w:t xml:space="preserve">impede prosecuting the members of the army </w:t>
      </w:r>
      <w:r w:rsidRPr="00AF3138">
        <w:rPr>
          <w:rFonts w:asciiTheme="minorHAnsi" w:eastAsia="Calibri" w:hAnsiTheme="minorHAnsi" w:cstheme="minorHAnsi"/>
          <w:color w:val="000000"/>
          <w:lang w:val="en-GB"/>
        </w:rPr>
        <w:lastRenderedPageBreak/>
        <w:t xml:space="preserve">and its intelligence branches, in addition to the members of the Internal Security Forces and the General Intelligence Department. These obstacles do not pertain only to their prosecution for acts of arbitrary arrest and enforced disappearance but to all kinds of crimes that they may commit in the line of duty. </w:t>
      </w:r>
    </w:p>
    <w:p w14:paraId="0000002A"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For instance, if the crime is committed by members of the army or the Military Intelligence Division and its branches,</w:t>
      </w:r>
      <w:r w:rsidRPr="00AF3138">
        <w:rPr>
          <w:rFonts w:asciiTheme="minorHAnsi" w:eastAsia="Calibri" w:hAnsiTheme="minorHAnsi" w:cstheme="minorHAnsi"/>
          <w:color w:val="000000"/>
          <w:vertAlign w:val="superscript"/>
          <w:lang w:val="en-GB"/>
        </w:rPr>
        <w:footnoteReference w:id="22"/>
      </w:r>
      <w:r w:rsidRPr="00AF3138">
        <w:rPr>
          <w:rFonts w:asciiTheme="minorHAnsi" w:eastAsia="Calibri" w:hAnsiTheme="minorHAnsi" w:cstheme="minorHAnsi"/>
          <w:color w:val="000000"/>
          <w:lang w:val="en-GB"/>
        </w:rPr>
        <w:t xml:space="preserve"> investigations and prosecutions will not be initiated except under a prosecution order issued by the Commander-in-Chief of the Army and Armed Forces (the President himself) or the Chief of Staff, depending on the rank of the person to be prosecuted.</w:t>
      </w:r>
      <w:r w:rsidRPr="00AF3138">
        <w:rPr>
          <w:rFonts w:asciiTheme="minorHAnsi" w:eastAsia="Calibri" w:hAnsiTheme="minorHAnsi" w:cstheme="minorHAnsi"/>
          <w:color w:val="000000"/>
          <w:vertAlign w:val="superscript"/>
          <w:lang w:val="en-GB"/>
        </w:rPr>
        <w:footnoteReference w:id="23"/>
      </w:r>
    </w:p>
    <w:p w14:paraId="0000002B"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Therefore, the General Prosecution cannot act on its own or based on the complaint of the injured but exclusively under that prosecution order. Even if this is done, the case will be within the jurisdiction of the military judiciary.</w:t>
      </w:r>
      <w:r w:rsidRPr="00AF3138">
        <w:rPr>
          <w:rFonts w:asciiTheme="minorHAnsi" w:eastAsia="Calibri" w:hAnsiTheme="minorHAnsi" w:cstheme="minorHAnsi"/>
          <w:color w:val="000000"/>
          <w:vertAlign w:val="superscript"/>
          <w:lang w:val="en-GB"/>
        </w:rPr>
        <w:footnoteReference w:id="24"/>
      </w:r>
      <w:r w:rsidRPr="00AF3138">
        <w:rPr>
          <w:rFonts w:asciiTheme="minorHAnsi" w:eastAsia="Calibri" w:hAnsiTheme="minorHAnsi" w:cstheme="minorHAnsi"/>
          <w:color w:val="000000"/>
          <w:lang w:val="en-GB"/>
        </w:rPr>
        <w:t xml:space="preserve"> Here, it should be noted that the military judiciary is separate from the ordinary judiciary</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i</w:t>
      </w:r>
      <w:r w:rsidRPr="00AF3138">
        <w:rPr>
          <w:rFonts w:asciiTheme="minorHAnsi" w:eastAsia="Calibri" w:hAnsiTheme="minorHAnsi" w:cstheme="minorHAnsi"/>
          <w:color w:val="000000"/>
          <w:lang w:val="en-GB"/>
        </w:rPr>
        <w:t>t is formed and affiliated with the Ministry of Defence. Its military judges are also appointed by a decree based on the proposal of the Commander-in-Chief of the Army</w:t>
      </w:r>
      <w:r w:rsidRPr="00AF3138">
        <w:rPr>
          <w:rFonts w:asciiTheme="minorHAnsi" w:hAnsiTheme="minorHAnsi" w:cstheme="minorHAnsi"/>
          <w:lang w:val="en-GB"/>
        </w:rPr>
        <w:t>.</w:t>
      </w:r>
      <w:r w:rsidRPr="00AF3138">
        <w:rPr>
          <w:rFonts w:asciiTheme="minorHAnsi" w:eastAsia="Calibri" w:hAnsiTheme="minorHAnsi" w:cstheme="minorHAnsi"/>
          <w:color w:val="000000"/>
          <w:vertAlign w:val="superscript"/>
          <w:lang w:val="en-GB"/>
        </w:rPr>
        <w:footnoteReference w:id="25"/>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hose military judges can decide on cases in which one of the parties is a military person, even if the other party is a civilian.</w:t>
      </w:r>
      <w:r w:rsidRPr="00AF3138">
        <w:rPr>
          <w:rFonts w:asciiTheme="minorHAnsi" w:eastAsia="Calibri" w:hAnsiTheme="minorHAnsi" w:cstheme="minorHAnsi"/>
          <w:color w:val="000000"/>
          <w:vertAlign w:val="superscript"/>
          <w:lang w:val="en-GB"/>
        </w:rPr>
        <w:footnoteReference w:id="26"/>
      </w:r>
    </w:p>
    <w:p w14:paraId="0000002C"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Similarly, if the perpetrator is a member of the police or the Internal Security Forces (ISF) and their branches,</w:t>
      </w:r>
      <w:r w:rsidRPr="00AF3138">
        <w:rPr>
          <w:rFonts w:asciiTheme="minorHAnsi" w:eastAsia="Calibri" w:hAnsiTheme="minorHAnsi" w:cstheme="minorHAnsi"/>
          <w:color w:val="000000"/>
          <w:vertAlign w:val="superscript"/>
          <w:lang w:val="en-GB"/>
        </w:rPr>
        <w:footnoteReference w:id="27"/>
      </w:r>
      <w:r w:rsidRPr="00AF3138">
        <w:rPr>
          <w:rFonts w:asciiTheme="minorHAnsi" w:eastAsia="Calibri" w:hAnsiTheme="minorHAnsi" w:cstheme="minorHAnsi"/>
          <w:color w:val="000000"/>
          <w:lang w:val="en-GB"/>
        </w:rPr>
        <w:t xml:space="preserve"> the act does not automatically fall under the </w:t>
      </w:r>
      <w:r w:rsidRPr="00AF3138">
        <w:rPr>
          <w:rFonts w:asciiTheme="minorHAnsi" w:hAnsiTheme="minorHAnsi" w:cstheme="minorHAnsi"/>
          <w:lang w:val="en-GB"/>
        </w:rPr>
        <w:t>criminal court's jurisdiction</w:t>
      </w:r>
      <w:r w:rsidRPr="00AF3138">
        <w:rPr>
          <w:rFonts w:asciiTheme="minorHAnsi" w:eastAsia="Calibri" w:hAnsiTheme="minorHAnsi" w:cstheme="minorHAnsi"/>
          <w:color w:val="000000"/>
          <w:lang w:val="en-GB"/>
        </w:rPr>
        <w:t xml:space="preserve">. Instead, the Police Disciplinary Court decides so upon referral, except for the cases of </w:t>
      </w:r>
      <w:r w:rsidRPr="00AF3138">
        <w:rPr>
          <w:rFonts w:asciiTheme="minorHAnsi" w:eastAsia="Calibri" w:hAnsiTheme="minorHAnsi" w:cstheme="minorHAnsi"/>
          <w:i/>
          <w:color w:val="000000"/>
          <w:lang w:val="en-GB"/>
        </w:rPr>
        <w:t>flagrante delicto</w:t>
      </w:r>
      <w:r w:rsidRPr="00AF3138">
        <w:rPr>
          <w:rFonts w:asciiTheme="minorHAnsi" w:eastAsia="Calibri" w:hAnsiTheme="minorHAnsi" w:cstheme="minorHAnsi"/>
          <w:color w:val="000000"/>
          <w:lang w:val="en-GB"/>
        </w:rPr>
        <w:t xml:space="preserve"> and economic crimes.</w:t>
      </w:r>
      <w:r w:rsidRPr="00AF3138">
        <w:rPr>
          <w:rFonts w:asciiTheme="minorHAnsi" w:eastAsia="Calibri" w:hAnsiTheme="minorHAnsi" w:cstheme="minorHAnsi"/>
          <w:color w:val="000000"/>
          <w:vertAlign w:val="superscript"/>
          <w:lang w:val="en-GB"/>
        </w:rPr>
        <w:footnoteReference w:id="28"/>
      </w:r>
      <w:r w:rsidRPr="00AF3138">
        <w:rPr>
          <w:rFonts w:asciiTheme="minorHAnsi" w:eastAsia="Calibri" w:hAnsiTheme="minorHAnsi" w:cstheme="minorHAnsi"/>
          <w:color w:val="000000"/>
          <w:lang w:val="en-GB"/>
        </w:rPr>
        <w:t xml:space="preserve"> However, if the Police Disciplinary Court does not agree to refer the case to the criminal judiciary, it is not possible to initiate the criminal case, and the perpetrator's punishment is limited to "disciplinary" penalties that range between delaying promotion and, in the most extreme cases, dismissal.</w:t>
      </w:r>
      <w:r w:rsidRPr="00AF3138">
        <w:rPr>
          <w:rFonts w:asciiTheme="minorHAnsi" w:eastAsia="Calibri" w:hAnsiTheme="minorHAnsi" w:cstheme="minorHAnsi"/>
          <w:color w:val="000000"/>
          <w:vertAlign w:val="superscript"/>
          <w:lang w:val="en-GB"/>
        </w:rPr>
        <w:footnoteReference w:id="29"/>
      </w:r>
    </w:p>
    <w:p w14:paraId="0000002D"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It is worth mentioning here that the Police Disciplinary Court is not an independent judicial body. Rather, it is considered one of the organs of the executive authority. It is formed based on a decision of the Presidency of the Council of Ministers, and its judges are police officers appointed by a decree based on the proposal of the Minister of Interior.</w:t>
      </w:r>
      <w:r w:rsidRPr="00AF3138">
        <w:rPr>
          <w:rFonts w:asciiTheme="minorHAnsi" w:eastAsia="Calibri" w:hAnsiTheme="minorHAnsi" w:cstheme="minorHAnsi"/>
          <w:color w:val="000000"/>
          <w:vertAlign w:val="superscript"/>
          <w:lang w:val="en-GB"/>
        </w:rPr>
        <w:footnoteReference w:id="30"/>
      </w:r>
      <w:r w:rsidRPr="00AF3138">
        <w:rPr>
          <w:rFonts w:asciiTheme="minorHAnsi" w:eastAsia="Calibri" w:hAnsiTheme="minorHAnsi" w:cstheme="minorHAnsi"/>
          <w:color w:val="000000"/>
          <w:lang w:val="en-GB"/>
        </w:rPr>
        <w:t xml:space="preserve"> In other words, it can be said that </w:t>
      </w:r>
      <w:r w:rsidRPr="00AF3138">
        <w:rPr>
          <w:rFonts w:asciiTheme="minorHAnsi" w:eastAsia="Calibri" w:hAnsiTheme="minorHAnsi" w:cstheme="minorHAnsi"/>
          <w:color w:val="000000"/>
          <w:lang w:val="en-GB"/>
        </w:rPr>
        <w:lastRenderedPageBreak/>
        <w:t>anyone who has been subjected to torture by members of the military, its intelligence services or ISF will bring the case before courts that are composed of the same organs that the alleged perpetrators are affiliated with, raising questions on the integrity and independence of these courts.</w:t>
      </w:r>
    </w:p>
    <w:p w14:paraId="0000002E"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Furthermore, Legislative Decree No. 14 of 1969 establishing the General Intelligence Department stipulates in Article 16 that it is not permissible to prosecute members of the General Intelligence for crimes they commit while carrying out the tasks entrusted to them, except with the approval of their superiors.</w:t>
      </w:r>
      <w:r w:rsidRPr="00AF3138">
        <w:rPr>
          <w:rFonts w:asciiTheme="minorHAnsi" w:eastAsia="Calibri" w:hAnsiTheme="minorHAnsi" w:cstheme="minorHAnsi"/>
          <w:color w:val="000000"/>
          <w:vertAlign w:val="superscript"/>
          <w:lang w:val="en-GB"/>
        </w:rPr>
        <w:footnoteReference w:id="31"/>
      </w:r>
      <w:r w:rsidRPr="00AF3138">
        <w:rPr>
          <w:rFonts w:asciiTheme="minorHAnsi" w:eastAsia="Calibri" w:hAnsiTheme="minorHAnsi" w:cstheme="minorHAnsi"/>
          <w:color w:val="000000"/>
          <w:lang w:val="en-GB"/>
        </w:rPr>
        <w:t xml:space="preserve"> Practically, this would be very difficult, as the prosecution of agents may lead to the prosecution of their superiors if they are suspected of being involved by commission or omission in the crime.</w:t>
      </w:r>
    </w:p>
    <w:p w14:paraId="0000002F"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Finally, the Syrian authorities issued several amnesty laws that pardon the entire penalty for </w:t>
      </w:r>
      <w:r w:rsidRPr="00AF3138">
        <w:rPr>
          <w:rFonts w:asciiTheme="minorHAnsi" w:hAnsiTheme="minorHAnsi" w:cstheme="minorHAnsi"/>
          <w:lang w:val="en-GB"/>
        </w:rPr>
        <w:t>misdemeanours</w:t>
      </w:r>
      <w:r w:rsidRPr="00AF3138">
        <w:rPr>
          <w:rFonts w:asciiTheme="minorHAnsi" w:eastAsia="Calibri" w:hAnsiTheme="minorHAnsi" w:cstheme="minorHAnsi"/>
          <w:color w:val="000000"/>
          <w:lang w:val="en-GB"/>
        </w:rPr>
        <w:t xml:space="preserve"> between 2011 and 2022. It is worth noting that the </w:t>
      </w:r>
      <w:r w:rsidRPr="00AF3138">
        <w:rPr>
          <w:rFonts w:asciiTheme="minorHAnsi" w:hAnsiTheme="minorHAnsi" w:cstheme="minorHAnsi"/>
          <w:lang w:val="en-GB"/>
        </w:rPr>
        <w:t>misdemeanour</w:t>
      </w:r>
      <w:r w:rsidRPr="00AF3138">
        <w:rPr>
          <w:rFonts w:asciiTheme="minorHAnsi" w:eastAsia="Calibri" w:hAnsiTheme="minorHAnsi" w:cstheme="minorHAnsi"/>
          <w:color w:val="000000"/>
          <w:lang w:val="en-GB"/>
        </w:rPr>
        <w:t xml:space="preserve"> of </w:t>
      </w:r>
      <w:r w:rsidRPr="00AF3138">
        <w:rPr>
          <w:rFonts w:asciiTheme="minorHAnsi" w:hAnsiTheme="minorHAnsi" w:cstheme="minorHAnsi"/>
          <w:lang w:val="en-GB"/>
        </w:rPr>
        <w:t>keeping</w:t>
      </w:r>
      <w:r w:rsidRPr="00AF3138">
        <w:rPr>
          <w:rFonts w:asciiTheme="minorHAnsi" w:eastAsia="Calibri" w:hAnsiTheme="minorHAnsi" w:cstheme="minorHAnsi"/>
          <w:color w:val="000000"/>
          <w:lang w:val="en-GB"/>
        </w:rPr>
        <w:t xml:space="preserve"> persons by state officials in detention </w:t>
      </w:r>
      <w:r w:rsidRPr="00AF3138">
        <w:rPr>
          <w:rFonts w:asciiTheme="minorHAnsi" w:hAnsiTheme="minorHAnsi" w:cstheme="minorHAnsi"/>
          <w:lang w:val="en-GB"/>
        </w:rPr>
        <w:t>centres</w:t>
      </w:r>
      <w:r w:rsidRPr="00AF3138">
        <w:rPr>
          <w:rFonts w:asciiTheme="minorHAnsi" w:eastAsia="Calibri" w:hAnsiTheme="minorHAnsi" w:cstheme="minorHAnsi"/>
          <w:color w:val="000000"/>
          <w:lang w:val="en-GB"/>
        </w:rPr>
        <w:t xml:space="preserve"> without warrants or judicial decisions or keeping them beyond the specified period was pardoned by seven amnesty laws.</w:t>
      </w:r>
      <w:r w:rsidRPr="00AF3138">
        <w:rPr>
          <w:rFonts w:asciiTheme="minorHAnsi" w:eastAsia="Calibri" w:hAnsiTheme="minorHAnsi" w:cstheme="minorHAnsi"/>
          <w:color w:val="000000"/>
          <w:vertAlign w:val="superscript"/>
          <w:lang w:val="en-GB"/>
        </w:rPr>
        <w:footnoteReference w:id="32"/>
      </w:r>
      <w:r w:rsidRPr="00AF3138">
        <w:rPr>
          <w:rFonts w:asciiTheme="minorHAnsi" w:eastAsia="Calibri" w:hAnsiTheme="minorHAnsi" w:cstheme="minorHAnsi"/>
          <w:color w:val="000000"/>
          <w:lang w:val="en-GB"/>
        </w:rPr>
        <w:t xml:space="preserve"> Similarly, the kidnapping felony was pardoned by five previous amnesty laws.</w:t>
      </w:r>
      <w:r w:rsidRPr="00AF3138">
        <w:rPr>
          <w:rFonts w:asciiTheme="minorHAnsi" w:eastAsia="Calibri" w:hAnsiTheme="minorHAnsi" w:cstheme="minorHAnsi"/>
          <w:color w:val="000000"/>
          <w:vertAlign w:val="superscript"/>
          <w:lang w:val="en-GB"/>
        </w:rPr>
        <w:footnoteReference w:id="33"/>
      </w:r>
      <w:r w:rsidRPr="00AF3138">
        <w:rPr>
          <w:rFonts w:asciiTheme="minorHAnsi" w:eastAsia="Calibri" w:hAnsiTheme="minorHAnsi" w:cstheme="minorHAnsi"/>
          <w:color w:val="000000"/>
          <w:lang w:val="en-GB"/>
        </w:rPr>
        <w:t xml:space="preserve"> In other words, what the state claims of prosecuting crimes of kidnapping and deprivation of liberty, which are classified, according to the Syrian government, under the concept of enforced disappearance, is false</w:t>
      </w:r>
      <w:r w:rsidRPr="00AF3138">
        <w:rPr>
          <w:rFonts w:asciiTheme="minorHAnsi" w:hAnsiTheme="minorHAnsi" w:cstheme="minorHAnsi"/>
          <w:lang w:val="en-GB"/>
        </w:rPr>
        <w:t>. T</w:t>
      </w:r>
      <w:r w:rsidRPr="00AF3138">
        <w:rPr>
          <w:rFonts w:asciiTheme="minorHAnsi" w:eastAsia="Calibri" w:hAnsiTheme="minorHAnsi" w:cstheme="minorHAnsi"/>
          <w:color w:val="000000"/>
          <w:lang w:val="en-GB"/>
        </w:rPr>
        <w:t>he state has repeatedly pardoned these crimes</w:t>
      </w:r>
      <w:r w:rsidRPr="00AF3138">
        <w:rPr>
          <w:rFonts w:asciiTheme="minorHAnsi" w:hAnsiTheme="minorHAnsi" w:cstheme="minorHAnsi"/>
          <w:lang w:val="en-GB"/>
        </w:rPr>
        <w:t>, facilitated</w:t>
      </w:r>
      <w:r w:rsidRPr="00AF3138">
        <w:rPr>
          <w:rFonts w:asciiTheme="minorHAnsi" w:eastAsia="Calibri" w:hAnsiTheme="minorHAnsi" w:cstheme="minorHAnsi"/>
          <w:color w:val="000000"/>
          <w:lang w:val="en-GB"/>
        </w:rPr>
        <w:t xml:space="preserve"> the impunity of perpetrators</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and deprived the victims of their right to an effective remedy</w:t>
      </w:r>
      <w:r w:rsidRPr="00AF3138">
        <w:rPr>
          <w:rFonts w:asciiTheme="minorHAnsi" w:hAnsiTheme="minorHAnsi" w:cstheme="minorHAnsi"/>
          <w:lang w:val="en-GB"/>
        </w:rPr>
        <w:t>.</w:t>
      </w:r>
    </w:p>
    <w:p w14:paraId="00000030" w14:textId="77777777" w:rsidR="00E561CC" w:rsidRPr="00AF3138" w:rsidRDefault="00000000" w:rsidP="008E7279">
      <w:pPr>
        <w:pStyle w:val="Heading3"/>
        <w:rPr>
          <w:lang w:val="en-GB"/>
        </w:rPr>
      </w:pPr>
      <w:bookmarkStart w:id="14" w:name="_heading=h.cl9u2xvg3bxj" w:colFirst="0" w:colLast="0"/>
      <w:bookmarkStart w:id="15" w:name="_Toc122446201"/>
      <w:bookmarkEnd w:id="14"/>
      <w:r w:rsidRPr="00AF3138">
        <w:rPr>
          <w:lang w:val="en-GB"/>
        </w:rPr>
        <w:t>Sham procedures by the State to evade its responsibility</w:t>
      </w:r>
      <w:bookmarkEnd w:id="15"/>
      <w:r w:rsidRPr="00AF3138">
        <w:rPr>
          <w:lang w:val="en-GB"/>
        </w:rPr>
        <w:t xml:space="preserve"> </w:t>
      </w:r>
    </w:p>
    <w:p w14:paraId="00000031"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Permanent Representative of Syria to the United Nations indicated that the Syrian government had "established a mechanism to inquire about the missing during the years of war, as the </w:t>
      </w:r>
      <w:r w:rsidRPr="00AF3138">
        <w:rPr>
          <w:rFonts w:asciiTheme="minorHAnsi" w:hAnsiTheme="minorHAnsi" w:cstheme="minorHAnsi"/>
          <w:lang w:val="en-GB"/>
        </w:rPr>
        <w:t>M</w:t>
      </w:r>
      <w:r w:rsidRPr="00AF3138">
        <w:rPr>
          <w:rFonts w:asciiTheme="minorHAnsi" w:eastAsia="Calibri" w:hAnsiTheme="minorHAnsi" w:cstheme="minorHAnsi"/>
          <w:color w:val="000000"/>
          <w:lang w:val="en-GB"/>
        </w:rPr>
        <w:t xml:space="preserve">inistries of Justice, Interior, and National Reconciliation previously worked to receive citizens’ requests to inquire about detainees at the official authorities, and they were answered </w:t>
      </w:r>
      <w:r w:rsidRPr="00AF3138">
        <w:rPr>
          <w:rFonts w:asciiTheme="minorHAnsi" w:hAnsiTheme="minorHAnsi" w:cstheme="minorHAnsi"/>
          <w:lang w:val="en-GB"/>
        </w:rPr>
        <w:t>with the reason of</w:t>
      </w:r>
      <w:r w:rsidRPr="00AF3138">
        <w:rPr>
          <w:rFonts w:asciiTheme="minorHAnsi" w:eastAsia="Calibri" w:hAnsiTheme="minorHAnsi" w:cstheme="minorHAnsi"/>
          <w:color w:val="000000"/>
          <w:lang w:val="en-GB"/>
        </w:rPr>
        <w:t xml:space="preserve"> the arrest, the place of detention, the </w:t>
      </w:r>
      <w:r w:rsidRPr="00AF3138">
        <w:rPr>
          <w:rFonts w:asciiTheme="minorHAnsi" w:hAnsiTheme="minorHAnsi" w:cstheme="minorHAnsi"/>
          <w:lang w:val="en-GB"/>
        </w:rPr>
        <w:t>offense</w:t>
      </w:r>
      <w:r w:rsidRPr="00AF3138">
        <w:rPr>
          <w:rFonts w:asciiTheme="minorHAnsi" w:eastAsia="Calibri" w:hAnsiTheme="minorHAnsi" w:cstheme="minorHAnsi"/>
          <w:color w:val="000000"/>
          <w:lang w:val="en-GB"/>
        </w:rPr>
        <w:t xml:space="preserve">, the judicial authority to which they were referred, and the judicial measures taken against the missing." The ambassador also </w:t>
      </w:r>
      <w:r w:rsidRPr="00AF3138">
        <w:rPr>
          <w:rFonts w:asciiTheme="minorHAnsi" w:eastAsia="Calibri" w:hAnsiTheme="minorHAnsi" w:cstheme="minorHAnsi"/>
          <w:color w:val="000000"/>
          <w:lang w:val="en-GB"/>
        </w:rPr>
        <w:lastRenderedPageBreak/>
        <w:t>confirmed that "there are no hidden lists of the names of the missing and there are circulars issued by the authorities concerned with informing the families of the missing when they are arrested, and the names of detainees in prisons</w:t>
      </w:r>
      <w:r w:rsidRPr="00AF3138">
        <w:rPr>
          <w:rFonts w:asciiTheme="minorHAnsi" w:hAnsiTheme="minorHAnsi" w:cstheme="minorHAnsi"/>
          <w:lang w:val="en-GB"/>
        </w:rPr>
        <w:t>, who</w:t>
      </w:r>
      <w:r w:rsidRPr="00AF3138">
        <w:rPr>
          <w:rFonts w:asciiTheme="minorHAnsi" w:eastAsia="Calibri" w:hAnsiTheme="minorHAnsi" w:cstheme="minorHAnsi"/>
          <w:color w:val="000000"/>
          <w:lang w:val="en-GB"/>
        </w:rPr>
        <w:t xml:space="preserve"> have the right to contact their families."</w:t>
      </w:r>
      <w:r w:rsidRPr="00AF3138">
        <w:rPr>
          <w:rFonts w:asciiTheme="minorHAnsi" w:eastAsia="Calibri" w:hAnsiTheme="minorHAnsi" w:cstheme="minorHAnsi"/>
          <w:color w:val="000000"/>
          <w:vertAlign w:val="superscript"/>
          <w:lang w:val="en-GB"/>
        </w:rPr>
        <w:footnoteReference w:id="34"/>
      </w:r>
    </w:p>
    <w:p w14:paraId="00000032"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Discussing this mechanism cannot be isolated from the general context of the crime of enforced disappearance in Syria referred to above. The State asserted its refusal to criminalize enforced disappearance as an autonomous crime, its reluctance to join the International Convention for the Protection of All Persons from Enforced Disappearance, its failure to cooperate with the Working Group on Enforced or Involuntary Disappearances, its refusal to disclose lists of names of detainees in security branches, its issuance of death notifications after several years with the names of some of the disappeared, its failure to hand over the bodies to their families or reveal the cause of their death</w:t>
      </w:r>
      <w:r w:rsidRPr="00AF3138">
        <w:rPr>
          <w:rFonts w:asciiTheme="minorHAnsi" w:hAnsiTheme="minorHAnsi" w:cstheme="minorHAnsi"/>
          <w:lang w:val="en-GB"/>
        </w:rPr>
        <w:t>, l</w:t>
      </w:r>
      <w:r w:rsidRPr="00AF3138">
        <w:rPr>
          <w:rFonts w:asciiTheme="minorHAnsi" w:eastAsia="Calibri" w:hAnsiTheme="minorHAnsi" w:cstheme="minorHAnsi"/>
          <w:color w:val="000000"/>
          <w:lang w:val="en-GB"/>
        </w:rPr>
        <w:t>et alone the complexity of remedies for victims and the provision of immunity to perpetrators.  All of this indicates the government's lack of sincere intention to reveal the fate of the missing. Therefore, these indicators cannot be undermined while understanding th</w:t>
      </w:r>
      <w:r w:rsidRPr="00AF3138">
        <w:rPr>
          <w:rFonts w:asciiTheme="minorHAnsi" w:hAnsiTheme="minorHAnsi" w:cstheme="minorHAnsi"/>
          <w:lang w:val="en-GB"/>
        </w:rPr>
        <w:t xml:space="preserve">e mentioned national </w:t>
      </w:r>
      <w:r w:rsidRPr="00AF3138">
        <w:rPr>
          <w:rFonts w:asciiTheme="minorHAnsi" w:eastAsia="Calibri" w:hAnsiTheme="minorHAnsi" w:cstheme="minorHAnsi"/>
          <w:color w:val="000000"/>
          <w:lang w:val="en-GB"/>
        </w:rPr>
        <w:t xml:space="preserve">mechanism. </w:t>
      </w:r>
    </w:p>
    <w:p w14:paraId="00000033"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he ambassador</w:t>
      </w:r>
      <w:r w:rsidRPr="00AF3138">
        <w:rPr>
          <w:rFonts w:asciiTheme="minorHAnsi" w:hAnsiTheme="minorHAnsi" w:cstheme="minorHAnsi"/>
          <w:lang w:val="en-GB"/>
        </w:rPr>
        <w:t xml:space="preserve"> stated</w:t>
      </w:r>
      <w:r w:rsidRPr="00AF3138">
        <w:rPr>
          <w:rFonts w:asciiTheme="minorHAnsi" w:eastAsia="Calibri" w:hAnsiTheme="minorHAnsi" w:cstheme="minorHAnsi"/>
          <w:color w:val="000000"/>
          <w:lang w:val="en-GB"/>
        </w:rPr>
        <w:t xml:space="preserve"> that the lists of the names of detainees in prisons are made public, ignoring those who are missing in security branches and unofficial places of detention as their names are not announced nor are their </w:t>
      </w:r>
      <w:r w:rsidRPr="00AF3138">
        <w:rPr>
          <w:rFonts w:asciiTheme="minorHAnsi" w:hAnsiTheme="minorHAnsi" w:cstheme="minorHAnsi"/>
          <w:lang w:val="en-GB"/>
        </w:rPr>
        <w:t>whereabouts known</w:t>
      </w:r>
      <w:r w:rsidRPr="00AF3138">
        <w:rPr>
          <w:rFonts w:asciiTheme="minorHAnsi" w:eastAsia="Calibri" w:hAnsiTheme="minorHAnsi" w:cstheme="minorHAnsi"/>
          <w:color w:val="000000"/>
          <w:lang w:val="en-GB"/>
        </w:rPr>
        <w:t xml:space="preserve">. A recent example that indicates the judiciary and public prosecution's ignorance of the fate and whereabouts of those who disappeared in security branches is circular (No.22). The circular issued by the Minister of Justice on 10. Aug.2022 to judges concerning establishing the fact of death cases; it says: </w:t>
      </w:r>
    </w:p>
    <w:p w14:paraId="00000034" w14:textId="77777777" w:rsidR="00E561CC" w:rsidRPr="00AF3138" w:rsidRDefault="00000000">
      <w:pPr>
        <w:pBdr>
          <w:top w:val="nil"/>
          <w:left w:val="nil"/>
          <w:bottom w:val="nil"/>
          <w:right w:val="nil"/>
          <w:between w:val="nil"/>
        </w:pBdr>
        <w:spacing w:after="0"/>
        <w:ind w:left="1152"/>
        <w:jc w:val="both"/>
        <w:rPr>
          <w:rFonts w:asciiTheme="minorHAnsi" w:eastAsia="Calibri" w:hAnsiTheme="minorHAnsi" w:cstheme="minorHAnsi"/>
          <w:i/>
          <w:color w:val="000000"/>
          <w:sz w:val="20"/>
          <w:szCs w:val="20"/>
          <w:lang w:val="en-GB"/>
        </w:rPr>
      </w:pPr>
      <w:r w:rsidRPr="00AF3138">
        <w:rPr>
          <w:rFonts w:asciiTheme="minorHAnsi" w:eastAsia="Calibri" w:hAnsiTheme="minorHAnsi" w:cstheme="minorHAnsi"/>
          <w:i/>
          <w:color w:val="000000"/>
          <w:sz w:val="20"/>
          <w:szCs w:val="20"/>
          <w:lang w:val="en-GB"/>
        </w:rPr>
        <w:t xml:space="preserve">"We call upon the competent judges, during their consideration of establishing the fact of death cases, to ensure the availability of the following evidence and evidentiary data: </w:t>
      </w:r>
    </w:p>
    <w:p w14:paraId="00000035" w14:textId="77777777" w:rsidR="00E561CC" w:rsidRPr="00AF3138" w:rsidRDefault="00000000">
      <w:pPr>
        <w:pBdr>
          <w:top w:val="nil"/>
          <w:left w:val="nil"/>
          <w:bottom w:val="nil"/>
          <w:right w:val="nil"/>
          <w:between w:val="nil"/>
        </w:pBdr>
        <w:spacing w:after="0"/>
        <w:ind w:left="1152"/>
        <w:jc w:val="both"/>
        <w:rPr>
          <w:rFonts w:asciiTheme="minorHAnsi" w:eastAsia="Calibri" w:hAnsiTheme="minorHAnsi" w:cstheme="minorHAnsi"/>
          <w:i/>
          <w:color w:val="000000"/>
          <w:sz w:val="20"/>
          <w:szCs w:val="20"/>
          <w:lang w:val="en-GB"/>
        </w:rPr>
      </w:pPr>
      <w:r w:rsidRPr="00AF3138">
        <w:rPr>
          <w:rFonts w:asciiTheme="minorHAnsi" w:eastAsia="Calibri" w:hAnsiTheme="minorHAnsi" w:cstheme="minorHAnsi"/>
          <w:i/>
          <w:color w:val="000000"/>
          <w:sz w:val="20"/>
          <w:szCs w:val="20"/>
          <w:lang w:val="en-GB"/>
        </w:rPr>
        <w:t>1- Engage the Public Prosecution in the case</w:t>
      </w:r>
    </w:p>
    <w:p w14:paraId="00000036" w14:textId="77777777" w:rsidR="00E561CC" w:rsidRPr="00AF3138" w:rsidRDefault="00000000">
      <w:pPr>
        <w:pBdr>
          <w:top w:val="nil"/>
          <w:left w:val="nil"/>
          <w:bottom w:val="nil"/>
          <w:right w:val="nil"/>
          <w:between w:val="nil"/>
        </w:pBdr>
        <w:spacing w:after="0"/>
        <w:ind w:left="1152"/>
        <w:jc w:val="both"/>
        <w:rPr>
          <w:rFonts w:asciiTheme="minorHAnsi" w:eastAsia="Calibri" w:hAnsiTheme="minorHAnsi" w:cstheme="minorHAnsi"/>
          <w:i/>
          <w:color w:val="000000"/>
          <w:sz w:val="20"/>
          <w:szCs w:val="20"/>
          <w:lang w:val="en-GB"/>
        </w:rPr>
      </w:pPr>
      <w:r w:rsidRPr="00AF3138">
        <w:rPr>
          <w:rFonts w:asciiTheme="minorHAnsi" w:eastAsia="Calibri" w:hAnsiTheme="minorHAnsi" w:cstheme="minorHAnsi"/>
          <w:i/>
          <w:color w:val="000000"/>
          <w:sz w:val="20"/>
          <w:szCs w:val="20"/>
          <w:lang w:val="en-GB"/>
        </w:rPr>
        <w:t xml:space="preserve">2- Request the Criminal Security Branch to </w:t>
      </w:r>
      <w:r w:rsidRPr="00AF3138">
        <w:rPr>
          <w:rFonts w:asciiTheme="minorHAnsi" w:hAnsiTheme="minorHAnsi" w:cstheme="minorHAnsi"/>
          <w:b/>
          <w:i/>
          <w:color w:val="000000"/>
          <w:sz w:val="20"/>
          <w:szCs w:val="20"/>
          <w:lang w:val="en-GB"/>
        </w:rPr>
        <w:t>communicate with the other security branches to know if they have information about the one whose death needs to be confirmed or obtain a security clearance for that</w:t>
      </w:r>
      <w:r w:rsidRPr="00AF3138">
        <w:rPr>
          <w:rFonts w:asciiTheme="minorHAnsi" w:eastAsia="Calibri" w:hAnsiTheme="minorHAnsi" w:cstheme="minorHAnsi"/>
          <w:i/>
          <w:color w:val="000000"/>
          <w:sz w:val="20"/>
          <w:szCs w:val="20"/>
          <w:lang w:val="en-GB"/>
        </w:rPr>
        <w:t>".</w:t>
      </w:r>
    </w:p>
    <w:p w14:paraId="00000037" w14:textId="77777777" w:rsidR="00E561CC" w:rsidRPr="00AF3138" w:rsidRDefault="00000000">
      <w:pPr>
        <w:pBdr>
          <w:top w:val="nil"/>
          <w:left w:val="nil"/>
          <w:bottom w:val="nil"/>
          <w:right w:val="nil"/>
          <w:between w:val="nil"/>
        </w:pBdr>
        <w:spacing w:after="0"/>
        <w:ind w:left="450"/>
        <w:jc w:val="both"/>
        <w:rPr>
          <w:rFonts w:asciiTheme="minorHAnsi" w:hAnsiTheme="minorHAnsi" w:cstheme="minorHAnsi"/>
          <w:lang w:val="en-GB"/>
        </w:rPr>
      </w:pPr>
      <w:r w:rsidRPr="00AF3138">
        <w:rPr>
          <w:rFonts w:asciiTheme="minorHAnsi" w:eastAsia="Calibri" w:hAnsiTheme="minorHAnsi" w:cstheme="minorHAnsi"/>
          <w:color w:val="000000"/>
          <w:lang w:val="en-GB"/>
        </w:rPr>
        <w:t xml:space="preserve">This circular indirectly indicates the security branches' responsibility for enforced disappearance crimes. As mentioned earlier, any detainee shall be brought before the competent judge within 24 hours. After issuing decree 55/2011, suspects of state security crimes can be detained before presenting to the judge or for up to 60 days upon the permission of the Public Prosecutor. Therefore, it is definite that the Public Prosecution shall be informed of detainees' names and whereabouts. However, the new circular indicates that the Public Prosecution might not have </w:t>
      </w:r>
      <w:r w:rsidRPr="00AF3138">
        <w:rPr>
          <w:rFonts w:asciiTheme="minorHAnsi" w:eastAsia="Calibri" w:hAnsiTheme="minorHAnsi" w:cstheme="minorHAnsi"/>
          <w:color w:val="000000"/>
          <w:lang w:val="en-GB"/>
        </w:rPr>
        <w:lastRenderedPageBreak/>
        <w:t>this information. Therefore, the information shall be obtained through communication with the security branches, which allegedly forcibly disappear the victim.</w:t>
      </w:r>
      <w:r w:rsidRPr="00AF3138">
        <w:rPr>
          <w:rFonts w:asciiTheme="minorHAnsi" w:hAnsiTheme="minorHAnsi" w:cstheme="minorHAnsi"/>
          <w:lang w:val="en-GB"/>
        </w:rPr>
        <w:t xml:space="preserve"> Moreover, this circular requires obtaining a security clearance from security branches to establish the fact of death, which gives these branches more power to abuse in such cases. For instance, they might coerce the victims' families to change the death causes and claim that it occurred naturally or by non-state armed groups </w:t>
      </w:r>
      <w:proofErr w:type="gramStart"/>
      <w:r w:rsidRPr="00AF3138">
        <w:rPr>
          <w:rFonts w:asciiTheme="minorHAnsi" w:hAnsiTheme="minorHAnsi" w:cstheme="minorHAnsi"/>
          <w:lang w:val="en-GB"/>
        </w:rPr>
        <w:t>in order to</w:t>
      </w:r>
      <w:proofErr w:type="gramEnd"/>
      <w:r w:rsidRPr="00AF3138">
        <w:rPr>
          <w:rFonts w:asciiTheme="minorHAnsi" w:hAnsiTheme="minorHAnsi" w:cstheme="minorHAnsi"/>
          <w:lang w:val="en-GB"/>
        </w:rPr>
        <w:t xml:space="preserve"> obtain a security clearance, especially if the decedent passed at the hands of security agents. </w:t>
      </w:r>
    </w:p>
    <w:p w14:paraId="00000038"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h</w:t>
      </w:r>
      <w:r w:rsidRPr="00AF3138">
        <w:rPr>
          <w:rFonts w:asciiTheme="minorHAnsi" w:hAnsiTheme="minorHAnsi" w:cstheme="minorHAnsi"/>
          <w:lang w:val="en-GB"/>
        </w:rPr>
        <w:t>e national</w:t>
      </w:r>
      <w:r w:rsidRPr="00AF3138">
        <w:rPr>
          <w:rFonts w:asciiTheme="minorHAnsi" w:eastAsia="Calibri" w:hAnsiTheme="minorHAnsi" w:cstheme="minorHAnsi"/>
          <w:color w:val="000000"/>
          <w:lang w:val="en-GB"/>
        </w:rPr>
        <w:t xml:space="preserve"> mechanism </w:t>
      </w:r>
      <w:r w:rsidRPr="00AF3138">
        <w:rPr>
          <w:rFonts w:asciiTheme="minorHAnsi" w:hAnsiTheme="minorHAnsi" w:cstheme="minorHAnsi"/>
          <w:lang w:val="en-GB"/>
        </w:rPr>
        <w:t>mentioned</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by Syria</w:t>
      </w:r>
      <w:r w:rsidRPr="00AF3138">
        <w:rPr>
          <w:rFonts w:asciiTheme="minorHAnsi" w:eastAsia="Calibri" w:hAnsiTheme="minorHAnsi" w:cstheme="minorHAnsi"/>
          <w:color w:val="000000"/>
          <w:lang w:val="en-GB"/>
        </w:rPr>
        <w:t xml:space="preserve"> works through offices in the </w:t>
      </w:r>
      <w:proofErr w:type="gramStart"/>
      <w:r w:rsidRPr="00AF3138">
        <w:rPr>
          <w:rFonts w:asciiTheme="minorHAnsi" w:eastAsia="Calibri" w:hAnsiTheme="minorHAnsi" w:cstheme="minorHAnsi"/>
          <w:color w:val="000000"/>
          <w:lang w:val="en-GB"/>
        </w:rPr>
        <w:t>aforementioned ministries</w:t>
      </w:r>
      <w:proofErr w:type="gramEnd"/>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These offices do not provide the families of the missing, their lawyers, or anyone who has a legitimate interest, with any adequate answers about the missing, especially those detained by the security branches. Furthermore, this mechanism </w:t>
      </w:r>
      <w:r w:rsidRPr="00AF3138">
        <w:rPr>
          <w:rFonts w:asciiTheme="minorHAnsi" w:hAnsiTheme="minorHAnsi" w:cstheme="minorHAnsi"/>
          <w:lang w:val="en-GB"/>
        </w:rPr>
        <w:t>cannot</w:t>
      </w:r>
      <w:r w:rsidRPr="00AF3138">
        <w:rPr>
          <w:rFonts w:asciiTheme="minorHAnsi" w:eastAsia="Calibri" w:hAnsiTheme="minorHAnsi" w:cstheme="minorHAnsi"/>
          <w:color w:val="000000"/>
          <w:lang w:val="en-GB"/>
        </w:rPr>
        <w:t xml:space="preserve"> provide any information about the disappearance in areas outside the government's control. </w:t>
      </w:r>
      <w:r w:rsidRPr="00AF3138">
        <w:rPr>
          <w:rFonts w:asciiTheme="minorHAnsi" w:hAnsiTheme="minorHAnsi" w:cstheme="minorHAnsi"/>
          <w:lang w:val="en-GB"/>
        </w:rPr>
        <w:t>Notably, there is no public and transparent information, beyond the words of State officials, about this mechanism or its working procedures and results.</w:t>
      </w:r>
      <w:r w:rsidRPr="00AF3138">
        <w:rPr>
          <w:rFonts w:asciiTheme="minorHAnsi" w:eastAsia="Calibri" w:hAnsiTheme="minorHAnsi" w:cstheme="minorHAnsi"/>
          <w:color w:val="000000"/>
          <w:lang w:val="en-GB"/>
        </w:rPr>
        <w:t xml:space="preserve"> </w:t>
      </w:r>
      <w:proofErr w:type="gramStart"/>
      <w:r w:rsidRPr="00AF3138">
        <w:rPr>
          <w:rFonts w:asciiTheme="minorHAnsi" w:eastAsia="Calibri" w:hAnsiTheme="minorHAnsi" w:cstheme="minorHAnsi"/>
          <w:color w:val="000000"/>
          <w:lang w:val="en-GB"/>
        </w:rPr>
        <w:t>All of</w:t>
      </w:r>
      <w:proofErr w:type="gramEnd"/>
      <w:r w:rsidRPr="00AF3138">
        <w:rPr>
          <w:rFonts w:asciiTheme="minorHAnsi" w:eastAsia="Calibri" w:hAnsiTheme="minorHAnsi" w:cstheme="minorHAnsi"/>
          <w:color w:val="000000"/>
          <w:lang w:val="en-GB"/>
        </w:rPr>
        <w:t xml:space="preserve"> these shortcomings </w:t>
      </w:r>
      <w:r w:rsidRPr="00AF3138">
        <w:rPr>
          <w:rFonts w:asciiTheme="minorHAnsi" w:hAnsiTheme="minorHAnsi" w:cstheme="minorHAnsi"/>
          <w:lang w:val="en-GB"/>
        </w:rPr>
        <w:t>prolong the period of enforced disappearance and deprive</w:t>
      </w:r>
      <w:r w:rsidRPr="00AF3138">
        <w:rPr>
          <w:rFonts w:asciiTheme="minorHAnsi" w:eastAsia="Calibri" w:hAnsiTheme="minorHAnsi" w:cstheme="minorHAnsi"/>
          <w:color w:val="000000"/>
          <w:lang w:val="en-GB"/>
        </w:rPr>
        <w:t xml:space="preserve"> the families of any real, detailed and sufficient information about the fate and whereabouts of their loved ones. </w:t>
      </w:r>
    </w:p>
    <w:p w14:paraId="00000039" w14:textId="4743E08D"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In this regard, the </w:t>
      </w:r>
      <w:proofErr w:type="spellStart"/>
      <w:r w:rsidRPr="00AF3138">
        <w:rPr>
          <w:rFonts w:asciiTheme="minorHAnsi" w:eastAsia="Calibri" w:hAnsiTheme="minorHAnsi" w:cstheme="minorHAnsi"/>
          <w:color w:val="000000"/>
          <w:lang w:val="en-GB"/>
        </w:rPr>
        <w:t>CoI</w:t>
      </w:r>
      <w:proofErr w:type="spellEnd"/>
      <w:r w:rsidRPr="00AF3138">
        <w:rPr>
          <w:rFonts w:asciiTheme="minorHAnsi" w:eastAsia="Calibri" w:hAnsiTheme="minorHAnsi" w:cstheme="minorHAnsi"/>
          <w:color w:val="000000"/>
          <w:lang w:val="en-GB"/>
        </w:rPr>
        <w:t xml:space="preserve"> concluded that the Syrian government had established a group of entities that ostensibly aimed to reveal the fate of missing and forcibly disappeared persons and to assist families in finding their relatives. But in fact, </w:t>
      </w:r>
      <w:r w:rsidR="008E7279" w:rsidRPr="00AF3138">
        <w:rPr>
          <w:rFonts w:asciiTheme="minorHAnsi" w:eastAsia="Calibri" w:hAnsiTheme="minorHAnsi" w:cstheme="minorHAnsi"/>
          <w:color w:val="000000"/>
          <w:lang w:val="en-GB"/>
        </w:rPr>
        <w:t xml:space="preserve">only </w:t>
      </w:r>
      <w:r w:rsidR="008E7279" w:rsidRPr="00AF3138">
        <w:rPr>
          <w:rFonts w:asciiTheme="minorHAnsi" w:hAnsiTheme="minorHAnsi" w:cstheme="minorHAnsi"/>
          <w:lang w:val="en-GB"/>
        </w:rPr>
        <w:t>little</w:t>
      </w:r>
      <w:r w:rsidRPr="00AF3138">
        <w:rPr>
          <w:rFonts w:asciiTheme="minorHAnsi" w:eastAsia="Calibri" w:hAnsiTheme="minorHAnsi" w:cstheme="minorHAnsi"/>
          <w:color w:val="000000"/>
          <w:lang w:val="en-GB"/>
        </w:rPr>
        <w:t xml:space="preserve"> information came to light. The families claim that</w:t>
      </w:r>
      <w:r w:rsidRPr="00AF3138">
        <w:rPr>
          <w:rFonts w:asciiTheme="minorHAnsi" w:hAnsiTheme="minorHAnsi" w:cstheme="minorHAnsi"/>
          <w:lang w:val="en-GB"/>
        </w:rPr>
        <w:t xml:space="preserve">, </w:t>
      </w:r>
      <w:r w:rsidRPr="00AF3138">
        <w:rPr>
          <w:rFonts w:asciiTheme="minorHAnsi" w:eastAsia="Calibri" w:hAnsiTheme="minorHAnsi" w:cstheme="minorHAnsi"/>
          <w:color w:val="000000"/>
          <w:lang w:val="en-GB"/>
        </w:rPr>
        <w:t>in many cases</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the state deliberately withholds information rather than actively seeks to clarify the fate and whereabouts of missing persons. According to the Office of the High Commissioner for Human Rights, family members of detainees and missing persons in Syria reported that they were unable to obtain critical information about the whereabouts of their relatives despite communicating with these entities referred to by the Syrian ambassador, which confirms the limited effective communication of these entities with the affected families.</w:t>
      </w:r>
      <w:r w:rsidRPr="00AF3138">
        <w:rPr>
          <w:rFonts w:asciiTheme="minorHAnsi" w:eastAsia="Calibri" w:hAnsiTheme="minorHAnsi" w:cstheme="minorHAnsi"/>
          <w:color w:val="000000"/>
          <w:vertAlign w:val="superscript"/>
          <w:lang w:val="en-GB"/>
        </w:rPr>
        <w:footnoteReference w:id="35"/>
      </w:r>
      <w:r w:rsidRPr="00AF3138">
        <w:rPr>
          <w:rFonts w:asciiTheme="minorHAnsi" w:eastAsia="Calibri" w:hAnsiTheme="minorHAnsi" w:cstheme="minorHAnsi"/>
          <w:color w:val="000000"/>
          <w:lang w:val="en-GB"/>
        </w:rPr>
        <w:t xml:space="preserve"> Thus, this mechanism is ineffective, </w:t>
      </w:r>
      <w:r w:rsidR="008E7279" w:rsidRPr="00AF3138">
        <w:rPr>
          <w:rFonts w:asciiTheme="minorHAnsi" w:hAnsiTheme="minorHAnsi" w:cstheme="minorHAnsi"/>
          <w:lang w:val="en-GB"/>
        </w:rPr>
        <w:t>in</w:t>
      </w:r>
      <w:r w:rsidR="008E7279" w:rsidRPr="00AF3138">
        <w:rPr>
          <w:rFonts w:asciiTheme="minorHAnsi" w:eastAsia="Roboto" w:hAnsiTheme="minorHAnsi" w:cstheme="minorHAnsi"/>
          <w:sz w:val="21"/>
          <w:szCs w:val="21"/>
          <w:lang w:val="en-GB"/>
        </w:rPr>
        <w:t>accessible</w:t>
      </w:r>
      <w:r w:rsidRPr="00AF3138">
        <w:rPr>
          <w:rFonts w:asciiTheme="minorHAnsi" w:eastAsia="Roboto" w:hAnsiTheme="minorHAnsi" w:cstheme="minorHAnsi"/>
          <w:sz w:val="21"/>
          <w:szCs w:val="21"/>
          <w:lang w:val="en-GB"/>
        </w:rPr>
        <w:t xml:space="preserve">, </w:t>
      </w:r>
      <w:r w:rsidRPr="00AF3138">
        <w:rPr>
          <w:rFonts w:asciiTheme="minorHAnsi" w:eastAsia="Calibri" w:hAnsiTheme="minorHAnsi" w:cstheme="minorHAnsi"/>
          <w:color w:val="000000"/>
          <w:lang w:val="en-GB"/>
        </w:rPr>
        <w:t>not comprehensive, and therefore unreliable for victims.</w:t>
      </w:r>
    </w:p>
    <w:p w14:paraId="0000003A"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Roboto" w:hAnsiTheme="minorHAnsi" w:cstheme="minorHAnsi"/>
          <w:sz w:val="21"/>
          <w:szCs w:val="21"/>
          <w:lang w:val="en-GB"/>
        </w:rPr>
        <w:t>Additionally, a remedy should lead to the cessation of the violation and to an investigation.</w:t>
      </w:r>
      <w:r w:rsidRPr="00AF3138">
        <w:rPr>
          <w:rFonts w:asciiTheme="minorHAnsi" w:eastAsia="Calibri" w:hAnsiTheme="minorHAnsi" w:cstheme="minorHAnsi"/>
          <w:color w:val="000000"/>
          <w:lang w:val="en-GB"/>
        </w:rPr>
        <w:t xml:space="preserve"> In any case, this mechanism does not </w:t>
      </w:r>
      <w:r w:rsidRPr="00AF3138">
        <w:rPr>
          <w:rFonts w:asciiTheme="minorHAnsi" w:hAnsiTheme="minorHAnsi" w:cstheme="minorHAnsi"/>
          <w:lang w:val="en-GB"/>
        </w:rPr>
        <w:t xml:space="preserve">end the prolonged detention of detainees before they are brought to the judiciary, </w:t>
      </w:r>
      <w:r w:rsidRPr="00AF3138">
        <w:rPr>
          <w:rFonts w:asciiTheme="minorHAnsi" w:eastAsia="Calibri" w:hAnsiTheme="minorHAnsi" w:cstheme="minorHAnsi"/>
          <w:color w:val="000000"/>
          <w:lang w:val="en-GB"/>
        </w:rPr>
        <w:t xml:space="preserve">codified by Legislative Decree No. 55 of 2011. Additionally, it doesn’t guarantee that the necessary investigations will be conducted, the perpetrators will be identified, and they </w:t>
      </w:r>
      <w:r w:rsidRPr="00AF3138">
        <w:rPr>
          <w:rFonts w:asciiTheme="minorHAnsi" w:eastAsia="Calibri" w:hAnsiTheme="minorHAnsi" w:cstheme="minorHAnsi"/>
          <w:color w:val="000000"/>
          <w:lang w:val="en-GB"/>
        </w:rPr>
        <w:lastRenderedPageBreak/>
        <w:t>will be held accountable. Thus, it cannot be said in any way that this mechanism can be relied upon to reduce the crime of enforced disappearance and to guarantee the victims' right to truth, access to information, effective remedy and non-repetition. On the contrary, this mechanism does not enjoy any form of independence, clarity, effectiveness</w:t>
      </w:r>
      <w:r w:rsidRPr="00AF3138">
        <w:rPr>
          <w:rFonts w:asciiTheme="minorHAnsi" w:hAnsiTheme="minorHAnsi" w:cstheme="minorHAnsi"/>
          <w:lang w:val="en-GB"/>
        </w:rPr>
        <w:t xml:space="preserve">, accessibility, </w:t>
      </w:r>
      <w:r w:rsidRPr="00AF3138">
        <w:rPr>
          <w:rFonts w:asciiTheme="minorHAnsi" w:eastAsia="Calibri" w:hAnsiTheme="minorHAnsi" w:cstheme="minorHAnsi"/>
          <w:color w:val="000000"/>
          <w:lang w:val="en-GB"/>
        </w:rPr>
        <w:t xml:space="preserve">and comprehensiveness. Therefore, it is not an effective </w:t>
      </w:r>
      <w:r w:rsidRPr="00AF3138">
        <w:rPr>
          <w:rFonts w:asciiTheme="minorHAnsi" w:hAnsiTheme="minorHAnsi" w:cstheme="minorHAnsi"/>
          <w:lang w:val="en-GB"/>
        </w:rPr>
        <w:t>remedy</w:t>
      </w:r>
      <w:r w:rsidRPr="00AF3138">
        <w:rPr>
          <w:rFonts w:asciiTheme="minorHAnsi" w:eastAsia="Calibri" w:hAnsiTheme="minorHAnsi" w:cstheme="minorHAnsi"/>
          <w:color w:val="000000"/>
          <w:lang w:val="en-GB"/>
        </w:rPr>
        <w:t xml:space="preserve"> for the families of the missing, who </w:t>
      </w:r>
      <w:r w:rsidRPr="00AF3138">
        <w:rPr>
          <w:rFonts w:asciiTheme="minorHAnsi" w:hAnsiTheme="minorHAnsi" w:cstheme="minorHAnsi"/>
          <w:lang w:val="en-GB"/>
        </w:rPr>
        <w:t>might</w:t>
      </w:r>
      <w:r w:rsidRPr="00AF3138">
        <w:rPr>
          <w:rFonts w:asciiTheme="minorHAnsi" w:eastAsia="Calibri" w:hAnsiTheme="minorHAnsi" w:cstheme="minorHAnsi"/>
          <w:color w:val="000000"/>
          <w:lang w:val="en-GB"/>
        </w:rPr>
        <w:t xml:space="preserve">, in the first place, fear approaching state agencies to ask about their relatives.  </w:t>
      </w:r>
    </w:p>
    <w:p w14:paraId="0000003B" w14:textId="77777777" w:rsidR="00E561CC" w:rsidRPr="00AF3138" w:rsidRDefault="00E561CC">
      <w:pPr>
        <w:ind w:left="360"/>
        <w:jc w:val="both"/>
        <w:rPr>
          <w:rFonts w:asciiTheme="minorHAnsi" w:hAnsiTheme="minorHAnsi" w:cstheme="minorHAnsi"/>
          <w:lang w:val="en-GB"/>
        </w:rPr>
      </w:pPr>
    </w:p>
    <w:p w14:paraId="0000003C" w14:textId="21535F3C" w:rsidR="00E561CC" w:rsidRPr="00AF3138" w:rsidRDefault="00000000" w:rsidP="008E7279">
      <w:pPr>
        <w:pBdr>
          <w:top w:val="single" w:sz="4" w:space="1" w:color="000000"/>
          <w:left w:val="single" w:sz="4" w:space="4" w:color="000000"/>
          <w:bottom w:val="single" w:sz="4" w:space="1" w:color="000000"/>
          <w:right w:val="single" w:sz="4" w:space="4" w:color="000000"/>
        </w:pBdr>
        <w:shd w:val="clear" w:color="auto" w:fill="E7E6E6" w:themeFill="background2"/>
        <w:ind w:left="360"/>
        <w:jc w:val="both"/>
        <w:rPr>
          <w:rFonts w:asciiTheme="minorHAnsi" w:hAnsiTheme="minorHAnsi" w:cstheme="minorHAnsi"/>
          <w:highlight w:val="none"/>
          <w:lang w:val="en-GB"/>
        </w:rPr>
      </w:pPr>
      <w:r w:rsidRPr="00AF3138">
        <w:rPr>
          <w:rFonts w:asciiTheme="minorHAnsi" w:hAnsiTheme="minorHAnsi" w:cstheme="minorHAnsi"/>
          <w:color w:val="0E101A"/>
          <w:highlight w:val="none"/>
          <w:lang w:val="en-GB"/>
        </w:rPr>
        <w:t xml:space="preserve">The submitting organizations recommend the Committee </w:t>
      </w:r>
      <w:r w:rsidR="00511AB4" w:rsidRPr="00AF3138">
        <w:rPr>
          <w:rFonts w:asciiTheme="minorHAnsi" w:hAnsiTheme="minorHAnsi" w:cstheme="minorHAnsi"/>
          <w:color w:val="0E101A"/>
          <w:highlight w:val="none"/>
          <w:lang w:val="en-GB"/>
        </w:rPr>
        <w:t xml:space="preserve">to </w:t>
      </w:r>
      <w:r w:rsidRPr="00AF3138">
        <w:rPr>
          <w:rFonts w:asciiTheme="minorHAnsi" w:hAnsiTheme="minorHAnsi" w:cstheme="minorHAnsi"/>
          <w:color w:val="0E101A"/>
          <w:highlight w:val="none"/>
          <w:lang w:val="en-GB"/>
        </w:rPr>
        <w:t xml:space="preserve">ask the Syrian Arab Republic the following questions:  </w:t>
      </w:r>
    </w:p>
    <w:p w14:paraId="0000003D" w14:textId="1F019FB9"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eastAsia="Arial" w:hAnsiTheme="minorHAnsi" w:cstheme="minorHAnsi"/>
          <w:color w:val="0E101A"/>
          <w:highlight w:val="none"/>
          <w:lang w:val="en-GB"/>
        </w:rPr>
      </w:pPr>
      <w:r w:rsidRPr="00AF3138">
        <w:rPr>
          <w:rFonts w:asciiTheme="minorHAnsi" w:hAnsiTheme="minorHAnsi" w:cstheme="minorHAnsi"/>
          <w:color w:val="0E101A"/>
          <w:highlight w:val="none"/>
          <w:lang w:val="en-GB"/>
        </w:rPr>
        <w:t>Is Syria considering abolishing the Legislative decree No 55/2011</w:t>
      </w:r>
      <w:r w:rsidR="008E7279" w:rsidRPr="00AF3138">
        <w:rPr>
          <w:rFonts w:asciiTheme="minorHAnsi" w:hAnsiTheme="minorHAnsi" w:cstheme="minorHAnsi"/>
          <w:color w:val="0E101A"/>
          <w:highlight w:val="none"/>
          <w:lang w:val="en-GB"/>
        </w:rPr>
        <w:t>,</w:t>
      </w:r>
      <w:r w:rsidRPr="00AF3138">
        <w:rPr>
          <w:rFonts w:asciiTheme="minorHAnsi" w:hAnsiTheme="minorHAnsi" w:cstheme="minorHAnsi"/>
          <w:color w:val="0E101A"/>
          <w:highlight w:val="none"/>
          <w:lang w:val="en-GB"/>
        </w:rPr>
        <w:t xml:space="preserve"> which legalizes prolonging pretrial detention? </w:t>
      </w:r>
      <w:r w:rsidRPr="00AF3138">
        <w:rPr>
          <w:rFonts w:asciiTheme="minorHAnsi" w:hAnsiTheme="minorHAnsi" w:cstheme="minorHAnsi"/>
          <w:b/>
          <w:i/>
          <w:color w:val="0E101A"/>
          <w:highlight w:val="none"/>
          <w:lang w:val="en-GB"/>
        </w:rPr>
        <w:t xml:space="preserve">(Art 2.2, 9 ICCPR) </w:t>
      </w:r>
    </w:p>
    <w:p w14:paraId="0000003E" w14:textId="77777777"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Is Syria considering criminalizing the act of enforced disappearance as an autonomous crime pursuant to Article 4 of the UN Declaration on Protection of All Persons from Enforced Disappearance? </w:t>
      </w:r>
      <w:r w:rsidRPr="00AF3138">
        <w:rPr>
          <w:rFonts w:asciiTheme="minorHAnsi" w:hAnsiTheme="minorHAnsi" w:cstheme="minorHAnsi"/>
          <w:b/>
          <w:i/>
          <w:color w:val="0E101A"/>
          <w:highlight w:val="none"/>
          <w:lang w:val="en-GB"/>
        </w:rPr>
        <w:t xml:space="preserve">(Art 2.2, 9 ICCPR) </w:t>
      </w:r>
    </w:p>
    <w:p w14:paraId="0000003F" w14:textId="345F6EF3"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What are the exact and detailed procedures for prosecuting each of (1) the military personnel, (2) Interior Security forces members, and (3) the General intelligence members? </w:t>
      </w:r>
      <w:r w:rsidRPr="00AF3138">
        <w:rPr>
          <w:rFonts w:asciiTheme="minorHAnsi" w:hAnsiTheme="minorHAnsi" w:cstheme="minorHAnsi"/>
          <w:b/>
          <w:i/>
          <w:color w:val="0E101A"/>
          <w:highlight w:val="none"/>
          <w:lang w:val="en-GB"/>
        </w:rPr>
        <w:t xml:space="preserve">(Art 2.3, </w:t>
      </w:r>
      <w:r w:rsidR="008E7279" w:rsidRPr="00AF3138">
        <w:rPr>
          <w:rFonts w:asciiTheme="minorHAnsi" w:hAnsiTheme="minorHAnsi" w:cstheme="minorHAnsi"/>
          <w:b/>
          <w:i/>
          <w:color w:val="0E101A"/>
          <w:highlight w:val="none"/>
          <w:lang w:val="en-GB"/>
        </w:rPr>
        <w:t>9 ICCPR</w:t>
      </w:r>
      <w:r w:rsidRPr="00AF3138">
        <w:rPr>
          <w:rFonts w:asciiTheme="minorHAnsi" w:hAnsiTheme="minorHAnsi" w:cstheme="minorHAnsi"/>
          <w:b/>
          <w:i/>
          <w:color w:val="0E101A"/>
          <w:highlight w:val="none"/>
          <w:lang w:val="en-GB"/>
        </w:rPr>
        <w:t>)</w:t>
      </w:r>
    </w:p>
    <w:p w14:paraId="00000040" w14:textId="196593DE"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Are there any previous or current criminal actions against the </w:t>
      </w:r>
      <w:proofErr w:type="gramStart"/>
      <w:r w:rsidRPr="00AF3138">
        <w:rPr>
          <w:rFonts w:asciiTheme="minorHAnsi" w:hAnsiTheme="minorHAnsi" w:cstheme="minorHAnsi"/>
          <w:color w:val="0E101A"/>
          <w:highlight w:val="none"/>
          <w:lang w:val="en-GB"/>
        </w:rPr>
        <w:t>aforementioned state</w:t>
      </w:r>
      <w:proofErr w:type="gramEnd"/>
      <w:r w:rsidRPr="00AF3138">
        <w:rPr>
          <w:rFonts w:asciiTheme="minorHAnsi" w:hAnsiTheme="minorHAnsi" w:cstheme="minorHAnsi"/>
          <w:color w:val="0E101A"/>
          <w:highlight w:val="none"/>
          <w:lang w:val="en-GB"/>
        </w:rPr>
        <w:t xml:space="preserve"> agents for the arbitrary deprivation of liberty acts?  If yes, how many cases are in place, what are their outcomes, on what legal grounds, and what remedies have been provided to the victims of these </w:t>
      </w:r>
      <w:r w:rsidR="008E7279" w:rsidRPr="00AF3138">
        <w:rPr>
          <w:rFonts w:asciiTheme="minorHAnsi" w:hAnsiTheme="minorHAnsi" w:cstheme="minorHAnsi"/>
          <w:color w:val="0E101A"/>
          <w:highlight w:val="none"/>
          <w:lang w:val="en-GB"/>
        </w:rPr>
        <w:t>cases?</w:t>
      </w:r>
      <w:r w:rsidRPr="00AF3138">
        <w:rPr>
          <w:rFonts w:asciiTheme="minorHAnsi" w:hAnsiTheme="minorHAnsi" w:cstheme="minorHAnsi"/>
          <w:color w:val="0E101A"/>
          <w:highlight w:val="none"/>
          <w:lang w:val="en-GB"/>
        </w:rPr>
        <w:t xml:space="preserve"> If not, please explain why. </w:t>
      </w:r>
      <w:r w:rsidRPr="00AF3138">
        <w:rPr>
          <w:rFonts w:asciiTheme="minorHAnsi" w:hAnsiTheme="minorHAnsi" w:cstheme="minorHAnsi"/>
          <w:b/>
          <w:i/>
          <w:color w:val="0E101A"/>
          <w:highlight w:val="none"/>
          <w:lang w:val="en-GB"/>
        </w:rPr>
        <w:t xml:space="preserve">(Art 2.3, </w:t>
      </w:r>
      <w:r w:rsidR="008E7279" w:rsidRPr="00AF3138">
        <w:rPr>
          <w:rFonts w:asciiTheme="minorHAnsi" w:hAnsiTheme="minorHAnsi" w:cstheme="minorHAnsi"/>
          <w:b/>
          <w:i/>
          <w:color w:val="0E101A"/>
          <w:highlight w:val="none"/>
          <w:lang w:val="en-GB"/>
        </w:rPr>
        <w:t>9 ICCPR</w:t>
      </w:r>
      <w:r w:rsidRPr="00AF3138">
        <w:rPr>
          <w:rFonts w:asciiTheme="minorHAnsi" w:hAnsiTheme="minorHAnsi" w:cstheme="minorHAnsi"/>
          <w:b/>
          <w:i/>
          <w:color w:val="0E101A"/>
          <w:highlight w:val="none"/>
          <w:lang w:val="en-GB"/>
        </w:rPr>
        <w:t>)</w:t>
      </w:r>
    </w:p>
    <w:p w14:paraId="00000041" w14:textId="6A4EEF9D"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What is the reason behind granting several amnesties for the </w:t>
      </w:r>
      <w:proofErr w:type="spellStart"/>
      <w:r w:rsidRPr="00AF3138">
        <w:rPr>
          <w:rFonts w:asciiTheme="minorHAnsi" w:hAnsiTheme="minorHAnsi" w:cstheme="minorHAnsi"/>
          <w:color w:val="0E101A"/>
          <w:highlight w:val="none"/>
          <w:lang w:val="en-GB"/>
        </w:rPr>
        <w:t>misdemeanor</w:t>
      </w:r>
      <w:proofErr w:type="spellEnd"/>
      <w:r w:rsidRPr="00AF3138">
        <w:rPr>
          <w:rFonts w:asciiTheme="minorHAnsi" w:hAnsiTheme="minorHAnsi" w:cstheme="minorHAnsi"/>
          <w:color w:val="0E101A"/>
          <w:highlight w:val="none"/>
          <w:lang w:val="en-GB"/>
        </w:rPr>
        <w:t xml:space="preserve"> of illegally prolonging the period of detention under Article 358 of the General Penal Code, and how many cases benefited from these amnesties? </w:t>
      </w:r>
      <w:r w:rsidRPr="00AF3138">
        <w:rPr>
          <w:rFonts w:asciiTheme="minorHAnsi" w:hAnsiTheme="minorHAnsi" w:cstheme="minorHAnsi"/>
          <w:b/>
          <w:i/>
          <w:color w:val="0E101A"/>
          <w:highlight w:val="none"/>
          <w:lang w:val="en-GB"/>
        </w:rPr>
        <w:t xml:space="preserve">(Art 2.3, </w:t>
      </w:r>
      <w:r w:rsidR="008E7279" w:rsidRPr="00AF3138">
        <w:rPr>
          <w:rFonts w:asciiTheme="minorHAnsi" w:hAnsiTheme="minorHAnsi" w:cstheme="minorHAnsi"/>
          <w:b/>
          <w:i/>
          <w:color w:val="0E101A"/>
          <w:highlight w:val="none"/>
          <w:lang w:val="en-GB"/>
        </w:rPr>
        <w:t>9 ICCPR</w:t>
      </w:r>
      <w:r w:rsidRPr="00AF3138">
        <w:rPr>
          <w:rFonts w:asciiTheme="minorHAnsi" w:hAnsiTheme="minorHAnsi" w:cstheme="minorHAnsi"/>
          <w:b/>
          <w:i/>
          <w:color w:val="0E101A"/>
          <w:highlight w:val="none"/>
          <w:lang w:val="en-GB"/>
        </w:rPr>
        <w:t>)</w:t>
      </w:r>
    </w:p>
    <w:p w14:paraId="00000042" w14:textId="76FA700E"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What types of reparation are available in Syrian law to the victims of arbitrary deprivation of liberty allegedly committed by military personnel, the Interior Security forces members, and the General </w:t>
      </w:r>
      <w:r w:rsidR="008E7279" w:rsidRPr="00AF3138">
        <w:rPr>
          <w:rFonts w:asciiTheme="minorHAnsi" w:hAnsiTheme="minorHAnsi" w:cstheme="minorHAnsi"/>
          <w:color w:val="0E101A"/>
          <w:highlight w:val="none"/>
          <w:lang w:val="en-GB"/>
        </w:rPr>
        <w:t>Intelligence</w:t>
      </w:r>
      <w:r w:rsidRPr="00AF3138">
        <w:rPr>
          <w:rFonts w:asciiTheme="minorHAnsi" w:hAnsiTheme="minorHAnsi" w:cstheme="minorHAnsi"/>
          <w:color w:val="0E101A"/>
          <w:highlight w:val="none"/>
          <w:lang w:val="en-GB"/>
        </w:rPr>
        <w:t xml:space="preserve"> members? </w:t>
      </w:r>
      <w:r w:rsidRPr="00AF3138">
        <w:rPr>
          <w:rFonts w:asciiTheme="minorHAnsi" w:hAnsiTheme="minorHAnsi" w:cstheme="minorHAnsi"/>
          <w:b/>
          <w:i/>
          <w:color w:val="0E101A"/>
          <w:highlight w:val="none"/>
          <w:lang w:val="en-GB"/>
        </w:rPr>
        <w:t xml:space="preserve">(Art 2.3, </w:t>
      </w:r>
      <w:r w:rsidR="008E7279" w:rsidRPr="00AF3138">
        <w:rPr>
          <w:rFonts w:asciiTheme="minorHAnsi" w:hAnsiTheme="minorHAnsi" w:cstheme="minorHAnsi"/>
          <w:b/>
          <w:i/>
          <w:color w:val="0E101A"/>
          <w:highlight w:val="none"/>
          <w:lang w:val="en-GB"/>
        </w:rPr>
        <w:t>9 ICCPR</w:t>
      </w:r>
      <w:r w:rsidRPr="00AF3138">
        <w:rPr>
          <w:rFonts w:asciiTheme="minorHAnsi" w:hAnsiTheme="minorHAnsi" w:cstheme="minorHAnsi"/>
          <w:b/>
          <w:i/>
          <w:color w:val="0E101A"/>
          <w:highlight w:val="none"/>
          <w:lang w:val="en-GB"/>
        </w:rPr>
        <w:t>)</w:t>
      </w:r>
    </w:p>
    <w:p w14:paraId="00000043" w14:textId="2F68326F"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What are the specific procedures </w:t>
      </w:r>
      <w:r w:rsidR="008E7279" w:rsidRPr="00AF3138">
        <w:rPr>
          <w:rFonts w:asciiTheme="minorHAnsi" w:hAnsiTheme="minorHAnsi" w:cstheme="minorHAnsi"/>
          <w:color w:val="0E101A"/>
          <w:highlight w:val="none"/>
          <w:lang w:val="en-GB"/>
        </w:rPr>
        <w:t>for</w:t>
      </w:r>
      <w:r w:rsidRPr="00AF3138">
        <w:rPr>
          <w:rFonts w:asciiTheme="minorHAnsi" w:hAnsiTheme="minorHAnsi" w:cstheme="minorHAnsi"/>
          <w:color w:val="0E101A"/>
          <w:highlight w:val="none"/>
          <w:lang w:val="en-GB"/>
        </w:rPr>
        <w:t xml:space="preserve"> obtaining reparation in the Syrian law available to the victims of arbitrary deprivation of liberty allegedly committed by military personnel, the Interior Security forces members, and the General </w:t>
      </w:r>
      <w:r w:rsidR="008E7279" w:rsidRPr="00AF3138">
        <w:rPr>
          <w:rFonts w:asciiTheme="minorHAnsi" w:hAnsiTheme="minorHAnsi" w:cstheme="minorHAnsi"/>
          <w:color w:val="0E101A"/>
          <w:highlight w:val="none"/>
          <w:lang w:val="en-GB"/>
        </w:rPr>
        <w:t>Intelligence</w:t>
      </w:r>
      <w:r w:rsidRPr="00AF3138">
        <w:rPr>
          <w:rFonts w:asciiTheme="minorHAnsi" w:hAnsiTheme="minorHAnsi" w:cstheme="minorHAnsi"/>
          <w:color w:val="0E101A"/>
          <w:highlight w:val="none"/>
          <w:lang w:val="en-GB"/>
        </w:rPr>
        <w:t xml:space="preserve"> members? </w:t>
      </w:r>
      <w:r w:rsidRPr="00AF3138">
        <w:rPr>
          <w:rFonts w:asciiTheme="minorHAnsi" w:hAnsiTheme="minorHAnsi" w:cstheme="minorHAnsi"/>
          <w:b/>
          <w:i/>
          <w:color w:val="0E101A"/>
          <w:highlight w:val="none"/>
          <w:lang w:val="en-GB"/>
        </w:rPr>
        <w:t xml:space="preserve">(Art 2.3, </w:t>
      </w:r>
      <w:r w:rsidR="008E7279" w:rsidRPr="00AF3138">
        <w:rPr>
          <w:rFonts w:asciiTheme="minorHAnsi" w:hAnsiTheme="minorHAnsi" w:cstheme="minorHAnsi"/>
          <w:b/>
          <w:i/>
          <w:color w:val="0E101A"/>
          <w:highlight w:val="none"/>
          <w:lang w:val="en-GB"/>
        </w:rPr>
        <w:t>9 ICCPR</w:t>
      </w:r>
      <w:r w:rsidRPr="00AF3138">
        <w:rPr>
          <w:rFonts w:asciiTheme="minorHAnsi" w:hAnsiTheme="minorHAnsi" w:cstheme="minorHAnsi"/>
          <w:b/>
          <w:i/>
          <w:color w:val="0E101A"/>
          <w:highlight w:val="none"/>
          <w:lang w:val="en-GB"/>
        </w:rPr>
        <w:t>)</w:t>
      </w:r>
    </w:p>
    <w:p w14:paraId="00000044" w14:textId="5D7CF6F9" w:rsidR="00E561CC" w:rsidRPr="00AF3138" w:rsidRDefault="00000000" w:rsidP="008E7279">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Does Syria keep any form of records of detained individuals in security branches and all detention facilities? If </w:t>
      </w:r>
      <w:r w:rsidR="008E7279" w:rsidRPr="00AF3138">
        <w:rPr>
          <w:rFonts w:asciiTheme="minorHAnsi" w:hAnsiTheme="minorHAnsi" w:cstheme="minorHAnsi"/>
          <w:color w:val="0E101A"/>
          <w:highlight w:val="none"/>
          <w:lang w:val="en-GB"/>
        </w:rPr>
        <w:t>yes, (</w:t>
      </w:r>
      <w:r w:rsidRPr="00AF3138">
        <w:rPr>
          <w:rFonts w:asciiTheme="minorHAnsi" w:hAnsiTheme="minorHAnsi" w:cstheme="minorHAnsi"/>
          <w:color w:val="0E101A"/>
          <w:highlight w:val="none"/>
          <w:lang w:val="en-GB"/>
        </w:rPr>
        <w:t xml:space="preserve">1 What procedures are in place to guarantee the families’ right to know the fate and whereabouts of their loved ones? (2 How does Syria ensure that such </w:t>
      </w:r>
      <w:r w:rsidRPr="00AF3138">
        <w:rPr>
          <w:rFonts w:asciiTheme="minorHAnsi" w:hAnsiTheme="minorHAnsi" w:cstheme="minorHAnsi"/>
          <w:color w:val="0E101A"/>
          <w:highlight w:val="none"/>
          <w:lang w:val="en-GB"/>
        </w:rPr>
        <w:lastRenderedPageBreak/>
        <w:t xml:space="preserve">procedures are independent, accessible, and </w:t>
      </w:r>
      <w:r w:rsidR="008E7279" w:rsidRPr="00AF3138">
        <w:rPr>
          <w:rFonts w:asciiTheme="minorHAnsi" w:hAnsiTheme="minorHAnsi" w:cstheme="minorHAnsi"/>
          <w:color w:val="0E101A"/>
          <w:highlight w:val="none"/>
          <w:lang w:val="en-GB"/>
        </w:rPr>
        <w:t>effective as</w:t>
      </w:r>
      <w:r w:rsidRPr="00AF3138">
        <w:rPr>
          <w:rFonts w:asciiTheme="minorHAnsi" w:hAnsiTheme="minorHAnsi" w:cstheme="minorHAnsi"/>
          <w:color w:val="0E101A"/>
          <w:highlight w:val="none"/>
          <w:lang w:val="en-GB"/>
        </w:rPr>
        <w:t xml:space="preserve"> a form of remedy? </w:t>
      </w:r>
      <w:r w:rsidRPr="00AF3138">
        <w:rPr>
          <w:rFonts w:asciiTheme="minorHAnsi" w:hAnsiTheme="minorHAnsi" w:cstheme="minorHAnsi"/>
          <w:b/>
          <w:i/>
          <w:color w:val="0E101A"/>
          <w:highlight w:val="none"/>
          <w:lang w:val="en-GB"/>
        </w:rPr>
        <w:t>(Art 2.3, 9, 16, 23.1 ICCPR)</w:t>
      </w:r>
    </w:p>
    <w:p w14:paraId="00000047" w14:textId="26A9D812" w:rsidR="00E561CC" w:rsidRPr="00AF3138" w:rsidRDefault="00000000" w:rsidP="00511AB4">
      <w:pPr>
        <w:numPr>
          <w:ilvl w:val="0"/>
          <w:numId w:val="2"/>
        </w:numPr>
        <w:pBdr>
          <w:top w:val="single" w:sz="4" w:space="1" w:color="000000"/>
          <w:left w:val="single" w:sz="4" w:space="4" w:color="000000"/>
          <w:bottom w:val="single" w:sz="4" w:space="1" w:color="000000"/>
          <w:right w:val="single" w:sz="4" w:space="4" w:color="000000"/>
        </w:pBdr>
        <w:shd w:val="clear" w:color="auto" w:fill="E7E6E6" w:themeFill="background2"/>
        <w:spacing w:after="0"/>
        <w:rPr>
          <w:rFonts w:asciiTheme="minorHAnsi" w:hAnsiTheme="minorHAnsi" w:cstheme="minorHAnsi"/>
          <w:color w:val="0E101A"/>
          <w:highlight w:val="none"/>
          <w:lang w:val="en-GB"/>
        </w:rPr>
      </w:pPr>
      <w:r w:rsidRPr="00AF3138">
        <w:rPr>
          <w:rFonts w:asciiTheme="minorHAnsi" w:hAnsiTheme="minorHAnsi" w:cstheme="minorHAnsi"/>
          <w:color w:val="0E101A"/>
          <w:highlight w:val="none"/>
          <w:lang w:val="en-GB"/>
        </w:rPr>
        <w:t xml:space="preserve">What procedures does Syria follow to </w:t>
      </w:r>
      <w:proofErr w:type="spellStart"/>
      <w:r w:rsidRPr="00AF3138">
        <w:rPr>
          <w:rFonts w:asciiTheme="minorHAnsi" w:hAnsiTheme="minorHAnsi" w:cstheme="minorHAnsi"/>
          <w:color w:val="0E101A"/>
          <w:highlight w:val="none"/>
          <w:lang w:val="en-GB"/>
        </w:rPr>
        <w:t>fulfill</w:t>
      </w:r>
      <w:proofErr w:type="spellEnd"/>
      <w:r w:rsidRPr="00AF3138">
        <w:rPr>
          <w:rFonts w:asciiTheme="minorHAnsi" w:hAnsiTheme="minorHAnsi" w:cstheme="minorHAnsi"/>
          <w:color w:val="0E101A"/>
          <w:highlight w:val="none"/>
          <w:lang w:val="en-GB"/>
        </w:rPr>
        <w:t xml:space="preserve"> its burden of proof concerning the actual causes of death under custody? </w:t>
      </w:r>
      <w:r w:rsidRPr="00AF3138">
        <w:rPr>
          <w:rFonts w:asciiTheme="minorHAnsi" w:hAnsiTheme="minorHAnsi" w:cstheme="minorHAnsi"/>
          <w:b/>
          <w:i/>
          <w:color w:val="0E101A"/>
          <w:highlight w:val="none"/>
          <w:lang w:val="en-GB"/>
        </w:rPr>
        <w:t xml:space="preserve">(Art </w:t>
      </w:r>
      <w:r w:rsidR="008E7279" w:rsidRPr="00AF3138">
        <w:rPr>
          <w:rFonts w:asciiTheme="minorHAnsi" w:hAnsiTheme="minorHAnsi" w:cstheme="minorHAnsi"/>
          <w:b/>
          <w:i/>
          <w:color w:val="0E101A"/>
          <w:highlight w:val="none"/>
          <w:lang w:val="en-GB"/>
        </w:rPr>
        <w:t>6 ICCPR</w:t>
      </w:r>
      <w:r w:rsidRPr="00AF3138">
        <w:rPr>
          <w:rFonts w:asciiTheme="minorHAnsi" w:hAnsiTheme="minorHAnsi" w:cstheme="minorHAnsi"/>
          <w:b/>
          <w:i/>
          <w:color w:val="0E101A"/>
          <w:highlight w:val="none"/>
          <w:lang w:val="en-GB"/>
        </w:rPr>
        <w:t>)</w:t>
      </w:r>
    </w:p>
    <w:p w14:paraId="00000048" w14:textId="77777777" w:rsidR="00E561CC" w:rsidRPr="00AF3138" w:rsidRDefault="00000000" w:rsidP="008E7279">
      <w:pPr>
        <w:pStyle w:val="Heading1"/>
        <w:rPr>
          <w:lang w:val="en-GB"/>
        </w:rPr>
      </w:pPr>
      <w:bookmarkStart w:id="16" w:name="_heading=h.ajwonfw2hnx7" w:colFirst="0" w:colLast="0"/>
      <w:bookmarkStart w:id="17" w:name="_Toc122446202"/>
      <w:bookmarkEnd w:id="16"/>
      <w:r w:rsidRPr="00AF3138">
        <w:rPr>
          <w:lang w:val="en-GB"/>
        </w:rPr>
        <w:t>Fair Trials</w:t>
      </w:r>
      <w:bookmarkEnd w:id="17"/>
    </w:p>
    <w:p w14:paraId="07C77934" w14:textId="36D08A44" w:rsidR="00511AB4" w:rsidRPr="00AF3138" w:rsidRDefault="00511AB4" w:rsidP="00511AB4">
      <w:pPr>
        <w:ind w:left="360"/>
        <w:jc w:val="both"/>
        <w:rPr>
          <w:rFonts w:asciiTheme="minorHAnsi" w:hAnsiTheme="minorHAnsi" w:cstheme="minorHAnsi"/>
          <w:b/>
          <w:i/>
          <w:sz w:val="28"/>
          <w:szCs w:val="28"/>
          <w:lang w:val="en-GB"/>
        </w:rPr>
      </w:pPr>
      <w:r w:rsidRPr="00AF3138">
        <w:rPr>
          <w:rFonts w:asciiTheme="minorHAnsi" w:hAnsiTheme="minorHAnsi" w:cstheme="minorHAnsi"/>
          <w:b/>
          <w:i/>
          <w:sz w:val="28"/>
          <w:szCs w:val="28"/>
          <w:lang w:val="en-GB"/>
        </w:rPr>
        <w:t xml:space="preserve">(This section </w:t>
      </w:r>
      <w:r w:rsidR="00081C8E">
        <w:rPr>
          <w:rFonts w:asciiTheme="minorHAnsi" w:hAnsiTheme="minorHAnsi" w:cstheme="minorHAnsi"/>
          <w:b/>
          <w:i/>
          <w:sz w:val="28"/>
          <w:szCs w:val="28"/>
          <w:lang w:val="en-GB"/>
        </w:rPr>
        <w:t xml:space="preserve">addresses the alleged </w:t>
      </w:r>
      <w:r w:rsidR="00081C8E" w:rsidRPr="00AF3138">
        <w:rPr>
          <w:rFonts w:asciiTheme="minorHAnsi" w:hAnsiTheme="minorHAnsi" w:cstheme="minorHAnsi"/>
          <w:b/>
          <w:i/>
          <w:sz w:val="28"/>
          <w:szCs w:val="28"/>
          <w:lang w:val="en-GB"/>
        </w:rPr>
        <w:t>violations</w:t>
      </w:r>
      <w:r w:rsidRPr="00AF3138">
        <w:rPr>
          <w:rFonts w:asciiTheme="minorHAnsi" w:hAnsiTheme="minorHAnsi" w:cstheme="minorHAnsi"/>
          <w:b/>
          <w:i/>
          <w:sz w:val="28"/>
          <w:szCs w:val="28"/>
          <w:lang w:val="en-GB"/>
        </w:rPr>
        <w:t xml:space="preserve"> </w:t>
      </w:r>
      <w:r w:rsidR="00081C8E">
        <w:rPr>
          <w:rFonts w:asciiTheme="minorHAnsi" w:hAnsiTheme="minorHAnsi" w:cstheme="minorHAnsi"/>
          <w:b/>
          <w:i/>
          <w:sz w:val="28"/>
          <w:szCs w:val="28"/>
          <w:lang w:val="en-GB"/>
        </w:rPr>
        <w:t>of</w:t>
      </w:r>
      <w:r w:rsidR="00081C8E" w:rsidRPr="00AF3138">
        <w:rPr>
          <w:rFonts w:asciiTheme="minorHAnsi" w:hAnsiTheme="minorHAnsi" w:cstheme="minorHAnsi"/>
          <w:b/>
          <w:i/>
          <w:sz w:val="28"/>
          <w:szCs w:val="28"/>
          <w:lang w:val="en-GB"/>
        </w:rPr>
        <w:t xml:space="preserve"> </w:t>
      </w:r>
      <w:r w:rsidRPr="00AF3138">
        <w:rPr>
          <w:rFonts w:asciiTheme="minorHAnsi" w:hAnsiTheme="minorHAnsi" w:cstheme="minorHAnsi"/>
          <w:b/>
          <w:i/>
          <w:sz w:val="28"/>
          <w:szCs w:val="28"/>
          <w:lang w:val="en-GB"/>
        </w:rPr>
        <w:t xml:space="preserve">Art 14 </w:t>
      </w:r>
      <w:r w:rsidR="00AF3138" w:rsidRPr="00AF3138">
        <w:rPr>
          <w:rFonts w:asciiTheme="minorHAnsi" w:hAnsiTheme="minorHAnsi" w:cstheme="minorHAnsi"/>
          <w:b/>
          <w:i/>
          <w:sz w:val="28"/>
          <w:szCs w:val="28"/>
          <w:lang w:val="en-GB"/>
        </w:rPr>
        <w:t xml:space="preserve">of </w:t>
      </w:r>
      <w:r w:rsidRPr="00AF3138">
        <w:rPr>
          <w:rFonts w:asciiTheme="minorHAnsi" w:hAnsiTheme="minorHAnsi" w:cstheme="minorHAnsi"/>
          <w:b/>
          <w:i/>
          <w:sz w:val="28"/>
          <w:szCs w:val="28"/>
          <w:lang w:val="en-GB"/>
        </w:rPr>
        <w:t>the ICCPR)</w:t>
      </w:r>
    </w:p>
    <w:p w14:paraId="0000004A" w14:textId="79E6B455" w:rsidR="00E561CC" w:rsidRPr="00AF3138" w:rsidRDefault="00000000" w:rsidP="00AF3138">
      <w:pPr>
        <w:pStyle w:val="Heading2"/>
        <w:rPr>
          <w:lang w:val="en-GB"/>
        </w:rPr>
      </w:pPr>
      <w:bookmarkStart w:id="18" w:name="_heading=h.1fob9te" w:colFirst="0" w:colLast="0"/>
      <w:bookmarkStart w:id="19" w:name="_Toc122446203"/>
      <w:bookmarkEnd w:id="18"/>
      <w:r w:rsidRPr="00AF3138">
        <w:rPr>
          <w:lang w:val="en-GB"/>
        </w:rPr>
        <w:t>Vague charges and ambiguous legal texts</w:t>
      </w:r>
      <w:bookmarkEnd w:id="19"/>
    </w:p>
    <w:p w14:paraId="0000004B"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Observations during the past decade show that State opponents who were referred to the judiciary were often charged with crimes against state security and terrorism. </w:t>
      </w:r>
      <w:r w:rsidRPr="00AF3138">
        <w:rPr>
          <w:rFonts w:asciiTheme="minorHAnsi" w:hAnsiTheme="minorHAnsi" w:cstheme="minorHAnsi"/>
          <w:lang w:val="en-GB"/>
        </w:rPr>
        <w:t>These charges are vague in their formulation and do not specifically explain what acts may constitute their elements.</w:t>
      </w:r>
      <w:r w:rsidRPr="00AF3138">
        <w:rPr>
          <w:rFonts w:asciiTheme="minorHAnsi" w:eastAsia="Calibri" w:hAnsiTheme="minorHAnsi" w:cstheme="minorHAnsi"/>
          <w:color w:val="000000"/>
          <w:lang w:val="en-GB"/>
        </w:rPr>
        <w:t xml:space="preserve"> For example, an act of terror is defined as “every act that aims to create a state of panic among people, </w:t>
      </w:r>
      <w:r w:rsidRPr="00AF3138">
        <w:rPr>
          <w:rFonts w:asciiTheme="minorHAnsi" w:eastAsia="Calibri" w:hAnsiTheme="minorHAnsi" w:cstheme="minorHAnsi"/>
          <w:b/>
          <w:i/>
          <w:color w:val="000000"/>
          <w:lang w:val="en-GB"/>
        </w:rPr>
        <w:t>disturb public security</w:t>
      </w:r>
      <w:r w:rsidRPr="00AF3138">
        <w:rPr>
          <w:rFonts w:asciiTheme="minorHAnsi" w:eastAsia="Calibri" w:hAnsiTheme="minorHAnsi" w:cstheme="minorHAnsi"/>
          <w:color w:val="000000"/>
          <w:lang w:val="en-GB"/>
        </w:rPr>
        <w:t xml:space="preserve"> or damage the infrastructure of the state, and is committed by using weapons, munitions, explosives, inflammable materials, toxic or incendiary products, epidemiological or bacteriological factors whatever the type of these means </w:t>
      </w:r>
      <w:r w:rsidRPr="00AF3138">
        <w:rPr>
          <w:rFonts w:asciiTheme="minorHAnsi" w:hAnsiTheme="minorHAnsi" w:cstheme="minorHAnsi"/>
          <w:b/>
          <w:i/>
          <w:color w:val="000000"/>
          <w:lang w:val="en-GB"/>
        </w:rPr>
        <w:t>or</w:t>
      </w:r>
      <w:r w:rsidRPr="00AF3138">
        <w:rPr>
          <w:rFonts w:asciiTheme="minorHAnsi" w:eastAsia="Calibri" w:hAnsiTheme="minorHAnsi" w:cstheme="minorHAnsi"/>
          <w:color w:val="000000"/>
          <w:lang w:val="en-GB"/>
        </w:rPr>
        <w:t xml:space="preserve"> </w:t>
      </w:r>
      <w:r w:rsidRPr="00AF3138">
        <w:rPr>
          <w:rFonts w:asciiTheme="minorHAnsi" w:eastAsia="Calibri" w:hAnsiTheme="minorHAnsi" w:cstheme="minorHAnsi"/>
          <w:b/>
          <w:i/>
          <w:color w:val="000000"/>
          <w:lang w:val="en-GB"/>
        </w:rPr>
        <w:t>using</w:t>
      </w:r>
      <w:r w:rsidRPr="00AF3138">
        <w:rPr>
          <w:rFonts w:asciiTheme="minorHAnsi" w:eastAsia="Calibri" w:hAnsiTheme="minorHAnsi" w:cstheme="minorHAnsi"/>
          <w:color w:val="000000"/>
          <w:lang w:val="en-GB"/>
        </w:rPr>
        <w:t xml:space="preserve"> </w:t>
      </w:r>
      <w:r w:rsidRPr="00AF3138">
        <w:rPr>
          <w:rFonts w:asciiTheme="minorHAnsi" w:eastAsia="Calibri" w:hAnsiTheme="minorHAnsi" w:cstheme="minorHAnsi"/>
          <w:b/>
          <w:i/>
          <w:color w:val="000000"/>
          <w:lang w:val="en-GB"/>
        </w:rPr>
        <w:t>any tool that serves the same purpose</w:t>
      </w:r>
      <w:r w:rsidRPr="00AF3138">
        <w:rPr>
          <w:rFonts w:asciiTheme="minorHAnsi" w:eastAsia="Calibri" w:hAnsiTheme="minorHAnsi" w:cstheme="minorHAnsi"/>
          <w:color w:val="000000"/>
          <w:lang w:val="en-GB"/>
        </w:rPr>
        <w:t>” (</w:t>
      </w:r>
      <w:r w:rsidRPr="00AF3138">
        <w:rPr>
          <w:rFonts w:asciiTheme="minorHAnsi" w:eastAsia="Calibri" w:hAnsiTheme="minorHAnsi" w:cstheme="minorHAnsi"/>
          <w:b/>
          <w:i/>
          <w:color w:val="000000"/>
          <w:lang w:val="en-GB"/>
        </w:rPr>
        <w:t>emphasis added</w:t>
      </w:r>
      <w:r w:rsidRPr="00AF3138">
        <w:rPr>
          <w:rFonts w:asciiTheme="minorHAnsi" w:eastAsia="Calibri" w:hAnsiTheme="minorHAnsi" w:cstheme="minorHAnsi"/>
          <w:color w:val="000000"/>
          <w:lang w:val="en-GB"/>
        </w:rPr>
        <w:t>).</w:t>
      </w:r>
      <w:r w:rsidRPr="00AF3138">
        <w:rPr>
          <w:rFonts w:asciiTheme="minorHAnsi" w:eastAsia="Calibri" w:hAnsiTheme="minorHAnsi" w:cstheme="minorHAnsi"/>
          <w:color w:val="000000"/>
          <w:vertAlign w:val="superscript"/>
          <w:lang w:val="en-GB"/>
        </w:rPr>
        <w:footnoteReference w:id="36"/>
      </w:r>
      <w:r w:rsidRPr="00AF3138">
        <w:rPr>
          <w:rFonts w:asciiTheme="minorHAnsi" w:eastAsia="Calibri" w:hAnsiTheme="minorHAnsi" w:cstheme="minorHAnsi"/>
          <w:color w:val="000000"/>
          <w:lang w:val="en-GB"/>
        </w:rPr>
        <w:t xml:space="preserve"> This definition opens the door to broad accusations and vague criminal indictments. The criterion of disturbing public security is undefined, and any act contrary to the political orientations of the State can be considered underneath, especially when this </w:t>
      </w:r>
      <w:r w:rsidRPr="00AF3138">
        <w:rPr>
          <w:rFonts w:asciiTheme="minorHAnsi" w:hAnsiTheme="minorHAnsi" w:cstheme="minorHAnsi"/>
          <w:lang w:val="en-GB"/>
        </w:rPr>
        <w:t>action</w:t>
      </w:r>
      <w:r w:rsidRPr="00AF3138">
        <w:rPr>
          <w:rFonts w:asciiTheme="minorHAnsi" w:eastAsia="Calibri" w:hAnsiTheme="minorHAnsi" w:cstheme="minorHAnsi"/>
          <w:color w:val="000000"/>
          <w:lang w:val="en-GB"/>
        </w:rPr>
        <w:t xml:space="preserve"> can be done by any means.</w:t>
      </w:r>
      <w:r w:rsidRPr="00AF3138">
        <w:rPr>
          <w:rFonts w:asciiTheme="minorHAnsi" w:eastAsia="Calibri" w:hAnsiTheme="minorHAnsi" w:cstheme="minorHAnsi"/>
          <w:color w:val="000000"/>
          <w:vertAlign w:val="superscript"/>
          <w:lang w:val="en-GB"/>
        </w:rPr>
        <w:footnoteReference w:id="37"/>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This is shown through court practise</w:t>
      </w:r>
      <w:r w:rsidRPr="00AF3138">
        <w:rPr>
          <w:rFonts w:asciiTheme="minorHAnsi" w:eastAsia="Calibri" w:hAnsiTheme="minorHAnsi" w:cstheme="minorHAnsi"/>
          <w:color w:val="000000"/>
          <w:lang w:val="en-GB"/>
        </w:rPr>
        <w:t xml:space="preserve">, where the prosecutions of those accused of the crime of promoting terrorist acts stipulated in Article 8 of the Counter-Terrorism Law target opponents of the State because of sharing their political opinions on social media platforms. The same applies to the crime of financing terrorism stipulated in Article 4 of this law, which affects anyone who has brought food or medical aid to areas outside the government’s control. </w:t>
      </w:r>
    </w:p>
    <w:p w14:paraId="0000004C"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Another example of the ambiguity of law texts is some crimes against state security. Article 285 of the General Penal Code states</w:t>
      </w:r>
      <w:r w:rsidRPr="00AF3138">
        <w:rPr>
          <w:rFonts w:asciiTheme="minorHAnsi" w:hAnsiTheme="minorHAnsi" w:cstheme="minorHAnsi"/>
          <w:lang w:val="en-GB"/>
        </w:rPr>
        <w:t xml:space="preserve"> that "w</w:t>
      </w:r>
      <w:r w:rsidRPr="00AF3138">
        <w:rPr>
          <w:rFonts w:asciiTheme="minorHAnsi" w:eastAsia="Calibri" w:hAnsiTheme="minorHAnsi" w:cstheme="minorHAnsi"/>
          <w:color w:val="000000"/>
          <w:lang w:val="en-GB"/>
        </w:rPr>
        <w:t>hoever in Syria, during wartime or when it is expected to erupt, makes calls aimed at weakening national sentiment or awakening racial or sectarian strife, shall be punished by temporary detention.</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Article 286 also penalizes those who transmit news that they know to be false or exaggerated, which would weaken the </w:t>
      </w:r>
      <w:r w:rsidRPr="00AF3138">
        <w:rPr>
          <w:rFonts w:asciiTheme="minorHAnsi" w:hAnsiTheme="minorHAnsi" w:cstheme="minorHAnsi"/>
          <w:lang w:val="en-GB"/>
        </w:rPr>
        <w:t>nation's morale</w:t>
      </w:r>
      <w:r w:rsidRPr="00AF3138">
        <w:rPr>
          <w:rFonts w:asciiTheme="minorHAnsi" w:eastAsia="Calibri" w:hAnsiTheme="minorHAnsi" w:cstheme="minorHAnsi"/>
          <w:color w:val="000000"/>
          <w:lang w:val="en-GB"/>
        </w:rPr>
        <w:t xml:space="preserve">. These </w:t>
      </w:r>
      <w:r w:rsidRPr="00AF3138">
        <w:rPr>
          <w:rFonts w:asciiTheme="minorHAnsi" w:eastAsia="Calibri" w:hAnsiTheme="minorHAnsi" w:cstheme="minorHAnsi"/>
          <w:color w:val="000000"/>
          <w:lang w:val="en-GB"/>
        </w:rPr>
        <w:lastRenderedPageBreak/>
        <w:t xml:space="preserve">articles do not clarify what is meant by national sentiment or the </w:t>
      </w:r>
      <w:r w:rsidRPr="00AF3138">
        <w:rPr>
          <w:rFonts w:asciiTheme="minorHAnsi" w:hAnsiTheme="minorHAnsi" w:cstheme="minorHAnsi"/>
          <w:lang w:val="en-GB"/>
        </w:rPr>
        <w:t>nation's morale</w:t>
      </w:r>
      <w:r w:rsidRPr="00AF3138">
        <w:rPr>
          <w:rFonts w:asciiTheme="minorHAnsi" w:eastAsia="Calibri" w:hAnsiTheme="minorHAnsi" w:cstheme="minorHAnsi"/>
          <w:color w:val="000000"/>
          <w:lang w:val="en-GB"/>
        </w:rPr>
        <w:t>, and people cannot predict whether their actions might lead to that.</w:t>
      </w:r>
    </w:p>
    <w:p w14:paraId="0000004D"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It is worth noting that some of these texts have been amended under Law No. 15 of 2022. But the amendment did not help remove the ambiguity of the text. For example, the phrase “weakening national sentiment” was replaced by “infringement of national identity,” and the phrase “that would weaken the morale of the nation” was replaced by “that would spread despair or weakness among the members of society”.</w:t>
      </w:r>
      <w:r w:rsidRPr="00AF3138">
        <w:rPr>
          <w:rFonts w:asciiTheme="minorHAnsi" w:eastAsia="Calibri" w:hAnsiTheme="minorHAnsi" w:cstheme="minorHAnsi"/>
          <w:color w:val="000000"/>
          <w:vertAlign w:val="superscript"/>
          <w:lang w:val="en-GB"/>
        </w:rPr>
        <w:footnoteReference w:id="38"/>
      </w:r>
      <w:r w:rsidRPr="00AF3138">
        <w:rPr>
          <w:rFonts w:asciiTheme="minorHAnsi" w:eastAsia="Calibri" w:hAnsiTheme="minorHAnsi" w:cstheme="minorHAnsi"/>
          <w:color w:val="000000"/>
          <w:lang w:val="en-GB"/>
        </w:rPr>
        <w:t xml:space="preserve"> Thus, this legal amendment can only be understood as a form of insisting on keeping the texts of these articles vague.</w:t>
      </w:r>
    </w:p>
    <w:p w14:paraId="0000004E" w14:textId="3C71312F"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hAnsiTheme="minorHAnsi" w:cstheme="minorHAnsi"/>
          <w:lang w:val="en-GB"/>
        </w:rPr>
        <w:t>This legal amendment was followed by including some state security crimes, in the same vague way, in the Cybercrime Law No. 20 of 2022. This new law stipulates that anyone who establishes or manages a website or web page or publishes content online</w:t>
      </w:r>
      <w:r w:rsidR="00AF3138" w:rsidRPr="00AF3138">
        <w:rPr>
          <w:rFonts w:asciiTheme="minorHAnsi" w:hAnsiTheme="minorHAnsi" w:cstheme="minorHAnsi"/>
          <w:lang w:val="en-GB"/>
        </w:rPr>
        <w:t xml:space="preserve"> </w:t>
      </w:r>
      <w:r w:rsidRPr="00AF3138">
        <w:rPr>
          <w:rFonts w:asciiTheme="minorHAnsi" w:hAnsiTheme="minorHAnsi" w:cstheme="minorHAnsi"/>
          <w:lang w:val="en-GB"/>
        </w:rPr>
        <w:t>that calls for the overthrow or change of the regime in the state shall be punished by temporary detention between 7 and 15 years and a fine of 10 million Syrian Liras</w:t>
      </w:r>
      <w:r w:rsidRPr="00AF3138">
        <w:rPr>
          <w:rFonts w:asciiTheme="minorHAnsi" w:eastAsia="Calibri" w:hAnsiTheme="minorHAnsi" w:cstheme="minorHAnsi"/>
          <w:color w:val="000000"/>
          <w:lang w:val="en-GB"/>
        </w:rPr>
        <w:t>.</w:t>
      </w:r>
      <w:r w:rsidRPr="00AF3138">
        <w:rPr>
          <w:rFonts w:asciiTheme="minorHAnsi" w:eastAsia="Calibri" w:hAnsiTheme="minorHAnsi" w:cstheme="minorHAnsi"/>
          <w:color w:val="000000"/>
          <w:vertAlign w:val="superscript"/>
          <w:lang w:val="en-GB"/>
        </w:rPr>
        <w:footnoteReference w:id="39"/>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Moreover</w:t>
      </w:r>
      <w:r w:rsidRPr="00AF3138">
        <w:rPr>
          <w:rFonts w:asciiTheme="minorHAnsi" w:eastAsia="Calibri" w:hAnsiTheme="minorHAnsi" w:cstheme="minorHAnsi"/>
          <w:color w:val="000000"/>
          <w:lang w:val="en-GB"/>
        </w:rPr>
        <w:t xml:space="preserve">, anyone who, by means of information technology, publishes false news on the Web that undermines the </w:t>
      </w:r>
      <w:r w:rsidRPr="00AF3138">
        <w:rPr>
          <w:rFonts w:asciiTheme="minorHAnsi" w:hAnsiTheme="minorHAnsi" w:cstheme="minorHAnsi"/>
          <w:lang w:val="en-GB"/>
        </w:rPr>
        <w:t>state's prestige</w:t>
      </w:r>
      <w:r w:rsidRPr="00AF3138">
        <w:rPr>
          <w:rFonts w:asciiTheme="minorHAnsi" w:eastAsia="Calibri" w:hAnsiTheme="minorHAnsi" w:cstheme="minorHAnsi"/>
          <w:color w:val="000000"/>
          <w:lang w:val="en-GB"/>
        </w:rPr>
        <w:t xml:space="preserve"> or prejudices national unity shall be punished with temporary imprisonment from three to five years and a fine of up to ten million Syrian Pounds.</w:t>
      </w:r>
      <w:r w:rsidRPr="00AF3138">
        <w:rPr>
          <w:rFonts w:asciiTheme="minorHAnsi" w:eastAsia="Calibri" w:hAnsiTheme="minorHAnsi" w:cstheme="minorHAnsi"/>
          <w:color w:val="000000"/>
          <w:vertAlign w:val="superscript"/>
          <w:lang w:val="en-GB"/>
        </w:rPr>
        <w:footnoteReference w:id="40"/>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In addition to the ambiguity of these crimes, they assert the existence of a general policy to suppress freedom of opinion and expression in contradiction with Art 19 of the Covenant.</w:t>
      </w:r>
    </w:p>
    <w:p w14:paraId="0000004F" w14:textId="0FBC31D2" w:rsidR="00E561CC" w:rsidRPr="00AF3138" w:rsidRDefault="00000000" w:rsidP="00AF3138">
      <w:pPr>
        <w:pStyle w:val="Heading2"/>
        <w:rPr>
          <w:lang w:val="en-GB"/>
        </w:rPr>
      </w:pPr>
      <w:bookmarkStart w:id="20" w:name="_heading=h.3znysh7" w:colFirst="0" w:colLast="0"/>
      <w:bookmarkStart w:id="21" w:name="_Toc122446204"/>
      <w:bookmarkEnd w:id="20"/>
      <w:r w:rsidRPr="00AF3138">
        <w:rPr>
          <w:lang w:val="en-GB"/>
        </w:rPr>
        <w:t>A biased, non-independent judiciary</w:t>
      </w:r>
      <w:bookmarkEnd w:id="21"/>
    </w:p>
    <w:p w14:paraId="00000050"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In Syria, the basic guarantees stipulated in Article 14 are systematically violated. The judiciary is neither independent nor impartial but is greatly influenced by the executive authority and security forces. The judiciary bias and lack of independence are more evident in the military and special courts.</w:t>
      </w:r>
      <w:r w:rsidRPr="00AF3138">
        <w:rPr>
          <w:rFonts w:asciiTheme="minorHAnsi" w:eastAsia="Calibri" w:hAnsiTheme="minorHAnsi" w:cstheme="minorHAnsi"/>
          <w:color w:val="000000"/>
          <w:vertAlign w:val="superscript"/>
          <w:lang w:val="en-GB"/>
        </w:rPr>
        <w:footnoteReference w:id="41"/>
      </w:r>
      <w:r w:rsidRPr="00AF3138">
        <w:rPr>
          <w:rFonts w:asciiTheme="minorHAnsi" w:eastAsia="Calibri" w:hAnsiTheme="minorHAnsi" w:cstheme="minorHAnsi"/>
          <w:color w:val="000000"/>
          <w:lang w:val="en-GB"/>
        </w:rPr>
        <w:t xml:space="preserve"> The vague charges directed against civilians because of their political opposition, the secretive nature of some of the procedures of these courts and the security and military sector, and the prevalence of the state agents' impunity, all make the courts biased, not independent and do not </w:t>
      </w:r>
      <w:proofErr w:type="spellStart"/>
      <w:r w:rsidRPr="00AF3138">
        <w:rPr>
          <w:rFonts w:asciiTheme="minorHAnsi" w:hAnsiTheme="minorHAnsi" w:cstheme="minorHAnsi"/>
          <w:lang w:val="en-GB"/>
        </w:rPr>
        <w:t>fulfill</w:t>
      </w:r>
      <w:proofErr w:type="spellEnd"/>
      <w:r w:rsidRPr="00AF3138">
        <w:rPr>
          <w:rFonts w:asciiTheme="minorHAnsi" w:eastAsia="Calibri" w:hAnsiTheme="minorHAnsi" w:cstheme="minorHAnsi"/>
          <w:color w:val="000000"/>
          <w:lang w:val="en-GB"/>
        </w:rPr>
        <w:t xml:space="preserve"> fair trial guarantees. </w:t>
      </w:r>
    </w:p>
    <w:p w14:paraId="00000051"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lastRenderedPageBreak/>
        <w:t>Since one of the most common charges brought against political detainees in Syria is related to state security crimes and terrorism,</w:t>
      </w:r>
      <w:r w:rsidRPr="00AF3138">
        <w:rPr>
          <w:rFonts w:asciiTheme="minorHAnsi" w:eastAsia="Calibri" w:hAnsiTheme="minorHAnsi" w:cstheme="minorHAnsi"/>
          <w:color w:val="000000"/>
          <w:vertAlign w:val="superscript"/>
          <w:lang w:val="en-GB"/>
        </w:rPr>
        <w:footnoteReference w:id="42"/>
      </w:r>
      <w:r w:rsidRPr="00AF3138">
        <w:rPr>
          <w:rFonts w:asciiTheme="minorHAnsi" w:eastAsia="Calibri" w:hAnsiTheme="minorHAnsi" w:cstheme="minorHAnsi"/>
          <w:color w:val="000000"/>
          <w:lang w:val="en-GB"/>
        </w:rPr>
        <w:t xml:space="preserve"> and since crimes against state security in Syrian law are referred to the military judiciary and terrorism crimes are referred to a special court for terrorism cases, the subsections below will address the refutation of these bodies and clarify their disadvantages in terms of independence and impartiality.</w:t>
      </w:r>
    </w:p>
    <w:p w14:paraId="00000052" w14:textId="77777777" w:rsidR="00E561CC" w:rsidRPr="00AF3138" w:rsidRDefault="00000000" w:rsidP="00AF3138">
      <w:pPr>
        <w:pStyle w:val="Heading3"/>
        <w:rPr>
          <w:lang w:val="en-GB"/>
        </w:rPr>
      </w:pPr>
      <w:bookmarkStart w:id="22" w:name="_Toc122446205"/>
      <w:r w:rsidRPr="00AF3138">
        <w:rPr>
          <w:lang w:val="en-GB"/>
        </w:rPr>
        <w:t>Military Judiciary:</w:t>
      </w:r>
      <w:bookmarkEnd w:id="22"/>
    </w:p>
    <w:p w14:paraId="00000053"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The military judiciary is regulated by the Military Penal Code and Military Procedures issued by Legislative Decree 61 of 1950</w:t>
      </w:r>
      <w:r w:rsidRPr="00AF3138">
        <w:rPr>
          <w:rFonts w:asciiTheme="minorHAnsi" w:hAnsiTheme="minorHAnsi" w:cstheme="minorHAnsi"/>
          <w:lang w:val="en-GB"/>
        </w:rPr>
        <w:t>.</w:t>
      </w:r>
      <w:r w:rsidRPr="00AF3138">
        <w:rPr>
          <w:rFonts w:asciiTheme="minorHAnsi" w:eastAsia="Calibri" w:hAnsiTheme="minorHAnsi" w:cstheme="minorHAnsi"/>
          <w:color w:val="000000"/>
          <w:vertAlign w:val="superscript"/>
          <w:lang w:val="en-GB"/>
        </w:rPr>
        <w:footnoteReference w:id="43"/>
      </w:r>
      <w:r w:rsidRPr="00AF3138">
        <w:rPr>
          <w:rFonts w:asciiTheme="minorHAnsi" w:eastAsia="Calibri" w:hAnsiTheme="minorHAnsi" w:cstheme="minorHAnsi"/>
          <w:color w:val="000000"/>
          <w:lang w:val="en-GB"/>
        </w:rPr>
        <w:t xml:space="preserve"> The military justice system is primarily composed of military personnel, and it reports to the Ministry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and not to the Ministry of Justice. </w:t>
      </w:r>
    </w:p>
    <w:p w14:paraId="00000054"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In addition to the territorial jurisdiction of this judiciary, it has personal jurisdiction over crimes committed by military personnel or against military personnel. It also has personal jurisdiction over civilians affiliated with the Ministry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or employed in the interests of the army or those who attack its interests and soldiers. Moreover, it has jurisdiction over specific topics, such as military crimes stipulated in the Military Penal Code, crimes committed by allied armies in Syria (unless the two governments agree otherwise), some crimes against internal state security, and crimes of insulting the army and harming its dignity, reputation, or morale, or anything that weakens the spirit of the military system, obedience to the superiors or the respect due to them, or criticizing the actions of the General Command and those responsible for the work of the army in a way that degrades their dignity.</w:t>
      </w:r>
      <w:r w:rsidRPr="00AF3138">
        <w:rPr>
          <w:rFonts w:asciiTheme="minorHAnsi" w:eastAsia="Calibri" w:hAnsiTheme="minorHAnsi" w:cstheme="minorHAnsi"/>
          <w:color w:val="000000"/>
          <w:vertAlign w:val="superscript"/>
          <w:lang w:val="en-GB"/>
        </w:rPr>
        <w:footnoteReference w:id="44"/>
      </w:r>
      <w:r w:rsidRPr="00AF3138">
        <w:rPr>
          <w:rFonts w:asciiTheme="minorHAnsi" w:eastAsia="Calibri" w:hAnsiTheme="minorHAnsi" w:cstheme="minorHAnsi"/>
          <w:color w:val="000000"/>
          <w:lang w:val="en-GB"/>
        </w:rPr>
        <w:t xml:space="preserve"> Accordingly, the </w:t>
      </w:r>
      <w:r w:rsidRPr="00AF3138">
        <w:rPr>
          <w:rFonts w:asciiTheme="minorHAnsi" w:hAnsiTheme="minorHAnsi" w:cstheme="minorHAnsi"/>
          <w:lang w:val="en-GB"/>
        </w:rPr>
        <w:t>military</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judiciary</w:t>
      </w:r>
      <w:r w:rsidRPr="00AF3138">
        <w:rPr>
          <w:rFonts w:asciiTheme="minorHAnsi" w:eastAsia="Calibri" w:hAnsiTheme="minorHAnsi" w:cstheme="minorHAnsi"/>
          <w:color w:val="000000"/>
          <w:lang w:val="en-GB"/>
        </w:rPr>
        <w:t xml:space="preserve"> ha</w:t>
      </w:r>
      <w:r w:rsidRPr="00AF3138">
        <w:rPr>
          <w:rFonts w:asciiTheme="minorHAnsi" w:hAnsiTheme="minorHAnsi" w:cstheme="minorHAnsi"/>
          <w:lang w:val="en-GB"/>
        </w:rPr>
        <w:t xml:space="preserve">s the jurisdiction over </w:t>
      </w:r>
      <w:r w:rsidRPr="00AF3138">
        <w:rPr>
          <w:rFonts w:asciiTheme="minorHAnsi" w:eastAsia="Calibri" w:hAnsiTheme="minorHAnsi" w:cstheme="minorHAnsi"/>
          <w:color w:val="000000"/>
          <w:lang w:val="en-GB"/>
        </w:rPr>
        <w:t xml:space="preserve">the actions of any soldier in the army, the Military Intelligence Service (the Intelligence Division), the Air Force Intelligence Department, or the General Intelligence Department are subject to the authority of this judiciary, as well as any civilian who commits crimes against the army or state security or slanders or criticizes one of its members or its military bodies. This opens the way for many vague charges that can be brought against civilians and then refer them based on these charges to </w:t>
      </w:r>
      <w:r w:rsidRPr="00AF3138">
        <w:rPr>
          <w:rFonts w:asciiTheme="minorHAnsi" w:hAnsiTheme="minorHAnsi" w:cstheme="minorHAnsi"/>
          <w:lang w:val="en-GB"/>
        </w:rPr>
        <w:t xml:space="preserve">the </w:t>
      </w:r>
      <w:r w:rsidRPr="00AF3138">
        <w:rPr>
          <w:rFonts w:asciiTheme="minorHAnsi" w:eastAsia="Calibri" w:hAnsiTheme="minorHAnsi" w:cstheme="minorHAnsi"/>
          <w:color w:val="000000"/>
          <w:lang w:val="en-GB"/>
        </w:rPr>
        <w:t>military judiciary.</w:t>
      </w:r>
    </w:p>
    <w:p w14:paraId="00000055" w14:textId="79D82F8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military judiciary consists of a group of bodies, namely the Military Judiciary Department, the Military Judicial Police, the Military Public Prosecution, the Single Military Judge, the Military Investigation Judge, the Permanent Military Court, the Military Field Court, and the Military Court of Cassation. These bodies consist primarily of military personnel and therefore are </w:t>
      </w:r>
      <w:r w:rsidRPr="00AF3138">
        <w:rPr>
          <w:rFonts w:asciiTheme="minorHAnsi" w:eastAsia="Calibri" w:hAnsiTheme="minorHAnsi" w:cstheme="minorHAnsi"/>
          <w:color w:val="000000"/>
          <w:lang w:val="en-GB"/>
        </w:rPr>
        <w:lastRenderedPageBreak/>
        <w:t xml:space="preserve">administratively affiliated with the Ministry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In terms of the military chain of command, they are subordinate to the Commander-in-Chief of the </w:t>
      </w:r>
      <w:r w:rsidR="00AF3138" w:rsidRPr="00AF3138">
        <w:rPr>
          <w:rFonts w:asciiTheme="minorHAnsi" w:eastAsia="Calibri" w:hAnsiTheme="minorHAnsi" w:cstheme="minorHAnsi"/>
          <w:color w:val="000000"/>
          <w:lang w:val="en-GB"/>
        </w:rPr>
        <w:t>Army</w:t>
      </w:r>
      <w:r w:rsidR="00AF3138" w:rsidRPr="00AF3138">
        <w:rPr>
          <w:rFonts w:asciiTheme="minorHAnsi" w:hAnsiTheme="minorHAnsi" w:cstheme="minorHAnsi"/>
          <w:lang w:val="en-GB"/>
        </w:rPr>
        <w:t>.</w:t>
      </w:r>
    </w:p>
    <w:p w14:paraId="00000056" w14:textId="75A43C1C"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Although, ostensibly, the military judiciary is primarily devoted to the prosecution and accountability of military persons, the reality is that it protects the military persons from prosecution and tightens procedures on civilians referred to it or those who intend to prosecute the military persons. </w:t>
      </w:r>
    </w:p>
    <w:p w14:paraId="00000057"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For instance, the Military Public Prosecution is responsible for prosecuting crimes that fall under the jurisdiction of the military judiciary and initiating criminal cases; however, it is not independent in this regard. Members of the Public Prosecution Office are military personnel. They are hierarchically linked to the Military Prosecutor, who in turn is linked to the Director of the Military Judiciary Department and then to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meaning that they are affiliated with the Ministry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administratively, and with the army and armed forces militarily.</w:t>
      </w:r>
      <w:r w:rsidRPr="00AF3138">
        <w:rPr>
          <w:rFonts w:asciiTheme="minorHAnsi" w:eastAsia="Calibri" w:hAnsiTheme="minorHAnsi" w:cstheme="minorHAnsi"/>
          <w:color w:val="000000"/>
          <w:vertAlign w:val="superscript"/>
          <w:lang w:val="en-GB"/>
        </w:rPr>
        <w:footnoteReference w:id="45"/>
      </w:r>
      <w:r w:rsidRPr="00AF3138">
        <w:rPr>
          <w:rFonts w:asciiTheme="minorHAnsi" w:eastAsia="Calibri" w:hAnsiTheme="minorHAnsi" w:cstheme="minorHAnsi"/>
          <w:color w:val="000000"/>
          <w:lang w:val="en-GB"/>
        </w:rPr>
        <w:t xml:space="preserve"> The Public Prosecutor can also be a civilian judge delegated by the ordinary judiciary and subordinate to it; however, they are not appointed to the military judiciary except by the approval of the Commander-in-Chief of the Arm</w:t>
      </w:r>
      <w:r w:rsidRPr="00AF3138">
        <w:rPr>
          <w:rFonts w:asciiTheme="minorHAnsi" w:hAnsiTheme="minorHAnsi" w:cstheme="minorHAnsi"/>
          <w:lang w:val="en-GB"/>
        </w:rPr>
        <w:t>y</w:t>
      </w:r>
      <w:r w:rsidRPr="00AF3138">
        <w:rPr>
          <w:rFonts w:asciiTheme="minorHAnsi" w:eastAsia="Calibri" w:hAnsiTheme="minorHAnsi" w:cstheme="minorHAnsi"/>
          <w:color w:val="000000"/>
          <w:lang w:val="en-GB"/>
        </w:rPr>
        <w:t>, and they follow all military regulations in wartime.</w:t>
      </w:r>
      <w:r w:rsidRPr="00AF3138">
        <w:rPr>
          <w:rFonts w:asciiTheme="minorHAnsi" w:eastAsia="Calibri" w:hAnsiTheme="minorHAnsi" w:cstheme="minorHAnsi"/>
          <w:color w:val="000000"/>
          <w:vertAlign w:val="superscript"/>
          <w:lang w:val="en-GB"/>
        </w:rPr>
        <w:footnoteReference w:id="46"/>
      </w:r>
      <w:r w:rsidRPr="00AF3138">
        <w:rPr>
          <w:rFonts w:asciiTheme="minorHAnsi" w:eastAsia="Calibri" w:hAnsiTheme="minorHAnsi" w:cstheme="minorHAnsi"/>
          <w:color w:val="000000"/>
          <w:lang w:val="en-GB"/>
        </w:rPr>
        <w:t xml:space="preserve"> Thus, the first obstacle to prosecuting a military </w:t>
      </w:r>
      <w:r w:rsidRPr="00AF3138">
        <w:rPr>
          <w:rFonts w:asciiTheme="minorHAnsi" w:hAnsiTheme="minorHAnsi" w:cstheme="minorHAnsi"/>
          <w:lang w:val="en-GB"/>
        </w:rPr>
        <w:t>personnel</w:t>
      </w:r>
      <w:r w:rsidRPr="00AF3138">
        <w:rPr>
          <w:rFonts w:asciiTheme="minorHAnsi" w:eastAsia="Calibri" w:hAnsiTheme="minorHAnsi" w:cstheme="minorHAnsi"/>
          <w:color w:val="000000"/>
          <w:lang w:val="en-GB"/>
        </w:rPr>
        <w:t xml:space="preserve"> is that the authorized Public Prosecution office is formed from the same body</w:t>
      </w:r>
      <w:r w:rsidRPr="00AF3138">
        <w:rPr>
          <w:rFonts w:asciiTheme="minorHAnsi" w:hAnsiTheme="minorHAnsi" w:cstheme="minorHAnsi"/>
          <w:lang w:val="en-GB"/>
        </w:rPr>
        <w:t>, which jeopardises the independence of the proceedings.</w:t>
      </w:r>
    </w:p>
    <w:p w14:paraId="00000058"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The second obstacle is that the Military Public Prosecution cannot initiate prosecutions on its own but rather needs to obtain a prosecution order from the commander-in-chief of the army or the Chief of Staff based on the rank of the defendants.</w:t>
      </w:r>
      <w:r w:rsidRPr="00AF3138">
        <w:rPr>
          <w:rFonts w:asciiTheme="minorHAnsi" w:eastAsia="Calibri" w:hAnsiTheme="minorHAnsi" w:cstheme="minorHAnsi"/>
          <w:color w:val="000000"/>
          <w:vertAlign w:val="superscript"/>
          <w:lang w:val="en-GB"/>
        </w:rPr>
        <w:footnoteReference w:id="47"/>
      </w:r>
      <w:r w:rsidRPr="00AF3138">
        <w:rPr>
          <w:rFonts w:asciiTheme="minorHAnsi" w:eastAsia="Calibri" w:hAnsiTheme="minorHAnsi" w:cstheme="minorHAnsi"/>
          <w:color w:val="000000"/>
          <w:lang w:val="en-GB"/>
        </w:rPr>
        <w:t xml:space="preserve"> After the prosecution order is issued and circulated by the Military Judiciary Department,</w:t>
      </w:r>
      <w:r w:rsidRPr="00AF3138">
        <w:rPr>
          <w:rFonts w:asciiTheme="minorHAnsi" w:hAnsiTheme="minorHAnsi" w:cstheme="minorHAnsi"/>
          <w:lang w:val="en-GB"/>
        </w:rPr>
        <w:t xml:space="preserve"> </w:t>
      </w:r>
      <w:r w:rsidRPr="00AF3138">
        <w:rPr>
          <w:rFonts w:asciiTheme="minorHAnsi" w:eastAsia="Calibri" w:hAnsiTheme="minorHAnsi" w:cstheme="minorHAnsi"/>
          <w:color w:val="000000"/>
          <w:lang w:val="en-GB"/>
        </w:rPr>
        <w:t xml:space="preserve">the Military Public Prosecution can either file a complaint directly before the court in </w:t>
      </w:r>
      <w:r w:rsidRPr="00AF3138">
        <w:rPr>
          <w:rFonts w:asciiTheme="minorHAnsi" w:hAnsiTheme="minorHAnsi" w:cstheme="minorHAnsi"/>
          <w:lang w:val="en-GB"/>
        </w:rPr>
        <w:t>misdemeanours</w:t>
      </w:r>
      <w:r w:rsidRPr="00AF3138">
        <w:rPr>
          <w:rFonts w:asciiTheme="minorHAnsi" w:eastAsia="Calibri" w:hAnsiTheme="minorHAnsi" w:cstheme="minorHAnsi"/>
          <w:color w:val="000000"/>
          <w:lang w:val="en-GB"/>
        </w:rPr>
        <w:t xml:space="preserve"> or file a preliminary complaint before the military investigative judge in felonies or ambiguous </w:t>
      </w:r>
      <w:r w:rsidRPr="00AF3138">
        <w:rPr>
          <w:rFonts w:asciiTheme="minorHAnsi" w:hAnsiTheme="minorHAnsi" w:cstheme="minorHAnsi"/>
          <w:lang w:val="en-GB"/>
        </w:rPr>
        <w:t>misdemeanours</w:t>
      </w:r>
      <w:r w:rsidRPr="00AF3138">
        <w:rPr>
          <w:rFonts w:asciiTheme="minorHAnsi" w:eastAsia="Calibri" w:hAnsiTheme="minorHAnsi" w:cstheme="minorHAnsi"/>
          <w:color w:val="000000"/>
          <w:lang w:val="en-GB"/>
        </w:rPr>
        <w:t xml:space="preserve">. </w:t>
      </w:r>
    </w:p>
    <w:p w14:paraId="00000059"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The third obstacle to prosecuting military agents is that the military investigative judges are often military personnel. They also hold extensive power that can be biasedly abused.</w:t>
      </w:r>
      <w:r w:rsidRPr="00AF3138">
        <w:rPr>
          <w:rFonts w:asciiTheme="minorHAnsi" w:eastAsia="Calibri" w:hAnsiTheme="minorHAnsi" w:cstheme="minorHAnsi"/>
          <w:color w:val="000000"/>
          <w:lang w:val="en-GB"/>
        </w:rPr>
        <w:t xml:space="preserve"> Th</w:t>
      </w:r>
      <w:r w:rsidRPr="00AF3138">
        <w:rPr>
          <w:rFonts w:asciiTheme="minorHAnsi" w:hAnsiTheme="minorHAnsi" w:cstheme="minorHAnsi"/>
          <w:lang w:val="en-GB"/>
        </w:rPr>
        <w:t>e military investigative judges</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carry</w:t>
      </w:r>
      <w:r w:rsidRPr="00AF3138">
        <w:rPr>
          <w:rFonts w:asciiTheme="minorHAnsi" w:eastAsia="Calibri" w:hAnsiTheme="minorHAnsi" w:cstheme="minorHAnsi"/>
          <w:color w:val="000000"/>
          <w:lang w:val="en-GB"/>
        </w:rPr>
        <w:t xml:space="preserve"> out interrogation and investigations; they issue summons and arrest warrants and decisions of release, trial prevention, suspicion and accusation. The decisions of the military investigative judge are final; however, the Military Public Prosecution and the defendant can, within a period of five days, appeal some of these decisions before the Military Court of Cassation. Among the decisions that can be appealed are the decisions on indictment and </w:t>
      </w:r>
      <w:r w:rsidRPr="00AF3138">
        <w:rPr>
          <w:rFonts w:asciiTheme="minorHAnsi" w:eastAsia="Calibri" w:hAnsiTheme="minorHAnsi" w:cstheme="minorHAnsi"/>
          <w:color w:val="000000"/>
          <w:lang w:val="en-GB"/>
        </w:rPr>
        <w:lastRenderedPageBreak/>
        <w:t>preventing the trial in felonies.</w:t>
      </w:r>
      <w:r w:rsidRPr="00AF3138">
        <w:rPr>
          <w:rFonts w:asciiTheme="minorHAnsi" w:eastAsia="Calibri" w:hAnsiTheme="minorHAnsi" w:cstheme="minorHAnsi"/>
          <w:color w:val="000000"/>
          <w:vertAlign w:val="superscript"/>
          <w:lang w:val="en-GB"/>
        </w:rPr>
        <w:footnoteReference w:id="48"/>
      </w:r>
      <w:r w:rsidRPr="00AF3138">
        <w:rPr>
          <w:rFonts w:asciiTheme="minorHAnsi" w:eastAsia="Calibri" w:hAnsiTheme="minorHAnsi" w:cstheme="minorHAnsi"/>
          <w:color w:val="000000"/>
          <w:lang w:val="en-GB"/>
        </w:rPr>
        <w:t xml:space="preserve"> Nevertheless, it should be noted that the Court of Cassation only reviews the proper application of the law, not the substance of the matter. This means that even if an order is obtained to prosecute a military person for a crime committed, the investigative judges can take the decision to prevent the trial because they are not convinced of the sufficiency of the evidence. Only the Military Public Prosecution, which is not independent as clarified earlier, can challenge the decision's legality within a very short period before the Military Court of Cassation. </w:t>
      </w:r>
    </w:p>
    <w:p w14:paraId="0000005A" w14:textId="12DB82B5"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Finally, the military judiciary only considers the criminal case without the civil case related to it. Therefore, the opponents before the military judiciary are the Military Public Prosecution versus the defendant, and there is no room for a personal claim before this judicial body. Accordingly, the victims of a crime committed by a military person cannot appear as personal claimants before the military court, and they cannot appeal the court’s decision, as they are not a party to the litigation. This was confirmed by the Military Criminal Chamber of the Court of Cassation, which ruled that " the military judiciary is competent to consider the public rights lawsuit, and the appeal from the personal claimant has no legal ground and it shall be rejected."</w:t>
      </w:r>
      <w:r w:rsidRPr="00AF3138">
        <w:rPr>
          <w:rFonts w:asciiTheme="minorHAnsi" w:eastAsia="Calibri" w:hAnsiTheme="minorHAnsi" w:cstheme="minorHAnsi"/>
          <w:color w:val="000000"/>
          <w:vertAlign w:val="superscript"/>
          <w:lang w:val="en-GB"/>
        </w:rPr>
        <w:footnoteReference w:id="49"/>
      </w:r>
      <w:r w:rsidRPr="00AF3138">
        <w:rPr>
          <w:rFonts w:asciiTheme="minorHAnsi" w:eastAsia="Calibri" w:hAnsiTheme="minorHAnsi" w:cstheme="minorHAnsi"/>
          <w:color w:val="000000"/>
          <w:lang w:val="en-GB"/>
        </w:rPr>
        <w:t xml:space="preserve"> In the event that, after all the aforementioned obstacles, a decision of conviction is issued against the military person, only then can the affected parties file civil lawsuits to obtain their right to compensation. This right is subject to </w:t>
      </w:r>
      <w:r w:rsidRPr="00AF3138">
        <w:rPr>
          <w:rFonts w:asciiTheme="minorHAnsi" w:hAnsiTheme="minorHAnsi" w:cstheme="minorHAnsi"/>
          <w:lang w:val="en-GB"/>
        </w:rPr>
        <w:t xml:space="preserve">the </w:t>
      </w:r>
      <w:r w:rsidRPr="00AF3138">
        <w:rPr>
          <w:rFonts w:asciiTheme="minorHAnsi" w:eastAsia="Calibri" w:hAnsiTheme="minorHAnsi" w:cstheme="minorHAnsi"/>
          <w:color w:val="000000"/>
          <w:lang w:val="en-GB"/>
        </w:rPr>
        <w:t>statute of limitations after the lapse of a period of three years from the date on which the victim became aware of the damage and its cause.</w:t>
      </w:r>
      <w:r w:rsidRPr="00AF3138">
        <w:rPr>
          <w:rFonts w:asciiTheme="minorHAnsi" w:eastAsia="Calibri" w:hAnsiTheme="minorHAnsi" w:cstheme="minorHAnsi"/>
          <w:color w:val="000000"/>
          <w:vertAlign w:val="superscript"/>
          <w:lang w:val="en-GB"/>
        </w:rPr>
        <w:footnoteReference w:id="50"/>
      </w:r>
      <w:r w:rsidRPr="00AF3138">
        <w:rPr>
          <w:rFonts w:asciiTheme="minorHAnsi" w:eastAsia="Calibri" w:hAnsiTheme="minorHAnsi" w:cstheme="minorHAnsi"/>
          <w:color w:val="000000"/>
          <w:lang w:val="en-GB"/>
        </w:rPr>
        <w:t xml:space="preserve"> Moreover, the right to file a personal claim before the civil judiciary is practically a nominal right, a</w:t>
      </w:r>
      <w:r w:rsidRPr="00AF3138">
        <w:rPr>
          <w:rFonts w:asciiTheme="minorHAnsi" w:hAnsiTheme="minorHAnsi" w:cstheme="minorHAnsi"/>
          <w:lang w:val="en-GB"/>
        </w:rPr>
        <w:t>s</w:t>
      </w:r>
      <w:r w:rsidRPr="00AF3138">
        <w:rPr>
          <w:rFonts w:asciiTheme="minorHAnsi" w:eastAsia="Calibri" w:hAnsiTheme="minorHAnsi" w:cstheme="minorHAnsi"/>
          <w:color w:val="000000"/>
          <w:lang w:val="en-GB"/>
        </w:rPr>
        <w:t xml:space="preserve"> often the victim will hesitate to prosecute the state agents for fear </w:t>
      </w:r>
      <w:r w:rsidRPr="00AF3138">
        <w:rPr>
          <w:rFonts w:asciiTheme="minorHAnsi" w:hAnsiTheme="minorHAnsi" w:cstheme="minorHAnsi"/>
          <w:lang w:val="en-GB"/>
        </w:rPr>
        <w:t>of reprisals</w:t>
      </w:r>
      <w:r w:rsidRPr="00AF3138">
        <w:rPr>
          <w:rFonts w:asciiTheme="minorHAnsi" w:eastAsia="Calibri" w:hAnsiTheme="minorHAnsi" w:cstheme="minorHAnsi"/>
          <w:color w:val="000000"/>
          <w:lang w:val="en-GB"/>
        </w:rPr>
        <w:t xml:space="preserve">. Consequently, the domestic remedy will become de facto </w:t>
      </w:r>
      <w:r w:rsidR="00AF3138" w:rsidRPr="00AF3138">
        <w:rPr>
          <w:rFonts w:asciiTheme="minorHAnsi" w:eastAsia="Calibri" w:hAnsiTheme="minorHAnsi" w:cstheme="minorHAnsi"/>
          <w:color w:val="000000"/>
          <w:lang w:val="en-GB"/>
        </w:rPr>
        <w:t>in</w:t>
      </w:r>
      <w:r w:rsidR="00AF3138" w:rsidRPr="00AF3138">
        <w:rPr>
          <w:rFonts w:asciiTheme="minorHAnsi" w:hAnsiTheme="minorHAnsi" w:cstheme="minorHAnsi"/>
          <w:lang w:val="en-GB"/>
        </w:rPr>
        <w:t>accessible</w:t>
      </w:r>
      <w:r w:rsidRPr="00AF3138">
        <w:rPr>
          <w:rFonts w:asciiTheme="minorHAnsi" w:hAnsiTheme="minorHAnsi" w:cstheme="minorHAnsi"/>
          <w:lang w:val="en-GB"/>
        </w:rPr>
        <w:t>.</w:t>
      </w:r>
    </w:p>
    <w:p w14:paraId="0000005B" w14:textId="77777777" w:rsidR="00E561CC" w:rsidRPr="00AF3138" w:rsidRDefault="00000000" w:rsidP="008E7279">
      <w:pPr>
        <w:pStyle w:val="Heading3"/>
        <w:rPr>
          <w:lang w:val="en-GB"/>
        </w:rPr>
      </w:pPr>
      <w:bookmarkStart w:id="23" w:name="_Toc122446206"/>
      <w:r w:rsidRPr="00AF3138">
        <w:rPr>
          <w:lang w:val="en-GB"/>
        </w:rPr>
        <w:t>Military Field Courts</w:t>
      </w:r>
      <w:bookmarkEnd w:id="23"/>
    </w:p>
    <w:p w14:paraId="0000005C"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The Military field courts are one of the military judiciary organs, which were established by Legislative Decree no.109 of 1968. These courts consider crimes that fall within the jurisdiction of the military judiciary and </w:t>
      </w:r>
      <w:r w:rsidRPr="00AF3138">
        <w:rPr>
          <w:rFonts w:asciiTheme="minorHAnsi" w:hAnsiTheme="minorHAnsi" w:cstheme="minorHAnsi"/>
          <w:lang w:val="en-GB"/>
        </w:rPr>
        <w:t xml:space="preserve">were </w:t>
      </w:r>
      <w:r w:rsidRPr="00AF3138">
        <w:rPr>
          <w:rFonts w:asciiTheme="minorHAnsi" w:eastAsia="Calibri" w:hAnsiTheme="minorHAnsi" w:cstheme="minorHAnsi"/>
          <w:color w:val="000000"/>
          <w:lang w:val="en-GB"/>
        </w:rPr>
        <w:t>committed in</w:t>
      </w:r>
      <w:r w:rsidRPr="00AF3138">
        <w:rPr>
          <w:rFonts w:asciiTheme="minorHAnsi" w:hAnsiTheme="minorHAnsi" w:cstheme="minorHAnsi"/>
          <w:lang w:val="en-GB"/>
        </w:rPr>
        <w:t xml:space="preserve"> </w:t>
      </w:r>
      <w:r w:rsidRPr="00AF3138">
        <w:rPr>
          <w:rFonts w:asciiTheme="minorHAnsi" w:eastAsia="Calibri" w:hAnsiTheme="minorHAnsi" w:cstheme="minorHAnsi"/>
          <w:color w:val="000000"/>
          <w:lang w:val="en-GB"/>
        </w:rPr>
        <w:t>warti</w:t>
      </w:r>
      <w:r w:rsidRPr="00AF3138">
        <w:rPr>
          <w:rFonts w:asciiTheme="minorHAnsi" w:hAnsiTheme="minorHAnsi" w:cstheme="minorHAnsi"/>
          <w:lang w:val="en-GB"/>
        </w:rPr>
        <w:t>me</w:t>
      </w:r>
      <w:r w:rsidRPr="00AF3138">
        <w:rPr>
          <w:rFonts w:asciiTheme="minorHAnsi" w:eastAsia="Calibri" w:hAnsiTheme="minorHAnsi" w:cstheme="minorHAnsi"/>
          <w:color w:val="000000"/>
          <w:lang w:val="en-GB"/>
        </w:rPr>
        <w:t xml:space="preserve"> based on their referral from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w:t>
      </w:r>
      <w:r w:rsidRPr="00AF3138">
        <w:rPr>
          <w:rFonts w:asciiTheme="minorHAnsi" w:eastAsia="Calibri" w:hAnsiTheme="minorHAnsi" w:cstheme="minorHAnsi"/>
          <w:color w:val="000000"/>
          <w:vertAlign w:val="superscript"/>
          <w:lang w:val="en-GB"/>
        </w:rPr>
        <w:footnoteReference w:id="51"/>
      </w:r>
      <w:r w:rsidRPr="00AF3138">
        <w:rPr>
          <w:rFonts w:asciiTheme="minorHAnsi" w:eastAsia="Calibri" w:hAnsiTheme="minorHAnsi" w:cstheme="minorHAnsi"/>
          <w:color w:val="000000"/>
          <w:lang w:val="en-GB"/>
        </w:rPr>
        <w:t xml:space="preserve"> The Military Field Court is formed, based on a decision of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from a president and two military members.</w:t>
      </w:r>
      <w:r w:rsidRPr="00AF3138">
        <w:rPr>
          <w:rFonts w:asciiTheme="minorHAnsi" w:eastAsia="Calibri" w:hAnsiTheme="minorHAnsi" w:cstheme="minorHAnsi"/>
          <w:color w:val="000000"/>
          <w:vertAlign w:val="superscript"/>
          <w:lang w:val="en-GB"/>
        </w:rPr>
        <w:footnoteReference w:id="52"/>
      </w:r>
      <w:r w:rsidRPr="00AF3138">
        <w:rPr>
          <w:rFonts w:asciiTheme="minorHAnsi" w:eastAsia="Calibri" w:hAnsiTheme="minorHAnsi" w:cstheme="minorHAnsi"/>
          <w:color w:val="000000"/>
          <w:lang w:val="en-GB"/>
        </w:rPr>
        <w:t xml:space="preserve"> Additionally, the functions of the Public </w:t>
      </w:r>
      <w:r w:rsidRPr="00AF3138">
        <w:rPr>
          <w:rFonts w:asciiTheme="minorHAnsi" w:eastAsia="Calibri" w:hAnsiTheme="minorHAnsi" w:cstheme="minorHAnsi"/>
          <w:color w:val="000000"/>
          <w:lang w:val="en-GB"/>
        </w:rPr>
        <w:lastRenderedPageBreak/>
        <w:t xml:space="preserve">Prosecution Office in it are performed by judges from the Military Public Prosecution who are appointed by a decision from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What is worth noting is that the Military Public Prosecution of the Field Courts also performs the functions of the investigative judge. This means that the Public Prosecution, which is the opponent, issues the indictment or the decision to prevent the trial. Its decisions are final and not subject to appeal.</w:t>
      </w:r>
      <w:r w:rsidRPr="00AF3138">
        <w:rPr>
          <w:rFonts w:asciiTheme="minorHAnsi" w:eastAsia="Calibri" w:hAnsiTheme="minorHAnsi" w:cstheme="minorHAnsi"/>
          <w:color w:val="000000"/>
          <w:vertAlign w:val="superscript"/>
          <w:lang w:val="en-GB"/>
        </w:rPr>
        <w:footnoteReference w:id="53"/>
      </w:r>
    </w:p>
    <w:p w14:paraId="0000005D"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This court is exempted from following the legal procedures stipulated in the legislation in force, which are the rules that give the accused the guarantee of a fair trial.</w:t>
      </w:r>
      <w:r w:rsidRPr="00AF3138">
        <w:rPr>
          <w:rFonts w:asciiTheme="minorHAnsi" w:eastAsia="Calibri" w:hAnsiTheme="minorHAnsi" w:cstheme="minorHAnsi"/>
          <w:color w:val="000000"/>
          <w:vertAlign w:val="superscript"/>
          <w:lang w:val="en-GB"/>
        </w:rPr>
        <w:footnoteReference w:id="54"/>
      </w:r>
      <w:r w:rsidRPr="00AF3138">
        <w:rPr>
          <w:rFonts w:asciiTheme="minorHAnsi" w:eastAsia="Calibri" w:hAnsiTheme="minorHAnsi" w:cstheme="minorHAnsi"/>
          <w:color w:val="000000"/>
          <w:lang w:val="en-GB"/>
        </w:rPr>
        <w:t xml:space="preserve"> Accordingly, this court is secret and does not conduct its trials in public</w:t>
      </w:r>
      <w:r w:rsidRPr="00AF3138">
        <w:rPr>
          <w:rFonts w:asciiTheme="minorHAnsi" w:hAnsiTheme="minorHAnsi" w:cstheme="minorHAnsi"/>
          <w:lang w:val="en-GB"/>
        </w:rPr>
        <w:t>. It does not allow the accused to effectively obtain legal assistance, such as providing sufficient time and facilities to prepare the defence.</w:t>
      </w:r>
      <w:r w:rsidRPr="00AF3138">
        <w:rPr>
          <w:rFonts w:asciiTheme="minorHAnsi" w:eastAsia="Calibri" w:hAnsiTheme="minorHAnsi" w:cstheme="minorHAnsi"/>
          <w:color w:val="000000"/>
          <w:lang w:val="en-GB"/>
        </w:rPr>
        <w:t xml:space="preserve"> Moreover, its rulings are final and not subject to appeal before a higher court.</w:t>
      </w:r>
      <w:r w:rsidRPr="00AF3138">
        <w:rPr>
          <w:rFonts w:asciiTheme="minorHAnsi" w:eastAsia="Calibri" w:hAnsiTheme="minorHAnsi" w:cstheme="minorHAnsi"/>
          <w:color w:val="000000"/>
          <w:vertAlign w:val="superscript"/>
          <w:lang w:val="en-GB"/>
        </w:rPr>
        <w:footnoteReference w:id="55"/>
      </w:r>
      <w:r w:rsidRPr="00AF3138">
        <w:rPr>
          <w:rFonts w:asciiTheme="minorHAnsi" w:eastAsia="Calibri" w:hAnsiTheme="minorHAnsi" w:cstheme="minorHAnsi"/>
          <w:color w:val="000000"/>
          <w:lang w:val="en-GB"/>
        </w:rPr>
        <w:t xml:space="preserve"> These rulings are subject to the approval of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but if the death sentence is imposed, it is subject to the approval of the head of state only.</w:t>
      </w:r>
      <w:r w:rsidRPr="00AF3138">
        <w:rPr>
          <w:rFonts w:asciiTheme="minorHAnsi" w:eastAsia="Calibri" w:hAnsiTheme="minorHAnsi" w:cstheme="minorHAnsi"/>
          <w:color w:val="000000"/>
          <w:vertAlign w:val="superscript"/>
          <w:lang w:val="en-GB"/>
        </w:rPr>
        <w:footnoteReference w:id="56"/>
      </w:r>
    </w:p>
    <w:p w14:paraId="0000005E" w14:textId="77777777" w:rsidR="00E561CC" w:rsidRPr="00AF3138" w:rsidRDefault="00000000" w:rsidP="00AF3138">
      <w:pPr>
        <w:pStyle w:val="Heading3"/>
        <w:rPr>
          <w:lang w:val="en-GB"/>
        </w:rPr>
      </w:pPr>
      <w:bookmarkStart w:id="24" w:name="_Toc122446207"/>
      <w:r w:rsidRPr="00AF3138">
        <w:rPr>
          <w:lang w:val="en-GB"/>
        </w:rPr>
        <w:t>The Counter-Terrorism Court</w:t>
      </w:r>
      <w:bookmarkEnd w:id="24"/>
    </w:p>
    <w:p w14:paraId="0000005F"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Terrorism cases </w:t>
      </w:r>
      <w:r w:rsidRPr="00AF3138">
        <w:rPr>
          <w:rFonts w:asciiTheme="minorHAnsi" w:hAnsiTheme="minorHAnsi" w:cstheme="minorHAnsi"/>
          <w:lang w:val="en-GB"/>
        </w:rPr>
        <w:t>are</w:t>
      </w:r>
      <w:r w:rsidRPr="00AF3138">
        <w:rPr>
          <w:rFonts w:asciiTheme="minorHAnsi" w:eastAsia="Calibri" w:hAnsiTheme="minorHAnsi" w:cstheme="minorHAnsi"/>
          <w:color w:val="000000"/>
          <w:lang w:val="en-GB"/>
        </w:rPr>
        <w:t xml:space="preserve"> referred to a special court established by Decree No. 22 of 2012 (commonly known as the Terrorism Court). The establishment of this court coincided with the abolition of the Supreme State Security Court and the lifting of the state of emergency in the country.</w:t>
      </w:r>
      <w:r w:rsidRPr="00AF3138">
        <w:rPr>
          <w:rFonts w:asciiTheme="minorHAnsi" w:eastAsia="Calibri" w:hAnsiTheme="minorHAnsi" w:cstheme="minorHAnsi"/>
          <w:color w:val="000000"/>
          <w:sz w:val="18"/>
          <w:szCs w:val="18"/>
          <w:vertAlign w:val="superscript"/>
          <w:lang w:val="en-GB"/>
        </w:rPr>
        <w:t xml:space="preserve"> </w:t>
      </w:r>
      <w:r w:rsidRPr="00AF3138">
        <w:rPr>
          <w:rFonts w:asciiTheme="minorHAnsi" w:eastAsia="Calibri" w:hAnsiTheme="minorHAnsi" w:cstheme="minorHAnsi"/>
          <w:color w:val="000000"/>
          <w:sz w:val="18"/>
          <w:szCs w:val="18"/>
          <w:vertAlign w:val="superscript"/>
          <w:lang w:val="en-GB"/>
        </w:rPr>
        <w:footnoteReference w:id="57"/>
      </w:r>
      <w:r w:rsidRPr="00AF3138">
        <w:rPr>
          <w:rFonts w:asciiTheme="minorHAnsi" w:eastAsia="Calibri" w:hAnsiTheme="minorHAnsi" w:cstheme="minorHAnsi"/>
          <w:color w:val="000000"/>
          <w:lang w:val="en-GB"/>
        </w:rPr>
        <w:t xml:space="preserve"> The Counter-Terrorism Court did not differ much from the </w:t>
      </w:r>
      <w:r w:rsidRPr="00AF3138">
        <w:rPr>
          <w:rFonts w:asciiTheme="minorHAnsi" w:hAnsiTheme="minorHAnsi" w:cstheme="minorHAnsi"/>
          <w:lang w:val="en-GB"/>
        </w:rPr>
        <w:t>Supreme</w:t>
      </w:r>
      <w:r w:rsidRPr="00AF3138">
        <w:rPr>
          <w:rFonts w:asciiTheme="minorHAnsi" w:eastAsia="Calibri" w:hAnsiTheme="minorHAnsi" w:cstheme="minorHAnsi"/>
          <w:color w:val="000000"/>
          <w:lang w:val="en-GB"/>
        </w:rPr>
        <w:t xml:space="preserve"> State Security Court. </w:t>
      </w:r>
      <w:r w:rsidRPr="00AF3138">
        <w:rPr>
          <w:rFonts w:asciiTheme="minorHAnsi" w:hAnsiTheme="minorHAnsi" w:cstheme="minorHAnsi"/>
          <w:lang w:val="en-GB"/>
        </w:rPr>
        <w:t>Therefore</w:t>
      </w:r>
      <w:r w:rsidRPr="00AF3138">
        <w:rPr>
          <w:rFonts w:asciiTheme="minorHAnsi" w:eastAsia="Calibri" w:hAnsiTheme="minorHAnsi" w:cstheme="minorHAnsi"/>
          <w:color w:val="000000"/>
          <w:lang w:val="en-GB"/>
        </w:rPr>
        <w:t>, the abolition of the Supreme State Security Court, which the Syrian government presents in its report as a form of political reform, is only a nominal procedure aimed at showing it as a cooperating party</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he actual reality</w:t>
      </w:r>
      <w:r w:rsidRPr="00AF3138">
        <w:rPr>
          <w:rFonts w:asciiTheme="minorHAnsi" w:hAnsiTheme="minorHAnsi" w:cstheme="minorHAnsi"/>
          <w:lang w:val="en-GB"/>
        </w:rPr>
        <w:t>, however,</w:t>
      </w:r>
      <w:r w:rsidRPr="00AF3138">
        <w:rPr>
          <w:rFonts w:asciiTheme="minorHAnsi" w:eastAsia="Calibri" w:hAnsiTheme="minorHAnsi" w:cstheme="minorHAnsi"/>
          <w:color w:val="000000"/>
          <w:lang w:val="en-GB"/>
        </w:rPr>
        <w:t xml:space="preserve"> confirms that the executive authority headed by the President of the state still controls the most sensitive judicial joints</w:t>
      </w:r>
      <w:r w:rsidRPr="00AF3138">
        <w:rPr>
          <w:rFonts w:asciiTheme="minorHAnsi" w:hAnsiTheme="minorHAnsi" w:cstheme="minorHAnsi"/>
          <w:lang w:val="en-GB"/>
        </w:rPr>
        <w:t xml:space="preserve"> in Syria.</w:t>
      </w:r>
    </w:p>
    <w:p w14:paraId="00000060"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proofErr w:type="gramStart"/>
      <w:r w:rsidRPr="00AF3138">
        <w:rPr>
          <w:rFonts w:asciiTheme="minorHAnsi" w:eastAsia="Calibri" w:hAnsiTheme="minorHAnsi" w:cstheme="minorHAnsi"/>
          <w:color w:val="000000"/>
          <w:lang w:val="en-GB"/>
        </w:rPr>
        <w:t>Similar to</w:t>
      </w:r>
      <w:proofErr w:type="gramEnd"/>
      <w:r w:rsidRPr="00AF3138">
        <w:rPr>
          <w:rFonts w:asciiTheme="minorHAnsi" w:eastAsia="Calibri" w:hAnsiTheme="minorHAnsi" w:cstheme="minorHAnsi"/>
          <w:color w:val="000000"/>
          <w:lang w:val="en-GB"/>
        </w:rPr>
        <w:t xml:space="preserve"> its precedent, the Counter-Terrorism Court is subject to the dominance of the executive authority in appointing prosecutors, investigation and </w:t>
      </w:r>
      <w:r w:rsidRPr="00AF3138">
        <w:rPr>
          <w:rFonts w:asciiTheme="minorHAnsi" w:hAnsiTheme="minorHAnsi" w:cstheme="minorHAnsi"/>
          <w:lang w:val="en-GB"/>
        </w:rPr>
        <w:t>court</w:t>
      </w:r>
      <w:r w:rsidRPr="00AF3138">
        <w:rPr>
          <w:rFonts w:asciiTheme="minorHAnsi" w:eastAsia="Calibri" w:hAnsiTheme="minorHAnsi" w:cstheme="minorHAnsi"/>
          <w:color w:val="000000"/>
          <w:lang w:val="en-GB"/>
        </w:rPr>
        <w:t xml:space="preserve"> judges, as they are all appointed by </w:t>
      </w:r>
      <w:r w:rsidRPr="00AF3138">
        <w:rPr>
          <w:rFonts w:asciiTheme="minorHAnsi" w:hAnsiTheme="minorHAnsi" w:cstheme="minorHAnsi"/>
          <w:lang w:val="en-GB"/>
        </w:rPr>
        <w:t xml:space="preserve">a </w:t>
      </w:r>
      <w:r w:rsidRPr="00AF3138">
        <w:rPr>
          <w:rFonts w:asciiTheme="minorHAnsi" w:eastAsia="Calibri" w:hAnsiTheme="minorHAnsi" w:cstheme="minorHAnsi"/>
          <w:color w:val="000000"/>
          <w:lang w:val="en-GB"/>
        </w:rPr>
        <w:t>decree based on the proposal of the Supreme Judicial Council.</w:t>
      </w:r>
      <w:r w:rsidRPr="00AF3138">
        <w:rPr>
          <w:rFonts w:asciiTheme="minorHAnsi" w:eastAsia="Calibri" w:hAnsiTheme="minorHAnsi" w:cstheme="minorHAnsi"/>
          <w:color w:val="000000"/>
          <w:vertAlign w:val="superscript"/>
          <w:lang w:val="en-GB"/>
        </w:rPr>
        <w:footnoteReference w:id="58"/>
      </w:r>
      <w:r w:rsidRPr="00AF3138">
        <w:rPr>
          <w:rFonts w:asciiTheme="minorHAnsi" w:eastAsia="Calibri" w:hAnsiTheme="minorHAnsi" w:cstheme="minorHAnsi"/>
          <w:color w:val="000000"/>
          <w:lang w:val="en-GB"/>
        </w:rPr>
        <w:t xml:space="preserve"> It should be noted that this council is composed mainly </w:t>
      </w:r>
      <w:r w:rsidRPr="00AF3138">
        <w:rPr>
          <w:rFonts w:asciiTheme="minorHAnsi" w:hAnsiTheme="minorHAnsi" w:cstheme="minorHAnsi"/>
          <w:lang w:val="en-GB"/>
        </w:rPr>
        <w:t>of</w:t>
      </w:r>
      <w:r w:rsidRPr="00AF3138">
        <w:rPr>
          <w:rFonts w:asciiTheme="minorHAnsi" w:eastAsia="Calibri" w:hAnsiTheme="minorHAnsi" w:cstheme="minorHAnsi"/>
          <w:color w:val="000000"/>
          <w:lang w:val="en-GB"/>
        </w:rPr>
        <w:t xml:space="preserve"> the executive branch. The Council </w:t>
      </w:r>
      <w:r w:rsidRPr="00AF3138">
        <w:rPr>
          <w:rFonts w:asciiTheme="minorHAnsi" w:hAnsiTheme="minorHAnsi" w:cstheme="minorHAnsi"/>
          <w:lang w:val="en-GB"/>
        </w:rPr>
        <w:t>comprises</w:t>
      </w:r>
      <w:r w:rsidRPr="00AF3138">
        <w:rPr>
          <w:rFonts w:asciiTheme="minorHAnsi" w:eastAsia="Calibri" w:hAnsiTheme="minorHAnsi" w:cstheme="minorHAnsi"/>
          <w:color w:val="000000"/>
          <w:lang w:val="en-GB"/>
        </w:rPr>
        <w:t xml:space="preserve"> seven members: the President of the state, the Deputy Minister of Justice, the Public Prosecutor, the Head of the Judicial Inspection Department, the President of the Court of Cassation and his two oldest </w:t>
      </w:r>
      <w:r w:rsidRPr="00AF3138">
        <w:rPr>
          <w:rFonts w:asciiTheme="minorHAnsi" w:eastAsia="Calibri" w:hAnsiTheme="minorHAnsi" w:cstheme="minorHAnsi"/>
          <w:color w:val="000000"/>
          <w:lang w:val="en-GB"/>
        </w:rPr>
        <w:lastRenderedPageBreak/>
        <w:t>deputies.</w:t>
      </w:r>
      <w:r w:rsidRPr="00AF3138">
        <w:rPr>
          <w:rFonts w:asciiTheme="minorHAnsi" w:eastAsia="Calibri" w:hAnsiTheme="minorHAnsi" w:cstheme="minorHAnsi"/>
          <w:color w:val="000000"/>
          <w:vertAlign w:val="superscript"/>
          <w:lang w:val="en-GB"/>
        </w:rPr>
        <w:footnoteReference w:id="59"/>
      </w:r>
      <w:r w:rsidRPr="00AF3138">
        <w:rPr>
          <w:rFonts w:asciiTheme="minorHAnsi" w:eastAsia="Calibri" w:hAnsiTheme="minorHAnsi" w:cstheme="minorHAnsi"/>
          <w:color w:val="000000"/>
          <w:lang w:val="en-GB"/>
        </w:rPr>
        <w:t xml:space="preserve"> The executive authority occupies the presidency of the Supreme Judicial Council through the President of the state. It also occupies</w:t>
      </w:r>
      <w:r w:rsidRPr="00AF3138">
        <w:rPr>
          <w:rFonts w:asciiTheme="minorHAnsi" w:hAnsiTheme="minorHAnsi" w:cstheme="minorHAnsi"/>
          <w:lang w:val="en-GB"/>
        </w:rPr>
        <w:t xml:space="preserve"> a direct membership in the Council through </w:t>
      </w:r>
      <w:proofErr w:type="gramStart"/>
      <w:r w:rsidRPr="00AF3138">
        <w:rPr>
          <w:rFonts w:asciiTheme="minorHAnsi" w:hAnsiTheme="minorHAnsi" w:cstheme="minorHAnsi"/>
          <w:lang w:val="en-GB"/>
        </w:rPr>
        <w:t>the  Deputy</w:t>
      </w:r>
      <w:proofErr w:type="gramEnd"/>
      <w:r w:rsidRPr="00AF3138">
        <w:rPr>
          <w:rFonts w:asciiTheme="minorHAnsi" w:hAnsiTheme="minorHAnsi" w:cstheme="minorHAnsi"/>
          <w:lang w:val="en-GB"/>
        </w:rPr>
        <w:t xml:space="preserve"> Minister of Justice</w:t>
      </w:r>
      <w:r w:rsidRPr="00AF3138">
        <w:rPr>
          <w:rFonts w:asciiTheme="minorHAnsi" w:eastAsia="Calibri" w:hAnsiTheme="minorHAnsi" w:cstheme="minorHAnsi"/>
          <w:color w:val="000000"/>
          <w:lang w:val="en-GB"/>
        </w:rPr>
        <w:t>. In addition, the executive authority supervises the Public Prosecutor and appoints the head of the Judicial Inspection Department through the Minister of Justice.</w:t>
      </w:r>
      <w:r w:rsidRPr="00AF3138">
        <w:rPr>
          <w:rFonts w:asciiTheme="minorHAnsi" w:eastAsia="Calibri" w:hAnsiTheme="minorHAnsi" w:cstheme="minorHAnsi"/>
          <w:color w:val="000000"/>
          <w:vertAlign w:val="superscript"/>
          <w:lang w:val="en-GB"/>
        </w:rPr>
        <w:footnoteReference w:id="60"/>
      </w:r>
      <w:r w:rsidRPr="00AF3138">
        <w:rPr>
          <w:rFonts w:asciiTheme="minorHAnsi" w:eastAsia="Calibri" w:hAnsiTheme="minorHAnsi" w:cstheme="minorHAnsi"/>
          <w:color w:val="000000"/>
          <w:lang w:val="en-GB"/>
        </w:rPr>
        <w:t xml:space="preserve"> Therefore, the executive branch controls four out of seven seats in the Council. While the remaining three members are appointed by the council by a majority of votes dominated by the executive authority.</w:t>
      </w:r>
      <w:r w:rsidRPr="00AF3138">
        <w:rPr>
          <w:rFonts w:asciiTheme="minorHAnsi" w:eastAsia="Calibri" w:hAnsiTheme="minorHAnsi" w:cstheme="minorHAnsi"/>
          <w:color w:val="000000"/>
          <w:vertAlign w:val="superscript"/>
          <w:lang w:val="en-GB"/>
        </w:rPr>
        <w:footnoteReference w:id="61"/>
      </w:r>
      <w:r w:rsidRPr="00AF3138">
        <w:rPr>
          <w:rFonts w:asciiTheme="minorHAnsi" w:eastAsia="Calibri" w:hAnsiTheme="minorHAnsi" w:cstheme="minorHAnsi"/>
          <w:color w:val="000000"/>
          <w:lang w:val="en-GB"/>
        </w:rPr>
        <w:t xml:space="preserve"> Accordingly, the executive authority controls the Supreme Judicial Council and, therefore, the entire formation of the Counter-Terrorism Court is subject to its influence.</w:t>
      </w:r>
    </w:p>
    <w:p w14:paraId="00000061"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The Counter-Terrorism Court exercises jurisdiction over civilians and military personnel and has a military judge in its composition.</w:t>
      </w:r>
      <w:r w:rsidRPr="00AF3138">
        <w:rPr>
          <w:rFonts w:asciiTheme="minorHAnsi" w:eastAsia="Calibri" w:hAnsiTheme="minorHAnsi" w:cstheme="minorHAnsi"/>
          <w:color w:val="000000"/>
          <w:vertAlign w:val="superscript"/>
          <w:lang w:val="en-GB"/>
        </w:rPr>
        <w:footnoteReference w:id="62"/>
      </w:r>
      <w:r w:rsidRPr="00AF3138">
        <w:rPr>
          <w:rFonts w:asciiTheme="minorHAnsi" w:eastAsia="Calibri" w:hAnsiTheme="minorHAnsi" w:cstheme="minorHAnsi"/>
          <w:color w:val="000000"/>
          <w:lang w:val="en-GB"/>
        </w:rPr>
        <w:t xml:space="preserve"> This court is not bound by the procedures of criminal trials.</w:t>
      </w:r>
      <w:r w:rsidRPr="00AF3138">
        <w:rPr>
          <w:rFonts w:asciiTheme="minorHAnsi" w:eastAsia="Calibri" w:hAnsiTheme="minorHAnsi" w:cstheme="minorHAnsi"/>
          <w:color w:val="000000"/>
          <w:vertAlign w:val="superscript"/>
          <w:lang w:val="en-GB"/>
        </w:rPr>
        <w:footnoteReference w:id="63"/>
      </w:r>
      <w:r w:rsidRPr="00AF3138">
        <w:rPr>
          <w:rFonts w:asciiTheme="minorHAnsi" w:eastAsia="Calibri" w:hAnsiTheme="minorHAnsi" w:cstheme="minorHAnsi"/>
          <w:color w:val="000000"/>
          <w:lang w:val="en-GB"/>
        </w:rPr>
        <w:t xml:space="preserve"> It also does not always hold its sessions at its building, but sometimes at prisons and detention </w:t>
      </w:r>
      <w:r w:rsidRPr="00AF3138">
        <w:rPr>
          <w:rFonts w:asciiTheme="minorHAnsi" w:hAnsiTheme="minorHAnsi" w:cstheme="minorHAnsi"/>
          <w:lang w:val="en-GB"/>
        </w:rPr>
        <w:t>centres</w:t>
      </w:r>
      <w:r w:rsidRPr="00AF3138">
        <w:rPr>
          <w:rFonts w:asciiTheme="minorHAnsi" w:eastAsia="Calibri" w:hAnsiTheme="minorHAnsi" w:cstheme="minorHAnsi"/>
          <w:color w:val="000000"/>
          <w:lang w:val="en-GB"/>
        </w:rPr>
        <w:t xml:space="preserve">, which leads to the inability of </w:t>
      </w:r>
      <w:r w:rsidRPr="00AF3138">
        <w:rPr>
          <w:rFonts w:asciiTheme="minorHAnsi" w:hAnsiTheme="minorHAnsi" w:cstheme="minorHAnsi"/>
          <w:lang w:val="en-GB"/>
        </w:rPr>
        <w:t>defence</w:t>
      </w:r>
      <w:r w:rsidRPr="00AF3138">
        <w:rPr>
          <w:rFonts w:asciiTheme="minorHAnsi" w:eastAsia="Calibri" w:hAnsiTheme="minorHAnsi" w:cstheme="minorHAnsi"/>
          <w:color w:val="000000"/>
          <w:lang w:val="en-GB"/>
        </w:rPr>
        <w:t xml:space="preserve"> lawyers and families of detainees to attend the sessions. Moreover, the rulings of the Counter-Terrorism Court, such as those of the military judiciary, are not subject to appeal except by way of cassation. </w:t>
      </w:r>
    </w:p>
    <w:p w14:paraId="00000062"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It should be recalled that the Court of Cassation, in the general framework, is not a level of litigation. It only considers the application of the law but not the substance of the case. If the Court of Cassation finds that the </w:t>
      </w:r>
      <w:r w:rsidRPr="00AF3138">
        <w:rPr>
          <w:rFonts w:asciiTheme="minorHAnsi" w:hAnsiTheme="minorHAnsi" w:cstheme="minorHAnsi"/>
          <w:lang w:val="en-GB"/>
        </w:rPr>
        <w:t>trial court's judgment</w:t>
      </w:r>
      <w:r w:rsidRPr="00AF3138">
        <w:rPr>
          <w:rFonts w:asciiTheme="minorHAnsi" w:eastAsia="Calibri" w:hAnsiTheme="minorHAnsi" w:cstheme="minorHAnsi"/>
          <w:color w:val="000000"/>
          <w:lang w:val="en-GB"/>
        </w:rPr>
        <w:t xml:space="preserve"> is legally valid, then the judgment will become final. Otherwise, it </w:t>
      </w:r>
      <w:r w:rsidRPr="00AF3138">
        <w:rPr>
          <w:rFonts w:asciiTheme="minorHAnsi" w:hAnsiTheme="minorHAnsi" w:cstheme="minorHAnsi"/>
          <w:lang w:val="en-GB"/>
        </w:rPr>
        <w:t>returns</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the case back to the trial judge to correct the legal deficiency and decide</w:t>
      </w:r>
      <w:r w:rsidRPr="00AF3138">
        <w:rPr>
          <w:rFonts w:asciiTheme="minorHAnsi" w:eastAsia="Calibri" w:hAnsiTheme="minorHAnsi" w:cstheme="minorHAnsi"/>
          <w:color w:val="000000"/>
          <w:lang w:val="en-GB"/>
        </w:rPr>
        <w:t xml:space="preserve"> again on the case. Importantly, the new judgment can be appealed for a second time before the Court of Cassation, and only then can the Court of Cassation consider the subject of the case.</w:t>
      </w:r>
      <w:r w:rsidRPr="00AF3138">
        <w:rPr>
          <w:rFonts w:asciiTheme="minorHAnsi" w:eastAsia="Calibri" w:hAnsiTheme="minorHAnsi" w:cstheme="minorHAnsi"/>
          <w:color w:val="000000"/>
          <w:vertAlign w:val="superscript"/>
          <w:lang w:val="en-GB"/>
        </w:rPr>
        <w:footnoteReference w:id="64"/>
      </w:r>
      <w:r w:rsidRPr="00AF3138">
        <w:rPr>
          <w:rFonts w:asciiTheme="minorHAnsi" w:eastAsia="Calibri" w:hAnsiTheme="minorHAnsi" w:cstheme="minorHAnsi"/>
          <w:color w:val="000000"/>
          <w:lang w:val="en-GB"/>
        </w:rPr>
        <w:t xml:space="preserve"> However, the practice indicates that the rulings of the Counter-Terrorism Court and military courts are often not overturned.</w:t>
      </w:r>
    </w:p>
    <w:p w14:paraId="00000063" w14:textId="4B40B1D7" w:rsidR="00E561CC" w:rsidRPr="00AF3138" w:rsidRDefault="00000000" w:rsidP="00AF3138">
      <w:pPr>
        <w:pBdr>
          <w:top w:val="single" w:sz="4" w:space="1" w:color="000000"/>
          <w:left w:val="single" w:sz="4" w:space="4" w:color="000000"/>
          <w:bottom w:val="single" w:sz="4" w:space="1" w:color="000000"/>
          <w:right w:val="single" w:sz="4" w:space="4" w:color="000000"/>
        </w:pBdr>
        <w:shd w:val="clear" w:color="auto" w:fill="D0CECE" w:themeFill="background2" w:themeFillShade="E6"/>
        <w:ind w:left="36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The submitting organizations recommend the Committee </w:t>
      </w:r>
      <w:r w:rsidR="00AF3138" w:rsidRPr="00AF3138">
        <w:rPr>
          <w:rFonts w:asciiTheme="minorHAnsi" w:hAnsiTheme="minorHAnsi" w:cstheme="minorHAnsi"/>
          <w:highlight w:val="none"/>
          <w:lang w:val="en-GB"/>
        </w:rPr>
        <w:t xml:space="preserve">to </w:t>
      </w:r>
      <w:r w:rsidRPr="00AF3138">
        <w:rPr>
          <w:rFonts w:asciiTheme="minorHAnsi" w:hAnsiTheme="minorHAnsi" w:cstheme="minorHAnsi"/>
          <w:highlight w:val="none"/>
          <w:lang w:val="en-GB"/>
        </w:rPr>
        <w:t>ask the Syrian Arab Republic the following questions:</w:t>
      </w:r>
    </w:p>
    <w:p w14:paraId="00000064" w14:textId="77777777" w:rsidR="00E561CC" w:rsidRPr="00AF3138" w:rsidRDefault="00000000" w:rsidP="00AF3138">
      <w:pPr>
        <w:numPr>
          <w:ilvl w:val="0"/>
          <w:numId w:val="3"/>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lastRenderedPageBreak/>
        <w:t xml:space="preserve">Please explain to what extent the Public Prosecution is impartial and independent in holding prosecutions on their own against military personnel, Interior Security Forces, and General Intelligence members? </w:t>
      </w:r>
      <w:r w:rsidRPr="00AF3138">
        <w:rPr>
          <w:rFonts w:asciiTheme="minorHAnsi" w:hAnsiTheme="minorHAnsi" w:cstheme="minorHAnsi"/>
          <w:b/>
          <w:i/>
          <w:highlight w:val="none"/>
          <w:lang w:val="en-GB"/>
        </w:rPr>
        <w:t>(Art 14 ICCPR)</w:t>
      </w:r>
    </w:p>
    <w:p w14:paraId="00000065" w14:textId="79BC6D17" w:rsidR="00E561CC" w:rsidRPr="00AF3138" w:rsidRDefault="00000000" w:rsidP="00AF3138">
      <w:pPr>
        <w:numPr>
          <w:ilvl w:val="0"/>
          <w:numId w:val="3"/>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Can you explain in detail the structure, procedures, </w:t>
      </w:r>
      <w:r w:rsidR="00AF3138" w:rsidRPr="00AF3138">
        <w:rPr>
          <w:rFonts w:asciiTheme="minorHAnsi" w:hAnsiTheme="minorHAnsi" w:cstheme="minorHAnsi"/>
          <w:highlight w:val="none"/>
          <w:lang w:val="en-GB"/>
        </w:rPr>
        <w:t>and jurisdiction</w:t>
      </w:r>
      <w:r w:rsidRPr="00AF3138">
        <w:rPr>
          <w:rFonts w:asciiTheme="minorHAnsi" w:hAnsiTheme="minorHAnsi" w:cstheme="minorHAnsi"/>
          <w:highlight w:val="none"/>
          <w:lang w:val="en-GB"/>
        </w:rPr>
        <w:t xml:space="preserve"> of the military judiciary, the military field courts, and the Counter Terrorism court, and how they correspond to the obligations under article 14 of the Covenant? </w:t>
      </w:r>
      <w:r w:rsidRPr="00AF3138">
        <w:rPr>
          <w:rFonts w:asciiTheme="minorHAnsi" w:hAnsiTheme="minorHAnsi" w:cstheme="minorHAnsi"/>
          <w:b/>
          <w:i/>
          <w:highlight w:val="none"/>
          <w:lang w:val="en-GB"/>
        </w:rPr>
        <w:t>(Art 14 ICCPR)</w:t>
      </w:r>
    </w:p>
    <w:p w14:paraId="00000066" w14:textId="77777777" w:rsidR="00E561CC" w:rsidRPr="00AF3138" w:rsidRDefault="00000000" w:rsidP="00AF3138">
      <w:pPr>
        <w:numPr>
          <w:ilvl w:val="0"/>
          <w:numId w:val="3"/>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Can you explain in detail the structure, procedures, and outcomes of the court of cassation as a level of appeal for the decision of the military courts and Counter-terrorism court? </w:t>
      </w:r>
      <w:r w:rsidRPr="00AF3138">
        <w:rPr>
          <w:rFonts w:asciiTheme="minorHAnsi" w:hAnsiTheme="minorHAnsi" w:cstheme="minorHAnsi"/>
          <w:b/>
          <w:i/>
          <w:highlight w:val="none"/>
          <w:lang w:val="en-GB"/>
        </w:rPr>
        <w:t>(Art 14 ICCPR)</w:t>
      </w:r>
    </w:p>
    <w:p w14:paraId="00000067" w14:textId="77777777" w:rsidR="00E561CC" w:rsidRPr="00AF3138" w:rsidRDefault="00000000" w:rsidP="00AF3138">
      <w:pPr>
        <w:numPr>
          <w:ilvl w:val="0"/>
          <w:numId w:val="3"/>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In which circumstances are civilians brought before military and special courts? and to what extent are these circumstances exceptional? </w:t>
      </w:r>
      <w:r w:rsidRPr="00AF3138">
        <w:rPr>
          <w:rFonts w:asciiTheme="minorHAnsi" w:hAnsiTheme="minorHAnsi" w:cstheme="minorHAnsi"/>
          <w:b/>
          <w:i/>
          <w:highlight w:val="none"/>
          <w:lang w:val="en-GB"/>
        </w:rPr>
        <w:t>(Art 14 ICCPR)</w:t>
      </w:r>
    </w:p>
    <w:p w14:paraId="00000068" w14:textId="3E7D1C7D" w:rsidR="00E561CC" w:rsidRPr="00AF3138" w:rsidRDefault="00000000" w:rsidP="00AF3138">
      <w:pPr>
        <w:numPr>
          <w:ilvl w:val="0"/>
          <w:numId w:val="3"/>
        </w:numPr>
        <w:pBdr>
          <w:top w:val="single" w:sz="4" w:space="1" w:color="000000"/>
          <w:left w:val="single" w:sz="4" w:space="4" w:color="000000"/>
          <w:bottom w:val="single" w:sz="4" w:space="1" w:color="000000"/>
          <w:right w:val="single" w:sz="4" w:space="4" w:color="000000"/>
        </w:pBdr>
        <w:shd w:val="clear" w:color="auto" w:fill="D0CECE" w:themeFill="background2" w:themeFillShade="E6"/>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There are vague criminal charges in Syrian law, such as Article 285 and Article 286 of the General Penal Code. (1 How is the Syrian judiciary interpreting these articles? (2 How can you ensure </w:t>
      </w:r>
      <w:r w:rsidR="00AF3138" w:rsidRPr="00AF3138">
        <w:rPr>
          <w:rFonts w:asciiTheme="minorHAnsi" w:hAnsiTheme="minorHAnsi" w:cstheme="minorHAnsi"/>
          <w:highlight w:val="none"/>
          <w:lang w:val="en-GB"/>
        </w:rPr>
        <w:t>that people</w:t>
      </w:r>
      <w:r w:rsidRPr="00AF3138">
        <w:rPr>
          <w:rFonts w:asciiTheme="minorHAnsi" w:hAnsiTheme="minorHAnsi" w:cstheme="minorHAnsi"/>
          <w:highlight w:val="none"/>
          <w:lang w:val="en-GB"/>
        </w:rPr>
        <w:t xml:space="preserve"> can understand what kind of conduct might fall under such vague crimes? (3 and what practical steps does Syria want to take to remove the ambiguity of such crimes? </w:t>
      </w:r>
      <w:r w:rsidRPr="00AF3138">
        <w:rPr>
          <w:rFonts w:asciiTheme="minorHAnsi" w:hAnsiTheme="minorHAnsi" w:cstheme="minorHAnsi"/>
          <w:b/>
          <w:i/>
          <w:highlight w:val="none"/>
          <w:lang w:val="en-GB"/>
        </w:rPr>
        <w:t>(Art 14 ICCPR)</w:t>
      </w:r>
    </w:p>
    <w:p w14:paraId="00000069" w14:textId="77777777" w:rsidR="00E561CC" w:rsidRPr="00AF3138" w:rsidRDefault="00E561CC">
      <w:pPr>
        <w:spacing w:after="0" w:line="240" w:lineRule="auto"/>
        <w:rPr>
          <w:rFonts w:asciiTheme="minorHAnsi" w:hAnsiTheme="minorHAnsi" w:cstheme="minorHAnsi"/>
          <w:lang w:val="en-GB"/>
        </w:rPr>
      </w:pPr>
    </w:p>
    <w:p w14:paraId="0000006A" w14:textId="77777777" w:rsidR="00E561CC" w:rsidRPr="00AF3138" w:rsidRDefault="00000000">
      <w:pPr>
        <w:tabs>
          <w:tab w:val="left" w:pos="6063"/>
        </w:tabs>
        <w:bidi/>
        <w:rPr>
          <w:rFonts w:asciiTheme="minorHAnsi" w:hAnsiTheme="minorHAnsi" w:cstheme="minorHAnsi"/>
          <w:lang w:val="en-GB"/>
        </w:rPr>
      </w:pPr>
      <w:r w:rsidRPr="00AF3138">
        <w:rPr>
          <w:rFonts w:asciiTheme="minorHAnsi" w:hAnsiTheme="minorHAnsi" w:cstheme="minorHAnsi"/>
          <w:lang w:val="en-GB"/>
        </w:rPr>
        <w:tab/>
      </w:r>
    </w:p>
    <w:p w14:paraId="0000006B" w14:textId="77777777" w:rsidR="00E561CC" w:rsidRPr="00AF3138" w:rsidRDefault="00000000">
      <w:pPr>
        <w:spacing w:after="0" w:line="240" w:lineRule="auto"/>
        <w:rPr>
          <w:rFonts w:asciiTheme="minorHAnsi" w:hAnsiTheme="minorHAnsi" w:cstheme="minorHAnsi"/>
          <w:lang w:val="en-GB"/>
        </w:rPr>
      </w:pPr>
      <w:r w:rsidRPr="00AF3138">
        <w:rPr>
          <w:rFonts w:asciiTheme="minorHAnsi" w:hAnsiTheme="minorHAnsi" w:cstheme="minorHAnsi"/>
          <w:lang w:val="en-GB"/>
        </w:rPr>
        <w:br w:type="page"/>
      </w:r>
    </w:p>
    <w:p w14:paraId="0000006C" w14:textId="77777777" w:rsidR="00E561CC" w:rsidRPr="00AF3138" w:rsidRDefault="00000000" w:rsidP="008E7279">
      <w:pPr>
        <w:pStyle w:val="Heading1"/>
        <w:rPr>
          <w:lang w:val="en-GB"/>
        </w:rPr>
      </w:pPr>
      <w:bookmarkStart w:id="25" w:name="_heading=h.n8cx3abzh4xs" w:colFirst="0" w:colLast="0"/>
      <w:bookmarkStart w:id="26" w:name="_Toc122446208"/>
      <w:bookmarkEnd w:id="25"/>
      <w:r w:rsidRPr="00AF3138">
        <w:rPr>
          <w:lang w:val="en-GB"/>
        </w:rPr>
        <w:lastRenderedPageBreak/>
        <w:t>The Right to Life:</w:t>
      </w:r>
      <w:bookmarkEnd w:id="26"/>
      <w:r w:rsidRPr="00AF3138">
        <w:rPr>
          <w:lang w:val="en-GB"/>
        </w:rPr>
        <w:t xml:space="preserve"> </w:t>
      </w:r>
    </w:p>
    <w:p w14:paraId="0000006D" w14:textId="16CE9A89" w:rsidR="00E561CC" w:rsidRPr="00AF3138" w:rsidRDefault="00081C8E" w:rsidP="00AF3138">
      <w:pPr>
        <w:ind w:left="360"/>
        <w:jc w:val="both"/>
        <w:rPr>
          <w:rFonts w:asciiTheme="minorHAnsi" w:hAnsiTheme="minorHAnsi" w:cstheme="minorHAnsi"/>
          <w:b/>
          <w:i/>
          <w:sz w:val="28"/>
          <w:szCs w:val="28"/>
          <w:lang w:val="en-GB"/>
        </w:rPr>
      </w:pPr>
      <w:r w:rsidRPr="00081C8E">
        <w:rPr>
          <w:rFonts w:asciiTheme="minorHAnsi" w:hAnsiTheme="minorHAnsi" w:cstheme="minorHAnsi"/>
          <w:b/>
          <w:i/>
          <w:sz w:val="28"/>
          <w:szCs w:val="28"/>
          <w:lang w:val="en-GB"/>
        </w:rPr>
        <w:t>(This section addresses the alleged violations of Art 6; it also claims a correlation between the relevant violations and Art 14 of the ICCPR)</w:t>
      </w:r>
    </w:p>
    <w:p w14:paraId="0000006E"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In 2005, the Committee reiterated its concerns that Syria was not limiting the death penalty to the most serious crimes.</w:t>
      </w:r>
      <w:r w:rsidRPr="00AF3138">
        <w:rPr>
          <w:rFonts w:asciiTheme="minorHAnsi" w:hAnsiTheme="minorHAnsi" w:cstheme="minorHAnsi"/>
          <w:vertAlign w:val="superscript"/>
          <w:lang w:val="en-GB"/>
        </w:rPr>
        <w:footnoteReference w:id="65"/>
      </w:r>
      <w:r w:rsidRPr="00AF3138">
        <w:rPr>
          <w:rFonts w:asciiTheme="minorHAnsi" w:hAnsiTheme="minorHAnsi" w:cstheme="minorHAnsi"/>
          <w:lang w:val="en-GB"/>
        </w:rPr>
        <w:t xml:space="preserve"> The number of offenses punished by death continues to be disproportionate to the seriousness of the acts. The Committee also communicated great concerns about the lack of transparency on the number of death sentences and persons awaiting execution. The lack of transparency makes it difficult to trace human rights violations to people on death row. On this point, the Committee have been particularly concerned about several cases of ill-treatment towards prisoners, including acts of torture, but also cruel, inhuman or degrading treatment including punishment. In Syria's fourth report to CCPR2021, major discrepancies are still noted between the country’s statements and human rights violations occurring </w:t>
      </w:r>
      <w:proofErr w:type="gramStart"/>
      <w:r w:rsidRPr="00AF3138">
        <w:rPr>
          <w:rFonts w:asciiTheme="minorHAnsi" w:hAnsiTheme="minorHAnsi" w:cstheme="minorHAnsi"/>
          <w:lang w:val="en-GB"/>
        </w:rPr>
        <w:t>with regard to</w:t>
      </w:r>
      <w:proofErr w:type="gramEnd"/>
      <w:r w:rsidRPr="00AF3138">
        <w:rPr>
          <w:rFonts w:asciiTheme="minorHAnsi" w:hAnsiTheme="minorHAnsi" w:cstheme="minorHAnsi"/>
          <w:lang w:val="en-GB"/>
        </w:rPr>
        <w:t xml:space="preserve"> the death penalty.</w:t>
      </w:r>
    </w:p>
    <w:p w14:paraId="0000006F"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Although international law does not absolutely prohibit the death penalty, understanding the Syrian context and the entire cycle of the </w:t>
      </w:r>
      <w:proofErr w:type="gramStart"/>
      <w:r w:rsidRPr="00AF3138">
        <w:rPr>
          <w:rFonts w:asciiTheme="minorHAnsi" w:eastAsia="Calibri" w:hAnsiTheme="minorHAnsi" w:cstheme="minorHAnsi"/>
          <w:color w:val="000000"/>
          <w:lang w:val="en-GB"/>
        </w:rPr>
        <w:t>aforementioned violations</w:t>
      </w:r>
      <w:proofErr w:type="gramEnd"/>
      <w:r w:rsidRPr="00AF3138">
        <w:rPr>
          <w:rFonts w:asciiTheme="minorHAnsi" w:eastAsia="Calibri" w:hAnsiTheme="minorHAnsi" w:cstheme="minorHAnsi"/>
          <w:color w:val="000000"/>
          <w:lang w:val="en-GB"/>
        </w:rPr>
        <w:t xml:space="preserve"> makes it dangerous to accept any form of application of this punishment in Syria</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 xml:space="preserve">An outrageous example to be mentioned in this regard is the mass summary executions without any judicial guarantees in </w:t>
      </w:r>
      <w:proofErr w:type="spellStart"/>
      <w:r w:rsidRPr="00AF3138">
        <w:rPr>
          <w:rFonts w:asciiTheme="minorHAnsi" w:hAnsiTheme="minorHAnsi" w:cstheme="minorHAnsi"/>
          <w:lang w:val="en-GB"/>
        </w:rPr>
        <w:t>Sednaya</w:t>
      </w:r>
      <w:proofErr w:type="spellEnd"/>
      <w:r w:rsidRPr="00AF3138">
        <w:rPr>
          <w:rFonts w:asciiTheme="minorHAnsi" w:hAnsiTheme="minorHAnsi" w:cstheme="minorHAnsi"/>
          <w:lang w:val="en-GB"/>
        </w:rPr>
        <w:t xml:space="preserve"> Prison.</w:t>
      </w:r>
      <w:r w:rsidRPr="00AF3138">
        <w:rPr>
          <w:rFonts w:asciiTheme="minorHAnsi" w:eastAsia="Calibri" w:hAnsiTheme="minorHAnsi" w:cstheme="minorHAnsi"/>
          <w:color w:val="000000"/>
          <w:lang w:val="en-GB"/>
        </w:rPr>
        <w:t xml:space="preserve"> Amnesty International reported that in addition to the death of large numbers of detainees because of torture and systematic deprivation of food, drink, and medical care, thousands of people had been extrajudicially executed in hangings collectively in absolute secrecy. </w:t>
      </w:r>
      <w:r w:rsidRPr="00AF3138">
        <w:rPr>
          <w:rFonts w:asciiTheme="minorHAnsi" w:hAnsiTheme="minorHAnsi" w:cstheme="minorHAnsi"/>
          <w:lang w:val="en-GB"/>
        </w:rPr>
        <w:t>T</w:t>
      </w:r>
      <w:r w:rsidRPr="00AF3138">
        <w:rPr>
          <w:rFonts w:asciiTheme="minorHAnsi" w:eastAsia="Calibri" w:hAnsiTheme="minorHAnsi" w:cstheme="minorHAnsi"/>
          <w:color w:val="000000"/>
          <w:lang w:val="en-GB"/>
        </w:rPr>
        <w:t>he executions were carried out after the victims were sentenced to death by the Military Field Court located in al-</w:t>
      </w:r>
      <w:proofErr w:type="spellStart"/>
      <w:r w:rsidRPr="00AF3138">
        <w:rPr>
          <w:rFonts w:asciiTheme="minorHAnsi" w:eastAsia="Calibri" w:hAnsiTheme="minorHAnsi" w:cstheme="minorHAnsi"/>
          <w:color w:val="000000"/>
          <w:lang w:val="en-GB"/>
        </w:rPr>
        <w:t>Qaboun</w:t>
      </w:r>
      <w:proofErr w:type="spellEnd"/>
      <w:r w:rsidRPr="00AF3138">
        <w:rPr>
          <w:rFonts w:asciiTheme="minorHAnsi" w:eastAsia="Calibri" w:hAnsiTheme="minorHAnsi" w:cstheme="minorHAnsi"/>
          <w:color w:val="000000"/>
          <w:lang w:val="en-GB"/>
        </w:rPr>
        <w:t xml:space="preserve"> neighbourhood of Damascus</w:t>
      </w:r>
      <w:r w:rsidRPr="00AF3138">
        <w:rPr>
          <w:rFonts w:asciiTheme="minorHAnsi" w:hAnsiTheme="minorHAnsi" w:cstheme="minorHAnsi"/>
          <w:lang w:val="en-GB"/>
        </w:rPr>
        <w:t>, where</w:t>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e</w:t>
      </w:r>
      <w:r w:rsidRPr="00AF3138">
        <w:rPr>
          <w:rFonts w:asciiTheme="minorHAnsi" w:eastAsia="Calibri" w:hAnsiTheme="minorHAnsi" w:cstheme="minorHAnsi"/>
          <w:color w:val="000000"/>
          <w:lang w:val="en-GB"/>
        </w:rPr>
        <w:t>ach trial lasted between one and three minutes maximum. Those sentenced to death were also taken blindfolded to the gallows after being severely beaten for two or three hours, without knowing that they were being led to execution. After that, the bodies were loaded into a truck</w:t>
      </w:r>
      <w:r w:rsidRPr="00AF3138">
        <w:rPr>
          <w:rFonts w:asciiTheme="minorHAnsi" w:hAnsiTheme="minorHAnsi" w:cstheme="minorHAnsi"/>
          <w:lang w:val="en-GB"/>
        </w:rPr>
        <w:t>, taken to Tishreen Hospital for registration,</w:t>
      </w:r>
      <w:r w:rsidRPr="00AF3138">
        <w:rPr>
          <w:rFonts w:asciiTheme="minorHAnsi" w:eastAsia="Calibri" w:hAnsiTheme="minorHAnsi" w:cstheme="minorHAnsi"/>
          <w:color w:val="000000"/>
          <w:lang w:val="en-GB"/>
        </w:rPr>
        <w:t xml:space="preserve"> and then buried in mass graves on military lands.</w:t>
      </w:r>
      <w:r w:rsidRPr="00AF3138">
        <w:rPr>
          <w:rFonts w:asciiTheme="minorHAnsi" w:eastAsia="Calibri" w:hAnsiTheme="minorHAnsi" w:cstheme="minorHAnsi"/>
          <w:color w:val="000000"/>
          <w:vertAlign w:val="superscript"/>
          <w:lang w:val="en-GB"/>
        </w:rPr>
        <w:footnoteReference w:id="66"/>
      </w:r>
      <w:r w:rsidRPr="00AF3138">
        <w:rPr>
          <w:rFonts w:asciiTheme="minorHAnsi" w:eastAsia="Calibri" w:hAnsiTheme="minorHAnsi" w:cstheme="minorHAnsi"/>
          <w:color w:val="000000"/>
          <w:lang w:val="en-GB"/>
        </w:rPr>
        <w:t xml:space="preserve"> Therefore, it must be considered that the death penalty in Syria is used as a tool by the state to get rid of its opponents. Thus, </w:t>
      </w:r>
      <w:r w:rsidRPr="00AF3138">
        <w:rPr>
          <w:rFonts w:asciiTheme="minorHAnsi" w:hAnsiTheme="minorHAnsi" w:cstheme="minorHAnsi"/>
          <w:lang w:val="en-GB"/>
        </w:rPr>
        <w:t>keeping this punishment and isolating it from the broader picture of the cycle of legislative and judicial violations committed by state agents is unacceptable</w:t>
      </w:r>
      <w:r w:rsidRPr="00AF3138">
        <w:rPr>
          <w:rFonts w:asciiTheme="minorHAnsi" w:eastAsia="Calibri" w:hAnsiTheme="minorHAnsi" w:cstheme="minorHAnsi"/>
          <w:color w:val="000000"/>
          <w:lang w:val="en-GB"/>
        </w:rPr>
        <w:t xml:space="preserve">. </w:t>
      </w:r>
    </w:p>
    <w:p w14:paraId="00000070"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lastRenderedPageBreak/>
        <w:t>T</w:t>
      </w:r>
      <w:r w:rsidRPr="00AF3138">
        <w:rPr>
          <w:rFonts w:asciiTheme="minorHAnsi" w:eastAsia="Calibri" w:hAnsiTheme="minorHAnsi" w:cstheme="minorHAnsi"/>
          <w:color w:val="000000"/>
          <w:lang w:val="en-GB"/>
        </w:rPr>
        <w:t xml:space="preserve">he Syrian government claimed in its report that it had fulfilled its international obligations in terms of making the death penalty in Syria an exceptional measure subject to all procedural guarantees that protect the rights of the accused and provide them with the means to seek pardon and commutation of punishment. </w:t>
      </w:r>
    </w:p>
    <w:p w14:paraId="00000071"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However, the Syrian legislature </w:t>
      </w:r>
      <w:proofErr w:type="gramStart"/>
      <w:r w:rsidRPr="00AF3138">
        <w:rPr>
          <w:rFonts w:asciiTheme="minorHAnsi" w:eastAsia="Calibri" w:hAnsiTheme="minorHAnsi" w:cstheme="minorHAnsi"/>
          <w:color w:val="000000"/>
          <w:lang w:val="en-GB"/>
        </w:rPr>
        <w:t>actually imposes</w:t>
      </w:r>
      <w:proofErr w:type="gramEnd"/>
      <w:r w:rsidRPr="00AF3138">
        <w:rPr>
          <w:rFonts w:asciiTheme="minorHAnsi" w:eastAsia="Calibri" w:hAnsiTheme="minorHAnsi" w:cstheme="minorHAnsi"/>
          <w:color w:val="000000"/>
          <w:lang w:val="en-GB"/>
        </w:rPr>
        <w:t xml:space="preserve"> this punishment on many crimes. Some of these crimes are contained in the General Penal Code, some </w:t>
      </w:r>
      <w:r w:rsidRPr="00AF3138">
        <w:rPr>
          <w:rFonts w:asciiTheme="minorHAnsi" w:hAnsiTheme="minorHAnsi" w:cstheme="minorHAnsi"/>
          <w:lang w:val="en-GB"/>
        </w:rPr>
        <w:t xml:space="preserve">in the Military Penal Code, and some </w:t>
      </w:r>
      <w:r w:rsidRPr="00AF3138">
        <w:rPr>
          <w:rFonts w:asciiTheme="minorHAnsi" w:eastAsia="Calibri" w:hAnsiTheme="minorHAnsi" w:cstheme="minorHAnsi"/>
          <w:color w:val="000000"/>
          <w:lang w:val="en-GB"/>
        </w:rPr>
        <w:t xml:space="preserve">in special laws, such as the Counter-Terrorism Law and Narcotics Act 2 of 1993. In addition, this penalty was mentioned in other special laws that punish mere political activity with the death penalty, as the first article of Legislative Decree No. 4 of 1964 punishes anyone who, in any way, obstructs the implementation of the socialist legislation. </w:t>
      </w:r>
      <w:r w:rsidRPr="00AF3138">
        <w:rPr>
          <w:rFonts w:asciiTheme="minorHAnsi" w:hAnsiTheme="minorHAnsi" w:cstheme="minorHAnsi"/>
          <w:lang w:val="en-GB"/>
        </w:rPr>
        <w:t xml:space="preserve">Moreover, </w:t>
      </w:r>
      <w:r w:rsidRPr="00AF3138">
        <w:rPr>
          <w:rFonts w:asciiTheme="minorHAnsi" w:eastAsia="Calibri" w:hAnsiTheme="minorHAnsi" w:cstheme="minorHAnsi"/>
          <w:color w:val="000000"/>
          <w:lang w:val="en-GB"/>
        </w:rPr>
        <w:t xml:space="preserve">Law No. 53 of 1979, known as the </w:t>
      </w:r>
      <w:r w:rsidRPr="00AF3138">
        <w:rPr>
          <w:rFonts w:asciiTheme="minorHAnsi" w:hAnsiTheme="minorHAnsi" w:cstheme="minorHAnsi"/>
          <w:lang w:val="en-GB"/>
        </w:rPr>
        <w:t>“</w:t>
      </w:r>
      <w:r w:rsidRPr="00AF3138">
        <w:rPr>
          <w:rFonts w:asciiTheme="minorHAnsi" w:eastAsia="Calibri" w:hAnsiTheme="minorHAnsi" w:cstheme="minorHAnsi"/>
          <w:color w:val="000000"/>
          <w:lang w:val="en-GB"/>
        </w:rPr>
        <w:t>Security of the Arab Socialist Baath Party</w:t>
      </w:r>
      <w:r w:rsidRPr="00AF3138">
        <w:rPr>
          <w:rFonts w:asciiTheme="minorHAnsi" w:hAnsiTheme="minorHAnsi" w:cstheme="minorHAnsi"/>
          <w:lang w:val="en-GB"/>
        </w:rPr>
        <w:t xml:space="preserve"> Law”</w:t>
      </w:r>
      <w:r w:rsidRPr="00AF3138">
        <w:rPr>
          <w:rFonts w:asciiTheme="minorHAnsi" w:eastAsia="Calibri" w:hAnsiTheme="minorHAnsi" w:cstheme="minorHAnsi"/>
          <w:color w:val="000000"/>
          <w:lang w:val="en-GB"/>
        </w:rPr>
        <w:t xml:space="preserve">, punishes with death anyone who attacks a party headquarters if the act is instigated by an external party or if the act results in the killing of a person. In addition, the first article of Law No. 49 of 1980 punishes anyone affiliated with the Muslim Brotherhood with the death penalty simply because of the affiliation with this political organization. It should be noted that these legislations are still in force, and the state cannot allege not activating them. </w:t>
      </w:r>
      <w:proofErr w:type="gramStart"/>
      <w:r w:rsidRPr="00AF3138">
        <w:rPr>
          <w:rFonts w:asciiTheme="minorHAnsi" w:eastAsia="Calibri" w:hAnsiTheme="minorHAnsi" w:cstheme="minorHAnsi"/>
          <w:color w:val="000000"/>
          <w:lang w:val="en-GB"/>
        </w:rPr>
        <w:t>As long as</w:t>
      </w:r>
      <w:proofErr w:type="gramEnd"/>
      <w:r w:rsidRPr="00AF3138">
        <w:rPr>
          <w:rFonts w:asciiTheme="minorHAnsi" w:eastAsia="Calibri" w:hAnsiTheme="minorHAnsi" w:cstheme="minorHAnsi"/>
          <w:color w:val="000000"/>
          <w:lang w:val="en-GB"/>
        </w:rPr>
        <w:t xml:space="preserve"> these laws have not yet been repealed, there is nothing to prevent the competent authorities from applying them whenever they want.</w:t>
      </w:r>
    </w:p>
    <w:p w14:paraId="00000072"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Since the right to life protected by Article 6 of the ICCPR is non-</w:t>
      </w:r>
      <w:proofErr w:type="spellStart"/>
      <w:r w:rsidRPr="00AF3138">
        <w:rPr>
          <w:rFonts w:asciiTheme="minorHAnsi" w:eastAsia="Calibri" w:hAnsiTheme="minorHAnsi" w:cstheme="minorHAnsi"/>
          <w:color w:val="000000"/>
          <w:lang w:val="en-GB"/>
        </w:rPr>
        <w:t>derogable</w:t>
      </w:r>
      <w:proofErr w:type="spellEnd"/>
      <w:r w:rsidRPr="00AF3138">
        <w:rPr>
          <w:rFonts w:asciiTheme="minorHAnsi" w:eastAsia="Calibri" w:hAnsiTheme="minorHAnsi" w:cstheme="minorHAnsi"/>
          <w:color w:val="000000"/>
          <w:lang w:val="en-GB"/>
        </w:rPr>
        <w:t xml:space="preserve">, the Human Rights Committee has confirmed that any trial that leads to a death sentence must </w:t>
      </w:r>
      <w:r w:rsidRPr="00AF3138">
        <w:rPr>
          <w:rFonts w:asciiTheme="minorHAnsi" w:hAnsiTheme="minorHAnsi" w:cstheme="minorHAnsi"/>
          <w:lang w:val="en-GB"/>
        </w:rPr>
        <w:t>comply with</w:t>
      </w:r>
      <w:r w:rsidRPr="00AF3138">
        <w:rPr>
          <w:rFonts w:asciiTheme="minorHAnsi" w:eastAsia="Calibri" w:hAnsiTheme="minorHAnsi" w:cstheme="minorHAnsi"/>
          <w:color w:val="000000"/>
          <w:lang w:val="en-GB"/>
        </w:rPr>
        <w:t xml:space="preserve"> the provisions of the Covenant, especially Article 14.</w:t>
      </w:r>
      <w:r w:rsidRPr="00AF3138">
        <w:rPr>
          <w:rFonts w:asciiTheme="minorHAnsi" w:eastAsia="Calibri" w:hAnsiTheme="minorHAnsi" w:cstheme="minorHAnsi"/>
          <w:color w:val="000000"/>
          <w:vertAlign w:val="superscript"/>
          <w:lang w:val="en-GB"/>
        </w:rPr>
        <w:footnoteReference w:id="67"/>
      </w:r>
      <w:r w:rsidRPr="00AF3138">
        <w:rPr>
          <w:rFonts w:asciiTheme="minorHAnsi" w:eastAsia="Calibri" w:hAnsiTheme="minorHAnsi" w:cstheme="minorHAnsi"/>
          <w:color w:val="000000"/>
          <w:lang w:val="en-GB"/>
        </w:rPr>
        <w:t xml:space="preserve"> Also, any breach of the procedures that lead to the death sentence will make this sentence arbitrary and incompatible with the content of Article 6 of the Covenant.</w:t>
      </w:r>
      <w:r w:rsidRPr="00AF3138">
        <w:rPr>
          <w:rFonts w:asciiTheme="minorHAnsi" w:eastAsia="Calibri" w:hAnsiTheme="minorHAnsi" w:cstheme="minorHAnsi"/>
          <w:color w:val="000000"/>
          <w:vertAlign w:val="superscript"/>
          <w:lang w:val="en-GB"/>
        </w:rPr>
        <w:footnoteReference w:id="68"/>
      </w:r>
      <w:r w:rsidRPr="00AF3138">
        <w:rPr>
          <w:rFonts w:asciiTheme="minorHAnsi" w:eastAsia="Calibri" w:hAnsiTheme="minorHAnsi" w:cstheme="minorHAnsi"/>
          <w:color w:val="000000"/>
          <w:lang w:val="en-GB"/>
        </w:rPr>
        <w:t xml:space="preserve"> </w:t>
      </w:r>
    </w:p>
    <w:p w14:paraId="00000073"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Notably, the Syrian government has avoided referring to the death sentences issued by the Military Field Court. This court, as mentioned earlier, is an exceptional criminal court that is exempted from adherence to the rules and procedures stipulated in the legislation in force. It does not effectively allow the accused to seek the assistance of a defence attorney and does not provide sufficient time and facilities to prepare the defence. Moreover, its verdicts are issued as final and not subject to appeal before a higher court,</w:t>
      </w:r>
      <w:r w:rsidRPr="00AF3138">
        <w:rPr>
          <w:rFonts w:asciiTheme="minorHAnsi" w:eastAsia="Calibri" w:hAnsiTheme="minorHAnsi" w:cstheme="minorHAnsi"/>
          <w:color w:val="000000"/>
          <w:vertAlign w:val="superscript"/>
          <w:lang w:val="en-GB"/>
        </w:rPr>
        <w:footnoteReference w:id="69"/>
      </w:r>
      <w:r w:rsidRPr="00AF3138">
        <w:rPr>
          <w:rFonts w:asciiTheme="minorHAnsi" w:eastAsia="Calibri" w:hAnsiTheme="minorHAnsi" w:cstheme="minorHAnsi"/>
          <w:color w:val="000000"/>
          <w:lang w:val="en-GB"/>
        </w:rPr>
        <w:t xml:space="preserve"> </w:t>
      </w:r>
      <w:r w:rsidRPr="00AF3138">
        <w:rPr>
          <w:rFonts w:asciiTheme="minorHAnsi" w:hAnsiTheme="minorHAnsi" w:cstheme="minorHAnsi"/>
          <w:lang w:val="en-GB"/>
        </w:rPr>
        <w:t>instead</w:t>
      </w:r>
      <w:r w:rsidRPr="00AF3138">
        <w:rPr>
          <w:rFonts w:asciiTheme="minorHAnsi" w:eastAsia="Calibri" w:hAnsiTheme="minorHAnsi" w:cstheme="minorHAnsi"/>
          <w:color w:val="000000"/>
          <w:lang w:val="en-GB"/>
        </w:rPr>
        <w:t xml:space="preserve"> the death sentences </w:t>
      </w:r>
      <w:r w:rsidRPr="00AF3138">
        <w:rPr>
          <w:rFonts w:asciiTheme="minorHAnsi" w:hAnsiTheme="minorHAnsi" w:cstheme="minorHAnsi"/>
          <w:lang w:val="en-GB"/>
        </w:rPr>
        <w:t xml:space="preserve">issued </w:t>
      </w:r>
      <w:proofErr w:type="gramStart"/>
      <w:r w:rsidRPr="00AF3138">
        <w:rPr>
          <w:rFonts w:asciiTheme="minorHAnsi" w:hAnsiTheme="minorHAnsi" w:cstheme="minorHAnsi"/>
          <w:lang w:val="en-GB"/>
        </w:rPr>
        <w:t xml:space="preserve">by </w:t>
      </w:r>
      <w:r w:rsidRPr="00AF3138">
        <w:rPr>
          <w:rFonts w:asciiTheme="minorHAnsi" w:eastAsia="Calibri" w:hAnsiTheme="minorHAnsi" w:cstheme="minorHAnsi"/>
          <w:color w:val="000000"/>
          <w:lang w:val="en-GB"/>
        </w:rPr>
        <w:t xml:space="preserve"> are</w:t>
      </w:r>
      <w:proofErr w:type="gramEnd"/>
      <w:r w:rsidRPr="00AF3138">
        <w:rPr>
          <w:rFonts w:asciiTheme="minorHAnsi" w:eastAsia="Calibri" w:hAnsiTheme="minorHAnsi" w:cstheme="minorHAnsi"/>
          <w:color w:val="000000"/>
          <w:lang w:val="en-GB"/>
        </w:rPr>
        <w:t xml:space="preserve"> subject to ratification by the head of state only.</w:t>
      </w:r>
      <w:r w:rsidRPr="00AF3138">
        <w:rPr>
          <w:rFonts w:asciiTheme="minorHAnsi" w:eastAsia="Calibri" w:hAnsiTheme="minorHAnsi" w:cstheme="minorHAnsi"/>
          <w:color w:val="000000"/>
          <w:vertAlign w:val="superscript"/>
          <w:lang w:val="en-GB"/>
        </w:rPr>
        <w:footnoteReference w:id="70"/>
      </w:r>
      <w:r w:rsidRPr="00AF3138">
        <w:rPr>
          <w:rFonts w:asciiTheme="minorHAnsi" w:eastAsia="Calibri" w:hAnsiTheme="minorHAnsi" w:cstheme="minorHAnsi"/>
          <w:color w:val="000000"/>
          <w:lang w:val="en-GB"/>
        </w:rPr>
        <w:t xml:space="preserve"> If the head of the state approves it, the sentence </w:t>
      </w:r>
      <w:r w:rsidRPr="00AF3138">
        <w:rPr>
          <w:rFonts w:asciiTheme="minorHAnsi" w:eastAsia="Calibri" w:hAnsiTheme="minorHAnsi" w:cstheme="minorHAnsi"/>
          <w:color w:val="000000"/>
          <w:lang w:val="en-GB"/>
        </w:rPr>
        <w:lastRenderedPageBreak/>
        <w:t xml:space="preserve">gets implemented immediately without going through the Amnesty Committee referred to in the periodic report. This court considers crimes referred to it by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w:t>
      </w:r>
      <w:r w:rsidRPr="00AF3138">
        <w:rPr>
          <w:rFonts w:asciiTheme="minorHAnsi" w:eastAsia="Calibri" w:hAnsiTheme="minorHAnsi" w:cstheme="minorHAnsi"/>
          <w:color w:val="000000"/>
          <w:vertAlign w:val="superscript"/>
          <w:lang w:val="en-GB"/>
        </w:rPr>
        <w:footnoteReference w:id="71"/>
      </w:r>
      <w:r w:rsidRPr="00AF3138">
        <w:rPr>
          <w:rFonts w:asciiTheme="minorHAnsi" w:eastAsia="Calibri" w:hAnsiTheme="minorHAnsi" w:cstheme="minorHAnsi"/>
          <w:color w:val="000000"/>
          <w:lang w:val="en-GB"/>
        </w:rPr>
        <w:t xml:space="preserve"> and the security services that undertake the investigation usually suggest to the Minister of </w:t>
      </w:r>
      <w:proofErr w:type="spellStart"/>
      <w:r w:rsidRPr="00AF3138">
        <w:rPr>
          <w:rFonts w:asciiTheme="minorHAnsi" w:eastAsia="Calibri" w:hAnsiTheme="minorHAnsi" w:cstheme="minorHAnsi"/>
          <w:color w:val="000000"/>
          <w:lang w:val="en-GB"/>
        </w:rPr>
        <w:t>Defense</w:t>
      </w:r>
      <w:proofErr w:type="spellEnd"/>
      <w:r w:rsidRPr="00AF3138">
        <w:rPr>
          <w:rFonts w:asciiTheme="minorHAnsi" w:eastAsia="Calibri" w:hAnsiTheme="minorHAnsi" w:cstheme="minorHAnsi"/>
          <w:color w:val="000000"/>
          <w:lang w:val="en-GB"/>
        </w:rPr>
        <w:t xml:space="preserve"> the referral to this court. It is also specialized in examining a wide range of crimes </w:t>
      </w:r>
      <w:r w:rsidRPr="00AF3138">
        <w:rPr>
          <w:rFonts w:asciiTheme="minorHAnsi" w:hAnsiTheme="minorHAnsi" w:cstheme="minorHAnsi"/>
          <w:lang w:val="en-GB"/>
        </w:rPr>
        <w:t xml:space="preserve">considered by the military judiciary and </w:t>
      </w:r>
      <w:r w:rsidRPr="00AF3138">
        <w:rPr>
          <w:rFonts w:asciiTheme="minorHAnsi" w:eastAsia="Calibri" w:hAnsiTheme="minorHAnsi" w:cstheme="minorHAnsi"/>
          <w:color w:val="000000"/>
          <w:lang w:val="en-GB"/>
        </w:rPr>
        <w:t xml:space="preserve">punishable by death, whether under the Military Penal Code or the General Penal Code. (See tables no. 1 and 2 below).  </w:t>
      </w:r>
    </w:p>
    <w:p w14:paraId="00000074" w14:textId="77777777" w:rsidR="00E561CC" w:rsidRPr="00AF3138" w:rsidRDefault="00000000">
      <w:pPr>
        <w:numPr>
          <w:ilvl w:val="0"/>
          <w:numId w:val="1"/>
        </w:numPr>
        <w:pBdr>
          <w:top w:val="nil"/>
          <w:left w:val="nil"/>
          <w:bottom w:val="nil"/>
          <w:right w:val="nil"/>
          <w:between w:val="nil"/>
        </w:pBdr>
        <w:spacing w:after="0"/>
        <w:jc w:val="both"/>
        <w:rPr>
          <w:rFonts w:asciiTheme="minorHAnsi" w:eastAsia="Calibri" w:hAnsiTheme="minorHAnsi" w:cstheme="minorHAnsi"/>
          <w:color w:val="000000"/>
          <w:lang w:val="en-GB"/>
        </w:rPr>
      </w:pPr>
      <w:r w:rsidRPr="00AF3138">
        <w:rPr>
          <w:rFonts w:asciiTheme="minorHAnsi" w:hAnsiTheme="minorHAnsi" w:cstheme="minorHAnsi"/>
          <w:lang w:val="en-GB"/>
        </w:rPr>
        <w:t>Syria</w:t>
      </w:r>
      <w:r w:rsidRPr="00AF3138">
        <w:rPr>
          <w:rFonts w:asciiTheme="minorHAnsi" w:hAnsiTheme="minorHAnsi" w:cstheme="minorHAnsi"/>
          <w:color w:val="000000"/>
          <w:lang w:val="en-GB"/>
        </w:rPr>
        <w:t xml:space="preserve"> </w:t>
      </w:r>
      <w:r w:rsidRPr="00AF3138">
        <w:rPr>
          <w:rFonts w:asciiTheme="minorHAnsi" w:hAnsiTheme="minorHAnsi" w:cstheme="minorHAnsi"/>
          <w:lang w:val="en-GB"/>
        </w:rPr>
        <w:t>referred in its report to amnesty laws</w:t>
      </w:r>
      <w:r w:rsidRPr="00AF3138">
        <w:rPr>
          <w:rFonts w:asciiTheme="minorHAnsi" w:hAnsiTheme="minorHAnsi" w:cstheme="minorHAnsi"/>
          <w:color w:val="000000"/>
          <w:lang w:val="en-GB"/>
        </w:rPr>
        <w:t xml:space="preserve"> it issu</w:t>
      </w:r>
      <w:r w:rsidRPr="00AF3138">
        <w:rPr>
          <w:rFonts w:asciiTheme="minorHAnsi" w:hAnsiTheme="minorHAnsi" w:cstheme="minorHAnsi"/>
          <w:lang w:val="en-GB"/>
        </w:rPr>
        <w:t xml:space="preserve">ed to </w:t>
      </w:r>
      <w:r w:rsidRPr="00AF3138">
        <w:rPr>
          <w:rFonts w:asciiTheme="minorHAnsi" w:hAnsiTheme="minorHAnsi" w:cstheme="minorHAnsi"/>
          <w:color w:val="000000"/>
          <w:lang w:val="en-GB"/>
        </w:rPr>
        <w:t>replace the death penalty with imprisonmen</w:t>
      </w:r>
      <w:r w:rsidRPr="00AF3138">
        <w:rPr>
          <w:rFonts w:asciiTheme="minorHAnsi" w:hAnsiTheme="minorHAnsi" w:cstheme="minorHAnsi"/>
          <w:lang w:val="en-GB"/>
        </w:rPr>
        <w:t>t.</w:t>
      </w:r>
      <w:r w:rsidRPr="00AF3138">
        <w:rPr>
          <w:rFonts w:asciiTheme="minorHAnsi" w:hAnsiTheme="minorHAnsi" w:cstheme="minorHAnsi"/>
          <w:color w:val="000000"/>
          <w:vertAlign w:val="superscript"/>
          <w:lang w:val="en-GB"/>
        </w:rPr>
        <w:footnoteReference w:id="72"/>
      </w:r>
      <w:r w:rsidRPr="00AF3138">
        <w:rPr>
          <w:rFonts w:asciiTheme="minorHAnsi" w:hAnsiTheme="minorHAnsi" w:cstheme="minorHAnsi"/>
          <w:color w:val="000000"/>
          <w:lang w:val="en-GB"/>
        </w:rPr>
        <w:t xml:space="preserve"> </w:t>
      </w:r>
      <w:r w:rsidRPr="00AF3138">
        <w:rPr>
          <w:rFonts w:asciiTheme="minorHAnsi" w:hAnsiTheme="minorHAnsi" w:cstheme="minorHAnsi"/>
          <w:lang w:val="en-GB"/>
        </w:rPr>
        <w:t xml:space="preserve">The relevant amnesty laws are seven; they were issued between </w:t>
      </w:r>
      <w:r w:rsidRPr="00AF3138">
        <w:rPr>
          <w:rFonts w:asciiTheme="minorHAnsi" w:hAnsiTheme="minorHAnsi" w:cstheme="minorHAnsi"/>
          <w:color w:val="000000"/>
          <w:lang w:val="en-GB"/>
        </w:rPr>
        <w:t>2</w:t>
      </w:r>
      <w:r w:rsidRPr="00AF3138">
        <w:rPr>
          <w:rFonts w:asciiTheme="minorHAnsi" w:hAnsiTheme="minorHAnsi" w:cstheme="minorHAnsi"/>
          <w:lang w:val="en-GB"/>
        </w:rPr>
        <w:t>011 and 2022.</w:t>
      </w:r>
      <w:r w:rsidRPr="00AF3138">
        <w:rPr>
          <w:rFonts w:asciiTheme="minorHAnsi" w:hAnsiTheme="minorHAnsi" w:cstheme="minorHAnsi"/>
          <w:color w:val="000000"/>
          <w:vertAlign w:val="superscript"/>
          <w:lang w:val="en-GB"/>
        </w:rPr>
        <w:footnoteReference w:id="73"/>
      </w:r>
      <w:r w:rsidRPr="00AF3138">
        <w:rPr>
          <w:rFonts w:asciiTheme="minorHAnsi" w:hAnsiTheme="minorHAnsi" w:cstheme="minorHAnsi"/>
          <w:color w:val="000000"/>
          <w:vertAlign w:val="superscript"/>
          <w:lang w:val="en-GB"/>
        </w:rPr>
        <w:t xml:space="preserve"> </w:t>
      </w:r>
      <w:r w:rsidRPr="00AF3138">
        <w:rPr>
          <w:rFonts w:asciiTheme="minorHAnsi" w:hAnsiTheme="minorHAnsi" w:cstheme="minorHAnsi"/>
          <w:color w:val="000000"/>
          <w:lang w:val="en-GB"/>
        </w:rPr>
        <w:t>These</w:t>
      </w:r>
      <w:r w:rsidRPr="00AF3138">
        <w:rPr>
          <w:rFonts w:asciiTheme="minorHAnsi" w:hAnsiTheme="minorHAnsi" w:cstheme="minorHAnsi"/>
          <w:lang w:val="en-GB"/>
        </w:rPr>
        <w:t xml:space="preserve"> </w:t>
      </w:r>
      <w:r w:rsidRPr="00AF3138">
        <w:rPr>
          <w:rFonts w:asciiTheme="minorHAnsi" w:hAnsiTheme="minorHAnsi" w:cstheme="minorHAnsi"/>
          <w:color w:val="000000"/>
          <w:lang w:val="en-GB"/>
        </w:rPr>
        <w:t>laws</w:t>
      </w:r>
      <w:r w:rsidRPr="00AF3138">
        <w:rPr>
          <w:rFonts w:asciiTheme="minorHAnsi" w:hAnsiTheme="minorHAnsi" w:cstheme="minorHAnsi"/>
          <w:lang w:val="en-GB"/>
        </w:rPr>
        <w:t>,</w:t>
      </w:r>
      <w:r w:rsidRPr="00AF3138">
        <w:rPr>
          <w:rFonts w:asciiTheme="minorHAnsi" w:hAnsiTheme="minorHAnsi" w:cstheme="minorHAnsi"/>
          <w:color w:val="000000"/>
          <w:lang w:val="en-GB"/>
        </w:rPr>
        <w:t xml:space="preserve"> in principle</w:t>
      </w:r>
      <w:r w:rsidRPr="00AF3138">
        <w:rPr>
          <w:rFonts w:asciiTheme="minorHAnsi" w:hAnsiTheme="minorHAnsi" w:cstheme="minorHAnsi"/>
          <w:lang w:val="en-GB"/>
        </w:rPr>
        <w:t>,</w:t>
      </w:r>
      <w:r w:rsidRPr="00AF3138">
        <w:rPr>
          <w:rFonts w:asciiTheme="minorHAnsi" w:hAnsiTheme="minorHAnsi" w:cstheme="minorHAnsi"/>
          <w:color w:val="000000"/>
          <w:lang w:val="en-GB"/>
        </w:rPr>
        <w:t xml:space="preserve"> replace the death penalty with life imprisonment and hard </w:t>
      </w:r>
      <w:r w:rsidRPr="00AF3138">
        <w:rPr>
          <w:rFonts w:asciiTheme="minorHAnsi" w:hAnsiTheme="minorHAnsi" w:cstheme="minorHAnsi"/>
          <w:lang w:val="en-GB"/>
        </w:rPr>
        <w:t>labour</w:t>
      </w:r>
      <w:r w:rsidRPr="00AF3138">
        <w:rPr>
          <w:rFonts w:asciiTheme="minorHAnsi" w:hAnsiTheme="minorHAnsi" w:cstheme="minorHAnsi"/>
          <w:color w:val="000000"/>
          <w:lang w:val="en-GB"/>
        </w:rPr>
        <w:t xml:space="preserve">, but they exclude </w:t>
      </w:r>
      <w:r w:rsidRPr="00AF3138">
        <w:rPr>
          <w:rFonts w:asciiTheme="minorHAnsi" w:hAnsiTheme="minorHAnsi" w:cstheme="minorHAnsi"/>
          <w:lang w:val="en-GB"/>
        </w:rPr>
        <w:t>a group of crimes punishable by death in the amnesty law itself</w:t>
      </w:r>
      <w:r w:rsidRPr="00AF3138">
        <w:rPr>
          <w:rFonts w:asciiTheme="minorHAnsi" w:hAnsiTheme="minorHAnsi" w:cstheme="minorHAnsi"/>
          <w:color w:val="000000"/>
          <w:lang w:val="en-GB"/>
        </w:rPr>
        <w:t>.</w:t>
      </w:r>
      <w:r w:rsidRPr="00AF3138">
        <w:rPr>
          <w:rFonts w:asciiTheme="minorHAnsi" w:hAnsiTheme="minorHAnsi" w:cstheme="minorHAnsi"/>
          <w:color w:val="000000"/>
          <w:vertAlign w:val="superscript"/>
          <w:lang w:val="en-GB"/>
        </w:rPr>
        <w:footnoteReference w:id="74"/>
      </w:r>
      <w:r w:rsidRPr="00AF3138">
        <w:rPr>
          <w:rFonts w:asciiTheme="minorHAnsi" w:hAnsiTheme="minorHAnsi" w:cstheme="minorHAnsi"/>
          <w:color w:val="000000"/>
          <w:lang w:val="en-GB"/>
        </w:rPr>
        <w:t xml:space="preserve"> </w:t>
      </w:r>
      <w:r w:rsidRPr="00AF3138">
        <w:rPr>
          <w:rFonts w:asciiTheme="minorHAnsi" w:hAnsiTheme="minorHAnsi" w:cstheme="minorHAnsi"/>
          <w:sz w:val="21"/>
          <w:szCs w:val="21"/>
          <w:lang w:val="en-GB"/>
        </w:rPr>
        <w:t>While amnesty laws are presented as reducing sentences and avoiding the death penalty, similar crimes under the Military Court jurisdictions still amount to death penalty, rending these amnesty laws almost null in some cases</w:t>
      </w:r>
      <w:r w:rsidRPr="00AF3138">
        <w:rPr>
          <w:rFonts w:asciiTheme="minorHAnsi" w:eastAsia="Roboto" w:hAnsiTheme="minorHAnsi" w:cstheme="minorHAnsi"/>
          <w:sz w:val="21"/>
          <w:szCs w:val="21"/>
          <w:lang w:val="en-GB"/>
        </w:rPr>
        <w:t xml:space="preserve">. </w:t>
      </w:r>
      <w:r w:rsidRPr="00AF3138">
        <w:rPr>
          <w:rFonts w:asciiTheme="minorHAnsi" w:eastAsia="Calibri" w:hAnsiTheme="minorHAnsi" w:cstheme="minorHAnsi"/>
          <w:color w:val="000000"/>
          <w:lang w:val="en-GB"/>
        </w:rPr>
        <w:t xml:space="preserve">For example, all the amnesty laws issued since March 2011 until now have excluded 14 crimes punishable by death under the Military and General Penal Codes, and </w:t>
      </w:r>
      <w:r w:rsidRPr="00AF3138">
        <w:rPr>
          <w:rFonts w:asciiTheme="minorHAnsi" w:hAnsiTheme="minorHAnsi" w:cstheme="minorHAnsi"/>
          <w:lang w:val="en-GB"/>
        </w:rPr>
        <w:t>four other crimes were</w:t>
      </w:r>
      <w:r w:rsidRPr="00AF3138">
        <w:rPr>
          <w:rFonts w:asciiTheme="minorHAnsi" w:eastAsia="Calibri" w:hAnsiTheme="minorHAnsi" w:cstheme="minorHAnsi"/>
          <w:color w:val="000000"/>
          <w:lang w:val="en-GB"/>
        </w:rPr>
        <w:t xml:space="preserve"> included in the amnesty laws until 2013</w:t>
      </w:r>
      <w:r w:rsidRPr="00AF3138">
        <w:rPr>
          <w:rFonts w:asciiTheme="minorHAnsi" w:hAnsiTheme="minorHAnsi" w:cstheme="minorHAnsi"/>
          <w:lang w:val="en-GB"/>
        </w:rPr>
        <w:t>; however, they were</w:t>
      </w:r>
      <w:r w:rsidRPr="00AF3138">
        <w:rPr>
          <w:rFonts w:asciiTheme="minorHAnsi" w:eastAsia="Calibri" w:hAnsiTheme="minorHAnsi" w:cstheme="minorHAnsi"/>
          <w:color w:val="000000"/>
          <w:lang w:val="en-GB"/>
        </w:rPr>
        <w:t xml:space="preserve"> excluded </w:t>
      </w:r>
      <w:r w:rsidRPr="00AF3138">
        <w:rPr>
          <w:rFonts w:asciiTheme="minorHAnsi" w:hAnsiTheme="minorHAnsi" w:cstheme="minorHAnsi"/>
          <w:lang w:val="en-GB"/>
        </w:rPr>
        <w:t>from</w:t>
      </w:r>
      <w:r w:rsidRPr="00AF3138">
        <w:rPr>
          <w:rFonts w:asciiTheme="minorHAnsi" w:eastAsia="Calibri" w:hAnsiTheme="minorHAnsi" w:cstheme="minorHAnsi"/>
          <w:color w:val="000000"/>
          <w:lang w:val="en-GB"/>
        </w:rPr>
        <w:t xml:space="preserve"> all subsequent amnesty laws. </w:t>
      </w:r>
      <w:r w:rsidRPr="00AF3138">
        <w:rPr>
          <w:rFonts w:asciiTheme="minorHAnsi" w:hAnsiTheme="minorHAnsi" w:cstheme="minorHAnsi"/>
          <w:lang w:val="en-GB"/>
        </w:rPr>
        <w:t xml:space="preserve">The </w:t>
      </w:r>
      <w:r w:rsidRPr="00AF3138">
        <w:rPr>
          <w:rFonts w:asciiTheme="minorHAnsi" w:eastAsia="Calibri" w:hAnsiTheme="minorHAnsi" w:cstheme="minorHAnsi"/>
          <w:color w:val="000000"/>
          <w:lang w:val="en-GB"/>
        </w:rPr>
        <w:t>Military Field Court can have jurisdiction</w:t>
      </w:r>
      <w:r w:rsidRPr="00AF3138">
        <w:rPr>
          <w:rFonts w:asciiTheme="minorHAnsi" w:hAnsiTheme="minorHAnsi" w:cstheme="minorHAnsi"/>
          <w:lang w:val="en-GB"/>
        </w:rPr>
        <w:t xml:space="preserve"> over these excluded crimes</w:t>
      </w:r>
      <w:r w:rsidRPr="00AF3138">
        <w:rPr>
          <w:rFonts w:asciiTheme="minorHAnsi" w:eastAsia="Calibri" w:hAnsiTheme="minorHAnsi" w:cstheme="minorHAnsi"/>
          <w:color w:val="000000"/>
          <w:lang w:val="en-GB"/>
        </w:rPr>
        <w:t>. (Please refer to the table no. 3 and 4 in the annexes).</w:t>
      </w:r>
    </w:p>
    <w:p w14:paraId="00000075" w14:textId="77777777" w:rsidR="00E561CC" w:rsidRPr="00AF3138" w:rsidRDefault="00000000">
      <w:pPr>
        <w:numPr>
          <w:ilvl w:val="0"/>
          <w:numId w:val="1"/>
        </w:numPr>
        <w:pBdr>
          <w:top w:val="nil"/>
          <w:left w:val="nil"/>
          <w:bottom w:val="nil"/>
          <w:right w:val="nil"/>
          <w:between w:val="nil"/>
        </w:pBdr>
        <w:jc w:val="both"/>
        <w:rPr>
          <w:rFonts w:asciiTheme="minorHAnsi" w:eastAsia="Calibri" w:hAnsiTheme="minorHAnsi" w:cstheme="minorHAnsi"/>
          <w:color w:val="000000"/>
          <w:lang w:val="en-GB"/>
        </w:rPr>
      </w:pPr>
      <w:r w:rsidRPr="00AF3138">
        <w:rPr>
          <w:rFonts w:asciiTheme="minorHAnsi" w:eastAsia="Calibri" w:hAnsiTheme="minorHAnsi" w:cstheme="minorHAnsi"/>
          <w:color w:val="000000"/>
          <w:lang w:val="en-GB"/>
        </w:rPr>
        <w:t xml:space="preserve">Thus, the death penalty is present in a wide range of domestic legislation. Moreover, the above legal analysis indicates the state's intention to use the execution as a tool to </w:t>
      </w:r>
      <w:r w:rsidRPr="00AF3138">
        <w:rPr>
          <w:rFonts w:asciiTheme="minorHAnsi" w:hAnsiTheme="minorHAnsi" w:cstheme="minorHAnsi"/>
          <w:lang w:val="en-GB"/>
        </w:rPr>
        <w:t>eliminate</w:t>
      </w:r>
      <w:r w:rsidRPr="00AF3138">
        <w:rPr>
          <w:rFonts w:asciiTheme="minorHAnsi" w:eastAsia="Calibri" w:hAnsiTheme="minorHAnsi" w:cstheme="minorHAnsi"/>
          <w:color w:val="000000"/>
          <w:lang w:val="en-GB"/>
        </w:rPr>
        <w:t xml:space="preserve"> its opponents as part of the whole cycle of human rights violations committed by state agencies. Therefore, death punishment should not be discussed procedurally in isolation from the broader understanding of the context of human rights violations in Syria.</w:t>
      </w:r>
    </w:p>
    <w:p w14:paraId="00000076" w14:textId="77777777" w:rsidR="00E561CC" w:rsidRPr="00AF3138" w:rsidRDefault="00E561CC">
      <w:pPr>
        <w:ind w:left="360"/>
        <w:jc w:val="both"/>
        <w:rPr>
          <w:rFonts w:asciiTheme="minorHAnsi" w:hAnsiTheme="minorHAnsi" w:cstheme="minorHAnsi"/>
          <w:lang w:val="en-GB"/>
        </w:rPr>
      </w:pPr>
    </w:p>
    <w:p w14:paraId="00000077" w14:textId="5FED4F57" w:rsidR="00E561CC" w:rsidRPr="00AF3138" w:rsidRDefault="00000000" w:rsidP="00AF3138">
      <w:pPr>
        <w:pBdr>
          <w:top w:val="single" w:sz="4" w:space="1" w:color="000000"/>
          <w:left w:val="single" w:sz="4" w:space="4" w:color="000000"/>
          <w:bottom w:val="single" w:sz="4" w:space="1" w:color="000000"/>
          <w:right w:val="single" w:sz="4" w:space="4" w:color="000000"/>
        </w:pBdr>
        <w:shd w:val="clear" w:color="auto" w:fill="D0CECE" w:themeFill="background2" w:themeFillShade="E6"/>
        <w:ind w:left="360"/>
        <w:jc w:val="both"/>
        <w:rPr>
          <w:rFonts w:asciiTheme="minorHAnsi" w:hAnsiTheme="minorHAnsi" w:cstheme="minorHAnsi"/>
          <w:highlight w:val="none"/>
          <w:lang w:val="en-GB"/>
        </w:rPr>
      </w:pPr>
      <w:r w:rsidRPr="00AF3138">
        <w:rPr>
          <w:rFonts w:asciiTheme="minorHAnsi" w:hAnsiTheme="minorHAnsi" w:cstheme="minorHAnsi"/>
          <w:highlight w:val="none"/>
          <w:lang w:val="en-GB"/>
        </w:rPr>
        <w:t>The submitting organizations recommend the Committee</w:t>
      </w:r>
      <w:r w:rsidR="00AF3138">
        <w:rPr>
          <w:rFonts w:asciiTheme="minorHAnsi" w:hAnsiTheme="minorHAnsi" w:cstheme="minorHAnsi"/>
          <w:highlight w:val="none"/>
          <w:lang w:val="en-GB"/>
        </w:rPr>
        <w:t xml:space="preserve"> to</w:t>
      </w:r>
      <w:r w:rsidRPr="00AF3138">
        <w:rPr>
          <w:rFonts w:asciiTheme="minorHAnsi" w:hAnsiTheme="minorHAnsi" w:cstheme="minorHAnsi"/>
          <w:highlight w:val="none"/>
          <w:lang w:val="en-GB"/>
        </w:rPr>
        <w:t xml:space="preserve"> ask the Syrian Arab Republic the following questions: </w:t>
      </w:r>
    </w:p>
    <w:p w14:paraId="13AF304C" w14:textId="4C3D371C" w:rsidR="00081C8E" w:rsidRDefault="00000000" w:rsidP="00AF3138">
      <w:pPr>
        <w:numPr>
          <w:ilvl w:val="0"/>
          <w:numId w:val="4"/>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lastRenderedPageBreak/>
        <w:t xml:space="preserve">Can you provide us with information illustrating the number and dates of cases have been sentenced to death by the Field Military Court, Counter Terrorism Court, military judiciary, and ordinary </w:t>
      </w:r>
      <w:r w:rsidR="00AF3138">
        <w:rPr>
          <w:rFonts w:asciiTheme="minorHAnsi" w:hAnsiTheme="minorHAnsi" w:cstheme="minorHAnsi"/>
          <w:highlight w:val="none"/>
          <w:lang w:val="en-GB"/>
        </w:rPr>
        <w:t>judiciary</w:t>
      </w:r>
      <w:r w:rsidRPr="00AF3138">
        <w:rPr>
          <w:rFonts w:asciiTheme="minorHAnsi" w:hAnsiTheme="minorHAnsi" w:cstheme="minorHAnsi"/>
          <w:highlight w:val="none"/>
          <w:lang w:val="en-GB"/>
        </w:rPr>
        <w:t xml:space="preserve"> since the last reporting cycle? </w:t>
      </w:r>
      <w:r w:rsidR="00081C8E" w:rsidRPr="00AF3138">
        <w:rPr>
          <w:rFonts w:asciiTheme="minorHAnsi" w:hAnsiTheme="minorHAnsi" w:cstheme="minorHAnsi"/>
          <w:b/>
          <w:i/>
          <w:highlight w:val="none"/>
          <w:lang w:val="en-GB"/>
        </w:rPr>
        <w:t>(Art 6 ICCPR)</w:t>
      </w:r>
    </w:p>
    <w:p w14:paraId="00000078" w14:textId="5F7EC80E" w:rsidR="00E561CC" w:rsidRPr="00AF3138" w:rsidRDefault="00000000" w:rsidP="00AF3138">
      <w:pPr>
        <w:numPr>
          <w:ilvl w:val="0"/>
          <w:numId w:val="4"/>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Can you explain in detail the procedural guarantees provided to the defendant before these courts? </w:t>
      </w:r>
      <w:r w:rsidRPr="00AF3138">
        <w:rPr>
          <w:rFonts w:asciiTheme="minorHAnsi" w:hAnsiTheme="minorHAnsi" w:cstheme="minorHAnsi"/>
          <w:b/>
          <w:i/>
          <w:highlight w:val="none"/>
          <w:lang w:val="en-GB"/>
        </w:rPr>
        <w:t>(Art 14 ICCPR)</w:t>
      </w:r>
    </w:p>
    <w:p w14:paraId="00000079" w14:textId="1DCDAAD0" w:rsidR="00E561CC" w:rsidRPr="00AF3138" w:rsidRDefault="00000000" w:rsidP="00AF3138">
      <w:pPr>
        <w:numPr>
          <w:ilvl w:val="0"/>
          <w:numId w:val="4"/>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Has Syria identified any cases of the death penalty resulting from wrongful incrimination? If yes, how is Syria ensuring that </w:t>
      </w:r>
      <w:r w:rsidR="00AF3138">
        <w:rPr>
          <w:rFonts w:asciiTheme="minorHAnsi" w:hAnsiTheme="minorHAnsi" w:cstheme="minorHAnsi"/>
          <w:highlight w:val="none"/>
          <w:lang w:val="en-GB"/>
        </w:rPr>
        <w:t xml:space="preserve">the </w:t>
      </w:r>
      <w:r w:rsidRPr="00AF3138">
        <w:rPr>
          <w:rFonts w:asciiTheme="minorHAnsi" w:hAnsiTheme="minorHAnsi" w:cstheme="minorHAnsi"/>
          <w:highlight w:val="none"/>
          <w:lang w:val="en-GB"/>
        </w:rPr>
        <w:t>death penalty is neither politized</w:t>
      </w:r>
      <w:r w:rsidR="00AE6890">
        <w:rPr>
          <w:rFonts w:asciiTheme="minorHAnsi" w:hAnsiTheme="minorHAnsi" w:cstheme="minorHAnsi"/>
          <w:highlight w:val="none"/>
          <w:lang w:val="en-GB"/>
        </w:rPr>
        <w:t>,</w:t>
      </w:r>
      <w:r w:rsidRPr="00AF3138">
        <w:rPr>
          <w:rFonts w:asciiTheme="minorHAnsi" w:hAnsiTheme="minorHAnsi" w:cstheme="minorHAnsi"/>
          <w:highlight w:val="none"/>
          <w:lang w:val="en-GB"/>
        </w:rPr>
        <w:t xml:space="preserve"> </w:t>
      </w:r>
      <w:r w:rsidR="00AE6890">
        <w:rPr>
          <w:rFonts w:asciiTheme="minorHAnsi" w:hAnsiTheme="minorHAnsi" w:cstheme="minorHAnsi"/>
          <w:highlight w:val="none"/>
          <w:lang w:val="en-GB"/>
        </w:rPr>
        <w:t>n</w:t>
      </w:r>
      <w:r w:rsidRPr="00AF3138">
        <w:rPr>
          <w:rFonts w:asciiTheme="minorHAnsi" w:hAnsiTheme="minorHAnsi" w:cstheme="minorHAnsi"/>
          <w:highlight w:val="none"/>
          <w:lang w:val="en-GB"/>
        </w:rPr>
        <w:t xml:space="preserve">or benefiting any state officials? </w:t>
      </w:r>
      <w:r w:rsidRPr="00AF3138">
        <w:rPr>
          <w:rFonts w:asciiTheme="minorHAnsi" w:hAnsiTheme="minorHAnsi" w:cstheme="minorHAnsi"/>
          <w:b/>
          <w:i/>
          <w:highlight w:val="none"/>
          <w:lang w:val="en-GB"/>
        </w:rPr>
        <w:t>(Art 6, 14 ICCPR)</w:t>
      </w:r>
    </w:p>
    <w:p w14:paraId="60EA22DC" w14:textId="1B8BA737" w:rsidR="00AF3138" w:rsidRDefault="00000000" w:rsidP="00AF3138">
      <w:pPr>
        <w:numPr>
          <w:ilvl w:val="0"/>
          <w:numId w:val="4"/>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How many detainees have </w:t>
      </w:r>
      <w:r w:rsidR="00081C8E">
        <w:rPr>
          <w:rFonts w:asciiTheme="minorHAnsi" w:hAnsiTheme="minorHAnsi" w:cstheme="minorHAnsi"/>
          <w:highlight w:val="none"/>
          <w:lang w:val="en-GB"/>
        </w:rPr>
        <w:t xml:space="preserve">died </w:t>
      </w:r>
      <w:r w:rsidRPr="00AF3138">
        <w:rPr>
          <w:rFonts w:asciiTheme="minorHAnsi" w:hAnsiTheme="minorHAnsi" w:cstheme="minorHAnsi"/>
          <w:highlight w:val="none"/>
          <w:lang w:val="en-GB"/>
        </w:rPr>
        <w:t xml:space="preserve">in the governmental detention facilities since the last reporting cycle, and how does Syria explain the </w:t>
      </w:r>
      <w:r w:rsidR="00FA407A">
        <w:rPr>
          <w:rFonts w:asciiTheme="minorHAnsi" w:hAnsiTheme="minorHAnsi" w:cstheme="minorHAnsi"/>
          <w:highlight w:val="none"/>
          <w:lang w:val="en-GB"/>
        </w:rPr>
        <w:t>number</w:t>
      </w:r>
      <w:r w:rsidR="00FA407A" w:rsidRPr="00AF3138">
        <w:rPr>
          <w:rFonts w:asciiTheme="minorHAnsi" w:hAnsiTheme="minorHAnsi" w:cstheme="minorHAnsi"/>
          <w:highlight w:val="none"/>
          <w:lang w:val="en-GB"/>
        </w:rPr>
        <w:t xml:space="preserve"> </w:t>
      </w:r>
      <w:r w:rsidRPr="00AF3138">
        <w:rPr>
          <w:rFonts w:asciiTheme="minorHAnsi" w:hAnsiTheme="minorHAnsi" w:cstheme="minorHAnsi"/>
          <w:highlight w:val="none"/>
          <w:lang w:val="en-GB"/>
        </w:rPr>
        <w:t>of death</w:t>
      </w:r>
      <w:r w:rsidR="00FA407A">
        <w:rPr>
          <w:rFonts w:asciiTheme="minorHAnsi" w:hAnsiTheme="minorHAnsi" w:cstheme="minorHAnsi"/>
          <w:highlight w:val="none"/>
          <w:lang w:val="en-GB"/>
        </w:rPr>
        <w:t>s</w:t>
      </w:r>
      <w:r w:rsidRPr="00AF3138">
        <w:rPr>
          <w:rFonts w:asciiTheme="minorHAnsi" w:hAnsiTheme="minorHAnsi" w:cstheme="minorHAnsi"/>
          <w:highlight w:val="none"/>
          <w:lang w:val="en-GB"/>
        </w:rPr>
        <w:t xml:space="preserve"> in its detention facilities? </w:t>
      </w:r>
      <w:r w:rsidRPr="00AF3138">
        <w:rPr>
          <w:rFonts w:asciiTheme="minorHAnsi" w:hAnsiTheme="minorHAnsi" w:cstheme="minorHAnsi"/>
          <w:b/>
          <w:i/>
          <w:highlight w:val="none"/>
          <w:lang w:val="en-GB"/>
        </w:rPr>
        <w:t>(Art 6 ICCPR)</w:t>
      </w:r>
    </w:p>
    <w:p w14:paraId="0000007B" w14:textId="40643FA3" w:rsidR="00E561CC" w:rsidRPr="00AF3138" w:rsidRDefault="00000000" w:rsidP="00AF3138">
      <w:pPr>
        <w:numPr>
          <w:ilvl w:val="0"/>
          <w:numId w:val="4"/>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jc w:val="both"/>
        <w:rPr>
          <w:rFonts w:asciiTheme="minorHAnsi" w:hAnsiTheme="minorHAnsi" w:cstheme="minorHAnsi"/>
          <w:highlight w:val="none"/>
          <w:lang w:val="en-GB"/>
        </w:rPr>
      </w:pPr>
      <w:r w:rsidRPr="00AF3138">
        <w:rPr>
          <w:rFonts w:asciiTheme="minorHAnsi" w:hAnsiTheme="minorHAnsi" w:cstheme="minorHAnsi"/>
          <w:highlight w:val="none"/>
          <w:lang w:val="en-GB"/>
        </w:rPr>
        <w:t xml:space="preserve">How many charges qualify for the death penalty in Syrian law? And how can you explain this number of charges? </w:t>
      </w:r>
      <w:r w:rsidRPr="00AF3138">
        <w:rPr>
          <w:rFonts w:asciiTheme="minorHAnsi" w:hAnsiTheme="minorHAnsi" w:cstheme="minorHAnsi"/>
          <w:b/>
          <w:i/>
          <w:highlight w:val="none"/>
          <w:lang w:val="en-GB"/>
        </w:rPr>
        <w:t>(Art 6 ICCPR)</w:t>
      </w:r>
      <w:r w:rsidRPr="00AF3138">
        <w:rPr>
          <w:rFonts w:asciiTheme="minorHAnsi" w:hAnsiTheme="minorHAnsi" w:cstheme="minorHAnsi"/>
          <w:lang w:val="en-GB"/>
        </w:rPr>
        <w:br w:type="page"/>
      </w:r>
    </w:p>
    <w:p w14:paraId="0000007C" w14:textId="77777777" w:rsidR="00E561CC" w:rsidRPr="00AF3138" w:rsidRDefault="00000000" w:rsidP="00AC2C19">
      <w:pPr>
        <w:pStyle w:val="Heading1"/>
        <w:numPr>
          <w:ilvl w:val="0"/>
          <w:numId w:val="0"/>
        </w:numPr>
        <w:rPr>
          <w:rFonts w:eastAsia="Arial"/>
          <w:lang w:val="en-GB"/>
        </w:rPr>
      </w:pPr>
      <w:bookmarkStart w:id="27" w:name="_heading=h.cjb9y65va5u8" w:colFirst="0" w:colLast="0"/>
      <w:bookmarkStart w:id="28" w:name="_Toc122446209"/>
      <w:bookmarkEnd w:id="27"/>
      <w:r w:rsidRPr="00AF3138">
        <w:rPr>
          <w:rFonts w:eastAsia="Arial"/>
          <w:highlight w:val="white"/>
          <w:lang w:val="en-GB"/>
        </w:rPr>
        <w:lastRenderedPageBreak/>
        <w:t>Annexes</w:t>
      </w:r>
      <w:bookmarkEnd w:id="28"/>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5664"/>
        <w:gridCol w:w="2017"/>
        <w:gridCol w:w="1344"/>
      </w:tblGrid>
      <w:tr w:rsidR="00E561CC" w:rsidRPr="00AC2C19" w14:paraId="3A8E5B1E" w14:textId="77777777">
        <w:trPr>
          <w:trHeight w:val="935"/>
        </w:trPr>
        <w:tc>
          <w:tcPr>
            <w:tcW w:w="9024" w:type="dxa"/>
            <w:gridSpan w:val="3"/>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tcPr>
          <w:p w14:paraId="0000007D" w14:textId="77777777" w:rsidR="00E561CC" w:rsidRPr="00AC2C19" w:rsidRDefault="00000000" w:rsidP="00AC2C19">
            <w:pPr>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Table 1: Capital crimes that are considered by the Military Field Court and stipulated in the Military Penal Code.</w:t>
            </w:r>
          </w:p>
        </w:tc>
      </w:tr>
      <w:tr w:rsidR="00E561CC" w:rsidRPr="00AC2C19" w14:paraId="024A4FFD" w14:textId="77777777">
        <w:trPr>
          <w:trHeight w:val="1235"/>
        </w:trPr>
        <w:tc>
          <w:tcPr>
            <w:tcW w:w="5663"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0000080" w14:textId="77777777" w:rsidR="00E561CC" w:rsidRPr="00AC2C19" w:rsidRDefault="00000000" w:rsidP="00AC2C19">
            <w:pPr>
              <w:ind w:left="26"/>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Crime</w:t>
            </w:r>
          </w:p>
        </w:tc>
        <w:tc>
          <w:tcPr>
            <w:tcW w:w="2017"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00000081" w14:textId="77777777" w:rsidR="00E561CC" w:rsidRPr="00AC2C19" w:rsidRDefault="00000000" w:rsidP="00AC2C19">
            <w:pPr>
              <w:ind w:left="34"/>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Article number in the Military Penal Code</w:t>
            </w:r>
          </w:p>
        </w:tc>
        <w:tc>
          <w:tcPr>
            <w:tcW w:w="1344"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00000082" w14:textId="77777777" w:rsidR="00E561CC" w:rsidRPr="00AC2C19" w:rsidRDefault="00000000" w:rsidP="00AC2C19">
            <w:pPr>
              <w:ind w:left="15"/>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Penalty</w:t>
            </w:r>
          </w:p>
        </w:tc>
      </w:tr>
      <w:tr w:rsidR="00E561CC" w:rsidRPr="00AC2C19" w14:paraId="77EB5853" w14:textId="77777777">
        <w:trPr>
          <w:trHeight w:val="6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83"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Escaping to the enemy if committed by a military person.</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4"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102)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5"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1AA869EF"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86"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Escaping in wartime with a plot when confronting the enemy. [Plotting is the agreement of two or more military persons to escape]</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7"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103)</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8"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49F4B118" w14:textId="77777777">
        <w:trPr>
          <w:trHeight w:val="9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89"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The military person who refuses to obey the orders to attack the enemy or the rebels.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A"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112)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B"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4B3AB332" w14:textId="77777777">
        <w:trPr>
          <w:trHeight w:val="15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8C"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Disobedience and incitement of disobedience when confronting the enemy. [Disobedience is resorting to violence by at least two military persons using weapons and refusing to obey the orders of their superiors to disperse and return to order]</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D"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113)</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8E"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25F957F6" w14:textId="77777777">
        <w:trPr>
          <w:trHeight w:val="6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8F"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Incitement to disobedience during the time of war or martial law.</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0"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114)</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1"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9B04731"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92"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Inflicting violent acts on wounded or sick soldiers that increase the severity of their condition with the purpose of disarming them.</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3"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132)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4"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2AA7FFF0" w14:textId="77777777">
        <w:trPr>
          <w:trHeight w:val="18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95"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Every soldier who intentionally and by any means burns, demolishes or damages buildings, constructions, warehouses, water courses, railways, telegraph and telephone lines and </w:t>
            </w:r>
            <w:proofErr w:type="spellStart"/>
            <w:r w:rsidRPr="00AC2C19">
              <w:rPr>
                <w:rFonts w:asciiTheme="minorHAnsi" w:eastAsia="Times New Roman" w:hAnsiTheme="minorHAnsi" w:cstheme="minorHAnsi"/>
                <w:sz w:val="20"/>
                <w:szCs w:val="20"/>
                <w:highlight w:val="none"/>
                <w:lang w:val="en-GB"/>
              </w:rPr>
              <w:t>centers</w:t>
            </w:r>
            <w:proofErr w:type="spellEnd"/>
            <w:r w:rsidRPr="00AC2C19">
              <w:rPr>
                <w:rFonts w:asciiTheme="minorHAnsi" w:eastAsia="Times New Roman" w:hAnsiTheme="minorHAnsi" w:cstheme="minorHAnsi"/>
                <w:sz w:val="20"/>
                <w:szCs w:val="20"/>
                <w:highlight w:val="none"/>
                <w:lang w:val="en-GB"/>
              </w:rPr>
              <w:t xml:space="preserve">, flight </w:t>
            </w:r>
            <w:proofErr w:type="spellStart"/>
            <w:r w:rsidRPr="00AC2C19">
              <w:rPr>
                <w:rFonts w:asciiTheme="minorHAnsi" w:eastAsia="Times New Roman" w:hAnsiTheme="minorHAnsi" w:cstheme="minorHAnsi"/>
                <w:sz w:val="20"/>
                <w:szCs w:val="20"/>
                <w:highlight w:val="none"/>
                <w:lang w:val="en-GB"/>
              </w:rPr>
              <w:t>centers</w:t>
            </w:r>
            <w:proofErr w:type="spellEnd"/>
            <w:r w:rsidRPr="00AC2C19">
              <w:rPr>
                <w:rFonts w:asciiTheme="minorHAnsi" w:eastAsia="Times New Roman" w:hAnsiTheme="minorHAnsi" w:cstheme="minorHAnsi"/>
                <w:sz w:val="20"/>
                <w:szCs w:val="20"/>
                <w:highlight w:val="none"/>
                <w:lang w:val="en-GB"/>
              </w:rPr>
              <w:t xml:space="preserve">, ships, boats or any immovable object owned by the army or used in civil </w:t>
            </w:r>
            <w:proofErr w:type="spellStart"/>
            <w:r w:rsidRPr="00AC2C19">
              <w:rPr>
                <w:rFonts w:asciiTheme="minorHAnsi" w:eastAsia="Times New Roman" w:hAnsiTheme="minorHAnsi" w:cstheme="minorHAnsi"/>
                <w:sz w:val="20"/>
                <w:szCs w:val="20"/>
                <w:highlight w:val="none"/>
                <w:lang w:val="en-GB"/>
              </w:rPr>
              <w:t>defense</w:t>
            </w:r>
            <w:proofErr w:type="spellEnd"/>
            <w:r w:rsidRPr="00AC2C19">
              <w:rPr>
                <w:rFonts w:asciiTheme="minorHAnsi" w:eastAsia="Times New Roman" w:hAnsiTheme="minorHAnsi" w:cstheme="minorHAnsi"/>
                <w:sz w:val="20"/>
                <w:szCs w:val="20"/>
                <w:highlight w:val="none"/>
                <w:lang w:val="en-GB"/>
              </w:rPr>
              <w:t>.</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6"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137)</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7"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0A126B90" w14:textId="77777777">
        <w:trPr>
          <w:trHeight w:val="9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98"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The military persons who abandon the place of their duty when confronting the enemy.</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9"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144)</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A"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7FB530D3"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9B"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Soldiers who try to or intentionally made themselves temporarily or permanently not suitable for the legal military service if they commit this crime when confronting the enemy.</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C"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146)</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D"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51F13B9"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9E"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Commander or leader who hand their location to the enemy without exhausting all available </w:t>
            </w:r>
            <w:proofErr w:type="spellStart"/>
            <w:r w:rsidRPr="00AC2C19">
              <w:rPr>
                <w:rFonts w:asciiTheme="minorHAnsi" w:eastAsia="Times New Roman" w:hAnsiTheme="minorHAnsi" w:cstheme="minorHAnsi"/>
                <w:sz w:val="20"/>
                <w:szCs w:val="20"/>
                <w:highlight w:val="none"/>
                <w:lang w:val="en-GB"/>
              </w:rPr>
              <w:t>defense</w:t>
            </w:r>
            <w:proofErr w:type="spellEnd"/>
            <w:r w:rsidRPr="00AC2C19">
              <w:rPr>
                <w:rFonts w:asciiTheme="minorHAnsi" w:eastAsia="Times New Roman" w:hAnsiTheme="minorHAnsi" w:cstheme="minorHAnsi"/>
                <w:sz w:val="20"/>
                <w:szCs w:val="20"/>
                <w:highlight w:val="none"/>
                <w:lang w:val="en-GB"/>
              </w:rPr>
              <w:t xml:space="preserve"> means and doing everything required by duty and </w:t>
            </w:r>
            <w:proofErr w:type="spellStart"/>
            <w:r w:rsidRPr="00AC2C19">
              <w:rPr>
                <w:rFonts w:asciiTheme="minorHAnsi" w:eastAsia="Times New Roman" w:hAnsiTheme="minorHAnsi" w:cstheme="minorHAnsi"/>
                <w:sz w:val="20"/>
                <w:szCs w:val="20"/>
                <w:highlight w:val="none"/>
                <w:lang w:val="en-GB"/>
              </w:rPr>
              <w:t>honor</w:t>
            </w:r>
            <w:proofErr w:type="spellEnd"/>
            <w:r w:rsidRPr="00AC2C19">
              <w:rPr>
                <w:rFonts w:asciiTheme="minorHAnsi" w:eastAsia="Times New Roman" w:hAnsiTheme="minorHAnsi" w:cstheme="minorHAnsi"/>
                <w:sz w:val="20"/>
                <w:szCs w:val="20"/>
                <w:highlight w:val="none"/>
                <w:lang w:val="en-GB"/>
              </w:rPr>
              <w:t>.</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9F"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0"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744490D2"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A1"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Leaders of armed troops who surrender during fighting in a way that result in stopping the fight, or if they communicated with the enemy before doing everything required by duty and </w:t>
            </w:r>
            <w:proofErr w:type="spellStart"/>
            <w:r w:rsidRPr="00AC2C19">
              <w:rPr>
                <w:rFonts w:asciiTheme="minorHAnsi" w:eastAsia="Times New Roman" w:hAnsiTheme="minorHAnsi" w:cstheme="minorHAnsi"/>
                <w:sz w:val="20"/>
                <w:szCs w:val="20"/>
                <w:highlight w:val="none"/>
                <w:lang w:val="en-GB"/>
              </w:rPr>
              <w:t>honor</w:t>
            </w:r>
            <w:proofErr w:type="spellEnd"/>
            <w:r w:rsidRPr="00AC2C19">
              <w:rPr>
                <w:rFonts w:asciiTheme="minorHAnsi" w:eastAsia="Times New Roman" w:hAnsiTheme="minorHAnsi" w:cstheme="minorHAnsi"/>
                <w:sz w:val="20"/>
                <w:szCs w:val="20"/>
                <w:highlight w:val="none"/>
                <w:lang w:val="en-GB"/>
              </w:rPr>
              <w:t>.</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2"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153)</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3"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0574C8B8" w14:textId="77777777">
        <w:trPr>
          <w:trHeight w:val="6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A4"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carries weapon against Syria.</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5"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154 / 1)</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6"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C44FB34" w14:textId="77777777">
        <w:trPr>
          <w:trHeight w:val="9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A7"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The prisoner of war who has been retaken after breaking the deal and taking up arms.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8"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154 / 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9"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2D65FB38" w14:textId="77777777">
        <w:trPr>
          <w:trHeight w:val="18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AA"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The military persons who surrender to the enemy or in the interest of the enemy the soldiers under their command or the position assigned to them or the army’s weapon, ammunition, supplies, maps of military sites, factories, </w:t>
            </w:r>
            <w:proofErr w:type="spellStart"/>
            <w:r w:rsidRPr="00AC2C19">
              <w:rPr>
                <w:rFonts w:asciiTheme="minorHAnsi" w:eastAsia="Times New Roman" w:hAnsiTheme="minorHAnsi" w:cstheme="minorHAnsi"/>
                <w:sz w:val="20"/>
                <w:szCs w:val="20"/>
                <w:highlight w:val="none"/>
                <w:lang w:val="en-GB"/>
              </w:rPr>
              <w:t>harbors</w:t>
            </w:r>
            <w:proofErr w:type="spellEnd"/>
            <w:r w:rsidRPr="00AC2C19">
              <w:rPr>
                <w:rFonts w:asciiTheme="minorHAnsi" w:eastAsia="Times New Roman" w:hAnsiTheme="minorHAnsi" w:cstheme="minorHAnsi"/>
                <w:sz w:val="20"/>
                <w:szCs w:val="20"/>
                <w:highlight w:val="none"/>
                <w:lang w:val="en-GB"/>
              </w:rPr>
              <w:t>, docks, passwords, or secrets of military actions, campaigns and negotiations.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B"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1)</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C"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3C635A9A" w14:textId="77777777">
        <w:trPr>
          <w:trHeight w:val="9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AD"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communicates with the enemy to facilitate their work.</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E"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2)</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AF"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4A9795D2"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0"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participates in the conspiracies that are intended to pressure the decisions of the responsible military chief.</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1"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3)</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2"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345B64E5" w14:textId="77777777">
        <w:trPr>
          <w:trHeight w:val="33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3"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Whoever discloses the password, special signal, alerts, or secret media related to the guards and stations, or distorts the news, or orders related to the service when confronting the enemy, or directs the enemy to the locations of the army or allies forces, or directs the mentioned forces to follow an incorrect path, or causes panic in one of the Syrian forces or making them taking wrong moves or actions, or obstructs the gathering of dispersed soldiers, if the offence was committed during the war or in an area where martial law was declared with the intent of aiding the enemy or harming the army or the forces of allied governments.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4"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156)</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5"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313A633C" w14:textId="77777777">
        <w:trPr>
          <w:trHeight w:val="15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6"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military person who enters a war site, a military </w:t>
            </w:r>
            <w:proofErr w:type="spellStart"/>
            <w:r w:rsidRPr="00AC2C19">
              <w:rPr>
                <w:rFonts w:asciiTheme="minorHAnsi" w:eastAsia="Times New Roman" w:hAnsiTheme="minorHAnsi" w:cstheme="minorHAnsi"/>
                <w:sz w:val="20"/>
                <w:szCs w:val="20"/>
                <w:highlight w:val="none"/>
                <w:lang w:val="en-GB"/>
              </w:rPr>
              <w:t>center</w:t>
            </w:r>
            <w:proofErr w:type="spellEnd"/>
            <w:r w:rsidRPr="00AC2C19">
              <w:rPr>
                <w:rFonts w:asciiTheme="minorHAnsi" w:eastAsia="Times New Roman" w:hAnsiTheme="minorHAnsi" w:cstheme="minorHAnsi"/>
                <w:sz w:val="20"/>
                <w:szCs w:val="20"/>
                <w:highlight w:val="none"/>
                <w:lang w:val="en-GB"/>
              </w:rPr>
              <w:t xml:space="preserve">, a military institution, a military workshop, a camp, or any of the army’s premises in order to obtain documents or information that benefit the </w:t>
            </w:r>
            <w:proofErr w:type="gramStart"/>
            <w:r w:rsidRPr="00AC2C19">
              <w:rPr>
                <w:rFonts w:asciiTheme="minorHAnsi" w:eastAsia="Times New Roman" w:hAnsiTheme="minorHAnsi" w:cstheme="minorHAnsi"/>
                <w:sz w:val="20"/>
                <w:szCs w:val="20"/>
                <w:highlight w:val="none"/>
                <w:lang w:val="en-GB"/>
              </w:rPr>
              <w:t>enemy</w:t>
            </w:r>
            <w:proofErr w:type="gramEnd"/>
            <w:r w:rsidRPr="00AC2C19">
              <w:rPr>
                <w:rFonts w:asciiTheme="minorHAnsi" w:eastAsia="Times New Roman" w:hAnsiTheme="minorHAnsi" w:cstheme="minorHAnsi"/>
                <w:sz w:val="20"/>
                <w:szCs w:val="20"/>
                <w:highlight w:val="none"/>
                <w:lang w:val="en-GB"/>
              </w:rPr>
              <w:t xml:space="preserve"> or the military person believes so.</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7"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158 / A)</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8"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27FDB78F" w14:textId="77777777">
        <w:trPr>
          <w:trHeight w:val="15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9"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military person who gives the enemy documents or information that might harm military actions or affect the safety of sites, </w:t>
            </w:r>
            <w:proofErr w:type="spellStart"/>
            <w:r w:rsidRPr="00AC2C19">
              <w:rPr>
                <w:rFonts w:asciiTheme="minorHAnsi" w:eastAsia="Times New Roman" w:hAnsiTheme="minorHAnsi" w:cstheme="minorHAnsi"/>
                <w:sz w:val="20"/>
                <w:szCs w:val="20"/>
                <w:highlight w:val="none"/>
                <w:lang w:val="en-GB"/>
              </w:rPr>
              <w:t>centers</w:t>
            </w:r>
            <w:proofErr w:type="spellEnd"/>
            <w:r w:rsidRPr="00AC2C19">
              <w:rPr>
                <w:rFonts w:asciiTheme="minorHAnsi" w:eastAsia="Times New Roman" w:hAnsiTheme="minorHAnsi" w:cstheme="minorHAnsi"/>
                <w:sz w:val="20"/>
                <w:szCs w:val="20"/>
                <w:highlight w:val="none"/>
                <w:lang w:val="en-GB"/>
              </w:rPr>
              <w:t xml:space="preserve"> and other military institutions or the military person believes so.</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A"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158/B)</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B"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4B77BCB8" w14:textId="77777777">
        <w:trPr>
          <w:trHeight w:val="9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C"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military person who intentionally hides spies or enemies by himself or through others.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D"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158/C)</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BE"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4B8FBB88" w14:textId="77777777">
        <w:trPr>
          <w:trHeight w:val="12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BF"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enemy enters in disguise a war site, a military post, a military institution, a military workshop, a camp, an encampment, or any of the army's premises.</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0"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159)</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1"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41A1E54" w14:textId="77777777">
        <w:trPr>
          <w:trHeight w:val="1535"/>
        </w:trPr>
        <w:tc>
          <w:tcPr>
            <w:tcW w:w="566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C2" w14:textId="77777777" w:rsidR="00E561CC" w:rsidRPr="00AC2C19" w:rsidRDefault="00000000" w:rsidP="00AC2C19">
            <w:pPr>
              <w:ind w:left="26"/>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Persons who intentionally incite the military persons to join the enemy or the rebels or facilitate the means for them to do so or recruit themselves or others for the benefit of a country that is in war with Syria.</w:t>
            </w:r>
          </w:p>
        </w:tc>
        <w:tc>
          <w:tcPr>
            <w:tcW w:w="201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3" w14:textId="77777777" w:rsidR="00E561CC" w:rsidRPr="00AC2C19" w:rsidRDefault="00000000" w:rsidP="00AC2C19">
            <w:pPr>
              <w:ind w:left="34"/>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160)</w:t>
            </w:r>
          </w:p>
        </w:tc>
        <w:tc>
          <w:tcPr>
            <w:tcW w:w="134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4" w14:textId="77777777" w:rsidR="00E561CC" w:rsidRPr="00AC2C19" w:rsidRDefault="00000000" w:rsidP="00AC2C19">
            <w:pPr>
              <w:ind w:left="15"/>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bl>
    <w:p w14:paraId="000000C5" w14:textId="77777777" w:rsidR="00E561CC" w:rsidRPr="00AC2C19" w:rsidRDefault="00000000">
      <w:pPr>
        <w:jc w:val="both"/>
        <w:rPr>
          <w:rFonts w:asciiTheme="minorHAnsi" w:eastAsia="Times New Roman" w:hAnsiTheme="minorHAnsi" w:cstheme="minorHAnsi"/>
          <w:highlight w:val="none"/>
          <w:lang w:val="en-GB"/>
        </w:rPr>
      </w:pPr>
      <w:r w:rsidRPr="00AC2C19">
        <w:rPr>
          <w:rFonts w:asciiTheme="minorHAnsi" w:eastAsia="Times New Roman" w:hAnsiTheme="minorHAnsi" w:cstheme="minorHAnsi"/>
          <w:highlight w:val="none"/>
          <w:lang w:val="en-GB"/>
        </w:rPr>
        <w:t xml:space="preserve"> </w:t>
      </w:r>
    </w:p>
    <w:tbl>
      <w:tblPr>
        <w:tblStyle w:val="a0"/>
        <w:tblW w:w="9045" w:type="dxa"/>
        <w:tblBorders>
          <w:top w:val="nil"/>
          <w:left w:val="nil"/>
          <w:bottom w:val="nil"/>
          <w:right w:val="nil"/>
          <w:insideH w:val="nil"/>
          <w:insideV w:val="nil"/>
        </w:tblBorders>
        <w:tblLayout w:type="fixed"/>
        <w:tblLook w:val="0600" w:firstRow="0" w:lastRow="0" w:firstColumn="0" w:lastColumn="0" w:noHBand="1" w:noVBand="1"/>
      </w:tblPr>
      <w:tblGrid>
        <w:gridCol w:w="5565"/>
        <w:gridCol w:w="1590"/>
        <w:gridCol w:w="1890"/>
      </w:tblGrid>
      <w:tr w:rsidR="00E561CC" w:rsidRPr="00AC2C19" w14:paraId="590A791F" w14:textId="77777777">
        <w:trPr>
          <w:trHeight w:val="935"/>
        </w:trPr>
        <w:tc>
          <w:tcPr>
            <w:tcW w:w="9045" w:type="dxa"/>
            <w:gridSpan w:val="3"/>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tcPr>
          <w:p w14:paraId="000000C6" w14:textId="77777777" w:rsidR="00E561CC" w:rsidRPr="00AC2C19" w:rsidRDefault="00000000">
            <w:pPr>
              <w:ind w:right="140"/>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Table 2: Capital crimes that are considered by the Military Field Court and stipulated in the General Penal Code.</w:t>
            </w:r>
          </w:p>
        </w:tc>
      </w:tr>
      <w:tr w:rsidR="00E561CC" w:rsidRPr="00AC2C19" w14:paraId="01D576BA" w14:textId="77777777">
        <w:trPr>
          <w:trHeight w:val="1535"/>
        </w:trPr>
        <w:tc>
          <w:tcPr>
            <w:tcW w:w="5565"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00000C9" w14:textId="77777777" w:rsidR="00E561CC" w:rsidRPr="00AC2C19" w:rsidRDefault="00000000">
            <w:pPr>
              <w:ind w:right="140"/>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lastRenderedPageBreak/>
              <w:t>Crime</w:t>
            </w:r>
          </w:p>
        </w:tc>
        <w:tc>
          <w:tcPr>
            <w:tcW w:w="159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000000CA" w14:textId="77777777" w:rsidR="00E561CC" w:rsidRPr="00AC2C19" w:rsidRDefault="00000000">
            <w:pPr>
              <w:ind w:left="180" w:right="140"/>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Article number in the General Penal Code</w:t>
            </w:r>
          </w:p>
        </w:tc>
        <w:tc>
          <w:tcPr>
            <w:tcW w:w="189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000000CB" w14:textId="77777777" w:rsidR="00E561CC" w:rsidRPr="00AC2C19" w:rsidRDefault="00000000">
            <w:pPr>
              <w:ind w:right="140"/>
              <w:jc w:val="center"/>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Penalty</w:t>
            </w:r>
          </w:p>
        </w:tc>
      </w:tr>
      <w:tr w:rsidR="00E561CC" w:rsidRPr="00AC2C19" w14:paraId="75387696" w14:textId="77777777">
        <w:trPr>
          <w:trHeight w:val="6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CC"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Syrian carries a weapon with the enemy against Syria.</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D"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263)</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CE"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122A6177" w14:textId="77777777">
        <w:trPr>
          <w:trHeight w:val="12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CF"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Syrian incites a foreign country or contacts it to push it to initiate aggression against Syria or to provide it with the means to do so if the action leads to a result.</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0"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264)</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1"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7EE9DE47" w14:textId="77777777">
        <w:trPr>
          <w:trHeight w:val="9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D2"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Every Syrian conspires with the enemy or communicates with them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help them in any way to achieve victory.</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3"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265)</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4"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D015801" w14:textId="77777777">
        <w:trPr>
          <w:trHeight w:val="24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D5"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Every Syrian makes any action with the intention of paralyzing the national </w:t>
            </w:r>
            <w:proofErr w:type="spellStart"/>
            <w:r w:rsidRPr="00AC2C19">
              <w:rPr>
                <w:rFonts w:asciiTheme="minorHAnsi" w:eastAsia="Times New Roman" w:hAnsiTheme="minorHAnsi" w:cstheme="minorHAnsi"/>
                <w:sz w:val="20"/>
                <w:szCs w:val="20"/>
                <w:highlight w:val="none"/>
                <w:lang w:val="en-GB"/>
              </w:rPr>
              <w:t>defense</w:t>
            </w:r>
            <w:proofErr w:type="spellEnd"/>
            <w:r w:rsidRPr="00AC2C19">
              <w:rPr>
                <w:rFonts w:asciiTheme="minorHAnsi" w:eastAsia="Times New Roman" w:hAnsiTheme="minorHAnsi" w:cstheme="minorHAnsi"/>
                <w:sz w:val="20"/>
                <w:szCs w:val="20"/>
                <w:highlight w:val="none"/>
                <w:lang w:val="en-GB"/>
              </w:rPr>
              <w:t>, damages installations, factories, ships, aerial vehicles, tools, ammunition, livelihoods, means of transportation, and in general all things of a military nature or intended for the use of the army and its affiliated forces (or was a cause for that), if the act occurred during wartime or if war is expected to happen or this action led to the death of someone.</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6"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266)</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7"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679A1546" w14:textId="77777777">
        <w:trPr>
          <w:trHeight w:val="36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D8"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person who steals, for the benefit of an enemy state, things, documents or confidential information that must be kept hidden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ensure the safety of the country.</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9"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272)</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A"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274 and 247 of the General Penal Code</w:t>
            </w:r>
          </w:p>
        </w:tc>
      </w:tr>
      <w:tr w:rsidR="00E561CC" w:rsidRPr="00AC2C19" w14:paraId="1D2F0276" w14:textId="77777777">
        <w:trPr>
          <w:trHeight w:val="36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DB"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 xml:space="preserve">Whoever possesses in the capacity as an official, worker or employee for the state, some documents or information that must remain concealed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ensure the safety of the state and informs or discloses them without a legitimate reason for the benefit of an enemy state.</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C"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273)</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D"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274 and 247 of the General Penal Code</w:t>
            </w:r>
          </w:p>
        </w:tc>
      </w:tr>
      <w:tr w:rsidR="00E561CC" w:rsidRPr="00AC2C19" w14:paraId="2F7E2F27" w14:textId="77777777">
        <w:trPr>
          <w:trHeight w:val="36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DE"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Persons who assign themselves as leaders for armed groups or assume a position or leadership of any kind, either to invade a city, a locality or some state property or the property of a group of people, or to attack or resist the public force duty against the perpetrators of these crimes, if they carry a visible or hidden weapon, wear a uniform or carry another civilian or military emblem, or commit acts of sabotage or destruction in buildings designated for public interest or owned by the intelligence or related to transportation means.</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DF"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299)</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0"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301 and 247 of the General Penal Code</w:t>
            </w:r>
          </w:p>
        </w:tc>
      </w:tr>
      <w:tr w:rsidR="00E561CC" w:rsidRPr="00AC2C19" w14:paraId="16E3AD2F" w14:textId="77777777">
        <w:trPr>
          <w:trHeight w:val="39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E1"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Participants in armed groups formed with the intent of committing an attack aiming either to provoke civil war or sectarian fighting by arming the Syrians or by making them arm each other against each other, or by inciting murder and looting in a locality or shops or with the intention of invading a city, a locality or some state property or the property of a group of </w:t>
            </w:r>
            <w:proofErr w:type="gramStart"/>
            <w:r w:rsidRPr="00AC2C19">
              <w:rPr>
                <w:rFonts w:asciiTheme="minorHAnsi" w:eastAsia="Times New Roman" w:hAnsiTheme="minorHAnsi" w:cstheme="minorHAnsi"/>
                <w:sz w:val="20"/>
                <w:szCs w:val="20"/>
                <w:highlight w:val="none"/>
                <w:lang w:val="en-GB"/>
              </w:rPr>
              <w:t>citizens, or</w:t>
            </w:r>
            <w:proofErr w:type="gramEnd"/>
            <w:r w:rsidRPr="00AC2C19">
              <w:rPr>
                <w:rFonts w:asciiTheme="minorHAnsi" w:eastAsia="Times New Roman" w:hAnsiTheme="minorHAnsi" w:cstheme="minorHAnsi"/>
                <w:sz w:val="20"/>
                <w:szCs w:val="20"/>
                <w:highlight w:val="none"/>
                <w:lang w:val="en-GB"/>
              </w:rPr>
              <w:t xml:space="preserve"> attacking or resisting the public force duty against the perpetrators of these crimes.</w:t>
            </w:r>
            <w:r w:rsidRPr="00AC2C19">
              <w:rPr>
                <w:rFonts w:asciiTheme="minorHAnsi" w:eastAsia="Times New Roman" w:hAnsiTheme="minorHAnsi" w:cstheme="minorHAnsi"/>
                <w:b/>
                <w:color w:val="FF0000"/>
                <w:sz w:val="20"/>
                <w:szCs w:val="20"/>
                <w:highlight w:val="none"/>
                <w:lang w:val="en-GB"/>
              </w:rPr>
              <w:t xml:space="preserve"> </w:t>
            </w:r>
            <w:r w:rsidRPr="00AC2C19">
              <w:rPr>
                <w:rFonts w:asciiTheme="minorHAnsi" w:eastAsia="Times New Roman" w:hAnsiTheme="minorHAnsi" w:cstheme="minorHAnsi"/>
                <w:sz w:val="20"/>
                <w:szCs w:val="20"/>
                <w:highlight w:val="none"/>
                <w:lang w:val="en-GB"/>
              </w:rPr>
              <w:t xml:space="preserve">Whether they carry a visible or hidden </w:t>
            </w:r>
            <w:proofErr w:type="gramStart"/>
            <w:r w:rsidRPr="00AC2C19">
              <w:rPr>
                <w:rFonts w:asciiTheme="minorHAnsi" w:eastAsia="Times New Roman" w:hAnsiTheme="minorHAnsi" w:cstheme="minorHAnsi"/>
                <w:sz w:val="20"/>
                <w:szCs w:val="20"/>
                <w:highlight w:val="none"/>
                <w:lang w:val="en-GB"/>
              </w:rPr>
              <w:t>weapon, or</w:t>
            </w:r>
            <w:proofErr w:type="gramEnd"/>
            <w:r w:rsidRPr="00AC2C19">
              <w:rPr>
                <w:rFonts w:asciiTheme="minorHAnsi" w:eastAsia="Times New Roman" w:hAnsiTheme="minorHAnsi" w:cstheme="minorHAnsi"/>
                <w:sz w:val="20"/>
                <w:szCs w:val="20"/>
                <w:highlight w:val="none"/>
                <w:lang w:val="en-GB"/>
              </w:rPr>
              <w:t xml:space="preserve"> wear a uniform or carry another civilian or military emblem, or commit acts of sabotage or destruction in buildings designated for the public interest or owned by the intelligence or related to transportation means.</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2"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300)</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3"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301 and 247 of the General Penal Code</w:t>
            </w:r>
          </w:p>
        </w:tc>
      </w:tr>
      <w:tr w:rsidR="00E561CC" w:rsidRPr="00AC2C19" w14:paraId="37779886" w14:textId="77777777">
        <w:trPr>
          <w:trHeight w:val="213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E4"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Any member of a group of three or more people committed murder, attempted it or inflicted torture and barbaric acts on victims to pave the way for roaming public roads and countryside in the form of armed groups with the intent of robbing passers-by, attacking people or properties, or committing any other act of thievery.</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5"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326)</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6"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r w:rsidR="00E561CC" w:rsidRPr="00AC2C19" w14:paraId="02232C38" w14:textId="77777777">
        <w:trPr>
          <w:trHeight w:val="2555"/>
        </w:trPr>
        <w:tc>
          <w:tcPr>
            <w:tcW w:w="556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E7"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terroristic act that results in sabotage, even partially, in a public building, industrial establishment, ship, or other facilities, or disrupts the means of intelligence and transportation, or if the act leads to the death of a person.</w:t>
            </w:r>
          </w:p>
          <w:p w14:paraId="000000E8" w14:textId="77777777" w:rsidR="00E561CC" w:rsidRPr="00AC2C19" w:rsidRDefault="00000000">
            <w:pPr>
              <w:ind w:right="14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[Note: This article is repealed by the Counter-Terrorism Law No. 19 of 2012, but it was noted that it is always excluded from the issued amnesty decrees]</w:t>
            </w:r>
          </w:p>
        </w:tc>
        <w:tc>
          <w:tcPr>
            <w:tcW w:w="15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9" w14:textId="77777777" w:rsidR="00E561CC" w:rsidRPr="00AC2C19" w:rsidRDefault="00000000">
            <w:pPr>
              <w:ind w:left="18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305)</w:t>
            </w:r>
          </w:p>
        </w:tc>
        <w:tc>
          <w:tcPr>
            <w:tcW w:w="189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000EA" w14:textId="77777777" w:rsidR="00E561CC" w:rsidRPr="00AC2C19" w:rsidRDefault="00000000" w:rsidP="00AC2C19">
            <w:pPr>
              <w:ind w:left="0" w:right="140"/>
              <w:jc w:val="cente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w:t>
            </w:r>
          </w:p>
        </w:tc>
      </w:tr>
    </w:tbl>
    <w:p w14:paraId="000000EB" w14:textId="77777777" w:rsidR="00E561CC" w:rsidRPr="00AC2C19" w:rsidRDefault="00000000">
      <w:pPr>
        <w:jc w:val="both"/>
        <w:rPr>
          <w:rFonts w:asciiTheme="minorHAnsi" w:eastAsia="Times New Roman" w:hAnsiTheme="minorHAnsi" w:cstheme="minorHAnsi"/>
          <w:highlight w:val="none"/>
          <w:lang w:val="en-GB"/>
        </w:rPr>
      </w:pPr>
      <w:r w:rsidRPr="00AC2C19">
        <w:rPr>
          <w:rFonts w:asciiTheme="minorHAnsi" w:eastAsia="Times New Roman" w:hAnsiTheme="minorHAnsi" w:cstheme="minorHAnsi"/>
          <w:highlight w:val="none"/>
          <w:lang w:val="en-GB"/>
        </w:rPr>
        <w:t xml:space="preserve"> </w:t>
      </w:r>
    </w:p>
    <w:p w14:paraId="000000EC" w14:textId="77777777" w:rsidR="00E561CC" w:rsidRPr="00AC2C19" w:rsidRDefault="00E561CC">
      <w:pPr>
        <w:jc w:val="both"/>
        <w:rPr>
          <w:rFonts w:asciiTheme="minorHAnsi" w:eastAsia="Times New Roman" w:hAnsiTheme="minorHAnsi" w:cstheme="minorHAnsi"/>
          <w:highlight w:val="none"/>
          <w:lang w:val="en-GB"/>
        </w:rPr>
      </w:pPr>
    </w:p>
    <w:p w14:paraId="000000ED" w14:textId="77777777" w:rsidR="00E561CC" w:rsidRPr="00AC2C19" w:rsidRDefault="00E561CC">
      <w:pPr>
        <w:jc w:val="both"/>
        <w:rPr>
          <w:rFonts w:asciiTheme="minorHAnsi" w:eastAsia="Times New Roman" w:hAnsiTheme="minorHAnsi" w:cstheme="minorHAnsi"/>
          <w:highlight w:val="none"/>
          <w:lang w:val="en-GB"/>
        </w:rPr>
      </w:pPr>
    </w:p>
    <w:p w14:paraId="000000EE" w14:textId="77777777" w:rsidR="00E561CC" w:rsidRPr="00AC2C19" w:rsidRDefault="00E561CC">
      <w:pPr>
        <w:jc w:val="both"/>
        <w:rPr>
          <w:rFonts w:asciiTheme="minorHAnsi" w:eastAsia="Times New Roman" w:hAnsiTheme="minorHAnsi" w:cstheme="minorHAnsi"/>
          <w:highlight w:val="none"/>
          <w:lang w:val="en-GB"/>
        </w:rPr>
      </w:pPr>
    </w:p>
    <w:p w14:paraId="000000EF" w14:textId="77777777" w:rsidR="00E561CC" w:rsidRPr="00AC2C19" w:rsidRDefault="00E561CC">
      <w:pPr>
        <w:jc w:val="both"/>
        <w:rPr>
          <w:rFonts w:asciiTheme="minorHAnsi" w:eastAsia="Times New Roman" w:hAnsiTheme="minorHAnsi" w:cstheme="minorHAnsi"/>
          <w:highlight w:val="none"/>
          <w:lang w:val="en-GB"/>
        </w:rPr>
      </w:pPr>
    </w:p>
    <w:tbl>
      <w:tblPr>
        <w:tblStyle w:val="a1"/>
        <w:bidiVisual/>
        <w:tblW w:w="9105" w:type="dxa"/>
        <w:jc w:val="right"/>
        <w:tblBorders>
          <w:top w:val="nil"/>
          <w:left w:val="nil"/>
          <w:bottom w:val="nil"/>
          <w:right w:val="nil"/>
          <w:insideH w:val="nil"/>
          <w:insideV w:val="nil"/>
        </w:tblBorders>
        <w:tblLayout w:type="fixed"/>
        <w:tblLook w:val="0600" w:firstRow="0" w:lastRow="0" w:firstColumn="0" w:lastColumn="0" w:noHBand="1" w:noVBand="1"/>
      </w:tblPr>
      <w:tblGrid>
        <w:gridCol w:w="2100"/>
        <w:gridCol w:w="7005"/>
      </w:tblGrid>
      <w:tr w:rsidR="00E561CC" w:rsidRPr="00AC2C19" w14:paraId="1A640429" w14:textId="77777777">
        <w:trPr>
          <w:trHeight w:val="635"/>
          <w:jc w:val="right"/>
        </w:trPr>
        <w:tc>
          <w:tcPr>
            <w:tcW w:w="9105" w:type="dxa"/>
            <w:gridSpan w:val="2"/>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tcPr>
          <w:p w14:paraId="000000F0" w14:textId="77777777" w:rsidR="00E561CC" w:rsidRPr="00AC2C19" w:rsidRDefault="00000000">
            <w:pPr>
              <w:ind w:right="140"/>
              <w:rPr>
                <w:rFonts w:asciiTheme="minorHAnsi" w:eastAsia="Times New Roman" w:hAnsiTheme="minorHAnsi" w:cstheme="minorHAnsi"/>
                <w:b/>
                <w:sz w:val="20"/>
                <w:szCs w:val="20"/>
                <w:highlight w:val="none"/>
                <w:lang w:val="en-GB"/>
              </w:rPr>
            </w:pPr>
            <w:r w:rsidRPr="00AC2C19">
              <w:rPr>
                <w:rFonts w:asciiTheme="minorHAnsi" w:eastAsia="Times New Roman" w:hAnsiTheme="minorHAnsi" w:cstheme="minorHAnsi"/>
                <w:b/>
                <w:sz w:val="20"/>
                <w:szCs w:val="20"/>
                <w:highlight w:val="none"/>
                <w:lang w:val="en-GB"/>
              </w:rPr>
              <w:t>Table 3: Capital crimes stipulated in Military Penal Code and not included in amnesty laws</w:t>
            </w:r>
          </w:p>
        </w:tc>
      </w:tr>
      <w:tr w:rsidR="00E561CC" w:rsidRPr="00AC2C19" w14:paraId="0A006BFF" w14:textId="77777777">
        <w:trPr>
          <w:trHeight w:val="635"/>
          <w:jc w:val="right"/>
        </w:trPr>
        <w:tc>
          <w:tcPr>
            <w:tcW w:w="2100"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00000F2"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w:t>
            </w:r>
          </w:p>
        </w:tc>
        <w:tc>
          <w:tcPr>
            <w:tcW w:w="7005" w:type="dxa"/>
            <w:tcBorders>
              <w:top w:val="nil"/>
              <w:left w:val="single" w:sz="8" w:space="0" w:color="000000"/>
              <w:bottom w:val="single" w:sz="8" w:space="0" w:color="000000"/>
              <w:right w:val="nil"/>
            </w:tcBorders>
            <w:shd w:val="clear" w:color="auto" w:fill="D9D9D9"/>
            <w:tcMar>
              <w:top w:w="100" w:type="dxa"/>
              <w:left w:w="100" w:type="dxa"/>
              <w:bottom w:w="100" w:type="dxa"/>
              <w:right w:w="100" w:type="dxa"/>
            </w:tcMar>
          </w:tcPr>
          <w:p w14:paraId="000000F3"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Crime</w:t>
            </w:r>
          </w:p>
        </w:tc>
      </w:tr>
      <w:tr w:rsidR="00E561CC" w:rsidRPr="00AC2C19" w14:paraId="4D3BCA9C" w14:textId="77777777">
        <w:trPr>
          <w:trHeight w:val="13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F4"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154 / 1)</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0F5"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carries weapon against Syria.</w:t>
            </w:r>
          </w:p>
          <w:p w14:paraId="000000F6"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[This crime was covered by the amnesty laws of 2012 and 2013 only and was not covered by any other amnesty]</w:t>
            </w:r>
          </w:p>
        </w:tc>
      </w:tr>
      <w:tr w:rsidR="00E561CC" w:rsidRPr="00AC2C19" w14:paraId="09D8ACA0" w14:textId="77777777">
        <w:trPr>
          <w:trHeight w:val="16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F7"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(Article 154 / 2)</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0F8"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The prisoner of war who has been retaken after breaking the deal and taking up arms.</w:t>
            </w:r>
          </w:p>
          <w:p w14:paraId="000000F9"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[This crime was covered by the amnesty laws of 2012 and 2013 only and was not covered by any other amnesty]</w:t>
            </w:r>
          </w:p>
        </w:tc>
      </w:tr>
      <w:tr w:rsidR="00E561CC" w:rsidRPr="00AC2C19" w14:paraId="58632375" w14:textId="77777777">
        <w:trPr>
          <w:trHeight w:val="15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FA"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1)</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0FB"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The military persons who surrender to the enemy or in the interest of the enemy the soldiers under their command or the position assigned to them or the army’s weapon, ammunition, supplies, maps of military sites, factories, </w:t>
            </w:r>
            <w:proofErr w:type="spellStart"/>
            <w:r w:rsidRPr="00AC2C19">
              <w:rPr>
                <w:rFonts w:asciiTheme="minorHAnsi" w:eastAsia="Times New Roman" w:hAnsiTheme="minorHAnsi" w:cstheme="minorHAnsi"/>
                <w:sz w:val="20"/>
                <w:szCs w:val="20"/>
                <w:highlight w:val="none"/>
                <w:lang w:val="en-GB"/>
              </w:rPr>
              <w:t>harbors</w:t>
            </w:r>
            <w:proofErr w:type="spellEnd"/>
            <w:r w:rsidRPr="00AC2C19">
              <w:rPr>
                <w:rFonts w:asciiTheme="minorHAnsi" w:eastAsia="Times New Roman" w:hAnsiTheme="minorHAnsi" w:cstheme="minorHAnsi"/>
                <w:sz w:val="20"/>
                <w:szCs w:val="20"/>
                <w:highlight w:val="none"/>
                <w:lang w:val="en-GB"/>
              </w:rPr>
              <w:t>, docks, passwords, or secrets of military actions, campaigns and negotiations.</w:t>
            </w:r>
          </w:p>
        </w:tc>
      </w:tr>
      <w:tr w:rsidR="00E561CC" w:rsidRPr="00AC2C19" w14:paraId="6E541538" w14:textId="77777777">
        <w:trPr>
          <w:trHeight w:val="9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FC"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2)</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0FD"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communicates with the enemy to facilitate their work.</w:t>
            </w:r>
          </w:p>
        </w:tc>
      </w:tr>
      <w:tr w:rsidR="00E561CC" w:rsidRPr="00AC2C19" w14:paraId="2ABEFDC1" w14:textId="77777777">
        <w:trPr>
          <w:trHeight w:val="9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0FE"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155 / 3)</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0FF"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military person who participates in the conspiracies that are intended to pressure the decisions of the responsible military chief.</w:t>
            </w:r>
          </w:p>
        </w:tc>
      </w:tr>
      <w:tr w:rsidR="00E561CC" w:rsidRPr="00AC2C19" w14:paraId="7C19AB0D" w14:textId="77777777">
        <w:trPr>
          <w:trHeight w:val="27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0" w14:textId="77777777" w:rsidR="00E561CC" w:rsidRPr="00AC2C19" w:rsidRDefault="00000000" w:rsidP="00AC2C19">
            <w:pP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156)</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1"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Whoever discloses the password, special signal, alerts, or secret media related to the guards and stations, or distorts the news, or orders related to the service when confronting the enemy, or directs the enemy to the locations of the army or allies forces, or directs the mentioned forces to follow an incorrect path, or causes panic in one of the Syrian forces or making them taking wrong moves or actions, or obstructs the gathering of dispersed soldiers, if the offence was committed during the war or in an area where martial law was declared with the intent of aiding the enemy or harming the army or the forces of allied governments.</w:t>
            </w:r>
          </w:p>
        </w:tc>
      </w:tr>
      <w:tr w:rsidR="00E561CC" w:rsidRPr="00AC2C19" w14:paraId="7FC41F09" w14:textId="77777777">
        <w:trPr>
          <w:trHeight w:val="12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2" w14:textId="77777777" w:rsidR="00E561CC" w:rsidRPr="00AC2C19" w:rsidRDefault="00000000" w:rsidP="00AC2C19">
            <w:pPr>
              <w:pBdr>
                <w:top w:val="nil"/>
                <w:left w:val="nil"/>
                <w:bottom w:val="nil"/>
                <w:right w:val="nil"/>
                <w:between w:val="nil"/>
              </w:pBd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158 / A)</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3" w14:textId="77777777" w:rsidR="00E561CC" w:rsidRPr="00AC2C19" w:rsidRDefault="00000000">
            <w:pPr>
              <w:pBdr>
                <w:top w:val="nil"/>
                <w:left w:val="nil"/>
                <w:bottom w:val="nil"/>
                <w:right w:val="nil"/>
                <w:between w:val="nil"/>
              </w:pBd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military person who enters a war site, a military </w:t>
            </w:r>
            <w:proofErr w:type="spellStart"/>
            <w:r w:rsidRPr="00AC2C19">
              <w:rPr>
                <w:rFonts w:asciiTheme="minorHAnsi" w:eastAsia="Times New Roman" w:hAnsiTheme="minorHAnsi" w:cstheme="minorHAnsi"/>
                <w:sz w:val="20"/>
                <w:szCs w:val="20"/>
                <w:highlight w:val="none"/>
                <w:lang w:val="en-GB"/>
              </w:rPr>
              <w:t>center</w:t>
            </w:r>
            <w:proofErr w:type="spellEnd"/>
            <w:r w:rsidRPr="00AC2C19">
              <w:rPr>
                <w:rFonts w:asciiTheme="minorHAnsi" w:eastAsia="Times New Roman" w:hAnsiTheme="minorHAnsi" w:cstheme="minorHAnsi"/>
                <w:sz w:val="20"/>
                <w:szCs w:val="20"/>
                <w:highlight w:val="none"/>
                <w:lang w:val="en-GB"/>
              </w:rPr>
              <w:t xml:space="preserve">, a military institution, a military workshop, a camp, or any of the army’s premises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obtain documents or information that benefit the enemy, or the military person believes so.</w:t>
            </w:r>
          </w:p>
        </w:tc>
      </w:tr>
      <w:tr w:rsidR="00E561CC" w:rsidRPr="00AC2C19" w14:paraId="21E78C4A" w14:textId="77777777">
        <w:trPr>
          <w:trHeight w:val="12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4" w14:textId="77777777" w:rsidR="00E561CC" w:rsidRPr="00AC2C19" w:rsidRDefault="00000000" w:rsidP="00AC2C19">
            <w:pPr>
              <w:pBdr>
                <w:top w:val="nil"/>
                <w:left w:val="nil"/>
                <w:bottom w:val="nil"/>
                <w:right w:val="nil"/>
                <w:between w:val="nil"/>
              </w:pBd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158/B)</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5" w14:textId="77777777" w:rsidR="00E561CC" w:rsidRPr="00AC2C19" w:rsidRDefault="00000000">
            <w:pPr>
              <w:pBdr>
                <w:top w:val="nil"/>
                <w:left w:val="nil"/>
                <w:bottom w:val="nil"/>
                <w:right w:val="nil"/>
                <w:between w:val="nil"/>
              </w:pBd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military person who gives the enemy documents or information that might harm military actions or affect the safety of sites, </w:t>
            </w:r>
            <w:proofErr w:type="spellStart"/>
            <w:r w:rsidRPr="00AC2C19">
              <w:rPr>
                <w:rFonts w:asciiTheme="minorHAnsi" w:eastAsia="Times New Roman" w:hAnsiTheme="minorHAnsi" w:cstheme="minorHAnsi"/>
                <w:sz w:val="20"/>
                <w:szCs w:val="20"/>
                <w:highlight w:val="none"/>
                <w:lang w:val="en-GB"/>
              </w:rPr>
              <w:t>centers</w:t>
            </w:r>
            <w:proofErr w:type="spellEnd"/>
            <w:r w:rsidRPr="00AC2C19">
              <w:rPr>
                <w:rFonts w:asciiTheme="minorHAnsi" w:eastAsia="Times New Roman" w:hAnsiTheme="minorHAnsi" w:cstheme="minorHAnsi"/>
                <w:sz w:val="20"/>
                <w:szCs w:val="20"/>
                <w:highlight w:val="none"/>
                <w:lang w:val="en-GB"/>
              </w:rPr>
              <w:t xml:space="preserve"> and other military institutions, or the military person believes so.</w:t>
            </w:r>
          </w:p>
        </w:tc>
      </w:tr>
      <w:tr w:rsidR="00E561CC" w:rsidRPr="00AC2C19" w14:paraId="4AFDBBA3" w14:textId="77777777">
        <w:trPr>
          <w:trHeight w:val="9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6" w14:textId="77777777" w:rsidR="00E561CC" w:rsidRPr="00AC2C19" w:rsidRDefault="00000000" w:rsidP="00AC2C19">
            <w:pPr>
              <w:pBdr>
                <w:top w:val="nil"/>
                <w:left w:val="nil"/>
                <w:bottom w:val="nil"/>
                <w:right w:val="nil"/>
                <w:between w:val="nil"/>
              </w:pBd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(Article 158/C)</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7" w14:textId="77777777" w:rsidR="00E561CC" w:rsidRPr="00AC2C19" w:rsidRDefault="00000000">
            <w:pPr>
              <w:pBdr>
                <w:top w:val="nil"/>
                <w:left w:val="nil"/>
                <w:bottom w:val="nil"/>
                <w:right w:val="nil"/>
                <w:between w:val="nil"/>
              </w:pBd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military person who intentionally hides spies or enemies by himself or through others.</w:t>
            </w:r>
          </w:p>
        </w:tc>
      </w:tr>
      <w:tr w:rsidR="00E561CC" w:rsidRPr="00AC2C19" w14:paraId="0314445F" w14:textId="77777777">
        <w:trPr>
          <w:trHeight w:val="9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8" w14:textId="77777777" w:rsidR="00E561CC" w:rsidRPr="00AC2C19" w:rsidRDefault="00000000" w:rsidP="00AC2C19">
            <w:pPr>
              <w:pBdr>
                <w:top w:val="nil"/>
                <w:left w:val="nil"/>
                <w:bottom w:val="nil"/>
                <w:right w:val="nil"/>
                <w:between w:val="nil"/>
              </w:pBd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159)</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9" w14:textId="77777777" w:rsidR="00E561CC" w:rsidRPr="00AC2C19" w:rsidRDefault="00000000">
            <w:pPr>
              <w:pBdr>
                <w:top w:val="nil"/>
                <w:left w:val="nil"/>
                <w:bottom w:val="nil"/>
                <w:right w:val="nil"/>
                <w:between w:val="nil"/>
              </w:pBd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enemy enters in disguise a war site, a military post, a military institution, a military workshop, a camp, an encampment, or any of the army's premises.</w:t>
            </w:r>
          </w:p>
        </w:tc>
      </w:tr>
      <w:tr w:rsidR="00E561CC" w:rsidRPr="00AC2C19" w14:paraId="3B8F900F" w14:textId="77777777">
        <w:trPr>
          <w:trHeight w:val="12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0A" w14:textId="77777777" w:rsidR="00E561CC" w:rsidRPr="00AC2C19" w:rsidRDefault="00000000" w:rsidP="00AC2C19">
            <w:pPr>
              <w:pBdr>
                <w:top w:val="nil"/>
                <w:left w:val="nil"/>
                <w:bottom w:val="nil"/>
                <w:right w:val="nil"/>
                <w:between w:val="nil"/>
              </w:pBdr>
              <w:ind w:left="0"/>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160)</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0B" w14:textId="77777777" w:rsidR="00E561CC" w:rsidRPr="00AC2C19" w:rsidRDefault="00000000">
            <w:pPr>
              <w:pBdr>
                <w:top w:val="nil"/>
                <w:left w:val="nil"/>
                <w:bottom w:val="nil"/>
                <w:right w:val="nil"/>
                <w:between w:val="nil"/>
              </w:pBd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Persons who intentionally incite the military persons to join the enemy or the rebels or facilitate the means for them to do so or recruit themselves or others for the benefit of a country that is in war with Syria.</w:t>
            </w:r>
          </w:p>
        </w:tc>
      </w:tr>
      <w:tr w:rsidR="00E561CC" w:rsidRPr="00AC2C19" w14:paraId="0D9654FD" w14:textId="77777777">
        <w:trPr>
          <w:trHeight w:val="635"/>
          <w:jc w:val="right"/>
        </w:trPr>
        <w:tc>
          <w:tcPr>
            <w:tcW w:w="9105" w:type="dxa"/>
            <w:gridSpan w:val="2"/>
            <w:tcBorders>
              <w:top w:val="nil"/>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tcPr>
          <w:p w14:paraId="0000010C" w14:textId="77777777" w:rsidR="00E561CC" w:rsidRPr="00AC2C19" w:rsidRDefault="00000000">
            <w:pPr>
              <w:rPr>
                <w:rFonts w:asciiTheme="minorHAnsi" w:hAnsiTheme="minorHAnsi" w:cstheme="minorHAnsi"/>
                <w:highlight w:val="none"/>
                <w:lang w:val="en-GB"/>
              </w:rPr>
            </w:pPr>
            <w:r w:rsidRPr="00AC2C19">
              <w:rPr>
                <w:rFonts w:asciiTheme="minorHAnsi" w:hAnsiTheme="minorHAnsi" w:cstheme="minorHAnsi"/>
                <w:highlight w:val="none"/>
                <w:lang w:val="en-GB"/>
              </w:rPr>
              <w:t>Table 4: Capital crimes stipulated in General Penal Code and not included in amnesty laws</w:t>
            </w:r>
          </w:p>
        </w:tc>
      </w:tr>
      <w:tr w:rsidR="00E561CC" w:rsidRPr="00AC2C19" w14:paraId="5B47279B" w14:textId="77777777">
        <w:trPr>
          <w:trHeight w:val="635"/>
          <w:jc w:val="right"/>
        </w:trPr>
        <w:tc>
          <w:tcPr>
            <w:tcW w:w="2100" w:type="dxa"/>
            <w:tcBorders>
              <w:top w:val="nil"/>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000010E"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w:t>
            </w:r>
          </w:p>
        </w:tc>
        <w:tc>
          <w:tcPr>
            <w:tcW w:w="7005" w:type="dxa"/>
            <w:tcBorders>
              <w:top w:val="nil"/>
              <w:left w:val="single" w:sz="8" w:space="0" w:color="000000"/>
              <w:bottom w:val="single" w:sz="8" w:space="0" w:color="000000"/>
              <w:right w:val="nil"/>
            </w:tcBorders>
            <w:shd w:val="clear" w:color="auto" w:fill="D9D9D9"/>
            <w:tcMar>
              <w:top w:w="100" w:type="dxa"/>
              <w:left w:w="100" w:type="dxa"/>
              <w:bottom w:w="100" w:type="dxa"/>
              <w:right w:w="100" w:type="dxa"/>
            </w:tcMar>
          </w:tcPr>
          <w:p w14:paraId="0000010F"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Crime</w:t>
            </w:r>
          </w:p>
        </w:tc>
      </w:tr>
      <w:tr w:rsidR="00E561CC" w:rsidRPr="00AC2C19" w14:paraId="53C739E7" w14:textId="77777777">
        <w:trPr>
          <w:trHeight w:val="6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0"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263)</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1"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Syrian carries a weapon with the enemy against Syria.</w:t>
            </w:r>
          </w:p>
        </w:tc>
      </w:tr>
      <w:tr w:rsidR="00E561CC" w:rsidRPr="00AC2C19" w14:paraId="1D052F88" w14:textId="77777777">
        <w:trPr>
          <w:trHeight w:val="16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2"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264)</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3"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Every Syrian incites a foreign country or contacts it to push it to initiate aggression against Syria or to provide it with the means to do so if the action leads to a result.</w:t>
            </w:r>
          </w:p>
          <w:p w14:paraId="00000114"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[This crime was covered by the amnesty laws of 61/2011 only and was not covered by any other amnesty]</w:t>
            </w:r>
          </w:p>
        </w:tc>
      </w:tr>
      <w:tr w:rsidR="00E561CC" w:rsidRPr="00AC2C19" w14:paraId="6AFD3B5C" w14:textId="77777777">
        <w:trPr>
          <w:trHeight w:val="9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5"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265)</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6"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Every Syrian conspires with the enemy or communicates with them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help them in any way to achieve victory.</w:t>
            </w:r>
          </w:p>
        </w:tc>
      </w:tr>
      <w:tr w:rsidR="00E561CC" w:rsidRPr="00AC2C19" w14:paraId="0FDB3927" w14:textId="77777777">
        <w:trPr>
          <w:trHeight w:val="213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7"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266)</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8"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Every Syrian makes any action with the intention of paralyzing the national </w:t>
            </w:r>
            <w:proofErr w:type="spellStart"/>
            <w:r w:rsidRPr="00AC2C19">
              <w:rPr>
                <w:rFonts w:asciiTheme="minorHAnsi" w:eastAsia="Times New Roman" w:hAnsiTheme="minorHAnsi" w:cstheme="minorHAnsi"/>
                <w:sz w:val="20"/>
                <w:szCs w:val="20"/>
                <w:highlight w:val="none"/>
                <w:lang w:val="en-GB"/>
              </w:rPr>
              <w:t>defense</w:t>
            </w:r>
            <w:proofErr w:type="spellEnd"/>
            <w:r w:rsidRPr="00AC2C19">
              <w:rPr>
                <w:rFonts w:asciiTheme="minorHAnsi" w:eastAsia="Times New Roman" w:hAnsiTheme="minorHAnsi" w:cstheme="minorHAnsi"/>
                <w:sz w:val="20"/>
                <w:szCs w:val="20"/>
                <w:highlight w:val="none"/>
                <w:lang w:val="en-GB"/>
              </w:rPr>
              <w:t>, damages installations, factories, ships, aerial vehicles, tools, ammunition, livelihoods, means of transportation, and in general all things of a military nature or intended for the use of the army and its affiliated forces (or was a cause for that), if the act occurred during wartime or if war is expected to happen or this action led to the death of someone.</w:t>
            </w:r>
          </w:p>
        </w:tc>
      </w:tr>
      <w:tr w:rsidR="00E561CC" w:rsidRPr="00AC2C19" w14:paraId="682C430A" w14:textId="77777777">
        <w:trPr>
          <w:trHeight w:val="19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9"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lastRenderedPageBreak/>
              <w:t>(Article 272)</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A"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Any person who steals, for the benefit of an enemy state, things, documents or confidential information that must be kept hidden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ensure the safety of the country. </w:t>
            </w:r>
          </w:p>
          <w:p w14:paraId="0000011B"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274 and 247 of the General Penal Code)</w:t>
            </w:r>
          </w:p>
        </w:tc>
      </w:tr>
      <w:tr w:rsidR="00E561CC" w:rsidRPr="00AC2C19" w14:paraId="0514C77B" w14:textId="77777777">
        <w:trPr>
          <w:trHeight w:val="22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C"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273)</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1D"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Whoever possesses in the capacity as an official, worker or employee for the state, some documents or information that must remain concealed </w:t>
            </w:r>
            <w:proofErr w:type="gramStart"/>
            <w:r w:rsidRPr="00AC2C19">
              <w:rPr>
                <w:rFonts w:asciiTheme="minorHAnsi" w:eastAsia="Times New Roman" w:hAnsiTheme="minorHAnsi" w:cstheme="minorHAnsi"/>
                <w:sz w:val="20"/>
                <w:szCs w:val="20"/>
                <w:highlight w:val="none"/>
                <w:lang w:val="en-GB"/>
              </w:rPr>
              <w:t>in order to</w:t>
            </w:r>
            <w:proofErr w:type="gramEnd"/>
            <w:r w:rsidRPr="00AC2C19">
              <w:rPr>
                <w:rFonts w:asciiTheme="minorHAnsi" w:eastAsia="Times New Roman" w:hAnsiTheme="minorHAnsi" w:cstheme="minorHAnsi"/>
                <w:sz w:val="20"/>
                <w:szCs w:val="20"/>
                <w:highlight w:val="none"/>
                <w:lang w:val="en-GB"/>
              </w:rPr>
              <w:t xml:space="preserve"> ensure the safety of the state and informs or discloses them without a legitimate reason for the benefit of an enemy state.</w:t>
            </w:r>
          </w:p>
          <w:p w14:paraId="0000011E"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(Execution as a form of aggravating the penalty according to articles 274 and 247 of the General Penal Code)</w:t>
            </w:r>
          </w:p>
        </w:tc>
      </w:tr>
      <w:tr w:rsidR="00E561CC" w:rsidRPr="00AC2C19" w14:paraId="09355BEE" w14:textId="77777777">
        <w:trPr>
          <w:trHeight w:val="2255"/>
          <w:jc w:val="right"/>
        </w:trPr>
        <w:tc>
          <w:tcPr>
            <w:tcW w:w="210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0011F"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(Article 326)</w:t>
            </w:r>
          </w:p>
          <w:p w14:paraId="00000120" w14:textId="77777777" w:rsidR="00E561CC" w:rsidRPr="00AC2C19" w:rsidRDefault="00000000" w:rsidP="00AC2C19">
            <w:pPr>
              <w:ind w:left="129"/>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 xml:space="preserve"> </w:t>
            </w:r>
          </w:p>
        </w:tc>
        <w:tc>
          <w:tcPr>
            <w:tcW w:w="700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tcPr>
          <w:p w14:paraId="00000121"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Any member of a group of three or more people committed murder, attempted it or inflicted torture and barbaric acts on victims to pave the way for roaming public roads and countryside in the form of armed groups with the intent of robbing passers-by, attacking people or properties, or committing any other act of thievery.</w:t>
            </w:r>
          </w:p>
          <w:p w14:paraId="00000122" w14:textId="77777777" w:rsidR="00E561CC" w:rsidRPr="00AC2C19" w:rsidRDefault="00000000">
            <w:pPr>
              <w:rPr>
                <w:rFonts w:asciiTheme="minorHAnsi" w:eastAsia="Times New Roman" w:hAnsiTheme="minorHAnsi" w:cstheme="minorHAnsi"/>
                <w:sz w:val="20"/>
                <w:szCs w:val="20"/>
                <w:highlight w:val="none"/>
                <w:lang w:val="en-GB"/>
              </w:rPr>
            </w:pPr>
            <w:r w:rsidRPr="00AC2C19">
              <w:rPr>
                <w:rFonts w:asciiTheme="minorHAnsi" w:eastAsia="Times New Roman" w:hAnsiTheme="minorHAnsi" w:cstheme="minorHAnsi"/>
                <w:sz w:val="20"/>
                <w:szCs w:val="20"/>
                <w:highlight w:val="none"/>
                <w:lang w:val="en-GB"/>
              </w:rPr>
              <w:t>[This crime was covered by the amnesty laws of Number 61/2011 only and was not covered by any other amnesty]</w:t>
            </w:r>
          </w:p>
        </w:tc>
      </w:tr>
    </w:tbl>
    <w:p w14:paraId="00000123" w14:textId="77777777" w:rsidR="00E561CC" w:rsidRPr="00AF3138" w:rsidRDefault="00000000">
      <w:pPr>
        <w:rPr>
          <w:rFonts w:asciiTheme="minorHAnsi" w:eastAsia="Times New Roman" w:hAnsiTheme="minorHAnsi" w:cstheme="minorHAnsi"/>
          <w:lang w:val="en-GB"/>
        </w:rPr>
      </w:pPr>
      <w:r w:rsidRPr="00AF3138">
        <w:rPr>
          <w:rFonts w:asciiTheme="minorHAnsi" w:eastAsia="Times New Roman" w:hAnsiTheme="minorHAnsi" w:cstheme="minorHAnsi"/>
          <w:lang w:val="en-GB"/>
        </w:rPr>
        <w:t xml:space="preserve"> </w:t>
      </w:r>
    </w:p>
    <w:p w14:paraId="00000124" w14:textId="77777777" w:rsidR="00E561CC" w:rsidRPr="00AF3138" w:rsidRDefault="00E561CC">
      <w:pPr>
        <w:ind w:left="360"/>
        <w:rPr>
          <w:rFonts w:asciiTheme="minorHAnsi" w:hAnsiTheme="minorHAnsi" w:cstheme="minorHAnsi"/>
          <w:lang w:val="en-GB"/>
        </w:rPr>
      </w:pPr>
    </w:p>
    <w:p w14:paraId="00000125" w14:textId="26649B54" w:rsidR="009118ED" w:rsidRDefault="009118ED">
      <w:pPr>
        <w:rPr>
          <w:rFonts w:asciiTheme="minorHAnsi" w:hAnsiTheme="minorHAnsi" w:cstheme="minorHAnsi"/>
          <w:lang w:val="en-GB"/>
        </w:rPr>
      </w:pPr>
      <w:r>
        <w:rPr>
          <w:rFonts w:asciiTheme="minorHAnsi" w:hAnsiTheme="minorHAnsi" w:cstheme="minorHAnsi"/>
          <w:lang w:val="en-GB"/>
        </w:rPr>
        <w:br w:type="page"/>
      </w:r>
    </w:p>
    <w:p w14:paraId="7CA7BAEE" w14:textId="49BB3F5C" w:rsidR="00E561CC" w:rsidRDefault="00E561CC">
      <w:pPr>
        <w:ind w:left="360"/>
        <w:rPr>
          <w:rFonts w:asciiTheme="minorHAnsi" w:hAnsiTheme="minorHAnsi" w:cstheme="minorHAnsi"/>
          <w:lang w:val="en-GB"/>
        </w:rPr>
      </w:pPr>
    </w:p>
    <w:p w14:paraId="2F7A92DA" w14:textId="61E2DA64" w:rsidR="009118ED" w:rsidRPr="009118ED" w:rsidRDefault="009118ED" w:rsidP="009118ED">
      <w:pPr>
        <w:rPr>
          <w:b/>
          <w:sz w:val="32"/>
          <w:szCs w:val="32"/>
          <w:lang w:val="en-GB"/>
        </w:rPr>
      </w:pPr>
      <w:r w:rsidRPr="009118ED">
        <w:rPr>
          <w:b/>
          <w:sz w:val="32"/>
          <w:szCs w:val="32"/>
          <w:lang w:val="en-GB"/>
        </w:rPr>
        <w:t xml:space="preserve">Submitting Organisations </w:t>
      </w:r>
    </w:p>
    <w:p w14:paraId="73C3D4F8" w14:textId="77777777" w:rsidR="009118ED" w:rsidRPr="009118ED" w:rsidRDefault="009118ED" w:rsidP="009118ED">
      <w:pPr>
        <w:rPr>
          <w:lang w:val="en-GB"/>
        </w:rPr>
      </w:pPr>
      <w:r w:rsidRPr="009118ED">
        <w:rPr>
          <w:rFonts w:ascii="Arial" w:eastAsia="Arial" w:hAnsi="Arial" w:cs="Arial"/>
          <w:i/>
          <w:noProof/>
          <w:sz w:val="20"/>
          <w:szCs w:val="20"/>
          <w:lang w:val="en-GB"/>
        </w:rPr>
        <w:drawing>
          <wp:anchor distT="0" distB="0" distL="114300" distR="114300" simplePos="0" relativeHeight="251659264" behindDoc="0" locked="0" layoutInCell="1" allowOverlap="1" wp14:anchorId="2DB90B34" wp14:editId="2EEF8922">
            <wp:simplePos x="0" y="0"/>
            <wp:positionH relativeFrom="column">
              <wp:posOffset>-102870</wp:posOffset>
            </wp:positionH>
            <wp:positionV relativeFrom="paragraph">
              <wp:posOffset>194310</wp:posOffset>
            </wp:positionV>
            <wp:extent cx="767080" cy="822960"/>
            <wp:effectExtent l="0" t="0" r="0" b="2540"/>
            <wp:wrapSquare wrapText="bothSides"/>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7080" cy="822960"/>
                    </a:xfrm>
                    <a:prstGeom prst="rect">
                      <a:avLst/>
                    </a:prstGeom>
                  </pic:spPr>
                </pic:pic>
              </a:graphicData>
            </a:graphic>
            <wp14:sizeRelH relativeFrom="page">
              <wp14:pctWidth>0</wp14:pctWidth>
            </wp14:sizeRelH>
            <wp14:sizeRelV relativeFrom="page">
              <wp14:pctHeight>0</wp14:pctHeight>
            </wp14:sizeRelV>
          </wp:anchor>
        </w:drawing>
      </w:r>
    </w:p>
    <w:p w14:paraId="3ACE3664" w14:textId="77777777" w:rsidR="009118ED" w:rsidRPr="009118ED" w:rsidRDefault="009118ED" w:rsidP="009118ED">
      <w:pPr>
        <w:ind w:left="1418"/>
        <w:rPr>
          <w:rFonts w:ascii="Arial" w:eastAsia="Arial" w:hAnsi="Arial" w:cs="Arial"/>
          <w:b/>
          <w:i/>
          <w:sz w:val="20"/>
          <w:szCs w:val="20"/>
          <w:lang w:val="en-GB"/>
        </w:rPr>
      </w:pPr>
      <w:hyperlink r:id="rId10">
        <w:r w:rsidRPr="009118ED">
          <w:rPr>
            <w:rFonts w:ascii="Arial" w:eastAsia="Arial" w:hAnsi="Arial" w:cs="Arial"/>
            <w:b/>
            <w:i/>
            <w:color w:val="1155CC"/>
            <w:sz w:val="20"/>
            <w:szCs w:val="20"/>
            <w:u w:val="single"/>
            <w:lang w:val="en-GB"/>
          </w:rPr>
          <w:t>The Syrian Legal Development Programme (SLDP)</w:t>
        </w:r>
      </w:hyperlink>
    </w:p>
    <w:p w14:paraId="14095D64" w14:textId="77777777" w:rsidR="009118ED" w:rsidRPr="009118ED" w:rsidRDefault="009118ED" w:rsidP="009118ED">
      <w:pPr>
        <w:ind w:left="1418"/>
        <w:jc w:val="both"/>
        <w:rPr>
          <w:rFonts w:ascii="Arial" w:eastAsia="Arial" w:hAnsi="Arial" w:cs="Arial"/>
          <w:i/>
          <w:sz w:val="20"/>
          <w:szCs w:val="20"/>
          <w:lang w:val="en-GB"/>
        </w:rPr>
      </w:pPr>
      <w:r w:rsidRPr="009118ED">
        <w:rPr>
          <w:rFonts w:ascii="Arial" w:eastAsia="Arial" w:hAnsi="Arial" w:cs="Arial"/>
          <w:i/>
          <w:sz w:val="20"/>
          <w:szCs w:val="20"/>
          <w:lang w:val="en-GB"/>
        </w:rPr>
        <w:t>SLDP is a UK-based Syrian organisation established in 2013 in response to the Syrian conflict after realising the importance of addressing complex legal needs triggered by it. SLDP's scope of work embraces various services, projects and activities that are implemented either in Syria itself, neighbouring countries and other states that are involved or have a stake in the conflict. These services include but are not limited to legal consultations, training and workshops, policy recommendations, legal assessments and advocacy campaigns tailored specifically for Syrian NGOs and victims and families' groups to help them with their work on the ground and their documentation and legal advocacy efforts.</w:t>
      </w:r>
    </w:p>
    <w:p w14:paraId="46508E9C" w14:textId="77777777" w:rsidR="009118ED" w:rsidRPr="009118ED" w:rsidRDefault="009118ED" w:rsidP="009118ED">
      <w:pPr>
        <w:rPr>
          <w:rFonts w:ascii="Arial" w:eastAsia="Arial" w:hAnsi="Arial" w:cs="Arial"/>
          <w:i/>
          <w:sz w:val="20"/>
          <w:szCs w:val="20"/>
          <w:lang w:val="en-GB"/>
        </w:rPr>
      </w:pPr>
      <w:r w:rsidRPr="009118ED">
        <w:rPr>
          <w:rFonts w:ascii="Arial" w:eastAsia="Arial" w:hAnsi="Arial" w:cs="Arial"/>
          <w:i/>
          <w:noProof/>
          <w:sz w:val="20"/>
          <w:szCs w:val="20"/>
          <w:lang w:val="en-GB"/>
        </w:rPr>
        <w:drawing>
          <wp:anchor distT="0" distB="0" distL="114300" distR="114300" simplePos="0" relativeHeight="251661312" behindDoc="0" locked="0" layoutInCell="1" allowOverlap="1" wp14:anchorId="366C9C84" wp14:editId="7FBD5282">
            <wp:simplePos x="0" y="0"/>
            <wp:positionH relativeFrom="column">
              <wp:posOffset>-228600</wp:posOffset>
            </wp:positionH>
            <wp:positionV relativeFrom="paragraph">
              <wp:posOffset>211455</wp:posOffset>
            </wp:positionV>
            <wp:extent cx="960120" cy="960120"/>
            <wp:effectExtent l="0" t="0" r="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0120" cy="960120"/>
                    </a:xfrm>
                    <a:prstGeom prst="rect">
                      <a:avLst/>
                    </a:prstGeom>
                  </pic:spPr>
                </pic:pic>
              </a:graphicData>
            </a:graphic>
            <wp14:sizeRelH relativeFrom="page">
              <wp14:pctWidth>0</wp14:pctWidth>
            </wp14:sizeRelH>
            <wp14:sizeRelV relativeFrom="page">
              <wp14:pctHeight>0</wp14:pctHeight>
            </wp14:sizeRelV>
          </wp:anchor>
        </w:drawing>
      </w:r>
    </w:p>
    <w:p w14:paraId="1B7BC2E0" w14:textId="77777777" w:rsidR="009118ED" w:rsidRPr="009118ED" w:rsidRDefault="009118ED" w:rsidP="009118ED">
      <w:pPr>
        <w:ind w:left="1418"/>
        <w:rPr>
          <w:rFonts w:ascii="Arial" w:eastAsia="Arial" w:hAnsi="Arial" w:cs="Arial"/>
          <w:i/>
          <w:sz w:val="20"/>
          <w:szCs w:val="20"/>
          <w:lang w:val="en-GB"/>
        </w:rPr>
      </w:pPr>
      <w:hyperlink r:id="rId12" w:history="1">
        <w:r w:rsidRPr="009118ED">
          <w:rPr>
            <w:rStyle w:val="Hyperlink"/>
            <w:rFonts w:ascii="Arial" w:eastAsia="Arial" w:hAnsi="Arial" w:cs="Arial"/>
            <w:i/>
            <w:sz w:val="20"/>
            <w:szCs w:val="20"/>
            <w:lang w:val="en-GB"/>
          </w:rPr>
          <w:t>Lawyers and Doctors for Human Rights (LDHR)</w:t>
        </w:r>
      </w:hyperlink>
      <w:r w:rsidRPr="009118ED">
        <w:rPr>
          <w:rFonts w:ascii="Arial" w:eastAsia="Arial" w:hAnsi="Arial" w:cs="Arial"/>
          <w:i/>
          <w:sz w:val="20"/>
          <w:szCs w:val="20"/>
          <w:lang w:val="en-GB"/>
        </w:rPr>
        <w:t xml:space="preserve"> </w:t>
      </w:r>
    </w:p>
    <w:p w14:paraId="75EFDACC" w14:textId="276648FE" w:rsidR="009118ED" w:rsidRDefault="009118ED" w:rsidP="009118ED">
      <w:pPr>
        <w:ind w:left="1418"/>
        <w:jc w:val="both"/>
        <w:rPr>
          <w:rFonts w:ascii="Arial" w:eastAsia="Arial" w:hAnsi="Arial" w:cs="Arial"/>
          <w:i/>
          <w:sz w:val="20"/>
          <w:szCs w:val="20"/>
          <w:lang w:val="en-GB"/>
        </w:rPr>
      </w:pPr>
      <w:r w:rsidRPr="009118ED">
        <w:rPr>
          <w:rFonts w:ascii="Arial" w:eastAsia="Arial" w:hAnsi="Arial" w:cs="Arial"/>
          <w:i/>
          <w:sz w:val="20"/>
          <w:szCs w:val="20"/>
          <w:lang w:val="en-GB"/>
        </w:rPr>
        <w:t xml:space="preserve">LDHR is a human rights organisation that conducts expert medical documentation for legal proceedings relating to patients reporting torture, cruel and inhumane treatment and sexual violence, in accordance with the Istanbul Protocol. LDHR believes in the practical application of science and medicine as evidence to assist in the adjudication of criminal and human rights legal proceedings relating to atrocity crimes. Since 2016, LDHR has been primarily supporting investigation and prosecution of international crimes in Syria, pursued </w:t>
      </w:r>
      <w:proofErr w:type="gramStart"/>
      <w:r w:rsidRPr="009118ED">
        <w:rPr>
          <w:rFonts w:ascii="Arial" w:eastAsia="Arial" w:hAnsi="Arial" w:cs="Arial"/>
          <w:i/>
          <w:sz w:val="20"/>
          <w:szCs w:val="20"/>
          <w:lang w:val="en-GB"/>
        </w:rPr>
        <w:t>through the use of</w:t>
      </w:r>
      <w:proofErr w:type="gramEnd"/>
      <w:r w:rsidRPr="009118ED">
        <w:rPr>
          <w:rFonts w:ascii="Arial" w:eastAsia="Arial" w:hAnsi="Arial" w:cs="Arial"/>
          <w:i/>
          <w:sz w:val="20"/>
          <w:szCs w:val="20"/>
          <w:lang w:val="en-GB"/>
        </w:rPr>
        <w:t xml:space="preserve"> extra-territorial criminal jurisdiction in Europe and elsewhere. LDHR’s medical experts can provide expert testimonies in judicial proceedings. LDHR’s medical expert reports have also been used to compile factual human rights reports about different types of human rights violations against different groups of victims.</w:t>
      </w:r>
    </w:p>
    <w:p w14:paraId="315EC6C6" w14:textId="77777777" w:rsidR="009118ED" w:rsidRDefault="009118ED" w:rsidP="009118ED">
      <w:r>
        <w:rPr>
          <w:rFonts w:ascii="Arial" w:eastAsia="Arial" w:hAnsi="Arial" w:cs="Arial" w:hint="cs"/>
          <w:i/>
          <w:noProof/>
          <w:sz w:val="20"/>
          <w:szCs w:val="20"/>
          <w:rtl/>
          <w:lang w:val="ar-SA"/>
        </w:rPr>
        <w:drawing>
          <wp:anchor distT="0" distB="0" distL="114300" distR="114300" simplePos="0" relativeHeight="251668480" behindDoc="0" locked="0" layoutInCell="1" allowOverlap="1" wp14:anchorId="336ED56F" wp14:editId="3DFEE0AF">
            <wp:simplePos x="0" y="0"/>
            <wp:positionH relativeFrom="column">
              <wp:posOffset>-274701</wp:posOffset>
            </wp:positionH>
            <wp:positionV relativeFrom="paragraph">
              <wp:posOffset>101727</wp:posOffset>
            </wp:positionV>
            <wp:extent cx="1047496" cy="695725"/>
            <wp:effectExtent l="0" t="0" r="0" b="3175"/>
            <wp:wrapSquare wrapText="bothSides"/>
            <wp:docPr id="12" name="Picture 1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7496" cy="695725"/>
                    </a:xfrm>
                    <a:prstGeom prst="rect">
                      <a:avLst/>
                    </a:prstGeom>
                  </pic:spPr>
                </pic:pic>
              </a:graphicData>
            </a:graphic>
            <wp14:sizeRelH relativeFrom="page">
              <wp14:pctWidth>0</wp14:pctWidth>
            </wp14:sizeRelH>
            <wp14:sizeRelV relativeFrom="page">
              <wp14:pctHeight>0</wp14:pctHeight>
            </wp14:sizeRelV>
          </wp:anchor>
        </w:drawing>
      </w:r>
    </w:p>
    <w:p w14:paraId="3EE3BEE3" w14:textId="41E83887" w:rsidR="009118ED" w:rsidRPr="00ED7CAC" w:rsidRDefault="009118ED" w:rsidP="009118ED">
      <w:pPr>
        <w:ind w:left="1418"/>
        <w:jc w:val="both"/>
        <w:rPr>
          <w:rFonts w:ascii="Arial" w:eastAsia="Arial" w:hAnsi="Arial" w:cs="Arial"/>
          <w:i/>
          <w:sz w:val="20"/>
          <w:szCs w:val="20"/>
          <w:rtl/>
        </w:rPr>
      </w:pPr>
      <w:hyperlink r:id="rId14" w:history="1">
        <w:r w:rsidRPr="00A17DDE">
          <w:rPr>
            <w:rStyle w:val="Hyperlink"/>
            <w:rFonts w:ascii="Arial" w:eastAsia="Arial" w:hAnsi="Arial" w:cs="Arial"/>
            <w:i/>
            <w:sz w:val="20"/>
            <w:szCs w:val="20"/>
          </w:rPr>
          <w:t>Free Syrian Lawyers Association</w:t>
        </w:r>
      </w:hyperlink>
      <w:r>
        <w:rPr>
          <w:rStyle w:val="Hyperlink"/>
          <w:rFonts w:ascii="Arial" w:eastAsia="Arial" w:hAnsi="Arial" w:cs="Arial"/>
          <w:i/>
          <w:sz w:val="20"/>
          <w:szCs w:val="20"/>
        </w:rPr>
        <w:t xml:space="preserve"> (FSLA)</w:t>
      </w:r>
      <w:r>
        <w:rPr>
          <w:rFonts w:ascii="Arial" w:eastAsia="Arial" w:hAnsi="Arial" w:cs="Arial"/>
          <w:i/>
          <w:sz w:val="20"/>
          <w:szCs w:val="20"/>
        </w:rPr>
        <w:t xml:space="preserve"> </w:t>
      </w:r>
    </w:p>
    <w:p w14:paraId="421ED219" w14:textId="77777777" w:rsidR="009118ED" w:rsidRDefault="009118ED" w:rsidP="009118ED">
      <w:pPr>
        <w:ind w:left="1418"/>
        <w:jc w:val="both"/>
        <w:rPr>
          <w:rFonts w:ascii="Arial" w:eastAsia="Arial" w:hAnsi="Arial" w:cs="Arial"/>
          <w:i/>
          <w:sz w:val="20"/>
          <w:szCs w:val="20"/>
        </w:rPr>
      </w:pPr>
      <w:r w:rsidRPr="00601F28">
        <w:rPr>
          <w:rFonts w:ascii="Arial" w:eastAsia="Arial" w:hAnsi="Arial" w:cs="Arial"/>
          <w:i/>
          <w:sz w:val="20"/>
          <w:szCs w:val="20"/>
        </w:rPr>
        <w:t xml:space="preserve">A Syrian </w:t>
      </w:r>
      <w:r>
        <w:rPr>
          <w:rFonts w:ascii="Arial" w:eastAsia="Arial" w:hAnsi="Arial" w:cs="Arial"/>
          <w:i/>
          <w:sz w:val="20"/>
          <w:szCs w:val="20"/>
        </w:rPr>
        <w:t>non-governmental</w:t>
      </w:r>
      <w:r w:rsidRPr="00601F28">
        <w:rPr>
          <w:rFonts w:ascii="Arial" w:eastAsia="Arial" w:hAnsi="Arial" w:cs="Arial"/>
          <w:i/>
          <w:sz w:val="20"/>
          <w:szCs w:val="20"/>
        </w:rPr>
        <w:t xml:space="preserve"> association, which was officially announced and registered in 2012 in Turkey. </w:t>
      </w:r>
      <w:r>
        <w:rPr>
          <w:rFonts w:ascii="Arial" w:eastAsia="Arial" w:hAnsi="Arial" w:cs="Arial"/>
          <w:i/>
          <w:sz w:val="20"/>
          <w:szCs w:val="20"/>
        </w:rPr>
        <w:t>FSLA's</w:t>
      </w:r>
      <w:r w:rsidRPr="00601F28">
        <w:rPr>
          <w:rFonts w:ascii="Arial" w:eastAsia="Arial" w:hAnsi="Arial" w:cs="Arial"/>
          <w:i/>
          <w:sz w:val="20"/>
          <w:szCs w:val="20"/>
        </w:rPr>
        <w:t xml:space="preserve"> main goals are to promote human rights and the rule of law in Syria, to achieve justice and peace, to document human rights violations, to contribute to preserving the rights of victims, and to verify and detect the perpetrators of violations in preparation for holding them accountable</w:t>
      </w:r>
      <w:r>
        <w:rPr>
          <w:rFonts w:ascii="Arial" w:eastAsia="Arial" w:hAnsi="Arial" w:cs="Arial"/>
          <w:i/>
          <w:sz w:val="20"/>
          <w:szCs w:val="20"/>
        </w:rPr>
        <w:t xml:space="preserve">. </w:t>
      </w:r>
      <w:r w:rsidRPr="00DD0666">
        <w:rPr>
          <w:rFonts w:ascii="Arial" w:eastAsia="Arial" w:hAnsi="Arial" w:cs="Arial"/>
          <w:i/>
          <w:sz w:val="20"/>
          <w:szCs w:val="20"/>
        </w:rPr>
        <w:t xml:space="preserve">The association also seeks to strengthen the alternative institutions that emerged during the Syrian uprising by providing them with the necessary legal and administrative expertise. It educates Syrian </w:t>
      </w:r>
      <w:r w:rsidRPr="00DD0666">
        <w:rPr>
          <w:rFonts w:ascii="Arial" w:eastAsia="Arial" w:hAnsi="Arial" w:cs="Arial"/>
          <w:i/>
          <w:sz w:val="20"/>
          <w:szCs w:val="20"/>
        </w:rPr>
        <w:lastRenderedPageBreak/>
        <w:t xml:space="preserve">society </w:t>
      </w:r>
      <w:r>
        <w:rPr>
          <w:rFonts w:ascii="Arial" w:eastAsia="Arial" w:hAnsi="Arial" w:cs="Arial"/>
          <w:i/>
          <w:sz w:val="20"/>
          <w:szCs w:val="20"/>
        </w:rPr>
        <w:t>about</w:t>
      </w:r>
      <w:r w:rsidRPr="00DD0666">
        <w:rPr>
          <w:rFonts w:ascii="Arial" w:eastAsia="Arial" w:hAnsi="Arial" w:cs="Arial"/>
          <w:i/>
          <w:sz w:val="20"/>
          <w:szCs w:val="20"/>
        </w:rPr>
        <w:t xml:space="preserve"> its civil and political rights to achieve transitional justice, support democratic change, and achieve sustainable peace in Syria.</w:t>
      </w:r>
    </w:p>
    <w:p w14:paraId="1A0AF4D1" w14:textId="77777777" w:rsidR="009118ED" w:rsidRPr="009118ED" w:rsidRDefault="009118ED" w:rsidP="009118ED">
      <w:pPr>
        <w:ind w:left="1418"/>
        <w:jc w:val="both"/>
        <w:rPr>
          <w:rFonts w:ascii="Arial" w:eastAsia="Arial" w:hAnsi="Arial" w:cs="Arial"/>
          <w:i/>
          <w:sz w:val="20"/>
          <w:szCs w:val="20"/>
        </w:rPr>
      </w:pPr>
    </w:p>
    <w:p w14:paraId="0DA9B2A2" w14:textId="77777777" w:rsidR="009118ED" w:rsidRPr="009118ED" w:rsidRDefault="009118ED" w:rsidP="009118ED">
      <w:pPr>
        <w:rPr>
          <w:rFonts w:ascii="Arial" w:eastAsia="Arial" w:hAnsi="Arial" w:cs="Arial"/>
          <w:i/>
          <w:sz w:val="20"/>
          <w:szCs w:val="20"/>
          <w:lang w:val="en-GB"/>
        </w:rPr>
      </w:pPr>
    </w:p>
    <w:p w14:paraId="4236A155" w14:textId="77777777" w:rsidR="009118ED" w:rsidRPr="009118ED" w:rsidRDefault="009118ED" w:rsidP="009118ED">
      <w:pPr>
        <w:ind w:left="1418"/>
        <w:rPr>
          <w:rFonts w:ascii="Arial" w:eastAsia="Arial" w:hAnsi="Arial" w:cs="Arial"/>
          <w:i/>
          <w:sz w:val="20"/>
          <w:szCs w:val="20"/>
          <w:lang w:val="en-GB"/>
        </w:rPr>
      </w:pPr>
      <w:r w:rsidRPr="009118ED">
        <w:rPr>
          <w:rFonts w:ascii="Arial" w:eastAsia="Arial" w:hAnsi="Arial" w:cs="Arial"/>
          <w:i/>
          <w:noProof/>
          <w:sz w:val="20"/>
          <w:szCs w:val="20"/>
          <w:lang w:val="en-GB"/>
        </w:rPr>
        <w:drawing>
          <wp:anchor distT="0" distB="0" distL="114300" distR="114300" simplePos="0" relativeHeight="251660288" behindDoc="0" locked="0" layoutInCell="1" allowOverlap="1" wp14:anchorId="1D134E46" wp14:editId="08AE8F73">
            <wp:simplePos x="0" y="0"/>
            <wp:positionH relativeFrom="column">
              <wp:posOffset>-11430</wp:posOffset>
            </wp:positionH>
            <wp:positionV relativeFrom="paragraph">
              <wp:posOffset>59690</wp:posOffset>
            </wp:positionV>
            <wp:extent cx="738505" cy="925830"/>
            <wp:effectExtent l="0" t="0" r="0" b="127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8505" cy="925830"/>
                    </a:xfrm>
                    <a:prstGeom prst="rect">
                      <a:avLst/>
                    </a:prstGeom>
                  </pic:spPr>
                </pic:pic>
              </a:graphicData>
            </a:graphic>
            <wp14:sizeRelH relativeFrom="page">
              <wp14:pctWidth>0</wp14:pctWidth>
            </wp14:sizeRelH>
            <wp14:sizeRelV relativeFrom="page">
              <wp14:pctHeight>0</wp14:pctHeight>
            </wp14:sizeRelV>
          </wp:anchor>
        </w:drawing>
      </w:r>
      <w:hyperlink r:id="rId16" w:history="1">
        <w:r w:rsidRPr="009118ED">
          <w:rPr>
            <w:rStyle w:val="Hyperlink"/>
            <w:rFonts w:ascii="Arial" w:eastAsia="Arial" w:hAnsi="Arial" w:cs="Arial"/>
            <w:i/>
            <w:sz w:val="20"/>
            <w:szCs w:val="20"/>
            <w:lang w:val="en-GB"/>
          </w:rPr>
          <w:t>MASSAR - The Coalition of Families of Persons kidnapped by ISIS</w:t>
        </w:r>
      </w:hyperlink>
    </w:p>
    <w:p w14:paraId="44D8015C" w14:textId="3DBA4174" w:rsidR="009118ED" w:rsidRDefault="009118ED" w:rsidP="009118ED">
      <w:pPr>
        <w:ind w:left="1418"/>
        <w:jc w:val="both"/>
        <w:rPr>
          <w:rFonts w:ascii="Arial" w:eastAsia="Arial" w:hAnsi="Arial" w:cs="Arial"/>
          <w:i/>
          <w:sz w:val="20"/>
          <w:szCs w:val="20"/>
          <w:lang w:val="en-GB"/>
        </w:rPr>
      </w:pPr>
      <w:proofErr w:type="spellStart"/>
      <w:r w:rsidRPr="009118ED">
        <w:rPr>
          <w:rFonts w:ascii="Arial" w:eastAsia="Arial" w:hAnsi="Arial" w:cs="Arial"/>
          <w:i/>
          <w:sz w:val="20"/>
          <w:szCs w:val="20"/>
          <w:lang w:val="en-GB"/>
        </w:rPr>
        <w:t>Massar</w:t>
      </w:r>
      <w:proofErr w:type="spellEnd"/>
      <w:r w:rsidRPr="009118ED">
        <w:rPr>
          <w:rFonts w:ascii="Arial" w:eastAsia="Arial" w:hAnsi="Arial" w:cs="Arial"/>
          <w:i/>
          <w:sz w:val="20"/>
          <w:szCs w:val="20"/>
          <w:lang w:val="en-GB"/>
        </w:rPr>
        <w:t xml:space="preserve"> </w:t>
      </w:r>
      <w:proofErr w:type="gramStart"/>
      <w:r w:rsidRPr="009118ED">
        <w:rPr>
          <w:rFonts w:ascii="Arial" w:eastAsia="Arial" w:hAnsi="Arial" w:cs="Arial"/>
          <w:i/>
          <w:sz w:val="20"/>
          <w:szCs w:val="20"/>
          <w:lang w:val="en-GB"/>
        </w:rPr>
        <w:t>( The</w:t>
      </w:r>
      <w:proofErr w:type="gramEnd"/>
      <w:r w:rsidRPr="009118ED">
        <w:rPr>
          <w:rFonts w:ascii="Arial" w:eastAsia="Arial" w:hAnsi="Arial" w:cs="Arial"/>
          <w:i/>
          <w:sz w:val="20"/>
          <w:szCs w:val="20"/>
          <w:lang w:val="en-GB"/>
        </w:rPr>
        <w:t xml:space="preserve"> Coalition of Families of Persons Kidnapped by ISIS) is an association of families of victims, established by a group of families of missing persons held by the Islamic State "ISIS". Our vision is the truth and justice for those kidnapped by ISIS and their families. We are working to reveal the fate and whereabouts of the abducted, missing and forcibly disappeared, and to bring those responsible for their abduction and disappearance to justice, to hold them accountable, also to try to mitigate the psychological, economic and social effects on the families of the victims.</w:t>
      </w:r>
    </w:p>
    <w:p w14:paraId="6A2FA698" w14:textId="77777777" w:rsidR="009118ED" w:rsidRDefault="009118ED" w:rsidP="009118ED">
      <w:r>
        <w:rPr>
          <w:rFonts w:ascii="Arial" w:eastAsia="Arial" w:hAnsi="Arial" w:cs="Arial"/>
          <w:i/>
          <w:noProof/>
          <w:sz w:val="20"/>
          <w:szCs w:val="20"/>
          <w:lang w:val="en-GB"/>
        </w:rPr>
        <w:drawing>
          <wp:anchor distT="0" distB="0" distL="114300" distR="114300" simplePos="0" relativeHeight="251663360" behindDoc="0" locked="0" layoutInCell="1" allowOverlap="1" wp14:anchorId="05C3573C" wp14:editId="31F659D6">
            <wp:simplePos x="0" y="0"/>
            <wp:positionH relativeFrom="column">
              <wp:posOffset>-257719</wp:posOffset>
            </wp:positionH>
            <wp:positionV relativeFrom="paragraph">
              <wp:posOffset>229870</wp:posOffset>
            </wp:positionV>
            <wp:extent cx="993775" cy="993775"/>
            <wp:effectExtent l="0" t="0" r="0" b="0"/>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3775" cy="993775"/>
                    </a:xfrm>
                    <a:prstGeom prst="rect">
                      <a:avLst/>
                    </a:prstGeom>
                  </pic:spPr>
                </pic:pic>
              </a:graphicData>
            </a:graphic>
            <wp14:sizeRelH relativeFrom="page">
              <wp14:pctWidth>0</wp14:pctWidth>
            </wp14:sizeRelH>
            <wp14:sizeRelV relativeFrom="page">
              <wp14:pctHeight>0</wp14:pctHeight>
            </wp14:sizeRelV>
          </wp:anchor>
        </w:drawing>
      </w:r>
    </w:p>
    <w:p w14:paraId="41170CBB" w14:textId="0A7839F1" w:rsidR="009118ED" w:rsidRDefault="009118ED" w:rsidP="009118ED">
      <w:pPr>
        <w:pStyle w:val="NormalWeb"/>
        <w:ind w:left="1418" w:right="-158"/>
        <w:textAlignment w:val="baseline"/>
        <w:rPr>
          <w:rFonts w:ascii="Arial" w:eastAsia="Arial" w:hAnsi="Arial" w:cs="Arial"/>
          <w:i/>
          <w:sz w:val="20"/>
          <w:szCs w:val="20"/>
          <w:lang w:val="en-GB"/>
        </w:rPr>
      </w:pPr>
      <w:proofErr w:type="spellStart"/>
      <w:r w:rsidRPr="003A2372">
        <w:rPr>
          <w:rFonts w:ascii="Arial" w:eastAsia="Arial" w:hAnsi="Arial" w:cs="Arial"/>
          <w:i/>
          <w:sz w:val="20"/>
          <w:szCs w:val="20"/>
          <w:lang w:val="en-GB"/>
        </w:rPr>
        <w:t>T</w:t>
      </w:r>
      <w:hyperlink r:id="rId18" w:history="1">
        <w:r w:rsidRPr="003A2372">
          <w:rPr>
            <w:rStyle w:val="Hyperlink"/>
            <w:rFonts w:ascii="Arial" w:eastAsia="Arial" w:hAnsi="Arial" w:cs="Arial"/>
            <w:i/>
            <w:sz w:val="20"/>
            <w:szCs w:val="20"/>
            <w:lang w:val="en-GB"/>
          </w:rPr>
          <w:t>a'afi</w:t>
        </w:r>
        <w:proofErr w:type="spellEnd"/>
        <w:r w:rsidRPr="003A2372">
          <w:rPr>
            <w:rStyle w:val="Hyperlink"/>
            <w:rFonts w:ascii="Arial" w:eastAsia="Arial" w:hAnsi="Arial" w:cs="Arial"/>
            <w:i/>
            <w:sz w:val="20"/>
            <w:szCs w:val="20"/>
            <w:lang w:val="en-GB"/>
          </w:rPr>
          <w:t xml:space="preserve"> Ini</w:t>
        </w:r>
        <w:r w:rsidRPr="003A2372">
          <w:rPr>
            <w:rStyle w:val="Hyperlink"/>
            <w:rFonts w:ascii="Arial" w:eastAsia="Arial" w:hAnsi="Arial" w:cs="Arial"/>
            <w:i/>
            <w:sz w:val="20"/>
            <w:szCs w:val="20"/>
            <w:lang w:val="en-GB"/>
          </w:rPr>
          <w:t>t</w:t>
        </w:r>
        <w:r w:rsidRPr="003A2372">
          <w:rPr>
            <w:rStyle w:val="Hyperlink"/>
            <w:rFonts w:ascii="Arial" w:eastAsia="Arial" w:hAnsi="Arial" w:cs="Arial"/>
            <w:i/>
            <w:sz w:val="20"/>
            <w:szCs w:val="20"/>
            <w:lang w:val="en-GB"/>
          </w:rPr>
          <w:t>iative</w:t>
        </w:r>
      </w:hyperlink>
    </w:p>
    <w:p w14:paraId="2C5030E9" w14:textId="77777777" w:rsidR="009118ED" w:rsidRDefault="009118ED" w:rsidP="009118ED">
      <w:pPr>
        <w:pStyle w:val="NormalWeb"/>
        <w:ind w:left="1418" w:right="-158"/>
        <w:jc w:val="both"/>
        <w:textAlignment w:val="baseline"/>
        <w:rPr>
          <w:rFonts w:ascii="Arial" w:eastAsia="Arial" w:hAnsi="Arial" w:cs="Arial"/>
          <w:i/>
          <w:sz w:val="20"/>
          <w:szCs w:val="20"/>
          <w:rtl/>
          <w:lang w:val="en-GB"/>
        </w:rPr>
      </w:pPr>
      <w:proofErr w:type="spellStart"/>
      <w:r w:rsidRPr="003A2372">
        <w:rPr>
          <w:rFonts w:ascii="Arial" w:eastAsia="Arial" w:hAnsi="Arial" w:cs="Arial"/>
          <w:i/>
          <w:sz w:val="20"/>
          <w:szCs w:val="20"/>
          <w:lang w:val="en-GB"/>
        </w:rPr>
        <w:t>Ta’afi</w:t>
      </w:r>
      <w:proofErr w:type="spellEnd"/>
      <w:r w:rsidRPr="003A2372">
        <w:rPr>
          <w:rFonts w:ascii="Arial" w:eastAsia="Arial" w:hAnsi="Arial" w:cs="Arial"/>
          <w:i/>
          <w:sz w:val="20"/>
          <w:szCs w:val="20"/>
          <w:lang w:val="en-GB"/>
        </w:rPr>
        <w:t xml:space="preserve"> is a Syrian </w:t>
      </w:r>
      <w:proofErr w:type="gramStart"/>
      <w:r w:rsidRPr="003A2372">
        <w:rPr>
          <w:rFonts w:ascii="Arial" w:eastAsia="Arial" w:hAnsi="Arial" w:cs="Arial"/>
          <w:i/>
          <w:sz w:val="20"/>
          <w:szCs w:val="20"/>
          <w:lang w:val="en-GB"/>
        </w:rPr>
        <w:t>survivors’</w:t>
      </w:r>
      <w:proofErr w:type="gramEnd"/>
      <w:r w:rsidRPr="003A2372">
        <w:rPr>
          <w:rFonts w:ascii="Arial" w:eastAsia="Arial" w:hAnsi="Arial" w:cs="Arial"/>
          <w:i/>
          <w:sz w:val="20"/>
          <w:szCs w:val="20"/>
          <w:lang w:val="en-GB"/>
        </w:rPr>
        <w:t xml:space="preserve"> led, survivors’ </w:t>
      </w:r>
      <w:r>
        <w:rPr>
          <w:rFonts w:ascii="Arial" w:eastAsia="Arial" w:hAnsi="Arial" w:cs="Arial"/>
          <w:i/>
          <w:sz w:val="20"/>
          <w:szCs w:val="20"/>
          <w:lang w:val="en-GB"/>
        </w:rPr>
        <w:t>centred</w:t>
      </w:r>
      <w:r w:rsidRPr="003A2372">
        <w:rPr>
          <w:rFonts w:ascii="Arial" w:eastAsia="Arial" w:hAnsi="Arial" w:cs="Arial"/>
          <w:i/>
          <w:sz w:val="20"/>
          <w:szCs w:val="20"/>
          <w:lang w:val="en-GB"/>
        </w:rPr>
        <w:t xml:space="preserve"> initiative that aims to support and protect victims of detention, torture, and enforced disappearance upon their release and settlement at a secure location, so that they may continue to peacefully support human rights change in Syria and pursue justice and accountability.</w:t>
      </w:r>
    </w:p>
    <w:p w14:paraId="1B711F5B" w14:textId="77777777" w:rsidR="009118ED" w:rsidRDefault="009118ED" w:rsidP="009118ED">
      <w:pPr>
        <w:pStyle w:val="NormalWeb"/>
        <w:ind w:left="1418" w:right="-158"/>
        <w:textAlignment w:val="baseline"/>
        <w:rPr>
          <w:rFonts w:ascii="Arial" w:eastAsia="Arial" w:hAnsi="Arial" w:cs="Arial"/>
          <w:i/>
          <w:sz w:val="20"/>
          <w:szCs w:val="20"/>
          <w:lang w:val="en-GB"/>
        </w:rPr>
      </w:pPr>
      <w:r>
        <w:rPr>
          <w:rFonts w:ascii="Arial" w:eastAsia="Arial" w:hAnsi="Arial" w:cs="Arial"/>
          <w:i/>
          <w:noProof/>
          <w:sz w:val="20"/>
          <w:szCs w:val="20"/>
          <w:lang w:val="en-GB"/>
        </w:rPr>
        <w:drawing>
          <wp:anchor distT="0" distB="0" distL="114300" distR="114300" simplePos="0" relativeHeight="251664384" behindDoc="0" locked="0" layoutInCell="1" allowOverlap="1" wp14:anchorId="52E133B1" wp14:editId="2488FC0C">
            <wp:simplePos x="0" y="0"/>
            <wp:positionH relativeFrom="column">
              <wp:posOffset>-312420</wp:posOffset>
            </wp:positionH>
            <wp:positionV relativeFrom="paragraph">
              <wp:posOffset>329565</wp:posOffset>
            </wp:positionV>
            <wp:extent cx="1047115" cy="408940"/>
            <wp:effectExtent l="0" t="0" r="0" b="0"/>
            <wp:wrapSquare wrapText="bothSides"/>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47115" cy="408940"/>
                    </a:xfrm>
                    <a:prstGeom prst="rect">
                      <a:avLst/>
                    </a:prstGeom>
                  </pic:spPr>
                </pic:pic>
              </a:graphicData>
            </a:graphic>
            <wp14:sizeRelH relativeFrom="page">
              <wp14:pctWidth>0</wp14:pctWidth>
            </wp14:sizeRelH>
            <wp14:sizeRelV relativeFrom="page">
              <wp14:pctHeight>0</wp14:pctHeight>
            </wp14:sizeRelV>
          </wp:anchor>
        </w:drawing>
      </w:r>
    </w:p>
    <w:p w14:paraId="5DCCAF30" w14:textId="77777777" w:rsidR="009118ED" w:rsidRPr="003A2372" w:rsidRDefault="009118ED" w:rsidP="009118ED">
      <w:pPr>
        <w:pStyle w:val="NormalWeb"/>
        <w:ind w:left="1418" w:right="-158"/>
        <w:textAlignment w:val="baseline"/>
        <w:rPr>
          <w:rFonts w:ascii="Arial" w:eastAsia="Arial" w:hAnsi="Arial" w:cs="Arial"/>
          <w:i/>
          <w:sz w:val="20"/>
          <w:szCs w:val="20"/>
          <w:lang w:val="en-GB"/>
        </w:rPr>
      </w:pPr>
      <w:hyperlink r:id="rId20" w:history="1">
        <w:r w:rsidRPr="000F6345">
          <w:rPr>
            <w:rStyle w:val="Hyperlink"/>
            <w:rFonts w:ascii="Arial" w:eastAsia="Arial" w:hAnsi="Arial" w:cs="Arial"/>
            <w:i/>
            <w:sz w:val="20"/>
            <w:szCs w:val="20"/>
            <w:lang w:val="en-GB"/>
          </w:rPr>
          <w:t>The Syrian Women's Network / Shams</w:t>
        </w:r>
      </w:hyperlink>
    </w:p>
    <w:p w14:paraId="1069A912" w14:textId="77777777" w:rsidR="009118ED" w:rsidRPr="00006E45" w:rsidRDefault="009118ED" w:rsidP="009118ED">
      <w:pPr>
        <w:pStyle w:val="NormalWeb"/>
        <w:ind w:left="1418" w:right="-158"/>
        <w:textAlignment w:val="baseline"/>
        <w:rPr>
          <w:rFonts w:ascii="Arial" w:eastAsia="Arial" w:hAnsi="Arial" w:cs="Arial"/>
          <w:i/>
          <w:sz w:val="20"/>
          <w:szCs w:val="20"/>
          <w:lang w:val="en-GB"/>
        </w:rPr>
      </w:pPr>
      <w:r w:rsidRPr="003A2372">
        <w:rPr>
          <w:rFonts w:ascii="Arial" w:eastAsia="Arial" w:hAnsi="Arial" w:cs="Arial"/>
          <w:i/>
          <w:sz w:val="20"/>
          <w:szCs w:val="20"/>
          <w:lang w:val="en-GB"/>
        </w:rPr>
        <w:t xml:space="preserve"> An independent non-profit organization licensed in Turkey and Sweden. It works in the field of training and building women's capacities, defending their rights, empowerment, and advocacy. It aims to build a democratic society based on freedom, justice, gender equality, and women's access to decision-making positions by no less than 30% up to parity.</w:t>
      </w:r>
    </w:p>
    <w:p w14:paraId="4087C8D8" w14:textId="77777777" w:rsidR="009118ED" w:rsidRDefault="009118ED" w:rsidP="009118ED">
      <w:pPr>
        <w:ind w:left="1418"/>
        <w:jc w:val="both"/>
        <w:rPr>
          <w:rFonts w:ascii="Arial" w:eastAsia="Arial" w:hAnsi="Arial" w:cs="Arial"/>
          <w:i/>
          <w:sz w:val="20"/>
          <w:szCs w:val="20"/>
        </w:rPr>
      </w:pPr>
      <w:r>
        <w:rPr>
          <w:rFonts w:ascii="Arial" w:eastAsia="Arial" w:hAnsi="Arial" w:cs="Arial"/>
          <w:i/>
          <w:noProof/>
          <w:sz w:val="20"/>
          <w:szCs w:val="20"/>
        </w:rPr>
        <w:drawing>
          <wp:anchor distT="0" distB="0" distL="114300" distR="114300" simplePos="0" relativeHeight="251665408" behindDoc="0" locked="0" layoutInCell="1" allowOverlap="1" wp14:anchorId="363A1DAB" wp14:editId="6E9103A2">
            <wp:simplePos x="0" y="0"/>
            <wp:positionH relativeFrom="column">
              <wp:posOffset>-186479</wp:posOffset>
            </wp:positionH>
            <wp:positionV relativeFrom="paragraph">
              <wp:posOffset>63923</wp:posOffset>
            </wp:positionV>
            <wp:extent cx="891540" cy="549910"/>
            <wp:effectExtent l="0" t="0" r="0" b="0"/>
            <wp:wrapSquare wrapText="bothSides"/>
            <wp:docPr id="8" name="Picture 8" descr="A picture containing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olyg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91540" cy="549910"/>
                    </a:xfrm>
                    <a:prstGeom prst="rect">
                      <a:avLst/>
                    </a:prstGeom>
                  </pic:spPr>
                </pic:pic>
              </a:graphicData>
            </a:graphic>
            <wp14:sizeRelH relativeFrom="page">
              <wp14:pctWidth>0</wp14:pctWidth>
            </wp14:sizeRelH>
            <wp14:sizeRelV relativeFrom="page">
              <wp14:pctHeight>0</wp14:pctHeight>
            </wp14:sizeRelV>
          </wp:anchor>
        </w:drawing>
      </w:r>
      <w:hyperlink r:id="rId22" w:history="1">
        <w:r w:rsidRPr="000F6345">
          <w:rPr>
            <w:rStyle w:val="Hyperlink"/>
            <w:rFonts w:ascii="Arial" w:eastAsia="Arial" w:hAnsi="Arial" w:cs="Arial"/>
            <w:i/>
            <w:sz w:val="20"/>
            <w:szCs w:val="20"/>
          </w:rPr>
          <w:t>Syrians for Truth and Justice STJ</w:t>
        </w:r>
      </w:hyperlink>
    </w:p>
    <w:p w14:paraId="3430CDE0" w14:textId="77777777" w:rsidR="009118ED" w:rsidRDefault="009118ED" w:rsidP="009118ED">
      <w:pPr>
        <w:ind w:left="1418"/>
        <w:jc w:val="both"/>
        <w:rPr>
          <w:rFonts w:ascii="Arial" w:eastAsia="Arial" w:hAnsi="Arial" w:cs="Arial"/>
          <w:i/>
          <w:noProof/>
          <w:sz w:val="20"/>
          <w:szCs w:val="20"/>
        </w:rPr>
      </w:pPr>
      <w:r w:rsidRPr="000F6345">
        <w:rPr>
          <w:rFonts w:ascii="Arial" w:eastAsia="Arial" w:hAnsi="Arial" w:cs="Arial"/>
          <w:i/>
          <w:sz w:val="20"/>
          <w:szCs w:val="20"/>
        </w:rPr>
        <w:t xml:space="preserve">STJ envisions equal human rights for all Syrians; it documents human rights violations perpetrated against Syrians and in Syria and works towards justice and change. Since its establishment, STJ has had access to thousands of victims, documented hundreds of violations, and trained dozens of human rights activists. Its private database reflects this engagement and aims </w:t>
      </w:r>
      <w:r>
        <w:rPr>
          <w:rFonts w:ascii="Arial" w:eastAsia="Arial" w:hAnsi="Arial" w:cs="Arial"/>
          <w:i/>
          <w:sz w:val="20"/>
          <w:szCs w:val="20"/>
        </w:rPr>
        <w:t>to contribute</w:t>
      </w:r>
      <w:r w:rsidRPr="000F6345">
        <w:rPr>
          <w:rFonts w:ascii="Arial" w:eastAsia="Arial" w:hAnsi="Arial" w:cs="Arial"/>
          <w:i/>
          <w:sz w:val="20"/>
          <w:szCs w:val="20"/>
        </w:rPr>
        <w:t xml:space="preserve"> to the prospects for justice. </w:t>
      </w:r>
    </w:p>
    <w:p w14:paraId="4F56E82F" w14:textId="77777777" w:rsidR="009118ED" w:rsidRDefault="009118ED" w:rsidP="009118ED">
      <w:pPr>
        <w:ind w:left="1418"/>
        <w:jc w:val="both"/>
        <w:rPr>
          <w:rFonts w:ascii="Arial" w:eastAsia="Arial" w:hAnsi="Arial" w:cs="Arial"/>
          <w:i/>
          <w:noProof/>
          <w:sz w:val="20"/>
          <w:szCs w:val="20"/>
        </w:rPr>
      </w:pPr>
    </w:p>
    <w:p w14:paraId="54163CCC" w14:textId="77777777" w:rsidR="009118ED" w:rsidRDefault="009118ED" w:rsidP="009118ED">
      <w:pPr>
        <w:ind w:left="1418"/>
        <w:jc w:val="both"/>
        <w:rPr>
          <w:rFonts w:ascii="Arial" w:eastAsia="Arial" w:hAnsi="Arial" w:cs="Arial"/>
          <w:i/>
          <w:noProof/>
          <w:sz w:val="20"/>
          <w:szCs w:val="20"/>
        </w:rPr>
      </w:pPr>
    </w:p>
    <w:p w14:paraId="74274342" w14:textId="77777777" w:rsidR="009118ED" w:rsidRDefault="009118ED" w:rsidP="009118ED">
      <w:pPr>
        <w:pStyle w:val="NormalWeb"/>
        <w:shd w:val="clear" w:color="auto" w:fill="FFFFFF"/>
        <w:spacing w:before="174" w:beforeAutospacing="0" w:after="0" w:afterAutospacing="0"/>
        <w:ind w:left="1418" w:right="99" w:hanging="142"/>
        <w:jc w:val="both"/>
        <w:rPr>
          <w:rFonts w:ascii="Arial" w:eastAsia="Arial" w:hAnsi="Arial" w:cs="Arial"/>
          <w:i/>
          <w:sz w:val="20"/>
          <w:szCs w:val="20"/>
        </w:rPr>
      </w:pPr>
      <w:r>
        <w:rPr>
          <w:rFonts w:ascii="Arial" w:eastAsia="Arial" w:hAnsi="Arial" w:cs="Arial"/>
          <w:i/>
          <w:noProof/>
          <w:sz w:val="20"/>
          <w:szCs w:val="20"/>
        </w:rPr>
        <w:drawing>
          <wp:anchor distT="0" distB="0" distL="114300" distR="114300" simplePos="0" relativeHeight="251666432" behindDoc="0" locked="0" layoutInCell="1" allowOverlap="1" wp14:anchorId="4C4547E0" wp14:editId="18E3371E">
            <wp:simplePos x="0" y="0"/>
            <wp:positionH relativeFrom="column">
              <wp:posOffset>-271145</wp:posOffset>
            </wp:positionH>
            <wp:positionV relativeFrom="paragraph">
              <wp:posOffset>0</wp:posOffset>
            </wp:positionV>
            <wp:extent cx="1061085" cy="513715"/>
            <wp:effectExtent l="0" t="0" r="5715" b="0"/>
            <wp:wrapSquare wrapText="bothSides"/>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61085" cy="513715"/>
                    </a:xfrm>
                    <a:prstGeom prst="rect">
                      <a:avLst/>
                    </a:prstGeom>
                  </pic:spPr>
                </pic:pic>
              </a:graphicData>
            </a:graphic>
            <wp14:sizeRelH relativeFrom="page">
              <wp14:pctWidth>0</wp14:pctWidth>
            </wp14:sizeRelH>
            <wp14:sizeRelV relativeFrom="page">
              <wp14:pctHeight>0</wp14:pctHeight>
            </wp14:sizeRelV>
          </wp:anchor>
        </w:drawing>
      </w:r>
      <w:hyperlink r:id="rId24" w:history="1">
        <w:proofErr w:type="spellStart"/>
        <w:r w:rsidRPr="002D504B">
          <w:rPr>
            <w:rStyle w:val="Hyperlink"/>
            <w:rFonts w:ascii="Arial" w:eastAsia="Arial" w:hAnsi="Arial" w:cs="Arial"/>
            <w:i/>
            <w:sz w:val="20"/>
            <w:szCs w:val="20"/>
          </w:rPr>
          <w:t>Hurras</w:t>
        </w:r>
        <w:proofErr w:type="spellEnd"/>
        <w:r w:rsidRPr="002D504B">
          <w:rPr>
            <w:rStyle w:val="Hyperlink"/>
            <w:rFonts w:ascii="Arial" w:eastAsia="Arial" w:hAnsi="Arial" w:cs="Arial"/>
            <w:i/>
            <w:sz w:val="20"/>
            <w:szCs w:val="20"/>
          </w:rPr>
          <w:t xml:space="preserve"> Network for the Protection and Care of Syrian Children</w:t>
        </w:r>
      </w:hyperlink>
    </w:p>
    <w:p w14:paraId="2D6DD922" w14:textId="55C24F68" w:rsidR="009118ED" w:rsidRPr="003E27E6" w:rsidRDefault="009118ED" w:rsidP="003E27E6">
      <w:pPr>
        <w:pStyle w:val="NormalWeb"/>
        <w:shd w:val="clear" w:color="auto" w:fill="FFFFFF"/>
        <w:spacing w:before="174" w:beforeAutospacing="0" w:after="0" w:afterAutospacing="0"/>
        <w:ind w:left="1418" w:right="99" w:hanging="142"/>
        <w:jc w:val="both"/>
        <w:rPr>
          <w:rFonts w:ascii="Arial" w:eastAsia="Arial" w:hAnsi="Arial" w:cs="Arial"/>
          <w:i/>
          <w:sz w:val="20"/>
          <w:szCs w:val="20"/>
        </w:rPr>
      </w:pPr>
      <w:proofErr w:type="spellStart"/>
      <w:r w:rsidRPr="000F6345">
        <w:rPr>
          <w:rFonts w:ascii="Arial" w:eastAsia="Arial" w:hAnsi="Arial" w:cs="Arial"/>
          <w:i/>
          <w:sz w:val="20"/>
          <w:szCs w:val="20"/>
        </w:rPr>
        <w:t>Hurras</w:t>
      </w:r>
      <w:proofErr w:type="spellEnd"/>
      <w:r w:rsidRPr="000F6345">
        <w:rPr>
          <w:rFonts w:ascii="Arial" w:eastAsia="Arial" w:hAnsi="Arial" w:cs="Arial"/>
          <w:i/>
          <w:sz w:val="20"/>
          <w:szCs w:val="20"/>
        </w:rPr>
        <w:t xml:space="preserve"> is the primary Syrian non-governmental organization </w:t>
      </w:r>
      <w:proofErr w:type="spellStart"/>
      <w:r>
        <w:rPr>
          <w:rFonts w:ascii="Arial" w:eastAsia="Arial" w:hAnsi="Arial" w:cs="Arial"/>
          <w:i/>
          <w:sz w:val="20"/>
          <w:szCs w:val="20"/>
        </w:rPr>
        <w:t>specialising</w:t>
      </w:r>
      <w:proofErr w:type="spellEnd"/>
      <w:r w:rsidRPr="000F6345">
        <w:rPr>
          <w:rFonts w:ascii="Arial" w:eastAsia="Arial" w:hAnsi="Arial" w:cs="Arial"/>
          <w:i/>
          <w:sz w:val="20"/>
          <w:szCs w:val="20"/>
        </w:rPr>
        <w:t xml:space="preserve"> in child protection. </w:t>
      </w:r>
      <w:proofErr w:type="spellStart"/>
      <w:r w:rsidRPr="000F6345">
        <w:rPr>
          <w:rFonts w:ascii="Arial" w:eastAsia="Arial" w:hAnsi="Arial" w:cs="Arial"/>
          <w:i/>
          <w:sz w:val="20"/>
          <w:szCs w:val="20"/>
        </w:rPr>
        <w:t>Hurras</w:t>
      </w:r>
      <w:proofErr w:type="spellEnd"/>
      <w:r w:rsidRPr="000F6345">
        <w:rPr>
          <w:rFonts w:ascii="Arial" w:eastAsia="Arial" w:hAnsi="Arial" w:cs="Arial"/>
          <w:i/>
          <w:sz w:val="20"/>
          <w:szCs w:val="20"/>
        </w:rPr>
        <w:t xml:space="preserve"> Network is a member of</w:t>
      </w:r>
      <w:r>
        <w:rPr>
          <w:rFonts w:ascii="Arial" w:eastAsia="Arial" w:hAnsi="Arial" w:cs="Arial"/>
          <w:i/>
          <w:sz w:val="20"/>
          <w:szCs w:val="20"/>
        </w:rPr>
        <w:t xml:space="preserve"> </w:t>
      </w:r>
      <w:r w:rsidRPr="000F6345">
        <w:rPr>
          <w:rFonts w:ascii="Arial" w:eastAsia="Arial" w:hAnsi="Arial" w:cs="Arial"/>
          <w:i/>
          <w:sz w:val="20"/>
          <w:szCs w:val="20"/>
        </w:rPr>
        <w:t xml:space="preserve">the steering committee of the Child Protection Alliance and is part of several working groups of the UNOCHA Protection Cluster related to the Syrian conflict. The </w:t>
      </w:r>
      <w:proofErr w:type="spellStart"/>
      <w:r w:rsidRPr="000F6345">
        <w:rPr>
          <w:rFonts w:ascii="Arial" w:eastAsia="Arial" w:hAnsi="Arial" w:cs="Arial"/>
          <w:i/>
          <w:sz w:val="20"/>
          <w:szCs w:val="20"/>
        </w:rPr>
        <w:t>Hurras</w:t>
      </w:r>
      <w:proofErr w:type="spellEnd"/>
      <w:r w:rsidRPr="000F6345">
        <w:rPr>
          <w:rFonts w:ascii="Arial" w:eastAsia="Arial" w:hAnsi="Arial" w:cs="Arial"/>
          <w:i/>
          <w:sz w:val="20"/>
          <w:szCs w:val="20"/>
        </w:rPr>
        <w:t xml:space="preserve"> Network monitors and</w:t>
      </w:r>
      <w:r>
        <w:rPr>
          <w:rFonts w:ascii="Arial" w:eastAsia="Arial" w:hAnsi="Arial" w:cs="Arial"/>
          <w:i/>
          <w:sz w:val="20"/>
          <w:szCs w:val="20"/>
        </w:rPr>
        <w:t xml:space="preserve"> </w:t>
      </w:r>
      <w:r w:rsidRPr="000F6345">
        <w:rPr>
          <w:rFonts w:ascii="Arial" w:eastAsia="Arial" w:hAnsi="Arial" w:cs="Arial"/>
          <w:i/>
          <w:sz w:val="20"/>
          <w:szCs w:val="20"/>
        </w:rPr>
        <w:t xml:space="preserve">documents violations against children, which feeds into </w:t>
      </w:r>
      <w:proofErr w:type="spellStart"/>
      <w:r w:rsidRPr="000F6345">
        <w:rPr>
          <w:rFonts w:ascii="Arial" w:eastAsia="Arial" w:hAnsi="Arial" w:cs="Arial"/>
          <w:i/>
          <w:sz w:val="20"/>
          <w:szCs w:val="20"/>
        </w:rPr>
        <w:t>Hurras</w:t>
      </w:r>
      <w:proofErr w:type="spellEnd"/>
      <w:r w:rsidRPr="000F6345">
        <w:rPr>
          <w:rFonts w:ascii="Arial" w:eastAsia="Arial" w:hAnsi="Arial" w:cs="Arial"/>
          <w:i/>
          <w:sz w:val="20"/>
          <w:szCs w:val="20"/>
        </w:rPr>
        <w:t xml:space="preserve"> Network’s urgent intervention case management</w:t>
      </w:r>
      <w:r>
        <w:rPr>
          <w:rFonts w:ascii="Arial" w:eastAsia="Arial" w:hAnsi="Arial" w:cs="Arial"/>
          <w:i/>
          <w:sz w:val="20"/>
          <w:szCs w:val="20"/>
        </w:rPr>
        <w:t xml:space="preserve">. It </w:t>
      </w:r>
      <w:r w:rsidRPr="000F6345">
        <w:rPr>
          <w:rFonts w:ascii="Arial" w:eastAsia="Arial" w:hAnsi="Arial" w:cs="Arial"/>
          <w:i/>
          <w:sz w:val="20"/>
          <w:szCs w:val="20"/>
        </w:rPr>
        <w:t>provides capacity-building and raising awareness initiatives to Syrian communities to</w:t>
      </w:r>
      <w:r>
        <w:rPr>
          <w:rFonts w:ascii="Arial" w:eastAsia="Arial" w:hAnsi="Arial" w:cs="Arial"/>
          <w:i/>
          <w:sz w:val="20"/>
          <w:szCs w:val="20"/>
        </w:rPr>
        <w:t xml:space="preserve"> </w:t>
      </w:r>
      <w:r w:rsidRPr="000F6345">
        <w:rPr>
          <w:rFonts w:ascii="Arial" w:eastAsia="Arial" w:hAnsi="Arial" w:cs="Arial"/>
          <w:i/>
          <w:sz w:val="20"/>
          <w:szCs w:val="20"/>
        </w:rPr>
        <w:t xml:space="preserve">advance child protection </w:t>
      </w:r>
      <w:r>
        <w:rPr>
          <w:rFonts w:ascii="Arial" w:eastAsia="Arial" w:hAnsi="Arial" w:cs="Arial"/>
          <w:i/>
          <w:sz w:val="20"/>
          <w:szCs w:val="20"/>
        </w:rPr>
        <w:t>concerning</w:t>
      </w:r>
      <w:r w:rsidRPr="000F6345">
        <w:rPr>
          <w:rFonts w:ascii="Arial" w:eastAsia="Arial" w:hAnsi="Arial" w:cs="Arial"/>
          <w:i/>
          <w:sz w:val="20"/>
          <w:szCs w:val="20"/>
        </w:rPr>
        <w:t xml:space="preserve"> child recruitment, protection from child and early marriage, child</w:t>
      </w:r>
      <w:r>
        <w:rPr>
          <w:rFonts w:ascii="Arial" w:eastAsia="Arial" w:hAnsi="Arial" w:cs="Arial"/>
          <w:i/>
          <w:sz w:val="20"/>
          <w:szCs w:val="20"/>
        </w:rPr>
        <w:t xml:space="preserve"> </w:t>
      </w:r>
      <w:proofErr w:type="spellStart"/>
      <w:r>
        <w:rPr>
          <w:rFonts w:ascii="Arial" w:eastAsia="Arial" w:hAnsi="Arial" w:cs="Arial"/>
          <w:i/>
          <w:sz w:val="20"/>
          <w:szCs w:val="20"/>
        </w:rPr>
        <w:t>labour</w:t>
      </w:r>
      <w:proofErr w:type="spellEnd"/>
      <w:r w:rsidRPr="000F6345">
        <w:rPr>
          <w:rFonts w:ascii="Arial" w:eastAsia="Arial" w:hAnsi="Arial" w:cs="Arial"/>
          <w:i/>
          <w:sz w:val="20"/>
          <w:szCs w:val="20"/>
        </w:rPr>
        <w:t xml:space="preserve"> and access to education, in addition to empowering society to guarantee equal opportunities for</w:t>
      </w:r>
      <w:r>
        <w:rPr>
          <w:rFonts w:ascii="Arial" w:eastAsia="Arial" w:hAnsi="Arial" w:cs="Arial"/>
          <w:i/>
          <w:sz w:val="20"/>
          <w:szCs w:val="20"/>
        </w:rPr>
        <w:t xml:space="preserve"> </w:t>
      </w:r>
      <w:r w:rsidRPr="000F6345">
        <w:rPr>
          <w:rFonts w:ascii="Arial" w:eastAsia="Arial" w:hAnsi="Arial" w:cs="Arial"/>
          <w:i/>
          <w:sz w:val="20"/>
          <w:szCs w:val="20"/>
        </w:rPr>
        <w:t xml:space="preserve">both boys and girls. </w:t>
      </w:r>
    </w:p>
    <w:p w14:paraId="3BDB5F2C" w14:textId="77777777" w:rsidR="00884CB9" w:rsidRDefault="00884CB9" w:rsidP="00884CB9">
      <w:r>
        <w:rPr>
          <w:rFonts w:ascii="Arial" w:eastAsia="Arial" w:hAnsi="Arial" w:cs="Arial"/>
          <w:i/>
          <w:noProof/>
          <w:sz w:val="20"/>
          <w:szCs w:val="20"/>
        </w:rPr>
        <w:drawing>
          <wp:anchor distT="0" distB="0" distL="114300" distR="114300" simplePos="0" relativeHeight="251670528" behindDoc="0" locked="0" layoutInCell="1" allowOverlap="1" wp14:anchorId="6CCF24D2" wp14:editId="61C475A3">
            <wp:simplePos x="0" y="0"/>
            <wp:positionH relativeFrom="column">
              <wp:posOffset>-343464</wp:posOffset>
            </wp:positionH>
            <wp:positionV relativeFrom="paragraph">
              <wp:posOffset>142875</wp:posOffset>
            </wp:positionV>
            <wp:extent cx="1133475" cy="417195"/>
            <wp:effectExtent l="0" t="0" r="0" b="1905"/>
            <wp:wrapSquare wrapText="bothSides"/>
            <wp:docPr id="11" name="Picture 1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ogo&#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33475" cy="417195"/>
                    </a:xfrm>
                    <a:prstGeom prst="rect">
                      <a:avLst/>
                    </a:prstGeom>
                  </pic:spPr>
                </pic:pic>
              </a:graphicData>
            </a:graphic>
            <wp14:sizeRelH relativeFrom="page">
              <wp14:pctWidth>0</wp14:pctWidth>
            </wp14:sizeRelH>
            <wp14:sizeRelV relativeFrom="page">
              <wp14:pctHeight>0</wp14:pctHeight>
            </wp14:sizeRelV>
          </wp:anchor>
        </w:drawing>
      </w:r>
    </w:p>
    <w:p w14:paraId="69DEF293" w14:textId="77777777" w:rsidR="00884CB9" w:rsidRDefault="00884CB9" w:rsidP="00884CB9">
      <w:pPr>
        <w:ind w:left="1418"/>
        <w:jc w:val="both"/>
        <w:rPr>
          <w:rFonts w:ascii="Arial" w:eastAsia="Arial" w:hAnsi="Arial" w:cs="Arial"/>
          <w:i/>
          <w:sz w:val="20"/>
          <w:szCs w:val="20"/>
        </w:rPr>
      </w:pPr>
      <w:hyperlink r:id="rId26" w:history="1">
        <w:r w:rsidRPr="00B819F0">
          <w:rPr>
            <w:rStyle w:val="Hyperlink"/>
            <w:rFonts w:ascii="Arial" w:eastAsia="Arial" w:hAnsi="Arial" w:cs="Arial"/>
            <w:i/>
            <w:sz w:val="20"/>
            <w:szCs w:val="20"/>
          </w:rPr>
          <w:t>The Day After TDA</w:t>
        </w:r>
      </w:hyperlink>
    </w:p>
    <w:p w14:paraId="290CD835" w14:textId="77777777" w:rsidR="00884CB9" w:rsidRDefault="00884CB9" w:rsidP="00884CB9">
      <w:pPr>
        <w:ind w:left="1418"/>
        <w:jc w:val="both"/>
        <w:rPr>
          <w:rFonts w:ascii="Arial" w:eastAsia="Arial" w:hAnsi="Arial" w:cs="Arial"/>
          <w:i/>
          <w:sz w:val="20"/>
          <w:szCs w:val="20"/>
        </w:rPr>
      </w:pPr>
      <w:r w:rsidRPr="00ED7CAC">
        <w:rPr>
          <w:rFonts w:ascii="Arial" w:eastAsia="Arial" w:hAnsi="Arial" w:cs="Arial"/>
          <w:i/>
          <w:sz w:val="20"/>
          <w:szCs w:val="20"/>
        </w:rPr>
        <w:t xml:space="preserve">The Day After (TDA) is a Syrian non-profit </w:t>
      </w:r>
      <w:r w:rsidRPr="006C2224">
        <w:rPr>
          <w:rFonts w:ascii="Arial" w:eastAsia="Arial" w:hAnsi="Arial" w:cs="Arial"/>
          <w:i/>
          <w:sz w:val="20"/>
          <w:szCs w:val="20"/>
        </w:rPr>
        <w:t>organization</w:t>
      </w:r>
      <w:r>
        <w:rPr>
          <w:rFonts w:ascii="Arial" w:eastAsia="Arial" w:hAnsi="Arial" w:cs="Arial"/>
          <w:i/>
          <w:sz w:val="20"/>
          <w:szCs w:val="20"/>
        </w:rPr>
        <w:t xml:space="preserve"> that aims</w:t>
      </w:r>
      <w:r w:rsidRPr="006C2224">
        <w:rPr>
          <w:rFonts w:ascii="Arial" w:eastAsia="Arial" w:hAnsi="Arial" w:cs="Arial"/>
          <w:iCs/>
          <w:sz w:val="20"/>
          <w:szCs w:val="20"/>
        </w:rPr>
        <w:t xml:space="preserve"> </w:t>
      </w:r>
      <w:r w:rsidRPr="00ED7CAC">
        <w:rPr>
          <w:rFonts w:ascii="Arial" w:eastAsia="Arial" w:hAnsi="Arial" w:cs="Arial"/>
          <w:i/>
          <w:sz w:val="20"/>
          <w:szCs w:val="20"/>
        </w:rPr>
        <w:t xml:space="preserve">at a democratic, free, and just Syria with a system of government built by the Syrian people. TDA’s mission is to lay the foundation for democratic transition and durable peace in Syria. We aim to do this by empowering Syrian civil society to influence, shape, and help bring about the above. TDA works with its partners - Syrian CSOs and international human </w:t>
      </w:r>
      <w:r>
        <w:rPr>
          <w:rFonts w:ascii="Arial" w:eastAsia="Arial" w:hAnsi="Arial" w:cs="Arial"/>
          <w:i/>
          <w:sz w:val="20"/>
          <w:szCs w:val="20"/>
        </w:rPr>
        <w:t>rights</w:t>
      </w:r>
      <w:r w:rsidRPr="00ED7CAC">
        <w:rPr>
          <w:rFonts w:ascii="Arial" w:eastAsia="Arial" w:hAnsi="Arial" w:cs="Arial"/>
          <w:i/>
          <w:sz w:val="20"/>
          <w:szCs w:val="20"/>
        </w:rPr>
        <w:t xml:space="preserve"> organizations - to influence Syrian and non-Syrian stakeholders towards the political change described above and towards keeping transitional justice and accountability a high priority during any political transition work.</w:t>
      </w:r>
    </w:p>
    <w:p w14:paraId="2B2EE538" w14:textId="77777777" w:rsidR="006A15CC" w:rsidRDefault="006A15CC" w:rsidP="006A15CC">
      <w:r>
        <w:rPr>
          <w:noProof/>
        </w:rPr>
        <w:drawing>
          <wp:anchor distT="0" distB="0" distL="114300" distR="114300" simplePos="0" relativeHeight="251672576" behindDoc="0" locked="0" layoutInCell="1" allowOverlap="1" wp14:anchorId="0816DFA4" wp14:editId="708E5D15">
            <wp:simplePos x="0" y="0"/>
            <wp:positionH relativeFrom="column">
              <wp:posOffset>-251460</wp:posOffset>
            </wp:positionH>
            <wp:positionV relativeFrom="paragraph">
              <wp:posOffset>194310</wp:posOffset>
            </wp:positionV>
            <wp:extent cx="994410" cy="994410"/>
            <wp:effectExtent l="0" t="0" r="0" b="0"/>
            <wp:wrapSquare wrapText="bothSides"/>
            <wp:docPr id="1" name="Imag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ompany nam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94410" cy="994410"/>
                    </a:xfrm>
                    <a:prstGeom prst="rect">
                      <a:avLst/>
                    </a:prstGeom>
                  </pic:spPr>
                </pic:pic>
              </a:graphicData>
            </a:graphic>
            <wp14:sizeRelH relativeFrom="page">
              <wp14:pctWidth>0</wp14:pctWidth>
            </wp14:sizeRelH>
            <wp14:sizeRelV relativeFrom="page">
              <wp14:pctHeight>0</wp14:pctHeight>
            </wp14:sizeRelV>
          </wp:anchor>
        </w:drawing>
      </w:r>
    </w:p>
    <w:p w14:paraId="411C569B" w14:textId="77777777" w:rsidR="006A15CC" w:rsidRDefault="006A15CC" w:rsidP="006A15CC">
      <w:pPr>
        <w:pStyle w:val="NormalWeb"/>
        <w:spacing w:before="0" w:beforeAutospacing="0" w:after="0" w:afterAutospacing="0"/>
        <w:ind w:left="1418" w:right="-158"/>
        <w:jc w:val="both"/>
        <w:textAlignment w:val="baseline"/>
        <w:rPr>
          <w:rFonts w:ascii="Arial" w:eastAsia="Arial" w:hAnsi="Arial" w:cs="Arial"/>
          <w:i/>
          <w:sz w:val="20"/>
          <w:szCs w:val="20"/>
          <w:lang w:val="en-GB"/>
        </w:rPr>
      </w:pPr>
      <w:r>
        <w:rPr>
          <w:rFonts w:ascii="Arial" w:eastAsia="Arial" w:hAnsi="Arial" w:cs="Arial"/>
          <w:i/>
          <w:sz w:val="20"/>
          <w:szCs w:val="20"/>
          <w:lang w:val="en-GB"/>
        </w:rPr>
        <w:t>Release Me</w:t>
      </w:r>
    </w:p>
    <w:p w14:paraId="77335A29" w14:textId="6CC3D2F6" w:rsidR="006A15CC" w:rsidRPr="00B93A18" w:rsidRDefault="006A15CC" w:rsidP="006A15CC">
      <w:pPr>
        <w:pStyle w:val="NormalWeb"/>
        <w:spacing w:before="0" w:beforeAutospacing="0" w:after="0" w:afterAutospacing="0"/>
        <w:ind w:left="1418" w:right="-158"/>
        <w:jc w:val="both"/>
        <w:textAlignment w:val="baseline"/>
        <w:rPr>
          <w:rFonts w:ascii="Arial" w:eastAsia="Arial" w:hAnsi="Arial" w:cs="Arial"/>
          <w:i/>
          <w:sz w:val="20"/>
          <w:szCs w:val="20"/>
          <w:lang w:val="en-GB"/>
        </w:rPr>
      </w:pPr>
      <w:r w:rsidRPr="00B93A18">
        <w:rPr>
          <w:rFonts w:ascii="Arial" w:eastAsia="Arial" w:hAnsi="Arial" w:cs="Arial"/>
          <w:i/>
          <w:sz w:val="20"/>
          <w:szCs w:val="20"/>
          <w:lang w:val="en-GB"/>
        </w:rPr>
        <w:t xml:space="preserve">A non-profit civil organization, established in Syria in 2017, aims to advance and develop women’s work to achieve women’s access to decision-making positions at all levels. The organization works to rehabilitate survivors of detention, women survivors of physical, psychological, and sexual violence, and those affected by it and provides a range of psychological support programs for </w:t>
      </w:r>
      <w:r>
        <w:rPr>
          <w:rFonts w:ascii="Arial" w:eastAsia="Arial" w:hAnsi="Arial" w:cs="Arial"/>
          <w:i/>
          <w:sz w:val="20"/>
          <w:szCs w:val="20"/>
          <w:lang w:val="en-GB"/>
        </w:rPr>
        <w:t xml:space="preserve">the </w:t>
      </w:r>
      <w:r w:rsidRPr="00B93A18">
        <w:rPr>
          <w:rFonts w:ascii="Arial" w:eastAsia="Arial" w:hAnsi="Arial" w:cs="Arial"/>
          <w:i/>
          <w:sz w:val="20"/>
          <w:szCs w:val="20"/>
          <w:lang w:val="en-GB"/>
        </w:rPr>
        <w:t xml:space="preserve">children </w:t>
      </w:r>
      <w:r>
        <w:rPr>
          <w:rFonts w:ascii="Arial" w:eastAsia="Arial" w:hAnsi="Arial" w:cs="Arial"/>
          <w:i/>
          <w:sz w:val="20"/>
          <w:szCs w:val="20"/>
          <w:lang w:val="en-GB"/>
        </w:rPr>
        <w:t>of t</w:t>
      </w:r>
      <w:r w:rsidRPr="00B93A18">
        <w:rPr>
          <w:rFonts w:ascii="Arial" w:eastAsia="Arial" w:hAnsi="Arial" w:cs="Arial"/>
          <w:i/>
          <w:sz w:val="20"/>
          <w:szCs w:val="20"/>
          <w:lang w:val="en-GB"/>
        </w:rPr>
        <w:t>hese women. It also works on civil peace and community integration programs. The organization believes in the importance</w:t>
      </w:r>
      <w:r w:rsidR="00BA1666">
        <w:rPr>
          <w:rFonts w:ascii="Arial" w:eastAsia="Arial" w:hAnsi="Arial" w:cs="Arial"/>
          <w:i/>
          <w:sz w:val="20"/>
          <w:szCs w:val="20"/>
          <w:lang w:val="en-GB"/>
        </w:rPr>
        <w:t>.</w:t>
      </w:r>
      <w:r w:rsidRPr="00B93A18">
        <w:rPr>
          <w:rFonts w:ascii="Arial" w:eastAsia="Arial" w:hAnsi="Arial" w:cs="Arial"/>
          <w:i/>
          <w:sz w:val="20"/>
          <w:szCs w:val="20"/>
          <w:lang w:val="en-GB"/>
        </w:rPr>
        <w:t xml:space="preserve"> </w:t>
      </w:r>
    </w:p>
    <w:p w14:paraId="443DE5E4" w14:textId="77777777" w:rsidR="00D6507C" w:rsidRDefault="00D6507C" w:rsidP="00D6507C">
      <w:r>
        <w:rPr>
          <w:rFonts w:ascii="Arial" w:eastAsia="Arial" w:hAnsi="Arial" w:cs="Arial"/>
          <w:i/>
          <w:noProof/>
          <w:sz w:val="20"/>
          <w:szCs w:val="20"/>
        </w:rPr>
        <w:drawing>
          <wp:anchor distT="0" distB="0" distL="114300" distR="114300" simplePos="0" relativeHeight="251674624" behindDoc="0" locked="0" layoutInCell="1" allowOverlap="1" wp14:anchorId="7F00521B" wp14:editId="4A5ADA35">
            <wp:simplePos x="0" y="0"/>
            <wp:positionH relativeFrom="column">
              <wp:posOffset>-243114</wp:posOffset>
            </wp:positionH>
            <wp:positionV relativeFrom="paragraph">
              <wp:posOffset>193675</wp:posOffset>
            </wp:positionV>
            <wp:extent cx="929005" cy="643255"/>
            <wp:effectExtent l="0" t="0" r="0" b="0"/>
            <wp:wrapSquare wrapText="bothSides"/>
            <wp:docPr id="5" name="Picture 5" descr="Text,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ic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29005" cy="643255"/>
                    </a:xfrm>
                    <a:prstGeom prst="rect">
                      <a:avLst/>
                    </a:prstGeom>
                  </pic:spPr>
                </pic:pic>
              </a:graphicData>
            </a:graphic>
            <wp14:sizeRelH relativeFrom="page">
              <wp14:pctWidth>0</wp14:pctWidth>
            </wp14:sizeRelH>
            <wp14:sizeRelV relativeFrom="page">
              <wp14:pctHeight>0</wp14:pctHeight>
            </wp14:sizeRelV>
          </wp:anchor>
        </w:drawing>
      </w:r>
    </w:p>
    <w:p w14:paraId="15A921D0" w14:textId="77777777" w:rsidR="00D6507C" w:rsidRDefault="00D6507C" w:rsidP="00D6507C">
      <w:pPr>
        <w:pStyle w:val="NormalWeb"/>
        <w:spacing w:before="0" w:beforeAutospacing="0" w:after="0" w:afterAutospacing="0"/>
        <w:ind w:left="1418" w:right="-158"/>
        <w:jc w:val="both"/>
        <w:textAlignment w:val="baseline"/>
        <w:rPr>
          <w:rFonts w:ascii="Arial" w:eastAsia="Arial" w:hAnsi="Arial" w:cs="Arial"/>
          <w:i/>
          <w:sz w:val="20"/>
          <w:szCs w:val="20"/>
          <w:lang w:val="en-GB"/>
        </w:rPr>
      </w:pPr>
      <w:hyperlink r:id="rId29" w:history="1">
        <w:r w:rsidRPr="00006E45">
          <w:rPr>
            <w:rStyle w:val="Hyperlink"/>
            <w:rFonts w:ascii="Arial" w:eastAsia="Arial" w:hAnsi="Arial" w:cs="Arial"/>
            <w:i/>
            <w:sz w:val="20"/>
            <w:szCs w:val="20"/>
            <w:lang w:val="en-GB"/>
          </w:rPr>
          <w:t>Justice for Life organization JFL</w:t>
        </w:r>
      </w:hyperlink>
    </w:p>
    <w:p w14:paraId="62A582CE" w14:textId="6EC8C0E8" w:rsidR="003E27E6" w:rsidRDefault="00D6507C" w:rsidP="003E27E6">
      <w:pPr>
        <w:shd w:val="clear" w:color="auto" w:fill="FFFFFF"/>
        <w:spacing w:after="160" w:line="235" w:lineRule="atLeast"/>
        <w:ind w:left="1418"/>
        <w:jc w:val="both"/>
        <w:rPr>
          <w:rFonts w:ascii="Arial" w:eastAsia="Arial" w:hAnsi="Arial" w:cs="Arial"/>
          <w:i/>
          <w:sz w:val="20"/>
          <w:szCs w:val="20"/>
        </w:rPr>
      </w:pPr>
      <w:r w:rsidRPr="00006E45">
        <w:rPr>
          <w:rFonts w:ascii="Arial" w:eastAsia="Arial" w:hAnsi="Arial" w:cs="Arial"/>
          <w:i/>
          <w:sz w:val="20"/>
          <w:szCs w:val="20"/>
        </w:rPr>
        <w:t xml:space="preserve"> </w:t>
      </w:r>
      <w:r w:rsidRPr="00FA2312">
        <w:rPr>
          <w:rFonts w:ascii="Arial" w:eastAsia="Arial" w:hAnsi="Arial" w:cs="Arial"/>
          <w:i/>
          <w:sz w:val="20"/>
          <w:szCs w:val="20"/>
        </w:rPr>
        <w:t>The Justice for Life organization (JFL) is an independent, non-governmental, and non-profit Syrian organization concerned with strengthening and promoting the culture of human rights in Syria.</w:t>
      </w:r>
      <w:r>
        <w:rPr>
          <w:rFonts w:ascii="Arial" w:eastAsia="Arial" w:hAnsi="Arial" w:cs="Arial"/>
          <w:i/>
          <w:sz w:val="20"/>
          <w:szCs w:val="20"/>
        </w:rPr>
        <w:t xml:space="preserve"> </w:t>
      </w:r>
      <w:r w:rsidRPr="00FA2312">
        <w:rPr>
          <w:rFonts w:ascii="Arial" w:eastAsia="Arial" w:hAnsi="Arial" w:cs="Arial"/>
          <w:i/>
          <w:sz w:val="20"/>
          <w:szCs w:val="20"/>
        </w:rPr>
        <w:t>The organization was a culmination of individual and collective efforts to defend human rights in their society, in addition to documentation of the human rights violations by the various parties to the conflict in the province since 2011. JFL acts so these violations and events don’t go without fair accountability.</w:t>
      </w:r>
    </w:p>
    <w:p w14:paraId="00BB0CBC" w14:textId="7C3B2147" w:rsidR="00BA1666" w:rsidRDefault="00BA1666" w:rsidP="003E27E6">
      <w:pPr>
        <w:shd w:val="clear" w:color="auto" w:fill="FFFFFF"/>
        <w:spacing w:after="160" w:line="235" w:lineRule="atLeast"/>
        <w:ind w:left="1418"/>
        <w:jc w:val="both"/>
        <w:rPr>
          <w:rFonts w:ascii="Arial" w:eastAsia="Arial" w:hAnsi="Arial" w:cs="Arial"/>
          <w:i/>
          <w:sz w:val="20"/>
          <w:szCs w:val="20"/>
        </w:rPr>
      </w:pPr>
      <w:r>
        <w:rPr>
          <w:rFonts w:ascii="Calibri" w:eastAsia="Calibri" w:hAnsi="Calibri" w:cs="Calibri"/>
          <w:noProof/>
        </w:rPr>
        <w:lastRenderedPageBreak/>
        <w:drawing>
          <wp:anchor distT="0" distB="0" distL="114300" distR="114300" simplePos="0" relativeHeight="251676672" behindDoc="0" locked="0" layoutInCell="1" allowOverlap="1" wp14:anchorId="40959637" wp14:editId="7A9FC3FD">
            <wp:simplePos x="0" y="0"/>
            <wp:positionH relativeFrom="column">
              <wp:posOffset>-277495</wp:posOffset>
            </wp:positionH>
            <wp:positionV relativeFrom="paragraph">
              <wp:posOffset>453</wp:posOffset>
            </wp:positionV>
            <wp:extent cx="1066800" cy="317500"/>
            <wp:effectExtent l="0" t="0" r="0" b="0"/>
            <wp:wrapSquare wrapText="bothSides"/>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6800" cy="317500"/>
                    </a:xfrm>
                    <a:prstGeom prst="rect">
                      <a:avLst/>
                    </a:prstGeom>
                  </pic:spPr>
                </pic:pic>
              </a:graphicData>
            </a:graphic>
            <wp14:sizeRelH relativeFrom="page">
              <wp14:pctWidth>0</wp14:pctWidth>
            </wp14:sizeRelH>
            <wp14:sizeRelV relativeFrom="page">
              <wp14:pctHeight>0</wp14:pctHeight>
            </wp14:sizeRelV>
          </wp:anchor>
        </w:drawing>
      </w:r>
      <w:hyperlink r:id="rId31" w:history="1">
        <w:r w:rsidR="00520A6C">
          <w:rPr>
            <w:rStyle w:val="Hyperlink"/>
            <w:rFonts w:ascii="Arial" w:eastAsia="Arial" w:hAnsi="Arial" w:cs="Arial"/>
            <w:i/>
            <w:sz w:val="20"/>
            <w:szCs w:val="20"/>
          </w:rPr>
          <w:t xml:space="preserve">Urnammu for justice and human rights </w:t>
        </w:r>
      </w:hyperlink>
    </w:p>
    <w:p w14:paraId="269D6876" w14:textId="36112102" w:rsidR="00BA1666" w:rsidRDefault="00BA1666" w:rsidP="00BA1666">
      <w:pPr>
        <w:shd w:val="clear" w:color="auto" w:fill="FFFFFF"/>
        <w:spacing w:after="160" w:line="235" w:lineRule="atLeast"/>
        <w:ind w:left="1418"/>
        <w:jc w:val="both"/>
        <w:rPr>
          <w:rFonts w:ascii="Arial" w:eastAsia="Arial" w:hAnsi="Arial" w:cs="Arial"/>
          <w:i/>
          <w:sz w:val="20"/>
          <w:szCs w:val="20"/>
        </w:rPr>
      </w:pPr>
      <w:r w:rsidRPr="00BA1666">
        <w:rPr>
          <w:rFonts w:ascii="Arial" w:eastAsia="Arial" w:hAnsi="Arial" w:cs="Arial"/>
          <w:i/>
          <w:sz w:val="20"/>
          <w:szCs w:val="20"/>
        </w:rPr>
        <w:t xml:space="preserve">Urnammu is a </w:t>
      </w:r>
      <w:r>
        <w:rPr>
          <w:rFonts w:ascii="Arial" w:eastAsia="Arial" w:hAnsi="Arial" w:cs="Arial"/>
          <w:i/>
          <w:sz w:val="20"/>
          <w:szCs w:val="20"/>
        </w:rPr>
        <w:t xml:space="preserve">non-governmental </w:t>
      </w:r>
      <w:r w:rsidRPr="00BA1666">
        <w:rPr>
          <w:rFonts w:ascii="Arial" w:eastAsia="Arial" w:hAnsi="Arial" w:cs="Arial"/>
          <w:i/>
          <w:sz w:val="20"/>
          <w:szCs w:val="20"/>
        </w:rPr>
        <w:t xml:space="preserve">nonprofit organization (NGO), which </w:t>
      </w:r>
      <w:r>
        <w:rPr>
          <w:rFonts w:ascii="Arial" w:eastAsia="Arial" w:hAnsi="Arial" w:cs="Arial"/>
          <w:i/>
          <w:sz w:val="20"/>
          <w:szCs w:val="20"/>
        </w:rPr>
        <w:t>was</w:t>
      </w:r>
      <w:r w:rsidRPr="00BA1666">
        <w:rPr>
          <w:rFonts w:ascii="Arial" w:eastAsia="Arial" w:hAnsi="Arial" w:cs="Arial"/>
          <w:i/>
          <w:sz w:val="20"/>
          <w:szCs w:val="20"/>
        </w:rPr>
        <w:t xml:space="preserve"> established by a group of people who are defending human rights and their goal is to build up the human rights rules and the lordship of law by giving </w:t>
      </w:r>
      <w:r>
        <w:rPr>
          <w:rFonts w:ascii="Arial" w:eastAsia="Arial" w:hAnsi="Arial" w:cs="Arial"/>
          <w:i/>
          <w:sz w:val="20"/>
          <w:szCs w:val="20"/>
        </w:rPr>
        <w:t xml:space="preserve">a </w:t>
      </w:r>
      <w:r w:rsidRPr="00BA1666">
        <w:rPr>
          <w:rFonts w:ascii="Arial" w:eastAsia="Arial" w:hAnsi="Arial" w:cs="Arial"/>
          <w:i/>
          <w:sz w:val="20"/>
          <w:szCs w:val="20"/>
        </w:rPr>
        <w:t xml:space="preserve">hand to those </w:t>
      </w:r>
      <w:r>
        <w:rPr>
          <w:rFonts w:ascii="Arial" w:eastAsia="Arial" w:hAnsi="Arial" w:cs="Arial"/>
          <w:i/>
          <w:sz w:val="20"/>
          <w:szCs w:val="20"/>
        </w:rPr>
        <w:t>whose</w:t>
      </w:r>
      <w:r w:rsidRPr="00BA1666">
        <w:rPr>
          <w:rFonts w:ascii="Arial" w:eastAsia="Arial" w:hAnsi="Arial" w:cs="Arial"/>
          <w:i/>
          <w:sz w:val="20"/>
          <w:szCs w:val="20"/>
        </w:rPr>
        <w:t xml:space="preserve"> rights have been violated, and considering that is have been already mentioned in all of the agreements and the international bonds and in the local laws, which will be by documenting and collecting the required information in order to apply</w:t>
      </w:r>
      <w:r>
        <w:rPr>
          <w:rFonts w:ascii="Arial" w:eastAsia="Arial" w:hAnsi="Arial" w:cs="Arial"/>
          <w:i/>
          <w:sz w:val="20"/>
          <w:szCs w:val="20"/>
        </w:rPr>
        <w:t xml:space="preserve"> </w:t>
      </w:r>
      <w:r w:rsidRPr="00BA1666">
        <w:rPr>
          <w:rFonts w:ascii="Arial" w:eastAsia="Arial" w:hAnsi="Arial" w:cs="Arial"/>
          <w:i/>
          <w:sz w:val="20"/>
          <w:szCs w:val="20"/>
        </w:rPr>
        <w:t>international advocacy program and to keep on the prosecution for all of the violators.</w:t>
      </w:r>
    </w:p>
    <w:p w14:paraId="4A2C164E" w14:textId="77777777" w:rsidR="0016332E" w:rsidRDefault="0016332E" w:rsidP="00BA1666">
      <w:pPr>
        <w:shd w:val="clear" w:color="auto" w:fill="FFFFFF"/>
        <w:spacing w:after="160" w:line="235" w:lineRule="atLeast"/>
        <w:ind w:left="1418"/>
        <w:jc w:val="both"/>
        <w:rPr>
          <w:rFonts w:ascii="Arial" w:eastAsia="Arial" w:hAnsi="Arial" w:cs="Arial"/>
          <w:i/>
          <w:sz w:val="20"/>
          <w:szCs w:val="20"/>
        </w:rPr>
      </w:pPr>
    </w:p>
    <w:p w14:paraId="50D4C328" w14:textId="26200EF7" w:rsidR="00CB4A2F" w:rsidRPr="00CB4A2F" w:rsidRDefault="00CB4A2F" w:rsidP="00CB4A2F">
      <w:pPr>
        <w:shd w:val="clear" w:color="auto" w:fill="FFFFFF"/>
        <w:spacing w:after="160" w:line="235" w:lineRule="atLeast"/>
        <w:ind w:left="1418"/>
        <w:jc w:val="both"/>
        <w:rPr>
          <w:rFonts w:asciiTheme="minorHAnsi" w:hAnsiTheme="minorHAnsi" w:cstheme="minorHAnsi"/>
          <w:i/>
          <w:iCs/>
          <w:color w:val="222222"/>
          <w:shd w:val="clear" w:color="auto" w:fill="FFFFFF"/>
        </w:rPr>
      </w:pPr>
      <w:r>
        <w:rPr>
          <w:rFonts w:ascii="Calibri" w:eastAsia="Calibri" w:hAnsi="Calibri" w:cs="Calibri"/>
          <w:noProof/>
        </w:rPr>
        <w:drawing>
          <wp:anchor distT="0" distB="0" distL="114300" distR="114300" simplePos="0" relativeHeight="251678720" behindDoc="0" locked="0" layoutInCell="1" allowOverlap="1" wp14:anchorId="0F5D52E0" wp14:editId="50CE65ED">
            <wp:simplePos x="0" y="0"/>
            <wp:positionH relativeFrom="column">
              <wp:posOffset>-274320</wp:posOffset>
            </wp:positionH>
            <wp:positionV relativeFrom="paragraph">
              <wp:posOffset>22225</wp:posOffset>
            </wp:positionV>
            <wp:extent cx="849630" cy="849630"/>
            <wp:effectExtent l="0" t="0" r="1270" b="1270"/>
            <wp:wrapSquare wrapText="bothSides"/>
            <wp:docPr id="13" name="Picture 13" descr="A picture containing text, outdoor object, pinwheel,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outdoor object, pinwheel, vector graphic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849630" cy="849630"/>
                    </a:xfrm>
                    <a:prstGeom prst="rect">
                      <a:avLst/>
                    </a:prstGeom>
                  </pic:spPr>
                </pic:pic>
              </a:graphicData>
            </a:graphic>
            <wp14:sizeRelH relativeFrom="page">
              <wp14:pctWidth>0</wp14:pctWidth>
            </wp14:sizeRelH>
            <wp14:sizeRelV relativeFrom="page">
              <wp14:pctHeight>0</wp14:pctHeight>
            </wp14:sizeRelV>
          </wp:anchor>
        </w:drawing>
      </w:r>
      <w:hyperlink r:id="rId33" w:history="1">
        <w:r w:rsidRPr="00CB4A2F">
          <w:rPr>
            <w:rStyle w:val="Hyperlink"/>
            <w:rFonts w:asciiTheme="minorHAnsi" w:hAnsiTheme="minorHAnsi" w:cstheme="minorHAnsi"/>
            <w:i/>
            <w:iCs/>
            <w:shd w:val="clear" w:color="auto" w:fill="FFFFFF"/>
          </w:rPr>
          <w:t>The Syrian Center for Policy Research (SCPR)</w:t>
        </w:r>
      </w:hyperlink>
    </w:p>
    <w:p w14:paraId="0D4FB73E" w14:textId="1B584097" w:rsidR="00CB4A2F" w:rsidRDefault="00CB4A2F" w:rsidP="00CB4A2F">
      <w:pPr>
        <w:shd w:val="clear" w:color="auto" w:fill="FFFFFF"/>
        <w:spacing w:after="160" w:line="235" w:lineRule="atLeast"/>
        <w:ind w:left="1418"/>
        <w:jc w:val="both"/>
        <w:rPr>
          <w:rFonts w:ascii="Arial" w:eastAsia="Arial" w:hAnsi="Arial" w:cs="Arial"/>
          <w:i/>
          <w:sz w:val="20"/>
          <w:szCs w:val="20"/>
        </w:rPr>
      </w:pPr>
      <w:r w:rsidRPr="00CB4A2F">
        <w:rPr>
          <w:rFonts w:ascii="Arial" w:eastAsia="Arial" w:hAnsi="Arial" w:cs="Arial"/>
          <w:i/>
          <w:sz w:val="20"/>
          <w:szCs w:val="20"/>
        </w:rPr>
        <w:t xml:space="preserve">The Syrian Center for Policy Research (SCPR) is an independent, non-governmental, and non-profit think </w:t>
      </w:r>
      <w:proofErr w:type="gramStart"/>
      <w:r w:rsidRPr="00CB4A2F">
        <w:rPr>
          <w:rFonts w:ascii="Arial" w:eastAsia="Arial" w:hAnsi="Arial" w:cs="Arial"/>
          <w:i/>
          <w:sz w:val="20"/>
          <w:szCs w:val="20"/>
        </w:rPr>
        <w:t>tank;</w:t>
      </w:r>
      <w:proofErr w:type="gramEnd"/>
      <w:r w:rsidRPr="00CB4A2F">
        <w:rPr>
          <w:rFonts w:ascii="Arial" w:eastAsia="Arial" w:hAnsi="Arial" w:cs="Arial"/>
          <w:i/>
          <w:sz w:val="20"/>
          <w:szCs w:val="20"/>
        </w:rPr>
        <w:t xml:space="preserve"> which undertakes public policy oriented research to bridge the gap between research and policy making process. SCPR aims to develop a participatory evidence-based policy dialogue to achieve policy alternatives that promote sustainable, inclusive, and human-centered development.</w:t>
      </w:r>
    </w:p>
    <w:p w14:paraId="4D47A18E" w14:textId="77777777" w:rsidR="00CB4A2F" w:rsidRDefault="00CB4A2F" w:rsidP="00CB4A2F">
      <w:r>
        <w:rPr>
          <w:rFonts w:ascii="Arial" w:eastAsia="Arial" w:hAnsi="Arial" w:cs="Arial"/>
          <w:i/>
          <w:noProof/>
          <w:sz w:val="20"/>
          <w:szCs w:val="20"/>
        </w:rPr>
        <w:drawing>
          <wp:anchor distT="0" distB="0" distL="114300" distR="114300" simplePos="0" relativeHeight="251680768" behindDoc="0" locked="0" layoutInCell="1" allowOverlap="1" wp14:anchorId="47DD0EAD" wp14:editId="0688E84E">
            <wp:simplePos x="0" y="0"/>
            <wp:positionH relativeFrom="column">
              <wp:posOffset>-293831</wp:posOffset>
            </wp:positionH>
            <wp:positionV relativeFrom="paragraph">
              <wp:posOffset>92075</wp:posOffset>
            </wp:positionV>
            <wp:extent cx="1080000" cy="1080000"/>
            <wp:effectExtent l="0" t="0" r="0" b="0"/>
            <wp:wrapSquare wrapText="bothSides"/>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p>
    <w:p w14:paraId="500DA312" w14:textId="77777777" w:rsidR="00CB4A2F" w:rsidRDefault="00CB4A2F" w:rsidP="00CB4A2F">
      <w:pPr>
        <w:ind w:left="1418"/>
        <w:jc w:val="both"/>
        <w:rPr>
          <w:rFonts w:ascii="Arial" w:eastAsia="Arial" w:hAnsi="Arial" w:cs="Arial"/>
          <w:i/>
          <w:sz w:val="20"/>
          <w:szCs w:val="20"/>
        </w:rPr>
      </w:pPr>
      <w:hyperlink r:id="rId35" w:history="1">
        <w:r w:rsidRPr="001F39D8">
          <w:rPr>
            <w:rStyle w:val="Hyperlink"/>
            <w:rFonts w:ascii="Arial" w:eastAsia="Arial" w:hAnsi="Arial" w:cs="Arial"/>
            <w:i/>
            <w:sz w:val="20"/>
            <w:szCs w:val="20"/>
          </w:rPr>
          <w:t>Access Center for Human Rights (ACHR)</w:t>
        </w:r>
      </w:hyperlink>
      <w:r w:rsidRPr="001F39D8">
        <w:rPr>
          <w:rFonts w:ascii="Arial" w:eastAsia="Arial" w:hAnsi="Arial" w:cs="Arial"/>
          <w:i/>
          <w:sz w:val="20"/>
          <w:szCs w:val="20"/>
        </w:rPr>
        <w:t xml:space="preserve"> </w:t>
      </w:r>
    </w:p>
    <w:p w14:paraId="3635C541" w14:textId="13757630" w:rsidR="00CB4A2F" w:rsidRDefault="00CB4A2F" w:rsidP="00CB4A2F">
      <w:pPr>
        <w:ind w:left="1418"/>
        <w:jc w:val="both"/>
        <w:rPr>
          <w:rFonts w:ascii="Arial" w:eastAsia="Arial" w:hAnsi="Arial" w:cs="Arial"/>
          <w:i/>
          <w:sz w:val="20"/>
          <w:szCs w:val="20"/>
        </w:rPr>
      </w:pPr>
      <w:r w:rsidRPr="00BA7C98">
        <w:rPr>
          <w:rFonts w:ascii="Arial" w:eastAsia="Arial" w:hAnsi="Arial" w:cs="Arial"/>
          <w:i/>
          <w:sz w:val="20"/>
          <w:szCs w:val="20"/>
        </w:rPr>
        <w:t>Access Center for Human Rights ACHR is a non-profit and non-governmental human rights organization founded in Lebanon in 2017 and was re-established in France in 2020</w:t>
      </w:r>
      <w:r>
        <w:rPr>
          <w:rFonts w:ascii="Arial" w:eastAsia="Arial" w:hAnsi="Arial" w:cs="Arial"/>
          <w:i/>
          <w:sz w:val="20"/>
          <w:szCs w:val="20"/>
        </w:rPr>
        <w:t>.</w:t>
      </w:r>
      <w:r w:rsidRPr="00BA7C98">
        <w:rPr>
          <w:rFonts w:ascii="Arial" w:eastAsia="Arial" w:hAnsi="Arial" w:cs="Arial"/>
          <w:i/>
          <w:sz w:val="20"/>
          <w:szCs w:val="20"/>
        </w:rPr>
        <w:t xml:space="preserve"> </w:t>
      </w:r>
      <w:r>
        <w:rPr>
          <w:rFonts w:ascii="Arial" w:eastAsia="Arial" w:hAnsi="Arial" w:cs="Arial"/>
          <w:i/>
          <w:sz w:val="20"/>
          <w:szCs w:val="20"/>
        </w:rPr>
        <w:t xml:space="preserve">It </w:t>
      </w:r>
      <w:r w:rsidRPr="00BA7C98">
        <w:rPr>
          <w:rFonts w:ascii="Arial" w:eastAsia="Arial" w:hAnsi="Arial" w:cs="Arial"/>
          <w:i/>
          <w:sz w:val="20"/>
          <w:szCs w:val="20"/>
        </w:rPr>
        <w:t>consists of a group of human rights defenders with experience in law and local and international advocacy. ACHR launched its activities in Lebanon due to its belief in supporting refugee rights, at a time of a rise in serious violations against them. ACHR is specialized in monitoring and documenting the refugees’ human rights situation and publishes periodic publications with the aim of raising awareness and contributing to national and international advocacy efforts to ensure the refugees’ rights in the countries of asylum until their voluntary, dignified, and safe return to their country of origin</w:t>
      </w:r>
      <w:r w:rsidRPr="00BA7C98">
        <w:rPr>
          <w:rFonts w:ascii="Arial" w:eastAsia="Arial" w:hAnsi="Arial" w:cs="Arial"/>
          <w:i/>
          <w:sz w:val="20"/>
          <w:szCs w:val="20"/>
          <w:rtl/>
        </w:rPr>
        <w:t>.</w:t>
      </w:r>
    </w:p>
    <w:p w14:paraId="0184A9FE" w14:textId="77777777" w:rsidR="00CB4A2F" w:rsidRDefault="00CB4A2F" w:rsidP="00CB4A2F">
      <w:r>
        <w:rPr>
          <w:rFonts w:ascii="Arial" w:eastAsia="Arial" w:hAnsi="Arial" w:cs="Arial"/>
          <w:i/>
          <w:noProof/>
          <w:sz w:val="20"/>
          <w:szCs w:val="20"/>
          <w:lang w:val="en-GB"/>
        </w:rPr>
        <w:drawing>
          <wp:anchor distT="0" distB="0" distL="114300" distR="114300" simplePos="0" relativeHeight="251682816" behindDoc="0" locked="0" layoutInCell="1" allowOverlap="1" wp14:anchorId="3AAF5BB8" wp14:editId="745E68A6">
            <wp:simplePos x="0" y="0"/>
            <wp:positionH relativeFrom="column">
              <wp:posOffset>-188307</wp:posOffset>
            </wp:positionH>
            <wp:positionV relativeFrom="paragraph">
              <wp:posOffset>286950</wp:posOffset>
            </wp:positionV>
            <wp:extent cx="979200" cy="720000"/>
            <wp:effectExtent l="0" t="0" r="0" b="4445"/>
            <wp:wrapSquare wrapText="bothSides"/>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9200" cy="720000"/>
                    </a:xfrm>
                    <a:prstGeom prst="rect">
                      <a:avLst/>
                    </a:prstGeom>
                  </pic:spPr>
                </pic:pic>
              </a:graphicData>
            </a:graphic>
            <wp14:sizeRelH relativeFrom="page">
              <wp14:pctWidth>0</wp14:pctWidth>
            </wp14:sizeRelH>
            <wp14:sizeRelV relativeFrom="page">
              <wp14:pctHeight>0</wp14:pctHeight>
            </wp14:sizeRelV>
          </wp:anchor>
        </w:drawing>
      </w:r>
    </w:p>
    <w:p w14:paraId="597A308A" w14:textId="77777777" w:rsidR="00CB4A2F" w:rsidRPr="00817BCA" w:rsidRDefault="00CB4A2F" w:rsidP="00CB4A2F">
      <w:pPr>
        <w:ind w:left="1418"/>
        <w:rPr>
          <w:rFonts w:asciiTheme="minorBidi" w:hAnsiTheme="minorBidi" w:cstheme="minorBidi"/>
          <w:i/>
          <w:iCs/>
          <w:sz w:val="20"/>
          <w:szCs w:val="20"/>
        </w:rPr>
      </w:pPr>
      <w:hyperlink r:id="rId37" w:history="1">
        <w:r w:rsidRPr="00817BCA">
          <w:rPr>
            <w:rStyle w:val="Hyperlink"/>
            <w:rFonts w:asciiTheme="minorBidi" w:hAnsiTheme="minorBidi" w:cstheme="minorBidi"/>
            <w:i/>
            <w:iCs/>
            <w:sz w:val="20"/>
            <w:szCs w:val="20"/>
          </w:rPr>
          <w:t>Caesar Families Association (CFA)</w:t>
        </w:r>
      </w:hyperlink>
    </w:p>
    <w:p w14:paraId="3FA511F9" w14:textId="77777777" w:rsidR="00CB4A2F" w:rsidRPr="002D504B" w:rsidRDefault="00CB4A2F" w:rsidP="00CB4A2F">
      <w:pPr>
        <w:pStyle w:val="NormalWeb"/>
        <w:spacing w:before="240" w:beforeAutospacing="0" w:after="160" w:afterAutospacing="0"/>
        <w:ind w:left="1418"/>
        <w:jc w:val="both"/>
        <w:rPr>
          <w:rFonts w:ascii="Arial" w:eastAsia="Arial" w:hAnsi="Arial" w:cs="Arial"/>
          <w:i/>
          <w:sz w:val="20"/>
          <w:szCs w:val="20"/>
          <w:lang w:val="en-GB"/>
        </w:rPr>
      </w:pPr>
      <w:r w:rsidRPr="00817BCA">
        <w:rPr>
          <w:rFonts w:ascii="Arial" w:eastAsia="Arial" w:hAnsi="Arial" w:cs="Arial"/>
          <w:i/>
          <w:sz w:val="20"/>
          <w:szCs w:val="20"/>
          <w:lang w:val="en-GB"/>
        </w:rPr>
        <w:t xml:space="preserve">The Caesar Families Association (CFA) is a victim- led association that was established in Germany in 2019. CFA is formed of 55 members who have lost loved ones under torture in the Syrian regime’s prisons and have recognized one or more of their relatives within the so-called </w:t>
      </w:r>
      <w:hyperlink r:id="rId38" w:history="1">
        <w:r w:rsidRPr="00817BCA">
          <w:rPr>
            <w:rFonts w:ascii="Arial" w:eastAsia="Arial" w:hAnsi="Arial" w:cs="Arial"/>
            <w:i/>
            <w:sz w:val="20"/>
            <w:szCs w:val="20"/>
            <w:lang w:val="en-GB"/>
          </w:rPr>
          <w:t>"Caesar photos" (CPs).</w:t>
        </w:r>
      </w:hyperlink>
      <w:r w:rsidRPr="00817BCA">
        <w:rPr>
          <w:rFonts w:ascii="Arial" w:eastAsia="Arial" w:hAnsi="Arial" w:cs="Arial"/>
          <w:i/>
          <w:sz w:val="20"/>
          <w:szCs w:val="20"/>
          <w:lang w:val="en-GB"/>
        </w:rPr>
        <w:t xml:space="preserve"> The families are based in many countries and are of different backgrounds and origins</w:t>
      </w:r>
      <w:r>
        <w:rPr>
          <w:rFonts w:ascii="Arial" w:eastAsia="Arial" w:hAnsi="Arial" w:cs="Arial"/>
          <w:i/>
          <w:sz w:val="20"/>
          <w:szCs w:val="20"/>
          <w:lang w:val="en-GB"/>
        </w:rPr>
        <w:t xml:space="preserve">. </w:t>
      </w:r>
      <w:r w:rsidRPr="00817BCA">
        <w:rPr>
          <w:rFonts w:ascii="Arial" w:eastAsia="Arial" w:hAnsi="Arial" w:cs="Arial"/>
          <w:i/>
          <w:sz w:val="20"/>
          <w:szCs w:val="20"/>
          <w:lang w:val="en-GB"/>
        </w:rPr>
        <w:t xml:space="preserve">The association's Managing Board consists of 5 families (3 female and 2 male). The Board’s Chairwoman is Mrs. Mariam </w:t>
      </w:r>
      <w:proofErr w:type="spellStart"/>
      <w:r w:rsidRPr="00817BCA">
        <w:rPr>
          <w:rFonts w:ascii="Arial" w:eastAsia="Arial" w:hAnsi="Arial" w:cs="Arial"/>
          <w:i/>
          <w:sz w:val="20"/>
          <w:szCs w:val="20"/>
          <w:lang w:val="en-GB"/>
        </w:rPr>
        <w:t>Alhallak</w:t>
      </w:r>
      <w:proofErr w:type="spellEnd"/>
      <w:r w:rsidRPr="00817BCA">
        <w:rPr>
          <w:rFonts w:ascii="Arial" w:eastAsia="Arial" w:hAnsi="Arial" w:cs="Arial"/>
          <w:i/>
          <w:sz w:val="20"/>
          <w:szCs w:val="20"/>
          <w:lang w:val="en-GB"/>
        </w:rPr>
        <w:t>. CFA aspires to contribute to the creation of a sustainable peace in Syria, based on justice, citizenship and human rights. CFA strives to stop the torture and killing of detainees, fight for their release, have their fate revealed, guarantee their rights and make sure that those who committed crimes against them will not go unpunished.</w:t>
      </w:r>
    </w:p>
    <w:p w14:paraId="49042198" w14:textId="7CC0C384" w:rsidR="00BA1666" w:rsidRDefault="00BA1666" w:rsidP="00BA1666">
      <w:pPr>
        <w:shd w:val="clear" w:color="auto" w:fill="FFFFFF"/>
        <w:spacing w:after="160" w:line="235" w:lineRule="atLeast"/>
        <w:ind w:left="1418"/>
        <w:jc w:val="both"/>
        <w:rPr>
          <w:rFonts w:ascii="Arial" w:eastAsia="Arial" w:hAnsi="Arial" w:cs="Arial"/>
          <w:i/>
          <w:sz w:val="20"/>
          <w:szCs w:val="20"/>
        </w:rPr>
      </w:pPr>
    </w:p>
    <w:p w14:paraId="6F7A8A13" w14:textId="5D8F25DB" w:rsidR="00837897" w:rsidRDefault="00837897" w:rsidP="00837897">
      <w:pPr>
        <w:shd w:val="clear" w:color="auto" w:fill="FFFFFF"/>
        <w:spacing w:after="160" w:line="235" w:lineRule="atLeast"/>
        <w:ind w:left="1418"/>
        <w:jc w:val="both"/>
        <w:rPr>
          <w:rFonts w:ascii="Arial" w:eastAsia="Arial" w:hAnsi="Arial" w:cs="Arial"/>
          <w:i/>
          <w:sz w:val="20"/>
          <w:szCs w:val="20"/>
          <w:lang w:val="en-GB"/>
        </w:rPr>
      </w:pPr>
      <w:r>
        <w:rPr>
          <w:rFonts w:ascii="Arial" w:eastAsia="Arial" w:hAnsi="Arial" w:cs="Arial"/>
          <w:i/>
          <w:noProof/>
          <w:sz w:val="20"/>
          <w:szCs w:val="20"/>
          <w:lang w:val="en-GB"/>
        </w:rPr>
        <w:lastRenderedPageBreak/>
        <w:drawing>
          <wp:anchor distT="0" distB="0" distL="114300" distR="114300" simplePos="0" relativeHeight="251683840" behindDoc="0" locked="0" layoutInCell="1" allowOverlap="1" wp14:anchorId="42886101" wp14:editId="15792F85">
            <wp:simplePos x="0" y="0"/>
            <wp:positionH relativeFrom="column">
              <wp:posOffset>-217607</wp:posOffset>
            </wp:positionH>
            <wp:positionV relativeFrom="paragraph">
              <wp:posOffset>583</wp:posOffset>
            </wp:positionV>
            <wp:extent cx="876924" cy="306768"/>
            <wp:effectExtent l="0" t="0" r="0" b="0"/>
            <wp:wrapSquare wrapText="bothSides"/>
            <wp:docPr id="16" name="Picture 1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con&#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76924" cy="306768"/>
                    </a:xfrm>
                    <a:prstGeom prst="rect">
                      <a:avLst/>
                    </a:prstGeom>
                  </pic:spPr>
                </pic:pic>
              </a:graphicData>
            </a:graphic>
            <wp14:sizeRelH relativeFrom="page">
              <wp14:pctWidth>0</wp14:pctWidth>
            </wp14:sizeRelH>
            <wp14:sizeRelV relativeFrom="page">
              <wp14:pctHeight>0</wp14:pctHeight>
            </wp14:sizeRelV>
          </wp:anchor>
        </w:drawing>
      </w:r>
      <w:hyperlink r:id="rId40" w:history="1">
        <w:r w:rsidRPr="00837897">
          <w:rPr>
            <w:rStyle w:val="Hyperlink"/>
            <w:rFonts w:ascii="Arial" w:eastAsia="Arial" w:hAnsi="Arial" w:cs="Arial"/>
            <w:i/>
            <w:sz w:val="20"/>
            <w:szCs w:val="20"/>
            <w:lang w:val="en-GB"/>
          </w:rPr>
          <w:t xml:space="preserve">The </w:t>
        </w:r>
        <w:proofErr w:type="spellStart"/>
        <w:r w:rsidRPr="00837897">
          <w:rPr>
            <w:rStyle w:val="Hyperlink"/>
            <w:rFonts w:ascii="Arial" w:eastAsia="Arial" w:hAnsi="Arial" w:cs="Arial"/>
            <w:i/>
            <w:sz w:val="20"/>
            <w:szCs w:val="20"/>
            <w:lang w:val="en-GB"/>
          </w:rPr>
          <w:t>Center</w:t>
        </w:r>
        <w:proofErr w:type="spellEnd"/>
        <w:r w:rsidRPr="00837897">
          <w:rPr>
            <w:rStyle w:val="Hyperlink"/>
            <w:rFonts w:ascii="Arial" w:eastAsia="Arial" w:hAnsi="Arial" w:cs="Arial"/>
            <w:i/>
            <w:sz w:val="20"/>
            <w:szCs w:val="20"/>
            <w:lang w:val="en-GB"/>
          </w:rPr>
          <w:t xml:space="preserve"> for Civil Society and Democracy (CCSD)</w:t>
        </w:r>
      </w:hyperlink>
    </w:p>
    <w:p w14:paraId="0A19A1ED" w14:textId="57AC3892" w:rsidR="00837897" w:rsidRDefault="00837897" w:rsidP="00837897">
      <w:pPr>
        <w:shd w:val="clear" w:color="auto" w:fill="FFFFFF"/>
        <w:spacing w:after="160" w:line="235" w:lineRule="atLeast"/>
        <w:ind w:left="1418"/>
        <w:jc w:val="both"/>
        <w:rPr>
          <w:rFonts w:ascii="Arial" w:eastAsia="Arial" w:hAnsi="Arial" w:cs="Arial"/>
          <w:i/>
          <w:sz w:val="20"/>
          <w:szCs w:val="20"/>
          <w:lang w:val="en-GB"/>
        </w:rPr>
      </w:pPr>
      <w:r w:rsidRPr="00837897">
        <w:rPr>
          <w:rFonts w:ascii="Arial" w:eastAsia="Arial" w:hAnsi="Arial" w:cs="Arial"/>
          <w:i/>
          <w:sz w:val="20"/>
          <w:szCs w:val="20"/>
          <w:lang w:val="en-GB"/>
        </w:rPr>
        <w:t xml:space="preserve">The </w:t>
      </w:r>
      <w:proofErr w:type="spellStart"/>
      <w:r w:rsidRPr="00837897">
        <w:rPr>
          <w:rFonts w:ascii="Arial" w:eastAsia="Arial" w:hAnsi="Arial" w:cs="Arial"/>
          <w:i/>
          <w:sz w:val="20"/>
          <w:szCs w:val="20"/>
          <w:lang w:val="en-GB"/>
        </w:rPr>
        <w:t>Center</w:t>
      </w:r>
      <w:proofErr w:type="spellEnd"/>
      <w:r w:rsidRPr="00837897">
        <w:rPr>
          <w:rFonts w:ascii="Arial" w:eastAsia="Arial" w:hAnsi="Arial" w:cs="Arial"/>
          <w:i/>
          <w:sz w:val="20"/>
          <w:szCs w:val="20"/>
          <w:lang w:val="en-GB"/>
        </w:rPr>
        <w:t xml:space="preserve"> for Civil Society and Democracy (CCSD) is an independent, non-profit, non-governmental organization. CCSD has branches which support its work in the US, Turkey, and the Netherlands. CCSD seeks to build a stable and just society where peace and respect for human rights and fundamental freedoms prevail.</w:t>
      </w:r>
      <w:r>
        <w:rPr>
          <w:rFonts w:ascii="Arial" w:eastAsia="Arial" w:hAnsi="Arial" w:cs="Arial"/>
          <w:i/>
          <w:sz w:val="20"/>
          <w:szCs w:val="20"/>
          <w:lang w:val="en-GB"/>
        </w:rPr>
        <w:t xml:space="preserve"> </w:t>
      </w:r>
      <w:proofErr w:type="gramStart"/>
      <w:r w:rsidRPr="00837897">
        <w:rPr>
          <w:rFonts w:ascii="Arial" w:eastAsia="Arial" w:hAnsi="Arial" w:cs="Arial"/>
          <w:i/>
          <w:sz w:val="20"/>
          <w:szCs w:val="20"/>
          <w:lang w:val="en-GB"/>
        </w:rPr>
        <w:t>Since</w:t>
      </w:r>
      <w:proofErr w:type="gramEnd"/>
      <w:r w:rsidRPr="00837897">
        <w:rPr>
          <w:rFonts w:ascii="Arial" w:eastAsia="Arial" w:hAnsi="Arial" w:cs="Arial"/>
          <w:i/>
          <w:sz w:val="20"/>
          <w:szCs w:val="20"/>
          <w:lang w:val="en-GB"/>
        </w:rPr>
        <w:t xml:space="preserve"> being established in 2011, CCSD has worked to build a stronger, more pluralistic civil society by supporting organizations and individuals. CCSD does not endorse violence or aggression in any form or as a means of achieving its goals and objectives. We believe that dialogue and respect for diversity is the optimum way to realize the aspirations of those we work for and with. Accordingly, we consider that democracy is the only alternative to violence and is the best option for achieving justice, equality and freedom for all Syrian, no matter their gender or religious and ethnic </w:t>
      </w:r>
      <w:r>
        <w:rPr>
          <w:rFonts w:ascii="Arial" w:eastAsia="Arial" w:hAnsi="Arial" w:cs="Arial"/>
          <w:i/>
          <w:sz w:val="20"/>
          <w:szCs w:val="20"/>
          <w:lang w:val="en-GB"/>
        </w:rPr>
        <w:t>affiliation</w:t>
      </w:r>
      <w:r w:rsidRPr="00837897">
        <w:rPr>
          <w:rFonts w:ascii="Arial" w:eastAsia="Arial" w:hAnsi="Arial" w:cs="Arial"/>
          <w:i/>
          <w:sz w:val="20"/>
          <w:szCs w:val="20"/>
          <w:lang w:val="en-GB"/>
        </w:rPr>
        <w:t>.</w:t>
      </w:r>
    </w:p>
    <w:p w14:paraId="2A1016D1" w14:textId="77777777" w:rsidR="00837897" w:rsidRDefault="00837897" w:rsidP="00837897">
      <w:r>
        <w:rPr>
          <w:rFonts w:hint="cs"/>
          <w:i/>
          <w:noProof/>
          <w:sz w:val="20"/>
          <w:szCs w:val="20"/>
          <w:rtl/>
          <w:lang w:val="ar-SA"/>
        </w:rPr>
        <w:drawing>
          <wp:anchor distT="0" distB="0" distL="114300" distR="114300" simplePos="0" relativeHeight="251685888" behindDoc="0" locked="0" layoutInCell="1" allowOverlap="1" wp14:anchorId="08180E2A" wp14:editId="1DE41410">
            <wp:simplePos x="0" y="0"/>
            <wp:positionH relativeFrom="column">
              <wp:posOffset>-190500</wp:posOffset>
            </wp:positionH>
            <wp:positionV relativeFrom="paragraph">
              <wp:posOffset>69215</wp:posOffset>
            </wp:positionV>
            <wp:extent cx="809625" cy="809625"/>
            <wp:effectExtent l="0" t="0" r="3175" b="3175"/>
            <wp:wrapSquare wrapText="bothSides"/>
            <wp:docPr id="17" name="Picture 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page">
              <wp14:pctWidth>0</wp14:pctWidth>
            </wp14:sizeRelH>
            <wp14:sizeRelV relativeFrom="page">
              <wp14:pctHeight>0</wp14:pctHeight>
            </wp14:sizeRelV>
          </wp:anchor>
        </w:drawing>
      </w:r>
    </w:p>
    <w:p w14:paraId="464814EF" w14:textId="77777777" w:rsidR="00837897" w:rsidRDefault="00837897" w:rsidP="00837897">
      <w:pPr>
        <w:shd w:val="clear" w:color="auto" w:fill="FFFFFF"/>
        <w:spacing w:after="160" w:line="235" w:lineRule="atLeast"/>
        <w:ind w:left="1418"/>
        <w:jc w:val="both"/>
        <w:rPr>
          <w:i/>
          <w:sz w:val="20"/>
          <w:szCs w:val="20"/>
          <w:lang w:val="en-GB"/>
        </w:rPr>
      </w:pPr>
      <w:hyperlink r:id="rId42" w:history="1">
        <w:r w:rsidRPr="000F0077">
          <w:rPr>
            <w:rStyle w:val="Hyperlink"/>
            <w:i/>
            <w:sz w:val="20"/>
            <w:szCs w:val="20"/>
            <w:lang w:val="en-GB"/>
          </w:rPr>
          <w:t>The White Helmets</w:t>
        </w:r>
      </w:hyperlink>
      <w:r w:rsidRPr="000F0077">
        <w:rPr>
          <w:i/>
          <w:sz w:val="20"/>
          <w:szCs w:val="20"/>
          <w:lang w:val="en-GB"/>
        </w:rPr>
        <w:t xml:space="preserve"> </w:t>
      </w:r>
    </w:p>
    <w:p w14:paraId="5657F9D4" w14:textId="77777777" w:rsidR="00837897" w:rsidRDefault="00837897" w:rsidP="00837897">
      <w:pPr>
        <w:shd w:val="clear" w:color="auto" w:fill="FFFFFF"/>
        <w:spacing w:after="160" w:line="235" w:lineRule="atLeast"/>
        <w:ind w:left="1418"/>
        <w:jc w:val="both"/>
        <w:rPr>
          <w:rFonts w:ascii="Arial" w:eastAsia="Arial" w:hAnsi="Arial" w:cs="Arial"/>
          <w:i/>
          <w:sz w:val="20"/>
          <w:szCs w:val="20"/>
          <w:lang w:val="en-GB"/>
        </w:rPr>
      </w:pPr>
      <w:r w:rsidRPr="000F0077">
        <w:rPr>
          <w:i/>
          <w:sz w:val="20"/>
          <w:szCs w:val="20"/>
          <w:lang w:val="en-GB"/>
        </w:rPr>
        <w:t>The White Helmets is a humanitarian volunteer-based NGO founded in 2014 and operating in Syria. While the organization originally focused on urban search and rescue in response to bombing, it has since expanded its scope of work to include early recover, medical care, UXO, etc. We are now a team of 2900 male and female volunteers working across all areas in the country we can access.</w:t>
      </w:r>
    </w:p>
    <w:p w14:paraId="7057935C" w14:textId="77777777" w:rsidR="00837897" w:rsidRDefault="00837897" w:rsidP="00837897">
      <w:r>
        <w:rPr>
          <w:rFonts w:ascii="Calibri" w:eastAsia="Calibri" w:hAnsi="Calibri" w:cs="Calibri"/>
          <w:noProof/>
          <w:lang w:val="en-GB"/>
        </w:rPr>
        <w:drawing>
          <wp:anchor distT="0" distB="0" distL="114300" distR="114300" simplePos="0" relativeHeight="251687936" behindDoc="0" locked="0" layoutInCell="1" allowOverlap="1" wp14:anchorId="6DB65F97" wp14:editId="087E0531">
            <wp:simplePos x="0" y="0"/>
            <wp:positionH relativeFrom="column">
              <wp:posOffset>-129344</wp:posOffset>
            </wp:positionH>
            <wp:positionV relativeFrom="paragraph">
              <wp:posOffset>271145</wp:posOffset>
            </wp:positionV>
            <wp:extent cx="655955" cy="537210"/>
            <wp:effectExtent l="0" t="0" r="4445" b="0"/>
            <wp:wrapSquare wrapText="bothSides"/>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Ic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55955" cy="537210"/>
                    </a:xfrm>
                    <a:prstGeom prst="rect">
                      <a:avLst/>
                    </a:prstGeom>
                  </pic:spPr>
                </pic:pic>
              </a:graphicData>
            </a:graphic>
            <wp14:sizeRelH relativeFrom="page">
              <wp14:pctWidth>0</wp14:pctWidth>
            </wp14:sizeRelH>
            <wp14:sizeRelV relativeFrom="page">
              <wp14:pctHeight>0</wp14:pctHeight>
            </wp14:sizeRelV>
          </wp:anchor>
        </w:drawing>
      </w:r>
    </w:p>
    <w:p w14:paraId="6ABD3544" w14:textId="77777777" w:rsidR="00837897" w:rsidRDefault="00837897" w:rsidP="00837897">
      <w:pPr>
        <w:shd w:val="clear" w:color="auto" w:fill="FFFFFF"/>
        <w:spacing w:after="160" w:line="235" w:lineRule="atLeast"/>
        <w:ind w:left="1418"/>
        <w:jc w:val="both"/>
        <w:rPr>
          <w:i/>
          <w:sz w:val="20"/>
          <w:szCs w:val="20"/>
          <w:lang w:val="en-GB"/>
        </w:rPr>
      </w:pPr>
      <w:hyperlink r:id="rId44" w:history="1">
        <w:r w:rsidRPr="000F0077">
          <w:rPr>
            <w:rStyle w:val="Hyperlink"/>
            <w:i/>
            <w:sz w:val="20"/>
            <w:szCs w:val="20"/>
            <w:lang w:val="en-GB"/>
          </w:rPr>
          <w:t xml:space="preserve">Association </w:t>
        </w:r>
        <w:proofErr w:type="spellStart"/>
        <w:r w:rsidRPr="000F0077">
          <w:rPr>
            <w:rStyle w:val="Hyperlink"/>
            <w:i/>
            <w:sz w:val="20"/>
            <w:szCs w:val="20"/>
            <w:lang w:val="en-GB"/>
          </w:rPr>
          <w:t>Baytna</w:t>
        </w:r>
        <w:proofErr w:type="spellEnd"/>
        <w:r w:rsidRPr="000F0077">
          <w:rPr>
            <w:rStyle w:val="Hyperlink"/>
            <w:i/>
            <w:sz w:val="20"/>
            <w:szCs w:val="20"/>
            <w:lang w:val="en-GB"/>
          </w:rPr>
          <w:t xml:space="preserve"> pour le </w:t>
        </w:r>
        <w:proofErr w:type="spellStart"/>
        <w:r w:rsidRPr="000F0077">
          <w:rPr>
            <w:rStyle w:val="Hyperlink"/>
            <w:i/>
            <w:sz w:val="20"/>
            <w:szCs w:val="20"/>
            <w:lang w:val="en-GB"/>
          </w:rPr>
          <w:t>Soutien</w:t>
        </w:r>
        <w:proofErr w:type="spellEnd"/>
        <w:r w:rsidRPr="000F0077">
          <w:rPr>
            <w:rStyle w:val="Hyperlink"/>
            <w:i/>
            <w:sz w:val="20"/>
            <w:szCs w:val="20"/>
            <w:lang w:val="en-GB"/>
          </w:rPr>
          <w:t xml:space="preserve"> de la Société Civile</w:t>
        </w:r>
      </w:hyperlink>
    </w:p>
    <w:p w14:paraId="0B530F52" w14:textId="6912EDD9" w:rsidR="00837897" w:rsidRPr="00837897" w:rsidRDefault="00837897" w:rsidP="00837897">
      <w:pPr>
        <w:shd w:val="clear" w:color="auto" w:fill="FFFFFF"/>
        <w:spacing w:after="160" w:line="235" w:lineRule="atLeast"/>
        <w:ind w:left="1418"/>
        <w:jc w:val="both"/>
        <w:rPr>
          <w:i/>
          <w:sz w:val="20"/>
          <w:szCs w:val="20"/>
          <w:lang w:val="en-GB"/>
        </w:rPr>
      </w:pPr>
      <w:r w:rsidRPr="000F0077">
        <w:rPr>
          <w:i/>
          <w:sz w:val="20"/>
          <w:szCs w:val="20"/>
          <w:lang w:val="en-GB"/>
        </w:rPr>
        <w:t xml:space="preserve">Association </w:t>
      </w:r>
      <w:proofErr w:type="spellStart"/>
      <w:r w:rsidRPr="000F0077">
        <w:rPr>
          <w:i/>
          <w:sz w:val="20"/>
          <w:szCs w:val="20"/>
          <w:lang w:val="en-GB"/>
        </w:rPr>
        <w:t>Baytna</w:t>
      </w:r>
      <w:proofErr w:type="spellEnd"/>
      <w:r w:rsidRPr="000F0077">
        <w:rPr>
          <w:i/>
          <w:sz w:val="20"/>
          <w:szCs w:val="20"/>
          <w:lang w:val="en-GB"/>
        </w:rPr>
        <w:t xml:space="preserve"> pour le </w:t>
      </w:r>
      <w:proofErr w:type="spellStart"/>
      <w:r w:rsidRPr="000F0077">
        <w:rPr>
          <w:i/>
          <w:sz w:val="20"/>
          <w:szCs w:val="20"/>
          <w:lang w:val="en-GB"/>
        </w:rPr>
        <w:t>Soutien</w:t>
      </w:r>
      <w:proofErr w:type="spellEnd"/>
      <w:r w:rsidRPr="000F0077">
        <w:rPr>
          <w:i/>
          <w:sz w:val="20"/>
          <w:szCs w:val="20"/>
          <w:lang w:val="en-GB"/>
        </w:rPr>
        <w:t xml:space="preserve"> de la Société Civile</w:t>
      </w:r>
      <w:r>
        <w:rPr>
          <w:i/>
          <w:sz w:val="20"/>
          <w:szCs w:val="20"/>
          <w:lang w:val="en-GB"/>
        </w:rPr>
        <w:t xml:space="preserve"> is a </w:t>
      </w:r>
      <w:r w:rsidRPr="000F0077">
        <w:rPr>
          <w:i/>
          <w:sz w:val="20"/>
          <w:szCs w:val="20"/>
          <w:lang w:val="en-GB"/>
        </w:rPr>
        <w:t>non-profit/non-governmental organization works for an active Syrian civil society that fosters knowledge development; promotes active citizenship; practices democracy; defends, preserves, and channels citizens’ rights and interests; and develops a common set of values for all. The organization helps empower Syrian civil society to achieve democratic transition by establishing neutral spaces, disseminating knowledge, awarding grants, promoting transparency, and advocacy.</w:t>
      </w:r>
    </w:p>
    <w:p w14:paraId="36F2883B" w14:textId="77777777" w:rsidR="00837897" w:rsidRDefault="00837897" w:rsidP="00837897">
      <w:r>
        <w:rPr>
          <w:rFonts w:ascii="Calibri" w:eastAsia="Calibri" w:hAnsi="Calibri" w:cs="Calibri"/>
          <w:noProof/>
          <w:lang w:val="en-GB"/>
        </w:rPr>
        <w:drawing>
          <wp:anchor distT="0" distB="0" distL="114300" distR="114300" simplePos="0" relativeHeight="251689984" behindDoc="0" locked="0" layoutInCell="1" allowOverlap="1" wp14:anchorId="5DD3F0B4" wp14:editId="26C60F25">
            <wp:simplePos x="0" y="0"/>
            <wp:positionH relativeFrom="column">
              <wp:posOffset>-287020</wp:posOffset>
            </wp:positionH>
            <wp:positionV relativeFrom="paragraph">
              <wp:posOffset>47625</wp:posOffset>
            </wp:positionV>
            <wp:extent cx="947420" cy="947420"/>
            <wp:effectExtent l="0" t="0" r="5080" b="5080"/>
            <wp:wrapSquare wrapText="bothSides"/>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947420" cy="947420"/>
                    </a:xfrm>
                    <a:prstGeom prst="rect">
                      <a:avLst/>
                    </a:prstGeom>
                  </pic:spPr>
                </pic:pic>
              </a:graphicData>
            </a:graphic>
            <wp14:sizeRelH relativeFrom="page">
              <wp14:pctWidth>0</wp14:pctWidth>
            </wp14:sizeRelH>
            <wp14:sizeRelV relativeFrom="page">
              <wp14:pctHeight>0</wp14:pctHeight>
            </wp14:sizeRelV>
          </wp:anchor>
        </w:drawing>
      </w:r>
    </w:p>
    <w:p w14:paraId="1161223B" w14:textId="77777777" w:rsidR="00837897" w:rsidRPr="00196423" w:rsidRDefault="00837897" w:rsidP="00837897">
      <w:pPr>
        <w:shd w:val="clear" w:color="auto" w:fill="FFFFFF"/>
        <w:spacing w:after="160" w:line="235" w:lineRule="atLeast"/>
        <w:ind w:left="1418"/>
        <w:rPr>
          <w:i/>
          <w:sz w:val="20"/>
          <w:szCs w:val="20"/>
          <w:lang w:val="en-GB"/>
        </w:rPr>
      </w:pPr>
      <w:hyperlink r:id="rId46" w:history="1">
        <w:r w:rsidRPr="00196423">
          <w:rPr>
            <w:rStyle w:val="Hyperlink"/>
            <w:i/>
            <w:sz w:val="20"/>
            <w:szCs w:val="20"/>
            <w:lang w:val="en-GB"/>
          </w:rPr>
          <w:t>Families for Freedom</w:t>
        </w:r>
      </w:hyperlink>
    </w:p>
    <w:p w14:paraId="566AE4AF" w14:textId="77777777" w:rsidR="00837897" w:rsidRDefault="00837897" w:rsidP="00837897">
      <w:pPr>
        <w:shd w:val="clear" w:color="auto" w:fill="FFFFFF"/>
        <w:spacing w:after="160" w:line="235" w:lineRule="atLeast"/>
        <w:ind w:left="1418"/>
        <w:jc w:val="both"/>
        <w:rPr>
          <w:i/>
          <w:sz w:val="20"/>
          <w:szCs w:val="20"/>
          <w:lang w:val="en-GB"/>
        </w:rPr>
      </w:pPr>
      <w:r w:rsidRPr="00196423">
        <w:rPr>
          <w:i/>
          <w:sz w:val="20"/>
          <w:szCs w:val="20"/>
          <w:lang w:val="en-GB"/>
        </w:rPr>
        <w:t xml:space="preserve">We are Syrian families demanding freedom for </w:t>
      </w:r>
      <w:proofErr w:type="gramStart"/>
      <w:r w:rsidRPr="00196423">
        <w:rPr>
          <w:i/>
          <w:sz w:val="20"/>
          <w:szCs w:val="20"/>
          <w:lang w:val="en-GB"/>
        </w:rPr>
        <w:t>all of</w:t>
      </w:r>
      <w:proofErr w:type="gramEnd"/>
      <w:r w:rsidRPr="00196423">
        <w:rPr>
          <w:i/>
          <w:sz w:val="20"/>
          <w:szCs w:val="20"/>
          <w:lang w:val="en-GB"/>
        </w:rPr>
        <w:t xml:space="preserve"> the country’s sons and daughters. Hundreds of thousands of Syrians are detained or disappeared, </w:t>
      </w:r>
      <w:proofErr w:type="gramStart"/>
      <w:r w:rsidRPr="00196423">
        <w:rPr>
          <w:i/>
          <w:sz w:val="20"/>
          <w:szCs w:val="20"/>
          <w:lang w:val="en-GB"/>
        </w:rPr>
        <w:t>the majority of</w:t>
      </w:r>
      <w:proofErr w:type="gramEnd"/>
      <w:r w:rsidRPr="00196423">
        <w:rPr>
          <w:i/>
          <w:sz w:val="20"/>
          <w:szCs w:val="20"/>
          <w:lang w:val="en-GB"/>
        </w:rPr>
        <w:t xml:space="preserve"> them at the hands of the Syrian regime. They are our peaceful sons and daughters, brothers and sisters, husbands and wives. Our position is against enforced disappearance and arbitrary detention by the Syrian regime and all parties to the conflict. We want to mobilise the public to pressure all sides to comply with our </w:t>
      </w:r>
      <w:proofErr w:type="spellStart"/>
      <w:proofErr w:type="gramStart"/>
      <w:r w:rsidRPr="00196423">
        <w:rPr>
          <w:i/>
          <w:sz w:val="20"/>
          <w:szCs w:val="20"/>
          <w:lang w:val="en-GB"/>
        </w:rPr>
        <w:t>demands.Our</w:t>
      </w:r>
      <w:proofErr w:type="spellEnd"/>
      <w:proofErr w:type="gramEnd"/>
      <w:r w:rsidRPr="00196423">
        <w:rPr>
          <w:i/>
          <w:sz w:val="20"/>
          <w:szCs w:val="20"/>
          <w:lang w:val="en-GB"/>
        </w:rPr>
        <w:t xml:space="preserve"> movement will not stop until every last Syrian is freed and found. We will continue to expand our movement to include every family with a detained or missing person, across religions, political beliefs or ethnicities. We have been intimidated and told not to speak out. But we will not be silenced. We are crying out to this unjust world that we want our loved ones back.</w:t>
      </w:r>
    </w:p>
    <w:p w14:paraId="2158CFFE" w14:textId="56A35AE4" w:rsidR="00837897" w:rsidRPr="00837897" w:rsidRDefault="00837897" w:rsidP="00837897">
      <w:pPr>
        <w:shd w:val="clear" w:color="auto" w:fill="FFFFFF"/>
        <w:spacing w:after="160" w:line="235" w:lineRule="atLeast"/>
        <w:ind w:left="1418"/>
        <w:jc w:val="both"/>
        <w:rPr>
          <w:rFonts w:ascii="Arial" w:eastAsia="Arial" w:hAnsi="Arial" w:cs="Arial"/>
          <w:i/>
          <w:sz w:val="20"/>
          <w:szCs w:val="20"/>
          <w:lang w:val="en-GB"/>
        </w:rPr>
      </w:pPr>
    </w:p>
    <w:sectPr w:rsidR="00837897" w:rsidRPr="00837897" w:rsidSect="009118ED">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A9B90" w14:textId="77777777" w:rsidR="00434168" w:rsidRDefault="00434168">
      <w:pPr>
        <w:spacing w:after="0" w:line="240" w:lineRule="auto"/>
      </w:pPr>
      <w:r>
        <w:separator/>
      </w:r>
    </w:p>
  </w:endnote>
  <w:endnote w:type="continuationSeparator" w:id="0">
    <w:p w14:paraId="543A7F71" w14:textId="77777777" w:rsidR="00434168" w:rsidRDefault="0043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0081837"/>
      <w:docPartObj>
        <w:docPartGallery w:val="Page Numbers (Bottom of Page)"/>
        <w:docPartUnique/>
      </w:docPartObj>
    </w:sdtPr>
    <w:sdtContent>
      <w:p w14:paraId="7AD3D9BF" w14:textId="66BCA749" w:rsidR="009118ED" w:rsidRDefault="009118ED" w:rsidP="008229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016E" w14:textId="77777777" w:rsidR="00E561CC" w:rsidRDefault="00E561CC" w:rsidP="009118ED">
    <w:pPr>
      <w:pBdr>
        <w:top w:val="nil"/>
        <w:left w:val="nil"/>
        <w:bottom w:val="nil"/>
        <w:right w:val="nil"/>
        <w:between w:val="nil"/>
      </w:pBdr>
      <w:tabs>
        <w:tab w:val="center" w:pos="4513"/>
        <w:tab w:val="right" w:pos="9026"/>
      </w:tabs>
      <w:spacing w:after="0" w:line="240" w:lineRule="auto"/>
      <w:ind w:left="0" w:right="360"/>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0619954"/>
      <w:docPartObj>
        <w:docPartGallery w:val="Page Numbers (Bottom of Page)"/>
        <w:docPartUnique/>
      </w:docPartObj>
    </w:sdtPr>
    <w:sdtContent>
      <w:p w14:paraId="55BDFC5D" w14:textId="52FA7ACF" w:rsidR="009118ED" w:rsidRDefault="009118ED" w:rsidP="008229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000170" w14:textId="77777777" w:rsidR="00E561CC" w:rsidRDefault="00E561CC" w:rsidP="009118ED">
    <w:pPr>
      <w:pBdr>
        <w:top w:val="nil"/>
        <w:left w:val="nil"/>
        <w:bottom w:val="nil"/>
        <w:right w:val="nil"/>
        <w:between w:val="nil"/>
      </w:pBdr>
      <w:tabs>
        <w:tab w:val="center" w:pos="4513"/>
        <w:tab w:val="right" w:pos="9026"/>
      </w:tabs>
      <w:spacing w:after="0" w:line="240" w:lineRule="auto"/>
      <w:ind w:left="0" w:right="360"/>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F" w14:textId="77777777" w:rsidR="00E561CC" w:rsidRDefault="00E561CC">
    <w:pPr>
      <w:pBdr>
        <w:top w:val="nil"/>
        <w:left w:val="nil"/>
        <w:bottom w:val="nil"/>
        <w:right w:val="nil"/>
        <w:between w:val="nil"/>
      </w:pBdr>
      <w:tabs>
        <w:tab w:val="center" w:pos="4513"/>
        <w:tab w:val="right" w:pos="9026"/>
      </w:tabs>
      <w:spacing w:after="0" w:line="240" w:lineRule="auto"/>
      <w:ind w:left="0"/>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2EB65" w14:textId="77777777" w:rsidR="00434168" w:rsidRDefault="00434168">
      <w:pPr>
        <w:spacing w:after="0" w:line="240" w:lineRule="auto"/>
      </w:pPr>
      <w:r>
        <w:separator/>
      </w:r>
    </w:p>
  </w:footnote>
  <w:footnote w:type="continuationSeparator" w:id="0">
    <w:p w14:paraId="450F2D98" w14:textId="77777777" w:rsidR="00434168" w:rsidRDefault="00434168">
      <w:pPr>
        <w:spacing w:after="0" w:line="240" w:lineRule="auto"/>
      </w:pPr>
      <w:r>
        <w:continuationSeparator/>
      </w:r>
    </w:p>
  </w:footnote>
  <w:footnote w:id="1">
    <w:p w14:paraId="00000173" w14:textId="77777777" w:rsidR="00E561CC" w:rsidRDefault="00000000">
      <w:pPr>
        <w:spacing w:after="0" w:line="240" w:lineRule="auto"/>
        <w:rPr>
          <w:sz w:val="20"/>
          <w:szCs w:val="20"/>
        </w:rPr>
      </w:pPr>
      <w:r>
        <w:rPr>
          <w:rStyle w:val="FootnoteReference"/>
        </w:rPr>
        <w:footnoteRef/>
      </w:r>
      <w:r>
        <w:rPr>
          <w:sz w:val="20"/>
          <w:szCs w:val="20"/>
        </w:rPr>
        <w:t xml:space="preserve"> </w:t>
      </w:r>
      <w:r>
        <w:rPr>
          <w:sz w:val="18"/>
          <w:szCs w:val="18"/>
        </w:rPr>
        <w:t xml:space="preserve">Human Rights Council, Out of Sight, Out of Mind: Deaths in Detention in the Syrian Arab Republic, 3 February 2016, A/HRC/31/CRP.1, para 17-19; Human Rights Watch, World Report 2022, available at: </w:t>
      </w:r>
      <w:hyperlink r:id="rId1">
        <w:r>
          <w:rPr>
            <w:color w:val="1155CC"/>
            <w:sz w:val="18"/>
            <w:szCs w:val="18"/>
            <w:u w:val="single"/>
          </w:rPr>
          <w:t>https://www.hrw.org/world-report/2022/country chapters/syria#11306f</w:t>
        </w:r>
      </w:hyperlink>
      <w:r>
        <w:rPr>
          <w:sz w:val="18"/>
          <w:szCs w:val="18"/>
        </w:rPr>
        <w:t xml:space="preserve">; Amnesty International, Amnesty International Report 2021/22, p 354-355, available at: </w:t>
      </w:r>
      <w:hyperlink r:id="rId2">
        <w:r>
          <w:rPr>
            <w:color w:val="1155CC"/>
            <w:sz w:val="18"/>
            <w:szCs w:val="18"/>
            <w:u w:val="single"/>
          </w:rPr>
          <w:t>https://www.amnesty.org/en/location/middle-east-and-north-africa/syria/report-syria/.</w:t>
        </w:r>
      </w:hyperlink>
    </w:p>
  </w:footnote>
  <w:footnote w:id="2">
    <w:p w14:paraId="7BD352D4" w14:textId="449DA622" w:rsidR="00992984" w:rsidRPr="00992984" w:rsidRDefault="00992984" w:rsidP="00992984">
      <w:pPr>
        <w:pStyle w:val="FootnoteText"/>
        <w:ind w:left="0"/>
        <w:rPr>
          <w:rFonts w:asciiTheme="minorHAnsi" w:hAnsiTheme="minorHAnsi" w:cstheme="minorHAnsi"/>
          <w:sz w:val="18"/>
          <w:szCs w:val="18"/>
        </w:rPr>
      </w:pPr>
      <w:r w:rsidRPr="00992984">
        <w:rPr>
          <w:rStyle w:val="FootnoteReference"/>
          <w:rFonts w:asciiTheme="minorHAnsi" w:hAnsiTheme="minorHAnsi" w:cstheme="minorHAnsi"/>
          <w:sz w:val="18"/>
          <w:szCs w:val="18"/>
        </w:rPr>
        <w:footnoteRef/>
      </w:r>
      <w:r w:rsidRPr="00992984">
        <w:rPr>
          <w:rFonts w:asciiTheme="minorHAnsi" w:hAnsiTheme="minorHAnsi" w:cstheme="minorHAnsi"/>
          <w:sz w:val="18"/>
          <w:szCs w:val="18"/>
        </w:rPr>
        <w:t xml:space="preserve"> </w:t>
      </w:r>
      <w:r w:rsidRPr="00992984">
        <w:rPr>
          <w:rFonts w:asciiTheme="minorHAnsi" w:hAnsiTheme="minorHAnsi" w:cstheme="minorHAnsi"/>
          <w:sz w:val="18"/>
          <w:szCs w:val="18"/>
        </w:rPr>
        <w:t>The case has been documented and the informed consent of the victim</w:t>
      </w:r>
      <w:r w:rsidRPr="00992984">
        <w:rPr>
          <w:rFonts w:asciiTheme="minorHAnsi" w:hAnsiTheme="minorHAnsi" w:cstheme="minorHAnsi"/>
          <w:sz w:val="18"/>
          <w:szCs w:val="18"/>
        </w:rPr>
        <w:t>s</w:t>
      </w:r>
      <w:r w:rsidRPr="00992984">
        <w:rPr>
          <w:rFonts w:asciiTheme="minorHAnsi" w:hAnsiTheme="minorHAnsi" w:cstheme="minorHAnsi"/>
          <w:sz w:val="18"/>
          <w:szCs w:val="18"/>
        </w:rPr>
        <w:t xml:space="preserve"> has been obtained by </w:t>
      </w:r>
      <w:hyperlink r:id="rId3" w:history="1">
        <w:r w:rsidRPr="00992984">
          <w:rPr>
            <w:rStyle w:val="Hyperlink"/>
            <w:rFonts w:asciiTheme="minorHAnsi" w:hAnsiTheme="minorHAnsi" w:cstheme="minorHAnsi"/>
            <w:sz w:val="18"/>
            <w:szCs w:val="18"/>
          </w:rPr>
          <w:t xml:space="preserve">Families </w:t>
        </w:r>
        <w:r w:rsidRPr="00992984">
          <w:rPr>
            <w:rStyle w:val="Hyperlink"/>
            <w:rFonts w:asciiTheme="minorHAnsi" w:hAnsiTheme="minorHAnsi" w:cstheme="minorHAnsi"/>
            <w:sz w:val="18"/>
            <w:szCs w:val="18"/>
          </w:rPr>
          <w:t>for</w:t>
        </w:r>
        <w:r w:rsidRPr="00992984">
          <w:rPr>
            <w:rStyle w:val="Hyperlink"/>
            <w:rFonts w:asciiTheme="minorHAnsi" w:hAnsiTheme="minorHAnsi" w:cstheme="minorHAnsi"/>
            <w:sz w:val="18"/>
            <w:szCs w:val="18"/>
          </w:rPr>
          <w:t xml:space="preserve"> Freedom</w:t>
        </w:r>
      </w:hyperlink>
      <w:r w:rsidRPr="00992984">
        <w:rPr>
          <w:rFonts w:asciiTheme="minorHAnsi" w:hAnsiTheme="minorHAnsi" w:cstheme="minorHAnsi"/>
          <w:sz w:val="18"/>
          <w:szCs w:val="18"/>
        </w:rPr>
        <w:t xml:space="preserve"> </w:t>
      </w:r>
      <w:r w:rsidRPr="00992984">
        <w:rPr>
          <w:rFonts w:asciiTheme="minorHAnsi" w:hAnsiTheme="minorHAnsi" w:cstheme="minorHAnsi"/>
          <w:sz w:val="18"/>
          <w:szCs w:val="18"/>
        </w:rPr>
        <w:t>victim a</w:t>
      </w:r>
      <w:r w:rsidRPr="00992984">
        <w:rPr>
          <w:rFonts w:asciiTheme="minorHAnsi" w:hAnsiTheme="minorHAnsi" w:cstheme="minorHAnsi"/>
          <w:sz w:val="18"/>
          <w:szCs w:val="18"/>
        </w:rPr>
        <w:t>ssociation.</w:t>
      </w:r>
    </w:p>
  </w:footnote>
  <w:footnote w:id="3">
    <w:p w14:paraId="163FF6BC" w14:textId="56849434" w:rsidR="00992984" w:rsidRPr="00992984" w:rsidRDefault="00992984" w:rsidP="00992984">
      <w:pPr>
        <w:pStyle w:val="FootnoteText"/>
        <w:ind w:left="0"/>
      </w:pPr>
      <w:r w:rsidRPr="00992984">
        <w:rPr>
          <w:rStyle w:val="FootnoteReference"/>
          <w:rFonts w:asciiTheme="minorHAnsi" w:hAnsiTheme="minorHAnsi" w:cstheme="minorHAnsi"/>
          <w:sz w:val="18"/>
          <w:szCs w:val="18"/>
        </w:rPr>
        <w:footnoteRef/>
      </w:r>
      <w:r w:rsidRPr="00992984">
        <w:rPr>
          <w:rFonts w:asciiTheme="minorHAnsi" w:hAnsiTheme="minorHAnsi" w:cstheme="minorHAnsi"/>
          <w:sz w:val="18"/>
          <w:szCs w:val="18"/>
        </w:rPr>
        <w:t xml:space="preserve"> </w:t>
      </w:r>
      <w:r w:rsidRPr="00992984">
        <w:rPr>
          <w:rFonts w:asciiTheme="minorHAnsi" w:hAnsiTheme="minorHAnsi" w:cstheme="minorHAnsi"/>
          <w:sz w:val="18"/>
          <w:szCs w:val="18"/>
        </w:rPr>
        <w:t xml:space="preserve">The case has been documented and the informed consent of the victims has been obtained by </w:t>
      </w:r>
      <w:hyperlink r:id="rId4" w:history="1">
        <w:r w:rsidRPr="00992984">
          <w:rPr>
            <w:rStyle w:val="Hyperlink"/>
            <w:rFonts w:asciiTheme="minorHAnsi" w:hAnsiTheme="minorHAnsi" w:cstheme="minorHAnsi"/>
            <w:sz w:val="18"/>
            <w:szCs w:val="18"/>
          </w:rPr>
          <w:t>Caesar Families Association</w:t>
        </w:r>
      </w:hyperlink>
      <w:r w:rsidRPr="00992984">
        <w:rPr>
          <w:rFonts w:asciiTheme="minorHAnsi" w:hAnsiTheme="minorHAnsi" w:cstheme="minorHAnsi"/>
          <w:sz w:val="18"/>
          <w:szCs w:val="18"/>
        </w:rPr>
        <w:t xml:space="preserve"> victim association.</w:t>
      </w:r>
    </w:p>
  </w:footnote>
  <w:footnote w:id="4">
    <w:p w14:paraId="184FE771" w14:textId="5B3D697E" w:rsidR="00992984" w:rsidRPr="00992984" w:rsidRDefault="00992984" w:rsidP="00992984">
      <w:pPr>
        <w:pStyle w:val="FootnoteText"/>
        <w:ind w:left="0"/>
      </w:pPr>
      <w:r>
        <w:rPr>
          <w:rStyle w:val="FootnoteReference"/>
        </w:rPr>
        <w:footnoteRef/>
      </w:r>
      <w:r>
        <w:t xml:space="preserve"> </w:t>
      </w:r>
      <w:r w:rsidRPr="00992984">
        <w:rPr>
          <w:rFonts w:asciiTheme="minorHAnsi" w:hAnsiTheme="minorHAnsi" w:cstheme="minorHAnsi"/>
          <w:sz w:val="18"/>
          <w:szCs w:val="18"/>
        </w:rPr>
        <w:t xml:space="preserve">The case has been documented and the informed consent of the victims has been obtained by </w:t>
      </w:r>
      <w:hyperlink r:id="rId5" w:history="1">
        <w:r w:rsidRPr="00992984">
          <w:rPr>
            <w:rStyle w:val="Hyperlink"/>
            <w:rFonts w:asciiTheme="minorHAnsi" w:hAnsiTheme="minorHAnsi" w:cstheme="minorHAnsi"/>
            <w:sz w:val="18"/>
            <w:szCs w:val="18"/>
          </w:rPr>
          <w:t>Caesar Families Association</w:t>
        </w:r>
      </w:hyperlink>
      <w:r w:rsidRPr="00992984">
        <w:rPr>
          <w:rFonts w:asciiTheme="minorHAnsi" w:hAnsiTheme="minorHAnsi" w:cstheme="minorHAnsi"/>
          <w:sz w:val="18"/>
          <w:szCs w:val="18"/>
        </w:rPr>
        <w:t xml:space="preserve"> victim association.</w:t>
      </w:r>
    </w:p>
  </w:footnote>
  <w:footnote w:id="5">
    <w:p w14:paraId="00000128" w14:textId="77777777" w:rsidR="00E561CC" w:rsidRDefault="00000000" w:rsidP="00511AB4">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UNGA, Report of the Independent International Commission of Inquiry on the Syrian Arab Republic (March 2021), UN Doc A/HRC/46/55, para 1-3, 14-15.</w:t>
      </w:r>
    </w:p>
  </w:footnote>
  <w:footnote w:id="6">
    <w:p w14:paraId="00000129" w14:textId="77777777" w:rsidR="00E561CC" w:rsidRDefault="00000000" w:rsidP="00511AB4">
      <w:pPr>
        <w:spacing w:line="240" w:lineRule="auto"/>
        <w:ind w:left="0"/>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Legislative Decree No. 55 of 2011 on Amending the Criminal Procedure Code, available </w:t>
      </w:r>
      <w:hyperlink r:id="rId6" w:anchor=":~:text=%D8%A7%D9%84%D9%85%D8%B1%D8%B3%D9%88%D9%85%20%D8%A7%D9%84%D8%AA%D8%B4%D8%B1%D9%8A%D8%B9%D9%8A%2055%20%D9%84%D8%B9%D8%A7%D9%85%202011,1950%20%D8%AD%D9%88%D9%84%20%D8%A7%D8%AE%D8%AA%D8%B5%D8%A7%D8%B5%20%D8%A7%D9%84%D8%B6%D8%A7%D8%A8%D8%B7%D8%A9%20%D">
        <w:r>
          <w:rPr>
            <w:rFonts w:ascii="Calibri" w:eastAsia="Calibri" w:hAnsi="Calibri" w:cs="Calibri"/>
            <w:color w:val="0563C1"/>
            <w:sz w:val="18"/>
            <w:szCs w:val="18"/>
            <w:u w:val="single"/>
          </w:rPr>
          <w:t>here</w:t>
        </w:r>
      </w:hyperlink>
      <w:r>
        <w:rPr>
          <w:rFonts w:ascii="Calibri" w:eastAsia="Calibri" w:hAnsi="Calibri" w:cs="Calibri"/>
          <w:sz w:val="18"/>
          <w:szCs w:val="18"/>
        </w:rPr>
        <w:t xml:space="preserve"> in Arabic; Legislative Decree No. 109 of 2011.</w:t>
      </w:r>
    </w:p>
  </w:footnote>
  <w:footnote w:id="7">
    <w:p w14:paraId="00000174" w14:textId="77777777" w:rsidR="00E561CC" w:rsidRDefault="00000000" w:rsidP="00511AB4">
      <w:pPr>
        <w:spacing w:after="0" w:line="240" w:lineRule="auto"/>
        <w:ind w:left="0"/>
        <w:rPr>
          <w:sz w:val="20"/>
          <w:szCs w:val="20"/>
        </w:rPr>
      </w:pPr>
      <w:r>
        <w:rPr>
          <w:rStyle w:val="FootnoteReference"/>
        </w:rPr>
        <w:footnoteRef/>
      </w:r>
      <w:r>
        <w:rPr>
          <w:sz w:val="20"/>
          <w:szCs w:val="20"/>
        </w:rPr>
        <w:t xml:space="preserve"> </w:t>
      </w:r>
      <w:r>
        <w:rPr>
          <w:sz w:val="18"/>
          <w:szCs w:val="18"/>
        </w:rPr>
        <w:t>Syrian Penal Code No.148 1949, Art 285.</w:t>
      </w:r>
    </w:p>
  </w:footnote>
  <w:footnote w:id="8">
    <w:p w14:paraId="00000175" w14:textId="77777777" w:rsidR="00E561CC" w:rsidRDefault="00000000" w:rsidP="00511AB4">
      <w:pPr>
        <w:spacing w:after="0" w:line="240" w:lineRule="auto"/>
        <w:ind w:left="0"/>
        <w:rPr>
          <w:sz w:val="20"/>
          <w:szCs w:val="20"/>
        </w:rPr>
      </w:pPr>
      <w:r>
        <w:rPr>
          <w:rStyle w:val="FootnoteReference"/>
        </w:rPr>
        <w:footnoteRef/>
      </w:r>
      <w:r>
        <w:rPr>
          <w:sz w:val="20"/>
          <w:szCs w:val="20"/>
        </w:rPr>
        <w:t xml:space="preserve"> </w:t>
      </w:r>
      <w:r>
        <w:rPr>
          <w:sz w:val="18"/>
          <w:szCs w:val="18"/>
        </w:rPr>
        <w:t>Syrian Penal Code No.148 1949, Art 286.</w:t>
      </w:r>
    </w:p>
  </w:footnote>
  <w:footnote w:id="9">
    <w:p w14:paraId="0000012A" w14:textId="77777777" w:rsidR="00E561CC" w:rsidRDefault="00000000" w:rsidP="00511AB4">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Human Rights Committee, </w:t>
      </w:r>
      <w:r>
        <w:rPr>
          <w:rFonts w:ascii="Calibri" w:eastAsia="Calibri" w:hAnsi="Calibri" w:cs="Calibri"/>
          <w:i/>
          <w:color w:val="000000"/>
          <w:sz w:val="18"/>
          <w:szCs w:val="18"/>
        </w:rPr>
        <w:t xml:space="preserve">Vladimir </w:t>
      </w:r>
      <w:proofErr w:type="spellStart"/>
      <w:r>
        <w:rPr>
          <w:rFonts w:ascii="Calibri" w:eastAsia="Calibri" w:hAnsi="Calibri" w:cs="Calibri"/>
          <w:i/>
          <w:color w:val="000000"/>
          <w:sz w:val="18"/>
          <w:szCs w:val="18"/>
        </w:rPr>
        <w:t>Kulomin</w:t>
      </w:r>
      <w:proofErr w:type="spellEnd"/>
      <w:r>
        <w:rPr>
          <w:rFonts w:ascii="Calibri" w:eastAsia="Calibri" w:hAnsi="Calibri" w:cs="Calibri"/>
          <w:i/>
          <w:color w:val="000000"/>
          <w:sz w:val="18"/>
          <w:szCs w:val="18"/>
        </w:rPr>
        <w:t xml:space="preserve"> v. Hungary</w:t>
      </w:r>
      <w:r>
        <w:rPr>
          <w:rFonts w:ascii="Calibri" w:eastAsia="Calibri" w:hAnsi="Calibri" w:cs="Calibri"/>
          <w:color w:val="000000"/>
          <w:sz w:val="18"/>
          <w:szCs w:val="18"/>
        </w:rPr>
        <w:t>, Communication No. 521/1992, UN Doc CCPR/C/50/D/521/1992 (1996), para 11.3.</w:t>
      </w:r>
    </w:p>
  </w:footnote>
  <w:footnote w:id="10">
    <w:p w14:paraId="0000012B" w14:textId="77777777" w:rsidR="00E561CC" w:rsidRDefault="00000000" w:rsidP="00511AB4">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UNGA, Report of the Independent International Commission of Inquiry on the Syrian Arab Republic (March 2021), UN Doc A/HRC/46/55, para 16.</w:t>
      </w:r>
    </w:p>
  </w:footnote>
  <w:footnote w:id="11">
    <w:p w14:paraId="0000012C" w14:textId="59FEFF80"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Association of Detainees and the Missing at </w:t>
      </w:r>
      <w:proofErr w:type="spellStart"/>
      <w:r>
        <w:rPr>
          <w:rFonts w:ascii="Calibri" w:eastAsia="Calibri" w:hAnsi="Calibri" w:cs="Calibri"/>
          <w:color w:val="000000"/>
          <w:sz w:val="18"/>
          <w:szCs w:val="18"/>
        </w:rPr>
        <w:t>Sednaya</w:t>
      </w:r>
      <w:proofErr w:type="spellEnd"/>
      <w:r>
        <w:rPr>
          <w:rFonts w:ascii="Calibri" w:eastAsia="Calibri" w:hAnsi="Calibri" w:cs="Calibri"/>
          <w:color w:val="000000"/>
          <w:sz w:val="18"/>
          <w:szCs w:val="18"/>
        </w:rPr>
        <w:t xml:space="preserve"> Prison, </w:t>
      </w:r>
      <w:proofErr w:type="gramStart"/>
      <w:r>
        <w:rPr>
          <w:rFonts w:ascii="Calibri" w:eastAsia="Calibri" w:hAnsi="Calibri" w:cs="Calibri"/>
          <w:color w:val="000000"/>
          <w:sz w:val="18"/>
          <w:szCs w:val="18"/>
        </w:rPr>
        <w:t>Fraud</w:t>
      </w:r>
      <w:proofErr w:type="gramEnd"/>
      <w:r>
        <w:rPr>
          <w:rFonts w:ascii="Calibri" w:eastAsia="Calibri" w:hAnsi="Calibri" w:cs="Calibri"/>
          <w:color w:val="000000"/>
          <w:sz w:val="18"/>
          <w:szCs w:val="18"/>
        </w:rPr>
        <w:t xml:space="preserve"> and financial extortion for the families of </w:t>
      </w:r>
      <w:r w:rsidR="008E7279">
        <w:rPr>
          <w:rFonts w:ascii="Calibri" w:eastAsia="Calibri" w:hAnsi="Calibri" w:cs="Calibri"/>
          <w:color w:val="000000"/>
          <w:sz w:val="18"/>
          <w:szCs w:val="18"/>
        </w:rPr>
        <w:t>detainees</w:t>
      </w:r>
      <w:r>
        <w:rPr>
          <w:rFonts w:ascii="Calibri" w:eastAsia="Calibri" w:hAnsi="Calibri" w:cs="Calibri"/>
          <w:color w:val="000000"/>
          <w:sz w:val="18"/>
          <w:szCs w:val="18"/>
        </w:rPr>
        <w:t xml:space="preserve"> and forcibly disappeared, November 2021, p 7. Available </w:t>
      </w:r>
      <w:hyperlink r:id="rId7">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12">
    <w:p w14:paraId="0000012D"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UNGA, Report of the Independent International Commission of Inquiry on the Syrian Arab Republic (Feb 2022), UN Doc A/HRC/49/77, para 37-44.</w:t>
      </w:r>
    </w:p>
  </w:footnote>
  <w:footnote w:id="13">
    <w:p w14:paraId="0000012E"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UNGA, Human Rights Council, National report submitted in accordance with paragraph 15 (a) of the annex to Human Rights Council resolution 5/1, Syrian Arab Republic, 17 November 2021, UN Doc A/HRC/WG.6/40/SYR/1, para 44.</w:t>
      </w:r>
    </w:p>
  </w:footnote>
  <w:footnote w:id="14">
    <w:p w14:paraId="0000012F"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 UPR Report Consideration, 29th Meeting of the 50th Regular Session Human Rights Council, 30 Jun 2022, the Speech of Mr. Hussam Edin </w:t>
      </w:r>
      <w:proofErr w:type="spellStart"/>
      <w:r>
        <w:rPr>
          <w:rFonts w:ascii="Calibri" w:eastAsia="Calibri" w:hAnsi="Calibri" w:cs="Calibri"/>
          <w:color w:val="000000"/>
          <w:sz w:val="18"/>
          <w:szCs w:val="18"/>
        </w:rPr>
        <w:t>Aala</w:t>
      </w:r>
      <w:proofErr w:type="spellEnd"/>
      <w:r>
        <w:rPr>
          <w:rFonts w:ascii="Calibri" w:eastAsia="Calibri" w:hAnsi="Calibri" w:cs="Calibri"/>
          <w:color w:val="000000"/>
          <w:sz w:val="18"/>
          <w:szCs w:val="18"/>
        </w:rPr>
        <w:t xml:space="preserve">, Ambassador Permanent Representative of the Syrian Arab Republic to UNOG (Minutes 52:57 - 53:39), Available on UN web TV at: </w:t>
      </w:r>
      <w:hyperlink r:id="rId8">
        <w:r>
          <w:rPr>
            <w:rFonts w:ascii="Calibri" w:eastAsia="Calibri" w:hAnsi="Calibri" w:cs="Calibri"/>
            <w:color w:val="0563C1"/>
            <w:sz w:val="18"/>
            <w:szCs w:val="18"/>
            <w:u w:val="single"/>
          </w:rPr>
          <w:t>https://media.un.org/en/asset/k10/k10wrqezm5</w:t>
        </w:r>
      </w:hyperlink>
      <w:r>
        <w:rPr>
          <w:rFonts w:ascii="Calibri" w:eastAsia="Calibri" w:hAnsi="Calibri" w:cs="Calibri"/>
          <w:color w:val="000000"/>
          <w:sz w:val="18"/>
          <w:szCs w:val="18"/>
        </w:rPr>
        <w:t>.</w:t>
      </w:r>
    </w:p>
  </w:footnote>
  <w:footnote w:id="15">
    <w:p w14:paraId="00000130" w14:textId="77777777" w:rsidR="00E561CC" w:rsidRDefault="00000000">
      <w:pPr>
        <w:pBdr>
          <w:top w:val="nil"/>
          <w:left w:val="nil"/>
          <w:bottom w:val="nil"/>
          <w:right w:val="nil"/>
          <w:between w:val="nil"/>
        </w:pBdr>
        <w:spacing w:after="0"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Abdulkader</w:t>
      </w:r>
      <w:proofErr w:type="spellEnd"/>
      <w:r>
        <w:rPr>
          <w:rFonts w:ascii="Calibri" w:eastAsia="Calibri" w:hAnsi="Calibri" w:cs="Calibri"/>
          <w:color w:val="000000"/>
          <w:sz w:val="18"/>
          <w:szCs w:val="18"/>
        </w:rPr>
        <w:t xml:space="preserve"> Al Sheikh, Explanation of the Penal Code: The Special Branch, vol 2 (Aleppo University Publications 2006), 120-121.</w:t>
      </w:r>
    </w:p>
  </w:footnote>
  <w:footnote w:id="16">
    <w:p w14:paraId="00000131"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Syrian Court of Cassation, decision 1984/166 in case No 285, rule 227 of the Lawyers' Journal (1985) v 3,4.</w:t>
      </w:r>
    </w:p>
  </w:footnote>
  <w:footnote w:id="17">
    <w:p w14:paraId="00000132" w14:textId="77777777" w:rsidR="00E561CC" w:rsidRDefault="00000000">
      <w:pPr>
        <w:pBdr>
          <w:top w:val="nil"/>
          <w:left w:val="nil"/>
          <w:bottom w:val="nil"/>
          <w:right w:val="nil"/>
          <w:between w:val="nil"/>
        </w:pBdr>
        <w:spacing w:after="0"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Abdulkader</w:t>
      </w:r>
      <w:proofErr w:type="spellEnd"/>
      <w:r>
        <w:rPr>
          <w:rFonts w:ascii="Calibri" w:eastAsia="Calibri" w:hAnsi="Calibri" w:cs="Calibri"/>
          <w:color w:val="000000"/>
          <w:sz w:val="18"/>
          <w:szCs w:val="18"/>
        </w:rPr>
        <w:t xml:space="preserve"> Al Sheikh, Explanation of the Penal Code: The Special Branch, vol 2 (Aleppo University Publications 2006), 121-122.</w:t>
      </w:r>
    </w:p>
  </w:footnote>
  <w:footnote w:id="18">
    <w:p w14:paraId="00000133"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Rome Statute of the International Criminal Court (last amended 2010), 17 July 1998, Art 7(2)(</w:t>
      </w:r>
      <w:proofErr w:type="spellStart"/>
      <w:r>
        <w:rPr>
          <w:rFonts w:ascii="Calibri" w:eastAsia="Calibri" w:hAnsi="Calibri" w:cs="Calibri"/>
          <w:color w:val="000000"/>
          <w:sz w:val="18"/>
          <w:szCs w:val="18"/>
        </w:rPr>
        <w:t>i</w:t>
      </w:r>
      <w:proofErr w:type="spellEnd"/>
      <w:r>
        <w:rPr>
          <w:rFonts w:ascii="Calibri" w:eastAsia="Calibri" w:hAnsi="Calibri" w:cs="Calibri"/>
          <w:color w:val="000000"/>
          <w:sz w:val="18"/>
          <w:szCs w:val="18"/>
        </w:rPr>
        <w:t>).</w:t>
      </w:r>
    </w:p>
  </w:footnote>
  <w:footnote w:id="19">
    <w:p w14:paraId="00000134"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Abdulkader</w:t>
      </w:r>
      <w:proofErr w:type="spellEnd"/>
      <w:r>
        <w:rPr>
          <w:rFonts w:ascii="Calibri" w:eastAsia="Calibri" w:hAnsi="Calibri" w:cs="Calibri"/>
          <w:color w:val="000000"/>
          <w:sz w:val="18"/>
          <w:szCs w:val="18"/>
        </w:rPr>
        <w:t xml:space="preserve"> Al Sheikh, Explanation of the Penal Code: The Special Branch, vol 2 (Aleppo University Publications 2006), 121.</w:t>
      </w:r>
    </w:p>
  </w:footnote>
  <w:footnote w:id="20">
    <w:p w14:paraId="00000135" w14:textId="77777777" w:rsidR="00E561CC" w:rsidRDefault="00000000" w:rsidP="00511AB4">
      <w:pPr>
        <w:pBdr>
          <w:top w:val="nil"/>
          <w:left w:val="nil"/>
          <w:bottom w:val="nil"/>
          <w:right w:val="nil"/>
          <w:between w:val="nil"/>
        </w:pBdr>
        <w:spacing w:after="0"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Human Rights Committee, Case </w:t>
      </w:r>
      <w:proofErr w:type="spellStart"/>
      <w:r>
        <w:rPr>
          <w:rFonts w:ascii="Calibri" w:eastAsia="Calibri" w:hAnsi="Calibri" w:cs="Calibri"/>
          <w:color w:val="000000"/>
          <w:sz w:val="18"/>
          <w:szCs w:val="18"/>
        </w:rPr>
        <w:t>Prutina</w:t>
      </w:r>
      <w:proofErr w:type="spellEnd"/>
      <w:r>
        <w:rPr>
          <w:rFonts w:ascii="Calibri" w:eastAsia="Calibri" w:hAnsi="Calibri" w:cs="Calibri"/>
          <w:color w:val="000000"/>
          <w:sz w:val="18"/>
          <w:szCs w:val="18"/>
        </w:rPr>
        <w:t xml:space="preserve"> et al. v. Bosnia and Herzegovina, Views of 28 March 2013, Individual Opinion of Mr. Fabián </w:t>
      </w:r>
      <w:proofErr w:type="spellStart"/>
      <w:r>
        <w:rPr>
          <w:rFonts w:ascii="Calibri" w:eastAsia="Calibri" w:hAnsi="Calibri" w:cs="Calibri"/>
          <w:color w:val="000000"/>
          <w:sz w:val="18"/>
          <w:szCs w:val="18"/>
        </w:rPr>
        <w:t>Salvioli</w:t>
      </w:r>
      <w:proofErr w:type="spellEnd"/>
    </w:p>
  </w:footnote>
  <w:footnote w:id="21">
    <w:p w14:paraId="00000136" w14:textId="77777777" w:rsidR="00E561CC" w:rsidRDefault="00000000" w:rsidP="00511AB4">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Syrian Penal Code No.148 1949, Art 39</w:t>
      </w:r>
    </w:p>
  </w:footnote>
  <w:footnote w:id="22">
    <w:p w14:paraId="00000137" w14:textId="77777777" w:rsidR="00E561CC" w:rsidRDefault="00000000" w:rsidP="00511AB4">
      <w:pPr>
        <w:pBdr>
          <w:top w:val="nil"/>
          <w:left w:val="nil"/>
          <w:bottom w:val="nil"/>
          <w:right w:val="nil"/>
          <w:between w:val="nil"/>
        </w:pBdr>
        <w:spacing w:after="0"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E.g., the Palestine Branch and Air Force Intelligence Service.</w:t>
      </w:r>
    </w:p>
  </w:footnote>
  <w:footnote w:id="23">
    <w:p w14:paraId="00000138"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61 of 1950, Military Penal Code, Article 53.</w:t>
      </w:r>
    </w:p>
  </w:footnote>
  <w:footnote w:id="24">
    <w:p w14:paraId="00000139"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61 of 1950, Military Penal Code, Article 50.</w:t>
      </w:r>
    </w:p>
  </w:footnote>
  <w:footnote w:id="25">
    <w:p w14:paraId="0000013A"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61 of 1950, Military Penal Code, Articles 34, 35, and 39.</w:t>
      </w:r>
    </w:p>
  </w:footnote>
  <w:footnote w:id="26">
    <w:p w14:paraId="0000013B"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61 of 1950, Military Penal Code, art 50. To read more about the military judiciary in Syria see, Fallacies not Facts: A critical legal study of the national report submitted by the Syrian Arab Republic in the third cycle of the universal periodic review in 2022, The Syrian Legal Development </w:t>
      </w:r>
      <w:proofErr w:type="spellStart"/>
      <w:r>
        <w:rPr>
          <w:rFonts w:ascii="Calibri" w:eastAsia="Calibri" w:hAnsi="Calibri" w:cs="Calibri"/>
          <w:color w:val="000000"/>
          <w:sz w:val="18"/>
          <w:szCs w:val="18"/>
        </w:rPr>
        <w:t>Programme</w:t>
      </w:r>
      <w:proofErr w:type="spellEnd"/>
      <w:r>
        <w:rPr>
          <w:rFonts w:ascii="Calibri" w:eastAsia="Calibri" w:hAnsi="Calibri" w:cs="Calibri"/>
          <w:color w:val="000000"/>
          <w:sz w:val="18"/>
          <w:szCs w:val="18"/>
        </w:rPr>
        <w:t xml:space="preserve"> (SLDP) in coordination with We Exist Alliance (2022), p 20-22. Available </w:t>
      </w:r>
      <w:hyperlink r:id="rId9">
        <w:r>
          <w:rPr>
            <w:rFonts w:ascii="Calibri" w:eastAsia="Calibri" w:hAnsi="Calibri" w:cs="Calibri"/>
            <w:color w:val="0563C1"/>
            <w:sz w:val="18"/>
            <w:szCs w:val="18"/>
            <w:u w:val="single"/>
          </w:rPr>
          <w:t>here</w:t>
        </w:r>
      </w:hyperlink>
      <w:r>
        <w:rPr>
          <w:rFonts w:ascii="Calibri" w:eastAsia="Calibri" w:hAnsi="Calibri" w:cs="Calibri"/>
          <w:color w:val="000000"/>
          <w:sz w:val="18"/>
          <w:szCs w:val="18"/>
        </w:rPr>
        <w:t>.</w:t>
      </w:r>
    </w:p>
  </w:footnote>
  <w:footnote w:id="27">
    <w:p w14:paraId="0000013C"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E, </w:t>
      </w:r>
      <w:proofErr w:type="gramStart"/>
      <w:r>
        <w:rPr>
          <w:rFonts w:ascii="Calibri" w:eastAsia="Calibri" w:hAnsi="Calibri" w:cs="Calibri"/>
          <w:color w:val="000000"/>
          <w:sz w:val="18"/>
          <w:szCs w:val="18"/>
        </w:rPr>
        <w:t>g,.</w:t>
      </w:r>
      <w:proofErr w:type="gramEnd"/>
      <w:r>
        <w:rPr>
          <w:rFonts w:ascii="Calibri" w:eastAsia="Calibri" w:hAnsi="Calibri" w:cs="Calibri"/>
          <w:color w:val="000000"/>
          <w:sz w:val="18"/>
          <w:szCs w:val="18"/>
        </w:rPr>
        <w:t xml:space="preserve"> the Political Security Division, Criminal </w:t>
      </w:r>
      <w:proofErr w:type="gramStart"/>
      <w:r>
        <w:rPr>
          <w:rFonts w:ascii="Calibri" w:eastAsia="Calibri" w:hAnsi="Calibri" w:cs="Calibri"/>
          <w:color w:val="000000"/>
          <w:sz w:val="18"/>
          <w:szCs w:val="18"/>
        </w:rPr>
        <w:t>Security</w:t>
      </w:r>
      <w:proofErr w:type="gramEnd"/>
      <w:r>
        <w:rPr>
          <w:rFonts w:ascii="Calibri" w:eastAsia="Calibri" w:hAnsi="Calibri" w:cs="Calibri"/>
          <w:color w:val="000000"/>
          <w:sz w:val="18"/>
          <w:szCs w:val="18"/>
        </w:rPr>
        <w:t xml:space="preserve"> and the Prison Administration.</w:t>
      </w:r>
    </w:p>
  </w:footnote>
  <w:footnote w:id="28">
    <w:p w14:paraId="0000013D"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No.1 of 2012, The Internal Security Forces Service Law, art 23 (1-a).</w:t>
      </w:r>
    </w:p>
  </w:footnote>
  <w:footnote w:id="29">
    <w:p w14:paraId="0000013E" w14:textId="77777777" w:rsidR="00E561CC" w:rsidRDefault="00000000">
      <w:pPr>
        <w:pBdr>
          <w:top w:val="nil"/>
          <w:left w:val="nil"/>
          <w:bottom w:val="nil"/>
          <w:right w:val="nil"/>
          <w:between w:val="nil"/>
        </w:pBdr>
        <w:spacing w:after="0"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No.1 of 2012, The Internal Security Forces Service Law, art 23 (1-b), 120.</w:t>
      </w:r>
    </w:p>
  </w:footnote>
  <w:footnote w:id="30">
    <w:p w14:paraId="0000013F" w14:textId="77777777" w:rsidR="00E561CC" w:rsidRDefault="00000000">
      <w:pPr>
        <w:pBdr>
          <w:top w:val="nil"/>
          <w:left w:val="nil"/>
          <w:bottom w:val="nil"/>
          <w:right w:val="nil"/>
          <w:between w:val="nil"/>
        </w:pBdr>
        <w:spacing w:after="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No.1 of 2012, The Internal Security Forces Service Law, art 23 (1,2).</w:t>
      </w:r>
    </w:p>
  </w:footnote>
  <w:footnote w:id="31">
    <w:p w14:paraId="00000140" w14:textId="77777777" w:rsidR="00E561CC" w:rsidRDefault="00000000" w:rsidP="00511AB4">
      <w:pPr>
        <w:pBdr>
          <w:top w:val="nil"/>
          <w:left w:val="nil"/>
          <w:bottom w:val="nil"/>
          <w:right w:val="nil"/>
          <w:between w:val="nil"/>
        </w:pBdr>
        <w:spacing w:after="0"/>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Article 30 of Legislative Decree 14/1969 states that “This law shall not be published and goes into effect on the day of issuance.” However, you can find the analysis of the decree in: "Alternative Report to the Syrian Government's Initial Report on Measures taken to Fulfil its Commitments under the Convention Against Torture and Other Cruel, Inhuman or Degrading Treatment or Punishment", Damascus Center for Human Rights Studies, available online at</w:t>
      </w:r>
      <w:hyperlink r:id="rId10">
        <w:r>
          <w:rPr>
            <w:rFonts w:ascii="Calibri" w:eastAsia="Calibri" w:hAnsi="Calibri" w:cs="Calibri"/>
            <w:color w:val="1155CC"/>
            <w:sz w:val="18"/>
            <w:szCs w:val="18"/>
            <w:u w:val="single"/>
          </w:rPr>
          <w:t>https://tbinternet.ohchr.org/Treaties/CAT/Shared%20Documents/SYR/INT_CAT_NGO_SYR_48_10106_E.pdf</w:t>
        </w:r>
      </w:hyperlink>
      <w:r>
        <w:rPr>
          <w:rFonts w:ascii="Calibri" w:eastAsia="Calibri" w:hAnsi="Calibri" w:cs="Calibri"/>
          <w:color w:val="000000"/>
          <w:sz w:val="18"/>
          <w:szCs w:val="18"/>
        </w:rPr>
        <w:t>Page 5-6.</w:t>
      </w:r>
    </w:p>
  </w:footnote>
  <w:footnote w:id="32">
    <w:p w14:paraId="00000141" w14:textId="77777777" w:rsidR="00E561CC" w:rsidRDefault="00000000" w:rsidP="00511AB4">
      <w:pPr>
        <w:spacing w:after="0" w:line="240" w:lineRule="auto"/>
        <w:ind w:left="0"/>
        <w:jc w:val="both"/>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The act is criminalized under </w:t>
      </w:r>
      <w:r>
        <w:rPr>
          <w:rFonts w:ascii="Calibri" w:eastAsia="Calibri" w:hAnsi="Calibri" w:cs="Calibri"/>
          <w:i/>
          <w:sz w:val="18"/>
          <w:szCs w:val="18"/>
        </w:rPr>
        <w:t>Article 358 of the General Penal Code</w:t>
      </w:r>
      <w:r>
        <w:rPr>
          <w:rFonts w:ascii="Calibri" w:eastAsia="Calibri" w:hAnsi="Calibri" w:cs="Calibri"/>
          <w:sz w:val="18"/>
          <w:szCs w:val="18"/>
        </w:rPr>
        <w:t xml:space="preserve">. </w:t>
      </w:r>
      <w:r>
        <w:rPr>
          <w:rFonts w:ascii="Calibri" w:eastAsia="Calibri" w:hAnsi="Calibri" w:cs="Calibri"/>
          <w:i/>
          <w:sz w:val="18"/>
          <w:szCs w:val="18"/>
        </w:rPr>
        <w:t>See</w:t>
      </w:r>
      <w:r>
        <w:rPr>
          <w:rFonts w:ascii="Calibri" w:eastAsia="Calibri" w:hAnsi="Calibri" w:cs="Calibri"/>
          <w:sz w:val="18"/>
          <w:szCs w:val="18"/>
        </w:rPr>
        <w:t xml:space="preserve"> amnesty laws </w:t>
      </w:r>
      <w:hyperlink r:id="rId11">
        <w:r>
          <w:rPr>
            <w:rFonts w:ascii="Calibri" w:eastAsia="Calibri" w:hAnsi="Calibri" w:cs="Calibri"/>
            <w:color w:val="0563C1"/>
            <w:sz w:val="18"/>
            <w:szCs w:val="18"/>
            <w:u w:val="single"/>
          </w:rPr>
          <w:t>No.61 of 2011</w:t>
        </w:r>
      </w:hyperlink>
      <w:r>
        <w:rPr>
          <w:rFonts w:ascii="Calibri" w:eastAsia="Calibri" w:hAnsi="Calibri" w:cs="Calibri"/>
          <w:sz w:val="18"/>
          <w:szCs w:val="18"/>
        </w:rPr>
        <w:t>,</w:t>
      </w:r>
      <w:r>
        <w:rPr>
          <w:rFonts w:ascii="Calibri" w:eastAsia="Calibri" w:hAnsi="Calibri" w:cs="Calibri"/>
          <w:color w:val="0563C1"/>
          <w:sz w:val="18"/>
          <w:szCs w:val="18"/>
          <w:u w:val="single"/>
        </w:rPr>
        <w:t xml:space="preserve"> Art 1,2</w:t>
      </w:r>
      <w:r>
        <w:rPr>
          <w:rFonts w:ascii="Calibri" w:eastAsia="Calibri" w:hAnsi="Calibri" w:cs="Calibri"/>
          <w:sz w:val="18"/>
          <w:szCs w:val="18"/>
        </w:rPr>
        <w:t xml:space="preserve">; </w:t>
      </w:r>
      <w:hyperlink r:id="rId12" w:anchor=":~:text=%D8%A7%D9%84%D9%85%D8%B1%D8%B3%D9%88%D9%85%20%D8%A7%D9%84%D8%AA%D8%B4%D8%B1%D9%8A%D8%B9%D9%8A%2071%20%D9%84%D8%B9%D8%A7%D9%85%202012,%D9%82%D8%A8%D9%84%20%D8%AA%D8%A7%D8%B1%D9%8A%D8%AE%2023%2D10%2D2012&amp;amp;text=%D8%A3.,%D8%A7%D9%84%D8%A7%D8%B9%D8%">
        <w:r>
          <w:rPr>
            <w:rFonts w:ascii="Calibri" w:eastAsia="Calibri" w:hAnsi="Calibri" w:cs="Calibri"/>
            <w:color w:val="0563C1"/>
            <w:sz w:val="18"/>
            <w:szCs w:val="18"/>
            <w:u w:val="single"/>
          </w:rPr>
          <w:t>No.71 of 2012</w:t>
        </w:r>
      </w:hyperlink>
      <w:r>
        <w:rPr>
          <w:rFonts w:ascii="Calibri" w:eastAsia="Calibri" w:hAnsi="Calibri" w:cs="Calibri"/>
          <w:color w:val="0563C1"/>
          <w:sz w:val="18"/>
          <w:szCs w:val="18"/>
          <w:u w:val="single"/>
        </w:rPr>
        <w:t xml:space="preserve"> Art 6,13</w:t>
      </w:r>
      <w:r>
        <w:rPr>
          <w:rFonts w:ascii="Calibri" w:eastAsia="Calibri" w:hAnsi="Calibri" w:cs="Calibri"/>
          <w:sz w:val="18"/>
          <w:szCs w:val="18"/>
        </w:rPr>
        <w:t xml:space="preserve">; </w:t>
      </w:r>
      <w:hyperlink r:id="rId13" w:anchor=":~:text=%D8%A7%D9%84%D9%85%D8%B1%D8%B3%D9%88%D9%85%20%D8%A7%D9%84%D8%AA%D8%B4%D8%B1%D9%8A%D8%B9%D9%8A%2023%20%D9%84%D8%B9%D8%A7%D9%85%202013,%D8%A7%D9%84%D9%85%D8%B1%D8%AA%D9%83%D8%A8%D8%A9%20%D9%82%D8%A8%D9%84%2016%2D4%2D2013&amp;amp;text=%D8%AA%D8%B3%D8%AA%">
        <w:r>
          <w:rPr>
            <w:rFonts w:ascii="Calibri" w:eastAsia="Calibri" w:hAnsi="Calibri" w:cs="Calibri"/>
            <w:color w:val="0563C1"/>
            <w:sz w:val="18"/>
            <w:szCs w:val="18"/>
            <w:u w:val="single"/>
          </w:rPr>
          <w:t>No. 23 of 2013</w:t>
        </w:r>
      </w:hyperlink>
      <w:r>
        <w:rPr>
          <w:rFonts w:ascii="Calibri" w:eastAsia="Calibri" w:hAnsi="Calibri" w:cs="Calibri"/>
          <w:sz w:val="18"/>
          <w:szCs w:val="18"/>
        </w:rPr>
        <w:t xml:space="preserve">, Art 10, 15; </w:t>
      </w:r>
      <w:hyperlink r:id="rId14">
        <w:r>
          <w:rPr>
            <w:rFonts w:ascii="Calibri" w:eastAsia="Calibri" w:hAnsi="Calibri" w:cs="Calibri"/>
            <w:color w:val="0563C1"/>
            <w:sz w:val="18"/>
            <w:szCs w:val="18"/>
            <w:u w:val="single"/>
          </w:rPr>
          <w:t>No.22 of 2014</w:t>
        </w:r>
      </w:hyperlink>
      <w:r>
        <w:rPr>
          <w:rFonts w:ascii="Calibri" w:eastAsia="Calibri" w:hAnsi="Calibri" w:cs="Calibri"/>
          <w:sz w:val="18"/>
          <w:szCs w:val="18"/>
        </w:rPr>
        <w:t xml:space="preserve">, Art 12, 18; </w:t>
      </w:r>
      <w:hyperlink r:id="rId15">
        <w:r>
          <w:rPr>
            <w:rFonts w:ascii="Calibri" w:eastAsia="Calibri" w:hAnsi="Calibri" w:cs="Calibri"/>
            <w:color w:val="0563C1"/>
            <w:sz w:val="18"/>
            <w:szCs w:val="18"/>
            <w:u w:val="single"/>
          </w:rPr>
          <w:t>No.20 of 2019</w:t>
        </w:r>
      </w:hyperlink>
      <w:r>
        <w:rPr>
          <w:rFonts w:ascii="Calibri" w:eastAsia="Calibri" w:hAnsi="Calibri" w:cs="Calibri"/>
          <w:sz w:val="18"/>
          <w:szCs w:val="18"/>
        </w:rPr>
        <w:t xml:space="preserve">, Art 10, 14; </w:t>
      </w:r>
      <w:hyperlink r:id="rId16" w:anchor=":~:text=%D9%8A%D9%85%D9%86%D8%AD%20%D8%B9%D9%81%D9%88%20%D8%B9%D8%A7%D9%85%20%D8%B9%D9%86%20%D8%A7%D9%84%D8%AC%D8%B1%D8%A7%D8%A6%D9%85,%D9%85%D9%86%20%D8%B9%D9%82%D9%88%D8%A8%D8%A9%20%D8%A7%D9%84%D8%A3%D8%B4%D8%BA%D8%A7%D9%84%20%D8%A7%D9%84%D8%B4%D8%A7%D9">
        <w:r>
          <w:rPr>
            <w:rFonts w:ascii="Calibri" w:eastAsia="Calibri" w:hAnsi="Calibri" w:cs="Calibri"/>
            <w:color w:val="0563C1"/>
            <w:sz w:val="18"/>
            <w:szCs w:val="18"/>
            <w:u w:val="single"/>
          </w:rPr>
          <w:t>No. 6 of 2020</w:t>
        </w:r>
      </w:hyperlink>
      <w:r>
        <w:rPr>
          <w:rFonts w:ascii="Calibri" w:eastAsia="Calibri" w:hAnsi="Calibri" w:cs="Calibri"/>
          <w:sz w:val="18"/>
          <w:szCs w:val="18"/>
        </w:rPr>
        <w:t xml:space="preserve">, Art 10, 13;  </w:t>
      </w:r>
      <w:hyperlink r:id="rId17">
        <w:r>
          <w:rPr>
            <w:rFonts w:ascii="Calibri" w:eastAsia="Calibri" w:hAnsi="Calibri" w:cs="Calibri"/>
            <w:color w:val="0563C1"/>
            <w:sz w:val="18"/>
            <w:szCs w:val="18"/>
            <w:u w:val="single"/>
          </w:rPr>
          <w:t>No.13 of 2021</w:t>
        </w:r>
      </w:hyperlink>
      <w:r>
        <w:rPr>
          <w:rFonts w:ascii="Calibri" w:eastAsia="Calibri" w:hAnsi="Calibri" w:cs="Calibri"/>
          <w:sz w:val="18"/>
          <w:szCs w:val="18"/>
        </w:rPr>
        <w:t>, Art 2, 17.</w:t>
      </w:r>
    </w:p>
  </w:footnote>
  <w:footnote w:id="33">
    <w:p w14:paraId="00000142" w14:textId="77777777" w:rsidR="00E561CC" w:rsidRDefault="00000000" w:rsidP="00511AB4">
      <w:pPr>
        <w:spacing w:after="0" w:line="240" w:lineRule="auto"/>
        <w:ind w:left="0"/>
        <w:jc w:val="both"/>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w:t>
      </w:r>
      <w:r>
        <w:rPr>
          <w:rFonts w:ascii="Calibri" w:eastAsia="Calibri" w:hAnsi="Calibri" w:cs="Calibri"/>
          <w:i/>
          <w:sz w:val="18"/>
          <w:szCs w:val="18"/>
        </w:rPr>
        <w:t>See</w:t>
      </w:r>
      <w:r>
        <w:rPr>
          <w:rFonts w:ascii="Calibri" w:eastAsia="Calibri" w:hAnsi="Calibri" w:cs="Calibri"/>
          <w:sz w:val="18"/>
          <w:szCs w:val="18"/>
        </w:rPr>
        <w:t xml:space="preserve">, </w:t>
      </w:r>
      <w:hyperlink r:id="rId18">
        <w:r>
          <w:rPr>
            <w:rFonts w:ascii="Calibri" w:eastAsia="Calibri" w:hAnsi="Calibri" w:cs="Calibri"/>
            <w:color w:val="0563C1"/>
            <w:sz w:val="18"/>
            <w:szCs w:val="18"/>
            <w:u w:val="single"/>
          </w:rPr>
          <w:t>No.22 of 2014</w:t>
        </w:r>
      </w:hyperlink>
      <w:r>
        <w:rPr>
          <w:rFonts w:ascii="Calibri" w:eastAsia="Calibri" w:hAnsi="Calibri" w:cs="Calibri"/>
          <w:sz w:val="18"/>
          <w:szCs w:val="18"/>
        </w:rPr>
        <w:t xml:space="preserve">, Art 6; </w:t>
      </w:r>
      <w:hyperlink r:id="rId19" w:anchor="1635;&amp;amp;">
        <w:r>
          <w:rPr>
            <w:rFonts w:ascii="Calibri" w:eastAsia="Calibri" w:hAnsi="Calibri" w:cs="Calibri"/>
            <w:color w:val="0563C1"/>
            <w:sz w:val="18"/>
            <w:szCs w:val="18"/>
            <w:u w:val="single"/>
          </w:rPr>
          <w:t>No 15 of 2016</w:t>
        </w:r>
      </w:hyperlink>
      <w:r>
        <w:rPr>
          <w:rFonts w:ascii="Calibri" w:eastAsia="Calibri" w:hAnsi="Calibri" w:cs="Calibri"/>
          <w:sz w:val="18"/>
          <w:szCs w:val="18"/>
        </w:rPr>
        <w:t xml:space="preserve">, Art 2; </w:t>
      </w:r>
      <w:hyperlink r:id="rId20">
        <w:r>
          <w:rPr>
            <w:rFonts w:ascii="Calibri" w:eastAsia="Calibri" w:hAnsi="Calibri" w:cs="Calibri"/>
            <w:color w:val="0563C1"/>
            <w:sz w:val="18"/>
            <w:szCs w:val="18"/>
            <w:u w:val="single"/>
          </w:rPr>
          <w:t>No.20 of 2019</w:t>
        </w:r>
      </w:hyperlink>
      <w:r>
        <w:rPr>
          <w:rFonts w:ascii="Calibri" w:eastAsia="Calibri" w:hAnsi="Calibri" w:cs="Calibri"/>
          <w:sz w:val="18"/>
          <w:szCs w:val="18"/>
        </w:rPr>
        <w:t xml:space="preserve">, Art 5; </w:t>
      </w:r>
      <w:hyperlink r:id="rId21" w:anchor=":~:text=%D9%8A%D9%85%D9%86%D8%AD%20%D8%B9%D9%81%D9%88%20%D8%B9%D8%A7%D9%85%20%D8%B9%D9%86%20%D8%A7%D9%84%D8%AC%D8%B1%D8%A7%D8%A6%D9%85,%D9%85%D9%86%20%D8%B9%D9%82%D9%88%D8%A8%D8%A9%20%D8%A7%D9%84%D8%A3%D8%B4%D8%BA%D8%A7%D9%84%20%D8%A7%D9%84%D8%B4%D8%A7%D9">
        <w:r>
          <w:rPr>
            <w:rFonts w:ascii="Calibri" w:eastAsia="Calibri" w:hAnsi="Calibri" w:cs="Calibri"/>
            <w:color w:val="0563C1"/>
            <w:sz w:val="18"/>
            <w:szCs w:val="18"/>
            <w:u w:val="single"/>
          </w:rPr>
          <w:t>No. 6 of 2020</w:t>
        </w:r>
      </w:hyperlink>
      <w:r>
        <w:rPr>
          <w:rFonts w:ascii="Calibri" w:eastAsia="Calibri" w:hAnsi="Calibri" w:cs="Calibri"/>
          <w:color w:val="0563C1"/>
          <w:sz w:val="18"/>
          <w:szCs w:val="18"/>
          <w:u w:val="single"/>
        </w:rPr>
        <w:t xml:space="preserve">, Art 6; </w:t>
      </w:r>
      <w:r>
        <w:rPr>
          <w:rFonts w:ascii="Calibri" w:eastAsia="Calibri" w:hAnsi="Calibri" w:cs="Calibri"/>
          <w:sz w:val="18"/>
          <w:szCs w:val="18"/>
        </w:rPr>
        <w:t xml:space="preserve"> </w:t>
      </w:r>
      <w:hyperlink r:id="rId22">
        <w:r>
          <w:rPr>
            <w:rFonts w:ascii="Calibri" w:eastAsia="Calibri" w:hAnsi="Calibri" w:cs="Calibri"/>
            <w:color w:val="0563C1"/>
            <w:sz w:val="18"/>
            <w:szCs w:val="18"/>
            <w:u w:val="single"/>
          </w:rPr>
          <w:t>No.13 of 2021</w:t>
        </w:r>
      </w:hyperlink>
      <w:r>
        <w:rPr>
          <w:rFonts w:ascii="Calibri" w:eastAsia="Calibri" w:hAnsi="Calibri" w:cs="Calibri"/>
          <w:sz w:val="18"/>
          <w:szCs w:val="18"/>
        </w:rPr>
        <w:t xml:space="preserve">, Art 7. </w:t>
      </w:r>
    </w:p>
  </w:footnote>
  <w:footnote w:id="34">
    <w:p w14:paraId="00000143" w14:textId="77777777" w:rsidR="00E561CC" w:rsidRDefault="00000000" w:rsidP="00511AB4">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 UPR Report Consideration, 29th Meeting of the 50th Regular Session Human Rights Council, 30 Jun 2022, the Speech of Mr. Hussam Edin </w:t>
      </w:r>
      <w:proofErr w:type="spellStart"/>
      <w:r>
        <w:rPr>
          <w:rFonts w:ascii="Calibri" w:eastAsia="Calibri" w:hAnsi="Calibri" w:cs="Calibri"/>
          <w:color w:val="000000"/>
          <w:sz w:val="18"/>
          <w:szCs w:val="18"/>
        </w:rPr>
        <w:t>Aala</w:t>
      </w:r>
      <w:proofErr w:type="spellEnd"/>
      <w:r>
        <w:rPr>
          <w:rFonts w:ascii="Calibri" w:eastAsia="Calibri" w:hAnsi="Calibri" w:cs="Calibri"/>
          <w:color w:val="000000"/>
          <w:sz w:val="18"/>
          <w:szCs w:val="18"/>
        </w:rPr>
        <w:t xml:space="preserve">, Ambassador Permanent Representative of the Syrian Arab Republic to UNOG (Minutes 53:40 - 54:35), Available on UN web TV at: </w:t>
      </w:r>
      <w:hyperlink r:id="rId23">
        <w:r>
          <w:rPr>
            <w:rFonts w:ascii="Calibri" w:eastAsia="Calibri" w:hAnsi="Calibri" w:cs="Calibri"/>
            <w:color w:val="0563C1"/>
            <w:sz w:val="18"/>
            <w:szCs w:val="18"/>
            <w:u w:val="single"/>
          </w:rPr>
          <w:t>https://media.un.org/en/asset/k10/k10wrqezm5</w:t>
        </w:r>
      </w:hyperlink>
      <w:r>
        <w:rPr>
          <w:rFonts w:ascii="Calibri" w:eastAsia="Calibri" w:hAnsi="Calibri" w:cs="Calibri"/>
          <w:color w:val="000000"/>
          <w:sz w:val="18"/>
          <w:szCs w:val="18"/>
        </w:rPr>
        <w:t>.</w:t>
      </w:r>
    </w:p>
  </w:footnote>
  <w:footnote w:id="35">
    <w:p w14:paraId="00000144"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HRC, Independent International Commission of Inquiry on the Syrian Arab Republic, Syria’s Missing and Disappeared:</w:t>
      </w:r>
    </w:p>
    <w:p w14:paraId="00000145"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Fonts w:ascii="Calibri" w:eastAsia="Calibri" w:hAnsi="Calibri" w:cs="Calibri"/>
          <w:color w:val="000000"/>
          <w:sz w:val="18"/>
          <w:szCs w:val="18"/>
        </w:rPr>
        <w:t xml:space="preserve">Is there a Way Forward? Recommendations for a Mechanism with an International Mandate, (17 June 2022), Page 2 and footnote 2(Why is the Commission Recommending a Mechanism with an International Mandate?), Available online </w:t>
      </w:r>
      <w:hyperlink r:id="rId24">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w:t>
      </w:r>
    </w:p>
  </w:footnote>
  <w:footnote w:id="36">
    <w:p w14:paraId="00000146" w14:textId="77777777" w:rsidR="00E561CC" w:rsidRDefault="00000000">
      <w:pPr>
        <w:pBdr>
          <w:top w:val="nil"/>
          <w:left w:val="nil"/>
          <w:bottom w:val="nil"/>
          <w:right w:val="nil"/>
          <w:between w:val="nil"/>
        </w:pBdr>
        <w:spacing w:line="240" w:lineRule="auto"/>
        <w:rPr>
          <w:rFonts w:ascii="Calibri" w:eastAsia="Calibri" w:hAnsi="Calibri" w:cs="Calibri"/>
          <w:sz w:val="18"/>
          <w:szCs w:val="18"/>
        </w:rPr>
      </w:pPr>
      <w:r>
        <w:rPr>
          <w:rStyle w:val="FootnoteReference"/>
        </w:rPr>
        <w:footnoteRef/>
      </w:r>
      <w:r>
        <w:rPr>
          <w:rFonts w:ascii="Calibri" w:eastAsia="Calibri" w:hAnsi="Calibri" w:cs="Calibri"/>
          <w:color w:val="000000"/>
          <w:sz w:val="18"/>
          <w:szCs w:val="18"/>
        </w:rPr>
        <w:t xml:space="preserve"> </w:t>
      </w:r>
      <w:r>
        <w:rPr>
          <w:rFonts w:ascii="Calibri" w:eastAsia="Calibri" w:hAnsi="Calibri" w:cs="Calibri"/>
          <w:sz w:val="18"/>
          <w:szCs w:val="18"/>
        </w:rPr>
        <w:t>Syrian Counter-terrorism Law No. 19 of 2012 Art 1.</w:t>
      </w:r>
    </w:p>
  </w:footnote>
  <w:footnote w:id="37">
    <w:p w14:paraId="00000147" w14:textId="77777777" w:rsidR="00E561CC" w:rsidRDefault="00000000">
      <w:pPr>
        <w:pBdr>
          <w:top w:val="nil"/>
          <w:left w:val="nil"/>
          <w:bottom w:val="nil"/>
          <w:right w:val="nil"/>
          <w:between w:val="nil"/>
        </w:pBdr>
        <w:spacing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r>
        <w:rPr>
          <w:rFonts w:ascii="Calibri" w:eastAsia="Calibri" w:hAnsi="Calibri" w:cs="Calibri"/>
          <w:sz w:val="18"/>
          <w:szCs w:val="18"/>
        </w:rPr>
        <w:t xml:space="preserve">Syria: Counterterrorism Court Used to Stifle Dissent’ (Human Rights Watch, 25 June 2013) available at: </w:t>
      </w:r>
      <w:hyperlink r:id="rId25">
        <w:r>
          <w:rPr>
            <w:rFonts w:ascii="Calibri" w:eastAsia="Calibri" w:hAnsi="Calibri" w:cs="Calibri"/>
            <w:color w:val="0563C1"/>
            <w:sz w:val="18"/>
            <w:szCs w:val="18"/>
            <w:u w:val="single"/>
          </w:rPr>
          <w:t>https://www.hrw.org/news/2013/06/25/syria-counterterrorism-court-used-stifle-dissent</w:t>
        </w:r>
      </w:hyperlink>
      <w:r>
        <w:rPr>
          <w:rFonts w:ascii="Calibri" w:eastAsia="Calibri" w:hAnsi="Calibri" w:cs="Calibri"/>
          <w:color w:val="000000"/>
          <w:sz w:val="18"/>
          <w:szCs w:val="18"/>
        </w:rPr>
        <w:t>.</w:t>
      </w:r>
    </w:p>
  </w:footnote>
  <w:footnote w:id="38">
    <w:p w14:paraId="00000148"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Law No. 15/2022 on amending articles of the General Penal Code, art 10,11. Available in Arabic </w:t>
      </w:r>
      <w:hyperlink r:id="rId26">
        <w:r>
          <w:rPr>
            <w:rFonts w:ascii="Calibri" w:eastAsia="Calibri" w:hAnsi="Calibri" w:cs="Calibri"/>
            <w:color w:val="0563C1"/>
            <w:sz w:val="18"/>
            <w:szCs w:val="18"/>
            <w:u w:val="single"/>
          </w:rPr>
          <w:t>here</w:t>
        </w:r>
      </w:hyperlink>
      <w:r>
        <w:rPr>
          <w:rFonts w:ascii="Calibri" w:eastAsia="Calibri" w:hAnsi="Calibri" w:cs="Calibri"/>
          <w:color w:val="000000"/>
          <w:sz w:val="18"/>
          <w:szCs w:val="18"/>
        </w:rPr>
        <w:t>.</w:t>
      </w:r>
    </w:p>
  </w:footnote>
  <w:footnote w:id="39">
    <w:p w14:paraId="00000149"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Cybercrime Law No. 20/2022, art 27. Available in Arabic </w:t>
      </w:r>
      <w:hyperlink r:id="rId27">
        <w:r>
          <w:rPr>
            <w:rFonts w:ascii="Calibri" w:eastAsia="Calibri" w:hAnsi="Calibri" w:cs="Calibri"/>
            <w:color w:val="0563C1"/>
            <w:sz w:val="18"/>
            <w:szCs w:val="18"/>
            <w:u w:val="single"/>
          </w:rPr>
          <w:t>here</w:t>
        </w:r>
      </w:hyperlink>
    </w:p>
  </w:footnote>
  <w:footnote w:id="40">
    <w:p w14:paraId="0000014A"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Cybercrime Law No. 20/2022, art 28. Available in Arabic </w:t>
      </w:r>
      <w:hyperlink r:id="rId28">
        <w:r>
          <w:rPr>
            <w:rFonts w:ascii="Calibri" w:eastAsia="Calibri" w:hAnsi="Calibri" w:cs="Calibri"/>
            <w:color w:val="0563C1"/>
            <w:sz w:val="18"/>
            <w:szCs w:val="18"/>
            <w:u w:val="single"/>
          </w:rPr>
          <w:t>here</w:t>
        </w:r>
      </w:hyperlink>
    </w:p>
  </w:footnote>
  <w:footnote w:id="41">
    <w:p w14:paraId="0000014B"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See, Zahra </w:t>
      </w:r>
      <w:proofErr w:type="spellStart"/>
      <w:r>
        <w:rPr>
          <w:rFonts w:ascii="Calibri" w:eastAsia="Calibri" w:hAnsi="Calibri" w:cs="Calibri"/>
          <w:color w:val="000000"/>
          <w:sz w:val="18"/>
          <w:szCs w:val="18"/>
        </w:rPr>
        <w:t>AlBarazi</w:t>
      </w:r>
      <w:proofErr w:type="spellEnd"/>
      <w:r>
        <w:rPr>
          <w:rFonts w:ascii="Calibri" w:eastAsia="Calibri" w:hAnsi="Calibri" w:cs="Calibri"/>
          <w:color w:val="000000"/>
          <w:sz w:val="18"/>
          <w:szCs w:val="18"/>
        </w:rPr>
        <w:t xml:space="preserve">, Yousef </w:t>
      </w:r>
      <w:proofErr w:type="spellStart"/>
      <w:r>
        <w:rPr>
          <w:rFonts w:ascii="Calibri" w:eastAsia="Calibri" w:hAnsi="Calibri" w:cs="Calibri"/>
          <w:color w:val="000000"/>
          <w:sz w:val="18"/>
          <w:szCs w:val="18"/>
        </w:rPr>
        <w:t>Wehbe</w:t>
      </w:r>
      <w:proofErr w:type="spellEnd"/>
      <w:r>
        <w:rPr>
          <w:rFonts w:ascii="Calibri" w:eastAsia="Calibri" w:hAnsi="Calibri" w:cs="Calibri"/>
          <w:color w:val="000000"/>
          <w:sz w:val="18"/>
          <w:szCs w:val="18"/>
        </w:rPr>
        <w:t xml:space="preserve">, Obai Kurdali, The Syrian Judiciary’s Independence: Broader Constitutional Lenses, Konrad-Adenauer-Stiftung e. V. Rule of Law </w:t>
      </w:r>
      <w:proofErr w:type="spellStart"/>
      <w:r>
        <w:rPr>
          <w:rFonts w:ascii="Calibri" w:eastAsia="Calibri" w:hAnsi="Calibri" w:cs="Calibri"/>
          <w:color w:val="000000"/>
          <w:sz w:val="18"/>
          <w:szCs w:val="18"/>
        </w:rPr>
        <w:t>Programme</w:t>
      </w:r>
      <w:proofErr w:type="spellEnd"/>
      <w:r>
        <w:rPr>
          <w:rFonts w:ascii="Calibri" w:eastAsia="Calibri" w:hAnsi="Calibri" w:cs="Calibri"/>
          <w:color w:val="000000"/>
          <w:sz w:val="18"/>
          <w:szCs w:val="18"/>
        </w:rPr>
        <w:t xml:space="preserve"> Middle East and North Africa (November 2021). Available </w:t>
      </w:r>
      <w:hyperlink r:id="rId29">
        <w:r>
          <w:rPr>
            <w:rFonts w:ascii="Calibri" w:eastAsia="Calibri" w:hAnsi="Calibri" w:cs="Calibri"/>
            <w:color w:val="0563C1"/>
            <w:sz w:val="18"/>
            <w:szCs w:val="18"/>
            <w:u w:val="single"/>
          </w:rPr>
          <w:t>here</w:t>
        </w:r>
      </w:hyperlink>
      <w:r>
        <w:rPr>
          <w:rFonts w:ascii="Calibri" w:eastAsia="Calibri" w:hAnsi="Calibri" w:cs="Calibri"/>
          <w:color w:val="000000"/>
          <w:sz w:val="18"/>
          <w:szCs w:val="18"/>
        </w:rPr>
        <w:t>.</w:t>
      </w:r>
    </w:p>
  </w:footnote>
  <w:footnote w:id="42">
    <w:p w14:paraId="0000014C"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See for example the nature of the charges and judgments issued against </w:t>
      </w:r>
      <w:proofErr w:type="spellStart"/>
      <w:r>
        <w:rPr>
          <w:rFonts w:ascii="Calibri" w:eastAsia="Calibri" w:hAnsi="Calibri" w:cs="Calibri"/>
          <w:color w:val="000000"/>
          <w:sz w:val="18"/>
          <w:szCs w:val="18"/>
        </w:rPr>
        <w:t>Sednaya</w:t>
      </w:r>
      <w:proofErr w:type="spellEnd"/>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detanees</w:t>
      </w:r>
      <w:proofErr w:type="spellEnd"/>
      <w:r>
        <w:rPr>
          <w:rFonts w:ascii="Calibri" w:eastAsia="Calibri" w:hAnsi="Calibri" w:cs="Calibri"/>
          <w:color w:val="000000"/>
          <w:sz w:val="18"/>
          <w:szCs w:val="18"/>
        </w:rPr>
        <w:t xml:space="preserve">, Association of Detainees and the Missing in </w:t>
      </w:r>
      <w:proofErr w:type="spellStart"/>
      <w:r>
        <w:rPr>
          <w:rFonts w:ascii="Calibri" w:eastAsia="Calibri" w:hAnsi="Calibri" w:cs="Calibri"/>
          <w:color w:val="000000"/>
          <w:sz w:val="18"/>
          <w:szCs w:val="18"/>
        </w:rPr>
        <w:t>Sednaya</w:t>
      </w:r>
      <w:proofErr w:type="spellEnd"/>
      <w:r>
        <w:rPr>
          <w:rFonts w:ascii="Calibri" w:eastAsia="Calibri" w:hAnsi="Calibri" w:cs="Calibri"/>
          <w:color w:val="000000"/>
          <w:sz w:val="18"/>
          <w:szCs w:val="18"/>
        </w:rPr>
        <w:t xml:space="preserve"> Prison, They Took Everything: Confiscation of detainees’ assets and funds in Syria, March 2022, 18-20. Available </w:t>
      </w:r>
      <w:hyperlink r:id="rId30">
        <w:r>
          <w:rPr>
            <w:rFonts w:ascii="Calibri" w:eastAsia="Calibri" w:hAnsi="Calibri" w:cs="Calibri"/>
            <w:color w:val="0563C1"/>
            <w:sz w:val="18"/>
            <w:szCs w:val="18"/>
            <w:u w:val="single"/>
          </w:rPr>
          <w:t>here</w:t>
        </w:r>
      </w:hyperlink>
      <w:r>
        <w:rPr>
          <w:rFonts w:ascii="Calibri" w:eastAsia="Calibri" w:hAnsi="Calibri" w:cs="Calibri"/>
          <w:color w:val="000000"/>
          <w:sz w:val="18"/>
          <w:szCs w:val="18"/>
        </w:rPr>
        <w:t>.</w:t>
      </w:r>
    </w:p>
  </w:footnote>
  <w:footnote w:id="43">
    <w:p w14:paraId="0000014D"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1"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w:t>
      </w:r>
    </w:p>
  </w:footnote>
  <w:footnote w:id="44">
    <w:p w14:paraId="0000014E"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2"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art 45,47,50,123.</w:t>
      </w:r>
    </w:p>
  </w:footnote>
  <w:footnote w:id="45">
    <w:p w14:paraId="0000014F"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3"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art 34,35,39.</w:t>
      </w:r>
    </w:p>
  </w:footnote>
  <w:footnote w:id="46">
    <w:p w14:paraId="00000150"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4"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art 36,37.</w:t>
      </w:r>
    </w:p>
  </w:footnote>
  <w:footnote w:id="47">
    <w:p w14:paraId="00000151"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5"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art 19 (1), 53.</w:t>
      </w:r>
    </w:p>
  </w:footnote>
  <w:footnote w:id="48">
    <w:p w14:paraId="00000152"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Military Penal Code and Procedures No. 61 1950. Available in Arabic </w:t>
      </w:r>
      <w:hyperlink r:id="rId36" w:anchor=":~:text=%D8%A7%D9%84%D9%85%D8%A7%D8%AF%D8%A9%20101&amp;amp;text=2%2D%20%D9%8A%D8%B9%D8%A7%D9%82%D8%A8%20%D8%A7%D9%84%D8%B9%D8%B3%D9%83%D8%B1%D9%8A%20%D8%A7%D9%84%D9%81%D8%A7%D8%B1%20%D8%A5%D9%84%D9%89,%D8%A3%D9%84%D8%A8%D8%B3%D8%A9%20%D8%BA%D9%8A%D8%B1%20%D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art 26.</w:t>
      </w:r>
    </w:p>
  </w:footnote>
  <w:footnote w:id="49">
    <w:p w14:paraId="00000153"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Syrian Court of Cassation, Military Criminal Chamber, Decision 1754/2002, Case No. 1558, rule 329 of the Lawyers' Journal (2004) v 11,12.</w:t>
      </w:r>
    </w:p>
  </w:footnote>
  <w:footnote w:id="50">
    <w:p w14:paraId="00000154"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Syrian Civil Code No.84 (1949), art 173. </w:t>
      </w:r>
    </w:p>
  </w:footnote>
  <w:footnote w:id="51">
    <w:p w14:paraId="00000155"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1.</w:t>
      </w:r>
    </w:p>
  </w:footnote>
  <w:footnote w:id="52">
    <w:p w14:paraId="00000156"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3. </w:t>
      </w:r>
    </w:p>
  </w:footnote>
  <w:footnote w:id="53">
    <w:p w14:paraId="00000157"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4.</w:t>
      </w:r>
    </w:p>
  </w:footnote>
  <w:footnote w:id="54">
    <w:p w14:paraId="00000158"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5.</w:t>
      </w:r>
    </w:p>
  </w:footnote>
  <w:footnote w:id="55">
    <w:p w14:paraId="00000159"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6.</w:t>
      </w:r>
    </w:p>
  </w:footnote>
  <w:footnote w:id="56">
    <w:p w14:paraId="0000015A"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vertAlign w:val="superscript"/>
        </w:rPr>
        <w:t xml:space="preserve"> </w:t>
      </w:r>
      <w:r>
        <w:rPr>
          <w:rFonts w:ascii="Calibri" w:eastAsia="Calibri" w:hAnsi="Calibri" w:cs="Calibri"/>
          <w:color w:val="000000"/>
          <w:sz w:val="18"/>
          <w:szCs w:val="18"/>
        </w:rPr>
        <w:t>Legislative Decree No. 109 of 1968 on Establishing Field Military Courts, art 8.</w:t>
      </w:r>
    </w:p>
  </w:footnote>
  <w:footnote w:id="57">
    <w:p w14:paraId="0000015B" w14:textId="77777777" w:rsidR="00E561CC" w:rsidRDefault="00000000">
      <w:pPr>
        <w:pBdr>
          <w:top w:val="nil"/>
          <w:left w:val="nil"/>
          <w:bottom w:val="nil"/>
          <w:right w:val="nil"/>
          <w:between w:val="nil"/>
        </w:pBdr>
        <w:spacing w:line="240" w:lineRule="auto"/>
        <w:rPr>
          <w:rFonts w:ascii="Calibri" w:eastAsia="Calibri" w:hAnsi="Calibri" w:cs="Calibri"/>
          <w:sz w:val="18"/>
          <w:szCs w:val="18"/>
        </w:rPr>
      </w:pPr>
      <w:r>
        <w:rPr>
          <w:rStyle w:val="FootnoteReference"/>
        </w:rPr>
        <w:footnoteRef/>
      </w:r>
      <w:r>
        <w:rPr>
          <w:rFonts w:ascii="Calibri" w:eastAsia="Calibri" w:hAnsi="Calibri" w:cs="Calibri"/>
          <w:color w:val="000000"/>
          <w:sz w:val="18"/>
          <w:szCs w:val="18"/>
        </w:rPr>
        <w:t xml:space="preserve"> </w:t>
      </w:r>
      <w:r>
        <w:rPr>
          <w:rFonts w:ascii="Calibri" w:eastAsia="Calibri" w:hAnsi="Calibri" w:cs="Calibri"/>
          <w:sz w:val="18"/>
          <w:szCs w:val="18"/>
        </w:rPr>
        <w:t>Legislative Decree No. 161 on Lifting the State of Emergency 2011; Legislative Decree No. 53 on Abolishing the Supreme State Security Court 2011.</w:t>
      </w:r>
    </w:p>
  </w:footnote>
  <w:footnote w:id="58">
    <w:p w14:paraId="0000015C"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Low No. 22 on Establishing the Counterterrorism Court 2012 Art 2. available </w:t>
      </w:r>
      <w:hyperlink r:id="rId37">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59">
    <w:p w14:paraId="0000015D"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Decree 98 of 1961 on the Judicial Authority Law and its Amendments Art 65. Available </w:t>
      </w:r>
      <w:hyperlink r:id="rId38">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60">
    <w:p w14:paraId="0000015E"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Decree 98 of 1961 on the Judicial Authority Law and its Amendments Art 11,56. Available </w:t>
      </w:r>
      <w:hyperlink r:id="rId39">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61">
    <w:p w14:paraId="0000015F"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Decree 98 of 1961 on the Judicial Authority Law and its Amendments Art 71,76. Available </w:t>
      </w:r>
      <w:hyperlink r:id="rId40">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62">
    <w:p w14:paraId="00000160"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Low No. 22 on Establishing the Counterterrorism Court 2012 Art 2(a), 4. available </w:t>
      </w:r>
      <w:hyperlink r:id="rId41">
        <w:r>
          <w:rPr>
            <w:rFonts w:ascii="Calibri" w:eastAsia="Calibri" w:hAnsi="Calibri" w:cs="Calibri"/>
            <w:color w:val="0563C1"/>
            <w:sz w:val="18"/>
            <w:szCs w:val="18"/>
            <w:u w:val="single"/>
          </w:rPr>
          <w:t>here</w:t>
        </w:r>
      </w:hyperlink>
      <w:r>
        <w:rPr>
          <w:rFonts w:ascii="Calibri" w:eastAsia="Calibri" w:hAnsi="Calibri" w:cs="Calibri"/>
          <w:color w:val="000000"/>
          <w:sz w:val="18"/>
          <w:szCs w:val="18"/>
        </w:rPr>
        <w:t xml:space="preserve"> in Arabic.</w:t>
      </w:r>
    </w:p>
  </w:footnote>
  <w:footnote w:id="63">
    <w:p w14:paraId="00000161" w14:textId="77777777" w:rsidR="00E561CC" w:rsidRDefault="00000000">
      <w:pPr>
        <w:pBdr>
          <w:top w:val="nil"/>
          <w:left w:val="nil"/>
          <w:bottom w:val="nil"/>
          <w:right w:val="nil"/>
          <w:between w:val="nil"/>
        </w:pBdr>
        <w:spacing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r>
        <w:rPr>
          <w:rFonts w:ascii="Calibri" w:eastAsia="Calibri" w:hAnsi="Calibri" w:cs="Calibri"/>
          <w:sz w:val="18"/>
          <w:szCs w:val="18"/>
        </w:rPr>
        <w:t xml:space="preserve">Low No. 22 on Establishing the counterterrorism Court 2012 Art 7, available </w:t>
      </w:r>
      <w:hyperlink r:id="rId42">
        <w:r>
          <w:rPr>
            <w:rFonts w:ascii="Calibri" w:eastAsia="Calibri" w:hAnsi="Calibri" w:cs="Calibri"/>
            <w:color w:val="0563C1"/>
            <w:sz w:val="18"/>
            <w:szCs w:val="18"/>
            <w:u w:val="single"/>
          </w:rPr>
          <w:t>here</w:t>
        </w:r>
      </w:hyperlink>
      <w:r>
        <w:rPr>
          <w:rFonts w:ascii="Calibri" w:eastAsia="Calibri" w:hAnsi="Calibri" w:cs="Calibri"/>
          <w:sz w:val="18"/>
          <w:szCs w:val="18"/>
        </w:rPr>
        <w:t xml:space="preserve"> in Arabic; ‘Syria: Counterterrorism Court Used to Stifle Dissent’ (Human Rights Watch, 25 June 2013) available at: </w:t>
      </w:r>
      <w:hyperlink r:id="rId43">
        <w:r>
          <w:rPr>
            <w:rFonts w:ascii="Calibri" w:eastAsia="Calibri" w:hAnsi="Calibri" w:cs="Calibri"/>
            <w:color w:val="0563C1"/>
            <w:sz w:val="18"/>
            <w:szCs w:val="18"/>
            <w:u w:val="single"/>
          </w:rPr>
          <w:t>https://www.hrw.org/news/2013/06/25/syria-counterterrorism-court-used-stifle-dissent</w:t>
        </w:r>
      </w:hyperlink>
      <w:r>
        <w:rPr>
          <w:rFonts w:ascii="Calibri" w:eastAsia="Calibri" w:hAnsi="Calibri" w:cs="Calibri"/>
          <w:color w:val="000000"/>
          <w:sz w:val="18"/>
          <w:szCs w:val="18"/>
        </w:rPr>
        <w:t>.</w:t>
      </w:r>
    </w:p>
  </w:footnote>
  <w:footnote w:id="64">
    <w:p w14:paraId="00000162"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Mohammad </w:t>
      </w:r>
      <w:proofErr w:type="spellStart"/>
      <w:r>
        <w:rPr>
          <w:rFonts w:ascii="Calibri" w:eastAsia="Calibri" w:hAnsi="Calibri" w:cs="Calibri"/>
          <w:color w:val="000000"/>
          <w:sz w:val="18"/>
          <w:szCs w:val="18"/>
        </w:rPr>
        <w:t>Wasel</w:t>
      </w:r>
      <w:proofErr w:type="spellEnd"/>
      <w:r>
        <w:rPr>
          <w:rFonts w:ascii="Calibri" w:eastAsia="Calibri" w:hAnsi="Calibri" w:cs="Calibri"/>
          <w:color w:val="000000"/>
          <w:sz w:val="18"/>
          <w:szCs w:val="18"/>
        </w:rPr>
        <w:t>, Civil Procedures, vol 1 (Publications of the Syrian Virtual University 2018), 119.</w:t>
      </w:r>
    </w:p>
  </w:footnote>
  <w:footnote w:id="65">
    <w:p w14:paraId="00000171" w14:textId="77777777" w:rsidR="00E561CC" w:rsidRDefault="00000000">
      <w:pPr>
        <w:spacing w:after="0" w:line="240" w:lineRule="auto"/>
        <w:rPr>
          <w:sz w:val="18"/>
          <w:szCs w:val="18"/>
        </w:rPr>
      </w:pPr>
      <w:r>
        <w:rPr>
          <w:rStyle w:val="FootnoteReference"/>
        </w:rPr>
        <w:footnoteRef/>
      </w:r>
      <w:r>
        <w:rPr>
          <w:sz w:val="20"/>
          <w:szCs w:val="20"/>
        </w:rPr>
        <w:t xml:space="preserve"> </w:t>
      </w:r>
      <w:r>
        <w:rPr>
          <w:sz w:val="18"/>
          <w:szCs w:val="18"/>
        </w:rPr>
        <w:t xml:space="preserve">UN Human Rights Committee (HRC), Consideration of reports submitted by States parties under article 40 of the </w:t>
      </w:r>
      <w:proofErr w:type="gramStart"/>
      <w:r>
        <w:rPr>
          <w:sz w:val="18"/>
          <w:szCs w:val="18"/>
        </w:rPr>
        <w:t>Covenant :</w:t>
      </w:r>
      <w:proofErr w:type="gramEnd"/>
      <w:r>
        <w:rPr>
          <w:sz w:val="18"/>
          <w:szCs w:val="18"/>
        </w:rPr>
        <w:t xml:space="preserve"> International Covenant on Civil and Political Rights : 2nd periodic report : Syrian Arab Republic, 9 August 2005, CCPR/CO/84/SYR</w:t>
      </w:r>
    </w:p>
  </w:footnote>
  <w:footnote w:id="66">
    <w:p w14:paraId="00000163"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Amnesty International, Human slaughterhouse: Mass hangings and extermination at </w:t>
      </w:r>
      <w:proofErr w:type="spellStart"/>
      <w:r>
        <w:rPr>
          <w:rFonts w:ascii="Calibri" w:eastAsia="Calibri" w:hAnsi="Calibri" w:cs="Calibri"/>
          <w:color w:val="000000"/>
          <w:sz w:val="18"/>
          <w:szCs w:val="18"/>
        </w:rPr>
        <w:t>Saydnaya</w:t>
      </w:r>
      <w:proofErr w:type="spellEnd"/>
      <w:r>
        <w:rPr>
          <w:rFonts w:ascii="Calibri" w:eastAsia="Calibri" w:hAnsi="Calibri" w:cs="Calibri"/>
          <w:color w:val="000000"/>
          <w:sz w:val="18"/>
          <w:szCs w:val="18"/>
        </w:rPr>
        <w:t xml:space="preserve"> Prison, Syria, Index Number: MDE 24/5415/2017, (Feb 2017), 5-6.</w:t>
      </w:r>
    </w:p>
  </w:footnote>
  <w:footnote w:id="67">
    <w:p w14:paraId="00000164" w14:textId="77777777" w:rsidR="00E561CC" w:rsidRDefault="00000000">
      <w:pPr>
        <w:spacing w:line="240" w:lineRule="auto"/>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UN Human Rights Committee (HRC), General comment no. 32, Article 14, Right to equality before courts and tribunals and to fair trial, 23 August 2007, CCPR/C/GC/32, para 6.</w:t>
      </w:r>
    </w:p>
  </w:footnote>
  <w:footnote w:id="68">
    <w:p w14:paraId="00000165"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UN Human Rights Committee (HRC), General comment no. 36, Article 6 (Right to Life), 30 October 2018, CCPR/C/GC/36, para 41.</w:t>
      </w:r>
    </w:p>
  </w:footnote>
  <w:footnote w:id="69">
    <w:p w14:paraId="00000166"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6.</w:t>
      </w:r>
    </w:p>
  </w:footnote>
  <w:footnote w:id="70">
    <w:p w14:paraId="00000167"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8.</w:t>
      </w:r>
    </w:p>
  </w:footnote>
  <w:footnote w:id="71">
    <w:p w14:paraId="00000168" w14:textId="77777777" w:rsidR="00E561CC" w:rsidRDefault="00000000">
      <w:pPr>
        <w:pBdr>
          <w:top w:val="nil"/>
          <w:left w:val="nil"/>
          <w:bottom w:val="nil"/>
          <w:right w:val="nil"/>
          <w:between w:val="nil"/>
        </w:pBdr>
        <w:spacing w:line="240" w:lineRule="auto"/>
        <w:ind w:left="0"/>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Legislative Decree No. 109 of 1968 on Establishing Field Military Courts, art 1.</w:t>
      </w:r>
    </w:p>
  </w:footnote>
  <w:footnote w:id="72">
    <w:p w14:paraId="00000172" w14:textId="77777777" w:rsidR="00E561CC" w:rsidRDefault="00000000">
      <w:pPr>
        <w:spacing w:after="0" w:line="240" w:lineRule="auto"/>
        <w:ind w:left="0"/>
        <w:rPr>
          <w:sz w:val="20"/>
          <w:szCs w:val="20"/>
        </w:rPr>
      </w:pPr>
      <w:r>
        <w:rPr>
          <w:rStyle w:val="FootnoteReference"/>
        </w:rPr>
        <w:footnoteRef/>
      </w:r>
      <w:r>
        <w:rPr>
          <w:sz w:val="20"/>
          <w:szCs w:val="20"/>
        </w:rPr>
        <w:t xml:space="preserve"> </w:t>
      </w:r>
      <w:r>
        <w:rPr>
          <w:sz w:val="18"/>
          <w:szCs w:val="18"/>
        </w:rPr>
        <w:t xml:space="preserve">Human Rights Committee, </w:t>
      </w:r>
      <w:proofErr w:type="gramStart"/>
      <w:r>
        <w:rPr>
          <w:sz w:val="18"/>
          <w:szCs w:val="18"/>
        </w:rPr>
        <w:t>Fourth</w:t>
      </w:r>
      <w:proofErr w:type="gramEnd"/>
      <w:r>
        <w:rPr>
          <w:sz w:val="18"/>
          <w:szCs w:val="18"/>
        </w:rPr>
        <w:t xml:space="preserve"> periodic report submitted by the Syrian Arab Republic under article 40 of the Covenant, 30 May 2022, UN Doc CCPR/C/SYR/4, para 36</w:t>
      </w:r>
      <w:r>
        <w:rPr>
          <w:sz w:val="20"/>
          <w:szCs w:val="20"/>
        </w:rPr>
        <w:t>.</w:t>
      </w:r>
    </w:p>
  </w:footnote>
  <w:footnote w:id="73">
    <w:p w14:paraId="00000169"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r>
        <w:rPr>
          <w:rFonts w:ascii="Calibri" w:eastAsia="Calibri" w:hAnsi="Calibri" w:cs="Calibri"/>
          <w:i/>
          <w:color w:val="000000"/>
          <w:sz w:val="18"/>
          <w:szCs w:val="18"/>
        </w:rPr>
        <w:t>See</w:t>
      </w:r>
      <w:r>
        <w:rPr>
          <w:rFonts w:ascii="Calibri" w:eastAsia="Calibri" w:hAnsi="Calibri" w:cs="Calibri"/>
          <w:color w:val="000000"/>
          <w:sz w:val="18"/>
          <w:szCs w:val="18"/>
        </w:rPr>
        <w:t xml:space="preserve">, </w:t>
      </w:r>
      <w:hyperlink r:id="rId44">
        <w:r>
          <w:rPr>
            <w:rFonts w:ascii="Calibri" w:eastAsia="Calibri" w:hAnsi="Calibri" w:cs="Calibri"/>
            <w:color w:val="0563C1"/>
            <w:sz w:val="18"/>
            <w:szCs w:val="18"/>
            <w:u w:val="single"/>
          </w:rPr>
          <w:t>No.61 of 2011</w:t>
        </w:r>
      </w:hyperlink>
      <w:r>
        <w:rPr>
          <w:rFonts w:ascii="Calibri" w:eastAsia="Calibri" w:hAnsi="Calibri" w:cs="Calibri"/>
          <w:color w:val="000000"/>
          <w:sz w:val="18"/>
          <w:szCs w:val="18"/>
        </w:rPr>
        <w:t>,</w:t>
      </w:r>
      <w:r>
        <w:rPr>
          <w:rFonts w:ascii="Calibri" w:eastAsia="Calibri" w:hAnsi="Calibri" w:cs="Calibri"/>
          <w:color w:val="0563C1"/>
          <w:sz w:val="18"/>
          <w:szCs w:val="18"/>
          <w:u w:val="single"/>
        </w:rPr>
        <w:t xml:space="preserve"> Art 1</w:t>
      </w:r>
      <w:r>
        <w:rPr>
          <w:rFonts w:ascii="Calibri" w:eastAsia="Calibri" w:hAnsi="Calibri" w:cs="Calibri"/>
          <w:color w:val="000000"/>
          <w:sz w:val="18"/>
          <w:szCs w:val="18"/>
        </w:rPr>
        <w:t xml:space="preserve">; </w:t>
      </w:r>
      <w:hyperlink r:id="rId45" w:anchor=":~:text=%D8%A7%D9%84%D9%85%D8%B1%D8%B3%D9%88%D9%85%20%D8%A7%D9%84%D8%AA%D8%B4%D8%B1%D9%8A%D8%B9%D9%8A%2071%20%D9%84%D8%B9%D8%A7%D9%85%202012,%D9%82%D8%A8%D9%84%20%D8%AA%D8%A7%D8%B1%D9%8A%D8%AE%2023%2D10%2D2012&amp;amp;text=%D8%A3.,%D8%A7%D9%84%D8%A7%D8%B9%D8%">
        <w:r>
          <w:rPr>
            <w:rFonts w:ascii="Calibri" w:eastAsia="Calibri" w:hAnsi="Calibri" w:cs="Calibri"/>
            <w:color w:val="0563C1"/>
            <w:sz w:val="18"/>
            <w:szCs w:val="18"/>
            <w:u w:val="single"/>
          </w:rPr>
          <w:t>No.71 of 2012</w:t>
        </w:r>
      </w:hyperlink>
      <w:r>
        <w:rPr>
          <w:rFonts w:ascii="Calibri" w:eastAsia="Calibri" w:hAnsi="Calibri" w:cs="Calibri"/>
          <w:color w:val="0563C1"/>
          <w:sz w:val="18"/>
          <w:szCs w:val="18"/>
          <w:u w:val="single"/>
        </w:rPr>
        <w:t xml:space="preserve"> Art 1</w:t>
      </w:r>
      <w:r>
        <w:rPr>
          <w:rFonts w:ascii="Calibri" w:eastAsia="Calibri" w:hAnsi="Calibri" w:cs="Calibri"/>
          <w:color w:val="000000"/>
          <w:sz w:val="18"/>
          <w:szCs w:val="18"/>
        </w:rPr>
        <w:t xml:space="preserve">; </w:t>
      </w:r>
      <w:hyperlink r:id="rId46" w:anchor=":~:text=%D8%A7%D9%84%D9%85%D8%B1%D8%B3%D9%88%D9%85%20%D8%A7%D9%84%D8%AA%D8%B4%D8%B1%D9%8A%D8%B9%D9%8A%2023%20%D9%84%D8%B9%D8%A7%D9%85%202013,%D8%A7%D9%84%D9%85%D8%B1%D8%AA%D9%83%D8%A8%D8%A9%20%D9%82%D8%A8%D9%84%2016%2D4%2D2013&amp;amp;text=%D8%AA%D8%B3%D8%AA%">
        <w:r>
          <w:rPr>
            <w:rFonts w:ascii="Calibri" w:eastAsia="Calibri" w:hAnsi="Calibri" w:cs="Calibri"/>
            <w:color w:val="0563C1"/>
            <w:sz w:val="18"/>
            <w:szCs w:val="18"/>
            <w:u w:val="single"/>
          </w:rPr>
          <w:t>No. 23 of 2013</w:t>
        </w:r>
      </w:hyperlink>
      <w:r>
        <w:rPr>
          <w:rFonts w:ascii="Calibri" w:eastAsia="Calibri" w:hAnsi="Calibri" w:cs="Calibri"/>
          <w:color w:val="000000"/>
          <w:sz w:val="18"/>
          <w:szCs w:val="18"/>
        </w:rPr>
        <w:t xml:space="preserve">, Art 1; </w:t>
      </w:r>
      <w:hyperlink r:id="rId47">
        <w:r>
          <w:rPr>
            <w:rFonts w:ascii="Calibri" w:eastAsia="Calibri" w:hAnsi="Calibri" w:cs="Calibri"/>
            <w:color w:val="0563C1"/>
            <w:sz w:val="18"/>
            <w:szCs w:val="18"/>
            <w:u w:val="single"/>
          </w:rPr>
          <w:t>No.22 of 2014</w:t>
        </w:r>
      </w:hyperlink>
      <w:r>
        <w:rPr>
          <w:rFonts w:ascii="Calibri" w:eastAsia="Calibri" w:hAnsi="Calibri" w:cs="Calibri"/>
          <w:color w:val="000000"/>
          <w:sz w:val="18"/>
          <w:szCs w:val="18"/>
        </w:rPr>
        <w:t xml:space="preserve">, Art 1; </w:t>
      </w:r>
      <w:hyperlink r:id="rId48">
        <w:r>
          <w:rPr>
            <w:rFonts w:ascii="Calibri" w:eastAsia="Calibri" w:hAnsi="Calibri" w:cs="Calibri"/>
            <w:color w:val="0563C1"/>
            <w:sz w:val="18"/>
            <w:szCs w:val="18"/>
            <w:u w:val="single"/>
          </w:rPr>
          <w:t>No.20 of 2019</w:t>
        </w:r>
      </w:hyperlink>
      <w:r>
        <w:rPr>
          <w:rFonts w:ascii="Calibri" w:eastAsia="Calibri" w:hAnsi="Calibri" w:cs="Calibri"/>
          <w:color w:val="000000"/>
          <w:sz w:val="18"/>
          <w:szCs w:val="18"/>
        </w:rPr>
        <w:t xml:space="preserve">, Art 1; </w:t>
      </w:r>
      <w:hyperlink r:id="rId49" w:anchor=":~:text=%D9%8A%D9%85%D9%86%D8%AD%20%D8%B9%D9%81%D9%88%20%D8%B9%D8%A7%D9%85%20%D8%B9%D9%86%20%D8%A7%D9%84%D8%AC%D8%B1%D8%A7%D8%A6%D9%85,%D9%85%D9%86%20%D8%B9%D9%82%D9%88%D8%A8%D8%A9%20%D8%A7%D9%84%D8%A3%D8%B4%D8%BA%D8%A7%D9%84%20%D8%A7%D9%84%D8%B4%D8%A7%D9">
        <w:r>
          <w:rPr>
            <w:rFonts w:ascii="Calibri" w:eastAsia="Calibri" w:hAnsi="Calibri" w:cs="Calibri"/>
            <w:color w:val="0563C1"/>
            <w:sz w:val="18"/>
            <w:szCs w:val="18"/>
            <w:u w:val="single"/>
          </w:rPr>
          <w:t>No. 6 of 2020</w:t>
        </w:r>
      </w:hyperlink>
      <w:r>
        <w:rPr>
          <w:rFonts w:ascii="Calibri" w:eastAsia="Calibri" w:hAnsi="Calibri" w:cs="Calibri"/>
          <w:color w:val="000000"/>
          <w:sz w:val="18"/>
          <w:szCs w:val="18"/>
        </w:rPr>
        <w:t xml:space="preserve">, 1;  </w:t>
      </w:r>
      <w:hyperlink r:id="rId50">
        <w:r>
          <w:rPr>
            <w:rFonts w:ascii="Calibri" w:eastAsia="Calibri" w:hAnsi="Calibri" w:cs="Calibri"/>
            <w:color w:val="0563C1"/>
            <w:sz w:val="18"/>
            <w:szCs w:val="18"/>
            <w:u w:val="single"/>
          </w:rPr>
          <w:t>No.13 of 2021</w:t>
        </w:r>
      </w:hyperlink>
      <w:r>
        <w:rPr>
          <w:rFonts w:ascii="Calibri" w:eastAsia="Calibri" w:hAnsi="Calibri" w:cs="Calibri"/>
          <w:color w:val="000000"/>
          <w:sz w:val="18"/>
          <w:szCs w:val="18"/>
        </w:rPr>
        <w:t>, Art 16.</w:t>
      </w:r>
    </w:p>
  </w:footnote>
  <w:footnote w:id="74">
    <w:p w14:paraId="0000016A" w14:textId="77777777" w:rsidR="00E561CC" w:rsidRDefault="00000000">
      <w:pPr>
        <w:pBdr>
          <w:top w:val="nil"/>
          <w:left w:val="nil"/>
          <w:bottom w:val="nil"/>
          <w:right w:val="nil"/>
          <w:between w:val="nil"/>
        </w:pBdr>
        <w:spacing w:line="240" w:lineRule="auto"/>
        <w:ind w:left="0"/>
        <w:jc w:val="both"/>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w:t>
      </w:r>
      <w:hyperlink r:id="rId51" w:anchor=":~:text=%D8%A7%D9%84%D9%85%D8%B1%D8%B3%D9%88%D9%85%20%D8%A7%D9%84%D8%AA%D8%B4%D8%B1%D9%8A%D8%B9%D9%8A%2071%20%D9%84%D8%B9%D8%A7%D9%85%202012,%D9%82%D8%A8%D9%84%20%D8%AA%D8%A7%D8%B1%D9%8A%D8%AE%2023%2D10%2D2012&amp;amp;text=%D8%A3.,%D8%A7%D9%84%D8%A7%D8%B9%D8%">
        <w:r>
          <w:rPr>
            <w:rFonts w:ascii="Calibri" w:eastAsia="Calibri" w:hAnsi="Calibri" w:cs="Calibri"/>
            <w:color w:val="0563C1"/>
            <w:sz w:val="18"/>
            <w:szCs w:val="18"/>
            <w:u w:val="single"/>
          </w:rPr>
          <w:t>No.71 of 2012</w:t>
        </w:r>
      </w:hyperlink>
      <w:r>
        <w:rPr>
          <w:rFonts w:ascii="Calibri" w:eastAsia="Calibri" w:hAnsi="Calibri" w:cs="Calibri"/>
          <w:color w:val="0563C1"/>
          <w:sz w:val="18"/>
          <w:szCs w:val="18"/>
          <w:u w:val="single"/>
        </w:rPr>
        <w:t xml:space="preserve"> Art 13</w:t>
      </w:r>
      <w:r>
        <w:rPr>
          <w:rFonts w:ascii="Calibri" w:eastAsia="Calibri" w:hAnsi="Calibri" w:cs="Calibri"/>
          <w:color w:val="000000"/>
          <w:sz w:val="18"/>
          <w:szCs w:val="18"/>
        </w:rPr>
        <w:t xml:space="preserve">; </w:t>
      </w:r>
      <w:hyperlink r:id="rId52" w:anchor=":~:text=%D8%A7%D9%84%D9%85%D8%B1%D8%B3%D9%88%D9%85%20%D8%A7%D9%84%D8%AA%D8%B4%D8%B1%D9%8A%D8%B9%D9%8A%2023%20%D9%84%D8%B9%D8%A7%D9%85%202013,%D8%A7%D9%84%D9%85%D8%B1%D8%AA%D9%83%D8%A8%D8%A9%20%D9%82%D8%A8%D9%84%2016%2D4%2D2013&amp;amp;text=%D8%AA%D8%B3%D8%AA%">
        <w:r>
          <w:rPr>
            <w:rFonts w:ascii="Calibri" w:eastAsia="Calibri" w:hAnsi="Calibri" w:cs="Calibri"/>
            <w:color w:val="0563C1"/>
            <w:sz w:val="18"/>
            <w:szCs w:val="18"/>
            <w:u w:val="single"/>
          </w:rPr>
          <w:t>No. 23 of 2013</w:t>
        </w:r>
      </w:hyperlink>
      <w:r>
        <w:rPr>
          <w:rFonts w:ascii="Calibri" w:eastAsia="Calibri" w:hAnsi="Calibri" w:cs="Calibri"/>
          <w:color w:val="000000"/>
          <w:sz w:val="18"/>
          <w:szCs w:val="18"/>
        </w:rPr>
        <w:t xml:space="preserve">, Art 5(4); </w:t>
      </w:r>
      <w:hyperlink r:id="rId53">
        <w:r>
          <w:rPr>
            <w:rFonts w:ascii="Calibri" w:eastAsia="Calibri" w:hAnsi="Calibri" w:cs="Calibri"/>
            <w:color w:val="0563C1"/>
            <w:sz w:val="18"/>
            <w:szCs w:val="18"/>
            <w:u w:val="single"/>
          </w:rPr>
          <w:t>No.22 of 2014</w:t>
        </w:r>
      </w:hyperlink>
      <w:r>
        <w:rPr>
          <w:rFonts w:ascii="Calibri" w:eastAsia="Calibri" w:hAnsi="Calibri" w:cs="Calibri"/>
          <w:color w:val="000000"/>
          <w:sz w:val="18"/>
          <w:szCs w:val="18"/>
        </w:rPr>
        <w:t xml:space="preserve">, Art 18; </w:t>
      </w:r>
      <w:hyperlink r:id="rId54">
        <w:r>
          <w:rPr>
            <w:rFonts w:ascii="Calibri" w:eastAsia="Calibri" w:hAnsi="Calibri" w:cs="Calibri"/>
            <w:color w:val="0563C1"/>
            <w:sz w:val="18"/>
            <w:szCs w:val="18"/>
            <w:u w:val="single"/>
          </w:rPr>
          <w:t>No.20 of 2019</w:t>
        </w:r>
      </w:hyperlink>
      <w:r>
        <w:rPr>
          <w:rFonts w:ascii="Calibri" w:eastAsia="Calibri" w:hAnsi="Calibri" w:cs="Calibri"/>
          <w:color w:val="000000"/>
          <w:sz w:val="18"/>
          <w:szCs w:val="18"/>
        </w:rPr>
        <w:t xml:space="preserve">, Art 14; </w:t>
      </w:r>
      <w:hyperlink r:id="rId55" w:anchor=":~:text=%D9%8A%D9%85%D9%86%D8%AD%20%D8%B9%D9%81%D9%88%20%D8%B9%D8%A7%D9%85%20%D8%B9%D9%86%20%D8%A7%D9%84%D8%AC%D8%B1%D8%A7%D8%A6%D9%85,%D9%85%D9%86%20%D8%B9%D9%82%D9%88%D8%A8%D8%A9%20%D8%A7%D9%84%D8%A3%D8%B4%D8%BA%D8%A7%D9%84%20%D8%A7%D9%84%D8%B4%D8%A7%D9">
        <w:r>
          <w:rPr>
            <w:rFonts w:ascii="Calibri" w:eastAsia="Calibri" w:hAnsi="Calibri" w:cs="Calibri"/>
            <w:color w:val="0563C1"/>
            <w:sz w:val="18"/>
            <w:szCs w:val="18"/>
            <w:u w:val="single"/>
          </w:rPr>
          <w:t>No. 6 of 2020</w:t>
        </w:r>
      </w:hyperlink>
      <w:r>
        <w:rPr>
          <w:rFonts w:ascii="Calibri" w:eastAsia="Calibri" w:hAnsi="Calibri" w:cs="Calibri"/>
          <w:color w:val="000000"/>
          <w:sz w:val="18"/>
          <w:szCs w:val="18"/>
        </w:rPr>
        <w:t xml:space="preserve">, 5;  </w:t>
      </w:r>
      <w:hyperlink r:id="rId56">
        <w:r>
          <w:rPr>
            <w:rFonts w:ascii="Calibri" w:eastAsia="Calibri" w:hAnsi="Calibri" w:cs="Calibri"/>
            <w:color w:val="0563C1"/>
            <w:sz w:val="18"/>
            <w:szCs w:val="18"/>
            <w:u w:val="single"/>
          </w:rPr>
          <w:t>No.13 of 2021</w:t>
        </w:r>
      </w:hyperlink>
      <w:r>
        <w:rPr>
          <w:rFonts w:ascii="Calibri" w:eastAsia="Calibri" w:hAnsi="Calibri" w:cs="Calibri"/>
          <w:color w:val="000000"/>
          <w:sz w:val="18"/>
          <w:szCs w:val="18"/>
        </w:rPr>
        <w:t xml:space="preserve">, Art 17; </w:t>
      </w:r>
      <w:hyperlink r:id="rId57">
        <w:r>
          <w:rPr>
            <w:rFonts w:ascii="Calibri" w:eastAsia="Calibri" w:hAnsi="Calibri" w:cs="Calibri"/>
            <w:color w:val="0563C1"/>
            <w:sz w:val="18"/>
            <w:szCs w:val="18"/>
            <w:u w:val="single"/>
          </w:rPr>
          <w:t>No. 7 of 2022</w:t>
        </w:r>
      </w:hyperlink>
      <w:r>
        <w:rPr>
          <w:rFonts w:ascii="Calibri" w:eastAsia="Calibri" w:hAnsi="Calibri" w:cs="Calibri"/>
          <w:color w:val="0563C1"/>
          <w:sz w:val="18"/>
          <w:szCs w:val="18"/>
          <w:u w:val="single"/>
        </w:rPr>
        <w:t>, Art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C" w14:textId="77777777" w:rsidR="00E561CC" w:rsidRDefault="00000000">
    <w:pPr>
      <w:pBdr>
        <w:top w:val="nil"/>
        <w:left w:val="nil"/>
        <w:bottom w:val="nil"/>
        <w:right w:val="nil"/>
        <w:between w:val="nil"/>
      </w:pBdr>
      <w:tabs>
        <w:tab w:val="center" w:pos="4513"/>
        <w:tab w:val="right" w:pos="9026"/>
      </w:tabs>
      <w:spacing w:after="0" w:line="240" w:lineRule="auto"/>
      <w:ind w:left="0"/>
      <w:rPr>
        <w:rFonts w:ascii="Calibri" w:eastAsia="Calibri" w:hAnsi="Calibri" w:cs="Calibri"/>
        <w:color w:val="000000"/>
      </w:rPr>
    </w:pPr>
    <w:r>
      <w:t>Incl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B" w14:textId="77777777" w:rsidR="00E561CC" w:rsidRDefault="00E561CC">
    <w:pPr>
      <w:pBdr>
        <w:top w:val="nil"/>
        <w:left w:val="nil"/>
        <w:bottom w:val="nil"/>
        <w:right w:val="nil"/>
        <w:between w:val="nil"/>
      </w:pBdr>
      <w:tabs>
        <w:tab w:val="center" w:pos="4513"/>
        <w:tab w:val="right" w:pos="9026"/>
      </w:tabs>
      <w:spacing w:after="0" w:line="240" w:lineRule="auto"/>
      <w:ind w:left="0"/>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D" w14:textId="77777777" w:rsidR="00E561CC" w:rsidRDefault="00E561CC">
    <w:pPr>
      <w:pBdr>
        <w:top w:val="nil"/>
        <w:left w:val="nil"/>
        <w:bottom w:val="nil"/>
        <w:right w:val="nil"/>
        <w:between w:val="nil"/>
      </w:pBdr>
      <w:tabs>
        <w:tab w:val="center" w:pos="4513"/>
        <w:tab w:val="right" w:pos="9026"/>
      </w:tabs>
      <w:spacing w:after="0" w:line="240" w:lineRule="auto"/>
      <w:ind w:left="0"/>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95EBC"/>
    <w:multiLevelType w:val="hybridMultilevel"/>
    <w:tmpl w:val="277AC7E0"/>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 w15:restartNumberingAfterBreak="0">
    <w:nsid w:val="306B4761"/>
    <w:multiLevelType w:val="hybridMultilevel"/>
    <w:tmpl w:val="142AE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9E7521"/>
    <w:multiLevelType w:val="multilevel"/>
    <w:tmpl w:val="693476B2"/>
    <w:lvl w:ilvl="0">
      <w:start w:val="1"/>
      <w:numFmt w:val="decimal"/>
      <w:lvlText w:val="%1."/>
      <w:lvlJc w:val="right"/>
      <w:pPr>
        <w:ind w:left="432" w:hanging="432"/>
      </w:pPr>
    </w:lvl>
    <w:lvl w:ilvl="1">
      <w:start w:val="1"/>
      <w:numFmt w:val="decimal"/>
      <w:lvlText w:val="%1.%2."/>
      <w:lvlJc w:val="right"/>
      <w:pPr>
        <w:ind w:left="576" w:hanging="576"/>
      </w:pPr>
    </w:lvl>
    <w:lvl w:ilvl="2">
      <w:start w:val="1"/>
      <w:numFmt w:val="decimal"/>
      <w:lvlText w:val="%1.%2.%3."/>
      <w:lvlJc w:val="right"/>
      <w:pPr>
        <w:ind w:left="720" w:hanging="720"/>
      </w:pPr>
    </w:lvl>
    <w:lvl w:ilvl="3">
      <w:start w:val="1"/>
      <w:numFmt w:val="decimal"/>
      <w:lvlText w:val="%1.%2.%3.%4."/>
      <w:lvlJc w:val="right"/>
      <w:pPr>
        <w:ind w:left="864" w:hanging="864"/>
      </w:pPr>
    </w:lvl>
    <w:lvl w:ilvl="4">
      <w:start w:val="1"/>
      <w:numFmt w:val="decimal"/>
      <w:lvlText w:val="%1.%2.%3.%4.%5."/>
      <w:lvlJc w:val="right"/>
      <w:pPr>
        <w:ind w:left="1008" w:hanging="1008"/>
      </w:pPr>
    </w:lvl>
    <w:lvl w:ilvl="5">
      <w:start w:val="1"/>
      <w:numFmt w:val="decimal"/>
      <w:lvlText w:val="%1.%2.%3.%4.%5.%6."/>
      <w:lvlJc w:val="right"/>
      <w:pPr>
        <w:ind w:left="1152" w:hanging="1152"/>
      </w:pPr>
    </w:lvl>
    <w:lvl w:ilvl="6">
      <w:start w:val="1"/>
      <w:numFmt w:val="decimal"/>
      <w:lvlText w:val="%1.%2.%3.%4.%5.%6.%7."/>
      <w:lvlJc w:val="right"/>
      <w:pPr>
        <w:ind w:left="1296" w:hanging="1296"/>
      </w:pPr>
    </w:lvl>
    <w:lvl w:ilvl="7">
      <w:start w:val="1"/>
      <w:numFmt w:val="decimal"/>
      <w:lvlText w:val="%1.%2.%3.%4.%5.%6.%7.%8."/>
      <w:lvlJc w:val="right"/>
      <w:pPr>
        <w:ind w:left="1440" w:hanging="1440"/>
      </w:pPr>
    </w:lvl>
    <w:lvl w:ilvl="8">
      <w:start w:val="1"/>
      <w:numFmt w:val="decimal"/>
      <w:lvlText w:val="%1.%2.%3.%4.%5.%6.%7.%8.%9."/>
      <w:lvlJc w:val="right"/>
      <w:pPr>
        <w:ind w:left="1584" w:hanging="1584"/>
      </w:pPr>
    </w:lvl>
  </w:abstractNum>
  <w:abstractNum w:abstractNumId="3" w15:restartNumberingAfterBreak="0">
    <w:nsid w:val="4C302324"/>
    <w:multiLevelType w:val="multilevel"/>
    <w:tmpl w:val="AA16962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67851B8"/>
    <w:multiLevelType w:val="multilevel"/>
    <w:tmpl w:val="6D027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7C04668"/>
    <w:multiLevelType w:val="multilevel"/>
    <w:tmpl w:val="EFE01F4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CB076E"/>
    <w:multiLevelType w:val="multilevel"/>
    <w:tmpl w:val="5890007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7934238">
    <w:abstractNumId w:val="2"/>
  </w:num>
  <w:num w:numId="2" w16cid:durableId="1206061154">
    <w:abstractNumId w:val="4"/>
  </w:num>
  <w:num w:numId="3" w16cid:durableId="386954734">
    <w:abstractNumId w:val="6"/>
  </w:num>
  <w:num w:numId="4" w16cid:durableId="1915318618">
    <w:abstractNumId w:val="5"/>
  </w:num>
  <w:num w:numId="5" w16cid:durableId="379743954">
    <w:abstractNumId w:val="3"/>
  </w:num>
  <w:num w:numId="6" w16cid:durableId="650526738">
    <w:abstractNumId w:val="1"/>
  </w:num>
  <w:num w:numId="7" w16cid:durableId="634798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1CC"/>
    <w:rsid w:val="000124DD"/>
    <w:rsid w:val="00013B88"/>
    <w:rsid w:val="00081C8E"/>
    <w:rsid w:val="0016332E"/>
    <w:rsid w:val="001935DB"/>
    <w:rsid w:val="003C7A70"/>
    <w:rsid w:val="003E27E6"/>
    <w:rsid w:val="00434168"/>
    <w:rsid w:val="00511AB4"/>
    <w:rsid w:val="00520A6C"/>
    <w:rsid w:val="005A3BF8"/>
    <w:rsid w:val="0065125F"/>
    <w:rsid w:val="006A15CC"/>
    <w:rsid w:val="008217FB"/>
    <w:rsid w:val="00837897"/>
    <w:rsid w:val="00884CB9"/>
    <w:rsid w:val="008E7279"/>
    <w:rsid w:val="009118ED"/>
    <w:rsid w:val="00992984"/>
    <w:rsid w:val="00AC2C19"/>
    <w:rsid w:val="00AE6890"/>
    <w:rsid w:val="00AF3138"/>
    <w:rsid w:val="00B03379"/>
    <w:rsid w:val="00B13C29"/>
    <w:rsid w:val="00B84B50"/>
    <w:rsid w:val="00BA1666"/>
    <w:rsid w:val="00BD3E12"/>
    <w:rsid w:val="00C07B24"/>
    <w:rsid w:val="00C731FA"/>
    <w:rsid w:val="00CB4A2F"/>
    <w:rsid w:val="00CD1C24"/>
    <w:rsid w:val="00D30EF8"/>
    <w:rsid w:val="00D4116C"/>
    <w:rsid w:val="00D6507C"/>
    <w:rsid w:val="00E561CC"/>
    <w:rsid w:val="00F94B4C"/>
    <w:rsid w:val="00FA40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1BD62"/>
  <w15:docId w15:val="{5EAE02A4-E785-1B48-862B-81B5036F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highlight w:val="white"/>
        <w:lang w:val="en-US" w:eastAsia="en-GB" w:bidi="ar-SA"/>
      </w:rPr>
    </w:rPrDefault>
    <w:pPrDefault>
      <w:pPr>
        <w:spacing w:after="120" w:line="360" w:lineRule="auto"/>
        <w:ind w:left="5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74B"/>
    <w:rPr>
      <w:rFonts w:asciiTheme="majorHAnsi" w:eastAsiaTheme="majorEastAsia" w:hAnsiTheme="majorHAnsi" w:cstheme="majorBidi"/>
      <w:lang w:bidi="en-US"/>
    </w:rPr>
  </w:style>
  <w:style w:type="paragraph" w:styleId="Heading1">
    <w:name w:val="heading 1"/>
    <w:basedOn w:val="Normal"/>
    <w:next w:val="Normal"/>
    <w:link w:val="Heading1Char"/>
    <w:uiPriority w:val="9"/>
    <w:qFormat/>
    <w:rsid w:val="008E7279"/>
    <w:pPr>
      <w:keepNext/>
      <w:keepLines/>
      <w:numPr>
        <w:numId w:val="5"/>
      </w:numPr>
      <w:spacing w:before="240" w:after="0"/>
      <w:jc w:val="both"/>
      <w:outlineLvl w:val="0"/>
    </w:pPr>
    <w:rPr>
      <w:rFonts w:asciiTheme="minorHAnsi" w:hAnsiTheme="minorHAnsi" w:cstheme="minorHAnsi"/>
      <w:b/>
      <w:bCs/>
      <w:color w:val="2F5496" w:themeColor="accent1" w:themeShade="BF"/>
      <w:sz w:val="36"/>
      <w:szCs w:val="36"/>
      <w:highlight w:val="none"/>
    </w:rPr>
  </w:style>
  <w:style w:type="paragraph" w:styleId="Heading2">
    <w:name w:val="heading 2"/>
    <w:basedOn w:val="Normal"/>
    <w:next w:val="Normal"/>
    <w:link w:val="Heading2Char"/>
    <w:uiPriority w:val="9"/>
    <w:unhideWhenUsed/>
    <w:qFormat/>
    <w:rsid w:val="008E7279"/>
    <w:pPr>
      <w:keepNext/>
      <w:keepLines/>
      <w:numPr>
        <w:ilvl w:val="1"/>
        <w:numId w:val="5"/>
      </w:numPr>
      <w:spacing w:before="40" w:after="0"/>
      <w:outlineLvl w:val="1"/>
    </w:pPr>
    <w:rPr>
      <w:rFonts w:asciiTheme="minorHAnsi" w:hAnsiTheme="minorHAnsi" w:cstheme="minorHAnsi"/>
      <w:b/>
      <w:bCs/>
      <w:color w:val="2F5496" w:themeColor="accent1" w:themeShade="BF"/>
      <w:sz w:val="26"/>
      <w:szCs w:val="26"/>
      <w:highlight w:val="none"/>
    </w:rPr>
  </w:style>
  <w:style w:type="paragraph" w:styleId="Heading3">
    <w:name w:val="heading 3"/>
    <w:basedOn w:val="Normal"/>
    <w:next w:val="Normal"/>
    <w:link w:val="Heading3Char"/>
    <w:uiPriority w:val="9"/>
    <w:unhideWhenUsed/>
    <w:qFormat/>
    <w:rsid w:val="008E7279"/>
    <w:pPr>
      <w:keepNext/>
      <w:keepLines/>
      <w:numPr>
        <w:ilvl w:val="2"/>
        <w:numId w:val="5"/>
      </w:numPr>
      <w:spacing w:before="40" w:after="0"/>
      <w:outlineLvl w:val="2"/>
    </w:pPr>
    <w:rPr>
      <w:b/>
      <w:bCs/>
      <w:i/>
      <w:iCs/>
      <w:color w:val="1F3763" w:themeColor="accent1" w:themeShade="7F"/>
      <w:sz w:val="24"/>
      <w:szCs w:val="24"/>
      <w:highlight w:val="none"/>
      <w:u w:val="single"/>
    </w:rPr>
  </w:style>
  <w:style w:type="paragraph" w:styleId="Heading4">
    <w:name w:val="heading 4"/>
    <w:basedOn w:val="Normal"/>
    <w:next w:val="Normal"/>
    <w:link w:val="Heading4Char"/>
    <w:uiPriority w:val="9"/>
    <w:unhideWhenUsed/>
    <w:qFormat/>
    <w:rsid w:val="00C43618"/>
    <w:pPr>
      <w:keepNext/>
      <w:keepLines/>
      <w:numPr>
        <w:ilvl w:val="3"/>
        <w:numId w:val="5"/>
      </w:numPr>
      <w:spacing w:before="40" w:after="0"/>
      <w:outlineLvl w:val="3"/>
    </w:pPr>
    <w:rPr>
      <w:i/>
      <w:iCs/>
      <w:color w:val="2F5496" w:themeColor="accent1" w:themeShade="BF"/>
    </w:rPr>
  </w:style>
  <w:style w:type="paragraph" w:styleId="Heading5">
    <w:name w:val="heading 5"/>
    <w:basedOn w:val="Normal"/>
    <w:next w:val="Normal"/>
    <w:link w:val="Heading5Char"/>
    <w:uiPriority w:val="9"/>
    <w:semiHidden/>
    <w:unhideWhenUsed/>
    <w:qFormat/>
    <w:rsid w:val="00C43618"/>
    <w:pPr>
      <w:keepNext/>
      <w:keepLines/>
      <w:numPr>
        <w:ilvl w:val="4"/>
        <w:numId w:val="5"/>
      </w:numPr>
      <w:spacing w:before="40" w:after="0"/>
      <w:outlineLvl w:val="4"/>
    </w:pPr>
    <w:rPr>
      <w:color w:val="2F5496" w:themeColor="accent1" w:themeShade="BF"/>
    </w:rPr>
  </w:style>
  <w:style w:type="paragraph" w:styleId="Heading6">
    <w:name w:val="heading 6"/>
    <w:basedOn w:val="Normal"/>
    <w:next w:val="Normal"/>
    <w:link w:val="Heading6Char"/>
    <w:uiPriority w:val="9"/>
    <w:semiHidden/>
    <w:unhideWhenUsed/>
    <w:qFormat/>
    <w:rsid w:val="00C43618"/>
    <w:pPr>
      <w:keepNext/>
      <w:keepLines/>
      <w:numPr>
        <w:ilvl w:val="5"/>
        <w:numId w:val="5"/>
      </w:numPr>
      <w:spacing w:before="40" w:after="0"/>
      <w:outlineLvl w:val="5"/>
    </w:pPr>
    <w:rPr>
      <w:color w:val="1F3763" w:themeColor="accent1" w:themeShade="7F"/>
    </w:rPr>
  </w:style>
  <w:style w:type="paragraph" w:styleId="Heading7">
    <w:name w:val="heading 7"/>
    <w:basedOn w:val="Normal"/>
    <w:next w:val="Normal"/>
    <w:link w:val="Heading7Char"/>
    <w:uiPriority w:val="9"/>
    <w:semiHidden/>
    <w:unhideWhenUsed/>
    <w:qFormat/>
    <w:rsid w:val="00C43618"/>
    <w:pPr>
      <w:keepNext/>
      <w:keepLines/>
      <w:numPr>
        <w:ilvl w:val="6"/>
        <w:numId w:val="5"/>
      </w:numPr>
      <w:spacing w:before="40" w:after="0"/>
      <w:outlineLvl w:val="6"/>
    </w:pPr>
    <w:rPr>
      <w:i/>
      <w:iCs/>
      <w:color w:val="1F3763" w:themeColor="accent1" w:themeShade="7F"/>
    </w:rPr>
  </w:style>
  <w:style w:type="paragraph" w:styleId="Heading8">
    <w:name w:val="heading 8"/>
    <w:basedOn w:val="Normal"/>
    <w:next w:val="Normal"/>
    <w:link w:val="Heading8Char"/>
    <w:uiPriority w:val="9"/>
    <w:semiHidden/>
    <w:unhideWhenUsed/>
    <w:qFormat/>
    <w:rsid w:val="00C43618"/>
    <w:pPr>
      <w:keepNext/>
      <w:keepLines/>
      <w:numPr>
        <w:ilvl w:val="7"/>
        <w:numId w:val="5"/>
      </w:numPr>
      <w:spacing w:before="40" w:after="0"/>
      <w:outlineLvl w:val="7"/>
    </w:pPr>
    <w:rPr>
      <w:color w:val="272727" w:themeColor="text1" w:themeTint="D8"/>
      <w:sz w:val="21"/>
      <w:szCs w:val="21"/>
    </w:rPr>
  </w:style>
  <w:style w:type="paragraph" w:styleId="Heading9">
    <w:name w:val="heading 9"/>
    <w:basedOn w:val="Normal"/>
    <w:next w:val="Normal"/>
    <w:link w:val="Heading9Char"/>
    <w:uiPriority w:val="9"/>
    <w:semiHidden/>
    <w:unhideWhenUsed/>
    <w:qFormat/>
    <w:rsid w:val="00C43618"/>
    <w:pPr>
      <w:keepNext/>
      <w:keepLines/>
      <w:numPr>
        <w:ilvl w:val="8"/>
        <w:numId w:val="5"/>
      </w:numPr>
      <w:spacing w:before="40" w:after="0"/>
      <w:outlineLvl w:val="8"/>
    </w:pPr>
    <w:rPr>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43618"/>
    <w:pPr>
      <w:spacing w:after="0" w:line="240" w:lineRule="auto"/>
      <w:contextualSpacing/>
    </w:pPr>
    <w:rPr>
      <w:spacing w:val="-10"/>
      <w:kern w:val="28"/>
      <w:sz w:val="56"/>
      <w:szCs w:val="56"/>
    </w:rPr>
  </w:style>
  <w:style w:type="paragraph" w:styleId="ListParagraph">
    <w:name w:val="List Paragraph"/>
    <w:basedOn w:val="Normal"/>
    <w:uiPriority w:val="34"/>
    <w:qFormat/>
    <w:rsid w:val="00DB174B"/>
    <w:pPr>
      <w:ind w:left="720"/>
      <w:contextualSpacing/>
    </w:pPr>
  </w:style>
  <w:style w:type="paragraph" w:styleId="FootnoteText">
    <w:name w:val="footnote text"/>
    <w:basedOn w:val="Normal"/>
    <w:link w:val="FootnoteTextChar"/>
    <w:uiPriority w:val="99"/>
    <w:semiHidden/>
    <w:unhideWhenUsed/>
    <w:rsid w:val="00DB174B"/>
    <w:pPr>
      <w:jc w:val="lowKashida"/>
    </w:pPr>
    <w:rPr>
      <w:rFonts w:asciiTheme="minorBidi" w:hAnsiTheme="minorBidi"/>
      <w:sz w:val="20"/>
      <w:szCs w:val="20"/>
    </w:rPr>
  </w:style>
  <w:style w:type="character" w:customStyle="1" w:styleId="FootnoteTextChar">
    <w:name w:val="Footnote Text Char"/>
    <w:basedOn w:val="DefaultParagraphFont"/>
    <w:link w:val="FootnoteText"/>
    <w:uiPriority w:val="99"/>
    <w:semiHidden/>
    <w:rsid w:val="00DB174B"/>
    <w:rPr>
      <w:rFonts w:asciiTheme="minorBidi" w:eastAsiaTheme="majorEastAsia" w:hAnsiTheme="minorBidi" w:cstheme="majorBidi"/>
      <w:sz w:val="20"/>
      <w:szCs w:val="20"/>
      <w:lang w:val="en-US" w:bidi="en-US"/>
    </w:rPr>
  </w:style>
  <w:style w:type="character" w:styleId="FootnoteReference">
    <w:name w:val="footnote reference"/>
    <w:basedOn w:val="DefaultParagraphFont"/>
    <w:uiPriority w:val="99"/>
    <w:semiHidden/>
    <w:unhideWhenUsed/>
    <w:rsid w:val="00DB174B"/>
    <w:rPr>
      <w:vertAlign w:val="superscript"/>
    </w:rPr>
  </w:style>
  <w:style w:type="character" w:styleId="Hyperlink">
    <w:name w:val="Hyperlink"/>
    <w:basedOn w:val="DefaultParagraphFont"/>
    <w:uiPriority w:val="99"/>
    <w:unhideWhenUsed/>
    <w:rsid w:val="00DB174B"/>
    <w:rPr>
      <w:color w:val="0563C1" w:themeColor="hyperlink"/>
      <w:u w:val="single"/>
    </w:rPr>
  </w:style>
  <w:style w:type="paragraph" w:styleId="Header">
    <w:name w:val="header"/>
    <w:basedOn w:val="Normal"/>
    <w:link w:val="HeaderChar"/>
    <w:uiPriority w:val="99"/>
    <w:unhideWhenUsed/>
    <w:rsid w:val="007B3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F4A"/>
    <w:rPr>
      <w:rFonts w:asciiTheme="majorHAnsi" w:eastAsiaTheme="majorEastAsia" w:hAnsiTheme="majorHAnsi" w:cstheme="majorBidi"/>
      <w:sz w:val="22"/>
      <w:szCs w:val="22"/>
      <w:lang w:val="en-US" w:bidi="en-US"/>
    </w:rPr>
  </w:style>
  <w:style w:type="paragraph" w:styleId="Footer">
    <w:name w:val="footer"/>
    <w:basedOn w:val="Normal"/>
    <w:link w:val="FooterChar"/>
    <w:uiPriority w:val="99"/>
    <w:unhideWhenUsed/>
    <w:rsid w:val="007B3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F4A"/>
    <w:rPr>
      <w:rFonts w:asciiTheme="majorHAnsi" w:eastAsiaTheme="majorEastAsia" w:hAnsiTheme="majorHAnsi" w:cstheme="majorBidi"/>
      <w:sz w:val="22"/>
      <w:szCs w:val="22"/>
      <w:lang w:val="en-US" w:bidi="en-US"/>
    </w:rPr>
  </w:style>
  <w:style w:type="character" w:customStyle="1" w:styleId="Heading1Char">
    <w:name w:val="Heading 1 Char"/>
    <w:basedOn w:val="DefaultParagraphFont"/>
    <w:link w:val="Heading1"/>
    <w:uiPriority w:val="9"/>
    <w:rsid w:val="008E7279"/>
    <w:rPr>
      <w:rFonts w:asciiTheme="minorHAnsi" w:eastAsiaTheme="majorEastAsia" w:hAnsiTheme="minorHAnsi" w:cstheme="minorHAnsi"/>
      <w:b/>
      <w:bCs/>
      <w:color w:val="2F5496" w:themeColor="accent1" w:themeShade="BF"/>
      <w:sz w:val="36"/>
      <w:szCs w:val="36"/>
      <w:highlight w:val="none"/>
      <w:lang w:bidi="en-US"/>
    </w:rPr>
  </w:style>
  <w:style w:type="character" w:styleId="FollowedHyperlink">
    <w:name w:val="FollowedHyperlink"/>
    <w:basedOn w:val="DefaultParagraphFont"/>
    <w:uiPriority w:val="99"/>
    <w:semiHidden/>
    <w:unhideWhenUsed/>
    <w:rsid w:val="001D5641"/>
    <w:rPr>
      <w:color w:val="954F72" w:themeColor="followedHyperlink"/>
      <w:u w:val="single"/>
    </w:rPr>
  </w:style>
  <w:style w:type="character" w:customStyle="1" w:styleId="Heading3Char">
    <w:name w:val="Heading 3 Char"/>
    <w:basedOn w:val="DefaultParagraphFont"/>
    <w:link w:val="Heading3"/>
    <w:uiPriority w:val="9"/>
    <w:rsid w:val="008E7279"/>
    <w:rPr>
      <w:rFonts w:asciiTheme="majorHAnsi" w:eastAsiaTheme="majorEastAsia" w:hAnsiTheme="majorHAnsi" w:cstheme="majorBidi"/>
      <w:b/>
      <w:bCs/>
      <w:i/>
      <w:iCs/>
      <w:color w:val="1F3763" w:themeColor="accent1" w:themeShade="7F"/>
      <w:sz w:val="24"/>
      <w:szCs w:val="24"/>
      <w:highlight w:val="none"/>
      <w:u w:val="single"/>
      <w:lang w:bidi="en-US"/>
    </w:rPr>
  </w:style>
  <w:style w:type="paragraph" w:styleId="NoSpacing">
    <w:name w:val="No Spacing"/>
    <w:basedOn w:val="Normal"/>
    <w:link w:val="NoSpacingChar"/>
    <w:uiPriority w:val="1"/>
    <w:qFormat/>
    <w:rsid w:val="009D1739"/>
    <w:pPr>
      <w:spacing w:after="0" w:line="240" w:lineRule="auto"/>
    </w:pPr>
  </w:style>
  <w:style w:type="character" w:customStyle="1" w:styleId="NoSpacingChar">
    <w:name w:val="No Spacing Char"/>
    <w:basedOn w:val="DefaultParagraphFont"/>
    <w:link w:val="NoSpacing"/>
    <w:uiPriority w:val="1"/>
    <w:rsid w:val="009D1739"/>
    <w:rPr>
      <w:rFonts w:asciiTheme="majorHAnsi" w:eastAsiaTheme="majorEastAsia" w:hAnsiTheme="majorHAnsi" w:cstheme="majorBidi"/>
      <w:sz w:val="22"/>
      <w:szCs w:val="22"/>
      <w:lang w:val="en-US" w:bidi="en-US"/>
    </w:rPr>
  </w:style>
  <w:style w:type="character" w:customStyle="1" w:styleId="Heading2Char">
    <w:name w:val="Heading 2 Char"/>
    <w:basedOn w:val="DefaultParagraphFont"/>
    <w:link w:val="Heading2"/>
    <w:uiPriority w:val="9"/>
    <w:rsid w:val="008E7279"/>
    <w:rPr>
      <w:rFonts w:asciiTheme="minorHAnsi" w:eastAsiaTheme="majorEastAsia" w:hAnsiTheme="minorHAnsi" w:cstheme="minorHAnsi"/>
      <w:b/>
      <w:bCs/>
      <w:color w:val="2F5496" w:themeColor="accent1" w:themeShade="BF"/>
      <w:sz w:val="26"/>
      <w:szCs w:val="26"/>
      <w:highlight w:val="none"/>
      <w:lang w:bidi="en-US"/>
    </w:rPr>
  </w:style>
  <w:style w:type="character" w:customStyle="1" w:styleId="Heading4Char">
    <w:name w:val="Heading 4 Char"/>
    <w:basedOn w:val="DefaultParagraphFont"/>
    <w:link w:val="Heading4"/>
    <w:uiPriority w:val="9"/>
    <w:rsid w:val="00C43618"/>
    <w:rPr>
      <w:rFonts w:asciiTheme="majorHAnsi" w:eastAsiaTheme="majorEastAsia" w:hAnsiTheme="majorHAnsi" w:cstheme="majorBidi"/>
      <w:i/>
      <w:iCs/>
      <w:color w:val="2F5496" w:themeColor="accent1" w:themeShade="BF"/>
      <w:sz w:val="22"/>
      <w:szCs w:val="22"/>
      <w:lang w:val="en-US" w:bidi="en-US"/>
    </w:rPr>
  </w:style>
  <w:style w:type="character" w:customStyle="1" w:styleId="Heading5Char">
    <w:name w:val="Heading 5 Char"/>
    <w:basedOn w:val="DefaultParagraphFont"/>
    <w:link w:val="Heading5"/>
    <w:uiPriority w:val="9"/>
    <w:semiHidden/>
    <w:rsid w:val="00C43618"/>
    <w:rPr>
      <w:rFonts w:asciiTheme="majorHAnsi" w:eastAsiaTheme="majorEastAsia" w:hAnsiTheme="majorHAnsi" w:cstheme="majorBidi"/>
      <w:color w:val="2F5496" w:themeColor="accent1" w:themeShade="BF"/>
      <w:sz w:val="22"/>
      <w:szCs w:val="22"/>
      <w:lang w:val="en-US" w:bidi="en-US"/>
    </w:rPr>
  </w:style>
  <w:style w:type="character" w:customStyle="1" w:styleId="Heading6Char">
    <w:name w:val="Heading 6 Char"/>
    <w:basedOn w:val="DefaultParagraphFont"/>
    <w:link w:val="Heading6"/>
    <w:uiPriority w:val="9"/>
    <w:semiHidden/>
    <w:rsid w:val="00C43618"/>
    <w:rPr>
      <w:rFonts w:asciiTheme="majorHAnsi" w:eastAsiaTheme="majorEastAsia" w:hAnsiTheme="majorHAnsi" w:cstheme="majorBidi"/>
      <w:color w:val="1F3763" w:themeColor="accent1" w:themeShade="7F"/>
      <w:sz w:val="22"/>
      <w:szCs w:val="22"/>
      <w:lang w:val="en-US" w:bidi="en-US"/>
    </w:rPr>
  </w:style>
  <w:style w:type="character" w:customStyle="1" w:styleId="Heading7Char">
    <w:name w:val="Heading 7 Char"/>
    <w:basedOn w:val="DefaultParagraphFont"/>
    <w:link w:val="Heading7"/>
    <w:uiPriority w:val="9"/>
    <w:semiHidden/>
    <w:rsid w:val="00C43618"/>
    <w:rPr>
      <w:rFonts w:asciiTheme="majorHAnsi" w:eastAsiaTheme="majorEastAsia" w:hAnsiTheme="majorHAnsi" w:cstheme="majorBidi"/>
      <w:i/>
      <w:iCs/>
      <w:color w:val="1F3763" w:themeColor="accent1" w:themeShade="7F"/>
      <w:sz w:val="22"/>
      <w:szCs w:val="22"/>
      <w:lang w:val="en-US" w:bidi="en-US"/>
    </w:rPr>
  </w:style>
  <w:style w:type="character" w:customStyle="1" w:styleId="Heading8Char">
    <w:name w:val="Heading 8 Char"/>
    <w:basedOn w:val="DefaultParagraphFont"/>
    <w:link w:val="Heading8"/>
    <w:uiPriority w:val="9"/>
    <w:semiHidden/>
    <w:rsid w:val="00C43618"/>
    <w:rPr>
      <w:rFonts w:asciiTheme="majorHAnsi" w:eastAsiaTheme="majorEastAsia" w:hAnsiTheme="majorHAnsi" w:cstheme="majorBidi"/>
      <w:color w:val="272727" w:themeColor="text1" w:themeTint="D8"/>
      <w:sz w:val="21"/>
      <w:szCs w:val="21"/>
      <w:lang w:val="en-US" w:bidi="en-US"/>
    </w:rPr>
  </w:style>
  <w:style w:type="character" w:customStyle="1" w:styleId="Heading9Char">
    <w:name w:val="Heading 9 Char"/>
    <w:basedOn w:val="DefaultParagraphFont"/>
    <w:link w:val="Heading9"/>
    <w:uiPriority w:val="9"/>
    <w:semiHidden/>
    <w:rsid w:val="00C43618"/>
    <w:rPr>
      <w:rFonts w:asciiTheme="majorHAnsi" w:eastAsiaTheme="majorEastAsia" w:hAnsiTheme="majorHAnsi" w:cstheme="majorBidi"/>
      <w:i/>
      <w:iCs/>
      <w:color w:val="272727" w:themeColor="text1" w:themeTint="D8"/>
      <w:sz w:val="21"/>
      <w:szCs w:val="21"/>
      <w:lang w:val="en-US" w:bidi="en-US"/>
    </w:rPr>
  </w:style>
  <w:style w:type="character" w:customStyle="1" w:styleId="TitleChar">
    <w:name w:val="Title Char"/>
    <w:basedOn w:val="DefaultParagraphFont"/>
    <w:link w:val="Title"/>
    <w:uiPriority w:val="10"/>
    <w:rsid w:val="00C43618"/>
    <w:rPr>
      <w:rFonts w:asciiTheme="majorHAnsi" w:eastAsiaTheme="majorEastAsia" w:hAnsiTheme="majorHAnsi" w:cstheme="majorBidi"/>
      <w:spacing w:val="-10"/>
      <w:kern w:val="28"/>
      <w:sz w:val="56"/>
      <w:szCs w:val="56"/>
      <w:lang w:val="en-US" w:bidi="en-US"/>
    </w:rPr>
  </w:style>
  <w:style w:type="table" w:styleId="TableGrid">
    <w:name w:val="Table Grid"/>
    <w:basedOn w:val="TableNormal"/>
    <w:uiPriority w:val="39"/>
    <w:rsid w:val="006421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6408"/>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heme="majorHAnsi" w:eastAsiaTheme="majorEastAsia" w:hAnsiTheme="majorHAnsi" w:cstheme="majorBidi"/>
      <w:sz w:val="20"/>
      <w:szCs w:val="20"/>
      <w:lang w:bidi="en-US"/>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AF3138"/>
    <w:pPr>
      <w:numPr>
        <w:numId w:val="0"/>
      </w:numPr>
      <w:spacing w:before="480" w:line="276" w:lineRule="auto"/>
      <w:jc w:val="left"/>
      <w:outlineLvl w:val="9"/>
    </w:pPr>
    <w:rPr>
      <w:rFonts w:asciiTheme="majorHAnsi" w:hAnsiTheme="majorHAnsi" w:cstheme="majorBidi"/>
      <w:sz w:val="28"/>
      <w:szCs w:val="28"/>
      <w:lang w:eastAsia="en-US" w:bidi="ar-SA"/>
    </w:rPr>
  </w:style>
  <w:style w:type="paragraph" w:styleId="TOC1">
    <w:name w:val="toc 1"/>
    <w:basedOn w:val="Normal"/>
    <w:next w:val="Normal"/>
    <w:autoRedefine/>
    <w:uiPriority w:val="39"/>
    <w:unhideWhenUsed/>
    <w:rsid w:val="00AF3138"/>
    <w:pPr>
      <w:spacing w:before="120" w:after="0"/>
      <w:ind w:left="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AF3138"/>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AF3138"/>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F3138"/>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F3138"/>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F3138"/>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F3138"/>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F3138"/>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F3138"/>
    <w:pPr>
      <w:spacing w:after="0"/>
      <w:ind w:left="1760"/>
    </w:pPr>
    <w:rPr>
      <w:rFonts w:asciiTheme="minorHAnsi" w:hAnsiTheme="minorHAnsi" w:cstheme="minorHAnsi"/>
      <w:sz w:val="20"/>
      <w:szCs w:val="20"/>
    </w:rPr>
  </w:style>
  <w:style w:type="paragraph" w:styleId="CommentSubject">
    <w:name w:val="annotation subject"/>
    <w:basedOn w:val="CommentText"/>
    <w:next w:val="CommentText"/>
    <w:link w:val="CommentSubjectChar"/>
    <w:uiPriority w:val="99"/>
    <w:semiHidden/>
    <w:unhideWhenUsed/>
    <w:rsid w:val="000124DD"/>
    <w:rPr>
      <w:b/>
      <w:bCs/>
    </w:rPr>
  </w:style>
  <w:style w:type="character" w:customStyle="1" w:styleId="CommentSubjectChar">
    <w:name w:val="Comment Subject Char"/>
    <w:basedOn w:val="CommentTextChar"/>
    <w:link w:val="CommentSubject"/>
    <w:uiPriority w:val="99"/>
    <w:semiHidden/>
    <w:rsid w:val="000124DD"/>
    <w:rPr>
      <w:rFonts w:asciiTheme="majorHAnsi" w:eastAsiaTheme="majorEastAsia" w:hAnsiTheme="majorHAnsi" w:cstheme="majorBidi"/>
      <w:b/>
      <w:bCs/>
      <w:sz w:val="20"/>
      <w:szCs w:val="20"/>
      <w:lang w:bidi="en-US"/>
    </w:rPr>
  </w:style>
  <w:style w:type="paragraph" w:styleId="Revision">
    <w:name w:val="Revision"/>
    <w:hidden/>
    <w:uiPriority w:val="99"/>
    <w:semiHidden/>
    <w:rsid w:val="00AE6890"/>
    <w:pPr>
      <w:spacing w:after="0" w:line="240" w:lineRule="auto"/>
      <w:ind w:left="0"/>
    </w:pPr>
    <w:rPr>
      <w:rFonts w:asciiTheme="majorHAnsi" w:eastAsiaTheme="majorEastAsia" w:hAnsiTheme="majorHAnsi" w:cstheme="majorBidi"/>
      <w:lang w:bidi="en-US"/>
    </w:rPr>
  </w:style>
  <w:style w:type="character" w:styleId="PageNumber">
    <w:name w:val="page number"/>
    <w:basedOn w:val="DefaultParagraphFont"/>
    <w:uiPriority w:val="99"/>
    <w:semiHidden/>
    <w:unhideWhenUsed/>
    <w:rsid w:val="009118ED"/>
  </w:style>
  <w:style w:type="character" w:styleId="UnresolvedMention">
    <w:name w:val="Unresolved Mention"/>
    <w:basedOn w:val="DefaultParagraphFont"/>
    <w:uiPriority w:val="99"/>
    <w:semiHidden/>
    <w:unhideWhenUsed/>
    <w:rsid w:val="00BA1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taafi-sy.org/" TargetMode="External"/><Relationship Id="rId26" Type="http://schemas.openxmlformats.org/officeDocument/2006/relationships/hyperlink" Target="https://tda-sy.org/about-us/our-mission/" TargetMode="External"/><Relationship Id="rId39" Type="http://schemas.openxmlformats.org/officeDocument/2006/relationships/image" Target="media/image16.png"/><Relationship Id="rId21" Type="http://schemas.openxmlformats.org/officeDocument/2006/relationships/image" Target="media/image7.png"/><Relationship Id="rId34" Type="http://schemas.openxmlformats.org/officeDocument/2006/relationships/image" Target="media/image14.png"/><Relationship Id="rId42" Type="http://schemas.openxmlformats.org/officeDocument/2006/relationships/hyperlink" Target="https://www.whitehelmets.org/en/"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massarfamilies.com/introduction-to-the-coalition-of-the-families-of-persons-kidnapped-by-isis-and-its-cause/?lang=en" TargetMode="External"/><Relationship Id="rId29" Type="http://schemas.openxmlformats.org/officeDocument/2006/relationships/hyperlink" Target="https://jfl.ngo/en/about-justice-for-life-jfl/" TargetMode="External"/><Relationship Id="rId11" Type="http://schemas.openxmlformats.org/officeDocument/2006/relationships/image" Target="media/image2.png"/><Relationship Id="rId24" Type="http://schemas.openxmlformats.org/officeDocument/2006/relationships/hyperlink" Target="https://hrs.ngo/" TargetMode="External"/><Relationship Id="rId32" Type="http://schemas.openxmlformats.org/officeDocument/2006/relationships/image" Target="media/image13.png"/><Relationship Id="rId37" Type="http://schemas.openxmlformats.org/officeDocument/2006/relationships/hyperlink" Target="https://www.caesarfamilies.org/" TargetMode="External"/><Relationship Id="rId40" Type="http://schemas.openxmlformats.org/officeDocument/2006/relationships/hyperlink" Target="https://www.ccsd.ngo/about-ccsd/" TargetMode="External"/><Relationship Id="rId45" Type="http://schemas.openxmlformats.org/officeDocument/2006/relationships/image" Target="media/image19.jp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ldp.ngo/en/" TargetMode="External"/><Relationship Id="rId19" Type="http://schemas.openxmlformats.org/officeDocument/2006/relationships/image" Target="media/image6.png"/><Relationship Id="rId31" Type="http://schemas.openxmlformats.org/officeDocument/2006/relationships/hyperlink" Target="https://www.urnammu.org/the-organization/" TargetMode="External"/><Relationship Id="rId44" Type="http://schemas.openxmlformats.org/officeDocument/2006/relationships/hyperlink" Target="https://www.baytna.org/" TargetMode="External"/><Relationship Id="rId52"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fsla.org/" TargetMode="External"/><Relationship Id="rId22" Type="http://schemas.openxmlformats.org/officeDocument/2006/relationships/hyperlink" Target="https://stj-sy.org/en/" TargetMode="External"/><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hyperlink" Target="https://www.achrights.org/en/" TargetMode="External"/><Relationship Id="rId43" Type="http://schemas.openxmlformats.org/officeDocument/2006/relationships/image" Target="media/image18.png"/><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ldhrights.org/en/" TargetMode="Externa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hyperlink" Target="https://www.scpr-syria.org/" TargetMode="External"/><Relationship Id="rId38" Type="http://schemas.openxmlformats.org/officeDocument/2006/relationships/hyperlink" Target="https://www.bbc.com/news/world-middle-east-35110877" TargetMode="External"/><Relationship Id="rId46" Type="http://schemas.openxmlformats.org/officeDocument/2006/relationships/hyperlink" Target="https://syrianfamilies.org/en/" TargetMode="External"/><Relationship Id="rId20" Type="http://schemas.openxmlformats.org/officeDocument/2006/relationships/hyperlink" Target="https://swnsyria.org/?p=5190" TargetMode="External"/><Relationship Id="rId41" Type="http://schemas.openxmlformats.org/officeDocument/2006/relationships/image" Target="media/image17.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image" Target="media/image15.jpeg"/><Relationship Id="rId4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www.parliament.gov.sy/arabic/index.php?node=201&amp;nid=4277&amp;ref=tree&amp;" TargetMode="External"/><Relationship Id="rId18" Type="http://schemas.openxmlformats.org/officeDocument/2006/relationships/hyperlink" Target="http://www.parliament.gov.sy/arabic/index.php?node=201&amp;nid=4222&amp;ref=tree&amp;" TargetMode="External"/><Relationship Id="rId26" Type="http://schemas.openxmlformats.org/officeDocument/2006/relationships/hyperlink" Target="http://www.parliament.gov.sy/arabic/index.php?node=201&amp;nid=22937&amp;RID=-1&amp;Last=10384&amp;First=0&amp;CurrentPage=0&amp;Vld=-1&amp;Mode=&amp;Service=-1&amp;Loc1=&amp;Key1=&amp;SDate=&amp;EDate=&amp;Year=&amp;Country=&amp;Num=&amp;Dep=-1&amp;" TargetMode="External"/><Relationship Id="rId39" Type="http://schemas.openxmlformats.org/officeDocument/2006/relationships/hyperlink" Target="http://www.parliament.gov.sy/arabic/index.php?node=5576&amp;cat=16043" TargetMode="External"/><Relationship Id="rId21" Type="http://schemas.openxmlformats.org/officeDocument/2006/relationships/hyperlink" Target="http://pministry.gov.sy/contents/15978/%D8%A7%D9%84%D9%85%D8%B1%D8%B3%D9%88%D9%85-%D8%A7%D9%84%D8%AA%D8%B4%D8%B1%D9%8A%D8%B9%D9%8A-%D8%B1%D9%82%D9%85-/6/-%D9%84%D8%B9%D8%A7%D9%85-2020-%D8%A7%D9%84%D9%82%D8%A7%D8%B6%D9%8A-%D8%A8%D9%85%D9%86%D8%AD-%D8%B9%D9%81%D9%88-%D8%B9%D8%A7%D9%85-%D8%B9%D9%86-%D8%A7%D9%84%D8%AC%D8%B1%D8%A7%D8%A6%D9%85-%D8%A7%D9%84%D9%85%D8%B1%D8%AA%D9%83%D8%A8%D8%A9-%D9%82%D8%A8%D9%84-%D8%AA%D8%A7%D8%B1%D9%8A%D8%AE-22-3-2020" TargetMode="External"/><Relationship Id="rId34" Type="http://schemas.openxmlformats.org/officeDocument/2006/relationships/hyperlink" Target="http://www.parliament.gov.sy/arabic/index.php?node=5585&amp;cat=11811" TargetMode="External"/><Relationship Id="rId42" Type="http://schemas.openxmlformats.org/officeDocument/2006/relationships/hyperlink" Target="http://parliament.gov.sy/arabic/index.php?node=201&amp;nid=4304&amp;ref=tree&amp;" TargetMode="External"/><Relationship Id="rId47" Type="http://schemas.openxmlformats.org/officeDocument/2006/relationships/hyperlink" Target="http://www.parliament.gov.sy/arabic/index.php?node=201&amp;nid=4222&amp;ref=tree&amp;" TargetMode="External"/><Relationship Id="rId50" Type="http://schemas.openxmlformats.org/officeDocument/2006/relationships/hyperlink" Target="https://sana.sy/?p=1373048" TargetMode="External"/><Relationship Id="rId55" Type="http://schemas.openxmlformats.org/officeDocument/2006/relationships/hyperlink" Target="http://pministry.gov.sy/contents/15978/%D8%A7%D9%84%D9%85%D8%B1%D8%B3%D9%88%D9%85-%D8%A7%D9%84%D8%AA%D8%B4%D8%B1%D9%8A%D8%B9%D9%8A-%D8%B1%D9%82%D9%85-/6/-%D9%84%D8%B9%D8%A7%D9%85-2020-%D8%A7%D9%84%D9%82%D8%A7%D8%B6%D9%8A-%D8%A8%D9%85%D9%86%D8%AD-%D8%B9%D9%81%D9%88-%D8%B9%D8%A7%D9%85-%D8%B9%D9%86-%D8%A7%D9%84%D8%AC%D8%B1%D8%A7%D8%A6%D9%85-%D8%A7%D9%84%D9%85%D8%B1%D8%AA%D9%83%D8%A8%D8%A9-%D9%82%D8%A8%D9%84-%D8%AA%D8%A7%D8%B1%D9%8A%D8%AE-22-3-2020" TargetMode="External"/><Relationship Id="rId7" Type="http://schemas.openxmlformats.org/officeDocument/2006/relationships/hyperlink" Target="https://www.admsp.org/wp-content/uploads/2021/11/Fraud-blackmail-2.pdf" TargetMode="External"/><Relationship Id="rId2" Type="http://schemas.openxmlformats.org/officeDocument/2006/relationships/hyperlink" Target="https://www.amnesty.org/en/location/middle-east-and-north-africa/syria/report-syria/." TargetMode="External"/><Relationship Id="rId16" Type="http://schemas.openxmlformats.org/officeDocument/2006/relationships/hyperlink" Target="http://pministry.gov.sy/contents/15978/%D8%A7%D9%84%D9%85%D8%B1%D8%B3%D9%88%D9%85-%D8%A7%D9%84%D8%AA%D8%B4%D8%B1%D9%8A%D8%B9%D9%8A-%D8%B1%D9%82%D9%85-/6/-%D9%84%D8%B9%D8%A7%D9%85-2020-%D8%A7%D9%84%D9%82%D8%A7%D8%B6%D9%8A-%D8%A8%D9%85%D9%86%D8%AD-%D8%B9%D9%81%D9%88-%D8%B9%D8%A7%D9%85-%D8%B9%D9%86-%D8%A7%D9%84%D8%AC%D8%B1%D8%A7%D8%A6%D9%85-%D8%A7%D9%84%D9%85%D8%B1%D8%AA%D9%83%D8%A8%D8%A9-%D9%82%D8%A8%D9%84-%D8%AA%D8%A7%D8%B1%D9%8A%D8%AE-22-3-2020" TargetMode="External"/><Relationship Id="rId29" Type="http://schemas.openxmlformats.org/officeDocument/2006/relationships/hyperlink" Target="https://www.kas.de/en/web/rspno/single-title/-/content/the-syrian-judiciary-s-independence-broader-constitutional-lenses-1" TargetMode="External"/><Relationship Id="rId11" Type="http://schemas.openxmlformats.org/officeDocument/2006/relationships/hyperlink" Target="http://www.parliament.gov.sy/arabic/index.php?node=5586&amp;nid=4432&amp;First=0&amp;Last=17&amp;CurrentPage=0&amp;mid=&amp;refBack=" TargetMode="External"/><Relationship Id="rId24" Type="http://schemas.openxmlformats.org/officeDocument/2006/relationships/hyperlink" Target="https://www.ohchr.org/sites/default/files/2022-06/PolicyPaperSyriasMissingAndDisappeared_17June2022_EN.pdf" TargetMode="External"/><Relationship Id="rId32" Type="http://schemas.openxmlformats.org/officeDocument/2006/relationships/hyperlink" Target="http://www.parliament.gov.sy/arabic/index.php?node=5585&amp;cat=11811" TargetMode="External"/><Relationship Id="rId37" Type="http://schemas.openxmlformats.org/officeDocument/2006/relationships/hyperlink" Target="http://parliament.gov.sy/arabic/index.php?node=201&amp;nid=4304&amp;ref=tree&amp;" TargetMode="External"/><Relationship Id="rId40" Type="http://schemas.openxmlformats.org/officeDocument/2006/relationships/hyperlink" Target="http://www.parliament.gov.sy/arabic/index.php?node=5576&amp;cat=16043" TargetMode="External"/><Relationship Id="rId45" Type="http://schemas.openxmlformats.org/officeDocument/2006/relationships/hyperlink" Target="http://www.parliament.gov.sy/arabic/index.php?node=5586&amp;nid=16591&amp;First=0&amp;Last=17&amp;CurrentPage=0&amp;mid=&amp;refBack" TargetMode="External"/><Relationship Id="rId53" Type="http://schemas.openxmlformats.org/officeDocument/2006/relationships/hyperlink" Target="http://www.parliament.gov.sy/arabic/index.php?node=201&amp;nid=4222&amp;ref=tree&amp;" TargetMode="External"/><Relationship Id="rId5" Type="http://schemas.openxmlformats.org/officeDocument/2006/relationships/hyperlink" Target="https://www.caesarfamilies.org/" TargetMode="External"/><Relationship Id="rId19" Type="http://schemas.openxmlformats.org/officeDocument/2006/relationships/hyperlink" Target="http://www.parliament.gov.sy/arabic/index.php?node=201&amp;nid=16715&amp;RID=-1&amp;Last=43&amp;First=0&amp;CurrentPage=0&amp;Vld=-1&amp;Mode=3&amp;Service=-1&amp;Loc1=0&amp;Key1=&amp;SDate=2015-07-25&amp;EDate=&amp;Year=2016&amp;Country=&amp;Num=&amp;" TargetMode="External"/><Relationship Id="rId4" Type="http://schemas.openxmlformats.org/officeDocument/2006/relationships/hyperlink" Target="https://www.caesarfamilies.org/" TargetMode="External"/><Relationship Id="rId9" Type="http://schemas.openxmlformats.org/officeDocument/2006/relationships/hyperlink" Target="https://sldp.ngo/wp-content/uploads/2022/09/Fallacies-not-Facts-EN-2022.pdf" TargetMode="External"/><Relationship Id="rId14" Type="http://schemas.openxmlformats.org/officeDocument/2006/relationships/hyperlink" Target="http://www.parliament.gov.sy/arabic/index.php?node=201&amp;nid=4222&amp;ref=tree&amp;" TargetMode="External"/><Relationship Id="rId22" Type="http://schemas.openxmlformats.org/officeDocument/2006/relationships/hyperlink" Target="https://sana.sy/?p=1373048" TargetMode="External"/><Relationship Id="rId27" Type="http://schemas.openxmlformats.org/officeDocument/2006/relationships/hyperlink" Target="http://www.parliament.gov.sy/arabic/index.php?node=201&amp;nid=22958&amp;RID=-1&amp;Last=10384&amp;First=0&amp;CurrentPage=0&amp;Vld=-1&amp;Mode=&amp;Service=-1&amp;Loc1=&amp;Key1=&amp;SDate=&amp;EDate=&amp;Year=&amp;Country=&amp;Num=&amp;Dep=-1&amp;" TargetMode="External"/><Relationship Id="rId30" Type="http://schemas.openxmlformats.org/officeDocument/2006/relationships/hyperlink" Target="https://www.admsp.org/wp-content/uploads/2022/03/They-Took-Everything-Confiscation-of-detainees-assets-and-funds-in-Syria-EN.pdf" TargetMode="External"/><Relationship Id="rId35" Type="http://schemas.openxmlformats.org/officeDocument/2006/relationships/hyperlink" Target="http://www.parliament.gov.sy/arabic/index.php?node=5585&amp;cat=11811" TargetMode="External"/><Relationship Id="rId43" Type="http://schemas.openxmlformats.org/officeDocument/2006/relationships/hyperlink" Target="https://www.hrw.org/news/2013/06/25/syria-counterterrorism-court-used-stifle-dissent" TargetMode="External"/><Relationship Id="rId48" Type="http://schemas.openxmlformats.org/officeDocument/2006/relationships/hyperlink" Target="https://www.sana.sy/?p=1016724" TargetMode="External"/><Relationship Id="rId56" Type="http://schemas.openxmlformats.org/officeDocument/2006/relationships/hyperlink" Target="https://sana.sy/?p=1373048" TargetMode="External"/><Relationship Id="rId8" Type="http://schemas.openxmlformats.org/officeDocument/2006/relationships/hyperlink" Target="https://media.un.org/en/asset/k10/k10wrqezm5" TargetMode="External"/><Relationship Id="rId51" Type="http://schemas.openxmlformats.org/officeDocument/2006/relationships/hyperlink" Target="http://www.parliament.gov.sy/arabic/index.php?node=5586&amp;nid=16591&amp;First=0&amp;Last=17&amp;CurrentPage=0&amp;mid=&amp;refBack" TargetMode="External"/><Relationship Id="rId3" Type="http://schemas.openxmlformats.org/officeDocument/2006/relationships/hyperlink" Target="https://syrianfamilies.org/en/" TargetMode="External"/><Relationship Id="rId12" Type="http://schemas.openxmlformats.org/officeDocument/2006/relationships/hyperlink" Target="http://www.parliament.gov.sy/arabic/index.php?node=5586&amp;nid=16591&amp;First=0&amp;Last=17&amp;CurrentPage=0&amp;mid=&amp;refBack" TargetMode="External"/><Relationship Id="rId17" Type="http://schemas.openxmlformats.org/officeDocument/2006/relationships/hyperlink" Target="https://sana.sy/?p=1373048" TargetMode="External"/><Relationship Id="rId25" Type="http://schemas.openxmlformats.org/officeDocument/2006/relationships/hyperlink" Target="https://www.hrw.org/news/2013/06/25/syria-counterterrorism-court-used-stifle-dissent" TargetMode="External"/><Relationship Id="rId33" Type="http://schemas.openxmlformats.org/officeDocument/2006/relationships/hyperlink" Target="http://www.parliament.gov.sy/arabic/index.php?node=5585&amp;cat=11811" TargetMode="External"/><Relationship Id="rId38" Type="http://schemas.openxmlformats.org/officeDocument/2006/relationships/hyperlink" Target="http://www.parliament.gov.sy/arabic/index.php?node=5576&amp;cat=16043" TargetMode="External"/><Relationship Id="rId46" Type="http://schemas.openxmlformats.org/officeDocument/2006/relationships/hyperlink" Target="http://www.parliament.gov.sy/arabic/index.php?node=201&amp;nid=4277&amp;ref=tree&amp;" TargetMode="External"/><Relationship Id="rId20" Type="http://schemas.openxmlformats.org/officeDocument/2006/relationships/hyperlink" Target="https://www.sana.sy/?p=1016724" TargetMode="External"/><Relationship Id="rId41" Type="http://schemas.openxmlformats.org/officeDocument/2006/relationships/hyperlink" Target="http://parliament.gov.sy/arabic/index.php?node=201&amp;nid=4304&amp;ref=tree&amp;" TargetMode="External"/><Relationship Id="rId54" Type="http://schemas.openxmlformats.org/officeDocument/2006/relationships/hyperlink" Target="https://www.sana.sy/?p=1016724" TargetMode="External"/><Relationship Id="rId1" Type="http://schemas.openxmlformats.org/officeDocument/2006/relationships/hyperlink" Target="https://www.hrw.org/world-report/2022/country" TargetMode="External"/><Relationship Id="rId6" Type="http://schemas.openxmlformats.org/officeDocument/2006/relationships/hyperlink" Target="http://www.parliament.gov.sy/arabic/index.php?node=201&amp;nid=4443&amp;ref=tree&amp;" TargetMode="External"/><Relationship Id="rId15" Type="http://schemas.openxmlformats.org/officeDocument/2006/relationships/hyperlink" Target="https://www.sana.sy/?p=1016724" TargetMode="External"/><Relationship Id="rId23" Type="http://schemas.openxmlformats.org/officeDocument/2006/relationships/hyperlink" Target="https://media.un.org/en/asset/k10/k10wrqezm5" TargetMode="External"/><Relationship Id="rId28" Type="http://schemas.openxmlformats.org/officeDocument/2006/relationships/hyperlink" Target="http://www.parliament.gov.sy/arabic/index.php?node=201&amp;nid=22958&amp;RID=-1&amp;Last=10384&amp;First=0&amp;CurrentPage=0&amp;Vld=-1&amp;Mode=&amp;Service=-1&amp;Loc1=&amp;Key1=&amp;SDate=&amp;EDate=&amp;Year=&amp;Country=&amp;Num=&amp;Dep=-1&amp;" TargetMode="External"/><Relationship Id="rId36" Type="http://schemas.openxmlformats.org/officeDocument/2006/relationships/hyperlink" Target="http://www.parliament.gov.sy/arabic/index.php?node=5585&amp;cat=11811" TargetMode="External"/><Relationship Id="rId49" Type="http://schemas.openxmlformats.org/officeDocument/2006/relationships/hyperlink" Target="http://pministry.gov.sy/contents/15978/%D8%A7%D9%84%D9%85%D8%B1%D8%B3%D9%88%D9%85-%D8%A7%D9%84%D8%AA%D8%B4%D8%B1%D9%8A%D8%B9%D9%8A-%D8%B1%D9%82%D9%85-/6/-%D9%84%D8%B9%D8%A7%D9%85-2020-%D8%A7%D9%84%D9%82%D8%A7%D8%B6%D9%8A-%D8%A8%D9%85%D9%86%D8%AD-%D8%B9%D9%81%D9%88-%D8%B9%D8%A7%D9%85-%D8%B9%D9%86-%D8%A7%D9%84%D8%AC%D8%B1%D8%A7%D8%A6%D9%85-%D8%A7%D9%84%D9%85%D8%B1%D8%AA%D9%83%D8%A8%D8%A9-%D9%82%D8%A8%D9%84-%D8%AA%D8%A7%D8%B1%D9%8A%D8%AE-22-3-2020" TargetMode="External"/><Relationship Id="rId57" Type="http://schemas.openxmlformats.org/officeDocument/2006/relationships/hyperlink" Target="http://www.parliament.gov.sy/arabic/index.php?node=5516&amp;cat=22968&amp;" TargetMode="External"/><Relationship Id="rId10" Type="http://schemas.openxmlformats.org/officeDocument/2006/relationships/hyperlink" Target="https://tbinternet.ohchr.org/Treaties/CAT/Shared%20Documents/SYR/INT_CAT_NGO_SYR_48_10106_E.pdf" TargetMode="External"/><Relationship Id="rId31" Type="http://schemas.openxmlformats.org/officeDocument/2006/relationships/hyperlink" Target="http://www.parliament.gov.sy/arabic/index.php?node=5585&amp;cat=11811" TargetMode="External"/><Relationship Id="rId44" Type="http://schemas.openxmlformats.org/officeDocument/2006/relationships/hyperlink" Target="http://www.parliament.gov.sy/arabic/index.php?node=5586&amp;nid=4432&amp;First=0&amp;Last=17&amp;CurrentPage=0&amp;mid=&amp;refBack=" TargetMode="External"/><Relationship Id="rId52" Type="http://schemas.openxmlformats.org/officeDocument/2006/relationships/hyperlink" Target="http://www.parliament.gov.sy/arabic/index.php?node=201&amp;nid=4277&amp;ref=tree&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QmoXhMo2Xh5ZBJzRwrRZKPcdhqA==">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</go:docsCustomData>
</go:gDocsCustomXmlDataStorage>
</file>

<file path=customXml/itemProps1.xml><?xml version="1.0" encoding="utf-8"?>
<ds:datastoreItem xmlns:ds="http://schemas.openxmlformats.org/officeDocument/2006/customXml" ds:itemID="{FB00847A-4F55-9F4B-AF2C-FB73E082757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41</Pages>
  <Words>14124</Words>
  <Characters>74151</Characters>
  <Application>Microsoft Office Word</Application>
  <DocSecurity>0</DocSecurity>
  <Lines>1373</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Obai Kurdali</dc:creator>
  <cp:lastModifiedBy>Obai Kurdali</cp:lastModifiedBy>
  <cp:revision>24</cp:revision>
  <dcterms:created xsi:type="dcterms:W3CDTF">2022-12-20T16:30:00Z</dcterms:created>
  <dcterms:modified xsi:type="dcterms:W3CDTF">2022-12-29T10:45:00Z</dcterms:modified>
</cp:coreProperties>
</file>