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D53229" w14:textId="77777777" w:rsidR="005E25E2" w:rsidRPr="003B776F" w:rsidRDefault="00926321" w:rsidP="00926321">
      <w:pPr>
        <w:jc w:val="center"/>
        <w:rPr>
          <w:rFonts w:ascii="Times New Roman" w:hAnsi="Times New Roman" w:cs="Times New Roman"/>
        </w:rPr>
      </w:pPr>
      <w:bookmarkStart w:id="0" w:name="_GoBack"/>
      <w:bookmarkEnd w:id="0"/>
      <w:r w:rsidRPr="003B776F">
        <w:rPr>
          <w:rFonts w:ascii="Times New Roman" w:hAnsi="Times New Roman" w:cs="Times New Roman"/>
          <w:noProof/>
          <w:lang w:val="en-GB" w:eastAsia="ko-KR"/>
        </w:rPr>
        <w:drawing>
          <wp:inline distT="0" distB="0" distL="0" distR="0" wp14:anchorId="26743D2F" wp14:editId="545C0B11">
            <wp:extent cx="2539682" cy="1549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mall-logo.png"/>
                    <pic:cNvPicPr/>
                  </pic:nvPicPr>
                  <pic:blipFill>
                    <a:blip r:embed="rId7">
                      <a:extLst>
                        <a:ext uri="{28A0092B-C50C-407E-A947-70E740481C1C}">
                          <a14:useLocalDpi xmlns:a14="http://schemas.microsoft.com/office/drawing/2010/main" val="0"/>
                        </a:ext>
                      </a:extLst>
                    </a:blip>
                    <a:stretch>
                      <a:fillRect/>
                    </a:stretch>
                  </pic:blipFill>
                  <pic:spPr>
                    <a:xfrm>
                      <a:off x="0" y="0"/>
                      <a:ext cx="2539682" cy="1549206"/>
                    </a:xfrm>
                    <a:prstGeom prst="rect">
                      <a:avLst/>
                    </a:prstGeom>
                  </pic:spPr>
                </pic:pic>
              </a:graphicData>
            </a:graphic>
          </wp:inline>
        </w:drawing>
      </w:r>
    </w:p>
    <w:p w14:paraId="39F1FF39" w14:textId="77777777" w:rsidR="00926321" w:rsidRPr="003B776F" w:rsidRDefault="00926321" w:rsidP="00926321">
      <w:pPr>
        <w:jc w:val="center"/>
        <w:rPr>
          <w:rFonts w:ascii="Times New Roman" w:hAnsi="Times New Roman" w:cs="Times New Roman"/>
        </w:rPr>
      </w:pPr>
    </w:p>
    <w:p w14:paraId="13D90D9E" w14:textId="77777777" w:rsidR="00A075D2" w:rsidRPr="003B776F" w:rsidRDefault="00A075D2" w:rsidP="00A075D2">
      <w:pPr>
        <w:jc w:val="center"/>
        <w:rPr>
          <w:rFonts w:ascii="Times New Roman" w:hAnsi="Times New Roman" w:cs="Times New Roman"/>
          <w:b/>
          <w:sz w:val="24"/>
          <w:szCs w:val="24"/>
          <w:lang w:val="en-US"/>
        </w:rPr>
      </w:pPr>
      <w:r w:rsidRPr="003B776F">
        <w:rPr>
          <w:rFonts w:ascii="Times New Roman" w:hAnsi="Times New Roman" w:cs="Times New Roman"/>
          <w:b/>
          <w:sz w:val="24"/>
          <w:szCs w:val="24"/>
          <w:lang w:val="en-US"/>
        </w:rPr>
        <w:t>Review on</w:t>
      </w:r>
      <w:r w:rsidRPr="003B776F">
        <w:rPr>
          <w:rFonts w:ascii="Times New Roman" w:hAnsi="Times New Roman" w:cs="Times New Roman"/>
          <w:sz w:val="24"/>
          <w:szCs w:val="24"/>
          <w:lang w:val="en-US"/>
        </w:rPr>
        <w:t xml:space="preserve"> </w:t>
      </w:r>
      <w:r w:rsidRPr="003B776F">
        <w:rPr>
          <w:rFonts w:ascii="Times New Roman" w:hAnsi="Times New Roman" w:cs="Times New Roman"/>
          <w:b/>
          <w:sz w:val="24"/>
          <w:szCs w:val="24"/>
          <w:lang w:val="en-US"/>
        </w:rPr>
        <w:t>Bosnia and Herzegovina’s Compliance with the Convention on Economic, Social and Cultural Rights</w:t>
      </w:r>
    </w:p>
    <w:p w14:paraId="08EC2D0F" w14:textId="77777777" w:rsidR="00A075D2" w:rsidRPr="003B776F" w:rsidRDefault="00A075D2" w:rsidP="00A075D2">
      <w:pPr>
        <w:jc w:val="center"/>
        <w:rPr>
          <w:rFonts w:ascii="Times New Roman" w:hAnsi="Times New Roman" w:cs="Times New Roman"/>
          <w:b/>
          <w:sz w:val="24"/>
          <w:szCs w:val="24"/>
          <w:lang w:val="en-US"/>
        </w:rPr>
      </w:pPr>
      <w:r w:rsidRPr="003B776F">
        <w:rPr>
          <w:rFonts w:ascii="Times New Roman" w:hAnsi="Times New Roman" w:cs="Times New Roman"/>
          <w:b/>
          <w:sz w:val="24"/>
          <w:szCs w:val="24"/>
          <w:lang w:val="en-US"/>
        </w:rPr>
        <w:t>Submitted by the BiH Civil Society Initiative for UPR for the</w:t>
      </w:r>
    </w:p>
    <w:p w14:paraId="678956F0" w14:textId="77777777" w:rsidR="00A075D2" w:rsidRPr="003B776F" w:rsidRDefault="00A075D2" w:rsidP="00A075D2">
      <w:pPr>
        <w:jc w:val="center"/>
        <w:rPr>
          <w:rFonts w:ascii="Times New Roman" w:hAnsi="Times New Roman" w:cs="Times New Roman"/>
          <w:b/>
          <w:sz w:val="24"/>
          <w:szCs w:val="24"/>
          <w:lang w:val="en-US"/>
        </w:rPr>
      </w:pPr>
      <w:r w:rsidRPr="003B776F">
        <w:rPr>
          <w:rFonts w:ascii="Times New Roman" w:hAnsi="Times New Roman" w:cs="Times New Roman"/>
          <w:b/>
          <w:sz w:val="24"/>
          <w:szCs w:val="24"/>
          <w:lang w:val="en-US"/>
        </w:rPr>
        <w:t>70</w:t>
      </w:r>
      <w:r w:rsidRPr="003B776F">
        <w:rPr>
          <w:rFonts w:ascii="Times New Roman" w:hAnsi="Times New Roman" w:cs="Times New Roman"/>
          <w:b/>
          <w:sz w:val="24"/>
          <w:szCs w:val="24"/>
          <w:vertAlign w:val="superscript"/>
          <w:lang w:val="en-US"/>
        </w:rPr>
        <w:t>th</w:t>
      </w:r>
      <w:r w:rsidRPr="003B776F">
        <w:rPr>
          <w:rFonts w:ascii="Times New Roman" w:hAnsi="Times New Roman" w:cs="Times New Roman"/>
          <w:b/>
          <w:sz w:val="24"/>
          <w:szCs w:val="24"/>
          <w:lang w:val="en-US"/>
        </w:rPr>
        <w:t xml:space="preserve"> Session of the CESCR</w:t>
      </w:r>
    </w:p>
    <w:p w14:paraId="1AD921C3" w14:textId="77777777" w:rsidR="00A075D2" w:rsidRPr="003B776F" w:rsidRDefault="00A075D2" w:rsidP="00A075D2">
      <w:pPr>
        <w:jc w:val="center"/>
        <w:rPr>
          <w:rFonts w:ascii="Times New Roman" w:hAnsi="Times New Roman" w:cs="Times New Roman"/>
          <w:b/>
          <w:sz w:val="24"/>
          <w:szCs w:val="24"/>
          <w:lang w:val="en-US"/>
        </w:rPr>
      </w:pPr>
      <w:r w:rsidRPr="003B776F">
        <w:rPr>
          <w:rFonts w:ascii="Times New Roman" w:hAnsi="Times New Roman" w:cs="Times New Roman"/>
          <w:b/>
          <w:sz w:val="24"/>
          <w:szCs w:val="24"/>
          <w:lang w:val="en-US"/>
        </w:rPr>
        <w:t>27 September–15 October 2021</w:t>
      </w:r>
    </w:p>
    <w:p w14:paraId="16F0F0E3" w14:textId="77777777" w:rsidR="00E83CF8" w:rsidRPr="003B776F" w:rsidRDefault="00E83CF8" w:rsidP="00E83CF8">
      <w:pPr>
        <w:jc w:val="both"/>
        <w:rPr>
          <w:rFonts w:ascii="Times New Roman" w:hAnsi="Times New Roman" w:cs="Times New Roman"/>
          <w:sz w:val="24"/>
          <w:szCs w:val="24"/>
          <w:lang w:val="en-US"/>
        </w:rPr>
      </w:pPr>
    </w:p>
    <w:p w14:paraId="3455ED09" w14:textId="77777777" w:rsidR="0059271A" w:rsidRPr="003B776F" w:rsidRDefault="0059271A" w:rsidP="00E83CF8">
      <w:pPr>
        <w:jc w:val="both"/>
        <w:rPr>
          <w:rFonts w:ascii="Times New Roman" w:hAnsi="Times New Roman" w:cs="Times New Roman"/>
          <w:b/>
          <w:sz w:val="24"/>
          <w:szCs w:val="24"/>
          <w:lang w:val="en-US"/>
        </w:rPr>
      </w:pPr>
    </w:p>
    <w:p w14:paraId="5F73516D" w14:textId="77777777" w:rsidR="00E83CF8" w:rsidRPr="003B776F" w:rsidRDefault="00E83CF8" w:rsidP="00E83CF8">
      <w:pPr>
        <w:jc w:val="both"/>
        <w:rPr>
          <w:rFonts w:ascii="Times New Roman" w:hAnsi="Times New Roman" w:cs="Times New Roman"/>
          <w:sz w:val="24"/>
          <w:szCs w:val="24"/>
          <w:lang w:val="en-US"/>
        </w:rPr>
      </w:pPr>
      <w:r w:rsidRPr="003B776F">
        <w:rPr>
          <w:rFonts w:ascii="Times New Roman" w:hAnsi="Times New Roman" w:cs="Times New Roman"/>
          <w:b/>
          <w:sz w:val="24"/>
          <w:szCs w:val="24"/>
          <w:lang w:val="en-US"/>
        </w:rPr>
        <w:t>BiH Civil Society Initiative for UPR</w:t>
      </w:r>
      <w:r w:rsidRPr="003B776F">
        <w:rPr>
          <w:rFonts w:ascii="Times New Roman" w:hAnsi="Times New Roman" w:cs="Times New Roman"/>
          <w:sz w:val="24"/>
          <w:szCs w:val="24"/>
          <w:lang w:val="en-US"/>
        </w:rPr>
        <w:t xml:space="preserve"> is an informal coalition of fourteen civil society organisations from across Bosnia and Herzegovina which act in various fields of promotion and protection of human rights. Members of the BiH Civil Society Initiative for UPR are: Sarajevo Open Centre, BH Journalists, Civil Rights Defenders, CURE Foundation, Transparency International in BiH, Association „Zemlja Djece u BiH“, CA Why Not, Civil Society Promotion Center, Association „Vaša prava BiH“, TRIAL International, My Right – Empowers People with Disabilities, CA for Promotion of Roma Education “Otaharin”, Association for Democratic Initiatives, and Helsinki Citizens’ Assembly (hCa) Banja Luka.</w:t>
      </w:r>
    </w:p>
    <w:p w14:paraId="6607B6A9" w14:textId="0FD73182" w:rsidR="00A075D2" w:rsidRPr="003B776F" w:rsidRDefault="0059271A" w:rsidP="0059271A">
      <w:pPr>
        <w:jc w:val="both"/>
        <w:rPr>
          <w:rFonts w:ascii="Times New Roman" w:hAnsi="Times New Roman" w:cs="Times New Roman"/>
          <w:sz w:val="24"/>
          <w:szCs w:val="24"/>
          <w:lang w:val="en-US"/>
        </w:rPr>
      </w:pPr>
      <w:r w:rsidRPr="003B776F">
        <w:rPr>
          <w:rFonts w:ascii="Times New Roman" w:hAnsi="Times New Roman" w:cs="Times New Roman"/>
          <w:sz w:val="24"/>
          <w:szCs w:val="24"/>
          <w:lang w:val="en-US"/>
        </w:rPr>
        <w:t xml:space="preserve">The report is </w:t>
      </w:r>
      <w:r w:rsidR="00383D31" w:rsidRPr="003B776F">
        <w:rPr>
          <w:rFonts w:ascii="Times New Roman" w:hAnsi="Times New Roman" w:cs="Times New Roman"/>
          <w:sz w:val="24"/>
          <w:szCs w:val="24"/>
          <w:lang w:val="en-US"/>
        </w:rPr>
        <w:t>compiled</w:t>
      </w:r>
      <w:r w:rsidRPr="003B776F">
        <w:rPr>
          <w:rFonts w:ascii="Times New Roman" w:hAnsi="Times New Roman" w:cs="Times New Roman"/>
          <w:sz w:val="24"/>
          <w:szCs w:val="24"/>
          <w:lang w:val="en-US"/>
        </w:rPr>
        <w:t xml:space="preserve"> by the organizations: Sarajevo Open Centre, Transparency International in BiH</w:t>
      </w:r>
      <w:r w:rsidR="0013668E">
        <w:rPr>
          <w:rFonts w:ascii="Times New Roman" w:hAnsi="Times New Roman" w:cs="Times New Roman"/>
          <w:sz w:val="24"/>
          <w:szCs w:val="24"/>
          <w:lang w:val="en-US"/>
        </w:rPr>
        <w:t>,</w:t>
      </w:r>
      <w:r w:rsidRPr="003B776F">
        <w:rPr>
          <w:rFonts w:ascii="Times New Roman" w:hAnsi="Times New Roman" w:cs="Times New Roman"/>
          <w:sz w:val="24"/>
          <w:szCs w:val="24"/>
          <w:lang w:val="en-US"/>
        </w:rPr>
        <w:t xml:space="preserve"> </w:t>
      </w:r>
      <w:r w:rsidR="0013668E" w:rsidRPr="003B776F">
        <w:rPr>
          <w:rFonts w:ascii="Times New Roman" w:hAnsi="Times New Roman" w:cs="Times New Roman"/>
          <w:sz w:val="24"/>
          <w:szCs w:val="24"/>
          <w:lang w:val="en-US"/>
        </w:rPr>
        <w:t>Civil Society Promotion Center</w:t>
      </w:r>
      <w:r w:rsidR="0013668E">
        <w:rPr>
          <w:rFonts w:ascii="Times New Roman" w:hAnsi="Times New Roman" w:cs="Times New Roman"/>
          <w:sz w:val="24"/>
          <w:szCs w:val="24"/>
          <w:lang w:val="en-US"/>
        </w:rPr>
        <w:t>,</w:t>
      </w:r>
      <w:r w:rsidR="0013668E" w:rsidRPr="003B776F">
        <w:rPr>
          <w:rFonts w:ascii="Times New Roman" w:hAnsi="Times New Roman" w:cs="Times New Roman"/>
          <w:sz w:val="24"/>
          <w:szCs w:val="24"/>
          <w:lang w:val="en-US"/>
        </w:rPr>
        <w:t xml:space="preserve"> </w:t>
      </w:r>
      <w:r w:rsidRPr="003B776F">
        <w:rPr>
          <w:rFonts w:ascii="Times New Roman" w:hAnsi="Times New Roman" w:cs="Times New Roman"/>
          <w:sz w:val="24"/>
          <w:szCs w:val="24"/>
          <w:lang w:val="en-US"/>
        </w:rPr>
        <w:t xml:space="preserve">My Right – Empowers People with Disabilities and Helsinki Citizens’ Assembly (hCa) Banja Luka. </w:t>
      </w:r>
    </w:p>
    <w:p w14:paraId="50F75918" w14:textId="77777777" w:rsidR="0059271A" w:rsidRPr="003B776F" w:rsidRDefault="0059271A" w:rsidP="0059271A">
      <w:pPr>
        <w:jc w:val="both"/>
        <w:rPr>
          <w:rFonts w:ascii="Times New Roman" w:hAnsi="Times New Roman" w:cs="Times New Roman"/>
          <w:sz w:val="24"/>
          <w:szCs w:val="24"/>
          <w:lang w:val="en-US"/>
        </w:rPr>
      </w:pPr>
    </w:p>
    <w:p w14:paraId="3C21D68B" w14:textId="77777777" w:rsidR="0059271A" w:rsidRPr="003B776F" w:rsidRDefault="0059271A" w:rsidP="0059271A">
      <w:pPr>
        <w:jc w:val="both"/>
        <w:rPr>
          <w:rFonts w:ascii="Times New Roman" w:hAnsi="Times New Roman" w:cs="Times New Roman"/>
          <w:sz w:val="24"/>
          <w:szCs w:val="24"/>
          <w:lang w:val="en-US"/>
        </w:rPr>
      </w:pPr>
    </w:p>
    <w:p w14:paraId="793070C1" w14:textId="77777777" w:rsidR="0059271A" w:rsidRPr="003B776F" w:rsidRDefault="0059271A" w:rsidP="0059271A">
      <w:pPr>
        <w:jc w:val="both"/>
        <w:rPr>
          <w:rFonts w:ascii="Times New Roman" w:hAnsi="Times New Roman" w:cs="Times New Roman"/>
          <w:sz w:val="24"/>
          <w:szCs w:val="24"/>
          <w:lang w:val="en-US"/>
        </w:rPr>
      </w:pPr>
    </w:p>
    <w:p w14:paraId="52628948" w14:textId="77777777" w:rsidR="0059271A" w:rsidRPr="003B776F" w:rsidRDefault="0059271A" w:rsidP="0059271A">
      <w:pPr>
        <w:jc w:val="both"/>
        <w:rPr>
          <w:rFonts w:ascii="Times New Roman" w:hAnsi="Times New Roman" w:cs="Times New Roman"/>
          <w:sz w:val="24"/>
          <w:szCs w:val="24"/>
          <w:lang w:val="en-US"/>
        </w:rPr>
      </w:pPr>
    </w:p>
    <w:p w14:paraId="29398206" w14:textId="77777777" w:rsidR="0059271A" w:rsidRPr="003B776F" w:rsidRDefault="0059271A" w:rsidP="0059271A">
      <w:pPr>
        <w:jc w:val="both"/>
        <w:rPr>
          <w:rFonts w:ascii="Times New Roman" w:hAnsi="Times New Roman" w:cs="Times New Roman"/>
          <w:sz w:val="24"/>
          <w:szCs w:val="24"/>
          <w:lang w:val="en-US"/>
        </w:rPr>
      </w:pPr>
    </w:p>
    <w:p w14:paraId="1E3DE51E" w14:textId="77777777" w:rsidR="0059271A" w:rsidRPr="003B776F" w:rsidRDefault="0059271A" w:rsidP="0059271A">
      <w:pPr>
        <w:jc w:val="both"/>
        <w:rPr>
          <w:rFonts w:ascii="Times New Roman" w:hAnsi="Times New Roman" w:cs="Times New Roman"/>
          <w:sz w:val="24"/>
          <w:szCs w:val="24"/>
          <w:lang w:val="en-US"/>
        </w:rPr>
      </w:pPr>
    </w:p>
    <w:p w14:paraId="478B6792" w14:textId="77777777" w:rsidR="0059271A" w:rsidRPr="003B776F" w:rsidRDefault="0059271A" w:rsidP="0059271A">
      <w:pPr>
        <w:jc w:val="both"/>
        <w:rPr>
          <w:rFonts w:ascii="Times New Roman" w:hAnsi="Times New Roman" w:cs="Times New Roman"/>
          <w:sz w:val="24"/>
          <w:szCs w:val="24"/>
          <w:lang w:val="en-US"/>
        </w:rPr>
      </w:pPr>
    </w:p>
    <w:p w14:paraId="4A11244E" w14:textId="77777777" w:rsidR="0059271A" w:rsidRPr="003B776F" w:rsidRDefault="0059271A" w:rsidP="0059271A">
      <w:pPr>
        <w:jc w:val="both"/>
        <w:rPr>
          <w:rFonts w:ascii="Times New Roman" w:hAnsi="Times New Roman" w:cs="Times New Roman"/>
          <w:sz w:val="24"/>
          <w:szCs w:val="24"/>
          <w:lang w:val="en-US"/>
        </w:rPr>
      </w:pPr>
    </w:p>
    <w:p w14:paraId="0EAA9D21" w14:textId="77777777" w:rsidR="0059271A" w:rsidRPr="003B776F" w:rsidRDefault="0059271A" w:rsidP="0059271A">
      <w:pPr>
        <w:jc w:val="both"/>
        <w:rPr>
          <w:rFonts w:ascii="Times New Roman" w:hAnsi="Times New Roman" w:cs="Times New Roman"/>
          <w:sz w:val="24"/>
          <w:szCs w:val="24"/>
          <w:lang w:val="en-US"/>
        </w:rPr>
      </w:pPr>
    </w:p>
    <w:p w14:paraId="425AB7D5" w14:textId="77777777" w:rsidR="003B776F" w:rsidRPr="003B776F" w:rsidRDefault="003B776F" w:rsidP="003B776F">
      <w:pPr>
        <w:spacing w:before="120"/>
        <w:rPr>
          <w:rFonts w:ascii="Times New Roman" w:hAnsi="Times New Roman" w:cs="Times New Roman"/>
          <w:b/>
          <w:sz w:val="24"/>
        </w:rPr>
      </w:pPr>
      <w:r w:rsidRPr="003B776F">
        <w:rPr>
          <w:rFonts w:ascii="Times New Roman" w:hAnsi="Times New Roman" w:cs="Times New Roman"/>
          <w:b/>
          <w:sz w:val="24"/>
        </w:rPr>
        <w:lastRenderedPageBreak/>
        <w:t>Committee on Economic, Social and Cultural Rights</w:t>
      </w:r>
    </w:p>
    <w:p w14:paraId="2D4B2CBD" w14:textId="77777777" w:rsidR="003B776F" w:rsidRPr="003B776F" w:rsidRDefault="003B776F" w:rsidP="003B776F">
      <w:pPr>
        <w:pStyle w:val="HChG"/>
      </w:pPr>
      <w:r w:rsidRPr="003B776F">
        <w:tab/>
      </w:r>
      <w:r w:rsidRPr="003B776F">
        <w:tab/>
        <w:t xml:space="preserve">List of issues in relation to the </w:t>
      </w:r>
      <w:r w:rsidR="00FA15E7">
        <w:fldChar w:fldCharType="begin"/>
      </w:r>
      <w:r w:rsidR="00FA15E7">
        <w:instrText xml:space="preserve"> DOCPROPERTY  prep  \* MERGEFORMAT </w:instrText>
      </w:r>
      <w:r w:rsidR="00FA15E7">
        <w:fldChar w:fldCharType="separate"/>
      </w:r>
      <w:r w:rsidRPr="003B776F">
        <w:t>third periodic report of Bosnia and Herzegovina</w:t>
      </w:r>
      <w:r w:rsidR="00FA15E7">
        <w:fldChar w:fldCharType="end"/>
      </w:r>
      <w:r w:rsidRPr="003B776F">
        <w:rPr>
          <w:b w:val="0"/>
          <w:sz w:val="20"/>
        </w:rPr>
        <w:footnoteReference w:customMarkFollows="1" w:id="1"/>
        <w:t>*</w:t>
      </w:r>
    </w:p>
    <w:p w14:paraId="380017A4" w14:textId="77777777" w:rsidR="003B776F" w:rsidRPr="003B776F" w:rsidRDefault="003B776F" w:rsidP="003B776F">
      <w:pPr>
        <w:pStyle w:val="HChG"/>
      </w:pPr>
      <w:r w:rsidRPr="003B776F">
        <w:rPr>
          <w:b w:val="0"/>
        </w:rPr>
        <w:tab/>
      </w:r>
      <w:r w:rsidRPr="00037C89">
        <w:t>I.</w:t>
      </w:r>
      <w:r w:rsidRPr="00037C89">
        <w:tab/>
      </w:r>
      <w:r w:rsidRPr="003B776F">
        <w:t>General information</w:t>
      </w:r>
    </w:p>
    <w:p w14:paraId="7697C544" w14:textId="77777777" w:rsidR="003B776F" w:rsidRPr="002E217B" w:rsidRDefault="003B776F" w:rsidP="00DC7E50">
      <w:pPr>
        <w:pStyle w:val="SingleTxtG"/>
        <w:kinsoku w:val="0"/>
        <w:overflowPunct w:val="0"/>
        <w:autoSpaceDE w:val="0"/>
        <w:autoSpaceDN w:val="0"/>
        <w:adjustRightInd w:val="0"/>
        <w:snapToGrid w:val="0"/>
        <w:ind w:left="0" w:right="0"/>
        <w:rPr>
          <w:b/>
          <w:sz w:val="24"/>
          <w:szCs w:val="24"/>
        </w:rPr>
      </w:pPr>
      <w:r w:rsidRPr="002E217B">
        <w:rPr>
          <w:b/>
          <w:sz w:val="24"/>
          <w:szCs w:val="24"/>
        </w:rPr>
        <w:t>3.</w:t>
      </w:r>
      <w:r w:rsidR="002E217B" w:rsidRPr="002E217B">
        <w:rPr>
          <w:b/>
          <w:sz w:val="24"/>
          <w:szCs w:val="24"/>
        </w:rPr>
        <w:t xml:space="preserve"> </w:t>
      </w:r>
      <w:r w:rsidRPr="002E217B">
        <w:rPr>
          <w:b/>
          <w:sz w:val="24"/>
          <w:szCs w:val="24"/>
        </w:rPr>
        <w:t>Please provide information on the measures taken to strengthen the independence of the Institution of Human Rights Ombudsman in light of the recommendations made by the Global Alliance of National Human Rights Institutions when the Institution was reaccredited with A status in 2017. In that regard, please provide an update on the status of the draft law amending the Law on the Institution of Human Rights Ombudsman. Please also provide information on: (a) the measures taken by relevant authorities to ensure that the recommendations made by the Institution are followed, either by implementing them or by providing a reasoned explanation for not doing so; (b) the rate of implementation of the recommendations during the reporting period; and (c) changes in the budget allocated to the Institution.</w:t>
      </w:r>
    </w:p>
    <w:p w14:paraId="3777C7FA" w14:textId="77777777" w:rsidR="003B776F" w:rsidRPr="002E217B" w:rsidRDefault="003B776F" w:rsidP="00DC7E50">
      <w:pPr>
        <w:pStyle w:val="SingleTxtG"/>
        <w:kinsoku w:val="0"/>
        <w:overflowPunct w:val="0"/>
        <w:autoSpaceDE w:val="0"/>
        <w:autoSpaceDN w:val="0"/>
        <w:adjustRightInd w:val="0"/>
        <w:snapToGrid w:val="0"/>
        <w:ind w:left="0" w:right="0"/>
        <w:rPr>
          <w:sz w:val="24"/>
          <w:szCs w:val="24"/>
        </w:rPr>
      </w:pPr>
      <w:r w:rsidRPr="002E217B">
        <w:rPr>
          <w:sz w:val="24"/>
          <w:szCs w:val="24"/>
        </w:rPr>
        <w:t xml:space="preserve">The decision of the BiH Parliamentary Assembly in November 2015 appointed three ombudsmen for a period of six years, of which only one was newly appointed. In early 2016, the Institution of Ombudsman made certain internal changes, which led to the adoption of a new operation strategy of the Institution. In that period, some positive developments have been registered, such as carrying out consultations with civil society in Sarajevo and Banja Luka, and making of two special reports. In May 2016, the Institution submitted the annual report on the work to the BiH Parliamentary Assembly. </w:t>
      </w:r>
    </w:p>
    <w:p w14:paraId="093F887B" w14:textId="77777777" w:rsidR="003B776F" w:rsidRPr="002E217B" w:rsidRDefault="003B776F" w:rsidP="00DC7E50">
      <w:pPr>
        <w:pStyle w:val="SingleTxtG"/>
        <w:kinsoku w:val="0"/>
        <w:overflowPunct w:val="0"/>
        <w:autoSpaceDE w:val="0"/>
        <w:autoSpaceDN w:val="0"/>
        <w:adjustRightInd w:val="0"/>
        <w:snapToGrid w:val="0"/>
        <w:ind w:left="0" w:right="0"/>
        <w:rPr>
          <w:sz w:val="24"/>
          <w:szCs w:val="24"/>
        </w:rPr>
      </w:pPr>
      <w:r w:rsidRPr="002E217B">
        <w:rPr>
          <w:sz w:val="24"/>
          <w:szCs w:val="24"/>
        </w:rPr>
        <w:t>The International Coordinating Committee for Accreditation of National Institutions for the Promotion and Protection of Human Rights has brought into question re-accreditation of the BiH Institution of Ombudsman, after failing to adopt the Law on Human Rights Ombudsman in 2015. The Committee, as well as the Venice Commission, gave recommendations on improving the legal framework, cooperation with civil society, ensuring financial independence and ensuring the role of ombudsman in the promotion of human rights. In September 2017, the Council of Ministers of BiH adopted the draft Law on Amendments to the Law on Human Rights Ombudsman of BiH prepared by the Ministry of Human Rights and Refugees of BiH in order to facilitate re-accreditation and retention of status “A” of the Institution. Despite the efforts of civil society organizations and existing recommendations, the said amendments are negligible and do not contribute to a more functional role of the ombudsperson in the protection of human rights, while the process of drafting the proposal itself was nontransparent and did not include public consultation. The issue of financing the institution is resolved presumptively, cooperation with civil society organizations is only mentioned, while the issue of the functioning of the Institution of Ombudsman as a national preventive mechanism and its promotional role is only partially regulated. Responsibilities of the institution, the transfer of the appointment procedure of ombudsperson from the ad hoc commission to the permanent human rights commission, division of fields and activities between ombudspersons and the establishment of a permanent advisory body for cooperation with civil society are not covered by the amendments.</w:t>
      </w:r>
    </w:p>
    <w:p w14:paraId="6563952C" w14:textId="77777777" w:rsidR="003B776F" w:rsidRPr="002E217B" w:rsidRDefault="003B776F" w:rsidP="00DC7E50">
      <w:pPr>
        <w:pStyle w:val="SingleTxtG"/>
        <w:kinsoku w:val="0"/>
        <w:overflowPunct w:val="0"/>
        <w:autoSpaceDE w:val="0"/>
        <w:autoSpaceDN w:val="0"/>
        <w:adjustRightInd w:val="0"/>
        <w:snapToGrid w:val="0"/>
        <w:ind w:left="0" w:right="0"/>
        <w:rPr>
          <w:sz w:val="24"/>
          <w:szCs w:val="24"/>
        </w:rPr>
      </w:pPr>
      <w:r w:rsidRPr="002E217B">
        <w:rPr>
          <w:sz w:val="24"/>
          <w:szCs w:val="24"/>
        </w:rPr>
        <w:t xml:space="preserve">Process of amending the Law on Human Rights Ombudsman started again in 2021. Amendments are aimed at implementing the recommendations and guidelines contained in </w:t>
      </w:r>
      <w:r w:rsidRPr="002E217B">
        <w:rPr>
          <w:sz w:val="24"/>
          <w:szCs w:val="24"/>
        </w:rPr>
        <w:lastRenderedPageBreak/>
        <w:t>international acts ratified by BiH, recommendations and opinions of international bodies, among which are emphasized ones consisted in the Opinion of the European Commission on BiH's application for EU membership and the accompanying Analytical Report of the European Commission. The offered solutions, although they address certain, much-needed areas, do not cover all key issues related to the regulation of the work and organization of the Ombudsman Institution, which are recognized by both civil society in BiH and by international actors.</w:t>
      </w:r>
    </w:p>
    <w:p w14:paraId="385EA58E" w14:textId="77777777" w:rsidR="003B776F" w:rsidRPr="002E217B" w:rsidRDefault="003B776F" w:rsidP="00DC7E50">
      <w:pPr>
        <w:pStyle w:val="SingleTxtG"/>
        <w:kinsoku w:val="0"/>
        <w:overflowPunct w:val="0"/>
        <w:autoSpaceDE w:val="0"/>
        <w:autoSpaceDN w:val="0"/>
        <w:adjustRightInd w:val="0"/>
        <w:snapToGrid w:val="0"/>
        <w:ind w:left="0" w:right="0"/>
        <w:rPr>
          <w:sz w:val="24"/>
          <w:szCs w:val="24"/>
        </w:rPr>
      </w:pPr>
      <w:r w:rsidRPr="002E217B">
        <w:rPr>
          <w:sz w:val="24"/>
          <w:szCs w:val="24"/>
        </w:rPr>
        <w:t>The Initiative for Monitoring European Integration of BiH</w:t>
      </w:r>
      <w:r w:rsidRPr="002E217B">
        <w:rPr>
          <w:rStyle w:val="FootnoteReference"/>
          <w:sz w:val="24"/>
          <w:szCs w:val="24"/>
        </w:rPr>
        <w:footnoteReference w:id="2"/>
      </w:r>
      <w:r w:rsidRPr="002E217B">
        <w:rPr>
          <w:sz w:val="24"/>
          <w:szCs w:val="24"/>
        </w:rPr>
        <w:t>, a coalition of 40 CSOs in which a large number of members focus on human rights, has already analysed the areas covered by these amendments and many others, and offered its Model Law</w:t>
      </w:r>
      <w:r w:rsidRPr="002E217B">
        <w:rPr>
          <w:rStyle w:val="FootnoteReference"/>
          <w:sz w:val="24"/>
          <w:szCs w:val="24"/>
        </w:rPr>
        <w:footnoteReference w:id="3"/>
      </w:r>
      <w:r w:rsidRPr="002E217B">
        <w:rPr>
          <w:sz w:val="24"/>
          <w:szCs w:val="24"/>
        </w:rPr>
        <w:t>, whose solutions include:</w:t>
      </w:r>
    </w:p>
    <w:p w14:paraId="220219FF" w14:textId="77777777" w:rsidR="003B776F" w:rsidRDefault="003B776F" w:rsidP="002E217B">
      <w:pPr>
        <w:pStyle w:val="SingleTxtG"/>
        <w:numPr>
          <w:ilvl w:val="0"/>
          <w:numId w:val="2"/>
        </w:numPr>
        <w:kinsoku w:val="0"/>
        <w:overflowPunct w:val="0"/>
        <w:autoSpaceDE w:val="0"/>
        <w:autoSpaceDN w:val="0"/>
        <w:adjustRightInd w:val="0"/>
        <w:snapToGrid w:val="0"/>
        <w:ind w:left="709" w:right="0"/>
        <w:rPr>
          <w:sz w:val="24"/>
          <w:szCs w:val="24"/>
        </w:rPr>
      </w:pPr>
      <w:r w:rsidRPr="002E217B">
        <w:rPr>
          <w:sz w:val="24"/>
          <w:szCs w:val="24"/>
        </w:rPr>
        <w:t>Election of the Ombudsman from the ranks of Others in order to reach an agreement between the prevailing political principle of national tripartite and the guarantee of equal treatment of all persons, regardless of ethnicity, including persons belonging to national minorities or unwilling to declare themselves as members of one of the three constituent peoples. category of others), and prevented indirect discrimination of citizens who do not declare themselves as one of the three constituent peoples in BiH.</w:t>
      </w:r>
    </w:p>
    <w:p w14:paraId="45AC0435" w14:textId="77777777" w:rsidR="003B776F" w:rsidRDefault="003B776F" w:rsidP="002E217B">
      <w:pPr>
        <w:pStyle w:val="SingleTxtG"/>
        <w:numPr>
          <w:ilvl w:val="0"/>
          <w:numId w:val="2"/>
        </w:numPr>
        <w:kinsoku w:val="0"/>
        <w:overflowPunct w:val="0"/>
        <w:autoSpaceDE w:val="0"/>
        <w:autoSpaceDN w:val="0"/>
        <w:adjustRightInd w:val="0"/>
        <w:snapToGrid w:val="0"/>
        <w:ind w:left="709" w:right="0"/>
        <w:rPr>
          <w:sz w:val="24"/>
          <w:szCs w:val="24"/>
        </w:rPr>
      </w:pPr>
      <w:r w:rsidRPr="002E217B">
        <w:rPr>
          <w:sz w:val="24"/>
          <w:szCs w:val="24"/>
        </w:rPr>
        <w:t>Structured ie. thematic division of labour between the ombudsmen themselves, which would speed up the decision-making process and make the work of the Institution more efficient. The consensus decision made so far causes significant delays or inactivity in sensitive cases.</w:t>
      </w:r>
    </w:p>
    <w:p w14:paraId="732A4469" w14:textId="77777777" w:rsidR="003B776F" w:rsidRDefault="003B776F" w:rsidP="002E217B">
      <w:pPr>
        <w:pStyle w:val="SingleTxtG"/>
        <w:numPr>
          <w:ilvl w:val="0"/>
          <w:numId w:val="2"/>
        </w:numPr>
        <w:kinsoku w:val="0"/>
        <w:overflowPunct w:val="0"/>
        <w:autoSpaceDE w:val="0"/>
        <w:autoSpaceDN w:val="0"/>
        <w:adjustRightInd w:val="0"/>
        <w:snapToGrid w:val="0"/>
        <w:ind w:left="709" w:right="0"/>
        <w:rPr>
          <w:sz w:val="24"/>
          <w:szCs w:val="24"/>
        </w:rPr>
      </w:pPr>
      <w:r w:rsidRPr="002E217B">
        <w:rPr>
          <w:sz w:val="24"/>
          <w:szCs w:val="24"/>
        </w:rPr>
        <w:t>Issues of initiating or intervening in court proceedings and the possibility of initiating misdemeanour proceedings in case of non-implementation of recommendations or non-cooperation in cases of discrimination as mechanisms that the Ombudsman did not use enough, although he has the authority to do so.</w:t>
      </w:r>
    </w:p>
    <w:p w14:paraId="378F6436" w14:textId="77777777" w:rsidR="003B776F" w:rsidRPr="002E217B" w:rsidRDefault="003B776F" w:rsidP="002E217B">
      <w:pPr>
        <w:pStyle w:val="SingleTxtG"/>
        <w:numPr>
          <w:ilvl w:val="0"/>
          <w:numId w:val="2"/>
        </w:numPr>
        <w:kinsoku w:val="0"/>
        <w:overflowPunct w:val="0"/>
        <w:autoSpaceDE w:val="0"/>
        <w:autoSpaceDN w:val="0"/>
        <w:adjustRightInd w:val="0"/>
        <w:snapToGrid w:val="0"/>
        <w:ind w:left="709" w:right="0"/>
        <w:rPr>
          <w:sz w:val="24"/>
          <w:szCs w:val="24"/>
        </w:rPr>
      </w:pPr>
      <w:r w:rsidRPr="002E217B">
        <w:rPr>
          <w:sz w:val="24"/>
          <w:szCs w:val="24"/>
        </w:rPr>
        <w:t>Initiative believes that the process of Amendments to the Law on the Human Rights Ombudsman of BiH has not been completed until all substantive requirements set out in the Analytical Report of the European Commission are met, which comprehensively lead to improving the efficiency of the institution in fulfilling its mandate to protect and promote human rights.</w:t>
      </w:r>
    </w:p>
    <w:p w14:paraId="13042D08" w14:textId="77777777" w:rsidR="003B776F" w:rsidRPr="003B776F" w:rsidRDefault="003B776F" w:rsidP="003B776F">
      <w:pPr>
        <w:rPr>
          <w:rFonts w:ascii="Times New Roman" w:hAnsi="Times New Roman" w:cs="Times New Roman"/>
          <w:lang w:val="en-GB"/>
        </w:rPr>
      </w:pPr>
    </w:p>
    <w:p w14:paraId="22405557" w14:textId="77777777" w:rsidR="003B776F" w:rsidRPr="003B776F" w:rsidRDefault="003B776F" w:rsidP="003B776F">
      <w:pPr>
        <w:pStyle w:val="HChG"/>
      </w:pPr>
      <w:r w:rsidRPr="003B776F">
        <w:tab/>
        <w:t>II.</w:t>
      </w:r>
      <w:r w:rsidRPr="003B776F">
        <w:tab/>
        <w:t>Issues relating to the general provisions of the Covenant (arts. 1–5)</w:t>
      </w:r>
    </w:p>
    <w:p w14:paraId="19169E62" w14:textId="77777777" w:rsidR="003B776F" w:rsidRPr="002E217B" w:rsidRDefault="003B776F" w:rsidP="002E217B">
      <w:pPr>
        <w:pStyle w:val="SingleTxtG"/>
        <w:kinsoku w:val="0"/>
        <w:overflowPunct w:val="0"/>
        <w:autoSpaceDE w:val="0"/>
        <w:autoSpaceDN w:val="0"/>
        <w:adjustRightInd w:val="0"/>
        <w:snapToGrid w:val="0"/>
        <w:spacing w:line="240" w:lineRule="auto"/>
        <w:ind w:left="0" w:right="0"/>
        <w:rPr>
          <w:b/>
          <w:sz w:val="24"/>
          <w:szCs w:val="24"/>
        </w:rPr>
      </w:pPr>
      <w:r w:rsidRPr="002E217B">
        <w:rPr>
          <w:b/>
          <w:sz w:val="24"/>
          <w:szCs w:val="24"/>
        </w:rPr>
        <w:t>5.</w:t>
      </w:r>
      <w:r w:rsidR="002E217B" w:rsidRPr="002E217B">
        <w:rPr>
          <w:b/>
          <w:sz w:val="24"/>
          <w:szCs w:val="24"/>
        </w:rPr>
        <w:t xml:space="preserve"> </w:t>
      </w:r>
      <w:r w:rsidRPr="002E217B">
        <w:rPr>
          <w:b/>
          <w:sz w:val="24"/>
          <w:szCs w:val="24"/>
        </w:rPr>
        <w:t xml:space="preserve">Please indicate whether the fiscal consolidation measures and restructuring of public service sectors undertaken in the framework of the Reform Agenda for Bosnia and Herzegovina 2015–2018 were preceded by an assessment of their impact on Covenant rights, including their potentially disproportionate impact on women and low-income families, and how the results of such an assessment were considered. Please clarify whether the State party held public consultations prior to adopting the Reform Agenda and while implementing it. </w:t>
      </w:r>
    </w:p>
    <w:p w14:paraId="13C6DCC9" w14:textId="77777777" w:rsidR="003B776F" w:rsidRPr="002E217B" w:rsidRDefault="003B776F" w:rsidP="002E217B">
      <w:pPr>
        <w:pStyle w:val="SingleTxtG"/>
        <w:kinsoku w:val="0"/>
        <w:overflowPunct w:val="0"/>
        <w:autoSpaceDE w:val="0"/>
        <w:autoSpaceDN w:val="0"/>
        <w:adjustRightInd w:val="0"/>
        <w:snapToGrid w:val="0"/>
        <w:spacing w:line="240" w:lineRule="auto"/>
        <w:ind w:left="0" w:right="0"/>
        <w:rPr>
          <w:sz w:val="24"/>
          <w:szCs w:val="24"/>
        </w:rPr>
      </w:pPr>
      <w:r w:rsidRPr="002E217B">
        <w:rPr>
          <w:sz w:val="24"/>
          <w:szCs w:val="24"/>
        </w:rPr>
        <w:t>Gender inequalities were not considered when creating the measures, nor was an assessment made of how the envisaged measures will affect women. "We claim that the implementation of the Reform Agenda will lead to BiH citizens doing low-skilled and low-paid jobs and benefit from a profit-driven health system will have only those who can afford them," it said in the report "A FEMINIST PERSPECTIVE ON POST-CONFLICT RESTRUCTURING AND RECOVERY – THE STUDY OF BOSNIA AND HERZEGOVINA” (</w:t>
      </w:r>
      <w:hyperlink r:id="rId8" w:history="1">
        <w:r w:rsidRPr="002E217B">
          <w:rPr>
            <w:rStyle w:val="Hyperlink"/>
            <w:color w:val="auto"/>
            <w:sz w:val="24"/>
            <w:szCs w:val="24"/>
          </w:rPr>
          <w:t>https://www.wilpf.org/wp-content/uploads/2017/09/ExecutiveSummaryCaseofBosnia.pdf</w:t>
        </w:r>
      </w:hyperlink>
      <w:r w:rsidRPr="002E217B">
        <w:rPr>
          <w:sz w:val="24"/>
          <w:szCs w:val="24"/>
        </w:rPr>
        <w:t xml:space="preserve">) . </w:t>
      </w:r>
    </w:p>
    <w:p w14:paraId="4F10D3ED" w14:textId="77777777" w:rsidR="003B776F" w:rsidRPr="002E217B" w:rsidRDefault="003B776F" w:rsidP="002E217B">
      <w:pPr>
        <w:pStyle w:val="SingleTxtG"/>
        <w:kinsoku w:val="0"/>
        <w:overflowPunct w:val="0"/>
        <w:autoSpaceDE w:val="0"/>
        <w:autoSpaceDN w:val="0"/>
        <w:adjustRightInd w:val="0"/>
        <w:snapToGrid w:val="0"/>
        <w:spacing w:line="240" w:lineRule="auto"/>
        <w:ind w:left="0" w:right="0"/>
        <w:rPr>
          <w:sz w:val="24"/>
          <w:szCs w:val="24"/>
        </w:rPr>
      </w:pPr>
      <w:r w:rsidRPr="002E217B">
        <w:rPr>
          <w:sz w:val="24"/>
          <w:szCs w:val="24"/>
        </w:rPr>
        <w:t xml:space="preserve">The report adds that there will be a cut in community services and a reduction in child and elderly care assistance, which will have a direct impact on women, who still make up the vast majority of those who run this invisible household and family care economy. </w:t>
      </w:r>
    </w:p>
    <w:p w14:paraId="539EFAD2" w14:textId="77777777" w:rsidR="003B776F" w:rsidRPr="002E217B" w:rsidRDefault="003B776F" w:rsidP="002E217B">
      <w:pPr>
        <w:pStyle w:val="SingleTxtG"/>
        <w:kinsoku w:val="0"/>
        <w:overflowPunct w:val="0"/>
        <w:autoSpaceDE w:val="0"/>
        <w:autoSpaceDN w:val="0"/>
        <w:adjustRightInd w:val="0"/>
        <w:snapToGrid w:val="0"/>
        <w:spacing w:line="240" w:lineRule="auto"/>
        <w:ind w:left="0" w:right="0"/>
        <w:rPr>
          <w:sz w:val="24"/>
          <w:szCs w:val="24"/>
        </w:rPr>
      </w:pPr>
      <w:r w:rsidRPr="002E217B">
        <w:rPr>
          <w:sz w:val="24"/>
          <w:szCs w:val="24"/>
        </w:rPr>
        <w:t>Women’s civil society organizations were not involved in the consultations prior to adopting the Reform Agenda, nor were they asked to comment on measures or propose their own measures.</w:t>
      </w:r>
    </w:p>
    <w:p w14:paraId="15092E52" w14:textId="77777777" w:rsidR="003B776F" w:rsidRPr="002E217B" w:rsidRDefault="003B776F" w:rsidP="002E217B">
      <w:pPr>
        <w:pStyle w:val="SingleTxtG"/>
        <w:kinsoku w:val="0"/>
        <w:overflowPunct w:val="0"/>
        <w:autoSpaceDE w:val="0"/>
        <w:autoSpaceDN w:val="0"/>
        <w:adjustRightInd w:val="0"/>
        <w:snapToGrid w:val="0"/>
        <w:spacing w:line="240" w:lineRule="auto"/>
        <w:ind w:left="0" w:right="0"/>
        <w:rPr>
          <w:sz w:val="24"/>
          <w:szCs w:val="24"/>
        </w:rPr>
      </w:pPr>
    </w:p>
    <w:p w14:paraId="1C42C613" w14:textId="77777777" w:rsidR="003B776F" w:rsidRPr="002E217B" w:rsidRDefault="003B776F" w:rsidP="002E217B">
      <w:pPr>
        <w:pStyle w:val="SingleTxtG"/>
        <w:kinsoku w:val="0"/>
        <w:overflowPunct w:val="0"/>
        <w:autoSpaceDE w:val="0"/>
        <w:autoSpaceDN w:val="0"/>
        <w:adjustRightInd w:val="0"/>
        <w:snapToGrid w:val="0"/>
        <w:spacing w:line="240" w:lineRule="auto"/>
        <w:ind w:left="0" w:right="0"/>
        <w:rPr>
          <w:b/>
          <w:sz w:val="24"/>
          <w:szCs w:val="24"/>
        </w:rPr>
      </w:pPr>
      <w:r w:rsidRPr="002E217B">
        <w:rPr>
          <w:b/>
          <w:sz w:val="24"/>
          <w:szCs w:val="24"/>
        </w:rPr>
        <w:t>6.</w:t>
      </w:r>
      <w:r w:rsidR="002E217B" w:rsidRPr="002E217B">
        <w:rPr>
          <w:b/>
          <w:sz w:val="24"/>
          <w:szCs w:val="24"/>
        </w:rPr>
        <w:t xml:space="preserve"> </w:t>
      </w:r>
      <w:r w:rsidRPr="002E217B">
        <w:rPr>
          <w:b/>
          <w:sz w:val="24"/>
          <w:szCs w:val="24"/>
        </w:rPr>
        <w:t xml:space="preserve">Please provide information on: </w:t>
      </w:r>
    </w:p>
    <w:p w14:paraId="48B588EA" w14:textId="77777777" w:rsidR="003B776F" w:rsidRPr="002E217B" w:rsidRDefault="002E217B" w:rsidP="002E217B">
      <w:pPr>
        <w:pStyle w:val="SingleTxtG"/>
        <w:spacing w:line="240" w:lineRule="auto"/>
        <w:ind w:left="0" w:right="0"/>
        <w:rPr>
          <w:b/>
          <w:sz w:val="24"/>
          <w:szCs w:val="24"/>
        </w:rPr>
      </w:pPr>
      <w:r w:rsidRPr="002E217B">
        <w:rPr>
          <w:b/>
          <w:sz w:val="24"/>
          <w:szCs w:val="24"/>
        </w:rPr>
        <w:t xml:space="preserve">              (a) </w:t>
      </w:r>
      <w:r w:rsidR="003B776F" w:rsidRPr="002E217B">
        <w:rPr>
          <w:b/>
          <w:sz w:val="24"/>
          <w:szCs w:val="24"/>
        </w:rPr>
        <w:t>The implementation of the fourth and fifth anti-corruption strategies, including achievements and challenges;</w:t>
      </w:r>
    </w:p>
    <w:p w14:paraId="775253D1" w14:textId="77777777" w:rsidR="003B776F" w:rsidRPr="002E217B" w:rsidRDefault="003B776F" w:rsidP="002E217B">
      <w:pPr>
        <w:pStyle w:val="SingleTxtG"/>
        <w:spacing w:line="240" w:lineRule="auto"/>
        <w:ind w:left="0" w:right="0"/>
        <w:rPr>
          <w:sz w:val="24"/>
          <w:szCs w:val="24"/>
        </w:rPr>
      </w:pPr>
      <w:r w:rsidRPr="002E217B">
        <w:rPr>
          <w:sz w:val="24"/>
          <w:szCs w:val="24"/>
        </w:rPr>
        <w:t>According to “An overview of the implementation of the 2015-2019 Strategy and the Action Plan for the fight against corruption”, no significant steps have been taken in terms of improving the legal framework for the fight against corruption. The main reasons for the poor implementation of the Strategy are the lack of political will, i.e., the fact that in the situation of state capture, the interest of political leadership is to maintain the status quo and keep the acquired privileges and control over the public resources, processes, and institutions. Although the 2015-2019 Anti-Corruption Strategy and the accompanying Action Plan for its implementation expired at the end of 2019, BiH has not yet adopted a new strategy, hence, it can be concluded that there is currently no strategic anti-corruption framework in BiH, despite the widespread corruption and the enormous consequences it leaves on society as a whole. During 2019, APIK formed a Cross-sectoral Working Group for the development of a new anti-corruption strategy, which at the end of 2019 and the beginning of 2020, worked on drafting a new Anti-Corruption Strategy and the accompanying Action Plan for the period 2020-2024. In early 2020, APIK sent the draft Anti-Corruption Strategy and the accompanying Action Plan for the period 2020-2024 to the BiH Council of Ministers for adoption, but the CoM BiH has not yet adopted it.</w:t>
      </w:r>
    </w:p>
    <w:p w14:paraId="2C667ED3" w14:textId="77777777" w:rsidR="003B776F" w:rsidRPr="002E217B" w:rsidRDefault="003B776F" w:rsidP="002E217B">
      <w:pPr>
        <w:pStyle w:val="SingleTxtG"/>
        <w:spacing w:line="240" w:lineRule="auto"/>
        <w:ind w:left="0" w:right="0"/>
        <w:rPr>
          <w:b/>
          <w:sz w:val="24"/>
          <w:szCs w:val="24"/>
        </w:rPr>
      </w:pPr>
      <w:r w:rsidRPr="002E217B">
        <w:rPr>
          <w:sz w:val="24"/>
          <w:szCs w:val="24"/>
        </w:rPr>
        <w:tab/>
      </w:r>
      <w:r w:rsidR="002E217B" w:rsidRPr="002E217B">
        <w:rPr>
          <w:b/>
          <w:sz w:val="24"/>
          <w:szCs w:val="24"/>
        </w:rPr>
        <w:t xml:space="preserve">(b) </w:t>
      </w:r>
      <w:r w:rsidRPr="002E217B">
        <w:rPr>
          <w:b/>
          <w:sz w:val="24"/>
          <w:szCs w:val="24"/>
        </w:rPr>
        <w:t>The measures taken to harmonize anti-corruption legislation at different levels of government with a view to bringing them into line with relevant international norms;</w:t>
      </w:r>
    </w:p>
    <w:p w14:paraId="731C2EE7" w14:textId="77777777" w:rsidR="003B776F" w:rsidRPr="002E217B" w:rsidRDefault="003B776F" w:rsidP="002E217B">
      <w:pPr>
        <w:pStyle w:val="SingleTxtG"/>
        <w:spacing w:line="240" w:lineRule="auto"/>
        <w:ind w:left="0" w:right="0"/>
        <w:rPr>
          <w:sz w:val="24"/>
          <w:szCs w:val="24"/>
        </w:rPr>
      </w:pPr>
      <w:r w:rsidRPr="002E217B">
        <w:rPr>
          <w:sz w:val="24"/>
          <w:szCs w:val="24"/>
        </w:rPr>
        <w:t>BiH has a very complex institutional set-up and the European Commission in its reports warned that there is a lack of harmonisation of anti-corruption legislation across the country which further hampers the fight against corruption. The country made no progress in adopting a comprehensive law on prevention of conflict of interest, in line with international standards. The Federation entity needs to adopt legislation on conflict of interest as well as on the effective legal protection of whistle-blowers. Republika Srpska entity needs to align its conflict of interest legislation with international standards. Legislation on freedom of access to information at state and entity level needs to be further aligned with international and European standards. There is no legislation to effectively prevent and address corruption in the private sector and no regulation of lobbying.</w:t>
      </w:r>
    </w:p>
    <w:p w14:paraId="1B405459" w14:textId="77777777" w:rsidR="003B776F" w:rsidRPr="002E217B" w:rsidRDefault="003B776F" w:rsidP="002E217B">
      <w:pPr>
        <w:pStyle w:val="SingleTxtG"/>
        <w:spacing w:line="240" w:lineRule="auto"/>
        <w:ind w:left="0" w:right="0"/>
        <w:rPr>
          <w:b/>
          <w:sz w:val="24"/>
          <w:szCs w:val="24"/>
        </w:rPr>
      </w:pPr>
      <w:r w:rsidRPr="002E217B">
        <w:rPr>
          <w:sz w:val="24"/>
          <w:szCs w:val="24"/>
        </w:rPr>
        <w:tab/>
      </w:r>
      <w:r w:rsidR="002E217B" w:rsidRPr="002E217B">
        <w:rPr>
          <w:b/>
          <w:sz w:val="24"/>
          <w:szCs w:val="24"/>
        </w:rPr>
        <w:t xml:space="preserve">(c) </w:t>
      </w:r>
      <w:r w:rsidRPr="002E217B">
        <w:rPr>
          <w:b/>
          <w:sz w:val="24"/>
          <w:szCs w:val="24"/>
        </w:rPr>
        <w:t>The measures taken to enhance the enforcement of anti-corruption legislation, in particular to address the reportedly low level of prosecutions and convictions;</w:t>
      </w:r>
    </w:p>
    <w:p w14:paraId="0DF09AB3" w14:textId="77777777" w:rsidR="003B776F" w:rsidRPr="002E217B" w:rsidRDefault="003B776F" w:rsidP="002E217B">
      <w:pPr>
        <w:pStyle w:val="SingleTxtG"/>
        <w:spacing w:line="240" w:lineRule="auto"/>
        <w:ind w:left="0" w:right="0"/>
        <w:rPr>
          <w:sz w:val="24"/>
          <w:szCs w:val="24"/>
          <w:highlight w:val="yellow"/>
        </w:rPr>
      </w:pPr>
      <w:r w:rsidRPr="002E217B">
        <w:rPr>
          <w:sz w:val="24"/>
          <w:szCs w:val="24"/>
        </w:rPr>
        <w:t>No particular measures to improve criminal justice policy have been registered. According to the available data on corruption prosecution before the courts and prosecutor’s offices in BiH for 2019, which are available on the Interactive Map of Corruption Prosecution, there is a decrease in the number of reported corruption offenses compared to previous years. The decline in the number of reported corruption crimes is, in fact, a confirmation of the findings of previous public opinion polls on the reduced public confidence in the work of judicial institutions, which have been recognised as one of the three sectors most susceptible to corruption. Along with the decrease in the number of reports, the number of open investigations in corruption cases is also decreasing, 4.3% compared to 2018, and as much as 16.5% compared to 2016. When it comes to indictments, in 2019, there has been a slight increase in the number of filed indictments in corruption cases relative to 2018, mostly due to the increase in the number of indictments in the FBiH prosecutorial system. On the other hand, the number of indictments filed to the BiH Prosecutor’s Office dropped by 33.3%, or by one-third, as well as in the RS prosecutorial system, where the number of indictments filed dropped by 30% relative to 2018.</w:t>
      </w:r>
    </w:p>
    <w:p w14:paraId="626B79A0" w14:textId="77777777" w:rsidR="003B776F" w:rsidRPr="002E217B" w:rsidRDefault="003B776F" w:rsidP="002E217B">
      <w:pPr>
        <w:pStyle w:val="SingleTxtG"/>
        <w:spacing w:line="240" w:lineRule="auto"/>
        <w:ind w:left="0" w:right="0"/>
        <w:rPr>
          <w:b/>
          <w:sz w:val="24"/>
          <w:szCs w:val="24"/>
        </w:rPr>
      </w:pPr>
      <w:r w:rsidRPr="002E217B">
        <w:rPr>
          <w:sz w:val="24"/>
          <w:szCs w:val="24"/>
        </w:rPr>
        <w:tab/>
      </w:r>
      <w:r w:rsidR="002E217B" w:rsidRPr="002E217B">
        <w:rPr>
          <w:b/>
          <w:sz w:val="24"/>
          <w:szCs w:val="24"/>
        </w:rPr>
        <w:t xml:space="preserve">(d) </w:t>
      </w:r>
      <w:r w:rsidRPr="002E217B">
        <w:rPr>
          <w:b/>
          <w:sz w:val="24"/>
          <w:szCs w:val="24"/>
        </w:rPr>
        <w:t>The measures taken to strengthen anti-corruption bodies at the State and entity levels, including the Agency for the Prevention of Corruption and the Coordination of the Fight against Corruption, and to improve cooperation among these bodies;</w:t>
      </w:r>
    </w:p>
    <w:p w14:paraId="5025DC98" w14:textId="77777777" w:rsidR="003B776F" w:rsidRPr="002E217B" w:rsidRDefault="003B776F" w:rsidP="002E217B">
      <w:pPr>
        <w:pStyle w:val="SingleTxtG"/>
        <w:spacing w:line="240" w:lineRule="auto"/>
        <w:ind w:left="0" w:right="0"/>
        <w:rPr>
          <w:sz w:val="24"/>
          <w:szCs w:val="24"/>
        </w:rPr>
      </w:pPr>
      <w:r w:rsidRPr="002E217B">
        <w:rPr>
          <w:sz w:val="24"/>
          <w:szCs w:val="24"/>
        </w:rPr>
        <w:t xml:space="preserve">BiH has a number of anti-corruption prevention bodies whose mandate is not clear enough and the cooperation between the bodies from different level of governance is not satisfactory.  The functioning and coordination of corruption prevention bodies among themselves and with the APIK are not sufficiently effective. </w:t>
      </w:r>
    </w:p>
    <w:p w14:paraId="578C9B85" w14:textId="77777777" w:rsidR="003B776F" w:rsidRPr="002E217B" w:rsidRDefault="003B776F" w:rsidP="002E217B">
      <w:pPr>
        <w:pStyle w:val="SingleTxtG"/>
        <w:spacing w:line="240" w:lineRule="auto"/>
        <w:ind w:left="0" w:right="0"/>
        <w:rPr>
          <w:b/>
          <w:sz w:val="24"/>
          <w:szCs w:val="24"/>
        </w:rPr>
      </w:pPr>
      <w:r w:rsidRPr="002E217B">
        <w:rPr>
          <w:sz w:val="24"/>
          <w:szCs w:val="24"/>
        </w:rPr>
        <w:tab/>
      </w:r>
      <w:r w:rsidR="002E217B" w:rsidRPr="002E217B">
        <w:rPr>
          <w:b/>
          <w:sz w:val="24"/>
          <w:szCs w:val="24"/>
        </w:rPr>
        <w:t xml:space="preserve">(e) </w:t>
      </w:r>
      <w:r w:rsidRPr="002E217B">
        <w:rPr>
          <w:b/>
          <w:sz w:val="24"/>
          <w:szCs w:val="24"/>
        </w:rPr>
        <w:t>The effectiveness of laws on the protection of whistle-blowers, notably the Law on Protection of Persons Reporting Corruption in the Institutions of Bosnia and Herzegovina (at the national level) and the Law on Protection of Persons Reporting Corruption (in the Republika Srpska), and whether plans exist to adopt similar legislation in the Federation of Bosnia and Herzegovina;</w:t>
      </w:r>
    </w:p>
    <w:p w14:paraId="48371129" w14:textId="77777777" w:rsidR="003B776F" w:rsidRPr="002E217B" w:rsidRDefault="003B776F" w:rsidP="002E217B">
      <w:pPr>
        <w:pStyle w:val="SingleTxtG"/>
        <w:spacing w:line="240" w:lineRule="auto"/>
        <w:ind w:left="0" w:right="0"/>
        <w:rPr>
          <w:sz w:val="24"/>
          <w:szCs w:val="24"/>
          <w:highlight w:val="yellow"/>
        </w:rPr>
      </w:pPr>
      <w:r w:rsidRPr="002E217B">
        <w:rPr>
          <w:sz w:val="24"/>
          <w:szCs w:val="24"/>
        </w:rPr>
        <w:t>The Federation of BiH has not yet adopted a special law on the protection of whistle-blowers, although the draft law was passed in the House of Representatives in mid-2018. The delay in the adoption of this important law, which would enable stronger legal protection of persons reporting corruption in their work environment, only shows that the fight against corruption is not on the list of political priorities. According to Transparency International in BiH (TI BiH), since 2014, the Agency for the Prevention of Corruption and Coordination of the Fight against Corruption of BiH (APIK) has granted the status of a protected whistle-blower to only eight of the 24 persons who requested protection. Employees of state institutions enjoy special legal protection as whistle-blowers, but despite this, they rarely opt for this type of report, which shows that there is no trust in the mechanisms of current protection through APIK. In the RS, where the Law on the Protection of Persons Reporting Corruption provides for a judicial model as an external form of protection, only a few court proceedings have been initiated to protect these persons since the adoption of the law (2017). Also, in the first six months of 2020, seven whistle-blowers turned to the TI BiH Free Legal Aid Centre, six of them from the FBiH where these individuals do not enjoy special legal protection. This only indicates that the legal protection of whistle-blowers in the FBiH must be ensured as a matter of urgency.</w:t>
      </w:r>
    </w:p>
    <w:p w14:paraId="039A358E" w14:textId="77777777" w:rsidR="003B776F" w:rsidRPr="002E217B" w:rsidRDefault="003B776F" w:rsidP="002E217B">
      <w:pPr>
        <w:pStyle w:val="SingleTxtG"/>
        <w:spacing w:line="240" w:lineRule="auto"/>
        <w:ind w:left="0" w:right="0"/>
        <w:rPr>
          <w:b/>
          <w:sz w:val="24"/>
          <w:szCs w:val="24"/>
        </w:rPr>
      </w:pPr>
      <w:r w:rsidRPr="002E217B">
        <w:rPr>
          <w:sz w:val="24"/>
          <w:szCs w:val="24"/>
        </w:rPr>
        <w:tab/>
      </w:r>
      <w:r w:rsidR="002E217B" w:rsidRPr="002E217B">
        <w:rPr>
          <w:b/>
          <w:sz w:val="24"/>
          <w:szCs w:val="24"/>
        </w:rPr>
        <w:t xml:space="preserve">(f) </w:t>
      </w:r>
      <w:r w:rsidRPr="002E217B">
        <w:rPr>
          <w:b/>
          <w:sz w:val="24"/>
          <w:szCs w:val="24"/>
        </w:rPr>
        <w:t>The cases of corruption, including those involving high-level officials, including the numbers of cases reported, investigated and prosecuted, as well as the number of convictions and the sanctions imposed.</w:t>
      </w:r>
    </w:p>
    <w:p w14:paraId="4E052C07" w14:textId="77777777" w:rsidR="003B776F" w:rsidRPr="002E217B" w:rsidRDefault="003B776F" w:rsidP="002E217B">
      <w:pPr>
        <w:pStyle w:val="SingleTxtG"/>
        <w:spacing w:line="240" w:lineRule="auto"/>
        <w:ind w:left="0" w:right="0"/>
        <w:rPr>
          <w:sz w:val="24"/>
          <w:szCs w:val="24"/>
        </w:rPr>
      </w:pPr>
      <w:r w:rsidRPr="002E217B">
        <w:rPr>
          <w:sz w:val="24"/>
          <w:szCs w:val="24"/>
        </w:rPr>
        <w:t>The penal policy for corruption crimes is very low and not at all dissuasive for potential perpetrators. Although there has been an increase in the total number of court decisions imposing a prison sentence, the share of these sentences in the total number of convictions is still very low, just over 28%. On the other hand, suspended sentences remain the dominant form of punishment for corruption offenses, and this share in the total number of court decisions is as high as 64.2%</w:t>
      </w:r>
    </w:p>
    <w:p w14:paraId="3776DF29" w14:textId="77777777" w:rsidR="003B776F" w:rsidRPr="002E217B" w:rsidRDefault="003B776F" w:rsidP="002E217B">
      <w:pPr>
        <w:pStyle w:val="SingleTxtG"/>
        <w:spacing w:line="240" w:lineRule="auto"/>
        <w:ind w:left="0" w:right="0"/>
        <w:rPr>
          <w:sz w:val="24"/>
          <w:szCs w:val="24"/>
        </w:rPr>
      </w:pPr>
      <w:r w:rsidRPr="002E217B">
        <w:rPr>
          <w:sz w:val="24"/>
          <w:szCs w:val="24"/>
        </w:rPr>
        <w:t xml:space="preserve">The dramatic drop in the number of new indictments in high and medium level cases filed by prosecutors in 2019 has been registered by the third public report by the OSCE Mission to Bosnia and Herzegovina. They found only one high level and 15 medium level corruption cases, compared with the 10 high and 35 medium of 2017 and the one high and the 33 mediums of 2018.  </w:t>
      </w:r>
    </w:p>
    <w:p w14:paraId="665C00D5" w14:textId="77777777" w:rsidR="003B776F" w:rsidRPr="002E217B" w:rsidRDefault="003B776F" w:rsidP="002E217B">
      <w:pPr>
        <w:pStyle w:val="H23G"/>
        <w:spacing w:line="240" w:lineRule="auto"/>
        <w:rPr>
          <w:sz w:val="24"/>
          <w:szCs w:val="24"/>
        </w:rPr>
      </w:pPr>
      <w:r w:rsidRPr="002E217B">
        <w:rPr>
          <w:sz w:val="24"/>
          <w:szCs w:val="24"/>
        </w:rPr>
        <w:t>Equal rights of men and women (art. 3)</w:t>
      </w:r>
    </w:p>
    <w:p w14:paraId="7298DC85" w14:textId="77777777" w:rsidR="003B776F" w:rsidRPr="002E217B" w:rsidRDefault="003B776F" w:rsidP="002E217B">
      <w:pPr>
        <w:pStyle w:val="SingleTxtG"/>
        <w:kinsoku w:val="0"/>
        <w:overflowPunct w:val="0"/>
        <w:autoSpaceDE w:val="0"/>
        <w:autoSpaceDN w:val="0"/>
        <w:adjustRightInd w:val="0"/>
        <w:snapToGrid w:val="0"/>
        <w:spacing w:line="240" w:lineRule="auto"/>
        <w:ind w:left="0" w:right="0"/>
        <w:rPr>
          <w:b/>
          <w:sz w:val="24"/>
          <w:szCs w:val="24"/>
        </w:rPr>
      </w:pPr>
      <w:r w:rsidRPr="002E217B">
        <w:rPr>
          <w:b/>
          <w:sz w:val="24"/>
          <w:szCs w:val="24"/>
        </w:rPr>
        <w:t>12.</w:t>
      </w:r>
      <w:r w:rsidR="002E217B" w:rsidRPr="002E217B">
        <w:rPr>
          <w:b/>
          <w:sz w:val="24"/>
          <w:szCs w:val="24"/>
        </w:rPr>
        <w:t xml:space="preserve"> </w:t>
      </w:r>
      <w:r w:rsidRPr="002E217B">
        <w:rPr>
          <w:b/>
          <w:sz w:val="24"/>
          <w:szCs w:val="24"/>
        </w:rPr>
        <w:t>Please provide information on the impact of legislation, including the Election Law and the Law on the Financing of Political Parties, to improve women’s representation in legislative bodies. Please also provide information on the measures taken to improve women’s representation in decision-making positions in the public and private sectors and their impact, including relevant statistical data.</w:t>
      </w:r>
    </w:p>
    <w:p w14:paraId="6D50BECB" w14:textId="77777777" w:rsidR="003B776F" w:rsidRPr="002E217B" w:rsidRDefault="003B776F" w:rsidP="002E217B">
      <w:pPr>
        <w:pStyle w:val="SingleTxtG"/>
        <w:kinsoku w:val="0"/>
        <w:overflowPunct w:val="0"/>
        <w:autoSpaceDE w:val="0"/>
        <w:autoSpaceDN w:val="0"/>
        <w:adjustRightInd w:val="0"/>
        <w:snapToGrid w:val="0"/>
        <w:spacing w:line="240" w:lineRule="auto"/>
        <w:ind w:left="0" w:right="0"/>
        <w:rPr>
          <w:sz w:val="24"/>
          <w:szCs w:val="24"/>
        </w:rPr>
      </w:pPr>
      <w:r w:rsidRPr="002E217B">
        <w:rPr>
          <w:sz w:val="24"/>
          <w:szCs w:val="24"/>
        </w:rPr>
        <w:t>There are approximately 3.2 million registered voters in BiH: 2.04 million in the Federation of BiH (FBiH) and 1.24 million in Republika Srpska, and in total, approximately 51% are women. Despite this, women continue to be underrepresented at all levels of political and public life.</w:t>
      </w:r>
    </w:p>
    <w:p w14:paraId="4DB461EA" w14:textId="77777777" w:rsidR="003B776F" w:rsidRPr="002E217B" w:rsidRDefault="003B776F" w:rsidP="002E217B">
      <w:pPr>
        <w:pStyle w:val="SingleTxtG"/>
        <w:kinsoku w:val="0"/>
        <w:overflowPunct w:val="0"/>
        <w:autoSpaceDE w:val="0"/>
        <w:autoSpaceDN w:val="0"/>
        <w:adjustRightInd w:val="0"/>
        <w:snapToGrid w:val="0"/>
        <w:spacing w:line="240" w:lineRule="auto"/>
        <w:ind w:left="0" w:right="0"/>
        <w:rPr>
          <w:sz w:val="24"/>
          <w:szCs w:val="24"/>
        </w:rPr>
      </w:pPr>
      <w:r w:rsidRPr="002E217B">
        <w:rPr>
          <w:sz w:val="24"/>
          <w:szCs w:val="24"/>
        </w:rPr>
        <w:t xml:space="preserve">The Election law prescribes a quota of 40% of less represented sex on the candidate lists. Regardless of existing gender quotas for electoral lists, stark inequalities remain in gender representation in decision-making bodies at all levels of government. </w:t>
      </w:r>
    </w:p>
    <w:p w14:paraId="1C1D24B4" w14:textId="77777777" w:rsidR="003B776F" w:rsidRPr="002E217B" w:rsidRDefault="003B776F" w:rsidP="002E217B">
      <w:pPr>
        <w:pStyle w:val="SingleTxtG"/>
        <w:kinsoku w:val="0"/>
        <w:overflowPunct w:val="0"/>
        <w:autoSpaceDE w:val="0"/>
        <w:autoSpaceDN w:val="0"/>
        <w:adjustRightInd w:val="0"/>
        <w:snapToGrid w:val="0"/>
        <w:spacing w:line="240" w:lineRule="auto"/>
        <w:ind w:left="0" w:right="0"/>
        <w:rPr>
          <w:sz w:val="24"/>
          <w:szCs w:val="24"/>
        </w:rPr>
      </w:pPr>
      <w:r w:rsidRPr="002E217B">
        <w:rPr>
          <w:sz w:val="24"/>
          <w:szCs w:val="24"/>
        </w:rPr>
        <w:t xml:space="preserve">Therefore, state and local authority bodies, as well as political parties, are obliged to ensure and promote equal representation (at least 40% of less represented gender) of genders in governance, decision-making and representation. This means that the aforementioned bodies shall draw up measures in the form of laws, policies, strategies and plans to achieve gender equality. Unfortunately, the aforementioned legislation is not in compliance with the Article 8 of the Law on gender equality. Neither the law on the CoM of BiH, nor laws on governments on all levels have provisions which would ensure 40% representation of less represented gender. In 2013, the Election Law of BiH was harmonized with the Law on Gender Equality which obliges political parties to have equally represented male and female candidates. This rule requires at least one candidate of less represented gender among the first two candidates, at least two candidates of less represented gender among the first five candidates and three candidates of less represented gender among the first eight candidates, etc. The minimum threshold determined by the Election Law of BiH is mandatory, so the Central Election Committee (CECBiH) shall reject any list of a political party unless it is composed in line with the quota rule.  </w:t>
      </w:r>
    </w:p>
    <w:p w14:paraId="2515C6F0" w14:textId="77777777" w:rsidR="003B776F" w:rsidRPr="002E217B" w:rsidRDefault="003B776F" w:rsidP="002E217B">
      <w:pPr>
        <w:pStyle w:val="SingleTxtG"/>
        <w:kinsoku w:val="0"/>
        <w:overflowPunct w:val="0"/>
        <w:autoSpaceDE w:val="0"/>
        <w:autoSpaceDN w:val="0"/>
        <w:adjustRightInd w:val="0"/>
        <w:snapToGrid w:val="0"/>
        <w:spacing w:line="240" w:lineRule="auto"/>
        <w:ind w:left="0" w:right="0"/>
        <w:rPr>
          <w:sz w:val="24"/>
          <w:szCs w:val="24"/>
        </w:rPr>
      </w:pPr>
      <w:r w:rsidRPr="002E217B">
        <w:rPr>
          <w:sz w:val="24"/>
          <w:szCs w:val="24"/>
        </w:rPr>
        <w:t xml:space="preserve">Representation of women in all cantonal governments varies between 0% and 25% - the highest representation is in Sarajevo and Bosna-Podrinje cantonal governments and amounts to 25%. The average representation of women in cantonal governments is 14,49%. </w:t>
      </w:r>
    </w:p>
    <w:p w14:paraId="4F7DABD8" w14:textId="77777777" w:rsidR="003B776F" w:rsidRPr="002E217B" w:rsidRDefault="003B776F" w:rsidP="002E217B">
      <w:pPr>
        <w:spacing w:after="200" w:line="240" w:lineRule="auto"/>
        <w:jc w:val="both"/>
        <w:rPr>
          <w:rFonts w:ascii="Times New Roman" w:eastAsia="Calibri" w:hAnsi="Times New Roman" w:cs="Times New Roman"/>
          <w:sz w:val="24"/>
          <w:szCs w:val="24"/>
        </w:rPr>
      </w:pPr>
      <w:r w:rsidRPr="002E217B">
        <w:rPr>
          <w:rFonts w:ascii="Times New Roman" w:eastAsia="Calibri" w:hAnsi="Times New Roman" w:cs="Times New Roman"/>
          <w:sz w:val="24"/>
          <w:szCs w:val="24"/>
          <w:lang w:val="sr-Latn-BA"/>
        </w:rPr>
        <w:t xml:space="preserve">The representation of women in parliamentary bodies is below 20%, while only five (5) women are currently serving as municipal mayors and one women serving as citymayor (out of 143 municipalities/cities). </w:t>
      </w:r>
    </w:p>
    <w:p w14:paraId="23366253" w14:textId="77777777" w:rsidR="003B776F" w:rsidRPr="002E217B" w:rsidRDefault="003B776F" w:rsidP="002E217B">
      <w:pPr>
        <w:pStyle w:val="SingleTxtG"/>
        <w:kinsoku w:val="0"/>
        <w:overflowPunct w:val="0"/>
        <w:autoSpaceDE w:val="0"/>
        <w:autoSpaceDN w:val="0"/>
        <w:adjustRightInd w:val="0"/>
        <w:snapToGrid w:val="0"/>
        <w:spacing w:line="240" w:lineRule="auto"/>
        <w:ind w:left="0" w:right="0"/>
        <w:rPr>
          <w:sz w:val="24"/>
          <w:szCs w:val="24"/>
        </w:rPr>
      </w:pPr>
      <w:r w:rsidRPr="002E217B">
        <w:rPr>
          <w:sz w:val="24"/>
          <w:szCs w:val="24"/>
        </w:rPr>
        <w:t>In the Concluding Observations on the Sixth Periodic Report of Bosnia and Herzegovina, the Committee on the Elimination of Discrimination against Women (CEDAW) reiterated its concerns about the underrepresentation of women in the parliaments and governments, the lack of participation of women belonging to disadvantaged groups, including Roma women, the lack of women's access to political and public life, the lack of training on political leadership, negotiation and campaigning skills for women candidates, the limited representation of women in the in the judiciary, and in international organisations. In particular, CEDAW calls upon the adoption of the amendments to the Election Law of BiH to increase the quota for women candidates on electoral lists of political parties to 50%, as well as the Law on the Council of Ministers to introduce a minimum quota of 40% for the representation of women and men. This calls for replacing the open list system with a “zipper system” for the nomination of candidates on electoral lists of political parties, ensuring that women and men candidates are placed in every second place on 12 electoral lists. Furthermore, it would introduce reserved seats for the least represented gender in 13 the Parliaments of all entities.</w:t>
      </w:r>
    </w:p>
    <w:p w14:paraId="7866D05B" w14:textId="77777777" w:rsidR="003B776F" w:rsidRPr="002E217B" w:rsidRDefault="003B776F" w:rsidP="002E217B">
      <w:pPr>
        <w:pStyle w:val="SingleTxtG"/>
        <w:kinsoku w:val="0"/>
        <w:overflowPunct w:val="0"/>
        <w:autoSpaceDE w:val="0"/>
        <w:autoSpaceDN w:val="0"/>
        <w:adjustRightInd w:val="0"/>
        <w:snapToGrid w:val="0"/>
        <w:spacing w:line="240" w:lineRule="auto"/>
        <w:ind w:left="0" w:right="0"/>
        <w:rPr>
          <w:sz w:val="24"/>
          <w:szCs w:val="24"/>
        </w:rPr>
      </w:pPr>
    </w:p>
    <w:p w14:paraId="1B543AD5" w14:textId="77777777" w:rsidR="003B776F" w:rsidRPr="002E217B" w:rsidRDefault="003B776F" w:rsidP="002E217B">
      <w:pPr>
        <w:pStyle w:val="SingleTxtG"/>
        <w:kinsoku w:val="0"/>
        <w:overflowPunct w:val="0"/>
        <w:autoSpaceDE w:val="0"/>
        <w:autoSpaceDN w:val="0"/>
        <w:adjustRightInd w:val="0"/>
        <w:snapToGrid w:val="0"/>
        <w:spacing w:line="240" w:lineRule="auto"/>
        <w:ind w:left="0" w:right="0"/>
        <w:rPr>
          <w:b/>
          <w:sz w:val="24"/>
          <w:szCs w:val="24"/>
        </w:rPr>
      </w:pPr>
      <w:r w:rsidRPr="002E217B">
        <w:rPr>
          <w:b/>
          <w:sz w:val="24"/>
          <w:szCs w:val="24"/>
        </w:rPr>
        <w:t>13.</w:t>
      </w:r>
      <w:r w:rsidR="002E217B" w:rsidRPr="002E217B">
        <w:rPr>
          <w:b/>
          <w:sz w:val="24"/>
          <w:szCs w:val="24"/>
        </w:rPr>
        <w:t xml:space="preserve"> </w:t>
      </w:r>
      <w:r w:rsidRPr="002E217B">
        <w:rPr>
          <w:b/>
          <w:sz w:val="24"/>
          <w:szCs w:val="24"/>
        </w:rPr>
        <w:t>Please provide information on the measures taken to address the growing disparities between men and women in terms of labour force participation and employment. Please also provide information on the measures taken to combat horizontal and vertical occupational segregation of women and to enhance the access of women and girls to vocational and technical education. Please further provide information on the gender pay gap in the State party and on the measures taken to narrow it.</w:t>
      </w:r>
    </w:p>
    <w:p w14:paraId="0961B5F4" w14:textId="77777777" w:rsidR="003B776F" w:rsidRPr="002E217B" w:rsidRDefault="003B776F" w:rsidP="002E217B">
      <w:pPr>
        <w:spacing w:before="240" w:after="240" w:line="240" w:lineRule="auto"/>
        <w:jc w:val="both"/>
        <w:rPr>
          <w:rFonts w:ascii="Times New Roman" w:hAnsi="Times New Roman" w:cs="Times New Roman"/>
          <w:sz w:val="24"/>
          <w:szCs w:val="24"/>
        </w:rPr>
      </w:pPr>
      <w:r w:rsidRPr="002E217B">
        <w:rPr>
          <w:rFonts w:ascii="Times New Roman" w:hAnsi="Times New Roman" w:cs="Times New Roman"/>
          <w:sz w:val="24"/>
          <w:szCs w:val="24"/>
        </w:rPr>
        <w:t>As evaluated by the Gender Equality Agency, in the new Gender Action Plan 2018-2022, women in BiH face multiple obstacles in the labour market, such as longer waiting period for the first job, long employment disruptions due to maternity leave or the care they provide for an elderly family member, inability of middle-aged women to successfully re-enter the labour market due to the market shifts and discontinuation of some types of work.</w:t>
      </w:r>
    </w:p>
    <w:p w14:paraId="048E0A71" w14:textId="77777777" w:rsidR="003B776F" w:rsidRPr="002E217B" w:rsidRDefault="003B776F" w:rsidP="002E217B">
      <w:pPr>
        <w:spacing w:before="240" w:after="240" w:line="240" w:lineRule="auto"/>
        <w:jc w:val="both"/>
        <w:rPr>
          <w:rFonts w:ascii="Times New Roman" w:hAnsi="Times New Roman" w:cs="Times New Roman"/>
          <w:sz w:val="24"/>
          <w:szCs w:val="24"/>
        </w:rPr>
      </w:pPr>
      <w:r w:rsidRPr="002E217B">
        <w:rPr>
          <w:rFonts w:ascii="Times New Roman" w:hAnsi="Times New Roman" w:cs="Times New Roman"/>
          <w:sz w:val="24"/>
          <w:szCs w:val="24"/>
        </w:rPr>
        <w:t>In spite of numerous, repeated recommendations of the international institutions to establish regular statistical reporting on the position of women, we still do not have adequate, reliable and timely collected annual data on the (un)employment of women, differences in salaries, temporary work or shorter working hours, the number of women in decision-making and company management positions, etc.</w:t>
      </w:r>
    </w:p>
    <w:p w14:paraId="58333863" w14:textId="77777777" w:rsidR="003B776F" w:rsidRPr="002E217B" w:rsidRDefault="003B776F" w:rsidP="002E217B">
      <w:pPr>
        <w:spacing w:before="240" w:after="240" w:line="240" w:lineRule="auto"/>
        <w:jc w:val="both"/>
        <w:rPr>
          <w:rFonts w:ascii="Times New Roman" w:hAnsi="Times New Roman" w:cs="Times New Roman"/>
          <w:sz w:val="24"/>
          <w:szCs w:val="24"/>
        </w:rPr>
      </w:pPr>
      <w:r w:rsidRPr="002E217B">
        <w:rPr>
          <w:rFonts w:ascii="Times New Roman" w:hAnsi="Times New Roman" w:cs="Times New Roman"/>
          <w:sz w:val="24"/>
          <w:szCs w:val="24"/>
        </w:rPr>
        <w:t xml:space="preserve">The Survey on workforce conducted annually by the Agency for Statistics for BiH demonstrates the gender differences in this area in BiH. Data for 2018 regarding economically active population disaggregated by educational level is as follows: the largest share of working-age women registered in 2018 is with secondary or lower level of education (62,2%), men also (73%).34 The largest share of employees with respect to educational level is made up of persons with the secondary level of education and professional specialization (72,8% men and 60,7% women), followed by those with community college, university, master’s and doctoral degrees (13,5% men and 22,7% women), and those with primary level of education and lower making up 13,7% ( men) and 16,7% (women). </w:t>
      </w:r>
    </w:p>
    <w:p w14:paraId="400715AA" w14:textId="77777777" w:rsidR="003B776F" w:rsidRPr="002E217B" w:rsidRDefault="003B776F" w:rsidP="002E217B">
      <w:pPr>
        <w:spacing w:before="240" w:after="240" w:line="240" w:lineRule="auto"/>
        <w:jc w:val="both"/>
        <w:rPr>
          <w:rFonts w:ascii="Times New Roman" w:hAnsi="Times New Roman" w:cs="Times New Roman"/>
          <w:sz w:val="24"/>
          <w:szCs w:val="24"/>
        </w:rPr>
      </w:pPr>
      <w:r w:rsidRPr="002E217B">
        <w:rPr>
          <w:rFonts w:ascii="Times New Roman" w:hAnsi="Times New Roman" w:cs="Times New Roman"/>
          <w:sz w:val="24"/>
          <w:szCs w:val="24"/>
        </w:rPr>
        <w:t>In BiH, there is a gender gap between paid and unpaid work, with the share of women involved in unpaid work being significantly higher. According to the Survey on the Workforce in BiH from 2017 conducted by the Agency for Statistics of BiH, the share of women (15-45 years and above) in unpaid work in households, including agricultural work is estimated to be approximately 70%. The reasons of this lie in stereotypical understanding of gender roles, unequal division of family responsibilities, insufficiently developed and distributed childcare and elderly care institutions as well as the existence of the gender-segregated labour market.</w:t>
      </w:r>
    </w:p>
    <w:p w14:paraId="6AD70395" w14:textId="77777777" w:rsidR="003B776F" w:rsidRPr="002E217B" w:rsidRDefault="003B776F" w:rsidP="002E217B">
      <w:pPr>
        <w:spacing w:before="240" w:after="240" w:line="240" w:lineRule="auto"/>
        <w:jc w:val="both"/>
        <w:rPr>
          <w:rFonts w:ascii="Times New Roman" w:hAnsi="Times New Roman" w:cs="Times New Roman"/>
          <w:sz w:val="24"/>
          <w:szCs w:val="24"/>
        </w:rPr>
      </w:pPr>
      <w:r w:rsidRPr="002E217B">
        <w:rPr>
          <w:rFonts w:ascii="Times New Roman" w:hAnsi="Times New Roman" w:cs="Times New Roman"/>
          <w:sz w:val="24"/>
          <w:szCs w:val="24"/>
        </w:rPr>
        <w:t>Based on the data from the Agency for Statistics</w:t>
      </w:r>
      <w:r w:rsidRPr="002E217B">
        <w:rPr>
          <w:rStyle w:val="FootnoteReference"/>
          <w:rFonts w:cs="Times New Roman"/>
          <w:sz w:val="24"/>
          <w:szCs w:val="24"/>
        </w:rPr>
        <w:footnoteReference w:id="4"/>
      </w:r>
      <w:r w:rsidRPr="002E217B">
        <w:rPr>
          <w:rFonts w:ascii="Times New Roman" w:hAnsi="Times New Roman" w:cs="Times New Roman"/>
          <w:sz w:val="24"/>
          <w:szCs w:val="24"/>
        </w:rPr>
        <w:t xml:space="preserve"> in the first quarter of 2021, in Bosnia and Herzegovina, the number of the working force was 1.377 million persons whereas 1.115 million (80.9%) were employed and 262 thousands (19.1%) were unemployed. Out of all the number of employed persons 708 thousands (63.5%) were men and 406 thousands (36.5%) were women while out of all the number of unemployed persons 130 thousands (49.7%) were men and 132 thousands (50.3%) were women.  </w:t>
      </w:r>
    </w:p>
    <w:p w14:paraId="55B14963" w14:textId="77777777" w:rsidR="003B776F" w:rsidRPr="002E217B" w:rsidRDefault="003B776F" w:rsidP="002E217B">
      <w:pPr>
        <w:spacing w:before="240" w:after="240" w:line="240" w:lineRule="auto"/>
        <w:jc w:val="both"/>
        <w:rPr>
          <w:rFonts w:ascii="Times New Roman" w:hAnsi="Times New Roman" w:cs="Times New Roman"/>
          <w:sz w:val="24"/>
          <w:szCs w:val="24"/>
        </w:rPr>
      </w:pPr>
      <w:r w:rsidRPr="002E217B">
        <w:rPr>
          <w:rFonts w:ascii="Times New Roman" w:hAnsi="Times New Roman" w:cs="Times New Roman"/>
          <w:sz w:val="24"/>
          <w:szCs w:val="24"/>
        </w:rPr>
        <w:t>Gender pay gap is often presented but it is not discussed, as often women are not familiar with the salary range of their male colleagues. However, in line with the available data from the page plata.ba average salary for women in BiH is 1167 BAM and for men 1315 BAM (data for July 2021), which means that men earn 12.7% more in comparison to women</w:t>
      </w:r>
      <w:r w:rsidRPr="002E217B">
        <w:rPr>
          <w:rFonts w:ascii="Times New Roman" w:hAnsi="Times New Roman" w:cs="Times New Roman"/>
          <w:sz w:val="24"/>
          <w:szCs w:val="24"/>
          <w:highlight w:val="white"/>
          <w:vertAlign w:val="superscript"/>
        </w:rPr>
        <w:footnoteReference w:id="5"/>
      </w:r>
      <w:r w:rsidRPr="002E217B">
        <w:rPr>
          <w:rFonts w:ascii="Times New Roman" w:hAnsi="Times New Roman" w:cs="Times New Roman"/>
          <w:sz w:val="24"/>
          <w:szCs w:val="24"/>
        </w:rPr>
        <w:t xml:space="preserve">. </w:t>
      </w:r>
      <w:r w:rsidRPr="002E217B">
        <w:rPr>
          <w:rFonts w:ascii="Times New Roman" w:hAnsi="Times New Roman" w:cs="Times New Roman"/>
          <w:sz w:val="24"/>
          <w:szCs w:val="24"/>
          <w:highlight w:val="white"/>
        </w:rPr>
        <w:t>Gender segregation based on profession greatly contributes to this situation, having in mind that most women work in service sector and gender stereotyped professions such as education and health care while men have large participation in jobs of higher management that are at the same time better paid positions in BiH.</w:t>
      </w:r>
      <w:r w:rsidRPr="002E217B">
        <w:rPr>
          <w:rFonts w:ascii="Times New Roman" w:hAnsi="Times New Roman" w:cs="Times New Roman"/>
          <w:sz w:val="24"/>
          <w:szCs w:val="24"/>
          <w:highlight w:val="white"/>
          <w:vertAlign w:val="superscript"/>
        </w:rPr>
        <w:footnoteReference w:id="6"/>
      </w:r>
    </w:p>
    <w:p w14:paraId="0D59484A" w14:textId="77777777" w:rsidR="003B776F" w:rsidRPr="002E217B" w:rsidRDefault="003B776F" w:rsidP="002E217B">
      <w:pPr>
        <w:spacing w:before="240" w:after="240" w:line="240" w:lineRule="auto"/>
        <w:jc w:val="both"/>
        <w:rPr>
          <w:rFonts w:ascii="Times New Roman" w:hAnsi="Times New Roman" w:cs="Times New Roman"/>
          <w:sz w:val="24"/>
          <w:szCs w:val="24"/>
        </w:rPr>
      </w:pPr>
      <w:r w:rsidRPr="002E217B">
        <w:rPr>
          <w:rFonts w:ascii="Times New Roman" w:hAnsi="Times New Roman" w:cs="Times New Roman"/>
          <w:sz w:val="24"/>
          <w:szCs w:val="24"/>
        </w:rPr>
        <w:t>When it comes to women's participation in the management structures of public enterprises, a survey conducted by Sarajevo Open Centre (SOC) on a sample of 36 enterprises majority owned by the state, entity or district, showed that women are represented in the supervisory boards and boards of these public enterprises with a percentage of 22 , 93%.</w:t>
      </w:r>
    </w:p>
    <w:p w14:paraId="3536F2E2" w14:textId="77777777" w:rsidR="003B776F" w:rsidRPr="002E217B" w:rsidRDefault="003B776F" w:rsidP="002E217B">
      <w:pPr>
        <w:spacing w:before="240" w:after="240" w:line="240" w:lineRule="auto"/>
        <w:jc w:val="both"/>
        <w:rPr>
          <w:rFonts w:ascii="Times New Roman" w:hAnsi="Times New Roman" w:cs="Times New Roman"/>
          <w:sz w:val="24"/>
          <w:szCs w:val="24"/>
        </w:rPr>
      </w:pPr>
      <w:r w:rsidRPr="002E217B">
        <w:rPr>
          <w:rFonts w:ascii="Times New Roman" w:hAnsi="Times New Roman" w:cs="Times New Roman"/>
          <w:sz w:val="24"/>
          <w:szCs w:val="24"/>
        </w:rPr>
        <w:t>Women are much more susceptible to the choice to working in the gray economy.  Similarly, women will wait much longer for first employment because they enter an established environment previously assigned occupations. Most women are employed in the service sector (66.2%, compared to 43.8% of men), followed by agriculture (16%, compared to 15.5% of men) and industry (17.8%, compared to to 40.7% of men) 172, with unequal representation in sectors such as education (67.6%) and health and the social work sector (71%), 173 which are otherwise considered “women’s occupations”. This opens up space for gender stereotypes and further exclusion of women from occupations traditionally considered male (production, construction, mining, traffic etc.).</w:t>
      </w:r>
      <w:r w:rsidRPr="002E217B">
        <w:rPr>
          <w:rStyle w:val="FootnoteReference"/>
          <w:rFonts w:cs="Times New Roman"/>
          <w:sz w:val="24"/>
          <w:szCs w:val="24"/>
        </w:rPr>
        <w:footnoteReference w:id="7"/>
      </w:r>
    </w:p>
    <w:p w14:paraId="1810A431" w14:textId="77777777" w:rsidR="003B776F" w:rsidRPr="002E217B" w:rsidRDefault="003B776F" w:rsidP="002E217B">
      <w:pPr>
        <w:spacing w:before="240" w:after="240" w:line="240" w:lineRule="auto"/>
        <w:jc w:val="both"/>
        <w:rPr>
          <w:rFonts w:ascii="Times New Roman" w:hAnsi="Times New Roman" w:cs="Times New Roman"/>
          <w:sz w:val="24"/>
          <w:szCs w:val="24"/>
        </w:rPr>
      </w:pPr>
      <w:r w:rsidRPr="002E217B">
        <w:rPr>
          <w:rFonts w:ascii="Times New Roman" w:hAnsi="Times New Roman" w:cs="Times New Roman"/>
          <w:sz w:val="24"/>
          <w:szCs w:val="24"/>
        </w:rPr>
        <w:t xml:space="preserve"> The average salary in certain positions which includes higher management is 2.500 BAM-3.800 BAM while average salaries of cashiers, salesmen in groceries, hair dressers, traders and health care providers are 606 BAM-711 BAM which is four times lower than management salary in the bank sector, IT sector or entrepreneurship.</w:t>
      </w:r>
      <w:r w:rsidRPr="002E217B">
        <w:rPr>
          <w:rStyle w:val="FootnoteReference"/>
          <w:rFonts w:cs="Times New Roman"/>
          <w:sz w:val="24"/>
          <w:szCs w:val="24"/>
        </w:rPr>
        <w:footnoteReference w:id="8"/>
      </w:r>
    </w:p>
    <w:p w14:paraId="5177A858" w14:textId="77777777" w:rsidR="003B776F" w:rsidRPr="002E217B" w:rsidRDefault="003B776F" w:rsidP="002E217B">
      <w:pPr>
        <w:spacing w:after="200" w:line="240" w:lineRule="auto"/>
        <w:jc w:val="both"/>
        <w:rPr>
          <w:rFonts w:ascii="Times New Roman" w:hAnsi="Times New Roman" w:cs="Times New Roman"/>
          <w:sz w:val="24"/>
          <w:szCs w:val="24"/>
        </w:rPr>
      </w:pPr>
      <w:r w:rsidRPr="002E217B">
        <w:rPr>
          <w:rFonts w:ascii="Times New Roman" w:hAnsi="Times New Roman" w:cs="Times New Roman"/>
          <w:sz w:val="24"/>
          <w:szCs w:val="24"/>
        </w:rPr>
        <w:t xml:space="preserve">In October 2019, the Agency for Gender Equality of BiH issued a </w:t>
      </w:r>
      <w:r w:rsidRPr="002E217B">
        <w:rPr>
          <w:rFonts w:ascii="Times New Roman" w:hAnsi="Times New Roman" w:cs="Times New Roman"/>
          <w:i/>
          <w:sz w:val="24"/>
          <w:szCs w:val="24"/>
        </w:rPr>
        <w:t>Recommendation to employers and competent bodies regarding gender equality in work and employment</w:t>
      </w:r>
      <w:r w:rsidRPr="002E217B">
        <w:rPr>
          <w:rFonts w:ascii="Times New Roman" w:hAnsi="Times New Roman" w:cs="Times New Roman"/>
          <w:sz w:val="24"/>
          <w:szCs w:val="24"/>
        </w:rPr>
        <w:t>, which draws the attention of employers in the private and public sector, as well as competent administrative bodies and the public, to the fact that disadvantaging workers on the basis of gender, such as pregnancy and motherhood, is an expression of direct discrimination, and is legally prohibited and punishable. The Recommendation calls on competent authorities, with a special focus on inspections, law enforcement and the judiciary, to step up efforts to protect the rights of women, mothers and pregnant women in employment, as well as to train staff to work on gender-based discrimination in labour relations and employment.</w:t>
      </w:r>
    </w:p>
    <w:p w14:paraId="768208D0" w14:textId="77777777" w:rsidR="003B776F" w:rsidRPr="002E217B" w:rsidRDefault="003B776F" w:rsidP="002E217B">
      <w:pPr>
        <w:spacing w:before="240" w:after="240" w:line="240" w:lineRule="auto"/>
        <w:jc w:val="both"/>
        <w:rPr>
          <w:rFonts w:ascii="Times New Roman" w:hAnsi="Times New Roman" w:cs="Times New Roman"/>
          <w:sz w:val="24"/>
          <w:szCs w:val="24"/>
        </w:rPr>
      </w:pPr>
      <w:r w:rsidRPr="002E217B">
        <w:rPr>
          <w:rFonts w:ascii="Times New Roman" w:hAnsi="Times New Roman" w:cs="Times New Roman"/>
          <w:sz w:val="24"/>
          <w:szCs w:val="24"/>
        </w:rPr>
        <w:t>Additional problem is unpaid work in households done by women which has been recognized as a starting point in gender inequality and is directly related to inequalities in salaries, lower income, less number of educated women and factors concerning stress that impact physical and mental health of women.</w:t>
      </w:r>
      <w:r w:rsidRPr="002E217B">
        <w:rPr>
          <w:rFonts w:ascii="Times New Roman" w:hAnsi="Times New Roman" w:cs="Times New Roman"/>
          <w:sz w:val="24"/>
          <w:szCs w:val="24"/>
          <w:vertAlign w:val="superscript"/>
        </w:rPr>
        <w:footnoteReference w:id="9"/>
      </w:r>
      <w:r w:rsidRPr="002E217B">
        <w:rPr>
          <w:rFonts w:ascii="Times New Roman" w:hAnsi="Times New Roman" w:cs="Times New Roman"/>
          <w:sz w:val="24"/>
          <w:szCs w:val="24"/>
        </w:rPr>
        <w:t xml:space="preserve"> According to data from the Agency for Statistics, almost 2.5% of the population in BiH involves unpaid persons who provide care for family members and most of them are women. In most cases, due to the household work and care for family members (mostly children and elderly), women tend to leave further education and professional improvement, which limit their presence at the labour market. </w:t>
      </w:r>
    </w:p>
    <w:p w14:paraId="75991363" w14:textId="77777777" w:rsidR="003B776F" w:rsidRPr="002E217B" w:rsidRDefault="003B776F" w:rsidP="002E217B">
      <w:pPr>
        <w:spacing w:before="240" w:after="240" w:line="240" w:lineRule="auto"/>
        <w:jc w:val="both"/>
        <w:rPr>
          <w:rFonts w:ascii="Times New Roman" w:hAnsi="Times New Roman" w:cs="Times New Roman"/>
          <w:i/>
          <w:sz w:val="24"/>
          <w:szCs w:val="24"/>
          <w:highlight w:val="white"/>
        </w:rPr>
      </w:pPr>
      <w:r w:rsidRPr="002E217B">
        <w:rPr>
          <w:rFonts w:ascii="Times New Roman" w:hAnsi="Times New Roman" w:cs="Times New Roman"/>
          <w:i/>
          <w:sz w:val="24"/>
          <w:szCs w:val="24"/>
          <w:highlight w:val="white"/>
        </w:rPr>
        <w:t xml:space="preserve">“In BiH only 6% of women out of all employed are among the best employed workers in comparison to 13% of men. In addition, our data shows that women choose professions which are traditionally seen as female but which are less paid in comparison to so called male professions such as care for others, teacher, jobs where they can work with clients such as secretary, assistant, nurse, waitress, social worker…which is why men in average have higher salaries by 30%. For example, according to our data from February 2020, the difference in salaries in Sarajevo is 25% in favour of men. The salary in the IT sector for men in 1700 and for women is around 1300 BAM”. </w:t>
      </w:r>
    </w:p>
    <w:p w14:paraId="0C89B8AD" w14:textId="77777777" w:rsidR="003B776F" w:rsidRDefault="003B776F" w:rsidP="002E217B">
      <w:pPr>
        <w:spacing w:before="240" w:after="240" w:line="240" w:lineRule="auto"/>
        <w:jc w:val="both"/>
        <w:rPr>
          <w:rFonts w:ascii="Times New Roman" w:hAnsi="Times New Roman" w:cs="Times New Roman"/>
          <w:sz w:val="24"/>
          <w:szCs w:val="24"/>
        </w:rPr>
      </w:pPr>
      <w:r w:rsidRPr="002E217B">
        <w:rPr>
          <w:rFonts w:ascii="Times New Roman" w:hAnsi="Times New Roman" w:cs="Times New Roman"/>
          <w:sz w:val="24"/>
          <w:szCs w:val="24"/>
        </w:rPr>
        <w:t>Predrag Raosavljević, Interview, Institution of Ombudsman of BiH</w:t>
      </w:r>
    </w:p>
    <w:p w14:paraId="1A7E7421" w14:textId="77777777" w:rsidR="00037C89" w:rsidRPr="002E217B" w:rsidRDefault="00037C89" w:rsidP="002E217B">
      <w:pPr>
        <w:spacing w:before="240" w:after="240" w:line="240" w:lineRule="auto"/>
        <w:jc w:val="both"/>
        <w:rPr>
          <w:rFonts w:ascii="Times New Roman" w:hAnsi="Times New Roman" w:cs="Times New Roman"/>
          <w:i/>
          <w:sz w:val="24"/>
          <w:szCs w:val="24"/>
          <w:highlight w:val="white"/>
        </w:rPr>
      </w:pPr>
    </w:p>
    <w:p w14:paraId="0039E112" w14:textId="77777777" w:rsidR="003B776F" w:rsidRPr="003B776F" w:rsidRDefault="00037C89" w:rsidP="00037C89">
      <w:pPr>
        <w:pStyle w:val="HChG"/>
      </w:pPr>
      <w:r>
        <w:t xml:space="preserve">           </w:t>
      </w:r>
      <w:r w:rsidR="003B776F" w:rsidRPr="003B776F">
        <w:t>III.</w:t>
      </w:r>
      <w:r>
        <w:t xml:space="preserve"> </w:t>
      </w:r>
      <w:r w:rsidR="003B776F" w:rsidRPr="003B776F">
        <w:tab/>
        <w:t>Issues relating to the specific pr</w:t>
      </w:r>
      <w:r w:rsidR="002E217B">
        <w:t xml:space="preserve">ovisions of the </w:t>
      </w:r>
      <w:r>
        <w:t xml:space="preserve">  </w:t>
      </w:r>
      <w:r w:rsidR="002E217B">
        <w:t>Covenant (arts.</w:t>
      </w:r>
      <w:r w:rsidR="003B776F" w:rsidRPr="003B776F">
        <w:t>6–15)</w:t>
      </w:r>
    </w:p>
    <w:p w14:paraId="477C232A" w14:textId="77777777" w:rsidR="003B776F" w:rsidRPr="002E217B" w:rsidRDefault="003B776F" w:rsidP="00DC7E50">
      <w:pPr>
        <w:pStyle w:val="H23G"/>
        <w:ind w:left="0" w:right="0"/>
        <w:rPr>
          <w:sz w:val="24"/>
          <w:szCs w:val="24"/>
        </w:rPr>
      </w:pPr>
      <w:r w:rsidRPr="003B776F">
        <w:tab/>
      </w:r>
      <w:r w:rsidRPr="002E217B">
        <w:rPr>
          <w:sz w:val="24"/>
          <w:szCs w:val="24"/>
        </w:rPr>
        <w:tab/>
        <w:t>Right to work (art. 6)</w:t>
      </w:r>
    </w:p>
    <w:p w14:paraId="005DE1DF" w14:textId="77777777" w:rsidR="003B776F" w:rsidRPr="002E217B" w:rsidRDefault="002E217B" w:rsidP="00DC7E50">
      <w:pPr>
        <w:pStyle w:val="SingleTxtG"/>
        <w:kinsoku w:val="0"/>
        <w:overflowPunct w:val="0"/>
        <w:autoSpaceDE w:val="0"/>
        <w:autoSpaceDN w:val="0"/>
        <w:adjustRightInd w:val="0"/>
        <w:snapToGrid w:val="0"/>
        <w:ind w:left="0" w:right="0"/>
        <w:rPr>
          <w:b/>
          <w:sz w:val="24"/>
          <w:szCs w:val="24"/>
        </w:rPr>
      </w:pPr>
      <w:r w:rsidRPr="002E217B">
        <w:rPr>
          <w:b/>
          <w:sz w:val="24"/>
          <w:szCs w:val="24"/>
        </w:rPr>
        <w:t xml:space="preserve">14. </w:t>
      </w:r>
      <w:r w:rsidR="003B776F" w:rsidRPr="002E217B">
        <w:rPr>
          <w:b/>
          <w:sz w:val="24"/>
          <w:szCs w:val="24"/>
        </w:rPr>
        <w:t>Please provide information on:</w:t>
      </w:r>
    </w:p>
    <w:p w14:paraId="2CAEE12F" w14:textId="77777777" w:rsidR="003B776F" w:rsidRPr="002E217B" w:rsidRDefault="002E217B" w:rsidP="00DC7E50">
      <w:pPr>
        <w:pStyle w:val="SingleTxtG"/>
        <w:ind w:left="0" w:right="0"/>
        <w:rPr>
          <w:b/>
          <w:sz w:val="24"/>
          <w:szCs w:val="24"/>
        </w:rPr>
      </w:pPr>
      <w:r w:rsidRPr="002E217B">
        <w:rPr>
          <w:b/>
          <w:sz w:val="24"/>
          <w:szCs w:val="24"/>
        </w:rPr>
        <w:t xml:space="preserve">              </w:t>
      </w:r>
      <w:r w:rsidR="003B776F" w:rsidRPr="002E217B">
        <w:rPr>
          <w:b/>
          <w:sz w:val="24"/>
          <w:szCs w:val="24"/>
        </w:rPr>
        <w:t>(b)</w:t>
      </w:r>
      <w:r w:rsidRPr="002E217B">
        <w:rPr>
          <w:b/>
          <w:sz w:val="24"/>
          <w:szCs w:val="24"/>
        </w:rPr>
        <w:t xml:space="preserve"> </w:t>
      </w:r>
      <w:r w:rsidR="003B776F" w:rsidRPr="002E217B">
        <w:rPr>
          <w:b/>
          <w:sz w:val="24"/>
          <w:szCs w:val="24"/>
        </w:rPr>
        <w:t>The measures taken to facilitate the employment of persons with disabilities and the implementation of the quota provided for in the Law on Vocational Rehabilitation, Training and Employment of Persons with Disabilities, including the rate of compliance and the effectiveness of the financial incentives in place to encourage employers to comply with the quota;</w:t>
      </w:r>
    </w:p>
    <w:p w14:paraId="4C019241" w14:textId="77777777" w:rsidR="003B776F" w:rsidRPr="002E217B" w:rsidRDefault="003B776F" w:rsidP="00DC7E50">
      <w:pPr>
        <w:pStyle w:val="SingleTxtG"/>
        <w:ind w:left="0" w:right="0"/>
        <w:rPr>
          <w:sz w:val="24"/>
          <w:szCs w:val="24"/>
        </w:rPr>
      </w:pPr>
      <w:r w:rsidRPr="002E217B">
        <w:rPr>
          <w:sz w:val="24"/>
          <w:szCs w:val="24"/>
        </w:rPr>
        <w:t>In both entities of Bosnia and Herzegovina, a quota system for the employment of persons with disabilities in the open labour market, is established but with some differences such as that in the Republic Srpska entity, the quota system applies only to public institutions and state-owned enterprises whereas in the Federation BIH entity, the quota system in addition applies to all other economic entities, including the private sector, all which employs more than 16 workers. Law on Vocational Rehabilitation and Employment of Persons with Disabilities also envisages that in case of non-employment or non-application of quota system, the employer has to pay special contribution to the Funds for professional rehabilitation and employment of person with disabilities, which is then used to encourage the employment of persons with disabilities.</w:t>
      </w:r>
    </w:p>
    <w:p w14:paraId="7354A918" w14:textId="77777777" w:rsidR="003B776F" w:rsidRPr="002E217B" w:rsidRDefault="003B776F" w:rsidP="00DC7E50">
      <w:pPr>
        <w:pStyle w:val="SingleTxtG"/>
        <w:ind w:left="0" w:right="0"/>
        <w:rPr>
          <w:sz w:val="24"/>
          <w:szCs w:val="24"/>
        </w:rPr>
      </w:pPr>
      <w:r w:rsidRPr="002E217B">
        <w:rPr>
          <w:sz w:val="24"/>
          <w:szCs w:val="24"/>
        </w:rPr>
        <w:t>In practical terms, the quota system as an incentive for employment prescribed by the Law on Vocational Rehabilitation and Employment of Persons with Disabilities does not provide greater employment of persons with disabilities in the open labour market for the several following reasons:</w:t>
      </w:r>
    </w:p>
    <w:p w14:paraId="11E7E3A0" w14:textId="77777777" w:rsidR="003B776F" w:rsidRPr="002E217B" w:rsidRDefault="003B776F" w:rsidP="00DC7E50">
      <w:pPr>
        <w:pStyle w:val="SingleTxtG"/>
        <w:ind w:left="0" w:right="0"/>
        <w:rPr>
          <w:sz w:val="24"/>
          <w:szCs w:val="24"/>
        </w:rPr>
      </w:pPr>
      <w:r w:rsidRPr="002E217B">
        <w:rPr>
          <w:sz w:val="24"/>
          <w:szCs w:val="24"/>
        </w:rPr>
        <w:t>1. Government institutions do not employ persons with disabilities to the extent that this is expected, although the Law appeals for the employment of persons with disabilities, but this does not happen in practice.</w:t>
      </w:r>
    </w:p>
    <w:p w14:paraId="081425CE" w14:textId="77777777" w:rsidR="003B776F" w:rsidRPr="002E217B" w:rsidRDefault="003B776F" w:rsidP="00DC7E50">
      <w:pPr>
        <w:pStyle w:val="SingleTxtG"/>
        <w:ind w:left="0" w:right="0"/>
        <w:rPr>
          <w:sz w:val="24"/>
          <w:szCs w:val="24"/>
        </w:rPr>
      </w:pPr>
      <w:r w:rsidRPr="002E217B">
        <w:rPr>
          <w:sz w:val="24"/>
          <w:szCs w:val="24"/>
        </w:rPr>
        <w:t>2. Employers rather choose to pay a special contribution for the non-employment of persons with disabilities rather than to employ a person with disabilities.</w:t>
      </w:r>
    </w:p>
    <w:p w14:paraId="07FAF78D" w14:textId="77777777" w:rsidR="003B776F" w:rsidRPr="002E217B" w:rsidRDefault="003B776F" w:rsidP="00DC7E50">
      <w:pPr>
        <w:pStyle w:val="SingleTxtG"/>
        <w:ind w:left="0" w:right="0"/>
        <w:rPr>
          <w:sz w:val="24"/>
          <w:szCs w:val="24"/>
        </w:rPr>
      </w:pPr>
      <w:r w:rsidRPr="002E217B">
        <w:rPr>
          <w:sz w:val="24"/>
          <w:szCs w:val="24"/>
        </w:rPr>
        <w:t>3. There is no adequate records and statistics on employed persons with disabilities in various economic entities and institutions so there is no clear and published information on which economic entities employ person with disability and what is the number of employed if any, in order to know how many additional persons are needed to be employed to meet the quota.</w:t>
      </w:r>
    </w:p>
    <w:p w14:paraId="41F79A0A" w14:textId="24802601" w:rsidR="003B776F" w:rsidRPr="002E217B" w:rsidRDefault="003B776F" w:rsidP="00DC7E50">
      <w:pPr>
        <w:pStyle w:val="SingleTxtG"/>
        <w:ind w:left="0" w:right="0"/>
        <w:rPr>
          <w:sz w:val="24"/>
          <w:szCs w:val="24"/>
        </w:rPr>
      </w:pPr>
      <w:r w:rsidRPr="002E217B">
        <w:rPr>
          <w:sz w:val="24"/>
          <w:szCs w:val="24"/>
        </w:rPr>
        <w:t>4. The laws and regulations on taxes in the Federation BIH does not provide mechanism for the mandatory collection of special contributions prescribed by the Law on Vocational Rehabilitation and Employment for those who do not employ persons with disabilities, which directly affects the budget of the Funds for vocational rehabilitation and employment of persons with disabilities. The situation regarding the collection of special contributions is somewhat better in the R</w:t>
      </w:r>
      <w:r w:rsidR="004409BF">
        <w:rPr>
          <w:sz w:val="24"/>
          <w:szCs w:val="24"/>
        </w:rPr>
        <w:t>epublic Srpska</w:t>
      </w:r>
      <w:r w:rsidRPr="002E217B">
        <w:rPr>
          <w:sz w:val="24"/>
          <w:szCs w:val="24"/>
        </w:rPr>
        <w:t xml:space="preserve">, where inspections have been given the authority to control economic entities whether they fulfil the obligation to pay special contributions if not employing persons with disabilities. </w:t>
      </w:r>
    </w:p>
    <w:p w14:paraId="52DD45DA" w14:textId="301B47A9" w:rsidR="003B776F" w:rsidRPr="002E217B" w:rsidRDefault="003B776F" w:rsidP="00DC7E50">
      <w:pPr>
        <w:pStyle w:val="SingleTxtG"/>
        <w:ind w:left="0" w:right="0"/>
        <w:rPr>
          <w:sz w:val="24"/>
          <w:szCs w:val="24"/>
        </w:rPr>
      </w:pPr>
      <w:r w:rsidRPr="002E217B">
        <w:rPr>
          <w:sz w:val="24"/>
          <w:szCs w:val="24"/>
        </w:rPr>
        <w:t xml:space="preserve">Some of the reasons that affect the unemployment of persons with disabilities, but also in general the lack of respect and implementation of the rights of persons with disabilities is ignorance about the rights of persons with disabilities and human rights approach to disability of the general public. The state does nothing to promote and raise public awareness of the rights of persons with disabilities, so that citizens including the employers, whether from the public or private sector, are not aware of the rights of persons with </w:t>
      </w:r>
      <w:r w:rsidR="00D51B42">
        <w:rPr>
          <w:sz w:val="24"/>
          <w:szCs w:val="24"/>
        </w:rPr>
        <w:t xml:space="preserve">  </w:t>
      </w:r>
      <w:r w:rsidRPr="002E217B">
        <w:rPr>
          <w:sz w:val="24"/>
          <w:szCs w:val="24"/>
        </w:rPr>
        <w:t xml:space="preserve">ties and incentives for the employment of persons with disabilities etc. </w:t>
      </w:r>
    </w:p>
    <w:p w14:paraId="0DCD9C55" w14:textId="77777777" w:rsidR="003B776F" w:rsidRPr="002E217B" w:rsidRDefault="003B776F" w:rsidP="00DC7E50">
      <w:pPr>
        <w:pStyle w:val="SingleTxtG"/>
        <w:ind w:left="0" w:right="0"/>
        <w:rPr>
          <w:sz w:val="24"/>
          <w:szCs w:val="24"/>
        </w:rPr>
      </w:pPr>
      <w:r w:rsidRPr="002E217B">
        <w:rPr>
          <w:sz w:val="24"/>
          <w:szCs w:val="24"/>
        </w:rPr>
        <w:t>There is also no training for civil servants on the rights of persons with disabilities, which might be a reason that public institutions or government institutions do not employ persons with disabilities.</w:t>
      </w:r>
    </w:p>
    <w:p w14:paraId="595A4320" w14:textId="77777777" w:rsidR="005D5FD5" w:rsidRDefault="005D5FD5" w:rsidP="00DC7E50">
      <w:pPr>
        <w:pStyle w:val="SingleTxtG"/>
        <w:ind w:left="0" w:right="0"/>
        <w:rPr>
          <w:sz w:val="24"/>
          <w:szCs w:val="24"/>
        </w:rPr>
      </w:pPr>
      <w:r w:rsidRPr="005D5FD5">
        <w:rPr>
          <w:sz w:val="24"/>
          <w:szCs w:val="24"/>
        </w:rPr>
        <w:t>There are rare areas of life in BiH that have a system of data collection and statistics that collects information related to a disability as one of the characteristics of a person let alone on in general on persons with disabilities. Even if such data are collected, they are not published or submitted to institutions which task is collection and processing of statistical data, but are used only within the areas in which they are collected.</w:t>
      </w:r>
    </w:p>
    <w:p w14:paraId="5971DAD9" w14:textId="77777777" w:rsidR="005D5FD5" w:rsidRDefault="005D5FD5" w:rsidP="00DC7E50">
      <w:pPr>
        <w:pStyle w:val="SingleTxtG"/>
        <w:ind w:left="0" w:right="0"/>
        <w:rPr>
          <w:sz w:val="24"/>
          <w:szCs w:val="24"/>
        </w:rPr>
      </w:pPr>
    </w:p>
    <w:p w14:paraId="40D5BDC2" w14:textId="76CE0A66" w:rsidR="003B776F" w:rsidRPr="002E217B" w:rsidRDefault="003B776F" w:rsidP="00DC7E50">
      <w:pPr>
        <w:pStyle w:val="SingleTxtG"/>
        <w:ind w:left="0" w:right="0"/>
        <w:rPr>
          <w:b/>
          <w:sz w:val="24"/>
          <w:szCs w:val="24"/>
        </w:rPr>
      </w:pPr>
      <w:r w:rsidRPr="002E217B">
        <w:rPr>
          <w:sz w:val="24"/>
          <w:szCs w:val="24"/>
        </w:rPr>
        <w:tab/>
      </w:r>
      <w:r w:rsidRPr="002E217B">
        <w:rPr>
          <w:b/>
          <w:sz w:val="24"/>
          <w:szCs w:val="24"/>
        </w:rPr>
        <w:t>(c)</w:t>
      </w:r>
      <w:r w:rsidR="00506C91">
        <w:rPr>
          <w:b/>
          <w:sz w:val="24"/>
          <w:szCs w:val="24"/>
        </w:rPr>
        <w:t xml:space="preserve"> </w:t>
      </w:r>
      <w:r w:rsidRPr="002E217B">
        <w:rPr>
          <w:b/>
          <w:sz w:val="24"/>
          <w:szCs w:val="24"/>
        </w:rPr>
        <w:t xml:space="preserve">The measures taken to facilitate the transition of undeclared workers in the informal economy, particularly women, to employment in the formal economy; </w:t>
      </w:r>
    </w:p>
    <w:p w14:paraId="62DD82CE" w14:textId="77777777" w:rsidR="003B776F" w:rsidRPr="00506C91" w:rsidRDefault="003B776F" w:rsidP="00506C91">
      <w:pPr>
        <w:spacing w:line="240" w:lineRule="auto"/>
        <w:jc w:val="both"/>
        <w:rPr>
          <w:rFonts w:ascii="Times New Roman" w:hAnsi="Times New Roman" w:cs="Times New Roman"/>
          <w:sz w:val="24"/>
          <w:szCs w:val="24"/>
        </w:rPr>
      </w:pPr>
      <w:r w:rsidRPr="00506C91">
        <w:rPr>
          <w:rFonts w:ascii="Times New Roman" w:hAnsi="Times New Roman" w:cs="Times New Roman"/>
          <w:sz w:val="24"/>
          <w:szCs w:val="24"/>
        </w:rPr>
        <w:t>As specified in the Gender Action Plan for BiH 2018-2022, women prevail among the lowest-paid employees in the labour market, with the largest concentration of women in sectors such as: healthcare, education, agriculture, as well as non-formal sector. A large number of women is employed based on employment contracts for a limited period of time, part-time contracts, or are excluded from the formal labour market working as a part of the so-called gray economy.</w:t>
      </w:r>
    </w:p>
    <w:p w14:paraId="66F0160A" w14:textId="77777777" w:rsidR="003B776F" w:rsidRPr="00506C91" w:rsidRDefault="003B776F" w:rsidP="00506C91">
      <w:pPr>
        <w:spacing w:line="240" w:lineRule="auto"/>
        <w:jc w:val="both"/>
        <w:rPr>
          <w:rFonts w:ascii="Times New Roman" w:hAnsi="Times New Roman" w:cs="Times New Roman"/>
          <w:sz w:val="24"/>
          <w:szCs w:val="24"/>
        </w:rPr>
      </w:pPr>
      <w:r w:rsidRPr="00506C91">
        <w:rPr>
          <w:rFonts w:ascii="Times New Roman" w:hAnsi="Times New Roman" w:cs="Times New Roman"/>
          <w:sz w:val="24"/>
          <w:szCs w:val="24"/>
        </w:rPr>
        <w:t xml:space="preserve">With respect to active employment measures, the RS Gender Centre reported to CEDAW Committee that during the period 2014-2018, through direct financial incentives, 46,26% of women were employed (out of the total number of 13,853 of unemployed persons) as a result of the implementation of the RS Employment Strategy and corresponding employment action plans. With respect to the development of women’s entrepreneurship, the RS Gender Centre states that women in RS own about 30% of businesses, and women’s participation in the total number of employees is approximately 40%. </w:t>
      </w:r>
    </w:p>
    <w:p w14:paraId="238A6B7B" w14:textId="77777777" w:rsidR="003B776F" w:rsidRPr="00506C91" w:rsidRDefault="003B776F" w:rsidP="00506C91">
      <w:pPr>
        <w:spacing w:line="240" w:lineRule="auto"/>
        <w:jc w:val="both"/>
        <w:rPr>
          <w:rFonts w:ascii="Times New Roman" w:hAnsi="Times New Roman" w:cs="Times New Roman"/>
          <w:sz w:val="24"/>
          <w:szCs w:val="24"/>
        </w:rPr>
      </w:pPr>
      <w:r w:rsidRPr="00506C91">
        <w:rPr>
          <w:rFonts w:ascii="Times New Roman" w:hAnsi="Times New Roman" w:cs="Times New Roman"/>
          <w:sz w:val="24"/>
          <w:szCs w:val="24"/>
        </w:rPr>
        <w:t>More exact data, which would include the Federation of BiH are not available in the BiH CEDAW Report (2013- 2016), except for commonplaces such as: active employment policies were aimed at training, professional employment and vocational training, additional vocational training and retraining, preparing unemployed for the labour market and creating equal opportunities for all regarding the access to the labour market, with support provided to the targeted groups of unemployed population that were identified as more difficult to hire by strategic documents, and especially young people and women. As noted in the CEDAW Report, the incentives for the employment of women and the development of women’s entrepreneurship have been increased.</w:t>
      </w:r>
    </w:p>
    <w:p w14:paraId="104A0C1A" w14:textId="77777777" w:rsidR="003B776F" w:rsidRPr="00506C91" w:rsidRDefault="003B776F" w:rsidP="00506C91">
      <w:pPr>
        <w:spacing w:line="240" w:lineRule="auto"/>
        <w:jc w:val="both"/>
        <w:rPr>
          <w:rFonts w:ascii="Times New Roman" w:hAnsi="Times New Roman" w:cs="Times New Roman"/>
          <w:sz w:val="24"/>
          <w:szCs w:val="24"/>
        </w:rPr>
      </w:pPr>
      <w:r w:rsidRPr="00506C91">
        <w:rPr>
          <w:rFonts w:ascii="Times New Roman" w:hAnsi="Times New Roman" w:cs="Times New Roman"/>
          <w:sz w:val="24"/>
          <w:szCs w:val="24"/>
        </w:rPr>
        <w:t xml:space="preserve">Issue of the gender-based discrimination is still in the gray zone. Unequal legislative norms and lack of the unique database as well as non-classification of data based on gender, causes the situation whereas it is not possible to determine prevalence of GBD in the field of labour and employment. </w:t>
      </w:r>
    </w:p>
    <w:p w14:paraId="03BF00B0" w14:textId="77777777" w:rsidR="003B776F" w:rsidRPr="00506C91" w:rsidRDefault="003B776F" w:rsidP="00506C91">
      <w:pPr>
        <w:shd w:val="clear" w:color="auto" w:fill="FFFFFF"/>
        <w:spacing w:before="240" w:after="240" w:line="240" w:lineRule="auto"/>
        <w:jc w:val="both"/>
        <w:rPr>
          <w:rFonts w:ascii="Times New Roman" w:hAnsi="Times New Roman" w:cs="Times New Roman"/>
          <w:i/>
          <w:sz w:val="24"/>
          <w:szCs w:val="24"/>
        </w:rPr>
      </w:pPr>
      <w:r w:rsidRPr="00506C91">
        <w:rPr>
          <w:rFonts w:ascii="Times New Roman" w:hAnsi="Times New Roman" w:cs="Times New Roman"/>
          <w:sz w:val="24"/>
          <w:szCs w:val="24"/>
        </w:rPr>
        <w:t xml:space="preserve">Sarajevo Open Centre, which provides support, psychological assistance and counselling for LGBTQIA+, states that discrimination against members of LGBTQIA+ when employing and at the labour market is very present and that huge number of them were forced to work “illegally”, without contract at the gray market. According to their research </w:t>
      </w:r>
      <w:r w:rsidRPr="00506C91">
        <w:rPr>
          <w:rFonts w:ascii="Times New Roman" w:hAnsi="Times New Roman" w:cs="Times New Roman"/>
          <w:i/>
          <w:sz w:val="24"/>
          <w:szCs w:val="24"/>
        </w:rPr>
        <w:t>16 % of LGBTI persons are working in “the gray economy” while 56% have legal and illegal working experience</w:t>
      </w:r>
      <w:r w:rsidRPr="00506C91">
        <w:rPr>
          <w:rStyle w:val="FootnoteReference"/>
          <w:rFonts w:cs="Times New Roman"/>
          <w:i/>
          <w:sz w:val="24"/>
          <w:szCs w:val="24"/>
        </w:rPr>
        <w:footnoteReference w:id="10"/>
      </w:r>
      <w:r w:rsidRPr="00506C91">
        <w:rPr>
          <w:rFonts w:ascii="Times New Roman" w:hAnsi="Times New Roman" w:cs="Times New Roman"/>
          <w:i/>
          <w:sz w:val="24"/>
          <w:szCs w:val="24"/>
        </w:rPr>
        <w:t>.</w:t>
      </w:r>
    </w:p>
    <w:p w14:paraId="518A1F1A" w14:textId="77777777" w:rsidR="003B776F" w:rsidRPr="00506C91" w:rsidRDefault="003B776F" w:rsidP="00DC7E50">
      <w:pPr>
        <w:pStyle w:val="SingleTxtG"/>
        <w:ind w:left="0" w:right="0"/>
        <w:rPr>
          <w:b/>
          <w:sz w:val="24"/>
          <w:szCs w:val="24"/>
          <w:highlight w:val="yellow"/>
        </w:rPr>
      </w:pPr>
      <w:r w:rsidRPr="00506C91">
        <w:rPr>
          <w:sz w:val="24"/>
          <w:szCs w:val="24"/>
        </w:rPr>
        <w:tab/>
      </w:r>
      <w:r w:rsidRPr="00506C91">
        <w:rPr>
          <w:b/>
          <w:sz w:val="24"/>
          <w:szCs w:val="24"/>
        </w:rPr>
        <w:t>(d)</w:t>
      </w:r>
      <w:r w:rsidR="00506C91">
        <w:rPr>
          <w:b/>
          <w:sz w:val="24"/>
          <w:szCs w:val="24"/>
        </w:rPr>
        <w:t xml:space="preserve"> </w:t>
      </w:r>
      <w:r w:rsidRPr="00506C91">
        <w:rPr>
          <w:b/>
          <w:sz w:val="24"/>
          <w:szCs w:val="24"/>
        </w:rPr>
        <w:t>Including statistics disaggregated by sex, age group, ethnicity and entity on labour market participation, employment, unemployment and underemployment, during the reporting period.</w:t>
      </w:r>
    </w:p>
    <w:p w14:paraId="3AD80701" w14:textId="77777777" w:rsidR="003B776F" w:rsidRPr="00506C91" w:rsidRDefault="003B776F" w:rsidP="00506C91">
      <w:pPr>
        <w:pStyle w:val="SingleTxtG"/>
        <w:spacing w:line="240" w:lineRule="auto"/>
        <w:ind w:left="0" w:right="0"/>
        <w:rPr>
          <w:sz w:val="24"/>
          <w:szCs w:val="24"/>
        </w:rPr>
      </w:pPr>
      <w:r w:rsidRPr="00506C91">
        <w:rPr>
          <w:sz w:val="24"/>
          <w:szCs w:val="24"/>
        </w:rPr>
        <w:t>As the statistical institutions’ data show each year, employment rates are not in favour to women and they remain less active on the labour market. These data are worrisome as they demonstrate the difficulties women face when it comes to finding job, and consequently transit into the inactive segment of population. The reasons may include abandoning job search or impossibility to work in spite of having a desire to, with the most common reason for women’s unavailability for work being the care they provide to their families.</w:t>
      </w:r>
    </w:p>
    <w:p w14:paraId="0C91940C" w14:textId="77777777" w:rsidR="003B776F" w:rsidRPr="00506C91" w:rsidRDefault="003B776F" w:rsidP="00506C91">
      <w:pPr>
        <w:pStyle w:val="SingleTxtG"/>
        <w:spacing w:line="240" w:lineRule="auto"/>
        <w:ind w:left="0" w:right="0"/>
        <w:rPr>
          <w:sz w:val="24"/>
          <w:szCs w:val="24"/>
        </w:rPr>
      </w:pPr>
      <w:r w:rsidRPr="00506C91">
        <w:rPr>
          <w:sz w:val="24"/>
          <w:szCs w:val="24"/>
        </w:rPr>
        <w:t>According to the BiH entity Republika Srpska Employment Bureau data, 24,798 persons whose employment was terminated, were registered in the time period between March 2020 and February 2021 (since COVID-19 started in BiH). The data show that from all the persons who lost their jobs in this period, classified by qualification/ education level, mostly women were those who lost their jobs, especially in industries in which they are more represented, such as trade, services sector, public administration, education health and social protection. Also, a significantly larger number of women in Republika Srpska waited for employment for up to three months. The situation is similar in the entity Federation BiH, where women are also more employed on a part-time basis.</w:t>
      </w:r>
    </w:p>
    <w:p w14:paraId="47E94C4D" w14:textId="77777777" w:rsidR="003B776F" w:rsidRPr="00506C91" w:rsidRDefault="003B776F" w:rsidP="00506C91">
      <w:pPr>
        <w:pStyle w:val="SingleTxtG"/>
        <w:spacing w:line="240" w:lineRule="auto"/>
        <w:ind w:left="0" w:right="0"/>
        <w:rPr>
          <w:sz w:val="24"/>
          <w:szCs w:val="24"/>
        </w:rPr>
      </w:pPr>
      <w:r w:rsidRPr="00506C91">
        <w:rPr>
          <w:sz w:val="24"/>
          <w:szCs w:val="24"/>
        </w:rPr>
        <w:t>In the official employment strategies of BiH entities, women are not recognized enough as an underrepresented category, thus there are no efficient measures to include them more actively in the country’s work force.</w:t>
      </w:r>
    </w:p>
    <w:p w14:paraId="5C210BCC" w14:textId="77777777" w:rsidR="003B776F" w:rsidRPr="00506C91" w:rsidRDefault="003B776F" w:rsidP="00506C91">
      <w:pPr>
        <w:pStyle w:val="SingleTxtG"/>
        <w:spacing w:line="240" w:lineRule="auto"/>
        <w:ind w:left="0" w:right="0"/>
        <w:rPr>
          <w:sz w:val="24"/>
          <w:szCs w:val="24"/>
        </w:rPr>
      </w:pPr>
      <w:r w:rsidRPr="00506C91">
        <w:rPr>
          <w:sz w:val="24"/>
          <w:szCs w:val="24"/>
        </w:rPr>
        <w:t>Key obstacle for BiH is lack of unique system for data collecting and analysis united and/or classified in accordance with age, sex, type of disability and other data on persons with disabilities, which would ensure inclusion of different sub-groups of persons with disabilities in different activities of the society.</w:t>
      </w:r>
      <w:r w:rsidRPr="00506C91">
        <w:rPr>
          <w:sz w:val="24"/>
          <w:szCs w:val="24"/>
        </w:rPr>
        <w:tab/>
      </w:r>
    </w:p>
    <w:p w14:paraId="7ACE8B8A" w14:textId="77777777" w:rsidR="003B776F" w:rsidRPr="00506C91" w:rsidRDefault="003B776F" w:rsidP="00506C91">
      <w:pPr>
        <w:spacing w:line="240" w:lineRule="auto"/>
        <w:jc w:val="both"/>
        <w:rPr>
          <w:rFonts w:ascii="Times New Roman" w:hAnsi="Times New Roman" w:cs="Times New Roman"/>
          <w:sz w:val="24"/>
          <w:szCs w:val="24"/>
          <w:lang w:val="sr-Latn-BA"/>
        </w:rPr>
      </w:pPr>
      <w:r w:rsidRPr="00506C91">
        <w:rPr>
          <w:rFonts w:ascii="Times New Roman" w:hAnsi="Times New Roman" w:cs="Times New Roman"/>
          <w:sz w:val="24"/>
          <w:szCs w:val="24"/>
        </w:rPr>
        <w:t>Therefore, an anonymous online survey</w:t>
      </w:r>
      <w:r w:rsidRPr="00506C91">
        <w:rPr>
          <w:rStyle w:val="FootnoteReference"/>
          <w:rFonts w:cs="Times New Roman"/>
          <w:sz w:val="24"/>
          <w:szCs w:val="24"/>
        </w:rPr>
        <w:footnoteReference w:id="11"/>
      </w:r>
      <w:r w:rsidRPr="00506C91">
        <w:rPr>
          <w:rFonts w:ascii="Times New Roman" w:hAnsi="Times New Roman" w:cs="Times New Roman"/>
          <w:sz w:val="24"/>
          <w:szCs w:val="24"/>
        </w:rPr>
        <w:t xml:space="preserve"> conducted by Helsinki Citizens’ Assembly Banja Luka from March 23-May 10, 2021 showed that 62,2</w:t>
      </w:r>
      <w:r w:rsidRPr="00506C91">
        <w:rPr>
          <w:rFonts w:ascii="Times New Roman" w:hAnsi="Times New Roman" w:cs="Times New Roman"/>
          <w:b/>
          <w:bCs/>
          <w:sz w:val="24"/>
          <w:szCs w:val="24"/>
        </w:rPr>
        <w:t xml:space="preserve">% of employees </w:t>
      </w:r>
      <w:r w:rsidRPr="00506C91">
        <w:rPr>
          <w:rFonts w:ascii="Times New Roman" w:hAnsi="Times New Roman" w:cs="Times New Roman"/>
          <w:sz w:val="24"/>
          <w:szCs w:val="24"/>
          <w:lang w:val="mk-MK"/>
        </w:rPr>
        <w:t>have indefinite</w:t>
      </w:r>
      <w:r w:rsidRPr="00506C91">
        <w:rPr>
          <w:rFonts w:ascii="Times New Roman" w:hAnsi="Times New Roman" w:cs="Times New Roman"/>
          <w:sz w:val="24"/>
          <w:szCs w:val="24"/>
          <w:lang w:val="sr-Latn-BA"/>
        </w:rPr>
        <w:t xml:space="preserve"> contracts</w:t>
      </w:r>
      <w:r w:rsidRPr="00506C91">
        <w:rPr>
          <w:rFonts w:ascii="Times New Roman" w:hAnsi="Times New Roman" w:cs="Times New Roman"/>
          <w:sz w:val="24"/>
          <w:szCs w:val="24"/>
        </w:rPr>
        <w:t>, and</w:t>
      </w:r>
      <w:r w:rsidRPr="00506C91">
        <w:rPr>
          <w:rFonts w:ascii="Times New Roman" w:hAnsi="Times New Roman" w:cs="Times New Roman"/>
          <w:sz w:val="24"/>
          <w:szCs w:val="24"/>
          <w:lang w:val="mk-MK"/>
        </w:rPr>
        <w:t xml:space="preserve"> more than every forth has (26,4%) have/had employment contracts with duration of less than a year.</w:t>
      </w:r>
      <w:r w:rsidRPr="00506C91">
        <w:rPr>
          <w:rFonts w:ascii="Times New Roman" w:hAnsi="Times New Roman" w:cs="Times New Roman"/>
          <w:sz w:val="24"/>
          <w:szCs w:val="24"/>
          <w:lang w:val="sr-Latn-BA"/>
        </w:rPr>
        <w:t xml:space="preserve"> </w:t>
      </w:r>
      <w:bookmarkStart w:id="1" w:name="_Hlk75202043"/>
      <w:r w:rsidRPr="00506C91">
        <w:rPr>
          <w:rFonts w:ascii="Times New Roman" w:hAnsi="Times New Roman" w:cs="Times New Roman"/>
          <w:sz w:val="24"/>
          <w:szCs w:val="24"/>
        </w:rPr>
        <w:t>Of the participants that have working experience in the last three years</w:t>
      </w:r>
      <w:bookmarkEnd w:id="1"/>
      <w:r w:rsidRPr="00506C91">
        <w:rPr>
          <w:rFonts w:ascii="Times New Roman" w:hAnsi="Times New Roman" w:cs="Times New Roman"/>
          <w:sz w:val="24"/>
          <w:szCs w:val="24"/>
        </w:rPr>
        <w:t xml:space="preserve">, </w:t>
      </w:r>
      <w:bookmarkStart w:id="2" w:name="_Hlk75202023"/>
      <w:r w:rsidRPr="00506C91">
        <w:rPr>
          <w:rFonts w:ascii="Times New Roman" w:hAnsi="Times New Roman" w:cs="Times New Roman"/>
          <w:sz w:val="24"/>
          <w:szCs w:val="24"/>
          <w:lang w:val="mk-MK"/>
        </w:rPr>
        <w:t>18,2%</w:t>
      </w:r>
      <w:r w:rsidRPr="00506C91">
        <w:rPr>
          <w:rFonts w:ascii="Times New Roman" w:hAnsi="Times New Roman" w:cs="Times New Roman"/>
          <w:sz w:val="24"/>
          <w:szCs w:val="24"/>
        </w:rPr>
        <w:t xml:space="preserve"> </w:t>
      </w:r>
      <w:bookmarkEnd w:id="2"/>
      <w:r w:rsidRPr="00506C91">
        <w:rPr>
          <w:rFonts w:ascii="Times New Roman" w:hAnsi="Times New Roman" w:cs="Times New Roman"/>
          <w:sz w:val="24"/>
          <w:szCs w:val="24"/>
        </w:rPr>
        <w:t xml:space="preserve">have been asked to work regularly without a contract (including for a family business) and </w:t>
      </w:r>
      <w:r w:rsidRPr="00506C91">
        <w:rPr>
          <w:rFonts w:ascii="Times New Roman" w:hAnsi="Times New Roman" w:cs="Times New Roman"/>
          <w:sz w:val="24"/>
          <w:szCs w:val="24"/>
          <w:lang w:val="sr-Latn-BA"/>
        </w:rPr>
        <w:t xml:space="preserve">12,5 % have contracts on a period less than a 3 month (12,3 % of women and 14,1 % of men). </w:t>
      </w:r>
    </w:p>
    <w:p w14:paraId="60CC25B1" w14:textId="77777777" w:rsidR="003B776F" w:rsidRPr="00506C91" w:rsidRDefault="003B776F" w:rsidP="00506C91">
      <w:pPr>
        <w:spacing w:before="240" w:after="240" w:line="240" w:lineRule="auto"/>
        <w:jc w:val="both"/>
        <w:rPr>
          <w:rFonts w:ascii="Times New Roman" w:hAnsi="Times New Roman" w:cs="Times New Roman"/>
          <w:sz w:val="24"/>
          <w:szCs w:val="24"/>
        </w:rPr>
      </w:pPr>
      <w:r w:rsidRPr="00506C91">
        <w:rPr>
          <w:rFonts w:ascii="Times New Roman" w:hAnsi="Times New Roman" w:cs="Times New Roman"/>
          <w:sz w:val="24"/>
          <w:szCs w:val="24"/>
        </w:rPr>
        <w:t>Having in mind participation in our questionnaire and in deep interviews, it is visible that discrimination at workplace happens to all women regardless what their age is.</w:t>
      </w:r>
    </w:p>
    <w:p w14:paraId="12CEDB2F" w14:textId="77777777" w:rsidR="003B776F" w:rsidRPr="00506C91" w:rsidRDefault="003B776F" w:rsidP="00506C91">
      <w:pPr>
        <w:spacing w:before="240" w:after="240" w:line="240" w:lineRule="auto"/>
        <w:jc w:val="both"/>
        <w:rPr>
          <w:rFonts w:ascii="Times New Roman" w:hAnsi="Times New Roman" w:cs="Times New Roman"/>
          <w:sz w:val="24"/>
          <w:szCs w:val="24"/>
        </w:rPr>
      </w:pPr>
      <w:r w:rsidRPr="00506C91">
        <w:rPr>
          <w:rFonts w:ascii="Times New Roman" w:hAnsi="Times New Roman" w:cs="Times New Roman"/>
          <w:sz w:val="24"/>
          <w:szCs w:val="24"/>
        </w:rPr>
        <w:t>Almost 43.4% of participants in questionnaire find that age based discrimination is most common when employing (44% of women and 42% of men). When we talk about age, considering that 72.9% of persons who filled in the questionnaire are between 30-49 years old, 23.10% of women and only 11.30% of men in an interview were asked about the number of family members or whether they plan to have children. 6.30 % of women and 1.40% of all participants in the questionnaire were asked questions related to pregnancy.</w:t>
      </w:r>
    </w:p>
    <w:p w14:paraId="24BB526C" w14:textId="77777777" w:rsidR="003B776F" w:rsidRPr="00506C91" w:rsidRDefault="003B776F" w:rsidP="00506C91">
      <w:pPr>
        <w:spacing w:before="240" w:after="240" w:line="240" w:lineRule="auto"/>
        <w:jc w:val="both"/>
        <w:rPr>
          <w:rFonts w:ascii="Times New Roman" w:hAnsi="Times New Roman" w:cs="Times New Roman"/>
          <w:sz w:val="24"/>
          <w:szCs w:val="24"/>
        </w:rPr>
      </w:pPr>
      <w:r w:rsidRPr="00506C91">
        <w:rPr>
          <w:rFonts w:ascii="Times New Roman" w:hAnsi="Times New Roman" w:cs="Times New Roman"/>
          <w:sz w:val="24"/>
          <w:szCs w:val="24"/>
        </w:rPr>
        <w:t>At the labour market, women between 30-40 years old are mostly involved in sectors of trade and catering</w:t>
      </w:r>
      <w:r w:rsidRPr="00506C91">
        <w:rPr>
          <w:rFonts w:ascii="Times New Roman" w:hAnsi="Times New Roman" w:cs="Times New Roman"/>
          <w:sz w:val="24"/>
          <w:szCs w:val="24"/>
          <w:vertAlign w:val="superscript"/>
        </w:rPr>
        <w:footnoteReference w:id="12"/>
      </w:r>
      <w:r w:rsidRPr="00506C91">
        <w:rPr>
          <w:rFonts w:ascii="Times New Roman" w:hAnsi="Times New Roman" w:cs="Times New Roman"/>
          <w:sz w:val="24"/>
          <w:szCs w:val="24"/>
        </w:rPr>
        <w:t xml:space="preserve"> which is why they are in constant fear of getting fired and are often quite and suffer mobbing on the job because they are “easily replaced”, while women older than 45 years are often “put aside because they are not attractive”. </w:t>
      </w:r>
    </w:p>
    <w:p w14:paraId="4155C37D" w14:textId="77777777" w:rsidR="003B776F" w:rsidRPr="00506C91" w:rsidRDefault="003B776F" w:rsidP="00506C91">
      <w:pPr>
        <w:spacing w:before="240" w:after="240" w:line="240" w:lineRule="auto"/>
        <w:jc w:val="both"/>
        <w:rPr>
          <w:rFonts w:ascii="Times New Roman" w:hAnsi="Times New Roman" w:cs="Times New Roman"/>
          <w:sz w:val="24"/>
          <w:szCs w:val="24"/>
        </w:rPr>
      </w:pPr>
      <w:r w:rsidRPr="00506C91">
        <w:rPr>
          <w:rFonts w:ascii="Times New Roman" w:hAnsi="Times New Roman" w:cs="Times New Roman"/>
          <w:i/>
          <w:sz w:val="24"/>
          <w:szCs w:val="24"/>
        </w:rPr>
        <w:t>"Gender and age usually go hand in hand. More often girls are exposed to violence when it comes to sexual harassment and violence, and when it comes to discrimination approach to work then older women are at risk. “</w:t>
      </w:r>
    </w:p>
    <w:p w14:paraId="12396C7A" w14:textId="77777777" w:rsidR="003B776F" w:rsidRPr="00506C91" w:rsidRDefault="003B776F" w:rsidP="00506C91">
      <w:pPr>
        <w:spacing w:before="240" w:after="240" w:line="240" w:lineRule="auto"/>
        <w:jc w:val="right"/>
        <w:rPr>
          <w:rFonts w:ascii="Times New Roman" w:hAnsi="Times New Roman" w:cs="Times New Roman"/>
          <w:sz w:val="24"/>
          <w:szCs w:val="24"/>
        </w:rPr>
      </w:pPr>
      <w:r w:rsidRPr="00506C91">
        <w:rPr>
          <w:rFonts w:ascii="Times New Roman" w:hAnsi="Times New Roman" w:cs="Times New Roman"/>
          <w:sz w:val="24"/>
          <w:szCs w:val="24"/>
        </w:rPr>
        <w:t>Jasminka Džumhur, BiH Human Rights Ombudsman</w:t>
      </w:r>
    </w:p>
    <w:p w14:paraId="40034489" w14:textId="77777777" w:rsidR="003B776F" w:rsidRPr="00506C91" w:rsidRDefault="003B776F" w:rsidP="00506C91">
      <w:pPr>
        <w:spacing w:before="240" w:after="240" w:line="240" w:lineRule="auto"/>
        <w:jc w:val="both"/>
        <w:rPr>
          <w:rFonts w:ascii="Times New Roman" w:hAnsi="Times New Roman" w:cs="Times New Roman"/>
          <w:sz w:val="24"/>
          <w:szCs w:val="24"/>
        </w:rPr>
      </w:pPr>
      <w:r w:rsidRPr="00506C91">
        <w:rPr>
          <w:rFonts w:ascii="Times New Roman" w:hAnsi="Times New Roman" w:cs="Times New Roman"/>
          <w:sz w:val="24"/>
          <w:szCs w:val="24"/>
        </w:rPr>
        <w:t xml:space="preserve">Age discrimination is also related to promotion - 12.20% of women and 18.10% of men stated that they had to work more in order to be promoted due to their age. </w:t>
      </w:r>
    </w:p>
    <w:p w14:paraId="586908CB" w14:textId="77777777" w:rsidR="003B776F" w:rsidRPr="00506C91" w:rsidRDefault="003B776F" w:rsidP="00506C91">
      <w:pPr>
        <w:spacing w:before="240" w:line="240" w:lineRule="auto"/>
        <w:jc w:val="both"/>
        <w:rPr>
          <w:rFonts w:ascii="Times New Roman" w:hAnsi="Times New Roman" w:cs="Times New Roman"/>
          <w:sz w:val="24"/>
          <w:szCs w:val="24"/>
        </w:rPr>
      </w:pPr>
      <w:r w:rsidRPr="00506C91">
        <w:rPr>
          <w:rFonts w:ascii="Times New Roman" w:hAnsi="Times New Roman" w:cs="Times New Roman"/>
          <w:sz w:val="24"/>
          <w:szCs w:val="24"/>
        </w:rPr>
        <w:t>That practice of employing the persons with political party membership is common practice has been proved by our survey as well. According to results of the survey, discrimination based on the political affiliation is most common after gender based discrimination. When employing, almost 37% of all participants in the questionnaire (34.6% of women and 49.3% of men)</w:t>
      </w:r>
      <w:r w:rsidRPr="00506C91">
        <w:rPr>
          <w:rFonts w:ascii="Times New Roman" w:hAnsi="Times New Roman" w:cs="Times New Roman"/>
          <w:sz w:val="24"/>
          <w:szCs w:val="24"/>
          <w:vertAlign w:val="superscript"/>
        </w:rPr>
        <w:footnoteReference w:id="13"/>
      </w:r>
      <w:r w:rsidRPr="00506C91">
        <w:rPr>
          <w:rFonts w:ascii="Times New Roman" w:hAnsi="Times New Roman" w:cs="Times New Roman"/>
          <w:sz w:val="24"/>
          <w:szCs w:val="24"/>
        </w:rPr>
        <w:t xml:space="preserve"> were asked about their political preferences, which is devastating considering the difficult economic situation and over-indebtedness of the country within the international financial institutions. Almost 21.2% of all involved in the questionnaire were asked about their religious affiliation.</w:t>
      </w:r>
    </w:p>
    <w:p w14:paraId="50834975" w14:textId="77777777" w:rsidR="003B776F" w:rsidRPr="00506C91" w:rsidRDefault="003B776F" w:rsidP="00506C91">
      <w:pPr>
        <w:spacing w:before="240" w:line="240" w:lineRule="auto"/>
        <w:jc w:val="both"/>
        <w:rPr>
          <w:rFonts w:ascii="Times New Roman" w:hAnsi="Times New Roman" w:cs="Times New Roman"/>
          <w:sz w:val="24"/>
          <w:szCs w:val="24"/>
        </w:rPr>
      </w:pPr>
      <w:r w:rsidRPr="00506C91">
        <w:rPr>
          <w:rFonts w:ascii="Times New Roman" w:hAnsi="Times New Roman" w:cs="Times New Roman"/>
          <w:sz w:val="24"/>
          <w:szCs w:val="24"/>
        </w:rPr>
        <w:t xml:space="preserve">Gender based discrimination related to ethnicity and religious affiliation is present in the process of promotion as well. </w:t>
      </w:r>
    </w:p>
    <w:p w14:paraId="57A5F50E" w14:textId="77777777" w:rsidR="003B776F" w:rsidRPr="00506C91" w:rsidRDefault="003B776F" w:rsidP="00506C91">
      <w:pPr>
        <w:spacing w:before="240" w:line="240" w:lineRule="auto"/>
        <w:jc w:val="both"/>
        <w:rPr>
          <w:rFonts w:ascii="Times New Roman" w:hAnsi="Times New Roman" w:cs="Times New Roman"/>
          <w:sz w:val="24"/>
          <w:szCs w:val="24"/>
        </w:rPr>
      </w:pPr>
      <w:r w:rsidRPr="00506C91">
        <w:rPr>
          <w:rFonts w:ascii="Times New Roman" w:hAnsi="Times New Roman" w:cs="Times New Roman"/>
          <w:sz w:val="24"/>
          <w:szCs w:val="24"/>
        </w:rPr>
        <w:t>“</w:t>
      </w:r>
      <w:r w:rsidRPr="00506C91">
        <w:rPr>
          <w:rFonts w:ascii="Times New Roman" w:hAnsi="Times New Roman" w:cs="Times New Roman"/>
          <w:i/>
          <w:sz w:val="24"/>
          <w:szCs w:val="24"/>
        </w:rPr>
        <w:t>Director turned his head when I would say hello and when the family gathering for the employees were organized, everyone would bring their children and I was asked not to take my children with me because they are from mixed-marriage”.</w:t>
      </w:r>
    </w:p>
    <w:p w14:paraId="14B6F4FA" w14:textId="77777777" w:rsidR="003B776F" w:rsidRPr="00506C91" w:rsidRDefault="003B776F" w:rsidP="00506C91">
      <w:pPr>
        <w:pStyle w:val="SingleTxtG"/>
        <w:spacing w:line="240" w:lineRule="auto"/>
        <w:ind w:left="0" w:right="0"/>
        <w:rPr>
          <w:sz w:val="24"/>
          <w:szCs w:val="24"/>
        </w:rPr>
      </w:pPr>
      <w:r w:rsidRPr="00506C91">
        <w:rPr>
          <w:sz w:val="24"/>
          <w:szCs w:val="24"/>
        </w:rPr>
        <w:t xml:space="preserve"> Interview with woman, 56 years old, Sarajevo, High school degree</w:t>
      </w:r>
    </w:p>
    <w:p w14:paraId="4EFD3B16" w14:textId="77777777" w:rsidR="009B5CC3" w:rsidRDefault="009B5CC3" w:rsidP="009B5CC3">
      <w:pPr>
        <w:spacing w:line="240" w:lineRule="auto"/>
        <w:jc w:val="both"/>
        <w:rPr>
          <w:rFonts w:ascii="Times New Roman" w:hAnsi="Times New Roman" w:cs="Times New Roman"/>
          <w:sz w:val="24"/>
          <w:szCs w:val="24"/>
          <w:lang w:val="en-IE"/>
        </w:rPr>
      </w:pPr>
    </w:p>
    <w:p w14:paraId="40F79761" w14:textId="239CBCA1" w:rsidR="009B5CC3" w:rsidRPr="000F2496" w:rsidRDefault="009B5CC3" w:rsidP="009B5CC3">
      <w:pPr>
        <w:spacing w:line="240" w:lineRule="auto"/>
        <w:jc w:val="both"/>
        <w:rPr>
          <w:rFonts w:ascii="Times New Roman" w:hAnsi="Times New Roman" w:cs="Times New Roman"/>
          <w:sz w:val="24"/>
          <w:szCs w:val="24"/>
          <w:lang w:val="en-IE"/>
        </w:rPr>
      </w:pPr>
      <w:r w:rsidRPr="000F2496">
        <w:rPr>
          <w:rFonts w:ascii="Times New Roman" w:hAnsi="Times New Roman" w:cs="Times New Roman"/>
          <w:sz w:val="24"/>
          <w:szCs w:val="24"/>
          <w:lang w:val="en-IE"/>
        </w:rPr>
        <w:t xml:space="preserve">Both entities and </w:t>
      </w:r>
      <w:r w:rsidRPr="000F2496">
        <w:rPr>
          <w:rFonts w:ascii="Times New Roman" w:hAnsi="Times New Roman" w:cs="Times New Roman"/>
          <w:sz w:val="24"/>
          <w:szCs w:val="24"/>
        </w:rPr>
        <w:t xml:space="preserve">Brčko </w:t>
      </w:r>
      <w:r w:rsidRPr="000F2496">
        <w:rPr>
          <w:rFonts w:ascii="Times New Roman" w:hAnsi="Times New Roman" w:cs="Times New Roman"/>
          <w:sz w:val="24"/>
          <w:szCs w:val="24"/>
          <w:lang w:val="en-IE"/>
        </w:rPr>
        <w:t>District have adopted laws on volunteering for almost a decade now. Organizations that want to hire volunteers should register with the FBIH Ministry of Justice or the RS Volunteer Service as a volunteer point. Also, they are requested to register their volunteers with the same institutions. CSOs report that they are not clear when contracts on volunteering should be signed when hiring young people. In practice, they sign scholarship or short-term work contracts more often as these provide better benefits to persons being hire and they know how to administratively handle other contracts compared to contracts on volunteering</w:t>
      </w:r>
      <w:r w:rsidRPr="000F2496">
        <w:rPr>
          <w:rStyle w:val="FootnoteReference"/>
          <w:rFonts w:cs="Times New Roman"/>
          <w:sz w:val="24"/>
          <w:szCs w:val="24"/>
          <w:lang w:val="en-IE"/>
        </w:rPr>
        <w:footnoteReference w:id="14"/>
      </w:r>
      <w:r w:rsidRPr="000F2496">
        <w:rPr>
          <w:rFonts w:ascii="Times New Roman" w:hAnsi="Times New Roman" w:cs="Times New Roman"/>
          <w:sz w:val="24"/>
          <w:szCs w:val="24"/>
          <w:lang w:val="en-IE"/>
        </w:rPr>
        <w:t xml:space="preserve">. The Law on Volunteering in the Federation of BiH was not functional for a long time. </w:t>
      </w:r>
      <w:r w:rsidRPr="000F2496">
        <w:rPr>
          <w:rFonts w:ascii="Times New Roman" w:hAnsi="Times New Roman" w:cs="Times New Roman"/>
          <w:sz w:val="24"/>
          <w:szCs w:val="24"/>
        </w:rPr>
        <w:t xml:space="preserve"> Even though, the youth organization KULT advocated for changes and better implementation of this Law, unfortunately there is not any official amendment on this Law</w:t>
      </w:r>
      <w:r w:rsidRPr="000F2496">
        <w:rPr>
          <w:rFonts w:ascii="Times New Roman" w:hAnsi="Times New Roman" w:cs="Times New Roman"/>
          <w:sz w:val="24"/>
          <w:szCs w:val="24"/>
          <w:lang w:val="en-IE"/>
        </w:rPr>
        <w:t xml:space="preserve"> yet. </w:t>
      </w:r>
    </w:p>
    <w:p w14:paraId="75773A67" w14:textId="77777777" w:rsidR="009B5CC3" w:rsidRPr="000F2496" w:rsidRDefault="009B5CC3" w:rsidP="009B5CC3">
      <w:pPr>
        <w:spacing w:line="240" w:lineRule="auto"/>
        <w:jc w:val="both"/>
        <w:rPr>
          <w:rFonts w:ascii="Times New Roman" w:hAnsi="Times New Roman" w:cs="Times New Roman"/>
          <w:iCs/>
          <w:sz w:val="24"/>
          <w:szCs w:val="24"/>
          <w:lang w:val="en-IE"/>
        </w:rPr>
      </w:pPr>
      <w:r w:rsidRPr="000F2496">
        <w:rPr>
          <w:rFonts w:ascii="Times New Roman" w:hAnsi="Times New Roman" w:cs="Times New Roman"/>
          <w:iCs/>
          <w:sz w:val="24"/>
          <w:szCs w:val="24"/>
          <w:lang w:val="en-IE"/>
        </w:rPr>
        <w:t xml:space="preserve">The annual budget decrease in 2020 resulted in a very small </w:t>
      </w:r>
      <w:r w:rsidRPr="000F2496">
        <w:rPr>
          <w:rFonts w:ascii="Times New Roman" w:hAnsi="Times New Roman" w:cs="Times New Roman"/>
          <w:bCs/>
          <w:iCs/>
          <w:sz w:val="24"/>
          <w:szCs w:val="24"/>
          <w:lang w:val="en-IE"/>
        </w:rPr>
        <w:t>number of employees</w:t>
      </w:r>
      <w:r w:rsidRPr="000F2496">
        <w:rPr>
          <w:rFonts w:ascii="Times New Roman" w:hAnsi="Times New Roman" w:cs="Times New Roman"/>
          <w:iCs/>
          <w:sz w:val="24"/>
          <w:szCs w:val="24"/>
          <w:lang w:val="en-IE"/>
        </w:rPr>
        <w:t xml:space="preserve"> in organizations. For example, 352 employees were reported to be employed in 116 organizations, or 3 employees on average per organization had the contract. There are organizations without employees. Such organizations hire staff occasionally and temporarily based on the needs of the project under a work contract or a volunteer contract.</w:t>
      </w:r>
    </w:p>
    <w:p w14:paraId="7A0888BC" w14:textId="77777777" w:rsidR="009B5CC3" w:rsidRPr="000F2496" w:rsidRDefault="009B5CC3" w:rsidP="009B5CC3">
      <w:pPr>
        <w:spacing w:line="240" w:lineRule="auto"/>
        <w:jc w:val="both"/>
        <w:rPr>
          <w:rFonts w:ascii="Times New Roman" w:hAnsi="Times New Roman" w:cs="Times New Roman"/>
          <w:sz w:val="24"/>
          <w:szCs w:val="24"/>
          <w:lang w:val="en-IE"/>
        </w:rPr>
      </w:pPr>
      <w:r w:rsidRPr="000F2496">
        <w:rPr>
          <w:rFonts w:ascii="Times New Roman" w:hAnsi="Times New Roman" w:cs="Times New Roman"/>
          <w:sz w:val="24"/>
          <w:szCs w:val="24"/>
          <w:lang w:val="en-IE"/>
        </w:rPr>
        <w:t>Although the national and entity constitutions in BiH ensure the freedom of expression and thought, journalists and civil society activists that scrutinize and criticize political elites oftentimes face political pressure, intimidation, and attacks</w:t>
      </w:r>
      <w:r w:rsidRPr="000F2496">
        <w:rPr>
          <w:rStyle w:val="FootnoteReference"/>
          <w:rFonts w:cs="Times New Roman"/>
          <w:sz w:val="24"/>
          <w:szCs w:val="24"/>
          <w:lang w:val="en-IE"/>
        </w:rPr>
        <w:footnoteReference w:id="15"/>
      </w:r>
      <w:r w:rsidRPr="000F2496">
        <w:rPr>
          <w:rFonts w:ascii="Times New Roman" w:hAnsi="Times New Roman" w:cs="Times New Roman"/>
          <w:sz w:val="24"/>
          <w:szCs w:val="24"/>
          <w:lang w:val="en-IE"/>
        </w:rPr>
        <w:t>. According to the Free Media Help Line and Association of BiH Journalists which map attacks on journalists and run a gender-based database, the violation of female journalists’ rights and gender-based violence in the off-line and on-line spheres (including harassment cases through social networks) is on the rise. In the period January-November 2020, 14 cases of gender-based violence against female journalists in BiH were reported.</w:t>
      </w:r>
      <w:r w:rsidRPr="000F2496">
        <w:rPr>
          <w:rStyle w:val="FootnoteReference"/>
          <w:rFonts w:cs="Times New Roman"/>
          <w:sz w:val="24"/>
          <w:szCs w:val="24"/>
          <w:lang w:val="en-IE"/>
        </w:rPr>
        <w:footnoteReference w:id="16"/>
      </w:r>
      <w:r w:rsidRPr="000F2496">
        <w:rPr>
          <w:rFonts w:ascii="Times New Roman" w:hAnsi="Times New Roman" w:cs="Times New Roman"/>
          <w:sz w:val="24"/>
          <w:szCs w:val="24"/>
          <w:lang w:val="en-IE"/>
        </w:rPr>
        <w:t xml:space="preserve"> A recent study conducted by the Association of BiH Journalists shows that the share of men in main management positions in BiH media is significantly higher than the share of women. Men hold more than two-thirds of the directors and editors-in-chief (68.5%), while the share of women is below one-third (31.5%). The largest disparity in the representation of women and men in the main management positions is in the television sector</w:t>
      </w:r>
      <w:r w:rsidRPr="000F2496">
        <w:rPr>
          <w:rStyle w:val="FootnoteReference"/>
          <w:rFonts w:cs="Times New Roman"/>
          <w:sz w:val="24"/>
          <w:szCs w:val="24"/>
          <w:lang w:val="en-IE"/>
        </w:rPr>
        <w:footnoteReference w:id="17"/>
      </w:r>
      <w:r w:rsidRPr="000F2496">
        <w:rPr>
          <w:rFonts w:ascii="Times New Roman" w:hAnsi="Times New Roman" w:cs="Times New Roman"/>
          <w:sz w:val="24"/>
          <w:szCs w:val="24"/>
          <w:lang w:val="en-IE"/>
        </w:rPr>
        <w:t>.</w:t>
      </w:r>
    </w:p>
    <w:p w14:paraId="523CD56D" w14:textId="77777777" w:rsidR="003B776F" w:rsidRPr="00506C91" w:rsidRDefault="003B776F" w:rsidP="009B5CC3">
      <w:pPr>
        <w:pStyle w:val="H23G"/>
        <w:ind w:left="0" w:firstLine="0"/>
        <w:rPr>
          <w:sz w:val="24"/>
          <w:szCs w:val="24"/>
        </w:rPr>
      </w:pPr>
      <w:r w:rsidRPr="00506C91">
        <w:rPr>
          <w:sz w:val="24"/>
          <w:szCs w:val="24"/>
        </w:rPr>
        <w:t>Right to social security (art. 9)</w:t>
      </w:r>
    </w:p>
    <w:p w14:paraId="02D48A12" w14:textId="77777777" w:rsidR="003B776F" w:rsidRPr="00506C91" w:rsidRDefault="00506C91" w:rsidP="00DC7E50">
      <w:pPr>
        <w:pStyle w:val="SingleTxtG"/>
        <w:kinsoku w:val="0"/>
        <w:overflowPunct w:val="0"/>
        <w:autoSpaceDE w:val="0"/>
        <w:autoSpaceDN w:val="0"/>
        <w:adjustRightInd w:val="0"/>
        <w:snapToGrid w:val="0"/>
        <w:ind w:left="0" w:right="0"/>
        <w:rPr>
          <w:b/>
          <w:sz w:val="24"/>
          <w:szCs w:val="24"/>
        </w:rPr>
      </w:pPr>
      <w:r>
        <w:rPr>
          <w:b/>
          <w:sz w:val="24"/>
          <w:szCs w:val="24"/>
        </w:rPr>
        <w:t xml:space="preserve">20. </w:t>
      </w:r>
      <w:r w:rsidR="003B776F" w:rsidRPr="00506C91">
        <w:rPr>
          <w:b/>
          <w:sz w:val="24"/>
          <w:szCs w:val="24"/>
        </w:rPr>
        <w:t xml:space="preserve">Please provide information on: </w:t>
      </w:r>
    </w:p>
    <w:p w14:paraId="2EC1955A" w14:textId="77777777" w:rsidR="003B776F" w:rsidRPr="00506C91" w:rsidRDefault="00506C91" w:rsidP="00DC7E50">
      <w:pPr>
        <w:pStyle w:val="SingleTxtG"/>
        <w:ind w:left="0" w:right="0"/>
        <w:rPr>
          <w:b/>
          <w:sz w:val="24"/>
          <w:szCs w:val="24"/>
        </w:rPr>
      </w:pPr>
      <w:r>
        <w:rPr>
          <w:b/>
          <w:sz w:val="24"/>
          <w:szCs w:val="24"/>
        </w:rPr>
        <w:t xml:space="preserve">            </w:t>
      </w:r>
      <w:r w:rsidR="003B776F" w:rsidRPr="00506C91">
        <w:rPr>
          <w:b/>
          <w:sz w:val="24"/>
          <w:szCs w:val="24"/>
        </w:rPr>
        <w:t>c)</w:t>
      </w:r>
      <w:r>
        <w:rPr>
          <w:b/>
          <w:sz w:val="24"/>
          <w:szCs w:val="24"/>
        </w:rPr>
        <w:t xml:space="preserve"> </w:t>
      </w:r>
      <w:r w:rsidR="003B776F" w:rsidRPr="00506C91">
        <w:rPr>
          <w:b/>
          <w:sz w:val="24"/>
          <w:szCs w:val="24"/>
        </w:rPr>
        <w:t>The measures taken to equalize the level of disability benefits and entitlements irrespective of the cause of impairment (i.e., to equalize benefits granted to victims of conflict and other persons with disabilities);</w:t>
      </w:r>
    </w:p>
    <w:p w14:paraId="538B7C1B" w14:textId="77777777" w:rsidR="003B776F" w:rsidRPr="00506C91" w:rsidRDefault="003B776F" w:rsidP="00DC7E50">
      <w:pPr>
        <w:pStyle w:val="SingleTxtG"/>
        <w:ind w:left="0" w:right="0"/>
        <w:rPr>
          <w:sz w:val="24"/>
          <w:szCs w:val="24"/>
        </w:rPr>
      </w:pPr>
      <w:r w:rsidRPr="00506C91">
        <w:rPr>
          <w:sz w:val="24"/>
          <w:szCs w:val="24"/>
        </w:rPr>
        <w:t xml:space="preserve">There is still discrimination that is based on how the disability or impairment arose: veterans with disabilities and civilian victims of the war and persons whose disabilities came about under other circumstances enjoy different levels of rights and disability benefits based upon their status and not their disability. </w:t>
      </w:r>
    </w:p>
    <w:p w14:paraId="2925038F" w14:textId="77777777" w:rsidR="003B776F" w:rsidRPr="00506C91" w:rsidRDefault="003B776F" w:rsidP="00DC7E50">
      <w:pPr>
        <w:pStyle w:val="SingleTxtG"/>
        <w:ind w:left="0" w:right="0"/>
        <w:rPr>
          <w:sz w:val="24"/>
          <w:szCs w:val="24"/>
        </w:rPr>
      </w:pPr>
      <w:r w:rsidRPr="00506C91">
        <w:rPr>
          <w:sz w:val="24"/>
          <w:szCs w:val="24"/>
        </w:rPr>
        <w:t xml:space="preserve">There are separate laws governing veterans with disabilities’ entitlements in both entities, while in the Republic Srpska there is also a special law regulating the rights of civilian victims of the war. </w:t>
      </w:r>
    </w:p>
    <w:p w14:paraId="0C064012" w14:textId="77777777" w:rsidR="003B776F" w:rsidRPr="00506C91" w:rsidRDefault="003B776F" w:rsidP="00DC7E50">
      <w:pPr>
        <w:pStyle w:val="SingleTxtG"/>
        <w:ind w:left="0" w:right="0"/>
        <w:rPr>
          <w:sz w:val="24"/>
          <w:szCs w:val="24"/>
        </w:rPr>
      </w:pPr>
      <w:r w:rsidRPr="00506C91">
        <w:rPr>
          <w:sz w:val="24"/>
          <w:szCs w:val="24"/>
        </w:rPr>
        <w:t>Discrimination that has been legalized through the laws still exists and the authorities are doing nothing to change the situation. Unfortunately, the changes are happening in a way that discrimination only increases, for example in the Federation BiH, where the cantonal laws only expand and give a greater scope of rights to the veterans with disabilities compared to the basic rights prescribed by law at the Federation BiH level. So, veterans with disabilities get free cars, apartments, get easier conditions for education of their children, etc. while people whose disabilities is not war related or civilian victims of war cannot enjoy these rights. There is no political willingness to change this situation.</w:t>
      </w:r>
    </w:p>
    <w:p w14:paraId="66D4B214" w14:textId="77777777" w:rsidR="003B776F" w:rsidRPr="00506C91" w:rsidRDefault="003B776F" w:rsidP="003B776F">
      <w:pPr>
        <w:pStyle w:val="H23G"/>
        <w:rPr>
          <w:sz w:val="24"/>
          <w:szCs w:val="24"/>
        </w:rPr>
      </w:pPr>
      <w:r w:rsidRPr="00506C91">
        <w:rPr>
          <w:sz w:val="24"/>
          <w:szCs w:val="24"/>
        </w:rPr>
        <w:t>Protection of the family and children (art. 10)</w:t>
      </w:r>
    </w:p>
    <w:p w14:paraId="08C0844F" w14:textId="77777777" w:rsidR="003B776F" w:rsidRPr="00506C91" w:rsidRDefault="003B776F" w:rsidP="00DC7E50">
      <w:pPr>
        <w:pStyle w:val="SingleTxtG"/>
        <w:kinsoku w:val="0"/>
        <w:overflowPunct w:val="0"/>
        <w:autoSpaceDE w:val="0"/>
        <w:autoSpaceDN w:val="0"/>
        <w:adjustRightInd w:val="0"/>
        <w:snapToGrid w:val="0"/>
        <w:ind w:left="0" w:right="0"/>
        <w:rPr>
          <w:b/>
          <w:sz w:val="24"/>
          <w:szCs w:val="24"/>
        </w:rPr>
      </w:pPr>
      <w:r w:rsidRPr="00506C91">
        <w:rPr>
          <w:b/>
          <w:sz w:val="24"/>
          <w:szCs w:val="24"/>
        </w:rPr>
        <w:t>21.</w:t>
      </w:r>
      <w:r w:rsidR="00506C91">
        <w:rPr>
          <w:b/>
          <w:sz w:val="24"/>
          <w:szCs w:val="24"/>
        </w:rPr>
        <w:t xml:space="preserve"> </w:t>
      </w:r>
      <w:r w:rsidRPr="00506C91">
        <w:rPr>
          <w:b/>
          <w:sz w:val="24"/>
          <w:szCs w:val="24"/>
        </w:rPr>
        <w:t>Please provide detailed information on the maternity leave, paternity leave and parental leave provided for in labour laws and on the extent to which workers actually take such leave, including relevant statistical data and the challenges faced by workers in taking such leave. Please also provide information on the measures taken to expand the support services for childcare and other care responsibilities and include statistical data, disaggregated by region, on the number of households benefiting from support services in comparison to the number of households who have sought such support.</w:t>
      </w:r>
    </w:p>
    <w:p w14:paraId="5CA07269" w14:textId="77777777" w:rsidR="003B776F" w:rsidRPr="00506C91" w:rsidRDefault="003B776F" w:rsidP="00DC7E50">
      <w:pPr>
        <w:pStyle w:val="Pa10"/>
        <w:spacing w:after="200"/>
        <w:jc w:val="both"/>
        <w:rPr>
          <w:rStyle w:val="A4"/>
          <w:rFonts w:ascii="Times New Roman" w:hAnsi="Times New Roman" w:cs="Times New Roman"/>
          <w:color w:val="auto"/>
        </w:rPr>
      </w:pPr>
      <w:r w:rsidRPr="00506C91">
        <w:rPr>
          <w:rStyle w:val="A4"/>
          <w:rFonts w:ascii="Times New Roman" w:hAnsi="Times New Roman" w:cs="Times New Roman"/>
          <w:color w:val="auto"/>
        </w:rPr>
        <w:t>By the amendments to the FBiH Labour Law from 2016, parental leave was defined for the first time, and stipulated that an employee – father is entitled to use it 42 days after the delivery should the parents so agree, and is entitled to work half working hours after the expiration of maternity leave in the case of twins, third or each following child, if the mother works full time. According to the RS Labour Law from 2018, the parents of a child are entitled to agree on the leave, and the employed father of the child is entitled to continue the leave 60 days after the delivery in place of the mother. The question remains as to how and how much this is being implemented in practice.</w:t>
      </w:r>
    </w:p>
    <w:p w14:paraId="12520A54" w14:textId="77777777" w:rsidR="003B776F" w:rsidRPr="00506C91" w:rsidRDefault="003B776F" w:rsidP="00DC7E50">
      <w:pPr>
        <w:pStyle w:val="Pa10"/>
        <w:spacing w:after="200"/>
        <w:jc w:val="both"/>
        <w:rPr>
          <w:rStyle w:val="A4"/>
          <w:rFonts w:ascii="Times New Roman" w:hAnsi="Times New Roman" w:cs="Times New Roman"/>
          <w:color w:val="auto"/>
        </w:rPr>
      </w:pPr>
      <w:r w:rsidRPr="00506C91">
        <w:rPr>
          <w:rStyle w:val="A4"/>
          <w:rFonts w:ascii="Times New Roman" w:hAnsi="Times New Roman" w:cs="Times New Roman"/>
          <w:color w:val="auto"/>
        </w:rPr>
        <w:t>Data on the extent to which parents – workers take parental leave are not available in BiH, because they are not systematically gathered. The information Sarajevo Open Centre has, by gathering data from workers’ unions, is that fathers use this right very rarely.</w:t>
      </w:r>
    </w:p>
    <w:p w14:paraId="7062E65E" w14:textId="77777777" w:rsidR="003B776F" w:rsidRPr="00506C91" w:rsidRDefault="003B776F" w:rsidP="00DC7E50">
      <w:pPr>
        <w:pStyle w:val="Pa10"/>
        <w:spacing w:after="200"/>
        <w:jc w:val="both"/>
        <w:rPr>
          <w:rStyle w:val="A4"/>
          <w:rFonts w:ascii="Times New Roman" w:hAnsi="Times New Roman" w:cs="Times New Roman"/>
          <w:color w:val="auto"/>
        </w:rPr>
      </w:pPr>
      <w:r w:rsidRPr="00506C91">
        <w:rPr>
          <w:rStyle w:val="A4"/>
          <w:rFonts w:ascii="Times New Roman" w:hAnsi="Times New Roman" w:cs="Times New Roman"/>
          <w:color w:val="auto"/>
        </w:rPr>
        <w:t xml:space="preserve">While further inquiring this matter for the </w:t>
      </w:r>
      <w:hyperlink r:id="rId9" w:history="1">
        <w:r w:rsidRPr="00506C91">
          <w:rPr>
            <w:rStyle w:val="Hyperlink"/>
            <w:rFonts w:ascii="Times New Roman" w:hAnsi="Times New Roman" w:cs="Times New Roman"/>
            <w:color w:val="auto"/>
          </w:rPr>
          <w:t>2020/2021 Orange Report</w:t>
        </w:r>
      </w:hyperlink>
      <w:r w:rsidRPr="00506C91">
        <w:rPr>
          <w:rStyle w:val="A4"/>
          <w:rFonts w:ascii="Times New Roman" w:hAnsi="Times New Roman" w:cs="Times New Roman"/>
          <w:color w:val="auto"/>
        </w:rPr>
        <w:t>, The Child Protection Public Fund of Republika Srpska informed Sarajevo Open Centre that, out of 4,944 decisions for the use of parental leave that were issued in 2020, 63, or only 1.27% of fathers, exercised this right. Union of Employers’ Associations of Republika Srpska has data on very low rates of parental leave usage by fathers - on average, it does not exceed 0.6% per annum. The cantonal ministries of labor and social policy responded to Sarajevo Open Centre’s inquiries about the percentage of fathers taking parental leave that they either did not record such data or that no one had yet exercised this legally guaranteed right in practice.</w:t>
      </w:r>
    </w:p>
    <w:p w14:paraId="1D2CAAA6" w14:textId="77777777" w:rsidR="003B776F" w:rsidRPr="00506C91" w:rsidRDefault="003B776F" w:rsidP="00DC7E50">
      <w:pPr>
        <w:pStyle w:val="Pa10"/>
        <w:spacing w:after="200"/>
        <w:jc w:val="both"/>
        <w:rPr>
          <w:rStyle w:val="A4"/>
          <w:rFonts w:ascii="Times New Roman" w:hAnsi="Times New Roman" w:cs="Times New Roman"/>
          <w:color w:val="auto"/>
        </w:rPr>
      </w:pPr>
      <w:r w:rsidRPr="00506C91">
        <w:rPr>
          <w:rStyle w:val="A4"/>
          <w:rFonts w:ascii="Times New Roman" w:hAnsi="Times New Roman" w:cs="Times New Roman"/>
          <w:color w:val="auto"/>
        </w:rPr>
        <w:t xml:space="preserve">The amount of allowance during the maternity leave or parental leave remains uneven in the Federation of BiH, varying from canton to canton, based on the place of residence, work sector (public or private sector), etc. Discrimination of new mothers occurs in terms of: a) obligatory work period before maternity leave as a condition to exercise that right, and b) amount of allowance received instead of salary. </w:t>
      </w:r>
    </w:p>
    <w:p w14:paraId="559B5794" w14:textId="77777777" w:rsidR="003B776F" w:rsidRPr="00506C91" w:rsidRDefault="003B776F" w:rsidP="00DC7E50">
      <w:pPr>
        <w:pStyle w:val="Pa10"/>
        <w:spacing w:after="200"/>
        <w:jc w:val="both"/>
        <w:rPr>
          <w:rFonts w:ascii="Times New Roman" w:hAnsi="Times New Roman" w:cs="Times New Roman"/>
        </w:rPr>
      </w:pPr>
      <w:r w:rsidRPr="00506C91">
        <w:rPr>
          <w:rStyle w:val="A4"/>
          <w:rFonts w:ascii="Times New Roman" w:hAnsi="Times New Roman" w:cs="Times New Roman"/>
          <w:color w:val="auto"/>
        </w:rPr>
        <w:t>In some cantons, the minimal allowance of 66% of earned salary is not provided, while in other cantons, this allowance is not paid at all. In addition, the amount of allowance is unevenly calculated. In some cantons, the average net salary that the new mother made in the last 6 or 12 months before going on maternity leave is taken as the basis for calculation of allowance, while in other cantons, the average salary for that canton or municipality is taken as the basis for calculation</w:t>
      </w:r>
      <w:r w:rsidRPr="00506C91">
        <w:rPr>
          <w:rStyle w:val="FootnoteReference"/>
          <w:rFonts w:cs="Times New Roman"/>
          <w:sz w:val="24"/>
        </w:rPr>
        <w:footnoteReference w:id="18"/>
      </w:r>
      <w:r w:rsidRPr="00506C91">
        <w:rPr>
          <w:rStyle w:val="A4"/>
          <w:rFonts w:ascii="Times New Roman" w:hAnsi="Times New Roman" w:cs="Times New Roman"/>
          <w:color w:val="auto"/>
        </w:rPr>
        <w:t xml:space="preserve">. </w:t>
      </w:r>
    </w:p>
    <w:p w14:paraId="437BA839" w14:textId="77777777" w:rsidR="003B776F" w:rsidRPr="00506C91" w:rsidRDefault="003B776F" w:rsidP="00DC7E50">
      <w:pPr>
        <w:pStyle w:val="Pa10"/>
        <w:spacing w:after="200"/>
        <w:jc w:val="both"/>
        <w:rPr>
          <w:rStyle w:val="A4"/>
          <w:rFonts w:ascii="Times New Roman" w:hAnsi="Times New Roman" w:cs="Times New Roman"/>
          <w:color w:val="auto"/>
        </w:rPr>
      </w:pPr>
      <w:r w:rsidRPr="00506C91">
        <w:rPr>
          <w:rStyle w:val="A4"/>
          <w:rFonts w:ascii="Times New Roman" w:hAnsi="Times New Roman" w:cs="Times New Roman"/>
          <w:color w:val="auto"/>
        </w:rPr>
        <w:t>In the Special Report of the Institution of Human Rights Ombudsman of BiH on the State of Protection of Mothers and Maternity in FBiH, the Ombudsman notes a worrying fact that the allowance for employed and unemployed persons who exercise rights from the mothers and maternity protection field are not paid regularly in some cantons. This especially affects the persons to whom the allowance represents significant if not the only financial source after the childbirth, but also employers who might face additional financial difficulties due to the late payment of maternity allowance. In Republika Srpska, the amount of maternity allowance is even and rather regularly paid from the Public Fund for Child Protection, based on the three average salaries received during the last 12 months of the woman’s employment. The employers in RS are obliged to pay the allowance for the first month of the maternity leave, and the rest is paid from the Fund.</w:t>
      </w:r>
    </w:p>
    <w:p w14:paraId="79F17C47" w14:textId="77777777" w:rsidR="003B776F" w:rsidRPr="00506C91" w:rsidRDefault="003B776F" w:rsidP="00DC7E50">
      <w:pPr>
        <w:pStyle w:val="Pa10"/>
        <w:spacing w:after="200"/>
        <w:jc w:val="both"/>
        <w:rPr>
          <w:rStyle w:val="A4"/>
          <w:rFonts w:ascii="Times New Roman" w:hAnsi="Times New Roman" w:cs="Times New Roman"/>
          <w:color w:val="auto"/>
        </w:rPr>
      </w:pPr>
      <w:r w:rsidRPr="00506C91">
        <w:rPr>
          <w:rStyle w:val="A4"/>
          <w:rFonts w:ascii="Times New Roman" w:hAnsi="Times New Roman" w:cs="Times New Roman"/>
          <w:color w:val="auto"/>
        </w:rPr>
        <w:t xml:space="preserve">Differences in the amount and regularity of allowances for new mothers exist not only in relation to the place of residence, but also in relation to the labor sector – state or real/private. Women employed in private enterprises are at an even greater disadvantage. There is a practice that employers demand from women on maternity leave to pay their own taxes and contributions from their net salary, which is reimbursed by the state. At the same time, </w:t>
      </w:r>
      <w:r w:rsidRPr="00506C91">
        <w:rPr>
          <w:rStyle w:val="A4"/>
          <w:rFonts w:ascii="Times New Roman" w:hAnsi="Times New Roman" w:cs="Times New Roman"/>
          <w:b/>
          <w:color w:val="auto"/>
        </w:rPr>
        <w:t xml:space="preserve">services for children </w:t>
      </w:r>
      <w:r w:rsidRPr="00506C91">
        <w:rPr>
          <w:rStyle w:val="A4"/>
          <w:rFonts w:ascii="Times New Roman" w:hAnsi="Times New Roman" w:cs="Times New Roman"/>
          <w:color w:val="auto"/>
        </w:rPr>
        <w:t xml:space="preserve">of employed parents are still insufficiently accessible. In 2012, BiH had almost the lowest percentage of coverage of preschool education in Europe (according to UNICEF, „it is estimated that access to preschool education is currently between 6 and 13%, which is the lowest rate in comparison to Croatia and Serbia with about 45%, Macedonia with 25% and way below the OECD average of 77%). </w:t>
      </w:r>
    </w:p>
    <w:p w14:paraId="4039AD60" w14:textId="77777777" w:rsidR="003B776F" w:rsidRPr="00506C91" w:rsidRDefault="003B776F" w:rsidP="00DC7E50">
      <w:pPr>
        <w:pStyle w:val="Pa10"/>
        <w:spacing w:after="200"/>
        <w:jc w:val="both"/>
        <w:rPr>
          <w:rFonts w:ascii="Times New Roman" w:hAnsi="Times New Roman" w:cs="Times New Roman"/>
        </w:rPr>
      </w:pPr>
      <w:r w:rsidRPr="00506C91">
        <w:rPr>
          <w:rStyle w:val="A4"/>
          <w:rFonts w:ascii="Times New Roman" w:hAnsi="Times New Roman" w:cs="Times New Roman"/>
          <w:color w:val="auto"/>
        </w:rPr>
        <w:t xml:space="preserve">Fathers may use </w:t>
      </w:r>
      <w:r w:rsidRPr="00506C91">
        <w:rPr>
          <w:rStyle w:val="A4"/>
          <w:rFonts w:ascii="Times New Roman" w:hAnsi="Times New Roman" w:cs="Times New Roman"/>
          <w:b/>
          <w:color w:val="auto"/>
        </w:rPr>
        <w:t>parental leave</w:t>
      </w:r>
      <w:r w:rsidRPr="00506C91">
        <w:rPr>
          <w:rStyle w:val="A4"/>
          <w:rFonts w:ascii="Times New Roman" w:hAnsi="Times New Roman" w:cs="Times New Roman"/>
          <w:color w:val="auto"/>
        </w:rPr>
        <w:t xml:space="preserve">, but this right is non-transferable. According to the applicable labor laws in both entities, this is a matter of consensual agreement of parents. </w:t>
      </w:r>
    </w:p>
    <w:p w14:paraId="7FBCFFD5" w14:textId="77777777" w:rsidR="003B776F" w:rsidRPr="00506C91" w:rsidRDefault="003B776F" w:rsidP="00DC7E50">
      <w:pPr>
        <w:pStyle w:val="Pa10"/>
        <w:spacing w:after="200"/>
        <w:jc w:val="both"/>
        <w:rPr>
          <w:rFonts w:ascii="Times New Roman" w:hAnsi="Times New Roman" w:cs="Times New Roman"/>
        </w:rPr>
      </w:pPr>
      <w:r w:rsidRPr="00506C91">
        <w:rPr>
          <w:rStyle w:val="A4"/>
          <w:rFonts w:ascii="Times New Roman" w:hAnsi="Times New Roman" w:cs="Times New Roman"/>
          <w:color w:val="auto"/>
        </w:rPr>
        <w:t xml:space="preserve">The FBiH Labor Law (Article 62 (4)) stipulates that 42 days after the childbirth, the father may take parental leave „if the parents so agree “. Article 62 (5) provides for the possibility of using parental leave in case of mother’s death, if the mother abandons the child or if the mother cannot use maternity leave for other justified reasons. </w:t>
      </w:r>
    </w:p>
    <w:p w14:paraId="10AF84EB" w14:textId="77777777" w:rsidR="003B776F" w:rsidRPr="00506C91" w:rsidRDefault="003B776F" w:rsidP="00DC7E50">
      <w:pPr>
        <w:pStyle w:val="Pa10"/>
        <w:spacing w:after="200"/>
        <w:jc w:val="both"/>
        <w:rPr>
          <w:rFonts w:ascii="Times New Roman" w:hAnsi="Times New Roman" w:cs="Times New Roman"/>
        </w:rPr>
      </w:pPr>
      <w:r w:rsidRPr="00506C91">
        <w:rPr>
          <w:rStyle w:val="A4"/>
          <w:rFonts w:ascii="Times New Roman" w:hAnsi="Times New Roman" w:cs="Times New Roman"/>
          <w:color w:val="auto"/>
        </w:rPr>
        <w:t xml:space="preserve">The RS Labor Law (Article 107 (3)) also stipulates that parents may agree that the father may take parental leave instead of the mother after the expiration of 60 days from the date of birth of the child. </w:t>
      </w:r>
      <w:r w:rsidRPr="00506C91">
        <w:rPr>
          <w:rFonts w:ascii="Times New Roman" w:hAnsi="Times New Roman" w:cs="Times New Roman"/>
        </w:rPr>
        <w:t xml:space="preserve">  </w:t>
      </w:r>
    </w:p>
    <w:p w14:paraId="388AECA2" w14:textId="77777777" w:rsidR="003B776F" w:rsidRPr="00506C91" w:rsidRDefault="003B776F" w:rsidP="00DC7E50">
      <w:pPr>
        <w:pStyle w:val="Pa10"/>
        <w:spacing w:after="200"/>
        <w:rPr>
          <w:rFonts w:ascii="Times New Roman" w:hAnsi="Times New Roman" w:cs="Times New Roman"/>
        </w:rPr>
      </w:pPr>
      <w:r w:rsidRPr="00506C91">
        <w:rPr>
          <w:rStyle w:val="A4"/>
          <w:rFonts w:ascii="Times New Roman" w:hAnsi="Times New Roman" w:cs="Times New Roman"/>
          <w:color w:val="auto"/>
        </w:rPr>
        <w:t xml:space="preserve">The number of fathers who exercise the right to parental leave and so participate in the care for the child is extremely small. </w:t>
      </w:r>
    </w:p>
    <w:p w14:paraId="44A4E4B5" w14:textId="77777777" w:rsidR="003B776F" w:rsidRPr="00506C91" w:rsidRDefault="003B776F" w:rsidP="00DC7E50">
      <w:pPr>
        <w:pStyle w:val="SingleTxtG"/>
        <w:kinsoku w:val="0"/>
        <w:overflowPunct w:val="0"/>
        <w:autoSpaceDE w:val="0"/>
        <w:autoSpaceDN w:val="0"/>
        <w:adjustRightInd w:val="0"/>
        <w:snapToGrid w:val="0"/>
        <w:ind w:left="0" w:right="0"/>
        <w:rPr>
          <w:rStyle w:val="A4"/>
          <w:rFonts w:cs="Times New Roman"/>
          <w:color w:val="auto"/>
          <w:sz w:val="24"/>
          <w:szCs w:val="24"/>
        </w:rPr>
      </w:pPr>
      <w:r w:rsidRPr="00506C91">
        <w:rPr>
          <w:rStyle w:val="A4"/>
          <w:rFonts w:cs="Times New Roman"/>
          <w:color w:val="auto"/>
          <w:sz w:val="24"/>
          <w:szCs w:val="24"/>
        </w:rPr>
        <w:t>In the absence of official statistical data, we are providing data from media research, according to which, in 2014, the RS Public Fund for Child Protection issued 3 500 decisions for the use of parental leave, of which only 18 (0,5%) were related to fathers.</w:t>
      </w:r>
      <w:r w:rsidRPr="00506C91">
        <w:rPr>
          <w:rStyle w:val="A8"/>
          <w:rFonts w:cs="Times New Roman"/>
          <w:color w:val="auto"/>
          <w:sz w:val="24"/>
          <w:szCs w:val="24"/>
        </w:rPr>
        <w:t xml:space="preserve"> </w:t>
      </w:r>
      <w:r w:rsidRPr="00506C91">
        <w:rPr>
          <w:rStyle w:val="A4"/>
          <w:rFonts w:cs="Times New Roman"/>
          <w:color w:val="auto"/>
          <w:sz w:val="24"/>
          <w:szCs w:val="24"/>
        </w:rPr>
        <w:t xml:space="preserve">There is no data how many men exercise this right in the Federation of BiH, but it can be assumed that there are no major differences in relation to Republika Srpska. </w:t>
      </w:r>
    </w:p>
    <w:p w14:paraId="04E6D624" w14:textId="77777777" w:rsidR="003B776F" w:rsidRPr="00506C91" w:rsidRDefault="003B776F" w:rsidP="00DC7E50">
      <w:pPr>
        <w:pStyle w:val="SingleTxtG"/>
        <w:kinsoku w:val="0"/>
        <w:overflowPunct w:val="0"/>
        <w:autoSpaceDE w:val="0"/>
        <w:autoSpaceDN w:val="0"/>
        <w:adjustRightInd w:val="0"/>
        <w:snapToGrid w:val="0"/>
        <w:ind w:left="0" w:right="0"/>
        <w:rPr>
          <w:rStyle w:val="A4"/>
          <w:rFonts w:cs="Times New Roman"/>
          <w:color w:val="auto"/>
          <w:sz w:val="24"/>
          <w:szCs w:val="24"/>
        </w:rPr>
      </w:pPr>
      <w:r w:rsidRPr="00506C91">
        <w:rPr>
          <w:rStyle w:val="A4"/>
          <w:rFonts w:cs="Times New Roman"/>
          <w:color w:val="auto"/>
          <w:sz w:val="24"/>
          <w:szCs w:val="24"/>
        </w:rPr>
        <w:t>Except for the policy of parental leave, there are no other official measures or policies designed to provide equal opportunities for women and men to be employed and socially engaged parents, i.e. to reconcile private, professional and social life.</w:t>
      </w:r>
    </w:p>
    <w:p w14:paraId="26B1C326" w14:textId="77777777" w:rsidR="003B776F" w:rsidRPr="00506C91" w:rsidRDefault="003B776F" w:rsidP="00DC7E50">
      <w:pPr>
        <w:pStyle w:val="Pa10"/>
        <w:spacing w:after="200"/>
        <w:jc w:val="both"/>
        <w:rPr>
          <w:rStyle w:val="A4"/>
          <w:rFonts w:ascii="Times New Roman" w:hAnsi="Times New Roman" w:cs="Times New Roman"/>
          <w:color w:val="auto"/>
        </w:rPr>
      </w:pPr>
      <w:r w:rsidRPr="00506C91">
        <w:rPr>
          <w:rStyle w:val="A4"/>
          <w:rFonts w:ascii="Times New Roman" w:hAnsi="Times New Roman" w:cs="Times New Roman"/>
          <w:color w:val="auto"/>
        </w:rPr>
        <w:t xml:space="preserve">An important precondition for harmonization of professional and private life is existence of adequate services for care of preschool children. As stated in the GAP 2018-2022 of the Agency for Gender Equality, due to the lack of preschool facilities in BiH only every sixth child gets preschool education which, among other things, negatively impacts economic potential of women who, due to the lack of preschool education, traditionally take care of the children. </w:t>
      </w:r>
    </w:p>
    <w:p w14:paraId="0C9858C2" w14:textId="77777777" w:rsidR="003B776F" w:rsidRPr="00506C91" w:rsidRDefault="003B776F" w:rsidP="00DC7E50">
      <w:pPr>
        <w:pStyle w:val="Pa10"/>
        <w:spacing w:after="200"/>
        <w:jc w:val="both"/>
        <w:rPr>
          <w:rStyle w:val="A4"/>
          <w:rFonts w:ascii="Times New Roman" w:hAnsi="Times New Roman" w:cs="Times New Roman"/>
          <w:color w:val="auto"/>
        </w:rPr>
      </w:pPr>
      <w:r w:rsidRPr="00506C91">
        <w:rPr>
          <w:rStyle w:val="A4"/>
          <w:rFonts w:ascii="Times New Roman" w:hAnsi="Times New Roman" w:cs="Times New Roman"/>
          <w:color w:val="auto"/>
        </w:rPr>
        <w:t>BiH has almost the lowest rate of officially preschool educated children in Europe. According to UNICEF (2016), it is estimated that 6-13% of children have access to preschool education, which is the lowest rate among the countries in the region. With regard to this, relevant is the number of preschool facilities in BiH - 321 in 2017-2018 school year, which is less than year before (332), with 25.889 children enrolled (12.453 girls), more than last year when 24.918 children were enrolled.</w:t>
      </w:r>
    </w:p>
    <w:p w14:paraId="4B91B6AF" w14:textId="77777777" w:rsidR="003B776F" w:rsidRPr="00506C91" w:rsidRDefault="003B776F" w:rsidP="00DC7E50">
      <w:pPr>
        <w:pStyle w:val="Pa10"/>
        <w:spacing w:after="200"/>
        <w:jc w:val="both"/>
        <w:rPr>
          <w:rStyle w:val="A4"/>
          <w:rFonts w:ascii="Times New Roman" w:hAnsi="Times New Roman" w:cs="Times New Roman"/>
          <w:color w:val="auto"/>
        </w:rPr>
      </w:pPr>
      <w:r w:rsidRPr="00506C91">
        <w:rPr>
          <w:rStyle w:val="A4"/>
          <w:rFonts w:ascii="Times New Roman" w:hAnsi="Times New Roman" w:cs="Times New Roman"/>
          <w:color w:val="auto"/>
        </w:rPr>
        <w:t xml:space="preserve">Another limiting factor for households is the cost of day-care and preschool facilities: prices vary based on the type of service provider and the location of the facility (there are significant differences among public preschool facilities – in the context of co-financing of services provided). In Sarajevo Canton, a place in a kindergarten for a month costs 82 euro per month, while in Mostar (Herzegovina Neretva Canton) it costs 87 euro and nursery costs 102 euro. These amount to 15% of an average salary in 2017 in Sarajevo canton and 18% and 21% of an average salary in HNK. </w:t>
      </w:r>
    </w:p>
    <w:p w14:paraId="301A37DC" w14:textId="77777777" w:rsidR="003B776F" w:rsidRPr="00506C91" w:rsidRDefault="003B776F" w:rsidP="00DC7E50">
      <w:pPr>
        <w:pStyle w:val="Pa10"/>
        <w:spacing w:after="200"/>
        <w:jc w:val="both"/>
        <w:rPr>
          <w:rStyle w:val="A4"/>
          <w:rFonts w:ascii="Times New Roman" w:hAnsi="Times New Roman" w:cs="Times New Roman"/>
          <w:color w:val="auto"/>
        </w:rPr>
      </w:pPr>
      <w:r w:rsidRPr="00506C91">
        <w:rPr>
          <w:rStyle w:val="A4"/>
          <w:rFonts w:ascii="Times New Roman" w:hAnsi="Times New Roman" w:cs="Times New Roman"/>
          <w:color w:val="auto"/>
        </w:rPr>
        <w:t xml:space="preserve">Having in mind the number of people with below-average income, it can be concluded that costs of care for children in public nurseries and preschool facilities calls for a significant chunk of household income and as such can prevent parents for using the services – which will result (is already resulting) in them taking care of children and economic inactivity. </w:t>
      </w:r>
    </w:p>
    <w:p w14:paraId="78DDB60E" w14:textId="77777777" w:rsidR="003B776F" w:rsidRPr="00506C91" w:rsidRDefault="003B776F" w:rsidP="00DC7E50">
      <w:pPr>
        <w:pStyle w:val="Pa10"/>
        <w:spacing w:after="200"/>
        <w:jc w:val="both"/>
        <w:rPr>
          <w:rStyle w:val="A4"/>
          <w:rFonts w:ascii="Times New Roman" w:hAnsi="Times New Roman" w:cs="Times New Roman"/>
          <w:color w:val="auto"/>
        </w:rPr>
      </w:pPr>
      <w:r w:rsidRPr="00506C91">
        <w:rPr>
          <w:rStyle w:val="A4"/>
          <w:rFonts w:ascii="Times New Roman" w:hAnsi="Times New Roman" w:cs="Times New Roman"/>
          <w:color w:val="auto"/>
        </w:rPr>
        <w:t>GAP 2018-2022 refers to an analysis of the Federal Agency for Statistics which shows that during 2013-2017 the number of preschool facilities in FBiH increased from 156 to 197. The number of children enrolled increased from 1,808 to 14,405 (47% were girls). However, in the same period the number of children who were rejected due to the lack of capacities increased from 232 to 860, which confirms the fact on the lack of necessary services for child care and the need to increase the capacities in order to better coordinate work and private life and use economic potential of women.</w:t>
      </w:r>
    </w:p>
    <w:p w14:paraId="6C9E2DB2" w14:textId="77777777" w:rsidR="003B776F" w:rsidRPr="00506C91" w:rsidRDefault="003B776F" w:rsidP="00DC7E50">
      <w:pPr>
        <w:spacing w:line="240" w:lineRule="auto"/>
        <w:contextualSpacing/>
        <w:jc w:val="both"/>
        <w:rPr>
          <w:rFonts w:ascii="Times New Roman" w:eastAsia="Calibri" w:hAnsi="Times New Roman" w:cs="Times New Roman"/>
          <w:bCs/>
          <w:sz w:val="24"/>
          <w:szCs w:val="24"/>
          <w:shd w:val="clear" w:color="auto" w:fill="FFFFFF"/>
          <w:lang w:val="en-US"/>
        </w:rPr>
      </w:pPr>
      <w:r w:rsidRPr="00506C91">
        <w:rPr>
          <w:rFonts w:ascii="Times New Roman" w:eastAsia="SimSun" w:hAnsi="Times New Roman" w:cs="Times New Roman"/>
          <w:sz w:val="24"/>
          <w:szCs w:val="24"/>
          <w:lang w:val="en-US" w:eastAsia="en-GB"/>
        </w:rPr>
        <w:t>A survey conducted by the BiH Agency for Gender Equality (2020) confirms that the vast majority of household work is still "women's work" and that they are performed exclusively or mostly by women. At the top of the list are bathroom cleaning and ironing, which are jobs that in more than 90% of cases are performed exclusively or most often by women, while the husband takes over these tasks in less than 1% of cases</w:t>
      </w:r>
      <w:r w:rsidRPr="00506C91">
        <w:rPr>
          <w:rFonts w:ascii="Times New Roman" w:eastAsia="SimSun" w:hAnsi="Times New Roman" w:cs="Times New Roman"/>
          <w:sz w:val="24"/>
          <w:szCs w:val="24"/>
          <w:lang w:val="en-US" w:eastAsia="ja-JP"/>
        </w:rPr>
        <w:t xml:space="preserve">. </w:t>
      </w:r>
      <w:r w:rsidRPr="00506C91">
        <w:rPr>
          <w:rFonts w:ascii="Times New Roman" w:eastAsia="Calibri" w:hAnsi="Times New Roman" w:cs="Times New Roman"/>
          <w:bCs/>
          <w:sz w:val="24"/>
          <w:szCs w:val="24"/>
          <w:shd w:val="clear" w:color="auto" w:fill="FFFFFF"/>
          <w:lang w:val="en-US"/>
        </w:rPr>
        <w:t>This is very much reflected in working careers of women and their inclusion in the labor market.</w:t>
      </w:r>
    </w:p>
    <w:p w14:paraId="0B4BF430" w14:textId="77777777" w:rsidR="003B776F" w:rsidRPr="00506C91" w:rsidRDefault="003B776F" w:rsidP="00DC7E50">
      <w:pPr>
        <w:spacing w:line="240" w:lineRule="auto"/>
        <w:contextualSpacing/>
        <w:jc w:val="both"/>
        <w:rPr>
          <w:rFonts w:ascii="Times New Roman" w:eastAsia="SimSun" w:hAnsi="Times New Roman" w:cs="Times New Roman"/>
          <w:sz w:val="24"/>
          <w:szCs w:val="24"/>
          <w:lang w:val="en-US" w:eastAsia="ja-JP"/>
        </w:rPr>
      </w:pPr>
    </w:p>
    <w:p w14:paraId="7BE385EA" w14:textId="77777777" w:rsidR="003B776F" w:rsidRPr="00506C91" w:rsidRDefault="003B776F" w:rsidP="00506C91">
      <w:pPr>
        <w:spacing w:line="240" w:lineRule="auto"/>
        <w:jc w:val="both"/>
        <w:rPr>
          <w:rFonts w:ascii="Times New Roman" w:hAnsi="Times New Roman" w:cs="Times New Roman"/>
          <w:sz w:val="24"/>
          <w:szCs w:val="24"/>
          <w:shd w:val="clear" w:color="auto" w:fill="FFFFFF"/>
          <w:lang w:val="en-US" w:eastAsia="sr-Latn-CS"/>
        </w:rPr>
      </w:pPr>
      <w:r w:rsidRPr="00506C91">
        <w:rPr>
          <w:rFonts w:ascii="Times New Roman" w:hAnsi="Times New Roman" w:cs="Times New Roman"/>
          <w:sz w:val="24"/>
          <w:szCs w:val="24"/>
          <w:shd w:val="clear" w:color="auto" w:fill="FFFFFF"/>
          <w:lang w:val="en-US" w:eastAsia="sr-Latn-CS"/>
        </w:rPr>
        <w:t>When it comes to childcare responsibilities, women are more engaged than men - 76.2% of women change their children's diapers, and 73.1% of them take sick leave, days off or vacation when a child is ill. Every second woman (52.8% of 500 employed women) had to significantly reduce sleep time for a longer period of time at least once in her life due to household chores and other family responsibilities</w:t>
      </w:r>
      <w:r w:rsidRPr="00506C91">
        <w:rPr>
          <w:rFonts w:ascii="Times New Roman" w:hAnsi="Times New Roman" w:cs="Times New Roman"/>
          <w:sz w:val="24"/>
          <w:szCs w:val="24"/>
          <w:vertAlign w:val="superscript"/>
          <w:lang w:val="en-US" w:eastAsia="sr-Latn-CS"/>
        </w:rPr>
        <w:footnoteReference w:id="19"/>
      </w:r>
      <w:r w:rsidRPr="00506C91">
        <w:rPr>
          <w:rFonts w:ascii="Times New Roman" w:hAnsi="Times New Roman" w:cs="Times New Roman"/>
          <w:sz w:val="24"/>
          <w:szCs w:val="24"/>
          <w:lang w:val="en-US" w:eastAsia="sr-Latn-CS"/>
        </w:rPr>
        <w:t>.</w:t>
      </w:r>
    </w:p>
    <w:p w14:paraId="62954FDA" w14:textId="77777777" w:rsidR="003B776F" w:rsidRPr="00506C91" w:rsidRDefault="003B776F" w:rsidP="00DC7E50">
      <w:pPr>
        <w:pStyle w:val="Pa10"/>
        <w:spacing w:after="200"/>
        <w:jc w:val="both"/>
        <w:rPr>
          <w:rFonts w:ascii="Times New Roman" w:hAnsi="Times New Roman" w:cs="Times New Roman"/>
        </w:rPr>
      </w:pPr>
      <w:r w:rsidRPr="00506C91">
        <w:rPr>
          <w:rFonts w:ascii="Times New Roman" w:hAnsi="Times New Roman" w:cs="Times New Roman"/>
        </w:rPr>
        <w:t xml:space="preserve">To sum up: Maternity and parental leaves are disciplined differently in each canton in BiH resulting in unequal treatment of women in terms both of benefits and duration of leave depending on where they live. Legislation on maternity, paternity and parental leaves are also not in line with the provisions of the EU Work-Life Balance Directive (non-transferable </w:t>
      </w:r>
      <w:r w:rsidRPr="00506C91">
        <w:rPr>
          <w:rFonts w:ascii="Times New Roman" w:hAnsi="Times New Roman" w:cs="Times New Roman"/>
          <w:shd w:val="clear" w:color="auto" w:fill="FFFFFF"/>
        </w:rPr>
        <w:t>paternity leave is not recognized by legislation). Also,</w:t>
      </w:r>
      <w:r w:rsidRPr="00506C91">
        <w:rPr>
          <w:rFonts w:ascii="Times New Roman" w:hAnsi="Times New Roman" w:cs="Times New Roman"/>
        </w:rPr>
        <w:t xml:space="preserve"> the unequal division of domestic and care work between women and men has been a long-term problem in BiH, compounded by the Covid-19 pandemic. </w:t>
      </w:r>
      <w:r w:rsidRPr="00506C91">
        <w:rPr>
          <w:rFonts w:ascii="Times New Roman" w:hAnsi="Times New Roman" w:cs="Times New Roman"/>
          <w:lang w:eastAsia="en-GB"/>
        </w:rPr>
        <w:t xml:space="preserve"> </w:t>
      </w:r>
    </w:p>
    <w:p w14:paraId="15254320" w14:textId="77777777" w:rsidR="00506C91" w:rsidRDefault="00506C91" w:rsidP="003B776F">
      <w:pPr>
        <w:pStyle w:val="H23G"/>
        <w:rPr>
          <w:sz w:val="24"/>
          <w:szCs w:val="24"/>
        </w:rPr>
      </w:pPr>
    </w:p>
    <w:p w14:paraId="518CEFCD" w14:textId="77777777" w:rsidR="003B776F" w:rsidRPr="00506C91" w:rsidRDefault="003B776F" w:rsidP="003B776F">
      <w:pPr>
        <w:pStyle w:val="H23G"/>
        <w:rPr>
          <w:sz w:val="24"/>
          <w:szCs w:val="24"/>
        </w:rPr>
      </w:pPr>
      <w:r w:rsidRPr="00506C91">
        <w:rPr>
          <w:sz w:val="24"/>
          <w:szCs w:val="24"/>
        </w:rPr>
        <w:t>Right to the highest attainable standard of p</w:t>
      </w:r>
      <w:r w:rsidR="00506C91">
        <w:rPr>
          <w:sz w:val="24"/>
          <w:szCs w:val="24"/>
        </w:rPr>
        <w:t>hysical and mental health (art.</w:t>
      </w:r>
      <w:r w:rsidRPr="00506C91">
        <w:rPr>
          <w:sz w:val="24"/>
          <w:szCs w:val="24"/>
        </w:rPr>
        <w:t>12)</w:t>
      </w:r>
    </w:p>
    <w:p w14:paraId="26D868C3" w14:textId="77777777" w:rsidR="003B776F" w:rsidRPr="00506C91" w:rsidRDefault="00506C91" w:rsidP="00DC7E50">
      <w:pPr>
        <w:pStyle w:val="SingleTxtG"/>
        <w:kinsoku w:val="0"/>
        <w:overflowPunct w:val="0"/>
        <w:autoSpaceDE w:val="0"/>
        <w:autoSpaceDN w:val="0"/>
        <w:adjustRightInd w:val="0"/>
        <w:snapToGrid w:val="0"/>
        <w:ind w:left="0" w:right="0"/>
        <w:rPr>
          <w:b/>
          <w:sz w:val="24"/>
          <w:szCs w:val="24"/>
        </w:rPr>
      </w:pPr>
      <w:r>
        <w:rPr>
          <w:b/>
          <w:sz w:val="24"/>
          <w:szCs w:val="24"/>
        </w:rPr>
        <w:t xml:space="preserve">26. </w:t>
      </w:r>
      <w:r w:rsidR="003B776F" w:rsidRPr="00506C91">
        <w:rPr>
          <w:b/>
          <w:sz w:val="24"/>
          <w:szCs w:val="24"/>
        </w:rPr>
        <w:t>Please provide information on:</w:t>
      </w:r>
    </w:p>
    <w:p w14:paraId="5737B9C9" w14:textId="77777777" w:rsidR="003B776F" w:rsidRPr="00506C91" w:rsidRDefault="003B776F" w:rsidP="00DC7E50">
      <w:pPr>
        <w:pStyle w:val="SingleTxtG"/>
        <w:ind w:left="0" w:right="0"/>
        <w:rPr>
          <w:b/>
          <w:sz w:val="24"/>
          <w:szCs w:val="24"/>
        </w:rPr>
      </w:pPr>
      <w:r w:rsidRPr="00506C91">
        <w:rPr>
          <w:b/>
          <w:sz w:val="24"/>
          <w:szCs w:val="24"/>
        </w:rPr>
        <w:tab/>
        <w:t>(a)</w:t>
      </w:r>
      <w:r w:rsidR="00506C91">
        <w:rPr>
          <w:b/>
          <w:sz w:val="24"/>
          <w:szCs w:val="24"/>
        </w:rPr>
        <w:t xml:space="preserve"> </w:t>
      </w:r>
      <w:r w:rsidRPr="00506C91">
        <w:rPr>
          <w:b/>
          <w:sz w:val="24"/>
          <w:szCs w:val="24"/>
        </w:rPr>
        <w:t>The ongoing reform of the health sector and whether the impact on access to health services in rural areas, as well as the risks of overburdening the primary public health-care sector following the abolishment of specialized dental care and women-focused and maternity care, have been assessed;</w:t>
      </w:r>
    </w:p>
    <w:p w14:paraId="0FDF2FA9" w14:textId="77777777" w:rsidR="003B776F" w:rsidRPr="00506C91" w:rsidRDefault="003B776F" w:rsidP="00DC7E50">
      <w:pPr>
        <w:jc w:val="both"/>
        <w:rPr>
          <w:rFonts w:ascii="Times New Roman" w:eastAsia="Calibri" w:hAnsi="Times New Roman" w:cs="Times New Roman"/>
          <w:sz w:val="24"/>
          <w:szCs w:val="24"/>
        </w:rPr>
      </w:pPr>
      <w:r w:rsidRPr="00506C91">
        <w:rPr>
          <w:rFonts w:ascii="Times New Roman" w:eastAsia="Calibri" w:hAnsi="Times New Roman" w:cs="Times New Roman"/>
          <w:sz w:val="24"/>
          <w:szCs w:val="24"/>
        </w:rPr>
        <w:t>Decentralized health insurance and healthcare in BiH as well as the differences in economic power of entities and different cantons entail ununiformed access to healthcare services, to both primary healthcare (differences in rural and urban areas, differences between cantons, and entities), and specialist and complex healthcare services.</w:t>
      </w:r>
    </w:p>
    <w:p w14:paraId="00341F7E" w14:textId="77777777" w:rsidR="003B776F" w:rsidRPr="00506C91" w:rsidRDefault="003B776F" w:rsidP="00DC7E50">
      <w:pPr>
        <w:jc w:val="both"/>
        <w:rPr>
          <w:rFonts w:ascii="Times New Roman" w:eastAsia="Calibri" w:hAnsi="Times New Roman" w:cs="Times New Roman"/>
          <w:sz w:val="24"/>
          <w:szCs w:val="24"/>
        </w:rPr>
      </w:pPr>
      <w:r w:rsidRPr="00506C91">
        <w:rPr>
          <w:rFonts w:ascii="Times New Roman" w:eastAsia="Calibri" w:hAnsi="Times New Roman" w:cs="Times New Roman"/>
          <w:sz w:val="24"/>
          <w:szCs w:val="24"/>
        </w:rPr>
        <w:t xml:space="preserve">In the Report of the Gender Equality Agency on the Progress of BiH and the Implementation of the Beijing Declaration and the Platform for Action (2019), in the chapter covering the activities undertaken by BiH aimed at the improvement of health results of girls and women during the last five years, it is noted that differences in the healthcare access among different cantons of the FBiH remain present. It also notes that the quality and access to health protection are especially present in rural areas or areas without larger healthcare centres. </w:t>
      </w:r>
    </w:p>
    <w:p w14:paraId="6AA8E7FB" w14:textId="77777777" w:rsidR="003B776F" w:rsidRPr="00506C91" w:rsidRDefault="003B776F" w:rsidP="00DC7E50">
      <w:pPr>
        <w:jc w:val="both"/>
        <w:rPr>
          <w:rFonts w:ascii="Times New Roman" w:eastAsia="Calibri" w:hAnsi="Times New Roman" w:cs="Times New Roman"/>
          <w:sz w:val="24"/>
          <w:szCs w:val="24"/>
        </w:rPr>
      </w:pPr>
      <w:r w:rsidRPr="00506C91">
        <w:rPr>
          <w:rFonts w:ascii="Times New Roman" w:eastAsia="Calibri" w:hAnsi="Times New Roman" w:cs="Times New Roman"/>
          <w:sz w:val="24"/>
          <w:szCs w:val="24"/>
        </w:rPr>
        <w:t xml:space="preserve">This problem is particularly present among women living in poverty and women from rural areas who face the problem of financial participation in covering medical bills or transport costs to a medical centre, and impedes access to these entitlements and services. Another present problem represents an absence of systematic solution to the question of preventive healthcare in isolated and rural communities. </w:t>
      </w:r>
    </w:p>
    <w:p w14:paraId="6CD885C3" w14:textId="77777777" w:rsidR="003B776F" w:rsidRPr="00506C91" w:rsidRDefault="003B776F" w:rsidP="00DC7E50">
      <w:pPr>
        <w:jc w:val="both"/>
        <w:rPr>
          <w:rFonts w:ascii="Times New Roman" w:eastAsia="Calibri" w:hAnsi="Times New Roman" w:cs="Times New Roman"/>
          <w:sz w:val="24"/>
          <w:szCs w:val="24"/>
        </w:rPr>
      </w:pPr>
      <w:r w:rsidRPr="00506C91">
        <w:rPr>
          <w:rFonts w:ascii="Times New Roman" w:eastAsia="Calibri" w:hAnsi="Times New Roman" w:cs="Times New Roman"/>
          <w:sz w:val="24"/>
          <w:szCs w:val="24"/>
        </w:rPr>
        <w:t>In this report, the Gender Equality Agency emphasizes the problem faced by local communities reflected in the quotas – the number of women inhabiting an area required in order for a clinic to be established in the area, or periodic field visits by the specialist gynaecologist provided. The Agency also noted the problem of insufficient number of gynaecological exam and intervention tables, healthcare workers unsensitized to treat women with disabilities.</w:t>
      </w:r>
    </w:p>
    <w:p w14:paraId="4990828D" w14:textId="77777777" w:rsidR="003B776F" w:rsidRPr="00506C91" w:rsidRDefault="003B776F" w:rsidP="00DC7E50">
      <w:pPr>
        <w:jc w:val="both"/>
        <w:rPr>
          <w:rFonts w:ascii="Times New Roman" w:eastAsia="Calibri" w:hAnsi="Times New Roman" w:cs="Times New Roman"/>
          <w:sz w:val="24"/>
          <w:szCs w:val="24"/>
        </w:rPr>
      </w:pPr>
      <w:r w:rsidRPr="00506C91">
        <w:rPr>
          <w:rFonts w:ascii="Times New Roman" w:eastAsia="Calibri" w:hAnsi="Times New Roman" w:cs="Times New Roman"/>
          <w:sz w:val="24"/>
          <w:szCs w:val="24"/>
        </w:rPr>
        <w:t>Different legislation, policies and measures in the entities result in different systems of protection and access to health services for women in BiH, with particular challenges for women and girls belonging to minority groups, especially Roma women, women with disabilities, women from rural areas.</w:t>
      </w:r>
      <w:r w:rsidRPr="00506C91">
        <w:rPr>
          <w:rFonts w:ascii="Times New Roman" w:hAnsi="Times New Roman" w:cs="Times New Roman"/>
          <w:sz w:val="24"/>
          <w:szCs w:val="24"/>
        </w:rPr>
        <w:t xml:space="preserve"> Women with disabilities in BiH continue to face a number of barriers including architectural inaccessibility of health facilities, inadequately equipped gynecological surgeries and lack of necessary support services.</w:t>
      </w:r>
      <w:r w:rsidRPr="00506C91">
        <w:rPr>
          <w:rFonts w:ascii="Times New Roman" w:eastAsia="Calibri" w:hAnsi="Times New Roman" w:cs="Times New Roman"/>
          <w:sz w:val="24"/>
          <w:szCs w:val="24"/>
        </w:rPr>
        <w:t xml:space="preserve"> </w:t>
      </w:r>
    </w:p>
    <w:p w14:paraId="47ED26AD" w14:textId="77777777" w:rsidR="003B776F" w:rsidRPr="00506C91" w:rsidRDefault="003B776F" w:rsidP="00DC7E50">
      <w:pPr>
        <w:jc w:val="both"/>
        <w:rPr>
          <w:rFonts w:ascii="Times New Roman" w:eastAsia="Calibri" w:hAnsi="Times New Roman" w:cs="Times New Roman"/>
          <w:sz w:val="24"/>
          <w:szCs w:val="24"/>
        </w:rPr>
      </w:pPr>
      <w:r w:rsidRPr="00506C91">
        <w:rPr>
          <w:rFonts w:ascii="Times New Roman" w:eastAsia="Calibri" w:hAnsi="Times New Roman" w:cs="Times New Roman"/>
          <w:sz w:val="24"/>
          <w:szCs w:val="24"/>
        </w:rPr>
        <w:t>Out o</w:t>
      </w:r>
      <w:r w:rsidRPr="00506C91">
        <w:rPr>
          <w:rFonts w:ascii="Times New Roman" w:hAnsi="Times New Roman" w:cs="Times New Roman"/>
          <w:sz w:val="24"/>
          <w:szCs w:val="24"/>
          <w:lang w:val="en-US"/>
        </w:rPr>
        <w:t>f the 34 (state and private) health care institutions from all over BiH that were covered by the survey conducted in 2019</w:t>
      </w:r>
      <w:r w:rsidRPr="00506C91">
        <w:rPr>
          <w:rStyle w:val="FootnoteReference"/>
          <w:rFonts w:cs="Times New Roman"/>
          <w:sz w:val="24"/>
          <w:szCs w:val="24"/>
          <w:lang w:val="en-US"/>
        </w:rPr>
        <w:footnoteReference w:id="20"/>
      </w:r>
      <w:r w:rsidRPr="00506C91">
        <w:rPr>
          <w:rFonts w:ascii="Times New Roman" w:hAnsi="Times New Roman" w:cs="Times New Roman"/>
          <w:sz w:val="24"/>
          <w:szCs w:val="24"/>
          <w:lang w:val="en-US"/>
        </w:rPr>
        <w:t>, 66.5% of them are accessible to wheelchair users, ie they have a ramp with or without a protective fence, but 48% of them don't have elevators and toilets adapted for persons with disability. More than half of the surveyed health facilities (56%) do not have a gynecological table adapted for women with disabilities who use wheelchairs or have difficulty moving, and as many as 41% of health facilities stated that their staff is insufficiently or only partially trained to work with women with disabilities</w:t>
      </w:r>
      <w:r w:rsidRPr="00506C91">
        <w:rPr>
          <w:rFonts w:ascii="Times New Roman" w:hAnsi="Times New Roman" w:cs="Times New Roman"/>
          <w:sz w:val="24"/>
          <w:szCs w:val="24"/>
          <w:lang w:val="sr-Latn-CS"/>
        </w:rPr>
        <w:t xml:space="preserve">. </w:t>
      </w:r>
    </w:p>
    <w:p w14:paraId="6FF19150" w14:textId="77777777" w:rsidR="003B776F" w:rsidRPr="00506C91" w:rsidRDefault="003B776F" w:rsidP="00506C91">
      <w:pPr>
        <w:jc w:val="both"/>
        <w:rPr>
          <w:rFonts w:ascii="Times New Roman" w:eastAsia="Calibri" w:hAnsi="Times New Roman" w:cs="Times New Roman"/>
          <w:sz w:val="24"/>
          <w:szCs w:val="24"/>
        </w:rPr>
      </w:pPr>
      <w:r w:rsidRPr="00506C91">
        <w:rPr>
          <w:rFonts w:ascii="Times New Roman" w:eastAsia="Calibri" w:hAnsi="Times New Roman" w:cs="Times New Roman"/>
          <w:sz w:val="24"/>
          <w:szCs w:val="24"/>
        </w:rPr>
        <w:t xml:space="preserve">In the different cantons, women do not have the same access to In-Vitro Fertilisation (IVF) and contraception. The costs of IVF, for example, are not fully covered by the compulsory health insurance, and the participation of the public health institute in the costs is determined differently in each canton. </w:t>
      </w:r>
    </w:p>
    <w:p w14:paraId="21609B6E" w14:textId="77777777" w:rsidR="003B776F" w:rsidRPr="00506C91" w:rsidRDefault="003B776F" w:rsidP="00DC7E50">
      <w:pPr>
        <w:pStyle w:val="SingleTxtG"/>
        <w:ind w:left="0" w:right="0"/>
        <w:rPr>
          <w:b/>
          <w:sz w:val="24"/>
          <w:szCs w:val="24"/>
        </w:rPr>
      </w:pPr>
      <w:r w:rsidRPr="00506C91">
        <w:rPr>
          <w:sz w:val="24"/>
          <w:szCs w:val="24"/>
        </w:rPr>
        <w:tab/>
      </w:r>
      <w:r w:rsidRPr="00506C91">
        <w:rPr>
          <w:b/>
          <w:sz w:val="24"/>
          <w:szCs w:val="24"/>
        </w:rPr>
        <w:t>(c)</w:t>
      </w:r>
      <w:r w:rsidR="00506C91">
        <w:rPr>
          <w:b/>
          <w:sz w:val="24"/>
          <w:szCs w:val="24"/>
        </w:rPr>
        <w:t xml:space="preserve"> </w:t>
      </w:r>
      <w:r w:rsidRPr="00506C91">
        <w:rPr>
          <w:b/>
          <w:sz w:val="24"/>
          <w:szCs w:val="24"/>
        </w:rPr>
        <w:t>The measures taken to extend health insurance coverage to disadvantaged and marginalized persons, including children whose parents have no insurance, Roma, asylum seekers, stateless persons, workers whose employers fail to pay their contributions to health insurance providers, workers in the informal economy and persons living in rural areas;</w:t>
      </w:r>
    </w:p>
    <w:p w14:paraId="12379E0F" w14:textId="77777777" w:rsidR="003B776F" w:rsidRPr="00506C91" w:rsidRDefault="003B776F" w:rsidP="00DC7E50">
      <w:pPr>
        <w:pStyle w:val="SingleTxtG"/>
        <w:ind w:left="0" w:right="0"/>
        <w:rPr>
          <w:sz w:val="24"/>
          <w:szCs w:val="24"/>
        </w:rPr>
      </w:pPr>
      <w:r w:rsidRPr="00506C91">
        <w:rPr>
          <w:sz w:val="24"/>
          <w:szCs w:val="24"/>
        </w:rPr>
        <w:t>Legal conditioning for the realization of the right to healthcare for the unemployed persons via employment offices, by setting deadlines to register at the employment office upon the completion of education or employment termination, especially affects vulnerable categories of women and women from rural areas, who, due to a lack of financial means, information of patriarchal upbringing fail to officially register as unemployed within the deadlines defined by the law, thus loosing health insurance.</w:t>
      </w:r>
    </w:p>
    <w:p w14:paraId="7AB769C8" w14:textId="77777777" w:rsidR="003B776F" w:rsidRPr="00506C91" w:rsidRDefault="003B776F" w:rsidP="00DC7E50">
      <w:pPr>
        <w:pStyle w:val="SingleTxtG"/>
        <w:ind w:left="0" w:right="0"/>
        <w:rPr>
          <w:b/>
          <w:sz w:val="24"/>
          <w:szCs w:val="24"/>
          <w:highlight w:val="yellow"/>
        </w:rPr>
      </w:pPr>
      <w:r w:rsidRPr="00506C91">
        <w:rPr>
          <w:sz w:val="24"/>
          <w:szCs w:val="24"/>
        </w:rPr>
        <w:tab/>
      </w:r>
      <w:r w:rsidRPr="00506C91">
        <w:rPr>
          <w:b/>
          <w:sz w:val="24"/>
          <w:szCs w:val="24"/>
        </w:rPr>
        <w:t>(e)</w:t>
      </w:r>
      <w:r w:rsidR="00506C91">
        <w:rPr>
          <w:b/>
          <w:sz w:val="24"/>
          <w:szCs w:val="24"/>
        </w:rPr>
        <w:t xml:space="preserve"> </w:t>
      </w:r>
      <w:r w:rsidRPr="00506C91">
        <w:rPr>
          <w:b/>
          <w:sz w:val="24"/>
          <w:szCs w:val="24"/>
        </w:rPr>
        <w:t>The measures taken to improve the adaptability of health-care services to persons with disabilities;</w:t>
      </w:r>
    </w:p>
    <w:p w14:paraId="696210AB" w14:textId="77777777" w:rsidR="003B776F" w:rsidRPr="00506C91" w:rsidRDefault="003B776F" w:rsidP="00DC7E50">
      <w:pPr>
        <w:pStyle w:val="SingleTxtG"/>
        <w:ind w:left="0" w:right="0"/>
        <w:rPr>
          <w:sz w:val="24"/>
          <w:szCs w:val="24"/>
        </w:rPr>
      </w:pPr>
      <w:r w:rsidRPr="00506C91">
        <w:rPr>
          <w:sz w:val="24"/>
          <w:szCs w:val="24"/>
        </w:rPr>
        <w:t>Healthcare and health insurance are responsibility of the entities in Bosnia and Herzegovina. In the Federation, indeed, it is shared between the entity and the cantons. Entity laws on healthcare do explicitly ban discrimination on the basis of disability and contain a principle appeal to the highest standard and equality of opportunity in availing of healthcare.</w:t>
      </w:r>
    </w:p>
    <w:p w14:paraId="7226696D" w14:textId="77777777" w:rsidR="003B776F" w:rsidRPr="00506C91" w:rsidRDefault="003B776F" w:rsidP="00DC7E50">
      <w:pPr>
        <w:pStyle w:val="SingleTxtG"/>
        <w:ind w:left="0" w:right="0"/>
        <w:rPr>
          <w:sz w:val="24"/>
          <w:szCs w:val="24"/>
        </w:rPr>
      </w:pPr>
      <w:r w:rsidRPr="00506C91">
        <w:rPr>
          <w:sz w:val="24"/>
          <w:szCs w:val="24"/>
        </w:rPr>
        <w:t xml:space="preserve">One of the measures aimed at increasing respect for the rights of persons with disabilities to the health care was made in Federation BiH in 2018.  when the Agency for Certification and Accreditation in Health Care “AKAZ” in cooperation with organization MyRight and coalitions of organizations of persons with disabilities developed inclusive standards for adaptation of health care institutions and services for the persons with disabilities. </w:t>
      </w:r>
    </w:p>
    <w:p w14:paraId="46A77DB9" w14:textId="77777777" w:rsidR="003B776F" w:rsidRPr="00506C91" w:rsidRDefault="003B776F" w:rsidP="00DC7E50">
      <w:pPr>
        <w:pStyle w:val="SingleTxtG"/>
        <w:ind w:left="0" w:right="0"/>
        <w:rPr>
          <w:sz w:val="24"/>
          <w:szCs w:val="24"/>
        </w:rPr>
      </w:pPr>
      <w:r w:rsidRPr="00506C91">
        <w:rPr>
          <w:sz w:val="24"/>
          <w:szCs w:val="24"/>
        </w:rPr>
        <w:t>So far, only one health institution in the Federation BiH, Sarajevo General Hospital (Opća bolnica Sarajevo) has been accredited in accordance with these standards, i.e. it has made efforts to adjust the accessibility of facilities, equipment and services as well as educate the employees about the rights of persons with disabilities.</w:t>
      </w:r>
    </w:p>
    <w:p w14:paraId="228EF741" w14:textId="77777777" w:rsidR="003B776F" w:rsidRPr="00506C91" w:rsidRDefault="003B776F" w:rsidP="00DC7E50">
      <w:pPr>
        <w:pStyle w:val="SingleTxtG"/>
        <w:ind w:left="0" w:right="0"/>
        <w:rPr>
          <w:sz w:val="24"/>
          <w:szCs w:val="24"/>
        </w:rPr>
      </w:pPr>
      <w:r w:rsidRPr="00506C91">
        <w:rPr>
          <w:sz w:val="24"/>
          <w:szCs w:val="24"/>
        </w:rPr>
        <w:t>Current laws do not secure, however, equal choice or access for persons with disabilities, any more than equal quality and standards of healthcare services, whether sexual and reproductive health services or public health programmes intended for the public at large. This is reflected in:</w:t>
      </w:r>
    </w:p>
    <w:p w14:paraId="61B0324E" w14:textId="77777777" w:rsidR="003B776F" w:rsidRDefault="003B776F" w:rsidP="00477BB4">
      <w:pPr>
        <w:pStyle w:val="SingleTxtG"/>
        <w:numPr>
          <w:ilvl w:val="0"/>
          <w:numId w:val="5"/>
        </w:numPr>
        <w:spacing w:line="240" w:lineRule="auto"/>
        <w:ind w:right="0"/>
        <w:rPr>
          <w:sz w:val="24"/>
          <w:szCs w:val="24"/>
        </w:rPr>
      </w:pPr>
      <w:r w:rsidRPr="00506C91">
        <w:rPr>
          <w:sz w:val="24"/>
          <w:szCs w:val="24"/>
        </w:rPr>
        <w:t>poor physical accessibility to most primary and secondary healthcare facilities in both urban and rural environments;</w:t>
      </w:r>
    </w:p>
    <w:p w14:paraId="3F86D54B" w14:textId="77777777" w:rsidR="00506C91" w:rsidRDefault="003B776F" w:rsidP="00477BB4">
      <w:pPr>
        <w:pStyle w:val="SingleTxtG"/>
        <w:numPr>
          <w:ilvl w:val="0"/>
          <w:numId w:val="5"/>
        </w:numPr>
        <w:spacing w:line="240" w:lineRule="auto"/>
        <w:ind w:right="0"/>
        <w:rPr>
          <w:sz w:val="24"/>
          <w:szCs w:val="24"/>
        </w:rPr>
      </w:pPr>
      <w:r w:rsidRPr="00506C91">
        <w:rPr>
          <w:sz w:val="24"/>
          <w:szCs w:val="24"/>
        </w:rPr>
        <w:t>a lack of diagnostic and other instruments and equipment, or failure to adapt them for use particularly by persons with more “severe” disabilities;</w:t>
      </w:r>
    </w:p>
    <w:p w14:paraId="32B17ADC" w14:textId="77777777" w:rsidR="00506C91" w:rsidRDefault="003B776F" w:rsidP="00477BB4">
      <w:pPr>
        <w:pStyle w:val="SingleTxtG"/>
        <w:numPr>
          <w:ilvl w:val="0"/>
          <w:numId w:val="5"/>
        </w:numPr>
        <w:spacing w:line="240" w:lineRule="auto"/>
        <w:ind w:right="0"/>
        <w:rPr>
          <w:sz w:val="24"/>
          <w:szCs w:val="24"/>
        </w:rPr>
      </w:pPr>
      <w:r w:rsidRPr="00506C91">
        <w:rPr>
          <w:sz w:val="24"/>
          <w:szCs w:val="24"/>
        </w:rPr>
        <w:t>poor use made of specific, less-well known drugs to prevent either the incidence or the progress of disability and a lack of specialized nutritional programmes aimed at the same;</w:t>
      </w:r>
    </w:p>
    <w:p w14:paraId="5DC310E1" w14:textId="77777777" w:rsidR="00506C91" w:rsidRDefault="003B776F" w:rsidP="00477BB4">
      <w:pPr>
        <w:pStyle w:val="SingleTxtG"/>
        <w:numPr>
          <w:ilvl w:val="0"/>
          <w:numId w:val="5"/>
        </w:numPr>
        <w:spacing w:line="240" w:lineRule="auto"/>
        <w:ind w:right="0"/>
        <w:rPr>
          <w:sz w:val="24"/>
          <w:szCs w:val="24"/>
        </w:rPr>
      </w:pPr>
      <w:r w:rsidRPr="00506C91">
        <w:rPr>
          <w:sz w:val="24"/>
          <w:szCs w:val="24"/>
        </w:rPr>
        <w:t xml:space="preserve">lack of access to services specially intended for women with disabilities (gynaecological services associated with maternity including the lack of adjustable tables and mammograms) </w:t>
      </w:r>
    </w:p>
    <w:p w14:paraId="1F6B621B" w14:textId="77777777" w:rsidR="00506C91" w:rsidRDefault="003B776F" w:rsidP="00477BB4">
      <w:pPr>
        <w:pStyle w:val="SingleTxtG"/>
        <w:numPr>
          <w:ilvl w:val="0"/>
          <w:numId w:val="5"/>
        </w:numPr>
        <w:spacing w:line="240" w:lineRule="auto"/>
        <w:ind w:right="0"/>
        <w:rPr>
          <w:sz w:val="24"/>
          <w:szCs w:val="24"/>
        </w:rPr>
      </w:pPr>
      <w:r w:rsidRPr="00506C91">
        <w:rPr>
          <w:sz w:val="24"/>
          <w:szCs w:val="24"/>
        </w:rPr>
        <w:t xml:space="preserve">lack of reproductive health counselling for both women and men with disabilities </w:t>
      </w:r>
    </w:p>
    <w:p w14:paraId="759F5B87" w14:textId="77777777" w:rsidR="00506C91" w:rsidRDefault="003B776F" w:rsidP="00477BB4">
      <w:pPr>
        <w:pStyle w:val="SingleTxtG"/>
        <w:numPr>
          <w:ilvl w:val="0"/>
          <w:numId w:val="5"/>
        </w:numPr>
        <w:spacing w:line="240" w:lineRule="auto"/>
        <w:ind w:right="0"/>
        <w:rPr>
          <w:sz w:val="24"/>
          <w:szCs w:val="24"/>
        </w:rPr>
      </w:pPr>
      <w:r w:rsidRPr="00506C91">
        <w:rPr>
          <w:sz w:val="24"/>
          <w:szCs w:val="24"/>
        </w:rPr>
        <w:t>lack of adapted dental and other health services for children and adults with intellectual disabilities, etc.);</w:t>
      </w:r>
    </w:p>
    <w:p w14:paraId="7D87534F" w14:textId="77777777" w:rsidR="00506C91" w:rsidRDefault="003B776F" w:rsidP="00477BB4">
      <w:pPr>
        <w:pStyle w:val="SingleTxtG"/>
        <w:numPr>
          <w:ilvl w:val="0"/>
          <w:numId w:val="5"/>
        </w:numPr>
        <w:spacing w:line="240" w:lineRule="auto"/>
        <w:ind w:right="0"/>
        <w:rPr>
          <w:sz w:val="24"/>
          <w:szCs w:val="24"/>
        </w:rPr>
      </w:pPr>
      <w:r w:rsidRPr="00506C91">
        <w:rPr>
          <w:sz w:val="24"/>
          <w:szCs w:val="24"/>
        </w:rPr>
        <w:t xml:space="preserve">a lack of training programmes for medical and paramedical staff in working with persons with disabilities; </w:t>
      </w:r>
    </w:p>
    <w:p w14:paraId="4B93F4E9" w14:textId="77777777" w:rsidR="00506C91" w:rsidRDefault="003B776F" w:rsidP="00477BB4">
      <w:pPr>
        <w:pStyle w:val="SingleTxtG"/>
        <w:numPr>
          <w:ilvl w:val="0"/>
          <w:numId w:val="5"/>
        </w:numPr>
        <w:spacing w:line="240" w:lineRule="auto"/>
        <w:ind w:right="0"/>
        <w:rPr>
          <w:sz w:val="24"/>
          <w:szCs w:val="24"/>
        </w:rPr>
      </w:pPr>
      <w:r w:rsidRPr="00506C91">
        <w:rPr>
          <w:sz w:val="24"/>
          <w:szCs w:val="24"/>
        </w:rPr>
        <w:t xml:space="preserve">insufficient access to medical rehabilitation programmes for all persons with disabilities who need them; </w:t>
      </w:r>
    </w:p>
    <w:p w14:paraId="06276830" w14:textId="77777777" w:rsidR="003B776F" w:rsidRDefault="003B776F" w:rsidP="00477BB4">
      <w:pPr>
        <w:pStyle w:val="SingleTxtG"/>
        <w:numPr>
          <w:ilvl w:val="0"/>
          <w:numId w:val="5"/>
        </w:numPr>
        <w:spacing w:line="240" w:lineRule="auto"/>
        <w:ind w:right="0"/>
        <w:rPr>
          <w:sz w:val="24"/>
          <w:szCs w:val="24"/>
        </w:rPr>
      </w:pPr>
      <w:r w:rsidRPr="00506C91">
        <w:rPr>
          <w:sz w:val="24"/>
          <w:szCs w:val="24"/>
        </w:rPr>
        <w:t>an absence of programmes to properly assess needs for orthopaedic and other aids, tailored to the individual needs of persons with disabilities, or of programmes providing hygienic and sanitary materials.</w:t>
      </w:r>
    </w:p>
    <w:p w14:paraId="30D4AF3D" w14:textId="77777777" w:rsidR="00506C91" w:rsidRPr="00506C91" w:rsidRDefault="00506C91" w:rsidP="00506C91">
      <w:pPr>
        <w:pStyle w:val="SingleTxtG"/>
        <w:ind w:left="1329" w:right="0"/>
        <w:rPr>
          <w:sz w:val="24"/>
          <w:szCs w:val="24"/>
        </w:rPr>
      </w:pPr>
    </w:p>
    <w:p w14:paraId="5706BD3A" w14:textId="77777777" w:rsidR="009B5CC3" w:rsidRDefault="003B776F" w:rsidP="00DC7E50">
      <w:pPr>
        <w:pStyle w:val="SingleTxtG"/>
        <w:ind w:left="0" w:right="0"/>
        <w:rPr>
          <w:sz w:val="24"/>
          <w:szCs w:val="24"/>
        </w:rPr>
      </w:pPr>
      <w:r w:rsidRPr="00506C91">
        <w:rPr>
          <w:sz w:val="24"/>
          <w:szCs w:val="24"/>
        </w:rPr>
        <w:tab/>
      </w:r>
    </w:p>
    <w:p w14:paraId="76A853EC" w14:textId="77777777" w:rsidR="009B5CC3" w:rsidRDefault="009B5CC3" w:rsidP="00DC7E50">
      <w:pPr>
        <w:pStyle w:val="SingleTxtG"/>
        <w:ind w:left="0" w:right="0"/>
        <w:rPr>
          <w:b/>
          <w:sz w:val="24"/>
          <w:szCs w:val="24"/>
        </w:rPr>
      </w:pPr>
    </w:p>
    <w:p w14:paraId="6A537AAB" w14:textId="38963CD4" w:rsidR="003B776F" w:rsidRPr="00506C91" w:rsidRDefault="003B776F" w:rsidP="00DC7E50">
      <w:pPr>
        <w:pStyle w:val="SingleTxtG"/>
        <w:ind w:left="0" w:right="0"/>
        <w:rPr>
          <w:b/>
          <w:sz w:val="24"/>
          <w:szCs w:val="24"/>
          <w:highlight w:val="yellow"/>
        </w:rPr>
      </w:pPr>
      <w:r w:rsidRPr="00506C91">
        <w:rPr>
          <w:b/>
          <w:sz w:val="24"/>
          <w:szCs w:val="24"/>
        </w:rPr>
        <w:t>(f)</w:t>
      </w:r>
      <w:r w:rsidR="00506C91">
        <w:rPr>
          <w:b/>
          <w:sz w:val="24"/>
          <w:szCs w:val="24"/>
        </w:rPr>
        <w:t xml:space="preserve"> </w:t>
      </w:r>
      <w:r w:rsidRPr="00506C91">
        <w:rPr>
          <w:b/>
          <w:sz w:val="24"/>
          <w:szCs w:val="24"/>
        </w:rPr>
        <w:t>The measures taken to improve sexual and reproductive health education and services, particularly for adolescents.</w:t>
      </w:r>
    </w:p>
    <w:p w14:paraId="1F95E537" w14:textId="77777777" w:rsidR="003B776F" w:rsidRPr="00506C91" w:rsidRDefault="003B776F" w:rsidP="00DC7E50">
      <w:pPr>
        <w:pStyle w:val="SingleTxtG"/>
        <w:ind w:left="0" w:right="0"/>
        <w:rPr>
          <w:sz w:val="24"/>
          <w:szCs w:val="24"/>
        </w:rPr>
      </w:pPr>
      <w:r w:rsidRPr="00506C91">
        <w:rPr>
          <w:sz w:val="24"/>
          <w:szCs w:val="24"/>
        </w:rPr>
        <w:t>Comprehensive education on sexuality and reproductive health, age-appropriate, is not part of the curricula in schools in Bosnia and Herzegovina, although public policies and strategies recognize the need to develop curricula aimed at educating young people in primary and secondary schools about sex, and the promotion and development of peer education and the improvement of cooperation with non-governmental organizations that have the knowledge and human resources to contribute to the improvement of the situation in this area.</w:t>
      </w:r>
    </w:p>
    <w:p w14:paraId="54872275" w14:textId="77777777" w:rsidR="003B776F" w:rsidRPr="00506C91" w:rsidRDefault="003B776F" w:rsidP="00DC7E50">
      <w:pPr>
        <w:pStyle w:val="SingleTxtG"/>
        <w:ind w:left="0" w:right="0"/>
        <w:rPr>
          <w:sz w:val="24"/>
          <w:szCs w:val="24"/>
        </w:rPr>
      </w:pPr>
      <w:r w:rsidRPr="00506C91">
        <w:rPr>
          <w:sz w:val="24"/>
          <w:szCs w:val="24"/>
        </w:rPr>
        <w:t>Topics related to sexual and reproductive health are covered in part, most often in biology, religious education and classroom classes, environment, health, physical education, and topics on contraception, sexually transmitted infections, sexual abuse and gender issues are completely omitted.</w:t>
      </w:r>
    </w:p>
    <w:p w14:paraId="5F41B42D" w14:textId="77777777" w:rsidR="003B776F" w:rsidRPr="00506C91" w:rsidRDefault="003B776F" w:rsidP="00DC7E50">
      <w:pPr>
        <w:pStyle w:val="SingleTxtG"/>
        <w:ind w:left="0" w:right="0"/>
        <w:rPr>
          <w:sz w:val="24"/>
          <w:szCs w:val="24"/>
        </w:rPr>
      </w:pPr>
      <w:r w:rsidRPr="00506C91">
        <w:rPr>
          <w:sz w:val="24"/>
          <w:szCs w:val="24"/>
        </w:rPr>
        <w:t>UNFPA (2017) research shows that the Internet is the most common source of knowledge for young people about reproductive health. In second place are friends / peers, and in third place are books / brochures and other publications. The same survey shows that 98% of young people aged 15 to 25 believe that school should be a place to learn about reproductive health.</w:t>
      </w:r>
    </w:p>
    <w:p w14:paraId="76A9FBBC" w14:textId="77777777" w:rsidR="003B776F" w:rsidRPr="00506C91" w:rsidRDefault="003B776F" w:rsidP="00DC7E50">
      <w:pPr>
        <w:pStyle w:val="SingleTxtG"/>
        <w:ind w:left="0" w:right="0"/>
        <w:rPr>
          <w:sz w:val="24"/>
          <w:szCs w:val="24"/>
        </w:rPr>
      </w:pPr>
      <w:r w:rsidRPr="00506C91">
        <w:rPr>
          <w:sz w:val="24"/>
          <w:szCs w:val="24"/>
        </w:rPr>
        <w:t>Another problem in the implementation of comprehensive education on sexuality is the inadequate education of teaching staff, who do not have the necessary knowledge and skills to talk to children about these topics, which is a consequence of the lack of continuous education of teaching staff.</w:t>
      </w:r>
    </w:p>
    <w:p w14:paraId="722B4FE2" w14:textId="77777777" w:rsidR="003B776F" w:rsidRPr="00506C91" w:rsidRDefault="003B776F" w:rsidP="00DC7E50">
      <w:pPr>
        <w:pStyle w:val="SingleTxtG"/>
        <w:ind w:left="0" w:right="0"/>
        <w:rPr>
          <w:sz w:val="24"/>
          <w:szCs w:val="24"/>
        </w:rPr>
      </w:pPr>
      <w:r w:rsidRPr="00506C91">
        <w:rPr>
          <w:sz w:val="24"/>
          <w:szCs w:val="24"/>
        </w:rPr>
        <w:t xml:space="preserve">Sexual and reproductive health is still relatively taboo topic in Bosnia because the social relations are still based on unwritten patriarchal laws and rigid gender roles. A large number of </w:t>
      </w:r>
      <w:r w:rsidR="00506C91" w:rsidRPr="00506C91">
        <w:rPr>
          <w:sz w:val="24"/>
          <w:szCs w:val="24"/>
        </w:rPr>
        <w:t>citizens</w:t>
      </w:r>
      <w:r w:rsidRPr="00506C91">
        <w:rPr>
          <w:sz w:val="24"/>
          <w:szCs w:val="24"/>
        </w:rPr>
        <w:t xml:space="preserve"> identifies sexual and reproductive health with the sexual act and believes that discussions on this subject in schools could only encourage young people to engage in early sexual activity. There is no an understanding that education on sexual and reproductive health primarily protects the physical health of young people and ensures knowledge which will help them to build their own system of values and self-esteem that will enable them to make responsible decisions and to behave responsibly. The unified systematic approach to inclusion of topics related to sexual and reproductive health into the formal education system does not exist in BiH. The only information that is available through the formal education system is offered in biology classes during the final grades of primary school.</w:t>
      </w:r>
    </w:p>
    <w:p w14:paraId="02A48339" w14:textId="77777777" w:rsidR="003B776F" w:rsidRDefault="003B776F" w:rsidP="00477BB4">
      <w:pPr>
        <w:jc w:val="both"/>
        <w:rPr>
          <w:rFonts w:ascii="Times New Roman" w:eastAsia="Calibri" w:hAnsi="Times New Roman" w:cs="Times New Roman"/>
          <w:sz w:val="24"/>
          <w:szCs w:val="24"/>
        </w:rPr>
      </w:pPr>
      <w:r w:rsidRPr="00506C91">
        <w:rPr>
          <w:rFonts w:ascii="Times New Roman" w:eastAsia="Calibri" w:hAnsi="Times New Roman" w:cs="Times New Roman"/>
          <w:sz w:val="24"/>
          <w:szCs w:val="24"/>
        </w:rPr>
        <w:t xml:space="preserve">See also: Alternative CEDAW Report - </w:t>
      </w:r>
      <w:r w:rsidRPr="00506C91">
        <w:rPr>
          <w:rFonts w:ascii="Times New Roman" w:hAnsi="Times New Roman" w:cs="Times New Roman"/>
          <w:sz w:val="24"/>
          <w:szCs w:val="24"/>
        </w:rPr>
        <w:t xml:space="preserve">Report of civil society organizations on implementation of the concluding observations and recommendations of CEDAW committee for Bosnia and Herzegovina 2013-2017: </w:t>
      </w:r>
      <w:hyperlink r:id="rId10" w:history="1">
        <w:r w:rsidRPr="00506C91">
          <w:rPr>
            <w:rStyle w:val="Hyperlink"/>
            <w:rFonts w:ascii="Times New Roman" w:eastAsia="Calibri" w:hAnsi="Times New Roman" w:cs="Times New Roman"/>
            <w:color w:val="auto"/>
            <w:sz w:val="24"/>
            <w:szCs w:val="24"/>
          </w:rPr>
          <w:t>http://hcabl.org/wp-content/uploads/2016/11/CEDAW-ENG-web.pdf</w:t>
        </w:r>
      </w:hyperlink>
    </w:p>
    <w:p w14:paraId="7C4AC765" w14:textId="77777777" w:rsidR="00477BB4" w:rsidRPr="00477BB4" w:rsidRDefault="00477BB4" w:rsidP="00477BB4">
      <w:pPr>
        <w:jc w:val="both"/>
        <w:rPr>
          <w:rFonts w:ascii="Times New Roman" w:eastAsia="Calibri" w:hAnsi="Times New Roman" w:cs="Times New Roman"/>
          <w:sz w:val="24"/>
          <w:szCs w:val="24"/>
        </w:rPr>
      </w:pPr>
    </w:p>
    <w:p w14:paraId="5BD0558B" w14:textId="77777777" w:rsidR="003B776F" w:rsidRPr="00506C91" w:rsidRDefault="003B776F" w:rsidP="003B776F">
      <w:pPr>
        <w:pStyle w:val="H23G"/>
        <w:rPr>
          <w:sz w:val="24"/>
          <w:szCs w:val="24"/>
        </w:rPr>
      </w:pPr>
      <w:r w:rsidRPr="00506C91">
        <w:rPr>
          <w:sz w:val="24"/>
          <w:szCs w:val="24"/>
        </w:rPr>
        <w:t>Cultural rights (art. 15)</w:t>
      </w:r>
    </w:p>
    <w:p w14:paraId="626E9CF8" w14:textId="77777777" w:rsidR="003B776F" w:rsidRPr="00506C91" w:rsidRDefault="00506C91" w:rsidP="00DC7E50">
      <w:pPr>
        <w:pStyle w:val="SingleTxtG"/>
        <w:kinsoku w:val="0"/>
        <w:overflowPunct w:val="0"/>
        <w:autoSpaceDE w:val="0"/>
        <w:autoSpaceDN w:val="0"/>
        <w:adjustRightInd w:val="0"/>
        <w:snapToGrid w:val="0"/>
        <w:ind w:left="0" w:right="0"/>
        <w:rPr>
          <w:b/>
          <w:sz w:val="24"/>
          <w:szCs w:val="24"/>
        </w:rPr>
      </w:pPr>
      <w:r>
        <w:rPr>
          <w:b/>
          <w:sz w:val="24"/>
          <w:szCs w:val="24"/>
        </w:rPr>
        <w:t xml:space="preserve">29. </w:t>
      </w:r>
      <w:r w:rsidR="003B776F" w:rsidRPr="00506C91">
        <w:rPr>
          <w:b/>
          <w:sz w:val="24"/>
          <w:szCs w:val="24"/>
        </w:rPr>
        <w:t>Please provide information on:</w:t>
      </w:r>
      <w:r w:rsidR="003B776F" w:rsidRPr="00506C91">
        <w:rPr>
          <w:rStyle w:val="FootnoteReference"/>
          <w:b/>
          <w:sz w:val="24"/>
          <w:szCs w:val="24"/>
        </w:rPr>
        <w:t xml:space="preserve"> </w:t>
      </w:r>
    </w:p>
    <w:p w14:paraId="4888D060" w14:textId="77777777" w:rsidR="003B776F" w:rsidRPr="00506C91" w:rsidRDefault="003B776F" w:rsidP="00DC7E50">
      <w:pPr>
        <w:pStyle w:val="SingleTxtG"/>
        <w:ind w:left="0" w:right="0"/>
        <w:rPr>
          <w:b/>
          <w:sz w:val="24"/>
          <w:szCs w:val="24"/>
        </w:rPr>
      </w:pPr>
      <w:r w:rsidRPr="00506C91">
        <w:rPr>
          <w:b/>
          <w:sz w:val="24"/>
          <w:szCs w:val="24"/>
        </w:rPr>
        <w:tab/>
        <w:t>(c)</w:t>
      </w:r>
      <w:r w:rsidR="00506C91">
        <w:rPr>
          <w:b/>
          <w:sz w:val="24"/>
          <w:szCs w:val="24"/>
        </w:rPr>
        <w:t xml:space="preserve"> </w:t>
      </w:r>
      <w:r w:rsidRPr="00506C91">
        <w:rPr>
          <w:b/>
          <w:sz w:val="24"/>
          <w:szCs w:val="24"/>
        </w:rPr>
        <w:t>The measures taken to enhance the enjoyment of cultural rights by persons with disabilities and any steps taken to ratify the Marrakesh Treaty to Facilitate Access to Published Works for Persons Who are Blind, Visually Impaired, or Otherwise Print Disabled.</w:t>
      </w:r>
    </w:p>
    <w:p w14:paraId="43AEDD80" w14:textId="77777777" w:rsidR="0059271A" w:rsidRPr="00477BB4" w:rsidRDefault="003B776F" w:rsidP="00477BB4">
      <w:pPr>
        <w:pStyle w:val="SingleTxtG"/>
        <w:ind w:left="0" w:right="0"/>
        <w:rPr>
          <w:sz w:val="24"/>
          <w:szCs w:val="24"/>
        </w:rPr>
      </w:pPr>
      <w:r w:rsidRPr="00506C91">
        <w:rPr>
          <w:sz w:val="24"/>
          <w:szCs w:val="24"/>
        </w:rPr>
        <w:t>In January 2021, Bosnia and Herzegovina ratified the Marrakesh Treaty, which entered into force in April 2021.</w:t>
      </w:r>
    </w:p>
    <w:sectPr w:rsidR="0059271A" w:rsidRPr="00477BB4" w:rsidSect="00383D31">
      <w:footerReference w:type="default" r:id="rId11"/>
      <w:pgSz w:w="11906" w:h="16838"/>
      <w:pgMar w:top="1417" w:right="1417" w:bottom="1417" w:left="1417" w:header="567"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B607B3" w14:textId="77777777" w:rsidR="005E1D4C" w:rsidRDefault="005E1D4C" w:rsidP="003B776F">
      <w:pPr>
        <w:spacing w:after="0" w:line="240" w:lineRule="auto"/>
      </w:pPr>
      <w:r>
        <w:separator/>
      </w:r>
    </w:p>
  </w:endnote>
  <w:endnote w:type="continuationSeparator" w:id="0">
    <w:p w14:paraId="3655DB69" w14:textId="77777777" w:rsidR="005E1D4C" w:rsidRDefault="005E1D4C" w:rsidP="003B7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ans-Light">
    <w:altName w:val="Times New Roman"/>
    <w:panose1 w:val="00000000000000000000"/>
    <w:charset w:val="00"/>
    <w:family w:val="roman"/>
    <w:notTrueType/>
    <w:pitch w:val="default"/>
  </w:font>
  <w:font w:name="OpenSansLight-Italic">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Malgun Gothic">
    <w:altName w:val="맑은 고딕"/>
    <w:panose1 w:val="020B0503020000020004"/>
    <w:charset w:val="81"/>
    <w:family w:val="swiss"/>
    <w:pitch w:val="variable"/>
    <w:sig w:usb0="9000002F" w:usb1="29D77CFB" w:usb2="00000012" w:usb3="00000000" w:csb0="00080001" w:csb1="00000000"/>
  </w:font>
  <w:font w:name="Helvetica Neue">
    <w:altName w:val="Corbel"/>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2591736"/>
      <w:docPartObj>
        <w:docPartGallery w:val="Page Numbers (Bottom of Page)"/>
        <w:docPartUnique/>
      </w:docPartObj>
    </w:sdtPr>
    <w:sdtEndPr>
      <w:rPr>
        <w:noProof/>
      </w:rPr>
    </w:sdtEndPr>
    <w:sdtContent>
      <w:p w14:paraId="5741B5F1" w14:textId="79D36918" w:rsidR="00383D31" w:rsidRDefault="00383D31">
        <w:pPr>
          <w:pStyle w:val="Footer"/>
          <w:jc w:val="center"/>
        </w:pPr>
        <w:r>
          <w:fldChar w:fldCharType="begin"/>
        </w:r>
        <w:r>
          <w:instrText xml:space="preserve"> PAGE   \* MERGEFORMAT </w:instrText>
        </w:r>
        <w:r>
          <w:fldChar w:fldCharType="separate"/>
        </w:r>
        <w:r w:rsidR="00FA15E7">
          <w:rPr>
            <w:noProof/>
          </w:rPr>
          <w:t>4</w:t>
        </w:r>
        <w:r>
          <w:rPr>
            <w:noProof/>
          </w:rPr>
          <w:fldChar w:fldCharType="end"/>
        </w:r>
      </w:p>
    </w:sdtContent>
  </w:sdt>
  <w:p w14:paraId="0EEDC774" w14:textId="77777777" w:rsidR="00383D31" w:rsidRDefault="00383D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5E4647" w14:textId="77777777" w:rsidR="005E1D4C" w:rsidRDefault="005E1D4C" w:rsidP="003B776F">
      <w:pPr>
        <w:spacing w:after="0" w:line="240" w:lineRule="auto"/>
      </w:pPr>
      <w:r>
        <w:separator/>
      </w:r>
    </w:p>
  </w:footnote>
  <w:footnote w:type="continuationSeparator" w:id="0">
    <w:p w14:paraId="262D1E4B" w14:textId="77777777" w:rsidR="005E1D4C" w:rsidRDefault="005E1D4C" w:rsidP="003B776F">
      <w:pPr>
        <w:spacing w:after="0" w:line="240" w:lineRule="auto"/>
      </w:pPr>
      <w:r>
        <w:continuationSeparator/>
      </w:r>
    </w:p>
  </w:footnote>
  <w:footnote w:id="1">
    <w:p w14:paraId="1A36EE50" w14:textId="77777777" w:rsidR="003B776F" w:rsidRDefault="003B776F" w:rsidP="003B776F">
      <w:pPr>
        <w:pStyle w:val="FootnoteText"/>
        <w:jc w:val="both"/>
      </w:pPr>
      <w:r>
        <w:tab/>
      </w:r>
      <w:r w:rsidRPr="00CB5680">
        <w:rPr>
          <w:rStyle w:val="FootnoteReference"/>
          <w:sz w:val="20"/>
        </w:rPr>
        <w:t>*</w:t>
      </w:r>
      <w:r>
        <w:rPr>
          <w:sz w:val="20"/>
        </w:rPr>
        <w:tab/>
      </w:r>
      <w:r>
        <w:rPr>
          <w:szCs w:val="18"/>
        </w:rPr>
        <w:t xml:space="preserve">Adopted by </w:t>
      </w:r>
      <w:r w:rsidRPr="002362EF">
        <w:rPr>
          <w:szCs w:val="18"/>
        </w:rPr>
        <w:t xml:space="preserve">the </w:t>
      </w:r>
      <w:r w:rsidRPr="002362EF">
        <w:t xml:space="preserve">pre-sessional working group at its </w:t>
      </w:r>
      <w:hyperlink r:id="rId1" w:history="1">
        <w:r w:rsidRPr="002362EF">
          <w:t>sixty-</w:t>
        </w:r>
      </w:hyperlink>
      <w:r>
        <w:t>fifth</w:t>
      </w:r>
      <w:r w:rsidRPr="002362EF">
        <w:t xml:space="preserve"> session (</w:t>
      </w:r>
      <w:r>
        <w:t>21–25 October 2019).</w:t>
      </w:r>
    </w:p>
  </w:footnote>
  <w:footnote w:id="2">
    <w:p w14:paraId="48612D82" w14:textId="77777777" w:rsidR="003B776F" w:rsidRPr="00506C91" w:rsidRDefault="003B776F" w:rsidP="003B776F">
      <w:pPr>
        <w:pStyle w:val="FootnoteText"/>
        <w:rPr>
          <w:lang w:val="bs-Latn-BA"/>
        </w:rPr>
      </w:pPr>
      <w:r w:rsidRPr="00506C91">
        <w:rPr>
          <w:rStyle w:val="FootnoteReference"/>
        </w:rPr>
        <w:footnoteRef/>
      </w:r>
      <w:r w:rsidRPr="00506C91">
        <w:t xml:space="preserve"> More about the Initiative on: </w:t>
      </w:r>
      <w:hyperlink r:id="rId2" w:history="1">
        <w:r w:rsidR="00506C91" w:rsidRPr="00A35A74">
          <w:rPr>
            <w:rStyle w:val="Hyperlink"/>
          </w:rPr>
          <w:t>https://eu-monitoring.ba/</w:t>
        </w:r>
      </w:hyperlink>
      <w:r w:rsidR="00506C91">
        <w:t xml:space="preserve"> </w:t>
      </w:r>
    </w:p>
  </w:footnote>
  <w:footnote w:id="3">
    <w:p w14:paraId="531BA1C7" w14:textId="77777777" w:rsidR="003B776F" w:rsidRPr="00704FBE" w:rsidRDefault="003B776F" w:rsidP="003B776F">
      <w:pPr>
        <w:pStyle w:val="FootnoteText"/>
        <w:rPr>
          <w:lang w:val="bs-Latn-BA"/>
        </w:rPr>
      </w:pPr>
      <w:r w:rsidRPr="00506C91">
        <w:rPr>
          <w:rStyle w:val="FootnoteReference"/>
        </w:rPr>
        <w:footnoteRef/>
      </w:r>
      <w:r w:rsidRPr="00506C91">
        <w:t xml:space="preserve"> Model Law on the Institution of Human Rights Ombudsman of BIH</w:t>
      </w:r>
      <w:r w:rsidR="00506C91">
        <w:t xml:space="preserve">: </w:t>
      </w:r>
      <w:hyperlink r:id="rId3" w:history="1">
        <w:r w:rsidR="00506C91" w:rsidRPr="00A35A74">
          <w:rPr>
            <w:rStyle w:val="Hyperlink"/>
          </w:rPr>
          <w:t>https://eu-monitoring.ba/site/wp-content/uploads/2015/10/Zakon-o-Instituciji-ombudsmana-za-ljudska-prava-BiH.pdf</w:t>
        </w:r>
      </w:hyperlink>
      <w:r w:rsidR="00506C91">
        <w:t xml:space="preserve"> </w:t>
      </w:r>
    </w:p>
  </w:footnote>
  <w:footnote w:id="4">
    <w:p w14:paraId="661A290E" w14:textId="77777777" w:rsidR="003B776F" w:rsidRPr="00506C91" w:rsidRDefault="003B776F" w:rsidP="00477BB4">
      <w:pPr>
        <w:pStyle w:val="FootnoteText"/>
        <w:tabs>
          <w:tab w:val="clear" w:pos="1021"/>
        </w:tabs>
        <w:ind w:left="0" w:right="0" w:firstLine="0"/>
        <w:rPr>
          <w:szCs w:val="18"/>
          <w:lang w:val="en-US"/>
        </w:rPr>
      </w:pPr>
      <w:r w:rsidRPr="00506C91">
        <w:rPr>
          <w:rStyle w:val="FootnoteReference"/>
          <w:szCs w:val="18"/>
        </w:rPr>
        <w:footnoteRef/>
      </w:r>
      <w:r w:rsidRPr="00506C91">
        <w:rPr>
          <w:szCs w:val="18"/>
        </w:rPr>
        <w:t xml:space="preserve"> Available on:</w:t>
      </w:r>
      <w:hyperlink r:id="rId4">
        <w:r w:rsidRPr="00506C91">
          <w:rPr>
            <w:szCs w:val="18"/>
          </w:rPr>
          <w:t xml:space="preserve"> </w:t>
        </w:r>
      </w:hyperlink>
      <w:hyperlink r:id="rId5">
        <w:r w:rsidRPr="00506C91">
          <w:rPr>
            <w:szCs w:val="18"/>
            <w:u w:val="single"/>
          </w:rPr>
          <w:t>https://bhas.gov.ba/data/Publikacije/Saopstenja/2021/LAB_00_2021_Q1_1_BS.pdf</w:t>
        </w:r>
      </w:hyperlink>
    </w:p>
  </w:footnote>
  <w:footnote w:id="5">
    <w:p w14:paraId="14A5EF28" w14:textId="77777777" w:rsidR="003B776F" w:rsidRPr="00506C91" w:rsidRDefault="003B776F" w:rsidP="00477BB4">
      <w:pPr>
        <w:rPr>
          <w:rFonts w:ascii="Times New Roman" w:hAnsi="Times New Roman" w:cs="Times New Roman"/>
          <w:sz w:val="18"/>
          <w:szCs w:val="18"/>
        </w:rPr>
      </w:pPr>
      <w:r w:rsidRPr="00506C91">
        <w:rPr>
          <w:rStyle w:val="FootnoteReference"/>
          <w:rFonts w:cs="Times New Roman"/>
          <w:szCs w:val="18"/>
        </w:rPr>
        <w:footnoteRef/>
      </w:r>
      <w:r w:rsidRPr="00506C91">
        <w:rPr>
          <w:rFonts w:ascii="Times New Roman" w:hAnsi="Times New Roman" w:cs="Times New Roman"/>
          <w:sz w:val="18"/>
          <w:szCs w:val="18"/>
        </w:rPr>
        <w:t xml:space="preserve"> See:</w:t>
      </w:r>
      <w:hyperlink r:id="rId6">
        <w:r w:rsidRPr="00506C91">
          <w:rPr>
            <w:rFonts w:ascii="Times New Roman" w:hAnsi="Times New Roman" w:cs="Times New Roman"/>
            <w:sz w:val="18"/>
            <w:szCs w:val="18"/>
          </w:rPr>
          <w:t xml:space="preserve"> </w:t>
        </w:r>
      </w:hyperlink>
      <w:hyperlink r:id="rId7">
        <w:r w:rsidRPr="00506C91">
          <w:rPr>
            <w:rFonts w:ascii="Times New Roman" w:hAnsi="Times New Roman" w:cs="Times New Roman"/>
            <w:sz w:val="18"/>
            <w:szCs w:val="18"/>
            <w:u w:val="single"/>
          </w:rPr>
          <w:t>https://www.plata.ba/plate-u-zemlji</w:t>
        </w:r>
      </w:hyperlink>
    </w:p>
  </w:footnote>
  <w:footnote w:id="6">
    <w:p w14:paraId="3CD488AE" w14:textId="77777777" w:rsidR="003B776F" w:rsidRPr="00506C91" w:rsidRDefault="003B776F" w:rsidP="00477BB4">
      <w:pPr>
        <w:rPr>
          <w:rFonts w:ascii="Times New Roman" w:hAnsi="Times New Roman" w:cs="Times New Roman"/>
          <w:sz w:val="18"/>
          <w:szCs w:val="18"/>
        </w:rPr>
      </w:pPr>
      <w:r w:rsidRPr="00506C91">
        <w:rPr>
          <w:rStyle w:val="FootnoteReference"/>
          <w:rFonts w:cs="Times New Roman"/>
          <w:szCs w:val="18"/>
        </w:rPr>
        <w:footnoteRef/>
      </w:r>
      <w:r w:rsidRPr="00506C91">
        <w:rPr>
          <w:rFonts w:ascii="Times New Roman" w:hAnsi="Times New Roman" w:cs="Times New Roman"/>
          <w:sz w:val="18"/>
          <w:szCs w:val="18"/>
        </w:rPr>
        <w:t xml:space="preserve">  According to page plata.ba average salary in certain positions which includes higher management is 2.500 BAM-3.800 BAM while average salaries of cashiers, salesmen in groceries, hair dressers, traders and health care providers are 606 BAM-711 BAM which is four times lower than management salary in the bank sector, IT sector or entrepreneurship. </w:t>
      </w:r>
    </w:p>
  </w:footnote>
  <w:footnote w:id="7">
    <w:p w14:paraId="408C4910" w14:textId="77777777" w:rsidR="003B776F" w:rsidRPr="00506C91" w:rsidRDefault="003B776F" w:rsidP="00477BB4">
      <w:pPr>
        <w:pStyle w:val="FootnoteText"/>
        <w:tabs>
          <w:tab w:val="clear" w:pos="1021"/>
          <w:tab w:val="right" w:pos="1170"/>
        </w:tabs>
        <w:ind w:left="0" w:right="0" w:firstLine="0"/>
        <w:rPr>
          <w:rStyle w:val="fontstyle01"/>
          <w:rFonts w:ascii="Times New Roman" w:hAnsi="Times New Roman"/>
          <w:color w:val="auto"/>
          <w:sz w:val="18"/>
          <w:szCs w:val="18"/>
        </w:rPr>
      </w:pPr>
      <w:r w:rsidRPr="00506C91">
        <w:rPr>
          <w:rStyle w:val="FootnoteReference"/>
          <w:szCs w:val="18"/>
        </w:rPr>
        <w:footnoteRef/>
      </w:r>
      <w:r w:rsidRPr="00506C91">
        <w:rPr>
          <w:szCs w:val="18"/>
        </w:rPr>
        <w:t xml:space="preserve"> </w:t>
      </w:r>
      <w:r w:rsidRPr="00506C91">
        <w:rPr>
          <w:rStyle w:val="fontstyle01"/>
          <w:rFonts w:ascii="Times New Roman" w:hAnsi="Times New Roman"/>
          <w:color w:val="auto"/>
          <w:sz w:val="18"/>
          <w:szCs w:val="18"/>
        </w:rPr>
        <w:t xml:space="preserve">Bari, Farzana; Kovač, Vanja. </w:t>
      </w:r>
      <w:r w:rsidRPr="00506C91">
        <w:rPr>
          <w:rStyle w:val="fontstyle21"/>
          <w:rFonts w:ascii="Times New Roman" w:hAnsi="Times New Roman"/>
          <w:color w:val="auto"/>
          <w:sz w:val="18"/>
          <w:szCs w:val="18"/>
        </w:rPr>
        <w:t xml:space="preserve">Gender Brief Bosnia and Herzegovina: </w:t>
      </w:r>
      <w:r w:rsidRPr="00506C91">
        <w:rPr>
          <w:rStyle w:val="fontstyle01"/>
          <w:rFonts w:ascii="Times New Roman" w:hAnsi="Times New Roman"/>
          <w:color w:val="auto"/>
          <w:sz w:val="18"/>
          <w:szCs w:val="18"/>
        </w:rPr>
        <w:t xml:space="preserve">Gender equality state of play and </w:t>
      </w:r>
    </w:p>
    <w:p w14:paraId="60DBBA16" w14:textId="77777777" w:rsidR="003B776F" w:rsidRPr="00506C91" w:rsidRDefault="003B776F" w:rsidP="00477BB4">
      <w:pPr>
        <w:pStyle w:val="FootnoteText"/>
        <w:tabs>
          <w:tab w:val="clear" w:pos="1021"/>
        </w:tabs>
        <w:ind w:left="0" w:right="0" w:firstLine="0"/>
        <w:rPr>
          <w:szCs w:val="18"/>
          <w:lang w:val="en-US"/>
        </w:rPr>
      </w:pPr>
      <w:r w:rsidRPr="00506C91">
        <w:rPr>
          <w:rStyle w:val="fontstyle01"/>
          <w:rFonts w:ascii="Times New Roman" w:hAnsi="Times New Roman"/>
          <w:color w:val="auto"/>
          <w:sz w:val="18"/>
          <w:szCs w:val="18"/>
        </w:rPr>
        <w:t>recommendations for BIH GAP and EU GAP</w:t>
      </w:r>
      <w:r w:rsidRPr="00506C91">
        <w:rPr>
          <w:szCs w:val="18"/>
        </w:rPr>
        <w:t xml:space="preserve"> </w:t>
      </w:r>
      <w:r w:rsidRPr="00506C91">
        <w:rPr>
          <w:rStyle w:val="fontstyle01"/>
          <w:rFonts w:ascii="Times New Roman" w:hAnsi="Times New Roman"/>
          <w:color w:val="auto"/>
          <w:sz w:val="18"/>
          <w:szCs w:val="18"/>
        </w:rPr>
        <w:t>implementation. Sarajevo: Ured UN Women u BiH, 2019 p. 27</w:t>
      </w:r>
    </w:p>
  </w:footnote>
  <w:footnote w:id="8">
    <w:p w14:paraId="687EBE93" w14:textId="77777777" w:rsidR="003B776F" w:rsidRPr="002473F0" w:rsidRDefault="003B776F" w:rsidP="00477BB4">
      <w:pPr>
        <w:pStyle w:val="FootnoteText"/>
        <w:tabs>
          <w:tab w:val="clear" w:pos="1021"/>
          <w:tab w:val="right" w:pos="1080"/>
        </w:tabs>
        <w:ind w:left="0" w:right="0" w:firstLine="0"/>
        <w:rPr>
          <w:lang w:val="en-US"/>
        </w:rPr>
      </w:pPr>
      <w:r w:rsidRPr="00506C91">
        <w:rPr>
          <w:rStyle w:val="FootnoteReference"/>
          <w:szCs w:val="18"/>
        </w:rPr>
        <w:footnoteRef/>
      </w:r>
      <w:r w:rsidRPr="00506C91">
        <w:rPr>
          <w:szCs w:val="18"/>
        </w:rPr>
        <w:t xml:space="preserve"> </w:t>
      </w:r>
      <w:r w:rsidRPr="00506C91">
        <w:rPr>
          <w:szCs w:val="18"/>
          <w:lang w:val="en-US"/>
        </w:rPr>
        <w:t xml:space="preserve"> Information withdrawn from </w:t>
      </w:r>
      <w:r w:rsidRPr="00506C91">
        <w:rPr>
          <w:szCs w:val="18"/>
        </w:rPr>
        <w:t>plata.ba website</w:t>
      </w:r>
      <w:r w:rsidRPr="00506C91">
        <w:rPr>
          <w:sz w:val="20"/>
        </w:rPr>
        <w:t xml:space="preserve">   </w:t>
      </w:r>
    </w:p>
  </w:footnote>
  <w:footnote w:id="9">
    <w:p w14:paraId="6161EC69" w14:textId="77777777" w:rsidR="003B776F" w:rsidRPr="00506C91" w:rsidRDefault="003B776F" w:rsidP="00506C91">
      <w:pPr>
        <w:rPr>
          <w:rFonts w:ascii="Times New Roman" w:hAnsi="Times New Roman" w:cs="Times New Roman"/>
          <w:sz w:val="18"/>
          <w:szCs w:val="18"/>
        </w:rPr>
      </w:pPr>
      <w:r w:rsidRPr="00506C91">
        <w:rPr>
          <w:rStyle w:val="FootnoteReference"/>
          <w:rFonts w:cs="Times New Roman"/>
          <w:szCs w:val="18"/>
        </w:rPr>
        <w:footnoteRef/>
      </w:r>
      <w:r w:rsidRPr="00506C91">
        <w:rPr>
          <w:rFonts w:ascii="Times New Roman" w:hAnsi="Times New Roman" w:cs="Times New Roman"/>
          <w:sz w:val="18"/>
          <w:szCs w:val="18"/>
        </w:rPr>
        <w:t xml:space="preserve"> UN Women, </w:t>
      </w:r>
      <w:r w:rsidRPr="00506C91">
        <w:rPr>
          <w:rFonts w:ascii="Times New Roman" w:hAnsi="Times New Roman" w:cs="Times New Roman"/>
          <w:i/>
          <w:sz w:val="18"/>
          <w:szCs w:val="18"/>
        </w:rPr>
        <w:t xml:space="preserve">Quick Gender Estimation of the Situation caused by Pandemic COVID-19 in Bosnia and Herzegovina, </w:t>
      </w:r>
      <w:r w:rsidRPr="00506C91">
        <w:rPr>
          <w:rFonts w:ascii="Times New Roman" w:hAnsi="Times New Roman" w:cs="Times New Roman"/>
          <w:sz w:val="18"/>
          <w:szCs w:val="18"/>
        </w:rPr>
        <w:t>Sarajevo, 2020</w:t>
      </w:r>
    </w:p>
  </w:footnote>
  <w:footnote w:id="10">
    <w:p w14:paraId="04B75E47" w14:textId="77777777" w:rsidR="003B776F" w:rsidRPr="00506C91" w:rsidRDefault="003B776F" w:rsidP="00506C91">
      <w:pPr>
        <w:pStyle w:val="BalloonText"/>
        <w:rPr>
          <w:rFonts w:ascii="Times New Roman" w:hAnsi="Times New Roman" w:cs="Times New Roman"/>
          <w:lang w:val="sr-Latn-BA"/>
        </w:rPr>
      </w:pPr>
      <w:r w:rsidRPr="00506C91">
        <w:rPr>
          <w:rStyle w:val="FootnoteReference"/>
          <w:rFonts w:cs="Times New Roman"/>
        </w:rPr>
        <w:footnoteRef/>
      </w:r>
      <w:r w:rsidRPr="00506C91">
        <w:rPr>
          <w:rFonts w:ascii="Times New Roman" w:hAnsi="Times New Roman" w:cs="Times New Roman"/>
        </w:rPr>
        <w:t xml:space="preserve"> Lejla Gačanica, Socio-Economic Position of Lesbians, Gays, Bisexual, Transgender and Intersexual Persons in Bosnia and Herzegovina, 2021, page 6. See:</w:t>
      </w:r>
      <w:hyperlink r:id="rId8">
        <w:r w:rsidRPr="00506C91">
          <w:rPr>
            <w:rFonts w:ascii="Times New Roman" w:hAnsi="Times New Roman" w:cs="Times New Roman"/>
          </w:rPr>
          <w:t xml:space="preserve"> </w:t>
        </w:r>
      </w:hyperlink>
      <w:hyperlink r:id="rId9">
        <w:r w:rsidRPr="00506C91">
          <w:rPr>
            <w:rFonts w:ascii="Times New Roman" w:hAnsi="Times New Roman" w:cs="Times New Roman"/>
            <w:highlight w:val="white"/>
            <w:u w:val="single"/>
          </w:rPr>
          <w:t>https://soc.ba/site/wp-content/uploads/2021/06/Socio-ekonomski-polozaj-LGBTI-osoba-u-BiH-web.pdf</w:t>
        </w:r>
      </w:hyperlink>
      <w:r w:rsidR="00506C91">
        <w:rPr>
          <w:rFonts w:ascii="Times New Roman" w:hAnsi="Times New Roman" w:cs="Times New Roman"/>
          <w:u w:val="single"/>
        </w:rPr>
        <w:t xml:space="preserve">  </w:t>
      </w:r>
    </w:p>
  </w:footnote>
  <w:footnote w:id="11">
    <w:p w14:paraId="09A86D03" w14:textId="77777777" w:rsidR="003B776F" w:rsidRPr="00506C91" w:rsidRDefault="003B776F" w:rsidP="00506C91">
      <w:pPr>
        <w:jc w:val="both"/>
        <w:rPr>
          <w:rFonts w:ascii="Times New Roman" w:hAnsi="Times New Roman" w:cs="Times New Roman"/>
          <w:sz w:val="18"/>
          <w:szCs w:val="18"/>
          <w:lang w:val="sr-Latn-BA"/>
        </w:rPr>
      </w:pPr>
      <w:r w:rsidRPr="00506C91">
        <w:rPr>
          <w:rStyle w:val="FootnoteReference"/>
          <w:rFonts w:cs="Times New Roman"/>
          <w:szCs w:val="18"/>
        </w:rPr>
        <w:footnoteRef/>
      </w:r>
      <w:r w:rsidRPr="00506C91">
        <w:rPr>
          <w:rFonts w:ascii="Times New Roman" w:hAnsi="Times New Roman" w:cs="Times New Roman"/>
          <w:sz w:val="18"/>
          <w:szCs w:val="18"/>
        </w:rPr>
        <w:t xml:space="preserve">  3125 participants clicked the online questionnaire and 683 participants (21,9%) completed approximately 90% of the questionnaire.   Most of the participants are females (84%), living in urban areas (86,5%) aged between 30-49 years old (72.9%) and highly educated, with 57.9% of the sample holding Bachelor, Master’s degree or PhD. 16% of participants are man.</w:t>
      </w:r>
    </w:p>
  </w:footnote>
  <w:footnote w:id="12">
    <w:p w14:paraId="1D6ACDCE" w14:textId="77777777" w:rsidR="003B776F" w:rsidRPr="00506C91" w:rsidRDefault="003B776F" w:rsidP="00506C91">
      <w:pPr>
        <w:rPr>
          <w:rFonts w:ascii="Times New Roman" w:hAnsi="Times New Roman" w:cs="Times New Roman"/>
          <w:sz w:val="18"/>
          <w:szCs w:val="18"/>
        </w:rPr>
      </w:pPr>
      <w:r w:rsidRPr="00506C91">
        <w:rPr>
          <w:rStyle w:val="FootnoteReference"/>
          <w:rFonts w:cs="Times New Roman"/>
          <w:szCs w:val="18"/>
        </w:rPr>
        <w:footnoteRef/>
      </w:r>
      <w:r w:rsidRPr="00506C91">
        <w:rPr>
          <w:rFonts w:ascii="Times New Roman" w:hAnsi="Times New Roman" w:cs="Times New Roman"/>
          <w:sz w:val="18"/>
          <w:szCs w:val="18"/>
        </w:rPr>
        <w:t xml:space="preserve">  According to data from </w:t>
      </w:r>
      <w:r w:rsidRPr="00506C91">
        <w:rPr>
          <w:rFonts w:ascii="Times New Roman" w:hAnsi="Times New Roman" w:cs="Times New Roman"/>
          <w:sz w:val="18"/>
          <w:szCs w:val="18"/>
          <w:highlight w:val="white"/>
        </w:rPr>
        <w:t>the commerce trade and services trade union of B&amp;H</w:t>
      </w:r>
      <w:r w:rsidRPr="00506C91">
        <w:rPr>
          <w:rFonts w:ascii="Times New Roman" w:eastAsia="Helvetica Neue" w:hAnsi="Times New Roman" w:cs="Times New Roman"/>
          <w:sz w:val="18"/>
          <w:szCs w:val="18"/>
          <w:highlight w:val="white"/>
        </w:rPr>
        <w:t xml:space="preserve"> </w:t>
      </w:r>
      <w:r w:rsidRPr="00506C91">
        <w:rPr>
          <w:rFonts w:ascii="Times New Roman" w:hAnsi="Times New Roman" w:cs="Times New Roman"/>
          <w:sz w:val="18"/>
          <w:szCs w:val="18"/>
        </w:rPr>
        <w:t xml:space="preserve">36.88 % of all workers in the field of trade and service activities are between 30-40 years old. Available on: </w:t>
      </w:r>
      <w:hyperlink r:id="rId10">
        <w:r w:rsidRPr="00506C91">
          <w:rPr>
            <w:rFonts w:ascii="Times New Roman" w:hAnsi="Times New Roman" w:cs="Times New Roman"/>
            <w:sz w:val="18"/>
            <w:szCs w:val="18"/>
            <w:u w:val="single"/>
          </w:rPr>
          <w:t>http://stbih.ba/</w:t>
        </w:r>
      </w:hyperlink>
      <w:r w:rsidRPr="00506C91">
        <w:rPr>
          <w:rFonts w:ascii="Times New Roman" w:hAnsi="Times New Roman" w:cs="Times New Roman"/>
          <w:sz w:val="18"/>
          <w:szCs w:val="18"/>
        </w:rPr>
        <w:t xml:space="preserve"> </w:t>
      </w:r>
      <w:r w:rsidR="00506C91">
        <w:rPr>
          <w:rFonts w:ascii="Times New Roman" w:hAnsi="Times New Roman" w:cs="Times New Roman"/>
          <w:sz w:val="18"/>
          <w:szCs w:val="18"/>
        </w:rPr>
        <w:t xml:space="preserve"> </w:t>
      </w:r>
    </w:p>
  </w:footnote>
  <w:footnote w:id="13">
    <w:p w14:paraId="256616C7" w14:textId="77777777" w:rsidR="003B776F" w:rsidRDefault="003B776F" w:rsidP="003B776F">
      <w:r w:rsidRPr="00506C91">
        <w:rPr>
          <w:rStyle w:val="FootnoteReference"/>
          <w:rFonts w:cs="Times New Roman"/>
          <w:szCs w:val="18"/>
        </w:rPr>
        <w:footnoteRef/>
      </w:r>
      <w:r w:rsidRPr="00506C91">
        <w:rPr>
          <w:rFonts w:ascii="Times New Roman" w:hAnsi="Times New Roman" w:cs="Times New Roman"/>
          <w:sz w:val="18"/>
          <w:szCs w:val="18"/>
        </w:rPr>
        <w:t xml:space="preserve"> Although men are more vulnerable to discrimination based on the political preference (34,6% of women and 49,3% of men), we must point out the sample of men who responded is too small for us to be conclusive.</w:t>
      </w:r>
    </w:p>
  </w:footnote>
  <w:footnote w:id="14">
    <w:p w14:paraId="3472964C" w14:textId="77777777" w:rsidR="009B5CC3" w:rsidRPr="000F2496" w:rsidRDefault="009B5CC3" w:rsidP="009B5CC3">
      <w:pPr>
        <w:pStyle w:val="NoSpacing"/>
        <w:rPr>
          <w:rFonts w:ascii="Times New Roman" w:hAnsi="Times New Roman" w:cs="Times New Roman"/>
          <w:sz w:val="18"/>
          <w:szCs w:val="18"/>
        </w:rPr>
      </w:pPr>
      <w:r w:rsidRPr="000F2496">
        <w:rPr>
          <w:rStyle w:val="FootnoteReference"/>
          <w:rFonts w:cs="Times New Roman"/>
          <w:szCs w:val="18"/>
        </w:rPr>
        <w:footnoteRef/>
      </w:r>
      <w:r w:rsidRPr="000F2496">
        <w:rPr>
          <w:rFonts w:ascii="Times New Roman" w:hAnsi="Times New Roman" w:cs="Times New Roman"/>
          <w:sz w:val="18"/>
          <w:szCs w:val="18"/>
        </w:rPr>
        <w:t xml:space="preserve"> CCI (2020). Volonterizam – Nedovoljno iskoristen potencijal u organizacijama civilnog društva. [pdf] Available at: </w:t>
      </w:r>
      <w:hyperlink r:id="rId11" w:history="1">
        <w:r w:rsidRPr="000F2496">
          <w:rPr>
            <w:rStyle w:val="Hyperlink"/>
            <w:rFonts w:ascii="Times New Roman" w:hAnsi="Times New Roman" w:cs="Times New Roman"/>
            <w:sz w:val="18"/>
            <w:szCs w:val="18"/>
          </w:rPr>
          <w:t>https://euresurs-api.page-services.net//Content/Documents/Volonterizam_-_Nedovoljno_iskorišten_potencijal_u_OCD_u_BiH1604932833172.pdf</w:t>
        </w:r>
      </w:hyperlink>
      <w:r w:rsidRPr="000F2496">
        <w:rPr>
          <w:rFonts w:ascii="Times New Roman" w:hAnsi="Times New Roman" w:cs="Times New Roman"/>
          <w:sz w:val="18"/>
          <w:szCs w:val="18"/>
        </w:rPr>
        <w:t xml:space="preserve"> [10.06.2021]  </w:t>
      </w:r>
    </w:p>
  </w:footnote>
  <w:footnote w:id="15">
    <w:p w14:paraId="2AFCC125" w14:textId="77777777" w:rsidR="009B5CC3" w:rsidRPr="000F2496" w:rsidRDefault="009B5CC3" w:rsidP="009B5CC3">
      <w:pPr>
        <w:pStyle w:val="NoSpacing"/>
        <w:rPr>
          <w:rFonts w:ascii="Times New Roman" w:hAnsi="Times New Roman" w:cs="Times New Roman"/>
          <w:sz w:val="18"/>
          <w:szCs w:val="18"/>
        </w:rPr>
      </w:pPr>
      <w:r w:rsidRPr="000F2496">
        <w:rPr>
          <w:rStyle w:val="FootnoteReference"/>
          <w:rFonts w:cs="Times New Roman"/>
          <w:szCs w:val="18"/>
        </w:rPr>
        <w:footnoteRef/>
      </w:r>
      <w:r w:rsidRPr="000F2496">
        <w:rPr>
          <w:rFonts w:ascii="Times New Roman" w:hAnsi="Times New Roman" w:cs="Times New Roman"/>
          <w:sz w:val="18"/>
          <w:szCs w:val="18"/>
        </w:rPr>
        <w:t xml:space="preserve"> Sloboda Narodu (2020). Status ljudskih prava u 2020 godini-Bosna i Hercegovina. Available at: </w:t>
      </w:r>
      <w:hyperlink r:id="rId12" w:history="1">
        <w:r w:rsidRPr="000F2496">
          <w:rPr>
            <w:rStyle w:val="Hyperlink"/>
            <w:rFonts w:ascii="Times New Roman" w:hAnsi="Times New Roman" w:cs="Times New Roman"/>
            <w:sz w:val="18"/>
            <w:szCs w:val="18"/>
          </w:rPr>
          <w:t>https://slobodanarodu.ba/status-ljudskih-prava-u-2020-godini-bosna-i-hercegovina/</w:t>
        </w:r>
      </w:hyperlink>
      <w:r w:rsidRPr="000F2496">
        <w:rPr>
          <w:rFonts w:ascii="Times New Roman" w:hAnsi="Times New Roman" w:cs="Times New Roman"/>
          <w:sz w:val="18"/>
          <w:szCs w:val="18"/>
        </w:rPr>
        <w:t xml:space="preserve"> [18.06.2021] </w:t>
      </w:r>
    </w:p>
  </w:footnote>
  <w:footnote w:id="16">
    <w:p w14:paraId="3D8A729F" w14:textId="77777777" w:rsidR="009B5CC3" w:rsidRPr="000F2496" w:rsidRDefault="009B5CC3" w:rsidP="009B5CC3">
      <w:pPr>
        <w:pStyle w:val="NoSpacing"/>
        <w:rPr>
          <w:rFonts w:ascii="Times New Roman" w:hAnsi="Times New Roman" w:cs="Times New Roman"/>
          <w:sz w:val="18"/>
          <w:szCs w:val="18"/>
        </w:rPr>
      </w:pPr>
      <w:r w:rsidRPr="000F2496">
        <w:rPr>
          <w:rStyle w:val="FootnoteReference"/>
          <w:rFonts w:cs="Times New Roman"/>
          <w:szCs w:val="18"/>
        </w:rPr>
        <w:footnoteRef/>
      </w:r>
      <w:r w:rsidRPr="000F2496">
        <w:rPr>
          <w:rFonts w:ascii="Times New Roman" w:hAnsi="Times New Roman" w:cs="Times New Roman"/>
          <w:sz w:val="18"/>
          <w:szCs w:val="18"/>
        </w:rPr>
        <w:t xml:space="preserve"> Radević, M. (2021). Bosna i Hercegovina - Indikatori nivoa medijskih sloboda i sigurnosti novinara u Bosni i Hercegovini 2020. Sarajevo: Udruženje/Udruga BH novinari. [pdf] Available at: </w:t>
      </w:r>
      <w:hyperlink r:id="rId13" w:history="1">
        <w:r w:rsidRPr="000F2496">
          <w:rPr>
            <w:rStyle w:val="Hyperlink"/>
            <w:rFonts w:ascii="Times New Roman" w:hAnsi="Times New Roman" w:cs="Times New Roman"/>
            <w:sz w:val="18"/>
            <w:szCs w:val="18"/>
          </w:rPr>
          <w:t>https://safejournalists.net/wp-content/uploads/2021/07/BiH-BiH-2020.pdf</w:t>
        </w:r>
      </w:hyperlink>
      <w:r w:rsidRPr="000F2496">
        <w:rPr>
          <w:rFonts w:ascii="Times New Roman" w:hAnsi="Times New Roman" w:cs="Times New Roman"/>
          <w:sz w:val="18"/>
          <w:szCs w:val="18"/>
        </w:rPr>
        <w:t xml:space="preserve"> [18.06.2021]</w:t>
      </w:r>
    </w:p>
  </w:footnote>
  <w:footnote w:id="17">
    <w:p w14:paraId="035C10DC" w14:textId="77777777" w:rsidR="009B5CC3" w:rsidRPr="006E199F" w:rsidRDefault="009B5CC3" w:rsidP="009B5CC3">
      <w:pPr>
        <w:pStyle w:val="NoSpacing"/>
        <w:rPr>
          <w:rFonts w:asciiTheme="minorHAnsi" w:hAnsiTheme="minorHAnsi" w:cstheme="minorHAnsi"/>
          <w:iCs/>
          <w:sz w:val="16"/>
          <w:szCs w:val="16"/>
        </w:rPr>
      </w:pPr>
      <w:r w:rsidRPr="000F2496">
        <w:rPr>
          <w:rStyle w:val="FootnoteReference"/>
          <w:rFonts w:cs="Times New Roman"/>
          <w:szCs w:val="18"/>
        </w:rPr>
        <w:footnoteRef/>
      </w:r>
      <w:r w:rsidRPr="000F2496">
        <w:rPr>
          <w:rFonts w:ascii="Times New Roman" w:hAnsi="Times New Roman" w:cs="Times New Roman"/>
          <w:sz w:val="18"/>
          <w:szCs w:val="18"/>
        </w:rPr>
        <w:t xml:space="preserve"> BH Novinari (2018). “Žene i Mediji: Zaposlenice i Upravljačke Strukture.” [pdf] Available at: </w:t>
      </w:r>
      <w:hyperlink r:id="rId14" w:history="1">
        <w:r w:rsidRPr="000F2496">
          <w:rPr>
            <w:rStyle w:val="Hyperlink"/>
            <w:rFonts w:ascii="Times New Roman" w:hAnsi="Times New Roman" w:cs="Times New Roman"/>
            <w:sz w:val="18"/>
            <w:szCs w:val="18"/>
          </w:rPr>
          <w:t>https://bhnovinari.ba/wp-content/uploads/2018/07/Zene-i-mediji-13maj2018-FINAL.pdf</w:t>
        </w:r>
      </w:hyperlink>
      <w:r w:rsidRPr="000F2496">
        <w:rPr>
          <w:rFonts w:ascii="Times New Roman" w:hAnsi="Times New Roman" w:cs="Times New Roman"/>
          <w:sz w:val="18"/>
          <w:szCs w:val="18"/>
        </w:rPr>
        <w:t xml:space="preserve"> [10.06.2021</w:t>
      </w:r>
    </w:p>
  </w:footnote>
  <w:footnote w:id="18">
    <w:p w14:paraId="588499F2" w14:textId="77777777" w:rsidR="003B776F" w:rsidRPr="00506C91" w:rsidRDefault="003B776F" w:rsidP="00477BB4">
      <w:pPr>
        <w:pStyle w:val="SingleTxtG"/>
        <w:kinsoku w:val="0"/>
        <w:overflowPunct w:val="0"/>
        <w:autoSpaceDE w:val="0"/>
        <w:autoSpaceDN w:val="0"/>
        <w:adjustRightInd w:val="0"/>
        <w:snapToGrid w:val="0"/>
        <w:ind w:left="0" w:right="0"/>
        <w:rPr>
          <w:rStyle w:val="A4"/>
          <w:color w:val="auto"/>
          <w:sz w:val="18"/>
          <w:szCs w:val="18"/>
        </w:rPr>
      </w:pPr>
      <w:r w:rsidRPr="00506C91">
        <w:rPr>
          <w:rStyle w:val="FootnoteReference"/>
        </w:rPr>
        <w:footnoteRef/>
      </w:r>
      <w:r w:rsidRPr="00506C91">
        <w:t xml:space="preserve"> </w:t>
      </w:r>
      <w:r w:rsidRPr="00506C91">
        <w:rPr>
          <w:rStyle w:val="A4"/>
          <w:color w:val="auto"/>
          <w:sz w:val="18"/>
          <w:szCs w:val="18"/>
        </w:rPr>
        <w:t>This was assessed as a violation of women’s human rights in the 2014 Special Report on the Protection of Mothers and Maternity in the Federation of Bosnia and Herzegovina prepared by the Institution of Human Rights Ombudsman of BiH. In April 2016, the FBiH Government established a Working Group for drafting solution proposals for employed mothers, made up of representatives of FBiH and cantonal ministries. However, to date this issue (different treatment of mothers / maternity leave between cantons) has not been resolved.</w:t>
      </w:r>
    </w:p>
    <w:p w14:paraId="7212C7F4" w14:textId="77777777" w:rsidR="003B776F" w:rsidRPr="00FD526C" w:rsidRDefault="003B776F" w:rsidP="003B776F">
      <w:pPr>
        <w:pStyle w:val="FootnoteText"/>
        <w:rPr>
          <w:lang w:val="en-US"/>
        </w:rPr>
      </w:pPr>
    </w:p>
  </w:footnote>
  <w:footnote w:id="19">
    <w:p w14:paraId="558DE32F" w14:textId="77777777" w:rsidR="003B776F" w:rsidRPr="00506C91" w:rsidRDefault="003B776F" w:rsidP="00506C91">
      <w:pPr>
        <w:jc w:val="both"/>
        <w:rPr>
          <w:rFonts w:ascii="Times New Roman" w:hAnsi="Times New Roman" w:cs="Times New Roman"/>
          <w:color w:val="FF0000"/>
          <w:sz w:val="18"/>
          <w:szCs w:val="18"/>
          <w:lang w:val="sr-Latn-BA"/>
        </w:rPr>
      </w:pPr>
      <w:r w:rsidRPr="00506C91">
        <w:rPr>
          <w:rStyle w:val="FootnoteReference"/>
          <w:rFonts w:cs="Times New Roman"/>
          <w:szCs w:val="18"/>
        </w:rPr>
        <w:footnoteRef/>
      </w:r>
      <w:r w:rsidRPr="00506C91">
        <w:rPr>
          <w:rFonts w:ascii="Times New Roman" w:hAnsi="Times New Roman" w:cs="Times New Roman"/>
          <w:sz w:val="18"/>
          <w:szCs w:val="18"/>
        </w:rPr>
        <w:t xml:space="preserve"> </w:t>
      </w:r>
      <w:r w:rsidRPr="00506C91">
        <w:rPr>
          <w:rFonts w:ascii="Times New Roman" w:eastAsia="Calibri" w:hAnsi="Times New Roman" w:cs="Times New Roman"/>
          <w:sz w:val="18"/>
          <w:szCs w:val="18"/>
        </w:rPr>
        <w:t xml:space="preserve">In contrast, predominantly “male jobs” are car maintenance (71.6% of them are exclusively or predominantly engaged in car maintenance) and minor repairs such as fuse replacement or gas cylinder (74.1%). Please see: </w:t>
      </w:r>
      <w:hyperlink r:id="rId15" w:history="1">
        <w:r w:rsidRPr="00506C91">
          <w:rPr>
            <w:rStyle w:val="Hyperlink"/>
            <w:rFonts w:ascii="Times New Roman" w:hAnsi="Times New Roman" w:cs="Times New Roman"/>
            <w:color w:val="auto"/>
            <w:sz w:val="18"/>
            <w:szCs w:val="18"/>
          </w:rPr>
          <w:t>https://arsbih.gov.ba/wp-content/uploads/2020/09/Uticaj-rodne-podjele-porodi%c4%8dnih-i-ku%c4%87anskih-poslova-na-profesionalni-%c5%beivot-zaposlenih-%c5%beena-u-BiH.pdf</w:t>
        </w:r>
      </w:hyperlink>
      <w:r w:rsidR="00506C91">
        <w:rPr>
          <w:rStyle w:val="Hyperlink"/>
          <w:rFonts w:ascii="Times New Roman" w:hAnsi="Times New Roman" w:cs="Times New Roman"/>
          <w:color w:val="auto"/>
          <w:sz w:val="18"/>
          <w:szCs w:val="18"/>
        </w:rPr>
        <w:t xml:space="preserve"> </w:t>
      </w:r>
    </w:p>
  </w:footnote>
  <w:footnote w:id="20">
    <w:p w14:paraId="3F51728B" w14:textId="77777777" w:rsidR="003B776F" w:rsidRPr="00506C91" w:rsidRDefault="003B776F" w:rsidP="00477BB4">
      <w:pPr>
        <w:pStyle w:val="FootnoteText"/>
        <w:tabs>
          <w:tab w:val="clear" w:pos="1021"/>
        </w:tabs>
        <w:ind w:left="0" w:right="0" w:firstLine="0"/>
        <w:rPr>
          <w:lang w:val="sr-Latn-BA"/>
        </w:rPr>
      </w:pPr>
      <w:r w:rsidRPr="00506C91">
        <w:rPr>
          <w:rStyle w:val="FootnoteReference"/>
        </w:rPr>
        <w:footnoteRef/>
      </w:r>
      <w:r w:rsidRPr="00506C91">
        <w:rPr>
          <w:lang w:val="sr-Latn-BA"/>
        </w:rPr>
        <w:t xml:space="preserve"> </w:t>
      </w:r>
      <w:r w:rsidRPr="00506C91">
        <w:rPr>
          <w:szCs w:val="18"/>
          <w:lang w:val="sr-Latn-BA"/>
        </w:rPr>
        <w:t xml:space="preserve">Please see: „Pristup žena sa invaliditetom u BiH seksualnom i reproduktivnom zdravlju i planiranju roditeljstva – Analiza stanja”, na: </w:t>
      </w:r>
      <w:hyperlink r:id="rId16" w:history="1">
        <w:r w:rsidRPr="00506C91">
          <w:rPr>
            <w:rStyle w:val="Hyperlink"/>
            <w:color w:val="auto"/>
            <w:szCs w:val="18"/>
            <w:lang w:val="sr-Latn-BA"/>
          </w:rPr>
          <w:t>http://hcabl.org/wp-content/uploads/2020/03/Pristup-%C5%BEena-sa-invaliditetom-u-BiH-seksualnom-i-reproduktivnom-zdravlju-i-planiranju-roditeljstva.pdf</w:t>
        </w:r>
      </w:hyperlink>
      <w:r w:rsidR="00506C91" w:rsidRPr="00506C91">
        <w:rPr>
          <w:rStyle w:val="Hyperlink"/>
          <w:color w:val="auto"/>
          <w:szCs w:val="18"/>
          <w:lang w:val="sr-Latn-BA"/>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B7F2D"/>
    <w:multiLevelType w:val="hybridMultilevel"/>
    <w:tmpl w:val="07C0C508"/>
    <w:lvl w:ilvl="0" w:tplc="775EE3BA">
      <w:numFmt w:val="bullet"/>
      <w:lvlText w:val="•"/>
      <w:lvlJc w:val="left"/>
      <w:pPr>
        <w:ind w:left="1689" w:hanging="555"/>
      </w:pPr>
      <w:rPr>
        <w:rFonts w:ascii="Times New Roman" w:eastAsia="SimSun" w:hAnsi="Times New Roman" w:cs="Times New Roman" w:hint="default"/>
      </w:rPr>
    </w:lvl>
    <w:lvl w:ilvl="1" w:tplc="141A0003" w:tentative="1">
      <w:start w:val="1"/>
      <w:numFmt w:val="bullet"/>
      <w:lvlText w:val="o"/>
      <w:lvlJc w:val="left"/>
      <w:pPr>
        <w:ind w:left="2214" w:hanging="360"/>
      </w:pPr>
      <w:rPr>
        <w:rFonts w:ascii="Courier New" w:hAnsi="Courier New" w:cs="Courier New" w:hint="default"/>
      </w:rPr>
    </w:lvl>
    <w:lvl w:ilvl="2" w:tplc="141A0005" w:tentative="1">
      <w:start w:val="1"/>
      <w:numFmt w:val="bullet"/>
      <w:lvlText w:val=""/>
      <w:lvlJc w:val="left"/>
      <w:pPr>
        <w:ind w:left="2934" w:hanging="360"/>
      </w:pPr>
      <w:rPr>
        <w:rFonts w:ascii="Wingdings" w:hAnsi="Wingdings" w:hint="default"/>
      </w:rPr>
    </w:lvl>
    <w:lvl w:ilvl="3" w:tplc="141A0001" w:tentative="1">
      <w:start w:val="1"/>
      <w:numFmt w:val="bullet"/>
      <w:lvlText w:val=""/>
      <w:lvlJc w:val="left"/>
      <w:pPr>
        <w:ind w:left="3654" w:hanging="360"/>
      </w:pPr>
      <w:rPr>
        <w:rFonts w:ascii="Symbol" w:hAnsi="Symbol" w:hint="default"/>
      </w:rPr>
    </w:lvl>
    <w:lvl w:ilvl="4" w:tplc="141A0003" w:tentative="1">
      <w:start w:val="1"/>
      <w:numFmt w:val="bullet"/>
      <w:lvlText w:val="o"/>
      <w:lvlJc w:val="left"/>
      <w:pPr>
        <w:ind w:left="4374" w:hanging="360"/>
      </w:pPr>
      <w:rPr>
        <w:rFonts w:ascii="Courier New" w:hAnsi="Courier New" w:cs="Courier New" w:hint="default"/>
      </w:rPr>
    </w:lvl>
    <w:lvl w:ilvl="5" w:tplc="141A0005" w:tentative="1">
      <w:start w:val="1"/>
      <w:numFmt w:val="bullet"/>
      <w:lvlText w:val=""/>
      <w:lvlJc w:val="left"/>
      <w:pPr>
        <w:ind w:left="5094" w:hanging="360"/>
      </w:pPr>
      <w:rPr>
        <w:rFonts w:ascii="Wingdings" w:hAnsi="Wingdings" w:hint="default"/>
      </w:rPr>
    </w:lvl>
    <w:lvl w:ilvl="6" w:tplc="141A0001" w:tentative="1">
      <w:start w:val="1"/>
      <w:numFmt w:val="bullet"/>
      <w:lvlText w:val=""/>
      <w:lvlJc w:val="left"/>
      <w:pPr>
        <w:ind w:left="5814" w:hanging="360"/>
      </w:pPr>
      <w:rPr>
        <w:rFonts w:ascii="Symbol" w:hAnsi="Symbol" w:hint="default"/>
      </w:rPr>
    </w:lvl>
    <w:lvl w:ilvl="7" w:tplc="141A0003" w:tentative="1">
      <w:start w:val="1"/>
      <w:numFmt w:val="bullet"/>
      <w:lvlText w:val="o"/>
      <w:lvlJc w:val="left"/>
      <w:pPr>
        <w:ind w:left="6534" w:hanging="360"/>
      </w:pPr>
      <w:rPr>
        <w:rFonts w:ascii="Courier New" w:hAnsi="Courier New" w:cs="Courier New" w:hint="default"/>
      </w:rPr>
    </w:lvl>
    <w:lvl w:ilvl="8" w:tplc="141A0005" w:tentative="1">
      <w:start w:val="1"/>
      <w:numFmt w:val="bullet"/>
      <w:lvlText w:val=""/>
      <w:lvlJc w:val="left"/>
      <w:pPr>
        <w:ind w:left="7254" w:hanging="360"/>
      </w:pPr>
      <w:rPr>
        <w:rFonts w:ascii="Wingdings" w:hAnsi="Wingdings" w:hint="default"/>
      </w:rPr>
    </w:lvl>
  </w:abstractNum>
  <w:abstractNum w:abstractNumId="1" w15:restartNumberingAfterBreak="0">
    <w:nsid w:val="1BE97B91"/>
    <w:multiLevelType w:val="hybridMultilevel"/>
    <w:tmpl w:val="693A48E8"/>
    <w:lvl w:ilvl="0" w:tplc="E2D47F20">
      <w:start w:val="1"/>
      <w:numFmt w:val="upperRoman"/>
      <w:lvlText w:val="%1."/>
      <w:lvlJc w:val="left"/>
      <w:pPr>
        <w:ind w:left="1392" w:hanging="720"/>
      </w:pPr>
      <w:rPr>
        <w:rFonts w:hint="default"/>
      </w:rPr>
    </w:lvl>
    <w:lvl w:ilvl="1" w:tplc="08090019" w:tentative="1">
      <w:start w:val="1"/>
      <w:numFmt w:val="lowerLetter"/>
      <w:lvlText w:val="%2."/>
      <w:lvlJc w:val="left"/>
      <w:pPr>
        <w:ind w:left="1752" w:hanging="360"/>
      </w:pPr>
    </w:lvl>
    <w:lvl w:ilvl="2" w:tplc="0809001B" w:tentative="1">
      <w:start w:val="1"/>
      <w:numFmt w:val="lowerRoman"/>
      <w:lvlText w:val="%3."/>
      <w:lvlJc w:val="right"/>
      <w:pPr>
        <w:ind w:left="2472" w:hanging="180"/>
      </w:pPr>
    </w:lvl>
    <w:lvl w:ilvl="3" w:tplc="0809000F" w:tentative="1">
      <w:start w:val="1"/>
      <w:numFmt w:val="decimal"/>
      <w:lvlText w:val="%4."/>
      <w:lvlJc w:val="left"/>
      <w:pPr>
        <w:ind w:left="3192" w:hanging="360"/>
      </w:pPr>
    </w:lvl>
    <w:lvl w:ilvl="4" w:tplc="08090019" w:tentative="1">
      <w:start w:val="1"/>
      <w:numFmt w:val="lowerLetter"/>
      <w:lvlText w:val="%5."/>
      <w:lvlJc w:val="left"/>
      <w:pPr>
        <w:ind w:left="3912" w:hanging="360"/>
      </w:pPr>
    </w:lvl>
    <w:lvl w:ilvl="5" w:tplc="0809001B" w:tentative="1">
      <w:start w:val="1"/>
      <w:numFmt w:val="lowerRoman"/>
      <w:lvlText w:val="%6."/>
      <w:lvlJc w:val="right"/>
      <w:pPr>
        <w:ind w:left="4632" w:hanging="180"/>
      </w:pPr>
    </w:lvl>
    <w:lvl w:ilvl="6" w:tplc="0809000F" w:tentative="1">
      <w:start w:val="1"/>
      <w:numFmt w:val="decimal"/>
      <w:lvlText w:val="%7."/>
      <w:lvlJc w:val="left"/>
      <w:pPr>
        <w:ind w:left="5352" w:hanging="360"/>
      </w:pPr>
    </w:lvl>
    <w:lvl w:ilvl="7" w:tplc="08090019" w:tentative="1">
      <w:start w:val="1"/>
      <w:numFmt w:val="lowerLetter"/>
      <w:lvlText w:val="%8."/>
      <w:lvlJc w:val="left"/>
      <w:pPr>
        <w:ind w:left="6072" w:hanging="360"/>
      </w:pPr>
    </w:lvl>
    <w:lvl w:ilvl="8" w:tplc="0809001B" w:tentative="1">
      <w:start w:val="1"/>
      <w:numFmt w:val="lowerRoman"/>
      <w:lvlText w:val="%9."/>
      <w:lvlJc w:val="right"/>
      <w:pPr>
        <w:ind w:left="6792" w:hanging="180"/>
      </w:pPr>
    </w:lvl>
  </w:abstractNum>
  <w:abstractNum w:abstractNumId="2" w15:restartNumberingAfterBreak="0">
    <w:nsid w:val="3AB74F51"/>
    <w:multiLevelType w:val="hybridMultilevel"/>
    <w:tmpl w:val="22568342"/>
    <w:lvl w:ilvl="0" w:tplc="08090001">
      <w:start w:val="1"/>
      <w:numFmt w:val="bullet"/>
      <w:lvlText w:val=""/>
      <w:lvlJc w:val="left"/>
      <w:pPr>
        <w:ind w:left="165" w:hanging="360"/>
      </w:pPr>
      <w:rPr>
        <w:rFonts w:ascii="Symbol" w:hAnsi="Symbol" w:hint="default"/>
      </w:rPr>
    </w:lvl>
    <w:lvl w:ilvl="1" w:tplc="08090003" w:tentative="1">
      <w:start w:val="1"/>
      <w:numFmt w:val="bullet"/>
      <w:lvlText w:val="o"/>
      <w:lvlJc w:val="left"/>
      <w:pPr>
        <w:ind w:left="885" w:hanging="360"/>
      </w:pPr>
      <w:rPr>
        <w:rFonts w:ascii="Courier New" w:hAnsi="Courier New" w:cs="Courier New" w:hint="default"/>
      </w:rPr>
    </w:lvl>
    <w:lvl w:ilvl="2" w:tplc="08090005" w:tentative="1">
      <w:start w:val="1"/>
      <w:numFmt w:val="bullet"/>
      <w:lvlText w:val=""/>
      <w:lvlJc w:val="left"/>
      <w:pPr>
        <w:ind w:left="1605" w:hanging="360"/>
      </w:pPr>
      <w:rPr>
        <w:rFonts w:ascii="Wingdings" w:hAnsi="Wingdings" w:hint="default"/>
      </w:rPr>
    </w:lvl>
    <w:lvl w:ilvl="3" w:tplc="08090001" w:tentative="1">
      <w:start w:val="1"/>
      <w:numFmt w:val="bullet"/>
      <w:lvlText w:val=""/>
      <w:lvlJc w:val="left"/>
      <w:pPr>
        <w:ind w:left="2325" w:hanging="360"/>
      </w:pPr>
      <w:rPr>
        <w:rFonts w:ascii="Symbol" w:hAnsi="Symbol" w:hint="default"/>
      </w:rPr>
    </w:lvl>
    <w:lvl w:ilvl="4" w:tplc="08090003" w:tentative="1">
      <w:start w:val="1"/>
      <w:numFmt w:val="bullet"/>
      <w:lvlText w:val="o"/>
      <w:lvlJc w:val="left"/>
      <w:pPr>
        <w:ind w:left="3045" w:hanging="360"/>
      </w:pPr>
      <w:rPr>
        <w:rFonts w:ascii="Courier New" w:hAnsi="Courier New" w:cs="Courier New" w:hint="default"/>
      </w:rPr>
    </w:lvl>
    <w:lvl w:ilvl="5" w:tplc="08090005" w:tentative="1">
      <w:start w:val="1"/>
      <w:numFmt w:val="bullet"/>
      <w:lvlText w:val=""/>
      <w:lvlJc w:val="left"/>
      <w:pPr>
        <w:ind w:left="3765" w:hanging="360"/>
      </w:pPr>
      <w:rPr>
        <w:rFonts w:ascii="Wingdings" w:hAnsi="Wingdings" w:hint="default"/>
      </w:rPr>
    </w:lvl>
    <w:lvl w:ilvl="6" w:tplc="08090001" w:tentative="1">
      <w:start w:val="1"/>
      <w:numFmt w:val="bullet"/>
      <w:lvlText w:val=""/>
      <w:lvlJc w:val="left"/>
      <w:pPr>
        <w:ind w:left="4485" w:hanging="360"/>
      </w:pPr>
      <w:rPr>
        <w:rFonts w:ascii="Symbol" w:hAnsi="Symbol" w:hint="default"/>
      </w:rPr>
    </w:lvl>
    <w:lvl w:ilvl="7" w:tplc="08090003" w:tentative="1">
      <w:start w:val="1"/>
      <w:numFmt w:val="bullet"/>
      <w:lvlText w:val="o"/>
      <w:lvlJc w:val="left"/>
      <w:pPr>
        <w:ind w:left="5205" w:hanging="360"/>
      </w:pPr>
      <w:rPr>
        <w:rFonts w:ascii="Courier New" w:hAnsi="Courier New" w:cs="Courier New" w:hint="default"/>
      </w:rPr>
    </w:lvl>
    <w:lvl w:ilvl="8" w:tplc="08090005" w:tentative="1">
      <w:start w:val="1"/>
      <w:numFmt w:val="bullet"/>
      <w:lvlText w:val=""/>
      <w:lvlJc w:val="left"/>
      <w:pPr>
        <w:ind w:left="5925" w:hanging="360"/>
      </w:pPr>
      <w:rPr>
        <w:rFonts w:ascii="Wingdings" w:hAnsi="Wingdings" w:hint="default"/>
      </w:rPr>
    </w:lvl>
  </w:abstractNum>
  <w:abstractNum w:abstractNumId="3" w15:restartNumberingAfterBreak="0">
    <w:nsid w:val="430735C4"/>
    <w:multiLevelType w:val="hybridMultilevel"/>
    <w:tmpl w:val="AC781C40"/>
    <w:lvl w:ilvl="0" w:tplc="775EE3BA">
      <w:numFmt w:val="bullet"/>
      <w:lvlText w:val="•"/>
      <w:lvlJc w:val="left"/>
      <w:pPr>
        <w:ind w:left="1329" w:hanging="555"/>
      </w:pPr>
      <w:rPr>
        <w:rFonts w:ascii="Times New Roman" w:eastAsia="SimSu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6F72366"/>
    <w:multiLevelType w:val="hybridMultilevel"/>
    <w:tmpl w:val="844821CE"/>
    <w:lvl w:ilvl="0" w:tplc="141A0001">
      <w:start w:val="1"/>
      <w:numFmt w:val="bullet"/>
      <w:lvlText w:val=""/>
      <w:lvlJc w:val="left"/>
      <w:pPr>
        <w:ind w:left="1854" w:hanging="360"/>
      </w:pPr>
      <w:rPr>
        <w:rFonts w:ascii="Symbol" w:hAnsi="Symbol" w:hint="default"/>
      </w:rPr>
    </w:lvl>
    <w:lvl w:ilvl="1" w:tplc="141A0003" w:tentative="1">
      <w:start w:val="1"/>
      <w:numFmt w:val="bullet"/>
      <w:lvlText w:val="o"/>
      <w:lvlJc w:val="left"/>
      <w:pPr>
        <w:ind w:left="2574" w:hanging="360"/>
      </w:pPr>
      <w:rPr>
        <w:rFonts w:ascii="Courier New" w:hAnsi="Courier New" w:cs="Courier New" w:hint="default"/>
      </w:rPr>
    </w:lvl>
    <w:lvl w:ilvl="2" w:tplc="141A0005" w:tentative="1">
      <w:start w:val="1"/>
      <w:numFmt w:val="bullet"/>
      <w:lvlText w:val=""/>
      <w:lvlJc w:val="left"/>
      <w:pPr>
        <w:ind w:left="3294" w:hanging="360"/>
      </w:pPr>
      <w:rPr>
        <w:rFonts w:ascii="Wingdings" w:hAnsi="Wingdings" w:hint="default"/>
      </w:rPr>
    </w:lvl>
    <w:lvl w:ilvl="3" w:tplc="141A0001" w:tentative="1">
      <w:start w:val="1"/>
      <w:numFmt w:val="bullet"/>
      <w:lvlText w:val=""/>
      <w:lvlJc w:val="left"/>
      <w:pPr>
        <w:ind w:left="4014" w:hanging="360"/>
      </w:pPr>
      <w:rPr>
        <w:rFonts w:ascii="Symbol" w:hAnsi="Symbol" w:hint="default"/>
      </w:rPr>
    </w:lvl>
    <w:lvl w:ilvl="4" w:tplc="141A0003" w:tentative="1">
      <w:start w:val="1"/>
      <w:numFmt w:val="bullet"/>
      <w:lvlText w:val="o"/>
      <w:lvlJc w:val="left"/>
      <w:pPr>
        <w:ind w:left="4734" w:hanging="360"/>
      </w:pPr>
      <w:rPr>
        <w:rFonts w:ascii="Courier New" w:hAnsi="Courier New" w:cs="Courier New" w:hint="default"/>
      </w:rPr>
    </w:lvl>
    <w:lvl w:ilvl="5" w:tplc="141A0005" w:tentative="1">
      <w:start w:val="1"/>
      <w:numFmt w:val="bullet"/>
      <w:lvlText w:val=""/>
      <w:lvlJc w:val="left"/>
      <w:pPr>
        <w:ind w:left="5454" w:hanging="360"/>
      </w:pPr>
      <w:rPr>
        <w:rFonts w:ascii="Wingdings" w:hAnsi="Wingdings" w:hint="default"/>
      </w:rPr>
    </w:lvl>
    <w:lvl w:ilvl="6" w:tplc="141A0001" w:tentative="1">
      <w:start w:val="1"/>
      <w:numFmt w:val="bullet"/>
      <w:lvlText w:val=""/>
      <w:lvlJc w:val="left"/>
      <w:pPr>
        <w:ind w:left="6174" w:hanging="360"/>
      </w:pPr>
      <w:rPr>
        <w:rFonts w:ascii="Symbol" w:hAnsi="Symbol" w:hint="default"/>
      </w:rPr>
    </w:lvl>
    <w:lvl w:ilvl="7" w:tplc="141A0003" w:tentative="1">
      <w:start w:val="1"/>
      <w:numFmt w:val="bullet"/>
      <w:lvlText w:val="o"/>
      <w:lvlJc w:val="left"/>
      <w:pPr>
        <w:ind w:left="6894" w:hanging="360"/>
      </w:pPr>
      <w:rPr>
        <w:rFonts w:ascii="Courier New" w:hAnsi="Courier New" w:cs="Courier New" w:hint="default"/>
      </w:rPr>
    </w:lvl>
    <w:lvl w:ilvl="8" w:tplc="141A0005" w:tentative="1">
      <w:start w:val="1"/>
      <w:numFmt w:val="bullet"/>
      <w:lvlText w:val=""/>
      <w:lvlJc w:val="left"/>
      <w:pPr>
        <w:ind w:left="7614"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321"/>
    <w:rsid w:val="00037C89"/>
    <w:rsid w:val="0013668E"/>
    <w:rsid w:val="002E217B"/>
    <w:rsid w:val="00383D31"/>
    <w:rsid w:val="003B776F"/>
    <w:rsid w:val="004409BF"/>
    <w:rsid w:val="00477BB4"/>
    <w:rsid w:val="00506C91"/>
    <w:rsid w:val="0059271A"/>
    <w:rsid w:val="005D0210"/>
    <w:rsid w:val="005D5FD5"/>
    <w:rsid w:val="005E1D4C"/>
    <w:rsid w:val="005E25E2"/>
    <w:rsid w:val="00926321"/>
    <w:rsid w:val="009B5CC3"/>
    <w:rsid w:val="00A075D2"/>
    <w:rsid w:val="00CF2263"/>
    <w:rsid w:val="00D51B42"/>
    <w:rsid w:val="00DC7E50"/>
    <w:rsid w:val="00E83CF8"/>
    <w:rsid w:val="00FA15E7"/>
  </w:rsids>
  <m:mathPr>
    <m:mathFont m:val="Cambria Math"/>
    <m:brkBin m:val="before"/>
    <m:brkBinSub m:val="--"/>
    <m:smallFrac m:val="0"/>
    <m:dispDef/>
    <m:lMargin m:val="0"/>
    <m:rMargin m:val="0"/>
    <m:defJc m:val="centerGroup"/>
    <m:wrapIndent m:val="1440"/>
    <m:intLim m:val="subSup"/>
    <m:naryLim m:val="undOvr"/>
  </m:mathPr>
  <w:themeFontLang w:val="bs-Latn-B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77468"/>
  <w15:chartTrackingRefBased/>
  <w15:docId w15:val="{FE17E9DC-41BA-401A-95B7-4B8D5C150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ChG">
    <w:name w:val="_ H _Ch_G"/>
    <w:basedOn w:val="Normal"/>
    <w:next w:val="Normal"/>
    <w:qFormat/>
    <w:rsid w:val="003B776F"/>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n-GB"/>
    </w:rPr>
  </w:style>
  <w:style w:type="paragraph" w:styleId="FootnoteText">
    <w:name w:val="footnote text"/>
    <w:aliases w:val="5_G"/>
    <w:basedOn w:val="Normal"/>
    <w:link w:val="FootnoteTextChar"/>
    <w:uiPriority w:val="99"/>
    <w:qFormat/>
    <w:rsid w:val="003B776F"/>
    <w:pPr>
      <w:tabs>
        <w:tab w:val="right" w:pos="1021"/>
      </w:tabs>
      <w:suppressAutoHyphens/>
      <w:spacing w:after="0" w:line="220" w:lineRule="exact"/>
      <w:ind w:left="1134" w:right="1134" w:hanging="1134"/>
    </w:pPr>
    <w:rPr>
      <w:rFonts w:ascii="Times New Roman" w:eastAsia="SimSun" w:hAnsi="Times New Roman" w:cs="Times New Roman"/>
      <w:sz w:val="18"/>
      <w:szCs w:val="20"/>
      <w:lang w:val="en-GB" w:eastAsia="zh-CN"/>
    </w:rPr>
  </w:style>
  <w:style w:type="character" w:customStyle="1" w:styleId="FootnoteTextChar">
    <w:name w:val="Footnote Text Char"/>
    <w:aliases w:val="5_G Char"/>
    <w:basedOn w:val="DefaultParagraphFont"/>
    <w:link w:val="FootnoteText"/>
    <w:uiPriority w:val="99"/>
    <w:rsid w:val="003B776F"/>
    <w:rPr>
      <w:rFonts w:ascii="Times New Roman" w:eastAsia="SimSun" w:hAnsi="Times New Roman" w:cs="Times New Roman"/>
      <w:sz w:val="18"/>
      <w:szCs w:val="20"/>
      <w:lang w:val="en-GB" w:eastAsia="zh-CN"/>
    </w:rPr>
  </w:style>
  <w:style w:type="character" w:styleId="FootnoteReference">
    <w:name w:val="footnote reference"/>
    <w:aliases w:val="4_G,Footnote Reference1,ftref,Char Char,Footnote Reference1 Char,ftref Char,Char Char Char,Footnote Text Char2 Char,Footnote Text Char1 Char Char,Footnote Text Char Char Char Char,single space Char1 Char,ft Char1 Char,fr,BVI fnr Char"/>
    <w:link w:val="BVIfnrCharCharChar1"/>
    <w:uiPriority w:val="99"/>
    <w:qFormat/>
    <w:rsid w:val="003B776F"/>
    <w:rPr>
      <w:rFonts w:ascii="Times New Roman" w:hAnsi="Times New Roman"/>
      <w:sz w:val="18"/>
      <w:vertAlign w:val="superscript"/>
    </w:rPr>
  </w:style>
  <w:style w:type="paragraph" w:customStyle="1" w:styleId="SingleTxtG">
    <w:name w:val="_ Single Txt_G"/>
    <w:basedOn w:val="Normal"/>
    <w:link w:val="SingleTxtGChar"/>
    <w:qFormat/>
    <w:rsid w:val="003B776F"/>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rsid w:val="003B776F"/>
    <w:rPr>
      <w:rFonts w:ascii="Times New Roman" w:eastAsia="SimSun" w:hAnsi="Times New Roman" w:cs="Times New Roman"/>
      <w:sz w:val="20"/>
      <w:szCs w:val="20"/>
      <w:lang w:val="en-GB" w:eastAsia="zh-CN"/>
    </w:rPr>
  </w:style>
  <w:style w:type="character" w:styleId="CommentReference">
    <w:name w:val="annotation reference"/>
    <w:basedOn w:val="DefaultParagraphFont"/>
    <w:uiPriority w:val="99"/>
    <w:semiHidden/>
    <w:unhideWhenUsed/>
    <w:rsid w:val="003B776F"/>
    <w:rPr>
      <w:sz w:val="16"/>
      <w:szCs w:val="16"/>
    </w:rPr>
  </w:style>
  <w:style w:type="paragraph" w:styleId="CommentText">
    <w:name w:val="annotation text"/>
    <w:basedOn w:val="Normal"/>
    <w:link w:val="CommentTextChar"/>
    <w:uiPriority w:val="99"/>
    <w:semiHidden/>
    <w:unhideWhenUsed/>
    <w:rsid w:val="003B776F"/>
    <w:pPr>
      <w:suppressAutoHyphens/>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3B776F"/>
    <w:rPr>
      <w:rFonts w:ascii="Times New Roman" w:eastAsia="Times New Roman" w:hAnsi="Times New Roman" w:cs="Times New Roman"/>
      <w:sz w:val="20"/>
      <w:szCs w:val="20"/>
      <w:lang w:val="en-GB"/>
    </w:rPr>
  </w:style>
  <w:style w:type="paragraph" w:styleId="BalloonText">
    <w:name w:val="Balloon Text"/>
    <w:basedOn w:val="Normal"/>
    <w:link w:val="BalloonTextChar"/>
    <w:uiPriority w:val="99"/>
    <w:semiHidden/>
    <w:unhideWhenUsed/>
    <w:rsid w:val="003B77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776F"/>
    <w:rPr>
      <w:rFonts w:ascii="Segoe UI" w:hAnsi="Segoe UI" w:cs="Segoe UI"/>
      <w:sz w:val="18"/>
      <w:szCs w:val="18"/>
    </w:rPr>
  </w:style>
  <w:style w:type="character" w:styleId="Hyperlink">
    <w:name w:val="Hyperlink"/>
    <w:basedOn w:val="DefaultParagraphFont"/>
    <w:uiPriority w:val="99"/>
    <w:unhideWhenUsed/>
    <w:rsid w:val="003B776F"/>
    <w:rPr>
      <w:color w:val="0563C1" w:themeColor="hyperlink"/>
      <w:u w:val="single"/>
    </w:rPr>
  </w:style>
  <w:style w:type="paragraph" w:customStyle="1" w:styleId="H23G">
    <w:name w:val="_ H_2/3_G"/>
    <w:basedOn w:val="Normal"/>
    <w:next w:val="Normal"/>
    <w:qFormat/>
    <w:rsid w:val="003B776F"/>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character" w:customStyle="1" w:styleId="fontstyle01">
    <w:name w:val="fontstyle01"/>
    <w:basedOn w:val="DefaultParagraphFont"/>
    <w:rsid w:val="003B776F"/>
    <w:rPr>
      <w:rFonts w:ascii="OpenSans-Light" w:hAnsi="OpenSans-Light" w:hint="default"/>
      <w:b w:val="0"/>
      <w:bCs w:val="0"/>
      <w:i w:val="0"/>
      <w:iCs w:val="0"/>
      <w:color w:val="242021"/>
      <w:sz w:val="14"/>
      <w:szCs w:val="14"/>
    </w:rPr>
  </w:style>
  <w:style w:type="character" w:customStyle="1" w:styleId="fontstyle21">
    <w:name w:val="fontstyle21"/>
    <w:basedOn w:val="DefaultParagraphFont"/>
    <w:rsid w:val="003B776F"/>
    <w:rPr>
      <w:rFonts w:ascii="OpenSansLight-Italic" w:hAnsi="OpenSansLight-Italic" w:hint="default"/>
      <w:b w:val="0"/>
      <w:bCs w:val="0"/>
      <w:i/>
      <w:iCs/>
      <w:color w:val="242021"/>
      <w:sz w:val="14"/>
      <w:szCs w:val="14"/>
    </w:rPr>
  </w:style>
  <w:style w:type="character" w:customStyle="1" w:styleId="A4">
    <w:name w:val="A4"/>
    <w:uiPriority w:val="99"/>
    <w:rsid w:val="003B776F"/>
    <w:rPr>
      <w:rFonts w:cs="Garamond"/>
      <w:color w:val="000000"/>
    </w:rPr>
  </w:style>
  <w:style w:type="character" w:customStyle="1" w:styleId="A8">
    <w:name w:val="A8"/>
    <w:uiPriority w:val="99"/>
    <w:rsid w:val="003B776F"/>
    <w:rPr>
      <w:rFonts w:cs="Garamond"/>
      <w:color w:val="000000"/>
      <w:sz w:val="14"/>
      <w:szCs w:val="14"/>
    </w:rPr>
  </w:style>
  <w:style w:type="paragraph" w:customStyle="1" w:styleId="Pa10">
    <w:name w:val="Pa10"/>
    <w:basedOn w:val="Normal"/>
    <w:next w:val="Normal"/>
    <w:uiPriority w:val="99"/>
    <w:rsid w:val="003B776F"/>
    <w:pPr>
      <w:autoSpaceDE w:val="0"/>
      <w:autoSpaceDN w:val="0"/>
      <w:adjustRightInd w:val="0"/>
      <w:spacing w:after="0" w:line="221" w:lineRule="atLeast"/>
    </w:pPr>
    <w:rPr>
      <w:rFonts w:ascii="Garamond" w:eastAsia="SimSun" w:hAnsi="Garamond"/>
      <w:sz w:val="24"/>
      <w:szCs w:val="24"/>
      <w:lang w:val="en-US" w:eastAsia="zh-CN"/>
    </w:rPr>
  </w:style>
  <w:style w:type="paragraph" w:styleId="Header">
    <w:name w:val="header"/>
    <w:basedOn w:val="Normal"/>
    <w:link w:val="HeaderChar"/>
    <w:uiPriority w:val="99"/>
    <w:unhideWhenUsed/>
    <w:rsid w:val="00383D31"/>
    <w:pPr>
      <w:tabs>
        <w:tab w:val="center" w:pos="4536"/>
        <w:tab w:val="right" w:pos="9072"/>
      </w:tabs>
      <w:spacing w:after="0" w:line="240" w:lineRule="auto"/>
    </w:pPr>
  </w:style>
  <w:style w:type="character" w:customStyle="1" w:styleId="HeaderChar">
    <w:name w:val="Header Char"/>
    <w:basedOn w:val="DefaultParagraphFont"/>
    <w:link w:val="Header"/>
    <w:uiPriority w:val="99"/>
    <w:rsid w:val="00383D31"/>
  </w:style>
  <w:style w:type="paragraph" w:styleId="Footer">
    <w:name w:val="footer"/>
    <w:basedOn w:val="Normal"/>
    <w:link w:val="FooterChar"/>
    <w:uiPriority w:val="99"/>
    <w:unhideWhenUsed/>
    <w:rsid w:val="00383D31"/>
    <w:pPr>
      <w:tabs>
        <w:tab w:val="center" w:pos="4536"/>
        <w:tab w:val="right" w:pos="9072"/>
      </w:tabs>
      <w:spacing w:after="0" w:line="240" w:lineRule="auto"/>
    </w:pPr>
  </w:style>
  <w:style w:type="character" w:customStyle="1" w:styleId="FooterChar">
    <w:name w:val="Footer Char"/>
    <w:basedOn w:val="DefaultParagraphFont"/>
    <w:link w:val="Footer"/>
    <w:uiPriority w:val="99"/>
    <w:rsid w:val="00383D31"/>
  </w:style>
  <w:style w:type="paragraph" w:customStyle="1" w:styleId="BVIfnrCharCharChar1">
    <w:name w:val="BVI fnr Char Char Char1"/>
    <w:aliases w:val="16 Point Char Char Char1,Superscript 6 Point Char Char Char1,nota pié di pagina Char Char Char1,Times 10 Point Char Char Char1,Exposant 3 Point Char Char Char1,Footnote symbol Char Char Char1,BVI fnr Char Char"/>
    <w:basedOn w:val="Normal"/>
    <w:link w:val="FootnoteReference"/>
    <w:uiPriority w:val="99"/>
    <w:rsid w:val="009B5CC3"/>
    <w:pPr>
      <w:spacing w:after="120" w:line="240" w:lineRule="exact"/>
      <w:jc w:val="both"/>
    </w:pPr>
    <w:rPr>
      <w:rFonts w:ascii="Times New Roman" w:hAnsi="Times New Roman"/>
      <w:sz w:val="18"/>
      <w:vertAlign w:val="superscript"/>
    </w:rPr>
  </w:style>
  <w:style w:type="paragraph" w:styleId="NoSpacing">
    <w:name w:val="No Spacing"/>
    <w:link w:val="NoSpacingChar"/>
    <w:uiPriority w:val="1"/>
    <w:qFormat/>
    <w:rsid w:val="009B5CC3"/>
    <w:pPr>
      <w:spacing w:after="0" w:line="240" w:lineRule="auto"/>
    </w:pPr>
    <w:rPr>
      <w:rFonts w:ascii="Calibri" w:eastAsiaTheme="minorEastAsia" w:hAnsi="Calibri" w:cs="Calibri"/>
      <w:sz w:val="21"/>
      <w:szCs w:val="21"/>
      <w:lang w:val="en-GB"/>
    </w:rPr>
  </w:style>
  <w:style w:type="character" w:customStyle="1" w:styleId="NoSpacingChar">
    <w:name w:val="No Spacing Char"/>
    <w:basedOn w:val="DefaultParagraphFont"/>
    <w:link w:val="NoSpacing"/>
    <w:uiPriority w:val="1"/>
    <w:rsid w:val="009B5CC3"/>
    <w:rPr>
      <w:rFonts w:ascii="Calibri" w:eastAsiaTheme="minorEastAsia" w:hAnsi="Calibri" w:cs="Calibri"/>
      <w:sz w:val="21"/>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lpf.org/wp-content/uploads/2017/09/ExecutiveSummaryCaseofBosnia.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yperlink" Target="http://hcabl.org/wp-content/uploads/2016/11/CEDAW-ENG-web.pdf" TargetMode="External"/><Relationship Id="rId4" Type="http://schemas.openxmlformats.org/officeDocument/2006/relationships/webSettings" Target="webSettings.xml"/><Relationship Id="rId9" Type="http://schemas.openxmlformats.org/officeDocument/2006/relationships/hyperlink" Target="https://soc.ba/en/orange-report-6-report-on-the-state-of-human-rights-of-women-in-bosniaa-and-herzegovina-in-2020/" TargetMode="Externa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8" Type="http://schemas.openxmlformats.org/officeDocument/2006/relationships/hyperlink" Target="https://soc.ba/site/wp-content/uploads/2021/06/Socio-ekonomski-polozaj-LGBTI-osoba-u-BiH-web.pdf" TargetMode="External"/><Relationship Id="rId13" Type="http://schemas.openxmlformats.org/officeDocument/2006/relationships/hyperlink" Target="https://safejournalists.net/wp-content/uploads/2021/07/BiH-BiH-2020.pdf" TargetMode="External"/><Relationship Id="rId3" Type="http://schemas.openxmlformats.org/officeDocument/2006/relationships/hyperlink" Target="https://eu-monitoring.ba/site/wp-content/uploads/2015/10/Zakon-o-Instituciji-ombudsmana-za-ljudska-prava-BiH.pdf" TargetMode="External"/><Relationship Id="rId7" Type="http://schemas.openxmlformats.org/officeDocument/2006/relationships/hyperlink" Target="https://www.plata.ba/plate-u-zemlji" TargetMode="External"/><Relationship Id="rId12" Type="http://schemas.openxmlformats.org/officeDocument/2006/relationships/hyperlink" Target="https://slobodanarodu.ba/status-ljudskih-prava-u-2020-godini-bosna-i-hercegovina/" TargetMode="External"/><Relationship Id="rId2" Type="http://schemas.openxmlformats.org/officeDocument/2006/relationships/hyperlink" Target="https://eu-monitoring.ba/" TargetMode="External"/><Relationship Id="rId16" Type="http://schemas.openxmlformats.org/officeDocument/2006/relationships/hyperlink" Target="http://hcabl.org/wp-content/uploads/2020/03/Pristup-%C5%BEena-sa-invaliditetom-u-BiH-seksualnom-i-reproduktivnom-zdravlju-i-planiranju-roditeljstva.pdf" TargetMode="External"/><Relationship Id="rId1" Type="http://schemas.openxmlformats.org/officeDocument/2006/relationships/hyperlink" Target="http://context.reverso.net/traduction/anglais-francais/sixtieth" TargetMode="External"/><Relationship Id="rId6" Type="http://schemas.openxmlformats.org/officeDocument/2006/relationships/hyperlink" Target="https://www.plata.ba/plate-u-zemlji" TargetMode="External"/><Relationship Id="rId11" Type="http://schemas.openxmlformats.org/officeDocument/2006/relationships/hyperlink" Target="https://euresurs-api.page-services.net//Content/Documents/Volonterizam_-_Nedovoljno_iskori&#353;ten_potencijal_u_OCD_u_BiH1604932833172.pdf" TargetMode="External"/><Relationship Id="rId5" Type="http://schemas.openxmlformats.org/officeDocument/2006/relationships/hyperlink" Target="https://bhas.gov.ba/data/Publikacije/Saopstenja/2021/LAB_00_2021_Q1_1_BS.pdf" TargetMode="External"/><Relationship Id="rId15" Type="http://schemas.openxmlformats.org/officeDocument/2006/relationships/hyperlink" Target="https://arsbih.gov.ba/wp-content/uploads/2020/09/Uticaj-rodne-podjele-porodi%c4%8dnih-i-ku%c4%87anskih-poslova-na-profesionalni-%c5%beivot-zaposlenih-%c5%beena-u-BiH.pdf" TargetMode="External"/><Relationship Id="rId10" Type="http://schemas.openxmlformats.org/officeDocument/2006/relationships/hyperlink" Target="http://stbih.ba/" TargetMode="External"/><Relationship Id="rId4" Type="http://schemas.openxmlformats.org/officeDocument/2006/relationships/hyperlink" Target="https://bhas.gov.ba/data/Publikacije/Saopstenja/2021/LAB_00_2021_Q1_1_BS.pdf" TargetMode="External"/><Relationship Id="rId9" Type="http://schemas.openxmlformats.org/officeDocument/2006/relationships/hyperlink" Target="https://soc.ba/site/wp-content/uploads/2021/06/Socio-ekonomski-polozaj-LGBTI-osoba-u-BiH-web.pdf" TargetMode="External"/><Relationship Id="rId14" Type="http://schemas.openxmlformats.org/officeDocument/2006/relationships/hyperlink" Target="https://bhnovinari.ba/wp-content/uploads/2018/07/Zene-i-mediji-13maj2018-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A06986-12FB-413B-89C6-0BF22B5251FA}"/>
</file>

<file path=customXml/itemProps2.xml><?xml version="1.0" encoding="utf-8"?>
<ds:datastoreItem xmlns:ds="http://schemas.openxmlformats.org/officeDocument/2006/customXml" ds:itemID="{6D9FE7F4-F77B-44F8-8D51-0186A0213081}"/>
</file>

<file path=customXml/itemProps3.xml><?xml version="1.0" encoding="utf-8"?>
<ds:datastoreItem xmlns:ds="http://schemas.openxmlformats.org/officeDocument/2006/customXml" ds:itemID="{64FA3EBD-64D7-47D6-A36D-E3B810298D37}"/>
</file>

<file path=docProps/app.xml><?xml version="1.0" encoding="utf-8"?>
<Properties xmlns="http://schemas.openxmlformats.org/officeDocument/2006/extended-properties" xmlns:vt="http://schemas.openxmlformats.org/officeDocument/2006/docPropsVTypes">
  <Template>Normal.dotm</Template>
  <TotalTime>0</TotalTime>
  <Pages>20</Pages>
  <Words>9749</Words>
  <Characters>55574</Characters>
  <Application>Microsoft Office Word</Application>
  <DocSecurity>4</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Dajana</dc:creator>
  <cp:keywords/>
  <dc:description/>
  <cp:lastModifiedBy>KIM Jung Rin</cp:lastModifiedBy>
  <cp:revision>2</cp:revision>
  <dcterms:created xsi:type="dcterms:W3CDTF">2021-09-17T18:07:00Z</dcterms:created>
  <dcterms:modified xsi:type="dcterms:W3CDTF">2021-09-17T18:07:00Z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