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1D74DF" w14:textId="77777777" w:rsidR="005E3BA7" w:rsidRPr="005E3BA7" w:rsidRDefault="005E3BA7" w:rsidP="005E3BA7">
      <w:pPr>
        <w:jc w:val="center"/>
        <w:rPr>
          <w:rFonts w:ascii="Tajawal" w:eastAsia="Tajawal" w:hAnsi="Tajawal" w:cs="Tajawal"/>
          <w:b/>
          <w:color w:val="538135"/>
          <w:sz w:val="28"/>
          <w:szCs w:val="28"/>
        </w:rPr>
      </w:pPr>
      <w:r w:rsidRPr="005E3BA7">
        <w:rPr>
          <w:rFonts w:ascii="Tajawal" w:eastAsia="Tajawal" w:hAnsi="Tajawal" w:cs="Tajawal"/>
          <w:b/>
          <w:color w:val="538135"/>
          <w:sz w:val="28"/>
          <w:szCs w:val="28"/>
        </w:rPr>
        <w:t>Report submitted to the Committee on Enforced Disappearances regarding Norway</w:t>
      </w:r>
    </w:p>
    <w:p w14:paraId="34198F71" w14:textId="08C3E0A8" w:rsidR="005E3BA7" w:rsidRPr="002B1BA2" w:rsidRDefault="005E3BA7" w:rsidP="005E3BA7">
      <w:pPr>
        <w:jc w:val="center"/>
        <w:rPr>
          <w:rFonts w:ascii="Tajawal" w:eastAsia="Tajawal" w:hAnsi="Tajawal" w:cs="Tajawal"/>
          <w:b/>
          <w:color w:val="4472C4" w:themeColor="accent1"/>
          <w:sz w:val="24"/>
          <w:szCs w:val="24"/>
        </w:rPr>
      </w:pPr>
      <w:r w:rsidRPr="002B1BA2">
        <w:rPr>
          <w:rFonts w:ascii="Tajawal" w:eastAsia="Tajawal" w:hAnsi="Tajawal" w:cs="Tajawal"/>
          <w:b/>
          <w:color w:val="4472C4" w:themeColor="accent1"/>
          <w:sz w:val="24"/>
          <w:szCs w:val="24"/>
        </w:rPr>
        <w:t>T</w:t>
      </w:r>
      <w:r w:rsidRPr="002B1BA2">
        <w:rPr>
          <w:rFonts w:ascii="Tajawal" w:eastAsia="Tajawal" w:hAnsi="Tajawal" w:cs="Tajawal"/>
          <w:b/>
          <w:color w:val="4472C4" w:themeColor="accent1"/>
          <w:sz w:val="24"/>
          <w:szCs w:val="24"/>
        </w:rPr>
        <w:t>he International Alliance for Peace and Development</w:t>
      </w:r>
    </w:p>
    <w:p w14:paraId="53A0A26A" w14:textId="398677E3" w:rsidR="005E3BA7" w:rsidRPr="005E3BA7" w:rsidRDefault="005E3BA7" w:rsidP="005E3BA7">
      <w:pPr>
        <w:jc w:val="both"/>
        <w:rPr>
          <w:sz w:val="24"/>
          <w:szCs w:val="24"/>
        </w:rPr>
      </w:pPr>
      <w:r w:rsidRPr="005E3BA7">
        <w:rPr>
          <w:sz w:val="24"/>
          <w:szCs w:val="24"/>
        </w:rPr>
        <w:t>The International Alliance for Peace and Development submits this report to the Committee on Enforced Disappearances regarding Norway, in the context of the Committee's meeting with the State delegation which is scheduled for September 25, 2024. The Alliance looks forward to informing the Committee with information and data about the latest developments and challenges facing Norway in implementing the provisions of the Convention from both legal and practical perspectives. The Alliance focuses on monitoring the implementation of a set of key articles of the Convention, specifically Article 2 which</w:t>
      </w:r>
      <w:r w:rsidRPr="005E3BA7">
        <w:rPr>
          <w:sz w:val="24"/>
          <w:szCs w:val="24"/>
        </w:rPr>
        <w:t xml:space="preserve"> is</w:t>
      </w:r>
      <w:r w:rsidRPr="005E3BA7">
        <w:rPr>
          <w:sz w:val="24"/>
          <w:szCs w:val="24"/>
        </w:rPr>
        <w:t xml:space="preserve"> concern</w:t>
      </w:r>
      <w:r w:rsidRPr="005E3BA7">
        <w:rPr>
          <w:sz w:val="24"/>
          <w:szCs w:val="24"/>
        </w:rPr>
        <w:t xml:space="preserve">ed </w:t>
      </w:r>
      <w:r w:rsidRPr="005E3BA7">
        <w:rPr>
          <w:sz w:val="24"/>
          <w:szCs w:val="24"/>
        </w:rPr>
        <w:t>with the definition of enforced disappearance in domestic laws in line with the definition provided in the Convention, Article 3 which</w:t>
      </w:r>
      <w:r w:rsidRPr="005E3BA7">
        <w:rPr>
          <w:sz w:val="24"/>
          <w:szCs w:val="24"/>
        </w:rPr>
        <w:t xml:space="preserve"> is</w:t>
      </w:r>
      <w:r w:rsidRPr="005E3BA7">
        <w:rPr>
          <w:sz w:val="24"/>
          <w:szCs w:val="24"/>
        </w:rPr>
        <w:t xml:space="preserve"> related to investigating allegations of enforced disappearance, Article 7 concerning with penalties for the crime of enforced disappearance, and Article 9 regarding jurisdiction over enforced disappearance crimes.</w:t>
      </w:r>
    </w:p>
    <w:p w14:paraId="54839778" w14:textId="76B20E83" w:rsidR="005E3BA7" w:rsidRPr="002B1BA2" w:rsidRDefault="005E3BA7" w:rsidP="005E3BA7">
      <w:pPr>
        <w:jc w:val="both"/>
        <w:rPr>
          <w:rFonts w:ascii="Tajawal" w:eastAsia="Tajawal" w:hAnsi="Tajawal" w:cs="Tajawal"/>
          <w:b/>
          <w:color w:val="4472C4" w:themeColor="accent1"/>
          <w:sz w:val="26"/>
          <w:szCs w:val="26"/>
        </w:rPr>
      </w:pPr>
      <w:r w:rsidRPr="002B1BA2">
        <w:rPr>
          <w:rFonts w:ascii="Tajawal" w:eastAsia="Tajawal" w:hAnsi="Tajawal" w:cs="Tajawal"/>
          <w:b/>
          <w:color w:val="4472C4" w:themeColor="accent1"/>
          <w:sz w:val="26"/>
          <w:szCs w:val="26"/>
        </w:rPr>
        <w:t>Article 2 (Definition of Enforced Disappearance)</w:t>
      </w:r>
    </w:p>
    <w:p w14:paraId="5756C410" w14:textId="77777777" w:rsidR="005E3BA7" w:rsidRPr="005E3BA7" w:rsidRDefault="005E3BA7" w:rsidP="005E3BA7">
      <w:pPr>
        <w:jc w:val="both"/>
        <w:rPr>
          <w:b/>
          <w:bCs/>
          <w:sz w:val="24"/>
          <w:szCs w:val="24"/>
        </w:rPr>
      </w:pPr>
      <w:r w:rsidRPr="005E3BA7">
        <w:rPr>
          <w:sz w:val="24"/>
          <w:szCs w:val="24"/>
        </w:rPr>
        <w:t>Considering Norway's national legislations and laws, the International Alliance found that the Norwegian Penal Code gives significant importance to the phenomenon of enforced disappearance, providing a specific definition for it. Article (175 A) outlines the three elements constituting the definition of enforced disappearance, as stipulated in Article 2 of the Convention which are: arrest, detention, abduction, or any other form of deprivation of liberty by state officials or by people or groups acting with the authorization, support, or acquiescence of the state.</w:t>
      </w:r>
      <w:r w:rsidRPr="005E3BA7">
        <w:rPr>
          <w:rStyle w:val="FootnoteReference"/>
          <w:sz w:val="24"/>
          <w:szCs w:val="24"/>
        </w:rPr>
        <w:footnoteReference w:id="1"/>
      </w:r>
      <w:r w:rsidRPr="005E3BA7">
        <w:rPr>
          <w:sz w:val="24"/>
          <w:szCs w:val="24"/>
        </w:rPr>
        <w:t xml:space="preserve"> This definition aligns with the definition provided in Article 2 of the Convention and Article 7 of the Rome Statute, to which Norway is a party. </w:t>
      </w:r>
      <w:r w:rsidRPr="005E3BA7">
        <w:rPr>
          <w:b/>
          <w:bCs/>
          <w:sz w:val="24"/>
          <w:szCs w:val="24"/>
        </w:rPr>
        <w:t> </w:t>
      </w:r>
    </w:p>
    <w:p w14:paraId="13086662" w14:textId="03332F0A" w:rsidR="005E3BA7" w:rsidRPr="005E3BA7" w:rsidRDefault="005E3BA7" w:rsidP="005E3BA7">
      <w:pPr>
        <w:jc w:val="both"/>
        <w:rPr>
          <w:sz w:val="24"/>
          <w:szCs w:val="24"/>
        </w:rPr>
      </w:pPr>
      <w:r w:rsidRPr="005E3BA7">
        <w:rPr>
          <w:sz w:val="24"/>
          <w:szCs w:val="24"/>
        </w:rPr>
        <w:t>The International Alliance wishes to draw the Committee's attention to the fact that, although Article 102 of the Norwegian Penal Code classifies enforced disappearance as a crime against humanity when it</w:t>
      </w:r>
      <w:r>
        <w:rPr>
          <w:sz w:val="24"/>
          <w:szCs w:val="24"/>
        </w:rPr>
        <w:t xml:space="preserve"> is</w:t>
      </w:r>
      <w:r w:rsidRPr="005E3BA7">
        <w:rPr>
          <w:sz w:val="24"/>
          <w:szCs w:val="24"/>
        </w:rPr>
        <w:t xml:space="preserve"> committed as part of a widespread or systematic attack against the civilian population, punishable by a prison term of up to 30 years</w:t>
      </w:r>
      <w:r w:rsidRPr="005E3BA7">
        <w:rPr>
          <w:rStyle w:val="FootnoteReference"/>
          <w:sz w:val="24"/>
          <w:szCs w:val="24"/>
        </w:rPr>
        <w:footnoteReference w:id="2"/>
      </w:r>
      <w:r w:rsidRPr="005E3BA7">
        <w:rPr>
          <w:sz w:val="24"/>
          <w:szCs w:val="24"/>
        </w:rPr>
        <w:t>, however, the Alliance remains concerned about the term "involuntary disappearance" as mentioned in paragraph (e) of Article 102 of the Penal Code. This concern specifically relates to the consistency of this term with the definition of enforced disappearance as set forth in Article 2 of the Convention.</w:t>
      </w:r>
    </w:p>
    <w:p w14:paraId="45136CFF" w14:textId="67E53AE6" w:rsidR="005E3BA7" w:rsidRPr="002B1BA2" w:rsidRDefault="005E3BA7" w:rsidP="005E3BA7">
      <w:pPr>
        <w:jc w:val="both"/>
        <w:rPr>
          <w:rFonts w:ascii="Tajawal" w:eastAsia="Tajawal" w:hAnsi="Tajawal" w:cs="Tajawal"/>
          <w:b/>
          <w:color w:val="4472C4" w:themeColor="accent1"/>
          <w:sz w:val="26"/>
          <w:szCs w:val="26"/>
        </w:rPr>
      </w:pPr>
      <w:r w:rsidRPr="002B1BA2">
        <w:rPr>
          <w:rFonts w:ascii="Tajawal" w:eastAsia="Tajawal" w:hAnsi="Tajawal" w:cs="Tajawal"/>
          <w:b/>
          <w:color w:val="4472C4" w:themeColor="accent1"/>
          <w:sz w:val="26"/>
          <w:szCs w:val="26"/>
        </w:rPr>
        <w:t>Article 3 (Investigation of Allegations of Enforced Disappearance)</w:t>
      </w:r>
    </w:p>
    <w:p w14:paraId="15494942" w14:textId="77777777" w:rsidR="005E3BA7" w:rsidRPr="005E3BA7" w:rsidRDefault="005E3BA7" w:rsidP="005E3BA7">
      <w:pPr>
        <w:jc w:val="both"/>
        <w:rPr>
          <w:sz w:val="24"/>
          <w:szCs w:val="24"/>
        </w:rPr>
      </w:pPr>
      <w:r w:rsidRPr="005E3BA7">
        <w:rPr>
          <w:sz w:val="24"/>
          <w:szCs w:val="24"/>
        </w:rPr>
        <w:t xml:space="preserve">According to Article 3 of the International Convention for the Protection of All People from Enforced Disappearance, "Each State Party shall take appropriate measures to investigate acts defined in Article 2 that are committed by people or groups of people acting without the authorization, support, or </w:t>
      </w:r>
      <w:r w:rsidRPr="005E3BA7">
        <w:rPr>
          <w:sz w:val="24"/>
          <w:szCs w:val="24"/>
        </w:rPr>
        <w:lastRenderedPageBreak/>
        <w:t>acquiescence of the State, and to bring those responsible to justice."</w:t>
      </w:r>
      <w:r w:rsidRPr="005E3BA7">
        <w:rPr>
          <w:rStyle w:val="FootnoteReference"/>
          <w:sz w:val="24"/>
          <w:szCs w:val="24"/>
        </w:rPr>
        <w:footnoteReference w:id="3"/>
      </w:r>
      <w:r w:rsidRPr="005E3BA7">
        <w:rPr>
          <w:sz w:val="24"/>
          <w:szCs w:val="24"/>
        </w:rPr>
        <w:t xml:space="preserve"> The International Alliance has documented a set of legal measures in place in Norway to investigate allegations of enforced disappearance, most notably Article 254, which stipulates that any person who unlawfully deprives another person of their liberty by means of detention, abduction, or other methods shall be punished by a fine or imprisonment for a term not exceeding three years. Article 255 provides for punishment for aggravated deprivation of liberty with imprisonment for up to 10 years, and Article 256 stipulates that conspiring with another person to commit the crime of enforced disappearance is punishable by imprisonment for up to six years.  </w:t>
      </w:r>
    </w:p>
    <w:p w14:paraId="378C1B8E" w14:textId="77777777" w:rsidR="005E3BA7" w:rsidRPr="005E3BA7" w:rsidRDefault="005E3BA7" w:rsidP="005E3BA7">
      <w:pPr>
        <w:jc w:val="both"/>
        <w:rPr>
          <w:sz w:val="24"/>
          <w:szCs w:val="24"/>
        </w:rPr>
      </w:pPr>
      <w:r w:rsidRPr="005E3BA7">
        <w:rPr>
          <w:sz w:val="24"/>
          <w:szCs w:val="24"/>
        </w:rPr>
        <w:t xml:space="preserve">Although the International Alliance has not documented any investigations conducted in Norway regarding allegations of enforced disappearance so far, this may be due to the lack of documented cases of enforced disappearance in Norway since the ratification of the International Convention for the Protection of All Persons from Enforced Disappearance and its entry into force in 2019. The Alliance, however, expresses concerns about the increasing practice of extraterritorial transfers, which could result in cases of enforced disappearance, particularly following the November 2023 agreement among Nordic countries, including Norway, to cooperate more closely in deporting migrants who have entered the country illegally and do not possess residence permits to their countries of origin. </w:t>
      </w:r>
      <w:r w:rsidRPr="005E3BA7">
        <w:rPr>
          <w:rStyle w:val="FootnoteReference"/>
          <w:sz w:val="24"/>
          <w:szCs w:val="24"/>
        </w:rPr>
        <w:footnoteReference w:id="4"/>
      </w:r>
      <w:r w:rsidRPr="005E3BA7">
        <w:rPr>
          <w:sz w:val="24"/>
          <w:szCs w:val="24"/>
        </w:rPr>
        <w:t>The International Alliance is concerned about the growing proposals being frequently discussed in Norway aiming to deport illegal refugees to their countries of origin and believes that the implementation of these proposals could expose hundreds of targeted refugees to the risk of enforced disappearance and other serious human rights violations.</w:t>
      </w:r>
    </w:p>
    <w:p w14:paraId="37179144" w14:textId="35767D25" w:rsidR="005E3BA7" w:rsidRPr="002B1BA2" w:rsidRDefault="005E3BA7" w:rsidP="005E3BA7">
      <w:pPr>
        <w:jc w:val="both"/>
        <w:rPr>
          <w:rFonts w:ascii="Tajawal" w:eastAsia="Tajawal" w:hAnsi="Tajawal" w:cs="Tajawal"/>
          <w:b/>
          <w:color w:val="4472C4" w:themeColor="accent1"/>
          <w:sz w:val="26"/>
          <w:szCs w:val="26"/>
        </w:rPr>
      </w:pPr>
      <w:r w:rsidRPr="002B1BA2">
        <w:rPr>
          <w:rFonts w:ascii="Tajawal" w:eastAsia="Tajawal" w:hAnsi="Tajawal" w:cs="Tajawal"/>
          <w:b/>
          <w:color w:val="4472C4" w:themeColor="accent1"/>
          <w:sz w:val="26"/>
          <w:szCs w:val="26"/>
        </w:rPr>
        <w:t>Article 7 (Penalties for the Crime of Enforced Disappearance)</w:t>
      </w:r>
    </w:p>
    <w:p w14:paraId="1E2CA76F" w14:textId="77777777" w:rsidR="005E3BA7" w:rsidRPr="005E3BA7" w:rsidRDefault="005E3BA7" w:rsidP="005E3BA7">
      <w:pPr>
        <w:jc w:val="both"/>
        <w:rPr>
          <w:sz w:val="24"/>
          <w:szCs w:val="24"/>
        </w:rPr>
      </w:pPr>
      <w:r w:rsidRPr="005E3BA7">
        <w:rPr>
          <w:sz w:val="24"/>
          <w:szCs w:val="24"/>
        </w:rPr>
        <w:t>Article 7 of the International Convention for the Protection of All Persons from Enforced Disappearance obliges each State Party to impose appropriate penalties for the crime of enforced disappearance, proportionate to the seriousness of the crime, and in addition to identify mitigating circumstances for this crime in certain cases, such as assisting in returning  of the forcibly disappeared person, and aggravating circumstances in other cases, such as the death of the disappeared person or the commission of enforced disappearance against minors, persons with disabilities, and pregnant women.</w:t>
      </w:r>
      <w:r w:rsidRPr="005E3BA7">
        <w:rPr>
          <w:rStyle w:val="FootnoteReference"/>
          <w:sz w:val="24"/>
          <w:szCs w:val="24"/>
        </w:rPr>
        <w:footnoteReference w:id="5"/>
      </w:r>
      <w:r w:rsidRPr="005E3BA7">
        <w:rPr>
          <w:sz w:val="24"/>
          <w:szCs w:val="24"/>
        </w:rPr>
        <w:t xml:space="preserve"> The International Alliance has documented Norway's penalties for the crime of enforced disappearance, where Article (175 A) stipulates that any person who contributes in the name of the state, or with its authorization, support, or acquiescence, to enforced disappearance shall be punished with imprisonment for a term not exceeding 15 years. The Norwegian Penal Code criminalizes enforced disappearance and provides for imprisonment for up to 21 years under specific circumstances. Article (175 B) of the same law increases the penalty for aggravated enforced disappearance to 21 years and considers it a crime against humanity if committed as part of a systematic or widespread attack. The </w:t>
      </w:r>
      <w:r w:rsidRPr="005E3BA7">
        <w:rPr>
          <w:sz w:val="24"/>
          <w:szCs w:val="24"/>
        </w:rPr>
        <w:lastRenderedPageBreak/>
        <w:t>second paragraph of Article (175 B) outlines the mitigating and aggravating circumstances of this crime, giving varying relative weight depending on whether the victim died due to the disappearance, suffered serious harm to their body or health, was ill, injured, pregnant, a minor, or disabled, or whether the victim was subjected to physical assault by several persons acting together.</w:t>
      </w:r>
      <w:r w:rsidRPr="005E3BA7">
        <w:rPr>
          <w:rStyle w:val="FootnoteReference"/>
          <w:sz w:val="24"/>
          <w:szCs w:val="24"/>
        </w:rPr>
        <w:footnoteReference w:id="6"/>
      </w:r>
      <w:r w:rsidRPr="005E3BA7">
        <w:rPr>
          <w:sz w:val="24"/>
          <w:szCs w:val="24"/>
        </w:rPr>
        <w:t xml:space="preserve">  </w:t>
      </w:r>
    </w:p>
    <w:p w14:paraId="32201CF9" w14:textId="77777777" w:rsidR="005E3BA7" w:rsidRPr="005E3BA7" w:rsidRDefault="005E3BA7" w:rsidP="005E3BA7">
      <w:pPr>
        <w:jc w:val="both"/>
        <w:rPr>
          <w:sz w:val="24"/>
          <w:szCs w:val="24"/>
        </w:rPr>
      </w:pPr>
      <w:r w:rsidRPr="005E3BA7">
        <w:rPr>
          <w:sz w:val="24"/>
          <w:szCs w:val="24"/>
        </w:rPr>
        <w:t>Although Norway's penalties for the crime of enforced disappearance are largely consistent with the provisions of Article 7 of the Convention, the International Alliance has concerns about the lack of a specific definition for mitigating and aggravating circumstances for these penalties, as well as the absence of a minimum sentence for enforced disappearance and the criteria to be considered when determining the level of the penalty. The Alliance has also not found any clarification on the disciplinary penalties and their degrees imposed on those convicted of the crime of enforced disappearance.</w:t>
      </w:r>
    </w:p>
    <w:p w14:paraId="62EB0DB8" w14:textId="2901F43A" w:rsidR="005E3BA7" w:rsidRPr="002B1BA2" w:rsidRDefault="005E3BA7" w:rsidP="005E3BA7">
      <w:pPr>
        <w:jc w:val="both"/>
        <w:rPr>
          <w:color w:val="4472C4" w:themeColor="accent1"/>
          <w:sz w:val="32"/>
          <w:szCs w:val="32"/>
        </w:rPr>
      </w:pPr>
      <w:r w:rsidRPr="002B1BA2">
        <w:rPr>
          <w:rFonts w:ascii="Tajawal" w:eastAsia="Tajawal" w:hAnsi="Tajawal" w:cs="Tajawal"/>
          <w:b/>
          <w:color w:val="4472C4" w:themeColor="accent1"/>
          <w:sz w:val="28"/>
          <w:szCs w:val="28"/>
        </w:rPr>
        <w:t>Article 9 (Jurisdiction over the Crime of Enforced Disappearance)</w:t>
      </w:r>
    </w:p>
    <w:p w14:paraId="6E7A33D7" w14:textId="77777777" w:rsidR="005E3BA7" w:rsidRPr="005E3BA7" w:rsidRDefault="005E3BA7" w:rsidP="005E3BA7">
      <w:pPr>
        <w:jc w:val="both"/>
        <w:rPr>
          <w:sz w:val="24"/>
          <w:szCs w:val="24"/>
        </w:rPr>
      </w:pPr>
      <w:r w:rsidRPr="005E3BA7">
        <w:rPr>
          <w:sz w:val="24"/>
          <w:szCs w:val="24"/>
        </w:rPr>
        <w:t>Article 9 of the International Convention for the Protection of All People from Enforced Disappearance pertains to jurisdiction over the crime of enforced disappearance. It stipulates that each State Party shall take the necessary measures to establish its jurisdiction over the crime of enforced disappearance, outlining the boundaries of that jurisdiction, which extends when the crime is committed within any territory under its jurisdiction, when the alleged perpetrator is one of its nationals, or when the disappeared person is one of its nationals.</w:t>
      </w:r>
      <w:r w:rsidRPr="005E3BA7">
        <w:rPr>
          <w:rStyle w:val="FootnoteReference"/>
          <w:sz w:val="24"/>
          <w:szCs w:val="24"/>
        </w:rPr>
        <w:footnoteReference w:id="7"/>
      </w:r>
      <w:r w:rsidRPr="005E3BA7">
        <w:rPr>
          <w:sz w:val="24"/>
          <w:szCs w:val="24"/>
        </w:rPr>
        <w:t xml:space="preserve"> The International Alliance has reviewed the jurisdiction and its limits regarding Norway concerning crimes of enforced disappearance and found that there are multiple legal provisions outlining the jurisdiction over the crime of enforced disappearance. Article 4 of the Norwegian Penal Code establishes territorial jurisdiction over the crime of enforced disappearance, extending to acts committed on Norwegian territory, the continental shelf, and the economic zone, as well as Norwegian ships, including aircraft and drilling platforms or similar movable installations, even if the ship or installation is located in or over the territory of another state. Article 5 of the Norwegian Penal Code establishes personal jurisdiction over the crime of enforced disappearance, covering acts committed abroad by a Norwegian citizen or a person residing in Norway when the act is punishable under the law of the country where it was committed, or if it constitutes certain serious crimes. Paragraph 3 of Article 5 of the Norwegian Penal Code establishes universal jurisdiction, meaning that Norwegian criminal law applies to acts committed by foreigners present in Norway if the act carries a maximum penalty of more than one year of imprisonment, provided that the act is punishable under the law of the country where it was committed or falls within the category of serious crimes. According to Article 6 of the Norwegian Penal Code, Norwegian criminal law applies to any acts that Norway has the right or obligation to prosecute under agreements with foreign countries.</w:t>
      </w:r>
      <w:r w:rsidRPr="005E3BA7">
        <w:rPr>
          <w:rStyle w:val="FootnoteReference"/>
          <w:sz w:val="24"/>
          <w:szCs w:val="24"/>
        </w:rPr>
        <w:footnoteReference w:id="8"/>
      </w:r>
      <w:r w:rsidRPr="005E3BA7">
        <w:rPr>
          <w:sz w:val="24"/>
          <w:szCs w:val="24"/>
        </w:rPr>
        <w:t xml:space="preserve">  </w:t>
      </w:r>
    </w:p>
    <w:p w14:paraId="6123C3CD" w14:textId="77777777" w:rsidR="005E3BA7" w:rsidRPr="005E3BA7" w:rsidRDefault="005E3BA7" w:rsidP="005E3BA7">
      <w:pPr>
        <w:jc w:val="both"/>
        <w:rPr>
          <w:sz w:val="24"/>
          <w:szCs w:val="24"/>
        </w:rPr>
      </w:pPr>
      <w:r w:rsidRPr="005E3BA7">
        <w:rPr>
          <w:sz w:val="24"/>
          <w:szCs w:val="24"/>
        </w:rPr>
        <w:t xml:space="preserve">Despite this, the International Alliance expresses concerns about Norway's jurisdiction over the crime of enforced disappearance if the crime is not punishable in the country where it was committed, as well </w:t>
      </w:r>
      <w:r w:rsidRPr="005E3BA7">
        <w:rPr>
          <w:sz w:val="24"/>
          <w:szCs w:val="24"/>
        </w:rPr>
        <w:lastRenderedPageBreak/>
        <w:t>as the unclear and undefined limits of national courts' jurisdiction in Norway over foreign nationals, particularly regarding the minimum and maximum penalties, and whether the penalty necessitates the deportation and extradition of the perpetrators to their home countries.</w:t>
      </w:r>
    </w:p>
    <w:p w14:paraId="1E97C637" w14:textId="5C467691" w:rsidR="005E3BA7" w:rsidRPr="002B1BA2" w:rsidRDefault="005E3BA7" w:rsidP="005E3BA7">
      <w:pPr>
        <w:jc w:val="both"/>
        <w:rPr>
          <w:rFonts w:ascii="Tajawal" w:eastAsia="Tajawal" w:hAnsi="Tajawal" w:cs="Tajawal"/>
          <w:b/>
          <w:color w:val="4472C4" w:themeColor="accent1"/>
          <w:sz w:val="28"/>
          <w:szCs w:val="28"/>
        </w:rPr>
      </w:pPr>
      <w:r w:rsidRPr="002B1BA2">
        <w:rPr>
          <w:rFonts w:ascii="Tajawal" w:eastAsia="Tajawal" w:hAnsi="Tajawal" w:cs="Tajawal"/>
          <w:b/>
          <w:color w:val="4472C4" w:themeColor="accent1"/>
          <w:sz w:val="28"/>
          <w:szCs w:val="28"/>
        </w:rPr>
        <w:t>Article 16 (Non-refoulement or Expulsion)</w:t>
      </w:r>
    </w:p>
    <w:p w14:paraId="3F9BE633" w14:textId="77777777" w:rsidR="005E3BA7" w:rsidRPr="005E3BA7" w:rsidRDefault="005E3BA7" w:rsidP="005E3BA7">
      <w:pPr>
        <w:jc w:val="both"/>
        <w:rPr>
          <w:sz w:val="24"/>
          <w:szCs w:val="24"/>
        </w:rPr>
      </w:pPr>
      <w:r w:rsidRPr="005E3BA7">
        <w:rPr>
          <w:sz w:val="24"/>
          <w:szCs w:val="24"/>
        </w:rPr>
        <w:t>Article 16 of the International Convention for the Protection of All Persons from Enforced Disappearance stipulates that no person shall be expelled, returned, or extradited to any state where there are substantial grounds to believe that they would be in danger of enforced disappearance.</w:t>
      </w:r>
      <w:r w:rsidRPr="005E3BA7">
        <w:rPr>
          <w:rStyle w:val="FootnoteReference"/>
          <w:sz w:val="24"/>
          <w:szCs w:val="24"/>
        </w:rPr>
        <w:footnoteReference w:id="9"/>
      </w:r>
      <w:r w:rsidRPr="005E3BA7">
        <w:rPr>
          <w:sz w:val="24"/>
          <w:szCs w:val="24"/>
        </w:rPr>
        <w:t xml:space="preserve"> Despite this, the International Alliance asserts that Norwegian authorities have not respected their obligations under this article, as Norwegian authorities continue to pursue efforts to return refugees and migrants to their home countries, despite there being reasonable grounds to believe that these refugees and migrants may fall victim to enforced disappearance and other serious human rights violations if they are expelled or returned to these countries. In June 2024, Norwegian government ministers indicated that their country soon seeks to return numbers of Syrian refugees to Russia.</w:t>
      </w:r>
      <w:r w:rsidRPr="005E3BA7">
        <w:rPr>
          <w:rStyle w:val="FootnoteReference"/>
          <w:sz w:val="24"/>
          <w:szCs w:val="24"/>
        </w:rPr>
        <w:footnoteReference w:id="10"/>
      </w:r>
      <w:r w:rsidRPr="005E3BA7">
        <w:rPr>
          <w:sz w:val="24"/>
          <w:szCs w:val="24"/>
        </w:rPr>
        <w:t xml:space="preserve"> These Norwegian practices represent a violation of Article 16 of the International Convention for the Protection of All Persons from Enforced Disappearance, Article 3 of the European Convention on Human Rights, and Article 7 of the International Covenant on Civil and Political Rights, both of which prohibit torture and inhuman or degrading treatment or punishment.</w:t>
      </w:r>
    </w:p>
    <w:p w14:paraId="213C9AE6" w14:textId="1B264B39" w:rsidR="005E3BA7" w:rsidRPr="002B1BA2" w:rsidRDefault="005E3BA7" w:rsidP="005E3BA7">
      <w:pPr>
        <w:jc w:val="both"/>
        <w:rPr>
          <w:rFonts w:ascii="Tajawal" w:eastAsia="Tajawal" w:hAnsi="Tajawal" w:cs="Tajawal"/>
          <w:b/>
          <w:color w:val="4472C4" w:themeColor="accent1"/>
          <w:sz w:val="28"/>
          <w:szCs w:val="28"/>
        </w:rPr>
      </w:pPr>
      <w:r w:rsidRPr="002B1BA2">
        <w:rPr>
          <w:rFonts w:ascii="Tajawal" w:eastAsia="Tajawal" w:hAnsi="Tajawal" w:cs="Tajawal"/>
          <w:b/>
          <w:color w:val="4472C4" w:themeColor="accent1"/>
          <w:sz w:val="28"/>
          <w:szCs w:val="28"/>
        </w:rPr>
        <w:t>Recommendations</w:t>
      </w:r>
    </w:p>
    <w:p w14:paraId="2D0F3323" w14:textId="77777777" w:rsidR="005E3BA7" w:rsidRPr="002B1BA2" w:rsidRDefault="005E3BA7" w:rsidP="005E3BA7">
      <w:pPr>
        <w:jc w:val="both"/>
        <w:rPr>
          <w:b/>
          <w:bCs/>
          <w:sz w:val="24"/>
          <w:szCs w:val="24"/>
        </w:rPr>
      </w:pPr>
      <w:r w:rsidRPr="002B1BA2">
        <w:rPr>
          <w:b/>
          <w:bCs/>
          <w:sz w:val="24"/>
          <w:szCs w:val="24"/>
        </w:rPr>
        <w:t>The International Alliance for Peace and Development recommends that the Committee on Enforced Disappearances:</w:t>
      </w:r>
    </w:p>
    <w:p w14:paraId="3B29876D" w14:textId="0695EE94" w:rsidR="005E3BA7" w:rsidRPr="005E3BA7" w:rsidRDefault="005E3BA7" w:rsidP="005E3BA7">
      <w:pPr>
        <w:pStyle w:val="ListParagraph"/>
        <w:numPr>
          <w:ilvl w:val="0"/>
          <w:numId w:val="27"/>
        </w:numPr>
        <w:spacing w:after="160" w:line="278" w:lineRule="auto"/>
        <w:jc w:val="both"/>
        <w:rPr>
          <w:sz w:val="24"/>
          <w:szCs w:val="24"/>
        </w:rPr>
      </w:pPr>
      <w:r w:rsidRPr="005E3BA7">
        <w:rPr>
          <w:sz w:val="24"/>
          <w:szCs w:val="24"/>
        </w:rPr>
        <w:t xml:space="preserve">Urge the Norwegian delegation to review the term </w:t>
      </w:r>
      <w:r w:rsidR="002B1BA2">
        <w:rPr>
          <w:sz w:val="24"/>
          <w:szCs w:val="24"/>
        </w:rPr>
        <w:t>“I</w:t>
      </w:r>
      <w:r w:rsidRPr="005E3BA7">
        <w:rPr>
          <w:sz w:val="24"/>
          <w:szCs w:val="24"/>
        </w:rPr>
        <w:t>nvoluntary disappearance</w:t>
      </w:r>
      <w:r w:rsidR="002B1BA2">
        <w:rPr>
          <w:sz w:val="24"/>
          <w:szCs w:val="24"/>
        </w:rPr>
        <w:t>”</w:t>
      </w:r>
      <w:r w:rsidRPr="005E3BA7">
        <w:rPr>
          <w:sz w:val="24"/>
          <w:szCs w:val="24"/>
        </w:rPr>
        <w:t xml:space="preserve"> stipulated in paragraph (e) of Article 102 of the Penal Code, especially concerning its consistency with the definition of enforced disappearance provided in Article 2 of the Convention.</w:t>
      </w:r>
    </w:p>
    <w:p w14:paraId="433D45E7" w14:textId="77777777" w:rsidR="005E3BA7" w:rsidRPr="005E3BA7" w:rsidRDefault="005E3BA7" w:rsidP="005E3BA7">
      <w:pPr>
        <w:pStyle w:val="ListParagraph"/>
        <w:numPr>
          <w:ilvl w:val="0"/>
          <w:numId w:val="27"/>
        </w:numPr>
        <w:spacing w:after="160" w:line="278" w:lineRule="auto"/>
        <w:jc w:val="both"/>
        <w:rPr>
          <w:sz w:val="24"/>
          <w:szCs w:val="24"/>
        </w:rPr>
      </w:pPr>
      <w:r w:rsidRPr="005E3BA7">
        <w:rPr>
          <w:sz w:val="24"/>
          <w:szCs w:val="24"/>
        </w:rPr>
        <w:t>Urge the Norwegian authorities to establish a specific definition for mitigating and aggravating circumstances for the penalty of enforced disappearance and to determine the minimum penalty for this crime.</w:t>
      </w:r>
    </w:p>
    <w:p w14:paraId="20AF7893" w14:textId="77777777" w:rsidR="005E3BA7" w:rsidRPr="005E3BA7" w:rsidRDefault="005E3BA7" w:rsidP="005E3BA7">
      <w:pPr>
        <w:pStyle w:val="ListParagraph"/>
        <w:numPr>
          <w:ilvl w:val="0"/>
          <w:numId w:val="27"/>
        </w:numPr>
        <w:spacing w:after="160" w:line="278" w:lineRule="auto"/>
        <w:jc w:val="both"/>
        <w:rPr>
          <w:sz w:val="24"/>
          <w:szCs w:val="24"/>
        </w:rPr>
      </w:pPr>
      <w:r w:rsidRPr="005E3BA7">
        <w:rPr>
          <w:sz w:val="24"/>
          <w:szCs w:val="24"/>
        </w:rPr>
        <w:t>Emphasize the need for the Norwegian delegation to clarify the disciplinary penalties and their degrees imposed on those convicted of the crime of enforced disappearance.</w:t>
      </w:r>
    </w:p>
    <w:p w14:paraId="06B16816" w14:textId="77777777" w:rsidR="005E3BA7" w:rsidRPr="005E3BA7" w:rsidRDefault="005E3BA7" w:rsidP="005E3BA7">
      <w:pPr>
        <w:pStyle w:val="ListParagraph"/>
        <w:numPr>
          <w:ilvl w:val="0"/>
          <w:numId w:val="27"/>
        </w:numPr>
        <w:spacing w:after="160" w:line="278" w:lineRule="auto"/>
        <w:jc w:val="both"/>
        <w:rPr>
          <w:sz w:val="24"/>
          <w:szCs w:val="24"/>
        </w:rPr>
      </w:pPr>
      <w:r w:rsidRPr="005E3BA7">
        <w:rPr>
          <w:sz w:val="24"/>
          <w:szCs w:val="24"/>
        </w:rPr>
        <w:t>Urge the Norwegian authorities to establish Norway's jurisdiction over the crime of enforced disappearance in cases where the crime is not punishable in the country where it was committed.</w:t>
      </w:r>
    </w:p>
    <w:p w14:paraId="5EF2CECF" w14:textId="77777777" w:rsidR="005E3BA7" w:rsidRPr="005E3BA7" w:rsidRDefault="005E3BA7" w:rsidP="005E3BA7">
      <w:pPr>
        <w:pStyle w:val="ListParagraph"/>
        <w:numPr>
          <w:ilvl w:val="0"/>
          <w:numId w:val="27"/>
        </w:numPr>
        <w:spacing w:after="160" w:line="278" w:lineRule="auto"/>
        <w:jc w:val="both"/>
        <w:rPr>
          <w:sz w:val="24"/>
          <w:szCs w:val="24"/>
        </w:rPr>
      </w:pPr>
      <w:r w:rsidRPr="005E3BA7">
        <w:rPr>
          <w:sz w:val="24"/>
          <w:szCs w:val="24"/>
        </w:rPr>
        <w:lastRenderedPageBreak/>
        <w:t>Encourage the Norwegian delegation to clarify the limits of national courts' jurisdiction in Norway over foreign nationals, particularly regarding the minimum and maximum penalties, and whether the penalty necessitates the deportation of the perpetrators.</w:t>
      </w:r>
    </w:p>
    <w:p w14:paraId="23F4CB98" w14:textId="77777777" w:rsidR="005E3BA7" w:rsidRPr="005E3BA7" w:rsidRDefault="005E3BA7" w:rsidP="005E3BA7">
      <w:pPr>
        <w:pStyle w:val="ListParagraph"/>
        <w:numPr>
          <w:ilvl w:val="0"/>
          <w:numId w:val="27"/>
        </w:numPr>
        <w:spacing w:after="160" w:line="278" w:lineRule="auto"/>
        <w:jc w:val="both"/>
        <w:rPr>
          <w:sz w:val="24"/>
          <w:szCs w:val="24"/>
        </w:rPr>
      </w:pPr>
      <w:r w:rsidRPr="005E3BA7">
        <w:rPr>
          <w:sz w:val="24"/>
          <w:szCs w:val="24"/>
        </w:rPr>
        <w:t>The Committee should draw the Norwegian delegation's attention to the need to clarify the limits of the proposals being regularly discussed, aiming to deport illegal refugees from Norway to their home countries, and to assess the impact of this action on the human rights of refugees, particularly regarding their exposure to violations such as enforced disappearance if they are deported.</w:t>
      </w:r>
    </w:p>
    <w:p w14:paraId="01334B62" w14:textId="77777777" w:rsidR="005E3BA7" w:rsidRPr="005E3BA7" w:rsidRDefault="005E3BA7" w:rsidP="005E3BA7">
      <w:pPr>
        <w:jc w:val="both"/>
        <w:rPr>
          <w:sz w:val="24"/>
          <w:szCs w:val="24"/>
        </w:rPr>
      </w:pPr>
    </w:p>
    <w:p w14:paraId="27DF94D1" w14:textId="77777777" w:rsidR="005E3BA7" w:rsidRPr="005E3BA7" w:rsidRDefault="005E3BA7" w:rsidP="005E3BA7">
      <w:pPr>
        <w:jc w:val="both"/>
        <w:rPr>
          <w:sz w:val="24"/>
          <w:szCs w:val="24"/>
        </w:rPr>
      </w:pPr>
    </w:p>
    <w:p w14:paraId="19073781" w14:textId="77777777" w:rsidR="001719EB" w:rsidRPr="005E3BA7" w:rsidRDefault="001719EB" w:rsidP="005E3BA7">
      <w:pPr>
        <w:jc w:val="both"/>
        <w:rPr>
          <w:sz w:val="24"/>
          <w:szCs w:val="24"/>
        </w:rPr>
      </w:pPr>
    </w:p>
    <w:sectPr w:rsidR="001719EB" w:rsidRPr="005E3BA7">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4B9A27" w14:textId="77777777" w:rsidR="007C3DC5" w:rsidRDefault="007C3DC5" w:rsidP="003D1884">
      <w:pPr>
        <w:spacing w:after="0" w:line="240" w:lineRule="auto"/>
      </w:pPr>
      <w:r>
        <w:separator/>
      </w:r>
    </w:p>
  </w:endnote>
  <w:endnote w:type="continuationSeparator" w:id="0">
    <w:p w14:paraId="0E584BB1" w14:textId="77777777" w:rsidR="007C3DC5" w:rsidRDefault="007C3DC5"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jawal">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4885A" w14:textId="77777777" w:rsidR="007C3DC5" w:rsidRDefault="007C3DC5" w:rsidP="003D1884">
      <w:pPr>
        <w:spacing w:after="0" w:line="240" w:lineRule="auto"/>
      </w:pPr>
      <w:r>
        <w:separator/>
      </w:r>
    </w:p>
  </w:footnote>
  <w:footnote w:type="continuationSeparator" w:id="0">
    <w:p w14:paraId="36B9958B" w14:textId="77777777" w:rsidR="007C3DC5" w:rsidRDefault="007C3DC5" w:rsidP="003D1884">
      <w:pPr>
        <w:spacing w:after="0" w:line="240" w:lineRule="auto"/>
      </w:pPr>
      <w:r>
        <w:continuationSeparator/>
      </w:r>
    </w:p>
  </w:footnote>
  <w:footnote w:id="1">
    <w:p w14:paraId="475CE1D4" w14:textId="3F6C3693" w:rsidR="005E3BA7" w:rsidRPr="005E3BA7" w:rsidRDefault="005E3BA7" w:rsidP="005E3BA7">
      <w:pPr>
        <w:pStyle w:val="FootnoteText"/>
      </w:pPr>
      <w:r w:rsidRPr="005E3BA7">
        <w:rPr>
          <w:rStyle w:val="FootnoteReference"/>
        </w:rPr>
        <w:footnoteRef/>
      </w:r>
      <w:r w:rsidRPr="005E3BA7">
        <w:t xml:space="preserve"> </w:t>
      </w:r>
      <w:r w:rsidRPr="005E3BA7">
        <w:rPr>
          <w:rFonts w:ascii="Calibri" w:eastAsia="Calibri" w:hAnsi="Calibri" w:cs="Calibri"/>
          <w:color w:val="000000"/>
        </w:rPr>
        <w:t xml:space="preserve">The Penal Code of Norway, </w:t>
      </w:r>
      <w:r>
        <w:rPr>
          <w:rFonts w:ascii="Calibri" w:eastAsia="Calibri" w:hAnsi="Calibri" w:cs="Calibri"/>
          <w:color w:val="000000"/>
        </w:rPr>
        <w:t>A</w:t>
      </w:r>
      <w:r w:rsidRPr="005E3BA7">
        <w:rPr>
          <w:rFonts w:ascii="Calibri" w:eastAsia="Calibri" w:hAnsi="Calibri" w:cs="Calibri"/>
          <w:color w:val="000000"/>
        </w:rPr>
        <w:t xml:space="preserve">rticle 175 a, </w:t>
      </w:r>
      <w:hyperlink r:id="rId1">
        <w:r w:rsidRPr="005E3BA7">
          <w:rPr>
            <w:rFonts w:ascii="Calibri" w:eastAsia="Calibri" w:hAnsi="Calibri" w:cs="Calibri"/>
            <w:color w:val="0563C1"/>
            <w:u w:val="single"/>
          </w:rPr>
          <w:t>https://tinyurl.com/mpcrurrv</w:t>
        </w:r>
      </w:hyperlink>
    </w:p>
  </w:footnote>
  <w:footnote w:id="2">
    <w:p w14:paraId="5150676E" w14:textId="33B16743" w:rsidR="005E3BA7" w:rsidRPr="005E3BA7" w:rsidRDefault="005E3BA7" w:rsidP="005E3BA7">
      <w:pPr>
        <w:pStyle w:val="FootnoteText"/>
      </w:pPr>
      <w:r w:rsidRPr="005E3BA7">
        <w:rPr>
          <w:rStyle w:val="FootnoteReference"/>
        </w:rPr>
        <w:footnoteRef/>
      </w:r>
      <w:r w:rsidRPr="005E3BA7">
        <w:t xml:space="preserve"> </w:t>
      </w:r>
      <w:r w:rsidRPr="005E3BA7">
        <w:rPr>
          <w:rFonts w:ascii="Calibri" w:eastAsia="Calibri" w:hAnsi="Calibri" w:cs="Calibri"/>
          <w:color w:val="000000"/>
        </w:rPr>
        <w:t xml:space="preserve">Ibid, </w:t>
      </w:r>
      <w:r>
        <w:rPr>
          <w:rFonts w:ascii="Calibri" w:eastAsia="Calibri" w:hAnsi="Calibri" w:cs="Calibri"/>
          <w:color w:val="000000"/>
        </w:rPr>
        <w:t>A</w:t>
      </w:r>
      <w:r w:rsidRPr="005E3BA7">
        <w:rPr>
          <w:rFonts w:ascii="Calibri" w:eastAsia="Calibri" w:hAnsi="Calibri" w:cs="Calibri"/>
          <w:color w:val="000000"/>
        </w:rPr>
        <w:t xml:space="preserve">rticle 102, </w:t>
      </w:r>
      <w:hyperlink r:id="rId2">
        <w:r w:rsidRPr="005E3BA7">
          <w:rPr>
            <w:rFonts w:ascii="Calibri" w:eastAsia="Calibri" w:hAnsi="Calibri" w:cs="Calibri"/>
            <w:color w:val="0563C1"/>
            <w:u w:val="single"/>
          </w:rPr>
          <w:t>https://tinyurl.com/mpcrurrv</w:t>
        </w:r>
      </w:hyperlink>
    </w:p>
  </w:footnote>
  <w:footnote w:id="3">
    <w:p w14:paraId="5E9FD2FE" w14:textId="1DABC2D2" w:rsidR="005E3BA7" w:rsidRPr="005E3BA7" w:rsidRDefault="005E3BA7" w:rsidP="005E3BA7">
      <w:pPr>
        <w:pBdr>
          <w:top w:val="nil"/>
          <w:left w:val="nil"/>
          <w:bottom w:val="nil"/>
          <w:right w:val="nil"/>
          <w:between w:val="nil"/>
        </w:pBdr>
        <w:spacing w:after="0" w:line="240" w:lineRule="auto"/>
        <w:rPr>
          <w:sz w:val="20"/>
          <w:szCs w:val="20"/>
        </w:rPr>
      </w:pPr>
      <w:r w:rsidRPr="005E3BA7">
        <w:rPr>
          <w:rStyle w:val="FootnoteReference"/>
          <w:sz w:val="20"/>
          <w:szCs w:val="20"/>
        </w:rPr>
        <w:footnoteRef/>
      </w:r>
      <w:r w:rsidRPr="005E3BA7">
        <w:rPr>
          <w:sz w:val="20"/>
          <w:szCs w:val="20"/>
        </w:rPr>
        <w:t xml:space="preserve"> </w:t>
      </w:r>
      <w:r w:rsidRPr="005E3BA7">
        <w:rPr>
          <w:rFonts w:ascii="Calibri" w:eastAsia="Calibri" w:hAnsi="Calibri" w:cs="Calibri"/>
          <w:color w:val="000000"/>
          <w:sz w:val="20"/>
          <w:szCs w:val="20"/>
        </w:rPr>
        <w:t xml:space="preserve">International Convention for the Protection of All Persons from Enforced Disappearance, Article 3, </w:t>
      </w:r>
      <w:hyperlink r:id="rId3">
        <w:r w:rsidRPr="005E3BA7">
          <w:rPr>
            <w:rFonts w:ascii="Calibri" w:eastAsia="Calibri" w:hAnsi="Calibri" w:cs="Calibri"/>
            <w:color w:val="0563C1"/>
            <w:sz w:val="20"/>
            <w:szCs w:val="20"/>
            <w:u w:val="single"/>
          </w:rPr>
          <w:t>https://tinyurl.com/2fk34rxy</w:t>
        </w:r>
      </w:hyperlink>
    </w:p>
  </w:footnote>
  <w:footnote w:id="4">
    <w:p w14:paraId="346E5143" w14:textId="77777777" w:rsidR="005E3BA7" w:rsidRPr="005E3BA7" w:rsidRDefault="005E3BA7" w:rsidP="005E3BA7">
      <w:pPr>
        <w:pStyle w:val="FootnoteText"/>
      </w:pPr>
      <w:r w:rsidRPr="005E3BA7">
        <w:rPr>
          <w:rStyle w:val="FootnoteReference"/>
        </w:rPr>
        <w:footnoteRef/>
      </w:r>
      <w:r w:rsidRPr="005E3BA7">
        <w:t xml:space="preserve"> </w:t>
      </w:r>
      <w:r w:rsidRPr="005E3BA7">
        <w:rPr>
          <w:rFonts w:ascii="Calibri" w:eastAsia="Calibri" w:hAnsi="Calibri" w:cs="Calibri"/>
          <w:color w:val="000000"/>
        </w:rPr>
        <w:t xml:space="preserve">Nordic states to tighten collaboration on migrant deportations, info migrants, 2 November 2023, </w:t>
      </w:r>
      <w:hyperlink r:id="rId4">
        <w:r w:rsidRPr="005E3BA7">
          <w:rPr>
            <w:rFonts w:ascii="Calibri" w:eastAsia="Calibri" w:hAnsi="Calibri" w:cs="Calibri"/>
            <w:color w:val="0563C1"/>
            <w:u w:val="single"/>
          </w:rPr>
          <w:t>https://tinyurl.com/4bawsf5z</w:t>
        </w:r>
      </w:hyperlink>
    </w:p>
  </w:footnote>
  <w:footnote w:id="5">
    <w:p w14:paraId="07303BE7" w14:textId="77777777" w:rsidR="005E3BA7" w:rsidRPr="005E3BA7" w:rsidRDefault="005E3BA7" w:rsidP="005E3BA7">
      <w:pPr>
        <w:pBdr>
          <w:top w:val="nil"/>
          <w:left w:val="nil"/>
          <w:bottom w:val="nil"/>
          <w:right w:val="nil"/>
          <w:between w:val="nil"/>
        </w:pBdr>
        <w:spacing w:after="0" w:line="240" w:lineRule="auto"/>
        <w:rPr>
          <w:color w:val="000000"/>
          <w:sz w:val="20"/>
          <w:szCs w:val="20"/>
        </w:rPr>
      </w:pPr>
      <w:r w:rsidRPr="005E3BA7">
        <w:rPr>
          <w:rStyle w:val="FootnoteReference"/>
          <w:sz w:val="20"/>
          <w:szCs w:val="20"/>
        </w:rPr>
        <w:footnoteRef/>
      </w:r>
      <w:r w:rsidRPr="005E3BA7">
        <w:rPr>
          <w:sz w:val="20"/>
          <w:szCs w:val="20"/>
        </w:rPr>
        <w:t xml:space="preserve"> </w:t>
      </w:r>
      <w:r w:rsidRPr="005E3BA7">
        <w:rPr>
          <w:rFonts w:ascii="Calibri" w:eastAsia="Calibri" w:hAnsi="Calibri" w:cs="Calibri"/>
          <w:color w:val="000000"/>
          <w:sz w:val="20"/>
          <w:szCs w:val="20"/>
        </w:rPr>
        <w:t xml:space="preserve">International Convention for the Protection of All Persons from Enforced Disappearance, Article 7, </w:t>
      </w:r>
      <w:hyperlink r:id="rId5">
        <w:r w:rsidRPr="005E3BA7">
          <w:rPr>
            <w:rFonts w:ascii="Calibri" w:eastAsia="Calibri" w:hAnsi="Calibri" w:cs="Calibri"/>
            <w:color w:val="0563C1"/>
            <w:sz w:val="20"/>
            <w:szCs w:val="20"/>
            <w:u w:val="single"/>
          </w:rPr>
          <w:t>https://tinyurl.com/2fk34rxy</w:t>
        </w:r>
      </w:hyperlink>
    </w:p>
    <w:p w14:paraId="6076C81C" w14:textId="77777777" w:rsidR="005E3BA7" w:rsidRPr="005E3BA7" w:rsidRDefault="005E3BA7" w:rsidP="005E3BA7">
      <w:pPr>
        <w:pStyle w:val="FootnoteText"/>
      </w:pPr>
    </w:p>
  </w:footnote>
  <w:footnote w:id="6">
    <w:p w14:paraId="21CBC7EA" w14:textId="5928AD71" w:rsidR="005E3BA7" w:rsidRPr="005E3BA7" w:rsidRDefault="005E3BA7" w:rsidP="005D3E4D">
      <w:pPr>
        <w:pBdr>
          <w:top w:val="nil"/>
          <w:left w:val="nil"/>
          <w:bottom w:val="nil"/>
          <w:right w:val="nil"/>
          <w:between w:val="nil"/>
        </w:pBdr>
        <w:spacing w:after="0" w:line="240" w:lineRule="auto"/>
        <w:rPr>
          <w:sz w:val="20"/>
          <w:szCs w:val="20"/>
        </w:rPr>
      </w:pPr>
      <w:r w:rsidRPr="005E3BA7">
        <w:rPr>
          <w:rStyle w:val="FootnoteReference"/>
          <w:sz w:val="20"/>
          <w:szCs w:val="20"/>
        </w:rPr>
        <w:footnoteRef/>
      </w:r>
      <w:r w:rsidRPr="005E3BA7">
        <w:rPr>
          <w:sz w:val="20"/>
          <w:szCs w:val="20"/>
        </w:rPr>
        <w:t xml:space="preserve"> </w:t>
      </w:r>
      <w:r w:rsidRPr="005E3BA7">
        <w:rPr>
          <w:rFonts w:ascii="Calibri" w:eastAsia="Calibri" w:hAnsi="Calibri" w:cs="Calibri"/>
          <w:color w:val="000000"/>
          <w:sz w:val="20"/>
          <w:szCs w:val="20"/>
        </w:rPr>
        <w:t xml:space="preserve">The Penal Code of Norway, </w:t>
      </w:r>
      <w:r w:rsidR="005D3E4D">
        <w:rPr>
          <w:rFonts w:ascii="Calibri" w:eastAsia="Calibri" w:hAnsi="Calibri" w:cs="Calibri"/>
          <w:color w:val="000000"/>
          <w:sz w:val="20"/>
          <w:szCs w:val="20"/>
        </w:rPr>
        <w:t>A</w:t>
      </w:r>
      <w:r w:rsidRPr="005E3BA7">
        <w:rPr>
          <w:rFonts w:ascii="Calibri" w:eastAsia="Calibri" w:hAnsi="Calibri" w:cs="Calibri"/>
          <w:color w:val="000000"/>
          <w:sz w:val="20"/>
          <w:szCs w:val="20"/>
        </w:rPr>
        <w:t xml:space="preserve">rticle 175a, </w:t>
      </w:r>
      <w:r w:rsidR="005D3E4D">
        <w:rPr>
          <w:rFonts w:ascii="Calibri" w:eastAsia="Calibri" w:hAnsi="Calibri" w:cs="Calibri"/>
          <w:color w:val="000000"/>
          <w:sz w:val="20"/>
          <w:szCs w:val="20"/>
        </w:rPr>
        <w:t>A</w:t>
      </w:r>
      <w:r w:rsidRPr="005E3BA7">
        <w:rPr>
          <w:rFonts w:ascii="Calibri" w:eastAsia="Calibri" w:hAnsi="Calibri" w:cs="Calibri"/>
          <w:color w:val="000000"/>
          <w:sz w:val="20"/>
          <w:szCs w:val="20"/>
        </w:rPr>
        <w:t xml:space="preserve">rticle 175 b, </w:t>
      </w:r>
      <w:hyperlink r:id="rId6">
        <w:r w:rsidRPr="005E3BA7">
          <w:rPr>
            <w:rFonts w:ascii="Calibri" w:eastAsia="Calibri" w:hAnsi="Calibri" w:cs="Calibri"/>
            <w:color w:val="0563C1"/>
            <w:sz w:val="20"/>
            <w:szCs w:val="20"/>
            <w:u w:val="single"/>
          </w:rPr>
          <w:t>https://tinyurl.com/mpcrurrv</w:t>
        </w:r>
      </w:hyperlink>
    </w:p>
  </w:footnote>
  <w:footnote w:id="7">
    <w:p w14:paraId="21C12A76" w14:textId="77777777" w:rsidR="005E3BA7" w:rsidRPr="005E3BA7" w:rsidRDefault="005E3BA7" w:rsidP="005E3BA7">
      <w:pPr>
        <w:pStyle w:val="FootnoteText"/>
      </w:pPr>
      <w:r w:rsidRPr="005E3BA7">
        <w:rPr>
          <w:rStyle w:val="FootnoteReference"/>
        </w:rPr>
        <w:footnoteRef/>
      </w:r>
      <w:r w:rsidRPr="005E3BA7">
        <w:t xml:space="preserve"> </w:t>
      </w:r>
      <w:r w:rsidRPr="005E3BA7">
        <w:rPr>
          <w:rFonts w:ascii="Calibri" w:eastAsia="Calibri" w:hAnsi="Calibri" w:cs="Calibri"/>
          <w:color w:val="000000"/>
        </w:rPr>
        <w:t xml:space="preserve">International Convention for the Protection of All Persons from Enforced Disappearance, Article 9, </w:t>
      </w:r>
      <w:hyperlink r:id="rId7">
        <w:r w:rsidRPr="005E3BA7">
          <w:rPr>
            <w:rFonts w:ascii="Calibri" w:eastAsia="Calibri" w:hAnsi="Calibri" w:cs="Calibri"/>
            <w:color w:val="0563C1"/>
            <w:u w:val="single"/>
          </w:rPr>
          <w:t>https://tinyurl.com/2fk34rxy</w:t>
        </w:r>
      </w:hyperlink>
    </w:p>
  </w:footnote>
  <w:footnote w:id="8">
    <w:p w14:paraId="0A86AB2A" w14:textId="3A2944F0" w:rsidR="005E3BA7" w:rsidRPr="005E3BA7" w:rsidRDefault="005E3BA7" w:rsidP="005E3BA7">
      <w:pPr>
        <w:pBdr>
          <w:top w:val="nil"/>
          <w:left w:val="nil"/>
          <w:bottom w:val="nil"/>
          <w:right w:val="nil"/>
          <w:between w:val="nil"/>
        </w:pBdr>
        <w:spacing w:after="0" w:line="240" w:lineRule="auto"/>
        <w:rPr>
          <w:color w:val="000000"/>
          <w:sz w:val="20"/>
          <w:szCs w:val="20"/>
        </w:rPr>
      </w:pPr>
      <w:r w:rsidRPr="005E3BA7">
        <w:rPr>
          <w:rStyle w:val="FootnoteReference"/>
          <w:sz w:val="20"/>
          <w:szCs w:val="20"/>
        </w:rPr>
        <w:footnoteRef/>
      </w:r>
      <w:r w:rsidRPr="005E3BA7">
        <w:rPr>
          <w:sz w:val="20"/>
          <w:szCs w:val="20"/>
        </w:rPr>
        <w:t xml:space="preserve"> </w:t>
      </w:r>
      <w:r w:rsidRPr="005E3BA7">
        <w:rPr>
          <w:rFonts w:ascii="Calibri" w:eastAsia="Calibri" w:hAnsi="Calibri" w:cs="Calibri"/>
          <w:color w:val="000000"/>
          <w:sz w:val="20"/>
          <w:szCs w:val="20"/>
        </w:rPr>
        <w:t xml:space="preserve">The Penal Code of Norway, </w:t>
      </w:r>
      <w:r w:rsidR="005D3E4D">
        <w:rPr>
          <w:rFonts w:ascii="Calibri" w:eastAsia="Calibri" w:hAnsi="Calibri" w:cs="Calibri"/>
          <w:color w:val="000000"/>
          <w:sz w:val="20"/>
          <w:szCs w:val="20"/>
        </w:rPr>
        <w:t>A</w:t>
      </w:r>
      <w:r w:rsidRPr="005E3BA7">
        <w:rPr>
          <w:rFonts w:ascii="Calibri" w:eastAsia="Calibri" w:hAnsi="Calibri" w:cs="Calibri"/>
          <w:color w:val="000000"/>
          <w:sz w:val="20"/>
          <w:szCs w:val="20"/>
        </w:rPr>
        <w:t xml:space="preserve">rticle 4, 5,6, </w:t>
      </w:r>
      <w:hyperlink r:id="rId8">
        <w:r w:rsidRPr="005E3BA7">
          <w:rPr>
            <w:rFonts w:ascii="Calibri" w:eastAsia="Calibri" w:hAnsi="Calibri" w:cs="Calibri"/>
            <w:color w:val="0563C1"/>
            <w:sz w:val="20"/>
            <w:szCs w:val="20"/>
            <w:u w:val="single"/>
          </w:rPr>
          <w:t>https://tinyurl.com/mpcrurrv</w:t>
        </w:r>
      </w:hyperlink>
    </w:p>
    <w:p w14:paraId="6B6129DF" w14:textId="77777777" w:rsidR="005E3BA7" w:rsidRPr="005E3BA7" w:rsidRDefault="005E3BA7" w:rsidP="005E3BA7">
      <w:pPr>
        <w:pStyle w:val="FootnoteText"/>
      </w:pPr>
    </w:p>
  </w:footnote>
  <w:footnote w:id="9">
    <w:p w14:paraId="7BDBB3C4" w14:textId="49DBB974" w:rsidR="005E3BA7" w:rsidRPr="005E3BA7" w:rsidRDefault="005E3BA7" w:rsidP="005D3E4D">
      <w:pPr>
        <w:pBdr>
          <w:top w:val="nil"/>
          <w:left w:val="nil"/>
          <w:bottom w:val="nil"/>
          <w:right w:val="nil"/>
          <w:between w:val="nil"/>
        </w:pBdr>
        <w:spacing w:after="0" w:line="240" w:lineRule="auto"/>
        <w:rPr>
          <w:sz w:val="20"/>
          <w:szCs w:val="20"/>
        </w:rPr>
      </w:pPr>
      <w:r w:rsidRPr="005E3BA7">
        <w:rPr>
          <w:rStyle w:val="FootnoteReference"/>
          <w:sz w:val="20"/>
          <w:szCs w:val="20"/>
        </w:rPr>
        <w:footnoteRef/>
      </w:r>
      <w:r w:rsidRPr="005E3BA7">
        <w:rPr>
          <w:sz w:val="20"/>
          <w:szCs w:val="20"/>
        </w:rPr>
        <w:t xml:space="preserve"> </w:t>
      </w:r>
      <w:r w:rsidRPr="005E3BA7">
        <w:rPr>
          <w:rFonts w:ascii="Calibri" w:eastAsia="Calibri" w:hAnsi="Calibri" w:cs="Calibri"/>
          <w:color w:val="000000"/>
          <w:sz w:val="20"/>
          <w:szCs w:val="20"/>
        </w:rPr>
        <w:t xml:space="preserve">International Convention for the Protection of All Persons from Enforced Disappearance, Article 16, </w:t>
      </w:r>
      <w:hyperlink r:id="rId9" w:history="1">
        <w:r w:rsidRPr="005E3BA7">
          <w:rPr>
            <w:rStyle w:val="Hyperlink"/>
            <w:rFonts w:ascii="Calibri" w:eastAsia="Calibri" w:hAnsi="Calibri" w:cs="Calibri"/>
            <w:sz w:val="20"/>
            <w:szCs w:val="20"/>
          </w:rPr>
          <w:t>https://tinyurl.com/2fk34rxy</w:t>
        </w:r>
      </w:hyperlink>
    </w:p>
  </w:footnote>
  <w:footnote w:id="10">
    <w:p w14:paraId="368C711F" w14:textId="77777777" w:rsidR="005E3BA7" w:rsidRPr="005E3BA7" w:rsidRDefault="005E3BA7" w:rsidP="005E3BA7">
      <w:pPr>
        <w:pBdr>
          <w:top w:val="nil"/>
          <w:left w:val="nil"/>
          <w:bottom w:val="nil"/>
          <w:right w:val="nil"/>
          <w:between w:val="nil"/>
        </w:pBdr>
        <w:spacing w:after="0" w:line="240" w:lineRule="auto"/>
        <w:rPr>
          <w:rFonts w:ascii="Calibri" w:eastAsia="Calibri" w:hAnsi="Calibri" w:cs="Calibri"/>
          <w:color w:val="000000"/>
          <w:sz w:val="20"/>
          <w:szCs w:val="20"/>
        </w:rPr>
      </w:pPr>
      <w:r w:rsidRPr="005E3BA7">
        <w:rPr>
          <w:rFonts w:ascii="Calibri" w:eastAsia="Calibri" w:hAnsi="Calibri" w:cs="Calibri"/>
          <w:color w:val="000000"/>
          <w:sz w:val="20"/>
          <w:szCs w:val="20"/>
        </w:rPr>
        <w:footnoteRef/>
      </w:r>
      <w:r w:rsidRPr="005E3BA7">
        <w:rPr>
          <w:rFonts w:ascii="Calibri" w:eastAsia="Calibri" w:hAnsi="Calibri" w:cs="Calibri"/>
          <w:color w:val="000000"/>
          <w:sz w:val="20"/>
          <w:szCs w:val="20"/>
        </w:rPr>
        <w:t xml:space="preserve"> In an agreement between the two countries: Norway seeks to return Syrian refugees to Russia, Syria TV, June 24, 2024. </w:t>
      </w:r>
      <w:hyperlink r:id="rId10" w:history="1">
        <w:r w:rsidRPr="005E3BA7">
          <w:rPr>
            <w:rStyle w:val="Hyperlink"/>
            <w:rFonts w:ascii="Calibri" w:eastAsia="Calibri" w:hAnsi="Calibri" w:cs="Calibri"/>
            <w:sz w:val="20"/>
            <w:szCs w:val="20"/>
          </w:rPr>
          <w:t>https://tinyurl.com/5fbev3py</w:t>
        </w:r>
      </w:hyperlink>
    </w:p>
    <w:p w14:paraId="44DC831C" w14:textId="77777777" w:rsidR="005E3BA7" w:rsidRPr="005E3BA7" w:rsidRDefault="005E3BA7" w:rsidP="005E3BA7">
      <w:pPr>
        <w:pBdr>
          <w:top w:val="nil"/>
          <w:left w:val="nil"/>
          <w:bottom w:val="nil"/>
          <w:right w:val="nil"/>
          <w:between w:val="nil"/>
        </w:pBdr>
        <w:spacing w:after="0" w:line="240" w:lineRule="auto"/>
        <w:rPr>
          <w:rFonts w:ascii="Calibri" w:eastAsia="Calibri" w:hAnsi="Calibri" w:cs="Calibri"/>
          <w:color w:val="000000"/>
          <w:sz w:val="20"/>
          <w:szCs w:val="20"/>
        </w:rPr>
      </w:pPr>
    </w:p>
    <w:p w14:paraId="5A9EA2A3" w14:textId="77777777" w:rsidR="005E3BA7" w:rsidRPr="005E3BA7" w:rsidRDefault="005E3BA7" w:rsidP="005E3BA7">
      <w:pPr>
        <w:pStyle w:val="FootnoteText"/>
        <w:rPr>
          <w:rFonts w:ascii="Calibri" w:eastAsia="Calibri" w:hAnsi="Calibri" w:cs="Calibri"/>
          <w:color w:val="00000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71E6E1B"/>
    <w:multiLevelType w:val="hybridMultilevel"/>
    <w:tmpl w:val="43EAF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6"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3"/>
  </w:num>
  <w:num w:numId="3" w16cid:durableId="1057122983">
    <w:abstractNumId w:val="23"/>
  </w:num>
  <w:num w:numId="4" w16cid:durableId="599484416">
    <w:abstractNumId w:val="12"/>
  </w:num>
  <w:num w:numId="5" w16cid:durableId="221990767">
    <w:abstractNumId w:val="26"/>
  </w:num>
  <w:num w:numId="6" w16cid:durableId="1184974759">
    <w:abstractNumId w:val="2"/>
  </w:num>
  <w:num w:numId="7" w16cid:durableId="719747233">
    <w:abstractNumId w:val="7"/>
  </w:num>
  <w:num w:numId="8" w16cid:durableId="2082218265">
    <w:abstractNumId w:val="14"/>
  </w:num>
  <w:num w:numId="9" w16cid:durableId="44522668">
    <w:abstractNumId w:val="16"/>
  </w:num>
  <w:num w:numId="10" w16cid:durableId="384570591">
    <w:abstractNumId w:val="18"/>
  </w:num>
  <w:num w:numId="11" w16cid:durableId="955409921">
    <w:abstractNumId w:val="1"/>
  </w:num>
  <w:num w:numId="12" w16cid:durableId="329604790">
    <w:abstractNumId w:val="0"/>
  </w:num>
  <w:num w:numId="13" w16cid:durableId="499975853">
    <w:abstractNumId w:val="19"/>
  </w:num>
  <w:num w:numId="14" w16cid:durableId="933244681">
    <w:abstractNumId w:val="21"/>
  </w:num>
  <w:num w:numId="15" w16cid:durableId="1029186210">
    <w:abstractNumId w:val="24"/>
  </w:num>
  <w:num w:numId="16" w16cid:durableId="510409883">
    <w:abstractNumId w:val="22"/>
  </w:num>
  <w:num w:numId="17" w16cid:durableId="1424718560">
    <w:abstractNumId w:val="5"/>
  </w:num>
  <w:num w:numId="18" w16cid:durableId="1266771858">
    <w:abstractNumId w:val="17"/>
  </w:num>
  <w:num w:numId="19" w16cid:durableId="1307006074">
    <w:abstractNumId w:val="6"/>
  </w:num>
  <w:num w:numId="20" w16cid:durableId="596136773">
    <w:abstractNumId w:val="11"/>
  </w:num>
  <w:num w:numId="21" w16cid:durableId="31420069">
    <w:abstractNumId w:val="8"/>
  </w:num>
  <w:num w:numId="22" w16cid:durableId="334383903">
    <w:abstractNumId w:val="25"/>
  </w:num>
  <w:num w:numId="23" w16cid:durableId="1430659545">
    <w:abstractNumId w:val="9"/>
  </w:num>
  <w:num w:numId="24" w16cid:durableId="155460974">
    <w:abstractNumId w:val="20"/>
  </w:num>
  <w:num w:numId="25" w16cid:durableId="722827196">
    <w:abstractNumId w:val="4"/>
  </w:num>
  <w:num w:numId="26" w16cid:durableId="2024890808">
    <w:abstractNumId w:val="15"/>
  </w:num>
  <w:num w:numId="27" w16cid:durableId="2935659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57C75"/>
    <w:rsid w:val="001719EB"/>
    <w:rsid w:val="001751C8"/>
    <w:rsid w:val="00176BE1"/>
    <w:rsid w:val="001A5CB1"/>
    <w:rsid w:val="001B3856"/>
    <w:rsid w:val="001D2801"/>
    <w:rsid w:val="001E0F28"/>
    <w:rsid w:val="001E5853"/>
    <w:rsid w:val="001F17D0"/>
    <w:rsid w:val="00204088"/>
    <w:rsid w:val="0021413B"/>
    <w:rsid w:val="00220D6B"/>
    <w:rsid w:val="00273EAA"/>
    <w:rsid w:val="0027781D"/>
    <w:rsid w:val="00287FC0"/>
    <w:rsid w:val="00292DF1"/>
    <w:rsid w:val="002A6B29"/>
    <w:rsid w:val="002B1BA2"/>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53347"/>
    <w:rsid w:val="00563368"/>
    <w:rsid w:val="00567291"/>
    <w:rsid w:val="005C5F24"/>
    <w:rsid w:val="005D2424"/>
    <w:rsid w:val="005D3E4D"/>
    <w:rsid w:val="005D7270"/>
    <w:rsid w:val="005E07AC"/>
    <w:rsid w:val="005E1A66"/>
    <w:rsid w:val="005E3BA7"/>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809DA"/>
    <w:rsid w:val="007A3308"/>
    <w:rsid w:val="007A5537"/>
    <w:rsid w:val="007C3DC5"/>
    <w:rsid w:val="007D795E"/>
    <w:rsid w:val="007E687B"/>
    <w:rsid w:val="0080014F"/>
    <w:rsid w:val="00832E45"/>
    <w:rsid w:val="008738FB"/>
    <w:rsid w:val="0087723C"/>
    <w:rsid w:val="00877E2D"/>
    <w:rsid w:val="008A1847"/>
    <w:rsid w:val="008C49F7"/>
    <w:rsid w:val="008D520A"/>
    <w:rsid w:val="008F2735"/>
    <w:rsid w:val="00904745"/>
    <w:rsid w:val="0096340C"/>
    <w:rsid w:val="0096779B"/>
    <w:rsid w:val="009852FE"/>
    <w:rsid w:val="009940AF"/>
    <w:rsid w:val="00996355"/>
    <w:rsid w:val="009A47EF"/>
    <w:rsid w:val="009C68A7"/>
    <w:rsid w:val="009D18CE"/>
    <w:rsid w:val="009E120E"/>
    <w:rsid w:val="009E5640"/>
    <w:rsid w:val="00A16414"/>
    <w:rsid w:val="00A42355"/>
    <w:rsid w:val="00A52770"/>
    <w:rsid w:val="00A641E3"/>
    <w:rsid w:val="00A66799"/>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4081E"/>
    <w:rsid w:val="00E53BB1"/>
    <w:rsid w:val="00E55D80"/>
    <w:rsid w:val="00E56E43"/>
    <w:rsid w:val="00EB2133"/>
    <w:rsid w:val="00EC41C9"/>
    <w:rsid w:val="00ED1E5C"/>
    <w:rsid w:val="00EE156B"/>
    <w:rsid w:val="00F154A1"/>
    <w:rsid w:val="00F2797F"/>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inyurl.com/mpcrurrv" TargetMode="External"/><Relationship Id="rId3" Type="http://schemas.openxmlformats.org/officeDocument/2006/relationships/hyperlink" Target="https://tinyurl.com/2fk34rxy" TargetMode="External"/><Relationship Id="rId7" Type="http://schemas.openxmlformats.org/officeDocument/2006/relationships/hyperlink" Target="https://tinyurl.com/2fk34rxy" TargetMode="External"/><Relationship Id="rId2" Type="http://schemas.openxmlformats.org/officeDocument/2006/relationships/hyperlink" Target="https://tinyurl.com/mpcrurrv" TargetMode="External"/><Relationship Id="rId1" Type="http://schemas.openxmlformats.org/officeDocument/2006/relationships/hyperlink" Target="https://tinyurl.com/mpcrurrv" TargetMode="External"/><Relationship Id="rId6" Type="http://schemas.openxmlformats.org/officeDocument/2006/relationships/hyperlink" Target="https://tinyurl.com/mpcrurrv" TargetMode="External"/><Relationship Id="rId5" Type="http://schemas.openxmlformats.org/officeDocument/2006/relationships/hyperlink" Target="https://tinyurl.com/2fk34rxy" TargetMode="External"/><Relationship Id="rId10" Type="http://schemas.openxmlformats.org/officeDocument/2006/relationships/hyperlink" Target="https://tinyurl.com/5fbev3py" TargetMode="External"/><Relationship Id="rId4" Type="http://schemas.openxmlformats.org/officeDocument/2006/relationships/hyperlink" Target="https://tinyurl.com/4bawsf5z" TargetMode="External"/><Relationship Id="rId9" Type="http://schemas.openxmlformats.org/officeDocument/2006/relationships/hyperlink" Target="https://tinyurl.com/2fk34rx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customXml/itemProps2.xml><?xml version="1.0" encoding="utf-8"?>
<ds:datastoreItem xmlns:ds="http://schemas.openxmlformats.org/officeDocument/2006/customXml" ds:itemID="{E7E5ED0B-1A71-4F59-A102-8FB7FFF698AA}"/>
</file>

<file path=customXml/itemProps3.xml><?xml version="1.0" encoding="utf-8"?>
<ds:datastoreItem xmlns:ds="http://schemas.openxmlformats.org/officeDocument/2006/customXml" ds:itemID="{DA458538-F81F-4AB7-B10D-1BA4FF5898C2}"/>
</file>

<file path=docProps/app.xml><?xml version="1.0" encoding="utf-8"?>
<Properties xmlns="http://schemas.openxmlformats.org/officeDocument/2006/extended-properties" xmlns:vt="http://schemas.openxmlformats.org/officeDocument/2006/docPropsVTypes">
  <Template>Normal</Template>
  <TotalTime>6</TotalTime>
  <Pages>5</Pages>
  <Words>1893</Words>
  <Characters>10793</Characters>
  <Application>Microsoft Office Word</Application>
  <DocSecurity>0</DocSecurity>
  <Lines>89</Lines>
  <Paragraphs>25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Mira Farash</cp:lastModifiedBy>
  <cp:revision>2</cp:revision>
  <dcterms:created xsi:type="dcterms:W3CDTF">2024-08-20T11:22:00Z</dcterms:created>
  <dcterms:modified xsi:type="dcterms:W3CDTF">2024-08-20T11:22:00Z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