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24F5CC" w14:textId="418BA607" w:rsidR="00791462" w:rsidRPr="00F01C3D" w:rsidRDefault="00E55AA0" w:rsidP="00791462">
      <w:pPr>
        <w:rPr>
          <w:rFonts w:ascii="Roboto" w:eastAsia="Arial" w:hAnsi="Roboto" w:cs="Arial"/>
          <w:color w:val="EC8223"/>
          <w:sz w:val="22"/>
          <w:szCs w:val="22"/>
        </w:rPr>
      </w:pPr>
      <w:r w:rsidRPr="00F01C3D">
        <w:rPr>
          <w:rFonts w:ascii="Roboto" w:hAnsi="Roboto"/>
          <w:noProof/>
          <w:sz w:val="22"/>
          <w:szCs w:val="22"/>
          <w:lang w:val="en-GB" w:eastAsia="en-GB"/>
        </w:rPr>
        <w:drawing>
          <wp:anchor distT="0" distB="0" distL="114300" distR="114300" simplePos="0" relativeHeight="251659264" behindDoc="0" locked="0" layoutInCell="1" allowOverlap="1" wp14:anchorId="32186252" wp14:editId="5E82D55C">
            <wp:simplePos x="0" y="0"/>
            <wp:positionH relativeFrom="column">
              <wp:posOffset>3998986</wp:posOffset>
            </wp:positionH>
            <wp:positionV relativeFrom="paragraph">
              <wp:posOffset>149894</wp:posOffset>
            </wp:positionV>
            <wp:extent cx="1943100" cy="1005840"/>
            <wp:effectExtent l="0" t="0" r="0" b="0"/>
            <wp:wrapSquare wrapText="bothSides"/>
            <wp:docPr id="49073225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cstate="print">
                      <a:extLst>
                        <a:ext uri="{28A0092B-C50C-407E-A947-70E740481C1C}">
                          <a14:useLocalDpi xmlns:a14="http://schemas.microsoft.com/office/drawing/2010/main" val="0"/>
                        </a:ext>
                      </a:extLst>
                    </a:blip>
                    <a:srcRect/>
                    <a:stretch>
                      <a:fillRect/>
                    </a:stretch>
                  </pic:blipFill>
                  <pic:spPr>
                    <a:xfrm>
                      <a:off x="0" y="0"/>
                      <a:ext cx="1943100" cy="1005840"/>
                    </a:xfrm>
                    <a:prstGeom prst="rect">
                      <a:avLst/>
                    </a:prstGeom>
                    <a:ln/>
                  </pic:spPr>
                </pic:pic>
              </a:graphicData>
            </a:graphic>
          </wp:anchor>
        </w:drawing>
      </w:r>
      <w:r w:rsidR="00791462" w:rsidRPr="00F01C3D">
        <w:rPr>
          <w:rFonts w:ascii="Roboto" w:eastAsia="Arial" w:hAnsi="Roboto" w:cs="Arial"/>
          <w:color w:val="EC8223"/>
          <w:sz w:val="22"/>
          <w:szCs w:val="22"/>
        </w:rPr>
        <w:t xml:space="preserve">                                               </w:t>
      </w:r>
    </w:p>
    <w:p w14:paraId="12F66A07" w14:textId="1E4B15AF" w:rsidR="00791462" w:rsidRPr="00F01C3D" w:rsidRDefault="00E55AA0" w:rsidP="00791462">
      <w:pPr>
        <w:jc w:val="center"/>
        <w:rPr>
          <w:rFonts w:ascii="Roboto" w:eastAsia="Arial" w:hAnsi="Roboto" w:cs="Arial"/>
          <w:color w:val="EC8223"/>
          <w:sz w:val="22"/>
          <w:szCs w:val="22"/>
        </w:rPr>
      </w:pPr>
      <w:r w:rsidRPr="00F01C3D">
        <w:rPr>
          <w:rFonts w:ascii="Roboto" w:hAnsi="Roboto"/>
          <w:noProof/>
          <w:sz w:val="22"/>
          <w:szCs w:val="22"/>
          <w:lang w:val="en-GB" w:eastAsia="en-GB"/>
        </w:rPr>
        <w:drawing>
          <wp:anchor distT="114300" distB="114300" distL="114300" distR="114300" simplePos="0" relativeHeight="251660288" behindDoc="0" locked="0" layoutInCell="1" hidden="0" allowOverlap="1" wp14:anchorId="03935127" wp14:editId="289768C2">
            <wp:simplePos x="0" y="0"/>
            <wp:positionH relativeFrom="column">
              <wp:posOffset>55880</wp:posOffset>
            </wp:positionH>
            <wp:positionV relativeFrom="paragraph">
              <wp:posOffset>44953</wp:posOffset>
            </wp:positionV>
            <wp:extent cx="1538345" cy="1005840"/>
            <wp:effectExtent l="0" t="0" r="0" b="0"/>
            <wp:wrapNone/>
            <wp:docPr id="42327396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538345" cy="1005840"/>
                    </a:xfrm>
                    <a:prstGeom prst="rect">
                      <a:avLst/>
                    </a:prstGeom>
                    <a:ln/>
                  </pic:spPr>
                </pic:pic>
              </a:graphicData>
            </a:graphic>
            <wp14:sizeRelH relativeFrom="margin">
              <wp14:pctWidth>0</wp14:pctWidth>
            </wp14:sizeRelH>
            <wp14:sizeRelV relativeFrom="margin">
              <wp14:pctHeight>0</wp14:pctHeight>
            </wp14:sizeRelV>
          </wp:anchor>
        </w:drawing>
      </w:r>
      <w:r w:rsidR="00791462" w:rsidRPr="00F01C3D">
        <w:rPr>
          <w:rFonts w:ascii="Roboto" w:eastAsia="Arial" w:hAnsi="Roboto" w:cs="Arial"/>
          <w:color w:val="EC8223"/>
          <w:sz w:val="22"/>
          <w:szCs w:val="22"/>
        </w:rPr>
        <w:t xml:space="preserve">         </w:t>
      </w:r>
    </w:p>
    <w:p w14:paraId="124E5CFF" w14:textId="3F2C6A8C" w:rsidR="00791462" w:rsidRPr="00F01C3D" w:rsidRDefault="00791462" w:rsidP="00791462">
      <w:pPr>
        <w:rPr>
          <w:rFonts w:ascii="Roboto" w:hAnsi="Roboto"/>
          <w:sz w:val="22"/>
          <w:szCs w:val="22"/>
        </w:rPr>
      </w:pPr>
    </w:p>
    <w:p w14:paraId="63525CEE" w14:textId="6E4A448B" w:rsidR="00791462" w:rsidRPr="00F01C3D" w:rsidRDefault="00791462" w:rsidP="00791462">
      <w:pPr>
        <w:rPr>
          <w:rFonts w:ascii="Roboto" w:hAnsi="Roboto"/>
          <w:sz w:val="22"/>
          <w:szCs w:val="22"/>
        </w:rPr>
      </w:pPr>
      <w:r w:rsidRPr="00F01C3D">
        <w:rPr>
          <w:rFonts w:ascii="Roboto" w:hAnsi="Roboto"/>
          <w:sz w:val="22"/>
          <w:szCs w:val="22"/>
        </w:rPr>
        <w:br w:type="textWrapping" w:clear="all"/>
      </w:r>
    </w:p>
    <w:p w14:paraId="69C3FC70" w14:textId="77777777" w:rsidR="00791462" w:rsidRPr="00F01C3D" w:rsidRDefault="00791462" w:rsidP="00791462">
      <w:pPr>
        <w:jc w:val="both"/>
        <w:rPr>
          <w:rFonts w:ascii="Roboto" w:hAnsi="Roboto"/>
          <w:sz w:val="22"/>
          <w:szCs w:val="22"/>
        </w:rPr>
      </w:pPr>
    </w:p>
    <w:p w14:paraId="1EB836B2" w14:textId="77777777" w:rsidR="00791462" w:rsidRPr="00F01C3D" w:rsidRDefault="00791462" w:rsidP="00791462">
      <w:pPr>
        <w:jc w:val="both"/>
        <w:rPr>
          <w:rFonts w:ascii="Roboto" w:hAnsi="Roboto"/>
          <w:sz w:val="22"/>
          <w:szCs w:val="22"/>
        </w:rPr>
      </w:pPr>
      <w:bookmarkStart w:id="0" w:name="OLE_LINK50"/>
      <w:bookmarkStart w:id="1" w:name="OLE_LINK51"/>
    </w:p>
    <w:p w14:paraId="1C17149F" w14:textId="77777777" w:rsidR="00791462" w:rsidRDefault="00791462" w:rsidP="00791462">
      <w:pPr>
        <w:jc w:val="center"/>
        <w:rPr>
          <w:rFonts w:ascii="Roboto" w:hAnsi="Roboto"/>
          <w:b/>
          <w:sz w:val="22"/>
          <w:szCs w:val="22"/>
        </w:rPr>
      </w:pPr>
      <w:bookmarkStart w:id="2" w:name="bookmark=id.30j0zll" w:colFirst="0" w:colLast="0"/>
      <w:bookmarkStart w:id="3" w:name="bookmark=id.gjdgxs" w:colFirst="0" w:colLast="0"/>
      <w:bookmarkEnd w:id="2"/>
      <w:bookmarkEnd w:id="3"/>
    </w:p>
    <w:p w14:paraId="3C7ED5F4" w14:textId="77777777" w:rsidR="00791462" w:rsidRPr="00F01C3D" w:rsidRDefault="00791462" w:rsidP="00791462">
      <w:pPr>
        <w:jc w:val="center"/>
        <w:rPr>
          <w:rFonts w:ascii="Roboto" w:hAnsi="Roboto"/>
          <w:b/>
          <w:sz w:val="22"/>
          <w:szCs w:val="22"/>
        </w:rPr>
      </w:pPr>
      <w:r w:rsidRPr="00F01C3D">
        <w:rPr>
          <w:rFonts w:ascii="Roboto" w:hAnsi="Roboto"/>
          <w:b/>
          <w:sz w:val="22"/>
          <w:szCs w:val="22"/>
        </w:rPr>
        <w:t>THAILAND: SUBMISSION TO THE UNITED NATIONS COMMITTEE AGAINST TORTURE</w:t>
      </w:r>
    </w:p>
    <w:p w14:paraId="68E2C256" w14:textId="77777777" w:rsidR="00791462" w:rsidRPr="00F01C3D" w:rsidRDefault="00791462" w:rsidP="00791462">
      <w:pPr>
        <w:jc w:val="center"/>
        <w:rPr>
          <w:rFonts w:ascii="Roboto" w:hAnsi="Roboto"/>
          <w:sz w:val="22"/>
          <w:szCs w:val="22"/>
        </w:rPr>
      </w:pPr>
      <w:r w:rsidRPr="00F01C3D">
        <w:rPr>
          <w:rFonts w:ascii="Roboto" w:hAnsi="Roboto"/>
          <w:b/>
          <w:sz w:val="22"/>
          <w:szCs w:val="22"/>
        </w:rPr>
        <w:br/>
      </w:r>
      <w:r w:rsidRPr="00F01C3D">
        <w:rPr>
          <w:rFonts w:ascii="Roboto" w:hAnsi="Roboto"/>
          <w:sz w:val="22"/>
          <w:szCs w:val="22"/>
        </w:rPr>
        <w:t xml:space="preserve">81st session, </w:t>
      </w:r>
      <w:sdt>
        <w:sdtPr>
          <w:rPr>
            <w:rFonts w:ascii="Roboto" w:hAnsi="Roboto"/>
            <w:sz w:val="22"/>
            <w:szCs w:val="22"/>
          </w:rPr>
          <w:tag w:val="goog_rdk_0"/>
          <w:id w:val="-581066070"/>
        </w:sdtPr>
        <w:sdtContent/>
      </w:sdt>
      <w:r w:rsidRPr="00F01C3D">
        <w:rPr>
          <w:rFonts w:ascii="Roboto" w:hAnsi="Roboto"/>
          <w:sz w:val="22"/>
          <w:szCs w:val="22"/>
        </w:rPr>
        <w:t>28 October - 22 November 2024</w:t>
      </w:r>
    </w:p>
    <w:bookmarkEnd w:id="0"/>
    <w:bookmarkEnd w:id="1"/>
    <w:p w14:paraId="5E464F22" w14:textId="77777777" w:rsidR="00791462" w:rsidRPr="00F01C3D" w:rsidRDefault="00791462" w:rsidP="00791462">
      <w:pPr>
        <w:rPr>
          <w:rFonts w:ascii="Roboto" w:hAnsi="Roboto"/>
          <w:sz w:val="22"/>
          <w:szCs w:val="22"/>
        </w:rPr>
      </w:pPr>
    </w:p>
    <w:p w14:paraId="4A56A8C9" w14:textId="77777777" w:rsidR="00791462" w:rsidRDefault="00791462" w:rsidP="00791462">
      <w:pPr>
        <w:jc w:val="center"/>
        <w:rPr>
          <w:rFonts w:ascii="Roboto" w:hAnsi="Roboto"/>
          <w:sz w:val="22"/>
          <w:szCs w:val="22"/>
        </w:rPr>
      </w:pPr>
      <w:bookmarkStart w:id="4" w:name="bookmark=id.1fob9te" w:colFirst="0" w:colLast="0"/>
      <w:bookmarkStart w:id="5" w:name="bookmark=id.3znysh7" w:colFirst="0" w:colLast="0"/>
      <w:bookmarkEnd w:id="4"/>
      <w:bookmarkEnd w:id="5"/>
    </w:p>
    <w:p w14:paraId="51E466BE" w14:textId="77777777" w:rsidR="00994969" w:rsidRDefault="00994969" w:rsidP="00791462">
      <w:pPr>
        <w:jc w:val="center"/>
        <w:rPr>
          <w:rFonts w:ascii="Roboto" w:hAnsi="Roboto"/>
          <w:sz w:val="22"/>
          <w:szCs w:val="22"/>
        </w:rPr>
      </w:pPr>
    </w:p>
    <w:p w14:paraId="570BA8EA" w14:textId="77777777" w:rsidR="00994969" w:rsidRDefault="00994969" w:rsidP="00791462">
      <w:pPr>
        <w:jc w:val="center"/>
        <w:rPr>
          <w:rFonts w:ascii="Roboto" w:hAnsi="Roboto"/>
          <w:sz w:val="22"/>
          <w:szCs w:val="22"/>
        </w:rPr>
      </w:pPr>
    </w:p>
    <w:p w14:paraId="5CF0072A" w14:textId="77777777" w:rsidR="00994969" w:rsidRDefault="00994969" w:rsidP="00791462">
      <w:pPr>
        <w:jc w:val="center"/>
        <w:rPr>
          <w:rFonts w:ascii="Roboto" w:hAnsi="Roboto"/>
          <w:sz w:val="22"/>
          <w:szCs w:val="22"/>
        </w:rPr>
      </w:pPr>
    </w:p>
    <w:p w14:paraId="4C2ED020" w14:textId="77777777" w:rsidR="00994969" w:rsidRPr="00F01C3D" w:rsidRDefault="00994969" w:rsidP="00791462">
      <w:pPr>
        <w:jc w:val="center"/>
        <w:rPr>
          <w:rFonts w:ascii="Roboto" w:hAnsi="Roboto"/>
          <w:sz w:val="22"/>
          <w:szCs w:val="22"/>
        </w:rPr>
      </w:pPr>
    </w:p>
    <w:p w14:paraId="79961443" w14:textId="77777777" w:rsidR="00791462" w:rsidRPr="00791462" w:rsidRDefault="00791462" w:rsidP="00791462">
      <w:pPr>
        <w:jc w:val="center"/>
        <w:rPr>
          <w:rFonts w:ascii="Roboto" w:hAnsi="Roboto"/>
          <w:b/>
          <w:sz w:val="22"/>
          <w:szCs w:val="22"/>
        </w:rPr>
      </w:pPr>
      <w:r w:rsidRPr="00791462">
        <w:rPr>
          <w:rFonts w:ascii="Roboto" w:hAnsi="Roboto"/>
          <w:b/>
          <w:sz w:val="22"/>
          <w:szCs w:val="22"/>
        </w:rPr>
        <w:t>Imprisoned Voices: The Human Cost of Bail Denial and the Erosion of Freedom of Expression in Thailand</w:t>
      </w:r>
    </w:p>
    <w:p w14:paraId="60FE17F2" w14:textId="77777777" w:rsidR="00994969" w:rsidRPr="00F01C3D" w:rsidRDefault="00994969" w:rsidP="00791462">
      <w:pPr>
        <w:jc w:val="both"/>
        <w:rPr>
          <w:rFonts w:ascii="Roboto" w:hAnsi="Roboto"/>
          <w:sz w:val="22"/>
          <w:szCs w:val="22"/>
        </w:rPr>
      </w:pPr>
    </w:p>
    <w:p w14:paraId="42532449" w14:textId="77777777" w:rsidR="00791462" w:rsidRPr="00F01C3D" w:rsidRDefault="00791462" w:rsidP="00791462">
      <w:pPr>
        <w:jc w:val="both"/>
        <w:rPr>
          <w:rFonts w:ascii="Roboto" w:hAnsi="Roboto"/>
          <w:sz w:val="22"/>
          <w:szCs w:val="22"/>
        </w:rPr>
      </w:pPr>
    </w:p>
    <w:p w14:paraId="0AA3D4C5" w14:textId="77777777" w:rsidR="00791462" w:rsidRPr="00F01C3D" w:rsidRDefault="00000000" w:rsidP="00791462">
      <w:pPr>
        <w:jc w:val="both"/>
        <w:rPr>
          <w:rFonts w:ascii="Roboto" w:hAnsi="Roboto"/>
          <w:sz w:val="22"/>
          <w:szCs w:val="22"/>
        </w:rPr>
      </w:pPr>
      <w:sdt>
        <w:sdtPr>
          <w:rPr>
            <w:rFonts w:ascii="Roboto" w:hAnsi="Roboto"/>
            <w:sz w:val="22"/>
            <w:szCs w:val="22"/>
          </w:rPr>
          <w:tag w:val="goog_rdk_1"/>
          <w:id w:val="324243844"/>
        </w:sdtPr>
        <w:sdtContent/>
      </w:sdt>
      <w:r w:rsidR="00791462" w:rsidRPr="00F01C3D">
        <w:rPr>
          <w:rFonts w:ascii="Roboto" w:hAnsi="Roboto"/>
          <w:sz w:val="22"/>
          <w:szCs w:val="22"/>
        </w:rPr>
        <w:t>Thai Lawyers for Human Rights (TLHR) is a legal organization consisting of human rights lawyers and defenders that was established immediately after the May 2014 coup d'état in Thailand. The organization’s objective has been to raise awareness about human rights violations and to provide legal assistance to individuals who are charged and/or prosecuted as a result of their exercise of the right to freedom of expression or peaceful assembly.</w:t>
      </w:r>
    </w:p>
    <w:p w14:paraId="4A2651A6" w14:textId="77777777" w:rsidR="00791462" w:rsidRPr="00F01C3D" w:rsidRDefault="00791462" w:rsidP="00791462">
      <w:pPr>
        <w:jc w:val="both"/>
        <w:rPr>
          <w:rFonts w:ascii="Roboto" w:hAnsi="Roboto"/>
          <w:sz w:val="22"/>
          <w:szCs w:val="22"/>
        </w:rPr>
      </w:pPr>
    </w:p>
    <w:p w14:paraId="3B171D1B" w14:textId="77777777" w:rsidR="00791462" w:rsidRPr="00F01C3D" w:rsidRDefault="00791462" w:rsidP="00791462">
      <w:pPr>
        <w:jc w:val="both"/>
        <w:rPr>
          <w:rFonts w:ascii="Roboto" w:hAnsi="Roboto"/>
          <w:sz w:val="22"/>
          <w:szCs w:val="22"/>
        </w:rPr>
      </w:pPr>
    </w:p>
    <w:p w14:paraId="00C45972" w14:textId="77777777" w:rsidR="00791462" w:rsidRPr="00F01C3D" w:rsidRDefault="00791462" w:rsidP="00791462">
      <w:pPr>
        <w:jc w:val="both"/>
        <w:rPr>
          <w:rFonts w:ascii="Roboto" w:hAnsi="Roboto"/>
          <w:sz w:val="22"/>
          <w:szCs w:val="22"/>
        </w:rPr>
      </w:pPr>
      <w:r w:rsidRPr="00F01C3D">
        <w:rPr>
          <w:rFonts w:ascii="Roboto" w:hAnsi="Roboto"/>
          <w:sz w:val="22"/>
          <w:szCs w:val="22"/>
        </w:rPr>
        <w:t>ARTICLE 19 works for a world where all people everywhere can freely express themselves and actively engage in public life without fear of discrimination.  We do this by working on two interlocking freedoms, which set the foundation for all our work. The Freedom to Speak concerns everyone’s right to express and disseminate opinions, ideas and information through any means, as well as to disagree from, and question power-holders. The Freedom to Know concerns the right to demand and receive information by power-holders for transparency</w:t>
      </w:r>
      <w:r w:rsidR="00994969">
        <w:rPr>
          <w:rFonts w:ascii="Roboto" w:hAnsi="Roboto"/>
          <w:sz w:val="22"/>
          <w:szCs w:val="22"/>
        </w:rPr>
        <w:t>,</w:t>
      </w:r>
      <w:r w:rsidRPr="00F01C3D">
        <w:rPr>
          <w:rFonts w:ascii="Roboto" w:hAnsi="Roboto"/>
          <w:sz w:val="22"/>
          <w:szCs w:val="22"/>
        </w:rPr>
        <w:t xml:space="preserve"> good governance</w:t>
      </w:r>
      <w:r w:rsidR="00994969">
        <w:rPr>
          <w:rFonts w:ascii="Roboto" w:hAnsi="Roboto"/>
          <w:sz w:val="22"/>
          <w:szCs w:val="22"/>
        </w:rPr>
        <w:t>,</w:t>
      </w:r>
      <w:r w:rsidRPr="00F01C3D">
        <w:rPr>
          <w:rFonts w:ascii="Roboto" w:hAnsi="Roboto"/>
          <w:sz w:val="22"/>
          <w:szCs w:val="22"/>
        </w:rPr>
        <w:t xml:space="preserve"> and sustainable development. When either of these freedoms comes under threat, by the failure of power-holders to adequately protect them, ARTICLE 19 speaks with one voice, through courts of law, through global and regional </w:t>
      </w:r>
      <w:proofErr w:type="spellStart"/>
      <w:r w:rsidRPr="00F01C3D">
        <w:rPr>
          <w:rFonts w:ascii="Roboto" w:hAnsi="Roboto"/>
          <w:sz w:val="22"/>
          <w:szCs w:val="22"/>
        </w:rPr>
        <w:t>organisations</w:t>
      </w:r>
      <w:proofErr w:type="spellEnd"/>
      <w:r w:rsidRPr="00F01C3D">
        <w:rPr>
          <w:rFonts w:ascii="Roboto" w:hAnsi="Roboto"/>
          <w:sz w:val="22"/>
          <w:szCs w:val="22"/>
        </w:rPr>
        <w:t>, and through civil society wherever we are present.</w:t>
      </w:r>
    </w:p>
    <w:p w14:paraId="07A82C94" w14:textId="77777777" w:rsidR="00791462" w:rsidRPr="00F01C3D" w:rsidRDefault="00791462" w:rsidP="00791462">
      <w:pPr>
        <w:jc w:val="both"/>
        <w:rPr>
          <w:rFonts w:ascii="Roboto" w:hAnsi="Roboto"/>
          <w:sz w:val="22"/>
          <w:szCs w:val="22"/>
        </w:rPr>
      </w:pPr>
    </w:p>
    <w:p w14:paraId="59C2EC27" w14:textId="77777777" w:rsidR="00791462" w:rsidRDefault="00791462" w:rsidP="00791462">
      <w:pPr>
        <w:jc w:val="both"/>
        <w:rPr>
          <w:rFonts w:ascii="Roboto" w:hAnsi="Roboto"/>
          <w:sz w:val="22"/>
          <w:szCs w:val="22"/>
        </w:rPr>
      </w:pPr>
    </w:p>
    <w:p w14:paraId="4756FD62" w14:textId="77777777" w:rsidR="00994969" w:rsidRDefault="00994969" w:rsidP="00791462">
      <w:pPr>
        <w:jc w:val="both"/>
        <w:rPr>
          <w:rFonts w:ascii="Roboto" w:hAnsi="Roboto"/>
          <w:sz w:val="22"/>
          <w:szCs w:val="22"/>
        </w:rPr>
      </w:pPr>
    </w:p>
    <w:p w14:paraId="080BDBED" w14:textId="77777777" w:rsidR="00994969" w:rsidRDefault="00994969" w:rsidP="00791462">
      <w:pPr>
        <w:jc w:val="both"/>
        <w:rPr>
          <w:rFonts w:ascii="Roboto" w:hAnsi="Roboto"/>
          <w:sz w:val="22"/>
          <w:szCs w:val="22"/>
        </w:rPr>
      </w:pPr>
    </w:p>
    <w:p w14:paraId="7D25D19C" w14:textId="77777777" w:rsidR="00994969" w:rsidRDefault="00994969" w:rsidP="00791462">
      <w:pPr>
        <w:jc w:val="both"/>
        <w:rPr>
          <w:rFonts w:ascii="Roboto" w:hAnsi="Roboto"/>
          <w:sz w:val="22"/>
          <w:szCs w:val="22"/>
        </w:rPr>
      </w:pPr>
    </w:p>
    <w:p w14:paraId="793EEC28" w14:textId="77777777" w:rsidR="00994969" w:rsidRDefault="00994969" w:rsidP="00791462">
      <w:pPr>
        <w:jc w:val="both"/>
        <w:rPr>
          <w:rFonts w:ascii="Roboto" w:hAnsi="Roboto"/>
          <w:sz w:val="22"/>
          <w:szCs w:val="22"/>
        </w:rPr>
      </w:pPr>
    </w:p>
    <w:p w14:paraId="7E17A691" w14:textId="77777777" w:rsidR="00994969" w:rsidRDefault="00994969" w:rsidP="00791462">
      <w:pPr>
        <w:jc w:val="both"/>
        <w:rPr>
          <w:rFonts w:ascii="Roboto" w:hAnsi="Roboto"/>
          <w:sz w:val="22"/>
          <w:szCs w:val="22"/>
        </w:rPr>
      </w:pPr>
    </w:p>
    <w:p w14:paraId="5A4DD2BD" w14:textId="77777777" w:rsidR="00994969" w:rsidRDefault="00994969" w:rsidP="00791462">
      <w:pPr>
        <w:jc w:val="both"/>
        <w:rPr>
          <w:rFonts w:ascii="Roboto" w:hAnsi="Roboto"/>
          <w:sz w:val="22"/>
          <w:szCs w:val="22"/>
        </w:rPr>
      </w:pPr>
    </w:p>
    <w:p w14:paraId="595BE0C3" w14:textId="77777777" w:rsidR="00994969" w:rsidRDefault="00994969" w:rsidP="00791462">
      <w:pPr>
        <w:jc w:val="both"/>
        <w:rPr>
          <w:rFonts w:ascii="Roboto" w:hAnsi="Roboto"/>
          <w:sz w:val="22"/>
          <w:szCs w:val="22"/>
        </w:rPr>
      </w:pPr>
    </w:p>
    <w:p w14:paraId="25EA76F6" w14:textId="77777777" w:rsidR="00791462" w:rsidRPr="00F01C3D" w:rsidRDefault="00791462" w:rsidP="00791462">
      <w:pPr>
        <w:jc w:val="both"/>
        <w:rPr>
          <w:rFonts w:ascii="Roboto" w:hAnsi="Roboto"/>
          <w:b/>
          <w:sz w:val="22"/>
          <w:szCs w:val="22"/>
        </w:rPr>
      </w:pPr>
      <w:r w:rsidRPr="00F01C3D">
        <w:rPr>
          <w:rFonts w:ascii="Roboto" w:hAnsi="Roboto"/>
          <w:b/>
          <w:sz w:val="22"/>
          <w:szCs w:val="22"/>
        </w:rPr>
        <w:lastRenderedPageBreak/>
        <w:t>Introduction</w:t>
      </w:r>
    </w:p>
    <w:p w14:paraId="2EE294FC" w14:textId="77777777" w:rsidR="00791462" w:rsidRPr="00F01C3D" w:rsidRDefault="00791462" w:rsidP="00791462">
      <w:pPr>
        <w:jc w:val="both"/>
        <w:rPr>
          <w:rFonts w:ascii="Roboto" w:hAnsi="Roboto"/>
          <w:sz w:val="22"/>
          <w:szCs w:val="22"/>
        </w:rPr>
      </w:pPr>
    </w:p>
    <w:p w14:paraId="457A4450" w14:textId="1797DBBF" w:rsidR="00791462" w:rsidRPr="00F01C3D" w:rsidRDefault="00E55AA0" w:rsidP="00791462">
      <w:pPr>
        <w:jc w:val="both"/>
        <w:rPr>
          <w:rFonts w:ascii="Roboto" w:hAnsi="Roboto"/>
          <w:sz w:val="22"/>
          <w:szCs w:val="22"/>
        </w:rPr>
      </w:pPr>
      <w:r w:rsidRPr="00F01C3D">
        <w:rPr>
          <w:rFonts w:ascii="Roboto" w:hAnsi="Roboto"/>
          <w:sz w:val="22"/>
          <w:szCs w:val="22"/>
        </w:rPr>
        <w:t xml:space="preserve">TLHR </w:t>
      </w:r>
      <w:r>
        <w:rPr>
          <w:rFonts w:ascii="Roboto" w:hAnsi="Roboto"/>
          <w:sz w:val="22"/>
          <w:szCs w:val="22"/>
        </w:rPr>
        <w:t xml:space="preserve">and </w:t>
      </w:r>
      <w:r w:rsidR="00791462" w:rsidRPr="00F01C3D">
        <w:rPr>
          <w:rFonts w:ascii="Roboto" w:hAnsi="Roboto"/>
          <w:sz w:val="22"/>
          <w:szCs w:val="22"/>
        </w:rPr>
        <w:t>ARTICLE 19 welcome the opportunity to submit written information to the Committee Against Torture (the Committee) to inform its examination of the report of Thailand at its 81st Session. Our submission focuses on the widespread denial of bail for political detainees under the monitoring of, or legally represented by, TLHR. The denial of bail is a violation of principles in the Convention Against Torture (the Convention or CAT) as it is used as a form of cruel, inhuman, or degrading treatment in itself, while it has also led to excessively prolonged detention under harsh conditions, even leading to the death of some detainees. Our submission concludes with suggestions for questions and recommendations the Committee should pose to Thailand.</w:t>
      </w:r>
    </w:p>
    <w:p w14:paraId="7E9B96D0" w14:textId="77777777" w:rsidR="00791462" w:rsidRPr="00F01C3D" w:rsidRDefault="00791462" w:rsidP="00791462">
      <w:pPr>
        <w:jc w:val="both"/>
        <w:rPr>
          <w:rFonts w:ascii="Roboto" w:hAnsi="Roboto"/>
          <w:sz w:val="22"/>
          <w:szCs w:val="22"/>
        </w:rPr>
      </w:pPr>
    </w:p>
    <w:p w14:paraId="31F59D07" w14:textId="77777777" w:rsidR="00791462" w:rsidRPr="00F01C3D" w:rsidRDefault="00791462" w:rsidP="00791462">
      <w:pPr>
        <w:jc w:val="both"/>
        <w:rPr>
          <w:rFonts w:ascii="Roboto" w:hAnsi="Roboto"/>
          <w:sz w:val="22"/>
          <w:szCs w:val="22"/>
        </w:rPr>
      </w:pPr>
      <w:r w:rsidRPr="00F01C3D">
        <w:rPr>
          <w:rFonts w:ascii="Roboto" w:hAnsi="Roboto"/>
          <w:sz w:val="22"/>
          <w:szCs w:val="22"/>
        </w:rPr>
        <w:t>Denial of bail should be examined during the review under the Convention's standards to ensure compliance with the principles of preventing torture or degrading treatment during detention in Thailand. Denial of bail should not violate an individual's due process rights or be used in a discriminatory or excessive manner, potentially leading to prolonged or arbitrary detention.</w:t>
      </w:r>
      <w:r w:rsidRPr="00F01C3D">
        <w:rPr>
          <w:rFonts w:ascii="Roboto" w:hAnsi="Roboto"/>
          <w:sz w:val="22"/>
          <w:szCs w:val="22"/>
          <w:vertAlign w:val="superscript"/>
        </w:rPr>
        <w:footnoteReference w:id="1"/>
      </w:r>
      <w:r w:rsidRPr="00F01C3D">
        <w:rPr>
          <w:rFonts w:ascii="Roboto" w:hAnsi="Roboto"/>
          <w:sz w:val="22"/>
          <w:szCs w:val="22"/>
        </w:rPr>
        <w:t xml:space="preserve"> </w:t>
      </w:r>
    </w:p>
    <w:p w14:paraId="3695EBF0" w14:textId="77777777" w:rsidR="00791462" w:rsidRPr="00F01C3D" w:rsidRDefault="00791462" w:rsidP="00791462">
      <w:pPr>
        <w:jc w:val="both"/>
        <w:rPr>
          <w:rFonts w:ascii="Roboto" w:hAnsi="Roboto"/>
          <w:sz w:val="22"/>
          <w:szCs w:val="22"/>
        </w:rPr>
      </w:pPr>
      <w:bookmarkStart w:id="6" w:name="OLE_LINK60"/>
      <w:bookmarkStart w:id="7" w:name="OLE_LINK61"/>
    </w:p>
    <w:p w14:paraId="30891A39" w14:textId="77777777" w:rsidR="00791462" w:rsidRPr="00F01C3D" w:rsidRDefault="00791462" w:rsidP="00791462">
      <w:pPr>
        <w:jc w:val="both"/>
        <w:rPr>
          <w:rFonts w:ascii="Roboto" w:hAnsi="Roboto"/>
          <w:b/>
          <w:bCs/>
          <w:sz w:val="22"/>
          <w:szCs w:val="22"/>
        </w:rPr>
      </w:pPr>
      <w:r w:rsidRPr="00F01C3D">
        <w:rPr>
          <w:rFonts w:ascii="Roboto" w:hAnsi="Roboto"/>
          <w:b/>
          <w:bCs/>
          <w:sz w:val="22"/>
          <w:szCs w:val="22"/>
        </w:rPr>
        <w:t>Due process and bail: upholding human rights under the CAT</w:t>
      </w:r>
    </w:p>
    <w:p w14:paraId="16BFD3DA" w14:textId="77777777" w:rsidR="00791462" w:rsidRPr="00F01C3D" w:rsidRDefault="00791462" w:rsidP="00791462">
      <w:pPr>
        <w:jc w:val="both"/>
        <w:rPr>
          <w:rFonts w:ascii="Roboto" w:hAnsi="Roboto"/>
          <w:sz w:val="22"/>
          <w:szCs w:val="22"/>
        </w:rPr>
      </w:pPr>
    </w:p>
    <w:p w14:paraId="582F0F30" w14:textId="2AC8824A" w:rsidR="00791462" w:rsidRPr="00F01C3D" w:rsidRDefault="00791462" w:rsidP="00791462">
      <w:pPr>
        <w:jc w:val="both"/>
        <w:rPr>
          <w:rFonts w:ascii="Roboto" w:hAnsi="Roboto"/>
          <w:sz w:val="22"/>
          <w:szCs w:val="22"/>
        </w:rPr>
      </w:pPr>
      <w:r w:rsidRPr="00F01C3D">
        <w:rPr>
          <w:rFonts w:ascii="Roboto" w:hAnsi="Roboto"/>
          <w:sz w:val="22"/>
          <w:szCs w:val="22"/>
        </w:rPr>
        <w:t xml:space="preserve">The CAT stresses the importance of legal safeguards and mechanisms to challenge detention. Individuals should have the right to appeal bail decisions and have their cases reviewed by an independent body. The CAT also includes several articles relevant to the treatment of individuals deprived of their liberty and the principles surrounding humane treatment and due process, including the denial of bail. These articles collectively reflect principles of justice, humane treatment, and accountability, which can apply to situations involving bail denial and pre-trial detention practices. They underscore the importance of due process and the rights of individuals </w:t>
      </w:r>
    </w:p>
    <w:p w14:paraId="206678BC" w14:textId="77777777" w:rsidR="00791462" w:rsidRPr="00F01C3D" w:rsidRDefault="00791462" w:rsidP="00791462">
      <w:pPr>
        <w:jc w:val="both"/>
        <w:rPr>
          <w:rFonts w:ascii="Roboto" w:hAnsi="Roboto"/>
          <w:sz w:val="22"/>
          <w:szCs w:val="22"/>
        </w:rPr>
      </w:pPr>
      <w:r w:rsidRPr="00F01C3D">
        <w:rPr>
          <w:rFonts w:ascii="Roboto" w:hAnsi="Roboto"/>
          <w:sz w:val="22"/>
          <w:szCs w:val="22"/>
        </w:rPr>
        <w:t xml:space="preserve">under detention. In particular, our submission is relevant to obligations under the following articles of the Convention: </w:t>
      </w:r>
    </w:p>
    <w:p w14:paraId="1632850A" w14:textId="77777777" w:rsidR="00791462" w:rsidRPr="00F01C3D" w:rsidRDefault="00791462" w:rsidP="00791462">
      <w:pPr>
        <w:jc w:val="both"/>
        <w:rPr>
          <w:rFonts w:ascii="Roboto" w:hAnsi="Roboto"/>
          <w:sz w:val="22"/>
          <w:szCs w:val="22"/>
        </w:rPr>
      </w:pPr>
    </w:p>
    <w:p w14:paraId="2B2681B6" w14:textId="77777777" w:rsidR="00791462" w:rsidRPr="00F01C3D" w:rsidRDefault="00791462" w:rsidP="00791462">
      <w:pPr>
        <w:numPr>
          <w:ilvl w:val="0"/>
          <w:numId w:val="1"/>
        </w:numPr>
        <w:jc w:val="both"/>
        <w:rPr>
          <w:rFonts w:ascii="Roboto" w:hAnsi="Roboto"/>
          <w:sz w:val="22"/>
          <w:szCs w:val="22"/>
        </w:rPr>
      </w:pPr>
      <w:r w:rsidRPr="00F01C3D">
        <w:rPr>
          <w:rFonts w:ascii="Roboto" w:hAnsi="Roboto"/>
          <w:sz w:val="22"/>
          <w:szCs w:val="22"/>
        </w:rPr>
        <w:t>Article 1: Defines torture and prohibits acts of torture, emphasizing that no one should be subjected to torture or cruel, inhuman, or degrading treatment.</w:t>
      </w:r>
    </w:p>
    <w:p w14:paraId="7F4AFBFB" w14:textId="77777777" w:rsidR="00791462" w:rsidRPr="00F01C3D" w:rsidRDefault="00791462" w:rsidP="00791462">
      <w:pPr>
        <w:numPr>
          <w:ilvl w:val="0"/>
          <w:numId w:val="1"/>
        </w:numPr>
        <w:jc w:val="both"/>
        <w:rPr>
          <w:rFonts w:ascii="Roboto" w:hAnsi="Roboto"/>
          <w:sz w:val="22"/>
          <w:szCs w:val="22"/>
        </w:rPr>
      </w:pPr>
      <w:r w:rsidRPr="00F01C3D">
        <w:rPr>
          <w:rFonts w:ascii="Roboto" w:hAnsi="Roboto"/>
          <w:sz w:val="22"/>
          <w:szCs w:val="22"/>
        </w:rPr>
        <w:t>Article 2: States that no exceptional circumstances (including war or public emergency) may be invoked as a justification for torture or ill-treatment, highlighting the obligation to prevent such abuses in all situations, including in the context of detention.</w:t>
      </w:r>
    </w:p>
    <w:p w14:paraId="7AB1B65B" w14:textId="77777777" w:rsidR="00791462" w:rsidRPr="00F01C3D" w:rsidRDefault="00791462" w:rsidP="00791462">
      <w:pPr>
        <w:numPr>
          <w:ilvl w:val="0"/>
          <w:numId w:val="1"/>
        </w:numPr>
        <w:jc w:val="both"/>
        <w:rPr>
          <w:rFonts w:ascii="Roboto" w:hAnsi="Roboto"/>
          <w:sz w:val="22"/>
          <w:szCs w:val="22"/>
        </w:rPr>
      </w:pPr>
      <w:r w:rsidRPr="00F01C3D">
        <w:rPr>
          <w:rFonts w:ascii="Roboto" w:hAnsi="Roboto"/>
          <w:sz w:val="22"/>
          <w:szCs w:val="22"/>
        </w:rPr>
        <w:t>Article 10: Requires states to ensure that personnel involved in the custody or treatment of individuals are trained in the prohibition of torture and ill-treatment. Proper training is essential for maintaining humane treatment during pre-trial detention.</w:t>
      </w:r>
    </w:p>
    <w:p w14:paraId="0EADA9BD" w14:textId="77777777" w:rsidR="00791462" w:rsidRPr="00F01C3D" w:rsidRDefault="00791462" w:rsidP="00791462">
      <w:pPr>
        <w:numPr>
          <w:ilvl w:val="0"/>
          <w:numId w:val="1"/>
        </w:numPr>
        <w:jc w:val="both"/>
        <w:rPr>
          <w:rFonts w:ascii="Roboto" w:hAnsi="Roboto"/>
          <w:sz w:val="22"/>
          <w:szCs w:val="22"/>
        </w:rPr>
      </w:pPr>
      <w:r w:rsidRPr="00F01C3D">
        <w:rPr>
          <w:rFonts w:ascii="Roboto" w:hAnsi="Roboto"/>
          <w:sz w:val="22"/>
          <w:szCs w:val="22"/>
        </w:rPr>
        <w:t>Article 11: Mandates that each State Party keeps the treatment and conditions of detention under systematic review. This implies the need for oversight, which can include the practices surrounding bail and detention.</w:t>
      </w:r>
    </w:p>
    <w:p w14:paraId="375561B2" w14:textId="77777777" w:rsidR="00791462" w:rsidRPr="00F01C3D" w:rsidRDefault="00791462" w:rsidP="00791462">
      <w:pPr>
        <w:numPr>
          <w:ilvl w:val="0"/>
          <w:numId w:val="1"/>
        </w:numPr>
        <w:jc w:val="both"/>
        <w:rPr>
          <w:rFonts w:ascii="Roboto" w:hAnsi="Roboto"/>
          <w:sz w:val="22"/>
          <w:szCs w:val="22"/>
        </w:rPr>
      </w:pPr>
      <w:r w:rsidRPr="00F01C3D">
        <w:rPr>
          <w:rFonts w:ascii="Roboto" w:hAnsi="Roboto"/>
          <w:sz w:val="22"/>
          <w:szCs w:val="22"/>
        </w:rPr>
        <w:t>Article 12: States that each State Party must ensure prompt and impartial investigations into allegations of torture and ill-treatment. Prolonged detention or bail denial practices could lead to such allegations, emphasizing the need for investigative processes.</w:t>
      </w:r>
    </w:p>
    <w:p w14:paraId="6191BFAE" w14:textId="77777777" w:rsidR="00791462" w:rsidRPr="00F01C3D" w:rsidRDefault="00791462" w:rsidP="00791462">
      <w:pPr>
        <w:numPr>
          <w:ilvl w:val="0"/>
          <w:numId w:val="1"/>
        </w:numPr>
        <w:jc w:val="both"/>
        <w:rPr>
          <w:rFonts w:ascii="Roboto" w:hAnsi="Roboto"/>
          <w:sz w:val="22"/>
          <w:szCs w:val="22"/>
        </w:rPr>
      </w:pPr>
      <w:r w:rsidRPr="00F01C3D">
        <w:rPr>
          <w:rFonts w:ascii="Roboto" w:hAnsi="Roboto"/>
          <w:sz w:val="22"/>
          <w:szCs w:val="22"/>
        </w:rPr>
        <w:lastRenderedPageBreak/>
        <w:t>Article 13: Provides for the right to complain about torture or inhuman treatment to the competent authorities, which could include complaints related to denial of bail and associated detention conditions.</w:t>
      </w:r>
    </w:p>
    <w:p w14:paraId="2F736422" w14:textId="77777777" w:rsidR="00791462" w:rsidRPr="00F01C3D" w:rsidRDefault="00791462" w:rsidP="00791462">
      <w:pPr>
        <w:numPr>
          <w:ilvl w:val="0"/>
          <w:numId w:val="1"/>
        </w:numPr>
        <w:jc w:val="both"/>
        <w:rPr>
          <w:rFonts w:ascii="Roboto" w:hAnsi="Roboto"/>
          <w:sz w:val="22"/>
          <w:szCs w:val="22"/>
        </w:rPr>
      </w:pPr>
      <w:r w:rsidRPr="00F01C3D">
        <w:rPr>
          <w:rFonts w:ascii="Roboto" w:hAnsi="Roboto"/>
          <w:sz w:val="22"/>
          <w:szCs w:val="22"/>
        </w:rPr>
        <w:t>Article 14: Grants victims the right to obtain redress and compensation for acts of torture and ill-treatment, indirectly emphasizing the right to seek remedies for prolonged detention without trial.</w:t>
      </w:r>
    </w:p>
    <w:p w14:paraId="78D531BB" w14:textId="77777777" w:rsidR="00791462" w:rsidRPr="00F01C3D" w:rsidRDefault="00791462" w:rsidP="00791462">
      <w:pPr>
        <w:numPr>
          <w:ilvl w:val="0"/>
          <w:numId w:val="1"/>
        </w:numPr>
        <w:jc w:val="both"/>
        <w:rPr>
          <w:rFonts w:ascii="Roboto" w:hAnsi="Roboto"/>
          <w:sz w:val="22"/>
          <w:szCs w:val="22"/>
        </w:rPr>
      </w:pPr>
      <w:r w:rsidRPr="00F01C3D">
        <w:rPr>
          <w:rFonts w:ascii="Roboto" w:hAnsi="Roboto"/>
          <w:sz w:val="22"/>
          <w:szCs w:val="22"/>
        </w:rPr>
        <w:t>Article 16: Prohibits other acts of cruel, inhuman, or degrading treatment or punishment, which could encompass the consequences of unjust or arbitrary bail denials.</w:t>
      </w:r>
    </w:p>
    <w:bookmarkEnd w:id="6"/>
    <w:bookmarkEnd w:id="7"/>
    <w:p w14:paraId="25E1DAC8" w14:textId="77777777" w:rsidR="00791462" w:rsidRPr="00F01C3D" w:rsidRDefault="00791462" w:rsidP="00791462">
      <w:pPr>
        <w:jc w:val="both"/>
        <w:rPr>
          <w:rFonts w:ascii="Roboto" w:hAnsi="Roboto"/>
          <w:b/>
          <w:sz w:val="22"/>
          <w:szCs w:val="22"/>
        </w:rPr>
      </w:pPr>
    </w:p>
    <w:p w14:paraId="6492EA45" w14:textId="77777777" w:rsidR="00791462" w:rsidRPr="00F01C3D" w:rsidRDefault="00791462" w:rsidP="00791462">
      <w:pPr>
        <w:jc w:val="both"/>
        <w:rPr>
          <w:rFonts w:ascii="Roboto" w:hAnsi="Roboto"/>
          <w:b/>
          <w:sz w:val="22"/>
          <w:szCs w:val="22"/>
        </w:rPr>
      </w:pPr>
    </w:p>
    <w:p w14:paraId="73323B12" w14:textId="77777777" w:rsidR="00791462" w:rsidRPr="00F01C3D" w:rsidRDefault="00791462" w:rsidP="00791462">
      <w:pPr>
        <w:jc w:val="both"/>
        <w:rPr>
          <w:rFonts w:ascii="Roboto" w:hAnsi="Roboto"/>
          <w:b/>
          <w:sz w:val="22"/>
          <w:szCs w:val="22"/>
        </w:rPr>
      </w:pPr>
    </w:p>
    <w:p w14:paraId="691111DB" w14:textId="77777777" w:rsidR="00791462" w:rsidRPr="00F01C3D" w:rsidRDefault="00791462" w:rsidP="00791462">
      <w:pPr>
        <w:jc w:val="both"/>
        <w:rPr>
          <w:rFonts w:ascii="Roboto" w:hAnsi="Roboto"/>
          <w:b/>
          <w:sz w:val="22"/>
          <w:szCs w:val="22"/>
        </w:rPr>
      </w:pPr>
      <w:r w:rsidRPr="00F01C3D">
        <w:rPr>
          <w:rFonts w:ascii="Roboto" w:hAnsi="Roboto"/>
          <w:b/>
          <w:sz w:val="22"/>
          <w:szCs w:val="22"/>
        </w:rPr>
        <w:t>Bail denial practices in Thailand: legal framework and human rights concerns</w:t>
      </w:r>
    </w:p>
    <w:p w14:paraId="4EE6E330" w14:textId="77777777" w:rsidR="00791462" w:rsidRPr="00F01C3D" w:rsidRDefault="00791462" w:rsidP="00791462">
      <w:pPr>
        <w:jc w:val="both"/>
        <w:rPr>
          <w:rFonts w:ascii="Roboto" w:hAnsi="Roboto"/>
          <w:b/>
          <w:sz w:val="22"/>
          <w:szCs w:val="22"/>
        </w:rPr>
      </w:pPr>
      <w:bookmarkStart w:id="8" w:name="OLE_LINK48"/>
      <w:bookmarkStart w:id="9" w:name="OLE_LINK49"/>
    </w:p>
    <w:p w14:paraId="0AA6801B" w14:textId="77777777" w:rsidR="00791462" w:rsidRPr="00F01C3D" w:rsidRDefault="00791462" w:rsidP="00791462">
      <w:pPr>
        <w:jc w:val="both"/>
        <w:rPr>
          <w:rFonts w:ascii="Roboto" w:hAnsi="Roboto"/>
          <w:sz w:val="22"/>
          <w:szCs w:val="22"/>
          <w:lang w:bidi="th-TH"/>
        </w:rPr>
      </w:pPr>
      <w:r w:rsidRPr="00F01C3D">
        <w:rPr>
          <w:rFonts w:ascii="Roboto" w:hAnsi="Roboto"/>
          <w:sz w:val="22"/>
          <w:szCs w:val="22"/>
        </w:rPr>
        <w:t>In Thailand, the laws governing the granting or denial of bail are primarily articulated in the Criminal Procedure Code.</w:t>
      </w:r>
      <w:r w:rsidRPr="00F01C3D">
        <w:rPr>
          <w:rFonts w:ascii="Roboto" w:hAnsi="Roboto"/>
          <w:sz w:val="22"/>
          <w:szCs w:val="22"/>
          <w:vertAlign w:val="superscript"/>
        </w:rPr>
        <w:footnoteReference w:id="2"/>
      </w:r>
      <w:r w:rsidRPr="00F01C3D">
        <w:rPr>
          <w:rFonts w:ascii="Roboto" w:hAnsi="Roboto"/>
          <w:sz w:val="22"/>
          <w:szCs w:val="22"/>
        </w:rPr>
        <w:t xml:space="preserve"> A defendant in detention pursuant to a court’s order may submit a bail application to the court,</w:t>
      </w:r>
      <w:r w:rsidRPr="00F01C3D">
        <w:rPr>
          <w:rFonts w:ascii="Roboto" w:hAnsi="Roboto"/>
          <w:sz w:val="22"/>
          <w:szCs w:val="22"/>
          <w:vertAlign w:val="superscript"/>
        </w:rPr>
        <w:footnoteReference w:id="3"/>
      </w:r>
      <w:r w:rsidRPr="00F01C3D">
        <w:rPr>
          <w:rFonts w:ascii="Roboto" w:hAnsi="Roboto"/>
          <w:sz w:val="22"/>
          <w:szCs w:val="22"/>
        </w:rPr>
        <w:t xml:space="preserve"> who, upon receipt of said application, shall issue an order in a speedy manner.</w:t>
      </w:r>
      <w:r w:rsidRPr="00F01C3D">
        <w:rPr>
          <w:rFonts w:ascii="Roboto" w:hAnsi="Roboto"/>
          <w:sz w:val="22"/>
          <w:szCs w:val="22"/>
          <w:vertAlign w:val="superscript"/>
        </w:rPr>
        <w:footnoteReference w:id="4"/>
      </w:r>
      <w:r w:rsidRPr="00F01C3D">
        <w:rPr>
          <w:rFonts w:ascii="Roboto" w:hAnsi="Roboto"/>
          <w:sz w:val="22"/>
          <w:szCs w:val="22"/>
        </w:rPr>
        <w:t xml:space="preserve"> Section 108 specifically provides a list of factors which courts must take into consideration when ruling on bail applications. For example, courts must consider, </w:t>
      </w:r>
      <w:r w:rsidRPr="00F01C3D">
        <w:rPr>
          <w:rFonts w:ascii="Roboto" w:hAnsi="Roboto"/>
          <w:i/>
          <w:sz w:val="22"/>
          <w:szCs w:val="22"/>
        </w:rPr>
        <w:t>inter alia</w:t>
      </w:r>
      <w:r w:rsidRPr="00F01C3D">
        <w:rPr>
          <w:rFonts w:ascii="Roboto" w:hAnsi="Roboto"/>
          <w:sz w:val="22"/>
          <w:szCs w:val="22"/>
        </w:rPr>
        <w:t>, “the gravity of the charge,”</w:t>
      </w:r>
      <w:r w:rsidRPr="00F01C3D">
        <w:rPr>
          <w:rFonts w:ascii="Roboto" w:hAnsi="Roboto"/>
          <w:sz w:val="22"/>
          <w:szCs w:val="22"/>
          <w:vertAlign w:val="superscript"/>
        </w:rPr>
        <w:footnoteReference w:id="5"/>
      </w:r>
      <w:r w:rsidRPr="00F01C3D">
        <w:rPr>
          <w:rFonts w:ascii="Roboto" w:hAnsi="Roboto"/>
          <w:sz w:val="22"/>
          <w:szCs w:val="22"/>
        </w:rPr>
        <w:t xml:space="preserve"> “the extent of the evidence adduced in the case,”</w:t>
      </w:r>
      <w:r w:rsidRPr="00F01C3D">
        <w:rPr>
          <w:rFonts w:ascii="Roboto" w:hAnsi="Roboto"/>
          <w:sz w:val="22"/>
          <w:szCs w:val="22"/>
          <w:vertAlign w:val="superscript"/>
        </w:rPr>
        <w:footnoteReference w:id="6"/>
      </w:r>
      <w:r w:rsidRPr="00F01C3D">
        <w:rPr>
          <w:rFonts w:ascii="Roboto" w:hAnsi="Roboto"/>
          <w:sz w:val="22"/>
          <w:szCs w:val="22"/>
        </w:rPr>
        <w:t xml:space="preserve"> “the circumstances of the case,”</w:t>
      </w:r>
      <w:r w:rsidRPr="00F01C3D">
        <w:rPr>
          <w:rFonts w:ascii="Roboto" w:hAnsi="Roboto"/>
          <w:sz w:val="22"/>
          <w:szCs w:val="22"/>
          <w:vertAlign w:val="superscript"/>
        </w:rPr>
        <w:footnoteReference w:id="7"/>
      </w:r>
      <w:r w:rsidRPr="00F01C3D">
        <w:rPr>
          <w:rFonts w:ascii="Roboto" w:hAnsi="Roboto"/>
          <w:sz w:val="22"/>
          <w:szCs w:val="22"/>
        </w:rPr>
        <w:t xml:space="preserve"> “the likelihood of the accused’s or defendant’s escape,”</w:t>
      </w:r>
      <w:r w:rsidRPr="00F01C3D">
        <w:rPr>
          <w:rFonts w:ascii="Roboto" w:hAnsi="Roboto"/>
          <w:sz w:val="22"/>
          <w:szCs w:val="22"/>
          <w:vertAlign w:val="superscript"/>
        </w:rPr>
        <w:footnoteReference w:id="8"/>
      </w:r>
      <w:r w:rsidRPr="00F01C3D">
        <w:rPr>
          <w:rFonts w:ascii="Roboto" w:hAnsi="Roboto"/>
          <w:sz w:val="22"/>
          <w:szCs w:val="22"/>
        </w:rPr>
        <w:t xml:space="preserve"> and “the extent of, and whether there will be any danger or damage which may arise from the [release].”</w:t>
      </w:r>
      <w:r w:rsidRPr="00F01C3D">
        <w:rPr>
          <w:rFonts w:ascii="Roboto" w:hAnsi="Roboto"/>
          <w:sz w:val="22"/>
          <w:szCs w:val="22"/>
          <w:vertAlign w:val="superscript"/>
        </w:rPr>
        <w:footnoteReference w:id="9"/>
      </w:r>
      <w:r w:rsidRPr="00F01C3D">
        <w:rPr>
          <w:rFonts w:ascii="Roboto" w:hAnsi="Roboto"/>
          <w:sz w:val="22"/>
          <w:szCs w:val="22"/>
        </w:rPr>
        <w:t xml:space="preserve"> </w:t>
      </w:r>
    </w:p>
    <w:p w14:paraId="308D5337" w14:textId="77777777" w:rsidR="00791462" w:rsidRPr="00F01C3D" w:rsidRDefault="00791462" w:rsidP="00791462">
      <w:pPr>
        <w:jc w:val="both"/>
        <w:rPr>
          <w:rFonts w:ascii="Roboto" w:hAnsi="Roboto"/>
          <w:sz w:val="22"/>
          <w:szCs w:val="22"/>
          <w:lang w:bidi="th-TH"/>
        </w:rPr>
      </w:pPr>
    </w:p>
    <w:p w14:paraId="38BE42CB" w14:textId="77777777" w:rsidR="00791462" w:rsidRPr="00F01C3D" w:rsidRDefault="00791462" w:rsidP="00791462">
      <w:pPr>
        <w:jc w:val="both"/>
        <w:rPr>
          <w:rFonts w:ascii="Roboto" w:hAnsi="Roboto"/>
          <w:sz w:val="22"/>
          <w:szCs w:val="22"/>
        </w:rPr>
      </w:pPr>
      <w:r w:rsidRPr="00F01C3D">
        <w:rPr>
          <w:rFonts w:ascii="Roboto" w:hAnsi="Roboto"/>
          <w:sz w:val="22"/>
          <w:szCs w:val="22"/>
        </w:rPr>
        <w:t xml:space="preserve">Before denying bail, Section 108/1 states explicitly that courts must have a “reasonable cause” to believe that, </w:t>
      </w:r>
      <w:r w:rsidRPr="00F01C3D">
        <w:rPr>
          <w:rFonts w:ascii="Roboto" w:hAnsi="Roboto"/>
          <w:i/>
          <w:sz w:val="22"/>
          <w:szCs w:val="22"/>
        </w:rPr>
        <w:t>inter alia</w:t>
      </w:r>
      <w:r w:rsidRPr="00F01C3D">
        <w:rPr>
          <w:rFonts w:ascii="Roboto" w:hAnsi="Roboto"/>
          <w:sz w:val="22"/>
          <w:szCs w:val="22"/>
        </w:rPr>
        <w:t>, “the accused or defendant will escape,” tamper with evidence or witnesses, or cause “other danger.”</w:t>
      </w:r>
      <w:r w:rsidRPr="00F01C3D">
        <w:rPr>
          <w:rFonts w:ascii="Roboto" w:hAnsi="Roboto"/>
          <w:sz w:val="22"/>
          <w:szCs w:val="22"/>
          <w:vertAlign w:val="superscript"/>
        </w:rPr>
        <w:footnoteReference w:id="10"/>
      </w:r>
      <w:r w:rsidRPr="00F01C3D">
        <w:rPr>
          <w:rFonts w:ascii="Roboto" w:hAnsi="Roboto"/>
          <w:sz w:val="22"/>
          <w:szCs w:val="22"/>
        </w:rPr>
        <w:t xml:space="preserve"> Bail may also be denied if a court believes that the provision of bail would present an obstacle or cause damage to the investigation by a competent official or court proceedings.</w:t>
      </w:r>
      <w:r w:rsidRPr="00F01C3D">
        <w:rPr>
          <w:rFonts w:ascii="Roboto" w:hAnsi="Roboto"/>
          <w:sz w:val="22"/>
          <w:szCs w:val="22"/>
          <w:vertAlign w:val="superscript"/>
        </w:rPr>
        <w:footnoteReference w:id="11"/>
      </w:r>
      <w:r w:rsidRPr="00F01C3D">
        <w:rPr>
          <w:rFonts w:ascii="Roboto" w:hAnsi="Roboto"/>
          <w:sz w:val="22"/>
          <w:szCs w:val="22"/>
        </w:rPr>
        <w:t xml:space="preserve"> In effect, Section 108/1 provides an exhaustive list of grounds under which bail may be denied.</w:t>
      </w:r>
    </w:p>
    <w:p w14:paraId="7615291B" w14:textId="77777777" w:rsidR="00791462" w:rsidRPr="00F01C3D" w:rsidRDefault="00791462" w:rsidP="00791462">
      <w:pPr>
        <w:jc w:val="both"/>
        <w:rPr>
          <w:rFonts w:ascii="Roboto" w:hAnsi="Roboto"/>
          <w:sz w:val="22"/>
          <w:szCs w:val="22"/>
        </w:rPr>
      </w:pPr>
    </w:p>
    <w:p w14:paraId="24D6D5F7" w14:textId="77777777" w:rsidR="00791462" w:rsidRPr="00F01C3D" w:rsidRDefault="00791462" w:rsidP="00791462">
      <w:pPr>
        <w:jc w:val="both"/>
        <w:rPr>
          <w:rFonts w:ascii="Roboto" w:hAnsi="Roboto"/>
          <w:sz w:val="22"/>
          <w:szCs w:val="22"/>
          <w:lang w:bidi="th-TH"/>
        </w:rPr>
      </w:pPr>
      <w:r w:rsidRPr="00F01C3D">
        <w:rPr>
          <w:rFonts w:ascii="Roboto" w:hAnsi="Roboto"/>
          <w:sz w:val="22"/>
          <w:szCs w:val="22"/>
        </w:rPr>
        <w:t>While courts may impose conditions on bail</w:t>
      </w:r>
      <w:r w:rsidRPr="00F01C3D">
        <w:rPr>
          <w:rFonts w:ascii="Roboto" w:hAnsi="Roboto"/>
          <w:sz w:val="22"/>
          <w:szCs w:val="22"/>
          <w:vertAlign w:val="superscript"/>
        </w:rPr>
        <w:footnoteReference w:id="12"/>
      </w:r>
      <w:r w:rsidRPr="00F01C3D">
        <w:rPr>
          <w:rFonts w:ascii="Roboto" w:hAnsi="Roboto"/>
          <w:sz w:val="22"/>
          <w:szCs w:val="22"/>
        </w:rPr>
        <w:t>—such as requiring a defendant to wear an electronic monitoring device at all times, prohibiting them from posting certain messages on his social media account or prohibiting him from engaging in acts that may tarnish the reputation of the Thai monarchy—these measures are often not enough to counteract the prevailing attitude that leans toward denial.</w:t>
      </w:r>
    </w:p>
    <w:p w14:paraId="60DB2072" w14:textId="77777777" w:rsidR="00791462" w:rsidRPr="00F01C3D" w:rsidRDefault="00791462" w:rsidP="00791462">
      <w:pPr>
        <w:jc w:val="both"/>
        <w:rPr>
          <w:rFonts w:ascii="Roboto" w:hAnsi="Roboto"/>
          <w:sz w:val="22"/>
          <w:szCs w:val="22"/>
          <w:lang w:bidi="th-TH"/>
        </w:rPr>
      </w:pPr>
    </w:p>
    <w:p w14:paraId="5178ACB3" w14:textId="77777777" w:rsidR="00791462" w:rsidRPr="00F01C3D" w:rsidRDefault="00791462" w:rsidP="00791462">
      <w:pPr>
        <w:jc w:val="both"/>
        <w:rPr>
          <w:rFonts w:ascii="Roboto" w:hAnsi="Roboto"/>
          <w:sz w:val="22"/>
          <w:szCs w:val="22"/>
          <w:lang w:bidi="th-TH"/>
        </w:rPr>
      </w:pPr>
      <w:r w:rsidRPr="00F01C3D">
        <w:rPr>
          <w:rFonts w:ascii="Roboto" w:hAnsi="Roboto"/>
          <w:sz w:val="22"/>
          <w:szCs w:val="22"/>
        </w:rPr>
        <w:t>The approach under Sections 108 and 108/1, coupled with the availability of bail conditions, is intended to balance the rights of the individual, who must be presumed innocent until proven guilty by a final verdict, with the integrity of the judicial system. However</w:t>
      </w:r>
      <w:r w:rsidRPr="00F01C3D">
        <w:rPr>
          <w:rFonts w:ascii="Roboto" w:hAnsi="Roboto" w:cs="Browallia New"/>
          <w:sz w:val="22"/>
          <w:szCs w:val="22"/>
          <w:lang w:bidi="th-TH"/>
        </w:rPr>
        <w:t>,</w:t>
      </w:r>
      <w:r w:rsidRPr="00F01C3D">
        <w:rPr>
          <w:rFonts w:ascii="Roboto" w:hAnsi="Roboto"/>
          <w:sz w:val="22"/>
          <w:szCs w:val="22"/>
        </w:rPr>
        <w:t xml:space="preserve"> in Thailand, this balance </w:t>
      </w:r>
      <w:r w:rsidRPr="00F01C3D">
        <w:rPr>
          <w:rFonts w:ascii="Roboto" w:hAnsi="Roboto"/>
          <w:sz w:val="22"/>
          <w:szCs w:val="22"/>
        </w:rPr>
        <w:lastRenderedPageBreak/>
        <w:t>appears to skew heavily toward denial in certain political cases, especially those pertaining to the Thai monarchy.</w:t>
      </w:r>
      <w:r w:rsidRPr="00F01C3D">
        <w:rPr>
          <w:rFonts w:ascii="Roboto" w:hAnsi="Roboto"/>
          <w:sz w:val="22"/>
          <w:szCs w:val="22"/>
          <w:vertAlign w:val="superscript"/>
        </w:rPr>
        <w:footnoteReference w:id="13"/>
      </w:r>
      <w:r w:rsidRPr="00F01C3D">
        <w:rPr>
          <w:rFonts w:ascii="Roboto" w:hAnsi="Roboto"/>
          <w:sz w:val="22"/>
          <w:szCs w:val="22"/>
        </w:rPr>
        <w:t xml:space="preserve"> Thai courts frequently cite similar grounds for denying bail: they assert that the accused may escape or pose other dangers to the public, as stipulated in Section 108/1. In cases related to serious charges, such as the lèse-majesté charge, courts often invoke the "gravity of the charge" and the "high penalties" associated with those charges as reasons for bail denial. </w:t>
      </w:r>
    </w:p>
    <w:p w14:paraId="1D862F76" w14:textId="77777777" w:rsidR="00791462" w:rsidRPr="00F01C3D" w:rsidRDefault="00791462" w:rsidP="00791462">
      <w:pPr>
        <w:jc w:val="both"/>
        <w:rPr>
          <w:rFonts w:ascii="Roboto" w:hAnsi="Roboto"/>
          <w:sz w:val="22"/>
          <w:szCs w:val="22"/>
          <w:lang w:bidi="th-TH"/>
        </w:rPr>
      </w:pPr>
    </w:p>
    <w:p w14:paraId="3FD792F1" w14:textId="77777777" w:rsidR="00791462" w:rsidRPr="00F01C3D" w:rsidRDefault="00791462" w:rsidP="00791462">
      <w:pPr>
        <w:jc w:val="both"/>
        <w:rPr>
          <w:rFonts w:ascii="Roboto" w:hAnsi="Roboto"/>
          <w:sz w:val="22"/>
          <w:szCs w:val="22"/>
        </w:rPr>
      </w:pPr>
      <w:r w:rsidRPr="00F01C3D">
        <w:rPr>
          <w:rFonts w:ascii="Roboto" w:hAnsi="Roboto"/>
          <w:sz w:val="22"/>
          <w:szCs w:val="22"/>
        </w:rPr>
        <w:t>Courts have excessively broadened the grounds for denying bail. When the argument is made that the accused may flee if released, there is often a lack of evidence to support this assertion. The prevailing logic appears to be that because the charge is severe and carries a substantial penalty, the defendant is assumed to be a flight risk, without due consideration of the individual circumstances of each case. Furthermore, courts frequently neglect to conduct the required individualized assessments as stipulated under international human rights law when evaluating bail applications from various defendants</w:t>
      </w:r>
      <w:r w:rsidRPr="00F01C3D">
        <w:rPr>
          <w:rFonts w:ascii="Roboto" w:hAnsi="Roboto"/>
          <w:sz w:val="22"/>
          <w:szCs w:val="22"/>
          <w:cs/>
          <w:lang w:bidi="th-TH"/>
        </w:rPr>
        <w:t>.</w:t>
      </w:r>
      <w:r w:rsidRPr="00F01C3D">
        <w:rPr>
          <w:rFonts w:ascii="Roboto" w:hAnsi="Roboto"/>
          <w:sz w:val="22"/>
          <w:szCs w:val="22"/>
          <w:vertAlign w:val="superscript"/>
        </w:rPr>
        <w:footnoteReference w:id="14"/>
      </w:r>
      <w:r w:rsidRPr="00F01C3D">
        <w:rPr>
          <w:rFonts w:ascii="Roboto" w:hAnsi="Roboto"/>
          <w:sz w:val="22"/>
          <w:szCs w:val="22"/>
        </w:rPr>
        <w:t xml:space="preserve"> This failure to consider the unique context of each case often results in unjust and overly punitive bail denials.</w:t>
      </w:r>
    </w:p>
    <w:p w14:paraId="4C2CEF8E" w14:textId="77777777" w:rsidR="00791462" w:rsidRPr="00F01C3D" w:rsidRDefault="00791462" w:rsidP="00791462">
      <w:pPr>
        <w:jc w:val="both"/>
        <w:rPr>
          <w:rFonts w:ascii="Roboto" w:hAnsi="Roboto"/>
          <w:b/>
          <w:sz w:val="22"/>
          <w:szCs w:val="22"/>
        </w:rPr>
      </w:pPr>
    </w:p>
    <w:p w14:paraId="72EF09C7" w14:textId="77777777" w:rsidR="00791462" w:rsidRPr="00F01C3D" w:rsidRDefault="00791462" w:rsidP="00791462">
      <w:pPr>
        <w:jc w:val="both"/>
        <w:rPr>
          <w:rFonts w:ascii="Roboto" w:hAnsi="Roboto"/>
          <w:sz w:val="22"/>
          <w:szCs w:val="22"/>
        </w:rPr>
      </w:pPr>
      <w:r w:rsidRPr="00F01C3D">
        <w:rPr>
          <w:rFonts w:ascii="Roboto" w:hAnsi="Roboto"/>
          <w:sz w:val="22"/>
          <w:szCs w:val="22"/>
        </w:rPr>
        <w:t xml:space="preserve">The overbroad and excessive application of the grounds for denying bail is illustrated by the cases of </w:t>
      </w:r>
      <w:proofErr w:type="spellStart"/>
      <w:r w:rsidRPr="00F01C3D">
        <w:rPr>
          <w:rFonts w:ascii="Roboto" w:hAnsi="Roboto"/>
          <w:sz w:val="22"/>
          <w:szCs w:val="22"/>
        </w:rPr>
        <w:t>Arnon</w:t>
      </w:r>
      <w:proofErr w:type="spellEnd"/>
      <w:r w:rsidRPr="00F01C3D">
        <w:rPr>
          <w:rFonts w:ascii="Roboto" w:hAnsi="Roboto"/>
          <w:sz w:val="22"/>
          <w:szCs w:val="22"/>
        </w:rPr>
        <w:t xml:space="preserve"> Nampa</w:t>
      </w:r>
      <w:r w:rsidRPr="00F01C3D">
        <w:rPr>
          <w:rFonts w:ascii="Roboto" w:hAnsi="Roboto"/>
          <w:sz w:val="22"/>
          <w:szCs w:val="22"/>
          <w:vertAlign w:val="superscript"/>
        </w:rPr>
        <w:footnoteReference w:id="15"/>
      </w:r>
      <w:r w:rsidRPr="00F01C3D">
        <w:rPr>
          <w:rFonts w:ascii="Roboto" w:hAnsi="Roboto"/>
          <w:sz w:val="22"/>
          <w:szCs w:val="22"/>
        </w:rPr>
        <w:t xml:space="preserve">  and </w:t>
      </w:r>
      <w:proofErr w:type="spellStart"/>
      <w:r w:rsidRPr="00F01C3D">
        <w:rPr>
          <w:rFonts w:ascii="Roboto" w:hAnsi="Roboto"/>
          <w:sz w:val="22"/>
          <w:szCs w:val="22"/>
        </w:rPr>
        <w:t>Sirapob</w:t>
      </w:r>
      <w:proofErr w:type="spellEnd"/>
      <w:r w:rsidRPr="00F01C3D">
        <w:rPr>
          <w:rFonts w:ascii="Roboto" w:hAnsi="Roboto"/>
          <w:sz w:val="22"/>
          <w:szCs w:val="22"/>
        </w:rPr>
        <w:t xml:space="preserve"> </w:t>
      </w:r>
      <w:proofErr w:type="spellStart"/>
      <w:r w:rsidRPr="00F01C3D">
        <w:rPr>
          <w:rFonts w:ascii="Roboto" w:hAnsi="Roboto"/>
          <w:sz w:val="22"/>
          <w:szCs w:val="22"/>
        </w:rPr>
        <w:t>Phumphengphut</w:t>
      </w:r>
      <w:proofErr w:type="spellEnd"/>
      <w:r w:rsidRPr="00F01C3D">
        <w:rPr>
          <w:rFonts w:ascii="Roboto" w:hAnsi="Roboto"/>
          <w:sz w:val="22"/>
          <w:szCs w:val="22"/>
        </w:rPr>
        <w:t xml:space="preserve">. In January 2024, </w:t>
      </w:r>
      <w:proofErr w:type="spellStart"/>
      <w:r w:rsidRPr="00F01C3D">
        <w:rPr>
          <w:rFonts w:ascii="Roboto" w:hAnsi="Roboto"/>
          <w:sz w:val="22"/>
          <w:szCs w:val="22"/>
        </w:rPr>
        <w:t>Arnon</w:t>
      </w:r>
      <w:proofErr w:type="spellEnd"/>
      <w:r w:rsidRPr="00F01C3D">
        <w:rPr>
          <w:rFonts w:ascii="Roboto" w:hAnsi="Roboto"/>
          <w:sz w:val="22"/>
          <w:szCs w:val="22"/>
        </w:rPr>
        <w:t xml:space="preserve"> was found guilty of lèse-majesté and sentenced to four years in prison for publishing three Facebook posts calling for monarchy reforms.</w:t>
      </w:r>
      <w:r w:rsidRPr="00F01C3D">
        <w:rPr>
          <w:rFonts w:ascii="Roboto" w:hAnsi="Roboto"/>
          <w:sz w:val="22"/>
          <w:szCs w:val="22"/>
          <w:vertAlign w:val="superscript"/>
        </w:rPr>
        <w:footnoteReference w:id="16"/>
      </w:r>
      <w:r w:rsidRPr="00F01C3D">
        <w:rPr>
          <w:rFonts w:ascii="Roboto" w:hAnsi="Roboto"/>
          <w:sz w:val="22"/>
          <w:szCs w:val="22"/>
        </w:rPr>
        <w:t xml:space="preserve"> Since then, he has submitted multiple bail applications to the court, all of which have been rejected. In </w:t>
      </w:r>
      <w:proofErr w:type="spellStart"/>
      <w:r w:rsidRPr="00F01C3D">
        <w:rPr>
          <w:rFonts w:ascii="Roboto" w:hAnsi="Roboto"/>
          <w:sz w:val="22"/>
          <w:szCs w:val="22"/>
        </w:rPr>
        <w:t>Arnon’s</w:t>
      </w:r>
      <w:proofErr w:type="spellEnd"/>
      <w:r w:rsidRPr="00F01C3D">
        <w:rPr>
          <w:rFonts w:ascii="Roboto" w:hAnsi="Roboto"/>
          <w:sz w:val="22"/>
          <w:szCs w:val="22"/>
        </w:rPr>
        <w:t xml:space="preserve"> third bail application, the Court of Appeal rejected the request, reasoning that, </w:t>
      </w:r>
      <w:r w:rsidRPr="00F01C3D">
        <w:rPr>
          <w:rFonts w:ascii="Roboto" w:hAnsi="Roboto"/>
          <w:i/>
          <w:sz w:val="22"/>
          <w:szCs w:val="22"/>
        </w:rPr>
        <w:t>inter alia</w:t>
      </w:r>
      <w:r w:rsidRPr="00F01C3D">
        <w:rPr>
          <w:rFonts w:ascii="Roboto" w:hAnsi="Roboto"/>
          <w:sz w:val="22"/>
          <w:szCs w:val="22"/>
        </w:rPr>
        <w:t xml:space="preserve">, </w:t>
      </w:r>
      <w:proofErr w:type="spellStart"/>
      <w:r w:rsidRPr="00F01C3D">
        <w:rPr>
          <w:rFonts w:ascii="Roboto" w:hAnsi="Roboto"/>
          <w:sz w:val="22"/>
          <w:szCs w:val="22"/>
        </w:rPr>
        <w:t>Arnon’s</w:t>
      </w:r>
      <w:proofErr w:type="spellEnd"/>
      <w:r w:rsidRPr="00F01C3D">
        <w:rPr>
          <w:rFonts w:ascii="Roboto" w:hAnsi="Roboto"/>
          <w:sz w:val="22"/>
          <w:szCs w:val="22"/>
        </w:rPr>
        <w:t xml:space="preserve"> alleged conduct “caused damage to the democratic regime of government with the king as the head of state.”</w:t>
      </w:r>
      <w:r w:rsidRPr="00F01C3D">
        <w:rPr>
          <w:rFonts w:ascii="Roboto" w:hAnsi="Roboto"/>
          <w:sz w:val="22"/>
          <w:szCs w:val="22"/>
          <w:vertAlign w:val="superscript"/>
        </w:rPr>
        <w:footnoteReference w:id="17"/>
      </w:r>
      <w:r w:rsidRPr="00F01C3D">
        <w:rPr>
          <w:rFonts w:ascii="Roboto" w:hAnsi="Roboto"/>
          <w:sz w:val="22"/>
          <w:szCs w:val="22"/>
        </w:rPr>
        <w:t xml:space="preserve"> Similarly vague is the Court of Appeal’s denial of </w:t>
      </w:r>
      <w:proofErr w:type="spellStart"/>
      <w:r w:rsidRPr="00F01C3D">
        <w:rPr>
          <w:rFonts w:ascii="Roboto" w:hAnsi="Roboto"/>
          <w:sz w:val="22"/>
          <w:szCs w:val="22"/>
        </w:rPr>
        <w:t>Sirapob’s</w:t>
      </w:r>
      <w:proofErr w:type="spellEnd"/>
      <w:r w:rsidRPr="00F01C3D">
        <w:rPr>
          <w:rFonts w:ascii="Roboto" w:hAnsi="Roboto"/>
          <w:sz w:val="22"/>
          <w:szCs w:val="22"/>
        </w:rPr>
        <w:t xml:space="preserve"> third bail application since his lèse-majesté conviction (2-year prison sentence) in March 2024 for giving peaceful speeches critical of the Thai king. In its order denying bail, the Appeal Court explained that </w:t>
      </w:r>
      <w:proofErr w:type="spellStart"/>
      <w:r w:rsidRPr="00F01C3D">
        <w:rPr>
          <w:rFonts w:ascii="Roboto" w:hAnsi="Roboto"/>
          <w:sz w:val="22"/>
          <w:szCs w:val="22"/>
        </w:rPr>
        <w:t>Sirapob’s</w:t>
      </w:r>
      <w:proofErr w:type="spellEnd"/>
      <w:r w:rsidRPr="00F01C3D">
        <w:rPr>
          <w:rFonts w:ascii="Roboto" w:hAnsi="Roboto"/>
          <w:sz w:val="22"/>
          <w:szCs w:val="22"/>
        </w:rPr>
        <w:t xml:space="preserve"> alleged conduct “caused damage to the monarchy institution and impacted the feelings of the people.”</w:t>
      </w:r>
      <w:r w:rsidRPr="00F01C3D">
        <w:rPr>
          <w:rFonts w:ascii="Roboto" w:hAnsi="Roboto"/>
          <w:sz w:val="22"/>
          <w:szCs w:val="22"/>
          <w:vertAlign w:val="superscript"/>
        </w:rPr>
        <w:footnoteReference w:id="18"/>
      </w:r>
      <w:r w:rsidRPr="00F01C3D">
        <w:rPr>
          <w:rFonts w:ascii="Roboto" w:hAnsi="Roboto"/>
          <w:sz w:val="22"/>
          <w:szCs w:val="22"/>
        </w:rPr>
        <w:t xml:space="preserve"> In both cases, the Appeal Court did not cite any evidence beyond the first instance convictions to support its belief that </w:t>
      </w:r>
      <w:proofErr w:type="spellStart"/>
      <w:r w:rsidRPr="00F01C3D">
        <w:rPr>
          <w:rFonts w:ascii="Roboto" w:hAnsi="Roboto"/>
          <w:sz w:val="22"/>
          <w:szCs w:val="22"/>
        </w:rPr>
        <w:t>Arnon</w:t>
      </w:r>
      <w:proofErr w:type="spellEnd"/>
      <w:r w:rsidRPr="00F01C3D">
        <w:rPr>
          <w:rFonts w:ascii="Roboto" w:hAnsi="Roboto"/>
          <w:sz w:val="22"/>
          <w:szCs w:val="22"/>
        </w:rPr>
        <w:t xml:space="preserve"> or </w:t>
      </w:r>
      <w:proofErr w:type="spellStart"/>
      <w:r w:rsidRPr="00F01C3D">
        <w:rPr>
          <w:rFonts w:ascii="Roboto" w:hAnsi="Roboto"/>
          <w:sz w:val="22"/>
          <w:szCs w:val="22"/>
        </w:rPr>
        <w:t>Sirapob</w:t>
      </w:r>
      <w:proofErr w:type="spellEnd"/>
      <w:r w:rsidRPr="00F01C3D">
        <w:rPr>
          <w:rFonts w:ascii="Roboto" w:hAnsi="Roboto"/>
          <w:sz w:val="22"/>
          <w:szCs w:val="22"/>
        </w:rPr>
        <w:t>, if released, would flee.</w:t>
      </w:r>
    </w:p>
    <w:p w14:paraId="57570669" w14:textId="77777777" w:rsidR="00791462" w:rsidRPr="00F01C3D" w:rsidRDefault="00791462" w:rsidP="00791462">
      <w:pPr>
        <w:jc w:val="both"/>
        <w:rPr>
          <w:rFonts w:ascii="Roboto" w:hAnsi="Roboto"/>
          <w:sz w:val="22"/>
          <w:szCs w:val="22"/>
        </w:rPr>
      </w:pPr>
    </w:p>
    <w:p w14:paraId="409DD25F" w14:textId="77777777" w:rsidR="00791462" w:rsidRPr="00F01C3D" w:rsidRDefault="00791462" w:rsidP="00791462">
      <w:pPr>
        <w:jc w:val="both"/>
        <w:rPr>
          <w:rFonts w:ascii="Roboto" w:hAnsi="Roboto"/>
          <w:sz w:val="22"/>
          <w:szCs w:val="22"/>
        </w:rPr>
      </w:pPr>
      <w:r w:rsidRPr="00F01C3D">
        <w:rPr>
          <w:rFonts w:ascii="Roboto" w:hAnsi="Roboto"/>
          <w:sz w:val="22"/>
          <w:szCs w:val="22"/>
        </w:rPr>
        <w:t>Between January and August 2024, 116 bail applications were submitted on behalf of 33 political detainees. Only eight applications were granted bail, while the other 108 were rejected.</w:t>
      </w:r>
    </w:p>
    <w:bookmarkEnd w:id="8"/>
    <w:bookmarkEnd w:id="9"/>
    <w:p w14:paraId="019C5364" w14:textId="77777777" w:rsidR="00791462" w:rsidRPr="00F01C3D" w:rsidRDefault="00791462" w:rsidP="00791462">
      <w:pPr>
        <w:jc w:val="both"/>
        <w:rPr>
          <w:rFonts w:ascii="Roboto" w:hAnsi="Roboto"/>
          <w:b/>
          <w:sz w:val="22"/>
          <w:szCs w:val="22"/>
        </w:rPr>
      </w:pPr>
    </w:p>
    <w:p w14:paraId="6537E4BD" w14:textId="77777777" w:rsidR="00791462" w:rsidRPr="00F01C3D" w:rsidRDefault="00791462" w:rsidP="00791462">
      <w:pPr>
        <w:jc w:val="both"/>
        <w:rPr>
          <w:rFonts w:ascii="Roboto" w:hAnsi="Roboto"/>
          <w:b/>
          <w:sz w:val="22"/>
          <w:szCs w:val="22"/>
        </w:rPr>
      </w:pPr>
      <w:bookmarkStart w:id="10" w:name="OLE_LINK56"/>
      <w:bookmarkStart w:id="11" w:name="OLE_LINK57"/>
    </w:p>
    <w:p w14:paraId="00D23B84" w14:textId="77777777" w:rsidR="00994969" w:rsidRDefault="00994969" w:rsidP="00791462">
      <w:pPr>
        <w:jc w:val="both"/>
        <w:rPr>
          <w:rFonts w:ascii="Roboto" w:hAnsi="Roboto"/>
          <w:b/>
          <w:sz w:val="22"/>
          <w:szCs w:val="22"/>
        </w:rPr>
      </w:pPr>
    </w:p>
    <w:p w14:paraId="6FEEECCE" w14:textId="77777777" w:rsidR="00994969" w:rsidRDefault="00994969" w:rsidP="00791462">
      <w:pPr>
        <w:jc w:val="both"/>
        <w:rPr>
          <w:rFonts w:ascii="Roboto" w:hAnsi="Roboto"/>
          <w:b/>
          <w:sz w:val="22"/>
          <w:szCs w:val="22"/>
        </w:rPr>
      </w:pPr>
    </w:p>
    <w:p w14:paraId="3190F9CF" w14:textId="77777777" w:rsidR="00994969" w:rsidRDefault="00994969" w:rsidP="00791462">
      <w:pPr>
        <w:jc w:val="both"/>
        <w:rPr>
          <w:rFonts w:ascii="Roboto" w:hAnsi="Roboto"/>
          <w:b/>
          <w:sz w:val="22"/>
          <w:szCs w:val="22"/>
        </w:rPr>
      </w:pPr>
    </w:p>
    <w:p w14:paraId="2C4F1675" w14:textId="67DD584A" w:rsidR="00791462" w:rsidRPr="00F01C3D" w:rsidRDefault="00791462" w:rsidP="00791462">
      <w:pPr>
        <w:jc w:val="both"/>
        <w:rPr>
          <w:rFonts w:ascii="Roboto" w:hAnsi="Roboto"/>
          <w:b/>
          <w:sz w:val="22"/>
          <w:szCs w:val="22"/>
        </w:rPr>
      </w:pPr>
      <w:r w:rsidRPr="00F01C3D">
        <w:rPr>
          <w:rFonts w:ascii="Roboto" w:hAnsi="Roboto"/>
          <w:b/>
          <w:sz w:val="22"/>
          <w:szCs w:val="22"/>
        </w:rPr>
        <w:lastRenderedPageBreak/>
        <w:t>Arbitrary detention and inhuman treatments for human rights defenders and political activists</w:t>
      </w:r>
    </w:p>
    <w:p w14:paraId="711D45BE" w14:textId="77777777" w:rsidR="00791462" w:rsidRPr="00F01C3D" w:rsidRDefault="00791462" w:rsidP="00791462">
      <w:pPr>
        <w:jc w:val="both"/>
        <w:rPr>
          <w:rFonts w:ascii="Roboto" w:hAnsi="Roboto"/>
          <w:b/>
          <w:sz w:val="22"/>
          <w:szCs w:val="22"/>
          <w:cs/>
          <w:lang w:bidi="th-TH"/>
        </w:rPr>
      </w:pPr>
    </w:p>
    <w:p w14:paraId="0B096F8E" w14:textId="77777777" w:rsidR="00791462" w:rsidRPr="00F01C3D" w:rsidRDefault="00791462" w:rsidP="00791462">
      <w:pPr>
        <w:jc w:val="both"/>
        <w:rPr>
          <w:rFonts w:ascii="Roboto" w:hAnsi="Roboto"/>
          <w:sz w:val="22"/>
          <w:szCs w:val="22"/>
        </w:rPr>
      </w:pPr>
      <w:r w:rsidRPr="00F01C3D">
        <w:rPr>
          <w:rFonts w:ascii="Roboto" w:hAnsi="Roboto"/>
          <w:sz w:val="22"/>
          <w:szCs w:val="22"/>
        </w:rPr>
        <w:t>In Thailand, as of 25 September 2024, TLHR's documentation indicates that at least 42 people are detained in prisons in political cases, with 28 involved in lèse-majesté cases. Among them, at least 22 detainees have not been granted bail during trials or at the appeal stage (16 of whom are involved in lèse-majesté cases), two minors (at the time of the alleged offenses) are detained as part of the diversionary programs (one in a lèse-majesté case), and at least 18 detainees whose cases have concluded are in prisons (11 in lèse-majesté cases).</w:t>
      </w:r>
      <w:r w:rsidRPr="00F01C3D">
        <w:rPr>
          <w:rFonts w:ascii="Roboto" w:hAnsi="Roboto"/>
          <w:sz w:val="22"/>
          <w:szCs w:val="22"/>
          <w:vertAlign w:val="superscript"/>
        </w:rPr>
        <w:footnoteReference w:id="19"/>
      </w:r>
    </w:p>
    <w:p w14:paraId="040952DC" w14:textId="77777777" w:rsidR="00791462" w:rsidRPr="00F01C3D" w:rsidRDefault="00791462" w:rsidP="00791462">
      <w:pPr>
        <w:jc w:val="both"/>
        <w:rPr>
          <w:rFonts w:ascii="Roboto" w:hAnsi="Roboto"/>
          <w:sz w:val="22"/>
          <w:szCs w:val="22"/>
        </w:rPr>
      </w:pPr>
    </w:p>
    <w:p w14:paraId="74BC8534" w14:textId="3B22640A" w:rsidR="00791462" w:rsidRPr="00F01C3D" w:rsidRDefault="00791462" w:rsidP="00791462">
      <w:pPr>
        <w:jc w:val="both"/>
        <w:rPr>
          <w:rFonts w:ascii="Roboto" w:hAnsi="Roboto"/>
          <w:sz w:val="22"/>
          <w:szCs w:val="22"/>
        </w:rPr>
      </w:pPr>
      <w:r w:rsidRPr="00F01C3D">
        <w:rPr>
          <w:rFonts w:ascii="Roboto" w:hAnsi="Roboto"/>
          <w:sz w:val="22"/>
          <w:szCs w:val="22"/>
        </w:rPr>
        <w:t>Bail denial is considered a form of cruel, inhuman, and degrading treatment or punishment. When a person is denied bail, especially pre-trial, they may experience significant psychological stress</w:t>
      </w:r>
      <w:r w:rsidR="00994969">
        <w:rPr>
          <w:rFonts w:ascii="Roboto" w:hAnsi="Roboto"/>
          <w:sz w:val="22"/>
          <w:szCs w:val="22"/>
        </w:rPr>
        <w:t>,</w:t>
      </w:r>
      <w:r w:rsidRPr="00F01C3D">
        <w:rPr>
          <w:rFonts w:ascii="Roboto" w:hAnsi="Roboto"/>
          <w:sz w:val="22"/>
          <w:szCs w:val="22"/>
        </w:rPr>
        <w:t xml:space="preserve"> leading to feelings of hopelessness, anxiety, and/or depression. Unjust or unnecessary incarceration can worsen the suffering and lead to mental health deterioration, which can be seen as a form of cruel treatment. </w:t>
      </w:r>
    </w:p>
    <w:p w14:paraId="7F4F206F" w14:textId="77777777" w:rsidR="00791462" w:rsidRPr="00F01C3D" w:rsidRDefault="00791462" w:rsidP="00791462">
      <w:pPr>
        <w:jc w:val="both"/>
        <w:rPr>
          <w:rFonts w:ascii="Roboto" w:hAnsi="Roboto"/>
          <w:sz w:val="22"/>
          <w:szCs w:val="22"/>
        </w:rPr>
      </w:pPr>
    </w:p>
    <w:p w14:paraId="199C4EF8" w14:textId="77777777" w:rsidR="00791462" w:rsidRPr="00F01C3D" w:rsidRDefault="00791462" w:rsidP="00791462">
      <w:pPr>
        <w:jc w:val="both"/>
        <w:rPr>
          <w:rFonts w:ascii="Roboto" w:hAnsi="Roboto"/>
          <w:sz w:val="22"/>
          <w:szCs w:val="22"/>
          <w:u w:val="single"/>
        </w:rPr>
      </w:pPr>
    </w:p>
    <w:p w14:paraId="1C8E3153" w14:textId="77777777" w:rsidR="00791462" w:rsidRPr="00F01C3D" w:rsidRDefault="00791462" w:rsidP="00791462">
      <w:pPr>
        <w:jc w:val="both"/>
        <w:rPr>
          <w:rFonts w:ascii="Roboto" w:hAnsi="Roboto"/>
          <w:sz w:val="22"/>
          <w:szCs w:val="22"/>
          <w:u w:val="single"/>
        </w:rPr>
      </w:pPr>
      <w:r w:rsidRPr="00F01C3D">
        <w:rPr>
          <w:rFonts w:ascii="Roboto" w:hAnsi="Roboto"/>
          <w:sz w:val="22"/>
          <w:szCs w:val="22"/>
          <w:u w:val="single"/>
        </w:rPr>
        <w:t>Individual cases highlighting deteriorating health</w:t>
      </w:r>
    </w:p>
    <w:p w14:paraId="1606FD98" w14:textId="77777777" w:rsidR="00791462" w:rsidRPr="00F01C3D" w:rsidRDefault="00791462" w:rsidP="00791462">
      <w:pPr>
        <w:jc w:val="both"/>
        <w:rPr>
          <w:rFonts w:ascii="Roboto" w:hAnsi="Roboto"/>
          <w:sz w:val="22"/>
          <w:szCs w:val="22"/>
        </w:rPr>
      </w:pPr>
    </w:p>
    <w:p w14:paraId="253B6BCA" w14:textId="77777777" w:rsidR="00791462" w:rsidRPr="00F01C3D" w:rsidRDefault="00791462" w:rsidP="00791462">
      <w:pPr>
        <w:jc w:val="both"/>
        <w:rPr>
          <w:rFonts w:ascii="Roboto" w:hAnsi="Roboto"/>
          <w:sz w:val="22"/>
          <w:szCs w:val="22"/>
        </w:rPr>
      </w:pPr>
    </w:p>
    <w:p w14:paraId="73A2E75E" w14:textId="5E4DD1D4" w:rsidR="00791462" w:rsidRPr="00F01C3D" w:rsidRDefault="00791462" w:rsidP="00791462">
      <w:pPr>
        <w:jc w:val="both"/>
        <w:rPr>
          <w:rFonts w:ascii="Roboto" w:hAnsi="Roboto"/>
          <w:sz w:val="22"/>
          <w:szCs w:val="22"/>
          <w:cs/>
          <w:lang w:bidi="th-TH"/>
        </w:rPr>
      </w:pPr>
      <w:r w:rsidRPr="00F01C3D">
        <w:rPr>
          <w:rFonts w:ascii="Roboto" w:hAnsi="Roboto"/>
          <w:sz w:val="22"/>
          <w:szCs w:val="22"/>
        </w:rPr>
        <w:t xml:space="preserve">In Thailand, individuals who are denied bail may face long periods of detention in overcrowded and unsanitary conditions. The degrading nature of these conditions can contravene the principles of humane treatment, encapsulating both cruelty and degrading treatment as defined by international human rights standards. There are examples of various detainees </w:t>
      </w:r>
      <w:r w:rsidR="00994969">
        <w:rPr>
          <w:rFonts w:ascii="Roboto" w:hAnsi="Roboto"/>
          <w:sz w:val="22"/>
          <w:szCs w:val="22"/>
        </w:rPr>
        <w:t xml:space="preserve">who </w:t>
      </w:r>
      <w:r w:rsidRPr="00F01C3D">
        <w:rPr>
          <w:rFonts w:ascii="Roboto" w:hAnsi="Roboto"/>
          <w:sz w:val="22"/>
          <w:szCs w:val="22"/>
        </w:rPr>
        <w:t xml:space="preserve">reveal a troubling pattern of health issues arising from unsanitary conditions and lack of medical care in detention. Both </w:t>
      </w:r>
      <w:proofErr w:type="spellStart"/>
      <w:r w:rsidRPr="00F01C3D">
        <w:rPr>
          <w:rFonts w:ascii="Roboto" w:hAnsi="Roboto"/>
          <w:sz w:val="22"/>
          <w:szCs w:val="22"/>
        </w:rPr>
        <w:t>Arnon</w:t>
      </w:r>
      <w:proofErr w:type="spellEnd"/>
      <w:r w:rsidRPr="00F01C3D">
        <w:rPr>
          <w:rFonts w:ascii="Roboto" w:hAnsi="Roboto"/>
          <w:sz w:val="22"/>
          <w:szCs w:val="22"/>
        </w:rPr>
        <w:t xml:space="preserve"> and </w:t>
      </w:r>
      <w:proofErr w:type="spellStart"/>
      <w:r w:rsidRPr="00F01C3D">
        <w:rPr>
          <w:rFonts w:ascii="Roboto" w:hAnsi="Roboto"/>
          <w:sz w:val="22"/>
          <w:szCs w:val="22"/>
        </w:rPr>
        <w:t>Parit</w:t>
      </w:r>
      <w:proofErr w:type="spellEnd"/>
      <w:r w:rsidRPr="00F01C3D">
        <w:rPr>
          <w:rFonts w:ascii="Roboto" w:hAnsi="Roboto"/>
          <w:sz w:val="22"/>
          <w:szCs w:val="22"/>
        </w:rPr>
        <w:t xml:space="preserve"> </w:t>
      </w:r>
      <w:proofErr w:type="spellStart"/>
      <w:r w:rsidRPr="00F01C3D">
        <w:rPr>
          <w:rFonts w:ascii="Roboto" w:hAnsi="Roboto"/>
          <w:sz w:val="22"/>
          <w:szCs w:val="22"/>
        </w:rPr>
        <w:t>Chiwarak</w:t>
      </w:r>
      <w:proofErr w:type="spellEnd"/>
      <w:r w:rsidRPr="00F01C3D">
        <w:rPr>
          <w:rFonts w:ascii="Roboto" w:hAnsi="Roboto"/>
          <w:sz w:val="22"/>
          <w:szCs w:val="22"/>
        </w:rPr>
        <w:t xml:space="preserve"> contracted Covid-19, leading to long-term health complications. Failure to provide timely medical care and vaccinations was noted, contributing to serious health risks and severe impacts on their well-being.</w:t>
      </w:r>
    </w:p>
    <w:p w14:paraId="4B92E9D3" w14:textId="77777777" w:rsidR="00791462" w:rsidRPr="00F01C3D" w:rsidRDefault="00791462" w:rsidP="00791462">
      <w:pPr>
        <w:jc w:val="both"/>
        <w:rPr>
          <w:rFonts w:ascii="Roboto" w:hAnsi="Roboto"/>
          <w:sz w:val="22"/>
          <w:szCs w:val="22"/>
        </w:rPr>
      </w:pPr>
    </w:p>
    <w:p w14:paraId="5E21140D" w14:textId="77777777" w:rsidR="00791462" w:rsidRPr="00F01C3D" w:rsidRDefault="00791462" w:rsidP="00791462">
      <w:pPr>
        <w:jc w:val="both"/>
        <w:rPr>
          <w:rFonts w:ascii="Roboto" w:hAnsi="Roboto"/>
          <w:sz w:val="22"/>
          <w:szCs w:val="22"/>
        </w:rPr>
      </w:pPr>
      <w:r w:rsidRPr="00F01C3D">
        <w:rPr>
          <w:rFonts w:ascii="Roboto" w:hAnsi="Roboto"/>
          <w:sz w:val="22"/>
          <w:szCs w:val="22"/>
        </w:rPr>
        <w:t>During his detention in 2021 for attending a protest, Sam Samat, a stateless activist, experienced psychological distress to the extent that he suffered from hair loss and insomnia, highlighting the mental health toll associated with harsh detention conditions and abuse.</w:t>
      </w:r>
      <w:r w:rsidRPr="00F01C3D">
        <w:rPr>
          <w:rFonts w:ascii="Roboto" w:hAnsi="Roboto"/>
          <w:sz w:val="22"/>
          <w:szCs w:val="22"/>
          <w:vertAlign w:val="superscript"/>
        </w:rPr>
        <w:footnoteReference w:id="20"/>
      </w:r>
      <w:r w:rsidRPr="00F01C3D">
        <w:rPr>
          <w:rFonts w:ascii="Roboto" w:hAnsi="Roboto"/>
          <w:sz w:val="22"/>
          <w:szCs w:val="22"/>
        </w:rPr>
        <w:t xml:space="preserve"> Since being convicted of lèse-majesté for posting a photo on Facebook of King Rama X changing the costume of the Emerald Buddha into a purple gown from the </w:t>
      </w:r>
      <w:proofErr w:type="spellStart"/>
      <w:r w:rsidRPr="00F01C3D">
        <w:rPr>
          <w:rFonts w:ascii="Roboto" w:hAnsi="Roboto"/>
          <w:sz w:val="22"/>
          <w:szCs w:val="22"/>
        </w:rPr>
        <w:t>Sirivannavari</w:t>
      </w:r>
      <w:proofErr w:type="spellEnd"/>
      <w:r w:rsidRPr="00F01C3D">
        <w:rPr>
          <w:rFonts w:ascii="Roboto" w:hAnsi="Roboto"/>
          <w:sz w:val="22"/>
          <w:szCs w:val="22"/>
        </w:rPr>
        <w:t xml:space="preserve"> brand on 28 June 2023, </w:t>
      </w:r>
      <w:proofErr w:type="spellStart"/>
      <w:r w:rsidRPr="00F01C3D">
        <w:rPr>
          <w:rFonts w:ascii="Roboto" w:hAnsi="Roboto"/>
          <w:sz w:val="22"/>
          <w:szCs w:val="22"/>
        </w:rPr>
        <w:t>Warunee</w:t>
      </w:r>
      <w:proofErr w:type="spellEnd"/>
      <w:r w:rsidRPr="00F01C3D">
        <w:rPr>
          <w:rFonts w:ascii="Roboto" w:hAnsi="Roboto"/>
          <w:sz w:val="22"/>
          <w:szCs w:val="22"/>
        </w:rPr>
        <w:t xml:space="preserve"> has been detained pending appeal for more than 450 days. Her hunger strike and deteriorating health provide clear evidence of the consequences of prolonged detention and denial of bail.</w:t>
      </w:r>
      <w:r w:rsidRPr="00F01C3D">
        <w:rPr>
          <w:rFonts w:ascii="Roboto" w:hAnsi="Roboto"/>
          <w:sz w:val="22"/>
          <w:szCs w:val="22"/>
          <w:vertAlign w:val="superscript"/>
        </w:rPr>
        <w:footnoteReference w:id="21"/>
      </w:r>
    </w:p>
    <w:p w14:paraId="360B0CBE" w14:textId="77777777" w:rsidR="00791462" w:rsidRPr="00F01C3D" w:rsidRDefault="00791462" w:rsidP="00791462">
      <w:pPr>
        <w:jc w:val="both"/>
        <w:rPr>
          <w:rFonts w:ascii="Roboto" w:hAnsi="Roboto"/>
          <w:sz w:val="22"/>
          <w:szCs w:val="22"/>
        </w:rPr>
      </w:pPr>
    </w:p>
    <w:p w14:paraId="60F49C94" w14:textId="77777777" w:rsidR="00791462" w:rsidRPr="00F01C3D" w:rsidRDefault="00000000" w:rsidP="00791462">
      <w:pPr>
        <w:jc w:val="both"/>
        <w:rPr>
          <w:rFonts w:ascii="Roboto" w:hAnsi="Roboto"/>
          <w:sz w:val="22"/>
          <w:szCs w:val="22"/>
        </w:rPr>
      </w:pPr>
      <w:sdt>
        <w:sdtPr>
          <w:rPr>
            <w:rFonts w:ascii="Roboto" w:hAnsi="Roboto"/>
            <w:sz w:val="22"/>
            <w:szCs w:val="22"/>
          </w:rPr>
          <w:tag w:val="goog_rdk_6"/>
          <w:id w:val="-1374378988"/>
        </w:sdtPr>
        <w:sdtContent/>
      </w:sdt>
      <w:r w:rsidR="00791462" w:rsidRPr="00F01C3D">
        <w:rPr>
          <w:rFonts w:ascii="Roboto" w:hAnsi="Roboto"/>
          <w:sz w:val="22"/>
          <w:szCs w:val="22"/>
        </w:rPr>
        <w:t xml:space="preserve">One young detainee, </w:t>
      </w:r>
      <w:proofErr w:type="spellStart"/>
      <w:r w:rsidR="00791462" w:rsidRPr="00F01C3D">
        <w:rPr>
          <w:rFonts w:ascii="Roboto" w:hAnsi="Roboto"/>
          <w:sz w:val="22"/>
          <w:szCs w:val="22"/>
        </w:rPr>
        <w:t>Natiporn</w:t>
      </w:r>
      <w:proofErr w:type="spellEnd"/>
      <w:r w:rsidR="00791462" w:rsidRPr="00F01C3D">
        <w:rPr>
          <w:rFonts w:ascii="Roboto" w:hAnsi="Roboto"/>
          <w:sz w:val="22"/>
          <w:szCs w:val="22"/>
        </w:rPr>
        <w:t xml:space="preserve"> </w:t>
      </w:r>
      <w:proofErr w:type="spellStart"/>
      <w:r w:rsidR="00791462" w:rsidRPr="00F01C3D">
        <w:rPr>
          <w:rFonts w:ascii="Roboto" w:hAnsi="Roboto"/>
          <w:sz w:val="22"/>
          <w:szCs w:val="22"/>
        </w:rPr>
        <w:t>Sanesangkhom</w:t>
      </w:r>
      <w:proofErr w:type="spellEnd"/>
      <w:r w:rsidR="00791462" w:rsidRPr="00F01C3D">
        <w:rPr>
          <w:rFonts w:ascii="Roboto" w:hAnsi="Roboto"/>
          <w:sz w:val="22"/>
          <w:szCs w:val="22"/>
        </w:rPr>
        <w:t>, or “Bung,” tragically passed away while in custody at the Department of Corrections’ Hospital on 14 of May 2024. Her bail had been revoked in connection with a lèse-majesté case related to a public opinion poll she peacefully conducted about royal motorcades at Siam Paragon on 8 of February 2022.</w:t>
      </w:r>
      <w:r w:rsidR="00791462" w:rsidRPr="00F01C3D">
        <w:rPr>
          <w:rFonts w:ascii="Roboto" w:hAnsi="Roboto"/>
          <w:sz w:val="22"/>
          <w:szCs w:val="22"/>
          <w:vertAlign w:val="superscript"/>
        </w:rPr>
        <w:footnoteReference w:id="22"/>
      </w:r>
      <w:r w:rsidR="00791462" w:rsidRPr="00F01C3D">
        <w:rPr>
          <w:rFonts w:ascii="Roboto" w:hAnsi="Roboto"/>
          <w:sz w:val="22"/>
          <w:szCs w:val="22"/>
          <w:vertAlign w:val="superscript"/>
        </w:rPr>
        <w:t xml:space="preserve"> </w:t>
      </w:r>
      <w:r w:rsidR="00791462" w:rsidRPr="00F01C3D">
        <w:rPr>
          <w:rFonts w:ascii="Roboto" w:hAnsi="Roboto"/>
          <w:sz w:val="22"/>
          <w:szCs w:val="22"/>
        </w:rPr>
        <w:t xml:space="preserve">After her bail revocation, </w:t>
      </w:r>
      <w:proofErr w:type="spellStart"/>
      <w:r w:rsidR="00791462" w:rsidRPr="00F01C3D">
        <w:rPr>
          <w:rFonts w:ascii="Roboto" w:hAnsi="Roboto"/>
          <w:sz w:val="22"/>
          <w:szCs w:val="22"/>
        </w:rPr>
        <w:lastRenderedPageBreak/>
        <w:t>Natiporn</w:t>
      </w:r>
      <w:proofErr w:type="spellEnd"/>
      <w:r w:rsidR="00791462" w:rsidRPr="00F01C3D">
        <w:rPr>
          <w:rFonts w:ascii="Roboto" w:hAnsi="Roboto"/>
          <w:sz w:val="22"/>
          <w:szCs w:val="22"/>
        </w:rPr>
        <w:t xml:space="preserve"> went on a hunger strike for a period of at least 65 days to call for: (1) reforms of the justice system, and (2) for no one should be imprisoned for holding or expressing dissenting opinions. On the 100th day since </w:t>
      </w:r>
      <w:proofErr w:type="spellStart"/>
      <w:r w:rsidR="00791462" w:rsidRPr="00F01C3D">
        <w:rPr>
          <w:rFonts w:ascii="Roboto" w:hAnsi="Roboto"/>
          <w:sz w:val="22"/>
          <w:szCs w:val="22"/>
        </w:rPr>
        <w:t>Natiporn’s</w:t>
      </w:r>
      <w:proofErr w:type="spellEnd"/>
      <w:r w:rsidR="00791462" w:rsidRPr="00F01C3D">
        <w:rPr>
          <w:rFonts w:ascii="Roboto" w:hAnsi="Roboto"/>
          <w:sz w:val="22"/>
          <w:szCs w:val="22"/>
        </w:rPr>
        <w:t xml:space="preserve"> passing, TLHR released a statement</w:t>
      </w:r>
      <w:r w:rsidR="00791462" w:rsidRPr="00F01C3D">
        <w:rPr>
          <w:rFonts w:ascii="Roboto" w:hAnsi="Roboto"/>
          <w:sz w:val="22"/>
          <w:szCs w:val="22"/>
          <w:vertAlign w:val="superscript"/>
        </w:rPr>
        <w:footnoteReference w:id="23"/>
      </w:r>
      <w:r w:rsidR="00791462" w:rsidRPr="00F01C3D">
        <w:rPr>
          <w:rFonts w:ascii="Roboto" w:hAnsi="Roboto"/>
          <w:sz w:val="22"/>
          <w:szCs w:val="22"/>
        </w:rPr>
        <w:t xml:space="preserve"> indicating that no public prosecutor has filed an application with the court to ask the court to conduct an investigation into </w:t>
      </w:r>
      <w:proofErr w:type="spellStart"/>
      <w:r w:rsidR="00791462" w:rsidRPr="00F01C3D">
        <w:rPr>
          <w:rFonts w:ascii="Roboto" w:hAnsi="Roboto"/>
          <w:sz w:val="22"/>
          <w:szCs w:val="22"/>
        </w:rPr>
        <w:t>Netiporn’s</w:t>
      </w:r>
      <w:proofErr w:type="spellEnd"/>
      <w:r w:rsidR="00791462" w:rsidRPr="00F01C3D">
        <w:rPr>
          <w:rFonts w:ascii="Roboto" w:hAnsi="Roboto"/>
          <w:sz w:val="22"/>
          <w:szCs w:val="22"/>
        </w:rPr>
        <w:t xml:space="preserve"> death in order to issue an order stating the identity of the deceased and the place, time, cause, and circumstances of death.</w:t>
      </w:r>
      <w:r w:rsidR="00791462" w:rsidRPr="00F01C3D">
        <w:rPr>
          <w:rFonts w:ascii="Roboto" w:hAnsi="Roboto"/>
          <w:sz w:val="22"/>
          <w:szCs w:val="22"/>
          <w:vertAlign w:val="superscript"/>
        </w:rPr>
        <w:footnoteReference w:id="24"/>
      </w:r>
      <w:r w:rsidR="00791462" w:rsidRPr="00F01C3D">
        <w:rPr>
          <w:rFonts w:ascii="Roboto" w:hAnsi="Roboto"/>
          <w:sz w:val="22"/>
          <w:szCs w:val="22"/>
        </w:rPr>
        <w:t xml:space="preserve"> If death is caused by the act of any person, the identity of said person shall be stated in the order to the extent ascertainable.</w:t>
      </w:r>
      <w:r w:rsidR="00791462" w:rsidRPr="00F01C3D">
        <w:rPr>
          <w:rFonts w:ascii="Roboto" w:hAnsi="Roboto"/>
          <w:sz w:val="22"/>
          <w:szCs w:val="22"/>
          <w:vertAlign w:val="superscript"/>
        </w:rPr>
        <w:footnoteReference w:id="25"/>
      </w:r>
      <w:r w:rsidR="00791462" w:rsidRPr="00F01C3D">
        <w:rPr>
          <w:rFonts w:ascii="Roboto" w:hAnsi="Roboto"/>
          <w:sz w:val="22"/>
          <w:szCs w:val="22"/>
        </w:rPr>
        <w:t xml:space="preserve"> It is unclear what the cause of the delay is.</w:t>
      </w:r>
    </w:p>
    <w:p w14:paraId="2327C584" w14:textId="77777777" w:rsidR="00791462" w:rsidRPr="00F01C3D" w:rsidRDefault="00791462" w:rsidP="00791462">
      <w:pPr>
        <w:jc w:val="both"/>
        <w:rPr>
          <w:rFonts w:ascii="Roboto" w:hAnsi="Roboto"/>
          <w:sz w:val="22"/>
          <w:szCs w:val="22"/>
        </w:rPr>
      </w:pPr>
    </w:p>
    <w:p w14:paraId="47D11412" w14:textId="77777777" w:rsidR="00791462" w:rsidRPr="00F01C3D" w:rsidRDefault="00791462" w:rsidP="00791462">
      <w:pPr>
        <w:jc w:val="both"/>
        <w:rPr>
          <w:rFonts w:ascii="Roboto" w:hAnsi="Roboto"/>
          <w:sz w:val="22"/>
          <w:szCs w:val="22"/>
        </w:rPr>
      </w:pPr>
    </w:p>
    <w:p w14:paraId="3AFBDC71" w14:textId="77777777" w:rsidR="00791462" w:rsidRPr="00F01C3D" w:rsidRDefault="00791462" w:rsidP="00791462">
      <w:pPr>
        <w:rPr>
          <w:rFonts w:ascii="Roboto" w:hAnsi="Roboto"/>
          <w:sz w:val="22"/>
          <w:szCs w:val="22"/>
          <w:u w:val="single"/>
        </w:rPr>
      </w:pPr>
      <w:bookmarkStart w:id="12" w:name="OLE_LINK58"/>
      <w:bookmarkStart w:id="13" w:name="OLE_LINK59"/>
      <w:r w:rsidRPr="00F01C3D">
        <w:rPr>
          <w:rFonts w:ascii="Roboto" w:hAnsi="Roboto"/>
          <w:sz w:val="22"/>
          <w:szCs w:val="22"/>
          <w:u w:val="single"/>
        </w:rPr>
        <w:t>Bail and punitive detention: implications for freedom of expression in social media activities</w:t>
      </w:r>
    </w:p>
    <w:bookmarkEnd w:id="12"/>
    <w:bookmarkEnd w:id="13"/>
    <w:p w14:paraId="6B44B616" w14:textId="77777777" w:rsidR="00791462" w:rsidRPr="00F01C3D" w:rsidRDefault="00791462" w:rsidP="00791462">
      <w:pPr>
        <w:jc w:val="both"/>
        <w:rPr>
          <w:rFonts w:ascii="Roboto" w:hAnsi="Roboto"/>
          <w:sz w:val="22"/>
          <w:szCs w:val="22"/>
          <w:vertAlign w:val="superscript"/>
        </w:rPr>
      </w:pPr>
    </w:p>
    <w:p w14:paraId="460A5E6E" w14:textId="77777777" w:rsidR="00791462" w:rsidRPr="00F01C3D" w:rsidRDefault="00791462" w:rsidP="00791462">
      <w:pPr>
        <w:jc w:val="both"/>
        <w:rPr>
          <w:rFonts w:ascii="Roboto" w:hAnsi="Roboto"/>
          <w:sz w:val="22"/>
          <w:szCs w:val="22"/>
        </w:rPr>
      </w:pPr>
      <w:bookmarkStart w:id="14" w:name="OLE_LINK52"/>
      <w:bookmarkStart w:id="15" w:name="OLE_LINK53"/>
      <w:r w:rsidRPr="00F01C3D">
        <w:rPr>
          <w:rFonts w:ascii="Roboto" w:hAnsi="Roboto"/>
          <w:sz w:val="22"/>
          <w:szCs w:val="22"/>
        </w:rPr>
        <w:t xml:space="preserve">Bail is meant to ensure that a defendant returns for trial rather than serving as punishment. Denying bail without sufficient justification can lead to a situation where individuals are punished before being found guilty of any crime. This preemptive detention can be viewed as increasingly cruel, especially when it involves individuals who do not pose a flight risk or a danger to society. </w:t>
      </w:r>
    </w:p>
    <w:p w14:paraId="16D58625" w14:textId="77777777" w:rsidR="00791462" w:rsidRPr="00F01C3D" w:rsidRDefault="00791462" w:rsidP="00791462">
      <w:pPr>
        <w:jc w:val="both"/>
        <w:rPr>
          <w:rFonts w:ascii="Roboto" w:hAnsi="Roboto"/>
          <w:sz w:val="22"/>
          <w:szCs w:val="22"/>
        </w:rPr>
      </w:pPr>
      <w:r w:rsidRPr="00F01C3D">
        <w:rPr>
          <w:rFonts w:ascii="Roboto" w:hAnsi="Roboto"/>
          <w:sz w:val="22"/>
          <w:szCs w:val="22"/>
        </w:rPr>
        <w:t>Individuals expressing their opinions on Facebook should not be seen as a threat to society based solely on their Facebook posts. They should not be held under the lèse-majesté law without being granted bail. However, there have been cases in 2023 and 2024 where people have been detained under the lèse-majesté law without bail for their Facebook.</w:t>
      </w:r>
    </w:p>
    <w:p w14:paraId="1887E74D" w14:textId="77777777" w:rsidR="00791462" w:rsidRPr="00F01C3D" w:rsidRDefault="00791462" w:rsidP="00791462">
      <w:pPr>
        <w:jc w:val="both"/>
        <w:rPr>
          <w:rFonts w:ascii="Roboto" w:hAnsi="Roboto"/>
          <w:sz w:val="22"/>
          <w:szCs w:val="22"/>
        </w:rPr>
      </w:pPr>
    </w:p>
    <w:p w14:paraId="30C12EBE" w14:textId="77777777" w:rsidR="00791462" w:rsidRPr="00F01C3D" w:rsidRDefault="00791462" w:rsidP="00791462">
      <w:pPr>
        <w:jc w:val="both"/>
        <w:rPr>
          <w:rFonts w:ascii="Roboto" w:hAnsi="Roboto"/>
          <w:sz w:val="22"/>
          <w:szCs w:val="22"/>
        </w:rPr>
      </w:pPr>
      <w:r w:rsidRPr="00F01C3D">
        <w:rPr>
          <w:rFonts w:ascii="Roboto" w:hAnsi="Roboto"/>
          <w:sz w:val="22"/>
          <w:szCs w:val="22"/>
        </w:rPr>
        <w:t xml:space="preserve">Udom </w:t>
      </w:r>
      <w:proofErr w:type="spellStart"/>
      <w:r w:rsidRPr="00F01C3D">
        <w:rPr>
          <w:rFonts w:ascii="Roboto" w:hAnsi="Roboto"/>
          <w:sz w:val="22"/>
          <w:szCs w:val="22"/>
        </w:rPr>
        <w:t>Pannin</w:t>
      </w:r>
      <w:proofErr w:type="spellEnd"/>
      <w:r w:rsidRPr="00F01C3D">
        <w:rPr>
          <w:rFonts w:ascii="Roboto" w:hAnsi="Roboto"/>
          <w:sz w:val="22"/>
          <w:szCs w:val="22"/>
        </w:rPr>
        <w:t xml:space="preserve">, 36, was a factory worker in </w:t>
      </w:r>
      <w:proofErr w:type="spellStart"/>
      <w:r w:rsidRPr="00F01C3D">
        <w:rPr>
          <w:rFonts w:ascii="Roboto" w:hAnsi="Roboto"/>
          <w:sz w:val="22"/>
          <w:szCs w:val="22"/>
        </w:rPr>
        <w:t>Prachin</w:t>
      </w:r>
      <w:proofErr w:type="spellEnd"/>
      <w:r w:rsidRPr="00F01C3D">
        <w:rPr>
          <w:rFonts w:ascii="Roboto" w:hAnsi="Roboto"/>
          <w:sz w:val="22"/>
          <w:szCs w:val="22"/>
        </w:rPr>
        <w:t xml:space="preserve"> Buri Province before the Narathiwat Provincial Court sentenced to four years in prison in connection with his two Facebook posts that, in the Court’s opinion, referred to King Rama X.</w:t>
      </w:r>
      <w:r w:rsidRPr="00F01C3D">
        <w:rPr>
          <w:rFonts w:ascii="Roboto" w:hAnsi="Roboto"/>
          <w:sz w:val="22"/>
          <w:szCs w:val="22"/>
          <w:vertAlign w:val="superscript"/>
        </w:rPr>
        <w:footnoteReference w:id="26"/>
      </w:r>
      <w:r w:rsidRPr="00F01C3D">
        <w:rPr>
          <w:rFonts w:ascii="Roboto" w:hAnsi="Roboto"/>
          <w:sz w:val="22"/>
          <w:szCs w:val="22"/>
        </w:rPr>
        <w:t xml:space="preserve"> Although he was released on bail pending appeal before the Court of Appeal, his detention began after the Court of Appeal affirmed the 4 year prison sentence on 30 August 2023 and the Supreme Court denied bail as he appealed his conviction to the Supreme Court.</w:t>
      </w:r>
      <w:r w:rsidRPr="00F01C3D">
        <w:rPr>
          <w:rFonts w:ascii="Roboto" w:hAnsi="Roboto"/>
          <w:sz w:val="22"/>
          <w:szCs w:val="22"/>
          <w:vertAlign w:val="superscript"/>
        </w:rPr>
        <w:footnoteReference w:id="27"/>
      </w:r>
      <w:r w:rsidRPr="00F01C3D">
        <w:rPr>
          <w:rFonts w:ascii="Roboto" w:hAnsi="Roboto"/>
          <w:sz w:val="22"/>
          <w:szCs w:val="22"/>
        </w:rPr>
        <w:t xml:space="preserve"> Since then, he has been held in detention for 394 days while pending appeal before the Supreme Court.</w:t>
      </w:r>
    </w:p>
    <w:p w14:paraId="7E2B0A95" w14:textId="77777777" w:rsidR="00791462" w:rsidRPr="00F01C3D" w:rsidRDefault="00791462" w:rsidP="00791462">
      <w:pPr>
        <w:jc w:val="both"/>
        <w:rPr>
          <w:rFonts w:ascii="Roboto" w:hAnsi="Roboto"/>
          <w:sz w:val="22"/>
          <w:szCs w:val="22"/>
        </w:rPr>
      </w:pPr>
    </w:p>
    <w:p w14:paraId="5441F4FB" w14:textId="77777777" w:rsidR="00791462" w:rsidRPr="00F01C3D" w:rsidRDefault="00791462" w:rsidP="00791462">
      <w:pPr>
        <w:jc w:val="both"/>
        <w:rPr>
          <w:rFonts w:ascii="Roboto" w:hAnsi="Roboto"/>
          <w:sz w:val="22"/>
          <w:szCs w:val="22"/>
        </w:rPr>
      </w:pPr>
      <w:r w:rsidRPr="00F01C3D">
        <w:rPr>
          <w:rFonts w:ascii="Roboto" w:hAnsi="Roboto"/>
          <w:sz w:val="22"/>
          <w:szCs w:val="22"/>
        </w:rPr>
        <w:t>“</w:t>
      </w:r>
      <w:proofErr w:type="spellStart"/>
      <w:r w:rsidRPr="00F01C3D">
        <w:rPr>
          <w:rFonts w:ascii="Roboto" w:hAnsi="Roboto"/>
          <w:sz w:val="22"/>
          <w:szCs w:val="22"/>
        </w:rPr>
        <w:t>Kanlaya</w:t>
      </w:r>
      <w:proofErr w:type="spellEnd"/>
      <w:r w:rsidRPr="00F01C3D">
        <w:rPr>
          <w:rFonts w:ascii="Roboto" w:hAnsi="Roboto"/>
          <w:sz w:val="22"/>
          <w:szCs w:val="22"/>
        </w:rPr>
        <w:t>,” an employee of a private company in Nonthaburi Province, was sentenced to 6 years in prison by the Narathiwat Provincial Court in connection with Facebook posts allegedly published by her and allegedly about King Rama X.</w:t>
      </w:r>
      <w:r w:rsidRPr="00F01C3D">
        <w:rPr>
          <w:rFonts w:ascii="Roboto" w:hAnsi="Roboto"/>
          <w:sz w:val="22"/>
          <w:szCs w:val="22"/>
          <w:vertAlign w:val="superscript"/>
        </w:rPr>
        <w:footnoteReference w:id="28"/>
      </w:r>
      <w:r w:rsidRPr="00F01C3D">
        <w:rPr>
          <w:rFonts w:ascii="Roboto" w:hAnsi="Roboto"/>
          <w:sz w:val="22"/>
          <w:szCs w:val="22"/>
        </w:rPr>
        <w:t xml:space="preserve"> Although she was released on bail pending appeal before the Court of Appeal, her detention began after the Court of Appeal affirmed her </w:t>
      </w:r>
      <w:r w:rsidRPr="00F01C3D">
        <w:rPr>
          <w:rFonts w:ascii="Roboto" w:hAnsi="Roboto"/>
          <w:sz w:val="22"/>
          <w:szCs w:val="22"/>
        </w:rPr>
        <w:lastRenderedPageBreak/>
        <w:t>conviction on 20 October 2023 and the Supreme Court denied her bail application.</w:t>
      </w:r>
      <w:r w:rsidRPr="00F01C3D">
        <w:rPr>
          <w:rFonts w:ascii="Roboto" w:hAnsi="Roboto"/>
          <w:sz w:val="22"/>
          <w:szCs w:val="22"/>
          <w:vertAlign w:val="superscript"/>
        </w:rPr>
        <w:footnoteReference w:id="29"/>
      </w:r>
      <w:r w:rsidRPr="00F01C3D">
        <w:rPr>
          <w:rFonts w:ascii="Roboto" w:hAnsi="Roboto"/>
          <w:sz w:val="22"/>
          <w:szCs w:val="22"/>
        </w:rPr>
        <w:t xml:space="preserve"> Since then, she has been held in detention for more than 340 days while pending appeal before the Supreme Court.</w:t>
      </w:r>
    </w:p>
    <w:p w14:paraId="01602EF5" w14:textId="77777777" w:rsidR="00791462" w:rsidRPr="00F01C3D" w:rsidRDefault="00791462" w:rsidP="00791462">
      <w:pPr>
        <w:jc w:val="both"/>
        <w:rPr>
          <w:rFonts w:ascii="Roboto" w:hAnsi="Roboto"/>
          <w:sz w:val="22"/>
          <w:szCs w:val="22"/>
        </w:rPr>
      </w:pPr>
    </w:p>
    <w:p w14:paraId="61F62473" w14:textId="77777777" w:rsidR="00791462" w:rsidRPr="00F01C3D" w:rsidRDefault="00791462" w:rsidP="00791462">
      <w:pPr>
        <w:jc w:val="both"/>
        <w:rPr>
          <w:rFonts w:ascii="Roboto" w:hAnsi="Roboto"/>
          <w:sz w:val="22"/>
          <w:szCs w:val="22"/>
        </w:rPr>
      </w:pPr>
      <w:proofErr w:type="spellStart"/>
      <w:r w:rsidRPr="00F01C3D">
        <w:rPr>
          <w:rFonts w:ascii="Roboto" w:hAnsi="Roboto"/>
          <w:sz w:val="22"/>
          <w:szCs w:val="22"/>
        </w:rPr>
        <w:t>Mongkhon</w:t>
      </w:r>
      <w:proofErr w:type="spellEnd"/>
      <w:r w:rsidRPr="00F01C3D">
        <w:rPr>
          <w:rFonts w:ascii="Roboto" w:hAnsi="Roboto"/>
          <w:sz w:val="22"/>
          <w:szCs w:val="22"/>
        </w:rPr>
        <w:t xml:space="preserve"> </w:t>
      </w:r>
      <w:proofErr w:type="spellStart"/>
      <w:r w:rsidRPr="00F01C3D">
        <w:rPr>
          <w:rFonts w:ascii="Roboto" w:hAnsi="Roboto"/>
          <w:sz w:val="22"/>
          <w:szCs w:val="22"/>
        </w:rPr>
        <w:t>Thirakot</w:t>
      </w:r>
      <w:proofErr w:type="spellEnd"/>
      <w:r w:rsidRPr="00F01C3D">
        <w:rPr>
          <w:rFonts w:ascii="Roboto" w:hAnsi="Roboto"/>
          <w:sz w:val="22"/>
          <w:szCs w:val="22"/>
        </w:rPr>
        <w:t>, an online clothing vendor and a pro-democracy activist, was sentenced to 50 years in prison by the Court of Appeals Region 5 on 18 January 2024 in connection to 25 Facebook posts about the Thai monarchy.</w:t>
      </w:r>
      <w:r w:rsidRPr="00F01C3D">
        <w:rPr>
          <w:rFonts w:ascii="Roboto" w:hAnsi="Roboto"/>
          <w:sz w:val="22"/>
          <w:szCs w:val="22"/>
          <w:vertAlign w:val="superscript"/>
        </w:rPr>
        <w:footnoteReference w:id="30"/>
      </w:r>
      <w:r w:rsidRPr="00F01C3D">
        <w:rPr>
          <w:rFonts w:ascii="Roboto" w:hAnsi="Roboto"/>
          <w:sz w:val="22"/>
          <w:szCs w:val="22"/>
        </w:rPr>
        <w:t xml:space="preserve"> Since then, he has been held in detention for more than 250 days while pending appeal before the Supreme Court.</w:t>
      </w:r>
    </w:p>
    <w:p w14:paraId="3AE13981" w14:textId="77777777" w:rsidR="00791462" w:rsidRPr="00F01C3D" w:rsidRDefault="00791462" w:rsidP="00791462">
      <w:pPr>
        <w:jc w:val="both"/>
        <w:rPr>
          <w:rFonts w:ascii="Roboto" w:hAnsi="Roboto"/>
          <w:sz w:val="22"/>
          <w:szCs w:val="22"/>
        </w:rPr>
      </w:pPr>
    </w:p>
    <w:p w14:paraId="6D67D41D" w14:textId="77777777" w:rsidR="00791462" w:rsidRPr="00F01C3D" w:rsidRDefault="00791462" w:rsidP="00791462">
      <w:pPr>
        <w:jc w:val="both"/>
        <w:rPr>
          <w:rFonts w:ascii="Roboto" w:hAnsi="Roboto"/>
          <w:sz w:val="22"/>
          <w:szCs w:val="22"/>
        </w:rPr>
      </w:pPr>
      <w:proofErr w:type="spellStart"/>
      <w:r w:rsidRPr="00F01C3D">
        <w:rPr>
          <w:rFonts w:ascii="Roboto" w:hAnsi="Roboto"/>
          <w:sz w:val="22"/>
          <w:szCs w:val="22"/>
        </w:rPr>
        <w:t>Ukrit</w:t>
      </w:r>
      <w:proofErr w:type="spellEnd"/>
      <w:r w:rsidRPr="00F01C3D">
        <w:rPr>
          <w:rFonts w:ascii="Roboto" w:hAnsi="Roboto"/>
          <w:sz w:val="22"/>
          <w:szCs w:val="22"/>
        </w:rPr>
        <w:t xml:space="preserve"> </w:t>
      </w:r>
      <w:proofErr w:type="spellStart"/>
      <w:r w:rsidRPr="00F01C3D">
        <w:rPr>
          <w:rFonts w:ascii="Roboto" w:hAnsi="Roboto"/>
          <w:sz w:val="22"/>
          <w:szCs w:val="22"/>
        </w:rPr>
        <w:t>Santiprasitkun</w:t>
      </w:r>
      <w:proofErr w:type="spellEnd"/>
      <w:r w:rsidRPr="00F01C3D">
        <w:rPr>
          <w:rFonts w:ascii="Roboto" w:hAnsi="Roboto"/>
          <w:sz w:val="22"/>
          <w:szCs w:val="22"/>
        </w:rPr>
        <w:t xml:space="preserve"> was a fourth-year law student at Ramkhamhaeng University when he was found guilty of lèse-majesté and sentenced to seven years and six months by the Criminal Court in December 2022 in connection with five Facebook posts about the Thai monarchy.</w:t>
      </w:r>
      <w:r w:rsidRPr="00F01C3D">
        <w:rPr>
          <w:rFonts w:ascii="Roboto" w:hAnsi="Roboto"/>
          <w:sz w:val="22"/>
          <w:szCs w:val="22"/>
          <w:vertAlign w:val="superscript"/>
        </w:rPr>
        <w:footnoteReference w:id="31"/>
      </w:r>
      <w:r w:rsidRPr="00F01C3D">
        <w:rPr>
          <w:rFonts w:ascii="Roboto" w:hAnsi="Roboto"/>
          <w:sz w:val="22"/>
          <w:szCs w:val="22"/>
        </w:rPr>
        <w:t xml:space="preserve"> He was held in detention for 46 days before he was released on bail while pending appeal before the Court of Appeal. On 13 February 2024, the Court of Appeal affirmed his conviction.</w:t>
      </w:r>
      <w:r w:rsidRPr="00F01C3D">
        <w:rPr>
          <w:rFonts w:ascii="Roboto" w:hAnsi="Roboto"/>
          <w:sz w:val="22"/>
          <w:szCs w:val="22"/>
          <w:vertAlign w:val="superscript"/>
        </w:rPr>
        <w:footnoteReference w:id="32"/>
      </w:r>
      <w:r w:rsidRPr="00F01C3D">
        <w:rPr>
          <w:rFonts w:ascii="Roboto" w:hAnsi="Roboto"/>
          <w:sz w:val="22"/>
          <w:szCs w:val="22"/>
        </w:rPr>
        <w:t xml:space="preserve"> Since then, he has been held in detention for more than 220 days while pending appeal before the Supreme Court.</w:t>
      </w:r>
    </w:p>
    <w:bookmarkEnd w:id="14"/>
    <w:bookmarkEnd w:id="15"/>
    <w:p w14:paraId="43415CF6" w14:textId="77777777" w:rsidR="00791462" w:rsidRPr="00F01C3D" w:rsidRDefault="00791462" w:rsidP="00791462">
      <w:pPr>
        <w:jc w:val="both"/>
        <w:rPr>
          <w:rFonts w:ascii="Roboto" w:hAnsi="Roboto"/>
          <w:sz w:val="22"/>
          <w:szCs w:val="22"/>
        </w:rPr>
      </w:pPr>
    </w:p>
    <w:p w14:paraId="3D982FF2" w14:textId="77777777" w:rsidR="00791462" w:rsidRPr="00F01C3D" w:rsidRDefault="00791462" w:rsidP="00791462">
      <w:pPr>
        <w:jc w:val="both"/>
        <w:rPr>
          <w:rFonts w:ascii="Roboto" w:hAnsi="Roboto"/>
          <w:sz w:val="22"/>
          <w:szCs w:val="22"/>
          <w:u w:val="single"/>
        </w:rPr>
      </w:pPr>
      <w:r w:rsidRPr="00F01C3D">
        <w:rPr>
          <w:rFonts w:ascii="Roboto" w:hAnsi="Roboto"/>
          <w:sz w:val="22"/>
          <w:szCs w:val="22"/>
          <w:u w:val="single"/>
        </w:rPr>
        <w:t>Unnecessary detention causes strain on families and communities</w:t>
      </w:r>
    </w:p>
    <w:p w14:paraId="127423F2" w14:textId="77777777" w:rsidR="00791462" w:rsidRPr="00F01C3D" w:rsidRDefault="00791462" w:rsidP="00791462">
      <w:pPr>
        <w:jc w:val="both"/>
        <w:rPr>
          <w:rFonts w:ascii="Roboto" w:hAnsi="Roboto"/>
          <w:sz w:val="22"/>
          <w:szCs w:val="22"/>
        </w:rPr>
      </w:pPr>
    </w:p>
    <w:p w14:paraId="0C93A3E7" w14:textId="77777777" w:rsidR="00791462" w:rsidRPr="00F01C3D" w:rsidRDefault="00791462" w:rsidP="00791462">
      <w:pPr>
        <w:jc w:val="both"/>
        <w:rPr>
          <w:rFonts w:ascii="Roboto" w:hAnsi="Roboto"/>
          <w:sz w:val="22"/>
          <w:szCs w:val="22"/>
        </w:rPr>
      </w:pPr>
      <w:bookmarkStart w:id="16" w:name="OLE_LINK54"/>
      <w:bookmarkStart w:id="17" w:name="OLE_LINK55"/>
      <w:r w:rsidRPr="00F01C3D">
        <w:rPr>
          <w:rFonts w:ascii="Roboto" w:hAnsi="Roboto"/>
          <w:sz w:val="22"/>
          <w:szCs w:val="22"/>
        </w:rPr>
        <w:t xml:space="preserve">Detention does not only affect the individuals but extends to their families, as illustrated by </w:t>
      </w:r>
      <w:proofErr w:type="spellStart"/>
      <w:r w:rsidRPr="00F01C3D">
        <w:rPr>
          <w:rFonts w:ascii="Roboto" w:hAnsi="Roboto"/>
          <w:sz w:val="22"/>
          <w:szCs w:val="22"/>
        </w:rPr>
        <w:t>Pornpot</w:t>
      </w:r>
      <w:proofErr w:type="spellEnd"/>
      <w:r w:rsidRPr="00F01C3D">
        <w:rPr>
          <w:rFonts w:ascii="Roboto" w:hAnsi="Roboto"/>
          <w:sz w:val="22"/>
          <w:szCs w:val="22"/>
        </w:rPr>
        <w:t xml:space="preserve"> </w:t>
      </w:r>
      <w:proofErr w:type="spellStart"/>
      <w:r w:rsidRPr="00F01C3D">
        <w:rPr>
          <w:rFonts w:ascii="Roboto" w:hAnsi="Roboto"/>
          <w:sz w:val="22"/>
          <w:szCs w:val="22"/>
        </w:rPr>
        <w:t>Jangkrajang</w:t>
      </w:r>
      <w:proofErr w:type="spellEnd"/>
      <w:r w:rsidRPr="00F01C3D">
        <w:rPr>
          <w:rFonts w:ascii="Roboto" w:hAnsi="Roboto"/>
          <w:sz w:val="22"/>
          <w:szCs w:val="22"/>
        </w:rPr>
        <w:t xml:space="preserve"> and Prawit,</w:t>
      </w:r>
      <w:r w:rsidRPr="00F01C3D">
        <w:rPr>
          <w:rFonts w:ascii="Roboto" w:hAnsi="Roboto"/>
          <w:sz w:val="22"/>
          <w:szCs w:val="22"/>
          <w:vertAlign w:val="superscript"/>
        </w:rPr>
        <w:footnoteReference w:id="33"/>
      </w:r>
      <w:r w:rsidRPr="00F01C3D">
        <w:rPr>
          <w:rFonts w:ascii="Roboto" w:hAnsi="Roboto"/>
          <w:sz w:val="22"/>
          <w:szCs w:val="22"/>
        </w:rPr>
        <w:t xml:space="preserve"> who, as the primary breadwinners, faced challenges supporting their family due to their incarceration. </w:t>
      </w:r>
      <w:proofErr w:type="spellStart"/>
      <w:r w:rsidRPr="00F01C3D">
        <w:rPr>
          <w:rFonts w:ascii="Roboto" w:hAnsi="Roboto"/>
          <w:sz w:val="22"/>
          <w:szCs w:val="22"/>
        </w:rPr>
        <w:t>Pornpot</w:t>
      </w:r>
      <w:proofErr w:type="spellEnd"/>
      <w:r w:rsidRPr="00F01C3D">
        <w:rPr>
          <w:rFonts w:ascii="Roboto" w:hAnsi="Roboto"/>
          <w:sz w:val="22"/>
          <w:szCs w:val="22"/>
        </w:rPr>
        <w:t xml:space="preserve"> is the main provider for his family and also cares for his mother, who is battling breast cancer. The emotional strain on families and communities is profound, contributing to a cycle of harm and distress. </w:t>
      </w:r>
      <w:proofErr w:type="spellStart"/>
      <w:r w:rsidRPr="00F01C3D">
        <w:rPr>
          <w:rFonts w:ascii="Roboto" w:hAnsi="Roboto"/>
          <w:sz w:val="22"/>
          <w:szCs w:val="22"/>
        </w:rPr>
        <w:t>Kajornsak’s</w:t>
      </w:r>
      <w:proofErr w:type="spellEnd"/>
      <w:r w:rsidRPr="00F01C3D">
        <w:rPr>
          <w:rFonts w:ascii="Roboto" w:hAnsi="Roboto"/>
          <w:sz w:val="22"/>
          <w:szCs w:val="22"/>
          <w:vertAlign w:val="superscript"/>
        </w:rPr>
        <w:footnoteReference w:id="34"/>
      </w:r>
      <w:r w:rsidRPr="00F01C3D">
        <w:rPr>
          <w:rFonts w:ascii="Roboto" w:hAnsi="Roboto"/>
          <w:sz w:val="22"/>
          <w:szCs w:val="22"/>
        </w:rPr>
        <w:t xml:space="preserve"> family faced harassment from the police after he was arrested and detained. This caused fear and distress for his family, and they felt betrayed by the very people who were supposed to protect them.</w:t>
      </w:r>
    </w:p>
    <w:p w14:paraId="1703961C" w14:textId="77777777" w:rsidR="00791462" w:rsidRPr="00F01C3D" w:rsidRDefault="00791462" w:rsidP="00791462">
      <w:pPr>
        <w:jc w:val="both"/>
        <w:rPr>
          <w:rFonts w:ascii="Roboto" w:hAnsi="Roboto"/>
          <w:sz w:val="22"/>
          <w:szCs w:val="22"/>
        </w:rPr>
      </w:pPr>
    </w:p>
    <w:p w14:paraId="7FA264B1" w14:textId="77777777" w:rsidR="00791462" w:rsidRPr="00F01C3D" w:rsidRDefault="00791462" w:rsidP="00791462">
      <w:pPr>
        <w:jc w:val="both"/>
        <w:rPr>
          <w:rFonts w:ascii="Roboto" w:hAnsi="Roboto" w:cstheme="minorHAnsi"/>
          <w:sz w:val="22"/>
          <w:szCs w:val="22"/>
          <w:cs/>
          <w:lang w:bidi="th-TH"/>
        </w:rPr>
      </w:pPr>
    </w:p>
    <w:p w14:paraId="13FDE72B" w14:textId="77777777" w:rsidR="00791462" w:rsidRPr="00F01C3D" w:rsidRDefault="00791462" w:rsidP="00791462">
      <w:pPr>
        <w:jc w:val="both"/>
        <w:rPr>
          <w:rFonts w:ascii="Roboto" w:hAnsi="Roboto"/>
          <w:sz w:val="22"/>
          <w:szCs w:val="22"/>
          <w:u w:val="single"/>
        </w:rPr>
      </w:pPr>
      <w:r w:rsidRPr="00F01C3D">
        <w:rPr>
          <w:rFonts w:ascii="Roboto" w:hAnsi="Roboto"/>
          <w:sz w:val="22"/>
          <w:szCs w:val="22"/>
          <w:u w:val="single"/>
        </w:rPr>
        <w:t>Socioeconomic disparities and the impact of unnecessary detention on educational and professional aspirations</w:t>
      </w:r>
    </w:p>
    <w:p w14:paraId="0E9A22AF" w14:textId="77777777" w:rsidR="00791462" w:rsidRPr="00F01C3D" w:rsidRDefault="00791462" w:rsidP="00791462">
      <w:pPr>
        <w:jc w:val="both"/>
        <w:rPr>
          <w:rFonts w:ascii="Roboto" w:hAnsi="Roboto"/>
          <w:sz w:val="22"/>
          <w:szCs w:val="22"/>
        </w:rPr>
      </w:pPr>
    </w:p>
    <w:p w14:paraId="4A3140AE" w14:textId="77777777" w:rsidR="00791462" w:rsidRPr="00F01C3D" w:rsidRDefault="00791462" w:rsidP="00791462">
      <w:pPr>
        <w:jc w:val="both"/>
        <w:rPr>
          <w:rFonts w:ascii="Roboto" w:hAnsi="Roboto"/>
          <w:sz w:val="22"/>
          <w:szCs w:val="22"/>
        </w:rPr>
      </w:pPr>
      <w:r w:rsidRPr="00F01C3D">
        <w:rPr>
          <w:rFonts w:ascii="Roboto" w:hAnsi="Roboto"/>
          <w:sz w:val="22"/>
          <w:szCs w:val="22"/>
        </w:rPr>
        <w:t xml:space="preserve">The bail system often disproportionately affects individuals from lower socioeconomic backgrounds. This inequality can create a punitive atmosphere that not only dehumanizes </w:t>
      </w:r>
      <w:r w:rsidRPr="00F01C3D">
        <w:rPr>
          <w:rFonts w:ascii="Roboto" w:hAnsi="Roboto"/>
          <w:sz w:val="22"/>
          <w:szCs w:val="22"/>
        </w:rPr>
        <w:lastRenderedPageBreak/>
        <w:t>individuals but also reinforces systemic injustices, constituting a cruel practice that degrades human dignity based on socioeconomic status.</w:t>
      </w:r>
    </w:p>
    <w:p w14:paraId="5E8B3A63" w14:textId="77777777" w:rsidR="00791462" w:rsidRPr="00F01C3D" w:rsidRDefault="00791462" w:rsidP="00791462">
      <w:pPr>
        <w:jc w:val="both"/>
        <w:rPr>
          <w:rFonts w:ascii="Roboto" w:hAnsi="Roboto"/>
          <w:sz w:val="22"/>
          <w:szCs w:val="22"/>
        </w:rPr>
      </w:pPr>
    </w:p>
    <w:p w14:paraId="1E4BC660" w14:textId="77777777" w:rsidR="00791462" w:rsidRPr="00F01C3D" w:rsidRDefault="00791462" w:rsidP="00791462">
      <w:pPr>
        <w:jc w:val="both"/>
        <w:rPr>
          <w:rFonts w:ascii="Roboto" w:hAnsi="Roboto"/>
          <w:sz w:val="22"/>
          <w:szCs w:val="22"/>
        </w:rPr>
      </w:pPr>
      <w:r w:rsidRPr="00F01C3D">
        <w:rPr>
          <w:rFonts w:ascii="Roboto" w:hAnsi="Roboto"/>
          <w:sz w:val="22"/>
          <w:szCs w:val="22"/>
        </w:rPr>
        <w:t xml:space="preserve">Individuals such as </w:t>
      </w:r>
      <w:proofErr w:type="spellStart"/>
      <w:r w:rsidRPr="00F01C3D">
        <w:rPr>
          <w:rFonts w:ascii="Roboto" w:hAnsi="Roboto"/>
          <w:sz w:val="22"/>
          <w:szCs w:val="22"/>
        </w:rPr>
        <w:t>Arnon</w:t>
      </w:r>
      <w:proofErr w:type="spellEnd"/>
      <w:r w:rsidRPr="00F01C3D">
        <w:rPr>
          <w:rFonts w:ascii="Roboto" w:hAnsi="Roboto"/>
          <w:sz w:val="22"/>
          <w:szCs w:val="22"/>
        </w:rPr>
        <w:t xml:space="preserve"> faced significant periods of incarceration without a conviction, which not only stripped him of his freedom but also hindered his professional capabilities as a lawyer for human rights activists. </w:t>
      </w:r>
      <w:proofErr w:type="spellStart"/>
      <w:r w:rsidRPr="00F01C3D">
        <w:rPr>
          <w:rFonts w:ascii="Roboto" w:hAnsi="Roboto"/>
          <w:sz w:val="22"/>
          <w:szCs w:val="22"/>
        </w:rPr>
        <w:t>Arnon</w:t>
      </w:r>
      <w:proofErr w:type="spellEnd"/>
      <w:r w:rsidRPr="00F01C3D">
        <w:rPr>
          <w:rFonts w:ascii="Roboto" w:hAnsi="Roboto"/>
          <w:sz w:val="22"/>
          <w:szCs w:val="22"/>
        </w:rPr>
        <w:t xml:space="preserve"> had to withdraw from numerous legal cases, causing not only financial loss for himself but also harm to his clients.</w:t>
      </w:r>
    </w:p>
    <w:p w14:paraId="5C06259E" w14:textId="77777777" w:rsidR="00791462" w:rsidRPr="00F01C3D" w:rsidRDefault="00791462" w:rsidP="00791462">
      <w:pPr>
        <w:jc w:val="both"/>
        <w:rPr>
          <w:rFonts w:ascii="Roboto" w:hAnsi="Roboto"/>
          <w:sz w:val="22"/>
          <w:szCs w:val="22"/>
        </w:rPr>
      </w:pPr>
    </w:p>
    <w:p w14:paraId="72DE08F2" w14:textId="77777777" w:rsidR="00791462" w:rsidRPr="00F01C3D" w:rsidRDefault="00791462" w:rsidP="00791462">
      <w:pPr>
        <w:jc w:val="both"/>
        <w:rPr>
          <w:rFonts w:ascii="Roboto" w:eastAsia="AppleSystemUIFont" w:hAnsi="Roboto" w:cs="AppleSystemUIFont"/>
          <w:sz w:val="22"/>
          <w:szCs w:val="22"/>
        </w:rPr>
      </w:pPr>
      <w:r w:rsidRPr="00F01C3D">
        <w:rPr>
          <w:rFonts w:ascii="Roboto" w:hAnsi="Roboto"/>
          <w:sz w:val="22"/>
          <w:szCs w:val="22"/>
        </w:rPr>
        <w:t xml:space="preserve">The denial of bail can also have a notable impact on the educational aspirations of arrested individuals. For example, </w:t>
      </w:r>
      <w:proofErr w:type="spellStart"/>
      <w:r w:rsidRPr="00F01C3D">
        <w:rPr>
          <w:rFonts w:ascii="Roboto" w:hAnsi="Roboto"/>
          <w:sz w:val="22"/>
          <w:szCs w:val="22"/>
        </w:rPr>
        <w:t>Jatupat</w:t>
      </w:r>
      <w:proofErr w:type="spellEnd"/>
      <w:r w:rsidRPr="00F01C3D">
        <w:rPr>
          <w:rFonts w:ascii="Roboto" w:eastAsia="AppleSystemUIFont" w:hAnsi="Roboto" w:cs="AppleSystemUIFont"/>
          <w:sz w:val="22"/>
          <w:szCs w:val="22"/>
          <w:vertAlign w:val="superscript"/>
        </w:rPr>
        <w:footnoteReference w:id="35"/>
      </w:r>
      <w:r w:rsidRPr="00F01C3D">
        <w:rPr>
          <w:rFonts w:ascii="Roboto" w:eastAsia="AppleSystemUIFont" w:hAnsi="Roboto" w:cs="AppleSystemUIFont"/>
          <w:sz w:val="22"/>
          <w:szCs w:val="22"/>
        </w:rPr>
        <w:t xml:space="preserve"> </w:t>
      </w:r>
      <w:r w:rsidRPr="00F01C3D">
        <w:rPr>
          <w:rFonts w:ascii="Roboto" w:hAnsi="Roboto"/>
          <w:sz w:val="22"/>
          <w:szCs w:val="22"/>
        </w:rPr>
        <w:t>was unable to sit for his lawyer’s license examination, and Benja</w:t>
      </w:r>
      <w:r w:rsidRPr="00F01C3D">
        <w:rPr>
          <w:rFonts w:ascii="Roboto" w:eastAsia="AppleSystemUIFont" w:hAnsi="Roboto" w:cs="AppleSystemUIFont"/>
          <w:sz w:val="22"/>
          <w:szCs w:val="22"/>
          <w:vertAlign w:val="superscript"/>
        </w:rPr>
        <w:footnoteReference w:id="36"/>
      </w:r>
      <w:r w:rsidRPr="00F01C3D">
        <w:rPr>
          <w:rFonts w:ascii="Roboto" w:eastAsia="AppleSystemUIFont" w:hAnsi="Roboto" w:cs="AppleSystemUIFont"/>
          <w:sz w:val="22"/>
          <w:szCs w:val="22"/>
        </w:rPr>
        <w:t xml:space="preserve"> </w:t>
      </w:r>
      <w:r w:rsidRPr="00F01C3D">
        <w:rPr>
          <w:rFonts w:ascii="Roboto" w:hAnsi="Roboto"/>
          <w:sz w:val="22"/>
          <w:szCs w:val="22"/>
        </w:rPr>
        <w:t>had to abandon her dreams of studying aerospace engineering, showcasing how detention derails future opportunities</w:t>
      </w:r>
      <w:r w:rsidRPr="00F01C3D">
        <w:rPr>
          <w:rFonts w:ascii="Roboto" w:eastAsia="AppleSystemUIFont" w:hAnsi="Roboto" w:cs="AppleSystemUIFont"/>
          <w:sz w:val="22"/>
          <w:szCs w:val="22"/>
        </w:rPr>
        <w:t>.</w:t>
      </w:r>
    </w:p>
    <w:p w14:paraId="4B0A10FE" w14:textId="77777777" w:rsidR="00791462" w:rsidRPr="00F01C3D" w:rsidRDefault="00791462" w:rsidP="00791462">
      <w:pPr>
        <w:jc w:val="both"/>
        <w:rPr>
          <w:rFonts w:ascii="Roboto" w:eastAsia="AppleSystemUIFont" w:hAnsi="Roboto" w:cs="AppleSystemUIFont"/>
          <w:sz w:val="22"/>
          <w:szCs w:val="22"/>
        </w:rPr>
      </w:pPr>
    </w:p>
    <w:p w14:paraId="5C3ABB76" w14:textId="77777777" w:rsidR="00791462" w:rsidRPr="00F01C3D" w:rsidRDefault="00791462" w:rsidP="00791462">
      <w:pPr>
        <w:jc w:val="both"/>
        <w:rPr>
          <w:rFonts w:ascii="Roboto" w:eastAsia="AppleSystemUIFont" w:hAnsi="Roboto" w:cs="AppleSystemUIFont"/>
          <w:sz w:val="22"/>
          <w:szCs w:val="22"/>
        </w:rPr>
      </w:pPr>
    </w:p>
    <w:p w14:paraId="543679E1" w14:textId="77777777" w:rsidR="00791462" w:rsidRPr="00F01C3D" w:rsidRDefault="00791462" w:rsidP="00791462">
      <w:pPr>
        <w:jc w:val="both"/>
        <w:rPr>
          <w:rFonts w:ascii="Roboto" w:hAnsi="Roboto"/>
          <w:sz w:val="22"/>
          <w:szCs w:val="22"/>
          <w:u w:val="single"/>
        </w:rPr>
      </w:pPr>
      <w:r w:rsidRPr="00F01C3D">
        <w:rPr>
          <w:rFonts w:ascii="Roboto" w:hAnsi="Roboto"/>
          <w:sz w:val="22"/>
          <w:szCs w:val="22"/>
          <w:u w:val="single"/>
        </w:rPr>
        <w:t>Concerns over humiliation, psychological consequences of shackling detainees and public perception and trust in the legal system</w:t>
      </w:r>
    </w:p>
    <w:p w14:paraId="48EE88AD" w14:textId="77777777" w:rsidR="00791462" w:rsidRPr="00F01C3D" w:rsidRDefault="00791462" w:rsidP="00791462">
      <w:pPr>
        <w:jc w:val="both"/>
        <w:rPr>
          <w:rFonts w:ascii="Roboto" w:eastAsia="AppleSystemUIFont" w:hAnsi="Roboto" w:cs="AppleSystemUIFont"/>
          <w:sz w:val="22"/>
          <w:szCs w:val="22"/>
        </w:rPr>
      </w:pPr>
    </w:p>
    <w:p w14:paraId="01FE29D2" w14:textId="77777777" w:rsidR="00791462" w:rsidRPr="00F01C3D" w:rsidRDefault="00791462" w:rsidP="00791462">
      <w:pPr>
        <w:jc w:val="both"/>
        <w:rPr>
          <w:rFonts w:ascii="Roboto" w:eastAsia="AppleSystemUIFont" w:hAnsi="Roboto" w:cs="AppleSystemUIFont"/>
          <w:sz w:val="22"/>
          <w:szCs w:val="22"/>
        </w:rPr>
      </w:pPr>
      <w:r w:rsidRPr="00F01C3D">
        <w:rPr>
          <w:rFonts w:ascii="Roboto" w:hAnsi="Roboto"/>
          <w:sz w:val="22"/>
          <w:szCs w:val="22"/>
        </w:rPr>
        <w:t xml:space="preserve">The treatment of </w:t>
      </w:r>
      <w:proofErr w:type="spellStart"/>
      <w:r w:rsidRPr="00F01C3D">
        <w:rPr>
          <w:rFonts w:ascii="Roboto" w:hAnsi="Roboto"/>
          <w:sz w:val="22"/>
          <w:szCs w:val="22"/>
        </w:rPr>
        <w:t>Arnon</w:t>
      </w:r>
      <w:proofErr w:type="spellEnd"/>
      <w:r w:rsidRPr="00F01C3D">
        <w:rPr>
          <w:rFonts w:ascii="Roboto" w:hAnsi="Roboto"/>
          <w:sz w:val="22"/>
          <w:szCs w:val="22"/>
        </w:rPr>
        <w:t xml:space="preserve"> regarding the use of shackles during his court appearances raises significant concerns regarding human rights, starkly contradicts international standards for humane treatment, and seriously undermines his dignity as a human being and taints public perceptions of justice. By shackling a detainee in front of an audience, especially someone who has not yet been proven guilty by a final judgment, authorities subject him to humiliation and subjugation. Such treatment is fundamentally incompatible with the principles of respect and dignity that must be afforded to all individuals.</w:t>
      </w:r>
    </w:p>
    <w:p w14:paraId="0E971005" w14:textId="77777777" w:rsidR="00791462" w:rsidRPr="00F01C3D" w:rsidRDefault="00791462" w:rsidP="00791462">
      <w:pPr>
        <w:jc w:val="both"/>
        <w:rPr>
          <w:rFonts w:ascii="Roboto" w:eastAsia="AppleSystemUIFont" w:hAnsi="Roboto" w:cs="AppleSystemUIFont"/>
          <w:sz w:val="22"/>
          <w:szCs w:val="22"/>
        </w:rPr>
      </w:pPr>
    </w:p>
    <w:p w14:paraId="544E422B" w14:textId="77777777" w:rsidR="00791462" w:rsidRPr="00F01C3D" w:rsidRDefault="00791462" w:rsidP="00791462">
      <w:pPr>
        <w:jc w:val="both"/>
        <w:rPr>
          <w:rFonts w:ascii="Roboto" w:hAnsi="Roboto"/>
          <w:sz w:val="22"/>
          <w:szCs w:val="22"/>
        </w:rPr>
      </w:pPr>
      <w:proofErr w:type="spellStart"/>
      <w:r w:rsidRPr="00F01C3D">
        <w:rPr>
          <w:rFonts w:ascii="Roboto" w:hAnsi="Roboto"/>
          <w:sz w:val="22"/>
          <w:szCs w:val="22"/>
        </w:rPr>
        <w:t>Arnon's</w:t>
      </w:r>
      <w:proofErr w:type="spellEnd"/>
      <w:r w:rsidRPr="00F01C3D">
        <w:rPr>
          <w:rFonts w:ascii="Roboto" w:hAnsi="Roboto"/>
          <w:sz w:val="22"/>
          <w:szCs w:val="22"/>
        </w:rPr>
        <w:t xml:space="preserve"> situation, along with other cases where bail has been denied, has also raised severe legal concerns. The 2017 Constitution of Thailand clearly states that a suspect or defendant is presumed innocent until proven guilty.</w:t>
      </w:r>
      <w:r w:rsidRPr="00F01C3D">
        <w:rPr>
          <w:rFonts w:ascii="Roboto" w:hAnsi="Roboto"/>
          <w:sz w:val="22"/>
          <w:szCs w:val="22"/>
          <w:vertAlign w:val="superscript"/>
        </w:rPr>
        <w:footnoteReference w:id="37"/>
      </w:r>
      <w:r w:rsidRPr="00F01C3D">
        <w:rPr>
          <w:rFonts w:ascii="Roboto" w:hAnsi="Roboto"/>
          <w:sz w:val="22"/>
          <w:szCs w:val="22"/>
        </w:rPr>
        <w:t xml:space="preserve"> By imposing shackles on </w:t>
      </w:r>
      <w:proofErr w:type="spellStart"/>
      <w:r w:rsidRPr="00F01C3D">
        <w:rPr>
          <w:rFonts w:ascii="Roboto" w:hAnsi="Roboto"/>
          <w:sz w:val="22"/>
          <w:szCs w:val="22"/>
        </w:rPr>
        <w:t>Arnon</w:t>
      </w:r>
      <w:proofErr w:type="spellEnd"/>
      <w:r w:rsidRPr="00F01C3D">
        <w:rPr>
          <w:rFonts w:ascii="Roboto" w:hAnsi="Roboto"/>
          <w:sz w:val="22"/>
          <w:szCs w:val="22"/>
        </w:rPr>
        <w:t xml:space="preserve"> and detaining him for more than one year during his appeal process, authorities treat him as if he were already convicted, thereby violating this essential constitutional guarantee. Restraints should only be used in specific circumstances where there is a clear, legitimate security concern, and there appears to be no justification for shackling </w:t>
      </w:r>
      <w:proofErr w:type="spellStart"/>
      <w:r w:rsidRPr="00F01C3D">
        <w:rPr>
          <w:rFonts w:ascii="Roboto" w:hAnsi="Roboto"/>
          <w:sz w:val="22"/>
          <w:szCs w:val="22"/>
        </w:rPr>
        <w:t>Arnon</w:t>
      </w:r>
      <w:proofErr w:type="spellEnd"/>
      <w:r w:rsidRPr="00F01C3D">
        <w:rPr>
          <w:rFonts w:ascii="Roboto" w:hAnsi="Roboto"/>
          <w:sz w:val="22"/>
          <w:szCs w:val="22"/>
        </w:rPr>
        <w:t xml:space="preserve"> in this context. Such actions not only violate his rights but also disregard the foundational principle of presumed innocence, which is pivotal in any fair judicial </w:t>
      </w:r>
      <w:sdt>
        <w:sdtPr>
          <w:rPr>
            <w:rFonts w:ascii="Roboto" w:hAnsi="Roboto"/>
            <w:sz w:val="22"/>
            <w:szCs w:val="22"/>
          </w:rPr>
          <w:tag w:val="goog_rdk_8"/>
          <w:id w:val="1753465198"/>
        </w:sdtPr>
        <w:sdtContent/>
      </w:sdt>
      <w:r w:rsidRPr="00F01C3D">
        <w:rPr>
          <w:rFonts w:ascii="Roboto" w:hAnsi="Roboto"/>
          <w:sz w:val="22"/>
          <w:szCs w:val="22"/>
        </w:rPr>
        <w:t>system.</w:t>
      </w:r>
    </w:p>
    <w:p w14:paraId="594D5EDC" w14:textId="77777777" w:rsidR="00791462" w:rsidRPr="00F01C3D" w:rsidRDefault="00791462" w:rsidP="00791462">
      <w:pPr>
        <w:jc w:val="both"/>
        <w:rPr>
          <w:rFonts w:ascii="Roboto" w:hAnsi="Roboto"/>
          <w:sz w:val="22"/>
          <w:szCs w:val="22"/>
        </w:rPr>
      </w:pPr>
    </w:p>
    <w:p w14:paraId="083D05B4" w14:textId="77777777" w:rsidR="00791462" w:rsidRPr="00F01C3D" w:rsidRDefault="00791462" w:rsidP="00791462">
      <w:pPr>
        <w:jc w:val="both"/>
        <w:rPr>
          <w:rFonts w:ascii="Roboto" w:hAnsi="Roboto"/>
          <w:sz w:val="22"/>
          <w:szCs w:val="22"/>
        </w:rPr>
      </w:pPr>
      <w:r w:rsidRPr="00F01C3D">
        <w:rPr>
          <w:rFonts w:ascii="Roboto" w:hAnsi="Roboto"/>
          <w:sz w:val="22"/>
          <w:szCs w:val="22"/>
        </w:rPr>
        <w:t xml:space="preserve">Moreover, the psychological implications of shackling cannot be overlooked. Beyond the immediate physical discomfort, this treatment can have lasting psychological effects. The imposed humiliation and constraints on </w:t>
      </w:r>
      <w:proofErr w:type="spellStart"/>
      <w:r w:rsidRPr="00F01C3D">
        <w:rPr>
          <w:rFonts w:ascii="Roboto" w:hAnsi="Roboto"/>
          <w:sz w:val="22"/>
          <w:szCs w:val="22"/>
        </w:rPr>
        <w:t>Arnon’s</w:t>
      </w:r>
      <w:proofErr w:type="spellEnd"/>
      <w:r w:rsidRPr="00F01C3D">
        <w:rPr>
          <w:rFonts w:ascii="Roboto" w:hAnsi="Roboto"/>
          <w:sz w:val="22"/>
          <w:szCs w:val="22"/>
        </w:rPr>
        <w:t xml:space="preserve"> movement during key legal engagements may foster feelings of helplessness and despair, which violate his intrinsic human rights. Such treatment can create an environment of fear and degradation, severely undermining his ability to participate fully and effectively in his legal </w:t>
      </w:r>
      <w:proofErr w:type="spellStart"/>
      <w:r w:rsidRPr="00F01C3D">
        <w:rPr>
          <w:rFonts w:ascii="Roboto" w:hAnsi="Roboto"/>
          <w:sz w:val="22"/>
          <w:szCs w:val="22"/>
        </w:rPr>
        <w:t>defence</w:t>
      </w:r>
      <w:proofErr w:type="spellEnd"/>
      <w:r w:rsidRPr="00F01C3D">
        <w:rPr>
          <w:rFonts w:ascii="Roboto" w:hAnsi="Roboto"/>
          <w:sz w:val="22"/>
          <w:szCs w:val="22"/>
        </w:rPr>
        <w:t xml:space="preserve">. The cumulative impact of these factors can lead not only to lasting psychological harm but also to a sense of hopelessness about the pursuit of justice. Observers, including members of the public and supporters, witness this degrading </w:t>
      </w:r>
      <w:r w:rsidRPr="00F01C3D">
        <w:rPr>
          <w:rFonts w:ascii="Roboto" w:hAnsi="Roboto"/>
          <w:sz w:val="22"/>
          <w:szCs w:val="22"/>
        </w:rPr>
        <w:lastRenderedPageBreak/>
        <w:t xml:space="preserve">treatment, which further perpetuates the perception of systemic injustice within the judicial process. The implications extend beyond </w:t>
      </w:r>
      <w:proofErr w:type="spellStart"/>
      <w:r w:rsidRPr="00F01C3D">
        <w:rPr>
          <w:rFonts w:ascii="Roboto" w:hAnsi="Roboto"/>
          <w:sz w:val="22"/>
          <w:szCs w:val="22"/>
        </w:rPr>
        <w:t>Arnon</w:t>
      </w:r>
      <w:proofErr w:type="spellEnd"/>
      <w:r w:rsidRPr="00F01C3D">
        <w:rPr>
          <w:rFonts w:ascii="Roboto" w:hAnsi="Roboto"/>
          <w:sz w:val="22"/>
          <w:szCs w:val="22"/>
        </w:rPr>
        <w:t xml:space="preserve"> himself, as they can erode public trust in the legal system as a whole.</w:t>
      </w:r>
      <w:r w:rsidRPr="00F01C3D">
        <w:rPr>
          <w:rFonts w:ascii="Roboto" w:hAnsi="Roboto"/>
          <w:sz w:val="22"/>
          <w:szCs w:val="22"/>
          <w:vertAlign w:val="superscript"/>
        </w:rPr>
        <w:footnoteReference w:id="38"/>
      </w:r>
    </w:p>
    <w:p w14:paraId="28106D75" w14:textId="77777777" w:rsidR="00791462" w:rsidRPr="00F01C3D" w:rsidRDefault="00791462" w:rsidP="00791462">
      <w:pPr>
        <w:jc w:val="both"/>
        <w:rPr>
          <w:rFonts w:ascii="Roboto" w:hAnsi="Roboto"/>
          <w:sz w:val="22"/>
          <w:szCs w:val="22"/>
        </w:rPr>
      </w:pPr>
    </w:p>
    <w:bookmarkEnd w:id="10"/>
    <w:bookmarkEnd w:id="11"/>
    <w:bookmarkEnd w:id="16"/>
    <w:bookmarkEnd w:id="17"/>
    <w:p w14:paraId="1943FBA5" w14:textId="77777777" w:rsidR="00791462" w:rsidRPr="00F01C3D" w:rsidRDefault="00791462" w:rsidP="00791462">
      <w:pPr>
        <w:jc w:val="both"/>
        <w:rPr>
          <w:rFonts w:ascii="Roboto" w:hAnsi="Roboto"/>
          <w:sz w:val="22"/>
          <w:szCs w:val="22"/>
        </w:rPr>
      </w:pPr>
      <w:proofErr w:type="spellStart"/>
      <w:r w:rsidRPr="00F01C3D">
        <w:rPr>
          <w:rFonts w:ascii="Roboto" w:hAnsi="Roboto"/>
          <w:sz w:val="22"/>
          <w:szCs w:val="22"/>
        </w:rPr>
        <w:t>Sopon</w:t>
      </w:r>
      <w:proofErr w:type="spellEnd"/>
      <w:r w:rsidRPr="00F01C3D">
        <w:rPr>
          <w:rFonts w:ascii="Roboto" w:hAnsi="Roboto"/>
          <w:sz w:val="22"/>
          <w:szCs w:val="22"/>
        </w:rPr>
        <w:t xml:space="preserve"> </w:t>
      </w:r>
      <w:proofErr w:type="spellStart"/>
      <w:r w:rsidRPr="00F01C3D">
        <w:rPr>
          <w:rFonts w:ascii="Roboto" w:hAnsi="Roboto"/>
          <w:sz w:val="22"/>
          <w:szCs w:val="22"/>
        </w:rPr>
        <w:t>Surariddhidhamrong</w:t>
      </w:r>
      <w:proofErr w:type="spellEnd"/>
      <w:r w:rsidRPr="00F01C3D">
        <w:rPr>
          <w:rFonts w:ascii="Roboto" w:hAnsi="Roboto"/>
          <w:sz w:val="22"/>
          <w:szCs w:val="22"/>
        </w:rPr>
        <w:t xml:space="preserve">, like </w:t>
      </w:r>
      <w:proofErr w:type="spellStart"/>
      <w:r w:rsidRPr="00F01C3D">
        <w:rPr>
          <w:rFonts w:ascii="Roboto" w:hAnsi="Roboto"/>
          <w:sz w:val="22"/>
          <w:szCs w:val="22"/>
        </w:rPr>
        <w:t>Arnon</w:t>
      </w:r>
      <w:proofErr w:type="spellEnd"/>
      <w:r w:rsidRPr="00F01C3D">
        <w:rPr>
          <w:rFonts w:ascii="Roboto" w:hAnsi="Roboto"/>
          <w:sz w:val="22"/>
          <w:szCs w:val="22"/>
        </w:rPr>
        <w:t xml:space="preserve"> Nampa, had his ankles shackled every time he appeared in court for his trials, some of which involved charges of lèse-majesté. On 29 August 2024, the Criminal Court was set to announce a verdict in </w:t>
      </w:r>
      <w:proofErr w:type="spellStart"/>
      <w:r w:rsidRPr="00F01C3D">
        <w:rPr>
          <w:rFonts w:ascii="Roboto" w:hAnsi="Roboto"/>
          <w:sz w:val="22"/>
          <w:szCs w:val="22"/>
        </w:rPr>
        <w:t>Sopon's</w:t>
      </w:r>
      <w:proofErr w:type="spellEnd"/>
      <w:r w:rsidRPr="00F01C3D">
        <w:rPr>
          <w:rFonts w:ascii="Roboto" w:hAnsi="Roboto"/>
          <w:sz w:val="22"/>
          <w:szCs w:val="22"/>
        </w:rPr>
        <w:t xml:space="preserve"> third lèse-majesté case, where he was accused of delivering speeches critical of the Thai monarchy on International Worker’s Day in 2022. However, before the Court delivered its verdict, a motion was filed on </w:t>
      </w:r>
      <w:proofErr w:type="spellStart"/>
      <w:r w:rsidRPr="00F01C3D">
        <w:rPr>
          <w:rFonts w:ascii="Roboto" w:hAnsi="Roboto"/>
          <w:sz w:val="22"/>
          <w:szCs w:val="22"/>
        </w:rPr>
        <w:t>Sopon’s</w:t>
      </w:r>
      <w:proofErr w:type="spellEnd"/>
      <w:r w:rsidRPr="00F01C3D">
        <w:rPr>
          <w:rFonts w:ascii="Roboto" w:hAnsi="Roboto"/>
          <w:sz w:val="22"/>
          <w:szCs w:val="22"/>
        </w:rPr>
        <w:t xml:space="preserve"> behalf, arguing that the use of ankle shackles on </w:t>
      </w:r>
      <w:proofErr w:type="spellStart"/>
      <w:r w:rsidRPr="00F01C3D">
        <w:rPr>
          <w:rFonts w:ascii="Roboto" w:hAnsi="Roboto"/>
          <w:sz w:val="22"/>
          <w:szCs w:val="22"/>
        </w:rPr>
        <w:t>Sopon</w:t>
      </w:r>
      <w:proofErr w:type="spellEnd"/>
      <w:r w:rsidRPr="00F01C3D">
        <w:rPr>
          <w:rFonts w:ascii="Roboto" w:hAnsi="Roboto"/>
          <w:sz w:val="22"/>
          <w:szCs w:val="22"/>
        </w:rPr>
        <w:t xml:space="preserve"> in court was a cruel, inhuman, and degrading treatment or punishment, violating the Prevention and Suppression of Torture and Enforced Disappearance Act B.E. 2565 (2022). As a result, the Court postponed the reading of the verdict to 29 October 2024 to deliberate on this motion.</w:t>
      </w:r>
    </w:p>
    <w:p w14:paraId="6019B01F" w14:textId="77777777" w:rsidR="00791462" w:rsidRPr="00F01C3D" w:rsidRDefault="00791462" w:rsidP="00791462">
      <w:pPr>
        <w:jc w:val="both"/>
        <w:rPr>
          <w:rFonts w:ascii="Roboto" w:hAnsi="Roboto"/>
          <w:sz w:val="22"/>
          <w:szCs w:val="22"/>
        </w:rPr>
      </w:pPr>
    </w:p>
    <w:p w14:paraId="54868488" w14:textId="77777777" w:rsidR="00791462" w:rsidRPr="00F01C3D" w:rsidRDefault="00791462" w:rsidP="00791462">
      <w:pPr>
        <w:jc w:val="both"/>
        <w:rPr>
          <w:rFonts w:ascii="Roboto" w:hAnsi="Roboto"/>
          <w:sz w:val="22"/>
          <w:szCs w:val="22"/>
        </w:rPr>
      </w:pPr>
    </w:p>
    <w:p w14:paraId="47972521" w14:textId="77777777" w:rsidR="00791462" w:rsidRPr="00F01C3D" w:rsidRDefault="00791462" w:rsidP="00791462">
      <w:pPr>
        <w:jc w:val="both"/>
        <w:rPr>
          <w:rFonts w:ascii="Roboto" w:hAnsi="Roboto"/>
          <w:bCs/>
          <w:sz w:val="22"/>
          <w:szCs w:val="22"/>
        </w:rPr>
      </w:pPr>
      <w:r w:rsidRPr="00F01C3D">
        <w:rPr>
          <w:rFonts w:ascii="Roboto" w:hAnsi="Roboto"/>
          <w:b/>
          <w:sz w:val="22"/>
          <w:szCs w:val="22"/>
        </w:rPr>
        <w:t>Questions</w:t>
      </w:r>
    </w:p>
    <w:p w14:paraId="0C784705" w14:textId="77777777" w:rsidR="00791462" w:rsidRPr="00F01C3D" w:rsidRDefault="00791462" w:rsidP="00791462">
      <w:pPr>
        <w:jc w:val="both"/>
        <w:rPr>
          <w:rFonts w:ascii="Roboto" w:hAnsi="Roboto"/>
          <w:bCs/>
          <w:sz w:val="22"/>
          <w:szCs w:val="22"/>
        </w:rPr>
      </w:pPr>
    </w:p>
    <w:p w14:paraId="7D495119" w14:textId="18131C21" w:rsidR="00791462" w:rsidRPr="00F01C3D" w:rsidRDefault="00791462" w:rsidP="00791462">
      <w:pPr>
        <w:pStyle w:val="ListParagraph"/>
        <w:numPr>
          <w:ilvl w:val="0"/>
          <w:numId w:val="3"/>
        </w:numPr>
        <w:jc w:val="both"/>
        <w:rPr>
          <w:rFonts w:ascii="Roboto" w:hAnsi="Roboto"/>
          <w:bCs/>
          <w:sz w:val="22"/>
          <w:szCs w:val="22"/>
        </w:rPr>
      </w:pPr>
      <w:r w:rsidRPr="00F01C3D">
        <w:rPr>
          <w:rFonts w:ascii="Roboto" w:hAnsi="Roboto"/>
          <w:bCs/>
          <w:sz w:val="22"/>
          <w:szCs w:val="22"/>
        </w:rPr>
        <w:t xml:space="preserve">Please explain why the court investigation into the case of </w:t>
      </w:r>
      <w:r w:rsidR="00994969">
        <w:rPr>
          <w:rFonts w:ascii="Roboto" w:hAnsi="Roboto"/>
          <w:bCs/>
          <w:sz w:val="22"/>
          <w:szCs w:val="22"/>
        </w:rPr>
        <w:t xml:space="preserve">the death of </w:t>
      </w:r>
      <w:proofErr w:type="spellStart"/>
      <w:r w:rsidRPr="00F01C3D">
        <w:rPr>
          <w:rFonts w:ascii="Roboto" w:hAnsi="Roboto"/>
          <w:bCs/>
          <w:sz w:val="22"/>
          <w:szCs w:val="22"/>
        </w:rPr>
        <w:t>Natiporn</w:t>
      </w:r>
      <w:proofErr w:type="spellEnd"/>
      <w:r w:rsidRPr="00F01C3D">
        <w:rPr>
          <w:rFonts w:ascii="Roboto" w:hAnsi="Roboto"/>
          <w:bCs/>
          <w:sz w:val="22"/>
          <w:szCs w:val="22"/>
        </w:rPr>
        <w:t xml:space="preserve"> </w:t>
      </w:r>
      <w:proofErr w:type="spellStart"/>
      <w:r w:rsidRPr="00F01C3D">
        <w:rPr>
          <w:rFonts w:ascii="Roboto" w:hAnsi="Roboto"/>
          <w:bCs/>
          <w:sz w:val="22"/>
          <w:szCs w:val="22"/>
        </w:rPr>
        <w:t>Sanesangkhom</w:t>
      </w:r>
      <w:proofErr w:type="spellEnd"/>
      <w:r w:rsidRPr="00F01C3D">
        <w:rPr>
          <w:rFonts w:ascii="Roboto" w:hAnsi="Roboto"/>
          <w:bCs/>
          <w:sz w:val="22"/>
          <w:szCs w:val="22"/>
        </w:rPr>
        <w:t xml:space="preserve"> under Section 150 of the Criminal Procedure Code has not started despite taking place over 100 day</w:t>
      </w:r>
      <w:r w:rsidR="00994969">
        <w:rPr>
          <w:rFonts w:ascii="Roboto" w:hAnsi="Roboto"/>
          <w:bCs/>
          <w:sz w:val="22"/>
          <w:szCs w:val="22"/>
        </w:rPr>
        <w:t>s</w:t>
      </w:r>
      <w:r w:rsidRPr="00F01C3D">
        <w:rPr>
          <w:rFonts w:ascii="Roboto" w:hAnsi="Roboto"/>
          <w:bCs/>
          <w:sz w:val="22"/>
          <w:szCs w:val="22"/>
        </w:rPr>
        <w:t xml:space="preserve"> ago.</w:t>
      </w:r>
    </w:p>
    <w:p w14:paraId="00B91476" w14:textId="77777777" w:rsidR="00791462" w:rsidRPr="00F01C3D" w:rsidRDefault="00791462" w:rsidP="00791462">
      <w:pPr>
        <w:pStyle w:val="ListParagraph"/>
        <w:numPr>
          <w:ilvl w:val="0"/>
          <w:numId w:val="3"/>
        </w:numPr>
        <w:jc w:val="both"/>
        <w:rPr>
          <w:rFonts w:ascii="Roboto" w:hAnsi="Roboto"/>
          <w:bCs/>
          <w:sz w:val="22"/>
          <w:szCs w:val="22"/>
        </w:rPr>
      </w:pPr>
      <w:r w:rsidRPr="00F01C3D">
        <w:rPr>
          <w:rFonts w:ascii="Roboto" w:hAnsi="Roboto"/>
          <w:bCs/>
          <w:sz w:val="22"/>
          <w:szCs w:val="22"/>
        </w:rPr>
        <w:t xml:space="preserve">Please provide an explanation as to why it is necessary to shackle the ankles of political detainees, such as </w:t>
      </w:r>
      <w:proofErr w:type="spellStart"/>
      <w:r w:rsidRPr="00F01C3D">
        <w:rPr>
          <w:rFonts w:ascii="Roboto" w:hAnsi="Roboto"/>
          <w:bCs/>
          <w:sz w:val="22"/>
          <w:szCs w:val="22"/>
        </w:rPr>
        <w:t>Arnon</w:t>
      </w:r>
      <w:proofErr w:type="spellEnd"/>
      <w:r w:rsidRPr="00F01C3D">
        <w:rPr>
          <w:rFonts w:ascii="Roboto" w:hAnsi="Roboto"/>
          <w:bCs/>
          <w:sz w:val="22"/>
          <w:szCs w:val="22"/>
        </w:rPr>
        <w:t xml:space="preserve"> Nampa, when they have to appear in a courtroom before a judge. Furthermore, please provide an explanation as to why it is necessary to shackle </w:t>
      </w:r>
      <w:proofErr w:type="spellStart"/>
      <w:r w:rsidRPr="00F01C3D">
        <w:rPr>
          <w:rFonts w:ascii="Roboto" w:hAnsi="Roboto"/>
          <w:bCs/>
          <w:sz w:val="22"/>
          <w:szCs w:val="22"/>
        </w:rPr>
        <w:t>Arnon’s</w:t>
      </w:r>
      <w:proofErr w:type="spellEnd"/>
      <w:r w:rsidRPr="00F01C3D">
        <w:rPr>
          <w:rFonts w:ascii="Roboto" w:hAnsi="Roboto"/>
          <w:bCs/>
          <w:sz w:val="22"/>
          <w:szCs w:val="22"/>
        </w:rPr>
        <w:t xml:space="preserve"> ankles while he acts as a </w:t>
      </w:r>
      <w:proofErr w:type="spellStart"/>
      <w:r w:rsidRPr="00F01C3D">
        <w:rPr>
          <w:rFonts w:ascii="Roboto" w:hAnsi="Roboto"/>
          <w:bCs/>
          <w:sz w:val="22"/>
          <w:szCs w:val="22"/>
        </w:rPr>
        <w:t>defence</w:t>
      </w:r>
      <w:proofErr w:type="spellEnd"/>
      <w:r w:rsidRPr="00F01C3D">
        <w:rPr>
          <w:rFonts w:ascii="Roboto" w:hAnsi="Roboto"/>
          <w:bCs/>
          <w:sz w:val="22"/>
          <w:szCs w:val="22"/>
        </w:rPr>
        <w:t xml:space="preserve"> lawyer in court.</w:t>
      </w:r>
    </w:p>
    <w:p w14:paraId="5752A764" w14:textId="77777777" w:rsidR="00791462" w:rsidRPr="00F01C3D" w:rsidRDefault="00791462" w:rsidP="00791462">
      <w:pPr>
        <w:pStyle w:val="ListParagraph"/>
        <w:numPr>
          <w:ilvl w:val="0"/>
          <w:numId w:val="3"/>
        </w:numPr>
        <w:jc w:val="both"/>
        <w:rPr>
          <w:rFonts w:ascii="Roboto" w:hAnsi="Roboto"/>
          <w:bCs/>
          <w:sz w:val="22"/>
          <w:szCs w:val="22"/>
        </w:rPr>
      </w:pPr>
      <w:r w:rsidRPr="00F01C3D">
        <w:rPr>
          <w:rFonts w:ascii="Roboto" w:hAnsi="Roboto"/>
          <w:bCs/>
          <w:sz w:val="22"/>
          <w:szCs w:val="22"/>
        </w:rPr>
        <w:t>Please explain why it is necessary to subject individuals to a prolonged period of pre-trial detention or detention pending appeal in lèse-majesté cases or other cases involving the exercise of the right to freedom of opinion and expression, especially those who engaged only in online expressions.</w:t>
      </w:r>
    </w:p>
    <w:p w14:paraId="18EC8DD5" w14:textId="77777777" w:rsidR="00791462" w:rsidRPr="00F01C3D" w:rsidRDefault="00791462" w:rsidP="00791462">
      <w:pPr>
        <w:jc w:val="both"/>
        <w:rPr>
          <w:rFonts w:ascii="Roboto" w:hAnsi="Roboto"/>
          <w:b/>
          <w:sz w:val="22"/>
          <w:szCs w:val="22"/>
        </w:rPr>
      </w:pPr>
    </w:p>
    <w:p w14:paraId="4609F5E7" w14:textId="77777777" w:rsidR="00791462" w:rsidRPr="00F01C3D" w:rsidRDefault="00791462" w:rsidP="00791462">
      <w:pPr>
        <w:jc w:val="both"/>
        <w:rPr>
          <w:rFonts w:ascii="Roboto" w:hAnsi="Roboto"/>
          <w:b/>
          <w:sz w:val="22"/>
          <w:szCs w:val="22"/>
        </w:rPr>
      </w:pPr>
      <w:r w:rsidRPr="00F01C3D">
        <w:rPr>
          <w:rFonts w:ascii="Roboto" w:hAnsi="Roboto"/>
          <w:b/>
          <w:sz w:val="22"/>
          <w:szCs w:val="22"/>
        </w:rPr>
        <w:t>Recommendations</w:t>
      </w:r>
    </w:p>
    <w:p w14:paraId="072B6A60" w14:textId="77777777" w:rsidR="00791462" w:rsidRPr="00F01C3D" w:rsidRDefault="00791462" w:rsidP="00791462">
      <w:pPr>
        <w:jc w:val="both"/>
        <w:rPr>
          <w:rFonts w:ascii="Roboto" w:hAnsi="Roboto"/>
          <w:sz w:val="22"/>
          <w:szCs w:val="22"/>
        </w:rPr>
      </w:pPr>
    </w:p>
    <w:p w14:paraId="279C94FB" w14:textId="77777777" w:rsidR="00791462" w:rsidRPr="00F01C3D" w:rsidRDefault="00791462" w:rsidP="00791462">
      <w:pPr>
        <w:jc w:val="both"/>
        <w:rPr>
          <w:rFonts w:ascii="Roboto" w:hAnsi="Roboto"/>
          <w:bCs/>
          <w:sz w:val="22"/>
          <w:szCs w:val="22"/>
        </w:rPr>
      </w:pPr>
      <w:r w:rsidRPr="00F01C3D">
        <w:rPr>
          <w:rFonts w:ascii="Roboto" w:hAnsi="Roboto"/>
          <w:bCs/>
          <w:sz w:val="22"/>
          <w:szCs w:val="22"/>
        </w:rPr>
        <w:t>We encourage the Committee to make the following r</w:t>
      </w:r>
      <w:sdt>
        <w:sdtPr>
          <w:rPr>
            <w:rFonts w:ascii="Roboto" w:hAnsi="Roboto"/>
            <w:bCs/>
            <w:sz w:val="22"/>
            <w:szCs w:val="22"/>
          </w:rPr>
          <w:tag w:val="goog_rdk_9"/>
          <w:id w:val="371892402"/>
        </w:sdtPr>
        <w:sdtContent/>
      </w:sdt>
      <w:r w:rsidRPr="00F01C3D">
        <w:rPr>
          <w:rFonts w:ascii="Roboto" w:hAnsi="Roboto"/>
          <w:bCs/>
          <w:sz w:val="22"/>
          <w:szCs w:val="22"/>
        </w:rPr>
        <w:t>ecommendations to the Thai government:</w:t>
      </w:r>
    </w:p>
    <w:p w14:paraId="3D0C2C30" w14:textId="77777777" w:rsidR="00791462" w:rsidRPr="00F01C3D" w:rsidRDefault="00791462" w:rsidP="00791462">
      <w:pPr>
        <w:jc w:val="both"/>
        <w:rPr>
          <w:rFonts w:ascii="Roboto" w:hAnsi="Roboto"/>
          <w:sz w:val="22"/>
          <w:szCs w:val="22"/>
        </w:rPr>
      </w:pPr>
    </w:p>
    <w:p w14:paraId="17080076" w14:textId="77777777" w:rsidR="00791462" w:rsidRPr="00F01C3D" w:rsidRDefault="00791462" w:rsidP="00791462">
      <w:pPr>
        <w:pStyle w:val="ListParagraph"/>
        <w:numPr>
          <w:ilvl w:val="0"/>
          <w:numId w:val="2"/>
        </w:numPr>
        <w:jc w:val="both"/>
        <w:rPr>
          <w:rFonts w:ascii="Roboto" w:hAnsi="Roboto"/>
          <w:sz w:val="22"/>
          <w:szCs w:val="22"/>
        </w:rPr>
      </w:pPr>
      <w:r w:rsidRPr="00F01C3D">
        <w:rPr>
          <w:rFonts w:ascii="Roboto" w:hAnsi="Roboto"/>
          <w:sz w:val="22"/>
          <w:szCs w:val="22"/>
        </w:rPr>
        <w:t>Release political prisoners whose cases are pending trial or appeal and who are detained simply for exercising their right to freedom of expression or peaceful assembly, especially those detained under the lèse-majesté charge</w:t>
      </w:r>
      <w:r w:rsidR="00994969">
        <w:rPr>
          <w:rFonts w:ascii="Roboto" w:hAnsi="Roboto"/>
          <w:sz w:val="22"/>
          <w:szCs w:val="22"/>
        </w:rPr>
        <w:t>.</w:t>
      </w:r>
    </w:p>
    <w:p w14:paraId="29066C3C" w14:textId="77777777" w:rsidR="00791462" w:rsidRPr="00F01C3D" w:rsidRDefault="00791462" w:rsidP="00791462">
      <w:pPr>
        <w:jc w:val="both"/>
        <w:rPr>
          <w:rFonts w:ascii="Roboto" w:hAnsi="Roboto"/>
          <w:sz w:val="22"/>
          <w:szCs w:val="22"/>
        </w:rPr>
      </w:pPr>
    </w:p>
    <w:p w14:paraId="76730A91" w14:textId="77777777" w:rsidR="00791462" w:rsidRPr="00F01C3D" w:rsidRDefault="00791462" w:rsidP="00791462">
      <w:pPr>
        <w:pStyle w:val="ListParagraph"/>
        <w:numPr>
          <w:ilvl w:val="0"/>
          <w:numId w:val="2"/>
        </w:numPr>
        <w:jc w:val="both"/>
        <w:rPr>
          <w:rFonts w:ascii="Roboto" w:hAnsi="Roboto"/>
          <w:sz w:val="22"/>
          <w:szCs w:val="22"/>
        </w:rPr>
      </w:pPr>
      <w:r w:rsidRPr="00F01C3D">
        <w:rPr>
          <w:rFonts w:ascii="Roboto" w:hAnsi="Roboto"/>
          <w:sz w:val="22"/>
          <w:szCs w:val="22"/>
        </w:rPr>
        <w:t xml:space="preserve">Implement legal reforms on bail standards, including by </w:t>
      </w:r>
      <w:sdt>
        <w:sdtPr>
          <w:rPr>
            <w:rFonts w:ascii="Roboto" w:hAnsi="Roboto"/>
            <w:sz w:val="22"/>
            <w:szCs w:val="22"/>
          </w:rPr>
          <w:tag w:val="goog_rdk_11"/>
          <w:id w:val="1217778045"/>
        </w:sdtPr>
        <w:sdtContent>
          <w:r w:rsidRPr="00F01C3D">
            <w:rPr>
              <w:rFonts w:ascii="Roboto" w:hAnsi="Roboto"/>
              <w:sz w:val="22"/>
              <w:szCs w:val="22"/>
            </w:rPr>
            <w:t>establishing clear and transparent legal standards governing bail decisions, ensuring that denial of bail is based on objective criteria such as flight risk, recurrence of crime, or interference with evidence, rather than on political beliefs, expression of opinions, or the potential sentence for the crime charged.</w:t>
          </w:r>
          <w:sdt>
            <w:sdtPr>
              <w:rPr>
                <w:rFonts w:ascii="Roboto" w:hAnsi="Roboto"/>
                <w:sz w:val="22"/>
                <w:szCs w:val="22"/>
              </w:rPr>
              <w:tag w:val="goog_rdk_10"/>
              <w:id w:val="1770662171"/>
              <w:showingPlcHdr/>
            </w:sdtPr>
            <w:sdtContent>
              <w:r w:rsidRPr="00F01C3D">
                <w:rPr>
                  <w:rFonts w:ascii="Roboto" w:hAnsi="Roboto"/>
                  <w:sz w:val="22"/>
                  <w:szCs w:val="22"/>
                </w:rPr>
                <w:t xml:space="preserve">     </w:t>
              </w:r>
            </w:sdtContent>
          </w:sdt>
        </w:sdtContent>
      </w:sdt>
    </w:p>
    <w:p w14:paraId="36695589" w14:textId="77777777" w:rsidR="00791462" w:rsidRPr="00F01C3D" w:rsidRDefault="00791462" w:rsidP="00791462">
      <w:pPr>
        <w:jc w:val="both"/>
        <w:rPr>
          <w:rFonts w:ascii="Roboto" w:hAnsi="Roboto"/>
          <w:sz w:val="22"/>
          <w:szCs w:val="22"/>
        </w:rPr>
      </w:pPr>
    </w:p>
    <w:p w14:paraId="0203422A" w14:textId="210DDA87" w:rsidR="00791462" w:rsidRPr="00F01C3D" w:rsidRDefault="00791462" w:rsidP="00791462">
      <w:pPr>
        <w:pStyle w:val="ListParagraph"/>
        <w:numPr>
          <w:ilvl w:val="0"/>
          <w:numId w:val="2"/>
        </w:numPr>
        <w:jc w:val="both"/>
        <w:rPr>
          <w:rFonts w:ascii="Roboto" w:hAnsi="Roboto"/>
          <w:sz w:val="22"/>
          <w:szCs w:val="22"/>
        </w:rPr>
      </w:pPr>
      <w:r w:rsidRPr="00F01C3D">
        <w:rPr>
          <w:rFonts w:ascii="Roboto" w:hAnsi="Roboto"/>
          <w:sz w:val="22"/>
          <w:szCs w:val="22"/>
        </w:rPr>
        <w:t>Improve detention conditions, particularly by</w:t>
      </w:r>
      <w:r w:rsidR="00994969">
        <w:rPr>
          <w:rFonts w:ascii="Roboto" w:hAnsi="Roboto"/>
          <w:sz w:val="22"/>
          <w:szCs w:val="22"/>
        </w:rPr>
        <w:t xml:space="preserve"> </w:t>
      </w:r>
      <w:r w:rsidRPr="00F01C3D">
        <w:rPr>
          <w:rFonts w:ascii="Roboto" w:hAnsi="Roboto"/>
          <w:sz w:val="22"/>
          <w:szCs w:val="22"/>
        </w:rPr>
        <w:t>taking immediate steps to address overcrowding and unsanitary conditions in detention facilities to uphold humane treatment standards, inc</w:t>
      </w:r>
      <w:r w:rsidR="00994969">
        <w:rPr>
          <w:rFonts w:ascii="Roboto" w:hAnsi="Roboto"/>
          <w:sz w:val="22"/>
          <w:szCs w:val="22"/>
        </w:rPr>
        <w:t>l</w:t>
      </w:r>
      <w:r w:rsidRPr="00F01C3D">
        <w:rPr>
          <w:rFonts w:ascii="Roboto" w:hAnsi="Roboto"/>
          <w:sz w:val="22"/>
          <w:szCs w:val="22"/>
        </w:rPr>
        <w:t xml:space="preserve">uding ensuring access to adequate medical care, clean water, </w:t>
      </w:r>
      <w:r w:rsidRPr="00F01C3D">
        <w:rPr>
          <w:rFonts w:ascii="Roboto" w:hAnsi="Roboto"/>
          <w:sz w:val="22"/>
          <w:szCs w:val="22"/>
        </w:rPr>
        <w:lastRenderedPageBreak/>
        <w:t>and nutrition. Implement policies that provide timely medical care for detainees and health screenings to prevent and address communicable diseases and other health issues.</w:t>
      </w:r>
    </w:p>
    <w:p w14:paraId="520DED1E" w14:textId="77777777" w:rsidR="00791462" w:rsidRPr="00F01C3D" w:rsidRDefault="00791462" w:rsidP="00791462">
      <w:pPr>
        <w:jc w:val="both"/>
        <w:rPr>
          <w:rFonts w:ascii="Roboto" w:hAnsi="Roboto"/>
          <w:sz w:val="22"/>
          <w:szCs w:val="22"/>
        </w:rPr>
      </w:pPr>
    </w:p>
    <w:p w14:paraId="7B4E8A03" w14:textId="77777777" w:rsidR="00791462" w:rsidRPr="00F01C3D" w:rsidRDefault="00791462" w:rsidP="00791462">
      <w:pPr>
        <w:pStyle w:val="ListParagraph"/>
        <w:numPr>
          <w:ilvl w:val="0"/>
          <w:numId w:val="2"/>
        </w:numPr>
        <w:jc w:val="both"/>
        <w:rPr>
          <w:rFonts w:ascii="Roboto" w:hAnsi="Roboto"/>
          <w:sz w:val="22"/>
          <w:szCs w:val="22"/>
        </w:rPr>
      </w:pPr>
      <w:r w:rsidRPr="00F01C3D">
        <w:rPr>
          <w:rFonts w:ascii="Roboto" w:hAnsi="Roboto"/>
          <w:sz w:val="22"/>
          <w:szCs w:val="22"/>
        </w:rPr>
        <w:t>Develop support programs for families of detainees, including psychological support and economic assistance to address the burdens imposed by the incarceration of breadwinners, and consider alternatives to detention that allow individuals to remain with their families while awaiting trial, such as electronic monitoring for non-violent offenders.</w:t>
      </w:r>
    </w:p>
    <w:p w14:paraId="0F119E70" w14:textId="77777777" w:rsidR="00791462" w:rsidRPr="00F01C3D" w:rsidRDefault="00791462" w:rsidP="00791462">
      <w:pPr>
        <w:jc w:val="both"/>
        <w:rPr>
          <w:rFonts w:ascii="Roboto" w:hAnsi="Roboto"/>
          <w:sz w:val="22"/>
          <w:szCs w:val="22"/>
        </w:rPr>
      </w:pPr>
    </w:p>
    <w:p w14:paraId="31F7E037" w14:textId="77777777" w:rsidR="00791462" w:rsidRPr="00F01C3D" w:rsidRDefault="00791462" w:rsidP="00791462">
      <w:pPr>
        <w:pStyle w:val="ListParagraph"/>
        <w:numPr>
          <w:ilvl w:val="0"/>
          <w:numId w:val="2"/>
        </w:numPr>
        <w:jc w:val="both"/>
        <w:rPr>
          <w:rFonts w:ascii="Roboto" w:hAnsi="Roboto"/>
          <w:sz w:val="22"/>
          <w:szCs w:val="22"/>
        </w:rPr>
      </w:pPr>
      <w:r w:rsidRPr="00F01C3D">
        <w:rPr>
          <w:rFonts w:ascii="Roboto" w:hAnsi="Roboto"/>
          <w:sz w:val="22"/>
          <w:szCs w:val="22"/>
        </w:rPr>
        <w:t xml:space="preserve">Clearly define the word “danger” in Section 108/1(3) in the Criminal Procedure Code to prevent it from being used in an overbroad or arbitrary manner and require courts to not only state </w:t>
      </w:r>
      <w:sdt>
        <w:sdtPr>
          <w:rPr>
            <w:rFonts w:ascii="Roboto" w:hAnsi="Roboto"/>
            <w:sz w:val="22"/>
            <w:szCs w:val="22"/>
          </w:rPr>
          <w:tag w:val="goog_rdk_13"/>
          <w:id w:val="-374474465"/>
        </w:sdtPr>
        <w:sdtContent/>
      </w:sdt>
      <w:r w:rsidRPr="00F01C3D">
        <w:rPr>
          <w:rFonts w:ascii="Roboto" w:hAnsi="Roboto"/>
          <w:sz w:val="22"/>
          <w:szCs w:val="22"/>
        </w:rPr>
        <w:t>reasons for their bail decisions but also state evidence to support those reasons.</w:t>
      </w:r>
    </w:p>
    <w:p w14:paraId="0D617A4C" w14:textId="77777777" w:rsidR="00791462" w:rsidRPr="00F01C3D" w:rsidRDefault="00791462" w:rsidP="00791462">
      <w:pPr>
        <w:jc w:val="both"/>
        <w:rPr>
          <w:rFonts w:ascii="Roboto" w:hAnsi="Roboto"/>
          <w:sz w:val="22"/>
          <w:szCs w:val="22"/>
        </w:rPr>
      </w:pPr>
    </w:p>
    <w:p w14:paraId="6F9D60B1" w14:textId="77777777" w:rsidR="00791462" w:rsidRDefault="00791462"/>
    <w:sectPr w:rsidR="0079146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1EF65A" w14:textId="77777777" w:rsidR="0036353D" w:rsidRDefault="0036353D" w:rsidP="00791462">
      <w:r>
        <w:separator/>
      </w:r>
    </w:p>
  </w:endnote>
  <w:endnote w:type="continuationSeparator" w:id="0">
    <w:p w14:paraId="60F376F9" w14:textId="77777777" w:rsidR="0036353D" w:rsidRDefault="0036353D" w:rsidP="00791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AFF" w:usb1="C0007843" w:usb2="00000009" w:usb3="00000000" w:csb0="000001FF" w:csb1="00000000"/>
  </w:font>
  <w:font w:name="Browallia New">
    <w:panose1 w:val="020B0604020202020204"/>
    <w:charset w:val="DE"/>
    <w:family w:val="swiss"/>
    <w:pitch w:val="variable"/>
    <w:sig w:usb0="81000003" w:usb1="00000000" w:usb2="00000000" w:usb3="00000000" w:csb0="00010001"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C1F3BB" w14:textId="77777777" w:rsidR="0036353D" w:rsidRDefault="0036353D" w:rsidP="00791462">
      <w:r>
        <w:separator/>
      </w:r>
    </w:p>
  </w:footnote>
  <w:footnote w:type="continuationSeparator" w:id="0">
    <w:p w14:paraId="50849A58" w14:textId="77777777" w:rsidR="0036353D" w:rsidRDefault="0036353D" w:rsidP="00791462">
      <w:r>
        <w:continuationSeparator/>
      </w:r>
    </w:p>
  </w:footnote>
  <w:footnote w:id="1">
    <w:p w14:paraId="69C988E5" w14:textId="77777777" w:rsidR="00791462" w:rsidRPr="00F01C3D" w:rsidRDefault="00791462" w:rsidP="00791462">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International human rights standards, as outlined in documents such as the Universal Declaration of Human Rights and the International Covenant on Civil and Political Rights, stress the importance of fair trial rights and the presumption of innocence. Denying bail in an arbitrary or unjust manner can violate these principles, contributing to the argument that such practices are cruel and degrading. Article 9 of the ICCPR guarantees everyone the right to liberty and security of person. Denying bail can lead to arbitrary detention beyond what is necessary and can violate this fundamental right, especially when individuals are held for prolonged periods without the opportunity for bail, leading to mentally tormenting conditions. According to Article 10(1) of the ICCPR, all persons deprived of their liberty should be treated with humanity and with respect for the inherent dignity of the human person. Under Article 14(2) of the ICCPR, everyone is entitled to the presumption of innocence until proven guilty.</w:t>
      </w:r>
    </w:p>
  </w:footnote>
  <w:footnote w:id="2">
    <w:p w14:paraId="7395B006" w14:textId="77777777" w:rsidR="00791462" w:rsidRPr="00F01C3D" w:rsidRDefault="00791462" w:rsidP="00E55AA0">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Unofficial translation of the Criminal Code and Criminal Procedure Code by the Office of the Council of State is available at:</w:t>
      </w:r>
    </w:p>
    <w:p w14:paraId="508ED987" w14:textId="77777777" w:rsidR="00791462" w:rsidRPr="00F01C3D" w:rsidRDefault="00000000" w:rsidP="00E55AA0">
      <w:pPr>
        <w:jc w:val="both"/>
        <w:rPr>
          <w:rFonts w:ascii="Roboto" w:hAnsi="Roboto"/>
          <w:sz w:val="16"/>
          <w:szCs w:val="16"/>
        </w:rPr>
      </w:pPr>
      <w:hyperlink r:id="rId1" w:history="1">
        <w:r w:rsidR="00791462" w:rsidRPr="00F01C3D">
          <w:rPr>
            <w:rStyle w:val="Hyperlink"/>
            <w:rFonts w:ascii="Roboto" w:hAnsi="Roboto"/>
            <w:sz w:val="16"/>
            <w:szCs w:val="16"/>
          </w:rPr>
          <w:t>https://krisdika.sharepoint.com/:w:/s/translationsection/EWSTzHZw_YRDlxkEU3JIliUBJQOipccBp3kdg67bj1siBQ?rtime=KNd_zo3b3Eg</w:t>
        </w:r>
      </w:hyperlink>
    </w:p>
  </w:footnote>
  <w:footnote w:id="3">
    <w:p w14:paraId="133BF9EB" w14:textId="77777777" w:rsidR="00791462" w:rsidRPr="00F01C3D" w:rsidRDefault="00791462" w:rsidP="00E55AA0">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Criminal Procedure Code, Section 106.</w:t>
      </w:r>
    </w:p>
  </w:footnote>
  <w:footnote w:id="4">
    <w:p w14:paraId="7EEF7918" w14:textId="77777777" w:rsidR="00791462" w:rsidRPr="00F01C3D" w:rsidRDefault="00791462" w:rsidP="00E55AA0">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w:t>
      </w:r>
      <w:r w:rsidRPr="00F01C3D">
        <w:rPr>
          <w:rFonts w:ascii="Roboto" w:hAnsi="Roboto"/>
          <w:i/>
          <w:sz w:val="16"/>
          <w:szCs w:val="16"/>
        </w:rPr>
        <w:t>Id.</w:t>
      </w:r>
      <w:r w:rsidRPr="00F01C3D">
        <w:rPr>
          <w:rFonts w:ascii="Roboto" w:hAnsi="Roboto"/>
          <w:sz w:val="16"/>
          <w:szCs w:val="16"/>
        </w:rPr>
        <w:t xml:space="preserve"> Section 107, para. 1.</w:t>
      </w:r>
    </w:p>
  </w:footnote>
  <w:footnote w:id="5">
    <w:p w14:paraId="44058DEC" w14:textId="77777777" w:rsidR="00791462" w:rsidRPr="00F01C3D" w:rsidRDefault="00791462" w:rsidP="00E55AA0">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w:t>
      </w:r>
      <w:r w:rsidRPr="00F01C3D">
        <w:rPr>
          <w:rFonts w:ascii="Roboto" w:hAnsi="Roboto"/>
          <w:i/>
          <w:sz w:val="16"/>
          <w:szCs w:val="16"/>
        </w:rPr>
        <w:t xml:space="preserve">Id. </w:t>
      </w:r>
      <w:r w:rsidRPr="00F01C3D">
        <w:rPr>
          <w:rFonts w:ascii="Roboto" w:hAnsi="Roboto"/>
          <w:sz w:val="16"/>
          <w:szCs w:val="16"/>
        </w:rPr>
        <w:t>Section 108(1).</w:t>
      </w:r>
    </w:p>
  </w:footnote>
  <w:footnote w:id="6">
    <w:p w14:paraId="2422687C" w14:textId="77777777" w:rsidR="00791462" w:rsidRPr="00F01C3D" w:rsidRDefault="00791462" w:rsidP="00E55AA0">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w:t>
      </w:r>
      <w:r w:rsidRPr="00F01C3D">
        <w:rPr>
          <w:rFonts w:ascii="Roboto" w:hAnsi="Roboto"/>
          <w:i/>
          <w:sz w:val="16"/>
          <w:szCs w:val="16"/>
        </w:rPr>
        <w:t>Id.</w:t>
      </w:r>
      <w:r w:rsidRPr="00F01C3D">
        <w:rPr>
          <w:rFonts w:ascii="Roboto" w:hAnsi="Roboto"/>
          <w:sz w:val="16"/>
          <w:szCs w:val="16"/>
        </w:rPr>
        <w:t xml:space="preserve"> Section 108(2).</w:t>
      </w:r>
    </w:p>
  </w:footnote>
  <w:footnote w:id="7">
    <w:p w14:paraId="570F170A" w14:textId="77777777" w:rsidR="00791462" w:rsidRPr="00F01C3D" w:rsidRDefault="00791462" w:rsidP="00E55AA0">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w:t>
      </w:r>
      <w:r w:rsidRPr="00F01C3D">
        <w:rPr>
          <w:rFonts w:ascii="Roboto" w:hAnsi="Roboto"/>
          <w:i/>
          <w:sz w:val="16"/>
          <w:szCs w:val="16"/>
        </w:rPr>
        <w:t xml:space="preserve">Id. </w:t>
      </w:r>
      <w:r w:rsidRPr="00F01C3D">
        <w:rPr>
          <w:rFonts w:ascii="Roboto" w:hAnsi="Roboto"/>
          <w:sz w:val="16"/>
          <w:szCs w:val="16"/>
        </w:rPr>
        <w:t>Section 108(3).</w:t>
      </w:r>
    </w:p>
  </w:footnote>
  <w:footnote w:id="8">
    <w:p w14:paraId="78F3CB19" w14:textId="77777777" w:rsidR="00791462" w:rsidRPr="00F01C3D" w:rsidRDefault="00791462" w:rsidP="00E55AA0">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w:t>
      </w:r>
      <w:r w:rsidRPr="00F01C3D">
        <w:rPr>
          <w:rFonts w:ascii="Roboto" w:hAnsi="Roboto"/>
          <w:i/>
          <w:sz w:val="16"/>
          <w:szCs w:val="16"/>
        </w:rPr>
        <w:t xml:space="preserve">Id. </w:t>
      </w:r>
      <w:r w:rsidRPr="00F01C3D">
        <w:rPr>
          <w:rFonts w:ascii="Roboto" w:hAnsi="Roboto"/>
          <w:sz w:val="16"/>
          <w:szCs w:val="16"/>
        </w:rPr>
        <w:t>Section 108(5).</w:t>
      </w:r>
    </w:p>
  </w:footnote>
  <w:footnote w:id="9">
    <w:p w14:paraId="3BC37093" w14:textId="77777777" w:rsidR="00791462" w:rsidRPr="00F01C3D" w:rsidRDefault="00791462" w:rsidP="00E55AA0">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w:t>
      </w:r>
      <w:r w:rsidRPr="00F01C3D">
        <w:rPr>
          <w:rFonts w:ascii="Roboto" w:hAnsi="Roboto"/>
          <w:i/>
          <w:sz w:val="16"/>
          <w:szCs w:val="16"/>
        </w:rPr>
        <w:t>Id.</w:t>
      </w:r>
      <w:r w:rsidRPr="00F01C3D">
        <w:rPr>
          <w:rFonts w:ascii="Roboto" w:hAnsi="Roboto"/>
          <w:sz w:val="16"/>
          <w:szCs w:val="16"/>
        </w:rPr>
        <w:t xml:space="preserve"> Section 108(6).</w:t>
      </w:r>
    </w:p>
  </w:footnote>
  <w:footnote w:id="10">
    <w:p w14:paraId="53C27FDB" w14:textId="77777777" w:rsidR="00791462" w:rsidRPr="00F01C3D" w:rsidRDefault="00791462" w:rsidP="00E55AA0">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The word “danger” is not defined in the Criminal Procedure Code. When courts invoke this ground for denying bail, they also consistently fail to clarify what “dangers” they are afraid the defendants, if released, would cause.</w:t>
      </w:r>
    </w:p>
  </w:footnote>
  <w:footnote w:id="11">
    <w:p w14:paraId="67AFE732" w14:textId="77777777" w:rsidR="00791462" w:rsidRPr="00F01C3D" w:rsidRDefault="00791462" w:rsidP="00E55AA0">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Criminal Procedure Code, Section 108/1(1), (2), (3), (5).</w:t>
      </w:r>
    </w:p>
  </w:footnote>
  <w:footnote w:id="12">
    <w:p w14:paraId="624565EB" w14:textId="77777777" w:rsidR="00791462" w:rsidRPr="00F01C3D" w:rsidRDefault="00791462" w:rsidP="00E55AA0">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w:t>
      </w:r>
      <w:r w:rsidRPr="00F01C3D">
        <w:rPr>
          <w:rFonts w:ascii="Roboto" w:hAnsi="Roboto"/>
          <w:i/>
          <w:sz w:val="16"/>
          <w:szCs w:val="16"/>
        </w:rPr>
        <w:t xml:space="preserve">Id. </w:t>
      </w:r>
      <w:r w:rsidRPr="00F01C3D">
        <w:rPr>
          <w:rFonts w:ascii="Roboto" w:hAnsi="Roboto"/>
          <w:sz w:val="16"/>
          <w:szCs w:val="16"/>
        </w:rPr>
        <w:t>Section 108, para. 3.</w:t>
      </w:r>
    </w:p>
  </w:footnote>
  <w:footnote w:id="13">
    <w:p w14:paraId="1B63D2C6" w14:textId="77777777" w:rsidR="00791462" w:rsidRPr="00F01C3D" w:rsidRDefault="00791462" w:rsidP="00994969">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This document exclusively analyzes political cases under the monitoring of TLHR, focusing solely on the bail procedures pertaining to such cases, as distinct from the bail procedures in ordinary criminal cases.</w:t>
      </w:r>
    </w:p>
  </w:footnote>
  <w:footnote w:id="14">
    <w:p w14:paraId="5F99A6B5" w14:textId="77777777" w:rsidR="00791462" w:rsidRPr="00F01C3D" w:rsidRDefault="00791462" w:rsidP="00994969">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Paragraph 38 of General Comment 35 on Article 9 of the ICCPR.</w:t>
      </w:r>
    </w:p>
  </w:footnote>
  <w:footnote w:id="15">
    <w:p w14:paraId="249D511C" w14:textId="77777777" w:rsidR="00791462" w:rsidRPr="00F01C3D" w:rsidRDefault="00791462" w:rsidP="00994969">
      <w:pPr>
        <w:pBdr>
          <w:top w:val="nil"/>
          <w:left w:val="nil"/>
          <w:bottom w:val="nil"/>
          <w:right w:val="nil"/>
          <w:between w:val="nil"/>
        </w:pBdr>
        <w:jc w:val="both"/>
        <w:rPr>
          <w:rFonts w:ascii="Roboto" w:hAnsi="Roboto"/>
          <w:sz w:val="16"/>
          <w:szCs w:val="16"/>
        </w:rPr>
      </w:pPr>
      <w:r w:rsidRPr="00F01C3D">
        <w:rPr>
          <w:rStyle w:val="FootnoteReference"/>
          <w:rFonts w:ascii="Roboto" w:hAnsi="Roboto"/>
          <w:sz w:val="16"/>
          <w:szCs w:val="16"/>
        </w:rPr>
        <w:footnoteRef/>
      </w:r>
      <w:proofErr w:type="spellStart"/>
      <w:r w:rsidRPr="00F01C3D">
        <w:rPr>
          <w:rFonts w:ascii="Roboto" w:hAnsi="Roboto"/>
          <w:sz w:val="16"/>
          <w:szCs w:val="16"/>
        </w:rPr>
        <w:t>Arnon</w:t>
      </w:r>
      <w:proofErr w:type="spellEnd"/>
      <w:r w:rsidRPr="00F01C3D">
        <w:rPr>
          <w:rFonts w:ascii="Roboto" w:hAnsi="Roboto"/>
          <w:sz w:val="16"/>
          <w:szCs w:val="16"/>
        </w:rPr>
        <w:t xml:space="preserve"> Nampa is a prominent lawyer and pro-democracy activist in Thailand. He is currently serving a prison sentence for his involvement in peaceful demonstrations in 2020 and faces further charges that could result in lengthy imprisonment. His commitment to human rights and justice has earned him respect both nationally and internationally. ARTICLE 19, 22 December 2023. Information available at:  </w:t>
      </w:r>
      <w:hyperlink r:id="rId2">
        <w:r w:rsidRPr="00F01C3D">
          <w:rPr>
            <w:rFonts w:ascii="Roboto" w:hAnsi="Roboto"/>
            <w:color w:val="1155CC"/>
            <w:sz w:val="16"/>
            <w:szCs w:val="16"/>
            <w:u w:val="single"/>
          </w:rPr>
          <w:t>https://www.article19.org/resources/no-more-criminal-proceedings-anon-nampa/</w:t>
        </w:r>
      </w:hyperlink>
    </w:p>
    <w:p w14:paraId="423D7377" w14:textId="77777777" w:rsidR="00791462" w:rsidRPr="00F01C3D" w:rsidRDefault="00791462" w:rsidP="00E55AA0">
      <w:pPr>
        <w:pBdr>
          <w:top w:val="nil"/>
          <w:left w:val="nil"/>
          <w:bottom w:val="nil"/>
          <w:right w:val="nil"/>
          <w:between w:val="nil"/>
        </w:pBdr>
        <w:jc w:val="both"/>
        <w:rPr>
          <w:rFonts w:ascii="Roboto" w:hAnsi="Roboto"/>
          <w:sz w:val="16"/>
          <w:szCs w:val="16"/>
        </w:rPr>
      </w:pPr>
      <w:r w:rsidRPr="00F01C3D">
        <w:rPr>
          <w:rFonts w:ascii="Roboto" w:hAnsi="Roboto"/>
          <w:color w:val="000000"/>
          <w:sz w:val="16"/>
          <w:szCs w:val="16"/>
        </w:rPr>
        <w:t xml:space="preserve"> The Criminal Court ruled in the Section 112 case, sentencing </w:t>
      </w:r>
      <w:proofErr w:type="spellStart"/>
      <w:r w:rsidRPr="00F01C3D">
        <w:rPr>
          <w:rFonts w:ascii="Roboto" w:hAnsi="Roboto"/>
          <w:color w:val="000000"/>
          <w:sz w:val="16"/>
          <w:szCs w:val="16"/>
        </w:rPr>
        <w:t>A</w:t>
      </w:r>
      <w:r w:rsidRPr="00F01C3D">
        <w:rPr>
          <w:rFonts w:ascii="Roboto" w:hAnsi="Roboto" w:cs="Browallia New"/>
          <w:color w:val="000000"/>
          <w:sz w:val="16"/>
          <w:szCs w:val="16"/>
          <w:lang w:bidi="th-TH"/>
        </w:rPr>
        <w:t>r</w:t>
      </w:r>
      <w:r w:rsidRPr="00F01C3D">
        <w:rPr>
          <w:rFonts w:ascii="Roboto" w:hAnsi="Roboto"/>
          <w:color w:val="000000"/>
          <w:sz w:val="16"/>
          <w:szCs w:val="16"/>
        </w:rPr>
        <w:t>non</w:t>
      </w:r>
      <w:proofErr w:type="spellEnd"/>
      <w:r w:rsidRPr="00F01C3D">
        <w:rPr>
          <w:rFonts w:ascii="Roboto" w:hAnsi="Roboto"/>
          <w:color w:val="000000"/>
          <w:sz w:val="16"/>
          <w:szCs w:val="16"/>
        </w:rPr>
        <w:t xml:space="preserve"> to 4 years in prison and a fine of 20,000 baht without probation, and did not order bail even though he had never fled. Before the Appeal Court ordered to deny bail. TLHR, 26 September 2023. </w:t>
      </w:r>
      <w:r w:rsidRPr="00F01C3D">
        <w:rPr>
          <w:rFonts w:ascii="Roboto" w:hAnsi="Roboto"/>
          <w:sz w:val="16"/>
          <w:szCs w:val="16"/>
        </w:rPr>
        <w:t xml:space="preserve"> Information available at:  </w:t>
      </w:r>
      <w:r w:rsidRPr="00F01C3D">
        <w:rPr>
          <w:rFonts w:ascii="Roboto" w:hAnsi="Roboto" w:cstheme="minorBidi"/>
          <w:color w:val="000000"/>
          <w:sz w:val="16"/>
          <w:szCs w:val="16"/>
          <w:cs/>
          <w:lang w:bidi="th-TH"/>
        </w:rPr>
        <w:t xml:space="preserve"> </w:t>
      </w:r>
      <w:hyperlink r:id="rId3">
        <w:r w:rsidRPr="00F01C3D">
          <w:rPr>
            <w:rFonts w:ascii="Roboto" w:hAnsi="Roboto"/>
            <w:color w:val="1155CC"/>
            <w:sz w:val="16"/>
            <w:szCs w:val="16"/>
            <w:u w:val="single"/>
          </w:rPr>
          <w:t>https://tlhr2014.com/archives/59950</w:t>
        </w:r>
      </w:hyperlink>
    </w:p>
  </w:footnote>
  <w:footnote w:id="16">
    <w:p w14:paraId="4A838355" w14:textId="77777777" w:rsidR="00791462" w:rsidRPr="00F01C3D" w:rsidRDefault="00791462" w:rsidP="00E55AA0">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The Criminal Court sentenced Anon to another 4 years in prison for posting 3 messages, indicating that even though he mentioned the monarchy, it implied to King Rama X and intended to mislead the public. </w:t>
      </w:r>
      <w:r w:rsidRPr="00F01C3D">
        <w:rPr>
          <w:rFonts w:ascii="Roboto" w:hAnsi="Roboto"/>
          <w:color w:val="000000"/>
          <w:sz w:val="16"/>
          <w:szCs w:val="16"/>
        </w:rPr>
        <w:t xml:space="preserve">TLHR, 17 January 2024. </w:t>
      </w:r>
      <w:r w:rsidRPr="00F01C3D">
        <w:rPr>
          <w:rFonts w:ascii="Roboto" w:hAnsi="Roboto"/>
          <w:sz w:val="16"/>
          <w:szCs w:val="16"/>
        </w:rPr>
        <w:t xml:space="preserve"> Information available at:  </w:t>
      </w:r>
      <w:r w:rsidRPr="00F01C3D">
        <w:rPr>
          <w:rFonts w:ascii="Roboto" w:hAnsi="Roboto" w:cstheme="minorBidi"/>
          <w:color w:val="000000"/>
          <w:sz w:val="16"/>
          <w:szCs w:val="16"/>
          <w:cs/>
          <w:lang w:bidi="th-TH"/>
        </w:rPr>
        <w:t xml:space="preserve"> </w:t>
      </w:r>
      <w:hyperlink r:id="rId4">
        <w:r w:rsidRPr="00F01C3D">
          <w:rPr>
            <w:rFonts w:ascii="Roboto" w:hAnsi="Roboto"/>
            <w:color w:val="1155CC"/>
            <w:sz w:val="16"/>
            <w:szCs w:val="16"/>
            <w:u w:val="single"/>
          </w:rPr>
          <w:t>https://tlhr2014.com/archives/63262</w:t>
        </w:r>
      </w:hyperlink>
    </w:p>
  </w:footnote>
  <w:footnote w:id="17">
    <w:p w14:paraId="32522B52" w14:textId="77777777" w:rsidR="00791462" w:rsidRPr="00F01C3D" w:rsidRDefault="00791462" w:rsidP="00E55AA0">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w:t>
      </w:r>
      <w:proofErr w:type="spellStart"/>
      <w:r w:rsidRPr="00F01C3D">
        <w:rPr>
          <w:rFonts w:ascii="Roboto" w:hAnsi="Roboto"/>
          <w:sz w:val="16"/>
          <w:szCs w:val="16"/>
        </w:rPr>
        <w:t>A</w:t>
      </w:r>
      <w:r w:rsidRPr="00F01C3D">
        <w:rPr>
          <w:rFonts w:ascii="Roboto" w:hAnsi="Roboto" w:cs="Browallia New"/>
          <w:sz w:val="16"/>
          <w:szCs w:val="16"/>
          <w:lang w:bidi="th-TH"/>
        </w:rPr>
        <w:t>r</w:t>
      </w:r>
      <w:r w:rsidRPr="00F01C3D">
        <w:rPr>
          <w:rFonts w:ascii="Roboto" w:hAnsi="Roboto"/>
          <w:sz w:val="16"/>
          <w:szCs w:val="16"/>
        </w:rPr>
        <w:t>non</w:t>
      </w:r>
      <w:proofErr w:type="spellEnd"/>
      <w:r w:rsidRPr="00F01C3D">
        <w:rPr>
          <w:rFonts w:ascii="Roboto" w:hAnsi="Roboto" w:cstheme="minorBidi"/>
          <w:sz w:val="16"/>
          <w:szCs w:val="16"/>
          <w:cs/>
          <w:lang w:bidi="th-TH"/>
        </w:rPr>
        <w:t xml:space="preserve"> </w:t>
      </w:r>
      <w:r w:rsidRPr="00F01C3D">
        <w:rPr>
          <w:rFonts w:ascii="Roboto" w:hAnsi="Roboto"/>
          <w:sz w:val="16"/>
          <w:szCs w:val="16"/>
        </w:rPr>
        <w:t>has been detained for 269 days: Supreme Court also dismisses defendant's appeal against court's</w:t>
      </w:r>
      <w:r w:rsidRPr="00F01C3D">
        <w:rPr>
          <w:rFonts w:ascii="Roboto" w:hAnsi="Roboto" w:cstheme="minorBidi"/>
          <w:sz w:val="16"/>
          <w:szCs w:val="16"/>
          <w:cs/>
          <w:lang w:bidi="th-TH"/>
        </w:rPr>
        <w:t xml:space="preserve"> </w:t>
      </w:r>
      <w:r w:rsidRPr="00F01C3D">
        <w:rPr>
          <w:rFonts w:ascii="Roboto" w:hAnsi="Roboto" w:cstheme="minorBidi"/>
          <w:sz w:val="16"/>
          <w:szCs w:val="16"/>
          <w:lang w:bidi="th-TH"/>
        </w:rPr>
        <w:t>not to grant</w:t>
      </w:r>
      <w:r w:rsidRPr="00F01C3D">
        <w:rPr>
          <w:rFonts w:ascii="Roboto" w:hAnsi="Roboto"/>
          <w:sz w:val="16"/>
          <w:szCs w:val="16"/>
        </w:rPr>
        <w:t xml:space="preserve"> bail order, saying it was a security offense and the defendant might flee. </w:t>
      </w:r>
      <w:r w:rsidRPr="00F01C3D">
        <w:rPr>
          <w:rFonts w:ascii="Roboto" w:hAnsi="Roboto"/>
          <w:color w:val="000000"/>
          <w:sz w:val="16"/>
          <w:szCs w:val="16"/>
        </w:rPr>
        <w:t xml:space="preserve">TLHR, 20 June 2024. </w:t>
      </w:r>
      <w:r w:rsidRPr="00F01C3D">
        <w:rPr>
          <w:rFonts w:ascii="Roboto" w:hAnsi="Roboto"/>
          <w:sz w:val="16"/>
          <w:szCs w:val="16"/>
        </w:rPr>
        <w:t xml:space="preserve"> Information available at:  </w:t>
      </w:r>
      <w:r w:rsidRPr="00F01C3D">
        <w:rPr>
          <w:rFonts w:ascii="Roboto" w:hAnsi="Roboto" w:cstheme="minorBidi"/>
          <w:color w:val="000000"/>
          <w:sz w:val="16"/>
          <w:szCs w:val="16"/>
          <w:cs/>
          <w:lang w:bidi="th-TH"/>
        </w:rPr>
        <w:t xml:space="preserve"> </w:t>
      </w:r>
      <w:hyperlink r:id="rId5">
        <w:r w:rsidRPr="00F01C3D">
          <w:rPr>
            <w:rFonts w:ascii="Roboto" w:hAnsi="Roboto"/>
            <w:color w:val="1155CC"/>
            <w:sz w:val="16"/>
            <w:szCs w:val="16"/>
            <w:u w:val="single"/>
          </w:rPr>
          <w:t>https://tlhr2014.com/archives/68094</w:t>
        </w:r>
      </w:hyperlink>
    </w:p>
  </w:footnote>
  <w:footnote w:id="18">
    <w:p w14:paraId="1554C1A8" w14:textId="77777777" w:rsidR="00791462" w:rsidRPr="00F01C3D" w:rsidRDefault="00791462" w:rsidP="00E55AA0">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The situation of bail rights for political prisoners between 22-31 May 2024 is still bleak, despite the loss of 1 life in prison.</w:t>
      </w:r>
      <w:r w:rsidRPr="00F01C3D">
        <w:rPr>
          <w:rFonts w:ascii="Roboto" w:hAnsi="Roboto"/>
          <w:color w:val="000000"/>
          <w:sz w:val="16"/>
          <w:szCs w:val="16"/>
        </w:rPr>
        <w:t xml:space="preserve"> TLHR, 6 June 2024. </w:t>
      </w:r>
      <w:r w:rsidRPr="00F01C3D">
        <w:rPr>
          <w:rFonts w:ascii="Roboto" w:hAnsi="Roboto"/>
          <w:sz w:val="16"/>
          <w:szCs w:val="16"/>
        </w:rPr>
        <w:t xml:space="preserve"> Information available at:  </w:t>
      </w:r>
      <w:r w:rsidRPr="00F01C3D">
        <w:rPr>
          <w:rFonts w:ascii="Roboto" w:hAnsi="Roboto" w:cstheme="minorBidi"/>
          <w:color w:val="000000"/>
          <w:sz w:val="16"/>
          <w:szCs w:val="16"/>
          <w:cs/>
          <w:lang w:bidi="th-TH"/>
        </w:rPr>
        <w:t xml:space="preserve"> </w:t>
      </w:r>
      <w:r w:rsidRPr="00F01C3D">
        <w:rPr>
          <w:rFonts w:ascii="Roboto" w:hAnsi="Roboto"/>
          <w:sz w:val="16"/>
          <w:szCs w:val="16"/>
        </w:rPr>
        <w:t xml:space="preserve"> </w:t>
      </w:r>
      <w:hyperlink r:id="rId6">
        <w:r w:rsidRPr="00F01C3D">
          <w:rPr>
            <w:rFonts w:ascii="Roboto" w:hAnsi="Roboto"/>
            <w:color w:val="1155CC"/>
            <w:sz w:val="16"/>
            <w:szCs w:val="16"/>
            <w:u w:val="single"/>
          </w:rPr>
          <w:t>https://tlhr2014.com/archives/67671</w:t>
        </w:r>
      </w:hyperlink>
    </w:p>
  </w:footnote>
  <w:footnote w:id="19">
    <w:p w14:paraId="6F960DD7" w14:textId="77777777" w:rsidR="00791462" w:rsidRPr="00F01C3D" w:rsidRDefault="00791462" w:rsidP="00994969">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List of political prisoners 2024. </w:t>
      </w:r>
      <w:r w:rsidRPr="00F01C3D">
        <w:rPr>
          <w:rFonts w:ascii="Roboto" w:hAnsi="Roboto"/>
          <w:color w:val="000000"/>
          <w:sz w:val="16"/>
          <w:szCs w:val="16"/>
        </w:rPr>
        <w:t xml:space="preserve">TLHR, 11 January 2024. </w:t>
      </w:r>
      <w:r w:rsidRPr="00F01C3D">
        <w:rPr>
          <w:rFonts w:ascii="Roboto" w:hAnsi="Roboto"/>
          <w:sz w:val="16"/>
          <w:szCs w:val="16"/>
        </w:rPr>
        <w:t xml:space="preserve"> Information available at:  </w:t>
      </w:r>
      <w:hyperlink r:id="rId7" w:history="1">
        <w:r w:rsidRPr="00F01C3D">
          <w:rPr>
            <w:rStyle w:val="Hyperlink"/>
            <w:rFonts w:ascii="Roboto" w:hAnsi="Roboto"/>
            <w:sz w:val="16"/>
            <w:szCs w:val="16"/>
          </w:rPr>
          <w:t>https://tlhr2014.com/archives/63015</w:t>
        </w:r>
      </w:hyperlink>
    </w:p>
  </w:footnote>
  <w:footnote w:id="20">
    <w:p w14:paraId="6A9DD9B4" w14:textId="77777777" w:rsidR="00791462" w:rsidRPr="00F01C3D" w:rsidRDefault="00791462" w:rsidP="00791462">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Visitation log of "Sam Samath", the last protester still detained in prison. </w:t>
      </w:r>
      <w:r w:rsidRPr="00F01C3D">
        <w:rPr>
          <w:rFonts w:ascii="Roboto" w:hAnsi="Roboto"/>
          <w:color w:val="000000"/>
          <w:sz w:val="16"/>
          <w:szCs w:val="16"/>
        </w:rPr>
        <w:t xml:space="preserve">TLHR, 2 July 2024. </w:t>
      </w:r>
      <w:r w:rsidRPr="00F01C3D">
        <w:rPr>
          <w:rFonts w:ascii="Roboto" w:hAnsi="Roboto"/>
          <w:sz w:val="16"/>
          <w:szCs w:val="16"/>
        </w:rPr>
        <w:t xml:space="preserve"> Information available at:  </w:t>
      </w:r>
      <w:r w:rsidRPr="00F01C3D">
        <w:rPr>
          <w:rFonts w:ascii="Roboto" w:hAnsi="Roboto" w:cstheme="minorBidi"/>
          <w:color w:val="000000"/>
          <w:sz w:val="16"/>
          <w:szCs w:val="16"/>
          <w:cs/>
          <w:lang w:bidi="th-TH"/>
        </w:rPr>
        <w:t xml:space="preserve"> </w:t>
      </w:r>
      <w:r w:rsidRPr="00F01C3D">
        <w:rPr>
          <w:rFonts w:ascii="Roboto" w:hAnsi="Roboto"/>
          <w:sz w:val="16"/>
          <w:szCs w:val="16"/>
        </w:rPr>
        <w:t xml:space="preserve"> </w:t>
      </w:r>
      <w:hyperlink r:id="rId8">
        <w:r w:rsidRPr="00F01C3D">
          <w:rPr>
            <w:rFonts w:ascii="Roboto" w:hAnsi="Roboto"/>
            <w:color w:val="1155CC"/>
            <w:sz w:val="16"/>
            <w:szCs w:val="16"/>
            <w:u w:val="single"/>
          </w:rPr>
          <w:t>https://tlhr2014.com/archives/31541</w:t>
        </w:r>
      </w:hyperlink>
    </w:p>
  </w:footnote>
  <w:footnote w:id="21">
    <w:p w14:paraId="44B5BE1C" w14:textId="77777777" w:rsidR="00791462" w:rsidRPr="00F01C3D" w:rsidRDefault="00791462" w:rsidP="00791462">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w:t>
      </w:r>
      <w:proofErr w:type="spellStart"/>
      <w:r w:rsidRPr="00F01C3D">
        <w:rPr>
          <w:rFonts w:ascii="Roboto" w:hAnsi="Roboto"/>
          <w:sz w:val="16"/>
          <w:szCs w:val="16"/>
        </w:rPr>
        <w:t>Warunee</w:t>
      </w:r>
      <w:proofErr w:type="spellEnd"/>
      <w:r w:rsidRPr="00F01C3D">
        <w:rPr>
          <w:rFonts w:ascii="Roboto" w:hAnsi="Roboto"/>
          <w:sz w:val="16"/>
          <w:szCs w:val="16"/>
        </w:rPr>
        <w:t xml:space="preserve">, a 30-year-old resident of </w:t>
      </w:r>
      <w:proofErr w:type="spellStart"/>
      <w:r w:rsidRPr="00F01C3D">
        <w:rPr>
          <w:rFonts w:ascii="Roboto" w:hAnsi="Roboto"/>
          <w:sz w:val="16"/>
          <w:szCs w:val="16"/>
        </w:rPr>
        <w:t>Phitsanulok</w:t>
      </w:r>
      <w:proofErr w:type="spellEnd"/>
      <w:r w:rsidRPr="00F01C3D">
        <w:rPr>
          <w:rFonts w:ascii="Roboto" w:hAnsi="Roboto"/>
          <w:sz w:val="16"/>
          <w:szCs w:val="16"/>
        </w:rPr>
        <w:t xml:space="preserve">, began a hunger strike on 21 August 2023 to protest her 1-year and 6-month jail sentence. She was sentenced by the Court of First Instance to a term of 1 year and 6 months in prison. </w:t>
      </w:r>
      <w:r w:rsidRPr="00F01C3D">
        <w:rPr>
          <w:rFonts w:ascii="Roboto" w:hAnsi="Roboto"/>
          <w:color w:val="000000"/>
          <w:sz w:val="16"/>
          <w:szCs w:val="16"/>
        </w:rPr>
        <w:t xml:space="preserve">TLHR, 28 June 2023. </w:t>
      </w:r>
      <w:r w:rsidRPr="00F01C3D">
        <w:rPr>
          <w:rFonts w:ascii="Roboto" w:hAnsi="Roboto"/>
          <w:sz w:val="16"/>
          <w:szCs w:val="16"/>
        </w:rPr>
        <w:t xml:space="preserve"> Information available at:  </w:t>
      </w:r>
      <w:r w:rsidRPr="00F01C3D">
        <w:rPr>
          <w:rFonts w:ascii="Roboto" w:hAnsi="Roboto" w:cstheme="minorBidi"/>
          <w:color w:val="000000"/>
          <w:sz w:val="16"/>
          <w:szCs w:val="16"/>
          <w:cs/>
          <w:lang w:bidi="th-TH"/>
        </w:rPr>
        <w:t xml:space="preserve"> </w:t>
      </w:r>
      <w:hyperlink r:id="rId9" w:history="1">
        <w:r w:rsidRPr="00F01C3D">
          <w:rPr>
            <w:rStyle w:val="Hyperlink"/>
            <w:rFonts w:ascii="Roboto" w:hAnsi="Roboto"/>
            <w:sz w:val="16"/>
            <w:szCs w:val="16"/>
          </w:rPr>
          <w:t>https://tlhr2014.com/archives/57027</w:t>
        </w:r>
      </w:hyperlink>
    </w:p>
  </w:footnote>
  <w:footnote w:id="22">
    <w:p w14:paraId="0B4B0B59" w14:textId="77777777" w:rsidR="00791462" w:rsidRPr="00F01C3D" w:rsidRDefault="00791462" w:rsidP="00791462">
      <w:pPr>
        <w:pBdr>
          <w:top w:val="nil"/>
          <w:left w:val="nil"/>
          <w:bottom w:val="nil"/>
          <w:right w:val="nil"/>
          <w:between w:val="nil"/>
        </w:pBd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color w:val="000000"/>
          <w:sz w:val="16"/>
          <w:szCs w:val="16"/>
        </w:rPr>
        <w:t xml:space="preserve"> Thai pro-democracy activist </w:t>
      </w:r>
      <w:proofErr w:type="spellStart"/>
      <w:r w:rsidRPr="00F01C3D">
        <w:rPr>
          <w:rFonts w:ascii="Roboto" w:hAnsi="Roboto"/>
          <w:color w:val="000000"/>
          <w:sz w:val="16"/>
          <w:szCs w:val="16"/>
        </w:rPr>
        <w:t>Natiporn</w:t>
      </w:r>
      <w:proofErr w:type="spellEnd"/>
      <w:r w:rsidRPr="00F01C3D">
        <w:rPr>
          <w:rFonts w:ascii="Roboto" w:hAnsi="Roboto"/>
          <w:color w:val="000000"/>
          <w:sz w:val="16"/>
          <w:szCs w:val="16"/>
        </w:rPr>
        <w:t xml:space="preserve"> </w:t>
      </w:r>
      <w:proofErr w:type="spellStart"/>
      <w:r w:rsidRPr="00F01C3D">
        <w:rPr>
          <w:rFonts w:ascii="Roboto" w:hAnsi="Roboto"/>
          <w:color w:val="000000"/>
          <w:sz w:val="16"/>
          <w:szCs w:val="16"/>
        </w:rPr>
        <w:t>Sanesangkhom</w:t>
      </w:r>
      <w:proofErr w:type="spellEnd"/>
      <w:r w:rsidRPr="00F01C3D">
        <w:rPr>
          <w:rFonts w:ascii="Roboto" w:hAnsi="Roboto"/>
          <w:color w:val="000000"/>
          <w:sz w:val="16"/>
          <w:szCs w:val="16"/>
        </w:rPr>
        <w:t xml:space="preserve">, 28, died on 14 May 2024 while detained at the Central Women’s Correctional Institute Hospital. She had been in custody since January 26 </w:t>
      </w:r>
      <w:r w:rsidRPr="00F01C3D">
        <w:rPr>
          <w:rFonts w:ascii="Roboto" w:hAnsi="Roboto"/>
          <w:sz w:val="16"/>
          <w:szCs w:val="16"/>
        </w:rPr>
        <w:t xml:space="preserve">in connection with two cases. First, she was found guilty of </w:t>
      </w:r>
      <w:r w:rsidRPr="00F01C3D">
        <w:rPr>
          <w:rFonts w:ascii="Roboto" w:hAnsi="Roboto"/>
          <w:color w:val="000000"/>
          <w:sz w:val="16"/>
          <w:szCs w:val="16"/>
        </w:rPr>
        <w:t xml:space="preserve">contempt of court on January 26 and sentenced to </w:t>
      </w:r>
      <w:r w:rsidRPr="00F01C3D">
        <w:rPr>
          <w:rFonts w:ascii="Roboto" w:hAnsi="Roboto"/>
          <w:sz w:val="16"/>
          <w:szCs w:val="16"/>
        </w:rPr>
        <w:t>one</w:t>
      </w:r>
      <w:r w:rsidRPr="00F01C3D">
        <w:rPr>
          <w:rFonts w:ascii="Roboto" w:hAnsi="Roboto"/>
          <w:color w:val="000000"/>
          <w:sz w:val="16"/>
          <w:szCs w:val="16"/>
        </w:rPr>
        <w:t xml:space="preserve"> </w:t>
      </w:r>
      <w:r w:rsidRPr="00F01C3D">
        <w:rPr>
          <w:rFonts w:ascii="Roboto" w:hAnsi="Roboto"/>
          <w:sz w:val="16"/>
          <w:szCs w:val="16"/>
        </w:rPr>
        <w:t xml:space="preserve">month in prison </w:t>
      </w:r>
      <w:r w:rsidRPr="00F01C3D">
        <w:rPr>
          <w:rFonts w:ascii="Roboto" w:hAnsi="Roboto"/>
          <w:color w:val="000000"/>
          <w:sz w:val="16"/>
          <w:szCs w:val="16"/>
        </w:rPr>
        <w:t xml:space="preserve">after climbing onto the fence surrounding Bangkok South Criminal Court to communicate with a fellow defendant facing charges under Article 112 of the Criminal Code, which pertains to </w:t>
      </w:r>
      <w:proofErr w:type="spellStart"/>
      <w:r w:rsidRPr="00F01C3D">
        <w:rPr>
          <w:rFonts w:ascii="Roboto" w:hAnsi="Roboto"/>
          <w:color w:val="000000"/>
          <w:sz w:val="16"/>
          <w:szCs w:val="16"/>
        </w:rPr>
        <w:t>lèse</w:t>
      </w:r>
      <w:proofErr w:type="spellEnd"/>
      <w:r w:rsidRPr="00F01C3D">
        <w:rPr>
          <w:rFonts w:ascii="Roboto" w:hAnsi="Roboto"/>
          <w:color w:val="000000"/>
          <w:sz w:val="16"/>
          <w:szCs w:val="16"/>
        </w:rPr>
        <w:t xml:space="preserve"> </w:t>
      </w:r>
      <w:proofErr w:type="spellStart"/>
      <w:r w:rsidRPr="00F01C3D">
        <w:rPr>
          <w:rFonts w:ascii="Roboto" w:hAnsi="Roboto"/>
          <w:color w:val="000000"/>
          <w:sz w:val="16"/>
          <w:szCs w:val="16"/>
        </w:rPr>
        <w:t>majesté</w:t>
      </w:r>
      <w:proofErr w:type="spellEnd"/>
      <w:r w:rsidRPr="00F01C3D">
        <w:rPr>
          <w:rFonts w:ascii="Roboto" w:hAnsi="Roboto"/>
          <w:color w:val="000000"/>
          <w:sz w:val="16"/>
          <w:szCs w:val="16"/>
        </w:rPr>
        <w:t xml:space="preserve">. </w:t>
      </w:r>
      <w:r w:rsidRPr="00F01C3D">
        <w:rPr>
          <w:rFonts w:ascii="Roboto" w:hAnsi="Roboto"/>
          <w:sz w:val="16"/>
          <w:szCs w:val="16"/>
        </w:rPr>
        <w:t>On the same day, the Court revoked her bail in another lèse-majesté case in which she was accused of defaming or insulting the King by conducting a public opinion poll about royal motorcades.</w:t>
      </w:r>
      <w:r w:rsidRPr="00F01C3D">
        <w:rPr>
          <w:rFonts w:ascii="Roboto" w:hAnsi="Roboto"/>
          <w:color w:val="000000"/>
          <w:sz w:val="16"/>
          <w:szCs w:val="16"/>
        </w:rPr>
        <w:t xml:space="preserve"> Prior to her death, she had undertaken </w:t>
      </w:r>
      <w:r w:rsidRPr="00F01C3D">
        <w:rPr>
          <w:rFonts w:ascii="Roboto" w:hAnsi="Roboto"/>
          <w:sz w:val="16"/>
          <w:szCs w:val="16"/>
        </w:rPr>
        <w:t>no fewer than</w:t>
      </w:r>
      <w:r w:rsidRPr="00F01C3D">
        <w:rPr>
          <w:rFonts w:ascii="Roboto" w:hAnsi="Roboto"/>
          <w:color w:val="000000"/>
          <w:sz w:val="16"/>
          <w:szCs w:val="16"/>
        </w:rPr>
        <w:t xml:space="preserve"> </w:t>
      </w:r>
      <w:r w:rsidRPr="00F01C3D">
        <w:rPr>
          <w:rFonts w:ascii="Roboto" w:hAnsi="Roboto"/>
          <w:sz w:val="16"/>
          <w:szCs w:val="16"/>
        </w:rPr>
        <w:t xml:space="preserve">65 </w:t>
      </w:r>
      <w:r w:rsidRPr="00F01C3D">
        <w:rPr>
          <w:rFonts w:ascii="Roboto" w:hAnsi="Roboto"/>
          <w:color w:val="000000"/>
          <w:sz w:val="16"/>
          <w:szCs w:val="16"/>
        </w:rPr>
        <w:t xml:space="preserve">days </w:t>
      </w:r>
      <w:r w:rsidRPr="00F01C3D">
        <w:rPr>
          <w:rFonts w:ascii="Roboto" w:hAnsi="Roboto"/>
          <w:sz w:val="16"/>
          <w:szCs w:val="16"/>
        </w:rPr>
        <w:t>of</w:t>
      </w:r>
      <w:r w:rsidRPr="00F01C3D">
        <w:rPr>
          <w:rFonts w:ascii="Roboto" w:hAnsi="Roboto"/>
          <w:color w:val="000000"/>
          <w:sz w:val="16"/>
          <w:szCs w:val="16"/>
        </w:rPr>
        <w:t xml:space="preserve"> hunger strike in detention to protest the arbitrary detention of pro-democracy activists in Thailand. ARTICLE 19, 17 May 2023. </w:t>
      </w:r>
      <w:r w:rsidRPr="00F01C3D">
        <w:rPr>
          <w:rFonts w:ascii="Roboto" w:hAnsi="Roboto"/>
          <w:sz w:val="16"/>
          <w:szCs w:val="16"/>
        </w:rPr>
        <w:t xml:space="preserve"> Information available at:  </w:t>
      </w:r>
      <w:hyperlink r:id="rId10">
        <w:r w:rsidRPr="00F01C3D">
          <w:rPr>
            <w:rFonts w:ascii="Roboto" w:hAnsi="Roboto"/>
            <w:color w:val="1155CC"/>
            <w:sz w:val="16"/>
            <w:szCs w:val="16"/>
            <w:u w:val="single"/>
          </w:rPr>
          <w:t>https://www.article19.org/resources/thailand-hold-authorities-accountable-death-netiporn-bung/</w:t>
        </w:r>
      </w:hyperlink>
      <w:r w:rsidRPr="00F01C3D">
        <w:rPr>
          <w:rFonts w:ascii="Roboto" w:hAnsi="Roboto"/>
          <w:color w:val="1155CC"/>
          <w:sz w:val="16"/>
          <w:szCs w:val="16"/>
          <w:u w:val="single"/>
        </w:rPr>
        <w:t>.</w:t>
      </w:r>
    </w:p>
    <w:p w14:paraId="58FEFA45" w14:textId="77777777" w:rsidR="00791462" w:rsidRPr="00F01C3D" w:rsidRDefault="00791462" w:rsidP="00791462">
      <w:pPr>
        <w:pBdr>
          <w:top w:val="nil"/>
          <w:left w:val="nil"/>
          <w:bottom w:val="nil"/>
          <w:right w:val="nil"/>
          <w:between w:val="nil"/>
        </w:pBdr>
        <w:jc w:val="both"/>
        <w:rPr>
          <w:rFonts w:ascii="Roboto" w:hAnsi="Roboto"/>
          <w:color w:val="000000"/>
          <w:sz w:val="16"/>
          <w:szCs w:val="16"/>
        </w:rPr>
      </w:pPr>
      <w:r w:rsidRPr="00F01C3D">
        <w:rPr>
          <w:rFonts w:ascii="Roboto" w:hAnsi="Roboto"/>
          <w:sz w:val="16"/>
          <w:szCs w:val="16"/>
        </w:rPr>
        <w:t xml:space="preserve">Court orders bail revocation for Bung over spraying paint on the Queen's flag and protesting in front of the Ministry of Culture, but does not revoke bail for </w:t>
      </w:r>
      <w:proofErr w:type="spellStart"/>
      <w:r w:rsidRPr="00F01C3D">
        <w:rPr>
          <w:rFonts w:ascii="Roboto" w:hAnsi="Roboto"/>
          <w:sz w:val="16"/>
          <w:szCs w:val="16"/>
        </w:rPr>
        <w:t>Tawan</w:t>
      </w:r>
      <w:proofErr w:type="spellEnd"/>
      <w:r w:rsidRPr="00F01C3D">
        <w:rPr>
          <w:rFonts w:ascii="Roboto" w:hAnsi="Roboto"/>
          <w:sz w:val="16"/>
          <w:szCs w:val="16"/>
        </w:rPr>
        <w:t xml:space="preserve">, stating that she did not violate bail conditions. </w:t>
      </w:r>
      <w:r w:rsidRPr="00F01C3D">
        <w:rPr>
          <w:rFonts w:ascii="Roboto" w:hAnsi="Roboto"/>
          <w:color w:val="000000"/>
          <w:sz w:val="16"/>
          <w:szCs w:val="16"/>
        </w:rPr>
        <w:t xml:space="preserve">TLHR, 26 January 2023. </w:t>
      </w:r>
      <w:r w:rsidRPr="00F01C3D">
        <w:rPr>
          <w:rFonts w:ascii="Roboto" w:hAnsi="Roboto"/>
          <w:sz w:val="16"/>
          <w:szCs w:val="16"/>
        </w:rPr>
        <w:t xml:space="preserve"> Information available at:  </w:t>
      </w:r>
      <w:r w:rsidRPr="00F01C3D">
        <w:rPr>
          <w:rFonts w:ascii="Roboto" w:hAnsi="Roboto" w:cstheme="minorBidi"/>
          <w:color w:val="000000"/>
          <w:sz w:val="16"/>
          <w:szCs w:val="16"/>
          <w:cs/>
          <w:lang w:bidi="th-TH"/>
        </w:rPr>
        <w:t xml:space="preserve"> </w:t>
      </w:r>
      <w:hyperlink r:id="rId11">
        <w:r w:rsidRPr="00F01C3D">
          <w:rPr>
            <w:rFonts w:ascii="Roboto" w:hAnsi="Roboto"/>
            <w:color w:val="1155CC"/>
            <w:sz w:val="16"/>
            <w:szCs w:val="16"/>
            <w:u w:val="single"/>
          </w:rPr>
          <w:t>https://tlhr2014.com/archives/64149</w:t>
        </w:r>
      </w:hyperlink>
    </w:p>
    <w:p w14:paraId="48D417F6" w14:textId="77777777" w:rsidR="00791462" w:rsidRPr="00F01C3D" w:rsidRDefault="00791462" w:rsidP="00994969">
      <w:pPr>
        <w:pBdr>
          <w:top w:val="nil"/>
          <w:left w:val="nil"/>
          <w:bottom w:val="nil"/>
          <w:right w:val="nil"/>
          <w:between w:val="nil"/>
        </w:pBdr>
        <w:jc w:val="both"/>
        <w:rPr>
          <w:rFonts w:ascii="Roboto" w:hAnsi="Roboto"/>
          <w:sz w:val="16"/>
          <w:szCs w:val="16"/>
        </w:rPr>
      </w:pPr>
      <w:r w:rsidRPr="00F01C3D">
        <w:rPr>
          <w:rFonts w:ascii="Roboto" w:hAnsi="Roboto"/>
          <w:sz w:val="16"/>
          <w:szCs w:val="16"/>
        </w:rPr>
        <w:t xml:space="preserve">The Bangkok South Criminal Court sentenced Bung to 1 month in prison for contempt of court, while Yok was given a warning, indicating that </w:t>
      </w:r>
      <w:r w:rsidRPr="00F01C3D">
        <w:rPr>
          <w:rFonts w:ascii="Roboto" w:hAnsi="Roboto" w:cs="Browallia New"/>
          <w:sz w:val="16"/>
          <w:szCs w:val="16"/>
          <w:lang w:bidi="th-TH"/>
        </w:rPr>
        <w:t>they</w:t>
      </w:r>
      <w:r w:rsidRPr="00F01C3D">
        <w:rPr>
          <w:rFonts w:ascii="Roboto" w:hAnsi="Roboto"/>
          <w:sz w:val="16"/>
          <w:szCs w:val="16"/>
        </w:rPr>
        <w:t xml:space="preserve"> intended to create chaos and reduce the credibility of the court. </w:t>
      </w:r>
      <w:r w:rsidRPr="00F01C3D">
        <w:rPr>
          <w:rFonts w:ascii="Roboto" w:hAnsi="Roboto"/>
          <w:color w:val="000000"/>
          <w:sz w:val="16"/>
          <w:szCs w:val="16"/>
        </w:rPr>
        <w:t xml:space="preserve">TLHR, 26 January 2024. </w:t>
      </w:r>
      <w:r w:rsidRPr="00F01C3D">
        <w:rPr>
          <w:rFonts w:ascii="Roboto" w:hAnsi="Roboto"/>
          <w:sz w:val="16"/>
          <w:szCs w:val="16"/>
        </w:rPr>
        <w:t xml:space="preserve"> Information available at:  </w:t>
      </w:r>
      <w:r w:rsidRPr="00F01C3D">
        <w:rPr>
          <w:rFonts w:ascii="Roboto" w:hAnsi="Roboto" w:cstheme="minorBidi"/>
          <w:color w:val="000000"/>
          <w:sz w:val="16"/>
          <w:szCs w:val="16"/>
          <w:cs/>
          <w:lang w:bidi="th-TH"/>
        </w:rPr>
        <w:t xml:space="preserve"> </w:t>
      </w:r>
      <w:hyperlink r:id="rId12">
        <w:r w:rsidRPr="00F01C3D">
          <w:rPr>
            <w:rFonts w:ascii="Roboto" w:hAnsi="Roboto"/>
            <w:color w:val="1155CC"/>
            <w:sz w:val="16"/>
            <w:szCs w:val="16"/>
            <w:u w:val="single"/>
          </w:rPr>
          <w:t>https://tlhr2014.com/archives/64152</w:t>
        </w:r>
      </w:hyperlink>
    </w:p>
  </w:footnote>
  <w:footnote w:id="23">
    <w:p w14:paraId="0BA80B9E" w14:textId="77777777" w:rsidR="00791462" w:rsidRPr="00F01C3D" w:rsidRDefault="00791462" w:rsidP="00E55AA0">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Statement on the 100th anniversary of the death of Bung </w:t>
      </w:r>
      <w:proofErr w:type="spellStart"/>
      <w:r w:rsidRPr="00F01C3D">
        <w:rPr>
          <w:rFonts w:ascii="Roboto" w:hAnsi="Roboto"/>
          <w:sz w:val="16"/>
          <w:szCs w:val="16"/>
        </w:rPr>
        <w:t>Netiporn</w:t>
      </w:r>
      <w:proofErr w:type="spellEnd"/>
      <w:r w:rsidRPr="00F01C3D">
        <w:rPr>
          <w:rFonts w:ascii="Roboto" w:hAnsi="Roboto"/>
          <w:sz w:val="16"/>
          <w:szCs w:val="16"/>
        </w:rPr>
        <w:t xml:space="preserve">: No truth, No justice. </w:t>
      </w:r>
      <w:r w:rsidRPr="00F01C3D">
        <w:rPr>
          <w:rFonts w:ascii="Roboto" w:hAnsi="Roboto"/>
          <w:color w:val="000000"/>
          <w:sz w:val="16"/>
          <w:szCs w:val="16"/>
        </w:rPr>
        <w:t xml:space="preserve">TLHR, 25 August 2023. </w:t>
      </w:r>
      <w:r w:rsidRPr="00F01C3D">
        <w:rPr>
          <w:rFonts w:ascii="Roboto" w:hAnsi="Roboto"/>
          <w:sz w:val="16"/>
          <w:szCs w:val="16"/>
        </w:rPr>
        <w:t xml:space="preserve"> Information available at:  </w:t>
      </w:r>
      <w:hyperlink r:id="rId13" w:history="1">
        <w:r w:rsidRPr="00F01C3D">
          <w:rPr>
            <w:rStyle w:val="Hyperlink"/>
            <w:rFonts w:ascii="Roboto" w:hAnsi="Roboto"/>
            <w:sz w:val="16"/>
            <w:szCs w:val="16"/>
          </w:rPr>
          <w:t>https://tlhr2014.com/archives/69367</w:t>
        </w:r>
      </w:hyperlink>
    </w:p>
  </w:footnote>
  <w:footnote w:id="24">
    <w:p w14:paraId="48D2584E" w14:textId="77777777" w:rsidR="00791462" w:rsidRPr="00F01C3D" w:rsidRDefault="00791462" w:rsidP="00791462">
      <w:pPr>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Criminal Procedure Code, Section 150, para. 5.</w:t>
      </w:r>
    </w:p>
  </w:footnote>
  <w:footnote w:id="25">
    <w:p w14:paraId="4892931C" w14:textId="77777777" w:rsidR="00791462" w:rsidRPr="00F01C3D" w:rsidRDefault="00791462" w:rsidP="00791462">
      <w:pPr>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w:t>
      </w:r>
      <w:r w:rsidRPr="00F01C3D">
        <w:rPr>
          <w:rFonts w:ascii="Roboto" w:hAnsi="Roboto"/>
          <w:i/>
          <w:sz w:val="16"/>
          <w:szCs w:val="16"/>
        </w:rPr>
        <w:t>Ibid</w:t>
      </w:r>
      <w:r w:rsidRPr="00F01C3D">
        <w:rPr>
          <w:rFonts w:ascii="Roboto" w:hAnsi="Roboto"/>
          <w:sz w:val="16"/>
          <w:szCs w:val="16"/>
        </w:rPr>
        <w:t>.</w:t>
      </w:r>
    </w:p>
  </w:footnote>
  <w:footnote w:id="26">
    <w:p w14:paraId="3A226CCB" w14:textId="77777777" w:rsidR="00791462" w:rsidRPr="00F01C3D" w:rsidRDefault="00791462" w:rsidP="00791462">
      <w:pPr>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Narathiwat Court sentences 6 years in prison, reduced to 4 years in Udom case under Section 112, but points out that the law only protects the current king, before granting bail on appeal. </w:t>
      </w:r>
      <w:r w:rsidRPr="00F01C3D">
        <w:rPr>
          <w:rFonts w:ascii="Roboto" w:hAnsi="Roboto"/>
          <w:color w:val="000000"/>
          <w:sz w:val="16"/>
          <w:szCs w:val="16"/>
        </w:rPr>
        <w:t xml:space="preserve">TLHR, 26 July 2023. </w:t>
      </w:r>
      <w:r w:rsidRPr="00F01C3D">
        <w:rPr>
          <w:rFonts w:ascii="Roboto" w:hAnsi="Roboto"/>
          <w:sz w:val="16"/>
          <w:szCs w:val="16"/>
        </w:rPr>
        <w:t xml:space="preserve"> Information available at:  </w:t>
      </w:r>
      <w:r w:rsidRPr="00F01C3D">
        <w:rPr>
          <w:rFonts w:ascii="Roboto" w:hAnsi="Roboto" w:cstheme="minorBidi"/>
          <w:color w:val="000000"/>
          <w:sz w:val="16"/>
          <w:szCs w:val="16"/>
          <w:cs/>
          <w:lang w:bidi="th-TH"/>
        </w:rPr>
        <w:t xml:space="preserve"> </w:t>
      </w:r>
      <w:hyperlink r:id="rId14" w:history="1">
        <w:r w:rsidRPr="00F01C3D">
          <w:rPr>
            <w:rStyle w:val="Hyperlink"/>
            <w:rFonts w:ascii="Roboto" w:hAnsi="Roboto"/>
            <w:sz w:val="16"/>
            <w:szCs w:val="16"/>
          </w:rPr>
          <w:t>https://tlhr2014.com/archives/46522</w:t>
        </w:r>
      </w:hyperlink>
    </w:p>
  </w:footnote>
  <w:footnote w:id="27">
    <w:p w14:paraId="55B4767F" w14:textId="77777777" w:rsidR="00791462" w:rsidRPr="00F01C3D" w:rsidRDefault="00791462" w:rsidP="00791462">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The Court of Appeals Region 9 upheld the 4-year prison sentence in the Section 112 case of Udom, a factory worker from </w:t>
      </w:r>
      <w:proofErr w:type="spellStart"/>
      <w:r w:rsidRPr="00F01C3D">
        <w:rPr>
          <w:rFonts w:ascii="Roboto" w:hAnsi="Roboto"/>
          <w:sz w:val="16"/>
          <w:szCs w:val="16"/>
        </w:rPr>
        <w:t>Prachin</w:t>
      </w:r>
      <w:proofErr w:type="spellEnd"/>
      <w:r w:rsidRPr="00F01C3D">
        <w:rPr>
          <w:rFonts w:ascii="Roboto" w:hAnsi="Roboto"/>
          <w:sz w:val="16"/>
          <w:szCs w:val="16"/>
        </w:rPr>
        <w:t xml:space="preserve"> Buri, before the Supreme Court denied bail. </w:t>
      </w:r>
      <w:r w:rsidRPr="00F01C3D">
        <w:rPr>
          <w:rFonts w:ascii="Roboto" w:hAnsi="Roboto"/>
          <w:color w:val="000000"/>
          <w:sz w:val="16"/>
          <w:szCs w:val="16"/>
        </w:rPr>
        <w:t xml:space="preserve">TLHR, 30 August 2023. </w:t>
      </w:r>
      <w:r w:rsidRPr="00F01C3D">
        <w:rPr>
          <w:rFonts w:ascii="Roboto" w:hAnsi="Roboto"/>
          <w:sz w:val="16"/>
          <w:szCs w:val="16"/>
        </w:rPr>
        <w:t xml:space="preserve"> Information available at:  </w:t>
      </w:r>
      <w:r w:rsidRPr="00F01C3D">
        <w:rPr>
          <w:rFonts w:ascii="Roboto" w:hAnsi="Roboto" w:cstheme="minorBidi"/>
          <w:color w:val="000000"/>
          <w:sz w:val="16"/>
          <w:szCs w:val="16"/>
          <w:cs/>
          <w:lang w:bidi="th-TH"/>
        </w:rPr>
        <w:t xml:space="preserve"> </w:t>
      </w:r>
      <w:hyperlink r:id="rId15">
        <w:r w:rsidRPr="00F01C3D">
          <w:rPr>
            <w:rFonts w:ascii="Roboto" w:hAnsi="Roboto"/>
            <w:color w:val="1155CC"/>
            <w:sz w:val="16"/>
            <w:szCs w:val="16"/>
            <w:u w:val="single"/>
          </w:rPr>
          <w:t>https://tlhr2014.com/archives/58966</w:t>
        </w:r>
      </w:hyperlink>
    </w:p>
  </w:footnote>
  <w:footnote w:id="28">
    <w:p w14:paraId="0732BC4F" w14:textId="77777777" w:rsidR="00791462" w:rsidRPr="00F01C3D" w:rsidRDefault="00791462" w:rsidP="00791462">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Sentenced to 6 years in prison for Section 112 case, Kalaya, the court found that the defendant was </w:t>
      </w:r>
      <w:r w:rsidRPr="00F01C3D">
        <w:rPr>
          <w:rFonts w:ascii="Roboto" w:hAnsi="Roboto" w:cs="Browallia New"/>
          <w:sz w:val="16"/>
          <w:szCs w:val="16"/>
          <w:lang w:bidi="th-TH"/>
        </w:rPr>
        <w:t>the</w:t>
      </w:r>
      <w:r w:rsidRPr="00F01C3D">
        <w:rPr>
          <w:rFonts w:ascii="Roboto" w:hAnsi="Roboto"/>
          <w:sz w:val="16"/>
          <w:szCs w:val="16"/>
        </w:rPr>
        <w:t xml:space="preserve"> Facebook user, despite no electronic evidence, before granting bail to fight the case in the appeal court. </w:t>
      </w:r>
      <w:r w:rsidRPr="00F01C3D">
        <w:rPr>
          <w:rFonts w:ascii="Roboto" w:hAnsi="Roboto"/>
          <w:color w:val="000000"/>
          <w:sz w:val="16"/>
          <w:szCs w:val="16"/>
        </w:rPr>
        <w:t xml:space="preserve">TLHR, 2 August 2022. </w:t>
      </w:r>
      <w:r w:rsidRPr="00F01C3D">
        <w:rPr>
          <w:rFonts w:ascii="Roboto" w:hAnsi="Roboto"/>
          <w:sz w:val="16"/>
          <w:szCs w:val="16"/>
        </w:rPr>
        <w:t xml:space="preserve"> Information available at:  </w:t>
      </w:r>
      <w:r w:rsidRPr="00F01C3D">
        <w:rPr>
          <w:rFonts w:ascii="Roboto" w:hAnsi="Roboto" w:cstheme="minorBidi"/>
          <w:color w:val="000000"/>
          <w:sz w:val="16"/>
          <w:szCs w:val="16"/>
          <w:cs/>
          <w:lang w:bidi="th-TH"/>
        </w:rPr>
        <w:t xml:space="preserve"> </w:t>
      </w:r>
      <w:hyperlink r:id="rId16">
        <w:r w:rsidRPr="00F01C3D">
          <w:rPr>
            <w:rFonts w:ascii="Roboto" w:hAnsi="Roboto"/>
            <w:color w:val="1155CC"/>
            <w:sz w:val="16"/>
            <w:szCs w:val="16"/>
            <w:u w:val="single"/>
          </w:rPr>
          <w:t>https://tlhr2014.com/archives/46764</w:t>
        </w:r>
      </w:hyperlink>
    </w:p>
  </w:footnote>
  <w:footnote w:id="29">
    <w:p w14:paraId="406ED1D4" w14:textId="77777777" w:rsidR="00791462" w:rsidRPr="00F01C3D" w:rsidRDefault="00791462" w:rsidP="00791462">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The Court of Appeals Region 9 upheld the 6-year prison sentence for Kalaya in the Section 112 case before she has to go to Narathiwat Prison to await the Supreme Court's bail order. </w:t>
      </w:r>
      <w:r w:rsidRPr="00F01C3D">
        <w:rPr>
          <w:rFonts w:ascii="Roboto" w:hAnsi="Roboto"/>
          <w:color w:val="000000"/>
          <w:sz w:val="16"/>
          <w:szCs w:val="16"/>
        </w:rPr>
        <w:t xml:space="preserve">TLHR, 10 October 2023. </w:t>
      </w:r>
      <w:r w:rsidRPr="00F01C3D">
        <w:rPr>
          <w:rFonts w:ascii="Roboto" w:hAnsi="Roboto"/>
          <w:sz w:val="16"/>
          <w:szCs w:val="16"/>
        </w:rPr>
        <w:t xml:space="preserve"> Information available at:  </w:t>
      </w:r>
      <w:r w:rsidRPr="00F01C3D">
        <w:rPr>
          <w:rFonts w:ascii="Roboto" w:hAnsi="Roboto" w:cstheme="minorBidi"/>
          <w:color w:val="000000"/>
          <w:sz w:val="16"/>
          <w:szCs w:val="16"/>
          <w:cs/>
          <w:lang w:bidi="th-TH"/>
        </w:rPr>
        <w:t xml:space="preserve"> </w:t>
      </w:r>
      <w:hyperlink r:id="rId17">
        <w:r w:rsidRPr="00F01C3D">
          <w:rPr>
            <w:rFonts w:ascii="Roboto" w:hAnsi="Roboto"/>
            <w:color w:val="1155CC"/>
            <w:sz w:val="16"/>
            <w:szCs w:val="16"/>
            <w:u w:val="single"/>
          </w:rPr>
          <w:t>https://tlhr2014.com/archives/60779</w:t>
        </w:r>
      </w:hyperlink>
    </w:p>
  </w:footnote>
  <w:footnote w:id="30">
    <w:p w14:paraId="76749584" w14:textId="77777777" w:rsidR="00791462" w:rsidRPr="00F01C3D" w:rsidRDefault="00791462" w:rsidP="00791462">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The highest ever in Section 112 case</w:t>
      </w:r>
      <w:r w:rsidRPr="00F01C3D">
        <w:rPr>
          <w:rFonts w:ascii="Roboto" w:hAnsi="Roboto" w:cstheme="minorBidi"/>
          <w:sz w:val="16"/>
          <w:szCs w:val="16"/>
          <w:lang w:bidi="th-TH"/>
        </w:rPr>
        <w:t>!</w:t>
      </w:r>
      <w:r w:rsidRPr="00F01C3D">
        <w:rPr>
          <w:rFonts w:ascii="Roboto" w:hAnsi="Roboto"/>
          <w:sz w:val="16"/>
          <w:szCs w:val="16"/>
        </w:rPr>
        <w:t xml:space="preserve"> Bus Bas, Court of Appeal Region 5 increases the prison sentence to a total of 50 years, seeing that there were 11 additional charges, even though it was interpreted to include the former king. </w:t>
      </w:r>
      <w:r w:rsidRPr="00F01C3D">
        <w:rPr>
          <w:rFonts w:ascii="Roboto" w:hAnsi="Roboto"/>
          <w:color w:val="000000"/>
          <w:sz w:val="16"/>
          <w:szCs w:val="16"/>
        </w:rPr>
        <w:t xml:space="preserve">TLHR, 18 January 2024. </w:t>
      </w:r>
      <w:r w:rsidRPr="00F01C3D">
        <w:rPr>
          <w:rFonts w:ascii="Roboto" w:hAnsi="Roboto"/>
          <w:sz w:val="16"/>
          <w:szCs w:val="16"/>
        </w:rPr>
        <w:t xml:space="preserve"> Information available at:  </w:t>
      </w:r>
      <w:r w:rsidRPr="00F01C3D">
        <w:rPr>
          <w:rFonts w:ascii="Roboto" w:hAnsi="Roboto" w:cstheme="minorBidi"/>
          <w:color w:val="000000"/>
          <w:sz w:val="16"/>
          <w:szCs w:val="16"/>
          <w:cs/>
          <w:lang w:bidi="th-TH"/>
        </w:rPr>
        <w:t xml:space="preserve"> </w:t>
      </w:r>
      <w:r w:rsidRPr="00F01C3D">
        <w:rPr>
          <w:rFonts w:ascii="Roboto" w:hAnsi="Roboto"/>
          <w:sz w:val="16"/>
          <w:szCs w:val="16"/>
        </w:rPr>
        <w:t xml:space="preserve"> </w:t>
      </w:r>
      <w:hyperlink r:id="rId18">
        <w:r w:rsidRPr="00F01C3D">
          <w:rPr>
            <w:rFonts w:ascii="Roboto" w:hAnsi="Roboto"/>
            <w:color w:val="1155CC"/>
            <w:sz w:val="16"/>
            <w:szCs w:val="16"/>
            <w:u w:val="single"/>
          </w:rPr>
          <w:t>https://tlhr2014.com/archives/63268</w:t>
        </w:r>
      </w:hyperlink>
    </w:p>
  </w:footnote>
  <w:footnote w:id="31">
    <w:p w14:paraId="7198F18B" w14:textId="77777777" w:rsidR="00791462" w:rsidRPr="00F01C3D" w:rsidRDefault="00791462" w:rsidP="00791462">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w:t>
      </w:r>
      <w:proofErr w:type="spellStart"/>
      <w:r w:rsidRPr="00F01C3D">
        <w:rPr>
          <w:rFonts w:ascii="Roboto" w:hAnsi="Roboto"/>
          <w:sz w:val="16"/>
          <w:szCs w:val="16"/>
        </w:rPr>
        <w:t>Ukrit</w:t>
      </w:r>
      <w:proofErr w:type="spellEnd"/>
      <w:r w:rsidRPr="00F01C3D">
        <w:rPr>
          <w:rFonts w:ascii="Roboto" w:hAnsi="Roboto"/>
          <w:sz w:val="16"/>
          <w:szCs w:val="16"/>
        </w:rPr>
        <w:t>, a Ramkhamhaeng University student, was sentenced to 5 years and 30 months in prison for posting about King Rama X and the Queen. The court ruled that the actions were serious and caused damage to the monarchy before he was detained in prison while awaiting bail.</w:t>
      </w:r>
      <w:r w:rsidRPr="00F01C3D">
        <w:rPr>
          <w:rFonts w:ascii="Roboto" w:hAnsi="Roboto"/>
          <w:color w:val="000000"/>
          <w:sz w:val="16"/>
          <w:szCs w:val="16"/>
        </w:rPr>
        <w:t xml:space="preserve"> TLHR, 21 December 2023. </w:t>
      </w:r>
      <w:r w:rsidRPr="00F01C3D">
        <w:rPr>
          <w:rFonts w:ascii="Roboto" w:hAnsi="Roboto"/>
          <w:sz w:val="16"/>
          <w:szCs w:val="16"/>
        </w:rPr>
        <w:t xml:space="preserve"> Information available at:  </w:t>
      </w:r>
      <w:r w:rsidRPr="00F01C3D">
        <w:rPr>
          <w:rFonts w:ascii="Roboto" w:hAnsi="Roboto" w:cstheme="minorBidi"/>
          <w:color w:val="000000"/>
          <w:sz w:val="16"/>
          <w:szCs w:val="16"/>
          <w:cs/>
          <w:lang w:bidi="th-TH"/>
        </w:rPr>
        <w:t xml:space="preserve"> </w:t>
      </w:r>
      <w:r w:rsidRPr="00F01C3D">
        <w:rPr>
          <w:rFonts w:ascii="Roboto" w:hAnsi="Roboto"/>
          <w:sz w:val="16"/>
          <w:szCs w:val="16"/>
        </w:rPr>
        <w:t xml:space="preserve"> </w:t>
      </w:r>
      <w:hyperlink r:id="rId19">
        <w:r w:rsidRPr="00F01C3D">
          <w:rPr>
            <w:rFonts w:ascii="Roboto" w:hAnsi="Roboto"/>
            <w:color w:val="1155CC"/>
            <w:sz w:val="16"/>
            <w:szCs w:val="16"/>
            <w:u w:val="single"/>
          </w:rPr>
          <w:t>https://tlhr2014.com/archives/51694</w:t>
        </w:r>
      </w:hyperlink>
    </w:p>
  </w:footnote>
  <w:footnote w:id="32">
    <w:p w14:paraId="137766CC" w14:textId="77777777" w:rsidR="00791462" w:rsidRPr="00F01C3D" w:rsidRDefault="00791462" w:rsidP="00791462">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The Court of Appeal upheld the verdict in the Section 112 case of Kong </w:t>
      </w:r>
      <w:proofErr w:type="spellStart"/>
      <w:r w:rsidRPr="00F01C3D">
        <w:rPr>
          <w:rFonts w:ascii="Roboto" w:hAnsi="Roboto"/>
          <w:sz w:val="16"/>
          <w:szCs w:val="16"/>
        </w:rPr>
        <w:t>Ukrit</w:t>
      </w:r>
      <w:proofErr w:type="spellEnd"/>
      <w:r w:rsidRPr="00F01C3D">
        <w:rPr>
          <w:rFonts w:ascii="Roboto" w:hAnsi="Roboto"/>
          <w:sz w:val="16"/>
          <w:szCs w:val="16"/>
        </w:rPr>
        <w:t xml:space="preserve">, sentencing him to 5 years and 30 months in prison without probation, before the court denied bail. </w:t>
      </w:r>
      <w:r w:rsidRPr="00F01C3D">
        <w:rPr>
          <w:rFonts w:ascii="Roboto" w:hAnsi="Roboto"/>
          <w:color w:val="000000"/>
          <w:sz w:val="16"/>
          <w:szCs w:val="16"/>
        </w:rPr>
        <w:t xml:space="preserve">TLHR, 13 February 2024. </w:t>
      </w:r>
      <w:r w:rsidRPr="00F01C3D">
        <w:rPr>
          <w:rFonts w:ascii="Roboto" w:hAnsi="Roboto"/>
          <w:sz w:val="16"/>
          <w:szCs w:val="16"/>
        </w:rPr>
        <w:t xml:space="preserve"> Information available at:  </w:t>
      </w:r>
      <w:r w:rsidRPr="00F01C3D">
        <w:rPr>
          <w:rFonts w:ascii="Roboto" w:hAnsi="Roboto" w:cstheme="minorBidi"/>
          <w:color w:val="000000"/>
          <w:sz w:val="16"/>
          <w:szCs w:val="16"/>
          <w:cs/>
          <w:lang w:bidi="th-TH"/>
        </w:rPr>
        <w:t xml:space="preserve"> </w:t>
      </w:r>
      <w:r w:rsidRPr="00F01C3D">
        <w:rPr>
          <w:rFonts w:ascii="Roboto" w:hAnsi="Roboto"/>
          <w:sz w:val="16"/>
          <w:szCs w:val="16"/>
        </w:rPr>
        <w:t xml:space="preserve"> </w:t>
      </w:r>
      <w:hyperlink r:id="rId20">
        <w:r w:rsidRPr="00F01C3D">
          <w:rPr>
            <w:rFonts w:ascii="Roboto" w:hAnsi="Roboto"/>
            <w:color w:val="1155CC"/>
            <w:sz w:val="16"/>
            <w:szCs w:val="16"/>
            <w:u w:val="single"/>
          </w:rPr>
          <w:t>https://tlhr2014.com/archives/64743</w:t>
        </w:r>
      </w:hyperlink>
    </w:p>
  </w:footnote>
  <w:footnote w:id="33">
    <w:p w14:paraId="66AF58FA" w14:textId="77777777" w:rsidR="00791462" w:rsidRPr="00F01C3D" w:rsidRDefault="00791462" w:rsidP="00791462">
      <w:pPr>
        <w:pBdr>
          <w:top w:val="nil"/>
          <w:left w:val="nil"/>
          <w:bottom w:val="nil"/>
          <w:right w:val="nil"/>
          <w:between w:val="nil"/>
        </w:pBdr>
        <w:jc w:val="both"/>
        <w:rPr>
          <w:rFonts w:ascii="Roboto" w:hAnsi="Roboto" w:cstheme="minorHAnsi"/>
          <w:sz w:val="16"/>
          <w:szCs w:val="16"/>
        </w:rPr>
      </w:pPr>
      <w:r w:rsidRPr="00F01C3D">
        <w:rPr>
          <w:rStyle w:val="FootnoteReference"/>
          <w:rFonts w:ascii="Roboto" w:hAnsi="Roboto"/>
          <w:sz w:val="16"/>
          <w:szCs w:val="16"/>
        </w:rPr>
        <w:footnoteRef/>
      </w:r>
      <w:r w:rsidRPr="00F01C3D">
        <w:rPr>
          <w:rFonts w:ascii="Roboto" w:hAnsi="Roboto"/>
          <w:sz w:val="16"/>
          <w:szCs w:val="16"/>
        </w:rPr>
        <w:t xml:space="preserve"> </w:t>
      </w:r>
      <w:r w:rsidRPr="00F01C3D">
        <w:rPr>
          <w:rFonts w:ascii="Roboto" w:hAnsi="Roboto" w:cstheme="minorHAnsi"/>
          <w:sz w:val="16"/>
          <w:szCs w:val="16"/>
        </w:rPr>
        <w:t xml:space="preserve">Prawit has been detained during appeal in a case where he was accused of setting fire to the traffic police booth below </w:t>
      </w:r>
      <w:proofErr w:type="spellStart"/>
      <w:r w:rsidRPr="00F01C3D">
        <w:rPr>
          <w:rFonts w:ascii="Roboto" w:hAnsi="Roboto" w:cstheme="minorHAnsi"/>
          <w:sz w:val="16"/>
          <w:szCs w:val="16"/>
        </w:rPr>
        <w:t>Dindaeng</w:t>
      </w:r>
      <w:proofErr w:type="spellEnd"/>
      <w:r w:rsidRPr="00F01C3D">
        <w:rPr>
          <w:rFonts w:ascii="Roboto" w:hAnsi="Roboto" w:cstheme="minorHAnsi"/>
          <w:sz w:val="16"/>
          <w:szCs w:val="16"/>
        </w:rPr>
        <w:t xml:space="preserve"> Expressway during a protest on 10 Aug 2021 and sentenced by the Court of First Instance to an imprisonment of a term of 6 years and 4 months. </w:t>
      </w:r>
      <w:r w:rsidRPr="00F01C3D">
        <w:rPr>
          <w:rFonts w:ascii="Roboto" w:hAnsi="Roboto"/>
          <w:color w:val="000000"/>
          <w:sz w:val="16"/>
          <w:szCs w:val="16"/>
        </w:rPr>
        <w:t xml:space="preserve">TLHR, 11 July 2023. </w:t>
      </w:r>
      <w:r w:rsidRPr="00F01C3D">
        <w:rPr>
          <w:rFonts w:ascii="Roboto" w:hAnsi="Roboto"/>
          <w:sz w:val="16"/>
          <w:szCs w:val="16"/>
        </w:rPr>
        <w:t xml:space="preserve"> Information available at:  </w:t>
      </w:r>
      <w:r w:rsidRPr="00F01C3D">
        <w:rPr>
          <w:rFonts w:ascii="Roboto" w:hAnsi="Roboto" w:cstheme="minorBidi"/>
          <w:color w:val="000000"/>
          <w:sz w:val="16"/>
          <w:szCs w:val="16"/>
          <w:cs/>
          <w:lang w:bidi="th-TH"/>
        </w:rPr>
        <w:t xml:space="preserve"> </w:t>
      </w:r>
      <w:r w:rsidRPr="00F01C3D">
        <w:rPr>
          <w:rFonts w:ascii="Roboto" w:hAnsi="Roboto" w:cstheme="minorHAnsi"/>
          <w:color w:val="000000"/>
          <w:sz w:val="16"/>
          <w:szCs w:val="16"/>
        </w:rPr>
        <w:t xml:space="preserve"> </w:t>
      </w:r>
      <w:hyperlink r:id="rId21">
        <w:r w:rsidRPr="00F01C3D">
          <w:rPr>
            <w:rFonts w:ascii="Roboto" w:hAnsi="Roboto" w:cstheme="minorHAnsi"/>
            <w:color w:val="1155CC"/>
            <w:sz w:val="16"/>
            <w:szCs w:val="16"/>
            <w:u w:val="single"/>
          </w:rPr>
          <w:t>https://tlhr2014.com/archives/57330</w:t>
        </w:r>
      </w:hyperlink>
    </w:p>
  </w:footnote>
  <w:footnote w:id="34">
    <w:p w14:paraId="6FF569DA" w14:textId="77777777" w:rsidR="00791462" w:rsidRPr="00F01C3D" w:rsidRDefault="00791462" w:rsidP="00791462">
      <w:pPr>
        <w:pBdr>
          <w:top w:val="nil"/>
          <w:left w:val="nil"/>
          <w:bottom w:val="nil"/>
          <w:right w:val="nil"/>
          <w:between w:val="nil"/>
        </w:pBdr>
        <w:jc w:val="both"/>
        <w:rPr>
          <w:rFonts w:ascii="Roboto" w:hAnsi="Roboto" w:cstheme="minorHAnsi"/>
          <w:sz w:val="16"/>
          <w:szCs w:val="16"/>
        </w:rPr>
      </w:pPr>
      <w:r w:rsidRPr="00F01C3D">
        <w:rPr>
          <w:rStyle w:val="FootnoteReference"/>
          <w:rFonts w:ascii="Roboto" w:hAnsi="Roboto" w:cstheme="minorHAnsi"/>
          <w:sz w:val="16"/>
          <w:szCs w:val="16"/>
        </w:rPr>
        <w:footnoteRef/>
      </w:r>
      <w:proofErr w:type="spellStart"/>
      <w:r w:rsidRPr="00F01C3D">
        <w:rPr>
          <w:rFonts w:ascii="Roboto" w:hAnsi="Roboto" w:cstheme="minorHAnsi"/>
          <w:sz w:val="16"/>
          <w:szCs w:val="16"/>
        </w:rPr>
        <w:t>Kajornsak</w:t>
      </w:r>
      <w:proofErr w:type="spellEnd"/>
      <w:r w:rsidRPr="00F01C3D">
        <w:rPr>
          <w:rFonts w:ascii="Roboto" w:hAnsi="Roboto" w:cstheme="minorHAnsi"/>
          <w:sz w:val="16"/>
          <w:szCs w:val="16"/>
        </w:rPr>
        <w:t xml:space="preserve"> has been detained during appeal in a case where he was accused of throwing ping pong bombs and bottle bombs at the building of </w:t>
      </w:r>
      <w:proofErr w:type="spellStart"/>
      <w:r w:rsidRPr="00F01C3D">
        <w:rPr>
          <w:rFonts w:ascii="Roboto" w:hAnsi="Roboto" w:cstheme="minorHAnsi"/>
          <w:sz w:val="16"/>
          <w:szCs w:val="16"/>
        </w:rPr>
        <w:t>Phyathai</w:t>
      </w:r>
      <w:proofErr w:type="spellEnd"/>
      <w:r w:rsidRPr="00F01C3D">
        <w:rPr>
          <w:rFonts w:ascii="Roboto" w:hAnsi="Roboto" w:cstheme="minorHAnsi"/>
          <w:sz w:val="16"/>
          <w:szCs w:val="16"/>
        </w:rPr>
        <w:t xml:space="preserve"> Police Station and setting fire to a traffic police booth at </w:t>
      </w:r>
      <w:proofErr w:type="spellStart"/>
      <w:r w:rsidRPr="00F01C3D">
        <w:rPr>
          <w:rFonts w:ascii="Roboto" w:hAnsi="Roboto" w:cstheme="minorHAnsi"/>
          <w:sz w:val="16"/>
          <w:szCs w:val="16"/>
        </w:rPr>
        <w:t>Phyathai</w:t>
      </w:r>
      <w:proofErr w:type="spellEnd"/>
      <w:r w:rsidRPr="00F01C3D">
        <w:rPr>
          <w:rFonts w:ascii="Roboto" w:hAnsi="Roboto" w:cstheme="minorHAnsi"/>
          <w:sz w:val="16"/>
          <w:szCs w:val="16"/>
        </w:rPr>
        <w:t xml:space="preserve"> Intersection during a protest on 1 Oct 2021 and sentenced to an imprisonment of a term of 11 years and 6 months. Information is available at:  </w:t>
      </w:r>
      <w:r w:rsidRPr="00F01C3D">
        <w:rPr>
          <w:rFonts w:ascii="Roboto" w:hAnsi="Roboto"/>
          <w:color w:val="000000"/>
          <w:sz w:val="16"/>
          <w:szCs w:val="16"/>
        </w:rPr>
        <w:t xml:space="preserve">TLHR, 17 August 2023. </w:t>
      </w:r>
      <w:r w:rsidRPr="00F01C3D">
        <w:rPr>
          <w:rFonts w:ascii="Roboto" w:hAnsi="Roboto"/>
          <w:sz w:val="16"/>
          <w:szCs w:val="16"/>
        </w:rPr>
        <w:t xml:space="preserve"> Information available at:  </w:t>
      </w:r>
      <w:r w:rsidRPr="00F01C3D">
        <w:rPr>
          <w:rFonts w:ascii="Roboto" w:hAnsi="Roboto" w:cstheme="minorBidi"/>
          <w:color w:val="000000"/>
          <w:sz w:val="16"/>
          <w:szCs w:val="16"/>
          <w:cs/>
          <w:lang w:bidi="th-TH"/>
        </w:rPr>
        <w:t xml:space="preserve"> </w:t>
      </w:r>
      <w:r w:rsidRPr="00F01C3D">
        <w:rPr>
          <w:rFonts w:ascii="Roboto" w:hAnsi="Roboto" w:cstheme="minorHAnsi"/>
          <w:sz w:val="16"/>
          <w:szCs w:val="16"/>
        </w:rPr>
        <w:t xml:space="preserve"> </w:t>
      </w:r>
      <w:hyperlink r:id="rId22">
        <w:r w:rsidRPr="00F01C3D">
          <w:rPr>
            <w:rFonts w:ascii="Roboto" w:hAnsi="Roboto" w:cstheme="minorHAnsi"/>
            <w:color w:val="1155CC"/>
            <w:sz w:val="16"/>
            <w:szCs w:val="16"/>
            <w:u w:val="single"/>
          </w:rPr>
          <w:t>https://tlhr2014.com/archives/58430</w:t>
        </w:r>
      </w:hyperlink>
      <w:r w:rsidRPr="00F01C3D">
        <w:rPr>
          <w:rFonts w:ascii="Roboto" w:hAnsi="Roboto" w:cstheme="minorHAnsi"/>
          <w:color w:val="1155CC"/>
          <w:sz w:val="16"/>
          <w:szCs w:val="16"/>
          <w:u w:val="single"/>
        </w:rPr>
        <w:t xml:space="preserve">; </w:t>
      </w:r>
      <w:r w:rsidRPr="00F01C3D">
        <w:rPr>
          <w:rFonts w:ascii="Roboto" w:hAnsi="Roboto" w:cstheme="minorHAnsi"/>
          <w:color w:val="000000" w:themeColor="text1"/>
          <w:sz w:val="16"/>
          <w:szCs w:val="16"/>
        </w:rPr>
        <w:t xml:space="preserve">The Right to Bail: </w:t>
      </w:r>
      <w:proofErr w:type="gramStart"/>
      <w:r w:rsidRPr="00F01C3D">
        <w:rPr>
          <w:rFonts w:ascii="Roboto" w:hAnsi="Roboto" w:cstheme="minorHAnsi"/>
          <w:color w:val="000000" w:themeColor="text1"/>
          <w:sz w:val="16"/>
          <w:szCs w:val="16"/>
        </w:rPr>
        <w:t>the</w:t>
      </w:r>
      <w:proofErr w:type="gramEnd"/>
      <w:r w:rsidRPr="00F01C3D">
        <w:rPr>
          <w:rFonts w:ascii="Roboto" w:hAnsi="Roboto" w:cstheme="minorHAnsi"/>
          <w:color w:val="000000" w:themeColor="text1"/>
          <w:sz w:val="16"/>
          <w:szCs w:val="16"/>
        </w:rPr>
        <w:t xml:space="preserve"> Best New Year Present. Looking Back at the Lives and Dreams Behind Bars of 20 Political Detainees. </w:t>
      </w:r>
      <w:r w:rsidRPr="00F01C3D">
        <w:rPr>
          <w:rFonts w:ascii="Roboto" w:hAnsi="Roboto"/>
          <w:color w:val="000000"/>
          <w:sz w:val="16"/>
          <w:szCs w:val="16"/>
        </w:rPr>
        <w:t xml:space="preserve">TLHR, 31 December 2021. </w:t>
      </w:r>
      <w:r w:rsidRPr="00F01C3D">
        <w:rPr>
          <w:rFonts w:ascii="Roboto" w:hAnsi="Roboto"/>
          <w:sz w:val="16"/>
          <w:szCs w:val="16"/>
        </w:rPr>
        <w:t xml:space="preserve"> Information available at:  </w:t>
      </w:r>
      <w:r w:rsidRPr="00F01C3D">
        <w:rPr>
          <w:rFonts w:ascii="Roboto" w:hAnsi="Roboto" w:cstheme="minorBidi"/>
          <w:color w:val="000000"/>
          <w:sz w:val="16"/>
          <w:szCs w:val="16"/>
          <w:cs/>
          <w:lang w:bidi="th-TH"/>
        </w:rPr>
        <w:t xml:space="preserve"> </w:t>
      </w:r>
      <w:r w:rsidRPr="00F01C3D">
        <w:rPr>
          <w:rFonts w:ascii="Roboto" w:hAnsi="Roboto" w:cstheme="minorHAnsi"/>
          <w:color w:val="000000" w:themeColor="text1"/>
          <w:sz w:val="16"/>
          <w:szCs w:val="16"/>
          <w:u w:val="single"/>
        </w:rPr>
        <w:t xml:space="preserve"> </w:t>
      </w:r>
      <w:r w:rsidRPr="00F01C3D">
        <w:rPr>
          <w:rFonts w:ascii="Roboto" w:hAnsi="Roboto" w:cstheme="minorHAnsi"/>
          <w:color w:val="1155CC"/>
          <w:sz w:val="16"/>
          <w:szCs w:val="16"/>
          <w:u w:val="single"/>
        </w:rPr>
        <w:t>https://tlhr2014.com/archives/39327</w:t>
      </w:r>
    </w:p>
  </w:footnote>
  <w:footnote w:id="35">
    <w:p w14:paraId="34EAB3C7" w14:textId="77777777" w:rsidR="00791462" w:rsidRPr="00F01C3D" w:rsidRDefault="00791462" w:rsidP="00791462">
      <w:pPr>
        <w:pBdr>
          <w:top w:val="nil"/>
          <w:left w:val="nil"/>
          <w:bottom w:val="nil"/>
          <w:right w:val="nil"/>
          <w:between w:val="nil"/>
        </w:pBdr>
        <w:jc w:val="both"/>
        <w:rPr>
          <w:rFonts w:ascii="Roboto" w:hAnsi="Roboto" w:cstheme="minorHAnsi"/>
          <w:sz w:val="16"/>
          <w:szCs w:val="16"/>
        </w:rPr>
      </w:pPr>
      <w:r w:rsidRPr="00F01C3D">
        <w:rPr>
          <w:rStyle w:val="FootnoteReference"/>
          <w:rFonts w:ascii="Roboto" w:hAnsi="Roboto" w:cstheme="minorHAnsi"/>
          <w:sz w:val="16"/>
          <w:szCs w:val="16"/>
        </w:rPr>
        <w:footnoteRef/>
      </w:r>
      <w:r w:rsidRPr="00F01C3D">
        <w:rPr>
          <w:rFonts w:ascii="Roboto" w:hAnsi="Roboto" w:cstheme="minorHAnsi"/>
          <w:color w:val="000000"/>
          <w:sz w:val="16"/>
          <w:szCs w:val="16"/>
        </w:rPr>
        <w:t xml:space="preserve"> Visiting Notes Pai-</w:t>
      </w:r>
      <w:proofErr w:type="spellStart"/>
      <w:r w:rsidRPr="00F01C3D">
        <w:rPr>
          <w:rFonts w:ascii="Roboto" w:hAnsi="Roboto" w:cstheme="minorHAnsi"/>
          <w:color w:val="000000"/>
          <w:sz w:val="16"/>
          <w:szCs w:val="16"/>
        </w:rPr>
        <w:t>Athit</w:t>
      </w:r>
      <w:proofErr w:type="spellEnd"/>
      <w:r w:rsidRPr="00F01C3D">
        <w:rPr>
          <w:rFonts w:ascii="Roboto" w:hAnsi="Roboto" w:cstheme="minorHAnsi"/>
          <w:color w:val="000000"/>
          <w:sz w:val="16"/>
          <w:szCs w:val="16"/>
        </w:rPr>
        <w:t xml:space="preserve"> from the </w:t>
      </w:r>
      <w:proofErr w:type="spellStart"/>
      <w:r w:rsidRPr="00F01C3D">
        <w:rPr>
          <w:rFonts w:ascii="Roboto" w:hAnsi="Roboto" w:cstheme="minorHAnsi"/>
          <w:color w:val="000000"/>
          <w:sz w:val="16"/>
          <w:szCs w:val="16"/>
        </w:rPr>
        <w:t>Thalufa</w:t>
      </w:r>
      <w:proofErr w:type="spellEnd"/>
      <w:r w:rsidRPr="00F01C3D">
        <w:rPr>
          <w:rFonts w:ascii="Roboto" w:hAnsi="Roboto" w:cstheme="minorHAnsi"/>
          <w:color w:val="000000"/>
          <w:sz w:val="16"/>
          <w:szCs w:val="16"/>
          <w:cs/>
          <w:lang w:bidi="th-TH"/>
        </w:rPr>
        <w:t xml:space="preserve"> </w:t>
      </w:r>
      <w:r w:rsidRPr="00F01C3D">
        <w:rPr>
          <w:rFonts w:ascii="Roboto" w:hAnsi="Roboto" w:cstheme="minorHAnsi"/>
          <w:color w:val="000000"/>
          <w:sz w:val="16"/>
          <w:szCs w:val="16"/>
          <w:lang w:bidi="th-TH"/>
        </w:rPr>
        <w:t xml:space="preserve">group and </w:t>
      </w:r>
      <w:proofErr w:type="spellStart"/>
      <w:r w:rsidRPr="00F01C3D">
        <w:rPr>
          <w:rFonts w:ascii="Roboto" w:hAnsi="Roboto" w:cstheme="minorHAnsi"/>
          <w:color w:val="000000"/>
          <w:sz w:val="16"/>
          <w:szCs w:val="16"/>
        </w:rPr>
        <w:t>Chittipat</w:t>
      </w:r>
      <w:proofErr w:type="spellEnd"/>
      <w:r w:rsidRPr="00F01C3D">
        <w:rPr>
          <w:rFonts w:ascii="Roboto" w:hAnsi="Roboto" w:cstheme="minorHAnsi"/>
          <w:color w:val="000000"/>
          <w:sz w:val="16"/>
          <w:szCs w:val="16"/>
        </w:rPr>
        <w:t xml:space="preserve">: If the people outside are not yet hopeless, the people inside are ready to continue fighting. TLHR, 4 October 2021.  Information available at </w:t>
      </w:r>
      <w:hyperlink r:id="rId23">
        <w:r w:rsidRPr="00F01C3D">
          <w:rPr>
            <w:rFonts w:ascii="Roboto" w:hAnsi="Roboto" w:cstheme="minorHAnsi"/>
            <w:color w:val="1155CC"/>
            <w:sz w:val="16"/>
            <w:szCs w:val="16"/>
            <w:u w:val="single"/>
          </w:rPr>
          <w:t>https://tlhr2014.com/archives/36019</w:t>
        </w:r>
      </w:hyperlink>
      <w:r w:rsidRPr="00F01C3D">
        <w:rPr>
          <w:rFonts w:ascii="Roboto" w:hAnsi="Roboto" w:cstheme="minorHAnsi"/>
          <w:sz w:val="16"/>
          <w:szCs w:val="16"/>
        </w:rPr>
        <w:t xml:space="preserve">; Police charged 4 cases against 5 activists of the </w:t>
      </w:r>
      <w:proofErr w:type="spellStart"/>
      <w:r w:rsidRPr="00F01C3D">
        <w:rPr>
          <w:rFonts w:ascii="Roboto" w:hAnsi="Roboto" w:cstheme="minorHAnsi"/>
          <w:sz w:val="16"/>
          <w:szCs w:val="16"/>
        </w:rPr>
        <w:t>Thalu</w:t>
      </w:r>
      <w:proofErr w:type="spellEnd"/>
      <w:r w:rsidRPr="00F01C3D">
        <w:rPr>
          <w:rFonts w:ascii="Roboto" w:hAnsi="Roboto" w:cstheme="minorHAnsi"/>
          <w:sz w:val="16"/>
          <w:szCs w:val="16"/>
        </w:rPr>
        <w:t xml:space="preserve"> Fah group for splashing paint at Thung Song Hong Police Station, the </w:t>
      </w:r>
      <w:proofErr w:type="spellStart"/>
      <w:r w:rsidRPr="00F01C3D">
        <w:rPr>
          <w:rFonts w:ascii="Roboto" w:hAnsi="Roboto" w:cstheme="minorHAnsi"/>
          <w:sz w:val="16"/>
          <w:szCs w:val="16"/>
        </w:rPr>
        <w:t>Palang</w:t>
      </w:r>
      <w:proofErr w:type="spellEnd"/>
      <w:r w:rsidRPr="00F01C3D">
        <w:rPr>
          <w:rFonts w:ascii="Roboto" w:hAnsi="Roboto" w:cstheme="minorHAnsi"/>
          <w:sz w:val="16"/>
          <w:szCs w:val="16"/>
        </w:rPr>
        <w:t xml:space="preserve"> </w:t>
      </w:r>
      <w:proofErr w:type="spellStart"/>
      <w:r w:rsidRPr="00F01C3D">
        <w:rPr>
          <w:rFonts w:ascii="Roboto" w:hAnsi="Roboto" w:cstheme="minorHAnsi"/>
          <w:sz w:val="16"/>
          <w:szCs w:val="16"/>
        </w:rPr>
        <w:t>Pracharath</w:t>
      </w:r>
      <w:proofErr w:type="spellEnd"/>
      <w:r w:rsidRPr="00F01C3D">
        <w:rPr>
          <w:rFonts w:ascii="Roboto" w:hAnsi="Roboto" w:cstheme="minorHAnsi"/>
          <w:sz w:val="16"/>
          <w:szCs w:val="16"/>
        </w:rPr>
        <w:t xml:space="preserve"> Party, the </w:t>
      </w:r>
      <w:proofErr w:type="spellStart"/>
      <w:r w:rsidRPr="00F01C3D">
        <w:rPr>
          <w:rFonts w:ascii="Roboto" w:hAnsi="Roboto" w:cstheme="minorHAnsi"/>
          <w:sz w:val="16"/>
          <w:szCs w:val="16"/>
        </w:rPr>
        <w:t>Bhumjaithai</w:t>
      </w:r>
      <w:proofErr w:type="spellEnd"/>
      <w:r w:rsidRPr="00F01C3D">
        <w:rPr>
          <w:rFonts w:ascii="Roboto" w:hAnsi="Roboto" w:cstheme="minorHAnsi"/>
          <w:sz w:val="16"/>
          <w:szCs w:val="16"/>
        </w:rPr>
        <w:t xml:space="preserve"> Party, and Buddhist Lent candle casting </w:t>
      </w:r>
      <w:r w:rsidRPr="00F01C3D">
        <w:rPr>
          <w:rFonts w:ascii="Roboto" w:hAnsi="Roboto" w:cstheme="minorHAnsi"/>
          <w:sz w:val="16"/>
          <w:szCs w:val="16"/>
          <w:cs/>
          <w:lang w:bidi="th-TH"/>
        </w:rPr>
        <w:t>activity</w:t>
      </w:r>
      <w:r w:rsidRPr="00F01C3D">
        <w:rPr>
          <w:rFonts w:ascii="Roboto" w:hAnsi="Roboto" w:cstheme="minorHAnsi"/>
          <w:sz w:val="16"/>
          <w:szCs w:val="16"/>
        </w:rPr>
        <w:t xml:space="preserve"> before denying bail to Pai, claiming he would go and cause other dangers. </w:t>
      </w:r>
      <w:r w:rsidRPr="00F01C3D">
        <w:rPr>
          <w:rFonts w:ascii="Roboto" w:hAnsi="Roboto"/>
          <w:color w:val="000000"/>
          <w:sz w:val="16"/>
          <w:szCs w:val="16"/>
        </w:rPr>
        <w:t xml:space="preserve">TLHR, 9 August 2021. </w:t>
      </w:r>
      <w:r w:rsidRPr="00F01C3D">
        <w:rPr>
          <w:rFonts w:ascii="Roboto" w:hAnsi="Roboto"/>
          <w:sz w:val="16"/>
          <w:szCs w:val="16"/>
        </w:rPr>
        <w:t xml:space="preserve"> Information available at</w:t>
      </w:r>
      <w:r w:rsidRPr="00F01C3D">
        <w:rPr>
          <w:rFonts w:ascii="Roboto" w:hAnsi="Roboto" w:cstheme="minorHAnsi"/>
          <w:sz w:val="16"/>
          <w:szCs w:val="16"/>
        </w:rPr>
        <w:t xml:space="preserve"> </w:t>
      </w:r>
      <w:hyperlink r:id="rId24">
        <w:r w:rsidRPr="00F01C3D">
          <w:rPr>
            <w:rFonts w:ascii="Roboto" w:hAnsi="Roboto" w:cstheme="minorHAnsi"/>
            <w:color w:val="1155CC"/>
            <w:sz w:val="16"/>
            <w:szCs w:val="16"/>
            <w:u w:val="single"/>
          </w:rPr>
          <w:t>https://tlhr2014.com/archives/33250</w:t>
        </w:r>
      </w:hyperlink>
    </w:p>
  </w:footnote>
  <w:footnote w:id="36">
    <w:p w14:paraId="2AFF9C35" w14:textId="77777777" w:rsidR="00791462" w:rsidRPr="00F01C3D" w:rsidRDefault="00791462" w:rsidP="00791462">
      <w:pPr>
        <w:pBdr>
          <w:top w:val="nil"/>
          <w:left w:val="nil"/>
          <w:bottom w:val="nil"/>
          <w:right w:val="nil"/>
          <w:between w:val="nil"/>
        </w:pBdr>
        <w:jc w:val="both"/>
        <w:rPr>
          <w:rFonts w:ascii="Roboto" w:hAnsi="Roboto" w:cstheme="minorHAnsi"/>
          <w:color w:val="000000"/>
          <w:sz w:val="16"/>
          <w:szCs w:val="16"/>
        </w:rPr>
      </w:pPr>
      <w:r w:rsidRPr="00F01C3D">
        <w:rPr>
          <w:rStyle w:val="FootnoteReference"/>
          <w:rFonts w:ascii="Roboto" w:hAnsi="Roboto" w:cstheme="minorHAnsi"/>
          <w:sz w:val="16"/>
          <w:szCs w:val="16"/>
        </w:rPr>
        <w:footnoteRef/>
      </w:r>
      <w:r w:rsidRPr="00F01C3D">
        <w:rPr>
          <w:rFonts w:ascii="Roboto" w:hAnsi="Roboto" w:cstheme="minorHAnsi"/>
          <w:color w:val="000000"/>
          <w:sz w:val="16"/>
          <w:szCs w:val="16"/>
        </w:rPr>
        <w:t xml:space="preserve"> </w:t>
      </w:r>
      <w:r w:rsidRPr="00F01C3D">
        <w:rPr>
          <w:rFonts w:ascii="Roboto" w:hAnsi="Roboto" w:cstheme="minorHAnsi"/>
          <w:color w:val="000000"/>
          <w:sz w:val="16"/>
          <w:szCs w:val="16"/>
          <w:lang w:bidi="th-TH"/>
        </w:rPr>
        <w:t xml:space="preserve">Thailand: Arbitrary detention of pro-democracy activist Benja </w:t>
      </w:r>
      <w:proofErr w:type="spellStart"/>
      <w:r w:rsidRPr="00F01C3D">
        <w:rPr>
          <w:rFonts w:ascii="Roboto" w:hAnsi="Roboto" w:cstheme="minorHAnsi"/>
          <w:color w:val="000000"/>
          <w:sz w:val="16"/>
          <w:szCs w:val="16"/>
          <w:lang w:bidi="th-TH"/>
        </w:rPr>
        <w:t>Apan</w:t>
      </w:r>
      <w:proofErr w:type="spellEnd"/>
      <w:r w:rsidRPr="00F01C3D">
        <w:rPr>
          <w:rFonts w:ascii="Roboto" w:hAnsi="Roboto" w:cstheme="minorHAnsi"/>
          <w:color w:val="000000"/>
          <w:sz w:val="16"/>
          <w:szCs w:val="16"/>
          <w:lang w:bidi="th-TH"/>
        </w:rPr>
        <w:t xml:space="preserve">. </w:t>
      </w:r>
      <w:r w:rsidRPr="00F01C3D">
        <w:rPr>
          <w:rFonts w:ascii="Roboto" w:hAnsi="Roboto"/>
          <w:color w:val="000000"/>
          <w:sz w:val="16"/>
          <w:szCs w:val="16"/>
        </w:rPr>
        <w:t xml:space="preserve">TLHR, 13 October 2021. </w:t>
      </w:r>
      <w:r w:rsidRPr="00F01C3D">
        <w:rPr>
          <w:rFonts w:ascii="Roboto" w:hAnsi="Roboto"/>
          <w:sz w:val="16"/>
          <w:szCs w:val="16"/>
        </w:rPr>
        <w:t xml:space="preserve"> Information available at</w:t>
      </w:r>
      <w:r w:rsidRPr="00F01C3D">
        <w:rPr>
          <w:rFonts w:ascii="Roboto" w:hAnsi="Roboto" w:cstheme="minorHAnsi"/>
          <w:color w:val="000000"/>
          <w:sz w:val="16"/>
          <w:szCs w:val="16"/>
          <w:lang w:bidi="th-TH"/>
        </w:rPr>
        <w:t xml:space="preserve"> </w:t>
      </w:r>
      <w:hyperlink r:id="rId25" w:history="1">
        <w:r w:rsidRPr="00F01C3D">
          <w:rPr>
            <w:rStyle w:val="Hyperlink"/>
            <w:rFonts w:ascii="Roboto" w:hAnsi="Roboto" w:cstheme="minorHAnsi"/>
            <w:sz w:val="16"/>
            <w:szCs w:val="16"/>
          </w:rPr>
          <w:t>https://tlhr2014.com/en/archives/36491</w:t>
        </w:r>
      </w:hyperlink>
      <w:r w:rsidRPr="00F01C3D">
        <w:rPr>
          <w:rFonts w:ascii="Roboto" w:hAnsi="Roboto" w:cstheme="minorHAnsi"/>
          <w:sz w:val="16"/>
          <w:szCs w:val="16"/>
        </w:rPr>
        <w:t xml:space="preserve">; </w:t>
      </w:r>
    </w:p>
  </w:footnote>
  <w:footnote w:id="37">
    <w:p w14:paraId="2B185899" w14:textId="77777777" w:rsidR="00791462" w:rsidRPr="00F01C3D" w:rsidRDefault="00791462" w:rsidP="00791462">
      <w:pPr>
        <w:rPr>
          <w:rFonts w:ascii="Roboto" w:hAnsi="Roboto" w:cstheme="minorHAnsi"/>
          <w:sz w:val="16"/>
          <w:szCs w:val="16"/>
        </w:rPr>
      </w:pPr>
      <w:r w:rsidRPr="00F01C3D">
        <w:rPr>
          <w:rStyle w:val="FootnoteReference"/>
          <w:rFonts w:ascii="Roboto" w:hAnsi="Roboto" w:cstheme="minorHAnsi"/>
          <w:sz w:val="16"/>
          <w:szCs w:val="16"/>
        </w:rPr>
        <w:footnoteRef/>
      </w:r>
      <w:r w:rsidRPr="00F01C3D">
        <w:rPr>
          <w:rFonts w:ascii="Roboto" w:hAnsi="Roboto" w:cstheme="minorHAnsi"/>
          <w:sz w:val="16"/>
          <w:szCs w:val="16"/>
        </w:rPr>
        <w:t xml:space="preserve"> </w:t>
      </w:r>
      <w:r w:rsidRPr="00F01C3D">
        <w:rPr>
          <w:rFonts w:ascii="Roboto" w:eastAsia="Roboto" w:hAnsi="Roboto" w:cstheme="minorHAnsi"/>
          <w:color w:val="000000" w:themeColor="text1"/>
          <w:sz w:val="16"/>
          <w:szCs w:val="16"/>
        </w:rPr>
        <w:t>2017 Thai Constitution, Section 29, para. 2.</w:t>
      </w:r>
    </w:p>
  </w:footnote>
  <w:footnote w:id="38">
    <w:p w14:paraId="600BBA06" w14:textId="77777777" w:rsidR="00791462" w:rsidRPr="00F01C3D" w:rsidRDefault="00791462" w:rsidP="00791462">
      <w:pPr>
        <w:jc w:val="both"/>
        <w:rPr>
          <w:rFonts w:ascii="Roboto" w:hAnsi="Roboto"/>
          <w:sz w:val="16"/>
          <w:szCs w:val="16"/>
        </w:rPr>
      </w:pPr>
      <w:r w:rsidRPr="00F01C3D">
        <w:rPr>
          <w:rStyle w:val="FootnoteReference"/>
          <w:rFonts w:ascii="Roboto" w:hAnsi="Roboto"/>
          <w:sz w:val="16"/>
          <w:szCs w:val="16"/>
        </w:rPr>
        <w:footnoteRef/>
      </w:r>
      <w:r w:rsidRPr="00F01C3D">
        <w:rPr>
          <w:rFonts w:ascii="Roboto" w:hAnsi="Roboto"/>
          <w:sz w:val="16"/>
          <w:szCs w:val="16"/>
        </w:rPr>
        <w:t xml:space="preserve"> Lawyers submit letter to Bangkok Special Prison commander, requesting review of shackling of Anon while he was out </w:t>
      </w:r>
      <w:r w:rsidRPr="00F01C3D">
        <w:rPr>
          <w:rFonts w:ascii="Roboto" w:hAnsi="Roboto" w:cs="Browallia New"/>
          <w:sz w:val="16"/>
          <w:szCs w:val="16"/>
          <w:lang w:bidi="th-TH"/>
        </w:rPr>
        <w:t>for</w:t>
      </w:r>
      <w:r w:rsidRPr="00F01C3D">
        <w:rPr>
          <w:rFonts w:ascii="Roboto" w:hAnsi="Roboto"/>
          <w:sz w:val="16"/>
          <w:szCs w:val="16"/>
        </w:rPr>
        <w:t xml:space="preserve"> trial to respect human dignity. </w:t>
      </w:r>
      <w:r w:rsidRPr="00F01C3D">
        <w:rPr>
          <w:rFonts w:ascii="Roboto" w:hAnsi="Roboto"/>
          <w:color w:val="000000"/>
          <w:sz w:val="16"/>
          <w:szCs w:val="16"/>
        </w:rPr>
        <w:t xml:space="preserve">TLHR, 4 October 2023. </w:t>
      </w:r>
      <w:r w:rsidRPr="00F01C3D">
        <w:rPr>
          <w:rFonts w:ascii="Roboto" w:hAnsi="Roboto"/>
          <w:sz w:val="16"/>
          <w:szCs w:val="16"/>
        </w:rPr>
        <w:t xml:space="preserve"> Information available at </w:t>
      </w:r>
      <w:hyperlink r:id="rId26">
        <w:r w:rsidRPr="00F01C3D">
          <w:rPr>
            <w:rFonts w:ascii="Roboto" w:hAnsi="Roboto"/>
            <w:color w:val="1155CC"/>
            <w:sz w:val="16"/>
            <w:szCs w:val="16"/>
            <w:u w:val="single"/>
          </w:rPr>
          <w:t>https://tlhr2014.com/archives/60321</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497A4C"/>
    <w:multiLevelType w:val="hybridMultilevel"/>
    <w:tmpl w:val="AC2475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9B4AA3"/>
    <w:multiLevelType w:val="hybridMultilevel"/>
    <w:tmpl w:val="5356674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E2432C"/>
    <w:multiLevelType w:val="multilevel"/>
    <w:tmpl w:val="5DE6C8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35200600">
    <w:abstractNumId w:val="2"/>
  </w:num>
  <w:num w:numId="2" w16cid:durableId="611788373">
    <w:abstractNumId w:val="1"/>
  </w:num>
  <w:num w:numId="3" w16cid:durableId="1004476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462"/>
    <w:rsid w:val="0036353D"/>
    <w:rsid w:val="003E3949"/>
    <w:rsid w:val="0064076E"/>
    <w:rsid w:val="00791462"/>
    <w:rsid w:val="00994969"/>
    <w:rsid w:val="00C02F4B"/>
    <w:rsid w:val="00E55AA0"/>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4AABA"/>
  <w15:chartTrackingRefBased/>
  <w15:docId w15:val="{27885243-A770-4998-A0C6-22BB007DB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462"/>
    <w:pPr>
      <w:spacing w:after="0" w:line="240" w:lineRule="auto"/>
    </w:pPr>
    <w:rPr>
      <w:rFonts w:ascii="Calibri" w:eastAsia="Calibri" w:hAnsi="Calibri" w:cs="Calibri"/>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1462"/>
    <w:rPr>
      <w:color w:val="0563C1" w:themeColor="hyperlink"/>
      <w:u w:val="single"/>
    </w:rPr>
  </w:style>
  <w:style w:type="character" w:styleId="FootnoteReference">
    <w:name w:val="footnote reference"/>
    <w:basedOn w:val="DefaultParagraphFont"/>
    <w:uiPriority w:val="99"/>
    <w:semiHidden/>
    <w:unhideWhenUsed/>
    <w:rsid w:val="00791462"/>
    <w:rPr>
      <w:vertAlign w:val="superscript"/>
    </w:rPr>
  </w:style>
  <w:style w:type="paragraph" w:styleId="CommentText">
    <w:name w:val="annotation text"/>
    <w:basedOn w:val="Normal"/>
    <w:link w:val="CommentTextChar"/>
    <w:uiPriority w:val="99"/>
    <w:semiHidden/>
    <w:unhideWhenUsed/>
    <w:rsid w:val="00791462"/>
    <w:rPr>
      <w:sz w:val="20"/>
      <w:szCs w:val="20"/>
    </w:rPr>
  </w:style>
  <w:style w:type="character" w:customStyle="1" w:styleId="CommentTextChar">
    <w:name w:val="Comment Text Char"/>
    <w:basedOn w:val="DefaultParagraphFont"/>
    <w:link w:val="CommentText"/>
    <w:uiPriority w:val="99"/>
    <w:semiHidden/>
    <w:rsid w:val="00791462"/>
    <w:rPr>
      <w:rFonts w:ascii="Calibri" w:eastAsia="Calibri" w:hAnsi="Calibri" w:cs="Calibri"/>
      <w:sz w:val="20"/>
      <w:szCs w:val="20"/>
      <w:lang w:val="en-US"/>
    </w:rPr>
  </w:style>
  <w:style w:type="character" w:styleId="CommentReference">
    <w:name w:val="annotation reference"/>
    <w:basedOn w:val="DefaultParagraphFont"/>
    <w:uiPriority w:val="99"/>
    <w:semiHidden/>
    <w:unhideWhenUsed/>
    <w:rsid w:val="00791462"/>
    <w:rPr>
      <w:sz w:val="16"/>
      <w:szCs w:val="16"/>
    </w:rPr>
  </w:style>
  <w:style w:type="paragraph" w:styleId="ListParagraph">
    <w:name w:val="List Paragraph"/>
    <w:basedOn w:val="Normal"/>
    <w:uiPriority w:val="34"/>
    <w:qFormat/>
    <w:rsid w:val="00791462"/>
    <w:pPr>
      <w:ind w:left="720"/>
      <w:contextualSpacing/>
    </w:pPr>
  </w:style>
  <w:style w:type="paragraph" w:styleId="BalloonText">
    <w:name w:val="Balloon Text"/>
    <w:basedOn w:val="Normal"/>
    <w:link w:val="BalloonTextChar"/>
    <w:uiPriority w:val="99"/>
    <w:semiHidden/>
    <w:unhideWhenUsed/>
    <w:rsid w:val="007914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1462"/>
    <w:rPr>
      <w:rFonts w:ascii="Segoe UI" w:eastAsia="Calibri" w:hAnsi="Segoe UI" w:cs="Segoe UI"/>
      <w:sz w:val="18"/>
      <w:szCs w:val="18"/>
      <w:lang w:val="en-US"/>
    </w:rPr>
  </w:style>
  <w:style w:type="paragraph" w:styleId="Revision">
    <w:name w:val="Revision"/>
    <w:hidden/>
    <w:uiPriority w:val="99"/>
    <w:semiHidden/>
    <w:rsid w:val="00994969"/>
    <w:pPr>
      <w:spacing w:after="0" w:line="240" w:lineRule="auto"/>
    </w:pPr>
    <w:rPr>
      <w:rFonts w:ascii="Calibri" w:eastAsia="Calibri" w:hAnsi="Calibri" w:cs="Calibri"/>
      <w:sz w:val="24"/>
      <w:szCs w:val="24"/>
      <w:lang w:val="en-US"/>
    </w:rPr>
  </w:style>
  <w:style w:type="paragraph" w:styleId="CommentSubject">
    <w:name w:val="annotation subject"/>
    <w:basedOn w:val="CommentText"/>
    <w:next w:val="CommentText"/>
    <w:link w:val="CommentSubjectChar"/>
    <w:uiPriority w:val="99"/>
    <w:semiHidden/>
    <w:unhideWhenUsed/>
    <w:rsid w:val="00994969"/>
    <w:rPr>
      <w:b/>
      <w:bCs/>
    </w:rPr>
  </w:style>
  <w:style w:type="character" w:customStyle="1" w:styleId="CommentSubjectChar">
    <w:name w:val="Comment Subject Char"/>
    <w:basedOn w:val="CommentTextChar"/>
    <w:link w:val="CommentSubject"/>
    <w:uiPriority w:val="99"/>
    <w:semiHidden/>
    <w:rsid w:val="00994969"/>
    <w:rPr>
      <w:rFonts w:ascii="Calibri" w:eastAsia="Calibri" w:hAnsi="Calibri" w:cs="Calibri"/>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tlhr2014.com/archives/31541" TargetMode="External"/><Relationship Id="rId13" Type="http://schemas.openxmlformats.org/officeDocument/2006/relationships/hyperlink" Target="https://tlhr2014.com/archives/69367" TargetMode="External"/><Relationship Id="rId18" Type="http://schemas.openxmlformats.org/officeDocument/2006/relationships/hyperlink" Target="https://tlhr2014.com/archives/63268" TargetMode="External"/><Relationship Id="rId26" Type="http://schemas.openxmlformats.org/officeDocument/2006/relationships/hyperlink" Target="https://tlhr2014.com/archives/60321" TargetMode="External"/><Relationship Id="rId3" Type="http://schemas.openxmlformats.org/officeDocument/2006/relationships/hyperlink" Target="https://tlhr2014.com/archives/59950" TargetMode="External"/><Relationship Id="rId21" Type="http://schemas.openxmlformats.org/officeDocument/2006/relationships/hyperlink" Target="https://tlhr2014.com/archives/57330" TargetMode="External"/><Relationship Id="rId7" Type="http://schemas.openxmlformats.org/officeDocument/2006/relationships/hyperlink" Target="https://tlhr2014.com/archives/63015" TargetMode="External"/><Relationship Id="rId12" Type="http://schemas.openxmlformats.org/officeDocument/2006/relationships/hyperlink" Target="https://tlhr2014.com/archives/64152" TargetMode="External"/><Relationship Id="rId17" Type="http://schemas.openxmlformats.org/officeDocument/2006/relationships/hyperlink" Target="https://tlhr2014.com/archives/60779" TargetMode="External"/><Relationship Id="rId25" Type="http://schemas.openxmlformats.org/officeDocument/2006/relationships/hyperlink" Target="https://tlhr2014.com/en/archives/36491" TargetMode="External"/><Relationship Id="rId2" Type="http://schemas.openxmlformats.org/officeDocument/2006/relationships/hyperlink" Target="https://www.article19.org/resources/no-more-criminal-proceedings-anon-nampa/" TargetMode="External"/><Relationship Id="rId16" Type="http://schemas.openxmlformats.org/officeDocument/2006/relationships/hyperlink" Target="https://tlhr2014.com/archives/46764" TargetMode="External"/><Relationship Id="rId20" Type="http://schemas.openxmlformats.org/officeDocument/2006/relationships/hyperlink" Target="https://tlhr2014.com/archives/64743" TargetMode="External"/><Relationship Id="rId1" Type="http://schemas.openxmlformats.org/officeDocument/2006/relationships/hyperlink" Target="https://krisdika.sharepoint.com/:w:/s/translationsection/EWSTzHZw_YRDlxkEU3JIliUBJQOipccBp3kdg67bj1siBQ?rtime=KNd_zo3b3Eg" TargetMode="External"/><Relationship Id="rId6" Type="http://schemas.openxmlformats.org/officeDocument/2006/relationships/hyperlink" Target="https://tlhr2014.com/archives/67671" TargetMode="External"/><Relationship Id="rId11" Type="http://schemas.openxmlformats.org/officeDocument/2006/relationships/hyperlink" Target="https://tlhr2014.com/archives/64149" TargetMode="External"/><Relationship Id="rId24" Type="http://schemas.openxmlformats.org/officeDocument/2006/relationships/hyperlink" Target="https://tlhr2014.com/archives/33250" TargetMode="External"/><Relationship Id="rId5" Type="http://schemas.openxmlformats.org/officeDocument/2006/relationships/hyperlink" Target="https://tlhr2014.com/archives/68094" TargetMode="External"/><Relationship Id="rId15" Type="http://schemas.openxmlformats.org/officeDocument/2006/relationships/hyperlink" Target="https://tlhr2014.com/archives/58966" TargetMode="External"/><Relationship Id="rId23" Type="http://schemas.openxmlformats.org/officeDocument/2006/relationships/hyperlink" Target="https://tlhr2014.com/archives/36019" TargetMode="External"/><Relationship Id="rId10" Type="http://schemas.openxmlformats.org/officeDocument/2006/relationships/hyperlink" Target="https://www.article19.org/resources/thailand-hold-authorities-accountable-death-netiporn-bung/" TargetMode="External"/><Relationship Id="rId19" Type="http://schemas.openxmlformats.org/officeDocument/2006/relationships/hyperlink" Target="https://tlhr2014.com/archives/51694" TargetMode="External"/><Relationship Id="rId4" Type="http://schemas.openxmlformats.org/officeDocument/2006/relationships/hyperlink" Target="https://tlhr2014.com/archives/63262" TargetMode="External"/><Relationship Id="rId9" Type="http://schemas.openxmlformats.org/officeDocument/2006/relationships/hyperlink" Target="https://tlhr2014.com/archives/57027" TargetMode="External"/><Relationship Id="rId14" Type="http://schemas.openxmlformats.org/officeDocument/2006/relationships/hyperlink" Target="https://tlhr2014.com/archives/46522" TargetMode="External"/><Relationship Id="rId22" Type="http://schemas.openxmlformats.org/officeDocument/2006/relationships/hyperlink" Target="https://tlhr2014.com/archives/584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E24559-5037-4103-BBD2-92DDF2A178B7}"/>
</file>

<file path=customXml/itemProps2.xml><?xml version="1.0" encoding="utf-8"?>
<ds:datastoreItem xmlns:ds="http://schemas.openxmlformats.org/officeDocument/2006/customXml" ds:itemID="{4D8B5BCD-4CA6-4079-BEB7-16E29ACF5DD3}"/>
</file>

<file path=docProps/app.xml><?xml version="1.0" encoding="utf-8"?>
<Properties xmlns="http://schemas.openxmlformats.org/officeDocument/2006/extended-properties" xmlns:vt="http://schemas.openxmlformats.org/officeDocument/2006/docPropsVTypes">
  <Template>Normal.dotm</Template>
  <TotalTime>6</TotalTime>
  <Pages>10</Pages>
  <Words>3600</Words>
  <Characters>20523</Characters>
  <Application>Microsoft Office Word</Application>
  <DocSecurity>0</DocSecurity>
  <Lines>171</Lines>
  <Paragraphs>48</Paragraphs>
  <ScaleCrop>false</ScaleCrop>
  <Company/>
  <LinksUpToDate>false</LinksUpToDate>
  <CharactersWithSpaces>24075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Lee Yesudas</dc:creator>
  <cp:keywords/>
  <dc:description/>
  <cp:lastModifiedBy>Stefania Pirani</cp:lastModifiedBy>
  <cp:revision>2</cp:revision>
  <dcterms:created xsi:type="dcterms:W3CDTF">2024-09-30T14:02:00Z</dcterms:created>
  <dcterms:modified xsi:type="dcterms:W3CDTF">2024-09-30T14:02:00Z</dcterms:modified>
</cp:coreProperties>
</file>