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08A46" w14:textId="01E552FD" w:rsidR="0070046B" w:rsidRPr="00594400" w:rsidRDefault="0070046B" w:rsidP="0070046B">
      <w:pPr>
        <w:pBdr>
          <w:bottom w:val="single" w:sz="18" w:space="1" w:color="auto"/>
        </w:pBdr>
        <w:jc w:val="cente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w:t>
      </w:r>
      <w:r w:rsidRPr="00594400">
        <w:rPr>
          <w:rFonts w:asciiTheme="majorBidi" w:hAnsiTheme="majorBidi" w:cstheme="majorBidi"/>
          <w:b/>
          <w:color w:val="1F3864" w:themeColor="accent5" w:themeShade="8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submitted to </w:t>
      </w: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Committee on the Rights of Persons with Disabilities regarding </w:t>
      </w:r>
      <w: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Qatar</w:t>
      </w:r>
    </w:p>
    <w:p w14:paraId="52557958" w14:textId="76A8A950" w:rsidR="0070046B" w:rsidRPr="00594400" w:rsidRDefault="0070046B" w:rsidP="0070046B">
      <w:pPr>
        <w:pBdr>
          <w:bottom w:val="single" w:sz="18" w:space="1" w:color="auto"/>
        </w:pBdr>
        <w:jc w:val="cente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 Party Report</w:t>
      </w:r>
    </w:p>
    <w:p w14:paraId="0C57D37F" w14:textId="499F47AF" w:rsidR="0070046B" w:rsidRPr="007631F8" w:rsidRDefault="0070046B" w:rsidP="0070046B">
      <w:pPr>
        <w:jc w:val="both"/>
        <w:rPr>
          <w:rFonts w:asciiTheme="majorBidi" w:hAnsiTheme="majorBidi" w:cstheme="majorBidi"/>
        </w:rPr>
      </w:pPr>
      <w:r w:rsidRPr="00277373">
        <w:rPr>
          <w:rFonts w:asciiTheme="majorBidi" w:hAnsiTheme="majorBidi" w:cstheme="majorBidi"/>
        </w:rPr>
        <w:t>Maat</w:t>
      </w:r>
      <w:r w:rsidRPr="007631F8">
        <w:rPr>
          <w:rFonts w:asciiTheme="majorBidi" w:hAnsiTheme="majorBidi" w:cstheme="majorBidi"/>
        </w:rPr>
        <w:t xml:space="preserve"> for Peace, Development and Human Rights submits this report to the Committee on the Rights of Persons with Disabilities</w:t>
      </w:r>
      <w:r>
        <w:rPr>
          <w:rFonts w:asciiTheme="majorBidi" w:hAnsiTheme="majorBidi" w:cstheme="majorBidi"/>
        </w:rPr>
        <w:t xml:space="preserve"> </w:t>
      </w:r>
      <w:r w:rsidRPr="00277373">
        <w:rPr>
          <w:rFonts w:asciiTheme="majorBidi" w:hAnsiTheme="majorBidi" w:cstheme="majorBidi"/>
        </w:rPr>
        <w:t>to</w:t>
      </w:r>
      <w:r w:rsidRPr="007631F8">
        <w:rPr>
          <w:rFonts w:asciiTheme="majorBidi" w:hAnsiTheme="majorBidi" w:cstheme="majorBidi"/>
        </w:rPr>
        <w:t xml:space="preserve"> follow up on measures taken by the State of Qatar to implement its obligations under the Convention on the Rights of Persons with Disabilities. </w:t>
      </w:r>
      <w:r w:rsidRPr="00277373">
        <w:rPr>
          <w:rFonts w:asciiTheme="majorBidi" w:hAnsiTheme="majorBidi" w:cstheme="majorBidi"/>
        </w:rPr>
        <w:t>Maat</w:t>
      </w:r>
      <w:r w:rsidRPr="007631F8">
        <w:rPr>
          <w:rFonts w:asciiTheme="majorBidi" w:hAnsiTheme="majorBidi" w:cstheme="majorBidi"/>
        </w:rPr>
        <w:t xml:space="preserve"> seeks to provide the Committee with the information and data available to it and to bring to the Committee’s attention the extent of progress achieved in this regard.</w:t>
      </w:r>
    </w:p>
    <w:p w14:paraId="20595820" w14:textId="77777777" w:rsidR="0070046B" w:rsidRPr="007631F8" w:rsidRDefault="0070046B" w:rsidP="0070046B">
      <w:pPr>
        <w:jc w:val="both"/>
        <w:rPr>
          <w:rFonts w:asciiTheme="majorBidi" w:hAnsiTheme="majorBidi" w:cstheme="majorBidi"/>
        </w:rPr>
      </w:pPr>
      <w:r w:rsidRPr="00277373">
        <w:rPr>
          <w:rFonts w:asciiTheme="majorBidi" w:hAnsiTheme="majorBidi" w:cstheme="majorBidi"/>
        </w:rPr>
        <w:t>Maat</w:t>
      </w:r>
      <w:r w:rsidRPr="007631F8">
        <w:rPr>
          <w:rFonts w:asciiTheme="majorBidi" w:hAnsiTheme="majorBidi" w:cstheme="majorBidi"/>
        </w:rPr>
        <w:t xml:space="preserve"> welcomes the adoption by Qatar of Law No. 22 of 2025 on Persons with Disabilities</w:t>
      </w:r>
      <w:r w:rsidRPr="00277373">
        <w:rPr>
          <w:rFonts w:asciiTheme="majorBidi" w:hAnsiTheme="majorBidi" w:cstheme="majorBidi"/>
        </w:rPr>
        <w:t xml:space="preserve">, </w:t>
      </w:r>
      <w:r w:rsidRPr="007631F8">
        <w:rPr>
          <w:rFonts w:asciiTheme="majorBidi" w:hAnsiTheme="majorBidi" w:cstheme="majorBidi"/>
        </w:rPr>
        <w:t xml:space="preserve">an instrument intended to strengthen and protect the rights of persons with disabilities. However, </w:t>
      </w:r>
      <w:r w:rsidRPr="00277373">
        <w:rPr>
          <w:rFonts w:asciiTheme="majorBidi" w:hAnsiTheme="majorBidi" w:cstheme="majorBidi"/>
        </w:rPr>
        <w:t>Maat</w:t>
      </w:r>
      <w:r w:rsidRPr="007631F8">
        <w:rPr>
          <w:rFonts w:asciiTheme="majorBidi" w:hAnsiTheme="majorBidi" w:cstheme="majorBidi"/>
        </w:rPr>
        <w:t xml:space="preserve"> notes the obstacles that Qatar faces in ensuring employment and job opportunities, adequate training, and meaningful participation in political and public life.</w:t>
      </w:r>
      <w:r w:rsidRPr="00277373">
        <w:rPr>
          <w:rFonts w:asciiTheme="majorBidi" w:hAnsiTheme="majorBidi" w:cstheme="majorBidi"/>
        </w:rPr>
        <w:t xml:space="preserve"> </w:t>
      </w:r>
      <w:r w:rsidRPr="007631F8">
        <w:rPr>
          <w:rFonts w:asciiTheme="majorBidi" w:hAnsiTheme="majorBidi" w:cstheme="majorBidi"/>
        </w:rPr>
        <w:t xml:space="preserve">This report assesses Qatar’s implementation of a number of provisions of the Convention, including: Article 24 (right to education); Article 25 (right to health); Article 26 (right to </w:t>
      </w:r>
      <w:proofErr w:type="spellStart"/>
      <w:r w:rsidRPr="007631F8">
        <w:rPr>
          <w:rFonts w:asciiTheme="majorBidi" w:hAnsiTheme="majorBidi" w:cstheme="majorBidi"/>
        </w:rPr>
        <w:t>habilitation</w:t>
      </w:r>
      <w:proofErr w:type="spellEnd"/>
      <w:r w:rsidRPr="007631F8">
        <w:rPr>
          <w:rFonts w:asciiTheme="majorBidi" w:hAnsiTheme="majorBidi" w:cstheme="majorBidi"/>
        </w:rPr>
        <w:t xml:space="preserve"> and rehabilitation); Article 27 (right to work); Article 29 (right to participate in political and public life); Article 30 (right to participate in cultural life); Article 31 (statistics and data collection); and Article 32 (international cooperation</w:t>
      </w:r>
    </w:p>
    <w:p w14:paraId="1E9684D1" w14:textId="77777777" w:rsidR="0070046B" w:rsidRPr="0070046B" w:rsidRDefault="0070046B" w:rsidP="0070046B">
      <w:pPr>
        <w:jc w:val="both"/>
        <w:rPr>
          <w:rFonts w:asciiTheme="majorBidi" w:hAnsiTheme="majorBidi" w:cstheme="majorBidi"/>
          <w:b/>
          <w:bCs/>
          <w:color w:val="C45911" w:themeColor="accent2" w:themeShade="BF"/>
          <w:sz w:val="28"/>
          <w:szCs w:val="28"/>
        </w:rPr>
      </w:pPr>
      <w:r w:rsidRPr="0070046B">
        <w:rPr>
          <w:rFonts w:asciiTheme="majorBidi" w:hAnsiTheme="majorBidi" w:cstheme="majorBidi"/>
          <w:b/>
          <w:bCs/>
          <w:color w:val="C45911" w:themeColor="accent2" w:themeShade="BF"/>
          <w:sz w:val="28"/>
          <w:szCs w:val="28"/>
        </w:rPr>
        <w:t>Right to Education: Article 24</w:t>
      </w:r>
    </w:p>
    <w:p w14:paraId="0F71FA74" w14:textId="77777777" w:rsidR="0070046B" w:rsidRPr="007631F8" w:rsidRDefault="0070046B" w:rsidP="0070046B">
      <w:pPr>
        <w:jc w:val="both"/>
        <w:rPr>
          <w:rFonts w:asciiTheme="majorBidi" w:hAnsiTheme="majorBidi" w:cstheme="majorBidi"/>
        </w:rPr>
      </w:pPr>
      <w:r w:rsidRPr="007631F8">
        <w:rPr>
          <w:rFonts w:asciiTheme="majorBidi" w:hAnsiTheme="majorBidi" w:cstheme="majorBidi"/>
        </w:rPr>
        <w:t>Qatar’s Law on Persons with Disabilities recognizes the right to education.</w:t>
      </w:r>
      <w:r w:rsidRPr="00277373">
        <w:rPr>
          <w:rStyle w:val="FootnoteReference"/>
          <w:rFonts w:asciiTheme="majorBidi" w:hAnsiTheme="majorBidi" w:cstheme="majorBidi"/>
        </w:rPr>
        <w:footnoteReference w:id="1"/>
      </w:r>
      <w:r w:rsidRPr="007631F8">
        <w:rPr>
          <w:rFonts w:asciiTheme="majorBidi" w:hAnsiTheme="majorBidi" w:cstheme="majorBidi"/>
        </w:rPr>
        <w:t xml:space="preserve"> Article 49 of the Qatari Constitution guarantees the right to education and stipulates that education is a right for every Qatari citizen. The report notes that Qatar’s education expenditure reached 18 billion Qatari riyals, representing approximately 9% of the total general budget in Qatar for the period 2023–2024</w:t>
      </w:r>
      <w:r w:rsidRPr="00277373">
        <w:rPr>
          <w:rFonts w:asciiTheme="majorBidi" w:hAnsiTheme="majorBidi" w:cstheme="majorBidi"/>
        </w:rPr>
        <w:t xml:space="preserve">, </w:t>
      </w:r>
      <w:r w:rsidRPr="007631F8">
        <w:rPr>
          <w:rFonts w:asciiTheme="majorBidi" w:hAnsiTheme="majorBidi" w:cstheme="majorBidi"/>
        </w:rPr>
        <w:t>a growing proportion consistent with strengthening the right to education.</w:t>
      </w:r>
      <w:r w:rsidRPr="00277373">
        <w:rPr>
          <w:rFonts w:asciiTheme="majorBidi" w:hAnsiTheme="majorBidi" w:cstheme="majorBidi"/>
        </w:rPr>
        <w:t xml:space="preserve"> Maat</w:t>
      </w:r>
      <w:r w:rsidRPr="007631F8">
        <w:rPr>
          <w:rFonts w:asciiTheme="majorBidi" w:hAnsiTheme="majorBidi" w:cstheme="majorBidi"/>
        </w:rPr>
        <w:t xml:space="preserve"> also observes positive developments related to providing education to persons with disabilities in Qatar. Children with disabilities can access education through 80 schools offering integrated education services; 7 specialized schools providing comprehensive services to children with disabilities; 33 educational </w:t>
      </w:r>
      <w:proofErr w:type="spellStart"/>
      <w:r w:rsidRPr="007631F8">
        <w:rPr>
          <w:rFonts w:asciiTheme="majorBidi" w:hAnsiTheme="majorBidi" w:cstheme="majorBidi"/>
        </w:rPr>
        <w:lastRenderedPageBreak/>
        <w:t>centers</w:t>
      </w:r>
      <w:proofErr w:type="spellEnd"/>
      <w:r w:rsidRPr="007631F8">
        <w:rPr>
          <w:rFonts w:asciiTheme="majorBidi" w:hAnsiTheme="majorBidi" w:cstheme="majorBidi"/>
        </w:rPr>
        <w:t xml:space="preserve"> providing inclusive services; as well as 18 public and specialized kindergartens.</w:t>
      </w:r>
      <w:r w:rsidRPr="00277373">
        <w:rPr>
          <w:rStyle w:val="FootnoteReference"/>
          <w:rFonts w:asciiTheme="majorBidi" w:hAnsiTheme="majorBidi" w:cstheme="majorBidi"/>
        </w:rPr>
        <w:footnoteReference w:id="2"/>
      </w:r>
      <w:r w:rsidRPr="00277373">
        <w:rPr>
          <w:rFonts w:asciiTheme="majorBidi" w:hAnsiTheme="majorBidi" w:cstheme="majorBidi"/>
        </w:rPr>
        <w:t xml:space="preserve"> </w:t>
      </w:r>
      <w:r w:rsidRPr="007631F8">
        <w:rPr>
          <w:rFonts w:asciiTheme="majorBidi" w:hAnsiTheme="majorBidi" w:cstheme="majorBidi"/>
        </w:rPr>
        <w:t>Nevertheless, persons with disabilities in Qatar who are stateless</w:t>
      </w:r>
      <w:r w:rsidRPr="00277373">
        <w:rPr>
          <w:rFonts w:asciiTheme="majorBidi" w:hAnsiTheme="majorBidi" w:cstheme="majorBidi"/>
        </w:rPr>
        <w:t xml:space="preserve">, </w:t>
      </w:r>
      <w:r w:rsidRPr="007631F8">
        <w:rPr>
          <w:rFonts w:asciiTheme="majorBidi" w:hAnsiTheme="majorBidi" w:cstheme="majorBidi"/>
        </w:rPr>
        <w:t xml:space="preserve">particularly individuals of the </w:t>
      </w:r>
      <w:bookmarkStart w:id="0" w:name="OLE_LINK1"/>
      <w:r w:rsidRPr="007631F8">
        <w:rPr>
          <w:rFonts w:asciiTheme="majorBidi" w:hAnsiTheme="majorBidi" w:cstheme="majorBidi"/>
        </w:rPr>
        <w:t>Al-</w:t>
      </w:r>
      <w:proofErr w:type="spellStart"/>
      <w:r w:rsidRPr="00277373">
        <w:rPr>
          <w:rFonts w:asciiTheme="majorBidi" w:hAnsiTheme="majorBidi" w:cstheme="majorBidi"/>
        </w:rPr>
        <w:t>Ghufran</w:t>
      </w:r>
      <w:proofErr w:type="spellEnd"/>
      <w:r w:rsidRPr="007631F8">
        <w:rPr>
          <w:rFonts w:asciiTheme="majorBidi" w:hAnsiTheme="majorBidi" w:cstheme="majorBidi"/>
        </w:rPr>
        <w:t xml:space="preserve"> tribe</w:t>
      </w:r>
      <w:bookmarkEnd w:id="0"/>
      <w:r w:rsidRPr="00277373">
        <w:rPr>
          <w:rFonts w:asciiTheme="majorBidi" w:hAnsiTheme="majorBidi" w:cstheme="majorBidi"/>
        </w:rPr>
        <w:t xml:space="preserve">, </w:t>
      </w:r>
      <w:r w:rsidRPr="007631F8">
        <w:rPr>
          <w:rFonts w:asciiTheme="majorBidi" w:hAnsiTheme="majorBidi" w:cstheme="majorBidi"/>
        </w:rPr>
        <w:t>face multiple difficulties in enrolling in public schools, which forces them into special education. This situation increases both their burdens and the financial obligations placed upon them. As a result, some of them are hindered from obtaining education at both basic and university levels. Moreover, children of expatriates in Qatar do not enjoy the same educational benefits provided to original Qatari citizens.</w:t>
      </w:r>
      <w:r w:rsidRPr="00277373">
        <w:rPr>
          <w:rFonts w:asciiTheme="majorBidi" w:hAnsiTheme="majorBidi" w:cstheme="majorBidi"/>
        </w:rPr>
        <w:t xml:space="preserve"> </w:t>
      </w:r>
      <w:r w:rsidRPr="007631F8">
        <w:rPr>
          <w:rFonts w:asciiTheme="majorBidi" w:hAnsiTheme="majorBidi" w:cstheme="majorBidi"/>
        </w:rPr>
        <w:t xml:space="preserve">In addition, there is a shortage of qualified education staff trained to teach persons with disabilities. After completing their education, persons with disabilities also face significant challenges in obtaining opportunities for </w:t>
      </w:r>
      <w:proofErr w:type="spellStart"/>
      <w:r w:rsidRPr="007631F8">
        <w:rPr>
          <w:rFonts w:asciiTheme="majorBidi" w:hAnsiTheme="majorBidi" w:cstheme="majorBidi"/>
        </w:rPr>
        <w:t>habilitation</w:t>
      </w:r>
      <w:proofErr w:type="spellEnd"/>
      <w:r w:rsidRPr="007631F8">
        <w:rPr>
          <w:rFonts w:asciiTheme="majorBidi" w:hAnsiTheme="majorBidi" w:cstheme="majorBidi"/>
        </w:rPr>
        <w:t xml:space="preserve"> and training aligned with the needs of the labour market.</w:t>
      </w:r>
      <w:r w:rsidRPr="00277373">
        <w:rPr>
          <w:rStyle w:val="FootnoteReference"/>
          <w:rFonts w:asciiTheme="majorBidi" w:hAnsiTheme="majorBidi" w:cstheme="majorBidi"/>
        </w:rPr>
        <w:footnoteReference w:id="3"/>
      </w:r>
    </w:p>
    <w:p w14:paraId="22A1F448" w14:textId="77777777" w:rsidR="0070046B" w:rsidRPr="0070046B" w:rsidRDefault="0070046B" w:rsidP="0070046B">
      <w:pPr>
        <w:jc w:val="both"/>
        <w:rPr>
          <w:rFonts w:asciiTheme="majorBidi" w:hAnsiTheme="majorBidi" w:cstheme="majorBidi"/>
          <w:b/>
          <w:bCs/>
          <w:color w:val="C45911" w:themeColor="accent2" w:themeShade="BF"/>
          <w:sz w:val="28"/>
          <w:szCs w:val="28"/>
        </w:rPr>
      </w:pPr>
      <w:r w:rsidRPr="0070046B">
        <w:rPr>
          <w:rFonts w:asciiTheme="majorBidi" w:hAnsiTheme="majorBidi" w:cstheme="majorBidi"/>
          <w:b/>
          <w:bCs/>
          <w:color w:val="C45911" w:themeColor="accent2" w:themeShade="BF"/>
          <w:sz w:val="28"/>
          <w:szCs w:val="28"/>
        </w:rPr>
        <w:t>Right to Health: Article 25</w:t>
      </w:r>
    </w:p>
    <w:p w14:paraId="3A253437" w14:textId="77777777" w:rsidR="0070046B" w:rsidRPr="007631F8" w:rsidRDefault="0070046B" w:rsidP="0070046B">
      <w:pPr>
        <w:jc w:val="both"/>
        <w:rPr>
          <w:rFonts w:asciiTheme="majorBidi" w:hAnsiTheme="majorBidi" w:cstheme="majorBidi"/>
        </w:rPr>
      </w:pPr>
      <w:r w:rsidRPr="007631F8">
        <w:rPr>
          <w:rFonts w:asciiTheme="majorBidi" w:hAnsiTheme="majorBidi" w:cstheme="majorBidi"/>
        </w:rPr>
        <w:t xml:space="preserve">While </w:t>
      </w:r>
      <w:r w:rsidRPr="00277373">
        <w:rPr>
          <w:rFonts w:asciiTheme="majorBidi" w:hAnsiTheme="majorBidi" w:cstheme="majorBidi"/>
        </w:rPr>
        <w:t>Maat</w:t>
      </w:r>
      <w:r w:rsidRPr="007631F8">
        <w:rPr>
          <w:rFonts w:asciiTheme="majorBidi" w:hAnsiTheme="majorBidi" w:cstheme="majorBidi"/>
        </w:rPr>
        <w:t xml:space="preserve"> appreciates the positive developments related to the realization of the right to health for persons with disabilities and recognizes the commitment reflected in the Law on Persons with Disabilities to provide healthcare to persons with disabilities, it nonetheless has concerns regarding challenges faced by families of persons with disabilities when attempting to treat their children.</w:t>
      </w:r>
    </w:p>
    <w:p w14:paraId="4050F573" w14:textId="4C5FD07B" w:rsidR="0070046B" w:rsidRPr="007631F8" w:rsidRDefault="0070046B" w:rsidP="0070046B">
      <w:pPr>
        <w:jc w:val="both"/>
        <w:rPr>
          <w:rFonts w:asciiTheme="majorBidi" w:hAnsiTheme="majorBidi" w:cstheme="majorBidi"/>
        </w:rPr>
      </w:pPr>
      <w:r w:rsidRPr="007631F8">
        <w:rPr>
          <w:rFonts w:asciiTheme="majorBidi" w:hAnsiTheme="majorBidi" w:cstheme="majorBidi"/>
        </w:rPr>
        <w:t xml:space="preserve">Among the reported challenges is the transfer of the wheelchair maintenance unit for persons with disabilities from </w:t>
      </w:r>
      <w:proofErr w:type="spellStart"/>
      <w:r w:rsidRPr="007631F8">
        <w:rPr>
          <w:rFonts w:asciiTheme="majorBidi" w:hAnsiTheme="majorBidi" w:cstheme="majorBidi"/>
        </w:rPr>
        <w:t>Rumailah</w:t>
      </w:r>
      <w:proofErr w:type="spellEnd"/>
      <w:r w:rsidRPr="007631F8">
        <w:rPr>
          <w:rFonts w:asciiTheme="majorBidi" w:hAnsiTheme="majorBidi" w:cstheme="majorBidi"/>
        </w:rPr>
        <w:t xml:space="preserve"> Hospital to Al Wakrah. </w:t>
      </w:r>
      <w:r w:rsidRPr="00277373">
        <w:rPr>
          <w:rFonts w:asciiTheme="majorBidi" w:hAnsiTheme="majorBidi" w:cstheme="majorBidi"/>
        </w:rPr>
        <w:t>Maat</w:t>
      </w:r>
      <w:r w:rsidRPr="007631F8">
        <w:rPr>
          <w:rFonts w:asciiTheme="majorBidi" w:hAnsiTheme="majorBidi" w:cstheme="majorBidi"/>
        </w:rPr>
        <w:t xml:space="preserve"> considers that testimonies it reviewed indicate that this change constitutes an additional burden on parents and guardians.</w:t>
      </w:r>
    </w:p>
    <w:p w14:paraId="7CE523F3" w14:textId="1F2B2B9E" w:rsidR="0070046B" w:rsidRPr="007631F8" w:rsidRDefault="0070046B" w:rsidP="0070046B">
      <w:pPr>
        <w:jc w:val="both"/>
        <w:rPr>
          <w:rFonts w:asciiTheme="majorBidi" w:hAnsiTheme="majorBidi" w:cstheme="majorBidi"/>
        </w:rPr>
      </w:pPr>
      <w:r w:rsidRPr="00277373">
        <w:rPr>
          <w:rFonts w:asciiTheme="majorBidi" w:hAnsiTheme="majorBidi" w:cstheme="majorBidi"/>
        </w:rPr>
        <w:t>Maat</w:t>
      </w:r>
      <w:r w:rsidRPr="007631F8">
        <w:rPr>
          <w:rFonts w:asciiTheme="majorBidi" w:hAnsiTheme="majorBidi" w:cstheme="majorBidi"/>
        </w:rPr>
        <w:t xml:space="preserve"> also notes the additional effort and time required for families and persons with disabilities to reach Al Wakra Hospital, as compared with </w:t>
      </w:r>
      <w:proofErr w:type="spellStart"/>
      <w:r w:rsidRPr="007631F8">
        <w:rPr>
          <w:rFonts w:asciiTheme="majorBidi" w:hAnsiTheme="majorBidi" w:cstheme="majorBidi"/>
        </w:rPr>
        <w:t>Rumailah</w:t>
      </w:r>
      <w:proofErr w:type="spellEnd"/>
      <w:r w:rsidRPr="007631F8">
        <w:rPr>
          <w:rFonts w:asciiTheme="majorBidi" w:hAnsiTheme="majorBidi" w:cstheme="majorBidi"/>
        </w:rPr>
        <w:t xml:space="preserve"> Hospital, which is located in central Doha. Other challenges identified through </w:t>
      </w:r>
      <w:r w:rsidRPr="00277373">
        <w:rPr>
          <w:rFonts w:asciiTheme="majorBidi" w:hAnsiTheme="majorBidi" w:cstheme="majorBidi"/>
        </w:rPr>
        <w:t>Maat</w:t>
      </w:r>
      <w:r w:rsidRPr="007631F8">
        <w:rPr>
          <w:rFonts w:asciiTheme="majorBidi" w:hAnsiTheme="majorBidi" w:cstheme="majorBidi"/>
        </w:rPr>
        <w:t xml:space="preserve">’s review include administrative obstacles encountered by families in recruiting resident nurses in Qatar, as well as </w:t>
      </w:r>
      <w:r w:rsidRPr="00277373">
        <w:rPr>
          <w:rFonts w:asciiTheme="majorBidi" w:hAnsiTheme="majorBidi" w:cstheme="majorBidi"/>
        </w:rPr>
        <w:t>increases</w:t>
      </w:r>
      <w:r w:rsidRPr="007631F8">
        <w:rPr>
          <w:rFonts w:asciiTheme="majorBidi" w:hAnsiTheme="majorBidi" w:cstheme="majorBidi"/>
        </w:rPr>
        <w:t xml:space="preserve"> in fees and monthly salaries.</w:t>
      </w:r>
      <w:r w:rsidRPr="00277373">
        <w:rPr>
          <w:rStyle w:val="FootnoteReference"/>
          <w:rFonts w:asciiTheme="majorBidi" w:hAnsiTheme="majorBidi" w:cstheme="majorBidi"/>
        </w:rPr>
        <w:footnoteReference w:id="4"/>
      </w:r>
    </w:p>
    <w:p w14:paraId="7DA1260C" w14:textId="30A256CE" w:rsidR="0070046B" w:rsidRPr="0070046B" w:rsidRDefault="0070046B" w:rsidP="0070046B">
      <w:pPr>
        <w:jc w:val="both"/>
        <w:rPr>
          <w:rFonts w:asciiTheme="majorBidi" w:hAnsiTheme="majorBidi" w:cstheme="majorBidi"/>
          <w:b/>
          <w:bCs/>
          <w:color w:val="C45911" w:themeColor="accent2" w:themeShade="BF"/>
          <w:sz w:val="28"/>
          <w:szCs w:val="28"/>
        </w:rPr>
      </w:pPr>
      <w:proofErr w:type="spellStart"/>
      <w:r w:rsidRPr="0070046B">
        <w:rPr>
          <w:rFonts w:asciiTheme="majorBidi" w:hAnsiTheme="majorBidi" w:cstheme="majorBidi"/>
          <w:b/>
          <w:bCs/>
          <w:color w:val="C45911" w:themeColor="accent2" w:themeShade="BF"/>
          <w:sz w:val="28"/>
          <w:szCs w:val="28"/>
        </w:rPr>
        <w:t>Habilitation</w:t>
      </w:r>
      <w:proofErr w:type="spellEnd"/>
      <w:r w:rsidRPr="0070046B">
        <w:rPr>
          <w:rFonts w:asciiTheme="majorBidi" w:hAnsiTheme="majorBidi" w:cstheme="majorBidi"/>
          <w:b/>
          <w:bCs/>
          <w:color w:val="C45911" w:themeColor="accent2" w:themeShade="BF"/>
          <w:sz w:val="28"/>
          <w:szCs w:val="28"/>
        </w:rPr>
        <w:t xml:space="preserve"> and rehabilitation: Article 26</w:t>
      </w:r>
    </w:p>
    <w:p w14:paraId="2A3D9578" w14:textId="77777777" w:rsidR="0070046B" w:rsidRPr="004A3035" w:rsidRDefault="0070046B" w:rsidP="0070046B">
      <w:pPr>
        <w:jc w:val="both"/>
        <w:rPr>
          <w:rFonts w:asciiTheme="majorBidi" w:hAnsiTheme="majorBidi" w:cstheme="majorBidi"/>
        </w:rPr>
      </w:pPr>
      <w:r w:rsidRPr="004A3035">
        <w:rPr>
          <w:rFonts w:asciiTheme="majorBidi" w:hAnsiTheme="majorBidi" w:cstheme="majorBidi"/>
        </w:rPr>
        <w:t xml:space="preserve">In Qatar, civil society organizations have undertaken various initiatives to rehabilitate persons with disabilities, including vocational rehabilitation for the labour market. </w:t>
      </w:r>
      <w:r w:rsidRPr="00277373">
        <w:rPr>
          <w:rFonts w:asciiTheme="majorBidi" w:hAnsiTheme="majorBidi" w:cstheme="majorBidi"/>
        </w:rPr>
        <w:t>T</w:t>
      </w:r>
      <w:r w:rsidRPr="004A3035">
        <w:rPr>
          <w:rFonts w:asciiTheme="majorBidi" w:hAnsiTheme="majorBidi" w:cstheme="majorBidi"/>
        </w:rPr>
        <w:t xml:space="preserve">hey provide educational assistance to cases enrolled in special schools and in specialized centres that offer training and </w:t>
      </w:r>
      <w:r w:rsidRPr="004A3035">
        <w:rPr>
          <w:rFonts w:asciiTheme="majorBidi" w:hAnsiTheme="majorBidi" w:cstheme="majorBidi"/>
        </w:rPr>
        <w:lastRenderedPageBreak/>
        <w:t xml:space="preserve">rehabilitation for persons with disabilities. Therapeutic assistance also includes covering the fees of therapy sessions. As </w:t>
      </w:r>
      <w:r w:rsidRPr="0070046B">
        <w:rPr>
          <w:rFonts w:asciiTheme="majorBidi" w:hAnsiTheme="majorBidi" w:cstheme="majorBidi"/>
        </w:rPr>
        <w:t>Maat</w:t>
      </w:r>
      <w:r w:rsidRPr="004A3035">
        <w:rPr>
          <w:rFonts w:asciiTheme="majorBidi" w:hAnsiTheme="majorBidi" w:cstheme="majorBidi"/>
        </w:rPr>
        <w:t xml:space="preserve"> observes, there is a large number of organizations of persons with disabilities in Qatar.</w:t>
      </w:r>
      <w:r w:rsidRPr="00277373">
        <w:rPr>
          <w:rStyle w:val="FootnoteReference"/>
          <w:rFonts w:asciiTheme="majorBidi" w:hAnsiTheme="majorBidi" w:cstheme="majorBidi"/>
        </w:rPr>
        <w:footnoteReference w:id="5"/>
      </w:r>
      <w:r w:rsidRPr="004A3035">
        <w:rPr>
          <w:rFonts w:asciiTheme="majorBidi" w:hAnsiTheme="majorBidi" w:cstheme="majorBidi"/>
        </w:rPr>
        <w:t xml:space="preserve"> However, rehabilitation services available to non-citizens with disabilities remain limited compared with those available to Qatari citizens.</w:t>
      </w:r>
      <w:r w:rsidRPr="00277373">
        <w:rPr>
          <w:rFonts w:asciiTheme="majorBidi" w:hAnsiTheme="majorBidi" w:cstheme="majorBidi"/>
        </w:rPr>
        <w:t xml:space="preserve"> </w:t>
      </w:r>
      <w:r w:rsidRPr="004A3035">
        <w:rPr>
          <w:rFonts w:asciiTheme="majorBidi" w:hAnsiTheme="majorBidi" w:cstheme="majorBidi"/>
        </w:rPr>
        <w:t xml:space="preserve">Moreover, </w:t>
      </w:r>
      <w:bookmarkStart w:id="1" w:name="OLE_LINK2"/>
      <w:r w:rsidRPr="0070046B">
        <w:rPr>
          <w:rFonts w:asciiTheme="majorBidi" w:hAnsiTheme="majorBidi" w:cstheme="majorBidi"/>
        </w:rPr>
        <w:t>Maat</w:t>
      </w:r>
      <w:r w:rsidRPr="004A3035">
        <w:rPr>
          <w:rFonts w:asciiTheme="majorBidi" w:hAnsiTheme="majorBidi" w:cstheme="majorBidi"/>
        </w:rPr>
        <w:t xml:space="preserve"> </w:t>
      </w:r>
      <w:bookmarkEnd w:id="1"/>
      <w:r w:rsidRPr="004A3035">
        <w:rPr>
          <w:rFonts w:asciiTheme="majorBidi" w:hAnsiTheme="majorBidi" w:cstheme="majorBidi"/>
        </w:rPr>
        <w:t>has reviewed complaints from some families of children with autism, which indicate challenges in rehabilitation and training programmes aimed at enhancing social integration and/or access to the labour market, as well as high fees charged by private educational centres</w:t>
      </w:r>
      <w:r w:rsidRPr="00277373">
        <w:rPr>
          <w:rFonts w:asciiTheme="majorBidi" w:hAnsiTheme="majorBidi" w:cstheme="majorBidi"/>
        </w:rPr>
        <w:t xml:space="preserve">, </w:t>
      </w:r>
      <w:r w:rsidRPr="004A3035">
        <w:rPr>
          <w:rFonts w:asciiTheme="majorBidi" w:hAnsiTheme="majorBidi" w:cstheme="majorBidi"/>
        </w:rPr>
        <w:t>amid long waiting lists at Al-</w:t>
      </w:r>
      <w:proofErr w:type="spellStart"/>
      <w:r w:rsidRPr="004A3035">
        <w:rPr>
          <w:rFonts w:asciiTheme="majorBidi" w:hAnsiTheme="majorBidi" w:cstheme="majorBidi"/>
        </w:rPr>
        <w:t>Shafallah</w:t>
      </w:r>
      <w:proofErr w:type="spellEnd"/>
      <w:r w:rsidRPr="004A3035">
        <w:rPr>
          <w:rFonts w:asciiTheme="majorBidi" w:hAnsiTheme="majorBidi" w:cstheme="majorBidi"/>
        </w:rPr>
        <w:t xml:space="preserve"> Centre. This situation leads many parents to resort to other private centres, some of which suffer from a lack of oversight. Families have called for the establishment of rehabilitation and employment centres for children with autism.</w:t>
      </w:r>
      <w:r w:rsidRPr="00277373">
        <w:rPr>
          <w:rStyle w:val="FootnoteReference"/>
          <w:rFonts w:asciiTheme="majorBidi" w:hAnsiTheme="majorBidi" w:cstheme="majorBidi"/>
        </w:rPr>
        <w:footnoteReference w:id="6"/>
      </w:r>
    </w:p>
    <w:p w14:paraId="179BE0DB" w14:textId="77777777" w:rsidR="0070046B" w:rsidRPr="0070046B" w:rsidRDefault="0070046B" w:rsidP="0070046B">
      <w:pPr>
        <w:jc w:val="both"/>
        <w:rPr>
          <w:rFonts w:asciiTheme="majorBidi" w:hAnsiTheme="majorBidi" w:cstheme="majorBidi"/>
          <w:b/>
          <w:bCs/>
          <w:color w:val="C45911" w:themeColor="accent2" w:themeShade="BF"/>
          <w:sz w:val="28"/>
          <w:szCs w:val="28"/>
        </w:rPr>
      </w:pPr>
      <w:r w:rsidRPr="0070046B">
        <w:rPr>
          <w:rFonts w:asciiTheme="majorBidi" w:hAnsiTheme="majorBidi" w:cstheme="majorBidi"/>
          <w:b/>
          <w:bCs/>
          <w:color w:val="C45911" w:themeColor="accent2" w:themeShade="BF"/>
          <w:sz w:val="28"/>
          <w:szCs w:val="28"/>
        </w:rPr>
        <w:t>Employment and Work: Article 27</w:t>
      </w:r>
    </w:p>
    <w:p w14:paraId="520DF73E" w14:textId="77777777" w:rsidR="0070046B" w:rsidRPr="004A3035" w:rsidRDefault="0070046B" w:rsidP="0070046B">
      <w:pPr>
        <w:jc w:val="both"/>
        <w:rPr>
          <w:rFonts w:asciiTheme="majorBidi" w:hAnsiTheme="majorBidi" w:cstheme="majorBidi"/>
        </w:rPr>
      </w:pPr>
      <w:r w:rsidRPr="004A3035">
        <w:rPr>
          <w:rFonts w:asciiTheme="majorBidi" w:hAnsiTheme="majorBidi" w:cstheme="majorBidi"/>
        </w:rPr>
        <w:t xml:space="preserve">The law guarantees persons with disabilities the right to obtain equal opportunities with others to access the labour market in various sectors. Employers in all sectors are required to provide all reasonable accommodation arrangements in the workplace that enable persons with disabilities to carry out their work. Any discrimination </w:t>
      </w:r>
      <w:r w:rsidRPr="00277373">
        <w:rPr>
          <w:rFonts w:asciiTheme="majorBidi" w:hAnsiTheme="majorBidi" w:cstheme="majorBidi"/>
        </w:rPr>
        <w:t>based on</w:t>
      </w:r>
      <w:r w:rsidRPr="004A3035">
        <w:rPr>
          <w:rFonts w:asciiTheme="majorBidi" w:hAnsiTheme="majorBidi" w:cstheme="majorBidi"/>
        </w:rPr>
        <w:t xml:space="preserve"> disability that results in the deprivation of access to employment opportunities, or in offers of employment that are different from those offered to others, is prohibited. The law provides that the determination of the relevant employment quotas for persons with disabilities shall be made by the Qatar Council of Ministers.</w:t>
      </w:r>
    </w:p>
    <w:p w14:paraId="7CD2DC83" w14:textId="77777777" w:rsidR="0070046B" w:rsidRPr="004A3035" w:rsidRDefault="0070046B" w:rsidP="0070046B">
      <w:pPr>
        <w:jc w:val="both"/>
        <w:rPr>
          <w:rFonts w:asciiTheme="majorBidi" w:hAnsiTheme="majorBidi" w:cstheme="majorBidi"/>
        </w:rPr>
      </w:pPr>
      <w:r w:rsidRPr="0070046B">
        <w:rPr>
          <w:rFonts w:asciiTheme="majorBidi" w:hAnsiTheme="majorBidi" w:cstheme="majorBidi"/>
        </w:rPr>
        <w:t>Maat</w:t>
      </w:r>
      <w:r w:rsidRPr="004A3035">
        <w:rPr>
          <w:rFonts w:asciiTheme="majorBidi" w:hAnsiTheme="majorBidi" w:cstheme="majorBidi"/>
        </w:rPr>
        <w:t xml:space="preserve"> hopes that the quotas specified for the employment of persons with disabilities will increase beyond the previously established percentage. Under the former legal requirement, government entities were obliged to provide the required positions for persons with disabilities by allocating 2% of jobs to persons with disabilities. In particular, the practical situation has shown non-compliance with allocating this quota in both the public and private sectors.</w:t>
      </w:r>
      <w:r w:rsidRPr="00277373">
        <w:rPr>
          <w:rFonts w:asciiTheme="majorBidi" w:hAnsiTheme="majorBidi" w:cstheme="majorBidi"/>
        </w:rPr>
        <w:t xml:space="preserve"> </w:t>
      </w:r>
      <w:r w:rsidRPr="004A3035">
        <w:rPr>
          <w:rFonts w:asciiTheme="majorBidi" w:hAnsiTheme="majorBidi" w:cstheme="majorBidi"/>
        </w:rPr>
        <w:t xml:space="preserve">The blind persons in particular face obstacles during the process of submitting their documents and in obtaining job opportunities that match their capabilities. In many cases, they are also not afforded opportunities for professional advancement comparable to those available to their co-workers, </w:t>
      </w:r>
      <w:r w:rsidRPr="00277373">
        <w:rPr>
          <w:rFonts w:asciiTheme="majorBidi" w:hAnsiTheme="majorBidi" w:cstheme="majorBidi"/>
        </w:rPr>
        <w:t>even though</w:t>
      </w:r>
      <w:r w:rsidRPr="004A3035">
        <w:rPr>
          <w:rFonts w:asciiTheme="majorBidi" w:hAnsiTheme="majorBidi" w:cstheme="majorBidi"/>
        </w:rPr>
        <w:t xml:space="preserve"> blind persons have diverse skills.</w:t>
      </w:r>
    </w:p>
    <w:p w14:paraId="4062895F" w14:textId="77777777" w:rsidR="0070046B" w:rsidRPr="0070046B" w:rsidRDefault="0070046B" w:rsidP="0070046B">
      <w:pPr>
        <w:jc w:val="both"/>
        <w:rPr>
          <w:rFonts w:asciiTheme="majorBidi" w:hAnsiTheme="majorBidi" w:cstheme="majorBidi"/>
          <w:b/>
          <w:bCs/>
          <w:color w:val="C45911" w:themeColor="accent2" w:themeShade="BF"/>
          <w:sz w:val="28"/>
          <w:szCs w:val="28"/>
        </w:rPr>
      </w:pPr>
      <w:r w:rsidRPr="0070046B">
        <w:rPr>
          <w:rFonts w:asciiTheme="majorBidi" w:hAnsiTheme="majorBidi" w:cstheme="majorBidi"/>
          <w:b/>
          <w:bCs/>
          <w:color w:val="C45911" w:themeColor="accent2" w:themeShade="BF"/>
          <w:sz w:val="28"/>
          <w:szCs w:val="28"/>
        </w:rPr>
        <w:t>Participation in Political and Public Life: Article 29</w:t>
      </w:r>
    </w:p>
    <w:p w14:paraId="1F3CDE0D" w14:textId="77777777" w:rsidR="0070046B" w:rsidRPr="004A3035" w:rsidRDefault="0070046B" w:rsidP="0070046B">
      <w:pPr>
        <w:jc w:val="both"/>
        <w:rPr>
          <w:rFonts w:asciiTheme="majorBidi" w:hAnsiTheme="majorBidi" w:cstheme="majorBidi"/>
        </w:rPr>
      </w:pPr>
      <w:r w:rsidRPr="004A3035">
        <w:rPr>
          <w:rFonts w:asciiTheme="majorBidi" w:hAnsiTheme="majorBidi" w:cstheme="majorBidi"/>
        </w:rPr>
        <w:lastRenderedPageBreak/>
        <w:t xml:space="preserve">The law on persons with disabilities provides them with the right to exercise their political rights and prohibits any restriction on the exercise of this right. However, </w:t>
      </w:r>
      <w:r w:rsidRPr="0070046B">
        <w:rPr>
          <w:rFonts w:asciiTheme="majorBidi" w:hAnsiTheme="majorBidi" w:cstheme="majorBidi"/>
        </w:rPr>
        <w:t>Maat</w:t>
      </w:r>
      <w:r w:rsidRPr="004A3035">
        <w:rPr>
          <w:rFonts w:asciiTheme="majorBidi" w:hAnsiTheme="majorBidi" w:cstheme="majorBidi"/>
        </w:rPr>
        <w:t xml:space="preserve"> has concerns regarding the provision in the law that limits participation in political and public life to the extent required by the disability condition.</w:t>
      </w:r>
      <w:r w:rsidRPr="00277373">
        <w:rPr>
          <w:rStyle w:val="FootnoteReference"/>
          <w:rFonts w:asciiTheme="majorBidi" w:hAnsiTheme="majorBidi" w:cstheme="majorBidi"/>
        </w:rPr>
        <w:footnoteReference w:id="7"/>
      </w:r>
      <w:r w:rsidRPr="004A3035">
        <w:rPr>
          <w:rFonts w:asciiTheme="majorBidi" w:hAnsiTheme="majorBidi" w:cstheme="majorBidi"/>
        </w:rPr>
        <w:t xml:space="preserve"> </w:t>
      </w:r>
      <w:r w:rsidRPr="0070046B">
        <w:rPr>
          <w:rFonts w:asciiTheme="majorBidi" w:hAnsiTheme="majorBidi" w:cstheme="majorBidi"/>
        </w:rPr>
        <w:t>Maat</w:t>
      </w:r>
      <w:r w:rsidRPr="004A3035">
        <w:rPr>
          <w:rFonts w:asciiTheme="majorBidi" w:hAnsiTheme="majorBidi" w:cstheme="majorBidi"/>
        </w:rPr>
        <w:t xml:space="preserve"> also observes limited political participation by persons with disabilities, particularly in the Shura Council and in leadership positions in the State of Qatar.</w:t>
      </w:r>
    </w:p>
    <w:p w14:paraId="7D1F58B5" w14:textId="77777777" w:rsidR="0070046B" w:rsidRPr="00B047D9" w:rsidRDefault="0070046B" w:rsidP="0070046B">
      <w:pPr>
        <w:jc w:val="both"/>
        <w:rPr>
          <w:rFonts w:asciiTheme="majorBidi" w:hAnsiTheme="majorBidi" w:cstheme="majorBidi"/>
          <w:b/>
          <w:bCs/>
          <w:color w:val="C45911" w:themeColor="accent2" w:themeShade="BF"/>
          <w:sz w:val="28"/>
          <w:szCs w:val="28"/>
        </w:rPr>
      </w:pPr>
      <w:r w:rsidRPr="00B047D9">
        <w:rPr>
          <w:rFonts w:asciiTheme="majorBidi" w:hAnsiTheme="majorBidi" w:cstheme="majorBidi"/>
          <w:b/>
          <w:bCs/>
          <w:color w:val="C45911" w:themeColor="accent2" w:themeShade="BF"/>
          <w:sz w:val="28"/>
          <w:szCs w:val="28"/>
        </w:rPr>
        <w:t>Participation in Cultural Life, Recreation, Leisure, and Sport: Article 30</w:t>
      </w:r>
    </w:p>
    <w:p w14:paraId="369B1C9A" w14:textId="77777777" w:rsidR="0070046B" w:rsidRPr="004A3035" w:rsidRDefault="0070046B" w:rsidP="0070046B">
      <w:pPr>
        <w:jc w:val="both"/>
        <w:rPr>
          <w:rFonts w:asciiTheme="majorBidi" w:hAnsiTheme="majorBidi" w:cstheme="majorBidi"/>
        </w:rPr>
      </w:pPr>
      <w:r w:rsidRPr="0070046B">
        <w:rPr>
          <w:rFonts w:asciiTheme="majorBidi" w:hAnsiTheme="majorBidi" w:cstheme="majorBidi"/>
        </w:rPr>
        <w:t>Maat</w:t>
      </w:r>
      <w:r w:rsidRPr="004A3035">
        <w:rPr>
          <w:rFonts w:asciiTheme="majorBidi" w:hAnsiTheme="majorBidi" w:cstheme="majorBidi"/>
        </w:rPr>
        <w:t xml:space="preserve"> welcomes the issuance of Qatar’s Law No. 22 of 2025 on Persons with Disabilities, which, in Article 15, grants persons with disabilities the right to participate in cultural life events and in recreational and sports activities. It also provides for the assignment of the competent authorities’ responsibility to make reasonable accommodations to enable the exercise of these rights. In particular, it includes facilitating access to publications available in Braille and intended for persons with visual impairments, as well as facilitating the use and dissemination of sign language. It further provides for digital accessibility for persons with disabilities.</w:t>
      </w:r>
    </w:p>
    <w:p w14:paraId="77A51BBB" w14:textId="77777777" w:rsidR="0070046B" w:rsidRPr="004A3035" w:rsidRDefault="0070046B" w:rsidP="0070046B">
      <w:pPr>
        <w:jc w:val="both"/>
        <w:rPr>
          <w:rFonts w:asciiTheme="majorBidi" w:hAnsiTheme="majorBidi" w:cstheme="majorBidi"/>
        </w:rPr>
      </w:pPr>
      <w:r w:rsidRPr="0070046B">
        <w:rPr>
          <w:rFonts w:asciiTheme="majorBidi" w:hAnsiTheme="majorBidi" w:cstheme="majorBidi"/>
        </w:rPr>
        <w:t>Maat</w:t>
      </w:r>
      <w:r w:rsidRPr="004A3035">
        <w:rPr>
          <w:rFonts w:asciiTheme="majorBidi" w:hAnsiTheme="majorBidi" w:cstheme="majorBidi"/>
        </w:rPr>
        <w:t xml:space="preserve"> hopes that the adoption of this law will serve as a starting point for implementing Article 15 regarding the right to participate in cultural life. It also hopes that this will build on the efforts of the Social Development Centre, which works to promote a culture of inclusion and acceptance of persons with visual disabilities through awareness campaigns and partnerships with both the public and private sectors, and by providing psychosocial support to families of blind persons.</w:t>
      </w:r>
    </w:p>
    <w:p w14:paraId="1425C255" w14:textId="77777777" w:rsidR="0070046B" w:rsidRPr="00B047D9" w:rsidRDefault="0070046B" w:rsidP="0070046B">
      <w:pPr>
        <w:jc w:val="both"/>
        <w:rPr>
          <w:rFonts w:asciiTheme="majorBidi" w:hAnsiTheme="majorBidi" w:cstheme="majorBidi"/>
          <w:b/>
          <w:bCs/>
          <w:color w:val="C45911" w:themeColor="accent2" w:themeShade="BF"/>
          <w:sz w:val="28"/>
          <w:szCs w:val="28"/>
        </w:rPr>
      </w:pPr>
      <w:r w:rsidRPr="00B047D9">
        <w:rPr>
          <w:rFonts w:asciiTheme="majorBidi" w:hAnsiTheme="majorBidi" w:cstheme="majorBidi"/>
          <w:b/>
          <w:bCs/>
          <w:color w:val="C45911" w:themeColor="accent2" w:themeShade="BF"/>
          <w:sz w:val="28"/>
          <w:szCs w:val="28"/>
        </w:rPr>
        <w:t>Collection of Statistics and Data: Article 31</w:t>
      </w:r>
    </w:p>
    <w:p w14:paraId="079CF1DA" w14:textId="77777777" w:rsidR="0070046B" w:rsidRPr="004A3035" w:rsidRDefault="0070046B" w:rsidP="0070046B">
      <w:pPr>
        <w:jc w:val="both"/>
        <w:rPr>
          <w:rFonts w:asciiTheme="majorBidi" w:hAnsiTheme="majorBidi" w:cstheme="majorBidi"/>
        </w:rPr>
      </w:pPr>
      <w:r w:rsidRPr="0070046B">
        <w:rPr>
          <w:rFonts w:asciiTheme="majorBidi" w:hAnsiTheme="majorBidi" w:cstheme="majorBidi"/>
        </w:rPr>
        <w:t>Maat</w:t>
      </w:r>
      <w:r w:rsidRPr="004A3035">
        <w:rPr>
          <w:rFonts w:asciiTheme="majorBidi" w:hAnsiTheme="majorBidi" w:cstheme="majorBidi"/>
        </w:rPr>
        <w:t xml:space="preserve"> welcomes the establishment of an open data platform in Qatar that provides information on persons with disabilities by nationality, gender, and sector, and hopes that this practice will continue. However, </w:t>
      </w:r>
      <w:r w:rsidRPr="0070046B">
        <w:rPr>
          <w:rFonts w:asciiTheme="majorBidi" w:hAnsiTheme="majorBidi" w:cstheme="majorBidi"/>
        </w:rPr>
        <w:t>Maat</w:t>
      </w:r>
      <w:r w:rsidRPr="004A3035">
        <w:rPr>
          <w:rFonts w:asciiTheme="majorBidi" w:hAnsiTheme="majorBidi" w:cstheme="majorBidi"/>
        </w:rPr>
        <w:t xml:space="preserve"> notes the obstacles faced by researchers who wish to obtain these data, owing to the fees required to access them. </w:t>
      </w:r>
      <w:r w:rsidRPr="0070046B">
        <w:rPr>
          <w:rFonts w:asciiTheme="majorBidi" w:hAnsiTheme="majorBidi" w:cstheme="majorBidi"/>
        </w:rPr>
        <w:t>Maat</w:t>
      </w:r>
      <w:r w:rsidRPr="004A3035">
        <w:rPr>
          <w:rFonts w:asciiTheme="majorBidi" w:hAnsiTheme="majorBidi" w:cstheme="majorBidi"/>
        </w:rPr>
        <w:t xml:space="preserve"> also hopes to expand the classification framework for persons with disabilities to include disability on the basis of age and gender.</w:t>
      </w:r>
    </w:p>
    <w:p w14:paraId="2AF6E9CD" w14:textId="77777777" w:rsidR="0070046B" w:rsidRPr="004A3035" w:rsidRDefault="0070046B" w:rsidP="0070046B">
      <w:pPr>
        <w:jc w:val="both"/>
        <w:rPr>
          <w:rFonts w:asciiTheme="majorBidi" w:hAnsiTheme="majorBidi" w:cstheme="majorBidi"/>
        </w:rPr>
      </w:pPr>
      <w:r w:rsidRPr="004A3035">
        <w:rPr>
          <w:rFonts w:asciiTheme="majorBidi" w:hAnsiTheme="majorBidi" w:cstheme="majorBidi"/>
        </w:rPr>
        <w:t xml:space="preserve">On another note, </w:t>
      </w:r>
      <w:r w:rsidRPr="0070046B">
        <w:rPr>
          <w:rFonts w:asciiTheme="majorBidi" w:hAnsiTheme="majorBidi" w:cstheme="majorBidi"/>
        </w:rPr>
        <w:t>Maat</w:t>
      </w:r>
      <w:r w:rsidRPr="004A3035">
        <w:rPr>
          <w:rFonts w:asciiTheme="majorBidi" w:hAnsiTheme="majorBidi" w:cstheme="majorBidi"/>
        </w:rPr>
        <w:t xml:space="preserve"> observes that Qatar’s Law No. 22 of 2025 on Persons with Disabilities refers to the establishment, by a specialized administrative unit within the Ministry of Social Development and Family, of a unified database on persons with disabilities. This database is </w:t>
      </w:r>
      <w:r w:rsidRPr="004A3035">
        <w:rPr>
          <w:rFonts w:asciiTheme="majorBidi" w:hAnsiTheme="majorBidi" w:cstheme="majorBidi"/>
        </w:rPr>
        <w:lastRenderedPageBreak/>
        <w:t>intended to enable the provision of statistics on the number of persons with disabilities, as well as the type and degree of disability. The same unit issues an identification card for persons with disabilities, containing identifying data</w:t>
      </w:r>
      <w:r w:rsidRPr="00277373">
        <w:rPr>
          <w:rFonts w:asciiTheme="majorBidi" w:hAnsiTheme="majorBidi" w:cstheme="majorBidi"/>
        </w:rPr>
        <w:t>, considering</w:t>
      </w:r>
      <w:r w:rsidRPr="004A3035">
        <w:rPr>
          <w:rFonts w:asciiTheme="majorBidi" w:hAnsiTheme="majorBidi" w:cstheme="majorBidi"/>
        </w:rPr>
        <w:t xml:space="preserve"> the classification adopted in the State for persons with disabilities</w:t>
      </w:r>
      <w:r w:rsidRPr="00277373">
        <w:rPr>
          <w:rFonts w:asciiTheme="majorBidi" w:hAnsiTheme="majorBidi" w:cstheme="majorBidi"/>
        </w:rPr>
        <w:t xml:space="preserve">, in </w:t>
      </w:r>
      <w:r w:rsidRPr="004A3035">
        <w:rPr>
          <w:rFonts w:asciiTheme="majorBidi" w:hAnsiTheme="majorBidi" w:cstheme="majorBidi"/>
        </w:rPr>
        <w:t>coordination with the relevant competent authorities.</w:t>
      </w:r>
      <w:r w:rsidRPr="00277373">
        <w:rPr>
          <w:rFonts w:asciiTheme="majorBidi" w:hAnsiTheme="majorBidi" w:cstheme="majorBidi"/>
        </w:rPr>
        <w:t xml:space="preserve"> </w:t>
      </w:r>
      <w:r w:rsidRPr="004A3035">
        <w:rPr>
          <w:rFonts w:asciiTheme="majorBidi" w:hAnsiTheme="majorBidi" w:cstheme="majorBidi"/>
        </w:rPr>
        <w:t xml:space="preserve">The Minister is to issue a decision specifying the types of identification cards, the data they contain, in addition to the rules governing </w:t>
      </w:r>
      <w:r w:rsidRPr="00277373">
        <w:rPr>
          <w:rFonts w:asciiTheme="majorBidi" w:hAnsiTheme="majorBidi" w:cstheme="majorBidi"/>
        </w:rPr>
        <w:t xml:space="preserve">the </w:t>
      </w:r>
      <w:r w:rsidRPr="004A3035">
        <w:rPr>
          <w:rFonts w:asciiTheme="majorBidi" w:hAnsiTheme="majorBidi" w:cstheme="majorBidi"/>
        </w:rPr>
        <w:t xml:space="preserve">issuance of these cards and the benefits granted to the person who obtains them. </w:t>
      </w:r>
      <w:r w:rsidRPr="00B047D9">
        <w:rPr>
          <w:rFonts w:asciiTheme="majorBidi" w:hAnsiTheme="majorBidi" w:cstheme="majorBidi"/>
        </w:rPr>
        <w:t>Maat</w:t>
      </w:r>
      <w:r w:rsidRPr="004A3035">
        <w:rPr>
          <w:rFonts w:asciiTheme="majorBidi" w:hAnsiTheme="majorBidi" w:cstheme="majorBidi"/>
        </w:rPr>
        <w:t xml:space="preserve"> hopes that this unit will be formed and its tasks will be defined through an executive decision.</w:t>
      </w:r>
    </w:p>
    <w:p w14:paraId="5D741A63" w14:textId="77777777" w:rsidR="0070046B" w:rsidRPr="00B047D9" w:rsidRDefault="0070046B" w:rsidP="0070046B">
      <w:pPr>
        <w:jc w:val="both"/>
        <w:rPr>
          <w:rFonts w:asciiTheme="majorBidi" w:hAnsiTheme="majorBidi" w:cstheme="majorBidi"/>
          <w:b/>
          <w:bCs/>
          <w:color w:val="C45911" w:themeColor="accent2" w:themeShade="BF"/>
          <w:sz w:val="28"/>
          <w:szCs w:val="28"/>
        </w:rPr>
      </w:pPr>
      <w:r w:rsidRPr="00B047D9">
        <w:rPr>
          <w:rFonts w:asciiTheme="majorBidi" w:hAnsiTheme="majorBidi" w:cstheme="majorBidi"/>
          <w:b/>
          <w:bCs/>
          <w:color w:val="C45911" w:themeColor="accent2" w:themeShade="BF"/>
          <w:sz w:val="28"/>
          <w:szCs w:val="28"/>
        </w:rPr>
        <w:t>International Cooperation: Article 32</w:t>
      </w:r>
    </w:p>
    <w:p w14:paraId="4A253BA7" w14:textId="77777777" w:rsidR="0070046B" w:rsidRPr="004A3035" w:rsidRDefault="0070046B" w:rsidP="0070046B">
      <w:pPr>
        <w:jc w:val="both"/>
        <w:rPr>
          <w:rFonts w:asciiTheme="majorBidi" w:hAnsiTheme="majorBidi" w:cstheme="majorBidi"/>
        </w:rPr>
      </w:pPr>
      <w:r w:rsidRPr="00B047D9">
        <w:rPr>
          <w:rFonts w:asciiTheme="majorBidi" w:hAnsiTheme="majorBidi" w:cstheme="majorBidi"/>
        </w:rPr>
        <w:t>Maat</w:t>
      </w:r>
      <w:r w:rsidRPr="004A3035">
        <w:rPr>
          <w:rFonts w:asciiTheme="majorBidi" w:hAnsiTheme="majorBidi" w:cstheme="majorBidi"/>
        </w:rPr>
        <w:t xml:space="preserve"> positively values Qatar’s international cooperation with regard to persons with disabilities. This is reflected in Qatar’s participation, on 10 June 2026, in the nineteenth session of the Conference of States Parties to the Convention on the Rights of Persons with Disabilities, held at the United Nations Headquarters in New York under the theme: “The Convention on the Rights of Persons with Disabilities in its twentieth year: Celebrating achievements.”</w:t>
      </w:r>
      <w:r w:rsidRPr="00277373">
        <w:rPr>
          <w:rStyle w:val="FootnoteReference"/>
          <w:rFonts w:asciiTheme="majorBidi" w:hAnsiTheme="majorBidi" w:cstheme="majorBidi"/>
        </w:rPr>
        <w:footnoteReference w:id="8"/>
      </w:r>
      <w:r w:rsidRPr="00277373">
        <w:rPr>
          <w:rFonts w:asciiTheme="majorBidi" w:hAnsiTheme="majorBidi" w:cstheme="majorBidi"/>
        </w:rPr>
        <w:t xml:space="preserve"> </w:t>
      </w:r>
      <w:r w:rsidRPr="00B047D9">
        <w:rPr>
          <w:rFonts w:asciiTheme="majorBidi" w:hAnsiTheme="majorBidi" w:cstheme="majorBidi"/>
        </w:rPr>
        <w:t>Maat</w:t>
      </w:r>
      <w:r w:rsidRPr="004A3035">
        <w:rPr>
          <w:rFonts w:asciiTheme="majorBidi" w:hAnsiTheme="majorBidi" w:cstheme="majorBidi"/>
        </w:rPr>
        <w:t xml:space="preserve"> hopes that Qatar will increase its contributions to the relevant donor entities working on persons with disabilities, including projects aimed at implementing the Convention on the Rights of Persons with Disabilities.</w:t>
      </w:r>
    </w:p>
    <w:p w14:paraId="116E60E5" w14:textId="77777777" w:rsidR="0070046B" w:rsidRPr="00B047D9" w:rsidRDefault="0070046B" w:rsidP="0070046B">
      <w:pPr>
        <w:jc w:val="both"/>
        <w:rPr>
          <w:rFonts w:asciiTheme="majorBidi" w:hAnsiTheme="majorBidi" w:cstheme="majorBidi"/>
          <w:b/>
          <w:bCs/>
          <w:color w:val="C45911" w:themeColor="accent2" w:themeShade="BF"/>
          <w:sz w:val="28"/>
          <w:szCs w:val="28"/>
        </w:rPr>
      </w:pPr>
      <w:r w:rsidRPr="00B047D9">
        <w:rPr>
          <w:rFonts w:asciiTheme="majorBidi" w:hAnsiTheme="majorBidi" w:cstheme="majorBidi"/>
          <w:b/>
          <w:bCs/>
          <w:color w:val="C45911" w:themeColor="accent2" w:themeShade="BF"/>
          <w:sz w:val="28"/>
          <w:szCs w:val="28"/>
        </w:rPr>
        <w:t>Maat recommends that the Committee encourage Qatar to:</w:t>
      </w:r>
    </w:p>
    <w:p w14:paraId="5287E1E5" w14:textId="77777777" w:rsidR="0070046B" w:rsidRPr="004A3035" w:rsidRDefault="0070046B" w:rsidP="0070046B">
      <w:pPr>
        <w:numPr>
          <w:ilvl w:val="0"/>
          <w:numId w:val="63"/>
        </w:numPr>
        <w:jc w:val="both"/>
        <w:rPr>
          <w:rFonts w:asciiTheme="majorBidi" w:hAnsiTheme="majorBidi" w:cstheme="majorBidi"/>
        </w:rPr>
      </w:pPr>
      <w:r w:rsidRPr="004A3035">
        <w:rPr>
          <w:rFonts w:asciiTheme="majorBidi" w:hAnsiTheme="majorBidi" w:cstheme="majorBidi"/>
        </w:rPr>
        <w:t>Consider adopting a unified national strategy for persons with disabilities.</w:t>
      </w:r>
    </w:p>
    <w:p w14:paraId="41F1EA94" w14:textId="77777777" w:rsidR="0070046B" w:rsidRPr="004A3035" w:rsidRDefault="0070046B" w:rsidP="0070046B">
      <w:pPr>
        <w:numPr>
          <w:ilvl w:val="0"/>
          <w:numId w:val="63"/>
        </w:numPr>
        <w:jc w:val="both"/>
        <w:rPr>
          <w:rFonts w:asciiTheme="majorBidi" w:hAnsiTheme="majorBidi" w:cstheme="majorBidi"/>
        </w:rPr>
      </w:pPr>
      <w:r w:rsidRPr="004A3035">
        <w:rPr>
          <w:rFonts w:asciiTheme="majorBidi" w:hAnsiTheme="majorBidi" w:cstheme="majorBidi"/>
        </w:rPr>
        <w:t>Work to increase the political participation of persons with disabilities, in particular in the Shura Council and in leadership positions.</w:t>
      </w:r>
    </w:p>
    <w:p w14:paraId="78C1082E" w14:textId="77777777" w:rsidR="0070046B" w:rsidRPr="004A3035" w:rsidRDefault="0070046B" w:rsidP="0070046B">
      <w:pPr>
        <w:numPr>
          <w:ilvl w:val="0"/>
          <w:numId w:val="63"/>
        </w:numPr>
        <w:jc w:val="both"/>
        <w:rPr>
          <w:rFonts w:asciiTheme="majorBidi" w:hAnsiTheme="majorBidi" w:cstheme="majorBidi"/>
        </w:rPr>
      </w:pPr>
      <w:r w:rsidRPr="004A3035">
        <w:rPr>
          <w:rFonts w:asciiTheme="majorBidi" w:hAnsiTheme="majorBidi" w:cstheme="majorBidi"/>
        </w:rPr>
        <w:t>Increase voluntary contributions to projects that support the rights of persons with disabilities.</w:t>
      </w:r>
    </w:p>
    <w:p w14:paraId="2063B371" w14:textId="77777777" w:rsidR="0070046B" w:rsidRPr="004A3035" w:rsidRDefault="0070046B" w:rsidP="0070046B">
      <w:pPr>
        <w:numPr>
          <w:ilvl w:val="0"/>
          <w:numId w:val="63"/>
        </w:numPr>
        <w:jc w:val="both"/>
        <w:rPr>
          <w:rFonts w:asciiTheme="majorBidi" w:hAnsiTheme="majorBidi" w:cstheme="majorBidi"/>
        </w:rPr>
      </w:pPr>
      <w:r w:rsidRPr="004A3035">
        <w:rPr>
          <w:rFonts w:asciiTheme="majorBidi" w:hAnsiTheme="majorBidi" w:cstheme="majorBidi"/>
        </w:rPr>
        <w:t>Ensure that both the public and private sectors are encouraged to comply with the set quotas for employing persons with disabilities.</w:t>
      </w:r>
    </w:p>
    <w:p w14:paraId="2BE7AABA" w14:textId="77777777" w:rsidR="0070046B" w:rsidRPr="004A3035" w:rsidRDefault="0070046B" w:rsidP="0070046B">
      <w:pPr>
        <w:numPr>
          <w:ilvl w:val="0"/>
          <w:numId w:val="63"/>
        </w:numPr>
        <w:jc w:val="both"/>
        <w:rPr>
          <w:rFonts w:asciiTheme="majorBidi" w:hAnsiTheme="majorBidi" w:cstheme="majorBidi"/>
        </w:rPr>
      </w:pPr>
      <w:r w:rsidRPr="004A3035">
        <w:rPr>
          <w:rFonts w:asciiTheme="majorBidi" w:hAnsiTheme="majorBidi" w:cstheme="majorBidi"/>
        </w:rPr>
        <w:t>Adopt executive decisions to implement Law No. 22 of 2025 on Persons with Disabilities.</w:t>
      </w:r>
    </w:p>
    <w:p w14:paraId="718D6FA5" w14:textId="77777777" w:rsidR="0070046B" w:rsidRPr="004A3035" w:rsidRDefault="0070046B" w:rsidP="0070046B">
      <w:pPr>
        <w:numPr>
          <w:ilvl w:val="0"/>
          <w:numId w:val="63"/>
        </w:numPr>
        <w:jc w:val="both"/>
        <w:rPr>
          <w:rFonts w:asciiTheme="majorBidi" w:hAnsiTheme="majorBidi" w:cstheme="majorBidi"/>
        </w:rPr>
      </w:pPr>
      <w:r w:rsidRPr="004A3035">
        <w:rPr>
          <w:rFonts w:asciiTheme="majorBidi" w:hAnsiTheme="majorBidi" w:cstheme="majorBidi"/>
        </w:rPr>
        <w:lastRenderedPageBreak/>
        <w:t>Review housing plans, the designs of service facilities, and commercial centres to ensure compliance with accessibility standards for persons with disabilities, in accordance with the recommendations of the National Human Rights Committee.</w:t>
      </w:r>
    </w:p>
    <w:p w14:paraId="5A00F11F" w14:textId="77777777" w:rsidR="0070046B" w:rsidRPr="00277373" w:rsidRDefault="0070046B" w:rsidP="0070046B">
      <w:pPr>
        <w:jc w:val="both"/>
        <w:rPr>
          <w:rFonts w:asciiTheme="majorBidi" w:hAnsiTheme="majorBidi" w:cstheme="majorBidi"/>
        </w:rPr>
      </w:pPr>
    </w:p>
    <w:p w14:paraId="0F992E1C" w14:textId="14A22732" w:rsidR="00FF5FE5" w:rsidRPr="008A08B6" w:rsidRDefault="00FF5FE5" w:rsidP="008A08B6">
      <w:pPr>
        <w:rPr>
          <w:rtl/>
        </w:rPr>
      </w:pPr>
    </w:p>
    <w:sectPr w:rsidR="00FF5FE5" w:rsidRPr="008A08B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FFA36" w14:textId="77777777" w:rsidR="007F0176" w:rsidRDefault="007F0176" w:rsidP="004F6D5A">
      <w:pPr>
        <w:spacing w:after="0" w:line="240" w:lineRule="auto"/>
      </w:pPr>
      <w:r>
        <w:separator/>
      </w:r>
    </w:p>
  </w:endnote>
  <w:endnote w:type="continuationSeparator" w:id="0">
    <w:p w14:paraId="04AE23F0" w14:textId="77777777" w:rsidR="007F0176" w:rsidRDefault="007F0176"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7C13E" w14:textId="77777777" w:rsidR="007F0176" w:rsidRDefault="007F0176" w:rsidP="004F6D5A">
      <w:pPr>
        <w:spacing w:after="0" w:line="240" w:lineRule="auto"/>
      </w:pPr>
      <w:r>
        <w:separator/>
      </w:r>
    </w:p>
  </w:footnote>
  <w:footnote w:type="continuationSeparator" w:id="0">
    <w:p w14:paraId="1383915A" w14:textId="77777777" w:rsidR="007F0176" w:rsidRDefault="007F0176" w:rsidP="004F6D5A">
      <w:pPr>
        <w:spacing w:after="0" w:line="240" w:lineRule="auto"/>
      </w:pPr>
      <w:r>
        <w:continuationSeparator/>
      </w:r>
    </w:p>
  </w:footnote>
  <w:footnote w:id="1">
    <w:p w14:paraId="712F068E" w14:textId="77777777"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Qatari Constitution, Article 49, at the following link: </w:t>
      </w:r>
      <w:hyperlink r:id="rId1" w:history="1">
        <w:r w:rsidRPr="00277373">
          <w:rPr>
            <w:rStyle w:val="Hyperlink"/>
            <w:rFonts w:asciiTheme="majorBidi" w:hAnsiTheme="majorBidi" w:cstheme="majorBidi"/>
            <w:sz w:val="16"/>
            <w:szCs w:val="16"/>
          </w:rPr>
          <w:t>https://www.almeezan.qa/LawArticles.aspx?LawTreeSectionID=6677&amp;lawId=2284&amp;language=ar</w:t>
        </w:r>
      </w:hyperlink>
      <w:r w:rsidRPr="00277373">
        <w:rPr>
          <w:rFonts w:asciiTheme="majorBidi" w:hAnsiTheme="majorBidi" w:cstheme="majorBidi"/>
          <w:sz w:val="16"/>
          <w:szCs w:val="16"/>
          <w:rtl/>
        </w:rPr>
        <w:t xml:space="preserve"> </w:t>
      </w:r>
    </w:p>
  </w:footnote>
  <w:footnote w:id="2">
    <w:p w14:paraId="341B5CB0" w14:textId="77777777"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See: </w:t>
      </w:r>
      <w:hyperlink r:id="rId2" w:history="1">
        <w:r w:rsidRPr="00277373">
          <w:rPr>
            <w:rStyle w:val="Hyperlink"/>
            <w:rFonts w:asciiTheme="majorBidi" w:hAnsiTheme="majorBidi" w:cstheme="majorBidi"/>
            <w:sz w:val="16"/>
            <w:szCs w:val="16"/>
          </w:rPr>
          <w:t>https://shorturl.at/YMYxk</w:t>
        </w:r>
      </w:hyperlink>
      <w:r w:rsidRPr="00277373">
        <w:rPr>
          <w:rFonts w:asciiTheme="majorBidi" w:hAnsiTheme="majorBidi" w:cstheme="majorBidi"/>
          <w:sz w:val="16"/>
          <w:szCs w:val="16"/>
          <w:rtl/>
        </w:rPr>
        <w:t xml:space="preserve"> </w:t>
      </w:r>
    </w:p>
  </w:footnote>
  <w:footnote w:id="3">
    <w:p w14:paraId="18BFA362" w14:textId="77777777"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Challenges and difficulties facing people with disabilities in employment and training, Al </w:t>
      </w:r>
      <w:proofErr w:type="spellStart"/>
      <w:r w:rsidRPr="00277373">
        <w:rPr>
          <w:rFonts w:asciiTheme="majorBidi" w:hAnsiTheme="majorBidi" w:cstheme="majorBidi"/>
          <w:sz w:val="16"/>
          <w:szCs w:val="16"/>
        </w:rPr>
        <w:t>Sharq</w:t>
      </w:r>
      <w:proofErr w:type="spellEnd"/>
      <w:r w:rsidRPr="00277373">
        <w:rPr>
          <w:rFonts w:asciiTheme="majorBidi" w:hAnsiTheme="majorBidi" w:cstheme="majorBidi"/>
          <w:sz w:val="16"/>
          <w:szCs w:val="16"/>
        </w:rPr>
        <w:t xml:space="preserve">, at the following link: </w:t>
      </w:r>
      <w:hyperlink r:id="rId3" w:history="1">
        <w:r w:rsidRPr="00277373">
          <w:rPr>
            <w:rStyle w:val="Hyperlink"/>
            <w:rFonts w:asciiTheme="majorBidi" w:hAnsiTheme="majorBidi" w:cstheme="majorBidi"/>
            <w:sz w:val="16"/>
            <w:szCs w:val="16"/>
          </w:rPr>
          <w:t>https://shorturl.at/lxVD6</w:t>
        </w:r>
      </w:hyperlink>
      <w:r w:rsidRPr="00277373">
        <w:rPr>
          <w:rFonts w:asciiTheme="majorBidi" w:hAnsiTheme="majorBidi" w:cstheme="majorBidi"/>
          <w:sz w:val="16"/>
          <w:szCs w:val="16"/>
          <w:rtl/>
        </w:rPr>
        <w:t xml:space="preserve"> </w:t>
      </w:r>
    </w:p>
  </w:footnote>
  <w:footnote w:id="4">
    <w:p w14:paraId="0AEB991B" w14:textId="77777777"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See: Challenges facing people with disabilities in the Qatari East, at the following link: </w:t>
      </w:r>
      <w:hyperlink r:id="rId4" w:history="1">
        <w:r w:rsidRPr="00277373">
          <w:rPr>
            <w:rStyle w:val="Hyperlink"/>
            <w:rFonts w:asciiTheme="majorBidi" w:hAnsiTheme="majorBidi" w:cstheme="majorBidi"/>
            <w:sz w:val="16"/>
            <w:szCs w:val="16"/>
          </w:rPr>
          <w:t>https://shorturl.at/uwsvQ</w:t>
        </w:r>
      </w:hyperlink>
      <w:r w:rsidRPr="00277373">
        <w:rPr>
          <w:rFonts w:asciiTheme="majorBidi" w:hAnsiTheme="majorBidi" w:cstheme="majorBidi"/>
          <w:sz w:val="16"/>
          <w:szCs w:val="16"/>
          <w:rtl/>
        </w:rPr>
        <w:t xml:space="preserve"> </w:t>
      </w:r>
    </w:p>
  </w:footnote>
  <w:footnote w:id="5">
    <w:p w14:paraId="0B5D649F" w14:textId="77777777"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See: </w:t>
      </w:r>
      <w:hyperlink r:id="rId5" w:history="1">
        <w:r w:rsidRPr="00277373">
          <w:rPr>
            <w:rStyle w:val="Hyperlink"/>
            <w:rFonts w:asciiTheme="majorBidi" w:hAnsiTheme="majorBidi" w:cstheme="majorBidi"/>
            <w:sz w:val="16"/>
            <w:szCs w:val="16"/>
          </w:rPr>
          <w:t>https://shorturl.at/nzpS0</w:t>
        </w:r>
      </w:hyperlink>
      <w:r w:rsidRPr="00277373">
        <w:rPr>
          <w:rFonts w:asciiTheme="majorBidi" w:hAnsiTheme="majorBidi" w:cstheme="majorBidi"/>
          <w:sz w:val="16"/>
          <w:szCs w:val="16"/>
          <w:rtl/>
        </w:rPr>
        <w:t xml:space="preserve"> </w:t>
      </w:r>
    </w:p>
  </w:footnote>
  <w:footnote w:id="6">
    <w:p w14:paraId="18E9EA00" w14:textId="77777777"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See Article 9 of Law No. (22) of 2025 regarding persons with disabilities, at the following link: </w:t>
      </w:r>
      <w:hyperlink r:id="rId6" w:history="1">
        <w:r w:rsidRPr="00277373">
          <w:rPr>
            <w:rStyle w:val="Hyperlink"/>
            <w:rFonts w:asciiTheme="majorBidi" w:hAnsiTheme="majorBidi" w:cstheme="majorBidi"/>
            <w:sz w:val="16"/>
            <w:szCs w:val="16"/>
          </w:rPr>
          <w:t>https://shorturl.at/xMrVw</w:t>
        </w:r>
      </w:hyperlink>
      <w:r w:rsidRPr="00277373">
        <w:rPr>
          <w:rFonts w:asciiTheme="majorBidi" w:hAnsiTheme="majorBidi" w:cstheme="majorBidi"/>
          <w:sz w:val="16"/>
          <w:szCs w:val="16"/>
          <w:rtl/>
        </w:rPr>
        <w:t xml:space="preserve"> </w:t>
      </w:r>
    </w:p>
  </w:footnote>
  <w:footnote w:id="7">
    <w:p w14:paraId="60C2CB5A" w14:textId="38480666"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See Article 9 of Law No. (22) of 2025 regarding persons with disabilities, at the following link: </w:t>
      </w:r>
      <w:hyperlink r:id="rId7" w:history="1">
        <w:r w:rsidRPr="00277373">
          <w:rPr>
            <w:rStyle w:val="Hyperlink"/>
            <w:rFonts w:asciiTheme="majorBidi" w:hAnsiTheme="majorBidi" w:cstheme="majorBidi"/>
            <w:sz w:val="16"/>
            <w:szCs w:val="16"/>
          </w:rPr>
          <w:t>https://shorturl.at/xMrVw</w:t>
        </w:r>
      </w:hyperlink>
      <w:r w:rsidRPr="00277373">
        <w:rPr>
          <w:rFonts w:asciiTheme="majorBidi" w:hAnsiTheme="majorBidi" w:cstheme="majorBidi"/>
          <w:sz w:val="16"/>
          <w:szCs w:val="16"/>
          <w:rtl/>
        </w:rPr>
        <w:t xml:space="preserve"> </w:t>
      </w:r>
      <w:r w:rsidRPr="00277373">
        <w:rPr>
          <w:rFonts w:asciiTheme="majorBidi" w:hAnsiTheme="majorBidi" w:cstheme="majorBidi"/>
          <w:sz w:val="16"/>
          <w:szCs w:val="16"/>
        </w:rPr>
        <w:t xml:space="preserve">Have programs to integrate people with disabilities into the labor market </w:t>
      </w:r>
      <w:r w:rsidR="00B047D9" w:rsidRPr="00277373">
        <w:rPr>
          <w:rFonts w:asciiTheme="majorBidi" w:hAnsiTheme="majorBidi" w:cstheme="majorBidi"/>
          <w:sz w:val="16"/>
          <w:szCs w:val="16"/>
        </w:rPr>
        <w:t>succeeded?</w:t>
      </w:r>
      <w:r w:rsidRPr="00277373">
        <w:rPr>
          <w:rFonts w:asciiTheme="majorBidi" w:hAnsiTheme="majorBidi" w:cstheme="majorBidi"/>
          <w:sz w:val="16"/>
          <w:szCs w:val="16"/>
        </w:rPr>
        <w:t xml:space="preserve"> at the following link: </w:t>
      </w:r>
      <w:hyperlink r:id="rId8" w:history="1">
        <w:r w:rsidR="00B047D9" w:rsidRPr="000C23D5">
          <w:rPr>
            <w:rStyle w:val="Hyperlink"/>
            <w:rFonts w:asciiTheme="majorBidi" w:hAnsiTheme="majorBidi" w:cstheme="majorBidi"/>
            <w:sz w:val="16"/>
            <w:szCs w:val="16"/>
          </w:rPr>
          <w:t>https://asdmag.org/archives/17832</w:t>
        </w:r>
      </w:hyperlink>
      <w:r w:rsidR="00B047D9">
        <w:rPr>
          <w:rFonts w:asciiTheme="majorBidi" w:hAnsiTheme="majorBidi" w:cstheme="majorBidi"/>
          <w:sz w:val="16"/>
          <w:szCs w:val="16"/>
        </w:rPr>
        <w:t xml:space="preserve"> </w:t>
      </w:r>
    </w:p>
  </w:footnote>
  <w:footnote w:id="8">
    <w:p w14:paraId="2C00353B" w14:textId="77777777" w:rsidR="0070046B" w:rsidRPr="00277373" w:rsidRDefault="0070046B" w:rsidP="0070046B">
      <w:pPr>
        <w:pStyle w:val="FootnoteText"/>
        <w:rPr>
          <w:rFonts w:asciiTheme="majorBidi" w:hAnsiTheme="majorBidi" w:cstheme="majorBidi"/>
          <w:sz w:val="16"/>
          <w:szCs w:val="16"/>
        </w:rPr>
      </w:pPr>
      <w:r w:rsidRPr="00277373">
        <w:rPr>
          <w:rStyle w:val="FootnoteReference"/>
          <w:rFonts w:asciiTheme="majorBidi" w:hAnsiTheme="majorBidi" w:cstheme="majorBidi"/>
          <w:sz w:val="16"/>
          <w:szCs w:val="16"/>
        </w:rPr>
        <w:footnoteRef/>
      </w:r>
      <w:r w:rsidRPr="00277373">
        <w:rPr>
          <w:rFonts w:asciiTheme="majorBidi" w:hAnsiTheme="majorBidi" w:cstheme="majorBidi"/>
          <w:sz w:val="16"/>
          <w:szCs w:val="16"/>
        </w:rPr>
        <w:t xml:space="preserve"> State of Qatar participates in the Conference of States Parties to the Convention on the Rights of Persons with Disabilities at the United Nations, at the following link: </w:t>
      </w:r>
      <w:hyperlink r:id="rId9" w:history="1">
        <w:r w:rsidRPr="00277373">
          <w:rPr>
            <w:rStyle w:val="Hyperlink"/>
            <w:rFonts w:asciiTheme="majorBidi" w:hAnsiTheme="majorBidi" w:cstheme="majorBidi"/>
            <w:sz w:val="16"/>
            <w:szCs w:val="16"/>
          </w:rPr>
          <w:t>https://shorturl.at/Q3Gdl</w:t>
        </w:r>
      </w:hyperlink>
      <w:r w:rsidRPr="00277373">
        <w:rPr>
          <w:rFonts w:asciiTheme="majorBidi" w:hAnsiTheme="majorBidi" w:cstheme="majorBidi"/>
          <w:sz w:val="16"/>
          <w:szCs w:val="1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30EC"/>
    <w:multiLevelType w:val="hybridMultilevel"/>
    <w:tmpl w:val="FEF23BF4"/>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5D7B37"/>
    <w:multiLevelType w:val="multilevel"/>
    <w:tmpl w:val="765065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611B23"/>
    <w:multiLevelType w:val="hybridMultilevel"/>
    <w:tmpl w:val="15C8D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8D2A7B"/>
    <w:multiLevelType w:val="hybridMultilevel"/>
    <w:tmpl w:val="E5C41E70"/>
    <w:lvl w:ilvl="0" w:tplc="E4A2C9A8">
      <w:start w:val="1"/>
      <w:numFmt w:val="decimal"/>
      <w:lvlText w:val="%1."/>
      <w:lvlJc w:val="left"/>
      <w:pPr>
        <w:ind w:left="405" w:hanging="4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3121F5E"/>
    <w:multiLevelType w:val="hybridMultilevel"/>
    <w:tmpl w:val="FD7043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141ABA"/>
    <w:multiLevelType w:val="multilevel"/>
    <w:tmpl w:val="FBAA4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F6627D5"/>
    <w:multiLevelType w:val="hybridMultilevel"/>
    <w:tmpl w:val="A894C0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4682BD2"/>
    <w:multiLevelType w:val="hybridMultilevel"/>
    <w:tmpl w:val="A762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C325A9B"/>
    <w:multiLevelType w:val="hybridMultilevel"/>
    <w:tmpl w:val="F10E6E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69B11BD"/>
    <w:multiLevelType w:val="hybridMultilevel"/>
    <w:tmpl w:val="512467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E2E259D"/>
    <w:multiLevelType w:val="hybridMultilevel"/>
    <w:tmpl w:val="5290B222"/>
    <w:lvl w:ilvl="0" w:tplc="0C0EB8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0358AD"/>
    <w:multiLevelType w:val="hybridMultilevel"/>
    <w:tmpl w:val="4D9A6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50474DA"/>
    <w:multiLevelType w:val="hybridMultilevel"/>
    <w:tmpl w:val="5746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0"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8"/>
  </w:num>
  <w:num w:numId="2" w16cid:durableId="319427900">
    <w:abstractNumId w:val="7"/>
  </w:num>
  <w:num w:numId="3" w16cid:durableId="483819352">
    <w:abstractNumId w:val="2"/>
  </w:num>
  <w:num w:numId="4" w16cid:durableId="1550531087">
    <w:abstractNumId w:val="21"/>
  </w:num>
  <w:num w:numId="5" w16cid:durableId="365302262">
    <w:abstractNumId w:val="5"/>
  </w:num>
  <w:num w:numId="6" w16cid:durableId="1490904455">
    <w:abstractNumId w:val="44"/>
  </w:num>
  <w:num w:numId="7" w16cid:durableId="1975796718">
    <w:abstractNumId w:val="56"/>
  </w:num>
  <w:num w:numId="8" w16cid:durableId="168910388">
    <w:abstractNumId w:val="60"/>
  </w:num>
  <w:num w:numId="9" w16cid:durableId="864364265">
    <w:abstractNumId w:val="42"/>
  </w:num>
  <w:num w:numId="10" w16cid:durableId="1110662610">
    <w:abstractNumId w:val="46"/>
  </w:num>
  <w:num w:numId="11" w16cid:durableId="48504678">
    <w:abstractNumId w:val="35"/>
  </w:num>
  <w:num w:numId="12" w16cid:durableId="1057243330">
    <w:abstractNumId w:val="59"/>
  </w:num>
  <w:num w:numId="13" w16cid:durableId="113838224">
    <w:abstractNumId w:val="33"/>
  </w:num>
  <w:num w:numId="14" w16cid:durableId="1819300015">
    <w:abstractNumId w:val="10"/>
  </w:num>
  <w:num w:numId="15" w16cid:durableId="1354769003">
    <w:abstractNumId w:val="40"/>
  </w:num>
  <w:num w:numId="16" w16cid:durableId="765884069">
    <w:abstractNumId w:val="22"/>
  </w:num>
  <w:num w:numId="17" w16cid:durableId="1830708544">
    <w:abstractNumId w:val="1"/>
  </w:num>
  <w:num w:numId="18" w16cid:durableId="1195772453">
    <w:abstractNumId w:val="30"/>
  </w:num>
  <w:num w:numId="19" w16cid:durableId="116266373">
    <w:abstractNumId w:val="3"/>
  </w:num>
  <w:num w:numId="20" w16cid:durableId="1165899663">
    <w:abstractNumId w:val="17"/>
  </w:num>
  <w:num w:numId="21" w16cid:durableId="1921870603">
    <w:abstractNumId w:val="62"/>
  </w:num>
  <w:num w:numId="22" w16cid:durableId="1106846340">
    <w:abstractNumId w:val="20"/>
  </w:num>
  <w:num w:numId="23" w16cid:durableId="1120413215">
    <w:abstractNumId w:val="27"/>
  </w:num>
  <w:num w:numId="24" w16cid:durableId="884490536">
    <w:abstractNumId w:val="43"/>
  </w:num>
  <w:num w:numId="25" w16cid:durableId="1098991049">
    <w:abstractNumId w:val="49"/>
  </w:num>
  <w:num w:numId="26" w16cid:durableId="631596808">
    <w:abstractNumId w:val="12"/>
  </w:num>
  <w:num w:numId="27" w16cid:durableId="1306087360">
    <w:abstractNumId w:val="9"/>
  </w:num>
  <w:num w:numId="28" w16cid:durableId="909191109">
    <w:abstractNumId w:val="36"/>
  </w:num>
  <w:num w:numId="29" w16cid:durableId="556204899">
    <w:abstractNumId w:val="37"/>
  </w:num>
  <w:num w:numId="30" w16cid:durableId="1668284805">
    <w:abstractNumId w:val="23"/>
  </w:num>
  <w:num w:numId="31" w16cid:durableId="1777868951">
    <w:abstractNumId w:val="34"/>
  </w:num>
  <w:num w:numId="32" w16cid:durableId="1614898655">
    <w:abstractNumId w:val="8"/>
  </w:num>
  <w:num w:numId="33" w16cid:durableId="364449577">
    <w:abstractNumId w:val="19"/>
  </w:num>
  <w:num w:numId="34" w16cid:durableId="248081818">
    <w:abstractNumId w:val="58"/>
  </w:num>
  <w:num w:numId="35" w16cid:durableId="1742749116">
    <w:abstractNumId w:val="50"/>
  </w:num>
  <w:num w:numId="36" w16cid:durableId="1632056943">
    <w:abstractNumId w:val="39"/>
  </w:num>
  <w:num w:numId="37" w16cid:durableId="16198188">
    <w:abstractNumId w:val="48"/>
  </w:num>
  <w:num w:numId="38" w16cid:durableId="995642619">
    <w:abstractNumId w:val="31"/>
  </w:num>
  <w:num w:numId="39" w16cid:durableId="1951429902">
    <w:abstractNumId w:val="61"/>
  </w:num>
  <w:num w:numId="40" w16cid:durableId="1660618793">
    <w:abstractNumId w:val="32"/>
  </w:num>
  <w:num w:numId="41" w16cid:durableId="566649021">
    <w:abstractNumId w:val="57"/>
  </w:num>
  <w:num w:numId="42" w16cid:durableId="230387690">
    <w:abstractNumId w:val="25"/>
  </w:num>
  <w:num w:numId="43" w16cid:durableId="335613693">
    <w:abstractNumId w:val="4"/>
  </w:num>
  <w:num w:numId="44" w16cid:durableId="1955866269">
    <w:abstractNumId w:val="6"/>
  </w:num>
  <w:num w:numId="45" w16cid:durableId="1236166310">
    <w:abstractNumId w:val="41"/>
  </w:num>
  <w:num w:numId="46" w16cid:durableId="1135757983">
    <w:abstractNumId w:val="52"/>
  </w:num>
  <w:num w:numId="47" w16cid:durableId="1772360755">
    <w:abstractNumId w:val="47"/>
  </w:num>
  <w:num w:numId="48" w16cid:durableId="562985464">
    <w:abstractNumId w:val="13"/>
  </w:num>
  <w:num w:numId="49" w16cid:durableId="1870022964">
    <w:abstractNumId w:val="29"/>
  </w:num>
  <w:num w:numId="50" w16cid:durableId="373162735">
    <w:abstractNumId w:val="53"/>
  </w:num>
  <w:num w:numId="51" w16cid:durableId="844592064">
    <w:abstractNumId w:val="18"/>
  </w:num>
  <w:num w:numId="52" w16cid:durableId="682244457">
    <w:abstractNumId w:val="14"/>
  </w:num>
  <w:num w:numId="53" w16cid:durableId="605160969">
    <w:abstractNumId w:val="15"/>
  </w:num>
  <w:num w:numId="54" w16cid:durableId="226651262">
    <w:abstractNumId w:val="45"/>
  </w:num>
  <w:num w:numId="55" w16cid:durableId="792362620">
    <w:abstractNumId w:val="16"/>
  </w:num>
  <w:num w:numId="56" w16cid:durableId="1907451665">
    <w:abstractNumId w:val="26"/>
  </w:num>
  <w:num w:numId="57" w16cid:durableId="750152853">
    <w:abstractNumId w:val="38"/>
  </w:num>
  <w:num w:numId="58" w16cid:durableId="1980304613">
    <w:abstractNumId w:val="54"/>
  </w:num>
  <w:num w:numId="59" w16cid:durableId="548999783">
    <w:abstractNumId w:val="24"/>
  </w:num>
  <w:num w:numId="60" w16cid:durableId="1187408458">
    <w:abstractNumId w:val="55"/>
  </w:num>
  <w:num w:numId="61" w16cid:durableId="2028097834">
    <w:abstractNumId w:val="0"/>
  </w:num>
  <w:num w:numId="62" w16cid:durableId="196507285">
    <w:abstractNumId w:val="51"/>
  </w:num>
  <w:num w:numId="63" w16cid:durableId="8660676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67F6E"/>
    <w:rsid w:val="00086352"/>
    <w:rsid w:val="00093D9F"/>
    <w:rsid w:val="0009467C"/>
    <w:rsid w:val="000A0E24"/>
    <w:rsid w:val="000A1102"/>
    <w:rsid w:val="000B5D57"/>
    <w:rsid w:val="000B6F75"/>
    <w:rsid w:val="000C5FAC"/>
    <w:rsid w:val="000C7C14"/>
    <w:rsid w:val="000D0F83"/>
    <w:rsid w:val="00101544"/>
    <w:rsid w:val="00107673"/>
    <w:rsid w:val="00114CCA"/>
    <w:rsid w:val="001167C4"/>
    <w:rsid w:val="001520D3"/>
    <w:rsid w:val="00156C09"/>
    <w:rsid w:val="001668A8"/>
    <w:rsid w:val="001931EE"/>
    <w:rsid w:val="00196443"/>
    <w:rsid w:val="001A6E66"/>
    <w:rsid w:val="001B13EB"/>
    <w:rsid w:val="001B450B"/>
    <w:rsid w:val="001C7043"/>
    <w:rsid w:val="001D1DBC"/>
    <w:rsid w:val="001D4419"/>
    <w:rsid w:val="001D532C"/>
    <w:rsid w:val="001D6213"/>
    <w:rsid w:val="001F354D"/>
    <w:rsid w:val="001F47FD"/>
    <w:rsid w:val="001F78AB"/>
    <w:rsid w:val="00213E34"/>
    <w:rsid w:val="002257CD"/>
    <w:rsid w:val="002305C5"/>
    <w:rsid w:val="002533B2"/>
    <w:rsid w:val="00270D2C"/>
    <w:rsid w:val="00284AAE"/>
    <w:rsid w:val="0028723E"/>
    <w:rsid w:val="002876FE"/>
    <w:rsid w:val="0029400A"/>
    <w:rsid w:val="002B3176"/>
    <w:rsid w:val="002C79F5"/>
    <w:rsid w:val="002D0B34"/>
    <w:rsid w:val="002D5B01"/>
    <w:rsid w:val="002D65A3"/>
    <w:rsid w:val="002D7273"/>
    <w:rsid w:val="002E028A"/>
    <w:rsid w:val="002F00BC"/>
    <w:rsid w:val="00307051"/>
    <w:rsid w:val="003216C7"/>
    <w:rsid w:val="00326F85"/>
    <w:rsid w:val="003319F3"/>
    <w:rsid w:val="0033662F"/>
    <w:rsid w:val="003439F7"/>
    <w:rsid w:val="00360DAB"/>
    <w:rsid w:val="00371F59"/>
    <w:rsid w:val="00372B51"/>
    <w:rsid w:val="0038184B"/>
    <w:rsid w:val="00383811"/>
    <w:rsid w:val="00390234"/>
    <w:rsid w:val="003A0EBE"/>
    <w:rsid w:val="003A1F96"/>
    <w:rsid w:val="003A60A9"/>
    <w:rsid w:val="003A745E"/>
    <w:rsid w:val="003B6A40"/>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E4E5C"/>
    <w:rsid w:val="004F0624"/>
    <w:rsid w:val="004F28E4"/>
    <w:rsid w:val="004F6D5A"/>
    <w:rsid w:val="004F6EC6"/>
    <w:rsid w:val="004F7950"/>
    <w:rsid w:val="005025C7"/>
    <w:rsid w:val="00505CB3"/>
    <w:rsid w:val="005132DF"/>
    <w:rsid w:val="005148DF"/>
    <w:rsid w:val="0051677C"/>
    <w:rsid w:val="00531689"/>
    <w:rsid w:val="00531CED"/>
    <w:rsid w:val="00543435"/>
    <w:rsid w:val="005612DD"/>
    <w:rsid w:val="00566EF4"/>
    <w:rsid w:val="005779BB"/>
    <w:rsid w:val="0058685C"/>
    <w:rsid w:val="005A3794"/>
    <w:rsid w:val="005A38AA"/>
    <w:rsid w:val="005B3A8D"/>
    <w:rsid w:val="005C3446"/>
    <w:rsid w:val="005C5962"/>
    <w:rsid w:val="005D38D7"/>
    <w:rsid w:val="005E2E96"/>
    <w:rsid w:val="005E642C"/>
    <w:rsid w:val="006057A0"/>
    <w:rsid w:val="006105E2"/>
    <w:rsid w:val="00640577"/>
    <w:rsid w:val="006412F6"/>
    <w:rsid w:val="006416BE"/>
    <w:rsid w:val="00644334"/>
    <w:rsid w:val="00644785"/>
    <w:rsid w:val="00646A53"/>
    <w:rsid w:val="00672737"/>
    <w:rsid w:val="006807A3"/>
    <w:rsid w:val="00682278"/>
    <w:rsid w:val="00683E71"/>
    <w:rsid w:val="00690C3F"/>
    <w:rsid w:val="00693967"/>
    <w:rsid w:val="006946CB"/>
    <w:rsid w:val="006B1AFB"/>
    <w:rsid w:val="006C53FC"/>
    <w:rsid w:val="006D3370"/>
    <w:rsid w:val="006E24B7"/>
    <w:rsid w:val="006F5D15"/>
    <w:rsid w:val="0070046B"/>
    <w:rsid w:val="007110B7"/>
    <w:rsid w:val="00713444"/>
    <w:rsid w:val="00720C57"/>
    <w:rsid w:val="007343CC"/>
    <w:rsid w:val="00737F10"/>
    <w:rsid w:val="00741D51"/>
    <w:rsid w:val="007421E4"/>
    <w:rsid w:val="0074772B"/>
    <w:rsid w:val="0075015E"/>
    <w:rsid w:val="00755B2C"/>
    <w:rsid w:val="00771104"/>
    <w:rsid w:val="007733D2"/>
    <w:rsid w:val="00786D2C"/>
    <w:rsid w:val="007A17F9"/>
    <w:rsid w:val="007A3C77"/>
    <w:rsid w:val="007B5697"/>
    <w:rsid w:val="007C2144"/>
    <w:rsid w:val="007C3E73"/>
    <w:rsid w:val="007E38ED"/>
    <w:rsid w:val="007E56C8"/>
    <w:rsid w:val="007F0176"/>
    <w:rsid w:val="007F62CB"/>
    <w:rsid w:val="00823531"/>
    <w:rsid w:val="00823F46"/>
    <w:rsid w:val="00826C6D"/>
    <w:rsid w:val="008343DF"/>
    <w:rsid w:val="00843A10"/>
    <w:rsid w:val="00850AC2"/>
    <w:rsid w:val="008566A8"/>
    <w:rsid w:val="00860C1C"/>
    <w:rsid w:val="00871BB0"/>
    <w:rsid w:val="00875304"/>
    <w:rsid w:val="008823E1"/>
    <w:rsid w:val="00884133"/>
    <w:rsid w:val="0088439C"/>
    <w:rsid w:val="00887892"/>
    <w:rsid w:val="008A0867"/>
    <w:rsid w:val="008A08B6"/>
    <w:rsid w:val="008B71B3"/>
    <w:rsid w:val="008F0744"/>
    <w:rsid w:val="008F2641"/>
    <w:rsid w:val="0091285A"/>
    <w:rsid w:val="00917D82"/>
    <w:rsid w:val="00920472"/>
    <w:rsid w:val="00925A72"/>
    <w:rsid w:val="009337BF"/>
    <w:rsid w:val="009412A9"/>
    <w:rsid w:val="00977777"/>
    <w:rsid w:val="009850AD"/>
    <w:rsid w:val="00990858"/>
    <w:rsid w:val="009B028E"/>
    <w:rsid w:val="009B226C"/>
    <w:rsid w:val="009C623E"/>
    <w:rsid w:val="009D1F8F"/>
    <w:rsid w:val="009E15C5"/>
    <w:rsid w:val="009E290C"/>
    <w:rsid w:val="00A03228"/>
    <w:rsid w:val="00A044D4"/>
    <w:rsid w:val="00A10665"/>
    <w:rsid w:val="00A15C06"/>
    <w:rsid w:val="00A162C1"/>
    <w:rsid w:val="00A21CC4"/>
    <w:rsid w:val="00A3015D"/>
    <w:rsid w:val="00A31EA7"/>
    <w:rsid w:val="00A3448D"/>
    <w:rsid w:val="00A37636"/>
    <w:rsid w:val="00A45C79"/>
    <w:rsid w:val="00A537CE"/>
    <w:rsid w:val="00A62BBF"/>
    <w:rsid w:val="00A63977"/>
    <w:rsid w:val="00A64F85"/>
    <w:rsid w:val="00A736DD"/>
    <w:rsid w:val="00A81650"/>
    <w:rsid w:val="00A81860"/>
    <w:rsid w:val="00A83C1E"/>
    <w:rsid w:val="00AB2EAB"/>
    <w:rsid w:val="00AC1E6F"/>
    <w:rsid w:val="00AD6242"/>
    <w:rsid w:val="00AE7B0F"/>
    <w:rsid w:val="00AF7FD1"/>
    <w:rsid w:val="00B01D47"/>
    <w:rsid w:val="00B038A2"/>
    <w:rsid w:val="00B047D9"/>
    <w:rsid w:val="00B23185"/>
    <w:rsid w:val="00B327FC"/>
    <w:rsid w:val="00B35D5B"/>
    <w:rsid w:val="00B36D64"/>
    <w:rsid w:val="00B50DC2"/>
    <w:rsid w:val="00B53978"/>
    <w:rsid w:val="00B66916"/>
    <w:rsid w:val="00B736F1"/>
    <w:rsid w:val="00B76BA7"/>
    <w:rsid w:val="00B8399C"/>
    <w:rsid w:val="00B84902"/>
    <w:rsid w:val="00BA7411"/>
    <w:rsid w:val="00BB081A"/>
    <w:rsid w:val="00BB10FB"/>
    <w:rsid w:val="00BB2414"/>
    <w:rsid w:val="00BB2E0C"/>
    <w:rsid w:val="00BC12C8"/>
    <w:rsid w:val="00BC2D2E"/>
    <w:rsid w:val="00BC41A1"/>
    <w:rsid w:val="00BD5FAD"/>
    <w:rsid w:val="00BE6F35"/>
    <w:rsid w:val="00BF14D3"/>
    <w:rsid w:val="00BF1B11"/>
    <w:rsid w:val="00BF406C"/>
    <w:rsid w:val="00BF478D"/>
    <w:rsid w:val="00C0706B"/>
    <w:rsid w:val="00C26FE4"/>
    <w:rsid w:val="00C34E13"/>
    <w:rsid w:val="00C351FE"/>
    <w:rsid w:val="00C43C98"/>
    <w:rsid w:val="00C47923"/>
    <w:rsid w:val="00C67416"/>
    <w:rsid w:val="00C86D0C"/>
    <w:rsid w:val="00CC193E"/>
    <w:rsid w:val="00CC2F15"/>
    <w:rsid w:val="00CC606D"/>
    <w:rsid w:val="00CD3720"/>
    <w:rsid w:val="00CD497F"/>
    <w:rsid w:val="00CD5381"/>
    <w:rsid w:val="00D01C6A"/>
    <w:rsid w:val="00D03E1E"/>
    <w:rsid w:val="00D11899"/>
    <w:rsid w:val="00D500E7"/>
    <w:rsid w:val="00D56CB6"/>
    <w:rsid w:val="00D57B63"/>
    <w:rsid w:val="00D65CAF"/>
    <w:rsid w:val="00D674C8"/>
    <w:rsid w:val="00D759CA"/>
    <w:rsid w:val="00DA1879"/>
    <w:rsid w:val="00DA4B1D"/>
    <w:rsid w:val="00DB04A9"/>
    <w:rsid w:val="00DB1A2D"/>
    <w:rsid w:val="00DB5AB9"/>
    <w:rsid w:val="00DC1357"/>
    <w:rsid w:val="00DC35AC"/>
    <w:rsid w:val="00DD77D6"/>
    <w:rsid w:val="00DD79E0"/>
    <w:rsid w:val="00DE35AB"/>
    <w:rsid w:val="00DE6A62"/>
    <w:rsid w:val="00DF1EE4"/>
    <w:rsid w:val="00DF3596"/>
    <w:rsid w:val="00E10DA8"/>
    <w:rsid w:val="00E12DC0"/>
    <w:rsid w:val="00E23D01"/>
    <w:rsid w:val="00E3117B"/>
    <w:rsid w:val="00E4520A"/>
    <w:rsid w:val="00E45A93"/>
    <w:rsid w:val="00E473C6"/>
    <w:rsid w:val="00E47C87"/>
    <w:rsid w:val="00E55456"/>
    <w:rsid w:val="00E820AA"/>
    <w:rsid w:val="00E94DD0"/>
    <w:rsid w:val="00E9641B"/>
    <w:rsid w:val="00EA2C34"/>
    <w:rsid w:val="00EA4670"/>
    <w:rsid w:val="00EB150E"/>
    <w:rsid w:val="00EB7424"/>
    <w:rsid w:val="00ED3ED2"/>
    <w:rsid w:val="00ED7702"/>
    <w:rsid w:val="00EE28C0"/>
    <w:rsid w:val="00EF597D"/>
    <w:rsid w:val="00EF6E5F"/>
    <w:rsid w:val="00F12806"/>
    <w:rsid w:val="00F27F37"/>
    <w:rsid w:val="00F52D36"/>
    <w:rsid w:val="00F533B4"/>
    <w:rsid w:val="00F56B3D"/>
    <w:rsid w:val="00F60E10"/>
    <w:rsid w:val="00F6155D"/>
    <w:rsid w:val="00F67576"/>
    <w:rsid w:val="00F715CB"/>
    <w:rsid w:val="00F72F2C"/>
    <w:rsid w:val="00F8429A"/>
    <w:rsid w:val="00F871C7"/>
    <w:rsid w:val="00F94355"/>
    <w:rsid w:val="00FA13E3"/>
    <w:rsid w:val="00FA426E"/>
    <w:rsid w:val="00FA5CD7"/>
    <w:rsid w:val="00FD2C1E"/>
    <w:rsid w:val="00FE0211"/>
    <w:rsid w:val="00FE6606"/>
    <w:rsid w:val="00FF5F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7A2FAF7-B3D2-4556-A7C2-48C68B5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441339222">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960460772">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asdmag.org/archives/17832" TargetMode="External"/><Relationship Id="rId3" Type="http://schemas.openxmlformats.org/officeDocument/2006/relationships/hyperlink" Target="https://shorturl.at/lxVD6" TargetMode="External"/><Relationship Id="rId7" Type="http://schemas.openxmlformats.org/officeDocument/2006/relationships/hyperlink" Target="https://shorturl.at/xMrVw" TargetMode="External"/><Relationship Id="rId2" Type="http://schemas.openxmlformats.org/officeDocument/2006/relationships/hyperlink" Target="https://shorturl.at/YMYxk" TargetMode="External"/><Relationship Id="rId1" Type="http://schemas.openxmlformats.org/officeDocument/2006/relationships/hyperlink" Target="https://www.almeezan.qa/LawArticles.aspx?LawTreeSectionID=6677&amp;lawId=2284&amp;language=ar" TargetMode="External"/><Relationship Id="rId6" Type="http://schemas.openxmlformats.org/officeDocument/2006/relationships/hyperlink" Target="https://shorturl.at/xMrVw" TargetMode="External"/><Relationship Id="rId5" Type="http://schemas.openxmlformats.org/officeDocument/2006/relationships/hyperlink" Target="https://shorturl.at/nzpS0" TargetMode="External"/><Relationship Id="rId4" Type="http://schemas.openxmlformats.org/officeDocument/2006/relationships/hyperlink" Target="https://shorturl.at/uwsvQ" TargetMode="External"/><Relationship Id="rId9" Type="http://schemas.openxmlformats.org/officeDocument/2006/relationships/hyperlink" Target="https://shorturl.at/Q3Gd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2</cp:revision>
  <dcterms:created xsi:type="dcterms:W3CDTF">2026-07-20T13:20:00Z</dcterms:created>
  <dcterms:modified xsi:type="dcterms:W3CDTF">2026-07-20T13:20:00Z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