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29E73" w14:textId="106F475A" w:rsidR="001251C1" w:rsidRDefault="001251C1" w:rsidP="001251C1">
      <w:pPr>
        <w:rPr>
          <w:b/>
          <w:bCs/>
          <w:lang w:val="fr-FR"/>
        </w:rPr>
      </w:pPr>
    </w:p>
    <w:p w14:paraId="47B56211" w14:textId="77777777" w:rsidR="001251C1" w:rsidRPr="003D19A4" w:rsidRDefault="001251C1" w:rsidP="001251C1">
      <w:pPr>
        <w:jc w:val="center"/>
        <w:rPr>
          <w:rFonts w:ascii="Arial Black" w:hAnsi="Arial Black"/>
          <w:b/>
          <w:bCs/>
          <w:sz w:val="28"/>
          <w:szCs w:val="28"/>
          <w:lang w:val="fr-FR"/>
        </w:rPr>
      </w:pPr>
      <w:r w:rsidRPr="003D19A4">
        <w:rPr>
          <w:rFonts w:ascii="Arial Black" w:hAnsi="Arial Black"/>
          <w:b/>
          <w:bCs/>
          <w:sz w:val="28"/>
          <w:szCs w:val="28"/>
          <w:lang w:val="fr-FR"/>
        </w:rPr>
        <w:t>RAPPORT ALTERNATIF SUR LA MIGRATION</w:t>
      </w:r>
    </w:p>
    <w:p w14:paraId="147FFA2C" w14:textId="77777777" w:rsidR="001251C1" w:rsidRDefault="001251C1" w:rsidP="001251C1">
      <w:pPr>
        <w:jc w:val="both"/>
        <w:rPr>
          <w:rFonts w:ascii="Malgun Gothic" w:hAnsi="Malgun Gothic"/>
          <w:szCs w:val="24"/>
          <w:lang w:val="fr-CA"/>
        </w:rPr>
      </w:pPr>
      <w:r w:rsidRPr="00A12DF9">
        <w:rPr>
          <w:rFonts w:ascii="Malgun Gothic" w:hAnsi="Malgun Gothic"/>
          <w:szCs w:val="24"/>
          <w:lang w:val="fr-CA"/>
        </w:rPr>
        <w:t xml:space="preserve">Le </w:t>
      </w:r>
      <w:r>
        <w:rPr>
          <w:rFonts w:ascii="Malgun Gothic" w:hAnsi="Malgun Gothic"/>
          <w:szCs w:val="24"/>
          <w:lang w:val="fr-CA"/>
        </w:rPr>
        <w:t>Réseau Migration Développement (</w:t>
      </w:r>
      <w:r w:rsidRPr="00A12DF9">
        <w:rPr>
          <w:rFonts w:ascii="Malgun Gothic" w:hAnsi="Malgun Gothic"/>
          <w:szCs w:val="24"/>
          <w:lang w:val="fr-CA"/>
        </w:rPr>
        <w:t>REMIDEV</w:t>
      </w:r>
      <w:r>
        <w:rPr>
          <w:rFonts w:ascii="Malgun Gothic" w:hAnsi="Malgun Gothic"/>
          <w:szCs w:val="24"/>
          <w:lang w:val="fr-CA"/>
        </w:rPr>
        <w:t xml:space="preserve">) du Sénégal </w:t>
      </w:r>
      <w:r w:rsidRPr="00A12DF9">
        <w:rPr>
          <w:rFonts w:ascii="Malgun Gothic" w:hAnsi="Malgun Gothic"/>
          <w:szCs w:val="24"/>
          <w:lang w:val="fr-CA"/>
        </w:rPr>
        <w:t>présente ses compliments aux membres du Comit</w:t>
      </w:r>
      <w:r>
        <w:rPr>
          <w:rFonts w:ascii="Malgun Gothic" w:hAnsi="Malgun Gothic"/>
          <w:szCs w:val="24"/>
          <w:lang w:val="fr-CA"/>
        </w:rPr>
        <w:t>é</w:t>
      </w:r>
      <w:r w:rsidRPr="00A12DF9">
        <w:rPr>
          <w:rFonts w:ascii="Malgun Gothic" w:hAnsi="Malgun Gothic"/>
          <w:szCs w:val="24"/>
          <w:lang w:val="fr-CA"/>
        </w:rPr>
        <w:t xml:space="preserve"> des Nations Unies sur la protection des droits de tous les travailleurs migrants et de leur famille (CDTMF) et a l’honneur de leur soumettre un rapport alternatif </w:t>
      </w:r>
      <w:r>
        <w:rPr>
          <w:rFonts w:ascii="Malgun Gothic" w:hAnsi="Malgun Gothic"/>
          <w:szCs w:val="24"/>
          <w:lang w:val="fr-CA"/>
        </w:rPr>
        <w:t>à</w:t>
      </w:r>
      <w:r w:rsidRPr="00A12DF9">
        <w:rPr>
          <w:rFonts w:ascii="Malgun Gothic" w:hAnsi="Malgun Gothic"/>
          <w:szCs w:val="24"/>
          <w:lang w:val="fr-CA"/>
        </w:rPr>
        <w:t xml:space="preserve"> celui que le Sénégal a soumis au Comité, conformément </w:t>
      </w:r>
      <w:r>
        <w:rPr>
          <w:rFonts w:ascii="Malgun Gothic" w:hAnsi="Malgun Gothic"/>
          <w:szCs w:val="24"/>
          <w:lang w:val="fr-CA"/>
        </w:rPr>
        <w:t>à</w:t>
      </w:r>
      <w:r w:rsidRPr="00A12DF9">
        <w:rPr>
          <w:rFonts w:ascii="Malgun Gothic" w:hAnsi="Malgun Gothic"/>
          <w:szCs w:val="24"/>
          <w:lang w:val="fr-CA"/>
        </w:rPr>
        <w:t xml:space="preserve"> l’article 73 de la Convention internationale relative aux droits de tous les travailleurs migrants et de leur famille.</w:t>
      </w:r>
    </w:p>
    <w:p w14:paraId="0CAD3537"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Le REMIDEV se félicite de la soumission de ce rapport périodique par les autorités sénégalaises qui est l’expression de leur engagement à ne ménager aucun effort pour respecter leur signature et surtout de leur volonté de maintenir un dialogue régulier et franc avec le CDTMF sur la mise en œuvre effective de la convention.</w:t>
      </w:r>
    </w:p>
    <w:p w14:paraId="6BDF408A" w14:textId="77777777" w:rsidR="001251C1" w:rsidRDefault="001251C1" w:rsidP="001251C1">
      <w:pPr>
        <w:jc w:val="both"/>
        <w:rPr>
          <w:rFonts w:ascii="Malgun Gothic" w:hAnsi="Malgun Gothic"/>
          <w:szCs w:val="24"/>
          <w:lang w:val="fr-CA"/>
        </w:rPr>
      </w:pPr>
      <w:r w:rsidRPr="00A12DF9">
        <w:rPr>
          <w:rFonts w:ascii="Malgun Gothic" w:hAnsi="Malgun Gothic"/>
          <w:szCs w:val="24"/>
          <w:lang w:val="fr-CA"/>
        </w:rPr>
        <w:t>L’objet du présent Rapport est de partager avec les membres du CDTMF nos observations sur le contenu du 4</w:t>
      </w:r>
      <w:r w:rsidRPr="00A12DF9">
        <w:rPr>
          <w:rFonts w:ascii="Malgun Gothic" w:hAnsi="Malgun Gothic"/>
          <w:szCs w:val="24"/>
          <w:vertAlign w:val="superscript"/>
          <w:lang w:val="fr-CA"/>
        </w:rPr>
        <w:t>e</w:t>
      </w:r>
      <w:r w:rsidRPr="00A12DF9">
        <w:rPr>
          <w:rFonts w:ascii="Malgun Gothic" w:hAnsi="Malgun Gothic"/>
          <w:szCs w:val="24"/>
          <w:lang w:val="fr-CA"/>
        </w:rPr>
        <w:t xml:space="preserve"> Rapport périodique du Sénégal sur la mise en œuvre des dispositions pertinentes de la Convention pour la protection de tous les travailleurs migrants et de leur famille. </w:t>
      </w:r>
    </w:p>
    <w:p w14:paraId="6EBBEBDC" w14:textId="77777777" w:rsidR="001251C1" w:rsidRDefault="001251C1" w:rsidP="001251C1">
      <w:pPr>
        <w:jc w:val="both"/>
        <w:rPr>
          <w:rFonts w:ascii="Malgun Gothic" w:hAnsi="Malgun Gothic"/>
          <w:szCs w:val="24"/>
          <w:lang w:val="fr-CA"/>
        </w:rPr>
      </w:pPr>
      <w:r>
        <w:rPr>
          <w:rFonts w:ascii="Malgun Gothic" w:hAnsi="Malgun Gothic"/>
          <w:szCs w:val="24"/>
          <w:lang w:val="fr-CA"/>
        </w:rPr>
        <w:t>Celles-ci porteront aussi bien sur les sujets abordés par les autorités dans le Rapport périodique que sur des questions que notre organisation souhaiterait aussi porter à votre connaissance pour un meilleur respect par les autorités sénégalaises de leurs obligations conventionnelles.</w:t>
      </w:r>
    </w:p>
    <w:p w14:paraId="3A544F55" w14:textId="77777777" w:rsidR="001251C1" w:rsidRPr="002A2E76" w:rsidRDefault="001251C1" w:rsidP="001251C1">
      <w:pPr>
        <w:numPr>
          <w:ilvl w:val="0"/>
          <w:numId w:val="1"/>
        </w:numPr>
        <w:jc w:val="both"/>
        <w:rPr>
          <w:rFonts w:ascii="Malgun Gothic" w:hAnsi="Malgun Gothic"/>
          <w:b/>
          <w:bCs/>
          <w:szCs w:val="24"/>
          <w:lang w:val="fr-CA"/>
        </w:rPr>
      </w:pPr>
      <w:r w:rsidRPr="002A2E76">
        <w:rPr>
          <w:rFonts w:ascii="Malgun Gothic" w:hAnsi="Malgun Gothic"/>
          <w:b/>
          <w:bCs/>
          <w:szCs w:val="24"/>
          <w:lang w:val="fr-CA"/>
        </w:rPr>
        <w:t>Le rapatriement et l’expulsion des Sénégalais établis à l’étranger :</w:t>
      </w:r>
    </w:p>
    <w:p w14:paraId="4F7445D2" w14:textId="77777777" w:rsidR="001251C1" w:rsidRDefault="001251C1" w:rsidP="001251C1">
      <w:pPr>
        <w:jc w:val="both"/>
        <w:rPr>
          <w:rFonts w:ascii="Malgun Gothic" w:hAnsi="Malgun Gothic"/>
          <w:szCs w:val="24"/>
          <w:lang w:val="fr-CA"/>
        </w:rPr>
      </w:pPr>
      <w:r>
        <w:rPr>
          <w:rFonts w:ascii="Malgun Gothic" w:hAnsi="Malgun Gothic"/>
          <w:szCs w:val="24"/>
          <w:lang w:val="fr-CA"/>
        </w:rPr>
        <w:t>Le rapport étatique fait état (paragraphes 18 à 21) de l’existence d’accords de coopération et d’entraide judiciaires, et surtout, d’un réseau diplomatique et consulaire devant faciliter le respect des droits des travailleurs migrants sénégalais, mais dans la pratique</w:t>
      </w:r>
      <w:r w:rsidRPr="00A12DF9">
        <w:rPr>
          <w:rFonts w:ascii="Malgun Gothic" w:hAnsi="Malgun Gothic"/>
          <w:szCs w:val="24"/>
          <w:lang w:val="fr-CA"/>
        </w:rPr>
        <w:t xml:space="preserve">, </w:t>
      </w:r>
      <w:r>
        <w:rPr>
          <w:rFonts w:ascii="Malgun Gothic" w:hAnsi="Malgun Gothic"/>
          <w:szCs w:val="24"/>
          <w:lang w:val="fr-CA"/>
        </w:rPr>
        <w:t xml:space="preserve">l’assistance à nos compatriotes est faible, pour ne pas dire inexistant, du fait notamment d’un manque criard de personnel juridique dans les </w:t>
      </w:r>
      <w:r>
        <w:rPr>
          <w:rFonts w:ascii="Malgun Gothic" w:hAnsi="Malgun Gothic"/>
          <w:szCs w:val="24"/>
          <w:lang w:val="fr-CA"/>
        </w:rPr>
        <w:lastRenderedPageBreak/>
        <w:t>représentations consulaires et d’une carte diplomatique en totale inadéquation avec la répartition géographique des sénégalais à l’étranger.</w:t>
      </w:r>
    </w:p>
    <w:p w14:paraId="3AA7703E"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On souhaiterait donc voir les autorités nationales diligenter un recensement des Sénégalais à l’étranger afin de réviser la carte diplomatique et consulaire du pays et outiller davantage les représentations consulaires en personnels capables d’assurer une bonne protection des droits de</w:t>
      </w:r>
      <w:r w:rsidRPr="00A12DF9">
        <w:rPr>
          <w:rFonts w:ascii="Malgun Gothic" w:hAnsi="Malgun Gothic"/>
          <w:szCs w:val="24"/>
          <w:lang w:val="fr-CA"/>
        </w:rPr>
        <w:t xml:space="preserve"> nos compatriotes à l'étranger.</w:t>
      </w:r>
    </w:p>
    <w:p w14:paraId="4489C407" w14:textId="77777777" w:rsidR="001251C1" w:rsidRPr="002A2E76" w:rsidRDefault="001251C1" w:rsidP="001251C1">
      <w:pPr>
        <w:numPr>
          <w:ilvl w:val="0"/>
          <w:numId w:val="1"/>
        </w:numPr>
        <w:jc w:val="both"/>
        <w:rPr>
          <w:rFonts w:ascii="Malgun Gothic" w:hAnsi="Malgun Gothic"/>
          <w:b/>
          <w:bCs/>
          <w:szCs w:val="24"/>
          <w:lang w:val="fr-CA"/>
        </w:rPr>
      </w:pPr>
      <w:r w:rsidRPr="002A2E76">
        <w:rPr>
          <w:rFonts w:ascii="Malgun Gothic" w:hAnsi="Malgun Gothic"/>
          <w:b/>
          <w:bCs/>
          <w:szCs w:val="24"/>
          <w:lang w:val="fr-CA"/>
        </w:rPr>
        <w:t>Lutte contre l’émigration irrégulière</w:t>
      </w:r>
    </w:p>
    <w:p w14:paraId="743221A6" w14:textId="77777777" w:rsidR="001251C1" w:rsidRDefault="001251C1" w:rsidP="001251C1">
      <w:pPr>
        <w:jc w:val="both"/>
        <w:rPr>
          <w:rFonts w:ascii="Malgun Gothic" w:hAnsi="Malgun Gothic"/>
          <w:szCs w:val="24"/>
          <w:lang w:val="fr-CA"/>
        </w:rPr>
      </w:pPr>
      <w:r>
        <w:rPr>
          <w:rFonts w:ascii="Malgun Gothic" w:hAnsi="Malgun Gothic"/>
          <w:szCs w:val="24"/>
          <w:lang w:val="fr-CA"/>
        </w:rPr>
        <w:t>Contrairement à ce que les autorités affirment (</w:t>
      </w:r>
      <w:r w:rsidRPr="00A12DF9">
        <w:rPr>
          <w:rFonts w:ascii="Malgun Gothic" w:hAnsi="Malgun Gothic"/>
          <w:szCs w:val="24"/>
          <w:lang w:val="fr-CA"/>
        </w:rPr>
        <w:t>point 26</w:t>
      </w:r>
      <w:r>
        <w:rPr>
          <w:rFonts w:ascii="Malgun Gothic" w:hAnsi="Malgun Gothic"/>
          <w:szCs w:val="24"/>
          <w:lang w:val="fr-CA"/>
        </w:rPr>
        <w:t>), les départs irréguliers vers l’Europe continuent de plus belle. Entre janvier et août 2023, 11.439 migrants venus du Sénégal ont débarqué sur les plages des Iles Canaries</w:t>
      </w:r>
      <w:r>
        <w:rPr>
          <w:rStyle w:val="Appelnotedebasdep"/>
          <w:rFonts w:ascii="Malgun Gothic" w:hAnsi="Malgun Gothic"/>
          <w:szCs w:val="24"/>
          <w:lang w:val="fr-CA"/>
        </w:rPr>
        <w:footnoteReference w:id="1"/>
      </w:r>
      <w:r>
        <w:rPr>
          <w:rFonts w:ascii="Malgun Gothic" w:hAnsi="Malgun Gothic"/>
          <w:szCs w:val="24"/>
          <w:lang w:val="fr-CA"/>
        </w:rPr>
        <w:t>. Cette recrudescence des départs, avec son cortège de drames, était, en grande partie, liée à la situation politique et sociale difficiles que le Sénégal et beaucoup de pays du Sahel ont connues. S’y ajoute le fait que les opérations d’arraisonnement effectuées avec la coopération européenne sont tellement inefficaces qu’on peut se demander si la stratégie mise en œuvre est encore efficiente pour arrêter l’hémorragie.</w:t>
      </w:r>
    </w:p>
    <w:p w14:paraId="4241C6BB"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Il serait souhaitable que les autorités nationales mettent en place de vraies politiques d’éducation et d’emploi et pacifient l’espace politique afin que tous les citoyens puissent participer à l’effort de construction nationale au Sénégal.</w:t>
      </w:r>
    </w:p>
    <w:p w14:paraId="7071BD49" w14:textId="77777777" w:rsidR="001251C1" w:rsidRPr="002A2E76" w:rsidRDefault="001251C1" w:rsidP="001251C1">
      <w:pPr>
        <w:numPr>
          <w:ilvl w:val="0"/>
          <w:numId w:val="1"/>
        </w:numPr>
        <w:jc w:val="both"/>
        <w:rPr>
          <w:rFonts w:ascii="Malgun Gothic" w:hAnsi="Malgun Gothic"/>
          <w:b/>
          <w:bCs/>
          <w:szCs w:val="24"/>
          <w:lang w:val="fr-CA"/>
        </w:rPr>
      </w:pPr>
      <w:r w:rsidRPr="002A2E76">
        <w:rPr>
          <w:rFonts w:ascii="Malgun Gothic" w:hAnsi="Malgun Gothic"/>
          <w:b/>
          <w:bCs/>
          <w:szCs w:val="24"/>
          <w:lang w:val="fr-CA"/>
        </w:rPr>
        <w:t xml:space="preserve">La protection des travailleurs migrants </w:t>
      </w:r>
      <w:r>
        <w:rPr>
          <w:rFonts w:ascii="Malgun Gothic" w:hAnsi="Malgun Gothic"/>
          <w:b/>
          <w:bCs/>
          <w:szCs w:val="24"/>
          <w:lang w:val="fr-CA"/>
        </w:rPr>
        <w:t>au Sénégal</w:t>
      </w:r>
    </w:p>
    <w:p w14:paraId="5677930D" w14:textId="77777777" w:rsidR="001251C1" w:rsidRDefault="001251C1" w:rsidP="001251C1">
      <w:pPr>
        <w:jc w:val="both"/>
        <w:rPr>
          <w:rFonts w:ascii="Malgun Gothic" w:hAnsi="Malgun Gothic"/>
          <w:szCs w:val="24"/>
          <w:lang w:val="fr-CA"/>
        </w:rPr>
      </w:pPr>
      <w:r>
        <w:rPr>
          <w:rFonts w:ascii="Malgun Gothic" w:hAnsi="Malgun Gothic"/>
          <w:szCs w:val="24"/>
          <w:lang w:val="fr-CA"/>
        </w:rPr>
        <w:t>Le mandat de protection des droits des travailleurs migrants (</w:t>
      </w:r>
      <w:r w:rsidRPr="00A12DF9">
        <w:rPr>
          <w:rFonts w:ascii="Malgun Gothic" w:hAnsi="Malgun Gothic"/>
          <w:szCs w:val="24"/>
          <w:lang w:val="fr-CA"/>
        </w:rPr>
        <w:t>point 41</w:t>
      </w:r>
      <w:r>
        <w:rPr>
          <w:rFonts w:ascii="Malgun Gothic" w:hAnsi="Malgun Gothic"/>
          <w:szCs w:val="24"/>
          <w:lang w:val="fr-CA"/>
        </w:rPr>
        <w:t xml:space="preserve">) par le Comité sénégalais des droits de l’homme (CSDH) est totalement méconnu dans le pays. Depuis l’avènement du président </w:t>
      </w:r>
      <w:proofErr w:type="spellStart"/>
      <w:r>
        <w:rPr>
          <w:rFonts w:ascii="Malgun Gothic" w:hAnsi="Malgun Gothic"/>
          <w:szCs w:val="24"/>
          <w:lang w:val="fr-CA"/>
        </w:rPr>
        <w:t>Macky</w:t>
      </w:r>
      <w:proofErr w:type="spellEnd"/>
      <w:r>
        <w:rPr>
          <w:rFonts w:ascii="Malgun Gothic" w:hAnsi="Malgun Gothic"/>
          <w:szCs w:val="24"/>
          <w:lang w:val="fr-CA"/>
        </w:rPr>
        <w:t xml:space="preserve"> SALL à la tête du pays, les organisations de droits de l’homme du pays et les victimes de violations de droits de l’homme se sont détournées du</w:t>
      </w:r>
      <w:r w:rsidRPr="00A12DF9">
        <w:rPr>
          <w:rFonts w:ascii="Malgun Gothic" w:hAnsi="Malgun Gothic"/>
          <w:szCs w:val="24"/>
          <w:lang w:val="fr-CA"/>
        </w:rPr>
        <w:t xml:space="preserve"> CSDH </w:t>
      </w:r>
      <w:r>
        <w:rPr>
          <w:rFonts w:ascii="Malgun Gothic" w:hAnsi="Malgun Gothic"/>
          <w:szCs w:val="24"/>
          <w:lang w:val="fr-CA"/>
        </w:rPr>
        <w:t xml:space="preserve">du fait de sa politisation et cela a eu pour conséquence, une perte de crédibilité et du statut A au niveau du système des Nations Unies. </w:t>
      </w:r>
    </w:p>
    <w:p w14:paraId="44514B8A"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lastRenderedPageBreak/>
        <w:t xml:space="preserve">Le Comité devrait interroger les autorités sénégalaises sur les mesures prises pour permettre à cette institution, la première à exister dans le monde francophone africain, de redorer son blason et participer, aussi bien, à l’effort de promotion des droits des travailleurs migrants au Sénégal, qu’à leur protection, étant donné le nombre d’allégations de violations de leurs droits, notamment dans les zones d’orpaillage du sud du pays. </w:t>
      </w:r>
    </w:p>
    <w:p w14:paraId="7DCBC399"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Il faudrait également (</w:t>
      </w:r>
      <w:r w:rsidRPr="00A12DF9">
        <w:rPr>
          <w:rFonts w:ascii="Malgun Gothic" w:hAnsi="Malgun Gothic"/>
          <w:szCs w:val="24"/>
          <w:lang w:val="fr-CA"/>
        </w:rPr>
        <w:t>point</w:t>
      </w:r>
      <w:r>
        <w:rPr>
          <w:rFonts w:ascii="Malgun Gothic" w:hAnsi="Malgun Gothic"/>
          <w:szCs w:val="24"/>
          <w:lang w:val="fr-CA"/>
        </w:rPr>
        <w:t>s</w:t>
      </w:r>
      <w:r w:rsidRPr="00A12DF9">
        <w:rPr>
          <w:rFonts w:ascii="Malgun Gothic" w:hAnsi="Malgun Gothic"/>
          <w:szCs w:val="24"/>
          <w:lang w:val="fr-CA"/>
        </w:rPr>
        <w:t xml:space="preserve"> 47</w:t>
      </w:r>
      <w:r>
        <w:rPr>
          <w:rFonts w:ascii="Malgun Gothic" w:hAnsi="Malgun Gothic"/>
          <w:szCs w:val="24"/>
          <w:lang w:val="fr-CA"/>
        </w:rPr>
        <w:t xml:space="preserve">) mieux informer les travailleurs migrants sur les procédures administratives et judiciaires qui leur sont offertes en cas de besoin mais aussi en cas de violation de leurs droits. Rien n’est mis en place </w:t>
      </w:r>
      <w:r w:rsidRPr="00A12DF9">
        <w:rPr>
          <w:rFonts w:ascii="Malgun Gothic" w:hAnsi="Malgun Gothic"/>
          <w:szCs w:val="24"/>
          <w:lang w:val="fr-CA"/>
        </w:rPr>
        <w:t>pour informer ces migrants</w:t>
      </w:r>
      <w:r>
        <w:rPr>
          <w:rFonts w:ascii="Malgun Gothic" w:hAnsi="Malgun Gothic"/>
          <w:szCs w:val="24"/>
          <w:lang w:val="fr-CA"/>
        </w:rPr>
        <w:t xml:space="preserve"> de l’existence d’un fonds d’assistance judiciaire</w:t>
      </w:r>
      <w:r w:rsidRPr="00A12DF9">
        <w:rPr>
          <w:rFonts w:ascii="Malgun Gothic" w:hAnsi="Malgun Gothic"/>
          <w:szCs w:val="24"/>
          <w:lang w:val="fr-CA"/>
        </w:rPr>
        <w:t>,</w:t>
      </w:r>
      <w:r>
        <w:rPr>
          <w:rFonts w:ascii="Malgun Gothic" w:hAnsi="Malgun Gothic"/>
          <w:szCs w:val="24"/>
          <w:lang w:val="fr-CA"/>
        </w:rPr>
        <w:t xml:space="preserve"> de possibilités d’obtenir la nationalité sénégalaise,</w:t>
      </w:r>
      <w:r w:rsidRPr="00A12DF9">
        <w:rPr>
          <w:rFonts w:ascii="Malgun Gothic" w:hAnsi="Malgun Gothic"/>
          <w:szCs w:val="24"/>
          <w:lang w:val="fr-CA"/>
        </w:rPr>
        <w:t xml:space="preserve"> les sensibiliser et leur faciliter la saisine, sans aucune peur.</w:t>
      </w:r>
    </w:p>
    <w:p w14:paraId="0D1BB5F4" w14:textId="77777777" w:rsidR="001251C1" w:rsidRPr="00A378F8" w:rsidRDefault="001251C1" w:rsidP="001251C1">
      <w:pPr>
        <w:numPr>
          <w:ilvl w:val="0"/>
          <w:numId w:val="1"/>
        </w:numPr>
        <w:jc w:val="both"/>
        <w:rPr>
          <w:rFonts w:ascii="Malgun Gothic" w:hAnsi="Malgun Gothic"/>
          <w:b/>
          <w:bCs/>
          <w:szCs w:val="24"/>
          <w:lang w:val="fr-CA"/>
        </w:rPr>
      </w:pPr>
      <w:r w:rsidRPr="00A378F8">
        <w:rPr>
          <w:rFonts w:ascii="Malgun Gothic" w:hAnsi="Malgun Gothic"/>
          <w:b/>
          <w:bCs/>
          <w:szCs w:val="24"/>
          <w:lang w:val="fr-CA"/>
        </w:rPr>
        <w:t>Le recrutement illicite de travailleurs migrants</w:t>
      </w:r>
    </w:p>
    <w:p w14:paraId="7B1FFE5F"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Une législation sur le recrutement illicite de travailleurs migrants (</w:t>
      </w:r>
      <w:r w:rsidRPr="00A12DF9">
        <w:rPr>
          <w:rFonts w:ascii="Malgun Gothic" w:hAnsi="Malgun Gothic"/>
          <w:szCs w:val="24"/>
          <w:lang w:val="fr-CA"/>
        </w:rPr>
        <w:t>point</w:t>
      </w:r>
      <w:r>
        <w:rPr>
          <w:rFonts w:ascii="Malgun Gothic" w:hAnsi="Malgun Gothic"/>
          <w:szCs w:val="24"/>
          <w:lang w:val="fr-CA"/>
        </w:rPr>
        <w:t>s</w:t>
      </w:r>
      <w:r w:rsidRPr="00A12DF9">
        <w:rPr>
          <w:rFonts w:ascii="Malgun Gothic" w:hAnsi="Malgun Gothic"/>
          <w:szCs w:val="24"/>
          <w:lang w:val="fr-CA"/>
        </w:rPr>
        <w:t xml:space="preserve"> 133</w:t>
      </w:r>
      <w:r>
        <w:rPr>
          <w:rFonts w:ascii="Malgun Gothic" w:hAnsi="Malgun Gothic"/>
          <w:szCs w:val="24"/>
          <w:lang w:val="fr-CA"/>
        </w:rPr>
        <w:t xml:space="preserve"> à 136)</w:t>
      </w:r>
      <w:r w:rsidRPr="00A12DF9">
        <w:rPr>
          <w:rFonts w:ascii="Malgun Gothic" w:hAnsi="Malgun Gothic"/>
          <w:szCs w:val="24"/>
          <w:lang w:val="fr-CA"/>
        </w:rPr>
        <w:t xml:space="preserve"> </w:t>
      </w:r>
      <w:r>
        <w:rPr>
          <w:rFonts w:ascii="Malgun Gothic" w:hAnsi="Malgun Gothic"/>
          <w:szCs w:val="24"/>
          <w:lang w:val="fr-CA"/>
        </w:rPr>
        <w:t xml:space="preserve">existe bel et bien, mais elle n’est pas efficace du fait de la faiblesse des moyens mis à la disposition de l’administration du travail pour y faire face, comme </w:t>
      </w:r>
      <w:r w:rsidRPr="00A12DF9">
        <w:rPr>
          <w:rFonts w:ascii="Malgun Gothic" w:hAnsi="Malgun Gothic"/>
          <w:szCs w:val="24"/>
          <w:lang w:val="fr-CA"/>
        </w:rPr>
        <w:t>le reconnaît d'ailleurs le rapport.</w:t>
      </w:r>
      <w:r>
        <w:rPr>
          <w:rFonts w:ascii="Malgun Gothic" w:hAnsi="Malgun Gothic"/>
          <w:szCs w:val="24"/>
          <w:lang w:val="fr-CA"/>
        </w:rPr>
        <w:t xml:space="preserve"> Un des vrais handicaps à la lutte efficace contre ce fléau est l’absence de politique nationale de la migration dans le pays, qui fait que les autorités subissent l’influence de leurs partenaires, notamment européens, jusqu’à leur emprunter leur langage</w:t>
      </w:r>
      <w:r>
        <w:rPr>
          <w:rStyle w:val="Appelnotedebasdep"/>
          <w:rFonts w:ascii="Malgun Gothic" w:hAnsi="Malgun Gothic"/>
          <w:szCs w:val="24"/>
          <w:lang w:val="fr-CA"/>
        </w:rPr>
        <w:footnoteReference w:id="2"/>
      </w:r>
      <w:r>
        <w:rPr>
          <w:rFonts w:ascii="Malgun Gothic" w:hAnsi="Malgun Gothic"/>
          <w:szCs w:val="24"/>
          <w:lang w:val="fr-CA"/>
        </w:rPr>
        <w:t>.</w:t>
      </w:r>
    </w:p>
    <w:p w14:paraId="156E6D36" w14:textId="77777777" w:rsidR="001251C1" w:rsidRPr="00A12DF9" w:rsidRDefault="001251C1" w:rsidP="001251C1">
      <w:pPr>
        <w:jc w:val="both"/>
        <w:rPr>
          <w:rFonts w:ascii="Malgun Gothic" w:hAnsi="Malgun Gothic"/>
          <w:szCs w:val="24"/>
          <w:lang w:val="fr-CA"/>
        </w:rPr>
      </w:pPr>
      <w:r>
        <w:rPr>
          <w:rFonts w:ascii="Malgun Gothic" w:hAnsi="Malgun Gothic"/>
          <w:szCs w:val="24"/>
          <w:lang w:val="fr-CA"/>
        </w:rPr>
        <w:t xml:space="preserve">Un des moyens efficaces de lutter contre ce fléau serait de réviser les protocoles et accords signés avec les partenaires et surtout </w:t>
      </w:r>
      <w:r w:rsidRPr="00A12DF9">
        <w:rPr>
          <w:rFonts w:ascii="Malgun Gothic" w:hAnsi="Malgun Gothic"/>
          <w:szCs w:val="24"/>
          <w:lang w:val="fr-CA"/>
        </w:rPr>
        <w:t>point 142: oui: urgence de repenser tous les protocoles et accords bilatéraux</w:t>
      </w:r>
      <w:r>
        <w:rPr>
          <w:rFonts w:ascii="Malgun Gothic" w:hAnsi="Malgun Gothic"/>
          <w:szCs w:val="24"/>
          <w:lang w:val="fr-CA"/>
        </w:rPr>
        <w:t xml:space="preserve"> et surtout d’améliorer les rapports avec les organisations de la société civile et les syndicats travaillant sur la problématique.  </w:t>
      </w:r>
    </w:p>
    <w:p w14:paraId="48607D45" w14:textId="77777777" w:rsidR="001251C1" w:rsidRPr="00A515C1" w:rsidRDefault="001251C1" w:rsidP="001251C1">
      <w:pPr>
        <w:numPr>
          <w:ilvl w:val="0"/>
          <w:numId w:val="1"/>
        </w:numPr>
        <w:jc w:val="both"/>
        <w:rPr>
          <w:rFonts w:ascii="Malgun Gothic" w:hAnsi="Malgun Gothic"/>
          <w:b/>
          <w:bCs/>
          <w:szCs w:val="24"/>
          <w:lang w:val="fr-CA"/>
        </w:rPr>
      </w:pPr>
      <w:r w:rsidRPr="00A515C1">
        <w:rPr>
          <w:rFonts w:ascii="Malgun Gothic" w:hAnsi="Malgun Gothic"/>
          <w:b/>
          <w:bCs/>
          <w:szCs w:val="24"/>
          <w:lang w:val="fr-CA"/>
        </w:rPr>
        <w:t>La ratification et la vulgarisation des autres instruments juridiques de protection des droits des travailleurs migrants</w:t>
      </w:r>
    </w:p>
    <w:p w14:paraId="38B292F0" w14:textId="77777777" w:rsidR="001251C1" w:rsidRDefault="001251C1" w:rsidP="001251C1">
      <w:pPr>
        <w:jc w:val="both"/>
        <w:rPr>
          <w:rFonts w:ascii="Malgun Gothic" w:hAnsi="Malgun Gothic"/>
          <w:szCs w:val="24"/>
          <w:lang w:val="fr-CA"/>
        </w:rPr>
      </w:pPr>
      <w:r>
        <w:rPr>
          <w:rFonts w:ascii="Malgun Gothic" w:hAnsi="Malgun Gothic"/>
          <w:szCs w:val="24"/>
          <w:lang w:val="fr-CA"/>
        </w:rPr>
        <w:lastRenderedPageBreak/>
        <w:t>Trois importants instruments juridiques complémentaires à la Convention onusienne, à savoir les Conventions No 97, 143 et 189 de l’OIT (</w:t>
      </w:r>
      <w:r w:rsidRPr="00A12DF9">
        <w:rPr>
          <w:rFonts w:ascii="Malgun Gothic" w:hAnsi="Malgun Gothic"/>
          <w:szCs w:val="24"/>
          <w:lang w:val="fr-CA"/>
        </w:rPr>
        <w:t>points 181 et 182</w:t>
      </w:r>
      <w:r>
        <w:rPr>
          <w:rFonts w:ascii="Malgun Gothic" w:hAnsi="Malgun Gothic"/>
          <w:szCs w:val="24"/>
          <w:lang w:val="fr-CA"/>
        </w:rPr>
        <w:t xml:space="preserve">), n’ont pas encore été ratifiés par les autorités sénégalaises, en dépit des efforts déployés par les organisations syndicales, </w:t>
      </w:r>
      <w:r w:rsidRPr="00A12DF9">
        <w:rPr>
          <w:rFonts w:ascii="Malgun Gothic" w:hAnsi="Malgun Gothic"/>
          <w:szCs w:val="24"/>
          <w:lang w:val="fr-CA"/>
        </w:rPr>
        <w:t>la CNTS</w:t>
      </w:r>
      <w:r>
        <w:rPr>
          <w:rStyle w:val="Appelnotedebasdep"/>
          <w:rFonts w:ascii="Malgun Gothic" w:hAnsi="Malgun Gothic"/>
          <w:szCs w:val="24"/>
          <w:lang w:val="fr-CA"/>
        </w:rPr>
        <w:footnoteReference w:id="3"/>
      </w:r>
      <w:r w:rsidRPr="00A12DF9">
        <w:rPr>
          <w:rFonts w:ascii="Malgun Gothic" w:hAnsi="Malgun Gothic"/>
          <w:szCs w:val="24"/>
          <w:lang w:val="fr-CA"/>
        </w:rPr>
        <w:t xml:space="preserve"> en tête, </w:t>
      </w:r>
      <w:r>
        <w:rPr>
          <w:rFonts w:ascii="Malgun Gothic" w:hAnsi="Malgun Gothic"/>
          <w:szCs w:val="24"/>
          <w:lang w:val="fr-CA"/>
        </w:rPr>
        <w:t xml:space="preserve">pour amener les autorités à agir. </w:t>
      </w:r>
      <w:r w:rsidRPr="00A12DF9">
        <w:rPr>
          <w:rFonts w:ascii="Malgun Gothic" w:hAnsi="Malgun Gothic"/>
          <w:szCs w:val="24"/>
          <w:lang w:val="fr-CA"/>
        </w:rPr>
        <w:t>Il en a encore été ainsi ce 1er mai 2024, lors de la remise des cahiers de doléances de la CNTS au Président de la République du Sénégal.</w:t>
      </w:r>
      <w:r>
        <w:rPr>
          <w:rFonts w:ascii="Malgun Gothic" w:hAnsi="Malgun Gothic"/>
          <w:szCs w:val="24"/>
          <w:lang w:val="fr-CA"/>
        </w:rPr>
        <w:t xml:space="preserve"> Le gouvernement du Sénégal devrait maintenant dépasser le stade du démarrage de la procédure pour s’assurer qu’à la prochaine session parlementaire, le document soit déposé sur le bureau de l’Assemblée nationale.</w:t>
      </w:r>
    </w:p>
    <w:p w14:paraId="35BBD6FB" w14:textId="77777777" w:rsidR="001251C1" w:rsidRPr="00A515C1" w:rsidRDefault="001251C1" w:rsidP="001251C1">
      <w:pPr>
        <w:numPr>
          <w:ilvl w:val="0"/>
          <w:numId w:val="1"/>
        </w:numPr>
        <w:spacing w:after="0" w:line="360" w:lineRule="auto"/>
        <w:jc w:val="both"/>
        <w:rPr>
          <w:rFonts w:ascii="Malgun Gothic" w:hAnsi="Malgun Gothic"/>
          <w:b/>
          <w:bCs/>
          <w:szCs w:val="24"/>
          <w:lang w:val="fr-CA"/>
        </w:rPr>
      </w:pPr>
      <w:r w:rsidRPr="00A515C1">
        <w:rPr>
          <w:rFonts w:ascii="Malgun Gothic" w:hAnsi="Malgun Gothic"/>
          <w:b/>
          <w:bCs/>
          <w:szCs w:val="24"/>
          <w:lang w:val="fr-CA"/>
        </w:rPr>
        <w:t>La question de la délivrance des visas de travail au Sénégal</w:t>
      </w:r>
    </w:p>
    <w:p w14:paraId="02333434" w14:textId="77777777" w:rsidR="001251C1" w:rsidRPr="004D6727" w:rsidRDefault="001251C1" w:rsidP="001251C1">
      <w:pPr>
        <w:pStyle w:val="NormalWeb"/>
        <w:spacing w:after="0"/>
        <w:jc w:val="both"/>
        <w:rPr>
          <w:rFonts w:ascii="Malgun Gothic" w:eastAsia="Malgun Gothic" w:hAnsi="Malgun Gothic"/>
          <w:color w:val="000000"/>
        </w:rPr>
      </w:pPr>
      <w:r w:rsidRPr="004D6727">
        <w:rPr>
          <w:rFonts w:ascii="Malgun Gothic" w:eastAsia="Malgun Gothic" w:hAnsi="Malgun Gothic"/>
          <w:color w:val="000000"/>
        </w:rPr>
        <w:t>Le constat est que depuis quelques temps, des citoyens sénégalais de tous les rangs sociaux, rencontrent des difficultés énormes pour l'obtention des visas. Actuellement, l’obtention d’un rendez-vous constitue le problème majeur, faute de disponibilité de créneaux en ligne ou d’indisponibilité de la plateforme instauré</w:t>
      </w:r>
      <w:r>
        <w:rPr>
          <w:rFonts w:ascii="Malgun Gothic" w:eastAsia="Malgun Gothic" w:hAnsi="Malgun Gothic"/>
          <w:color w:val="000000"/>
        </w:rPr>
        <w:t>e</w:t>
      </w:r>
      <w:r w:rsidRPr="004D6727">
        <w:rPr>
          <w:rFonts w:ascii="Malgun Gothic" w:eastAsia="Malgun Gothic" w:hAnsi="Malgun Gothic"/>
          <w:color w:val="000000"/>
        </w:rPr>
        <w:t xml:space="preserve"> par les pays occidentaux et quelques pays africains.</w:t>
      </w:r>
    </w:p>
    <w:p w14:paraId="01665A47" w14:textId="77777777" w:rsidR="001251C1" w:rsidRPr="004D6727" w:rsidRDefault="001251C1" w:rsidP="001251C1">
      <w:pPr>
        <w:pStyle w:val="NormalWeb"/>
        <w:spacing w:before="360" w:beforeAutospacing="0" w:after="0" w:afterAutospacing="0"/>
        <w:jc w:val="both"/>
        <w:rPr>
          <w:rStyle w:val="hgkelc"/>
          <w:rFonts w:ascii="Malgun Gothic" w:eastAsia="Malgun Gothic" w:hAnsi="Malgun Gothic"/>
          <w:color w:val="000000"/>
        </w:rPr>
      </w:pPr>
      <w:r w:rsidRPr="004D6727">
        <w:rPr>
          <w:rFonts w:ascii="Malgun Gothic" w:eastAsia="Malgun Gothic" w:hAnsi="Malgun Gothic"/>
          <w:color w:val="000000"/>
        </w:rPr>
        <w:t>Cette situation a installé un véritable trafic avec des intermédiaires qui « gèrent » les rendez-vous de visas et les revendent à prix d’or, jusqu’à 400.000 FCFA</w:t>
      </w:r>
      <w:r>
        <w:rPr>
          <w:rFonts w:ascii="Malgun Gothic" w:eastAsia="Malgun Gothic" w:hAnsi="Malgun Gothic"/>
          <w:color w:val="000000"/>
        </w:rPr>
        <w:t xml:space="preserve"> (soit plus de 600 euros)</w:t>
      </w:r>
      <w:r w:rsidRPr="004D6727">
        <w:rPr>
          <w:rFonts w:ascii="Malgun Gothic" w:eastAsia="Malgun Gothic" w:hAnsi="Malgun Gothic"/>
          <w:color w:val="000000"/>
        </w:rPr>
        <w:t xml:space="preserve">, transformant ainsi la procédure en un « commerce » très lucratif.  On est même en droit de penser que cette monétisation du visa est un moyen détourné de pousser les demandeurs de visas à renoncer à leurs projets de voyage, et donc d’aider à la « maîtrise » de l’immigration. </w:t>
      </w:r>
    </w:p>
    <w:p w14:paraId="4EA20FCA" w14:textId="77777777" w:rsidR="001251C1" w:rsidRPr="004D6727" w:rsidRDefault="001251C1" w:rsidP="001251C1">
      <w:pPr>
        <w:shd w:val="clear" w:color="auto" w:fill="FFFFFF"/>
        <w:spacing w:after="0" w:line="240" w:lineRule="auto"/>
        <w:jc w:val="both"/>
        <w:rPr>
          <w:rStyle w:val="hgkelc"/>
          <w:rFonts w:ascii="Malgun Gothic" w:eastAsia="Malgun Gothic" w:hAnsi="Malgun Gothic"/>
          <w:bCs/>
          <w:szCs w:val="24"/>
          <w:lang w:val="fr-CA"/>
        </w:rPr>
      </w:pPr>
    </w:p>
    <w:p w14:paraId="3A44997C" w14:textId="77777777" w:rsidR="001251C1" w:rsidRPr="004D6727" w:rsidRDefault="001251C1" w:rsidP="001251C1">
      <w:pPr>
        <w:shd w:val="clear" w:color="auto" w:fill="FFFFFF"/>
        <w:spacing w:after="0" w:line="240" w:lineRule="auto"/>
        <w:jc w:val="both"/>
        <w:rPr>
          <w:rStyle w:val="hgkelc"/>
          <w:rFonts w:ascii="Malgun Gothic" w:eastAsia="Malgun Gothic" w:hAnsi="Malgun Gothic"/>
          <w:bCs/>
          <w:szCs w:val="24"/>
          <w:lang w:val="fr-CA"/>
        </w:rPr>
      </w:pPr>
      <w:r w:rsidRPr="004D6727">
        <w:rPr>
          <w:rStyle w:val="hgkelc"/>
          <w:rFonts w:ascii="Malgun Gothic" w:eastAsia="Malgun Gothic" w:hAnsi="Malgun Gothic"/>
          <w:bCs/>
          <w:szCs w:val="24"/>
          <w:lang w:val="fr-CA"/>
        </w:rPr>
        <w:t xml:space="preserve">En ce sens, il urge d’humaniser la procédure et de faciliter la tâche à ceux qui souhaitent aller travailler légalement dans d’autres pays. Les autorités sénégalaises brillent par leur silence face </w:t>
      </w:r>
      <w:r>
        <w:rPr>
          <w:rStyle w:val="hgkelc"/>
          <w:rFonts w:ascii="Malgun Gothic" w:eastAsia="Malgun Gothic" w:hAnsi="Malgun Gothic"/>
          <w:bCs/>
          <w:szCs w:val="24"/>
          <w:lang w:val="fr-CA"/>
        </w:rPr>
        <w:t>à</w:t>
      </w:r>
      <w:r w:rsidRPr="004D6727">
        <w:rPr>
          <w:rStyle w:val="hgkelc"/>
          <w:rFonts w:ascii="Malgun Gothic" w:eastAsia="Malgun Gothic" w:hAnsi="Malgun Gothic"/>
          <w:bCs/>
          <w:szCs w:val="24"/>
          <w:lang w:val="fr-CA"/>
        </w:rPr>
        <w:t xml:space="preserve"> tous ces problèmes rencontrés par les Sénégalais. </w:t>
      </w:r>
    </w:p>
    <w:p w14:paraId="74C1005D" w14:textId="77777777" w:rsidR="001251C1" w:rsidRPr="004D6727" w:rsidRDefault="001251C1" w:rsidP="001251C1">
      <w:pPr>
        <w:shd w:val="clear" w:color="auto" w:fill="FFFFFF"/>
        <w:spacing w:after="0" w:line="240" w:lineRule="auto"/>
        <w:jc w:val="both"/>
        <w:rPr>
          <w:rStyle w:val="hgkelc"/>
          <w:rFonts w:ascii="Malgun Gothic" w:eastAsia="Malgun Gothic" w:hAnsi="Malgun Gothic"/>
          <w:bCs/>
          <w:szCs w:val="24"/>
          <w:lang w:val="fr-CA"/>
        </w:rPr>
      </w:pPr>
    </w:p>
    <w:p w14:paraId="2B37D337" w14:textId="3CB2103A" w:rsidR="001251C1" w:rsidRPr="00FD2533" w:rsidRDefault="001251C1" w:rsidP="001251C1">
      <w:pPr>
        <w:shd w:val="clear" w:color="auto" w:fill="FFFFFF"/>
        <w:spacing w:after="0" w:line="240" w:lineRule="auto"/>
        <w:jc w:val="both"/>
        <w:rPr>
          <w:lang w:val="fr-CA"/>
        </w:rPr>
      </w:pPr>
      <w:r w:rsidRPr="004D6727">
        <w:rPr>
          <w:rStyle w:val="hgkelc"/>
          <w:rFonts w:ascii="Malgun Gothic" w:eastAsia="Malgun Gothic" w:hAnsi="Malgun Gothic"/>
          <w:bCs/>
          <w:szCs w:val="24"/>
          <w:lang w:val="fr-CA"/>
        </w:rPr>
        <w:t>Nous souhaiterions que les membres du Comit</w:t>
      </w:r>
      <w:r>
        <w:rPr>
          <w:rStyle w:val="hgkelc"/>
          <w:rFonts w:ascii="Malgun Gothic" w:eastAsia="Malgun Gothic" w:hAnsi="Malgun Gothic"/>
          <w:bCs/>
          <w:szCs w:val="24"/>
          <w:lang w:val="fr-CA"/>
        </w:rPr>
        <w:t>é</w:t>
      </w:r>
      <w:r w:rsidRPr="004D6727">
        <w:rPr>
          <w:rStyle w:val="hgkelc"/>
          <w:rFonts w:ascii="Malgun Gothic" w:eastAsia="Malgun Gothic" w:hAnsi="Malgun Gothic"/>
          <w:bCs/>
          <w:szCs w:val="24"/>
          <w:lang w:val="fr-CA"/>
        </w:rPr>
        <w:t xml:space="preserve"> puissent interroger les autorités sénégalaises sur leur manque de réactivité sur la question des visas au Sénégal. </w:t>
      </w:r>
    </w:p>
    <w:p w14:paraId="5E24A9C2" w14:textId="4C030A93" w:rsidR="00C95E9B" w:rsidRPr="001251C1" w:rsidRDefault="00C95E9B" w:rsidP="001251C1">
      <w:pPr>
        <w:rPr>
          <w:rFonts w:cs="Times New Roman"/>
          <w:szCs w:val="24"/>
          <w:lang w:val="fr-CA"/>
        </w:rPr>
      </w:pPr>
    </w:p>
    <w:sectPr w:rsidR="00C95E9B" w:rsidRPr="001251C1" w:rsidSect="00452161">
      <w:footerReference w:type="default" r:id="rId7"/>
      <w:headerReference w:type="first" r:id="rId8"/>
      <w:footerReference w:type="first" r:id="rId9"/>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80215" w14:textId="77777777" w:rsidR="00510E0B" w:rsidRDefault="00510E0B">
      <w:pPr>
        <w:spacing w:after="0" w:line="240" w:lineRule="auto"/>
      </w:pPr>
      <w:r>
        <w:separator/>
      </w:r>
    </w:p>
  </w:endnote>
  <w:endnote w:type="continuationSeparator" w:id="0">
    <w:p w14:paraId="7D687EC1" w14:textId="77777777" w:rsidR="00510E0B" w:rsidRDefault="00510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288420"/>
      <w:docPartObj>
        <w:docPartGallery w:val="Page Numbers (Bottom of Page)"/>
        <w:docPartUnique/>
      </w:docPartObj>
    </w:sdtPr>
    <w:sdtEndPr/>
    <w:sdtContent>
      <w:p w14:paraId="22FB68C8" w14:textId="77777777" w:rsidR="006E3E06" w:rsidRDefault="00416831">
        <w:pPr>
          <w:pStyle w:val="Pieddepage"/>
        </w:pPr>
        <w:r>
          <w:rPr>
            <w:noProof/>
            <w:lang w:val="fr-FR" w:eastAsia="fr-FR"/>
          </w:rPr>
          <mc:AlternateContent>
            <mc:Choice Requires="wps">
              <w:drawing>
                <wp:anchor distT="0" distB="0" distL="114300" distR="114300" simplePos="0" relativeHeight="251660288" behindDoc="0" locked="0" layoutInCell="0" allowOverlap="1" wp14:anchorId="1CC5EAF2" wp14:editId="6FD30B25">
                  <wp:simplePos x="0" y="0"/>
                  <wp:positionH relativeFrom="rightMargin">
                    <wp:align>left</wp:align>
                  </wp:positionH>
                  <mc:AlternateContent>
                    <mc:Choice Requires="wp14">
                      <wp:positionV relativeFrom="bottomMargin">
                        <wp14:pctPosVOffset>7000</wp14:pctPosVOffset>
                      </wp:positionV>
                    </mc:Choice>
                    <mc:Fallback>
                      <wp:positionV relativeFrom="page">
                        <wp:posOffset>9854565</wp:posOffset>
                      </wp:positionV>
                    </mc:Fallback>
                  </mc:AlternateContent>
                  <wp:extent cx="368300" cy="274320"/>
                  <wp:effectExtent l="9525" t="9525" r="12700" b="11430"/>
                  <wp:wrapNone/>
                  <wp:docPr id="6" name="Carré corné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14:paraId="42C2931D" w14:textId="77777777" w:rsidR="006E3E06" w:rsidRDefault="00416831">
                              <w:pPr>
                                <w:jc w:val="center"/>
                              </w:pPr>
                              <w:r>
                                <w:rPr>
                                  <w:sz w:val="22"/>
                                </w:rPr>
                                <w:fldChar w:fldCharType="begin"/>
                              </w:r>
                              <w:r>
                                <w:instrText>PAGE    \* MERGEFORMAT</w:instrText>
                              </w:r>
                              <w:r>
                                <w:rPr>
                                  <w:sz w:val="22"/>
                                </w:rPr>
                                <w:fldChar w:fldCharType="separate"/>
                              </w:r>
                              <w:r w:rsidR="00C13C7F" w:rsidRPr="00C13C7F">
                                <w:rPr>
                                  <w:noProof/>
                                  <w:sz w:val="16"/>
                                  <w:szCs w:val="16"/>
                                  <w:lang w:val="fr-FR"/>
                                </w:rPr>
                                <w:t>2</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C5EAF2"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6" o:spid="_x0000_s1026" type="#_x0000_t65" style="position:absolute;margin-left:0;margin-top:0;width:29pt;height:21.6pt;z-index:251660288;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" o:allowincell="f" adj="14135" strokecolor="gray" strokeweight=".25pt">
                  <v:textbox>
                    <w:txbxContent>
                      <w:p w14:paraId="42C2931D" w14:textId="77777777" w:rsidR="006E3E06" w:rsidRDefault="00416831">
                        <w:pPr>
                          <w:jc w:val="center"/>
                        </w:pPr>
                        <w:r>
                          <w:rPr>
                            <w:sz w:val="22"/>
                          </w:rPr>
                          <w:fldChar w:fldCharType="begin"/>
                        </w:r>
                        <w:r>
                          <w:instrText>PAGE    \* MERGEFORMAT</w:instrText>
                        </w:r>
                        <w:r>
                          <w:rPr>
                            <w:sz w:val="22"/>
                          </w:rPr>
                          <w:fldChar w:fldCharType="separate"/>
                        </w:r>
                        <w:r w:rsidR="00C13C7F" w:rsidRPr="00C13C7F">
                          <w:rPr>
                            <w:noProof/>
                            <w:sz w:val="16"/>
                            <w:szCs w:val="16"/>
                            <w:lang w:val="fr-FR"/>
                          </w:rPr>
                          <w:t>2</w:t>
                        </w:r>
                        <w:r>
                          <w:rPr>
                            <w:sz w:val="16"/>
                            <w:szCs w:val="16"/>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11442"/>
      <w:docPartObj>
        <w:docPartGallery w:val="Page Numbers (Bottom of Page)"/>
        <w:docPartUnique/>
      </w:docPartObj>
    </w:sdtPr>
    <w:sdtEndPr/>
    <w:sdtContent>
      <w:p w14:paraId="484621CF" w14:textId="77777777" w:rsidR="00CC0841" w:rsidDel="00CC0841" w:rsidRDefault="00CC0841" w:rsidP="00CC0841">
        <w:pPr>
          <w:autoSpaceDE w:val="0"/>
          <w:autoSpaceDN w:val="0"/>
          <w:adjustRightInd w:val="0"/>
          <w:spacing w:after="0" w:line="240" w:lineRule="auto"/>
          <w:ind w:left="142"/>
          <w:jc w:val="center"/>
          <w:rPr>
            <w:rFonts w:cs="Times New Roman"/>
          </w:rPr>
        </w:pPr>
      </w:p>
      <w:p w14:paraId="47EE9C87" w14:textId="77C39B8F" w:rsidR="006E3E06" w:rsidRDefault="00510E0B" w:rsidP="00570512">
        <w:pPr>
          <w:autoSpaceDE w:val="0"/>
          <w:autoSpaceDN w:val="0"/>
          <w:adjustRightInd w:val="0"/>
          <w:spacing w:after="0" w:line="240" w:lineRule="auto"/>
          <w:ind w:left="142"/>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780BEE" w14:textId="77777777" w:rsidR="00510E0B" w:rsidRDefault="00510E0B">
      <w:pPr>
        <w:spacing w:after="0" w:line="240" w:lineRule="auto"/>
      </w:pPr>
      <w:r>
        <w:separator/>
      </w:r>
    </w:p>
  </w:footnote>
  <w:footnote w:type="continuationSeparator" w:id="0">
    <w:p w14:paraId="6ABA6D24" w14:textId="77777777" w:rsidR="00510E0B" w:rsidRDefault="00510E0B">
      <w:pPr>
        <w:spacing w:after="0" w:line="240" w:lineRule="auto"/>
      </w:pPr>
      <w:r>
        <w:continuationSeparator/>
      </w:r>
    </w:p>
  </w:footnote>
  <w:footnote w:id="1">
    <w:p w14:paraId="0717AF93" w14:textId="77777777" w:rsidR="001251C1" w:rsidRPr="00155E0B" w:rsidRDefault="001251C1" w:rsidP="001251C1">
      <w:pPr>
        <w:pStyle w:val="Notedebasdepage"/>
        <w:rPr>
          <w:lang w:val="fr-CA"/>
        </w:rPr>
      </w:pPr>
      <w:r>
        <w:rPr>
          <w:rStyle w:val="Appelnotedebasdep"/>
        </w:rPr>
        <w:footnoteRef/>
      </w:r>
      <w:r w:rsidRPr="00155E0B">
        <w:rPr>
          <w:lang w:val="fr-CA"/>
        </w:rPr>
        <w:t xml:space="preserve"> Voir </w:t>
      </w:r>
      <w:hyperlink r:id="rId1" w:history="1">
        <w:r w:rsidRPr="00905BEF">
          <w:rPr>
            <w:rStyle w:val="Lienhypertexte"/>
            <w:lang w:val="fr-CA"/>
          </w:rPr>
          <w:t>https://reliefweb.int/report/senegal/senegal-monitoring-des-lieux-de-depart-mouvements-vers-les-iles-canaries-collecte-des-donnees-juillet-aout-2023-publication-octobre-2023</w:t>
        </w:r>
      </w:hyperlink>
      <w:r>
        <w:rPr>
          <w:lang w:val="fr-CA"/>
        </w:rPr>
        <w:t xml:space="preserve"> </w:t>
      </w:r>
    </w:p>
  </w:footnote>
  <w:footnote w:id="2">
    <w:p w14:paraId="32B749C2" w14:textId="77777777" w:rsidR="001251C1" w:rsidRPr="007B4967" w:rsidRDefault="001251C1" w:rsidP="001251C1">
      <w:pPr>
        <w:pStyle w:val="Notedebasdepage"/>
        <w:rPr>
          <w:lang w:val="fr-CA"/>
        </w:rPr>
      </w:pPr>
      <w:r>
        <w:rPr>
          <w:rStyle w:val="Appelnotedebasdep"/>
        </w:rPr>
        <w:footnoteRef/>
      </w:r>
      <w:r w:rsidRPr="007B4967">
        <w:rPr>
          <w:lang w:val="fr-CA"/>
        </w:rPr>
        <w:t xml:space="preserve"> Voir par exemple, a</w:t>
      </w:r>
      <w:r>
        <w:rPr>
          <w:lang w:val="fr-CA"/>
        </w:rPr>
        <w:t xml:space="preserve">u paragraphe 142 ou il est fait mention d’un Conseil interministériel de lutte contre l’émigration clandestine. Y </w:t>
      </w:r>
      <w:proofErr w:type="spellStart"/>
      <w:r>
        <w:rPr>
          <w:lang w:val="fr-CA"/>
        </w:rPr>
        <w:t>a-t-il</w:t>
      </w:r>
      <w:proofErr w:type="spellEnd"/>
      <w:r>
        <w:rPr>
          <w:lang w:val="fr-CA"/>
        </w:rPr>
        <w:t xml:space="preserve"> vraiment quelque chose de clandestin dans la migration?</w:t>
      </w:r>
    </w:p>
  </w:footnote>
  <w:footnote w:id="3">
    <w:p w14:paraId="3C956986" w14:textId="77777777" w:rsidR="001251C1" w:rsidRPr="003D19A4" w:rsidRDefault="001251C1" w:rsidP="001251C1">
      <w:pPr>
        <w:pStyle w:val="Notedebasdepage"/>
        <w:rPr>
          <w:lang w:val="fr-FR"/>
        </w:rPr>
      </w:pPr>
      <w:r>
        <w:rPr>
          <w:rStyle w:val="Appelnotedebasdep"/>
        </w:rPr>
        <w:footnoteRef/>
      </w:r>
      <w:r w:rsidRPr="003D19A4">
        <w:rPr>
          <w:lang w:val="fr-FR"/>
        </w:rPr>
        <w:t xml:space="preserve"> </w:t>
      </w:r>
      <w:r>
        <w:rPr>
          <w:lang w:val="fr-FR"/>
        </w:rPr>
        <w:t>Confédération Nationale des Travailleurs du Sénégal (CNTS)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BF436" w14:textId="2E75CD41" w:rsidR="006E3E06" w:rsidRDefault="0045282C" w:rsidP="0045282C">
    <w:pPr>
      <w:spacing w:after="0" w:line="240" w:lineRule="auto"/>
      <w:jc w:val="center"/>
      <w:rPr>
        <w:noProof/>
        <w:lang w:eastAsia="fr-FR"/>
      </w:rPr>
    </w:pPr>
    <w:r>
      <w:rPr>
        <w:noProof/>
        <w:lang w:eastAsia="fr-FR"/>
      </w:rPr>
      <w:t xml:space="preserve">                                            </w:t>
    </w:r>
    <w:r w:rsidR="00416831">
      <w:rPr>
        <w:noProof/>
        <w:lang w:val="fr-FR" w:eastAsia="fr-FR"/>
      </w:rPr>
      <w:drawing>
        <wp:anchor distT="0" distB="0" distL="114300" distR="114300" simplePos="0" relativeHeight="251659264" behindDoc="0" locked="0" layoutInCell="1" allowOverlap="1" wp14:anchorId="0E5F845A" wp14:editId="0165388E">
          <wp:simplePos x="0" y="0"/>
          <wp:positionH relativeFrom="margin">
            <wp:posOffset>-424815</wp:posOffset>
          </wp:positionH>
          <wp:positionV relativeFrom="paragraph">
            <wp:posOffset>9525</wp:posOffset>
          </wp:positionV>
          <wp:extent cx="1202762" cy="641350"/>
          <wp:effectExtent l="0" t="0" r="0" b="6350"/>
          <wp:wrapNone/>
          <wp:docPr id="3" name="Picture 5" descr="C:\Users\Mamadou DIOP\AppData\Local\Microsoft\Windows\Temporary Internet Files\Content.Word\numérisation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 descr="C:\Users\Mamadou DIOP\AppData\Local\Microsoft\Windows\Temporary Internet Files\Content.Word\numérisation0003.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02762" cy="64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6831">
      <w:rPr>
        <w:noProof/>
        <w:lang w:eastAsia="fr-FR"/>
      </w:rPr>
      <w:t xml:space="preserve">           </w:t>
    </w:r>
    <w:r>
      <w:rPr>
        <w:noProof/>
        <w:lang w:eastAsia="fr-FR"/>
      </w:rPr>
      <w:t xml:space="preserve">                                    </w:t>
    </w:r>
    <w:r w:rsidR="00416831">
      <w:rPr>
        <w:noProof/>
        <w:lang w:eastAsia="fr-FR"/>
      </w:rPr>
      <w:t xml:space="preserve">  </w:t>
    </w:r>
  </w:p>
  <w:p w14:paraId="7310336F" w14:textId="77777777" w:rsidR="00F80533" w:rsidRDefault="00416831" w:rsidP="00E41388">
    <w:pPr>
      <w:spacing w:after="0" w:line="240" w:lineRule="auto"/>
      <w:rPr>
        <w:noProof/>
        <w:lang w:eastAsia="fr-FR"/>
      </w:rPr>
    </w:pPr>
    <w:r>
      <w:rPr>
        <w:noProof/>
        <w:lang w:eastAsia="fr-FR"/>
      </w:rPr>
      <w:t xml:space="preserve">                     </w:t>
    </w:r>
  </w:p>
  <w:p w14:paraId="1FE4BAB3" w14:textId="72CA5F3C" w:rsidR="006E3E06" w:rsidRPr="000E43E8" w:rsidRDefault="00416831" w:rsidP="00570512">
    <w:pPr>
      <w:spacing w:after="0" w:line="240" w:lineRule="auto"/>
      <w:jc w:val="center"/>
      <w:rPr>
        <w:noProof/>
        <w:sz w:val="22"/>
        <w:lang w:eastAsia="fr-FR"/>
      </w:rPr>
    </w:pPr>
    <w:r w:rsidRPr="000E43E8">
      <w:rPr>
        <w:rFonts w:ascii="Arial Black" w:hAnsi="Arial Black" w:cstheme="minorHAnsi"/>
        <w:b/>
        <w:sz w:val="22"/>
      </w:rPr>
      <w:t xml:space="preserve">RESEAU </w:t>
    </w:r>
    <w:r w:rsidR="000E43E8" w:rsidRPr="000E43E8">
      <w:rPr>
        <w:rFonts w:ascii="Arial Black" w:hAnsi="Arial Black" w:cstheme="minorHAnsi"/>
        <w:b/>
        <w:sz w:val="22"/>
      </w:rPr>
      <w:t>MIGRATION DEVELOPPEMENT</w:t>
    </w:r>
    <w:r w:rsidR="000E43E8">
      <w:rPr>
        <w:rFonts w:ascii="Arial Black" w:hAnsi="Arial Black" w:cstheme="minorHAnsi"/>
        <w:b/>
        <w:sz w:val="22"/>
      </w:rPr>
      <w:t xml:space="preserve"> - REMIDEV</w:t>
    </w:r>
  </w:p>
  <w:p w14:paraId="24DB1AE7" w14:textId="3EF0776B" w:rsidR="006E3E06" w:rsidRPr="000E43E8" w:rsidRDefault="00416831" w:rsidP="00F80533">
    <w:pPr>
      <w:autoSpaceDE w:val="0"/>
      <w:autoSpaceDN w:val="0"/>
      <w:adjustRightInd w:val="0"/>
      <w:spacing w:after="0" w:line="240" w:lineRule="auto"/>
      <w:ind w:left="142"/>
      <w:jc w:val="center"/>
      <w:rPr>
        <w:rFonts w:cs="Times New Roman"/>
        <w:sz w:val="22"/>
      </w:rPr>
    </w:pPr>
    <w:r w:rsidRPr="000E43E8">
      <w:rPr>
        <w:rFonts w:cs="Times New Roman"/>
        <w:sz w:val="22"/>
      </w:rPr>
      <w:t>Centre Ahmadou Malick GAYE, ex Centre de Bopp, Quartier Bopp, Dakar</w:t>
    </w:r>
  </w:p>
  <w:p w14:paraId="04A3DA67" w14:textId="5E134632" w:rsidR="006E3E06" w:rsidRPr="000E43E8" w:rsidRDefault="00416831" w:rsidP="00F80533">
    <w:pPr>
      <w:autoSpaceDE w:val="0"/>
      <w:autoSpaceDN w:val="0"/>
      <w:adjustRightInd w:val="0"/>
      <w:spacing w:after="0" w:line="240" w:lineRule="auto"/>
      <w:ind w:left="142"/>
      <w:jc w:val="center"/>
      <w:rPr>
        <w:rFonts w:cs="Times New Roman"/>
        <w:sz w:val="22"/>
      </w:rPr>
    </w:pPr>
    <w:r w:rsidRPr="000E43E8">
      <w:rPr>
        <w:rFonts w:cs="Times New Roman"/>
        <w:sz w:val="22"/>
      </w:rPr>
      <w:t>+221 / 33 865 10 33 - 77 700 66 28</w:t>
    </w:r>
  </w:p>
  <w:p w14:paraId="1CFE43AA" w14:textId="7BFFA816" w:rsidR="006E3E06" w:rsidRPr="000E43E8" w:rsidRDefault="00510E0B" w:rsidP="00F80533">
    <w:pPr>
      <w:autoSpaceDE w:val="0"/>
      <w:autoSpaceDN w:val="0"/>
      <w:adjustRightInd w:val="0"/>
      <w:spacing w:after="0" w:line="240" w:lineRule="auto"/>
      <w:ind w:left="142"/>
      <w:jc w:val="center"/>
      <w:rPr>
        <w:rFonts w:cs="Times New Roman"/>
        <w:sz w:val="22"/>
      </w:rPr>
    </w:pPr>
    <w:hyperlink r:id="rId2" w:history="1">
      <w:r w:rsidR="00C55065" w:rsidRPr="000E43E8">
        <w:rPr>
          <w:rStyle w:val="Lienhypertexte"/>
          <w:rFonts w:cs="Times New Roman"/>
          <w:sz w:val="22"/>
        </w:rPr>
        <w:t>remidevcongad@gmail.com/kaboumarina@gmail.com</w:t>
      </w:r>
    </w:hyperlink>
  </w:p>
  <w:p w14:paraId="6176849B" w14:textId="77777777" w:rsidR="006E3E06" w:rsidRDefault="006E3E0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A73C3"/>
    <w:multiLevelType w:val="hybridMultilevel"/>
    <w:tmpl w:val="5448B3B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C6B"/>
    <w:rsid w:val="00022572"/>
    <w:rsid w:val="00081906"/>
    <w:rsid w:val="000D3C6B"/>
    <w:rsid w:val="000D4963"/>
    <w:rsid w:val="000E43E8"/>
    <w:rsid w:val="0010582D"/>
    <w:rsid w:val="001251C1"/>
    <w:rsid w:val="0018367D"/>
    <w:rsid w:val="00191BD4"/>
    <w:rsid w:val="001D3727"/>
    <w:rsid w:val="001E7DD1"/>
    <w:rsid w:val="001F28D9"/>
    <w:rsid w:val="002A1634"/>
    <w:rsid w:val="002B49D7"/>
    <w:rsid w:val="0033150C"/>
    <w:rsid w:val="0034552F"/>
    <w:rsid w:val="003D2EEA"/>
    <w:rsid w:val="004128DA"/>
    <w:rsid w:val="00416831"/>
    <w:rsid w:val="00426DC1"/>
    <w:rsid w:val="004507B0"/>
    <w:rsid w:val="0045282C"/>
    <w:rsid w:val="004E0C0C"/>
    <w:rsid w:val="004F0379"/>
    <w:rsid w:val="00510E0B"/>
    <w:rsid w:val="00560B50"/>
    <w:rsid w:val="00570512"/>
    <w:rsid w:val="005904ED"/>
    <w:rsid w:val="005A1CC1"/>
    <w:rsid w:val="005E170E"/>
    <w:rsid w:val="0063664E"/>
    <w:rsid w:val="006E3E06"/>
    <w:rsid w:val="007C259E"/>
    <w:rsid w:val="0089711E"/>
    <w:rsid w:val="009901B8"/>
    <w:rsid w:val="009C3072"/>
    <w:rsid w:val="009C705A"/>
    <w:rsid w:val="00A8376C"/>
    <w:rsid w:val="00AC3533"/>
    <w:rsid w:val="00AD58E1"/>
    <w:rsid w:val="00AF22EF"/>
    <w:rsid w:val="00BB496C"/>
    <w:rsid w:val="00C13C7F"/>
    <w:rsid w:val="00C501E4"/>
    <w:rsid w:val="00C55065"/>
    <w:rsid w:val="00C6710C"/>
    <w:rsid w:val="00C95E9B"/>
    <w:rsid w:val="00CC0841"/>
    <w:rsid w:val="00D17502"/>
    <w:rsid w:val="00D96A7A"/>
    <w:rsid w:val="00DB61E5"/>
    <w:rsid w:val="00DD46D5"/>
    <w:rsid w:val="00E75082"/>
    <w:rsid w:val="00E75F72"/>
    <w:rsid w:val="00EB66F3"/>
    <w:rsid w:val="00ED1C6A"/>
    <w:rsid w:val="00EE7814"/>
    <w:rsid w:val="00F8053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CC30"/>
  <w15:docId w15:val="{435B0952-BF8B-42CD-BD4E-8DA1AC992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C6B"/>
    <w:rPr>
      <w:rFonts w:ascii="Times New Roman" w:hAnsi="Times New Roman"/>
      <w:sz w:val="24"/>
      <w:lang w:val="fr-S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0D3C6B"/>
    <w:pPr>
      <w:tabs>
        <w:tab w:val="center" w:pos="4536"/>
        <w:tab w:val="right" w:pos="9072"/>
      </w:tabs>
      <w:spacing w:after="0" w:line="240" w:lineRule="auto"/>
    </w:pPr>
  </w:style>
  <w:style w:type="character" w:customStyle="1" w:styleId="En-tteCar">
    <w:name w:val="En-tête Car"/>
    <w:basedOn w:val="Policepardfaut"/>
    <w:link w:val="En-tte"/>
    <w:uiPriority w:val="99"/>
    <w:rsid w:val="000D3C6B"/>
    <w:rPr>
      <w:rFonts w:ascii="Times New Roman" w:hAnsi="Times New Roman"/>
      <w:sz w:val="24"/>
      <w:lang w:val="fr-SN"/>
    </w:rPr>
  </w:style>
  <w:style w:type="paragraph" w:styleId="Pieddepage">
    <w:name w:val="footer"/>
    <w:basedOn w:val="Normal"/>
    <w:link w:val="PieddepageCar"/>
    <w:uiPriority w:val="99"/>
    <w:unhideWhenUsed/>
    <w:rsid w:val="000D3C6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D3C6B"/>
    <w:rPr>
      <w:rFonts w:ascii="Times New Roman" w:hAnsi="Times New Roman"/>
      <w:sz w:val="24"/>
      <w:lang w:val="fr-SN"/>
    </w:rPr>
  </w:style>
  <w:style w:type="character" w:styleId="Lienhypertexte">
    <w:name w:val="Hyperlink"/>
    <w:basedOn w:val="Policepardfaut"/>
    <w:uiPriority w:val="99"/>
    <w:rsid w:val="000D3C6B"/>
    <w:rPr>
      <w:color w:val="0000FF"/>
      <w:u w:val="single"/>
    </w:rPr>
  </w:style>
  <w:style w:type="paragraph" w:styleId="Rvision">
    <w:name w:val="Revision"/>
    <w:hidden/>
    <w:uiPriority w:val="99"/>
    <w:semiHidden/>
    <w:rsid w:val="00560B50"/>
    <w:pPr>
      <w:spacing w:after="0" w:line="240" w:lineRule="auto"/>
    </w:pPr>
    <w:rPr>
      <w:rFonts w:ascii="Times New Roman" w:hAnsi="Times New Roman"/>
      <w:sz w:val="24"/>
      <w:lang w:val="fr-SN"/>
    </w:rPr>
  </w:style>
  <w:style w:type="paragraph" w:styleId="Textedebulles">
    <w:name w:val="Balloon Text"/>
    <w:basedOn w:val="Normal"/>
    <w:link w:val="TextedebullesCar"/>
    <w:uiPriority w:val="99"/>
    <w:semiHidden/>
    <w:unhideWhenUsed/>
    <w:rsid w:val="001F28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F28D9"/>
    <w:rPr>
      <w:rFonts w:ascii="Tahoma" w:hAnsi="Tahoma" w:cs="Tahoma"/>
      <w:sz w:val="16"/>
      <w:szCs w:val="16"/>
      <w:lang w:val="fr-SN"/>
    </w:rPr>
  </w:style>
  <w:style w:type="character" w:styleId="Marquedecommentaire">
    <w:name w:val="annotation reference"/>
    <w:basedOn w:val="Policepardfaut"/>
    <w:uiPriority w:val="99"/>
    <w:semiHidden/>
    <w:unhideWhenUsed/>
    <w:rsid w:val="007C259E"/>
    <w:rPr>
      <w:sz w:val="16"/>
      <w:szCs w:val="16"/>
    </w:rPr>
  </w:style>
  <w:style w:type="paragraph" w:styleId="Commentaire">
    <w:name w:val="annotation text"/>
    <w:basedOn w:val="Normal"/>
    <w:link w:val="CommentaireCar"/>
    <w:uiPriority w:val="99"/>
    <w:semiHidden/>
    <w:unhideWhenUsed/>
    <w:rsid w:val="007C259E"/>
    <w:pPr>
      <w:spacing w:line="240" w:lineRule="auto"/>
    </w:pPr>
    <w:rPr>
      <w:sz w:val="20"/>
      <w:szCs w:val="20"/>
    </w:rPr>
  </w:style>
  <w:style w:type="character" w:customStyle="1" w:styleId="CommentaireCar">
    <w:name w:val="Commentaire Car"/>
    <w:basedOn w:val="Policepardfaut"/>
    <w:link w:val="Commentaire"/>
    <w:uiPriority w:val="99"/>
    <w:semiHidden/>
    <w:rsid w:val="007C259E"/>
    <w:rPr>
      <w:rFonts w:ascii="Times New Roman" w:hAnsi="Times New Roman"/>
      <w:sz w:val="20"/>
      <w:szCs w:val="20"/>
      <w:lang w:val="fr-SN"/>
    </w:rPr>
  </w:style>
  <w:style w:type="paragraph" w:styleId="Objetducommentaire">
    <w:name w:val="annotation subject"/>
    <w:basedOn w:val="Commentaire"/>
    <w:next w:val="Commentaire"/>
    <w:link w:val="ObjetducommentaireCar"/>
    <w:uiPriority w:val="99"/>
    <w:semiHidden/>
    <w:unhideWhenUsed/>
    <w:rsid w:val="007C259E"/>
    <w:rPr>
      <w:b/>
      <w:bCs/>
    </w:rPr>
  </w:style>
  <w:style w:type="character" w:customStyle="1" w:styleId="ObjetducommentaireCar">
    <w:name w:val="Objet du commentaire Car"/>
    <w:basedOn w:val="CommentaireCar"/>
    <w:link w:val="Objetducommentaire"/>
    <w:uiPriority w:val="99"/>
    <w:semiHidden/>
    <w:rsid w:val="007C259E"/>
    <w:rPr>
      <w:rFonts w:ascii="Times New Roman" w:hAnsi="Times New Roman"/>
      <w:b/>
      <w:bCs/>
      <w:sz w:val="20"/>
      <w:szCs w:val="20"/>
      <w:lang w:val="fr-SN"/>
    </w:rPr>
  </w:style>
  <w:style w:type="character" w:styleId="Lienhypertextesuivivisit">
    <w:name w:val="FollowedHyperlink"/>
    <w:basedOn w:val="Policepardfaut"/>
    <w:uiPriority w:val="99"/>
    <w:semiHidden/>
    <w:unhideWhenUsed/>
    <w:rsid w:val="001251C1"/>
    <w:rPr>
      <w:color w:val="954F72" w:themeColor="followedHyperlink"/>
      <w:u w:val="single"/>
    </w:rPr>
  </w:style>
  <w:style w:type="paragraph" w:styleId="Notedebasdepage">
    <w:name w:val="footnote text"/>
    <w:basedOn w:val="Normal"/>
    <w:link w:val="NotedebasdepageCar"/>
    <w:uiPriority w:val="99"/>
    <w:semiHidden/>
    <w:unhideWhenUsed/>
    <w:rsid w:val="001251C1"/>
    <w:rPr>
      <w:rFonts w:ascii="Calibri" w:eastAsia="Malgun Gothic" w:hAnsi="Calibri" w:cs="Times New Roman"/>
      <w:sz w:val="20"/>
      <w:szCs w:val="20"/>
      <w:lang w:val="en-US" w:eastAsia="ko-KR"/>
    </w:rPr>
  </w:style>
  <w:style w:type="character" w:customStyle="1" w:styleId="NotedebasdepageCar">
    <w:name w:val="Note de bas de page Car"/>
    <w:basedOn w:val="Policepardfaut"/>
    <w:link w:val="Notedebasdepage"/>
    <w:uiPriority w:val="99"/>
    <w:semiHidden/>
    <w:rsid w:val="001251C1"/>
    <w:rPr>
      <w:rFonts w:ascii="Calibri" w:eastAsia="Malgun Gothic" w:hAnsi="Calibri" w:cs="Times New Roman"/>
      <w:sz w:val="20"/>
      <w:szCs w:val="20"/>
      <w:lang w:val="en-US" w:eastAsia="ko-KR"/>
    </w:rPr>
  </w:style>
  <w:style w:type="character" w:styleId="Appelnotedebasdep">
    <w:name w:val="footnote reference"/>
    <w:uiPriority w:val="99"/>
    <w:semiHidden/>
    <w:unhideWhenUsed/>
    <w:rsid w:val="001251C1"/>
    <w:rPr>
      <w:vertAlign w:val="superscript"/>
    </w:rPr>
  </w:style>
  <w:style w:type="character" w:customStyle="1" w:styleId="hgkelc">
    <w:name w:val="hgkelc"/>
    <w:rsid w:val="001251C1"/>
    <w:rPr>
      <w:rFonts w:ascii="Calibri" w:eastAsia="Calibri" w:hAnsi="Calibri" w:cs="Times New Roman"/>
    </w:rPr>
  </w:style>
  <w:style w:type="paragraph" w:styleId="NormalWeb">
    <w:name w:val="Normal (Web)"/>
    <w:basedOn w:val="Normal"/>
    <w:uiPriority w:val="99"/>
    <w:unhideWhenUsed/>
    <w:rsid w:val="001251C1"/>
    <w:pPr>
      <w:spacing w:before="100" w:beforeAutospacing="1" w:after="100" w:afterAutospacing="1" w:line="240" w:lineRule="auto"/>
    </w:pPr>
    <w:rPr>
      <w:rFonts w:eastAsia="Times New Roman" w:cs="Times New Roman"/>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reliefweb.int/report/senegal/senegal-monitoring-des-lieux-de-depart-mouvements-vers-les-iles-canaries-collecte-des-donnees-juillet-aout-2023-publication-octobre-2023"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remidevcongad@gmail.com/kaboumarina@gmail.com" TargetMode="External"/><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6a965ef93f84614d4f76a2cacc9df797">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208f908364b2ee9c325002137ff754a4"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1A22A-F0DD-4693-B990-4F570452F39E}"/>
</file>

<file path=customXml/itemProps2.xml><?xml version="1.0" encoding="utf-8"?>
<ds:datastoreItem xmlns:ds="http://schemas.openxmlformats.org/officeDocument/2006/customXml" ds:itemID="{0D02240B-9D54-4EC2-93FF-B050B973250A}"/>
</file>

<file path=docProps/app.xml><?xml version="1.0" encoding="utf-8"?>
<Properties xmlns="http://schemas.openxmlformats.org/officeDocument/2006/extended-properties" xmlns:vt="http://schemas.openxmlformats.org/officeDocument/2006/docPropsVTypes">
  <Template>Normal.dotm</Template>
  <TotalTime>0</TotalTime>
  <Pages>5</Pages>
  <Words>1186</Words>
  <Characters>6523</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Microsoft Office User</cp:lastModifiedBy>
  <cp:revision>2</cp:revision>
  <cp:lastPrinted>2022-05-31T15:19:00Z</cp:lastPrinted>
  <dcterms:created xsi:type="dcterms:W3CDTF">2024-05-31T22:39:00Z</dcterms:created>
  <dcterms:modified xsi:type="dcterms:W3CDTF">2024-05-31T22:39:00Z</dcterms:modified>
</cp:coreProperties>
</file>