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C76C6D" w14:textId="5E194BAF" w:rsidR="00A63BCC" w:rsidRDefault="00A63BCC" w:rsidP="007A7772">
      <w:pPr>
        <w:rPr>
          <w:rtl/>
        </w:rPr>
      </w:pPr>
      <w:r w:rsidRPr="00315BC3">
        <w:t xml:space="preserve">Stop honor </w:t>
      </w:r>
      <w:r w:rsidR="007A7772" w:rsidRPr="00315BC3">
        <w:t>Killings</w:t>
      </w:r>
      <w:r w:rsidR="007A7772">
        <w:rPr>
          <w:rFonts w:hint="cs"/>
          <w:rtl/>
        </w:rPr>
        <w:t>:</w:t>
      </w:r>
      <w:r w:rsidR="007A7772">
        <w:t xml:space="preserve">                                                                                                                        </w:t>
      </w:r>
      <w:r w:rsidR="007A7772" w:rsidRPr="007A7772">
        <w:t>Date: 3 May 2024</w:t>
      </w:r>
      <w:r w:rsidR="007A7772">
        <w:t xml:space="preserve">   </w:t>
      </w:r>
    </w:p>
    <w:p w14:paraId="43D9131A" w14:textId="2E91C3FA" w:rsidR="00C46D07" w:rsidRDefault="00C46D07" w:rsidP="007A7772">
      <w:r>
        <w:t>To:</w:t>
      </w:r>
      <w:r w:rsidR="007A7772">
        <w:t xml:space="preserve"> </w:t>
      </w:r>
      <w:r w:rsidR="007A7772" w:rsidRPr="007A7772">
        <w:t>The Committee on the Elimination of Racial Discrimination (CERD)</w:t>
      </w:r>
    </w:p>
    <w:p w14:paraId="235A47A0" w14:textId="0B796AEB" w:rsidR="00A63BCC" w:rsidRDefault="00A63BCC" w:rsidP="00A63BCC"/>
    <w:p w14:paraId="71161822" w14:textId="300AD7F7" w:rsidR="00D81108" w:rsidRDefault="00D41505" w:rsidP="00A63BCC">
      <w:r>
        <w:t>Proposed suggestion to i</w:t>
      </w:r>
      <w:r w:rsidR="00A63BCC" w:rsidRPr="00315BC3">
        <w:t>nclud</w:t>
      </w:r>
      <w:r>
        <w:t>e</w:t>
      </w:r>
      <w:r w:rsidR="00A63BCC" w:rsidRPr="00315BC3">
        <w:t xml:space="preserve"> the issue of stopping gender apartheid in Iran in the </w:t>
      </w:r>
      <w:r w:rsidR="00D81108">
        <w:t xml:space="preserve">list of themes </w:t>
      </w:r>
      <w:r w:rsidR="00D81108" w:rsidRPr="00D81108">
        <w:rPr>
          <w:rFonts w:ascii="Helvetica" w:eastAsia="Times New Roman" w:hAnsi="Helvetica" w:cs="Times New Roman"/>
          <w:color w:val="000000"/>
          <w:sz w:val="21"/>
          <w:szCs w:val="21"/>
        </w:rPr>
        <w:t>to be taken up in connection with the consideration of the periodic report of the Islamic Republic of Iran</w:t>
      </w:r>
    </w:p>
    <w:p w14:paraId="51AF042D" w14:textId="77777777" w:rsidR="00D81108" w:rsidRDefault="00D81108" w:rsidP="00A63BCC">
      <w:pPr>
        <w:rPr>
          <w:rtl/>
        </w:rPr>
      </w:pPr>
    </w:p>
    <w:p w14:paraId="083129E6" w14:textId="4AFDC8C7" w:rsidR="00566B05" w:rsidRDefault="00A63BCC" w:rsidP="009E041B">
      <w:pPr>
        <w:ind w:left="360"/>
      </w:pPr>
      <w:r w:rsidRPr="00315BC3">
        <w:t xml:space="preserve">From the beginning of its establishment (1979), the Islamic Republic has </w:t>
      </w:r>
      <w:r w:rsidR="00B26BAA">
        <w:t xml:space="preserve">systemically discriminated against women, </w:t>
      </w:r>
      <w:r w:rsidR="005E7F49">
        <w:t>marking women’s lower status as a signifier of the regime’s conservative religious stance</w:t>
      </w:r>
      <w:r w:rsidR="00B26BAA">
        <w:t xml:space="preserve">. For the past 45 years, women have faced </w:t>
      </w:r>
      <w:r w:rsidR="005E7F49">
        <w:t xml:space="preserve">subjugation, </w:t>
      </w:r>
      <w:r w:rsidRPr="00315BC3">
        <w:t>repression, detention, torture, sexual assault, personal and social restrictions, and the escalation of the high rate of state murder of women, especially since 2022. For example, the murder of Mahsa</w:t>
      </w:r>
      <w:r w:rsidR="00D41505">
        <w:t xml:space="preserve"> </w:t>
      </w:r>
      <w:r w:rsidRPr="00315BC3">
        <w:t>Amini by the</w:t>
      </w:r>
      <w:r w:rsidR="00566B05" w:rsidRPr="00566B05">
        <w:rPr>
          <w:rFonts w:ascii="Arial" w:hAnsi="Arial" w:cs="Arial"/>
          <w:color w:val="4D5156"/>
          <w:sz w:val="21"/>
          <w:szCs w:val="21"/>
          <w:shd w:val="clear" w:color="auto" w:fill="FFFFFF"/>
        </w:rPr>
        <w:t xml:space="preserve"> </w:t>
      </w:r>
      <w:r w:rsidR="00566B05" w:rsidRPr="00566B05">
        <w:t>Guidance </w:t>
      </w:r>
      <w:r w:rsidR="00566B05" w:rsidRPr="00566B05">
        <w:rPr>
          <w:b/>
          <w:bCs/>
        </w:rPr>
        <w:t>Patrol</w:t>
      </w:r>
      <w:r w:rsidR="00566B05" w:rsidRPr="00566B05">
        <w:t> or morality </w:t>
      </w:r>
      <w:r w:rsidR="00566B05" w:rsidRPr="00566B05">
        <w:rPr>
          <w:b/>
          <w:bCs/>
        </w:rPr>
        <w:t>police</w:t>
      </w:r>
      <w:r w:rsidRPr="00315BC3">
        <w:t xml:space="preserve"> </w:t>
      </w:r>
      <w:r w:rsidR="00566B05">
        <w:t>(</w:t>
      </w:r>
      <w:r w:rsidRPr="00315BC3">
        <w:t>Irshad patrol</w:t>
      </w:r>
      <w:r w:rsidR="00566B05">
        <w:t>)</w:t>
      </w:r>
      <w:r w:rsidRPr="00315BC3">
        <w:t xml:space="preserve"> for </w:t>
      </w:r>
      <w:r w:rsidR="00566B05">
        <w:t xml:space="preserve">her </w:t>
      </w:r>
      <w:r w:rsidRPr="00315BC3">
        <w:t>hijab</w:t>
      </w:r>
      <w:r w:rsidR="005E7F49">
        <w:t xml:space="preserve"> </w:t>
      </w:r>
      <w:r w:rsidR="00D41505">
        <w:t xml:space="preserve">sparked the </w:t>
      </w:r>
      <w:r w:rsidR="00D41505" w:rsidRPr="00566B05">
        <w:rPr>
          <w:b/>
          <w:bCs/>
        </w:rPr>
        <w:t xml:space="preserve">Women-Life- Freedom </w:t>
      </w:r>
      <w:r w:rsidRPr="00315BC3">
        <w:t xml:space="preserve">movement </w:t>
      </w:r>
      <w:r w:rsidRPr="00566B05">
        <w:rPr>
          <w:b/>
          <w:bCs/>
        </w:rPr>
        <w:t>in Iran</w:t>
      </w:r>
      <w:r w:rsidRPr="00315BC3">
        <w:t xml:space="preserve">. </w:t>
      </w:r>
    </w:p>
    <w:p w14:paraId="61210577" w14:textId="07EB9F52" w:rsidR="0026078A" w:rsidRPr="0026078A" w:rsidRDefault="0026078A" w:rsidP="0026078A">
      <w:pPr>
        <w:ind w:left="360"/>
      </w:pPr>
      <w:r w:rsidRPr="0026078A">
        <w:t xml:space="preserve">Women belonging to ethnic groups and religious minorities in Iran experience compounded discrimination </w:t>
      </w:r>
      <w:r w:rsidR="00B26BAA">
        <w:t xml:space="preserve">based on their intersecting identities </w:t>
      </w:r>
      <w:r w:rsidRPr="0026078A">
        <w:t xml:space="preserve">due to their gender, </w:t>
      </w:r>
      <w:r w:rsidR="00B26BAA">
        <w:t>ethnicity</w:t>
      </w:r>
      <w:r w:rsidRPr="0026078A">
        <w:t xml:space="preserve">, religion, </w:t>
      </w:r>
      <w:r w:rsidR="00B26BAA">
        <w:t xml:space="preserve">class, or more. </w:t>
      </w:r>
      <w:r w:rsidRPr="0026078A">
        <w:t>This intersectionality exacerbates their vulnerability to discrimination</w:t>
      </w:r>
      <w:r w:rsidR="00B26BAA">
        <w:t>, repression, and violence</w:t>
      </w:r>
      <w:r w:rsidRPr="0026078A">
        <w:t>:</w:t>
      </w:r>
    </w:p>
    <w:p w14:paraId="4ADB86D0" w14:textId="1CE764F7" w:rsidR="0026078A" w:rsidRDefault="0026078A" w:rsidP="0026078A">
      <w:pPr>
        <w:numPr>
          <w:ilvl w:val="0"/>
          <w:numId w:val="5"/>
        </w:numPr>
      </w:pPr>
      <w:r w:rsidRPr="0026078A">
        <w:t xml:space="preserve">Given the presence of discriminatory </w:t>
      </w:r>
      <w:r w:rsidR="00B26BAA">
        <w:t>laws</w:t>
      </w:r>
      <w:r w:rsidRPr="0026078A">
        <w:t xml:space="preserve"> of the Islamic Republic of Iran, which exemplify gender apartheid, we urge the country's rapporteur to expand the list of issues addressed under the Convention on Racial Discrimination. This expansion should encompass laws that perpetuate intersectional discrimination against women, recognizing the unique challenges faced by women from ethnic and religious minority backgrounds.</w:t>
      </w:r>
    </w:p>
    <w:p w14:paraId="62CFB892" w14:textId="43B6DB1D" w:rsidR="0018109A" w:rsidRDefault="005E7F49" w:rsidP="009E041B">
      <w:pPr>
        <w:ind w:left="270"/>
      </w:pPr>
      <w:r>
        <w:t>T</w:t>
      </w:r>
      <w:r w:rsidR="00A63BCC" w:rsidRPr="00315BC3">
        <w:t xml:space="preserve">here are articles in the laws of the Islamic Republic of Iran that are </w:t>
      </w:r>
      <w:r w:rsidR="002479ED" w:rsidRPr="002479ED">
        <w:t xml:space="preserve">clear </w:t>
      </w:r>
      <w:r w:rsidR="00A63BCC" w:rsidRPr="00315BC3">
        <w:t>examples of gender apartheid</w:t>
      </w:r>
      <w:r>
        <w:t xml:space="preserve">. Some instances include </w:t>
      </w:r>
      <w:r w:rsidRPr="00315BC3">
        <w:t>Article 638</w:t>
      </w:r>
      <w:r>
        <w:t xml:space="preserve"> of </w:t>
      </w:r>
      <w:r w:rsidR="00A63BCC" w:rsidRPr="00315BC3">
        <w:t xml:space="preserve">the Islamic Penal Code </w:t>
      </w:r>
      <w:r>
        <w:t xml:space="preserve">that was </w:t>
      </w:r>
      <w:r w:rsidR="00A63BCC" w:rsidRPr="00315BC3">
        <w:t xml:space="preserve">approved in 2014/1392, </w:t>
      </w:r>
      <w:r>
        <w:t xml:space="preserve">which </w:t>
      </w:r>
      <w:r w:rsidR="00C04221">
        <w:t>determines</w:t>
      </w:r>
      <w:r w:rsidR="00A63BCC" w:rsidRPr="00315BC3">
        <w:t xml:space="preserve"> the punishment for </w:t>
      </w:r>
      <w:r w:rsidR="00EF09CA">
        <w:t xml:space="preserve">women not observing the state-mandated </w:t>
      </w:r>
      <w:r w:rsidR="00A63BCC" w:rsidRPr="00315BC3">
        <w:t>hijab. Also</w:t>
      </w:r>
      <w:r w:rsidR="00BA70B0">
        <w:t xml:space="preserve">, </w:t>
      </w:r>
      <w:r w:rsidR="00A63BCC" w:rsidRPr="00315BC3">
        <w:t>Article 261 pa</w:t>
      </w:r>
      <w:r w:rsidR="00BA70B0">
        <w:t xml:space="preserve">ragraph 3, </w:t>
      </w:r>
      <w:r w:rsidR="00EF09CA">
        <w:t xml:space="preserve">of the same Penal Code??? determines the punishment for </w:t>
      </w:r>
      <w:r w:rsidR="00BA70B0">
        <w:t xml:space="preserve">the </w:t>
      </w:r>
      <w:r w:rsidR="00BA70B0" w:rsidRPr="00BA70B0">
        <w:t>allegation of adultery</w:t>
      </w:r>
      <w:r w:rsidR="0018109A">
        <w:rPr>
          <w:rFonts w:hint="cs"/>
          <w:rtl/>
        </w:rPr>
        <w:t xml:space="preserve"> </w:t>
      </w:r>
      <w:r w:rsidR="0018109A">
        <w:rPr>
          <w:rFonts w:hint="cs"/>
          <w:rtl/>
          <w:lang w:bidi="prs-AF"/>
        </w:rPr>
        <w:t>(</w:t>
      </w:r>
      <w:r w:rsidR="00BA70B0" w:rsidRPr="00BA70B0">
        <w:rPr>
          <w:rtl/>
        </w:rPr>
        <w:t>حد القذف</w:t>
      </w:r>
      <w:proofErr w:type="gramStart"/>
      <w:r w:rsidR="00BA70B0">
        <w:rPr>
          <w:rFonts w:hint="cs"/>
          <w:rtl/>
          <w:lang w:bidi="fa-IR"/>
        </w:rPr>
        <w:t>)</w:t>
      </w:r>
      <w:r w:rsidR="00A63BCC" w:rsidRPr="00315BC3">
        <w:t xml:space="preserve"> </w:t>
      </w:r>
      <w:r w:rsidR="00EF09CA">
        <w:t>.</w:t>
      </w:r>
      <w:proofErr w:type="gramEnd"/>
      <w:r w:rsidR="00EF09CA">
        <w:t xml:space="preserve"> This discrimination occurs w</w:t>
      </w:r>
      <w:r w:rsidR="00BA70B0" w:rsidRPr="00BA70B0">
        <w:t xml:space="preserve">hen a husband accuses his wife of adultery or refuses </w:t>
      </w:r>
      <w:r w:rsidR="00EF09CA">
        <w:t>the legitimacy of his</w:t>
      </w:r>
      <w:r w:rsidR="00EF09CA" w:rsidRPr="00BA70B0">
        <w:t xml:space="preserve"> </w:t>
      </w:r>
      <w:r w:rsidR="00BA70B0" w:rsidRPr="00BA70B0">
        <w:t xml:space="preserve">own child, </w:t>
      </w:r>
      <w:r w:rsidR="00EF09CA">
        <w:t>but</w:t>
      </w:r>
      <w:r w:rsidR="00EF09CA" w:rsidRPr="00BA70B0">
        <w:t xml:space="preserve"> </w:t>
      </w:r>
      <w:r w:rsidR="00BA70B0" w:rsidRPr="00BA70B0">
        <w:t xml:space="preserve">his wife refutes his allegation </w:t>
      </w:r>
      <w:r w:rsidR="00EF09CA">
        <w:t>as</w:t>
      </w:r>
      <w:r w:rsidR="00EF09CA" w:rsidRPr="00BA70B0">
        <w:t xml:space="preserve"> </w:t>
      </w:r>
      <w:r w:rsidR="00BA70B0" w:rsidRPr="00BA70B0">
        <w:t>false, and claims for the punishment of false accusation (</w:t>
      </w:r>
      <w:r w:rsidR="00BA70B0" w:rsidRPr="00BA70B0">
        <w:rPr>
          <w:rFonts w:cs="Arial"/>
          <w:rtl/>
        </w:rPr>
        <w:t>قَذَف</w:t>
      </w:r>
      <w:r w:rsidR="00BA70B0" w:rsidRPr="00BA70B0">
        <w:t xml:space="preserve"> </w:t>
      </w:r>
      <w:r w:rsidR="00BA70B0">
        <w:rPr>
          <w:rFonts w:hint="cs"/>
          <w:rtl/>
        </w:rPr>
        <w:t>(</w:t>
      </w:r>
      <w:r w:rsidR="00EF09CA">
        <w:t>.  Af</w:t>
      </w:r>
      <w:r w:rsidR="0018109A" w:rsidRPr="0018109A">
        <w:t xml:space="preserve">ter the process of </w:t>
      </w:r>
      <w:proofErr w:type="spellStart"/>
      <w:r w:rsidR="0018109A" w:rsidRPr="0018109A">
        <w:t>li'an</w:t>
      </w:r>
      <w:proofErr w:type="spellEnd"/>
      <w:r w:rsidR="0018109A" w:rsidRPr="0018109A">
        <w:t xml:space="preserve"> (</w:t>
      </w:r>
      <w:r w:rsidR="0018109A" w:rsidRPr="0018109A">
        <w:rPr>
          <w:rFonts w:cs="Arial"/>
          <w:rtl/>
        </w:rPr>
        <w:t>لِعَان</w:t>
      </w:r>
      <w:r w:rsidR="0018109A" w:rsidRPr="0018109A">
        <w:t>)</w:t>
      </w:r>
      <w:r w:rsidR="00EF09CA">
        <w:t xml:space="preserve">, which is </w:t>
      </w:r>
      <w:r w:rsidR="0018109A" w:rsidRPr="0018109A">
        <w:t xml:space="preserve">this couple will </w:t>
      </w:r>
      <w:r w:rsidR="00EF09CA">
        <w:t xml:space="preserve">however </w:t>
      </w:r>
      <w:r w:rsidR="0018109A" w:rsidRPr="0018109A">
        <w:t>be forbidden to each</w:t>
      </w:r>
      <w:r w:rsidR="00EF09CA">
        <w:t xml:space="preserve"> </w:t>
      </w:r>
      <w:r w:rsidR="0018109A" w:rsidRPr="0018109A">
        <w:t>other forever</w:t>
      </w:r>
      <w:r w:rsidR="00EF09CA">
        <w:t xml:space="preserve">. </w:t>
      </w:r>
      <w:r w:rsidR="0018109A" w:rsidRPr="0018109A">
        <w:t>-The husband should free the woman by divorcing her</w:t>
      </w:r>
      <w:r w:rsidR="0018109A">
        <w:rPr>
          <w:rFonts w:hint="cs"/>
          <w:rtl/>
        </w:rPr>
        <w:t>.</w:t>
      </w:r>
    </w:p>
    <w:p w14:paraId="33AC61F9" w14:textId="35703BF2" w:rsidR="00AB6B24" w:rsidRDefault="00AB6B24" w:rsidP="009E041B">
      <w:pPr>
        <w:ind w:left="270"/>
      </w:pPr>
      <w:r>
        <w:t xml:space="preserve">Another gender discriminatory law is </w:t>
      </w:r>
      <w:r w:rsidR="00A63BCC" w:rsidRPr="00315BC3">
        <w:t xml:space="preserve">Article 336, </w:t>
      </w:r>
      <w:r>
        <w:t xml:space="preserve">which requires </w:t>
      </w:r>
      <w:r w:rsidR="00A63BCC" w:rsidRPr="00315BC3">
        <w:t xml:space="preserve">the oath of fifty men from </w:t>
      </w:r>
      <w:r>
        <w:t xml:space="preserve">a victim’s </w:t>
      </w:r>
      <w:r w:rsidR="00A63BCC" w:rsidRPr="00315BC3">
        <w:t>relatives regarding the proof of intentional murder</w:t>
      </w:r>
      <w:r>
        <w:t xml:space="preserve">, while </w:t>
      </w:r>
      <w:r w:rsidR="00A63BCC" w:rsidRPr="00315BC3">
        <w:t>the oath or testimony of a woman is not acceptable</w:t>
      </w:r>
      <w:r>
        <w:t xml:space="preserve">. Relatedly, </w:t>
      </w:r>
      <w:r w:rsidR="00A63BCC" w:rsidRPr="00315BC3">
        <w:t>Article 382</w:t>
      </w:r>
      <w:r>
        <w:t xml:space="preserve"> outlines the different retribution set for the murder or a Muslim man as opposed to a Muslim woman: if the killer of a woman is sentenced to </w:t>
      </w:r>
      <w:r w:rsidRPr="00315BC3">
        <w:t>retribution,</w:t>
      </w:r>
      <w:r>
        <w:t xml:space="preserve"> </w:t>
      </w:r>
      <w:r w:rsidR="003B12B2">
        <w:t xml:space="preserve">the victim’s family must pay half of the ransom to the murderer, since women’s life is worth half of a </w:t>
      </w:r>
      <w:proofErr w:type="gramStart"/>
      <w:r w:rsidR="003B12B2">
        <w:t>man’s</w:t>
      </w:r>
      <w:proofErr w:type="gramEnd"/>
      <w:r w:rsidR="003B12B2">
        <w:t xml:space="preserve">. </w:t>
      </w:r>
    </w:p>
    <w:p w14:paraId="582EFE33" w14:textId="652FF474" w:rsidR="00DA585F" w:rsidRDefault="003B12B2" w:rsidP="003B12B2">
      <w:pPr>
        <w:ind w:left="270"/>
      </w:pPr>
      <w:r>
        <w:t>I</w:t>
      </w:r>
      <w:r w:rsidR="00A63BCC" w:rsidRPr="00315BC3">
        <w:t>n general,</w:t>
      </w:r>
      <w:r>
        <w:t xml:space="preserve"> the Islamic Republic’s laws treat</w:t>
      </w:r>
      <w:r w:rsidR="00A63BCC" w:rsidRPr="00315BC3">
        <w:t xml:space="preserve"> the testimony of two women </w:t>
      </w:r>
      <w:r>
        <w:t>as</w:t>
      </w:r>
      <w:r w:rsidRPr="00315BC3">
        <w:t xml:space="preserve"> </w:t>
      </w:r>
      <w:r w:rsidR="00A63BCC" w:rsidRPr="00315BC3">
        <w:t xml:space="preserve">equal to the testimony of one man, </w:t>
      </w:r>
      <w:r>
        <w:t>while women’s</w:t>
      </w:r>
      <w:r w:rsidR="00A63BCC" w:rsidRPr="00315BC3">
        <w:t xml:space="preserve"> testimony is not acceptable when it comes to </w:t>
      </w:r>
      <w:r>
        <w:t>witnessing a</w:t>
      </w:r>
      <w:r w:rsidRPr="00315BC3">
        <w:t xml:space="preserve"> </w:t>
      </w:r>
      <w:r w:rsidR="00A63BCC" w:rsidRPr="00315BC3">
        <w:t xml:space="preserve">murder. </w:t>
      </w:r>
    </w:p>
    <w:p w14:paraId="04E126C2" w14:textId="77777777" w:rsidR="00C46D07" w:rsidRPr="00C46D07" w:rsidRDefault="00C46D07" w:rsidP="00DA585F">
      <w:pPr>
        <w:ind w:left="270"/>
      </w:pPr>
    </w:p>
    <w:p w14:paraId="79F6B7E7" w14:textId="5EDBCDE2" w:rsidR="00A63BCC" w:rsidRPr="00315BC3" w:rsidRDefault="00A63BCC" w:rsidP="00B8192A">
      <w:pPr>
        <w:ind w:left="630"/>
      </w:pPr>
      <w:r w:rsidRPr="00223B7D">
        <w:lastRenderedPageBreak/>
        <w:t>A</w:t>
      </w:r>
      <w:r w:rsidRPr="00315BC3">
        <w:t>rticle 199 of the Penal Code</w:t>
      </w:r>
      <w:r w:rsidR="00223B7D">
        <w:t>:</w:t>
      </w:r>
      <w:r w:rsidRPr="00315BC3">
        <w:t xml:space="preserve"> The quorum of testimony </w:t>
      </w:r>
      <w:r w:rsidR="00223B7D">
        <w:t>to prove</w:t>
      </w:r>
      <w:r w:rsidR="00223B7D" w:rsidRPr="00315BC3">
        <w:t xml:space="preserve"> </w:t>
      </w:r>
      <w:r w:rsidRPr="00315BC3">
        <w:t xml:space="preserve">all crimes is two male witnesses, except for adultery, which </w:t>
      </w:r>
      <w:r w:rsidR="00223B7D">
        <w:t>requires witnessing of the intercourse</w:t>
      </w:r>
      <w:r w:rsidR="00223B7D" w:rsidRPr="00315BC3">
        <w:t xml:space="preserve"> </w:t>
      </w:r>
      <w:r w:rsidR="00223B7D">
        <w:t>by</w:t>
      </w:r>
      <w:r w:rsidRPr="00315BC3">
        <w:t xml:space="preserve"> four male witnesses. The testimony of two righteous men and four righteous women is also sufficient to prove adultery, which leads to skinning, shaving, or banishment</w:t>
      </w:r>
    </w:p>
    <w:p w14:paraId="08FA080A" w14:textId="3B710654" w:rsidR="00A63BCC" w:rsidRDefault="00A63BCC" w:rsidP="00134E82">
      <w:pPr>
        <w:rPr>
          <w:rtl/>
        </w:rPr>
      </w:pPr>
      <w:r w:rsidRPr="00315BC3">
        <w:t xml:space="preserve">Also, article 550 of the new IPC (similar to the article 300 of the old IPC) provides that: “The </w:t>
      </w:r>
      <w:proofErr w:type="spellStart"/>
      <w:r w:rsidR="00D81108">
        <w:t>d</w:t>
      </w:r>
      <w:r w:rsidR="00D81108" w:rsidRPr="00134E82">
        <w:t>iyyah</w:t>
      </w:r>
      <w:proofErr w:type="spellEnd"/>
      <w:r w:rsidR="00D81108" w:rsidRPr="00134E82">
        <w:t xml:space="preserve"> </w:t>
      </w:r>
      <w:r w:rsidR="00134E82" w:rsidRPr="00134E82">
        <w:t>(blood money</w:t>
      </w:r>
      <w:r w:rsidR="00134E82">
        <w:t>)</w:t>
      </w:r>
      <w:r w:rsidRPr="00315BC3">
        <w:t xml:space="preserve"> for murdering a woman is half that of a man”. Similarly, in the cases of bodily injuries that do not cause death, the </w:t>
      </w:r>
      <w:proofErr w:type="spellStart"/>
      <w:r w:rsidRPr="00315BC3">
        <w:t>diy</w:t>
      </w:r>
      <w:r w:rsidR="00D81108">
        <w:t>y</w:t>
      </w:r>
      <w:r w:rsidRPr="00315BC3">
        <w:t>a</w:t>
      </w:r>
      <w:proofErr w:type="spellEnd"/>
      <w:r w:rsidRPr="00315BC3">
        <w:t xml:space="preserve"> for men and women follow </w:t>
      </w:r>
      <w:r>
        <w:t>the original rule of inequality</w:t>
      </w:r>
      <w:r>
        <w:rPr>
          <w:rFonts w:hint="cs"/>
          <w:rtl/>
        </w:rPr>
        <w:t>.</w:t>
      </w:r>
      <w:r w:rsidRPr="00315BC3">
        <w:t xml:space="preserve"> </w:t>
      </w:r>
    </w:p>
    <w:p w14:paraId="292BBA04" w14:textId="16BFA2EA" w:rsidR="00A41109" w:rsidRDefault="00A63BCC" w:rsidP="004B7F3F">
      <w:pPr>
        <w:rPr>
          <w:rtl/>
        </w:rPr>
      </w:pPr>
      <w:r w:rsidRPr="00315BC3">
        <w:t>Article 946 of the Civil Code</w:t>
      </w:r>
      <w:r w:rsidR="00131480">
        <w:t>:</w:t>
      </w:r>
      <w:r w:rsidRPr="00315BC3">
        <w:t xml:space="preserve"> The husband inherits all the property of the wife</w:t>
      </w:r>
      <w:r w:rsidR="00131480">
        <w:t xml:space="preserve"> (</w:t>
      </w:r>
      <w:r w:rsidR="00131480" w:rsidRPr="00315BC3">
        <w:t>both movable and immovable)</w:t>
      </w:r>
      <w:r w:rsidR="004B7F3F">
        <w:t>. F</w:t>
      </w:r>
      <w:r w:rsidR="00D81108">
        <w:t>ollowing the husband’s death,</w:t>
      </w:r>
      <w:r w:rsidR="00D81108" w:rsidRPr="00315BC3">
        <w:t xml:space="preserve"> </w:t>
      </w:r>
      <w:r w:rsidR="004B7F3F">
        <w:t xml:space="preserve">however, </w:t>
      </w:r>
      <w:r w:rsidRPr="00315BC3">
        <w:t xml:space="preserve">if the wife has </w:t>
      </w:r>
      <w:r w:rsidRPr="00A41109">
        <w:t>children, she inherits one-eighth of the movable property and one-eighth of the value of the immovable property, including</w:t>
      </w:r>
      <w:r w:rsidRPr="00315BC3">
        <w:t xml:space="preserve"> land and </w:t>
      </w:r>
      <w:r w:rsidR="004B7F3F">
        <w:t>trees</w:t>
      </w:r>
      <w:r w:rsidRPr="00315BC3">
        <w:t xml:space="preserve">. If the husband has no children, the wife's share is one-fourth of all </w:t>
      </w:r>
      <w:r w:rsidR="00131480">
        <w:t>the wealth, while the state inherits the rest</w:t>
      </w:r>
      <w:r w:rsidRPr="00315BC3">
        <w:t xml:space="preserve">. </w:t>
      </w:r>
    </w:p>
    <w:p w14:paraId="0D8BED05" w14:textId="79790B69" w:rsidR="00A41109" w:rsidRDefault="00A63BCC" w:rsidP="00A63BCC">
      <w:pPr>
        <w:rPr>
          <w:rtl/>
        </w:rPr>
      </w:pPr>
      <w:r w:rsidRPr="00315BC3">
        <w:t xml:space="preserve">Article 906 </w:t>
      </w:r>
      <w:r w:rsidR="00A55629" w:rsidRPr="00315BC3">
        <w:t>if</w:t>
      </w:r>
      <w:r w:rsidRPr="00315BC3">
        <w:t xml:space="preserve"> there are multiple children</w:t>
      </w:r>
      <w:r w:rsidR="00131480">
        <w:t xml:space="preserve"> from different genders, male children always inherit double of what female children inherit. </w:t>
      </w:r>
    </w:p>
    <w:p w14:paraId="31840F30" w14:textId="0DD54191" w:rsidR="00A41109" w:rsidRDefault="00A63BCC" w:rsidP="00B76AA8">
      <w:pPr>
        <w:rPr>
          <w:rtl/>
        </w:rPr>
      </w:pPr>
      <w:r w:rsidRPr="00315BC3">
        <w:t xml:space="preserve">The subject of Article 630 of the Islamic Penal Code is one of the clear examples of gender apartheid. In this legal article, the husband is allowed to carry out the punishment </w:t>
      </w:r>
      <w:r w:rsidR="004B7F3F">
        <w:t>of killing his wife i</w:t>
      </w:r>
      <w:r w:rsidR="001E344C">
        <w:t>f</w:t>
      </w:r>
      <w:r w:rsidR="004B7F3F">
        <w:t xml:space="preserve"> he catches </w:t>
      </w:r>
      <w:r w:rsidR="001E344C">
        <w:t>her</w:t>
      </w:r>
      <w:r w:rsidRPr="00315BC3">
        <w:t xml:space="preserve"> in adultery and knows about </w:t>
      </w:r>
      <w:r w:rsidR="001E344C">
        <w:t>her</w:t>
      </w:r>
      <w:r w:rsidRPr="00315BC3">
        <w:t xml:space="preserve"> submissiveness</w:t>
      </w:r>
      <w:r w:rsidR="004B7F3F">
        <w:t xml:space="preserve"> to the act</w:t>
      </w:r>
      <w:r w:rsidRPr="00315BC3">
        <w:t xml:space="preserve">. </w:t>
      </w:r>
      <w:r w:rsidR="001E344C">
        <w:t>This is w</w:t>
      </w:r>
      <w:r w:rsidRPr="00315BC3">
        <w:t xml:space="preserve">hile according to the law, a man can have </w:t>
      </w:r>
      <w:r w:rsidR="001E344C">
        <w:t>up to four</w:t>
      </w:r>
      <w:r w:rsidRPr="00315BC3">
        <w:t xml:space="preserve"> permanent wives and countless temporary </w:t>
      </w:r>
      <w:r w:rsidR="004B7F3F">
        <w:t xml:space="preserve">wives. </w:t>
      </w:r>
    </w:p>
    <w:p w14:paraId="32476C5F" w14:textId="77777777" w:rsidR="00B76AA8" w:rsidRDefault="00B76AA8" w:rsidP="00A41109">
      <w:r w:rsidRPr="00B76AA8">
        <w:t>Anti-women family laws compound the discriminatory measures against women detailed in the aforementioned legal articles, further exacerbating existing gender disparities. Under these laws, women's autonomy and freedom are significantly curtailed:</w:t>
      </w:r>
    </w:p>
    <w:p w14:paraId="79153A5F" w14:textId="77777777" w:rsidR="00A41109" w:rsidRDefault="00A41109" w:rsidP="00B76AA8">
      <w:pPr>
        <w:pStyle w:val="Paragraphedeliste"/>
        <w:numPr>
          <w:ilvl w:val="0"/>
          <w:numId w:val="4"/>
        </w:numPr>
      </w:pPr>
      <w:r>
        <w:t>A woman is required to obtain her husband's official permission to travel outside the country. This restriction grants men the authority to prohibit their wives from traveling at their discretion.</w:t>
      </w:r>
    </w:p>
    <w:p w14:paraId="3E6D41C0" w14:textId="431922AB" w:rsidR="00A41109" w:rsidRDefault="00A41109" w:rsidP="00B76AA8">
      <w:pPr>
        <w:pStyle w:val="Paragraphedeliste"/>
        <w:numPr>
          <w:ilvl w:val="0"/>
          <w:numId w:val="4"/>
        </w:numPr>
      </w:pPr>
      <w:r>
        <w:t>Men possess unilateral power to divorce their wives at will, further undermining women's rights within the marital relationship.</w:t>
      </w:r>
      <w:r w:rsidR="001E344C">
        <w:t xml:space="preserve"> Women’s right to divorce is only restricted to certain circumstances that have to be presided over in the family court.</w:t>
      </w:r>
    </w:p>
    <w:p w14:paraId="00804AAE" w14:textId="77777777" w:rsidR="00A41109" w:rsidRDefault="00A41109" w:rsidP="00B76AA8">
      <w:pPr>
        <w:pStyle w:val="Paragraphedeliste"/>
        <w:numPr>
          <w:ilvl w:val="0"/>
          <w:numId w:val="4"/>
        </w:numPr>
      </w:pPr>
      <w:r>
        <w:t>Women are deprived of the right to confer their citizenship to their children, perpetuating gender-based inequalities in nationality laws.</w:t>
      </w:r>
    </w:p>
    <w:p w14:paraId="54BDA637" w14:textId="77777777" w:rsidR="00A41109" w:rsidRDefault="00A41109" w:rsidP="00B76AA8">
      <w:pPr>
        <w:pStyle w:val="Paragraphedeliste"/>
        <w:numPr>
          <w:ilvl w:val="0"/>
          <w:numId w:val="4"/>
        </w:numPr>
      </w:pPr>
      <w:r>
        <w:t>Even in matters of employment, women are subject to their husbands' approval, severely limiting their economic independence and professional choices.</w:t>
      </w:r>
    </w:p>
    <w:p w14:paraId="0A9E5DE2" w14:textId="77777777" w:rsidR="00A41109" w:rsidRDefault="00A41109" w:rsidP="00B76AA8">
      <w:pPr>
        <w:pStyle w:val="Paragraphedeliste"/>
        <w:numPr>
          <w:ilvl w:val="0"/>
          <w:numId w:val="4"/>
        </w:numPr>
        <w:rPr>
          <w:rtl/>
        </w:rPr>
      </w:pPr>
      <w:r>
        <w:t>These anti-women family laws compound the systemic discrimination against women in Iran, reinforcing gender hierarchies and perpetuating unequal power dynamics within familial and societal structures. It is imperative to address and rectify these laws to advance gender equality and protect women's rights in Iran.</w:t>
      </w:r>
    </w:p>
    <w:p w14:paraId="71D98A0A" w14:textId="0DA7FDE2" w:rsidR="001E344C" w:rsidRDefault="00A63BCC" w:rsidP="00B76AA8">
      <w:pPr>
        <w:rPr>
          <w:lang w:bidi="fa-IR"/>
        </w:rPr>
      </w:pPr>
      <w:r w:rsidRPr="00315BC3">
        <w:t>According to the tripartite memorandum that was concluded in April 2023 between the</w:t>
      </w:r>
      <w:r w:rsidR="001E344C">
        <w:t xml:space="preserve"> Iranian</w:t>
      </w:r>
      <w:r w:rsidRPr="00315BC3">
        <w:t xml:space="preserve"> judiciary, the I</w:t>
      </w:r>
      <w:r w:rsidR="001E344C">
        <w:t>slamic</w:t>
      </w:r>
      <w:r w:rsidRPr="00315BC3">
        <w:t xml:space="preserve"> R</w:t>
      </w:r>
      <w:r w:rsidR="001E344C">
        <w:t>evolutionary</w:t>
      </w:r>
      <w:r w:rsidRPr="00315BC3">
        <w:t xml:space="preserve"> </w:t>
      </w:r>
      <w:r w:rsidR="001E344C" w:rsidRPr="00315BC3">
        <w:t>G</w:t>
      </w:r>
      <w:r w:rsidR="001E344C">
        <w:t>uard</w:t>
      </w:r>
      <w:r w:rsidRPr="00315BC3">
        <w:t xml:space="preserve"> Corps </w:t>
      </w:r>
      <w:r w:rsidR="001E344C">
        <w:t xml:space="preserve">(IRGC) </w:t>
      </w:r>
      <w:r w:rsidRPr="00315BC3">
        <w:t xml:space="preserve">and the </w:t>
      </w:r>
      <w:r w:rsidR="001E344C">
        <w:t>Vice and Virtue Office</w:t>
      </w:r>
      <w:r w:rsidRPr="00315BC3">
        <w:t xml:space="preserve">, </w:t>
      </w:r>
      <w:r w:rsidR="001E344C">
        <w:t xml:space="preserve">a powerful team was formed to </w:t>
      </w:r>
      <w:r w:rsidR="001E344C" w:rsidRPr="00315BC3">
        <w:t>deal with</w:t>
      </w:r>
      <w:r w:rsidR="001E344C">
        <w:t xml:space="preserve"> and punish</w:t>
      </w:r>
      <w:r w:rsidR="001E344C" w:rsidRPr="00315BC3">
        <w:t xml:space="preserve"> women</w:t>
      </w:r>
      <w:r w:rsidR="001E344C">
        <w:t xml:space="preserve"> with improper hijab and behavior</w:t>
      </w:r>
      <w:r w:rsidR="001E344C" w:rsidRPr="00315BC3">
        <w:t xml:space="preserve"> in the public sphere, </w:t>
      </w:r>
      <w:r w:rsidR="001E344C">
        <w:t>with support and cooperation from</w:t>
      </w:r>
      <w:r w:rsidR="001E344C" w:rsidRPr="00315BC3">
        <w:t xml:space="preserve"> the student</w:t>
      </w:r>
      <w:r w:rsidR="001E344C">
        <w:t xml:space="preserve"> </w:t>
      </w:r>
      <w:proofErr w:type="spellStart"/>
      <w:r w:rsidR="001E344C" w:rsidRPr="00A55629">
        <w:rPr>
          <w:i/>
          <w:iCs/>
        </w:rPr>
        <w:t>basij</w:t>
      </w:r>
      <w:proofErr w:type="spellEnd"/>
      <w:r w:rsidR="001E344C" w:rsidRPr="00315BC3">
        <w:t xml:space="preserve"> organization</w:t>
      </w:r>
      <w:r w:rsidR="001E344C">
        <w:t>s</w:t>
      </w:r>
      <w:r w:rsidR="001E344C" w:rsidRPr="00315BC3">
        <w:t>.</w:t>
      </w:r>
    </w:p>
    <w:p w14:paraId="079C7C90" w14:textId="561949E1" w:rsidR="00A63BCC" w:rsidRPr="00315BC3" w:rsidRDefault="00A63BCC" w:rsidP="00B76AA8">
      <w:r w:rsidRPr="00315BC3">
        <w:t>Also considering that in 2023/1402, the Ministry of Interior issued a confidential circular regarding the enforcement of hijab for women. A section of this directive mandates the Ministry to take measures against individuals who do not adhere to the mandatory hijab and to capture their images</w:t>
      </w:r>
      <w:r w:rsidR="0041574F">
        <w:t xml:space="preserve"> for further surveillance and punishment</w:t>
      </w:r>
      <w:r w:rsidRPr="00315BC3">
        <w:t>.</w:t>
      </w:r>
    </w:p>
    <w:p w14:paraId="19635C7C" w14:textId="1A80BCDC" w:rsidR="00A63BCC" w:rsidRPr="00315BC3" w:rsidRDefault="00A63BCC" w:rsidP="00B76AA8">
      <w:r w:rsidRPr="00315BC3">
        <w:t xml:space="preserve">Given that gender apartheid constitutes systematic government discrimination, as reflected in laws and policies establishing hierarchical inequality between genders, </w:t>
      </w:r>
      <w:r w:rsidR="0041574F">
        <w:t xml:space="preserve">it is clear that Iran’s laws </w:t>
      </w:r>
      <w:r w:rsidRPr="00315BC3">
        <w:t xml:space="preserve">result in </w:t>
      </w:r>
      <w:r w:rsidR="0041574F">
        <w:t>women’s</w:t>
      </w:r>
      <w:r w:rsidR="0041574F" w:rsidRPr="00315BC3">
        <w:t xml:space="preserve"> </w:t>
      </w:r>
      <w:r w:rsidRPr="00315BC3">
        <w:t xml:space="preserve">segregation and their exclusion from public domains. This approach perpetuates and strengthens an unequal hierarchy. Therefore, the elements of systematic/contextual discrimination and the premeditated nature of actions are fundamental issues </w:t>
      </w:r>
      <w:r w:rsidR="0041574F">
        <w:t xml:space="preserve">to be </w:t>
      </w:r>
      <w:r w:rsidRPr="00315BC3">
        <w:t xml:space="preserve">highlighted in the initial report of the fact-finding committee of the United Nations Human Rights Council. A poignant example of this is the drafting of the "Chastity and Hijab Bill, 2022," contributing to the </w:t>
      </w:r>
      <w:r w:rsidR="0041574F">
        <w:t xml:space="preserve">further </w:t>
      </w:r>
      <w:r w:rsidRPr="00315BC3">
        <w:t xml:space="preserve">repression, </w:t>
      </w:r>
      <w:r w:rsidR="0041574F">
        <w:t>violence, and marginalization</w:t>
      </w:r>
      <w:r w:rsidRPr="00315BC3">
        <w:t xml:space="preserve"> of women in Iran following the women's liberation movement. These issues underscore the critical matters addressed in the first report of the United Nations Human Rights Council's fact-finding committee.</w:t>
      </w:r>
    </w:p>
    <w:p w14:paraId="13DFAF0E" w14:textId="77777777" w:rsidR="00A63BCC" w:rsidRDefault="00454614" w:rsidP="00B75D2D">
      <w:pPr>
        <w:ind w:left="720"/>
        <w:rPr>
          <w:color w:val="FF0000"/>
        </w:rPr>
      </w:pPr>
      <w:r w:rsidRPr="00454614">
        <w:t>*</w:t>
      </w:r>
      <w:r>
        <w:t xml:space="preserve"> </w:t>
      </w:r>
      <w:r w:rsidR="00B75D2D" w:rsidRPr="00B75D2D">
        <w:t>In light of the report by the International Committee for the Discovery of Truth on March 8, 2024, which unveiled the egregious human rights violations committed by the Islamic government in Iran, emphasizing the concepts of crimes against humanity and gender apartheid, it is imperative to address and rectify these issues.</w:t>
      </w:r>
    </w:p>
    <w:p w14:paraId="074B73CC" w14:textId="77777777" w:rsidR="00B75D2D" w:rsidRPr="007D5834" w:rsidRDefault="00E432D8" w:rsidP="00B75D2D">
      <w:pPr>
        <w:ind w:left="720"/>
        <w:rPr>
          <w:lang w:bidi="fa-IR"/>
        </w:rPr>
      </w:pPr>
      <w:r w:rsidRPr="007D5834">
        <w:t>Some of these serious violations of human rights thus rose to the level of crimes against humanity, including murder, torture, rape, and also gender persecution, intersecting with ethnicity and religion.</w:t>
      </w:r>
    </w:p>
    <w:p w14:paraId="74A60610" w14:textId="262DD4CE" w:rsidR="00E432D8" w:rsidRPr="00B75D2D" w:rsidRDefault="00B75D2D" w:rsidP="0058505B">
      <w:pPr>
        <w:ind w:left="720"/>
      </w:pPr>
      <w:r w:rsidRPr="00B75D2D">
        <w:t>*In marginalized areas with ethnic populations, the incidence of honor killings against women is particularly high. Research conducted by the Stop Honor Killings campaign reveals a catastrophic increase in the murder of women</w:t>
      </w:r>
      <w:r w:rsidR="0041574F">
        <w:t xml:space="preserve"> in recent years</w:t>
      </w:r>
      <w:r w:rsidRPr="00B75D2D">
        <w:t xml:space="preserve">. Therefore, we urge the </w:t>
      </w:r>
      <w:r w:rsidR="0058505B">
        <w:t>C</w:t>
      </w:r>
      <w:r w:rsidR="0058505B" w:rsidRPr="00B75D2D">
        <w:t xml:space="preserve">ommittee </w:t>
      </w:r>
      <w:r w:rsidR="0058505B">
        <w:t xml:space="preserve">on the Elimination of </w:t>
      </w:r>
      <w:r w:rsidR="00C46D07">
        <w:t>Racial</w:t>
      </w:r>
      <w:r w:rsidR="0058505B">
        <w:t xml:space="preserve"> </w:t>
      </w:r>
      <w:r w:rsidR="00C46D07">
        <w:t>Discussion</w:t>
      </w:r>
      <w:r w:rsidR="00C46D07" w:rsidRPr="00B75D2D">
        <w:t xml:space="preserve"> to</w:t>
      </w:r>
      <w:r w:rsidRPr="00B75D2D">
        <w:t xml:space="preserve"> address this issue with the Islamic Republic and advocate for the </w:t>
      </w:r>
      <w:r w:rsidR="0041574F">
        <w:t>removal</w:t>
      </w:r>
      <w:r w:rsidR="0041574F" w:rsidRPr="00B75D2D">
        <w:t xml:space="preserve"> </w:t>
      </w:r>
      <w:r w:rsidRPr="00B75D2D">
        <w:t xml:space="preserve">of the aforementioned </w:t>
      </w:r>
      <w:r w:rsidR="0041574F">
        <w:t xml:space="preserve">gender discriminatory </w:t>
      </w:r>
      <w:r w:rsidRPr="00B75D2D">
        <w:t>laws that contribute to the escalation of violence against women.</w:t>
      </w:r>
    </w:p>
    <w:p w14:paraId="2043936B" w14:textId="4C0773E4" w:rsidR="00A63BCC" w:rsidRDefault="00A63BCC" w:rsidP="00A63BCC">
      <w:r w:rsidRPr="00315BC3">
        <w:t>Campaign to Stop Honor Killings</w:t>
      </w:r>
    </w:p>
    <w:p w14:paraId="54F5C659" w14:textId="67DCB640" w:rsidR="007A7772" w:rsidRDefault="007A7772" w:rsidP="00A63BCC">
      <w:r>
        <w:t>Email:</w:t>
      </w:r>
      <w:r w:rsidRPr="007A7772">
        <w:t xml:space="preserve"> </w:t>
      </w:r>
      <w:hyperlink r:id="rId5" w:history="1">
        <w:r w:rsidRPr="00EC1954">
          <w:rPr>
            <w:rStyle w:val="Lienhypertexte"/>
          </w:rPr>
          <w:t>info@stophonorkillings.org</w:t>
        </w:r>
      </w:hyperlink>
    </w:p>
    <w:p w14:paraId="08633D82" w14:textId="77777777" w:rsidR="007A7772" w:rsidRPr="00315BC3" w:rsidRDefault="007A7772" w:rsidP="00A63BCC"/>
    <w:p w14:paraId="5B7B303C" w14:textId="77777777" w:rsidR="00BB5FC4" w:rsidRDefault="00BB5FC4">
      <w:pPr>
        <w:rPr>
          <w:rtl/>
          <w:lang w:bidi="fa-IR"/>
        </w:rPr>
      </w:pPr>
    </w:p>
    <w:sectPr w:rsidR="00BB5F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37567C"/>
    <w:multiLevelType w:val="multilevel"/>
    <w:tmpl w:val="2E4C8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8E5768"/>
    <w:multiLevelType w:val="multilevel"/>
    <w:tmpl w:val="F1FC0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C11266"/>
    <w:multiLevelType w:val="multilevel"/>
    <w:tmpl w:val="1C8EDF1C"/>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
      <w:lvlJc w:val="left"/>
      <w:pPr>
        <w:tabs>
          <w:tab w:val="num" w:pos="1350"/>
        </w:tabs>
        <w:ind w:left="1350" w:hanging="360"/>
      </w:pPr>
      <w:rPr>
        <w:rFonts w:ascii="Symbol" w:hAnsi="Symbol" w:hint="default"/>
        <w:sz w:val="20"/>
      </w:rPr>
    </w:lvl>
    <w:lvl w:ilvl="2" w:tentative="1">
      <w:start w:val="1"/>
      <w:numFmt w:val="bullet"/>
      <w:lvlText w:val=""/>
      <w:lvlJc w:val="left"/>
      <w:pPr>
        <w:tabs>
          <w:tab w:val="num" w:pos="2070"/>
        </w:tabs>
        <w:ind w:left="2070" w:hanging="360"/>
      </w:pPr>
      <w:rPr>
        <w:rFonts w:ascii="Symbol" w:hAnsi="Symbol" w:hint="default"/>
        <w:sz w:val="20"/>
      </w:rPr>
    </w:lvl>
    <w:lvl w:ilvl="3" w:tentative="1">
      <w:start w:val="1"/>
      <w:numFmt w:val="bullet"/>
      <w:lvlText w:val=""/>
      <w:lvlJc w:val="left"/>
      <w:pPr>
        <w:tabs>
          <w:tab w:val="num" w:pos="2790"/>
        </w:tabs>
        <w:ind w:left="2790" w:hanging="360"/>
      </w:pPr>
      <w:rPr>
        <w:rFonts w:ascii="Symbol" w:hAnsi="Symbol" w:hint="default"/>
        <w:sz w:val="20"/>
      </w:rPr>
    </w:lvl>
    <w:lvl w:ilvl="4" w:tentative="1">
      <w:start w:val="1"/>
      <w:numFmt w:val="bullet"/>
      <w:lvlText w:val=""/>
      <w:lvlJc w:val="left"/>
      <w:pPr>
        <w:tabs>
          <w:tab w:val="num" w:pos="3510"/>
        </w:tabs>
        <w:ind w:left="3510" w:hanging="360"/>
      </w:pPr>
      <w:rPr>
        <w:rFonts w:ascii="Symbol" w:hAnsi="Symbol" w:hint="default"/>
        <w:sz w:val="20"/>
      </w:rPr>
    </w:lvl>
    <w:lvl w:ilvl="5" w:tentative="1">
      <w:start w:val="1"/>
      <w:numFmt w:val="bullet"/>
      <w:lvlText w:val=""/>
      <w:lvlJc w:val="left"/>
      <w:pPr>
        <w:tabs>
          <w:tab w:val="num" w:pos="4230"/>
        </w:tabs>
        <w:ind w:left="4230" w:hanging="360"/>
      </w:pPr>
      <w:rPr>
        <w:rFonts w:ascii="Symbol" w:hAnsi="Symbol" w:hint="default"/>
        <w:sz w:val="20"/>
      </w:rPr>
    </w:lvl>
    <w:lvl w:ilvl="6" w:tentative="1">
      <w:start w:val="1"/>
      <w:numFmt w:val="bullet"/>
      <w:lvlText w:val=""/>
      <w:lvlJc w:val="left"/>
      <w:pPr>
        <w:tabs>
          <w:tab w:val="num" w:pos="4950"/>
        </w:tabs>
        <w:ind w:left="4950" w:hanging="360"/>
      </w:pPr>
      <w:rPr>
        <w:rFonts w:ascii="Symbol" w:hAnsi="Symbol" w:hint="default"/>
        <w:sz w:val="20"/>
      </w:rPr>
    </w:lvl>
    <w:lvl w:ilvl="7" w:tentative="1">
      <w:start w:val="1"/>
      <w:numFmt w:val="bullet"/>
      <w:lvlText w:val=""/>
      <w:lvlJc w:val="left"/>
      <w:pPr>
        <w:tabs>
          <w:tab w:val="num" w:pos="5670"/>
        </w:tabs>
        <w:ind w:left="5670" w:hanging="360"/>
      </w:pPr>
      <w:rPr>
        <w:rFonts w:ascii="Symbol" w:hAnsi="Symbol" w:hint="default"/>
        <w:sz w:val="20"/>
      </w:rPr>
    </w:lvl>
    <w:lvl w:ilvl="8" w:tentative="1">
      <w:start w:val="1"/>
      <w:numFmt w:val="bullet"/>
      <w:lvlText w:val=""/>
      <w:lvlJc w:val="left"/>
      <w:pPr>
        <w:tabs>
          <w:tab w:val="num" w:pos="6390"/>
        </w:tabs>
        <w:ind w:left="6390" w:hanging="360"/>
      </w:pPr>
      <w:rPr>
        <w:rFonts w:ascii="Symbol" w:hAnsi="Symbol" w:hint="default"/>
        <w:sz w:val="20"/>
      </w:rPr>
    </w:lvl>
  </w:abstractNum>
  <w:abstractNum w:abstractNumId="3" w15:restartNumberingAfterBreak="0">
    <w:nsid w:val="5A175D00"/>
    <w:multiLevelType w:val="hybridMultilevel"/>
    <w:tmpl w:val="19228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D3169A"/>
    <w:multiLevelType w:val="multilevel"/>
    <w:tmpl w:val="8F6C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4854071">
    <w:abstractNumId w:val="2"/>
  </w:num>
  <w:num w:numId="2" w16cid:durableId="1725330126">
    <w:abstractNumId w:val="4"/>
  </w:num>
  <w:num w:numId="3" w16cid:durableId="1700080151">
    <w:abstractNumId w:val="1"/>
  </w:num>
  <w:num w:numId="4" w16cid:durableId="1093891803">
    <w:abstractNumId w:val="3"/>
  </w:num>
  <w:num w:numId="5" w16cid:durableId="588852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2D7"/>
    <w:rsid w:val="00131480"/>
    <w:rsid w:val="00134E82"/>
    <w:rsid w:val="0018109A"/>
    <w:rsid w:val="001B77B7"/>
    <w:rsid w:val="001E0CBF"/>
    <w:rsid w:val="001E344C"/>
    <w:rsid w:val="00223B7D"/>
    <w:rsid w:val="002479ED"/>
    <w:rsid w:val="00255FB4"/>
    <w:rsid w:val="0026078A"/>
    <w:rsid w:val="00286E2D"/>
    <w:rsid w:val="003B12B2"/>
    <w:rsid w:val="0041574F"/>
    <w:rsid w:val="00454614"/>
    <w:rsid w:val="00482459"/>
    <w:rsid w:val="004B7F3F"/>
    <w:rsid w:val="00566B05"/>
    <w:rsid w:val="0058505B"/>
    <w:rsid w:val="005E7F49"/>
    <w:rsid w:val="007A7772"/>
    <w:rsid w:val="007D5834"/>
    <w:rsid w:val="008A22D7"/>
    <w:rsid w:val="009C0C14"/>
    <w:rsid w:val="009E041B"/>
    <w:rsid w:val="00A41109"/>
    <w:rsid w:val="00A55629"/>
    <w:rsid w:val="00A63BCC"/>
    <w:rsid w:val="00A75678"/>
    <w:rsid w:val="00AB6B24"/>
    <w:rsid w:val="00B26BAA"/>
    <w:rsid w:val="00B75D2D"/>
    <w:rsid w:val="00B76AA8"/>
    <w:rsid w:val="00B8192A"/>
    <w:rsid w:val="00BA70B0"/>
    <w:rsid w:val="00BB5FC4"/>
    <w:rsid w:val="00BF15AB"/>
    <w:rsid w:val="00C04221"/>
    <w:rsid w:val="00C46D07"/>
    <w:rsid w:val="00D41505"/>
    <w:rsid w:val="00D81108"/>
    <w:rsid w:val="00D95933"/>
    <w:rsid w:val="00DA585F"/>
    <w:rsid w:val="00DD5547"/>
    <w:rsid w:val="00E00382"/>
    <w:rsid w:val="00E432D8"/>
    <w:rsid w:val="00EF09CA"/>
    <w:rsid w:val="00F56A17"/>
    <w:rsid w:val="00FA56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598BE"/>
  <w15:chartTrackingRefBased/>
  <w15:docId w15:val="{F645607C-C731-4D63-8465-B9DEF2F42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2D8"/>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76AA8"/>
    <w:pPr>
      <w:ind w:left="720"/>
      <w:contextualSpacing/>
    </w:pPr>
  </w:style>
  <w:style w:type="paragraph" w:styleId="Rvision">
    <w:name w:val="Revision"/>
    <w:hidden/>
    <w:uiPriority w:val="99"/>
    <w:semiHidden/>
    <w:rsid w:val="00D41505"/>
    <w:pPr>
      <w:spacing w:after="0" w:line="240" w:lineRule="auto"/>
    </w:pPr>
  </w:style>
  <w:style w:type="character" w:styleId="Marquedecommentaire">
    <w:name w:val="annotation reference"/>
    <w:basedOn w:val="Policepardfaut"/>
    <w:uiPriority w:val="99"/>
    <w:semiHidden/>
    <w:unhideWhenUsed/>
    <w:rsid w:val="00EF09CA"/>
    <w:rPr>
      <w:sz w:val="16"/>
      <w:szCs w:val="16"/>
    </w:rPr>
  </w:style>
  <w:style w:type="paragraph" w:styleId="Commentaire">
    <w:name w:val="annotation text"/>
    <w:basedOn w:val="Normal"/>
    <w:link w:val="CommentaireCar"/>
    <w:uiPriority w:val="99"/>
    <w:semiHidden/>
    <w:unhideWhenUsed/>
    <w:rsid w:val="00EF09CA"/>
    <w:pPr>
      <w:spacing w:line="240" w:lineRule="auto"/>
    </w:pPr>
    <w:rPr>
      <w:sz w:val="20"/>
      <w:szCs w:val="20"/>
    </w:rPr>
  </w:style>
  <w:style w:type="character" w:customStyle="1" w:styleId="CommentaireCar">
    <w:name w:val="Commentaire Car"/>
    <w:basedOn w:val="Policepardfaut"/>
    <w:link w:val="Commentaire"/>
    <w:uiPriority w:val="99"/>
    <w:semiHidden/>
    <w:rsid w:val="00EF09CA"/>
    <w:rPr>
      <w:sz w:val="20"/>
      <w:szCs w:val="20"/>
    </w:rPr>
  </w:style>
  <w:style w:type="paragraph" w:styleId="Objetducommentaire">
    <w:name w:val="annotation subject"/>
    <w:basedOn w:val="Commentaire"/>
    <w:next w:val="Commentaire"/>
    <w:link w:val="ObjetducommentaireCar"/>
    <w:uiPriority w:val="99"/>
    <w:semiHidden/>
    <w:unhideWhenUsed/>
    <w:rsid w:val="00EF09CA"/>
    <w:rPr>
      <w:b/>
      <w:bCs/>
    </w:rPr>
  </w:style>
  <w:style w:type="character" w:customStyle="1" w:styleId="ObjetducommentaireCar">
    <w:name w:val="Objet du commentaire Car"/>
    <w:basedOn w:val="CommentaireCar"/>
    <w:link w:val="Objetducommentaire"/>
    <w:uiPriority w:val="99"/>
    <w:semiHidden/>
    <w:rsid w:val="00EF09CA"/>
    <w:rPr>
      <w:b/>
      <w:bCs/>
      <w:sz w:val="20"/>
      <w:szCs w:val="20"/>
    </w:rPr>
  </w:style>
  <w:style w:type="paragraph" w:styleId="Textedebulles">
    <w:name w:val="Balloon Text"/>
    <w:basedOn w:val="Normal"/>
    <w:link w:val="TextedebullesCar"/>
    <w:uiPriority w:val="99"/>
    <w:semiHidden/>
    <w:unhideWhenUsed/>
    <w:rsid w:val="007D583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D5834"/>
    <w:rPr>
      <w:rFonts w:ascii="Segoe UI" w:hAnsi="Segoe UI" w:cs="Segoe UI"/>
      <w:sz w:val="18"/>
      <w:szCs w:val="18"/>
    </w:rPr>
  </w:style>
  <w:style w:type="character" w:styleId="Lienhypertexte">
    <w:name w:val="Hyperlink"/>
    <w:basedOn w:val="Policepardfaut"/>
    <w:uiPriority w:val="99"/>
    <w:unhideWhenUsed/>
    <w:rsid w:val="007A77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8071">
      <w:bodyDiv w:val="1"/>
      <w:marLeft w:val="0"/>
      <w:marRight w:val="0"/>
      <w:marTop w:val="0"/>
      <w:marBottom w:val="0"/>
      <w:divBdr>
        <w:top w:val="none" w:sz="0" w:space="0" w:color="auto"/>
        <w:left w:val="none" w:sz="0" w:space="0" w:color="auto"/>
        <w:bottom w:val="none" w:sz="0" w:space="0" w:color="auto"/>
        <w:right w:val="none" w:sz="0" w:space="0" w:color="auto"/>
      </w:divBdr>
    </w:div>
    <w:div w:id="486169735">
      <w:bodyDiv w:val="1"/>
      <w:marLeft w:val="0"/>
      <w:marRight w:val="0"/>
      <w:marTop w:val="0"/>
      <w:marBottom w:val="0"/>
      <w:divBdr>
        <w:top w:val="none" w:sz="0" w:space="0" w:color="auto"/>
        <w:left w:val="none" w:sz="0" w:space="0" w:color="auto"/>
        <w:bottom w:val="none" w:sz="0" w:space="0" w:color="auto"/>
        <w:right w:val="none" w:sz="0" w:space="0" w:color="auto"/>
      </w:divBdr>
    </w:div>
    <w:div w:id="595360650">
      <w:bodyDiv w:val="1"/>
      <w:marLeft w:val="0"/>
      <w:marRight w:val="0"/>
      <w:marTop w:val="0"/>
      <w:marBottom w:val="0"/>
      <w:divBdr>
        <w:top w:val="none" w:sz="0" w:space="0" w:color="auto"/>
        <w:left w:val="none" w:sz="0" w:space="0" w:color="auto"/>
        <w:bottom w:val="none" w:sz="0" w:space="0" w:color="auto"/>
        <w:right w:val="none" w:sz="0" w:space="0" w:color="auto"/>
      </w:divBdr>
      <w:divsChild>
        <w:div w:id="658340434">
          <w:marLeft w:val="0"/>
          <w:marRight w:val="0"/>
          <w:marTop w:val="0"/>
          <w:marBottom w:val="0"/>
          <w:divBdr>
            <w:top w:val="none" w:sz="0" w:space="0" w:color="auto"/>
            <w:left w:val="none" w:sz="0" w:space="0" w:color="auto"/>
            <w:bottom w:val="none" w:sz="0" w:space="0" w:color="auto"/>
            <w:right w:val="none" w:sz="0" w:space="0" w:color="auto"/>
          </w:divBdr>
        </w:div>
        <w:div w:id="992106670">
          <w:marLeft w:val="0"/>
          <w:marRight w:val="0"/>
          <w:marTop w:val="0"/>
          <w:marBottom w:val="0"/>
          <w:divBdr>
            <w:top w:val="none" w:sz="0" w:space="0" w:color="auto"/>
            <w:left w:val="none" w:sz="0" w:space="0" w:color="auto"/>
            <w:bottom w:val="none" w:sz="0" w:space="0" w:color="auto"/>
            <w:right w:val="none" w:sz="0" w:space="0" w:color="auto"/>
          </w:divBdr>
        </w:div>
      </w:divsChild>
    </w:div>
    <w:div w:id="1827893246">
      <w:bodyDiv w:val="1"/>
      <w:marLeft w:val="0"/>
      <w:marRight w:val="0"/>
      <w:marTop w:val="0"/>
      <w:marBottom w:val="0"/>
      <w:divBdr>
        <w:top w:val="none" w:sz="0" w:space="0" w:color="auto"/>
        <w:left w:val="none" w:sz="0" w:space="0" w:color="auto"/>
        <w:bottom w:val="none" w:sz="0" w:space="0" w:color="auto"/>
        <w:right w:val="none" w:sz="0" w:space="0" w:color="auto"/>
      </w:divBdr>
      <w:divsChild>
        <w:div w:id="1343052073">
          <w:marLeft w:val="0"/>
          <w:marRight w:val="0"/>
          <w:marTop w:val="0"/>
          <w:marBottom w:val="0"/>
          <w:divBdr>
            <w:top w:val="none" w:sz="0" w:space="0" w:color="auto"/>
            <w:left w:val="none" w:sz="0" w:space="0" w:color="auto"/>
            <w:bottom w:val="none" w:sz="0" w:space="0" w:color="auto"/>
            <w:right w:val="none" w:sz="0" w:space="0" w:color="auto"/>
          </w:divBdr>
        </w:div>
        <w:div w:id="493882211">
          <w:marLeft w:val="0"/>
          <w:marRight w:val="0"/>
          <w:marTop w:val="0"/>
          <w:marBottom w:val="0"/>
          <w:divBdr>
            <w:top w:val="none" w:sz="0" w:space="0" w:color="auto"/>
            <w:left w:val="none" w:sz="0" w:space="0" w:color="auto"/>
            <w:bottom w:val="none" w:sz="0" w:space="0" w:color="auto"/>
            <w:right w:val="none" w:sz="0" w:space="0" w:color="auto"/>
          </w:divBdr>
        </w:div>
      </w:divsChild>
    </w:div>
    <w:div w:id="2080857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stophonorkilling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1366</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Lale Tulipes</cp:lastModifiedBy>
  <cp:revision>2</cp:revision>
  <cp:lastPrinted>2024-05-06T01:51:00Z</cp:lastPrinted>
  <dcterms:created xsi:type="dcterms:W3CDTF">2024-05-06T20:56:00Z</dcterms:created>
  <dcterms:modified xsi:type="dcterms:W3CDTF">2024-05-06T20:56:00Z</dcterms:modified>
</cp:coreProperties>
</file>