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835" w:rsidRDefault="00300835">
      <w:pPr>
        <w:jc w:val="both"/>
        <w:rPr>
          <w:color w:val="222222"/>
          <w:sz w:val="44"/>
          <w:szCs w:val="44"/>
        </w:rPr>
      </w:pPr>
    </w:p>
    <w:p w:rsidR="00300835" w:rsidRDefault="00300835">
      <w:pPr>
        <w:jc w:val="both"/>
        <w:rPr>
          <w:color w:val="222222"/>
          <w:sz w:val="44"/>
          <w:szCs w:val="44"/>
        </w:rPr>
      </w:pPr>
    </w:p>
    <w:p w:rsidR="00300835" w:rsidRDefault="00300835">
      <w:pPr>
        <w:jc w:val="both"/>
        <w:rPr>
          <w:color w:val="222222"/>
          <w:sz w:val="44"/>
          <w:szCs w:val="44"/>
        </w:rPr>
      </w:pPr>
    </w:p>
    <w:p w:rsidR="00300835" w:rsidRDefault="00300835">
      <w:pPr>
        <w:jc w:val="both"/>
        <w:rPr>
          <w:color w:val="222222"/>
          <w:sz w:val="50"/>
          <w:szCs w:val="50"/>
        </w:rPr>
      </w:pPr>
    </w:p>
    <w:p w:rsidR="00300835" w:rsidRDefault="00AA3C37">
      <w:pPr>
        <w:jc w:val="center"/>
        <w:rPr>
          <w:rFonts w:ascii="Barlow Black" w:eastAsia="Barlow Black" w:hAnsi="Barlow Black" w:cs="Barlow Black"/>
          <w:color w:val="222222"/>
          <w:sz w:val="50"/>
          <w:szCs w:val="50"/>
        </w:rPr>
      </w:pPr>
      <w:r>
        <w:rPr>
          <w:rFonts w:ascii="Barlow Black" w:eastAsia="Barlow Black" w:hAnsi="Barlow Black" w:cs="Barlow Black"/>
          <w:color w:val="222222"/>
          <w:sz w:val="50"/>
          <w:szCs w:val="50"/>
        </w:rPr>
        <w:t xml:space="preserve">Submission to the </w:t>
      </w:r>
    </w:p>
    <w:p w:rsidR="00300835" w:rsidRDefault="00AA3C37">
      <w:pPr>
        <w:jc w:val="center"/>
        <w:rPr>
          <w:rFonts w:ascii="Barlow Black" w:eastAsia="Barlow Black" w:hAnsi="Barlow Black" w:cs="Barlow Black"/>
          <w:color w:val="222222"/>
          <w:sz w:val="50"/>
          <w:szCs w:val="50"/>
        </w:rPr>
      </w:pPr>
      <w:r>
        <w:rPr>
          <w:rFonts w:ascii="Barlow Black" w:eastAsia="Barlow Black" w:hAnsi="Barlow Black" w:cs="Barlow Black"/>
          <w:color w:val="222222"/>
          <w:sz w:val="50"/>
          <w:szCs w:val="50"/>
        </w:rPr>
        <w:t>UN Committee Against Torture</w:t>
      </w:r>
    </w:p>
    <w:p w:rsidR="00300835" w:rsidRDefault="00300835">
      <w:pPr>
        <w:rPr>
          <w:rFonts w:ascii="Barlow Black" w:eastAsia="Barlow Black" w:hAnsi="Barlow Black" w:cs="Barlow Black"/>
          <w:color w:val="222222"/>
          <w:sz w:val="50"/>
          <w:szCs w:val="50"/>
        </w:rPr>
      </w:pPr>
    </w:p>
    <w:p w:rsidR="00300835" w:rsidRDefault="00AA3C37">
      <w:pPr>
        <w:jc w:val="center"/>
        <w:rPr>
          <w:rFonts w:ascii="Barlow Black" w:eastAsia="Barlow Black" w:hAnsi="Barlow Black" w:cs="Barlow Black"/>
          <w:color w:val="222222"/>
          <w:sz w:val="44"/>
          <w:szCs w:val="44"/>
        </w:rPr>
      </w:pPr>
      <w:r>
        <w:rPr>
          <w:rFonts w:ascii="Barlow Black" w:eastAsia="Barlow Black" w:hAnsi="Barlow Black" w:cs="Barlow Black"/>
          <w:color w:val="222222"/>
          <w:sz w:val="44"/>
          <w:szCs w:val="44"/>
        </w:rPr>
        <w:t>Concerning Italy</w:t>
      </w:r>
    </w:p>
    <w:p w:rsidR="00300835" w:rsidRDefault="00AA3C37">
      <w:pPr>
        <w:jc w:val="center"/>
        <w:rPr>
          <w:rFonts w:ascii="Barlow Black" w:eastAsia="Barlow Black" w:hAnsi="Barlow Black" w:cs="Barlow Black"/>
          <w:color w:val="222222"/>
          <w:sz w:val="44"/>
          <w:szCs w:val="44"/>
        </w:rPr>
      </w:pPr>
      <w:r>
        <w:rPr>
          <w:rFonts w:ascii="Barlow Black" w:eastAsia="Barlow Black" w:hAnsi="Barlow Black" w:cs="Barlow Black"/>
          <w:color w:val="222222"/>
          <w:sz w:val="44"/>
          <w:szCs w:val="44"/>
        </w:rPr>
        <w:t>84th Session</w:t>
      </w:r>
    </w:p>
    <w:p w:rsidR="00300835" w:rsidRDefault="00300835">
      <w:pPr>
        <w:jc w:val="center"/>
        <w:rPr>
          <w:rFonts w:ascii="Barlow Black" w:eastAsia="Barlow Black" w:hAnsi="Barlow Black" w:cs="Barlow Black"/>
          <w:color w:val="222222"/>
          <w:sz w:val="44"/>
          <w:szCs w:val="44"/>
        </w:rPr>
      </w:pPr>
    </w:p>
    <w:p w:rsidR="00300835" w:rsidRDefault="00AA3C37">
      <w:pPr>
        <w:jc w:val="center"/>
        <w:rPr>
          <w:rFonts w:ascii="Barlow Black" w:eastAsia="Barlow Black" w:hAnsi="Barlow Black" w:cs="Barlow Black"/>
          <w:i/>
          <w:iCs/>
          <w:color w:val="222222"/>
          <w:sz w:val="40"/>
          <w:szCs w:val="40"/>
        </w:rPr>
      </w:pPr>
      <w:r>
        <w:rPr>
          <w:rFonts w:ascii="Barlow Black" w:eastAsia="Barlow Black" w:hAnsi="Barlow Black" w:cs="Barlow Black"/>
          <w:i/>
          <w:iCs/>
          <w:color w:val="222222"/>
          <w:sz w:val="40"/>
          <w:szCs w:val="40"/>
        </w:rPr>
        <w:t xml:space="preserve">Alternative report </w:t>
      </w:r>
    </w:p>
    <w:p w:rsidR="00300835" w:rsidRDefault="00300835">
      <w:pPr>
        <w:jc w:val="center"/>
        <w:rPr>
          <w:color w:val="222222"/>
          <w:sz w:val="50"/>
          <w:szCs w:val="50"/>
        </w:rPr>
      </w:pPr>
    </w:p>
    <w:p w:rsidR="00300835" w:rsidRDefault="00300835">
      <w:pPr>
        <w:jc w:val="center"/>
        <w:rPr>
          <w:color w:val="222222"/>
          <w:sz w:val="50"/>
          <w:szCs w:val="50"/>
        </w:rPr>
      </w:pPr>
    </w:p>
    <w:p w:rsidR="00300835" w:rsidRDefault="00300835">
      <w:pPr>
        <w:jc w:val="center"/>
        <w:rPr>
          <w:color w:val="222222"/>
          <w:sz w:val="36"/>
          <w:szCs w:val="36"/>
        </w:rPr>
      </w:pPr>
    </w:p>
    <w:p w:rsidR="00300835" w:rsidRDefault="00AA3C37">
      <w:pPr>
        <w:jc w:val="center"/>
        <w:rPr>
          <w:b/>
          <w:bCs/>
          <w:color w:val="222222"/>
          <w:sz w:val="34"/>
          <w:szCs w:val="34"/>
        </w:rPr>
      </w:pPr>
      <w:r>
        <w:rPr>
          <w:b/>
          <w:bCs/>
          <w:color w:val="222222"/>
          <w:sz w:val="34"/>
          <w:szCs w:val="34"/>
        </w:rPr>
        <w:t>13 April- 1 May 2026</w:t>
      </w:r>
    </w:p>
    <w:p w:rsidR="00300835" w:rsidRDefault="00300835">
      <w:pPr>
        <w:jc w:val="center"/>
        <w:rPr>
          <w:color w:val="222222"/>
          <w:sz w:val="44"/>
          <w:szCs w:val="44"/>
        </w:rPr>
      </w:pPr>
    </w:p>
    <w:p w:rsidR="00300835" w:rsidRDefault="00300835">
      <w:pPr>
        <w:jc w:val="both"/>
        <w:rPr>
          <w:color w:val="222222"/>
          <w:sz w:val="44"/>
          <w:szCs w:val="44"/>
        </w:rPr>
      </w:pPr>
    </w:p>
    <w:p w:rsidR="00300835" w:rsidRDefault="00300835">
      <w:pPr>
        <w:jc w:val="both"/>
        <w:rPr>
          <w:color w:val="222222"/>
          <w:sz w:val="44"/>
          <w:szCs w:val="44"/>
        </w:rPr>
      </w:pPr>
    </w:p>
    <w:p w:rsidR="00300835" w:rsidRDefault="00300835">
      <w:pPr>
        <w:jc w:val="both"/>
        <w:rPr>
          <w:color w:val="222222"/>
          <w:sz w:val="44"/>
          <w:szCs w:val="44"/>
        </w:rPr>
      </w:pPr>
    </w:p>
    <w:p w:rsidR="00300835" w:rsidRDefault="00300835">
      <w:pPr>
        <w:jc w:val="both"/>
        <w:rPr>
          <w:color w:val="222222"/>
          <w:sz w:val="22"/>
          <w:szCs w:val="22"/>
        </w:rPr>
        <w:sectPr w:rsidR="00300835">
          <w:footerReference w:type="default" r:id="rId9"/>
          <w:headerReference w:type="first" r:id="rId10"/>
          <w:footerReference w:type="first" r:id="rId11"/>
          <w:pgSz w:w="11909" w:h="16834"/>
          <w:pgMar w:top="1440" w:right="1440" w:bottom="1440" w:left="1417" w:header="720" w:footer="720" w:gutter="0"/>
          <w:pgNumType w:start="1"/>
          <w:cols w:space="720"/>
          <w:titlePg/>
        </w:sectPr>
      </w:pPr>
    </w:p>
    <w:p w:rsidR="0084360B" w:rsidRDefault="0084360B">
      <w:pPr>
        <w:jc w:val="both"/>
        <w:rPr>
          <w:rFonts w:ascii="Montserrat Black" w:eastAsia="Montserrat Black" w:hAnsi="Montserrat Black" w:cs="Montserrat Black"/>
          <w:sz w:val="24"/>
          <w:szCs w:val="24"/>
        </w:rPr>
      </w:pPr>
    </w:p>
    <w:p w:rsidR="00300835" w:rsidRDefault="00AA3C37">
      <w:pPr>
        <w:jc w:val="both"/>
        <w:rPr>
          <w:rFonts w:ascii="Montserrat Black" w:eastAsia="Montserrat Black" w:hAnsi="Montserrat Black" w:cs="Montserrat Black"/>
          <w:sz w:val="24"/>
          <w:szCs w:val="24"/>
        </w:rPr>
      </w:pPr>
      <w:r>
        <w:rPr>
          <w:rFonts w:ascii="Montserrat Black" w:eastAsia="Montserrat Black" w:hAnsi="Montserrat Black" w:cs="Montserrat Black"/>
          <w:sz w:val="24"/>
          <w:szCs w:val="24"/>
        </w:rPr>
        <w:lastRenderedPageBreak/>
        <w:t>Associazione Antigone</w:t>
      </w:r>
    </w:p>
    <w:p w:rsidR="00300835" w:rsidRDefault="00AA3C37">
      <w:pPr>
        <w:jc w:val="both"/>
        <w:rPr>
          <w:sz w:val="22"/>
          <w:szCs w:val="22"/>
        </w:rPr>
      </w:pPr>
      <w:r>
        <w:rPr>
          <w:sz w:val="22"/>
          <w:szCs w:val="22"/>
        </w:rPr>
        <w:t>Founded in 1991, Antigone is an Italian organisation which deals with human rights protection in penal and penitentiary systems. It carries on a cultural</w:t>
      </w:r>
      <w:r>
        <w:rPr>
          <w:sz w:val="22"/>
          <w:szCs w:val="22"/>
        </w:rPr>
        <w:t xml:space="preserve"> work on public opinion through campaigns, education, media, publications and its self-titled academic journal. An Observatory on Italian prisons, involving around 80 people, has been active since 1998, when Antigone received from the Ministry of Justice s</w:t>
      </w:r>
      <w:r>
        <w:rPr>
          <w:sz w:val="22"/>
          <w:szCs w:val="22"/>
        </w:rPr>
        <w:t>pecial authorizations to visit prisons with the same power that the law gives to parliamentarians. Every year Antigone’s Observatory publishes a Report on the Italian penitentiary system. Since 2008, Antigone is allowed to enter also in all Italian juvenil</w:t>
      </w:r>
      <w:r>
        <w:rPr>
          <w:sz w:val="22"/>
          <w:szCs w:val="22"/>
        </w:rPr>
        <w:t>e prison facilities. In 2022, Antigone published its first monographic report on female imprisonment in Italy.</w:t>
      </w:r>
    </w:p>
    <w:p w:rsidR="00300835" w:rsidRDefault="00AA3C37">
      <w:pPr>
        <w:jc w:val="both"/>
        <w:rPr>
          <w:sz w:val="22"/>
          <w:szCs w:val="22"/>
        </w:rPr>
      </w:pPr>
      <w:r>
        <w:rPr>
          <w:sz w:val="22"/>
          <w:szCs w:val="22"/>
        </w:rPr>
        <w:t>Through a prison Ombudsperson to which it gave birth, Antigone also collects complaints from prisons and mediates with the Administration in orde</w:t>
      </w:r>
      <w:r>
        <w:rPr>
          <w:sz w:val="22"/>
          <w:szCs w:val="22"/>
        </w:rPr>
        <w:t>r to solve specific problems. Furthermore, Antigone’s lawyers and physicians operate in some Italian prisons giving suggestions and monitoring life conditions. Antigone carries on investigations about ill-treatments and is formally involved in criminal tri</w:t>
      </w:r>
      <w:r>
        <w:rPr>
          <w:sz w:val="22"/>
          <w:szCs w:val="22"/>
        </w:rPr>
        <w:t>als for torture in prison. Antigone is also the leading organisation of the European Prison Observatory, engaging 13 European countries.</w:t>
      </w:r>
    </w:p>
    <w:p w:rsidR="00300835" w:rsidRDefault="00300835">
      <w:pPr>
        <w:jc w:val="both"/>
        <w:rPr>
          <w:rFonts w:ascii="Barlow Black" w:eastAsia="Barlow Black" w:hAnsi="Barlow Black" w:cs="Barlow Black"/>
          <w:color w:val="222222"/>
          <w:sz w:val="22"/>
          <w:szCs w:val="22"/>
        </w:rPr>
      </w:pPr>
    </w:p>
    <w:p w:rsidR="00300835" w:rsidRDefault="00300835">
      <w:pPr>
        <w:jc w:val="both"/>
        <w:rPr>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300835" w:rsidRDefault="00300835">
      <w:pPr>
        <w:jc w:val="both"/>
        <w:rPr>
          <w:rFonts w:ascii="Barlow Black" w:eastAsia="Barlow Black" w:hAnsi="Barlow Black" w:cs="Barlow Black"/>
          <w:color w:val="222222"/>
          <w:sz w:val="22"/>
          <w:szCs w:val="22"/>
        </w:rPr>
      </w:pPr>
    </w:p>
    <w:p w:rsidR="0084360B" w:rsidRDefault="0084360B" w:rsidP="0084360B">
      <w:pPr>
        <w:rPr>
          <w:rFonts w:ascii="Barlow Black" w:eastAsia="Barlow Black" w:hAnsi="Barlow Black" w:cs="Barlow Black"/>
          <w:color w:val="222222"/>
          <w:sz w:val="22"/>
          <w:szCs w:val="22"/>
        </w:rPr>
      </w:pPr>
    </w:p>
    <w:p w:rsidR="00300835" w:rsidRDefault="00AA3C37" w:rsidP="0084360B">
      <w:pPr>
        <w:jc w:val="center"/>
        <w:rPr>
          <w:rFonts w:ascii="Montserrat Black" w:eastAsia="Montserrat Black" w:hAnsi="Montserrat Black" w:cs="Montserrat Black"/>
          <w:color w:val="222222"/>
          <w:sz w:val="22"/>
          <w:szCs w:val="22"/>
        </w:rPr>
      </w:pPr>
      <w:r>
        <w:rPr>
          <w:rFonts w:ascii="Montserrat Black" w:eastAsia="Montserrat Black" w:hAnsi="Montserrat Black" w:cs="Montserrat Black"/>
          <w:color w:val="222222"/>
          <w:sz w:val="24"/>
          <w:szCs w:val="24"/>
        </w:rPr>
        <w:lastRenderedPageBreak/>
        <w:t>Article 1</w:t>
      </w:r>
    </w:p>
    <w:p w:rsidR="00300835" w:rsidRDefault="00300835">
      <w:pPr>
        <w:jc w:val="both"/>
        <w:rPr>
          <w:color w:val="222222"/>
          <w:sz w:val="22"/>
          <w:szCs w:val="22"/>
        </w:rPr>
      </w:pPr>
    </w:p>
    <w:p w:rsidR="00300835" w:rsidRDefault="00AA3C37">
      <w:pPr>
        <w:jc w:val="both"/>
        <w:rPr>
          <w:rFonts w:ascii="Barlow Black" w:eastAsia="Barlow Black" w:hAnsi="Barlow Black" w:cs="Barlow Black"/>
          <w:color w:val="222222"/>
          <w:sz w:val="22"/>
          <w:szCs w:val="22"/>
        </w:rPr>
      </w:pPr>
      <w:r>
        <w:rPr>
          <w:rFonts w:ascii="Barlow Black" w:eastAsia="Barlow Black" w:hAnsi="Barlow Black" w:cs="Barlow Black"/>
          <w:color w:val="222222"/>
          <w:sz w:val="22"/>
          <w:szCs w:val="22"/>
        </w:rPr>
        <w:t>Proposals to repeal the crime of torture</w:t>
      </w:r>
    </w:p>
    <w:p w:rsidR="00300835" w:rsidRDefault="00AA3C37">
      <w:pPr>
        <w:jc w:val="both"/>
        <w:rPr>
          <w:color w:val="222222"/>
          <w:sz w:val="22"/>
          <w:szCs w:val="22"/>
        </w:rPr>
      </w:pPr>
      <w:r>
        <w:rPr>
          <w:color w:val="222222"/>
          <w:sz w:val="22"/>
          <w:szCs w:val="22"/>
        </w:rPr>
        <w:t>Almost 30 years after ratifying the UN Convention against Torture and Other Cruel, Inhuman or Degrading Treatment or Punishment (UNCAT), the Italian parliament approved Law No. 110/2017, which introduced the crime of torture into the Criminal Code (Article</w:t>
      </w:r>
      <w:r>
        <w:rPr>
          <w:color w:val="222222"/>
          <w:sz w:val="22"/>
          <w:szCs w:val="22"/>
        </w:rPr>
        <w:t xml:space="preserve"> 613 bis</w:t>
      </w:r>
      <w:r>
        <w:rPr>
          <w:color w:val="222222"/>
          <w:sz w:val="22"/>
          <w:szCs w:val="22"/>
          <w:vertAlign w:val="superscript"/>
        </w:rPr>
        <w:footnoteReference w:id="1"/>
      </w:r>
      <w:r>
        <w:rPr>
          <w:color w:val="222222"/>
          <w:sz w:val="22"/>
          <w:szCs w:val="22"/>
        </w:rPr>
        <w:t>). The definition of torture provided by the law diverges in several aspects from the one provided by the UNCAT, but the introduction of the new crime represented an important step forward. The first convictions for torture that came at the beginn</w:t>
      </w:r>
      <w:r>
        <w:rPr>
          <w:color w:val="222222"/>
          <w:sz w:val="22"/>
          <w:szCs w:val="22"/>
        </w:rPr>
        <w:t xml:space="preserve">ing of 2021 and the numerous proceedings that are still ongoing are proof of this.  </w:t>
      </w:r>
    </w:p>
    <w:p w:rsidR="00300835" w:rsidRDefault="00AA3C37">
      <w:pPr>
        <w:jc w:val="both"/>
        <w:rPr>
          <w:color w:val="222222"/>
          <w:sz w:val="22"/>
          <w:szCs w:val="22"/>
        </w:rPr>
      </w:pPr>
      <w:r>
        <w:rPr>
          <w:color w:val="222222"/>
          <w:sz w:val="22"/>
          <w:szCs w:val="22"/>
        </w:rPr>
        <w:t>Despite this, the current majority party, Fratelli d'Italia, with the support of some members of the government, has presented bill no. 623 of the 19th Legislature, propos</w:t>
      </w:r>
      <w:r>
        <w:rPr>
          <w:color w:val="222222"/>
          <w:sz w:val="22"/>
          <w:szCs w:val="22"/>
        </w:rPr>
        <w:t xml:space="preserve">ing amendments to the Criminal Code and the Code of Criminal Procedure, introducing a common aggravating circumstance for the crime of torture and, at the same time, repealing the autonomous criminal offenses of torture (Article 613-bis) and incitement to </w:t>
      </w:r>
      <w:r>
        <w:rPr>
          <w:color w:val="222222"/>
          <w:sz w:val="22"/>
          <w:szCs w:val="22"/>
        </w:rPr>
        <w:t>torture (Article 613-ter). Furthermore, on several occasions, government representatives have criticized the offense; according to Matteo Salvini (Minister of Transport and Infrastructure), “the crime of torture needs to be reviewed, circumscribed, and cla</w:t>
      </w:r>
      <w:r>
        <w:rPr>
          <w:color w:val="222222"/>
          <w:sz w:val="22"/>
          <w:szCs w:val="22"/>
        </w:rPr>
        <w:t>rified” because it is used as a negative label against law enforcement agencies, in particular the prison police</w:t>
      </w:r>
      <w:r>
        <w:rPr>
          <w:color w:val="222222"/>
          <w:sz w:val="22"/>
          <w:szCs w:val="22"/>
          <w:vertAlign w:val="superscript"/>
        </w:rPr>
        <w:footnoteReference w:id="2"/>
      </w:r>
      <w:r>
        <w:rPr>
          <w:color w:val="222222"/>
          <w:sz w:val="22"/>
          <w:szCs w:val="22"/>
        </w:rPr>
        <w:t>. Recently, Carlo Nordio, Minister of Justice, during a parliamentary debate on the proposal to abolish the crime of torture, pointed out the n</w:t>
      </w:r>
      <w:r>
        <w:rPr>
          <w:color w:val="222222"/>
          <w:sz w:val="22"/>
          <w:szCs w:val="22"/>
        </w:rPr>
        <w:t>eed to address only technical issues in order to make the provision more precise and compliant with international obligations</w:t>
      </w:r>
      <w:r>
        <w:rPr>
          <w:color w:val="222222"/>
          <w:sz w:val="22"/>
          <w:szCs w:val="22"/>
          <w:vertAlign w:val="superscript"/>
        </w:rPr>
        <w:footnoteReference w:id="3"/>
      </w:r>
      <w:r>
        <w:rPr>
          <w:color w:val="222222"/>
          <w:sz w:val="22"/>
          <w:szCs w:val="22"/>
        </w:rPr>
        <w:t>. However, a change to the law in this sense would clearly have led to the dismissal of ongoing torture trials.</w:t>
      </w:r>
    </w:p>
    <w:p w:rsidR="00300835" w:rsidRDefault="00AA3C37">
      <w:pPr>
        <w:jc w:val="both"/>
        <w:rPr>
          <w:color w:val="222222"/>
          <w:sz w:val="22"/>
          <w:szCs w:val="22"/>
        </w:rPr>
      </w:pPr>
      <w:r>
        <w:rPr>
          <w:color w:val="222222"/>
          <w:sz w:val="22"/>
          <w:szCs w:val="22"/>
        </w:rPr>
        <w:t xml:space="preserve"> </w:t>
      </w:r>
    </w:p>
    <w:p w:rsidR="00300835" w:rsidRDefault="00AA3C37">
      <w:pPr>
        <w:jc w:val="both"/>
        <w:rPr>
          <w:rFonts w:ascii="Barlow Black" w:eastAsia="Barlow Black" w:hAnsi="Barlow Black" w:cs="Barlow Black"/>
          <w:color w:val="222222"/>
          <w:sz w:val="22"/>
          <w:szCs w:val="22"/>
        </w:rPr>
      </w:pPr>
      <w:r>
        <w:rPr>
          <w:rFonts w:ascii="Barlow Black" w:eastAsia="Barlow Black" w:hAnsi="Barlow Black" w:cs="Barlow Black"/>
          <w:color w:val="222222"/>
          <w:sz w:val="22"/>
          <w:szCs w:val="22"/>
        </w:rPr>
        <w:t xml:space="preserve">Crime of prison </w:t>
      </w:r>
      <w:r>
        <w:rPr>
          <w:rFonts w:ascii="Barlow Black" w:eastAsia="Barlow Black" w:hAnsi="Barlow Black" w:cs="Barlow Black"/>
          <w:color w:val="222222"/>
          <w:sz w:val="22"/>
          <w:szCs w:val="22"/>
        </w:rPr>
        <w:t>riot</w:t>
      </w:r>
    </w:p>
    <w:p w:rsidR="00300835" w:rsidRDefault="00AA3C37">
      <w:pPr>
        <w:widowControl w:val="0"/>
        <w:jc w:val="both"/>
        <w:rPr>
          <w:color w:val="1F1F1F"/>
          <w:sz w:val="22"/>
          <w:szCs w:val="22"/>
        </w:rPr>
      </w:pPr>
      <w:r>
        <w:rPr>
          <w:color w:val="1F1F1F"/>
          <w:sz w:val="22"/>
          <w:szCs w:val="22"/>
        </w:rPr>
        <w:t>Article 26 of Decree-Law No. 48/2025 (the so-called “Security Decree”), subsequently converted into Law No. 80 of 9 June 2025, which entered into force on 10 June 2025,</w:t>
      </w:r>
      <w:r>
        <w:rPr>
          <w:i/>
          <w:iCs/>
          <w:color w:val="1F1F1F"/>
          <w:sz w:val="22"/>
          <w:szCs w:val="22"/>
        </w:rPr>
        <w:t xml:space="preserve"> </w:t>
      </w:r>
      <w:r>
        <w:rPr>
          <w:color w:val="1F1F1F"/>
          <w:sz w:val="22"/>
          <w:szCs w:val="22"/>
        </w:rPr>
        <w:t>introduced Article 415-bis of the Criminal Code, establishing a new offence of “ri</w:t>
      </w:r>
      <w:r>
        <w:rPr>
          <w:color w:val="1F1F1F"/>
          <w:sz w:val="22"/>
          <w:szCs w:val="22"/>
        </w:rPr>
        <w:t>ot within a penitentiary institution”</w:t>
      </w:r>
      <w:r>
        <w:rPr>
          <w:color w:val="1F1F1F"/>
          <w:sz w:val="22"/>
          <w:szCs w:val="22"/>
          <w:vertAlign w:val="superscript"/>
        </w:rPr>
        <w:footnoteReference w:id="4"/>
      </w:r>
      <w:r>
        <w:rPr>
          <w:color w:val="1F1F1F"/>
          <w:sz w:val="22"/>
          <w:szCs w:val="22"/>
        </w:rPr>
        <w:t xml:space="preserve">. </w:t>
      </w:r>
    </w:p>
    <w:p w:rsidR="00300835" w:rsidRDefault="00AA3C37">
      <w:pPr>
        <w:widowControl w:val="0"/>
        <w:jc w:val="both"/>
        <w:rPr>
          <w:color w:val="1F1F1F"/>
          <w:sz w:val="22"/>
          <w:szCs w:val="22"/>
        </w:rPr>
      </w:pPr>
      <w:r>
        <w:rPr>
          <w:color w:val="1F1F1F"/>
          <w:sz w:val="22"/>
          <w:szCs w:val="22"/>
        </w:rPr>
        <w:t>The offence of prison riot is configured when 3 or more persons, in penitentiary institutions or migrant detention centres, participate in a riot through acts of violence, threats, or resistance to</w:t>
      </w:r>
      <w:r>
        <w:rPr>
          <w:color w:val="1F1F1F"/>
          <w:sz w:val="22"/>
          <w:szCs w:val="22"/>
        </w:rPr>
        <w:t xml:space="preserve"> orders issued for</w:t>
      </w:r>
      <w:r>
        <w:rPr>
          <w:color w:val="1F1F1F"/>
          <w:sz w:val="22"/>
          <w:szCs w:val="22"/>
        </w:rPr>
        <w:t xml:space="preserve"> the maintenance of order and security. The penalty for those who participate in the prison riot is up to 5 years, and up to 8 years for those considered to be the leaders of the riot.</w:t>
      </w:r>
    </w:p>
    <w:p w:rsidR="00300835" w:rsidRDefault="00AA3C37">
      <w:pPr>
        <w:widowControl w:val="0"/>
        <w:jc w:val="both"/>
        <w:rPr>
          <w:color w:val="222222"/>
          <w:sz w:val="22"/>
          <w:szCs w:val="22"/>
        </w:rPr>
      </w:pPr>
      <w:r>
        <w:rPr>
          <w:color w:val="1F1F1F"/>
          <w:sz w:val="22"/>
          <w:szCs w:val="22"/>
        </w:rPr>
        <w:t>The main issue is that passive resistance would also fall under the con</w:t>
      </w:r>
      <w:r>
        <w:rPr>
          <w:color w:val="1F1F1F"/>
          <w:sz w:val="22"/>
          <w:szCs w:val="22"/>
        </w:rPr>
        <w:t>duct criminalized by the new law. Thus, conduct such as hunger strikes, refusal to return to cells, or other forms of non-</w:t>
      </w:r>
      <w:r>
        <w:rPr>
          <w:color w:val="1F1F1F"/>
          <w:sz w:val="22"/>
          <w:szCs w:val="22"/>
        </w:rPr>
        <w:lastRenderedPageBreak/>
        <w:t xml:space="preserve">violent dissent could be criminalized and sanctioned. </w:t>
      </w:r>
      <w:r>
        <w:rPr>
          <w:color w:val="222222"/>
          <w:sz w:val="22"/>
          <w:szCs w:val="22"/>
        </w:rPr>
        <w:t>Very often, non-violent actions such as hunger strikes, refusing to return to ce</w:t>
      </w:r>
      <w:r>
        <w:rPr>
          <w:color w:val="222222"/>
          <w:sz w:val="22"/>
          <w:szCs w:val="22"/>
        </w:rPr>
        <w:t>lls, or so-called “cell banging” are the only tools available to prisoners to make themselves heard. The introduction of a law criminalizing such conduct clearly deprives prisoners of the possibility of asserting their rights. Furthermore, it is mainly the</w:t>
      </w:r>
      <w:r>
        <w:rPr>
          <w:color w:val="222222"/>
          <w:sz w:val="22"/>
          <w:szCs w:val="22"/>
        </w:rPr>
        <w:t xml:space="preserve"> most vulnerable individuals, such as prisoners with substance abuse problems or mental health issues, who engage in the conduct described above. </w:t>
      </w:r>
    </w:p>
    <w:p w:rsidR="00300835" w:rsidRDefault="00AA3C37">
      <w:pPr>
        <w:widowControl w:val="0"/>
        <w:jc w:val="both"/>
        <w:rPr>
          <w:color w:val="222222"/>
          <w:sz w:val="22"/>
          <w:szCs w:val="22"/>
        </w:rPr>
      </w:pPr>
      <w:r>
        <w:rPr>
          <w:color w:val="1F1F1F"/>
          <w:sz w:val="22"/>
          <w:szCs w:val="22"/>
        </w:rPr>
        <w:t>Moreover, the term “riot” is non-technical in ordinary criminal law and may generate interpretative difficult</w:t>
      </w:r>
      <w:r>
        <w:rPr>
          <w:color w:val="1F1F1F"/>
          <w:sz w:val="22"/>
          <w:szCs w:val="22"/>
        </w:rPr>
        <w:t xml:space="preserve">ies. In addition, the conduct described was already punishable under existing provisions. </w:t>
      </w:r>
      <w:r>
        <w:rPr>
          <w:color w:val="222222"/>
          <w:sz w:val="22"/>
          <w:szCs w:val="22"/>
        </w:rPr>
        <w:t>Very often, non-violent actions such as hunger strikes, refusing to return to cells, or so-called “cell banging” are the only tools available to prisoners to make themselves heard. It is also clear that this law acts as a kind of counterbalance to the crim</w:t>
      </w:r>
      <w:r>
        <w:rPr>
          <w:color w:val="222222"/>
          <w:sz w:val="22"/>
          <w:szCs w:val="22"/>
        </w:rPr>
        <w:t>e of torture, thereby risking weakening the latter.</w:t>
      </w:r>
      <w:r>
        <w:rPr>
          <w:color w:val="1F1F1F"/>
          <w:sz w:val="22"/>
          <w:szCs w:val="22"/>
        </w:rPr>
        <w:t xml:space="preserve"> </w:t>
      </w:r>
      <w:r>
        <w:rPr>
          <w:color w:val="222222"/>
          <w:sz w:val="22"/>
          <w:szCs w:val="22"/>
        </w:rPr>
        <w:t>Finally, it is worth mentioning that the crime of prison riot is equated with mafia and terrorism crimes for the purposes of access to prison benefits, as it would also be recalled by Article 4-bis of the</w:t>
      </w:r>
      <w:r>
        <w:rPr>
          <w:color w:val="222222"/>
          <w:sz w:val="22"/>
          <w:szCs w:val="22"/>
        </w:rPr>
        <w:t xml:space="preserve"> Prison Law</w:t>
      </w:r>
      <w:r>
        <w:rPr>
          <w:color w:val="222222"/>
          <w:sz w:val="22"/>
          <w:szCs w:val="22"/>
          <w:vertAlign w:val="superscript"/>
        </w:rPr>
        <w:footnoteReference w:id="5"/>
      </w:r>
      <w:r>
        <w:rPr>
          <w:color w:val="222222"/>
          <w:sz w:val="22"/>
          <w:szCs w:val="22"/>
        </w:rPr>
        <w:t xml:space="preserve">. </w:t>
      </w:r>
    </w:p>
    <w:p w:rsidR="00300835" w:rsidRDefault="00300835">
      <w:pPr>
        <w:widowControl w:val="0"/>
        <w:jc w:val="both"/>
        <w:rPr>
          <w:color w:val="222222"/>
          <w:sz w:val="22"/>
          <w:szCs w:val="22"/>
        </w:rPr>
      </w:pPr>
    </w:p>
    <w:p w:rsidR="00300835" w:rsidRDefault="00300835">
      <w:pPr>
        <w:widowControl w:val="0"/>
        <w:jc w:val="both"/>
        <w:rPr>
          <w:color w:val="222222"/>
          <w:sz w:val="22"/>
          <w:szCs w:val="22"/>
        </w:rPr>
      </w:pPr>
    </w:p>
    <w:p w:rsidR="00300835" w:rsidRDefault="00AA3C37">
      <w:pPr>
        <w:jc w:val="center"/>
        <w:rPr>
          <w:rFonts w:ascii="Montserrat Black" w:eastAsia="Montserrat Black" w:hAnsi="Montserrat Black" w:cs="Montserrat Black"/>
          <w:color w:val="222222"/>
          <w:sz w:val="24"/>
          <w:szCs w:val="24"/>
        </w:rPr>
      </w:pPr>
      <w:r>
        <w:rPr>
          <w:rFonts w:ascii="Montserrat Black" w:eastAsia="Montserrat Black" w:hAnsi="Montserrat Black" w:cs="Montserrat Black"/>
          <w:color w:val="222222"/>
          <w:sz w:val="24"/>
          <w:szCs w:val="24"/>
        </w:rPr>
        <w:t>Article 2</w:t>
      </w:r>
    </w:p>
    <w:p w:rsidR="00300835" w:rsidRDefault="00300835">
      <w:pPr>
        <w:jc w:val="both"/>
        <w:rPr>
          <w:color w:val="222222"/>
          <w:sz w:val="22"/>
          <w:szCs w:val="22"/>
        </w:rPr>
      </w:pPr>
    </w:p>
    <w:p w:rsidR="00300835" w:rsidRDefault="00AA3C37">
      <w:pPr>
        <w:jc w:val="both"/>
        <w:rPr>
          <w:b/>
          <w:bCs/>
          <w:sz w:val="22"/>
          <w:szCs w:val="22"/>
        </w:rPr>
      </w:pPr>
      <w:r>
        <w:rPr>
          <w:b/>
          <w:bCs/>
          <w:sz w:val="22"/>
          <w:szCs w:val="22"/>
        </w:rPr>
        <w:t>National Preventive Mechanism</w:t>
      </w:r>
    </w:p>
    <w:p w:rsidR="00300835" w:rsidRDefault="00AA3C37">
      <w:pPr>
        <w:jc w:val="both"/>
        <w:rPr>
          <w:sz w:val="22"/>
          <w:szCs w:val="22"/>
        </w:rPr>
      </w:pPr>
      <w:r>
        <w:rPr>
          <w:sz w:val="22"/>
          <w:szCs w:val="22"/>
        </w:rPr>
        <w:t>The National Guarantor for the Rights of Persons Detained or Deprived of Personal Liberty, which constitutes the National Preventive Mechanism (NPM), was established by Art. 7 of Law No 10 of 21 February 2014. From a legal point of view, the National Guara</w:t>
      </w:r>
      <w:r>
        <w:rPr>
          <w:sz w:val="22"/>
          <w:szCs w:val="22"/>
        </w:rPr>
        <w:t xml:space="preserve">ntor is a fully independent mechanism with legal and effective power to carry out unannounced monitoring visits to all places of deprivation of liberty in compliance with OPCAT requirements. In recent years, however, we have been witnessing a problem with </w:t>
      </w:r>
      <w:r>
        <w:rPr>
          <w:sz w:val="22"/>
          <w:szCs w:val="22"/>
        </w:rPr>
        <w:t>the independence of the National Guarantor institution. After Professor Mauro Palma's term as President of the National Guarantor board ended in early 2024, experts with a cultural and political profile in line with the current government were appointed as</w:t>
      </w:r>
      <w:r>
        <w:rPr>
          <w:sz w:val="22"/>
          <w:szCs w:val="22"/>
        </w:rPr>
        <w:t xml:space="preserve"> Presidents of the National Guarantor board. Before being appointed to this position, the current president of the National Guarantor's board was a very senior figure in the Department of Penitentiary Administration.</w:t>
      </w:r>
    </w:p>
    <w:p w:rsidR="00300835" w:rsidRDefault="00AA3C37">
      <w:pPr>
        <w:jc w:val="both"/>
      </w:pPr>
      <w:r>
        <w:rPr>
          <w:sz w:val="22"/>
          <w:szCs w:val="22"/>
        </w:rPr>
        <w:t>It should also be noted that the last r</w:t>
      </w:r>
      <w:r>
        <w:rPr>
          <w:sz w:val="22"/>
          <w:szCs w:val="22"/>
        </w:rPr>
        <w:t xml:space="preserve">eport to the Parliament was presented by Mauro Palma at the end of his term in June 2024, concerning the activities carried out by the National Guarantor for the Rights of Persons Detained or Deprived of Personal </w:t>
      </w:r>
      <w:proofErr w:type="gramStart"/>
      <w:r>
        <w:rPr>
          <w:sz w:val="22"/>
          <w:szCs w:val="22"/>
        </w:rPr>
        <w:t>Liberty  during</w:t>
      </w:r>
      <w:proofErr w:type="gramEnd"/>
      <w:r>
        <w:rPr>
          <w:sz w:val="22"/>
          <w:szCs w:val="22"/>
        </w:rPr>
        <w:t xml:space="preserve"> 2023</w:t>
      </w:r>
      <w:r>
        <w:rPr>
          <w:sz w:val="22"/>
          <w:szCs w:val="22"/>
          <w:vertAlign w:val="superscript"/>
        </w:rPr>
        <w:footnoteReference w:id="6"/>
      </w:r>
      <w:r>
        <w:rPr>
          <w:sz w:val="22"/>
          <w:szCs w:val="22"/>
        </w:rPr>
        <w:t xml:space="preserve">. Furthermore, in the </w:t>
      </w:r>
      <w:r>
        <w:rPr>
          <w:sz w:val="22"/>
          <w:szCs w:val="22"/>
        </w:rPr>
        <w:t>last two years, the National Guarantor for the Rights of Persons Detained or Deprived of Personal Liberty has not published any reports with information and reflections following each visit conducted.</w:t>
      </w:r>
    </w:p>
    <w:p w:rsidR="00300835" w:rsidRDefault="00AA3C37">
      <w:pPr>
        <w:jc w:val="both"/>
        <w:rPr>
          <w:sz w:val="22"/>
          <w:szCs w:val="22"/>
        </w:rPr>
      </w:pPr>
      <w:r>
        <w:rPr>
          <w:sz w:val="22"/>
          <w:szCs w:val="22"/>
        </w:rPr>
        <w:t>In 2025, Antigone’s Ombudsperson submitted 7 complaints</w:t>
      </w:r>
      <w:r>
        <w:rPr>
          <w:sz w:val="22"/>
          <w:szCs w:val="22"/>
        </w:rPr>
        <w:t xml:space="preserve"> to the National Guarantor regarding violations of detainees' rights. The National Guarantor responded to only one of these, stating that it would request information from the Director of the prison facility in question. In 2024, 7 </w:t>
      </w:r>
      <w:r>
        <w:rPr>
          <w:sz w:val="22"/>
          <w:szCs w:val="22"/>
        </w:rPr>
        <w:lastRenderedPageBreak/>
        <w:t>reports were submitted a</w:t>
      </w:r>
      <w:r>
        <w:rPr>
          <w:sz w:val="22"/>
          <w:szCs w:val="22"/>
        </w:rPr>
        <w:t>nd the National Guarantor responded in only one case with the same reply.</w:t>
      </w:r>
    </w:p>
    <w:p w:rsidR="00300835" w:rsidRDefault="00300835">
      <w:pPr>
        <w:jc w:val="both"/>
        <w:rPr>
          <w:color w:val="222222"/>
          <w:sz w:val="22"/>
          <w:szCs w:val="22"/>
        </w:rPr>
      </w:pPr>
    </w:p>
    <w:p w:rsidR="00300835" w:rsidRDefault="00300835">
      <w:pPr>
        <w:jc w:val="both"/>
        <w:rPr>
          <w:color w:val="222222"/>
          <w:sz w:val="22"/>
          <w:szCs w:val="22"/>
        </w:rPr>
      </w:pPr>
    </w:p>
    <w:p w:rsidR="00300835" w:rsidRDefault="00AA3C37">
      <w:pPr>
        <w:jc w:val="center"/>
        <w:rPr>
          <w:rFonts w:ascii="Montserrat Black" w:eastAsia="Montserrat Black" w:hAnsi="Montserrat Black" w:cs="Montserrat Black"/>
          <w:color w:val="222222"/>
          <w:sz w:val="24"/>
          <w:szCs w:val="24"/>
        </w:rPr>
      </w:pPr>
      <w:r>
        <w:rPr>
          <w:rFonts w:ascii="Montserrat Black" w:eastAsia="Montserrat Black" w:hAnsi="Montserrat Black" w:cs="Montserrat Black"/>
          <w:color w:val="222222"/>
          <w:sz w:val="24"/>
          <w:szCs w:val="24"/>
        </w:rPr>
        <w:t>Article 11</w:t>
      </w:r>
    </w:p>
    <w:p w:rsidR="00300835" w:rsidRDefault="00300835">
      <w:pPr>
        <w:jc w:val="both"/>
        <w:rPr>
          <w:b/>
          <w:bCs/>
          <w:color w:val="222222"/>
          <w:sz w:val="22"/>
          <w:szCs w:val="22"/>
        </w:rPr>
      </w:pPr>
    </w:p>
    <w:p w:rsidR="00300835" w:rsidRDefault="00AA3C37">
      <w:pPr>
        <w:jc w:val="both"/>
        <w:rPr>
          <w:b/>
          <w:bCs/>
          <w:color w:val="222222"/>
          <w:sz w:val="22"/>
          <w:szCs w:val="22"/>
        </w:rPr>
      </w:pPr>
      <w:r>
        <w:rPr>
          <w:b/>
          <w:bCs/>
          <w:color w:val="222222"/>
          <w:sz w:val="22"/>
          <w:szCs w:val="22"/>
        </w:rPr>
        <w:t>Piloting body cameras in prison</w:t>
      </w:r>
    </w:p>
    <w:p w:rsidR="00300835" w:rsidRDefault="00AA3C37">
      <w:pPr>
        <w:widowControl w:val="0"/>
        <w:jc w:val="both"/>
        <w:rPr>
          <w:color w:val="1F1F1F"/>
          <w:sz w:val="22"/>
          <w:szCs w:val="22"/>
        </w:rPr>
      </w:pPr>
      <w:r>
        <w:rPr>
          <w:color w:val="1F1F1F"/>
          <w:sz w:val="22"/>
          <w:szCs w:val="22"/>
        </w:rPr>
        <w:t>The Decree of 11 April 2025, no. 48</w:t>
      </w:r>
      <w:r>
        <w:rPr>
          <w:color w:val="1F1F1F"/>
          <w:sz w:val="22"/>
          <w:szCs w:val="22"/>
          <w:vertAlign w:val="superscript"/>
        </w:rPr>
        <w:footnoteReference w:id="7"/>
      </w:r>
      <w:r>
        <w:rPr>
          <w:color w:val="1F1F1F"/>
          <w:sz w:val="22"/>
          <w:szCs w:val="22"/>
        </w:rPr>
        <w:t xml:space="preserve"> (the so-called “Security Decree”), converted into Law no. 80 of 9 June 2025</w:t>
      </w:r>
      <w:r>
        <w:rPr>
          <w:color w:val="1F1F1F"/>
          <w:sz w:val="22"/>
          <w:szCs w:val="22"/>
          <w:vertAlign w:val="superscript"/>
        </w:rPr>
        <w:footnoteReference w:id="8"/>
      </w:r>
      <w:r>
        <w:rPr>
          <w:color w:val="1F1F1F"/>
          <w:sz w:val="22"/>
          <w:szCs w:val="22"/>
        </w:rPr>
        <w:t>, which entered into force on 10 June 2025, introduced the use of body-worn cameras for law enforcement officers. However, the legislation does not provide specific provisions concerning the conditions governing the activation of such devices, the manageme</w:t>
      </w:r>
      <w:r>
        <w:rPr>
          <w:color w:val="1F1F1F"/>
          <w:sz w:val="22"/>
          <w:szCs w:val="22"/>
        </w:rPr>
        <w:t>nt and retention of recordings, nor does it clarify whether the use of body-worn cameras is mandatory or discretionary.</w:t>
      </w:r>
    </w:p>
    <w:p w:rsidR="00300835" w:rsidRDefault="00AA3C37">
      <w:pPr>
        <w:widowControl w:val="0"/>
        <w:jc w:val="both"/>
        <w:rPr>
          <w:color w:val="1F1F1F"/>
          <w:sz w:val="22"/>
          <w:szCs w:val="22"/>
        </w:rPr>
      </w:pPr>
      <w:r>
        <w:rPr>
          <w:color w:val="1F1F1F"/>
          <w:sz w:val="22"/>
          <w:szCs w:val="22"/>
        </w:rPr>
        <w:t>A previous circular issued by the Department of Penitentiary Administration (DAP), Circular no. 40774 of 28 January 2025, had already es</w:t>
      </w:r>
      <w:r>
        <w:rPr>
          <w:color w:val="1F1F1F"/>
          <w:sz w:val="22"/>
          <w:szCs w:val="22"/>
        </w:rPr>
        <w:t>tablished the “Guidelines for the mobile video-surveillance system”, aimed at regulating the operational use of body-worn cameras by prison police officers. According to these guidelines, a pilot programme involving the use of such devices by prison police</w:t>
      </w:r>
      <w:r>
        <w:rPr>
          <w:color w:val="1F1F1F"/>
          <w:sz w:val="22"/>
          <w:szCs w:val="22"/>
        </w:rPr>
        <w:t xml:space="preserve"> officers in 58 Italian penitentiary institutions began on 17 November 2025.</w:t>
      </w:r>
    </w:p>
    <w:p w:rsidR="00300835" w:rsidRDefault="00AA3C37">
      <w:pPr>
        <w:widowControl w:val="0"/>
        <w:jc w:val="both"/>
        <w:rPr>
          <w:color w:val="1F1F1F"/>
          <w:sz w:val="22"/>
          <w:szCs w:val="22"/>
        </w:rPr>
      </w:pPr>
      <w:r>
        <w:rPr>
          <w:color w:val="1F1F1F"/>
          <w:sz w:val="22"/>
          <w:szCs w:val="22"/>
        </w:rPr>
        <w:t>A subsequent DAP Circular issued on 13 January 2026 provides that the section Commander of a correctional facility, or personnel delegated by him/her, shall determine the detentio</w:t>
      </w:r>
      <w:r>
        <w:rPr>
          <w:color w:val="1F1F1F"/>
          <w:sz w:val="22"/>
          <w:szCs w:val="22"/>
        </w:rPr>
        <w:t xml:space="preserve">n units in which body-worn cameras must be worn. The device must be activated only in the event of a critical incident or extraordinary circumstances, such as assaults, riots, or escape attempts. </w:t>
      </w:r>
      <w:r>
        <w:rPr>
          <w:color w:val="1F1F1F"/>
          <w:sz w:val="22"/>
          <w:szCs w:val="22"/>
        </w:rPr>
        <w:t>Furthermore, where the Commander or the Director of the inst</w:t>
      </w:r>
      <w:r>
        <w:rPr>
          <w:color w:val="1F1F1F"/>
          <w:sz w:val="22"/>
          <w:szCs w:val="22"/>
        </w:rPr>
        <w:t>itution considers the recordings not to be relevant, namely where the footage does not contain evidence relating to criminal offences, the recordings must be deleted within 24 hours. Conversely, where the recordings capture criminal conduct, the deletion p</w:t>
      </w:r>
      <w:r>
        <w:rPr>
          <w:color w:val="1F1F1F"/>
          <w:sz w:val="22"/>
          <w:szCs w:val="22"/>
        </w:rPr>
        <w:t xml:space="preserve">eriod is extended to 7 days.  </w:t>
      </w:r>
      <w:r>
        <w:rPr>
          <w:color w:val="1F1F1F"/>
          <w:sz w:val="22"/>
          <w:szCs w:val="22"/>
        </w:rPr>
        <w:t>Nevertheless, uncertainties remain regarding the degree of discretion granted to prison police officers with respect to the activation of body-worn cameras, the identification of events to be recorded, and the decisions concer</w:t>
      </w:r>
      <w:r>
        <w:rPr>
          <w:color w:val="1F1F1F"/>
          <w:sz w:val="22"/>
          <w:szCs w:val="22"/>
        </w:rPr>
        <w:t xml:space="preserve">ning the deletion of recordings. </w:t>
      </w:r>
    </w:p>
    <w:p w:rsidR="00300835" w:rsidRDefault="00AA3C37">
      <w:pPr>
        <w:widowControl w:val="0"/>
        <w:jc w:val="both"/>
        <w:rPr>
          <w:color w:val="1F1F1F"/>
          <w:sz w:val="22"/>
          <w:szCs w:val="22"/>
        </w:rPr>
      </w:pPr>
      <w:r>
        <w:rPr>
          <w:color w:val="1F1F1F"/>
          <w:sz w:val="22"/>
          <w:szCs w:val="22"/>
        </w:rPr>
        <w:t>During Antigone's monitoring of prison conditions activity, we have observed on numerous occasions that the cameras inside prison facilities often do not work or that the recordings are not properly stored. Instead of enha</w:t>
      </w:r>
      <w:r>
        <w:rPr>
          <w:color w:val="1F1F1F"/>
          <w:sz w:val="22"/>
          <w:szCs w:val="22"/>
        </w:rPr>
        <w:t>ncing those closed-circuit cameras in all areas of prison facilities, given that all the torture proceedings that have gone ahead are those in which CCTV footage has been recovered, it was decided to start trialing body-worn cameras. This is therefore a me</w:t>
      </w:r>
      <w:r>
        <w:rPr>
          <w:color w:val="1F1F1F"/>
          <w:sz w:val="22"/>
          <w:szCs w:val="22"/>
        </w:rPr>
        <w:t>asure that is difficult to agree with, which seems to have been implemented especially for the benefit of prison police officers.</w:t>
      </w:r>
    </w:p>
    <w:p w:rsidR="00300835" w:rsidRDefault="00300835">
      <w:pPr>
        <w:jc w:val="both"/>
        <w:rPr>
          <w:color w:val="222222"/>
          <w:sz w:val="22"/>
          <w:szCs w:val="22"/>
        </w:rPr>
      </w:pPr>
    </w:p>
    <w:p w:rsidR="00300835" w:rsidRDefault="00AA3C37">
      <w:pPr>
        <w:jc w:val="both"/>
        <w:rPr>
          <w:b/>
          <w:bCs/>
          <w:color w:val="222222"/>
          <w:sz w:val="22"/>
          <w:szCs w:val="22"/>
        </w:rPr>
      </w:pPr>
      <w:r>
        <w:rPr>
          <w:b/>
          <w:bCs/>
          <w:color w:val="222222"/>
          <w:sz w:val="22"/>
          <w:szCs w:val="22"/>
        </w:rPr>
        <w:t xml:space="preserve">Undercover police officers in prison </w:t>
      </w:r>
    </w:p>
    <w:p w:rsidR="00300835" w:rsidRDefault="00AA3C37">
      <w:pPr>
        <w:jc w:val="both"/>
        <w:rPr>
          <w:color w:val="222222"/>
          <w:sz w:val="22"/>
          <w:szCs w:val="22"/>
        </w:rPr>
      </w:pPr>
      <w:r>
        <w:rPr>
          <w:color w:val="222222"/>
          <w:sz w:val="22"/>
          <w:szCs w:val="22"/>
        </w:rPr>
        <w:t>In the new decree law no. 23 of February 24, 2026, in Article 15</w:t>
      </w:r>
      <w:r>
        <w:rPr>
          <w:color w:val="222222"/>
          <w:sz w:val="22"/>
          <w:szCs w:val="22"/>
          <w:vertAlign w:val="superscript"/>
        </w:rPr>
        <w:footnoteReference w:id="9"/>
      </w:r>
      <w:r>
        <w:rPr>
          <w:color w:val="222222"/>
          <w:sz w:val="22"/>
          <w:szCs w:val="22"/>
        </w:rPr>
        <w:t>, the government has i</w:t>
      </w:r>
      <w:r>
        <w:rPr>
          <w:color w:val="222222"/>
          <w:sz w:val="22"/>
          <w:szCs w:val="22"/>
        </w:rPr>
        <w:t>ntroduced provisions authorising undercover operations within penitentiary institutions, applicable to both adult and juvenile facilities, for the purpose of enhancing institutional security. Under the new regulation, which entered into force on 25 Februar</w:t>
      </w:r>
      <w:r>
        <w:rPr>
          <w:color w:val="222222"/>
          <w:sz w:val="22"/>
          <w:szCs w:val="22"/>
        </w:rPr>
        <w:t>y 2026, prison police officers who carry out covert activities will not incur criminal liability.</w:t>
      </w:r>
    </w:p>
    <w:p w:rsidR="00300835" w:rsidRDefault="00AA3C37">
      <w:pPr>
        <w:jc w:val="both"/>
        <w:rPr>
          <w:color w:val="222222"/>
          <w:sz w:val="22"/>
          <w:szCs w:val="22"/>
        </w:rPr>
      </w:pPr>
      <w:r>
        <w:rPr>
          <w:color w:val="222222"/>
          <w:sz w:val="22"/>
          <w:szCs w:val="22"/>
        </w:rPr>
        <w:t>As a consequence of this provision, it is foreseeable that a specialised unit within the prison police will be established to conduct such activities. These o</w:t>
      </w:r>
      <w:r>
        <w:rPr>
          <w:color w:val="222222"/>
          <w:sz w:val="22"/>
          <w:szCs w:val="22"/>
        </w:rPr>
        <w:t xml:space="preserve">fficers would operate covertly rather than overtly, infiltrating detention facilities in order to observe events from within, collect information, and potentially document unlawful conduct such as protests, illicit drug trafficking, acts of corruption, or </w:t>
      </w:r>
      <w:r>
        <w:rPr>
          <w:color w:val="222222"/>
          <w:sz w:val="22"/>
          <w:szCs w:val="22"/>
        </w:rPr>
        <w:t>other forms of misconduct. It is hoped that this measure will also facilitate investigations into offences and abuses committed by prison staff.</w:t>
      </w:r>
    </w:p>
    <w:p w:rsidR="00300835" w:rsidRDefault="00AA3C37">
      <w:pPr>
        <w:jc w:val="both"/>
        <w:rPr>
          <w:color w:val="222222"/>
          <w:sz w:val="22"/>
          <w:szCs w:val="22"/>
        </w:rPr>
      </w:pPr>
      <w:r>
        <w:rPr>
          <w:sz w:val="22"/>
          <w:szCs w:val="22"/>
        </w:rPr>
        <w:t xml:space="preserve">However, the introduction of such figures risks further undermining the already delicate environment of prison </w:t>
      </w:r>
      <w:r>
        <w:rPr>
          <w:sz w:val="22"/>
          <w:szCs w:val="22"/>
        </w:rPr>
        <w:t>life, increasing mistrust and tensions between detainees and prison administration.</w:t>
      </w:r>
      <w:r>
        <w:rPr>
          <w:color w:val="222222"/>
          <w:sz w:val="22"/>
          <w:szCs w:val="22"/>
        </w:rPr>
        <w:t xml:space="preserve"> However, the provision adopted by the government does not appear to establish any explicit mechanism of oversight by prison Directors over these specialised police units, t</w:t>
      </w:r>
      <w:r>
        <w:rPr>
          <w:color w:val="222222"/>
          <w:sz w:val="22"/>
          <w:szCs w:val="22"/>
        </w:rPr>
        <w:t>hereby potentially reducing the traditional security prerogatives attributed to the prison Director.</w:t>
      </w:r>
    </w:p>
    <w:p w:rsidR="00300835" w:rsidRDefault="00300835">
      <w:pPr>
        <w:jc w:val="both"/>
        <w:rPr>
          <w:b/>
          <w:bCs/>
          <w:color w:val="222222"/>
          <w:sz w:val="22"/>
          <w:szCs w:val="22"/>
        </w:rPr>
      </w:pPr>
    </w:p>
    <w:p w:rsidR="00300835" w:rsidRDefault="00AA3C37">
      <w:pPr>
        <w:jc w:val="both"/>
        <w:rPr>
          <w:b/>
          <w:bCs/>
          <w:color w:val="222222"/>
          <w:sz w:val="22"/>
          <w:szCs w:val="22"/>
        </w:rPr>
      </w:pPr>
      <w:r>
        <w:rPr>
          <w:b/>
          <w:bCs/>
          <w:color w:val="222222"/>
          <w:sz w:val="22"/>
          <w:szCs w:val="22"/>
        </w:rPr>
        <w:t>Use of pepper spray in prison</w:t>
      </w:r>
    </w:p>
    <w:p w:rsidR="00300835" w:rsidRDefault="00AA3C37">
      <w:pPr>
        <w:jc w:val="both"/>
        <w:rPr>
          <w:color w:val="222222"/>
          <w:sz w:val="22"/>
          <w:szCs w:val="22"/>
        </w:rPr>
      </w:pPr>
      <w:r>
        <w:rPr>
          <w:color w:val="222222"/>
          <w:sz w:val="22"/>
          <w:szCs w:val="22"/>
        </w:rPr>
        <w:t>By a circular issued by the Department of Penitentiary Administration (DAP) on 22 December 2025, the experimental use of per</w:t>
      </w:r>
      <w:r>
        <w:rPr>
          <w:color w:val="222222"/>
          <w:sz w:val="22"/>
          <w:szCs w:val="22"/>
        </w:rPr>
        <w:t>sonal defense devices based on Oleoresin Capsicum (O.C.), commonly known as pepper spray, was authorised inside prisons for situations of danger, such as assaults against personnel. The experimental programme is scheduled to last 6 months, at the end of wh</w:t>
      </w:r>
      <w:r>
        <w:rPr>
          <w:color w:val="222222"/>
          <w:sz w:val="22"/>
          <w:szCs w:val="22"/>
        </w:rPr>
        <w:t>ich a dedicated commission will evaluate the effects and effectiveness of the spray, the sale of which has been liberalised for private citizens for approximately 15 years.</w:t>
      </w:r>
    </w:p>
    <w:p w:rsidR="00300835" w:rsidRDefault="00AA3C37">
      <w:pPr>
        <w:jc w:val="both"/>
        <w:rPr>
          <w:color w:val="222222"/>
          <w:sz w:val="22"/>
          <w:szCs w:val="22"/>
        </w:rPr>
      </w:pPr>
      <w:r>
        <w:rPr>
          <w:color w:val="222222"/>
          <w:sz w:val="22"/>
          <w:szCs w:val="22"/>
        </w:rPr>
        <w:t>The experimental use of pepper spray for law enforcement officers in Italy began in</w:t>
      </w:r>
      <w:r>
        <w:rPr>
          <w:color w:val="222222"/>
          <w:sz w:val="22"/>
          <w:szCs w:val="22"/>
        </w:rPr>
        <w:t xml:space="preserve"> 2014, initially involving the State Police and Carabinieri in Rome, Milan, and Naples, and subsequently extending from 2016 to 2020 to the local police forces of numerous other cities. According to the government, pepper spray does not constitute a weapon</w:t>
      </w:r>
      <w:r>
        <w:rPr>
          <w:color w:val="222222"/>
          <w:sz w:val="22"/>
          <w:szCs w:val="22"/>
        </w:rPr>
        <w:t>, but rather a defensive tool thereby allowing the attacked individual to flee or facilitating the neutralisation of the aggressor.</w:t>
      </w:r>
    </w:p>
    <w:p w:rsidR="00300835" w:rsidRDefault="00AA3C37">
      <w:pPr>
        <w:jc w:val="both"/>
        <w:rPr>
          <w:b/>
          <w:bCs/>
          <w:color w:val="222222"/>
          <w:sz w:val="22"/>
          <w:szCs w:val="22"/>
        </w:rPr>
      </w:pPr>
      <w:r>
        <w:rPr>
          <w:color w:val="222222"/>
          <w:sz w:val="22"/>
          <w:szCs w:val="22"/>
        </w:rPr>
        <w:t>Within prison institutions, the use of pepper spray also involves post-intervention management, including “decontamination a</w:t>
      </w:r>
      <w:r>
        <w:rPr>
          <w:color w:val="222222"/>
          <w:sz w:val="22"/>
          <w:szCs w:val="22"/>
        </w:rPr>
        <w:t>nd assistance” procedures using sprays containing saline solution, which serve to reduce the effects of the irritant substance once deployed. At the same time, however, the experimental programme raises several concerns regarding its use in the prison cont</w:t>
      </w:r>
      <w:r>
        <w:rPr>
          <w:color w:val="222222"/>
          <w:sz w:val="22"/>
          <w:szCs w:val="22"/>
        </w:rPr>
        <w:t>ext. As tragically highlighted by past incidents reported in the media, the use of pepper spray in crowded spaces has in some cases triggered panic and sudden attempts to flee. In a setting such as a prison, which is by definition without escape routes and</w:t>
      </w:r>
      <w:r>
        <w:rPr>
          <w:color w:val="222222"/>
          <w:sz w:val="22"/>
          <w:szCs w:val="22"/>
        </w:rPr>
        <w:t xml:space="preserve"> where it is not possible simply </w:t>
      </w:r>
      <w:r>
        <w:rPr>
          <w:color w:val="222222"/>
          <w:sz w:val="22"/>
          <w:szCs w:val="22"/>
        </w:rPr>
        <w:lastRenderedPageBreak/>
        <w:t>to look out a window or adequately ventilate the space, such reactions could generate situations of heightened stress and tension</w:t>
      </w:r>
      <w:r>
        <w:rPr>
          <w:color w:val="222222"/>
          <w:sz w:val="22"/>
          <w:szCs w:val="22"/>
          <w:vertAlign w:val="superscript"/>
        </w:rPr>
        <w:footnoteReference w:id="10"/>
      </w:r>
      <w:r>
        <w:rPr>
          <w:color w:val="222222"/>
          <w:sz w:val="22"/>
          <w:szCs w:val="22"/>
        </w:rPr>
        <w:t>.</w:t>
      </w:r>
    </w:p>
    <w:p w:rsidR="00300835" w:rsidRDefault="00300835">
      <w:pPr>
        <w:jc w:val="both"/>
        <w:rPr>
          <w:b/>
          <w:bCs/>
          <w:color w:val="222222"/>
          <w:sz w:val="22"/>
          <w:szCs w:val="22"/>
        </w:rPr>
      </w:pPr>
    </w:p>
    <w:p w:rsidR="00300835" w:rsidRDefault="00AA3C37">
      <w:pPr>
        <w:jc w:val="both"/>
        <w:rPr>
          <w:b/>
          <w:bCs/>
          <w:color w:val="222222"/>
          <w:sz w:val="22"/>
          <w:szCs w:val="22"/>
        </w:rPr>
      </w:pPr>
      <w:r>
        <w:rPr>
          <w:b/>
          <w:bCs/>
          <w:color w:val="222222"/>
          <w:sz w:val="22"/>
          <w:szCs w:val="22"/>
        </w:rPr>
        <w:t>Overcrowding</w:t>
      </w:r>
    </w:p>
    <w:p w:rsidR="00300835" w:rsidRDefault="00AA3C37">
      <w:pPr>
        <w:shd w:val="clear" w:color="auto" w:fill="FFFFFF"/>
        <w:jc w:val="both"/>
        <w:rPr>
          <w:sz w:val="22"/>
          <w:szCs w:val="22"/>
        </w:rPr>
      </w:pPr>
      <w:r>
        <w:rPr>
          <w:sz w:val="22"/>
          <w:szCs w:val="22"/>
        </w:rPr>
        <w:t>On 28 February 2026, there were 63.801 people detained in Italian prisons according to official statistics published by the Ministry of Justice</w:t>
      </w:r>
      <w:r>
        <w:rPr>
          <w:sz w:val="22"/>
          <w:szCs w:val="22"/>
          <w:vertAlign w:val="superscript"/>
        </w:rPr>
        <w:footnoteReference w:id="11"/>
      </w:r>
      <w:r>
        <w:rPr>
          <w:sz w:val="22"/>
          <w:szCs w:val="22"/>
        </w:rPr>
        <w:t>. The official capacity of the penitentiary system is equal to 51.273 (updated to 8 March 2026)</w:t>
      </w:r>
      <w:r>
        <w:rPr>
          <w:sz w:val="22"/>
          <w:szCs w:val="22"/>
          <w:vertAlign w:val="superscript"/>
        </w:rPr>
        <w:footnoteReference w:id="12"/>
      </w:r>
      <w:r>
        <w:rPr>
          <w:sz w:val="22"/>
          <w:szCs w:val="22"/>
        </w:rPr>
        <w:t>. Based on the latter</w:t>
      </w:r>
      <w:r>
        <w:rPr>
          <w:sz w:val="22"/>
          <w:szCs w:val="22"/>
          <w:vertAlign w:val="superscript"/>
        </w:rPr>
        <w:footnoteReference w:id="13"/>
      </w:r>
      <w:r>
        <w:rPr>
          <w:sz w:val="22"/>
          <w:szCs w:val="22"/>
        </w:rPr>
        <w:t xml:space="preserve">, currently the average national occupancy rate is 124,4%. The main consequence of this is severe overcrowding. </w:t>
      </w:r>
    </w:p>
    <w:p w:rsidR="00300835" w:rsidRDefault="00AA3C37">
      <w:pPr>
        <w:shd w:val="clear" w:color="auto" w:fill="FFFFFF"/>
        <w:jc w:val="both"/>
        <w:rPr>
          <w:sz w:val="22"/>
          <w:szCs w:val="22"/>
        </w:rPr>
      </w:pPr>
      <w:proofErr w:type="gramStart"/>
      <w:r>
        <w:rPr>
          <w:sz w:val="22"/>
          <w:szCs w:val="22"/>
        </w:rPr>
        <w:t>However,it</w:t>
      </w:r>
      <w:proofErr w:type="gramEnd"/>
      <w:r>
        <w:rPr>
          <w:sz w:val="22"/>
          <w:szCs w:val="22"/>
        </w:rPr>
        <w:t xml:space="preserve"> is well known that at any given time several thousand places are unavailable due to maintenance or renovations</w:t>
      </w:r>
      <w:r>
        <w:rPr>
          <w:sz w:val="22"/>
          <w:szCs w:val="22"/>
        </w:rPr>
        <w:t>. According to the most recent data available as of 8 March 2026, there are 5.083 unavailable places, compared to a prison population of 63.958</w:t>
      </w:r>
      <w:r>
        <w:rPr>
          <w:sz w:val="22"/>
          <w:szCs w:val="22"/>
          <w:vertAlign w:val="superscript"/>
        </w:rPr>
        <w:footnoteReference w:id="14"/>
      </w:r>
      <w:r>
        <w:rPr>
          <w:sz w:val="22"/>
          <w:szCs w:val="22"/>
        </w:rPr>
        <w:t>. Consequently, the actual overcrowding rate of the Italian prison system reaches 138%.</w:t>
      </w:r>
    </w:p>
    <w:p w:rsidR="00300835" w:rsidRDefault="00AA3C37">
      <w:pPr>
        <w:shd w:val="clear" w:color="auto" w:fill="FFFFFF"/>
        <w:jc w:val="both"/>
        <w:rPr>
          <w:sz w:val="22"/>
          <w:szCs w:val="22"/>
        </w:rPr>
      </w:pPr>
      <w:r>
        <w:rPr>
          <w:sz w:val="22"/>
          <w:szCs w:val="22"/>
        </w:rPr>
        <w:t>If we look at the places</w:t>
      </w:r>
      <w:r>
        <w:rPr>
          <w:sz w:val="22"/>
          <w:szCs w:val="22"/>
        </w:rPr>
        <w:t xml:space="preserve"> actually available, as of 8 March 2026, there are 70 institutions with an occupancy rate of over 150% and 10 with a rate of over 190%. The most overcrowded institution at the moment is Lucca, with an actual occupancy rate of 246%. The other most overcrowd</w:t>
      </w:r>
      <w:r>
        <w:rPr>
          <w:sz w:val="22"/>
          <w:szCs w:val="22"/>
        </w:rPr>
        <w:t>ed facilities are Milan San Vittore (240%), Foggia (220%), Lodi (214%), and Udine (205%). There are now only 24 prison institutions that are not overcrowded</w:t>
      </w:r>
      <w:r>
        <w:rPr>
          <w:sz w:val="22"/>
          <w:szCs w:val="22"/>
          <w:vertAlign w:val="superscript"/>
        </w:rPr>
        <w:footnoteReference w:id="15"/>
      </w:r>
      <w:r>
        <w:rPr>
          <w:sz w:val="22"/>
          <w:szCs w:val="22"/>
        </w:rPr>
        <w:t xml:space="preserve">. </w:t>
      </w:r>
    </w:p>
    <w:p w:rsidR="00300835" w:rsidRDefault="00AA3C37">
      <w:pPr>
        <w:shd w:val="clear" w:color="auto" w:fill="FFFFFF"/>
        <w:jc w:val="both"/>
        <w:rPr>
          <w:sz w:val="22"/>
          <w:szCs w:val="22"/>
        </w:rPr>
      </w:pPr>
      <w:r>
        <w:rPr>
          <w:sz w:val="22"/>
          <w:szCs w:val="22"/>
        </w:rPr>
        <w:t>While there were 61.861 detainees on December 31, 2024, by December 31, 2025, there were 1,638 m</w:t>
      </w:r>
      <w:r>
        <w:rPr>
          <w:sz w:val="22"/>
          <w:szCs w:val="22"/>
        </w:rPr>
        <w:t>ore</w:t>
      </w:r>
      <w:r>
        <w:rPr>
          <w:sz w:val="22"/>
          <w:szCs w:val="22"/>
          <w:vertAlign w:val="superscript"/>
        </w:rPr>
        <w:footnoteReference w:id="16"/>
      </w:r>
      <w:r>
        <w:rPr>
          <w:sz w:val="22"/>
          <w:szCs w:val="22"/>
        </w:rPr>
        <w:t>. In January 2013, within the case Torreggiani and Others v Italy the European Court of Human Rights condemned Italy for violating Article 3 of the European Convention on Human Rights (ECHR) due to the country's detention conditions</w:t>
      </w:r>
      <w:r>
        <w:rPr>
          <w:sz w:val="22"/>
          <w:szCs w:val="22"/>
          <w:vertAlign w:val="superscript"/>
        </w:rPr>
        <w:footnoteReference w:id="17"/>
      </w:r>
      <w:r>
        <w:rPr>
          <w:sz w:val="22"/>
          <w:szCs w:val="22"/>
        </w:rPr>
        <w:t>. At the time, ther</w:t>
      </w:r>
      <w:r>
        <w:rPr>
          <w:sz w:val="22"/>
          <w:szCs w:val="22"/>
        </w:rPr>
        <w:t>e were 65.905 people in Italian prisons. At this rate of growth, the population is likely to reach similar figures soon.</w:t>
      </w:r>
    </w:p>
    <w:p w:rsidR="00300835" w:rsidRDefault="00AA3C37">
      <w:pPr>
        <w:shd w:val="clear" w:color="auto" w:fill="FFFFFF"/>
        <w:jc w:val="both"/>
        <w:rPr>
          <w:color w:val="222222"/>
          <w:sz w:val="22"/>
          <w:szCs w:val="22"/>
        </w:rPr>
      </w:pPr>
      <w:r>
        <w:rPr>
          <w:sz w:val="22"/>
          <w:szCs w:val="22"/>
        </w:rPr>
        <w:t>Unfortunately, in many prisons across Italy, the conditions sanctioned by the ECtHR are already a reality. Antigone’s Observatory on pr</w:t>
      </w:r>
      <w:r>
        <w:rPr>
          <w:sz w:val="22"/>
          <w:szCs w:val="22"/>
        </w:rPr>
        <w:t>ison conditions carried out 97 prison visits during 2025, and in 45 facilities, there were cells in which less than 3m</w:t>
      </w:r>
      <w:r>
        <w:rPr>
          <w:sz w:val="22"/>
          <w:szCs w:val="22"/>
          <w:vertAlign w:val="superscript"/>
        </w:rPr>
        <w:t xml:space="preserve">2 </w:t>
      </w:r>
      <w:r>
        <w:rPr>
          <w:sz w:val="22"/>
          <w:szCs w:val="22"/>
        </w:rPr>
        <w:t>per person of walking space were available</w:t>
      </w:r>
      <w:r>
        <w:rPr>
          <w:sz w:val="22"/>
          <w:szCs w:val="22"/>
          <w:vertAlign w:val="superscript"/>
        </w:rPr>
        <w:footnoteReference w:id="18"/>
      </w:r>
      <w:r>
        <w:rPr>
          <w:sz w:val="22"/>
          <w:szCs w:val="22"/>
        </w:rPr>
        <w:t xml:space="preserve">. It should be noted that the criterion Antigone’s </w:t>
      </w:r>
      <w:proofErr w:type="gramStart"/>
      <w:r>
        <w:rPr>
          <w:sz w:val="22"/>
          <w:szCs w:val="22"/>
        </w:rPr>
        <w:t>observers  use</w:t>
      </w:r>
      <w:proofErr w:type="gramEnd"/>
      <w:r>
        <w:rPr>
          <w:sz w:val="22"/>
          <w:szCs w:val="22"/>
        </w:rPr>
        <w:t xml:space="preserve"> to calculate the available </w:t>
      </w:r>
      <w:r>
        <w:rPr>
          <w:sz w:val="22"/>
          <w:szCs w:val="22"/>
        </w:rPr>
        <w:t>space in cells excludes the bathroom, the bed, and fixed furnishings, as indicated by the Italian Cassation Court</w:t>
      </w:r>
      <w:r>
        <w:rPr>
          <w:sz w:val="22"/>
          <w:szCs w:val="22"/>
          <w:vertAlign w:val="superscript"/>
        </w:rPr>
        <w:footnoteReference w:id="19"/>
      </w:r>
      <w:r>
        <w:rPr>
          <w:sz w:val="22"/>
          <w:szCs w:val="22"/>
        </w:rPr>
        <w:t>.</w:t>
      </w:r>
    </w:p>
    <w:p w:rsidR="00300835" w:rsidRDefault="00300835">
      <w:pPr>
        <w:jc w:val="both"/>
        <w:rPr>
          <w:color w:val="222222"/>
          <w:sz w:val="22"/>
          <w:szCs w:val="22"/>
        </w:rPr>
      </w:pPr>
    </w:p>
    <w:p w:rsidR="00300835" w:rsidRDefault="00300835">
      <w:pPr>
        <w:jc w:val="both"/>
        <w:rPr>
          <w:b/>
          <w:bCs/>
          <w:color w:val="222222"/>
          <w:sz w:val="22"/>
          <w:szCs w:val="22"/>
        </w:rPr>
      </w:pPr>
    </w:p>
    <w:p w:rsidR="00300835" w:rsidRDefault="00300835">
      <w:pPr>
        <w:jc w:val="both"/>
        <w:rPr>
          <w:b/>
          <w:bCs/>
          <w:color w:val="222222"/>
          <w:sz w:val="22"/>
          <w:szCs w:val="22"/>
        </w:rPr>
      </w:pPr>
    </w:p>
    <w:p w:rsidR="00300835" w:rsidRDefault="00AA3C37">
      <w:pPr>
        <w:jc w:val="both"/>
        <w:rPr>
          <w:color w:val="222222"/>
          <w:sz w:val="22"/>
          <w:szCs w:val="22"/>
        </w:rPr>
      </w:pPr>
      <w:r>
        <w:rPr>
          <w:b/>
          <w:bCs/>
          <w:color w:val="222222"/>
          <w:sz w:val="22"/>
          <w:szCs w:val="22"/>
        </w:rPr>
        <w:lastRenderedPageBreak/>
        <w:t>Pre-trial detainees</w:t>
      </w:r>
    </w:p>
    <w:p w:rsidR="00300835" w:rsidRDefault="00AA3C37">
      <w:pPr>
        <w:jc w:val="both"/>
        <w:rPr>
          <w:sz w:val="22"/>
          <w:szCs w:val="22"/>
        </w:rPr>
      </w:pPr>
      <w:r>
        <w:rPr>
          <w:sz w:val="22"/>
          <w:szCs w:val="22"/>
        </w:rPr>
        <w:t>Despite the increase in the overall prison population, the proportion of individuals held in pre-trial detention cont</w:t>
      </w:r>
      <w:r>
        <w:rPr>
          <w:sz w:val="22"/>
          <w:szCs w:val="22"/>
        </w:rPr>
        <w:t xml:space="preserve">inues to decline. In particular, the percentage of detainees with final convictions increased from 71.7% at the end of 2023 to 73.5% at the end of 2024. </w:t>
      </w:r>
    </w:p>
    <w:p w:rsidR="00300835" w:rsidRDefault="00AA3C37">
      <w:pPr>
        <w:jc w:val="both"/>
        <w:rPr>
          <w:sz w:val="22"/>
          <w:szCs w:val="22"/>
        </w:rPr>
      </w:pPr>
      <w:r>
        <w:rPr>
          <w:sz w:val="22"/>
          <w:szCs w:val="22"/>
        </w:rPr>
        <w:t>As of 31 December 2025, out of a total prison population of 63.449, 9.332 individuals (14.7%) were awa</w:t>
      </w:r>
      <w:r>
        <w:rPr>
          <w:sz w:val="22"/>
          <w:szCs w:val="22"/>
        </w:rPr>
        <w:t>iting their first-instance judgment, 5,941 (9.3%) were non-final convicted prisoners, and 47,857 (75.3%) were prisoners with final convictions</w:t>
      </w:r>
      <w:r>
        <w:rPr>
          <w:sz w:val="22"/>
          <w:szCs w:val="22"/>
          <w:vertAlign w:val="superscript"/>
        </w:rPr>
        <w:footnoteReference w:id="20"/>
      </w:r>
      <w:r>
        <w:rPr>
          <w:sz w:val="22"/>
          <w:szCs w:val="22"/>
        </w:rPr>
        <w:t>. Nevertheless, more than one quarter of the prison population still consists of individuals awaiting trial and t</w:t>
      </w:r>
      <w:r>
        <w:rPr>
          <w:sz w:val="22"/>
          <w:szCs w:val="22"/>
        </w:rPr>
        <w:t>herefore presumed innocent.</w:t>
      </w:r>
    </w:p>
    <w:p w:rsidR="00300835" w:rsidRDefault="00AA3C37">
      <w:pPr>
        <w:jc w:val="both"/>
        <w:rPr>
          <w:sz w:val="22"/>
          <w:szCs w:val="22"/>
        </w:rPr>
      </w:pPr>
      <w:r>
        <w:rPr>
          <w:sz w:val="22"/>
          <w:szCs w:val="22"/>
        </w:rPr>
        <w:t>The proportion of individuals held in pre-trial detention varies significantly when considering foreign nationals only. Among foreign prisoners, those held in pre-trial detention account for 28.4% of the prison population, where</w:t>
      </w:r>
      <w:r>
        <w:rPr>
          <w:sz w:val="22"/>
          <w:szCs w:val="22"/>
        </w:rPr>
        <w:t>as among Italian prisoners the share of individuals in pre-trial detention amounts to 22% of the total.</w:t>
      </w:r>
    </w:p>
    <w:p w:rsidR="00300835" w:rsidRDefault="00300835">
      <w:pPr>
        <w:jc w:val="both"/>
        <w:rPr>
          <w:color w:val="222222"/>
          <w:sz w:val="22"/>
          <w:szCs w:val="22"/>
        </w:rPr>
      </w:pPr>
    </w:p>
    <w:p w:rsidR="00300835" w:rsidRDefault="00AA3C37">
      <w:pPr>
        <w:jc w:val="both"/>
        <w:rPr>
          <w:b/>
          <w:bCs/>
          <w:color w:val="222222"/>
          <w:sz w:val="22"/>
          <w:szCs w:val="22"/>
        </w:rPr>
      </w:pPr>
      <w:r>
        <w:rPr>
          <w:b/>
          <w:bCs/>
          <w:color w:val="222222"/>
          <w:sz w:val="22"/>
          <w:szCs w:val="22"/>
        </w:rPr>
        <w:t xml:space="preserve">Foreigners </w:t>
      </w:r>
    </w:p>
    <w:p w:rsidR="00300835" w:rsidRDefault="00AA3C37">
      <w:pPr>
        <w:jc w:val="both"/>
        <w:rPr>
          <w:sz w:val="22"/>
          <w:szCs w:val="22"/>
        </w:rPr>
      </w:pPr>
      <w:r>
        <w:rPr>
          <w:sz w:val="22"/>
          <w:szCs w:val="22"/>
        </w:rPr>
        <w:t>On 31 December 2025, 31,7% of the total prison population were foreigners. 10 years ago (as of December 31, 2015), they accounted for 33.2%</w:t>
      </w:r>
      <w:r>
        <w:rPr>
          <w:sz w:val="22"/>
          <w:szCs w:val="22"/>
        </w:rPr>
        <w:t>, and 15 years ago (as of December 31, 2010), they accounted for 36.7%.  At the end of December 2025, the most representative nationalities within Italian prisons were: Morocco (22% of the total number of foreign prisoners), Tunisia (11,3%), Romania (10,6%</w:t>
      </w:r>
      <w:r>
        <w:rPr>
          <w:sz w:val="22"/>
          <w:szCs w:val="22"/>
        </w:rPr>
        <w:t>) and Albania (9,8%), and Egypt (5,4</w:t>
      </w:r>
      <w:proofErr w:type="gramStart"/>
      <w:r>
        <w:rPr>
          <w:sz w:val="22"/>
          <w:szCs w:val="22"/>
        </w:rPr>
        <w:t>%)</w:t>
      </w:r>
      <w:r>
        <w:rPr>
          <w:sz w:val="22"/>
          <w:szCs w:val="22"/>
          <w:vertAlign w:val="superscript"/>
        </w:rPr>
        <w:footnoteReference w:id="21"/>
      </w:r>
      <w:r>
        <w:rPr>
          <w:sz w:val="22"/>
          <w:szCs w:val="22"/>
        </w:rPr>
        <w:t xml:space="preserve"> .</w:t>
      </w:r>
      <w:proofErr w:type="gramEnd"/>
      <w:r>
        <w:rPr>
          <w:sz w:val="22"/>
          <w:szCs w:val="22"/>
        </w:rPr>
        <w:t xml:space="preserve"> </w:t>
      </w:r>
    </w:p>
    <w:p w:rsidR="00300835" w:rsidRDefault="00AA3C37">
      <w:pPr>
        <w:jc w:val="both"/>
        <w:rPr>
          <w:sz w:val="22"/>
          <w:szCs w:val="22"/>
        </w:rPr>
      </w:pPr>
      <w:r>
        <w:rPr>
          <w:sz w:val="22"/>
          <w:szCs w:val="22"/>
        </w:rPr>
        <w:t>The presence of foreign prisoners raises several issues regarding their specific needs, which are often not adequately addressed, such as linguistic and therefore communication difficulties, the absence of cultura</w:t>
      </w:r>
      <w:r>
        <w:rPr>
          <w:sz w:val="22"/>
          <w:szCs w:val="22"/>
        </w:rPr>
        <w:t xml:space="preserve">l mediators, inadequate defence and information on immigration law, even the bureaucratic obstacles of the renewal of residence permits and access to the application for international protection, which are also decisive for the outcome of the re-education </w:t>
      </w:r>
      <w:r>
        <w:rPr>
          <w:sz w:val="22"/>
          <w:szCs w:val="22"/>
        </w:rPr>
        <w:t xml:space="preserve">process itself. </w:t>
      </w:r>
      <w:r>
        <w:rPr>
          <w:sz w:val="22"/>
          <w:szCs w:val="22"/>
        </w:rPr>
        <w:br/>
        <w:t>Regarding the access to cultural mediators in prison, as of December 31, 2024, there were only 1.7 mediators for every 100 foreign inmates. Looking at specific groups, the number of mediators is less than 2 per 100 foreign prisoners coming</w:t>
      </w:r>
      <w:r>
        <w:rPr>
          <w:sz w:val="22"/>
          <w:szCs w:val="22"/>
        </w:rPr>
        <w:t xml:space="preserve"> from Eastern Europe, North Africa, other African countries, and South America. The value increases to 3.08 mediators per 100 inmates for the foreign population coming from the Middle and Far East</w:t>
      </w:r>
      <w:r>
        <w:rPr>
          <w:sz w:val="22"/>
          <w:szCs w:val="22"/>
          <w:vertAlign w:val="superscript"/>
        </w:rPr>
        <w:footnoteReference w:id="22"/>
      </w:r>
      <w:r>
        <w:rPr>
          <w:sz w:val="22"/>
          <w:szCs w:val="22"/>
        </w:rPr>
        <w:t xml:space="preserve">. </w:t>
      </w:r>
    </w:p>
    <w:p w:rsidR="00300835" w:rsidRDefault="00300835">
      <w:pPr>
        <w:jc w:val="both"/>
        <w:rPr>
          <w:color w:val="222222"/>
          <w:sz w:val="22"/>
          <w:szCs w:val="22"/>
        </w:rPr>
      </w:pPr>
    </w:p>
    <w:p w:rsidR="00300835" w:rsidRDefault="00AA3C37">
      <w:pPr>
        <w:jc w:val="both"/>
        <w:rPr>
          <w:b/>
          <w:bCs/>
          <w:color w:val="222222"/>
          <w:sz w:val="22"/>
          <w:szCs w:val="22"/>
        </w:rPr>
      </w:pPr>
      <w:r>
        <w:rPr>
          <w:b/>
          <w:bCs/>
          <w:color w:val="222222"/>
          <w:sz w:val="22"/>
          <w:szCs w:val="22"/>
        </w:rPr>
        <w:t>Minors and young adults</w:t>
      </w:r>
    </w:p>
    <w:p w:rsidR="00300835" w:rsidRDefault="00AA3C37">
      <w:pPr>
        <w:jc w:val="both"/>
        <w:rPr>
          <w:color w:val="222222"/>
          <w:sz w:val="22"/>
          <w:szCs w:val="22"/>
        </w:rPr>
      </w:pPr>
      <w:r>
        <w:rPr>
          <w:color w:val="222222"/>
          <w:sz w:val="22"/>
          <w:szCs w:val="22"/>
        </w:rPr>
        <w:t>The Decree-Law No. 123 of Septe</w:t>
      </w:r>
      <w:r>
        <w:rPr>
          <w:color w:val="222222"/>
          <w:sz w:val="22"/>
          <w:szCs w:val="22"/>
        </w:rPr>
        <w:t>mber 15, 2023 (so-called “Caivano Decree”)</w:t>
      </w:r>
      <w:r>
        <w:rPr>
          <w:color w:val="222222"/>
          <w:sz w:val="22"/>
          <w:szCs w:val="22"/>
          <w:vertAlign w:val="superscript"/>
        </w:rPr>
        <w:footnoteReference w:id="23"/>
      </w:r>
      <w:r>
        <w:rPr>
          <w:color w:val="222222"/>
          <w:sz w:val="22"/>
          <w:szCs w:val="22"/>
        </w:rPr>
        <w:t xml:space="preserve">, has disrupted the Italian juvenile justice system, contributing to overcrowding in the juvenile prisons (IPM).  Specifically, the Caivano Decree has increased the maximum sentence from 4 to 5 years for minor offences under the fifth paragraph of Article </w:t>
      </w:r>
      <w:r>
        <w:rPr>
          <w:color w:val="222222"/>
          <w:sz w:val="22"/>
          <w:szCs w:val="22"/>
        </w:rPr>
        <w:t>73 of the Law on Drugs. By increasing the maximum sentence to 5 years, minor offences are included among the offences for which compulsory arrest</w:t>
      </w:r>
      <w:r>
        <w:rPr>
          <w:i/>
          <w:iCs/>
          <w:color w:val="222222"/>
          <w:sz w:val="22"/>
          <w:szCs w:val="22"/>
        </w:rPr>
        <w:t xml:space="preserve"> in flagrante delicto</w:t>
      </w:r>
      <w:r>
        <w:rPr>
          <w:color w:val="222222"/>
          <w:sz w:val="22"/>
          <w:szCs w:val="22"/>
        </w:rPr>
        <w:t xml:space="preserve"> and the possibility of pre-trial detention in prison are also </w:t>
      </w:r>
      <w:r>
        <w:rPr>
          <w:color w:val="222222"/>
          <w:sz w:val="22"/>
          <w:szCs w:val="22"/>
        </w:rPr>
        <w:lastRenderedPageBreak/>
        <w:t>envisaged for minors. In ad</w:t>
      </w:r>
      <w:r>
        <w:rPr>
          <w:color w:val="222222"/>
          <w:sz w:val="22"/>
          <w:szCs w:val="22"/>
        </w:rPr>
        <w:t xml:space="preserve">dition, the possibility for the judge to order precautionary measures towards minors is enhanced. </w:t>
      </w:r>
    </w:p>
    <w:p w:rsidR="00300835" w:rsidRDefault="00AA3C37">
      <w:pPr>
        <w:jc w:val="both"/>
        <w:rPr>
          <w:color w:val="222222"/>
          <w:sz w:val="22"/>
          <w:szCs w:val="22"/>
        </w:rPr>
      </w:pPr>
      <w:r>
        <w:rPr>
          <w:color w:val="222222"/>
          <w:sz w:val="22"/>
          <w:szCs w:val="22"/>
        </w:rPr>
        <w:t>Moreover, Although the Italian juvenile justice system provides that a person who has committed a crime as a minor can serve his sentence at an IPM until the</w:t>
      </w:r>
      <w:r>
        <w:rPr>
          <w:color w:val="222222"/>
          <w:sz w:val="22"/>
          <w:szCs w:val="22"/>
        </w:rPr>
        <w:t xml:space="preserve"> age of 25, the Caivano Decree gives the director of the IPM the possibility to transfer the adult offender to an adult prison with ease. </w:t>
      </w:r>
    </w:p>
    <w:p w:rsidR="00300835" w:rsidRDefault="00AA3C37">
      <w:pPr>
        <w:jc w:val="both"/>
        <w:rPr>
          <w:color w:val="222222"/>
          <w:sz w:val="22"/>
          <w:szCs w:val="22"/>
        </w:rPr>
      </w:pPr>
      <w:r>
        <w:rPr>
          <w:color w:val="222222"/>
          <w:sz w:val="22"/>
          <w:szCs w:val="22"/>
        </w:rPr>
        <w:t>At the end of 2022, juvenile prisons housed 381 individuals, a number virtually identical to that immediately prior t</w:t>
      </w:r>
      <w:r>
        <w:rPr>
          <w:color w:val="222222"/>
          <w:sz w:val="22"/>
          <w:szCs w:val="22"/>
        </w:rPr>
        <w:t>o the pandemic (382 as of December 31, 2019), which led to a decline due to the emergency situation. At the end of 2024, there were 587 young prisoners, and at the end of 2025, there were 572, an increase of about 50% compared to the pre-Caivano period. Su</w:t>
      </w:r>
      <w:r>
        <w:rPr>
          <w:color w:val="222222"/>
          <w:sz w:val="22"/>
          <w:szCs w:val="22"/>
        </w:rPr>
        <w:t xml:space="preserve">ch high numbers had never been recorded before. Since the decree came into effect, admissions have increased by 16.6%. </w:t>
      </w:r>
    </w:p>
    <w:p w:rsidR="00300835" w:rsidRDefault="00AA3C37">
      <w:pPr>
        <w:jc w:val="both"/>
        <w:rPr>
          <w:color w:val="222222"/>
          <w:sz w:val="22"/>
          <w:szCs w:val="22"/>
        </w:rPr>
      </w:pPr>
      <w:r>
        <w:rPr>
          <w:color w:val="222222"/>
          <w:sz w:val="22"/>
          <w:szCs w:val="22"/>
        </w:rPr>
        <w:t xml:space="preserve">The most critical situation in juvenile detention facilities, marked by overcrowding, occurred in 2024, when the system was required to </w:t>
      </w:r>
      <w:r>
        <w:rPr>
          <w:color w:val="222222"/>
          <w:sz w:val="22"/>
          <w:szCs w:val="22"/>
        </w:rPr>
        <w:t>manage significantly higher numbers than in previous years. During the monitoring visits carried out by Antigone, several institutions reported daily operational difficulties resulting from the increase in the number of detainees and, in many cases, from t</w:t>
      </w:r>
      <w:r>
        <w:rPr>
          <w:color w:val="222222"/>
          <w:sz w:val="22"/>
          <w:szCs w:val="22"/>
        </w:rPr>
        <w:t>he lack of adequate space. These conditions have inevitably compromised the quality of detention and limited the effectiveness of educational and rehabilitative interventions. In some institutions, emergency measures had to be adopted in order to cope with</w:t>
      </w:r>
      <w:r>
        <w:rPr>
          <w:color w:val="222222"/>
          <w:sz w:val="22"/>
          <w:szCs w:val="22"/>
        </w:rPr>
        <w:t xml:space="preserve"> overcrowding, including the use of additional camp beds or mattresses placed on the floor.</w:t>
      </w:r>
    </w:p>
    <w:p w:rsidR="00300835" w:rsidRDefault="00AA3C37">
      <w:pPr>
        <w:jc w:val="both"/>
        <w:rPr>
          <w:color w:val="222222"/>
          <w:sz w:val="22"/>
          <w:szCs w:val="22"/>
        </w:rPr>
      </w:pPr>
      <w:r>
        <w:rPr>
          <w:color w:val="222222"/>
          <w:sz w:val="22"/>
          <w:szCs w:val="22"/>
        </w:rPr>
        <w:t xml:space="preserve">With regard to the current composition of the population detained in IPMs as of December 31, 2025, we can see that out of 572 inmates, only 21 are girls, 6 of whom </w:t>
      </w:r>
      <w:r>
        <w:rPr>
          <w:color w:val="222222"/>
          <w:sz w:val="22"/>
          <w:szCs w:val="22"/>
        </w:rPr>
        <w:t>are foreign nationals. Overall, there are 242 foreign inmates, or 42.3% of the total.</w:t>
      </w:r>
    </w:p>
    <w:p w:rsidR="00300835" w:rsidRDefault="00AA3C37">
      <w:pPr>
        <w:jc w:val="both"/>
        <w:rPr>
          <w:color w:val="222222"/>
          <w:sz w:val="22"/>
          <w:szCs w:val="22"/>
        </w:rPr>
      </w:pPr>
      <w:r>
        <w:rPr>
          <w:color w:val="222222"/>
          <w:sz w:val="22"/>
          <w:szCs w:val="22"/>
        </w:rPr>
        <w:t>With regard to age, the most represented age group in juvenile detention facilities is that of 16–17-year-olds, with 300 individuals, which together with the 44 detainees</w:t>
      </w:r>
      <w:r>
        <w:rPr>
          <w:color w:val="222222"/>
          <w:sz w:val="22"/>
          <w:szCs w:val="22"/>
        </w:rPr>
        <w:t xml:space="preserve"> aged 14–15 accounts for a total of 344 minors in detention, representing 60% of the overall prison population in these institutions. It is worth noting that 3 years earlier, at the end of 2022, in the pre-Caivano context, the number of minors in detention</w:t>
      </w:r>
      <w:r>
        <w:rPr>
          <w:color w:val="222222"/>
          <w:sz w:val="22"/>
          <w:szCs w:val="22"/>
        </w:rPr>
        <w:t xml:space="preserve"> was approximately 9% lower. </w:t>
      </w:r>
    </w:p>
    <w:p w:rsidR="00300835" w:rsidRDefault="00AA3C37">
      <w:pPr>
        <w:jc w:val="both"/>
        <w:rPr>
          <w:color w:val="222222"/>
          <w:sz w:val="22"/>
          <w:szCs w:val="22"/>
        </w:rPr>
      </w:pPr>
      <w:r>
        <w:rPr>
          <w:color w:val="222222"/>
          <w:sz w:val="22"/>
          <w:szCs w:val="22"/>
        </w:rPr>
        <w:t>As already mentioned, the increase recorded in recent years can therefore be attributed, at least in part, to the effects of the expansion of juvenile criminalisation introduced by the so-called Caivano Decree, particularly th</w:t>
      </w:r>
      <w:r>
        <w:rPr>
          <w:color w:val="222222"/>
          <w:sz w:val="22"/>
          <w:szCs w:val="22"/>
        </w:rPr>
        <w:t>rough the widening of the circumstances under which pre-trial detention in prison may be imposed on minors. In this regard, 64.9% of the young people detained (370 individuals) are in custody exclusively on the basis of a pre-trial detention order. If we c</w:t>
      </w:r>
      <w:r>
        <w:rPr>
          <w:color w:val="222222"/>
          <w:sz w:val="22"/>
          <w:szCs w:val="22"/>
        </w:rPr>
        <w:t>onsider minors only, it emerges that as many as 83% of all detained minors are held in pre-trial detention, and almost 40% of them are awaiting their first-instance judgment</w:t>
      </w:r>
      <w:r>
        <w:rPr>
          <w:color w:val="222222"/>
          <w:sz w:val="22"/>
          <w:szCs w:val="22"/>
          <w:vertAlign w:val="superscript"/>
        </w:rPr>
        <w:footnoteReference w:id="24"/>
      </w:r>
      <w:r>
        <w:rPr>
          <w:color w:val="222222"/>
          <w:sz w:val="22"/>
          <w:szCs w:val="22"/>
        </w:rPr>
        <w:t>.</w:t>
      </w:r>
    </w:p>
    <w:p w:rsidR="0084360B" w:rsidRDefault="0084360B">
      <w:pPr>
        <w:jc w:val="both"/>
        <w:rPr>
          <w:color w:val="222222"/>
          <w:sz w:val="22"/>
          <w:szCs w:val="22"/>
        </w:rPr>
      </w:pPr>
    </w:p>
    <w:p w:rsidR="0084360B" w:rsidRDefault="0084360B">
      <w:pPr>
        <w:jc w:val="both"/>
        <w:rPr>
          <w:color w:val="222222"/>
          <w:sz w:val="22"/>
          <w:szCs w:val="22"/>
        </w:rPr>
      </w:pPr>
    </w:p>
    <w:p w:rsidR="0084360B" w:rsidRDefault="0084360B">
      <w:pPr>
        <w:jc w:val="both"/>
        <w:rPr>
          <w:color w:val="222222"/>
          <w:sz w:val="22"/>
          <w:szCs w:val="22"/>
        </w:rPr>
      </w:pPr>
    </w:p>
    <w:p w:rsidR="00300835" w:rsidRDefault="00AA3C37">
      <w:pPr>
        <w:jc w:val="both"/>
        <w:rPr>
          <w:b/>
          <w:bCs/>
          <w:color w:val="222222"/>
          <w:sz w:val="22"/>
          <w:szCs w:val="22"/>
        </w:rPr>
      </w:pPr>
      <w:r>
        <w:rPr>
          <w:b/>
          <w:bCs/>
          <w:color w:val="222222"/>
          <w:sz w:val="22"/>
          <w:szCs w:val="22"/>
        </w:rPr>
        <w:lastRenderedPageBreak/>
        <w:t xml:space="preserve">Women </w:t>
      </w:r>
    </w:p>
    <w:p w:rsidR="00300835" w:rsidRDefault="00AA3C37">
      <w:pPr>
        <w:jc w:val="both"/>
        <w:rPr>
          <w:color w:val="222222"/>
          <w:sz w:val="22"/>
          <w:szCs w:val="22"/>
        </w:rPr>
      </w:pPr>
      <w:r>
        <w:rPr>
          <w:color w:val="222222"/>
          <w:sz w:val="22"/>
          <w:szCs w:val="22"/>
        </w:rPr>
        <w:t>As of February 28, 2026, there are 2.778 women in prison out of a total prison population of 63.801, equal to 4.35% of the total</w:t>
      </w:r>
      <w:r>
        <w:rPr>
          <w:color w:val="222222"/>
          <w:sz w:val="22"/>
          <w:szCs w:val="22"/>
          <w:vertAlign w:val="superscript"/>
        </w:rPr>
        <w:footnoteReference w:id="25"/>
      </w:r>
      <w:r>
        <w:rPr>
          <w:color w:val="222222"/>
          <w:sz w:val="22"/>
          <w:szCs w:val="22"/>
        </w:rPr>
        <w:t xml:space="preserve">. This percentage has remained essentially stable over the decades. Instead, the percentage of foreign female prisoners out of </w:t>
      </w:r>
      <w:r>
        <w:rPr>
          <w:color w:val="222222"/>
          <w:sz w:val="22"/>
          <w:szCs w:val="22"/>
        </w:rPr>
        <w:t>the total female prison population is around 28%.</w:t>
      </w:r>
    </w:p>
    <w:p w:rsidR="00300835" w:rsidRDefault="00AA3C37">
      <w:pPr>
        <w:widowControl w:val="0"/>
        <w:jc w:val="both"/>
        <w:rPr>
          <w:sz w:val="22"/>
          <w:szCs w:val="22"/>
        </w:rPr>
      </w:pPr>
      <w:r>
        <w:rPr>
          <w:color w:val="1F1F1F"/>
          <w:sz w:val="22"/>
          <w:szCs w:val="22"/>
        </w:rPr>
        <w:t>The Decree of 11 April 2025, no. 48</w:t>
      </w:r>
      <w:r>
        <w:rPr>
          <w:color w:val="1F1F1F"/>
          <w:sz w:val="22"/>
          <w:szCs w:val="22"/>
          <w:vertAlign w:val="superscript"/>
        </w:rPr>
        <w:footnoteReference w:id="26"/>
      </w:r>
      <w:r>
        <w:rPr>
          <w:color w:val="1F1F1F"/>
          <w:sz w:val="22"/>
          <w:szCs w:val="22"/>
        </w:rPr>
        <w:t xml:space="preserve"> (the so-called </w:t>
      </w:r>
      <w:r>
        <w:rPr>
          <w:i/>
          <w:iCs/>
          <w:color w:val="1F1F1F"/>
          <w:sz w:val="22"/>
          <w:szCs w:val="22"/>
        </w:rPr>
        <w:t>“</w:t>
      </w:r>
      <w:r>
        <w:rPr>
          <w:color w:val="1F1F1F"/>
          <w:sz w:val="22"/>
          <w:szCs w:val="22"/>
        </w:rPr>
        <w:t>Security Decree</w:t>
      </w:r>
      <w:proofErr w:type="gramStart"/>
      <w:r>
        <w:rPr>
          <w:color w:val="1F1F1F"/>
          <w:sz w:val="22"/>
          <w:szCs w:val="22"/>
        </w:rPr>
        <w:t>”)  has</w:t>
      </w:r>
      <w:proofErr w:type="gramEnd"/>
      <w:r>
        <w:rPr>
          <w:color w:val="1F1F1F"/>
          <w:sz w:val="22"/>
          <w:szCs w:val="22"/>
        </w:rPr>
        <w:t xml:space="preserve"> also brought about significant changes with regard to the relationship</w:t>
      </w:r>
      <w:r>
        <w:rPr>
          <w:sz w:val="22"/>
          <w:szCs w:val="22"/>
        </w:rPr>
        <w:t xml:space="preserve"> between the protection of maternity and public safety, mark</w:t>
      </w:r>
      <w:r>
        <w:rPr>
          <w:sz w:val="22"/>
          <w:szCs w:val="22"/>
        </w:rPr>
        <w:t>ing a regression in legal sensitivity toward the rights of incarcerated mothers and their minor children. The new provision is conceived, and publicly framed, as an 'anti-Roma' measure, rooted in the prejudice that Roma women are universally engaged in the</w:t>
      </w:r>
      <w:r>
        <w:rPr>
          <w:sz w:val="22"/>
          <w:szCs w:val="22"/>
        </w:rPr>
        <w:t xml:space="preserve">ft and choose motherhood specifically to evade imprisonment. Namely Decree-Law 48/2025 (Art. 15) repealed the mandatory stay of execution of the sentence, which was previously provided for pregnant women and mothers of children up to one year of age under </w:t>
      </w:r>
      <w:r>
        <w:rPr>
          <w:sz w:val="22"/>
          <w:szCs w:val="22"/>
        </w:rPr>
        <w:t>Art. 146, para. 1, nos. 1 and 2 of the Criminal Code. In its place, it introduced a discretionary stay—subject to the judge’s decision—effectively aligning this category with the rules already applicable to mothers of children between the ages of 1 and 3 (</w:t>
      </w:r>
      <w:r>
        <w:rPr>
          <w:sz w:val="22"/>
          <w:szCs w:val="22"/>
        </w:rPr>
        <w:t>new nos. 3 and 3-bis of Art. 147).</w:t>
      </w:r>
    </w:p>
    <w:p w:rsidR="00300835" w:rsidRDefault="00AA3C37">
      <w:pPr>
        <w:widowControl w:val="0"/>
        <w:jc w:val="both"/>
        <w:rPr>
          <w:sz w:val="22"/>
          <w:szCs w:val="22"/>
        </w:rPr>
      </w:pPr>
      <w:r>
        <w:rPr>
          <w:sz w:val="22"/>
          <w:szCs w:val="22"/>
        </w:rPr>
        <w:t>Another provision of Decree-Law 48/2025 mandates the exclusive use of ICAMs</w:t>
      </w:r>
      <w:r>
        <w:rPr>
          <w:sz w:val="22"/>
          <w:szCs w:val="22"/>
          <w:vertAlign w:val="superscript"/>
        </w:rPr>
        <w:footnoteReference w:id="27"/>
      </w:r>
      <w:r>
        <w:rPr>
          <w:sz w:val="22"/>
          <w:szCs w:val="22"/>
        </w:rPr>
        <w:t xml:space="preserve"> as the place for executing pretrial detention, even for female defendants who are pregnant or mothers of children under the age of one (Art. 285</w:t>
      </w:r>
      <w:r>
        <w:rPr>
          <w:sz w:val="22"/>
          <w:szCs w:val="22"/>
        </w:rPr>
        <w:t>-bis, para. 1 of the Code of Criminal Procedure).</w:t>
      </w:r>
    </w:p>
    <w:p w:rsidR="00300835" w:rsidRDefault="00AA3C37">
      <w:pPr>
        <w:jc w:val="both"/>
        <w:rPr>
          <w:b/>
          <w:bCs/>
          <w:color w:val="666666"/>
          <w:sz w:val="23"/>
          <w:szCs w:val="23"/>
        </w:rPr>
      </w:pPr>
      <w:r>
        <w:rPr>
          <w:sz w:val="22"/>
          <w:szCs w:val="22"/>
        </w:rPr>
        <w:t>In 2024, there were 12 incarcerated mothers with children in tow. Immediately following the entry into force of the “Security Decree”, the figures began to increase significantly. As of June 30, 2025, there were 17 incarcerated mothers and As of January 31</w:t>
      </w:r>
      <w:r>
        <w:rPr>
          <w:sz w:val="22"/>
          <w:szCs w:val="22"/>
        </w:rPr>
        <w:t>, 2026, the number of incarcerated mothers has risen to 27, more than double the figure recorded prior to the amendments introduced by the “Security Decree”</w:t>
      </w:r>
      <w:r>
        <w:rPr>
          <w:sz w:val="22"/>
          <w:szCs w:val="22"/>
          <w:vertAlign w:val="superscript"/>
        </w:rPr>
        <w:footnoteReference w:id="28"/>
      </w:r>
      <w:r>
        <w:rPr>
          <w:sz w:val="22"/>
          <w:szCs w:val="22"/>
        </w:rPr>
        <w:t>.</w:t>
      </w:r>
    </w:p>
    <w:p w:rsidR="00300835" w:rsidRDefault="00300835">
      <w:pPr>
        <w:jc w:val="both"/>
        <w:rPr>
          <w:b/>
          <w:bCs/>
          <w:color w:val="666666"/>
          <w:sz w:val="23"/>
          <w:szCs w:val="23"/>
        </w:rPr>
      </w:pPr>
    </w:p>
    <w:p w:rsidR="00300835" w:rsidRDefault="00AA3C37">
      <w:pPr>
        <w:jc w:val="both"/>
        <w:rPr>
          <w:b/>
          <w:bCs/>
          <w:color w:val="222222"/>
          <w:sz w:val="22"/>
          <w:szCs w:val="22"/>
        </w:rPr>
      </w:pPr>
      <w:r>
        <w:rPr>
          <w:b/>
          <w:bCs/>
          <w:color w:val="222222"/>
          <w:sz w:val="22"/>
          <w:szCs w:val="22"/>
        </w:rPr>
        <w:t>LGBTQIA+ people</w:t>
      </w:r>
    </w:p>
    <w:p w:rsidR="00300835" w:rsidRDefault="00AA3C37">
      <w:pPr>
        <w:jc w:val="both"/>
        <w:rPr>
          <w:color w:val="222222"/>
          <w:sz w:val="22"/>
          <w:szCs w:val="22"/>
        </w:rPr>
      </w:pPr>
      <w:r>
        <w:rPr>
          <w:color w:val="222222"/>
          <w:sz w:val="22"/>
          <w:szCs w:val="22"/>
        </w:rPr>
        <w:t>In quantitative terms, there is no public data either on the numbers of people i</w:t>
      </w:r>
      <w:r>
        <w:rPr>
          <w:color w:val="222222"/>
          <w:sz w:val="22"/>
          <w:szCs w:val="22"/>
        </w:rPr>
        <w:t>n prison who claim to be members of the LGBTIQ community or on the places where these people are detained. In the section specifically dedicated to statistics of the Ministry of Justice, there is no reference to the subject. The latest data available are t</w:t>
      </w:r>
      <w:r>
        <w:rPr>
          <w:color w:val="222222"/>
          <w:sz w:val="22"/>
          <w:szCs w:val="22"/>
        </w:rPr>
        <w:t xml:space="preserve">he result of an elaboration by the National Guarantor of the Rights of Persons Deprived of Liberty, dating back to 4 October 2023.  According to them, as of October 2023 there were 66 incarcerated men who had formally declared their </w:t>
      </w:r>
      <w:r>
        <w:rPr>
          <w:color w:val="222222"/>
          <w:sz w:val="22"/>
          <w:szCs w:val="22"/>
        </w:rPr>
        <w:lastRenderedPageBreak/>
        <w:t>homosexuality. Of these</w:t>
      </w:r>
      <w:r>
        <w:rPr>
          <w:color w:val="222222"/>
          <w:sz w:val="22"/>
          <w:szCs w:val="22"/>
        </w:rPr>
        <w:t>, half were held in one of the “protected homosexual” sections in Foggia, Poggioreale, and Verbania prisons. The other half were instead in “protected promiscuous” sections</w:t>
      </w:r>
      <w:r>
        <w:rPr>
          <w:color w:val="222222"/>
          <w:sz w:val="22"/>
          <w:szCs w:val="22"/>
          <w:vertAlign w:val="superscript"/>
        </w:rPr>
        <w:footnoteReference w:id="29"/>
      </w:r>
      <w:r>
        <w:rPr>
          <w:color w:val="222222"/>
          <w:sz w:val="22"/>
          <w:szCs w:val="22"/>
        </w:rPr>
        <w:t xml:space="preserve"> scattered in different prisons around the country. This is probably due to the fac</w:t>
      </w:r>
      <w:r>
        <w:rPr>
          <w:color w:val="222222"/>
          <w:sz w:val="22"/>
          <w:szCs w:val="22"/>
        </w:rPr>
        <w:t xml:space="preserve">t that, as there are only 3 homosexual sections throughout Italy, there is limited availability of places and assignment at these sections may result in the detainee being transferred to prisons far away from their area. </w:t>
      </w:r>
    </w:p>
    <w:p w:rsidR="00300835" w:rsidRDefault="00AA3C37">
      <w:pPr>
        <w:jc w:val="both"/>
        <w:rPr>
          <w:color w:val="222222"/>
          <w:sz w:val="22"/>
          <w:szCs w:val="22"/>
        </w:rPr>
      </w:pPr>
      <w:r>
        <w:rPr>
          <w:color w:val="222222"/>
          <w:sz w:val="22"/>
          <w:szCs w:val="22"/>
        </w:rPr>
        <w:t>The situation is different for tra</w:t>
      </w:r>
      <w:r>
        <w:rPr>
          <w:color w:val="222222"/>
          <w:sz w:val="22"/>
          <w:szCs w:val="22"/>
        </w:rPr>
        <w:t>ns women, almost all of whom are held in homogeneous sect</w:t>
      </w:r>
      <w:r>
        <w:rPr>
          <w:sz w:val="22"/>
          <w:szCs w:val="22"/>
        </w:rPr>
        <w:t>ions for trans women. Of the 70 detainees present as of October 2023, 64 were within the six sections exclusively reserved for trans women (in Rebibbia NC, Naples Secondigliano, Como, Belluno, Reggio</w:t>
      </w:r>
      <w:r>
        <w:rPr>
          <w:sz w:val="22"/>
          <w:szCs w:val="22"/>
        </w:rPr>
        <w:t xml:space="preserve"> Emilia, and Ivrea prisons). The remainder were held in different prisons where there was no ad hoc section.  No </w:t>
      </w:r>
      <w:r>
        <w:rPr>
          <w:color w:val="222222"/>
          <w:sz w:val="22"/>
          <w:szCs w:val="22"/>
        </w:rPr>
        <w:t xml:space="preserve">data is available for lesbian women, and non-binary people, submerged within a system radically structured </w:t>
      </w:r>
      <w:proofErr w:type="gramStart"/>
      <w:r>
        <w:rPr>
          <w:color w:val="222222"/>
          <w:sz w:val="22"/>
          <w:szCs w:val="22"/>
        </w:rPr>
        <w:t>on  gender</w:t>
      </w:r>
      <w:proofErr w:type="gramEnd"/>
      <w:r>
        <w:rPr>
          <w:color w:val="222222"/>
          <w:sz w:val="22"/>
          <w:szCs w:val="22"/>
        </w:rPr>
        <w:t xml:space="preserve"> binarism. </w:t>
      </w:r>
    </w:p>
    <w:p w:rsidR="00300835" w:rsidRDefault="00AA3C37">
      <w:pPr>
        <w:jc w:val="both"/>
        <w:rPr>
          <w:color w:val="222222"/>
          <w:sz w:val="22"/>
          <w:szCs w:val="22"/>
        </w:rPr>
      </w:pPr>
      <w:r>
        <w:rPr>
          <w:color w:val="222222"/>
          <w:sz w:val="22"/>
          <w:szCs w:val="22"/>
        </w:rPr>
        <w:t>Antigone's mon</w:t>
      </w:r>
      <w:r>
        <w:rPr>
          <w:color w:val="222222"/>
          <w:sz w:val="22"/>
          <w:szCs w:val="22"/>
        </w:rPr>
        <w:t>itoring and research activities have revealed a general reduction in opportunities for this prison population, which is often the result of isolation in contexts where LGBTQIA+ individuals, who do not fit into the rigid binary system, are placed inside pri</w:t>
      </w:r>
      <w:r>
        <w:rPr>
          <w:color w:val="222222"/>
          <w:sz w:val="22"/>
          <w:szCs w:val="22"/>
        </w:rPr>
        <w:t>son</w:t>
      </w:r>
      <w:r>
        <w:rPr>
          <w:color w:val="222222"/>
          <w:sz w:val="22"/>
          <w:szCs w:val="22"/>
          <w:vertAlign w:val="superscript"/>
        </w:rPr>
        <w:footnoteReference w:id="30"/>
      </w:r>
      <w:r>
        <w:rPr>
          <w:color w:val="222222"/>
          <w:sz w:val="22"/>
          <w:szCs w:val="22"/>
        </w:rPr>
        <w:t>.</w:t>
      </w:r>
    </w:p>
    <w:p w:rsidR="00300835" w:rsidRDefault="00300835">
      <w:pPr>
        <w:jc w:val="both"/>
        <w:rPr>
          <w:color w:val="222222"/>
          <w:sz w:val="22"/>
          <w:szCs w:val="22"/>
        </w:rPr>
      </w:pPr>
    </w:p>
    <w:p w:rsidR="00300835" w:rsidRDefault="00AA3C37">
      <w:pPr>
        <w:jc w:val="both"/>
        <w:rPr>
          <w:b/>
          <w:bCs/>
          <w:color w:val="222222"/>
          <w:sz w:val="22"/>
          <w:szCs w:val="22"/>
        </w:rPr>
      </w:pPr>
      <w:r>
        <w:rPr>
          <w:b/>
          <w:bCs/>
          <w:color w:val="222222"/>
          <w:sz w:val="22"/>
          <w:szCs w:val="22"/>
        </w:rPr>
        <w:t>Art. 41 bis, paragraph N. 2, of the Prison Law</w:t>
      </w:r>
    </w:p>
    <w:p w:rsidR="00300835" w:rsidRDefault="00AA3C37">
      <w:pPr>
        <w:jc w:val="both"/>
        <w:rPr>
          <w:sz w:val="22"/>
          <w:szCs w:val="22"/>
        </w:rPr>
      </w:pPr>
      <w:r>
        <w:rPr>
          <w:sz w:val="22"/>
          <w:szCs w:val="22"/>
        </w:rPr>
        <w:t>Special regime 41-bis of the Prison Law was introduced in 1992 (and modified in 2003 and 2009) to avoid major offenders linked to organized crime groups, especially mafia and terrorist groups, from bein</w:t>
      </w:r>
      <w:r>
        <w:rPr>
          <w:sz w:val="22"/>
          <w:szCs w:val="22"/>
        </w:rPr>
        <w:t>g able to control criminal activities from inside penal institutions and to isolate them from the rest of the criminal organization. The measure applies both to prisoners with a final sentence and to detainees with pending trials for crimes related to orga</w:t>
      </w:r>
      <w:r>
        <w:rPr>
          <w:sz w:val="22"/>
          <w:szCs w:val="22"/>
        </w:rPr>
        <w:t>nized crime activities (e.g. mafia), terrorism or subversion of the democratic order. The regime can be authorized by the Minister of Justice for an initial term of 4 years that can be extended every 2 years if there are still elements that indicate that t</w:t>
      </w:r>
      <w:r>
        <w:rPr>
          <w:sz w:val="22"/>
          <w:szCs w:val="22"/>
        </w:rPr>
        <w:t xml:space="preserve">he inmate could maintain contacts with the criminal organization. This often results in an automatic renewal </w:t>
      </w:r>
      <w:proofErr w:type="gramStart"/>
      <w:r>
        <w:rPr>
          <w:sz w:val="22"/>
          <w:szCs w:val="22"/>
        </w:rPr>
        <w:t>as  when</w:t>
      </w:r>
      <w:proofErr w:type="gramEnd"/>
      <w:r>
        <w:rPr>
          <w:sz w:val="22"/>
          <w:szCs w:val="22"/>
        </w:rPr>
        <w:t xml:space="preserve"> no elements are found, it is presumed that the ties still exist.</w:t>
      </w:r>
    </w:p>
    <w:p w:rsidR="00300835" w:rsidRDefault="00AA3C37">
      <w:pPr>
        <w:jc w:val="both"/>
        <w:rPr>
          <w:sz w:val="22"/>
          <w:szCs w:val="22"/>
        </w:rPr>
      </w:pPr>
      <w:r>
        <w:rPr>
          <w:sz w:val="22"/>
          <w:szCs w:val="22"/>
        </w:rPr>
        <w:t>Measures entail 22 hours per day of solitary confinement with the remaini</w:t>
      </w:r>
      <w:r>
        <w:rPr>
          <w:sz w:val="22"/>
          <w:szCs w:val="22"/>
        </w:rPr>
        <w:t>ng 2 hours spent either outside or in common rooms in small “sociality groups” (3 to 4 detainees undergoing the same regime chosen by the Penitentiary Administration); restriction on family visits, which are limited to 4 visits per month and can be replace</w:t>
      </w:r>
      <w:r>
        <w:rPr>
          <w:sz w:val="22"/>
          <w:szCs w:val="22"/>
        </w:rPr>
        <w:t>d with a 10-minute phone call per month. Family visits take place through a glass partition, but children under the age of 12 can cross the glass partition and spend the visit on the side of the detainee. Moreover, correspondence is not confidential and ce</w:t>
      </w:r>
      <w:r>
        <w:rPr>
          <w:sz w:val="22"/>
          <w:szCs w:val="22"/>
        </w:rPr>
        <w:t>nsored. Meetings and correspondence with the lawyer are not subjected to any limitation. The measures listed in Article 41-bis are not exhaustive and the penitentiary administration can decide to impose further restrictions.</w:t>
      </w:r>
    </w:p>
    <w:p w:rsidR="00300835" w:rsidRDefault="00AA3C37">
      <w:pPr>
        <w:jc w:val="both"/>
        <w:rPr>
          <w:sz w:val="22"/>
          <w:szCs w:val="22"/>
        </w:rPr>
      </w:pPr>
      <w:r>
        <w:rPr>
          <w:sz w:val="22"/>
          <w:szCs w:val="22"/>
        </w:rPr>
        <w:t>One of the issues of serious co</w:t>
      </w:r>
      <w:r>
        <w:rPr>
          <w:sz w:val="22"/>
          <w:szCs w:val="22"/>
        </w:rPr>
        <w:t xml:space="preserve">ncern relates to the many restrictive measures (such as limitations on the number of books or pictures that detainees can keep inside their cells) which ratio seems to be purely repressive. Also, material conditions are not always in compliance with the </w:t>
      </w:r>
      <w:r>
        <w:rPr>
          <w:sz w:val="22"/>
          <w:szCs w:val="22"/>
        </w:rPr>
        <w:lastRenderedPageBreak/>
        <w:t>st</w:t>
      </w:r>
      <w:r>
        <w:rPr>
          <w:sz w:val="22"/>
          <w:szCs w:val="22"/>
        </w:rPr>
        <w:t>andards (e.g. windows are often covered with several layers of nets and bars that hinder the passage of air and light), detainees have access to very small outdoors areas, which are also closed by a net covering the sky and lacking any equipment.</w:t>
      </w:r>
    </w:p>
    <w:p w:rsidR="00300835" w:rsidRDefault="00AA3C37">
      <w:pPr>
        <w:jc w:val="both"/>
        <w:rPr>
          <w:sz w:val="22"/>
          <w:szCs w:val="22"/>
        </w:rPr>
      </w:pPr>
      <w:r>
        <w:rPr>
          <w:sz w:val="22"/>
          <w:szCs w:val="22"/>
        </w:rPr>
        <w:t>Another i</w:t>
      </w:r>
      <w:r>
        <w:rPr>
          <w:sz w:val="22"/>
          <w:szCs w:val="22"/>
        </w:rPr>
        <w:t>ssue of great concern there is the fact that detainees undergoing the 41-bis regime can be held in so-called “aree riservate” (reserved areas), particular areas inside maximum-security sections, where the conditions are even stricter than under the special</w:t>
      </w:r>
      <w:r>
        <w:rPr>
          <w:sz w:val="22"/>
          <w:szCs w:val="22"/>
        </w:rPr>
        <w:t xml:space="preserve"> regime. In particular, “reserved areas” accommodate only 2 people of the same “sociality group”, which means that in the case of a possible disciplinary measure of solitary confinement on one of the two, the isolation of the other is inevitably determined</w:t>
      </w:r>
      <w:r>
        <w:rPr>
          <w:sz w:val="22"/>
          <w:szCs w:val="22"/>
        </w:rPr>
        <w:t>.</w:t>
      </w:r>
    </w:p>
    <w:p w:rsidR="00300835" w:rsidRDefault="00AA3C37">
      <w:pPr>
        <w:jc w:val="both"/>
        <w:rPr>
          <w:sz w:val="22"/>
          <w:szCs w:val="22"/>
        </w:rPr>
      </w:pPr>
      <w:r>
        <w:rPr>
          <w:sz w:val="22"/>
          <w:szCs w:val="22"/>
        </w:rPr>
        <w:t>According to the Annual Report on the Administration of Justice, as of 7 November 2025, a total of 726 prisoners were detained under the 41-bis regime (of whom 10 women)</w:t>
      </w:r>
      <w:r>
        <w:rPr>
          <w:sz w:val="22"/>
          <w:szCs w:val="22"/>
          <w:vertAlign w:val="superscript"/>
        </w:rPr>
        <w:footnoteReference w:id="31"/>
      </w:r>
      <w:r>
        <w:rPr>
          <w:sz w:val="22"/>
          <w:szCs w:val="22"/>
        </w:rPr>
        <w:t xml:space="preserve">. </w:t>
      </w:r>
    </w:p>
    <w:p w:rsidR="00300835" w:rsidRDefault="00AA3C37">
      <w:pPr>
        <w:jc w:val="both"/>
        <w:rPr>
          <w:sz w:val="22"/>
          <w:szCs w:val="22"/>
        </w:rPr>
      </w:pPr>
      <w:r>
        <w:rPr>
          <w:sz w:val="22"/>
          <w:szCs w:val="22"/>
        </w:rPr>
        <w:t>With the so-called “Prison Decree” (Decree Law No. 92/2024), the current governme</w:t>
      </w:r>
      <w:r>
        <w:rPr>
          <w:sz w:val="22"/>
          <w:szCs w:val="22"/>
        </w:rPr>
        <w:t>nt has imposed the exclusion of prisoners subject to the 41-bis regime from access to restorative justice programs, thus breaking the principle of their universal availability.</w:t>
      </w:r>
    </w:p>
    <w:p w:rsidR="00300835" w:rsidRDefault="00AA3C37">
      <w:pPr>
        <w:jc w:val="both"/>
        <w:rPr>
          <w:sz w:val="22"/>
          <w:szCs w:val="22"/>
        </w:rPr>
      </w:pPr>
      <w:r>
        <w:rPr>
          <w:sz w:val="22"/>
          <w:szCs w:val="22"/>
        </w:rPr>
        <w:t>With regard to the government's position on prisoners subject to 41-bis, it sho</w:t>
      </w:r>
      <w:r>
        <w:rPr>
          <w:sz w:val="22"/>
          <w:szCs w:val="22"/>
        </w:rPr>
        <w:t>uld be noted that on 14 November 2024, the Undersecretary for Justice Andrea Delmastro, at an event to present the new cars used by the prison police to transport prisoners subject to the 41-bis regime of the Prison Law or placed in the high-security circu</w:t>
      </w:r>
      <w:r>
        <w:rPr>
          <w:sz w:val="22"/>
          <w:szCs w:val="22"/>
        </w:rPr>
        <w:t>it, publicly stated: “It is a great joy for me to see this powerful vehicle parading around, with the Mobile Operational Group of the prison police on it, and to let the citizens know how we know how to deal with and pursue those behind that glass and do n</w:t>
      </w:r>
      <w:r>
        <w:rPr>
          <w:sz w:val="22"/>
          <w:szCs w:val="22"/>
        </w:rPr>
        <w:t>ot let them breathe”</w:t>
      </w:r>
      <w:r>
        <w:rPr>
          <w:sz w:val="22"/>
          <w:szCs w:val="22"/>
          <w:vertAlign w:val="superscript"/>
        </w:rPr>
        <w:footnoteReference w:id="32"/>
      </w:r>
      <w:r>
        <w:rPr>
          <w:sz w:val="22"/>
          <w:szCs w:val="22"/>
        </w:rPr>
        <w:t>. This is a statement that shows disregard for the rights of detainees and the meaning of punishment.</w:t>
      </w:r>
    </w:p>
    <w:p w:rsidR="00300835" w:rsidRDefault="00AA3C37">
      <w:pPr>
        <w:jc w:val="both"/>
        <w:rPr>
          <w:color w:val="222222"/>
          <w:sz w:val="22"/>
          <w:szCs w:val="22"/>
        </w:rPr>
      </w:pPr>
      <w:r>
        <w:rPr>
          <w:sz w:val="22"/>
          <w:szCs w:val="22"/>
        </w:rPr>
        <w:t xml:space="preserve">Finally, there is recent news of the government's intention to concentrate prisoners subject to 41 bis regime in only 7 dedicated prison institutions, 3 of which would be located in Sardinia (Bancali, Badu, Carros, and Uta prisons). The government aims to </w:t>
      </w:r>
      <w:r>
        <w:rPr>
          <w:sz w:val="22"/>
          <w:szCs w:val="22"/>
        </w:rPr>
        <w:t>exacerbate the geographical isolation of prisoners under 41 bis - reviving the idea of prison islands - thus imposing further restrictions on the rights of these prisoners</w:t>
      </w:r>
      <w:r>
        <w:rPr>
          <w:sz w:val="22"/>
          <w:szCs w:val="22"/>
          <w:vertAlign w:val="superscript"/>
        </w:rPr>
        <w:footnoteReference w:id="33"/>
      </w:r>
      <w:r>
        <w:rPr>
          <w:sz w:val="22"/>
          <w:szCs w:val="22"/>
        </w:rPr>
        <w:t xml:space="preserve">. </w:t>
      </w:r>
    </w:p>
    <w:p w:rsidR="00300835" w:rsidRDefault="00300835">
      <w:pPr>
        <w:jc w:val="both"/>
        <w:rPr>
          <w:b/>
          <w:bCs/>
          <w:color w:val="222222"/>
          <w:sz w:val="22"/>
          <w:szCs w:val="22"/>
        </w:rPr>
      </w:pPr>
    </w:p>
    <w:p w:rsidR="00300835" w:rsidRDefault="00AA3C37">
      <w:pPr>
        <w:jc w:val="both"/>
        <w:rPr>
          <w:b/>
          <w:bCs/>
          <w:color w:val="222222"/>
          <w:sz w:val="22"/>
          <w:szCs w:val="22"/>
        </w:rPr>
      </w:pPr>
      <w:r>
        <w:rPr>
          <w:b/>
          <w:bCs/>
          <w:color w:val="222222"/>
          <w:sz w:val="22"/>
          <w:szCs w:val="22"/>
        </w:rPr>
        <w:t xml:space="preserve">Solitary confinement </w:t>
      </w:r>
    </w:p>
    <w:p w:rsidR="00300835" w:rsidRDefault="00AA3C37">
      <w:pPr>
        <w:widowControl w:val="0"/>
        <w:jc w:val="both"/>
        <w:rPr>
          <w:sz w:val="22"/>
          <w:szCs w:val="22"/>
        </w:rPr>
      </w:pPr>
      <w:r>
        <w:rPr>
          <w:sz w:val="22"/>
          <w:szCs w:val="22"/>
        </w:rPr>
        <w:t>The most common and widespread form of solitary confinemen</w:t>
      </w:r>
      <w:r>
        <w:rPr>
          <w:sz w:val="22"/>
          <w:szCs w:val="22"/>
        </w:rPr>
        <w:t>t consists of the disciplinary sanction, also known as “exclusion from common activities.” As provided by Article 39 of the Prison Law</w:t>
      </w:r>
      <w:r>
        <w:rPr>
          <w:sz w:val="22"/>
          <w:szCs w:val="22"/>
          <w:vertAlign w:val="superscript"/>
        </w:rPr>
        <w:footnoteReference w:id="34"/>
      </w:r>
      <w:r>
        <w:rPr>
          <w:sz w:val="22"/>
          <w:szCs w:val="22"/>
        </w:rPr>
        <w:t xml:space="preserve"> disciplinary solitary confinement cannot last for more than 15 days and cannot be carried out without a written certific</w:t>
      </w:r>
      <w:r>
        <w:rPr>
          <w:sz w:val="22"/>
          <w:szCs w:val="22"/>
        </w:rPr>
        <w:t>ation issued by a medical doctor confirming that the detained person is able to endure it. The doctor is then required to monitor the health condition of the person subjected to the isolation sanction for the entire duration of the measure. In cases of ext</w:t>
      </w:r>
      <w:r>
        <w:rPr>
          <w:sz w:val="22"/>
          <w:szCs w:val="22"/>
        </w:rPr>
        <w:t xml:space="preserve">reme urgency, the disciplinary sanction of solitary confinement may be imposed on a </w:t>
      </w:r>
      <w:r>
        <w:rPr>
          <w:sz w:val="22"/>
          <w:szCs w:val="22"/>
        </w:rPr>
        <w:lastRenderedPageBreak/>
        <w:t>precautionary basis, pursuant to Article 78 of the Implementing Regulations directly by the Director of the prison, without waiting for the decision of the disciplinary cou</w:t>
      </w:r>
      <w:r>
        <w:rPr>
          <w:sz w:val="22"/>
          <w:szCs w:val="22"/>
        </w:rPr>
        <w:t>ncil.</w:t>
      </w:r>
    </w:p>
    <w:p w:rsidR="00300835" w:rsidRDefault="00AA3C37">
      <w:pPr>
        <w:widowControl w:val="0"/>
        <w:jc w:val="both"/>
        <w:rPr>
          <w:sz w:val="22"/>
          <w:szCs w:val="22"/>
        </w:rPr>
      </w:pPr>
      <w:r>
        <w:rPr>
          <w:sz w:val="22"/>
          <w:szCs w:val="22"/>
        </w:rPr>
        <w:t>According to Article 73(8) of the Implementing Regulation, solitary confinement sections or units may not be used “for cases other than those provided for by law,” namely for health, judicial, or disciplinary reasons (pursuant to Article 33 of the Pr</w:t>
      </w:r>
      <w:r>
        <w:rPr>
          <w:sz w:val="22"/>
          <w:szCs w:val="22"/>
        </w:rPr>
        <w:t>ison Law</w:t>
      </w:r>
      <w:r>
        <w:rPr>
          <w:sz w:val="22"/>
          <w:szCs w:val="22"/>
          <w:vertAlign w:val="superscript"/>
        </w:rPr>
        <w:footnoteReference w:id="35"/>
      </w:r>
      <w:r>
        <w:rPr>
          <w:sz w:val="22"/>
          <w:szCs w:val="22"/>
        </w:rPr>
        <w:t>). However, due to the increasing overcrowding of prisons, it has become common for solitary confinement units to be used to house common prisoners, simply in order to cope with the lack of available places within the institution. Even more freque</w:t>
      </w:r>
      <w:r>
        <w:rPr>
          <w:sz w:val="22"/>
          <w:szCs w:val="22"/>
        </w:rPr>
        <w:t>ntly, prisoners are placed in solitary confinement units even in the absence of a formal solitary confinement order under Article 33 of the Prison Law, when they are labelled by the prison administration as problematic inmates for various reasons and are t</w:t>
      </w:r>
      <w:r>
        <w:rPr>
          <w:sz w:val="22"/>
          <w:szCs w:val="22"/>
        </w:rPr>
        <w:t>herefore transferred to isolation sections.</w:t>
      </w:r>
    </w:p>
    <w:p w:rsidR="00300835" w:rsidRDefault="00AA3C37">
      <w:pPr>
        <w:widowControl w:val="0"/>
        <w:jc w:val="both"/>
        <w:rPr>
          <w:sz w:val="22"/>
          <w:szCs w:val="22"/>
        </w:rPr>
      </w:pPr>
      <w:r>
        <w:rPr>
          <w:sz w:val="22"/>
          <w:szCs w:val="22"/>
        </w:rPr>
        <w:t>Furthermore, it should be pointed out that sections dedicated to solitary confinement - precisely because they are separated from the rest of the prison and are formally intended to house prisoners who have recei</w:t>
      </w:r>
      <w:r>
        <w:rPr>
          <w:sz w:val="22"/>
          <w:szCs w:val="22"/>
        </w:rPr>
        <w:t>ved a disciplinary sanction or who are considered a threat to internal order- tend to be in poor conditions.</w:t>
      </w:r>
    </w:p>
    <w:p w:rsidR="00300835" w:rsidRDefault="00AA3C37">
      <w:pPr>
        <w:widowControl w:val="0"/>
        <w:jc w:val="both"/>
        <w:rPr>
          <w:sz w:val="22"/>
          <w:szCs w:val="22"/>
        </w:rPr>
      </w:pPr>
      <w:r>
        <w:rPr>
          <w:sz w:val="22"/>
          <w:szCs w:val="22"/>
        </w:rPr>
        <w:t>According to data collected by the Antigone’s Observatory on Detention Conditions, the average number of solitary confinement measures issued per 1</w:t>
      </w:r>
      <w:r>
        <w:rPr>
          <w:sz w:val="22"/>
          <w:szCs w:val="22"/>
        </w:rPr>
        <w:t>00 prisoners in 2024 was 22.84. The figure recorded in 2024 but referring to 2023 was 20.52. The figure recorded in 2023 but referri</w:t>
      </w:r>
      <w:r>
        <w:rPr>
          <w:sz w:val="22"/>
          <w:szCs w:val="22"/>
        </w:rPr>
        <w:t>ng to 2022 was 20.9, almost double the figure recorded in 2022 but referring to 2021, which was 11.8</w:t>
      </w:r>
      <w:r>
        <w:rPr>
          <w:sz w:val="22"/>
          <w:szCs w:val="22"/>
          <w:vertAlign w:val="superscript"/>
        </w:rPr>
        <w:footnoteReference w:id="36"/>
      </w:r>
      <w:r>
        <w:rPr>
          <w:sz w:val="22"/>
          <w:szCs w:val="22"/>
        </w:rPr>
        <w:t>.</w:t>
      </w:r>
    </w:p>
    <w:p w:rsidR="00300835" w:rsidRDefault="00AA3C37">
      <w:pPr>
        <w:widowControl w:val="0"/>
        <w:jc w:val="both"/>
        <w:rPr>
          <w:sz w:val="22"/>
          <w:szCs w:val="22"/>
        </w:rPr>
      </w:pPr>
      <w:r>
        <w:rPr>
          <w:sz w:val="22"/>
          <w:szCs w:val="22"/>
        </w:rPr>
        <w:t>In light of this increasingly widespread use of solitary confinement and the well-known physical and psychological harm that this measure causes, Antigone and Physicians for Human Rights Israel have published guidelines to help overcome solitary confinemen</w:t>
      </w:r>
      <w:r>
        <w:rPr>
          <w:sz w:val="22"/>
          <w:szCs w:val="22"/>
        </w:rPr>
        <w:t>t globally which is titled: “International Guiding Statement on Alternatives to solitary confinement</w:t>
      </w:r>
      <w:r>
        <w:rPr>
          <w:sz w:val="22"/>
          <w:szCs w:val="22"/>
          <w:vertAlign w:val="superscript"/>
        </w:rPr>
        <w:footnoteReference w:id="37"/>
      </w:r>
      <w:r>
        <w:rPr>
          <w:sz w:val="22"/>
          <w:szCs w:val="22"/>
        </w:rPr>
        <w:t>.</w:t>
      </w:r>
    </w:p>
    <w:p w:rsidR="00300835" w:rsidRDefault="00300835">
      <w:pPr>
        <w:widowControl w:val="0"/>
        <w:jc w:val="both"/>
        <w:rPr>
          <w:sz w:val="22"/>
          <w:szCs w:val="22"/>
        </w:rPr>
      </w:pPr>
    </w:p>
    <w:p w:rsidR="00300835" w:rsidRDefault="00AA3C37">
      <w:pPr>
        <w:widowControl w:val="0"/>
        <w:jc w:val="both"/>
        <w:rPr>
          <w:b/>
          <w:bCs/>
          <w:sz w:val="22"/>
          <w:szCs w:val="22"/>
        </w:rPr>
      </w:pPr>
      <w:r>
        <w:rPr>
          <w:b/>
          <w:bCs/>
          <w:sz w:val="22"/>
          <w:szCs w:val="22"/>
        </w:rPr>
        <w:t>Solitary confinement of life-sentenced detainees</w:t>
      </w:r>
    </w:p>
    <w:p w:rsidR="00300835" w:rsidRDefault="00AA3C37">
      <w:pPr>
        <w:widowControl w:val="0"/>
        <w:jc w:val="both"/>
        <w:rPr>
          <w:sz w:val="22"/>
          <w:szCs w:val="22"/>
        </w:rPr>
      </w:pPr>
      <w:r>
        <w:rPr>
          <w:sz w:val="22"/>
          <w:szCs w:val="22"/>
        </w:rPr>
        <w:t>Solitary confinement of life-sentenced detainees (also called day-time solitary confinement) is a penal</w:t>
      </w:r>
      <w:r>
        <w:rPr>
          <w:sz w:val="22"/>
          <w:szCs w:val="22"/>
        </w:rPr>
        <w:t xml:space="preserve"> sanction prescribed by Article 72 of the Criminal Code</w:t>
      </w:r>
      <w:r>
        <w:rPr>
          <w:sz w:val="22"/>
          <w:szCs w:val="22"/>
          <w:vertAlign w:val="superscript"/>
        </w:rPr>
        <w:footnoteReference w:id="38"/>
      </w:r>
      <w:r>
        <w:rPr>
          <w:sz w:val="22"/>
          <w:szCs w:val="22"/>
        </w:rPr>
        <w:t>. It is inflicted in the case of the imposition of more than one life sentence or in the case of a combination of a life sentence and one or more other penal sanctions. In the first case the time span</w:t>
      </w:r>
      <w:r>
        <w:rPr>
          <w:sz w:val="22"/>
          <w:szCs w:val="22"/>
        </w:rPr>
        <w:t xml:space="preserve"> of solitary confinement that the judge can apply varies between six months and three years, while in the second case the time span is between two and eighteen months. The detainee has one hour of outdoor exercise on his/her own and should be allowed to pa</w:t>
      </w:r>
      <w:r>
        <w:rPr>
          <w:sz w:val="22"/>
          <w:szCs w:val="22"/>
        </w:rPr>
        <w:t>rticipate in communal life (e.g. work, educational etc.); however, since he would be allowed only if he had no contact with other detainees, the common interpretation of this type of isolation is the total exclusion of the inmate from all communal activiti</w:t>
      </w:r>
      <w:r>
        <w:rPr>
          <w:sz w:val="22"/>
          <w:szCs w:val="22"/>
        </w:rPr>
        <w:t>es. At times, this kind of isolation is applied even after years of imprisonment, when the inmate is already successfully following his treatment and re-socialization path, that has to be interrupted. In its latest report on Italy, the CPT observed that “t</w:t>
      </w:r>
      <w:r>
        <w:rPr>
          <w:sz w:val="22"/>
          <w:szCs w:val="22"/>
        </w:rPr>
        <w:t xml:space="preserve">he prolonged and punitive </w:t>
      </w:r>
      <w:r>
        <w:rPr>
          <w:sz w:val="22"/>
          <w:szCs w:val="22"/>
        </w:rPr>
        <w:lastRenderedPageBreak/>
        <w:t>measure of “isolamento diurno” observed by the delegation is, in the CPT’s view, an anachronistic measure which does not have any penological justification and should be abolished”</w:t>
      </w:r>
      <w:r>
        <w:rPr>
          <w:sz w:val="22"/>
          <w:szCs w:val="22"/>
          <w:vertAlign w:val="superscript"/>
        </w:rPr>
        <w:footnoteReference w:id="39"/>
      </w:r>
      <w:r>
        <w:rPr>
          <w:sz w:val="22"/>
          <w:szCs w:val="22"/>
        </w:rPr>
        <w:t>.</w:t>
      </w:r>
    </w:p>
    <w:p w:rsidR="00300835" w:rsidRDefault="00300835">
      <w:pPr>
        <w:jc w:val="both"/>
        <w:rPr>
          <w:b/>
          <w:bCs/>
          <w:color w:val="222222"/>
          <w:sz w:val="22"/>
          <w:szCs w:val="22"/>
        </w:rPr>
      </w:pPr>
    </w:p>
    <w:p w:rsidR="00300835" w:rsidRDefault="00AA3C37">
      <w:pPr>
        <w:jc w:val="both"/>
        <w:rPr>
          <w:color w:val="222222"/>
          <w:sz w:val="22"/>
          <w:szCs w:val="22"/>
        </w:rPr>
      </w:pPr>
      <w:r>
        <w:rPr>
          <w:b/>
          <w:bCs/>
          <w:color w:val="222222"/>
          <w:sz w:val="22"/>
          <w:szCs w:val="22"/>
        </w:rPr>
        <w:t>Closed-custody sections</w:t>
      </w:r>
    </w:p>
    <w:p w:rsidR="00300835" w:rsidRDefault="00AA3C37">
      <w:pPr>
        <w:widowControl w:val="0"/>
        <w:jc w:val="both"/>
        <w:rPr>
          <w:sz w:val="22"/>
          <w:szCs w:val="22"/>
        </w:rPr>
      </w:pPr>
      <w:r>
        <w:rPr>
          <w:sz w:val="22"/>
          <w:szCs w:val="22"/>
        </w:rPr>
        <w:t xml:space="preserve">Antigone's monitoring </w:t>
      </w:r>
      <w:r>
        <w:rPr>
          <w:sz w:val="22"/>
          <w:szCs w:val="22"/>
        </w:rPr>
        <w:t>activities reveal a progressive closure of the Italian prison system. Informal separation and isolation spaces are, in fact, multiplying. Within the sections of Article 32 of the Implementing Regulation</w:t>
      </w:r>
      <w:r>
        <w:rPr>
          <w:sz w:val="22"/>
          <w:szCs w:val="22"/>
          <w:vertAlign w:val="superscript"/>
        </w:rPr>
        <w:footnoteReference w:id="40"/>
      </w:r>
      <w:r>
        <w:rPr>
          <w:sz w:val="22"/>
          <w:szCs w:val="22"/>
        </w:rPr>
        <w:t>, the protected sections</w:t>
      </w:r>
      <w:r>
        <w:rPr>
          <w:sz w:val="22"/>
          <w:szCs w:val="22"/>
          <w:vertAlign w:val="superscript"/>
        </w:rPr>
        <w:footnoteReference w:id="41"/>
      </w:r>
      <w:r>
        <w:rPr>
          <w:sz w:val="22"/>
          <w:szCs w:val="22"/>
        </w:rPr>
        <w:t>, the sections dedicated to initial reception, the ATSM</w:t>
      </w:r>
      <w:r>
        <w:rPr>
          <w:sz w:val="22"/>
          <w:szCs w:val="22"/>
          <w:vertAlign w:val="superscript"/>
        </w:rPr>
        <w:footnoteReference w:id="42"/>
      </w:r>
      <w:r>
        <w:rPr>
          <w:sz w:val="22"/>
          <w:szCs w:val="22"/>
        </w:rPr>
        <w:t xml:space="preserve"> often have living conditions similar to those resulting from the imposition of a disciplinary sanction of solitary confinement. </w:t>
      </w:r>
    </w:p>
    <w:p w:rsidR="00300835" w:rsidRDefault="00AA3C37">
      <w:pPr>
        <w:widowControl w:val="0"/>
        <w:jc w:val="both"/>
        <w:rPr>
          <w:sz w:val="22"/>
          <w:szCs w:val="22"/>
        </w:rPr>
      </w:pPr>
      <w:r>
        <w:rPr>
          <w:sz w:val="22"/>
          <w:szCs w:val="22"/>
        </w:rPr>
        <w:t xml:space="preserve">Since the Torreggiani and Others v. Italy </w:t>
      </w:r>
      <w:proofErr w:type="gramStart"/>
      <w:r>
        <w:rPr>
          <w:sz w:val="22"/>
          <w:szCs w:val="22"/>
        </w:rPr>
        <w:t>ruling  (</w:t>
      </w:r>
      <w:proofErr w:type="gramEnd"/>
      <w:r>
        <w:rPr>
          <w:sz w:val="22"/>
          <w:szCs w:val="22"/>
        </w:rPr>
        <w:t>2013), dynamic surv</w:t>
      </w:r>
      <w:r>
        <w:rPr>
          <w:sz w:val="22"/>
          <w:szCs w:val="22"/>
        </w:rPr>
        <w:t xml:space="preserve">eillance has been a significant development, enabling cells to remain open for most of the day (open-custody model). However, since 2022, as it will be explained below, the closed custody model has been further extended. </w:t>
      </w:r>
    </w:p>
    <w:p w:rsidR="00300835" w:rsidRDefault="00AA3C37">
      <w:pPr>
        <w:widowControl w:val="0"/>
        <w:shd w:val="clear" w:color="auto" w:fill="FFFFFF"/>
        <w:jc w:val="both"/>
        <w:rPr>
          <w:sz w:val="22"/>
          <w:szCs w:val="22"/>
        </w:rPr>
      </w:pPr>
      <w:r>
        <w:rPr>
          <w:sz w:val="22"/>
          <w:szCs w:val="22"/>
        </w:rPr>
        <w:t>It is worth mentioning that the It</w:t>
      </w:r>
      <w:r>
        <w:rPr>
          <w:sz w:val="22"/>
          <w:szCs w:val="22"/>
        </w:rPr>
        <w:t>alian penitentiary system is organized in different prison circuits, established by Circular No. 3619/6069 of 2009. These circuits divide detainees into three categories: medium security, high security, and attenuated custody. As of 31 July 2025 (last data</w:t>
      </w:r>
      <w:r>
        <w:rPr>
          <w:sz w:val="22"/>
          <w:szCs w:val="22"/>
        </w:rPr>
        <w:t xml:space="preserve"> available published by the National Guarantor), 14.99% of the prison population was assigned to the high-security circuit and 83.85% to the medium-security circuit</w:t>
      </w:r>
      <w:r>
        <w:rPr>
          <w:sz w:val="22"/>
          <w:szCs w:val="22"/>
          <w:vertAlign w:val="superscript"/>
        </w:rPr>
        <w:footnoteReference w:id="43"/>
      </w:r>
      <w:r>
        <w:rPr>
          <w:sz w:val="22"/>
          <w:szCs w:val="22"/>
        </w:rPr>
        <w:t>. The medium-security circuit is present in almost all prisons in the country, as it houses</w:t>
      </w:r>
      <w:r>
        <w:rPr>
          <w:sz w:val="22"/>
          <w:szCs w:val="22"/>
        </w:rPr>
        <w:t xml:space="preserve"> individuals convicted of common crimes or offences considered to pose limited social danger. With the issuance of administrative Circular 3693/6143, substantial changes have been introduced to the daily routine of prisoners in medium-security facilities; </w:t>
      </w:r>
      <w:r>
        <w:rPr>
          <w:sz w:val="22"/>
          <w:szCs w:val="22"/>
        </w:rPr>
        <w:t>detainees now spend most of the day locked in their cells, with only 4 hours per day allowed for outdoor time and organised activities, as provided for by Article 10 of the Prison Law.</w:t>
      </w:r>
    </w:p>
    <w:p w:rsidR="00300835" w:rsidRDefault="00300835">
      <w:pPr>
        <w:widowControl w:val="0"/>
        <w:shd w:val="clear" w:color="auto" w:fill="FFFFFF"/>
        <w:jc w:val="both"/>
        <w:rPr>
          <w:sz w:val="22"/>
          <w:szCs w:val="22"/>
        </w:rPr>
      </w:pPr>
    </w:p>
    <w:p w:rsidR="00300835" w:rsidRDefault="00AA3C37">
      <w:pPr>
        <w:widowControl w:val="0"/>
        <w:shd w:val="clear" w:color="auto" w:fill="FFFFFF"/>
        <w:jc w:val="both"/>
        <w:rPr>
          <w:sz w:val="22"/>
          <w:szCs w:val="22"/>
        </w:rPr>
      </w:pPr>
      <w:r>
        <w:rPr>
          <w:sz w:val="22"/>
          <w:szCs w:val="22"/>
        </w:rPr>
        <w:t>As for the high-security circuit, it is indeed divided into three subs</w:t>
      </w:r>
      <w:r>
        <w:rPr>
          <w:sz w:val="22"/>
          <w:szCs w:val="22"/>
        </w:rPr>
        <w:t>ections:</w:t>
      </w:r>
    </w:p>
    <w:p w:rsidR="00300835" w:rsidRDefault="00AA3C37">
      <w:pPr>
        <w:widowControl w:val="0"/>
        <w:numPr>
          <w:ilvl w:val="0"/>
          <w:numId w:val="2"/>
        </w:numPr>
        <w:shd w:val="clear" w:color="auto" w:fill="FFFFFF"/>
        <w:jc w:val="both"/>
        <w:rPr>
          <w:sz w:val="22"/>
          <w:szCs w:val="22"/>
        </w:rPr>
      </w:pPr>
      <w:r>
        <w:rPr>
          <w:sz w:val="22"/>
          <w:szCs w:val="22"/>
        </w:rPr>
        <w:t>AS1, for individuals belonging to mafia-type organised crime whose application of the 41-bis regime of the Prison Law has ceased;</w:t>
      </w:r>
    </w:p>
    <w:p w:rsidR="00300835" w:rsidRDefault="00AA3C37">
      <w:pPr>
        <w:widowControl w:val="0"/>
        <w:numPr>
          <w:ilvl w:val="0"/>
          <w:numId w:val="2"/>
        </w:numPr>
        <w:shd w:val="clear" w:color="auto" w:fill="FFFFFF"/>
        <w:jc w:val="both"/>
        <w:rPr>
          <w:sz w:val="22"/>
          <w:szCs w:val="22"/>
        </w:rPr>
      </w:pPr>
      <w:r>
        <w:rPr>
          <w:sz w:val="22"/>
          <w:szCs w:val="22"/>
        </w:rPr>
        <w:t>AS2, for individuals charged with or convicted of offences with terrorist purposes, including international terrorism</w:t>
      </w:r>
      <w:r>
        <w:rPr>
          <w:sz w:val="22"/>
          <w:szCs w:val="22"/>
        </w:rPr>
        <w:t>, or with subversion of the democratic order through acts of violence;</w:t>
      </w:r>
    </w:p>
    <w:p w:rsidR="00300835" w:rsidRDefault="00AA3C37">
      <w:pPr>
        <w:widowControl w:val="0"/>
        <w:numPr>
          <w:ilvl w:val="0"/>
          <w:numId w:val="2"/>
        </w:numPr>
        <w:shd w:val="clear" w:color="auto" w:fill="FFFFFF"/>
        <w:jc w:val="both"/>
        <w:rPr>
          <w:sz w:val="22"/>
          <w:szCs w:val="22"/>
        </w:rPr>
      </w:pPr>
      <w:r>
        <w:rPr>
          <w:sz w:val="22"/>
          <w:szCs w:val="22"/>
        </w:rPr>
        <w:lastRenderedPageBreak/>
        <w:t>AS3, for individuals charged with or convicted of the offences listed in Article 4-bis, paragraph 1, of the Prison Law, subject to the exceptions set out in Circular No. 20 issued by th</w:t>
      </w:r>
      <w:r>
        <w:rPr>
          <w:sz w:val="22"/>
          <w:szCs w:val="22"/>
        </w:rPr>
        <w:t>e Prison Administration Department on 19 January 2007.</w:t>
      </w:r>
    </w:p>
    <w:p w:rsidR="00300835" w:rsidRDefault="00300835">
      <w:pPr>
        <w:widowControl w:val="0"/>
        <w:shd w:val="clear" w:color="auto" w:fill="FFFFFF"/>
        <w:jc w:val="both"/>
        <w:rPr>
          <w:sz w:val="22"/>
          <w:szCs w:val="22"/>
        </w:rPr>
      </w:pPr>
    </w:p>
    <w:p w:rsidR="00300835" w:rsidRDefault="00AA3C37">
      <w:pPr>
        <w:widowControl w:val="0"/>
        <w:shd w:val="clear" w:color="auto" w:fill="FFFFFF"/>
        <w:jc w:val="both"/>
        <w:rPr>
          <w:sz w:val="22"/>
          <w:szCs w:val="22"/>
        </w:rPr>
      </w:pPr>
      <w:r>
        <w:rPr>
          <w:sz w:val="22"/>
          <w:szCs w:val="22"/>
        </w:rPr>
        <w:t>According to a circular issued by the Prison Administration on February 27, 2025, prisoners assigned to the maximum security circuit are housed separately from the rest of the prison population and ar</w:t>
      </w:r>
      <w:r>
        <w:rPr>
          <w:sz w:val="22"/>
          <w:szCs w:val="22"/>
        </w:rPr>
        <w:t>e not allowed to participate in social or cultural activities. The Circular reiterates that their cells must always be locked, without exception. This is worsening the traditional condition of greater constraint for inmates in High Security. For them, ther</w:t>
      </w:r>
      <w:r>
        <w:rPr>
          <w:sz w:val="22"/>
          <w:szCs w:val="22"/>
        </w:rPr>
        <w:t xml:space="preserve">e are generally fewer educational or cultural activities, they have greater restrictions in accessing common spaces such as gyms and sports fields, and greater restrictions in external contact. </w:t>
      </w:r>
    </w:p>
    <w:p w:rsidR="00300835" w:rsidRDefault="00AA3C37">
      <w:pPr>
        <w:widowControl w:val="0"/>
        <w:shd w:val="clear" w:color="auto" w:fill="FFFFFF"/>
        <w:jc w:val="both"/>
        <w:rPr>
          <w:sz w:val="22"/>
          <w:szCs w:val="22"/>
        </w:rPr>
      </w:pPr>
      <w:r>
        <w:rPr>
          <w:sz w:val="22"/>
          <w:szCs w:val="22"/>
        </w:rPr>
        <w:t xml:space="preserve">Moreover, the circular no. 454011 of 21 October 2025, issued </w:t>
      </w:r>
      <w:r>
        <w:rPr>
          <w:sz w:val="22"/>
          <w:szCs w:val="22"/>
        </w:rPr>
        <w:t>by the Department of Prison Administration (DAP), introduced a significant change in the procedures for authorizing educational, cultural, and recreational activities organized within prisons. The circular establishes that, in institutions hosting High Sec</w:t>
      </w:r>
      <w:r>
        <w:rPr>
          <w:sz w:val="22"/>
          <w:szCs w:val="22"/>
        </w:rPr>
        <w:t>urity circuits, the 41-bis regime, or sections designated for collaborators of justice, any initiative promoted by external actors must be submitted in advance to the General Directorate of the DAP in Rome for authorization. The novelty lies in the central</w:t>
      </w:r>
      <w:r>
        <w:rPr>
          <w:sz w:val="22"/>
          <w:szCs w:val="22"/>
        </w:rPr>
        <w:t>ization of the decision-making process: whereas previously such activities could be authorized at the local level by the prison director or through the regional offices of the prison administration, under the new circular the competence is assumed by the c</w:t>
      </w:r>
      <w:r>
        <w:rPr>
          <w:sz w:val="22"/>
          <w:szCs w:val="22"/>
        </w:rPr>
        <w:t>entral administration. This procedure also applies when the activities are intended exclusively for prisoners belonging to the medium-security circuit, provided that the institution also hosts high-security sections or sections subject to special detention</w:t>
      </w:r>
      <w:r>
        <w:rPr>
          <w:sz w:val="22"/>
          <w:szCs w:val="22"/>
        </w:rPr>
        <w:t xml:space="preserve"> regimes. The stated objective of the measure is to strengthen administrative oversight and security checks in institutions considered more sensitive. However, this choice has raised serious concern, as it risks weakening the educational work carried out b</w:t>
      </w:r>
      <w:r>
        <w:rPr>
          <w:sz w:val="22"/>
          <w:szCs w:val="22"/>
        </w:rPr>
        <w:t>y associations, social cooperatives, schools, universities, and third-sector organizations, which have long operated within prisons with the aim of promoting reintegration. The increase in bureaucracy and the need to submit detailed requests well in advanc</w:t>
      </w:r>
      <w:r>
        <w:rPr>
          <w:sz w:val="22"/>
          <w:szCs w:val="22"/>
        </w:rPr>
        <w:t>e may lead to delays, cancellations, and withdrawals.</w:t>
      </w:r>
    </w:p>
    <w:p w:rsidR="00300835" w:rsidRDefault="00300835">
      <w:pPr>
        <w:jc w:val="both"/>
        <w:rPr>
          <w:sz w:val="22"/>
          <w:szCs w:val="22"/>
        </w:rPr>
      </w:pPr>
    </w:p>
    <w:p w:rsidR="00300835" w:rsidRDefault="00AA3C37">
      <w:pPr>
        <w:jc w:val="both"/>
        <w:rPr>
          <w:b/>
          <w:bCs/>
          <w:color w:val="222222"/>
          <w:sz w:val="22"/>
          <w:szCs w:val="22"/>
        </w:rPr>
      </w:pPr>
      <w:r>
        <w:rPr>
          <w:b/>
          <w:bCs/>
          <w:color w:val="222222"/>
          <w:sz w:val="22"/>
          <w:szCs w:val="22"/>
        </w:rPr>
        <w:t>Suicides</w:t>
      </w:r>
    </w:p>
    <w:p w:rsidR="00300835" w:rsidRDefault="00AA3C37">
      <w:pPr>
        <w:widowControl w:val="0"/>
        <w:jc w:val="both"/>
        <w:rPr>
          <w:sz w:val="22"/>
          <w:szCs w:val="22"/>
        </w:rPr>
      </w:pPr>
      <w:r>
        <w:rPr>
          <w:sz w:val="22"/>
          <w:szCs w:val="22"/>
        </w:rPr>
        <w:t>The emergency of suicides in prison shows no sign of stopping. In 2024 there were at least 91 cases of suicide committed by people deprived of their liberty. In 2025 there were 80, including 6</w:t>
      </w:r>
      <w:r>
        <w:rPr>
          <w:sz w:val="22"/>
          <w:szCs w:val="22"/>
        </w:rPr>
        <w:t xml:space="preserve"> women. During 2026 (data updated to March 10), 6 people have taken their own lives in prison, all by hanging. These figures come from the count compiled by “Ristretti Orizzonti” in the dossier “Morire di carcere” (“Dying in prison”)</w:t>
      </w:r>
      <w:r>
        <w:rPr>
          <w:sz w:val="22"/>
          <w:szCs w:val="22"/>
          <w:vertAlign w:val="superscript"/>
        </w:rPr>
        <w:footnoteReference w:id="44"/>
      </w:r>
      <w:r>
        <w:rPr>
          <w:sz w:val="22"/>
          <w:szCs w:val="22"/>
        </w:rPr>
        <w:t>.</w:t>
      </w:r>
    </w:p>
    <w:p w:rsidR="00300835" w:rsidRDefault="00AA3C37">
      <w:pPr>
        <w:widowControl w:val="0"/>
        <w:jc w:val="both"/>
        <w:rPr>
          <w:sz w:val="22"/>
          <w:szCs w:val="22"/>
        </w:rPr>
      </w:pPr>
      <w:r>
        <w:rPr>
          <w:sz w:val="22"/>
          <w:szCs w:val="22"/>
        </w:rPr>
        <w:t>From the available d</w:t>
      </w:r>
      <w:r>
        <w:rPr>
          <w:sz w:val="22"/>
          <w:szCs w:val="22"/>
        </w:rPr>
        <w:t>ata it emerges that suicides have a higher incidence among the foreign prison population compared to the Italian one, and that in many cases the people who took their own lives had already been involved in critical self-harm incidents.</w:t>
      </w:r>
    </w:p>
    <w:p w:rsidR="00300835" w:rsidRDefault="00AA3C37">
      <w:pPr>
        <w:widowControl w:val="0"/>
        <w:jc w:val="both"/>
        <w:rPr>
          <w:sz w:val="22"/>
          <w:szCs w:val="22"/>
        </w:rPr>
      </w:pPr>
      <w:r>
        <w:rPr>
          <w:sz w:val="22"/>
          <w:szCs w:val="22"/>
        </w:rPr>
        <w:lastRenderedPageBreak/>
        <w:t>In the dossier on su</w:t>
      </w:r>
      <w:r>
        <w:rPr>
          <w:sz w:val="22"/>
          <w:szCs w:val="22"/>
        </w:rPr>
        <w:t>icides included in the latest Report on detention conditions by Antigone</w:t>
      </w:r>
      <w:r>
        <w:rPr>
          <w:sz w:val="22"/>
          <w:szCs w:val="22"/>
          <w:vertAlign w:val="superscript"/>
        </w:rPr>
        <w:footnoteReference w:id="45"/>
      </w:r>
      <w:r>
        <w:rPr>
          <w:sz w:val="22"/>
          <w:szCs w:val="22"/>
        </w:rPr>
        <w:t xml:space="preserve">, published on May 29, 2025, it was found that in about 75% of cases the people were detained in a closed-custody section. This category includes various detention environments: some </w:t>
      </w:r>
      <w:r>
        <w:rPr>
          <w:sz w:val="22"/>
          <w:szCs w:val="22"/>
        </w:rPr>
        <w:t>where the hours during which cells are open are reduced compared to other sections (close-custody model), and others where they are almost completely nonexistent. Specifically, between 2024 and the first five months of 2025 there were at least 20 suicide c</w:t>
      </w:r>
      <w:r>
        <w:rPr>
          <w:sz w:val="22"/>
          <w:szCs w:val="22"/>
        </w:rPr>
        <w:t xml:space="preserve">ases that occurred inside solitary confinement cells. </w:t>
      </w:r>
    </w:p>
    <w:p w:rsidR="00300835" w:rsidRDefault="00AA3C37">
      <w:pPr>
        <w:widowControl w:val="0"/>
        <w:jc w:val="both"/>
        <w:rPr>
          <w:sz w:val="22"/>
          <w:szCs w:val="22"/>
        </w:rPr>
      </w:pPr>
      <w:r>
        <w:rPr>
          <w:sz w:val="22"/>
          <w:szCs w:val="22"/>
        </w:rPr>
        <w:t>However, Ristretti Orizzonti is not the only available source. There is also the analysis carried out by the National Guarantor for the Rights of Persons Deprived of Personal Liberty</w:t>
      </w:r>
      <w:r>
        <w:rPr>
          <w:sz w:val="22"/>
          <w:szCs w:val="22"/>
          <w:vertAlign w:val="superscript"/>
        </w:rPr>
        <w:footnoteReference w:id="46"/>
      </w:r>
      <w:r>
        <w:rPr>
          <w:sz w:val="22"/>
          <w:szCs w:val="22"/>
        </w:rPr>
        <w:t>. However, the lat</w:t>
      </w:r>
      <w:r>
        <w:rPr>
          <w:sz w:val="22"/>
          <w:szCs w:val="22"/>
        </w:rPr>
        <w:t>ter does not include some deaths, for example those that occurred in hospital after the person had carried out the suicidal act in prison. The National Guarantor also do not include some deaths caused by gas asphyxiation or by hunger strikes, since it is d</w:t>
      </w:r>
      <w:r>
        <w:rPr>
          <w:sz w:val="22"/>
          <w:szCs w:val="22"/>
        </w:rPr>
        <w:t>ifficult to determine whether there was a suicidal intent. According to the National Guarantor and the prison administration the suicides that occurred in 2024 were 83, while those that occurred in 2025 were 76.</w:t>
      </w:r>
    </w:p>
    <w:p w:rsidR="00300835" w:rsidRDefault="00300835">
      <w:pPr>
        <w:jc w:val="both"/>
        <w:rPr>
          <w:color w:val="222222"/>
          <w:sz w:val="22"/>
          <w:szCs w:val="22"/>
        </w:rPr>
      </w:pPr>
    </w:p>
    <w:p w:rsidR="00300835" w:rsidRDefault="00300835">
      <w:pPr>
        <w:jc w:val="both"/>
        <w:rPr>
          <w:color w:val="222222"/>
          <w:sz w:val="22"/>
          <w:szCs w:val="22"/>
        </w:rPr>
      </w:pPr>
    </w:p>
    <w:p w:rsidR="00300835" w:rsidRDefault="00AA3C37">
      <w:pPr>
        <w:jc w:val="center"/>
        <w:rPr>
          <w:rFonts w:ascii="Montserrat Black" w:eastAsia="Montserrat Black" w:hAnsi="Montserrat Black" w:cs="Montserrat Black"/>
          <w:color w:val="222222"/>
          <w:sz w:val="24"/>
          <w:szCs w:val="24"/>
        </w:rPr>
      </w:pPr>
      <w:r>
        <w:rPr>
          <w:rFonts w:ascii="Montserrat Black" w:eastAsia="Montserrat Black" w:hAnsi="Montserrat Black" w:cs="Montserrat Black"/>
          <w:color w:val="222222"/>
          <w:sz w:val="24"/>
          <w:szCs w:val="24"/>
        </w:rPr>
        <w:t>Article 12 - 13</w:t>
      </w:r>
    </w:p>
    <w:p w:rsidR="00300835" w:rsidRDefault="00300835">
      <w:pPr>
        <w:jc w:val="both"/>
        <w:rPr>
          <w:b/>
          <w:bCs/>
          <w:color w:val="222222"/>
          <w:sz w:val="22"/>
          <w:szCs w:val="22"/>
        </w:rPr>
      </w:pPr>
    </w:p>
    <w:p w:rsidR="00300835" w:rsidRDefault="00AA3C37">
      <w:pPr>
        <w:jc w:val="both"/>
        <w:rPr>
          <w:b/>
          <w:bCs/>
          <w:color w:val="222222"/>
          <w:sz w:val="22"/>
          <w:szCs w:val="22"/>
        </w:rPr>
      </w:pPr>
      <w:r>
        <w:rPr>
          <w:b/>
          <w:bCs/>
          <w:color w:val="222222"/>
          <w:sz w:val="22"/>
          <w:szCs w:val="22"/>
        </w:rPr>
        <w:t>Case related to torture and ill-treatment</w:t>
      </w:r>
    </w:p>
    <w:p w:rsidR="00300835" w:rsidRDefault="00AA3C37">
      <w:pPr>
        <w:jc w:val="both"/>
        <w:rPr>
          <w:sz w:val="22"/>
          <w:szCs w:val="22"/>
        </w:rPr>
      </w:pPr>
      <w:r>
        <w:rPr>
          <w:sz w:val="22"/>
          <w:szCs w:val="22"/>
        </w:rPr>
        <w:t>In this section are reported all most recent cases of violence that have allegedly occurred in Italian prisons and that could fall under the definition of torture or inhuman and degrading treatment. It should be no</w:t>
      </w:r>
      <w:r>
        <w:rPr>
          <w:sz w:val="22"/>
          <w:szCs w:val="22"/>
        </w:rPr>
        <w:t xml:space="preserve">ted that the victims of the acts are often detainees held in solitary confinement or particularly vulnerable inmates. </w:t>
      </w:r>
    </w:p>
    <w:p w:rsidR="00300835" w:rsidRDefault="00300835">
      <w:pPr>
        <w:rPr>
          <w:sz w:val="22"/>
          <w:szCs w:val="22"/>
        </w:rPr>
      </w:pPr>
    </w:p>
    <w:p w:rsidR="00300835" w:rsidRDefault="00AA3C37">
      <w:pPr>
        <w:jc w:val="both"/>
        <w:rPr>
          <w:sz w:val="22"/>
          <w:szCs w:val="22"/>
          <w:u w:val="single"/>
        </w:rPr>
      </w:pPr>
      <w:r>
        <w:rPr>
          <w:sz w:val="22"/>
          <w:szCs w:val="22"/>
          <w:u w:val="single"/>
        </w:rPr>
        <w:t>Cases already reported in the Submission to the UN Committee Against Torture Concerning Italy - 71st Session</w:t>
      </w:r>
      <w:r>
        <w:rPr>
          <w:sz w:val="22"/>
          <w:szCs w:val="22"/>
          <w:u w:val="single"/>
          <w:vertAlign w:val="superscript"/>
        </w:rPr>
        <w:footnoteReference w:id="47"/>
      </w:r>
      <w:r>
        <w:rPr>
          <w:sz w:val="22"/>
          <w:szCs w:val="22"/>
          <w:u w:val="single"/>
        </w:rPr>
        <w:t>, for which an update is in</w:t>
      </w:r>
      <w:r>
        <w:rPr>
          <w:sz w:val="22"/>
          <w:szCs w:val="22"/>
          <w:u w:val="single"/>
        </w:rPr>
        <w:t>cluded</w:t>
      </w:r>
    </w:p>
    <w:p w:rsidR="00300835" w:rsidRDefault="00300835">
      <w:pPr>
        <w:jc w:val="both"/>
        <w:rPr>
          <w:sz w:val="22"/>
          <w:szCs w:val="22"/>
          <w:u w:val="single"/>
        </w:rPr>
      </w:pPr>
    </w:p>
    <w:p w:rsidR="00300835" w:rsidRDefault="00AA3C37">
      <w:pPr>
        <w:jc w:val="both"/>
        <w:rPr>
          <w:rFonts w:ascii="Barlow SemiBold" w:eastAsia="Barlow SemiBold" w:hAnsi="Barlow SemiBold" w:cs="Barlow SemiBold"/>
          <w:sz w:val="22"/>
          <w:szCs w:val="22"/>
        </w:rPr>
      </w:pPr>
      <w:r>
        <w:rPr>
          <w:rFonts w:ascii="Barlow SemiBold" w:eastAsia="Barlow SemiBold" w:hAnsi="Barlow SemiBold" w:cs="Barlow SemiBold"/>
          <w:sz w:val="22"/>
          <w:szCs w:val="22"/>
        </w:rPr>
        <w:t>The Ivrea Case</w:t>
      </w:r>
    </w:p>
    <w:p w:rsidR="00300835" w:rsidRDefault="00AA3C37">
      <w:pPr>
        <w:jc w:val="both"/>
        <w:rPr>
          <w:sz w:val="22"/>
          <w:szCs w:val="22"/>
        </w:rPr>
      </w:pPr>
      <w:r>
        <w:rPr>
          <w:sz w:val="22"/>
          <w:szCs w:val="22"/>
        </w:rPr>
        <w:t>Initially, three criminal proceedings were pending in relation to three separate incidents of violence allegedly committed by prison police officers at the Ivrea prison in 2015. In all three cases the public prosecutors had requested</w:t>
      </w:r>
      <w:r>
        <w:rPr>
          <w:sz w:val="22"/>
          <w:szCs w:val="22"/>
        </w:rPr>
        <w:t xml:space="preserve"> the dismissal of the proceedings, to which the association Antigone formally objected.</w:t>
      </w:r>
    </w:p>
    <w:p w:rsidR="00300835" w:rsidRDefault="00AA3C37">
      <w:pPr>
        <w:jc w:val="both"/>
        <w:rPr>
          <w:sz w:val="22"/>
          <w:szCs w:val="22"/>
        </w:rPr>
      </w:pPr>
      <w:r>
        <w:rPr>
          <w:sz w:val="22"/>
          <w:szCs w:val="22"/>
        </w:rPr>
        <w:t>In one of the proceedings, the judge, rejecting the request for dismissal submitted by the public prosecutor’s office, ordered the public prosecutor to enter into the r</w:t>
      </w:r>
      <w:r>
        <w:rPr>
          <w:sz w:val="22"/>
          <w:szCs w:val="22"/>
        </w:rPr>
        <w:t>egister of suspects those individuals identifiable as the alleged perpetrators and to verify the compatibility of the injuries sustained by the injured party with the version of the alleged accidental falls. Despite these indications, the public prosecutor</w:t>
      </w:r>
      <w:r>
        <w:rPr>
          <w:sz w:val="22"/>
          <w:szCs w:val="22"/>
        </w:rPr>
        <w:t xml:space="preserve"> subsequently reiterated the request for dismissal, to which </w:t>
      </w:r>
      <w:r>
        <w:rPr>
          <w:sz w:val="22"/>
          <w:szCs w:val="22"/>
        </w:rPr>
        <w:lastRenderedPageBreak/>
        <w:t>Antigone once again objected. In these cases, the law on the crime of torture does not apply, since the alleged facts predate its entry into force.</w:t>
      </w:r>
    </w:p>
    <w:p w:rsidR="00300835" w:rsidRDefault="00AA3C37">
      <w:pPr>
        <w:jc w:val="both"/>
        <w:rPr>
          <w:sz w:val="22"/>
          <w:szCs w:val="22"/>
        </w:rPr>
      </w:pPr>
      <w:r>
        <w:rPr>
          <w:sz w:val="22"/>
          <w:szCs w:val="22"/>
        </w:rPr>
        <w:t>Subsequently, following the assumption of the p</w:t>
      </w:r>
      <w:r>
        <w:rPr>
          <w:sz w:val="22"/>
          <w:szCs w:val="22"/>
        </w:rPr>
        <w:t>roceedings by the Office of the General Prosecutor at the Court of Appeal of Turin, an additional criminal proceeding was initiated involving 27 officers under investigation, among others, for the offences of personal injury and false statements</w:t>
      </w:r>
      <w:r>
        <w:rPr>
          <w:sz w:val="22"/>
          <w:szCs w:val="22"/>
        </w:rPr>
        <w:t>; with rega</w:t>
      </w:r>
      <w:r>
        <w:rPr>
          <w:sz w:val="22"/>
          <w:szCs w:val="22"/>
        </w:rPr>
        <w:t xml:space="preserve">rd to following events occurred in 2021, the offence of torture has also been charged. </w:t>
      </w:r>
      <w:r>
        <w:rPr>
          <w:sz w:val="22"/>
          <w:szCs w:val="22"/>
        </w:rPr>
        <w:t>In relation to this latter proceeding and the alleged torture in the Ivrea prison, the Public Prosecutor’s Office issued a total of 45 notices of investigation to as man</w:t>
      </w:r>
      <w:r>
        <w:rPr>
          <w:sz w:val="22"/>
          <w:szCs w:val="22"/>
        </w:rPr>
        <w:t>y suspects. These include prison police officers, doctors, and prison staff members who, in various capacities, are under investigation for several offences, including torture, forgery of public documents and other related crimes.</w:t>
      </w:r>
    </w:p>
    <w:p w:rsidR="00300835" w:rsidRDefault="00300835">
      <w:pPr>
        <w:jc w:val="both"/>
        <w:rPr>
          <w:sz w:val="22"/>
          <w:szCs w:val="22"/>
        </w:rPr>
      </w:pPr>
    </w:p>
    <w:p w:rsidR="00300835" w:rsidRDefault="00AA3C37">
      <w:pPr>
        <w:jc w:val="both"/>
        <w:rPr>
          <w:sz w:val="22"/>
          <w:szCs w:val="22"/>
        </w:rPr>
      </w:pPr>
      <w:r>
        <w:rPr>
          <w:rFonts w:ascii="Barlow SemiBold" w:eastAsia="Barlow SemiBold" w:hAnsi="Barlow SemiBold" w:cs="Barlow SemiBold"/>
          <w:sz w:val="22"/>
          <w:szCs w:val="22"/>
        </w:rPr>
        <w:t>The San Gimignano Case</w:t>
      </w:r>
    </w:p>
    <w:p w:rsidR="00300835" w:rsidRDefault="00AA3C37">
      <w:pPr>
        <w:jc w:val="both"/>
        <w:rPr>
          <w:sz w:val="22"/>
          <w:szCs w:val="22"/>
        </w:rPr>
      </w:pPr>
      <w:r>
        <w:rPr>
          <w:sz w:val="22"/>
          <w:szCs w:val="22"/>
        </w:rPr>
        <w:t>O</w:t>
      </w:r>
      <w:r>
        <w:rPr>
          <w:sz w:val="22"/>
          <w:szCs w:val="22"/>
        </w:rPr>
        <w:t>n 11 October 2018, 15 prison officers of the San Gimignano prison, under the pretext of transferring a detainee from one solitary confinement cell to another, allegedly dragged the detainee out, threw him to the ground and struck him with kicks and punches</w:t>
      </w:r>
      <w:r>
        <w:rPr>
          <w:sz w:val="22"/>
          <w:szCs w:val="22"/>
        </w:rPr>
        <w:t xml:space="preserve"> while insulting him. The detainee was allegedly forced to stand up, pushed in order to make him walk, and thrown to the ground again, where he was immobilised by two prison officers while one of them pressed his weight on him by placing a knee on his ches</w:t>
      </w:r>
      <w:r>
        <w:rPr>
          <w:sz w:val="22"/>
          <w:szCs w:val="22"/>
        </w:rPr>
        <w:t>t. Subsequently, the officers allegedly removed his trousers and dragged him into the new cell while the detainee was almost losing consciousness. The officers allegedly threatened the other detainees in the solitary confinement wing so that they would not</w:t>
      </w:r>
      <w:r>
        <w:rPr>
          <w:sz w:val="22"/>
          <w:szCs w:val="22"/>
        </w:rPr>
        <w:t xml:space="preserve"> report the incident, and one of them allegedly drafted a false report declaring that the use of force had been necessary. Security camera footage showed the opposite.</w:t>
      </w:r>
    </w:p>
    <w:p w:rsidR="00300835" w:rsidRDefault="00AA3C37">
      <w:pPr>
        <w:jc w:val="both"/>
        <w:rPr>
          <w:sz w:val="22"/>
          <w:szCs w:val="22"/>
        </w:rPr>
      </w:pPr>
      <w:r>
        <w:rPr>
          <w:sz w:val="22"/>
          <w:szCs w:val="22"/>
        </w:rPr>
        <w:t>The Court of Siena in a judgment filed on 5 September 2023 convicted the prison police o</w:t>
      </w:r>
      <w:r>
        <w:rPr>
          <w:sz w:val="22"/>
          <w:szCs w:val="22"/>
        </w:rPr>
        <w:t>fficers of several offences, including torture</w:t>
      </w:r>
      <w:r>
        <w:rPr>
          <w:sz w:val="22"/>
          <w:szCs w:val="22"/>
          <w:vertAlign w:val="superscript"/>
        </w:rPr>
        <w:footnoteReference w:id="48"/>
      </w:r>
      <w:r>
        <w:rPr>
          <w:sz w:val="22"/>
          <w:szCs w:val="22"/>
        </w:rPr>
        <w:t xml:space="preserve">. An appeal was lodged against the judgment of the Court of Siena and, following a lengthy trial, the Court of Appeal of Florence confirmed the convictions for torture against several officers, with sentences </w:t>
      </w:r>
      <w:r>
        <w:rPr>
          <w:sz w:val="22"/>
          <w:szCs w:val="22"/>
        </w:rPr>
        <w:t>ranging from 4 years and 2 months to 3 years and 8 months of imprisonment and disqualification from holding public office for 5 years</w:t>
      </w:r>
      <w:r>
        <w:rPr>
          <w:sz w:val="22"/>
          <w:szCs w:val="22"/>
          <w:vertAlign w:val="superscript"/>
        </w:rPr>
        <w:footnoteReference w:id="49"/>
      </w:r>
      <w:r>
        <w:rPr>
          <w:sz w:val="22"/>
          <w:szCs w:val="22"/>
        </w:rPr>
        <w:t>. The case is of fundamental importance as it represents the first appellate conviction for the offence of torture since i</w:t>
      </w:r>
      <w:r>
        <w:rPr>
          <w:sz w:val="22"/>
          <w:szCs w:val="22"/>
        </w:rPr>
        <w:t>ts introduction into the Italian Criminal Code in 2017.</w:t>
      </w:r>
    </w:p>
    <w:p w:rsidR="00300835" w:rsidRDefault="00300835">
      <w:pPr>
        <w:jc w:val="both"/>
        <w:rPr>
          <w:sz w:val="22"/>
          <w:szCs w:val="22"/>
        </w:rPr>
      </w:pPr>
    </w:p>
    <w:p w:rsidR="00300835" w:rsidRDefault="00AA3C37">
      <w:pPr>
        <w:jc w:val="both"/>
        <w:rPr>
          <w:sz w:val="22"/>
          <w:szCs w:val="22"/>
        </w:rPr>
      </w:pPr>
      <w:r>
        <w:rPr>
          <w:rFonts w:ascii="Barlow SemiBold" w:eastAsia="Barlow SemiBold" w:hAnsi="Barlow SemiBold" w:cs="Barlow SemiBold"/>
          <w:sz w:val="22"/>
          <w:szCs w:val="22"/>
        </w:rPr>
        <w:t>The Turin Case</w:t>
      </w:r>
    </w:p>
    <w:p w:rsidR="00300835" w:rsidRDefault="00AA3C37">
      <w:pPr>
        <w:jc w:val="both"/>
        <w:rPr>
          <w:sz w:val="22"/>
          <w:szCs w:val="22"/>
        </w:rPr>
      </w:pPr>
      <w:r>
        <w:rPr>
          <w:sz w:val="22"/>
          <w:szCs w:val="22"/>
        </w:rPr>
        <w:t>On 29 November 2018, the Ombudsperson for persons deprived of personal liberty of the City of Turin, after receiving several reports of possible rights violations at the Lorusso e Cutu</w:t>
      </w:r>
      <w:r>
        <w:rPr>
          <w:sz w:val="22"/>
          <w:szCs w:val="22"/>
        </w:rPr>
        <w:t>gno prison in Turin, decided to meet privately with the detainee concerned. The detainee reported that, on 17 November 2018, 3 prison officers had beaten him with punches and slaps and had forced him to remain motionless with his face turned toward the wal</w:t>
      </w:r>
      <w:r>
        <w:rPr>
          <w:sz w:val="22"/>
          <w:szCs w:val="22"/>
        </w:rPr>
        <w:t xml:space="preserve">l for a prolonged period of time. He also </w:t>
      </w:r>
      <w:r>
        <w:rPr>
          <w:sz w:val="22"/>
          <w:szCs w:val="22"/>
        </w:rPr>
        <w:lastRenderedPageBreak/>
        <w:t>reported other incidents in which the same officers allegedly insulted and humiliated him for the offence committed and searched his cell in such a way as to destroy his personal belongings.</w:t>
      </w:r>
    </w:p>
    <w:p w:rsidR="00300835" w:rsidRDefault="00AA3C37">
      <w:pPr>
        <w:jc w:val="both"/>
        <w:rPr>
          <w:sz w:val="22"/>
          <w:szCs w:val="22"/>
        </w:rPr>
      </w:pPr>
      <w:r>
        <w:rPr>
          <w:sz w:val="22"/>
          <w:szCs w:val="22"/>
        </w:rPr>
        <w:t>On 3 December 2018, the</w:t>
      </w:r>
      <w:r>
        <w:rPr>
          <w:sz w:val="22"/>
          <w:szCs w:val="22"/>
        </w:rPr>
        <w:t xml:space="preserve"> Turin Ombudsperson filed a complaint with the Public Prosecutor’s Office concerning these events. The National Guarantor also reported that, during interviews with detainees conducted during several monitoring visits, numerous episodes of violence and hum</w:t>
      </w:r>
      <w:r>
        <w:rPr>
          <w:sz w:val="22"/>
          <w:szCs w:val="22"/>
        </w:rPr>
        <w:t>iliation had emerged. The investigation conducted by the Public Prosecutor’s Office identified several additional incidents of violence.</w:t>
      </w:r>
    </w:p>
    <w:p w:rsidR="00300835" w:rsidRDefault="00AA3C37">
      <w:pPr>
        <w:jc w:val="both"/>
        <w:rPr>
          <w:sz w:val="22"/>
          <w:szCs w:val="22"/>
        </w:rPr>
      </w:pPr>
      <w:r>
        <w:rPr>
          <w:sz w:val="22"/>
          <w:szCs w:val="22"/>
        </w:rPr>
        <w:t>The proceedings were divided into two tracks: one conducted under the abbreviated procedure and another under the ordin</w:t>
      </w:r>
      <w:r>
        <w:rPr>
          <w:sz w:val="22"/>
          <w:szCs w:val="22"/>
        </w:rPr>
        <w:t>ary procedure against other officers.</w:t>
      </w:r>
    </w:p>
    <w:p w:rsidR="00300835" w:rsidRDefault="00AA3C37">
      <w:pPr>
        <w:jc w:val="both"/>
        <w:rPr>
          <w:sz w:val="22"/>
          <w:szCs w:val="22"/>
        </w:rPr>
      </w:pPr>
      <w:r>
        <w:rPr>
          <w:sz w:val="22"/>
          <w:szCs w:val="22"/>
        </w:rPr>
        <w:t>The first track concerned the abbreviated procedure chosen by three defendants, including the former prison director, the former commander of the prison police and a prison police officer. In 2023 the first-instance ju</w:t>
      </w:r>
      <w:r>
        <w:rPr>
          <w:sz w:val="22"/>
          <w:szCs w:val="22"/>
        </w:rPr>
        <w:t xml:space="preserve">dge had issued several convictions, including that of the former director for failure to report and that of one officer for abuse of authority, an offence resulting from the reclassification of the charge of torture. However, in November 2024 the Court of </w:t>
      </w:r>
      <w:r>
        <w:rPr>
          <w:sz w:val="22"/>
          <w:szCs w:val="22"/>
        </w:rPr>
        <w:t>Appeal of Turin acquitted all defendants, considering that the elements necessary to confirm the convictions had not been sufficiently proven. To date, the case is pending before the Supreme Court of Cassation following the appeal lodged by the competent P</w:t>
      </w:r>
      <w:r>
        <w:rPr>
          <w:sz w:val="22"/>
          <w:szCs w:val="22"/>
        </w:rPr>
        <w:t>ublic Prosecutor’s Office.</w:t>
      </w:r>
    </w:p>
    <w:p w:rsidR="00300835" w:rsidRDefault="00AA3C37">
      <w:pPr>
        <w:jc w:val="both"/>
        <w:rPr>
          <w:sz w:val="22"/>
          <w:szCs w:val="22"/>
        </w:rPr>
      </w:pPr>
      <w:r>
        <w:rPr>
          <w:sz w:val="22"/>
          <w:szCs w:val="22"/>
        </w:rPr>
        <w:t>The second track concerns the trial conducted under the ordinary procedure, chosen by the other defendants. The trial began in July 2023 and continued until 2025. With the first-instance judgment of 6 February 2026, the court issued seven convictions for t</w:t>
      </w:r>
      <w:r>
        <w:rPr>
          <w:sz w:val="22"/>
          <w:szCs w:val="22"/>
        </w:rPr>
        <w:t xml:space="preserve">orture and one for disclosure of official secrets, while other defendants were acquitted or the proceedings were discontinued due to the statute of limitations. The sentences imposed range from 2 years and 8 months to 3 years and 4 months of imprisonment. </w:t>
      </w:r>
      <w:r>
        <w:rPr>
          <w:sz w:val="22"/>
          <w:szCs w:val="22"/>
        </w:rPr>
        <w:t>The judge also ordered provisional compensation to the victims and to the civil parties, including the association Antigone and the Ombudspersons</w:t>
      </w:r>
      <w:r>
        <w:rPr>
          <w:sz w:val="22"/>
          <w:szCs w:val="22"/>
          <w:vertAlign w:val="superscript"/>
        </w:rPr>
        <w:footnoteReference w:id="50"/>
      </w:r>
      <w:r>
        <w:rPr>
          <w:sz w:val="22"/>
          <w:szCs w:val="22"/>
        </w:rPr>
        <w:t>.</w:t>
      </w:r>
    </w:p>
    <w:p w:rsidR="00300835" w:rsidRDefault="00300835">
      <w:pPr>
        <w:jc w:val="both"/>
        <w:rPr>
          <w:sz w:val="22"/>
          <w:szCs w:val="22"/>
        </w:rPr>
      </w:pPr>
    </w:p>
    <w:p w:rsidR="00300835" w:rsidRDefault="00AA3C37">
      <w:pPr>
        <w:jc w:val="both"/>
        <w:rPr>
          <w:sz w:val="22"/>
          <w:szCs w:val="22"/>
        </w:rPr>
      </w:pPr>
      <w:r>
        <w:rPr>
          <w:rFonts w:ascii="Barlow SemiBold" w:eastAsia="Barlow SemiBold" w:hAnsi="Barlow SemiBold" w:cs="Barlow SemiBold"/>
          <w:sz w:val="22"/>
          <w:szCs w:val="22"/>
        </w:rPr>
        <w:t>The Monza Case</w:t>
      </w:r>
    </w:p>
    <w:p w:rsidR="00300835" w:rsidRDefault="00AA3C37">
      <w:pPr>
        <w:jc w:val="both"/>
        <w:rPr>
          <w:sz w:val="22"/>
          <w:szCs w:val="22"/>
        </w:rPr>
      </w:pPr>
      <w:r>
        <w:rPr>
          <w:sz w:val="22"/>
          <w:szCs w:val="22"/>
        </w:rPr>
        <w:t>On 3 August 2019 a detainee at the Monza prison was allegedly beaten by several prison offic</w:t>
      </w:r>
      <w:r>
        <w:rPr>
          <w:sz w:val="22"/>
          <w:szCs w:val="22"/>
        </w:rPr>
        <w:t xml:space="preserve">ers with punches and kicks while being washed with a hose in the isolation unit. The victim managed to communicate the violence he allegedly suffered during a phone call with his partner, who visited him on 7 August and confirmed that he had black eyes, a </w:t>
      </w:r>
      <w:r>
        <w:rPr>
          <w:sz w:val="22"/>
          <w:szCs w:val="22"/>
        </w:rPr>
        <w:t>swollen face and severe shoulder pain. Before the medical examination, prison officers allegedly forced him to sign a document stating that he had inflicted the injuries upon himself. The doctor who examined him, however, reportedly recorded no injuries. F</w:t>
      </w:r>
      <w:r>
        <w:rPr>
          <w:sz w:val="22"/>
          <w:szCs w:val="22"/>
        </w:rPr>
        <w:t>ollowing the episode, the detainee was also subjected to the disciplinary sanction of solitary confinement. Ten days after the events he was transferred to another prison, where a medical examination recorded all the injuries that were still visible. At th</w:t>
      </w:r>
      <w:r>
        <w:rPr>
          <w:sz w:val="22"/>
          <w:szCs w:val="22"/>
        </w:rPr>
        <w:t>at point the detainee decided to report the violence.</w:t>
      </w:r>
    </w:p>
    <w:p w:rsidR="00300835" w:rsidRDefault="00AA3C37">
      <w:pPr>
        <w:jc w:val="both"/>
        <w:rPr>
          <w:sz w:val="22"/>
          <w:szCs w:val="22"/>
        </w:rPr>
      </w:pPr>
      <w:r>
        <w:rPr>
          <w:sz w:val="22"/>
          <w:szCs w:val="22"/>
        </w:rPr>
        <w:t xml:space="preserve">The association Antigone filed a complaint on 25 September 2019 and, the following year, submitted a request urging the closure of the preliminary investigations. The Public Prosecutor’s Office filed a </w:t>
      </w:r>
      <w:r>
        <w:rPr>
          <w:sz w:val="22"/>
          <w:szCs w:val="22"/>
        </w:rPr>
        <w:t xml:space="preserve">request for dismissal with respect to the offence of torture and the offence of </w:t>
      </w:r>
      <w:r>
        <w:rPr>
          <w:sz w:val="22"/>
          <w:szCs w:val="22"/>
        </w:rPr>
        <w:lastRenderedPageBreak/>
        <w:t>refusal to perform official acts against the prison doctor, but Antigone objected. The judge for preliminary investigations dismissed the part relating to the offence of tortur</w:t>
      </w:r>
      <w:r>
        <w:rPr>
          <w:sz w:val="22"/>
          <w:szCs w:val="22"/>
        </w:rPr>
        <w:t>e in March 2021.</w:t>
      </w:r>
    </w:p>
    <w:p w:rsidR="00300835" w:rsidRDefault="00AA3C37">
      <w:pPr>
        <w:jc w:val="both"/>
        <w:rPr>
          <w:sz w:val="22"/>
          <w:szCs w:val="22"/>
        </w:rPr>
      </w:pPr>
      <w:r>
        <w:rPr>
          <w:sz w:val="22"/>
          <w:szCs w:val="22"/>
        </w:rPr>
        <w:t>The trial nevertheless continues against 5 prison officers, with charges including aggravated personal injury, forgery, slander, private violence, abuse of office and failure to report. On 2 July 2021 3 prison officers and one inspector we</w:t>
      </w:r>
      <w:r>
        <w:rPr>
          <w:sz w:val="22"/>
          <w:szCs w:val="22"/>
        </w:rPr>
        <w:t>re committed to trial. During the investigations a video from the internal surveillance system emerged, showing most of the events under examination in the trial. However, a shadowed area in the footage prevents full verification of the facts. The prison d</w:t>
      </w:r>
      <w:r>
        <w:rPr>
          <w:sz w:val="22"/>
          <w:szCs w:val="22"/>
        </w:rPr>
        <w:t>irector described the incident as an “inappropriate reaction”, implicitly acknowledging that the restraint intervention had degenerated into abuse. The trial is still ongoing.</w:t>
      </w:r>
    </w:p>
    <w:p w:rsidR="00300835" w:rsidRDefault="00300835">
      <w:pPr>
        <w:jc w:val="both"/>
        <w:rPr>
          <w:sz w:val="22"/>
          <w:szCs w:val="22"/>
        </w:rPr>
      </w:pPr>
    </w:p>
    <w:p w:rsidR="00300835" w:rsidRDefault="00AA3C37">
      <w:pPr>
        <w:jc w:val="both"/>
        <w:rPr>
          <w:sz w:val="22"/>
          <w:szCs w:val="22"/>
        </w:rPr>
      </w:pPr>
      <w:r>
        <w:rPr>
          <w:rFonts w:ascii="Barlow SemiBold" w:eastAsia="Barlow SemiBold" w:hAnsi="Barlow SemiBold" w:cs="Barlow SemiBold"/>
          <w:sz w:val="22"/>
          <w:szCs w:val="22"/>
        </w:rPr>
        <w:t>The Ferrara Case</w:t>
      </w:r>
    </w:p>
    <w:p w:rsidR="00300835" w:rsidRDefault="00AA3C37">
      <w:pPr>
        <w:jc w:val="both"/>
        <w:rPr>
          <w:sz w:val="22"/>
          <w:szCs w:val="22"/>
        </w:rPr>
      </w:pPr>
      <w:r>
        <w:rPr>
          <w:sz w:val="22"/>
          <w:szCs w:val="22"/>
        </w:rPr>
        <w:t>According to the Public Prosecutor’s Office, on 30 September 2017, 3 prison officers at Ferrara prison allegedly conducted an arbitrary search of a detainee's cell in the solitary confinement unit. They forced the detainee to kneel and struck him in the st</w:t>
      </w:r>
      <w:r>
        <w:rPr>
          <w:sz w:val="22"/>
          <w:szCs w:val="22"/>
        </w:rPr>
        <w:t>omach.  He was then allegedly handcuffed and beaten with a baton used to check the prison bars. The victim reportedly reacted by head-butting an officer and was subsequently threatened with a rudimentary knife placed at his throat. In the official reports,</w:t>
      </w:r>
      <w:r>
        <w:rPr>
          <w:sz w:val="22"/>
          <w:szCs w:val="22"/>
        </w:rPr>
        <w:t xml:space="preserve"> the officers allegedly attempted to conceal the assault by claiming that they had been attacked.</w:t>
      </w:r>
    </w:p>
    <w:p w:rsidR="00300835" w:rsidRDefault="00AA3C37">
      <w:pPr>
        <w:jc w:val="both"/>
        <w:rPr>
          <w:sz w:val="22"/>
          <w:szCs w:val="22"/>
        </w:rPr>
      </w:pPr>
      <w:r>
        <w:rPr>
          <w:sz w:val="22"/>
          <w:szCs w:val="22"/>
        </w:rPr>
        <w:t xml:space="preserve">On 15 January 2021, one of the officers was convicted under the abbreviated procedure for aggravated torture and aggravated personal injury. This constitutes </w:t>
      </w:r>
      <w:r>
        <w:rPr>
          <w:sz w:val="22"/>
          <w:szCs w:val="22"/>
        </w:rPr>
        <w:t>the first conviction in Italy for the offence of torture against a public official, a judgment subsequently confirmed on appeal and by the Court of Cassation</w:t>
      </w:r>
      <w:r>
        <w:rPr>
          <w:sz w:val="22"/>
          <w:szCs w:val="22"/>
          <w:vertAlign w:val="superscript"/>
        </w:rPr>
        <w:footnoteReference w:id="51"/>
      </w:r>
      <w:r>
        <w:rPr>
          <w:sz w:val="22"/>
          <w:szCs w:val="22"/>
        </w:rPr>
        <w:t>.</w:t>
      </w:r>
    </w:p>
    <w:p w:rsidR="00300835" w:rsidRDefault="00300835">
      <w:pPr>
        <w:jc w:val="both"/>
        <w:rPr>
          <w:rFonts w:ascii="Barlow SemiBold" w:eastAsia="Barlow SemiBold" w:hAnsi="Barlow SemiBold" w:cs="Barlow SemiBold"/>
          <w:sz w:val="22"/>
          <w:szCs w:val="22"/>
        </w:rPr>
      </w:pPr>
    </w:p>
    <w:p w:rsidR="00300835" w:rsidRDefault="00AA3C37">
      <w:pPr>
        <w:jc w:val="both"/>
        <w:rPr>
          <w:sz w:val="22"/>
          <w:szCs w:val="22"/>
        </w:rPr>
      </w:pPr>
      <w:r>
        <w:rPr>
          <w:rFonts w:ascii="Barlow SemiBold" w:eastAsia="Barlow SemiBold" w:hAnsi="Barlow SemiBold" w:cs="Barlow SemiBold"/>
          <w:sz w:val="22"/>
          <w:szCs w:val="22"/>
        </w:rPr>
        <w:t>The Palermo Case</w:t>
      </w:r>
    </w:p>
    <w:p w:rsidR="00300835" w:rsidRDefault="00AA3C37">
      <w:pPr>
        <w:jc w:val="both"/>
        <w:rPr>
          <w:sz w:val="22"/>
          <w:szCs w:val="22"/>
        </w:rPr>
      </w:pPr>
      <w:r>
        <w:rPr>
          <w:sz w:val="22"/>
          <w:szCs w:val="22"/>
        </w:rPr>
        <w:t>According to the victim’s account, on 18 January 2020 he was transferred to th</w:t>
      </w:r>
      <w:r>
        <w:rPr>
          <w:sz w:val="22"/>
          <w:szCs w:val="22"/>
        </w:rPr>
        <w:t>e Palermo-Pagliarelli prison, where he was allegedly beaten with kicks and punches by two prison police officers in a room within the institution that was not equipped with video surveillance.</w:t>
      </w:r>
    </w:p>
    <w:p w:rsidR="00300835" w:rsidRDefault="00AA3C37">
      <w:pPr>
        <w:jc w:val="both"/>
        <w:rPr>
          <w:sz w:val="22"/>
          <w:szCs w:val="22"/>
        </w:rPr>
      </w:pPr>
      <w:r>
        <w:rPr>
          <w:sz w:val="22"/>
          <w:szCs w:val="22"/>
        </w:rPr>
        <w:t>Following the alleged violence, the prison doctor reportedly ex</w:t>
      </w:r>
      <w:r>
        <w:rPr>
          <w:sz w:val="22"/>
          <w:szCs w:val="22"/>
        </w:rPr>
        <w:t>amined him without recording any injuries. Subsequently, the detainee was allegedly taken to a cell in the psychiatric ward and deprived of all his personal belongings and clothing (except for his underwear) until the evening of the following day. He was r</w:t>
      </w:r>
      <w:r>
        <w:rPr>
          <w:sz w:val="22"/>
          <w:szCs w:val="22"/>
        </w:rPr>
        <w:t>eportedly examined twice more, and only during the second examination the doctor detected the presence of certain injuries; however, he allegedly stated that they could be compatible with the force necessary to restrain the detainee. The detainee also decl</w:t>
      </w:r>
      <w:r>
        <w:rPr>
          <w:sz w:val="22"/>
          <w:szCs w:val="22"/>
        </w:rPr>
        <w:t>ared that he was not allowed to take a shower, that he was not provided with a blanket even upon request and that he did not eat.</w:t>
      </w:r>
    </w:p>
    <w:p w:rsidR="00300835" w:rsidRDefault="00AA3C37">
      <w:pPr>
        <w:jc w:val="both"/>
        <w:rPr>
          <w:sz w:val="22"/>
          <w:szCs w:val="22"/>
        </w:rPr>
      </w:pPr>
      <w:r>
        <w:rPr>
          <w:sz w:val="22"/>
          <w:szCs w:val="22"/>
        </w:rPr>
        <w:t>On 20 January 2020 a doctor reportedly went to his cell informing him that a hearing would take place the following day. Durin</w:t>
      </w:r>
      <w:r>
        <w:rPr>
          <w:sz w:val="22"/>
          <w:szCs w:val="22"/>
        </w:rPr>
        <w:t>g the hearing before the Court of Appeal the victim recounted the events and the Court transmitted the case file to the Public Prosecutor’s Office. The Court also ordered the immediate transfer of the detainee, first to the prison of Messina and subsequent</w:t>
      </w:r>
      <w:r>
        <w:rPr>
          <w:sz w:val="22"/>
          <w:szCs w:val="22"/>
        </w:rPr>
        <w:t xml:space="preserve">ly to that of Paola. The doctor who examined him upon entry into the Messina prison reportedly </w:t>
      </w:r>
      <w:r>
        <w:rPr>
          <w:sz w:val="22"/>
          <w:szCs w:val="22"/>
        </w:rPr>
        <w:lastRenderedPageBreak/>
        <w:t>found no injuries, while the doctor who examined him upon entry into the Paola prison recorded the wounds.</w:t>
      </w:r>
    </w:p>
    <w:p w:rsidR="00300835" w:rsidRDefault="00AA3C37">
      <w:pPr>
        <w:jc w:val="both"/>
        <w:rPr>
          <w:sz w:val="22"/>
          <w:szCs w:val="22"/>
        </w:rPr>
      </w:pPr>
      <w:r>
        <w:rPr>
          <w:sz w:val="22"/>
          <w:szCs w:val="22"/>
        </w:rPr>
        <w:t>In May 2020 the association Antigone filed a complaint</w:t>
      </w:r>
      <w:r>
        <w:rPr>
          <w:sz w:val="22"/>
          <w:szCs w:val="22"/>
        </w:rPr>
        <w:t xml:space="preserve"> against the officers for the alleged offence of torture and against the doctors who, according to the reconstruction of events, had failed to properly ascertain the injuries, thereby facilitating the prison police officers. In October 2021 the Public Pros</w:t>
      </w:r>
      <w:r>
        <w:rPr>
          <w:sz w:val="22"/>
          <w:szCs w:val="22"/>
        </w:rPr>
        <w:t>ecutor’s Office filed a request for dismissal. In June 2022 Antigone objected to the request for dismissal, but unsuccessfully.</w:t>
      </w:r>
    </w:p>
    <w:p w:rsidR="00300835" w:rsidRDefault="00300835">
      <w:pPr>
        <w:jc w:val="both"/>
        <w:rPr>
          <w:sz w:val="22"/>
          <w:szCs w:val="22"/>
        </w:rPr>
      </w:pPr>
    </w:p>
    <w:p w:rsidR="00300835" w:rsidRDefault="00AA3C37">
      <w:pPr>
        <w:jc w:val="both"/>
        <w:rPr>
          <w:rFonts w:ascii="Barlow SemiBold" w:eastAsia="Barlow SemiBold" w:hAnsi="Barlow SemiBold" w:cs="Barlow SemiBold"/>
          <w:sz w:val="22"/>
          <w:szCs w:val="22"/>
        </w:rPr>
      </w:pPr>
      <w:r>
        <w:rPr>
          <w:rFonts w:ascii="Barlow SemiBold" w:eastAsia="Barlow SemiBold" w:hAnsi="Barlow SemiBold" w:cs="Barlow SemiBold"/>
          <w:sz w:val="22"/>
          <w:szCs w:val="22"/>
        </w:rPr>
        <w:t>The Milan Opera Case</w:t>
      </w:r>
    </w:p>
    <w:p w:rsidR="00300835" w:rsidRDefault="00AA3C37">
      <w:pPr>
        <w:jc w:val="both"/>
        <w:rPr>
          <w:sz w:val="22"/>
          <w:szCs w:val="22"/>
        </w:rPr>
      </w:pPr>
      <w:r>
        <w:rPr>
          <w:sz w:val="22"/>
          <w:szCs w:val="22"/>
        </w:rPr>
        <w:t>According to testimonies collected by Antigone from several detainees held in the Milan Opera prison, on 9</w:t>
      </w:r>
      <w:r>
        <w:rPr>
          <w:sz w:val="22"/>
          <w:szCs w:val="22"/>
        </w:rPr>
        <w:t xml:space="preserve"> March 2020, following a protest by a group of detainees related to the Coronavirus emergency, several police forces (State Police, Prison Police and Carabinieri) allegedly entered the institution at two different times.</w:t>
      </w:r>
    </w:p>
    <w:p w:rsidR="00300835" w:rsidRDefault="00AA3C37">
      <w:pPr>
        <w:jc w:val="both"/>
        <w:rPr>
          <w:sz w:val="22"/>
          <w:szCs w:val="22"/>
        </w:rPr>
      </w:pPr>
      <w:r>
        <w:rPr>
          <w:sz w:val="22"/>
          <w:szCs w:val="22"/>
        </w:rPr>
        <w:t>The first intervention reportedly o</w:t>
      </w:r>
      <w:r>
        <w:rPr>
          <w:sz w:val="22"/>
          <w:szCs w:val="22"/>
        </w:rPr>
        <w:t xml:space="preserve">ccurred at around 6 p.m. and was intended to disperse a protest that had broken out in response to the measures imposed to combat the spread of the virus, and to return the detainees to their cells.  The second intervention allegedly took place after 8:30 </w:t>
      </w:r>
      <w:r>
        <w:rPr>
          <w:sz w:val="22"/>
          <w:szCs w:val="22"/>
        </w:rPr>
        <w:t>p.m., when the lights were reportedly turned off and the police forces entered the cells in order to beat the detainees who had participated in the protest, including those who had not taken part. According to the testimonies, the victims also included a 7</w:t>
      </w:r>
      <w:r>
        <w:rPr>
          <w:sz w:val="22"/>
          <w:szCs w:val="22"/>
        </w:rPr>
        <w:t>0-year-old detainee. Investigations into these events are still ongoing.</w:t>
      </w:r>
    </w:p>
    <w:p w:rsidR="00300835" w:rsidRDefault="00AA3C37">
      <w:pPr>
        <w:jc w:val="both"/>
        <w:rPr>
          <w:sz w:val="22"/>
          <w:szCs w:val="22"/>
        </w:rPr>
      </w:pPr>
      <w:r>
        <w:rPr>
          <w:sz w:val="22"/>
          <w:szCs w:val="22"/>
        </w:rPr>
        <w:t xml:space="preserve">In the meantime, in the summer of 2024 the Public Prosecutor’s Office of Milan opened a new investigation into alleged ill-treatment in the Opera prison. The investigation originated </w:t>
      </w:r>
      <w:r>
        <w:rPr>
          <w:sz w:val="22"/>
          <w:szCs w:val="22"/>
        </w:rPr>
        <w:t xml:space="preserve">from two complaints submitted by the Ombudsperson of the city of Milan, to which additional reports were added. In an anonymous letter, a detainee spoke of a “total violation of human rights”, recounting collective beatings carried out by approximately 20 </w:t>
      </w:r>
      <w:r>
        <w:rPr>
          <w:sz w:val="22"/>
          <w:szCs w:val="22"/>
        </w:rPr>
        <w:t>officers armed with batons and iron bars, as well as serious omissions in medical assistance. The investigation is still in the preliminary stage.</w:t>
      </w:r>
    </w:p>
    <w:p w:rsidR="00300835" w:rsidRDefault="00300835">
      <w:pPr>
        <w:jc w:val="both"/>
        <w:rPr>
          <w:sz w:val="22"/>
          <w:szCs w:val="22"/>
        </w:rPr>
      </w:pPr>
    </w:p>
    <w:p w:rsidR="00300835" w:rsidRDefault="00AA3C37">
      <w:pPr>
        <w:jc w:val="both"/>
        <w:rPr>
          <w:sz w:val="22"/>
          <w:szCs w:val="22"/>
        </w:rPr>
      </w:pPr>
      <w:r>
        <w:rPr>
          <w:rFonts w:ascii="Barlow SemiBold" w:eastAsia="Barlow SemiBold" w:hAnsi="Barlow SemiBold" w:cs="Barlow SemiBold"/>
          <w:sz w:val="22"/>
          <w:szCs w:val="22"/>
        </w:rPr>
        <w:t>The Pavia Case</w:t>
      </w:r>
    </w:p>
    <w:p w:rsidR="00300835" w:rsidRDefault="00AA3C37">
      <w:pPr>
        <w:jc w:val="both"/>
        <w:rPr>
          <w:sz w:val="22"/>
          <w:szCs w:val="22"/>
        </w:rPr>
      </w:pPr>
      <w:r>
        <w:rPr>
          <w:sz w:val="22"/>
          <w:szCs w:val="22"/>
        </w:rPr>
        <w:t>According to testimonies collected by Antigone from several detainees held in the Pavia priso</w:t>
      </w:r>
      <w:r>
        <w:rPr>
          <w:sz w:val="22"/>
          <w:szCs w:val="22"/>
        </w:rPr>
        <w:t>n, on 9 March 2020, following a protest related to the Coronavirus emergency that occurred on 8 March 2020, several prison police officers allegedly removed detainees from their cells and took them to the lower floors of the building, where there are sever</w:t>
      </w:r>
      <w:r>
        <w:rPr>
          <w:sz w:val="22"/>
          <w:szCs w:val="22"/>
        </w:rPr>
        <w:t>al cells separated from the other sections. Here the detainees were allegedly forced to undress and remain standing with their faces turned toward the wall. Subsequently, the officers allegedly beat them with batons on the head and throughout the body. The</w:t>
      </w:r>
      <w:r>
        <w:rPr>
          <w:sz w:val="22"/>
          <w:szCs w:val="22"/>
        </w:rPr>
        <w:t xml:space="preserve"> violence allegedly left evident marks on their bodies; according to the accounts, some detainees reportedly had difficulty speaking, while others allegedly urinated blood. Subsequently, some of them were reportedly immediately transferred to other prisons</w:t>
      </w:r>
      <w:r>
        <w:rPr>
          <w:sz w:val="22"/>
          <w:szCs w:val="22"/>
        </w:rPr>
        <w:t xml:space="preserve"> without clothing or personal belongings.</w:t>
      </w:r>
    </w:p>
    <w:p w:rsidR="00300835" w:rsidRDefault="00AA3C37">
      <w:pPr>
        <w:jc w:val="both"/>
        <w:rPr>
          <w:sz w:val="22"/>
          <w:szCs w:val="22"/>
        </w:rPr>
      </w:pPr>
      <w:r>
        <w:rPr>
          <w:sz w:val="22"/>
          <w:szCs w:val="22"/>
        </w:rPr>
        <w:t xml:space="preserve">Investigations into the violence that occurred in the days following the protest involved 9 prison officers, but were dismissed due to insufficient evidence. A different outcome occurred for the detainees involved </w:t>
      </w:r>
      <w:r>
        <w:rPr>
          <w:sz w:val="22"/>
          <w:szCs w:val="22"/>
        </w:rPr>
        <w:t xml:space="preserve">in the protest: </w:t>
      </w:r>
      <w:proofErr w:type="gramStart"/>
      <w:r>
        <w:rPr>
          <w:sz w:val="22"/>
          <w:szCs w:val="22"/>
        </w:rPr>
        <w:t>68  of</w:t>
      </w:r>
      <w:proofErr w:type="gramEnd"/>
      <w:r>
        <w:rPr>
          <w:sz w:val="22"/>
          <w:szCs w:val="22"/>
        </w:rPr>
        <w:t xml:space="preserve"> them were committed to trial on charges of damage and looting. The Public Prosecutor’s Office rejected all attempts to reduce the seriousness of the </w:t>
      </w:r>
      <w:r>
        <w:rPr>
          <w:sz w:val="22"/>
          <w:szCs w:val="22"/>
        </w:rPr>
        <w:lastRenderedPageBreak/>
        <w:t>charges. The trial is still ongoing: some defendants have been convicted under the a</w:t>
      </w:r>
      <w:r>
        <w:rPr>
          <w:sz w:val="22"/>
          <w:szCs w:val="22"/>
        </w:rPr>
        <w:t>bbreviated procedure, while others have been acquitted.</w:t>
      </w:r>
    </w:p>
    <w:p w:rsidR="00300835" w:rsidRDefault="00300835">
      <w:pPr>
        <w:jc w:val="both"/>
        <w:rPr>
          <w:rFonts w:ascii="Barlow SemiBold" w:eastAsia="Barlow SemiBold" w:hAnsi="Barlow SemiBold" w:cs="Barlow SemiBold"/>
          <w:sz w:val="22"/>
          <w:szCs w:val="22"/>
        </w:rPr>
      </w:pPr>
    </w:p>
    <w:p w:rsidR="00300835" w:rsidRDefault="00AA3C37">
      <w:pPr>
        <w:jc w:val="both"/>
        <w:rPr>
          <w:sz w:val="22"/>
          <w:szCs w:val="22"/>
        </w:rPr>
      </w:pPr>
      <w:r>
        <w:rPr>
          <w:rFonts w:ascii="Barlow SemiBold" w:eastAsia="Barlow SemiBold" w:hAnsi="Barlow SemiBold" w:cs="Barlow SemiBold"/>
          <w:sz w:val="22"/>
          <w:szCs w:val="22"/>
        </w:rPr>
        <w:t>The Melfi Case</w:t>
      </w:r>
    </w:p>
    <w:p w:rsidR="00300835" w:rsidRDefault="00AA3C37">
      <w:pPr>
        <w:jc w:val="both"/>
        <w:rPr>
          <w:sz w:val="22"/>
          <w:szCs w:val="22"/>
        </w:rPr>
      </w:pPr>
      <w:r>
        <w:rPr>
          <w:sz w:val="22"/>
          <w:szCs w:val="22"/>
        </w:rPr>
        <w:t>According to testimonies collected by Antigone from several detainees of the Melfi prison, during the night between 16 and 17 March 2020 prison officers allegedly committed acts of vio</w:t>
      </w:r>
      <w:r>
        <w:rPr>
          <w:sz w:val="22"/>
          <w:szCs w:val="22"/>
        </w:rPr>
        <w:t>lence against detainees. It should be recalled that on 9 March 2020 a protest related to the Coronavirus emergency had taken place and that it had been reported that several members of staff had been taken hostage by detainees; however, one of them, belong</w:t>
      </w:r>
      <w:r>
        <w:rPr>
          <w:sz w:val="22"/>
          <w:szCs w:val="22"/>
        </w:rPr>
        <w:t>ing to the medical staff, later declared that during the protest the detainees had never been violent toward persons.</w:t>
      </w:r>
    </w:p>
    <w:p w:rsidR="00300835" w:rsidRDefault="00AA3C37">
      <w:pPr>
        <w:jc w:val="both"/>
        <w:rPr>
          <w:sz w:val="22"/>
          <w:szCs w:val="22"/>
        </w:rPr>
      </w:pPr>
      <w:r>
        <w:rPr>
          <w:sz w:val="22"/>
          <w:szCs w:val="22"/>
        </w:rPr>
        <w:t>During the night between 16 and 17 March, at approximately 3:30 a.m., several prison police officers allegedly entered the cells of the hi</w:t>
      </w:r>
      <w:r>
        <w:rPr>
          <w:sz w:val="22"/>
          <w:szCs w:val="22"/>
        </w:rPr>
        <w:t>gh-security section, handcuffed the detainees and struck them with batons while insulting them and spitting on them. According to the accounts, several detainees were allegedly taken to the solitary confinement unit, beaten and left wearing only their unde</w:t>
      </w:r>
      <w:r>
        <w:rPr>
          <w:sz w:val="22"/>
          <w:szCs w:val="22"/>
        </w:rPr>
        <w:t>rwear; some of them, due to the beatings, were reportedly unable to walk.</w:t>
      </w:r>
    </w:p>
    <w:p w:rsidR="00300835" w:rsidRDefault="00AA3C37">
      <w:pPr>
        <w:jc w:val="both"/>
        <w:rPr>
          <w:sz w:val="22"/>
          <w:szCs w:val="22"/>
        </w:rPr>
      </w:pPr>
      <w:r>
        <w:rPr>
          <w:sz w:val="22"/>
          <w:szCs w:val="22"/>
        </w:rPr>
        <w:t xml:space="preserve">Following these episodes, several detainees declared that they had been forced to sign a statement asserting that the injuries were the result of an accidental fall. Subsequently at </w:t>
      </w:r>
      <w:r>
        <w:rPr>
          <w:sz w:val="22"/>
          <w:szCs w:val="22"/>
        </w:rPr>
        <w:t>least seventy of them were allegedly transferred to other prison facilities without being able to dress or take personal belongings with them. Further acts of violence reportedly occurred during the transfers: detainees were allegedly not allowed to take b</w:t>
      </w:r>
      <w:r>
        <w:rPr>
          <w:sz w:val="22"/>
          <w:szCs w:val="22"/>
        </w:rPr>
        <w:t>reaks to go to the bathroom and were not provided with food or water.</w:t>
      </w:r>
    </w:p>
    <w:p w:rsidR="00300835" w:rsidRDefault="00AA3C37">
      <w:pPr>
        <w:jc w:val="both"/>
        <w:rPr>
          <w:sz w:val="22"/>
          <w:szCs w:val="22"/>
        </w:rPr>
      </w:pPr>
      <w:r>
        <w:rPr>
          <w:sz w:val="22"/>
          <w:szCs w:val="22"/>
        </w:rPr>
        <w:t xml:space="preserve">Several relatives reported the events to the authorities. In April 2020 Antigone filed a complaint against the prison police officers and doctors for violence, abuse and torture. In May </w:t>
      </w:r>
      <w:r>
        <w:rPr>
          <w:sz w:val="22"/>
          <w:szCs w:val="22"/>
        </w:rPr>
        <w:t>2021 the Public Prosecutor’s Office at the Court of Potenza requested the dismissal of the case. In June 2021 Antigone lodged an objection to the request for dismissal. In March 2022 the judge for preliminary investigations ordered the dismissal of the pro</w:t>
      </w:r>
      <w:r>
        <w:rPr>
          <w:sz w:val="22"/>
          <w:szCs w:val="22"/>
        </w:rPr>
        <w:t>ceedings, considering that there were no elements capable of attributing criminal responsibility, since the intervention of the prison police to organise the transfer of detainees had allegedly been carried out “by surprise”, thereby provoking resistance b</w:t>
      </w:r>
      <w:r>
        <w:rPr>
          <w:sz w:val="22"/>
          <w:szCs w:val="22"/>
        </w:rPr>
        <w:t>y the detainees and resulting in the use of force by the officers.</w:t>
      </w:r>
    </w:p>
    <w:p w:rsidR="00300835" w:rsidRDefault="00300835">
      <w:pPr>
        <w:jc w:val="both"/>
        <w:rPr>
          <w:sz w:val="22"/>
          <w:szCs w:val="22"/>
        </w:rPr>
      </w:pPr>
    </w:p>
    <w:p w:rsidR="00300835" w:rsidRDefault="00AA3C37">
      <w:pPr>
        <w:jc w:val="both"/>
        <w:rPr>
          <w:sz w:val="22"/>
          <w:szCs w:val="22"/>
        </w:rPr>
      </w:pPr>
      <w:r>
        <w:rPr>
          <w:rFonts w:ascii="Barlow SemiBold" w:eastAsia="Barlow SemiBold" w:hAnsi="Barlow SemiBold" w:cs="Barlow SemiBold"/>
          <w:sz w:val="22"/>
          <w:szCs w:val="22"/>
        </w:rPr>
        <w:t>The Santa Maria Capua Vetere Case</w:t>
      </w:r>
    </w:p>
    <w:p w:rsidR="00300835" w:rsidRDefault="00AA3C37">
      <w:pPr>
        <w:jc w:val="both"/>
        <w:rPr>
          <w:sz w:val="22"/>
          <w:szCs w:val="22"/>
        </w:rPr>
      </w:pPr>
      <w:r>
        <w:rPr>
          <w:sz w:val="22"/>
          <w:szCs w:val="22"/>
        </w:rPr>
        <w:t>According to testimonies collected by Antigone from several detainees of the Santa Maria Capua Vetere prison, on 6 April 2020 several prison police office</w:t>
      </w:r>
      <w:r>
        <w:rPr>
          <w:sz w:val="22"/>
          <w:szCs w:val="22"/>
        </w:rPr>
        <w:t>rs allegedly committed acts of violence against some detainees. It should be recalled that on 5 April 2020 a protest related to the Coronavirus emergency had taken place in the “Nilo” section of the institution, after detainees had learned that one of them</w:t>
      </w:r>
      <w:r>
        <w:rPr>
          <w:sz w:val="22"/>
          <w:szCs w:val="22"/>
        </w:rPr>
        <w:t xml:space="preserve"> had tested positive for the virus. Approximately 150 detainees had begun banging on the bars of their cells as a form of protest, and those housed in the “Nilo” section had occupied the section, built barricades and demanded personal protective equipment </w:t>
      </w:r>
      <w:r>
        <w:rPr>
          <w:sz w:val="22"/>
          <w:szCs w:val="22"/>
        </w:rPr>
        <w:t xml:space="preserve">against the virus, such as masks, gloves and disinfectants. According to the reconstructions, no violence against persons was committed and no objects were destroyed. The end of the protest was negotiated and the detainees were promised a meeting with the </w:t>
      </w:r>
      <w:r>
        <w:rPr>
          <w:sz w:val="22"/>
          <w:szCs w:val="22"/>
        </w:rPr>
        <w:t>supervisory judge the following day, which in fact took place.</w:t>
      </w:r>
    </w:p>
    <w:p w:rsidR="00300835" w:rsidRDefault="00AA3C37">
      <w:pPr>
        <w:jc w:val="both"/>
        <w:rPr>
          <w:sz w:val="22"/>
          <w:szCs w:val="22"/>
        </w:rPr>
      </w:pPr>
      <w:r>
        <w:rPr>
          <w:sz w:val="22"/>
          <w:szCs w:val="22"/>
        </w:rPr>
        <w:lastRenderedPageBreak/>
        <w:t>However, between 3:00 p.m. and 4:00 p.m. on 6 April, approximately 400 prison police officers allegedly entered the “Nilo” section and the cells in riot-control gear and allegedly beat detainee</w:t>
      </w:r>
      <w:r>
        <w:rPr>
          <w:sz w:val="22"/>
          <w:szCs w:val="22"/>
        </w:rPr>
        <w:t>s with kicks, punches and batons. Several detainees reported that they had been taken out of their cells and forced to run in order to avoid the blows until reaching the outdoor area. Some allegedly also suffered other forms of humiliation.</w:t>
      </w:r>
    </w:p>
    <w:p w:rsidR="00300835" w:rsidRDefault="00AA3C37">
      <w:pPr>
        <w:jc w:val="both"/>
        <w:rPr>
          <w:sz w:val="22"/>
          <w:szCs w:val="22"/>
        </w:rPr>
      </w:pPr>
      <w:r>
        <w:rPr>
          <w:sz w:val="22"/>
          <w:szCs w:val="22"/>
        </w:rPr>
        <w:t>Following the violence, some detainees were allegedly placed in isolation, while others were transferred to other institutions. Several also reported having been threatened in order to prevent them from recounting what had occurred. According to some testi</w:t>
      </w:r>
      <w:r>
        <w:rPr>
          <w:sz w:val="22"/>
          <w:szCs w:val="22"/>
        </w:rPr>
        <w:t xml:space="preserve">monies, the medical staff allegedly avoided reporting the injuries and providing adequate treatment. Reports of these events were collected by Antigone, by the Regional Ombudsperson of Campania, by the Ombudsperson of the Municipality of Naples and by the </w:t>
      </w:r>
      <w:r>
        <w:rPr>
          <w:sz w:val="22"/>
          <w:szCs w:val="22"/>
        </w:rPr>
        <w:t>Bar Association of Santa Maria Capua Vetere.</w:t>
      </w:r>
    </w:p>
    <w:p w:rsidR="00300835" w:rsidRDefault="00AA3C37">
      <w:pPr>
        <w:jc w:val="both"/>
        <w:rPr>
          <w:sz w:val="22"/>
          <w:szCs w:val="22"/>
        </w:rPr>
      </w:pPr>
      <w:r>
        <w:rPr>
          <w:sz w:val="22"/>
          <w:szCs w:val="22"/>
        </w:rPr>
        <w:t>Following further investigations, on 7 November 2022 the most significant trial for charges of torture in the history of the Italian Republic began before the Court of Assizes of Santa Maria Capua Vetere, with 1</w:t>
      </w:r>
      <w:r>
        <w:rPr>
          <w:sz w:val="22"/>
          <w:szCs w:val="22"/>
        </w:rPr>
        <w:t>06 defendants charged in various capacities with torture, failure to report, aiding and abetting, omission of official acts, forgery of public documents and failure to report, and with 177 injured parties. The preliminary hearing began in March 2023. The t</w:t>
      </w:r>
      <w:r>
        <w:rPr>
          <w:sz w:val="22"/>
          <w:szCs w:val="22"/>
        </w:rPr>
        <w:t>rial is currently in the evidentiary phase, with two hearings per week, and it is expected that it may conclude by the summer of 2026.</w:t>
      </w:r>
    </w:p>
    <w:p w:rsidR="00300835" w:rsidRDefault="00AA3C37">
      <w:pPr>
        <w:jc w:val="both"/>
        <w:rPr>
          <w:sz w:val="22"/>
          <w:szCs w:val="22"/>
        </w:rPr>
      </w:pPr>
      <w:r>
        <w:rPr>
          <w:sz w:val="22"/>
          <w:szCs w:val="22"/>
        </w:rPr>
        <w:t>Furthermore, in January 2026 the preliminary hearing of an additional proceeding took place in relation to the same event</w:t>
      </w:r>
      <w:r>
        <w:rPr>
          <w:sz w:val="22"/>
          <w:szCs w:val="22"/>
        </w:rPr>
        <w:t>s but concerning conduct committed by other prison officers, identified through the viewing of video recordings during the trial.</w:t>
      </w:r>
    </w:p>
    <w:p w:rsidR="00300835" w:rsidRDefault="00300835">
      <w:pPr>
        <w:jc w:val="both"/>
        <w:rPr>
          <w:sz w:val="22"/>
          <w:szCs w:val="22"/>
          <w:u w:val="single"/>
        </w:rPr>
      </w:pPr>
    </w:p>
    <w:p w:rsidR="00300835" w:rsidRDefault="00AA3C37">
      <w:pPr>
        <w:jc w:val="both"/>
        <w:rPr>
          <w:sz w:val="22"/>
          <w:szCs w:val="22"/>
          <w:u w:val="single"/>
        </w:rPr>
      </w:pPr>
      <w:r>
        <w:rPr>
          <w:sz w:val="22"/>
          <w:szCs w:val="22"/>
          <w:u w:val="single"/>
        </w:rPr>
        <w:t>Most recent cases</w:t>
      </w:r>
    </w:p>
    <w:p w:rsidR="00300835" w:rsidRDefault="00300835">
      <w:pPr>
        <w:jc w:val="both"/>
        <w:rPr>
          <w:rFonts w:ascii="Barlow SemiBold" w:eastAsia="Barlow SemiBold" w:hAnsi="Barlow SemiBold" w:cs="Barlow SemiBold"/>
          <w:sz w:val="22"/>
          <w:szCs w:val="22"/>
        </w:rPr>
      </w:pPr>
    </w:p>
    <w:p w:rsidR="0084360B" w:rsidRDefault="0084360B">
      <w:pPr>
        <w:jc w:val="both"/>
        <w:rPr>
          <w:rFonts w:ascii="Barlow SemiBold" w:eastAsia="Barlow SemiBold" w:hAnsi="Barlow SemiBold" w:cs="Barlow SemiBold"/>
          <w:sz w:val="22"/>
          <w:szCs w:val="22"/>
        </w:rPr>
      </w:pPr>
      <w:r>
        <w:rPr>
          <w:rFonts w:ascii="Barlow SemiBold" w:eastAsia="Barlow SemiBold" w:hAnsi="Barlow SemiBold" w:cs="Barlow SemiBold"/>
          <w:sz w:val="22"/>
          <w:szCs w:val="22"/>
        </w:rPr>
        <w:t>The Beccaria case</w:t>
      </w:r>
    </w:p>
    <w:p w:rsidR="00300835" w:rsidRDefault="00AA3C37">
      <w:pPr>
        <w:jc w:val="both"/>
        <w:rPr>
          <w:sz w:val="22"/>
          <w:szCs w:val="22"/>
        </w:rPr>
      </w:pPr>
      <w:r>
        <w:rPr>
          <w:sz w:val="22"/>
          <w:szCs w:val="22"/>
        </w:rPr>
        <w:t>For the first time since Antigone began its litigation activities, a complaint was filed in 2024 for acts of violence that took place at a juvenile detention centre, namely the “Cesare Beccaria” juvenile prison in Milan. The allegations concern torture, be</w:t>
      </w:r>
      <w:r>
        <w:rPr>
          <w:sz w:val="22"/>
          <w:szCs w:val="22"/>
        </w:rPr>
        <w:t>atings, genital injuries, punitive isolation, falsification of documents and the instrumental use of psychotropic drugs to the detriment of eight boys, all minors at the time of the events. The techniques used – soapy floors to make the boys fall, padded c</w:t>
      </w:r>
      <w:r>
        <w:rPr>
          <w:sz w:val="22"/>
          <w:szCs w:val="22"/>
        </w:rPr>
        <w:t>lothing to cushion the blows, beatings in areas not covered by CCTV cameras – speak of daily violence. Among the most serious cases is the gang rape of a minor in 2022, which resulted in serious injuries and a total lack of supervision. Those most affected</w:t>
      </w:r>
      <w:r>
        <w:rPr>
          <w:sz w:val="22"/>
          <w:szCs w:val="22"/>
        </w:rPr>
        <w:t xml:space="preserve"> are the most vulnerable: foreign minors, LGBTQIA+ minors, minors with mental health issues or without family support networks. Over time, the investigation into the violence and abuse committed between 2021 and 2024 has expanded. The number of suspects ro</w:t>
      </w:r>
      <w:r>
        <w:rPr>
          <w:sz w:val="22"/>
          <w:szCs w:val="22"/>
        </w:rPr>
        <w:t>se from 42 to 51, including officers, commanders, two former directors, a former deputy director and doctors who allegedly falsified reports. The violence, often in areas without CCTV cameras, included beatings, threats and punitive isolation. The investig</w:t>
      </w:r>
      <w:r>
        <w:rPr>
          <w:sz w:val="22"/>
          <w:szCs w:val="22"/>
        </w:rPr>
        <w:t>ation is still in its preliminary stages and currently involves 33 young victims.</w:t>
      </w:r>
    </w:p>
    <w:p w:rsidR="00300835" w:rsidRDefault="00300835">
      <w:pPr>
        <w:jc w:val="both"/>
        <w:rPr>
          <w:sz w:val="22"/>
          <w:szCs w:val="22"/>
        </w:rPr>
      </w:pPr>
    </w:p>
    <w:p w:rsidR="00300835" w:rsidRDefault="00AA3C37">
      <w:pPr>
        <w:jc w:val="both"/>
        <w:rPr>
          <w:rFonts w:ascii="Barlow SemiBold" w:eastAsia="Barlow SemiBold" w:hAnsi="Barlow SemiBold" w:cs="Barlow SemiBold"/>
          <w:sz w:val="22"/>
          <w:szCs w:val="22"/>
        </w:rPr>
      </w:pPr>
      <w:r>
        <w:rPr>
          <w:rFonts w:ascii="Barlow SemiBold" w:eastAsia="Barlow SemiBold" w:hAnsi="Barlow SemiBold" w:cs="Barlow SemiBold"/>
          <w:sz w:val="22"/>
          <w:szCs w:val="22"/>
        </w:rPr>
        <w:lastRenderedPageBreak/>
        <w:t>The Casal del Marmo case</w:t>
      </w:r>
    </w:p>
    <w:p w:rsidR="00300835" w:rsidRDefault="00AA3C37">
      <w:pPr>
        <w:jc w:val="both"/>
        <w:rPr>
          <w:sz w:val="22"/>
          <w:szCs w:val="22"/>
        </w:rPr>
      </w:pPr>
      <w:r>
        <w:rPr>
          <w:sz w:val="22"/>
          <w:szCs w:val="22"/>
        </w:rPr>
        <w:t>In July 2025, Antigone filed a complaint regarding serious acts of violence allegedly committed by prison police officers against young inmates at t</w:t>
      </w:r>
      <w:r>
        <w:rPr>
          <w:sz w:val="22"/>
          <w:szCs w:val="22"/>
        </w:rPr>
        <w:t xml:space="preserve">he “Casal del Marmo” juvenile prison in Rome. On 12 March 2026, it was announced that the Rome Public Prosecutor's Office had opened an investigation into 10 prison police officers. 2 are under investigation for torture, 5 for bodily harm and 3 for making </w:t>
      </w:r>
      <w:r>
        <w:rPr>
          <w:sz w:val="22"/>
          <w:szCs w:val="22"/>
        </w:rPr>
        <w:t>false statements for ideological reasons. The 13 victims identified so far are all foreign nationals aged between 16 and 20</w:t>
      </w:r>
      <w:r>
        <w:rPr>
          <w:sz w:val="22"/>
          <w:szCs w:val="22"/>
          <w:vertAlign w:val="superscript"/>
        </w:rPr>
        <w:footnoteReference w:id="52"/>
      </w:r>
      <w:r>
        <w:rPr>
          <w:sz w:val="22"/>
          <w:szCs w:val="22"/>
        </w:rPr>
        <w:t>. This is therefore the second ongoing proceeding for alleged torture against children detained in juvenile prisons.</w:t>
      </w:r>
    </w:p>
    <w:p w:rsidR="00300835" w:rsidRDefault="00300835">
      <w:pPr>
        <w:jc w:val="both"/>
        <w:rPr>
          <w:b/>
          <w:bCs/>
          <w:sz w:val="22"/>
          <w:szCs w:val="22"/>
        </w:rPr>
      </w:pPr>
    </w:p>
    <w:p w:rsidR="00300835" w:rsidRDefault="00AA3C37">
      <w:pPr>
        <w:jc w:val="both"/>
        <w:rPr>
          <w:rFonts w:ascii="Barlow SemiBold" w:eastAsia="Barlow SemiBold" w:hAnsi="Barlow SemiBold" w:cs="Barlow SemiBold"/>
          <w:sz w:val="22"/>
          <w:szCs w:val="22"/>
        </w:rPr>
      </w:pPr>
      <w:r>
        <w:rPr>
          <w:rFonts w:ascii="Barlow SemiBold" w:eastAsia="Barlow SemiBold" w:hAnsi="Barlow SemiBold" w:cs="Barlow SemiBold"/>
          <w:sz w:val="22"/>
          <w:szCs w:val="22"/>
        </w:rPr>
        <w:t>The Reggio Emi</w:t>
      </w:r>
      <w:r>
        <w:rPr>
          <w:rFonts w:ascii="Barlow SemiBold" w:eastAsia="Barlow SemiBold" w:hAnsi="Barlow SemiBold" w:cs="Barlow SemiBold"/>
          <w:sz w:val="22"/>
          <w:szCs w:val="22"/>
        </w:rPr>
        <w:t>lia case</w:t>
      </w:r>
    </w:p>
    <w:p w:rsidR="00300835" w:rsidRDefault="00AA3C37">
      <w:pPr>
        <w:jc w:val="both"/>
        <w:rPr>
          <w:sz w:val="22"/>
          <w:szCs w:val="22"/>
        </w:rPr>
      </w:pPr>
      <w:r>
        <w:rPr>
          <w:sz w:val="22"/>
          <w:szCs w:val="22"/>
        </w:rPr>
        <w:t>In April 2023, an inmate at Reggio Emilia prison reported that he had been subjected to violence and abuse by prison police officers. In January 2024, Antigone filed a complaint for alleged torture on behalf of the victim, as reported by their law</w:t>
      </w:r>
      <w:r>
        <w:rPr>
          <w:sz w:val="22"/>
          <w:szCs w:val="22"/>
        </w:rPr>
        <w:t>yer. Security camera footage</w:t>
      </w:r>
      <w:r>
        <w:rPr>
          <w:sz w:val="22"/>
          <w:szCs w:val="22"/>
          <w:vertAlign w:val="superscript"/>
        </w:rPr>
        <w:footnoteReference w:id="53"/>
      </w:r>
      <w:r>
        <w:rPr>
          <w:sz w:val="22"/>
          <w:szCs w:val="22"/>
        </w:rPr>
        <w:t xml:space="preserve"> from the prison corridor allegedly shows a group of officers dragging the inmate after covering his head with a hood, beating him until he fell to the ground, pinning him down, stripping him completely and continuing to beat h</w:t>
      </w:r>
      <w:r>
        <w:rPr>
          <w:sz w:val="22"/>
          <w:szCs w:val="22"/>
        </w:rPr>
        <w:t>im. They then took him to a cell in the isolation ward without his trousers or underwear. The prisoner cut himself and was left unattended for about 40 minutes.</w:t>
      </w:r>
    </w:p>
    <w:p w:rsidR="00300835" w:rsidRDefault="00AA3C37">
      <w:pPr>
        <w:jc w:val="both"/>
        <w:rPr>
          <w:sz w:val="22"/>
          <w:szCs w:val="22"/>
        </w:rPr>
      </w:pPr>
      <w:r>
        <w:rPr>
          <w:sz w:val="22"/>
          <w:szCs w:val="22"/>
        </w:rPr>
        <w:t>On 9 January 2024, the Antigone Association filed a complaint for torture, as reported by the l</w:t>
      </w:r>
      <w:r>
        <w:rPr>
          <w:sz w:val="22"/>
          <w:szCs w:val="22"/>
        </w:rPr>
        <w:t>awyer of an inmate at Reggio Emilia prison. On 14 March 2024, a preliminary hearing was set for 10 prison police officers charged with torture and other crimes.</w:t>
      </w:r>
    </w:p>
    <w:p w:rsidR="00300835" w:rsidRDefault="00AA3C37">
      <w:pPr>
        <w:jc w:val="both"/>
        <w:rPr>
          <w:sz w:val="22"/>
          <w:szCs w:val="22"/>
        </w:rPr>
      </w:pPr>
      <w:r>
        <w:rPr>
          <w:sz w:val="22"/>
          <w:szCs w:val="22"/>
        </w:rPr>
        <w:t>In February 2025, the trial ended with 80 officers being convicted of abuse of office under Art</w:t>
      </w:r>
      <w:r>
        <w:rPr>
          <w:sz w:val="22"/>
          <w:szCs w:val="22"/>
        </w:rPr>
        <w:t>icle 608 of the Criminal Code — with the crime of torture being downgraded — and for falsification. The prosecutor appealed, emphasising that covering the prisoner's head, stripping him and beating him fully fall within the definition of torture. Meanwhile</w:t>
      </w:r>
      <w:r>
        <w:rPr>
          <w:sz w:val="22"/>
          <w:szCs w:val="22"/>
        </w:rPr>
        <w:t>, another case was brought against officers who, although not directly involved in the violence, were present and did not intervene to stop it.</w:t>
      </w:r>
    </w:p>
    <w:p w:rsidR="00300835" w:rsidRDefault="00300835">
      <w:pPr>
        <w:jc w:val="both"/>
        <w:rPr>
          <w:sz w:val="22"/>
          <w:szCs w:val="22"/>
        </w:rPr>
      </w:pPr>
    </w:p>
    <w:p w:rsidR="0084360B" w:rsidRDefault="0084360B">
      <w:pPr>
        <w:jc w:val="both"/>
        <w:rPr>
          <w:rFonts w:ascii="Barlow SemiBold" w:eastAsia="Barlow SemiBold" w:hAnsi="Barlow SemiBold" w:cs="Barlow SemiBold"/>
          <w:sz w:val="22"/>
          <w:szCs w:val="22"/>
        </w:rPr>
      </w:pPr>
      <w:r>
        <w:rPr>
          <w:rFonts w:ascii="Barlow SemiBold" w:eastAsia="Barlow SemiBold" w:hAnsi="Barlow SemiBold" w:cs="Barlow SemiBold"/>
          <w:sz w:val="22"/>
          <w:szCs w:val="22"/>
        </w:rPr>
        <w:t>The Modena case</w:t>
      </w:r>
    </w:p>
    <w:p w:rsidR="00300835" w:rsidRDefault="00AA3C37">
      <w:pPr>
        <w:jc w:val="both"/>
        <w:rPr>
          <w:sz w:val="22"/>
          <w:szCs w:val="22"/>
        </w:rPr>
      </w:pPr>
      <w:r>
        <w:rPr>
          <w:sz w:val="22"/>
          <w:szCs w:val="22"/>
        </w:rPr>
        <w:t>The Modena case concerns proceedings for torture allegedly committed at the Modena prison facil</w:t>
      </w:r>
      <w:r>
        <w:rPr>
          <w:sz w:val="22"/>
          <w:szCs w:val="22"/>
        </w:rPr>
        <w:t xml:space="preserve">ity by numerous prison officers against 18 inmates during the protest that broke out on 8 March 2020, when the first measures to prevent the spread of COVID-19 were being implemented, including the suspension of treatment activities and visits with family </w:t>
      </w:r>
      <w:r>
        <w:rPr>
          <w:sz w:val="22"/>
          <w:szCs w:val="22"/>
        </w:rPr>
        <w:t xml:space="preserve">members. The facts are dramatically well known </w:t>
      </w:r>
      <w:r w:rsidR="0084360B">
        <w:rPr>
          <w:sz w:val="22"/>
          <w:szCs w:val="22"/>
        </w:rPr>
        <w:t>because 9</w:t>
      </w:r>
      <w:r>
        <w:rPr>
          <w:sz w:val="22"/>
          <w:szCs w:val="22"/>
        </w:rPr>
        <w:t xml:space="preserve"> people died as a result of these riots in the Modena prison, 5 in the same institution and four following transfer to other institutions.</w:t>
      </w:r>
      <w:r>
        <w:rPr>
          <w:sz w:val="22"/>
          <w:szCs w:val="22"/>
        </w:rPr>
        <w:br/>
        <w:t>The criminal proceedings for the deaths ended with the dismi</w:t>
      </w:r>
      <w:r>
        <w:rPr>
          <w:sz w:val="22"/>
          <w:szCs w:val="22"/>
        </w:rPr>
        <w:t xml:space="preserve">ssal of the cases against the prison police and medical staff (order of 10 June 2021) and an appeal is currently pending before the European Court of Human Rights filed by the victims' families and Antigone. </w:t>
      </w:r>
    </w:p>
    <w:p w:rsidR="00300835" w:rsidRDefault="00AA3C37">
      <w:pPr>
        <w:jc w:val="both"/>
        <w:rPr>
          <w:sz w:val="22"/>
          <w:szCs w:val="22"/>
        </w:rPr>
      </w:pPr>
      <w:r>
        <w:rPr>
          <w:sz w:val="22"/>
          <w:szCs w:val="22"/>
        </w:rPr>
        <w:lastRenderedPageBreak/>
        <w:t>The violence allegedly took place in areas with</w:t>
      </w:r>
      <w:r>
        <w:rPr>
          <w:sz w:val="22"/>
          <w:szCs w:val="22"/>
        </w:rPr>
        <w:t>out CCTV surveillance (namely the officers' barracks and a space between two carriage gates) or with CCTV systems that were not working at the time of the events (inside the sports field). The request for dismissal made by the Public Prosecutor (after nume</w:t>
      </w:r>
      <w:r>
        <w:rPr>
          <w:sz w:val="22"/>
          <w:szCs w:val="22"/>
        </w:rPr>
        <w:t>rous requests for extension of the preliminary investigations) was opposed by the victims and associations. In May 2024, the investigating judge of the Court of Modena dismissed the case against about 20 officers who were not on duty at the time of the eve</w:t>
      </w:r>
      <w:r>
        <w:rPr>
          <w:sz w:val="22"/>
          <w:szCs w:val="22"/>
        </w:rPr>
        <w:t>nts, while rejecting the request to dismiss the case against the nearly 100 officers still involved, ordering new investigations against them, which are currently still ongoing.</w:t>
      </w:r>
    </w:p>
    <w:p w:rsidR="00300835" w:rsidRDefault="00300835">
      <w:pPr>
        <w:jc w:val="both"/>
        <w:rPr>
          <w:color w:val="222222"/>
          <w:sz w:val="22"/>
          <w:szCs w:val="22"/>
        </w:rPr>
      </w:pPr>
    </w:p>
    <w:p w:rsidR="00300835" w:rsidRDefault="00AA3C37">
      <w:pPr>
        <w:jc w:val="both"/>
        <w:rPr>
          <w:b/>
          <w:bCs/>
          <w:color w:val="222222"/>
          <w:sz w:val="22"/>
          <w:szCs w:val="22"/>
        </w:rPr>
      </w:pPr>
      <w:r>
        <w:rPr>
          <w:b/>
          <w:bCs/>
          <w:color w:val="222222"/>
          <w:sz w:val="22"/>
          <w:szCs w:val="22"/>
        </w:rPr>
        <w:t xml:space="preserve">Statistical data </w:t>
      </w:r>
    </w:p>
    <w:p w:rsidR="00300835" w:rsidRDefault="00AA3C37">
      <w:pPr>
        <w:jc w:val="both"/>
        <w:rPr>
          <w:sz w:val="22"/>
          <w:szCs w:val="22"/>
        </w:rPr>
      </w:pPr>
      <w:r>
        <w:rPr>
          <w:sz w:val="22"/>
          <w:szCs w:val="22"/>
        </w:rPr>
        <w:t>Thanks to a Freedom of Information Act (FOIA) request submi</w:t>
      </w:r>
      <w:r>
        <w:rPr>
          <w:sz w:val="22"/>
          <w:szCs w:val="22"/>
        </w:rPr>
        <w:t xml:space="preserve">tted by Altreconomia, between 2017 and April 2024, 192 officers were under investigation for torture in Italy. </w:t>
      </w:r>
    </w:p>
    <w:p w:rsidR="00300835" w:rsidRDefault="00300835">
      <w:pPr>
        <w:jc w:val="both"/>
        <w:rPr>
          <w:color w:val="222222"/>
          <w:sz w:val="22"/>
          <w:szCs w:val="22"/>
        </w:rPr>
      </w:pPr>
    </w:p>
    <w:p w:rsidR="00300835" w:rsidRDefault="00300835">
      <w:pPr>
        <w:jc w:val="both"/>
        <w:rPr>
          <w:color w:val="222222"/>
          <w:sz w:val="22"/>
          <w:szCs w:val="22"/>
        </w:rPr>
      </w:pPr>
    </w:p>
    <w:p w:rsidR="00300835" w:rsidRDefault="00AA3C37">
      <w:pPr>
        <w:jc w:val="center"/>
        <w:rPr>
          <w:b/>
          <w:bCs/>
          <w:color w:val="222222"/>
          <w:sz w:val="22"/>
          <w:szCs w:val="22"/>
        </w:rPr>
      </w:pPr>
      <w:r>
        <w:rPr>
          <w:rFonts w:ascii="Montserrat Black" w:eastAsia="Montserrat Black" w:hAnsi="Montserrat Black" w:cs="Montserrat Black"/>
          <w:color w:val="222222"/>
          <w:sz w:val="24"/>
          <w:szCs w:val="24"/>
        </w:rPr>
        <w:t>Article 14</w:t>
      </w:r>
    </w:p>
    <w:p w:rsidR="00300835" w:rsidRDefault="00300835">
      <w:pPr>
        <w:jc w:val="both"/>
        <w:rPr>
          <w:b/>
          <w:bCs/>
          <w:color w:val="222222"/>
          <w:sz w:val="22"/>
          <w:szCs w:val="22"/>
        </w:rPr>
      </w:pPr>
    </w:p>
    <w:p w:rsidR="00300835" w:rsidRDefault="00AA3C37">
      <w:pPr>
        <w:jc w:val="both"/>
        <w:rPr>
          <w:b/>
          <w:bCs/>
          <w:color w:val="222222"/>
          <w:sz w:val="22"/>
          <w:szCs w:val="22"/>
        </w:rPr>
      </w:pPr>
      <w:r>
        <w:rPr>
          <w:b/>
          <w:bCs/>
          <w:color w:val="222222"/>
          <w:sz w:val="22"/>
          <w:szCs w:val="22"/>
        </w:rPr>
        <w:t>Art. 35 ter of the Prison Law: compensatory remedy</w:t>
      </w:r>
    </w:p>
    <w:p w:rsidR="00300835" w:rsidRDefault="00AA3C37">
      <w:pPr>
        <w:jc w:val="both"/>
        <w:rPr>
          <w:rFonts w:ascii="Arial" w:eastAsia="Arial" w:hAnsi="Arial" w:cs="Arial"/>
          <w:sz w:val="22"/>
          <w:szCs w:val="22"/>
        </w:rPr>
      </w:pPr>
      <w:r>
        <w:rPr>
          <w:sz w:val="22"/>
          <w:szCs w:val="22"/>
        </w:rPr>
        <w:t>In the case Torreggiani and others v. Italy</w:t>
      </w:r>
      <w:r>
        <w:rPr>
          <w:sz w:val="22"/>
          <w:szCs w:val="22"/>
          <w:vertAlign w:val="superscript"/>
        </w:rPr>
        <w:footnoteReference w:id="54"/>
      </w:r>
      <w:r>
        <w:rPr>
          <w:sz w:val="22"/>
          <w:szCs w:val="22"/>
        </w:rPr>
        <w:t xml:space="preserve"> the ECtHR condemned Italy for the violation of Article 3 of the European Convention on Human Rights. This decision has had a profound impact on Italian prisons, determining a number of reforms. It is in this context that Italy introduced a compensatory re</w:t>
      </w:r>
      <w:r>
        <w:rPr>
          <w:sz w:val="22"/>
          <w:szCs w:val="22"/>
        </w:rPr>
        <w:t>medy in 2014 for detainees who have suffered treatment in violation of Article 3 of the Convention. Detainees who have been subjected to non-compliant treatment and have been detained for at least 15 days under conditions that violate Article 3 have the ri</w:t>
      </w:r>
      <w:r>
        <w:rPr>
          <w:sz w:val="22"/>
          <w:szCs w:val="22"/>
        </w:rPr>
        <w:t xml:space="preserve">ght to obtain a reduction of their remaining prison sentence, equivalent to one day for every ten days of violation. </w:t>
      </w:r>
      <w:r>
        <w:rPr>
          <w:rFonts w:ascii="Arial" w:eastAsia="Arial" w:hAnsi="Arial" w:cs="Arial"/>
          <w:sz w:val="22"/>
          <w:szCs w:val="22"/>
        </w:rPr>
        <w:t xml:space="preserve"> </w:t>
      </w:r>
      <w:r>
        <w:rPr>
          <w:sz w:val="22"/>
          <w:szCs w:val="22"/>
        </w:rPr>
        <w:t>Those who have served a sentence of less than 15 days or are no longer in detention (or whose remaining sentence does not allow for the fu</w:t>
      </w:r>
      <w:r>
        <w:rPr>
          <w:sz w:val="22"/>
          <w:szCs w:val="22"/>
        </w:rPr>
        <w:t>ll deduction of the sentence reduction described above) have the right to receive compensation of 8 euros for each day spent in detention under the aforementioned conditions.</w:t>
      </w:r>
    </w:p>
    <w:p w:rsidR="00300835" w:rsidRDefault="00AA3C37">
      <w:pPr>
        <w:jc w:val="both"/>
        <w:rPr>
          <w:sz w:val="22"/>
          <w:szCs w:val="22"/>
        </w:rPr>
      </w:pPr>
      <w:r>
        <w:rPr>
          <w:sz w:val="22"/>
          <w:szCs w:val="22"/>
        </w:rPr>
        <w:t>A complaint can be filed within 6 months of the end of detention or pre-trial detention in prison. According to the most recent data available, during 2024, Italian surveillance offices decided 10.097 complaints; of these 5.837 (57.8%) were accepted. As ca</w:t>
      </w:r>
      <w:r>
        <w:rPr>
          <w:sz w:val="22"/>
          <w:szCs w:val="22"/>
        </w:rPr>
        <w:t>n be seen from the graph below, the number of compensations has been increasing since 2021. In particular, in 2024, there was a 23.3% increase compared to complaints upheld in 2023.</w:t>
      </w:r>
    </w:p>
    <w:p w:rsidR="0084360B" w:rsidRDefault="0084360B">
      <w:pPr>
        <w:jc w:val="both"/>
        <w:rPr>
          <w:sz w:val="22"/>
          <w:szCs w:val="22"/>
        </w:rPr>
      </w:pPr>
    </w:p>
    <w:p w:rsidR="00300835" w:rsidRDefault="00300835">
      <w:pPr>
        <w:jc w:val="both"/>
        <w:rPr>
          <w:sz w:val="22"/>
          <w:szCs w:val="22"/>
        </w:rPr>
      </w:pPr>
    </w:p>
    <w:tbl>
      <w:tblPr>
        <w:tblStyle w:val="a"/>
        <w:tblW w:w="67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5"/>
        <w:gridCol w:w="2145"/>
        <w:gridCol w:w="2745"/>
      </w:tblGrid>
      <w:tr w:rsidR="00300835">
        <w:trPr>
          <w:jc w:val="center"/>
        </w:trPr>
        <w:tc>
          <w:tcPr>
            <w:tcW w:w="1905" w:type="dxa"/>
            <w:tcBorders>
              <w:top w:val="single" w:sz="4" w:space="0" w:color="000000"/>
              <w:left w:val="single" w:sz="4" w:space="0" w:color="000000"/>
              <w:bottom w:val="single" w:sz="4" w:space="0" w:color="000000"/>
              <w:right w:val="single" w:sz="4" w:space="0" w:color="000000"/>
            </w:tcBorders>
            <w:shd w:val="clear" w:color="auto" w:fill="BFD121"/>
            <w:tcMar>
              <w:top w:w="56" w:type="dxa"/>
              <w:left w:w="56" w:type="dxa"/>
              <w:bottom w:w="56" w:type="dxa"/>
              <w:right w:w="56" w:type="dxa"/>
            </w:tcMar>
          </w:tcPr>
          <w:p w:rsidR="00300835" w:rsidRPr="0084360B" w:rsidRDefault="00AA3C37">
            <w:pPr>
              <w:widowControl w:val="0"/>
              <w:jc w:val="both"/>
              <w:rPr>
                <w:b/>
                <w:bCs/>
                <w:sz w:val="20"/>
                <w:szCs w:val="20"/>
                <w:highlight w:val="none"/>
              </w:rPr>
            </w:pPr>
            <w:r w:rsidRPr="0084360B">
              <w:rPr>
                <w:b/>
                <w:bCs/>
                <w:sz w:val="20"/>
                <w:szCs w:val="20"/>
                <w:highlight w:val="none"/>
              </w:rPr>
              <w:t>Year</w:t>
            </w:r>
          </w:p>
        </w:tc>
        <w:tc>
          <w:tcPr>
            <w:tcW w:w="2145" w:type="dxa"/>
            <w:tcBorders>
              <w:top w:val="single" w:sz="4" w:space="0" w:color="000000"/>
              <w:left w:val="single" w:sz="4" w:space="0" w:color="000000"/>
              <w:bottom w:val="single" w:sz="4" w:space="0" w:color="000000"/>
              <w:right w:val="single" w:sz="4" w:space="0" w:color="000000"/>
            </w:tcBorders>
            <w:shd w:val="clear" w:color="auto" w:fill="BFD121"/>
            <w:tcMar>
              <w:top w:w="56" w:type="dxa"/>
              <w:left w:w="56" w:type="dxa"/>
              <w:bottom w:w="56" w:type="dxa"/>
              <w:right w:w="56" w:type="dxa"/>
            </w:tcMar>
          </w:tcPr>
          <w:p w:rsidR="00300835" w:rsidRPr="0084360B" w:rsidRDefault="00AA3C37">
            <w:pPr>
              <w:widowControl w:val="0"/>
              <w:jc w:val="both"/>
              <w:rPr>
                <w:b/>
                <w:bCs/>
                <w:sz w:val="20"/>
                <w:szCs w:val="20"/>
                <w:highlight w:val="none"/>
              </w:rPr>
            </w:pPr>
            <w:r w:rsidRPr="0084360B">
              <w:rPr>
                <w:b/>
                <w:bCs/>
                <w:sz w:val="20"/>
                <w:szCs w:val="20"/>
                <w:highlight w:val="none"/>
              </w:rPr>
              <w:t>Cases decided</w:t>
            </w:r>
          </w:p>
        </w:tc>
        <w:tc>
          <w:tcPr>
            <w:tcW w:w="2745" w:type="dxa"/>
            <w:tcBorders>
              <w:top w:val="single" w:sz="4" w:space="0" w:color="000000"/>
              <w:left w:val="single" w:sz="4" w:space="0" w:color="000000"/>
              <w:bottom w:val="single" w:sz="4" w:space="0" w:color="000000"/>
              <w:right w:val="single" w:sz="4" w:space="0" w:color="000000"/>
            </w:tcBorders>
            <w:shd w:val="clear" w:color="auto" w:fill="BFD121"/>
            <w:tcMar>
              <w:top w:w="56" w:type="dxa"/>
              <w:left w:w="56" w:type="dxa"/>
              <w:bottom w:w="56" w:type="dxa"/>
              <w:right w:w="56" w:type="dxa"/>
            </w:tcMar>
          </w:tcPr>
          <w:p w:rsidR="00300835" w:rsidRPr="0084360B" w:rsidRDefault="00AA3C37">
            <w:pPr>
              <w:widowControl w:val="0"/>
              <w:jc w:val="both"/>
              <w:rPr>
                <w:b/>
                <w:bCs/>
                <w:sz w:val="20"/>
                <w:szCs w:val="20"/>
                <w:highlight w:val="none"/>
              </w:rPr>
            </w:pPr>
            <w:r w:rsidRPr="0084360B">
              <w:rPr>
                <w:b/>
                <w:bCs/>
                <w:sz w:val="20"/>
                <w:szCs w:val="20"/>
                <w:highlight w:val="none"/>
              </w:rPr>
              <w:t>Compensation granted</w:t>
            </w:r>
          </w:p>
        </w:tc>
      </w:tr>
      <w:tr w:rsidR="00300835">
        <w:trPr>
          <w:jc w:val="center"/>
        </w:trPr>
        <w:tc>
          <w:tcPr>
            <w:tcW w:w="190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2019</w:t>
            </w:r>
          </w:p>
        </w:tc>
        <w:tc>
          <w:tcPr>
            <w:tcW w:w="21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7.905</w:t>
            </w:r>
          </w:p>
        </w:tc>
        <w:tc>
          <w:tcPr>
            <w:tcW w:w="27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4.347</w:t>
            </w:r>
          </w:p>
        </w:tc>
      </w:tr>
      <w:tr w:rsidR="00300835">
        <w:trPr>
          <w:jc w:val="center"/>
        </w:trPr>
        <w:tc>
          <w:tcPr>
            <w:tcW w:w="190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2020</w:t>
            </w:r>
          </w:p>
        </w:tc>
        <w:tc>
          <w:tcPr>
            <w:tcW w:w="21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6.975</w:t>
            </w:r>
          </w:p>
        </w:tc>
        <w:tc>
          <w:tcPr>
            <w:tcW w:w="27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3.382</w:t>
            </w:r>
          </w:p>
        </w:tc>
      </w:tr>
      <w:tr w:rsidR="00300835">
        <w:trPr>
          <w:jc w:val="center"/>
        </w:trPr>
        <w:tc>
          <w:tcPr>
            <w:tcW w:w="190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2021</w:t>
            </w:r>
          </w:p>
        </w:tc>
        <w:tc>
          <w:tcPr>
            <w:tcW w:w="21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7.769</w:t>
            </w:r>
          </w:p>
        </w:tc>
        <w:tc>
          <w:tcPr>
            <w:tcW w:w="27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4.212</w:t>
            </w:r>
          </w:p>
        </w:tc>
      </w:tr>
      <w:tr w:rsidR="00300835">
        <w:trPr>
          <w:jc w:val="center"/>
        </w:trPr>
        <w:tc>
          <w:tcPr>
            <w:tcW w:w="190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lastRenderedPageBreak/>
              <w:t>2022</w:t>
            </w:r>
          </w:p>
        </w:tc>
        <w:tc>
          <w:tcPr>
            <w:tcW w:w="21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7.859</w:t>
            </w:r>
          </w:p>
        </w:tc>
        <w:tc>
          <w:tcPr>
            <w:tcW w:w="27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4.514</w:t>
            </w:r>
          </w:p>
        </w:tc>
      </w:tr>
      <w:tr w:rsidR="00300835">
        <w:trPr>
          <w:jc w:val="center"/>
        </w:trPr>
        <w:tc>
          <w:tcPr>
            <w:tcW w:w="190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2023</w:t>
            </w:r>
          </w:p>
        </w:tc>
        <w:tc>
          <w:tcPr>
            <w:tcW w:w="21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8.234</w:t>
            </w:r>
          </w:p>
        </w:tc>
        <w:tc>
          <w:tcPr>
            <w:tcW w:w="27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4.731</w:t>
            </w:r>
          </w:p>
        </w:tc>
      </w:tr>
      <w:tr w:rsidR="00300835">
        <w:trPr>
          <w:jc w:val="center"/>
        </w:trPr>
        <w:tc>
          <w:tcPr>
            <w:tcW w:w="190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2024</w:t>
            </w:r>
          </w:p>
        </w:tc>
        <w:tc>
          <w:tcPr>
            <w:tcW w:w="21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10.097</w:t>
            </w:r>
          </w:p>
        </w:tc>
        <w:tc>
          <w:tcPr>
            <w:tcW w:w="274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tcPr>
          <w:p w:rsidR="00300835" w:rsidRDefault="00AA3C37">
            <w:pPr>
              <w:widowControl w:val="0"/>
              <w:jc w:val="both"/>
              <w:rPr>
                <w:sz w:val="20"/>
                <w:szCs w:val="20"/>
              </w:rPr>
            </w:pPr>
            <w:r>
              <w:rPr>
                <w:sz w:val="20"/>
                <w:szCs w:val="20"/>
              </w:rPr>
              <w:t>5.837</w:t>
            </w:r>
          </w:p>
        </w:tc>
      </w:tr>
    </w:tbl>
    <w:p w:rsidR="00300835" w:rsidRDefault="00300835">
      <w:pPr>
        <w:jc w:val="both"/>
        <w:rPr>
          <w:sz w:val="22"/>
          <w:szCs w:val="22"/>
        </w:rPr>
      </w:pPr>
    </w:p>
    <w:p w:rsidR="00300835" w:rsidRDefault="00AA3C37">
      <w:pPr>
        <w:jc w:val="both"/>
        <w:rPr>
          <w:rFonts w:ascii="Arial" w:eastAsia="Arial" w:hAnsi="Arial" w:cs="Arial"/>
          <w:sz w:val="22"/>
          <w:szCs w:val="22"/>
        </w:rPr>
      </w:pPr>
      <w:r>
        <w:rPr>
          <w:sz w:val="22"/>
          <w:szCs w:val="22"/>
        </w:rPr>
        <w:t xml:space="preserve">It is important to consider that these figures are not only high, but also not covering all the cases of violation of Article 3, as some of them are handled through civil proceedings. Unfortunately, no data is available regarding those proceedings. </w:t>
      </w:r>
    </w:p>
    <w:p w:rsidR="00300835" w:rsidRDefault="00AA3C37">
      <w:pPr>
        <w:jc w:val="both"/>
        <w:rPr>
          <w:color w:val="222222"/>
          <w:sz w:val="22"/>
          <w:szCs w:val="22"/>
        </w:rPr>
      </w:pPr>
      <w:r>
        <w:rPr>
          <w:sz w:val="22"/>
          <w:szCs w:val="22"/>
        </w:rPr>
        <w:t>This s</w:t>
      </w:r>
      <w:r>
        <w:rPr>
          <w:sz w:val="22"/>
          <w:szCs w:val="22"/>
        </w:rPr>
        <w:t>uggests that Italy is systematically condemned by its own courts for violating Article 3 of the ECHR, even more than at the time of the momentous Torreggiani ruling</w:t>
      </w:r>
      <w:r>
        <w:rPr>
          <w:sz w:val="22"/>
          <w:szCs w:val="22"/>
          <w:vertAlign w:val="superscript"/>
        </w:rPr>
        <w:footnoteReference w:id="55"/>
      </w:r>
      <w:r>
        <w:rPr>
          <w:sz w:val="22"/>
          <w:szCs w:val="22"/>
        </w:rPr>
        <w:t xml:space="preserve">. </w:t>
      </w: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300835" w:rsidRDefault="00300835">
      <w:pPr>
        <w:rPr>
          <w:rFonts w:ascii="Montserrat Black" w:eastAsia="Montserrat Black" w:hAnsi="Montserrat Black" w:cs="Montserrat Black"/>
          <w:color w:val="222222"/>
          <w:sz w:val="24"/>
          <w:szCs w:val="24"/>
        </w:rPr>
      </w:pPr>
    </w:p>
    <w:p w:rsidR="0084360B" w:rsidRDefault="0084360B">
      <w:pPr>
        <w:rPr>
          <w:rFonts w:ascii="Montserrat Black" w:eastAsia="Montserrat Black" w:hAnsi="Montserrat Black" w:cs="Montserrat Black"/>
          <w:color w:val="222222"/>
          <w:sz w:val="24"/>
          <w:szCs w:val="24"/>
        </w:rPr>
      </w:pPr>
    </w:p>
    <w:p w:rsidR="0084360B" w:rsidRDefault="0084360B">
      <w:pPr>
        <w:rPr>
          <w:rFonts w:ascii="Montserrat Black" w:eastAsia="Montserrat Black" w:hAnsi="Montserrat Black" w:cs="Montserrat Black"/>
          <w:color w:val="222222"/>
          <w:sz w:val="24"/>
          <w:szCs w:val="24"/>
        </w:rPr>
      </w:pPr>
    </w:p>
    <w:p w:rsidR="0084360B" w:rsidRDefault="0084360B">
      <w:pPr>
        <w:rPr>
          <w:rFonts w:ascii="Montserrat Black" w:eastAsia="Montserrat Black" w:hAnsi="Montserrat Black" w:cs="Montserrat Black"/>
          <w:color w:val="222222"/>
          <w:sz w:val="24"/>
          <w:szCs w:val="24"/>
        </w:rPr>
      </w:pPr>
    </w:p>
    <w:p w:rsidR="0084360B" w:rsidRDefault="0084360B">
      <w:pPr>
        <w:rPr>
          <w:rFonts w:ascii="Montserrat Black" w:eastAsia="Montserrat Black" w:hAnsi="Montserrat Black" w:cs="Montserrat Black"/>
          <w:color w:val="222222"/>
          <w:sz w:val="24"/>
          <w:szCs w:val="24"/>
        </w:rPr>
      </w:pPr>
    </w:p>
    <w:p w:rsidR="0084360B" w:rsidRDefault="0084360B">
      <w:pPr>
        <w:rPr>
          <w:rFonts w:ascii="Montserrat Black" w:eastAsia="Montserrat Black" w:hAnsi="Montserrat Black" w:cs="Montserrat Black"/>
          <w:color w:val="222222"/>
          <w:sz w:val="24"/>
          <w:szCs w:val="24"/>
        </w:rPr>
      </w:pPr>
    </w:p>
    <w:p w:rsidR="00300835" w:rsidRDefault="00AA3C37">
      <w:pPr>
        <w:jc w:val="center"/>
        <w:rPr>
          <w:rFonts w:ascii="Montserrat Black" w:eastAsia="Montserrat Black" w:hAnsi="Montserrat Black" w:cs="Montserrat Black"/>
          <w:color w:val="222222"/>
          <w:sz w:val="24"/>
          <w:szCs w:val="24"/>
        </w:rPr>
      </w:pPr>
      <w:r>
        <w:rPr>
          <w:rFonts w:ascii="Montserrat Black" w:eastAsia="Montserrat Black" w:hAnsi="Montserrat Black" w:cs="Montserrat Black"/>
          <w:color w:val="222222"/>
          <w:sz w:val="24"/>
          <w:szCs w:val="24"/>
        </w:rPr>
        <w:lastRenderedPageBreak/>
        <w:t xml:space="preserve">Recommendations </w:t>
      </w:r>
    </w:p>
    <w:p w:rsidR="00300835" w:rsidRDefault="00300835">
      <w:pPr>
        <w:jc w:val="both"/>
        <w:rPr>
          <w:sz w:val="22"/>
          <w:szCs w:val="22"/>
        </w:rPr>
      </w:pPr>
    </w:p>
    <w:p w:rsidR="00300835" w:rsidRDefault="00AA3C37">
      <w:pPr>
        <w:widowControl w:val="0"/>
        <w:numPr>
          <w:ilvl w:val="0"/>
          <w:numId w:val="1"/>
        </w:numPr>
        <w:ind w:right="-220"/>
        <w:jc w:val="both"/>
        <w:rPr>
          <w:rFonts w:ascii="Barlow Medium" w:eastAsia="Barlow Medium" w:hAnsi="Barlow Medium" w:cs="Barlow Medium"/>
          <w:sz w:val="22"/>
          <w:szCs w:val="22"/>
        </w:rPr>
      </w:pPr>
      <w:r>
        <w:rPr>
          <w:rFonts w:ascii="Barlow Medium" w:eastAsia="Barlow Medium" w:hAnsi="Barlow Medium" w:cs="Barlow Medium"/>
          <w:sz w:val="22"/>
          <w:szCs w:val="22"/>
        </w:rPr>
        <w:t>Review the offense of prison riot by decriminalizing any non-violent conduct carried out by incarcerated individuals. In particular, it is essential to ensure that peaceful protest behaviors, especially passive resistance, are not criminalized, as this cou</w:t>
      </w:r>
      <w:r>
        <w:rPr>
          <w:rFonts w:ascii="Barlow Medium" w:eastAsia="Barlow Medium" w:hAnsi="Barlow Medium" w:cs="Barlow Medium"/>
          <w:sz w:val="22"/>
          <w:szCs w:val="22"/>
        </w:rPr>
        <w:t>ld compromise the right of detainees to express dissent.</w:t>
      </w:r>
      <w:r>
        <w:rPr>
          <w:rFonts w:ascii="Barlow Medium" w:eastAsia="Barlow Medium" w:hAnsi="Barlow Medium" w:cs="Barlow Medium"/>
          <w:sz w:val="22"/>
          <w:szCs w:val="22"/>
        </w:rPr>
        <w:br/>
      </w:r>
    </w:p>
    <w:p w:rsidR="00300835" w:rsidRDefault="00AA3C37">
      <w:pPr>
        <w:widowControl w:val="0"/>
        <w:numPr>
          <w:ilvl w:val="0"/>
          <w:numId w:val="1"/>
        </w:numPr>
        <w:ind w:right="-220"/>
        <w:jc w:val="both"/>
        <w:rPr>
          <w:rFonts w:ascii="Barlow Medium" w:eastAsia="Barlow Medium" w:hAnsi="Barlow Medium" w:cs="Barlow Medium"/>
          <w:sz w:val="22"/>
          <w:szCs w:val="22"/>
        </w:rPr>
      </w:pPr>
      <w:r>
        <w:rPr>
          <w:rFonts w:ascii="Barlow Medium" w:eastAsia="Barlow Medium" w:hAnsi="Barlow Medium" w:cs="Barlow Medium"/>
          <w:sz w:val="22"/>
          <w:szCs w:val="22"/>
        </w:rPr>
        <w:t>Eliminate the provision for the use of undercover agents within penitentiary institutions. The introduction of such figures risks further undermining the already delicate environment of prison life,</w:t>
      </w:r>
      <w:r>
        <w:rPr>
          <w:rFonts w:ascii="Barlow Medium" w:eastAsia="Barlow Medium" w:hAnsi="Barlow Medium" w:cs="Barlow Medium"/>
          <w:sz w:val="22"/>
          <w:szCs w:val="22"/>
        </w:rPr>
        <w:t xml:space="preserve"> increasing mistrust and tensions between detainees and prison administration. This measure could also obscure internal dynamics within institutions, negatively affecting transparency and trust in the authorities.</w:t>
      </w:r>
      <w:r>
        <w:rPr>
          <w:rFonts w:ascii="Barlow Medium" w:eastAsia="Barlow Medium" w:hAnsi="Barlow Medium" w:cs="Barlow Medium"/>
          <w:sz w:val="22"/>
          <w:szCs w:val="22"/>
        </w:rPr>
        <w:br/>
      </w:r>
    </w:p>
    <w:p w:rsidR="00300835" w:rsidRDefault="00AA3C37">
      <w:pPr>
        <w:widowControl w:val="0"/>
        <w:numPr>
          <w:ilvl w:val="0"/>
          <w:numId w:val="1"/>
        </w:numPr>
        <w:ind w:right="-220"/>
        <w:jc w:val="both"/>
        <w:rPr>
          <w:rFonts w:ascii="Barlow Medium" w:eastAsia="Barlow Medium" w:hAnsi="Barlow Medium" w:cs="Barlow Medium"/>
          <w:sz w:val="22"/>
          <w:szCs w:val="22"/>
        </w:rPr>
      </w:pPr>
      <w:r>
        <w:rPr>
          <w:rFonts w:ascii="Barlow Medium" w:eastAsia="Barlow Medium" w:hAnsi="Barlow Medium" w:cs="Barlow Medium"/>
          <w:sz w:val="22"/>
          <w:szCs w:val="22"/>
        </w:rPr>
        <w:t>Reduce to the maximum extent possible, up</w:t>
      </w:r>
      <w:r>
        <w:rPr>
          <w:rFonts w:ascii="Barlow Medium" w:eastAsia="Barlow Medium" w:hAnsi="Barlow Medium" w:cs="Barlow Medium"/>
          <w:sz w:val="22"/>
          <w:szCs w:val="22"/>
        </w:rPr>
        <w:t xml:space="preserve"> to its complete elimination, the use of solitary confinement, both in its formal application under the law and in practices that replicate its effects in reality. Solitary confinement is now often used as a means of managing the most marginalized and vuln</w:t>
      </w:r>
      <w:r>
        <w:rPr>
          <w:rFonts w:ascii="Barlow Medium" w:eastAsia="Barlow Medium" w:hAnsi="Barlow Medium" w:cs="Barlow Medium"/>
          <w:sz w:val="22"/>
          <w:szCs w:val="22"/>
        </w:rPr>
        <w:t>erable groups of prisoners; it is urgent to put an end to this practice. Furthermore, the abolition of daytime solitary confinement (“isolamento diurno”) is also requested.</w:t>
      </w:r>
      <w:r>
        <w:rPr>
          <w:rFonts w:ascii="Barlow Medium" w:eastAsia="Barlow Medium" w:hAnsi="Barlow Medium" w:cs="Barlow Medium"/>
          <w:sz w:val="22"/>
          <w:szCs w:val="22"/>
        </w:rPr>
        <w:br/>
      </w:r>
    </w:p>
    <w:p w:rsidR="00300835" w:rsidRDefault="00AA3C37">
      <w:pPr>
        <w:widowControl w:val="0"/>
        <w:numPr>
          <w:ilvl w:val="0"/>
          <w:numId w:val="1"/>
        </w:numPr>
        <w:ind w:right="-220"/>
        <w:jc w:val="both"/>
        <w:rPr>
          <w:rFonts w:ascii="Barlow Medium" w:eastAsia="Barlow Medium" w:hAnsi="Barlow Medium" w:cs="Barlow Medium"/>
          <w:sz w:val="22"/>
          <w:szCs w:val="22"/>
        </w:rPr>
      </w:pPr>
      <w:r>
        <w:rPr>
          <w:rFonts w:ascii="Barlow Medium" w:eastAsia="Barlow Medium" w:hAnsi="Barlow Medium" w:cs="Barlow Medium"/>
          <w:sz w:val="22"/>
          <w:szCs w:val="22"/>
        </w:rPr>
        <w:t>Review the measures introduced by the so-called Caivano Decree-Law, which have neg</w:t>
      </w:r>
      <w:r>
        <w:rPr>
          <w:rFonts w:ascii="Barlow Medium" w:eastAsia="Barlow Medium" w:hAnsi="Barlow Medium" w:cs="Barlow Medium"/>
          <w:sz w:val="22"/>
          <w:szCs w:val="22"/>
        </w:rPr>
        <w:t>atively affected the juvenile justice system. This legislative intervention has contributed to overcrowding in juvenile facilities and has promoted a more punitive approach, conflicting with the educational and rehabilitative principles that have historica</w:t>
      </w:r>
      <w:r>
        <w:rPr>
          <w:rFonts w:ascii="Barlow Medium" w:eastAsia="Barlow Medium" w:hAnsi="Barlow Medium" w:cs="Barlow Medium"/>
          <w:sz w:val="22"/>
          <w:szCs w:val="22"/>
        </w:rPr>
        <w:t>lly characterized Italian juvenile justice. It is therefore necessary to consider revising these provisions in order to restore a balance that places greater emphasis on the protection and best interests of children.</w:t>
      </w:r>
    </w:p>
    <w:p w:rsidR="00300835" w:rsidRDefault="00300835">
      <w:pPr>
        <w:widowControl w:val="0"/>
        <w:ind w:left="720" w:right="-220"/>
        <w:jc w:val="both"/>
        <w:rPr>
          <w:rFonts w:ascii="Barlow Medium" w:eastAsia="Barlow Medium" w:hAnsi="Barlow Medium" w:cs="Barlow Medium"/>
          <w:sz w:val="22"/>
          <w:szCs w:val="22"/>
        </w:rPr>
      </w:pPr>
    </w:p>
    <w:p w:rsidR="00300835" w:rsidRDefault="00AA3C37">
      <w:pPr>
        <w:widowControl w:val="0"/>
        <w:numPr>
          <w:ilvl w:val="0"/>
          <w:numId w:val="1"/>
        </w:numPr>
        <w:ind w:right="-220"/>
        <w:jc w:val="both"/>
        <w:rPr>
          <w:rFonts w:ascii="Barlow Medium" w:eastAsia="Barlow Medium" w:hAnsi="Barlow Medium" w:cs="Barlow Medium"/>
          <w:sz w:val="22"/>
          <w:szCs w:val="22"/>
        </w:rPr>
      </w:pPr>
      <w:r>
        <w:rPr>
          <w:rFonts w:ascii="Barlow Medium" w:eastAsia="Barlow Medium" w:hAnsi="Barlow Medium" w:cs="Barlow Medium"/>
          <w:sz w:val="22"/>
          <w:szCs w:val="22"/>
        </w:rPr>
        <w:t>Urge the Government to more decisively</w:t>
      </w:r>
      <w:r>
        <w:rPr>
          <w:rFonts w:ascii="Barlow Medium" w:eastAsia="Barlow Medium" w:hAnsi="Barlow Medium" w:cs="Barlow Medium"/>
          <w:sz w:val="22"/>
          <w:szCs w:val="22"/>
        </w:rPr>
        <w:t xml:space="preserve"> support judicial proceedings concerning the crime of torture, including through the constitution of the State as a civil party in trials. Such a step would send a clear signal of institutional commitment to preventing and combating serious human rights vi</w:t>
      </w:r>
      <w:r>
        <w:rPr>
          <w:rFonts w:ascii="Barlow Medium" w:eastAsia="Barlow Medium" w:hAnsi="Barlow Medium" w:cs="Barlow Medium"/>
          <w:sz w:val="22"/>
          <w:szCs w:val="22"/>
        </w:rPr>
        <w:t>olations.</w:t>
      </w:r>
      <w:r>
        <w:rPr>
          <w:rFonts w:ascii="Barlow Medium" w:eastAsia="Barlow Medium" w:hAnsi="Barlow Medium" w:cs="Barlow Medium"/>
          <w:sz w:val="22"/>
          <w:szCs w:val="22"/>
        </w:rPr>
        <w:br/>
      </w:r>
    </w:p>
    <w:p w:rsidR="00300835" w:rsidRDefault="00AA3C37">
      <w:pPr>
        <w:widowControl w:val="0"/>
        <w:numPr>
          <w:ilvl w:val="0"/>
          <w:numId w:val="1"/>
        </w:numPr>
        <w:ind w:right="-220"/>
        <w:jc w:val="both"/>
        <w:rPr>
          <w:rFonts w:ascii="Barlow Medium" w:eastAsia="Barlow Medium" w:hAnsi="Barlow Medium" w:cs="Barlow Medium"/>
          <w:sz w:val="22"/>
          <w:szCs w:val="22"/>
        </w:rPr>
      </w:pPr>
      <w:r>
        <w:rPr>
          <w:rFonts w:ascii="Barlow Medium" w:eastAsia="Barlow Medium" w:hAnsi="Barlow Medium" w:cs="Barlow Medium"/>
          <w:sz w:val="22"/>
          <w:szCs w:val="22"/>
        </w:rPr>
        <w:t xml:space="preserve">Encourage the competent institutions to proceed with appointments to authorities responsible for safeguarding the rights of persons deprived of liberty, ensuring that these appointments meet effective criteria of independence and competence. In </w:t>
      </w:r>
      <w:r>
        <w:rPr>
          <w:rFonts w:ascii="Barlow Medium" w:eastAsia="Barlow Medium" w:hAnsi="Barlow Medium" w:cs="Barlow Medium"/>
          <w:sz w:val="22"/>
          <w:szCs w:val="22"/>
        </w:rPr>
        <w:t xml:space="preserve">particular, the evaluation of candidates should transparently take into account their professional backgrounds and relevant curricula. This is essential to guarantee that these bodies can carry out their monitoring and rights-protection functions credibly </w:t>
      </w:r>
      <w:r>
        <w:rPr>
          <w:rFonts w:ascii="Barlow Medium" w:eastAsia="Barlow Medium" w:hAnsi="Barlow Medium" w:cs="Barlow Medium"/>
          <w:sz w:val="22"/>
          <w:szCs w:val="22"/>
        </w:rPr>
        <w:t>and autonomously.</w:t>
      </w:r>
    </w:p>
    <w:p w:rsidR="00300835" w:rsidRDefault="00300835">
      <w:pPr>
        <w:shd w:val="clear" w:color="auto" w:fill="FFFFFF"/>
        <w:spacing w:before="200" w:after="200"/>
        <w:ind w:left="720"/>
        <w:rPr>
          <w:rFonts w:ascii="Arial" w:eastAsia="Arial" w:hAnsi="Arial" w:cs="Arial"/>
          <w:color w:val="222222"/>
          <w:sz w:val="22"/>
          <w:szCs w:val="22"/>
        </w:rPr>
      </w:pPr>
    </w:p>
    <w:p w:rsidR="00300835" w:rsidRDefault="00300835">
      <w:pPr>
        <w:jc w:val="both"/>
        <w:rPr>
          <w:sz w:val="22"/>
          <w:szCs w:val="22"/>
        </w:rPr>
      </w:pPr>
    </w:p>
    <w:sectPr w:rsidR="00300835">
      <w:type w:val="continuous"/>
      <w:pgSz w:w="11909" w:h="16834"/>
      <w:pgMar w:top="1440" w:right="1440" w:bottom="1440" w:left="1417"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C37" w:rsidRDefault="00AA3C37">
      <w:pPr>
        <w:spacing w:line="240" w:lineRule="auto"/>
      </w:pPr>
      <w:r>
        <w:separator/>
      </w:r>
    </w:p>
  </w:endnote>
  <w:endnote w:type="continuationSeparator" w:id="0">
    <w:p w:rsidR="00AA3C37" w:rsidRDefault="00AA3C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arlow">
    <w:panose1 w:val="00000500000000000000"/>
    <w:charset w:val="00"/>
    <w:family w:val="auto"/>
    <w:pitch w:val="variable"/>
    <w:sig w:usb0="20000007" w:usb1="00000000" w:usb2="00000000" w:usb3="00000000" w:csb0="00000193" w:csb1="00000000"/>
    <w:embedRegular r:id="rId1" w:fontKey="{2AB51B91-B4ED-4899-A306-97F2C6415C1E}"/>
    <w:embedBold r:id="rId2" w:fontKey="{89479840-72E9-4EB8-8509-D04F5B006B15}"/>
    <w:embedItalic r:id="rId3" w:fontKey="{25189143-6B23-45DE-A36E-31679185AE19}"/>
  </w:font>
  <w:font w:name="Arial">
    <w:panose1 w:val="020B0604020202020204"/>
    <w:charset w:val="00"/>
    <w:family w:val="swiss"/>
    <w:pitch w:val="variable"/>
    <w:sig w:usb0="E0002EFF" w:usb1="C000785B" w:usb2="00000009" w:usb3="00000000" w:csb0="000001FF" w:csb1="00000000"/>
  </w:font>
  <w:font w:name="Barlow Black">
    <w:panose1 w:val="00000A00000000000000"/>
    <w:charset w:val="00"/>
    <w:family w:val="auto"/>
    <w:pitch w:val="variable"/>
    <w:sig w:usb0="20000007" w:usb1="00000000" w:usb2="00000000" w:usb3="00000000" w:csb0="00000193" w:csb1="00000000"/>
    <w:embedRegular r:id="rId4" w:fontKey="{48514E46-C856-4BF3-B6B5-485179309572}"/>
    <w:embedItalic r:id="rId5" w:fontKey="{404B9FCA-8C3B-43B3-B634-22E4FA91BA86}"/>
  </w:font>
  <w:font w:name="Montserrat Black">
    <w:charset w:val="00"/>
    <w:family w:val="auto"/>
    <w:pitch w:val="default"/>
    <w:embedRegular r:id="rId6" w:fontKey="{DC5A7ECF-B8EA-4359-8DDC-257F45315ED0}"/>
  </w:font>
  <w:font w:name="Barlow SemiBold">
    <w:panose1 w:val="00000700000000000000"/>
    <w:charset w:val="00"/>
    <w:family w:val="auto"/>
    <w:pitch w:val="variable"/>
    <w:sig w:usb0="20000007" w:usb1="00000000" w:usb2="00000000" w:usb3="00000000" w:csb0="00000193" w:csb1="00000000"/>
    <w:embedRegular r:id="rId7" w:fontKey="{6BED4264-4C7F-49C7-AC83-9074AF56CAEA}"/>
  </w:font>
  <w:font w:name="Barlow Medium">
    <w:panose1 w:val="00000600000000000000"/>
    <w:charset w:val="00"/>
    <w:family w:val="auto"/>
    <w:pitch w:val="variable"/>
    <w:sig w:usb0="20000007" w:usb1="00000000" w:usb2="00000000" w:usb3="00000000" w:csb0="00000193" w:csb1="00000000"/>
    <w:embedRegular r:id="rId8" w:fontKey="{3E68602E-0ABF-4E73-8E31-64FBE0C7D1FF}"/>
  </w:font>
  <w:font w:name="Calibri">
    <w:panose1 w:val="020F0502020204030204"/>
    <w:charset w:val="00"/>
    <w:family w:val="swiss"/>
    <w:pitch w:val="variable"/>
    <w:sig w:usb0="E4002EFF" w:usb1="C200247B" w:usb2="00000009" w:usb3="00000000" w:csb0="000001FF" w:csb1="00000000"/>
    <w:embedRegular r:id="rId9" w:fontKey="{CC8BCE53-5ACE-4096-A816-1FB964944B1E}"/>
  </w:font>
  <w:font w:name="Cambria">
    <w:panose1 w:val="02040503050406030204"/>
    <w:charset w:val="00"/>
    <w:family w:val="roman"/>
    <w:pitch w:val="variable"/>
    <w:sig w:usb0="E00006FF" w:usb1="420024FF" w:usb2="02000000" w:usb3="00000000" w:csb0="0000019F" w:csb1="00000000"/>
    <w:embedRegular r:id="rId10" w:fontKey="{15F2AC4E-84FC-44BA-A64A-68EAFBB4F8E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835" w:rsidRDefault="00300835">
    <w:pPr>
      <w:rPr>
        <w:b/>
        <w:bCs/>
      </w:rPr>
    </w:pPr>
  </w:p>
  <w:p w:rsidR="00300835" w:rsidRDefault="00AA3C37">
    <w:pPr>
      <w:rPr>
        <w:sz w:val="19"/>
        <w:szCs w:val="19"/>
      </w:rPr>
    </w:pPr>
    <w:r>
      <w:rPr>
        <w:b/>
        <w:bCs/>
      </w:rPr>
      <w:t xml:space="preserve">Associazione ANTIGONE Onlus </w:t>
    </w:r>
    <w:r>
      <w:rPr>
        <w:sz w:val="19"/>
        <w:szCs w:val="19"/>
      </w:rPr>
      <w:t>- Via Monti di Pietralata 16, 00157 Roma</w:t>
    </w:r>
  </w:p>
  <w:p w:rsidR="00300835" w:rsidRDefault="00AA3C37">
    <w:pPr>
      <w:rPr>
        <w:b/>
        <w:bCs/>
        <w:sz w:val="19"/>
        <w:szCs w:val="19"/>
        <w:shd w:val="clear" w:color="auto" w:fill="BFD121"/>
      </w:rPr>
    </w:pPr>
    <w:r>
      <w:rPr>
        <w:sz w:val="19"/>
        <w:szCs w:val="19"/>
      </w:rPr>
      <w:t xml:space="preserve">Tel. +39.06.4511304 - Fax +39.06.62275849 - Email: </w:t>
    </w:r>
    <w:hyperlink r:id="rId1">
      <w:r>
        <w:rPr>
          <w:b/>
          <w:bCs/>
          <w:color w:val="BFD121"/>
          <w:sz w:val="19"/>
          <w:szCs w:val="19"/>
          <w:u w:val="single"/>
        </w:rPr>
        <w:t>segreteria@antigone.it</w:t>
      </w:r>
    </w:hyperlink>
    <w:r>
      <w:rPr>
        <w:sz w:val="19"/>
        <w:szCs w:val="19"/>
      </w:rPr>
      <w:t xml:space="preserve"> - </w:t>
    </w:r>
    <w:hyperlink r:id="rId2">
      <w:r>
        <w:rPr>
          <w:b/>
          <w:bCs/>
          <w:color w:val="BFD121"/>
          <w:sz w:val="19"/>
          <w:szCs w:val="19"/>
          <w:u w:val="single"/>
        </w:rPr>
        <w:t>www.antigone.it</w:t>
      </w:r>
    </w:hyperlink>
    <w:r>
      <w:rPr>
        <w:b/>
        <w:bCs/>
        <w:color w:val="BFD121"/>
        <w:sz w:val="19"/>
        <w:szCs w:val="19"/>
      </w:rPr>
      <w:t xml:space="preserve"> </w:t>
    </w:r>
  </w:p>
  <w:p w:rsidR="00300835" w:rsidRDefault="00300835">
    <w:pPr>
      <w:rPr>
        <w:b/>
        <w:bCs/>
      </w:rPr>
    </w:pPr>
  </w:p>
  <w:p w:rsidR="00300835" w:rsidRDefault="00AA3C37">
    <w:pPr>
      <w:rPr>
        <w:b/>
        <w:bCs/>
      </w:rPr>
    </w:pPr>
    <w:r>
      <w:rPr>
        <w:b/>
        <w:bCs/>
        <w:sz w:val="19"/>
        <w:szCs w:val="19"/>
        <w:shd w:val="clear" w:color="auto" w:fill="BFD121"/>
      </w:rPr>
      <w:t>SOSTIENI ANTIGONE CON IL 5x100</w:t>
    </w:r>
    <w:r>
      <w:rPr>
        <w:b/>
        <w:bCs/>
        <w:sz w:val="19"/>
        <w:szCs w:val="19"/>
        <w:shd w:val="clear" w:color="auto" w:fill="BFD121"/>
      </w:rPr>
      <w:t xml:space="preserve">0! </w:t>
    </w:r>
    <w:r>
      <w:rPr>
        <w:sz w:val="19"/>
        <w:szCs w:val="19"/>
      </w:rPr>
      <w:t xml:space="preserve">  </w:t>
    </w:r>
    <w:r>
      <w:rPr>
        <w:b/>
        <w:bCs/>
        <w:sz w:val="19"/>
        <w:szCs w:val="19"/>
      </w:rPr>
      <w:t>- CF 97 11 78 40 583</w:t>
    </w:r>
  </w:p>
  <w:p w:rsidR="00300835" w:rsidRDefault="00AA3C37">
    <w:pPr>
      <w:jc w:val="right"/>
      <w:rPr>
        <w:sz w:val="20"/>
        <w:szCs w:val="20"/>
      </w:rPr>
    </w:pPr>
    <w:r>
      <w:rPr>
        <w:sz w:val="20"/>
        <w:szCs w:val="20"/>
      </w:rPr>
      <w:fldChar w:fldCharType="begin"/>
    </w:r>
    <w:r>
      <w:rPr>
        <w:sz w:val="20"/>
        <w:szCs w:val="20"/>
      </w:rPr>
      <w:instrText>PAGE</w:instrText>
    </w:r>
    <w:r w:rsidR="0084360B">
      <w:rPr>
        <w:sz w:val="20"/>
        <w:szCs w:val="20"/>
      </w:rPr>
      <w:fldChar w:fldCharType="separate"/>
    </w:r>
    <w:r w:rsidR="004F6B11">
      <w:rPr>
        <w:noProof/>
        <w:sz w:val="20"/>
        <w:szCs w:val="20"/>
      </w:rPr>
      <w:t>26</w:t>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835" w:rsidRDefault="00AA3C37">
    <w:pPr>
      <w:rPr>
        <w:sz w:val="19"/>
        <w:szCs w:val="19"/>
      </w:rPr>
    </w:pPr>
    <w:r>
      <w:rPr>
        <w:b/>
        <w:bCs/>
      </w:rPr>
      <w:t xml:space="preserve">Associazione ANTIGONE Onlus </w:t>
    </w:r>
    <w:r>
      <w:rPr>
        <w:sz w:val="19"/>
        <w:szCs w:val="19"/>
      </w:rPr>
      <w:t>- Via Monti di Pietralata 16, 00157 Roma</w:t>
    </w:r>
  </w:p>
  <w:p w:rsidR="00300835" w:rsidRDefault="00AA3C37">
    <w:pPr>
      <w:rPr>
        <w:b/>
        <w:bCs/>
        <w:sz w:val="19"/>
        <w:szCs w:val="19"/>
        <w:shd w:val="clear" w:color="auto" w:fill="BFD121"/>
      </w:rPr>
    </w:pPr>
    <w:r>
      <w:rPr>
        <w:sz w:val="19"/>
        <w:szCs w:val="19"/>
      </w:rPr>
      <w:t xml:space="preserve">Tel. +39.06.4511304 - Fax +39.06.62275849 - Email: </w:t>
    </w:r>
    <w:hyperlink r:id="rId1">
      <w:r>
        <w:rPr>
          <w:b/>
          <w:bCs/>
          <w:color w:val="BFD121"/>
          <w:sz w:val="19"/>
          <w:szCs w:val="19"/>
          <w:u w:val="single"/>
        </w:rPr>
        <w:t>segreteria@antigone.it</w:t>
      </w:r>
    </w:hyperlink>
    <w:r>
      <w:rPr>
        <w:sz w:val="19"/>
        <w:szCs w:val="19"/>
      </w:rPr>
      <w:t xml:space="preserve"> - </w:t>
    </w:r>
    <w:hyperlink r:id="rId2">
      <w:r>
        <w:rPr>
          <w:b/>
          <w:bCs/>
          <w:color w:val="BFD121"/>
          <w:sz w:val="19"/>
          <w:szCs w:val="19"/>
          <w:u w:val="single"/>
        </w:rPr>
        <w:t>www.antigone.it</w:t>
      </w:r>
    </w:hyperlink>
    <w:r>
      <w:rPr>
        <w:b/>
        <w:bCs/>
        <w:color w:val="BFD121"/>
        <w:sz w:val="19"/>
        <w:szCs w:val="19"/>
      </w:rPr>
      <w:t xml:space="preserve"> </w:t>
    </w:r>
  </w:p>
  <w:p w:rsidR="00300835" w:rsidRDefault="00300835"/>
  <w:p w:rsidR="00300835" w:rsidRDefault="00300835">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C37" w:rsidRDefault="00AA3C37">
      <w:pPr>
        <w:spacing w:line="240" w:lineRule="auto"/>
      </w:pPr>
      <w:r>
        <w:separator/>
      </w:r>
    </w:p>
  </w:footnote>
  <w:footnote w:type="continuationSeparator" w:id="0">
    <w:p w:rsidR="00AA3C37" w:rsidRDefault="00AA3C37">
      <w:pPr>
        <w:spacing w:line="240" w:lineRule="auto"/>
      </w:pPr>
      <w:r>
        <w:continuationSeparator/>
      </w:r>
    </w:p>
  </w:footnote>
  <w:footnote w:id="1">
    <w:p w:rsidR="00300835" w:rsidRDefault="00AA3C37">
      <w:pPr>
        <w:spacing w:line="240" w:lineRule="auto"/>
        <w:rPr>
          <w:sz w:val="20"/>
          <w:szCs w:val="20"/>
        </w:rPr>
      </w:pPr>
      <w:r>
        <w:rPr>
          <w:vertAlign w:val="superscript"/>
        </w:rPr>
        <w:footnoteRef/>
      </w:r>
      <w:hyperlink r:id="rId1">
        <w:r>
          <w:rPr>
            <w:color w:val="1155CC"/>
            <w:sz w:val="20"/>
            <w:szCs w:val="20"/>
            <w:u w:val="single"/>
          </w:rPr>
          <w:t>https://www.brocardi.it/codice-penale/libro-secondo/titolo-xii/capo-iii/sezione-iii/art613bis.html?utm_source=internal&amp;utm_medium=link&amp;utm_campaign=articolo&amp;utm_content=nav_art_prec_top</w:t>
        </w:r>
      </w:hyperlink>
      <w:r>
        <w:rPr>
          <w:sz w:val="20"/>
          <w:szCs w:val="20"/>
        </w:rPr>
        <w:t xml:space="preserve"> </w:t>
      </w:r>
    </w:p>
  </w:footnote>
  <w:footnote w:id="2">
    <w:p w:rsidR="00300835" w:rsidRDefault="00AA3C37">
      <w:pPr>
        <w:spacing w:line="240" w:lineRule="auto"/>
        <w:rPr>
          <w:sz w:val="20"/>
          <w:szCs w:val="20"/>
        </w:rPr>
      </w:pPr>
      <w:r>
        <w:rPr>
          <w:vertAlign w:val="superscript"/>
        </w:rPr>
        <w:footnoteRef/>
      </w:r>
      <w:hyperlink r:id="rId2">
        <w:r>
          <w:rPr>
            <w:color w:val="1155CC"/>
            <w:sz w:val="20"/>
            <w:szCs w:val="20"/>
            <w:u w:val="single"/>
          </w:rPr>
          <w:t>https://www.ansa.it/amp/sito/notizie/politica/2025/06/25/salvini-serv</w:t>
        </w:r>
        <w:r>
          <w:rPr>
            <w:color w:val="1155CC"/>
            <w:sz w:val="20"/>
            <w:szCs w:val="20"/>
            <w:u w:val="single"/>
          </w:rPr>
          <w:t>e-circoscrivere-il-reato-di-tortura_bfbecc69-12bc-4f95-aa5f-1619b678f226.html?utm_source=chatgpt.com</w:t>
        </w:r>
      </w:hyperlink>
      <w:r>
        <w:rPr>
          <w:sz w:val="20"/>
          <w:szCs w:val="20"/>
        </w:rPr>
        <w:t xml:space="preserve"> </w:t>
      </w:r>
    </w:p>
  </w:footnote>
  <w:footnote w:id="3">
    <w:p w:rsidR="00300835" w:rsidRDefault="00AA3C37">
      <w:pPr>
        <w:spacing w:line="240" w:lineRule="auto"/>
        <w:rPr>
          <w:sz w:val="20"/>
          <w:szCs w:val="20"/>
        </w:rPr>
      </w:pPr>
      <w:r>
        <w:rPr>
          <w:vertAlign w:val="superscript"/>
        </w:rPr>
        <w:footnoteRef/>
      </w:r>
      <w:hyperlink r:id="rId3">
        <w:r>
          <w:rPr>
            <w:color w:val="1155CC"/>
            <w:sz w:val="20"/>
            <w:szCs w:val="20"/>
            <w:u w:val="single"/>
          </w:rPr>
          <w:t>https://www.ansa.it/sito/notizie/politica/2023/03/29/nordio-reato-tortura-e-odioso-governo-non-vuole-abrogarlo_48780764-996d-4660-8146-b74e8f44b904.html?utm_source=chatgpt.com</w:t>
        </w:r>
      </w:hyperlink>
      <w:r>
        <w:rPr>
          <w:sz w:val="20"/>
          <w:szCs w:val="20"/>
        </w:rPr>
        <w:t xml:space="preserve"> </w:t>
      </w:r>
    </w:p>
  </w:footnote>
  <w:footnote w:id="4">
    <w:p w:rsidR="00300835" w:rsidRDefault="00AA3C37">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https://www.brocardi.it/codice-penale/libro-secondo/titolo-v/art415bis.html</w:t>
        </w:r>
      </w:hyperlink>
      <w:r>
        <w:rPr>
          <w:sz w:val="20"/>
          <w:szCs w:val="20"/>
        </w:rPr>
        <w:t xml:space="preserve"> </w:t>
      </w:r>
    </w:p>
  </w:footnote>
  <w:footnote w:id="5">
    <w:p w:rsidR="00300835" w:rsidRDefault="00AA3C37">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https://www.brocardi.it/legge-ordinamento-penitenziario/titolo-i/capo-i/art4bis.html</w:t>
        </w:r>
      </w:hyperlink>
      <w:r>
        <w:rPr>
          <w:sz w:val="20"/>
          <w:szCs w:val="20"/>
        </w:rPr>
        <w:t xml:space="preserve"> </w:t>
      </w:r>
    </w:p>
  </w:footnote>
  <w:footnote w:id="6">
    <w:p w:rsidR="00300835" w:rsidRDefault="00AA3C37">
      <w:pPr>
        <w:spacing w:line="240" w:lineRule="auto"/>
        <w:rPr>
          <w:sz w:val="20"/>
          <w:szCs w:val="20"/>
        </w:rPr>
      </w:pPr>
      <w:r>
        <w:rPr>
          <w:vertAlign w:val="superscript"/>
        </w:rPr>
        <w:footnoteRef/>
      </w:r>
      <w:hyperlink r:id="rId6">
        <w:r>
          <w:rPr>
            <w:color w:val="1155CC"/>
            <w:sz w:val="20"/>
            <w:szCs w:val="20"/>
            <w:u w:val="single"/>
          </w:rPr>
          <w:t>https://www.garantenazionaleprivatiliberta.it/gnpl/resources/cms/documents/fc13013de38c3ba97c6d0357fe21b941.pdf</w:t>
        </w:r>
      </w:hyperlink>
      <w:r>
        <w:rPr>
          <w:sz w:val="20"/>
          <w:szCs w:val="20"/>
        </w:rPr>
        <w:t xml:space="preserve"> </w:t>
      </w:r>
    </w:p>
  </w:footnote>
  <w:footnote w:id="7">
    <w:p w:rsidR="00300835" w:rsidRDefault="00AA3C37">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https://www.normattiva.it/uri-res/N2Ls?urn:nir:stato:decreto.legge:2025-04-11;</w:t>
        </w:r>
        <w:r>
          <w:rPr>
            <w:color w:val="1155CC"/>
            <w:sz w:val="20"/>
            <w:szCs w:val="20"/>
            <w:u w:val="single"/>
          </w:rPr>
          <w:t>48</w:t>
        </w:r>
      </w:hyperlink>
      <w:r>
        <w:rPr>
          <w:sz w:val="20"/>
          <w:szCs w:val="20"/>
        </w:rPr>
        <w:t xml:space="preserve"> </w:t>
      </w:r>
    </w:p>
  </w:footnote>
  <w:footnote w:id="8">
    <w:p w:rsidR="00300835" w:rsidRDefault="00AA3C37">
      <w:pPr>
        <w:spacing w:line="240" w:lineRule="auto"/>
        <w:jc w:val="both"/>
        <w:rPr>
          <w:sz w:val="20"/>
          <w:szCs w:val="20"/>
        </w:rPr>
      </w:pPr>
      <w:r>
        <w:rPr>
          <w:vertAlign w:val="superscript"/>
        </w:rPr>
        <w:footnoteRef/>
      </w:r>
      <w:hyperlink r:id="rId8">
        <w:r>
          <w:rPr>
            <w:color w:val="1155CC"/>
            <w:sz w:val="20"/>
            <w:szCs w:val="20"/>
            <w:u w:val="single"/>
          </w:rPr>
          <w:t>https://www.normattiva.it/atto/caricaDettaglioAtto?atto.dataPubblicazioneGazzetta=2025-06-09&amp;atto.codiceRedazionale=25G00088&amp;atto.articolo.numero=0&amp;atto.articolo.sottoArticolo=1&amp;atto.artic</w:t>
        </w:r>
        <w:r>
          <w:rPr>
            <w:color w:val="1155CC"/>
            <w:sz w:val="20"/>
            <w:szCs w:val="20"/>
            <w:u w:val="single"/>
          </w:rPr>
          <w:t>olo.sottoArticolo1=0&amp;qId=ba885590-dbd1-4680-ab54-d5cd51a05d50&amp;tabID=0.26760378842390153&amp;title=lbl.dettaglioAtto</w:t>
        </w:r>
      </w:hyperlink>
      <w:r>
        <w:rPr>
          <w:sz w:val="20"/>
          <w:szCs w:val="20"/>
        </w:rPr>
        <w:t xml:space="preserve"> </w:t>
      </w:r>
    </w:p>
  </w:footnote>
  <w:footnote w:id="9">
    <w:p w:rsidR="00300835" w:rsidRDefault="00AA3C37">
      <w:pPr>
        <w:spacing w:line="240" w:lineRule="auto"/>
        <w:rPr>
          <w:sz w:val="20"/>
          <w:szCs w:val="20"/>
        </w:rPr>
      </w:pPr>
      <w:r>
        <w:rPr>
          <w:vertAlign w:val="superscript"/>
        </w:rPr>
        <w:footnoteRef/>
      </w:r>
      <w:r>
        <w:rPr>
          <w:sz w:val="20"/>
          <w:szCs w:val="20"/>
        </w:rPr>
        <w:t xml:space="preserve"> </w:t>
      </w:r>
      <w:hyperlink r:id="rId9">
        <w:r>
          <w:rPr>
            <w:color w:val="1155CC"/>
            <w:sz w:val="20"/>
            <w:szCs w:val="20"/>
            <w:u w:val="single"/>
          </w:rPr>
          <w:t>https://www.normattiva.it/eli/id/2026/02/24/26G00042/ORIGINAL</w:t>
        </w:r>
      </w:hyperlink>
      <w:r>
        <w:rPr>
          <w:sz w:val="20"/>
          <w:szCs w:val="20"/>
        </w:rPr>
        <w:t xml:space="preserve"> </w:t>
      </w:r>
    </w:p>
  </w:footnote>
  <w:footnote w:id="10">
    <w:p w:rsidR="00300835" w:rsidRDefault="00AA3C37">
      <w:pPr>
        <w:spacing w:line="240" w:lineRule="auto"/>
        <w:rPr>
          <w:sz w:val="20"/>
          <w:szCs w:val="20"/>
        </w:rPr>
      </w:pPr>
      <w:r>
        <w:rPr>
          <w:vertAlign w:val="superscript"/>
        </w:rPr>
        <w:footnoteRef/>
      </w:r>
      <w:r>
        <w:rPr>
          <w:sz w:val="20"/>
          <w:szCs w:val="20"/>
        </w:rPr>
        <w:t xml:space="preserve"> </w:t>
      </w:r>
      <w:hyperlink r:id="rId10">
        <w:r>
          <w:rPr>
            <w:color w:val="1155CC"/>
            <w:sz w:val="20"/>
            <w:szCs w:val="20"/>
            <w:u w:val="single"/>
          </w:rPr>
          <w:t>https://www.poliziapenitenziaria.it/spray-oc-sperimentazione-dap-polizia-penitenziaria/</w:t>
        </w:r>
      </w:hyperlink>
      <w:r>
        <w:rPr>
          <w:color w:val="222222"/>
          <w:sz w:val="20"/>
          <w:szCs w:val="20"/>
        </w:rPr>
        <w:t xml:space="preserve"> </w:t>
      </w:r>
    </w:p>
  </w:footnote>
  <w:footnote w:id="11">
    <w:p w:rsidR="00300835" w:rsidRDefault="00AA3C37">
      <w:pPr>
        <w:spacing w:line="240" w:lineRule="auto"/>
        <w:jc w:val="both"/>
        <w:rPr>
          <w:sz w:val="20"/>
          <w:szCs w:val="20"/>
        </w:rPr>
      </w:pPr>
      <w:r>
        <w:rPr>
          <w:vertAlign w:val="superscript"/>
        </w:rPr>
        <w:footnoteRef/>
      </w:r>
      <w:r>
        <w:rPr>
          <w:sz w:val="20"/>
          <w:szCs w:val="20"/>
        </w:rPr>
        <w:t xml:space="preserve"> </w:t>
      </w:r>
      <w:hyperlink r:id="rId11">
        <w:r>
          <w:rPr>
            <w:color w:val="1155CC"/>
            <w:sz w:val="20"/>
            <w:szCs w:val="20"/>
            <w:u w:val="single"/>
          </w:rPr>
          <w:t>https://www.giustizia.it/giustizia/it/mg_1_14_1.page?contentId=SST1494310</w:t>
        </w:r>
      </w:hyperlink>
      <w:r>
        <w:rPr>
          <w:sz w:val="20"/>
          <w:szCs w:val="20"/>
        </w:rPr>
        <w:t xml:space="preserve"> </w:t>
      </w:r>
    </w:p>
  </w:footnote>
  <w:footnote w:id="12">
    <w:p w:rsidR="00300835" w:rsidRDefault="00AA3C37">
      <w:pPr>
        <w:spacing w:line="240" w:lineRule="auto"/>
        <w:rPr>
          <w:sz w:val="20"/>
          <w:szCs w:val="20"/>
        </w:rPr>
      </w:pPr>
      <w:r>
        <w:rPr>
          <w:vertAlign w:val="superscript"/>
        </w:rPr>
        <w:footnoteRef/>
      </w:r>
      <w:r>
        <w:rPr>
          <w:sz w:val="20"/>
          <w:szCs w:val="20"/>
        </w:rPr>
        <w:t xml:space="preserve"> </w:t>
      </w:r>
      <w:hyperlink r:id="rId12">
        <w:r>
          <w:rPr>
            <w:color w:val="1155CC"/>
            <w:sz w:val="20"/>
            <w:szCs w:val="20"/>
            <w:u w:val="single"/>
          </w:rPr>
          <w:t>https://www.sovraffollamento</w:t>
        </w:r>
        <w:r>
          <w:rPr>
            <w:color w:val="1155CC"/>
            <w:sz w:val="20"/>
            <w:szCs w:val="20"/>
            <w:u w:val="single"/>
          </w:rPr>
          <w:t>carcerario.it/</w:t>
        </w:r>
      </w:hyperlink>
      <w:r>
        <w:rPr>
          <w:sz w:val="20"/>
          <w:szCs w:val="20"/>
        </w:rPr>
        <w:t xml:space="preserve"> </w:t>
      </w:r>
    </w:p>
    <w:p w:rsidR="00300835" w:rsidRDefault="00AA3C37">
      <w:pPr>
        <w:spacing w:line="240" w:lineRule="auto"/>
        <w:jc w:val="both"/>
        <w:rPr>
          <w:sz w:val="20"/>
          <w:szCs w:val="20"/>
        </w:rPr>
      </w:pPr>
      <w:r>
        <w:rPr>
          <w:sz w:val="20"/>
          <w:szCs w:val="20"/>
        </w:rPr>
        <w:t>This website provides the most up-to-date information on the number of inmates and available places in Italian prisons. It was created by journalist Marco Dalla Stella, who processes the data published in the transparency reports for each p</w:t>
      </w:r>
      <w:r>
        <w:rPr>
          <w:sz w:val="20"/>
          <w:szCs w:val="20"/>
        </w:rPr>
        <w:t xml:space="preserve">rison run by the Ministry of Justice. </w:t>
      </w:r>
    </w:p>
  </w:footnote>
  <w:footnote w:id="13">
    <w:p w:rsidR="00300835" w:rsidRDefault="00AA3C37">
      <w:pPr>
        <w:spacing w:line="240" w:lineRule="auto"/>
        <w:jc w:val="both"/>
        <w:rPr>
          <w:sz w:val="20"/>
          <w:szCs w:val="20"/>
        </w:rPr>
      </w:pPr>
      <w:r>
        <w:rPr>
          <w:vertAlign w:val="superscript"/>
        </w:rPr>
        <w:footnoteRef/>
      </w:r>
      <w:r>
        <w:rPr>
          <w:sz w:val="20"/>
          <w:szCs w:val="20"/>
        </w:rPr>
        <w:t xml:space="preserve"> Capacity is calculated based on the criterion of 9m</w:t>
      </w:r>
      <w:r>
        <w:rPr>
          <w:sz w:val="20"/>
          <w:szCs w:val="20"/>
          <w:vertAlign w:val="superscript"/>
        </w:rPr>
        <w:t>2</w:t>
      </w:r>
      <w:r>
        <w:rPr>
          <w:sz w:val="20"/>
          <w:szCs w:val="20"/>
        </w:rPr>
        <w:t xml:space="preserve"> per detainee + 5m</w:t>
      </w:r>
      <w:r>
        <w:rPr>
          <w:sz w:val="20"/>
          <w:szCs w:val="20"/>
          <w:vertAlign w:val="superscript"/>
        </w:rPr>
        <w:t>2</w:t>
      </w:r>
      <w:r>
        <w:rPr>
          <w:sz w:val="20"/>
          <w:szCs w:val="20"/>
        </w:rPr>
        <w:t xml:space="preserve"> for any other detainee</w:t>
      </w:r>
    </w:p>
  </w:footnote>
  <w:footnote w:id="14">
    <w:p w:rsidR="00300835" w:rsidRDefault="00AA3C37">
      <w:pPr>
        <w:spacing w:line="240" w:lineRule="auto"/>
        <w:rPr>
          <w:sz w:val="20"/>
          <w:szCs w:val="20"/>
        </w:rPr>
      </w:pPr>
      <w:r>
        <w:rPr>
          <w:vertAlign w:val="superscript"/>
        </w:rPr>
        <w:footnoteRef/>
      </w:r>
      <w:r>
        <w:rPr>
          <w:sz w:val="20"/>
          <w:szCs w:val="20"/>
        </w:rPr>
        <w:t xml:space="preserve">  </w:t>
      </w:r>
      <w:hyperlink r:id="rId13">
        <w:r>
          <w:rPr>
            <w:color w:val="1155CC"/>
            <w:sz w:val="20"/>
            <w:szCs w:val="20"/>
            <w:u w:val="single"/>
          </w:rPr>
          <w:t>https://www.sovraffollamentocarcerario.it/</w:t>
        </w:r>
      </w:hyperlink>
      <w:r>
        <w:rPr>
          <w:sz w:val="20"/>
          <w:szCs w:val="20"/>
        </w:rPr>
        <w:t xml:space="preserve"> </w:t>
      </w:r>
    </w:p>
  </w:footnote>
  <w:footnote w:id="15">
    <w:p w:rsidR="00300835" w:rsidRDefault="00AA3C37">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https://www.sovraffollamentocarcerario.it/</w:t>
        </w:r>
      </w:hyperlink>
      <w:r>
        <w:rPr>
          <w:sz w:val="20"/>
          <w:szCs w:val="20"/>
        </w:rPr>
        <w:t xml:space="preserve"> </w:t>
      </w:r>
    </w:p>
  </w:footnote>
  <w:footnote w:id="16">
    <w:p w:rsidR="00300835" w:rsidRDefault="00AA3C37">
      <w:pPr>
        <w:spacing w:line="240" w:lineRule="auto"/>
        <w:jc w:val="both"/>
        <w:rPr>
          <w:sz w:val="20"/>
          <w:szCs w:val="20"/>
        </w:rPr>
      </w:pPr>
      <w:r>
        <w:rPr>
          <w:vertAlign w:val="superscript"/>
        </w:rPr>
        <w:footnoteRef/>
      </w:r>
      <w:r>
        <w:rPr>
          <w:sz w:val="20"/>
          <w:szCs w:val="20"/>
        </w:rPr>
        <w:t xml:space="preserve">  </w:t>
      </w:r>
      <w:hyperlink r:id="rId15">
        <w:r>
          <w:rPr>
            <w:color w:val="1155CC"/>
            <w:sz w:val="20"/>
            <w:szCs w:val="20"/>
            <w:u w:val="single"/>
          </w:rPr>
          <w:t>https://www.giustizia.it/giustizia/it/mg_1_14_1.page?contentId=SST1486455</w:t>
        </w:r>
      </w:hyperlink>
    </w:p>
  </w:footnote>
  <w:footnote w:id="17">
    <w:p w:rsidR="00300835" w:rsidRDefault="00AA3C37">
      <w:pPr>
        <w:spacing w:line="240" w:lineRule="auto"/>
        <w:rPr>
          <w:sz w:val="20"/>
          <w:szCs w:val="20"/>
        </w:rPr>
      </w:pPr>
      <w:r>
        <w:rPr>
          <w:vertAlign w:val="superscript"/>
        </w:rPr>
        <w:footnoteRef/>
      </w:r>
      <w:r>
        <w:rPr>
          <w:sz w:val="20"/>
          <w:szCs w:val="20"/>
        </w:rPr>
        <w:t xml:space="preserve"> Torreggiani and Others v Italy 43517/09 (ECHR, 8 January 2013)</w:t>
      </w:r>
    </w:p>
  </w:footnote>
  <w:footnote w:id="18">
    <w:p w:rsidR="00300835" w:rsidRDefault="00AA3C37">
      <w:pPr>
        <w:spacing w:line="240" w:lineRule="auto"/>
        <w:rPr>
          <w:sz w:val="20"/>
          <w:szCs w:val="20"/>
        </w:rPr>
      </w:pPr>
      <w:r>
        <w:rPr>
          <w:vertAlign w:val="superscript"/>
        </w:rPr>
        <w:footnoteRef/>
      </w:r>
      <w:hyperlink r:id="rId16">
        <w:r>
          <w:rPr>
            <w:color w:val="1155CC"/>
            <w:sz w:val="20"/>
            <w:szCs w:val="20"/>
            <w:u w:val="single"/>
          </w:rPr>
          <w:t>htt</w:t>
        </w:r>
        <w:r>
          <w:rPr>
            <w:color w:val="1155CC"/>
            <w:sz w:val="20"/>
            <w:szCs w:val="20"/>
            <w:u w:val="single"/>
          </w:rPr>
          <w:t>ps://lookerstudio.google.com/u/0/reporting/67110e79-ceab-4a0c-8a53-b14ea9c98c0f/page/woQXC</w:t>
        </w:r>
      </w:hyperlink>
      <w:r>
        <w:rPr>
          <w:sz w:val="20"/>
          <w:szCs w:val="20"/>
        </w:rPr>
        <w:t xml:space="preserve"> </w:t>
      </w:r>
    </w:p>
  </w:footnote>
  <w:footnote w:id="19">
    <w:p w:rsidR="00300835" w:rsidRDefault="00AA3C37">
      <w:pPr>
        <w:spacing w:line="240" w:lineRule="auto"/>
        <w:rPr>
          <w:sz w:val="20"/>
          <w:szCs w:val="20"/>
        </w:rPr>
      </w:pPr>
      <w:r>
        <w:rPr>
          <w:vertAlign w:val="superscript"/>
        </w:rPr>
        <w:footnoteRef/>
      </w:r>
      <w:r>
        <w:rPr>
          <w:sz w:val="20"/>
          <w:szCs w:val="20"/>
        </w:rPr>
        <w:t xml:space="preserve"> </w:t>
      </w:r>
      <w:r>
        <w:rPr>
          <w:sz w:val="20"/>
          <w:szCs w:val="20"/>
        </w:rPr>
        <w:t>Cassazione Penale, Sez. I, 30 October 2017, n. 49793</w:t>
      </w:r>
    </w:p>
  </w:footnote>
  <w:footnote w:id="20">
    <w:p w:rsidR="00300835" w:rsidRDefault="00AA3C37">
      <w:pPr>
        <w:spacing w:line="240" w:lineRule="auto"/>
        <w:rPr>
          <w:sz w:val="20"/>
          <w:szCs w:val="20"/>
        </w:rPr>
      </w:pPr>
      <w:r>
        <w:rPr>
          <w:vertAlign w:val="superscript"/>
        </w:rPr>
        <w:footnoteRef/>
      </w:r>
      <w:r>
        <w:rPr>
          <w:sz w:val="20"/>
          <w:szCs w:val="20"/>
        </w:rPr>
        <w:t xml:space="preserve"> </w:t>
      </w:r>
      <w:hyperlink r:id="rId17">
        <w:r>
          <w:rPr>
            <w:color w:val="1155CC"/>
            <w:sz w:val="20"/>
            <w:szCs w:val="20"/>
            <w:u w:val="single"/>
          </w:rPr>
          <w:t>https://www.giustizia.it/giustizia/it/mg_1_14_1.</w:t>
        </w:r>
        <w:r>
          <w:rPr>
            <w:color w:val="1155CC"/>
            <w:sz w:val="20"/>
            <w:szCs w:val="20"/>
            <w:u w:val="single"/>
          </w:rPr>
          <w:t>page?contentId=SST1486460</w:t>
        </w:r>
      </w:hyperlink>
      <w:r>
        <w:rPr>
          <w:sz w:val="20"/>
          <w:szCs w:val="20"/>
        </w:rPr>
        <w:t xml:space="preserve"> </w:t>
      </w:r>
    </w:p>
  </w:footnote>
  <w:footnote w:id="21">
    <w:p w:rsidR="00300835" w:rsidRDefault="00AA3C37">
      <w:pPr>
        <w:spacing w:line="240" w:lineRule="auto"/>
        <w:rPr>
          <w:sz w:val="20"/>
          <w:szCs w:val="20"/>
        </w:rPr>
      </w:pPr>
      <w:r>
        <w:rPr>
          <w:vertAlign w:val="superscript"/>
        </w:rPr>
        <w:footnoteRef/>
      </w:r>
      <w:r>
        <w:rPr>
          <w:sz w:val="20"/>
          <w:szCs w:val="20"/>
        </w:rPr>
        <w:t xml:space="preserve"> </w:t>
      </w:r>
      <w:hyperlink r:id="rId18">
        <w:r>
          <w:rPr>
            <w:color w:val="1155CC"/>
            <w:sz w:val="20"/>
            <w:szCs w:val="20"/>
            <w:u w:val="single"/>
          </w:rPr>
          <w:t>https://www.giustizia.it/giustizia/it/mg_1_14_1.page?contentId=SST1486460</w:t>
        </w:r>
      </w:hyperlink>
      <w:r>
        <w:rPr>
          <w:sz w:val="20"/>
          <w:szCs w:val="20"/>
        </w:rPr>
        <w:t xml:space="preserve">  </w:t>
      </w:r>
    </w:p>
  </w:footnote>
  <w:footnote w:id="22">
    <w:p w:rsidR="00300835" w:rsidRDefault="00AA3C37">
      <w:pPr>
        <w:spacing w:line="240" w:lineRule="auto"/>
        <w:rPr>
          <w:sz w:val="20"/>
          <w:szCs w:val="20"/>
        </w:rPr>
      </w:pPr>
      <w:r>
        <w:rPr>
          <w:vertAlign w:val="superscript"/>
        </w:rPr>
        <w:footnoteRef/>
      </w:r>
      <w:r>
        <w:rPr>
          <w:sz w:val="20"/>
          <w:szCs w:val="20"/>
        </w:rPr>
        <w:t xml:space="preserve"> </w:t>
      </w:r>
      <w:hyperlink r:id="rId19">
        <w:r>
          <w:rPr>
            <w:color w:val="1155CC"/>
            <w:sz w:val="20"/>
            <w:szCs w:val="20"/>
            <w:u w:val="single"/>
          </w:rPr>
          <w:t>https://www.rapportoantigone.it/ventunesimo-rapporto-sulle-condizioni-di-detenzione/stranieri/</w:t>
        </w:r>
      </w:hyperlink>
      <w:r>
        <w:rPr>
          <w:sz w:val="20"/>
          <w:szCs w:val="20"/>
        </w:rPr>
        <w:t xml:space="preserve"> </w:t>
      </w:r>
    </w:p>
  </w:footnote>
  <w:footnote w:id="23">
    <w:p w:rsidR="00300835" w:rsidRDefault="00AA3C37">
      <w:pPr>
        <w:spacing w:line="240" w:lineRule="auto"/>
        <w:rPr>
          <w:sz w:val="20"/>
          <w:szCs w:val="20"/>
        </w:rPr>
      </w:pPr>
      <w:r>
        <w:rPr>
          <w:vertAlign w:val="superscript"/>
        </w:rPr>
        <w:footnoteRef/>
      </w:r>
      <w:r>
        <w:rPr>
          <w:sz w:val="20"/>
          <w:szCs w:val="20"/>
        </w:rPr>
        <w:t xml:space="preserve"> </w:t>
      </w:r>
      <w:hyperlink r:id="rId20">
        <w:r>
          <w:rPr>
            <w:color w:val="1155CC"/>
            <w:sz w:val="20"/>
            <w:szCs w:val="20"/>
            <w:u w:val="single"/>
          </w:rPr>
          <w:t>https://www.sistemapenale.it/pdf_contenuti/1694988058_dl-1232023-caivano.pdf</w:t>
        </w:r>
      </w:hyperlink>
      <w:r>
        <w:rPr>
          <w:sz w:val="20"/>
          <w:szCs w:val="20"/>
        </w:rPr>
        <w:t xml:space="preserve"> </w:t>
      </w:r>
    </w:p>
  </w:footnote>
  <w:footnote w:id="24">
    <w:p w:rsidR="00300835" w:rsidRDefault="00AA3C37">
      <w:pPr>
        <w:spacing w:line="240" w:lineRule="auto"/>
        <w:jc w:val="both"/>
        <w:rPr>
          <w:sz w:val="20"/>
          <w:szCs w:val="20"/>
        </w:rPr>
      </w:pPr>
      <w:r>
        <w:rPr>
          <w:vertAlign w:val="superscript"/>
        </w:rPr>
        <w:footnoteRef/>
      </w:r>
      <w:r>
        <w:rPr>
          <w:sz w:val="20"/>
          <w:szCs w:val="20"/>
        </w:rPr>
        <w:t xml:space="preserve"> On February 25, Antigone published its Eighth Report on Juvenile Justice, which can be consulte</w:t>
      </w:r>
      <w:r>
        <w:rPr>
          <w:sz w:val="20"/>
          <w:szCs w:val="20"/>
        </w:rPr>
        <w:t xml:space="preserve">d at the following link </w:t>
      </w:r>
      <w:hyperlink r:id="rId21">
        <w:r>
          <w:rPr>
            <w:color w:val="1155CC"/>
            <w:sz w:val="20"/>
            <w:szCs w:val="20"/>
            <w:u w:val="single"/>
          </w:rPr>
          <w:t>https://www.ragazzidentro.it/</w:t>
        </w:r>
      </w:hyperlink>
      <w:r>
        <w:rPr>
          <w:sz w:val="20"/>
          <w:szCs w:val="20"/>
        </w:rPr>
        <w:t xml:space="preserve"> </w:t>
      </w:r>
    </w:p>
    <w:p w:rsidR="00300835" w:rsidRDefault="00AA3C37">
      <w:pPr>
        <w:spacing w:line="240" w:lineRule="auto"/>
        <w:jc w:val="both"/>
        <w:rPr>
          <w:sz w:val="20"/>
          <w:szCs w:val="20"/>
        </w:rPr>
      </w:pPr>
      <w:r>
        <w:rPr>
          <w:sz w:val="20"/>
          <w:szCs w:val="20"/>
        </w:rPr>
        <w:t xml:space="preserve">Furthermore, in July 2025, Antigone, together with Defence for Children Italia and Libera, submitted an appeal to the UN Committee on the Rights of the </w:t>
      </w:r>
      <w:r>
        <w:rPr>
          <w:sz w:val="20"/>
          <w:szCs w:val="20"/>
        </w:rPr>
        <w:t xml:space="preserve">Child regarding the critical issues presented by the juvenile justice system. The appeal can be consulted at the following link </w:t>
      </w:r>
      <w:hyperlink r:id="rId22">
        <w:r>
          <w:rPr>
            <w:color w:val="1155CC"/>
            <w:sz w:val="20"/>
            <w:szCs w:val="20"/>
            <w:u w:val="single"/>
          </w:rPr>
          <w:t>https://www.antigone.it/upload/ITALY</w:t>
        </w:r>
        <w:r>
          <w:rPr>
            <w:color w:val="1155CC"/>
            <w:sz w:val="20"/>
            <w:szCs w:val="20"/>
            <w:u w:val="single"/>
          </w:rPr>
          <w:t>_JOINT_SUBMISSION_CRC_31.07.2025.pdf</w:t>
        </w:r>
      </w:hyperlink>
      <w:r>
        <w:rPr>
          <w:sz w:val="20"/>
          <w:szCs w:val="20"/>
        </w:rPr>
        <w:t xml:space="preserve"> </w:t>
      </w:r>
    </w:p>
  </w:footnote>
  <w:footnote w:id="25">
    <w:p w:rsidR="00300835" w:rsidRDefault="00AA3C37">
      <w:pPr>
        <w:spacing w:line="240" w:lineRule="auto"/>
        <w:rPr>
          <w:sz w:val="20"/>
          <w:szCs w:val="20"/>
        </w:rPr>
      </w:pPr>
      <w:r>
        <w:rPr>
          <w:vertAlign w:val="superscript"/>
        </w:rPr>
        <w:footnoteRef/>
      </w:r>
      <w:r>
        <w:rPr>
          <w:sz w:val="20"/>
          <w:szCs w:val="20"/>
        </w:rPr>
        <w:t xml:space="preserve"> </w:t>
      </w:r>
      <w:hyperlink r:id="rId23">
        <w:r>
          <w:rPr>
            <w:color w:val="1155CC"/>
            <w:sz w:val="20"/>
            <w:szCs w:val="20"/>
            <w:u w:val="single"/>
          </w:rPr>
          <w:t>https://www.giustizia.it/giustizia/it/mg_1_14_1.page?contentId=SST1494310</w:t>
        </w:r>
      </w:hyperlink>
      <w:r>
        <w:rPr>
          <w:sz w:val="20"/>
          <w:szCs w:val="20"/>
        </w:rPr>
        <w:t xml:space="preserve"> </w:t>
      </w:r>
    </w:p>
  </w:footnote>
  <w:footnote w:id="26">
    <w:p w:rsidR="00300835" w:rsidRDefault="00AA3C37">
      <w:pPr>
        <w:spacing w:line="240" w:lineRule="auto"/>
        <w:rPr>
          <w:sz w:val="20"/>
          <w:szCs w:val="20"/>
        </w:rPr>
      </w:pPr>
      <w:r>
        <w:rPr>
          <w:vertAlign w:val="superscript"/>
        </w:rPr>
        <w:footnoteRef/>
      </w:r>
      <w:r>
        <w:rPr>
          <w:sz w:val="20"/>
          <w:szCs w:val="20"/>
        </w:rPr>
        <w:t xml:space="preserve"> </w:t>
      </w:r>
      <w:hyperlink r:id="rId24">
        <w:r>
          <w:rPr>
            <w:color w:val="1155CC"/>
            <w:sz w:val="20"/>
            <w:szCs w:val="20"/>
            <w:u w:val="single"/>
          </w:rPr>
          <w:t>https://www.normattiva.it/uri-res/N2Ls?urn:nir:stato:decreto.legge:2025-04-11;48</w:t>
        </w:r>
      </w:hyperlink>
      <w:r>
        <w:rPr>
          <w:sz w:val="20"/>
          <w:szCs w:val="20"/>
        </w:rPr>
        <w:t xml:space="preserve"> </w:t>
      </w:r>
    </w:p>
  </w:footnote>
  <w:footnote w:id="27">
    <w:p w:rsidR="00300835" w:rsidRDefault="00AA3C37">
      <w:pPr>
        <w:spacing w:line="240" w:lineRule="auto"/>
        <w:jc w:val="both"/>
        <w:rPr>
          <w:sz w:val="20"/>
          <w:szCs w:val="20"/>
        </w:rPr>
      </w:pPr>
      <w:r>
        <w:rPr>
          <w:vertAlign w:val="superscript"/>
        </w:rPr>
        <w:footnoteRef/>
      </w:r>
      <w:r>
        <w:rPr>
          <w:sz w:val="20"/>
          <w:szCs w:val="20"/>
        </w:rPr>
        <w:t xml:space="preserve"> Under Law 62/2011,</w:t>
      </w:r>
      <w:r>
        <w:rPr>
          <w:sz w:val="20"/>
          <w:szCs w:val="20"/>
        </w:rPr>
        <w:t xml:space="preserve"> I</w:t>
      </w:r>
      <w:r>
        <w:rPr>
          <w:sz w:val="20"/>
          <w:szCs w:val="20"/>
        </w:rPr>
        <w:t>CAMs (Institutes for Attenuated Custody for Mothers) c</w:t>
      </w:r>
      <w:r>
        <w:rPr>
          <w:sz w:val="20"/>
          <w:szCs w:val="20"/>
        </w:rPr>
        <w:t>an accommodate children up to the age of six, provided the detention requirements for attenuated custody are met. However, it is worth stressing that an ICAM remains a prison institution, even if specifically dedicated to incarcerated mothers. Certain diff</w:t>
      </w:r>
      <w:r>
        <w:rPr>
          <w:sz w:val="20"/>
          <w:szCs w:val="20"/>
        </w:rPr>
        <w:t>erences from the nursery units must be highlighted, involving both organizational aspects (for instance, officers do not wear uniforms) and structural ones (rooms are better suited to the needs of childhood). Nevertheless, ICAMs still entail the applicatio</w:t>
      </w:r>
      <w:r>
        <w:rPr>
          <w:sz w:val="20"/>
          <w:szCs w:val="20"/>
        </w:rPr>
        <w:t>n of a detention regime to the women placed there and, consequently, to their children. The ICAMs that are currently in operation are: Torino 'Lorusso e Cutugno', Milano 'San Vittore', Venezia 'Giudecca', and Lauro. The ICAM of Cagliari-Sernobì, despite be</w:t>
      </w:r>
      <w:r>
        <w:rPr>
          <w:sz w:val="20"/>
          <w:szCs w:val="20"/>
        </w:rPr>
        <w:t>ing listed on the Ministry of Justice website, has never become operational.</w:t>
      </w:r>
    </w:p>
  </w:footnote>
  <w:footnote w:id="28">
    <w:p w:rsidR="00300835" w:rsidRDefault="00AA3C37">
      <w:pPr>
        <w:spacing w:line="240" w:lineRule="auto"/>
        <w:rPr>
          <w:sz w:val="20"/>
          <w:szCs w:val="20"/>
        </w:rPr>
      </w:pPr>
      <w:r>
        <w:rPr>
          <w:vertAlign w:val="superscript"/>
        </w:rPr>
        <w:footnoteRef/>
      </w:r>
      <w:r>
        <w:rPr>
          <w:sz w:val="20"/>
          <w:szCs w:val="20"/>
        </w:rPr>
        <w:t xml:space="preserve"> </w:t>
      </w:r>
      <w:hyperlink r:id="rId25">
        <w:r>
          <w:rPr>
            <w:color w:val="1155CC"/>
            <w:sz w:val="20"/>
            <w:szCs w:val="20"/>
            <w:u w:val="single"/>
          </w:rPr>
          <w:t>https://www.giustizia.it/giustizia/it/mg_1_14_1.page?contentId=SST1489980</w:t>
        </w:r>
      </w:hyperlink>
      <w:r>
        <w:rPr>
          <w:sz w:val="20"/>
          <w:szCs w:val="20"/>
        </w:rPr>
        <w:t xml:space="preserve">  </w:t>
      </w:r>
    </w:p>
  </w:footnote>
  <w:footnote w:id="29">
    <w:p w:rsidR="00300835" w:rsidRDefault="00AA3C37">
      <w:pPr>
        <w:spacing w:line="240" w:lineRule="auto"/>
        <w:rPr>
          <w:sz w:val="20"/>
          <w:szCs w:val="20"/>
        </w:rPr>
      </w:pPr>
      <w:r>
        <w:rPr>
          <w:vertAlign w:val="superscript"/>
        </w:rPr>
        <w:footnoteRef/>
      </w:r>
      <w:r>
        <w:rPr>
          <w:sz w:val="20"/>
          <w:szCs w:val="20"/>
        </w:rPr>
        <w:t xml:space="preserve"> Mainly</w:t>
      </w:r>
      <w:r>
        <w:rPr>
          <w:sz w:val="20"/>
          <w:szCs w:val="20"/>
        </w:rPr>
        <w:t xml:space="preserve"> together with sex offenders and former law enforcement representatives.</w:t>
      </w:r>
    </w:p>
  </w:footnote>
  <w:footnote w:id="30">
    <w:p w:rsidR="00300835" w:rsidRDefault="00AA3C37">
      <w:pPr>
        <w:spacing w:line="240" w:lineRule="auto"/>
        <w:rPr>
          <w:sz w:val="20"/>
          <w:szCs w:val="20"/>
        </w:rPr>
      </w:pPr>
      <w:r>
        <w:rPr>
          <w:vertAlign w:val="superscript"/>
        </w:rPr>
        <w:footnoteRef/>
      </w:r>
      <w:hyperlink r:id="rId26">
        <w:r>
          <w:rPr>
            <w:color w:val="1155CC"/>
            <w:sz w:val="20"/>
            <w:szCs w:val="20"/>
            <w:u w:val="single"/>
          </w:rPr>
          <w:t>https://gmr.lbg.ac.at/wp-content/uploads/sites/12/2025/10/LGBTIQ-Detainees_National-Report_Italy_EN.pdf</w:t>
        </w:r>
      </w:hyperlink>
      <w:r>
        <w:rPr>
          <w:sz w:val="20"/>
          <w:szCs w:val="20"/>
        </w:rPr>
        <w:t xml:space="preserve"> </w:t>
      </w:r>
    </w:p>
  </w:footnote>
  <w:footnote w:id="31">
    <w:p w:rsidR="00300835" w:rsidRDefault="00AA3C37">
      <w:pPr>
        <w:spacing w:line="240" w:lineRule="auto"/>
        <w:rPr>
          <w:sz w:val="20"/>
          <w:szCs w:val="20"/>
        </w:rPr>
      </w:pPr>
      <w:r>
        <w:rPr>
          <w:vertAlign w:val="superscript"/>
        </w:rPr>
        <w:footnoteRef/>
      </w:r>
      <w:hyperlink r:id="rId27">
        <w:r>
          <w:rPr>
            <w:color w:val="1155CC"/>
            <w:sz w:val="20"/>
            <w:szCs w:val="20"/>
            <w:u w:val="single"/>
          </w:rPr>
          <w:t>https://www.giustizia.it/cmsresources/cms/documents/anno_giudiziario2026_relazione_amministrazione2025.pdf</w:t>
        </w:r>
      </w:hyperlink>
      <w:r>
        <w:rPr>
          <w:sz w:val="20"/>
          <w:szCs w:val="20"/>
        </w:rPr>
        <w:t xml:space="preserve"> </w:t>
      </w:r>
    </w:p>
  </w:footnote>
  <w:footnote w:id="32">
    <w:p w:rsidR="00300835" w:rsidRDefault="00AA3C37">
      <w:pPr>
        <w:spacing w:line="240" w:lineRule="auto"/>
        <w:rPr>
          <w:rFonts w:ascii="Arial" w:eastAsia="Arial" w:hAnsi="Arial" w:cs="Arial"/>
          <w:sz w:val="20"/>
          <w:szCs w:val="20"/>
        </w:rPr>
      </w:pPr>
      <w:r>
        <w:rPr>
          <w:vertAlign w:val="superscript"/>
        </w:rPr>
        <w:footnoteRef/>
      </w:r>
      <w:r>
        <w:rPr>
          <w:sz w:val="20"/>
          <w:szCs w:val="20"/>
        </w:rPr>
        <w:t xml:space="preserve"> </w:t>
      </w:r>
      <w:hyperlink r:id="rId28">
        <w:r>
          <w:rPr>
            <w:color w:val="1155CC"/>
            <w:sz w:val="20"/>
            <w:szCs w:val="20"/>
            <w:u w:val="single"/>
          </w:rPr>
          <w:t>https://tg24.sky.it/politica/2024</w:t>
        </w:r>
        <w:r>
          <w:rPr>
            <w:color w:val="1155CC"/>
            <w:sz w:val="20"/>
            <w:szCs w:val="20"/>
            <w:u w:val="single"/>
          </w:rPr>
          <w:t>/11/15/andrea-delmastro-sottosegretario-polemica-auto-41-bis</w:t>
        </w:r>
      </w:hyperlink>
      <w:r>
        <w:rPr>
          <w:rFonts w:ascii="Arial" w:eastAsia="Arial" w:hAnsi="Arial" w:cs="Arial"/>
          <w:sz w:val="20"/>
          <w:szCs w:val="20"/>
        </w:rPr>
        <w:t xml:space="preserve"> </w:t>
      </w:r>
    </w:p>
  </w:footnote>
  <w:footnote w:id="33">
    <w:p w:rsidR="00300835" w:rsidRDefault="00AA3C37">
      <w:pPr>
        <w:spacing w:line="240" w:lineRule="auto"/>
        <w:rPr>
          <w:rFonts w:ascii="Arial" w:eastAsia="Arial" w:hAnsi="Arial" w:cs="Arial"/>
          <w:sz w:val="18"/>
          <w:szCs w:val="18"/>
        </w:rPr>
      </w:pPr>
      <w:r>
        <w:rPr>
          <w:vertAlign w:val="superscript"/>
        </w:rPr>
        <w:footnoteRef/>
      </w:r>
      <w:hyperlink r:id="rId29">
        <w:r>
          <w:rPr>
            <w:color w:val="1155CC"/>
            <w:sz w:val="20"/>
            <w:szCs w:val="20"/>
            <w:u w:val="single"/>
          </w:rPr>
          <w:t>https://www.ilfattoquotidiano.it/2026/03/06/spostare-i-detenuti-in-41-bis-in-sardegna-e-una-violazione-dei-diritti-umani-la-garante-dei-detenuti-contro-il-piano-delmastro/8314886/?utm_source=chatgpt.com</w:t>
        </w:r>
      </w:hyperlink>
      <w:r>
        <w:rPr>
          <w:color w:val="222222"/>
          <w:sz w:val="20"/>
          <w:szCs w:val="20"/>
        </w:rPr>
        <w:t xml:space="preserve"> </w:t>
      </w:r>
    </w:p>
  </w:footnote>
  <w:footnote w:id="34">
    <w:p w:rsidR="00300835" w:rsidRDefault="00AA3C37">
      <w:pPr>
        <w:spacing w:line="240" w:lineRule="auto"/>
        <w:rPr>
          <w:sz w:val="20"/>
          <w:szCs w:val="20"/>
        </w:rPr>
      </w:pPr>
      <w:r>
        <w:rPr>
          <w:vertAlign w:val="superscript"/>
        </w:rPr>
        <w:footnoteRef/>
      </w:r>
      <w:r>
        <w:rPr>
          <w:sz w:val="20"/>
          <w:szCs w:val="20"/>
        </w:rPr>
        <w:t xml:space="preserve"> </w:t>
      </w:r>
      <w:hyperlink r:id="rId30">
        <w:r>
          <w:rPr>
            <w:color w:val="1155CC"/>
            <w:sz w:val="20"/>
            <w:szCs w:val="20"/>
            <w:u w:val="single"/>
          </w:rPr>
          <w:t>https://www.brocardi.it/legge-ordinamento-penitenziario/titolo-i/capo-iv/art39.html</w:t>
        </w:r>
      </w:hyperlink>
      <w:r>
        <w:rPr>
          <w:sz w:val="20"/>
          <w:szCs w:val="20"/>
        </w:rPr>
        <w:t xml:space="preserve"> </w:t>
      </w:r>
    </w:p>
  </w:footnote>
  <w:footnote w:id="35">
    <w:p w:rsidR="00300835" w:rsidRDefault="00AA3C37">
      <w:pPr>
        <w:spacing w:line="240" w:lineRule="auto"/>
        <w:rPr>
          <w:sz w:val="20"/>
          <w:szCs w:val="20"/>
        </w:rPr>
      </w:pPr>
      <w:r>
        <w:rPr>
          <w:vertAlign w:val="superscript"/>
        </w:rPr>
        <w:footnoteRef/>
      </w:r>
      <w:r>
        <w:rPr>
          <w:sz w:val="20"/>
          <w:szCs w:val="20"/>
        </w:rPr>
        <w:t xml:space="preserve"> </w:t>
      </w:r>
      <w:hyperlink r:id="rId31">
        <w:r>
          <w:rPr>
            <w:color w:val="1155CC"/>
            <w:sz w:val="20"/>
            <w:szCs w:val="20"/>
            <w:u w:val="single"/>
          </w:rPr>
          <w:t>https://www.brocardi.it/legge</w:t>
        </w:r>
        <w:r>
          <w:rPr>
            <w:color w:val="1155CC"/>
            <w:sz w:val="20"/>
            <w:szCs w:val="20"/>
            <w:u w:val="single"/>
          </w:rPr>
          <w:t>-ordinamento-penitenziario/titolo-i/capo-iv/art39.html</w:t>
        </w:r>
      </w:hyperlink>
      <w:r>
        <w:rPr>
          <w:sz w:val="20"/>
          <w:szCs w:val="20"/>
        </w:rPr>
        <w:t xml:space="preserve"> </w:t>
      </w:r>
    </w:p>
  </w:footnote>
  <w:footnote w:id="36">
    <w:p w:rsidR="00300835" w:rsidRDefault="00AA3C37">
      <w:pPr>
        <w:spacing w:line="240" w:lineRule="auto"/>
        <w:rPr>
          <w:sz w:val="20"/>
          <w:szCs w:val="20"/>
        </w:rPr>
      </w:pPr>
      <w:r>
        <w:rPr>
          <w:vertAlign w:val="superscript"/>
        </w:rPr>
        <w:footnoteRef/>
      </w:r>
      <w:hyperlink r:id="rId32">
        <w:r>
          <w:rPr>
            <w:color w:val="1155CC"/>
            <w:sz w:val="20"/>
            <w:szCs w:val="20"/>
            <w:u w:val="single"/>
          </w:rPr>
          <w:t>https://lookerstudio.google.com/u/0/reporting/a3b17a8f-3df6-44c9-8efc-2c40f30bc</w:t>
        </w:r>
        <w:r>
          <w:rPr>
            <w:color w:val="1155CC"/>
            <w:sz w:val="20"/>
            <w:szCs w:val="20"/>
            <w:u w:val="single"/>
          </w:rPr>
          <w:t>3b5/page/p_gc2jwxhuqc</w:t>
        </w:r>
      </w:hyperlink>
      <w:r>
        <w:rPr>
          <w:sz w:val="20"/>
          <w:szCs w:val="20"/>
        </w:rPr>
        <w:t xml:space="preserve"> </w:t>
      </w:r>
    </w:p>
  </w:footnote>
  <w:footnote w:id="37">
    <w:p w:rsidR="00300835" w:rsidRDefault="00AA3C37">
      <w:pPr>
        <w:spacing w:line="240" w:lineRule="auto"/>
        <w:rPr>
          <w:sz w:val="20"/>
          <w:szCs w:val="20"/>
        </w:rPr>
      </w:pPr>
      <w:r>
        <w:rPr>
          <w:vertAlign w:val="superscript"/>
        </w:rPr>
        <w:footnoteRef/>
      </w:r>
      <w:r>
        <w:rPr>
          <w:sz w:val="20"/>
          <w:szCs w:val="20"/>
        </w:rPr>
        <w:t xml:space="preserve"> </w:t>
      </w:r>
      <w:hyperlink r:id="rId33">
        <w:r>
          <w:rPr>
            <w:color w:val="1155CC"/>
            <w:sz w:val="20"/>
            <w:szCs w:val="20"/>
            <w:u w:val="single"/>
          </w:rPr>
          <w:t>https://alternativestosolitaryconfinement.org/</w:t>
        </w:r>
      </w:hyperlink>
      <w:r>
        <w:rPr>
          <w:sz w:val="20"/>
          <w:szCs w:val="20"/>
        </w:rPr>
        <w:t xml:space="preserve"> </w:t>
      </w:r>
    </w:p>
  </w:footnote>
  <w:footnote w:id="38">
    <w:p w:rsidR="00300835" w:rsidRDefault="00AA3C37">
      <w:pPr>
        <w:spacing w:line="240" w:lineRule="auto"/>
        <w:rPr>
          <w:sz w:val="20"/>
          <w:szCs w:val="20"/>
        </w:rPr>
      </w:pPr>
      <w:r>
        <w:rPr>
          <w:vertAlign w:val="superscript"/>
        </w:rPr>
        <w:footnoteRef/>
      </w:r>
      <w:r>
        <w:rPr>
          <w:sz w:val="20"/>
          <w:szCs w:val="20"/>
        </w:rPr>
        <w:t xml:space="preserve"> </w:t>
      </w:r>
      <w:hyperlink r:id="rId34">
        <w:r>
          <w:rPr>
            <w:color w:val="1155CC"/>
            <w:sz w:val="20"/>
            <w:szCs w:val="20"/>
            <w:u w:val="single"/>
          </w:rPr>
          <w:t>https://www.brocardi.it/codice-penale/libro-primo/titolo-iii/capo-iii/art72.html</w:t>
        </w:r>
      </w:hyperlink>
      <w:r>
        <w:rPr>
          <w:sz w:val="20"/>
          <w:szCs w:val="20"/>
        </w:rPr>
        <w:t xml:space="preserve"> </w:t>
      </w:r>
    </w:p>
  </w:footnote>
  <w:footnote w:id="39">
    <w:p w:rsidR="00300835" w:rsidRDefault="00AA3C37">
      <w:pPr>
        <w:spacing w:line="240" w:lineRule="auto"/>
        <w:rPr>
          <w:sz w:val="20"/>
          <w:szCs w:val="20"/>
        </w:rPr>
      </w:pPr>
      <w:r>
        <w:rPr>
          <w:vertAlign w:val="superscript"/>
        </w:rPr>
        <w:footnoteRef/>
      </w:r>
      <w:r>
        <w:rPr>
          <w:sz w:val="20"/>
          <w:szCs w:val="20"/>
        </w:rPr>
        <w:t xml:space="preserve"> </w:t>
      </w:r>
      <w:hyperlink r:id="rId35">
        <w:r>
          <w:rPr>
            <w:color w:val="1155CC"/>
            <w:sz w:val="20"/>
            <w:szCs w:val="20"/>
            <w:u w:val="single"/>
          </w:rPr>
          <w:t>https://rm.coe.int/1680aaaa03</w:t>
        </w:r>
      </w:hyperlink>
      <w:r>
        <w:rPr>
          <w:sz w:val="20"/>
          <w:szCs w:val="20"/>
        </w:rPr>
        <w:t xml:space="preserve"> </w:t>
      </w:r>
    </w:p>
  </w:footnote>
  <w:footnote w:id="40">
    <w:p w:rsidR="00300835" w:rsidRDefault="00AA3C37">
      <w:pPr>
        <w:spacing w:line="240" w:lineRule="auto"/>
        <w:jc w:val="both"/>
        <w:rPr>
          <w:rFonts w:ascii="Arial" w:eastAsia="Arial" w:hAnsi="Arial" w:cs="Arial"/>
          <w:sz w:val="18"/>
          <w:szCs w:val="18"/>
        </w:rPr>
      </w:pPr>
      <w:r>
        <w:rPr>
          <w:vertAlign w:val="superscript"/>
        </w:rPr>
        <w:footnoteRef/>
      </w:r>
      <w:r>
        <w:rPr>
          <w:sz w:val="20"/>
          <w:szCs w:val="20"/>
        </w:rPr>
        <w:t xml:space="preserve"> These sections are designated for detainees displaying problematic behaviour or deemed in need of protection by the prison administration. These sections operate under an even more restrictive regime, which may amount to</w:t>
      </w:r>
      <w:r>
        <w:rPr>
          <w:i/>
          <w:iCs/>
          <w:sz w:val="20"/>
          <w:szCs w:val="20"/>
        </w:rPr>
        <w:t xml:space="preserve"> de facto</w:t>
      </w:r>
      <w:r>
        <w:rPr>
          <w:sz w:val="20"/>
          <w:szCs w:val="20"/>
        </w:rPr>
        <w:t xml:space="preserve"> i</w:t>
      </w:r>
      <w:r>
        <w:rPr>
          <w:sz w:val="20"/>
          <w:szCs w:val="20"/>
        </w:rPr>
        <w:t>solation.</w:t>
      </w:r>
    </w:p>
  </w:footnote>
  <w:footnote w:id="41">
    <w:p w:rsidR="00300835" w:rsidRDefault="00AA3C37">
      <w:pPr>
        <w:spacing w:line="240" w:lineRule="auto"/>
        <w:jc w:val="both"/>
        <w:rPr>
          <w:rFonts w:ascii="Arial" w:eastAsia="Arial" w:hAnsi="Arial" w:cs="Arial"/>
          <w:sz w:val="20"/>
          <w:szCs w:val="20"/>
        </w:rPr>
      </w:pPr>
      <w:r>
        <w:rPr>
          <w:vertAlign w:val="superscript"/>
        </w:rPr>
        <w:footnoteRef/>
      </w:r>
      <w:r>
        <w:rPr>
          <w:sz w:val="20"/>
          <w:szCs w:val="20"/>
        </w:rPr>
        <w:t xml:space="preserve"> Prisoners whom the administration considers to be in need of protection could be also placed in the so-called “protected” sections: these are mainly people belonging to the LGBT community, sex offenders and former members of the police force. These sectio</w:t>
      </w:r>
      <w:r>
        <w:rPr>
          <w:sz w:val="20"/>
          <w:szCs w:val="20"/>
        </w:rPr>
        <w:t>ns are generally separated from the rest in order to avoid contact with the rest of the prison population and thus protect prisoners from possible abuse. However, in most cases, this separation also means fewer opportunities, especially in terms of partici</w:t>
      </w:r>
      <w:r>
        <w:rPr>
          <w:sz w:val="20"/>
          <w:szCs w:val="20"/>
        </w:rPr>
        <w:t xml:space="preserve">pation in recreational, sporting, cultural and work activities. </w:t>
      </w:r>
    </w:p>
  </w:footnote>
  <w:footnote w:id="42">
    <w:p w:rsidR="00300835" w:rsidRDefault="00AA3C37">
      <w:pPr>
        <w:spacing w:line="240" w:lineRule="auto"/>
        <w:jc w:val="both"/>
        <w:rPr>
          <w:sz w:val="20"/>
          <w:szCs w:val="20"/>
        </w:rPr>
      </w:pPr>
      <w:r>
        <w:rPr>
          <w:vertAlign w:val="superscript"/>
        </w:rPr>
        <w:footnoteRef/>
      </w:r>
      <w:r>
        <w:rPr>
          <w:sz w:val="20"/>
          <w:szCs w:val="20"/>
        </w:rPr>
        <w:t xml:space="preserve"> ATSM are mental health units, i.e., sections mai</w:t>
      </w:r>
      <w:r>
        <w:rPr>
          <w:sz w:val="20"/>
          <w:szCs w:val="20"/>
        </w:rPr>
        <w:t>nly managed by health authorities, concentrated in a few institutions, at least one per region, where prisoners with diagnosed mental disorders are placed.</w:t>
      </w:r>
    </w:p>
  </w:footnote>
  <w:footnote w:id="43">
    <w:p w:rsidR="00300835" w:rsidRDefault="00AA3C37">
      <w:pPr>
        <w:spacing w:line="240" w:lineRule="auto"/>
        <w:rPr>
          <w:rFonts w:ascii="Arial" w:eastAsia="Arial" w:hAnsi="Arial" w:cs="Arial"/>
          <w:sz w:val="20"/>
          <w:szCs w:val="20"/>
        </w:rPr>
      </w:pPr>
      <w:r>
        <w:rPr>
          <w:vertAlign w:val="superscript"/>
        </w:rPr>
        <w:footnoteRef/>
      </w:r>
      <w:hyperlink r:id="rId36">
        <w:r>
          <w:rPr>
            <w:color w:val="1155CC"/>
            <w:sz w:val="20"/>
            <w:szCs w:val="20"/>
            <w:u w:val="single"/>
          </w:rPr>
          <w:t>https://www.garantenazionaleprivatiliberta.it/gnpl/resources/cms/doc</w:t>
        </w:r>
        <w:r>
          <w:rPr>
            <w:color w:val="1155CC"/>
            <w:sz w:val="20"/>
            <w:szCs w:val="20"/>
            <w:u w:val="single"/>
          </w:rPr>
          <w:t>uments/20251028_Report_Inglese.pdf</w:t>
        </w:r>
      </w:hyperlink>
      <w:r>
        <w:rPr>
          <w:sz w:val="20"/>
          <w:szCs w:val="20"/>
        </w:rPr>
        <w:t xml:space="preserve"> </w:t>
      </w:r>
    </w:p>
  </w:footnote>
  <w:footnote w:id="44">
    <w:p w:rsidR="00300835" w:rsidRDefault="00AA3C37">
      <w:pPr>
        <w:spacing w:line="240" w:lineRule="auto"/>
        <w:rPr>
          <w:sz w:val="20"/>
          <w:szCs w:val="20"/>
        </w:rPr>
      </w:pPr>
      <w:r>
        <w:rPr>
          <w:vertAlign w:val="superscript"/>
        </w:rPr>
        <w:footnoteRef/>
      </w:r>
      <w:r>
        <w:rPr>
          <w:sz w:val="20"/>
          <w:szCs w:val="20"/>
        </w:rPr>
        <w:t xml:space="preserve"> </w:t>
      </w:r>
      <w:hyperlink r:id="rId37">
        <w:r>
          <w:rPr>
            <w:color w:val="1155CC"/>
            <w:sz w:val="20"/>
            <w:szCs w:val="20"/>
            <w:u w:val="single"/>
          </w:rPr>
          <w:t>http://www.ristretti.it/areestudio/disagio/ricerca/</w:t>
        </w:r>
      </w:hyperlink>
      <w:r>
        <w:rPr>
          <w:color w:val="454545"/>
          <w:sz w:val="20"/>
          <w:szCs w:val="20"/>
        </w:rPr>
        <w:t xml:space="preserve"> </w:t>
      </w:r>
    </w:p>
  </w:footnote>
  <w:footnote w:id="45">
    <w:p w:rsidR="00300835" w:rsidRDefault="00AA3C37">
      <w:pPr>
        <w:spacing w:line="240" w:lineRule="auto"/>
        <w:rPr>
          <w:sz w:val="20"/>
          <w:szCs w:val="20"/>
        </w:rPr>
      </w:pPr>
      <w:r>
        <w:rPr>
          <w:vertAlign w:val="superscript"/>
        </w:rPr>
        <w:footnoteRef/>
      </w:r>
      <w:hyperlink r:id="rId38">
        <w:r>
          <w:rPr>
            <w:color w:val="1155CC"/>
            <w:sz w:val="20"/>
            <w:szCs w:val="20"/>
            <w:u w:val="single"/>
          </w:rPr>
          <w:t>https://www.rapportoantigone.it/ventunesimo-rapporto-sulle-condizioni-di-detenzione/focus-suicidi/</w:t>
        </w:r>
      </w:hyperlink>
      <w:r>
        <w:rPr>
          <w:sz w:val="20"/>
          <w:szCs w:val="20"/>
        </w:rPr>
        <w:t xml:space="preserve"> </w:t>
      </w:r>
    </w:p>
  </w:footnote>
  <w:footnote w:id="46">
    <w:p w:rsidR="00300835" w:rsidRDefault="00AA3C37">
      <w:pPr>
        <w:spacing w:line="240" w:lineRule="auto"/>
        <w:rPr>
          <w:sz w:val="20"/>
          <w:szCs w:val="20"/>
        </w:rPr>
      </w:pPr>
      <w:r>
        <w:rPr>
          <w:vertAlign w:val="superscript"/>
        </w:rPr>
        <w:footnoteRef/>
      </w:r>
      <w:hyperlink r:id="rId39">
        <w:r>
          <w:rPr>
            <w:color w:val="1155CC"/>
            <w:sz w:val="20"/>
            <w:szCs w:val="20"/>
            <w:u w:val="single"/>
          </w:rPr>
          <w:t>https://www.garantenazionaleprivatiliberta.it/gnpl/resources/cms/documents/20253112_Report_decessi_in_Carcere_2025.pdf</w:t>
        </w:r>
      </w:hyperlink>
      <w:r>
        <w:rPr>
          <w:sz w:val="20"/>
          <w:szCs w:val="20"/>
        </w:rPr>
        <w:t xml:space="preserve"> </w:t>
      </w:r>
    </w:p>
  </w:footnote>
  <w:footnote w:id="47">
    <w:p w:rsidR="00300835" w:rsidRDefault="00AA3C37">
      <w:pPr>
        <w:spacing w:line="240" w:lineRule="auto"/>
        <w:rPr>
          <w:sz w:val="20"/>
          <w:szCs w:val="20"/>
        </w:rPr>
      </w:pPr>
      <w:r>
        <w:rPr>
          <w:vertAlign w:val="superscript"/>
        </w:rPr>
        <w:footnoteRef/>
      </w:r>
      <w:hyperlink r:id="rId40">
        <w:r>
          <w:rPr>
            <w:color w:val="1155CC"/>
            <w:sz w:val="20"/>
            <w:szCs w:val="20"/>
            <w:u w:val="single"/>
          </w:rPr>
          <w:t>https://tbinternet.ohchr.org/_layouts/15/treatybodyextern</w:t>
        </w:r>
        <w:r>
          <w:rPr>
            <w:color w:val="1155CC"/>
            <w:sz w:val="20"/>
            <w:szCs w:val="20"/>
            <w:u w:val="single"/>
          </w:rPr>
          <w:t>al/Download.aspx?symbolno=INT%2FCAT%2FICS%2FITA%2F42520&amp;Lang=en</w:t>
        </w:r>
      </w:hyperlink>
      <w:r>
        <w:rPr>
          <w:sz w:val="20"/>
          <w:szCs w:val="20"/>
        </w:rPr>
        <w:t xml:space="preserve"> </w:t>
      </w:r>
    </w:p>
  </w:footnote>
  <w:footnote w:id="48">
    <w:p w:rsidR="00300835" w:rsidRDefault="00AA3C37">
      <w:pPr>
        <w:spacing w:line="240" w:lineRule="auto"/>
        <w:rPr>
          <w:sz w:val="20"/>
          <w:szCs w:val="20"/>
        </w:rPr>
      </w:pPr>
      <w:r>
        <w:rPr>
          <w:vertAlign w:val="superscript"/>
        </w:rPr>
        <w:footnoteRef/>
      </w:r>
      <w:r>
        <w:rPr>
          <w:sz w:val="20"/>
          <w:szCs w:val="20"/>
        </w:rPr>
        <w:t xml:space="preserve"> </w:t>
      </w:r>
      <w:hyperlink r:id="rId41">
        <w:r>
          <w:rPr>
            <w:color w:val="1155CC"/>
            <w:sz w:val="20"/>
            <w:szCs w:val="20"/>
            <w:u w:val="single"/>
          </w:rPr>
          <w:t>https://www.sistemapenale.it/pdf_contenuti/1702740557_trib-siena-anonimizzata.pdf</w:t>
        </w:r>
      </w:hyperlink>
      <w:r>
        <w:rPr>
          <w:sz w:val="20"/>
          <w:szCs w:val="20"/>
        </w:rPr>
        <w:t xml:space="preserve"> </w:t>
      </w:r>
    </w:p>
  </w:footnote>
  <w:footnote w:id="49">
    <w:p w:rsidR="00300835" w:rsidRDefault="00AA3C37">
      <w:pPr>
        <w:spacing w:line="240" w:lineRule="auto"/>
        <w:rPr>
          <w:sz w:val="20"/>
          <w:szCs w:val="20"/>
        </w:rPr>
      </w:pPr>
      <w:r>
        <w:rPr>
          <w:vertAlign w:val="superscript"/>
        </w:rPr>
        <w:footnoteRef/>
      </w:r>
      <w:hyperlink r:id="rId42">
        <w:r>
          <w:rPr>
            <w:color w:val="1155CC"/>
            <w:sz w:val="20"/>
            <w:szCs w:val="20"/>
            <w:u w:val="single"/>
          </w:rPr>
          <w:t>https://pg-firenze.giustizia.it/cmsresources/cms/documents/Sentenza_CdA_FI_N.%201393_2025%20.pdf</w:t>
        </w:r>
      </w:hyperlink>
      <w:r>
        <w:rPr>
          <w:sz w:val="20"/>
          <w:szCs w:val="20"/>
        </w:rPr>
        <w:t xml:space="preserve"> </w:t>
      </w:r>
    </w:p>
  </w:footnote>
  <w:footnote w:id="50">
    <w:p w:rsidR="00300835" w:rsidRDefault="00AA3C37">
      <w:pPr>
        <w:spacing w:line="240" w:lineRule="auto"/>
        <w:rPr>
          <w:sz w:val="20"/>
          <w:szCs w:val="20"/>
        </w:rPr>
      </w:pPr>
      <w:r>
        <w:rPr>
          <w:vertAlign w:val="superscript"/>
        </w:rPr>
        <w:footnoteRef/>
      </w:r>
      <w:hyperlink r:id="rId43">
        <w:r>
          <w:rPr>
            <w:color w:val="1155CC"/>
            <w:sz w:val="20"/>
            <w:szCs w:val="20"/>
            <w:u w:val="single"/>
          </w:rPr>
          <w:t>https://torino.repubblica.it/cronaca/2026/02/07/news/quel_detenuto_lo_abbiamo_spaccato_ecco_perche_i_giudici_hanno_condannato_sette_agenti_per_tortura-425144231/</w:t>
        </w:r>
      </w:hyperlink>
      <w:r>
        <w:rPr>
          <w:sz w:val="20"/>
          <w:szCs w:val="20"/>
        </w:rPr>
        <w:t xml:space="preserve"> </w:t>
      </w:r>
    </w:p>
  </w:footnote>
  <w:footnote w:id="51">
    <w:p w:rsidR="00300835" w:rsidRDefault="00AA3C37">
      <w:pPr>
        <w:spacing w:line="240" w:lineRule="auto"/>
        <w:rPr>
          <w:sz w:val="20"/>
          <w:szCs w:val="20"/>
        </w:rPr>
      </w:pPr>
      <w:r>
        <w:rPr>
          <w:vertAlign w:val="superscript"/>
        </w:rPr>
        <w:footnoteRef/>
      </w:r>
      <w:r>
        <w:rPr>
          <w:sz w:val="20"/>
          <w:szCs w:val="20"/>
        </w:rPr>
        <w:t xml:space="preserve"> </w:t>
      </w:r>
      <w:r>
        <w:rPr>
          <w:color w:val="1155CC"/>
          <w:sz w:val="20"/>
          <w:szCs w:val="20"/>
          <w:u w:val="single"/>
        </w:rPr>
        <w:fldChar w:fldCharType="begin"/>
      </w:r>
      <w:r>
        <w:rPr>
          <w:color w:val="1155CC"/>
          <w:sz w:val="20"/>
          <w:szCs w:val="20"/>
          <w:u w:val="single"/>
        </w:rPr>
        <w:instrText xml:space="preserve"> HYPERLINK "https://www.questionegiustizia.it</w:instrText>
      </w:r>
      <w:r>
        <w:rPr>
          <w:color w:val="1155CC"/>
          <w:sz w:val="20"/>
          <w:szCs w:val="20"/>
          <w:u w:val="single"/>
        </w:rPr>
        <w:instrText>/data/doc/2948/11-21-sent</w:instrText>
      </w:r>
      <w:bookmarkStart w:id="0" w:name="_GoBack"/>
      <w:bookmarkEnd w:id="0"/>
      <w:r>
        <w:rPr>
          <w:color w:val="1155CC"/>
          <w:sz w:val="20"/>
          <w:szCs w:val="20"/>
          <w:u w:val="single"/>
        </w:rPr>
        <w:instrText xml:space="preserve">-ferrara-con-omissis.pdf" \h </w:instrText>
      </w:r>
      <w:r>
        <w:rPr>
          <w:color w:val="1155CC"/>
          <w:sz w:val="20"/>
          <w:szCs w:val="20"/>
          <w:u w:val="single"/>
        </w:rPr>
        <w:fldChar w:fldCharType="separate"/>
      </w:r>
      <w:r>
        <w:rPr>
          <w:color w:val="1155CC"/>
          <w:sz w:val="20"/>
          <w:szCs w:val="20"/>
          <w:u w:val="single"/>
        </w:rPr>
        <w:t>https://www.questionegiustizia.it/data/doc/2948/11-21-sent-ferrara-con-omissis.pdf</w:t>
      </w:r>
      <w:r>
        <w:rPr>
          <w:color w:val="1155CC"/>
          <w:sz w:val="20"/>
          <w:szCs w:val="20"/>
          <w:u w:val="single"/>
        </w:rPr>
        <w:fldChar w:fldCharType="end"/>
      </w:r>
      <w:r>
        <w:rPr>
          <w:sz w:val="20"/>
          <w:szCs w:val="20"/>
        </w:rPr>
        <w:t xml:space="preserve"> </w:t>
      </w:r>
    </w:p>
  </w:footnote>
  <w:footnote w:id="52">
    <w:p w:rsidR="00300835" w:rsidRDefault="00AA3C37">
      <w:pPr>
        <w:spacing w:line="240" w:lineRule="auto"/>
        <w:rPr>
          <w:sz w:val="20"/>
          <w:szCs w:val="20"/>
        </w:rPr>
      </w:pPr>
      <w:r>
        <w:rPr>
          <w:vertAlign w:val="superscript"/>
        </w:rPr>
        <w:footnoteRef/>
      </w:r>
      <w:hyperlink r:id="rId44">
        <w:r>
          <w:rPr>
            <w:color w:val="1155CC"/>
            <w:sz w:val="20"/>
            <w:szCs w:val="20"/>
            <w:u w:val="single"/>
          </w:rPr>
          <w:t>https://roma.repubblica.it/cronaca/2026/03/12/news/soprannomi_agenti_penitenziaria_casal_del_marmo_torture-425215970/</w:t>
        </w:r>
      </w:hyperlink>
      <w:r>
        <w:rPr>
          <w:sz w:val="20"/>
          <w:szCs w:val="20"/>
        </w:rPr>
        <w:t xml:space="preserve"> </w:t>
      </w:r>
    </w:p>
  </w:footnote>
  <w:footnote w:id="53">
    <w:p w:rsidR="00300835" w:rsidRDefault="00AA3C37">
      <w:pPr>
        <w:spacing w:line="240" w:lineRule="auto"/>
        <w:rPr>
          <w:sz w:val="20"/>
          <w:szCs w:val="20"/>
        </w:rPr>
      </w:pPr>
      <w:r>
        <w:rPr>
          <w:vertAlign w:val="superscript"/>
        </w:rPr>
        <w:footnoteRef/>
      </w:r>
      <w:hyperlink r:id="rId45">
        <w:r>
          <w:rPr>
            <w:color w:val="1155CC"/>
            <w:sz w:val="20"/>
            <w:szCs w:val="20"/>
            <w:u w:val="single"/>
          </w:rPr>
          <w:t>https://www.repubblica.it/cronaca/2024/02/09/video/detenuto_incappucciato_e_picchiato_il_video_del_pestaggio_nel_carcere_di_reggio_emilia-422471211/</w:t>
        </w:r>
      </w:hyperlink>
      <w:r>
        <w:rPr>
          <w:sz w:val="20"/>
          <w:szCs w:val="20"/>
        </w:rPr>
        <w:t xml:space="preserve"> </w:t>
      </w:r>
    </w:p>
  </w:footnote>
  <w:footnote w:id="54">
    <w:p w:rsidR="00300835" w:rsidRDefault="00AA3C37">
      <w:pPr>
        <w:spacing w:line="240" w:lineRule="auto"/>
        <w:rPr>
          <w:sz w:val="20"/>
          <w:szCs w:val="20"/>
        </w:rPr>
      </w:pPr>
      <w:r>
        <w:rPr>
          <w:vertAlign w:val="superscript"/>
        </w:rPr>
        <w:footnoteRef/>
      </w:r>
      <w:r>
        <w:rPr>
          <w:sz w:val="20"/>
          <w:szCs w:val="20"/>
        </w:rPr>
        <w:t xml:space="preserve"> </w:t>
      </w:r>
      <w:r>
        <w:rPr>
          <w:sz w:val="20"/>
          <w:szCs w:val="20"/>
        </w:rPr>
        <w:t xml:space="preserve"> Torreg</w:t>
      </w:r>
      <w:r>
        <w:rPr>
          <w:sz w:val="20"/>
          <w:szCs w:val="20"/>
        </w:rPr>
        <w:t xml:space="preserve">giani and Others v Italy 43517/09 (ECHR, 8 January 2013) </w:t>
      </w:r>
    </w:p>
  </w:footnote>
  <w:footnote w:id="55">
    <w:p w:rsidR="00300835" w:rsidRDefault="00AA3C37">
      <w:pPr>
        <w:spacing w:line="240" w:lineRule="auto"/>
        <w:jc w:val="both"/>
        <w:rPr>
          <w:sz w:val="20"/>
          <w:szCs w:val="20"/>
        </w:rPr>
      </w:pPr>
      <w:r>
        <w:rPr>
          <w:vertAlign w:val="superscript"/>
        </w:rPr>
        <w:footnoteRef/>
      </w:r>
      <w:r>
        <w:rPr>
          <w:sz w:val="20"/>
          <w:szCs w:val="20"/>
        </w:rPr>
        <w:t xml:space="preserve"> </w:t>
      </w:r>
      <w:r>
        <w:rPr>
          <w:sz w:val="20"/>
          <w:szCs w:val="20"/>
        </w:rPr>
        <w:t>The legal provision regarding compensation mentioned above, Art. 35ter of the Prison Law, provides</w:t>
      </w:r>
      <w:r>
        <w:rPr>
          <w:sz w:val="20"/>
          <w:szCs w:val="20"/>
        </w:rPr>
        <w:t xml:space="preserve"> for compensation in case of detention “under conditions of detention such as to violate Article 3 of the Convention for the Protection of Human Rights and Fundamental Freedoms [...] as interpreted by the European Court of Human Rights”. The Italian judge </w:t>
      </w:r>
      <w:r>
        <w:rPr>
          <w:sz w:val="20"/>
          <w:szCs w:val="20"/>
        </w:rPr>
        <w:t>in this case has to use the 3m</w:t>
      </w:r>
      <w:r>
        <w:rPr>
          <w:sz w:val="20"/>
          <w:szCs w:val="20"/>
          <w:vertAlign w:val="superscript"/>
        </w:rPr>
        <w:t xml:space="preserve">2 </w:t>
      </w:r>
      <w:r>
        <w:rPr>
          <w:sz w:val="20"/>
          <w:szCs w:val="20"/>
        </w:rPr>
        <w:t>threshold, as interpreted by the ECtHR case law.  When assessing living space, there are references to "walkable" space. This stems from the interpretation of the 3m</w:t>
      </w:r>
      <w:r>
        <w:rPr>
          <w:sz w:val="20"/>
          <w:szCs w:val="20"/>
          <w:vertAlign w:val="superscript"/>
        </w:rPr>
        <w:t>2</w:t>
      </w:r>
      <w:r>
        <w:rPr>
          <w:sz w:val="20"/>
          <w:szCs w:val="20"/>
        </w:rPr>
        <w:t xml:space="preserve"> notion given by the italian Corte di Cassazione (ruling no. 6551/2, 19 February 2021</w:t>
      </w:r>
      <w:proofErr w:type="gramStart"/>
      <w:r>
        <w:rPr>
          <w:sz w:val="20"/>
          <w:szCs w:val="20"/>
        </w:rPr>
        <w:t>):  “</w:t>
      </w:r>
      <w:proofErr w:type="gramEnd"/>
      <w:r>
        <w:rPr>
          <w:sz w:val="20"/>
          <w:szCs w:val="20"/>
        </w:rPr>
        <w:t>In assessing the minimum space of 3m</w:t>
      </w:r>
      <w:r>
        <w:rPr>
          <w:sz w:val="20"/>
          <w:szCs w:val="20"/>
          <w:vertAlign w:val="superscript"/>
        </w:rPr>
        <w:t>2</w:t>
      </w:r>
      <w:r>
        <w:rPr>
          <w:sz w:val="20"/>
          <w:szCs w:val="20"/>
        </w:rPr>
        <w:t xml:space="preserve"> to be ensured for each detainee in order for the State not to incur the violation of the prohibition of inhuman or degrading tre</w:t>
      </w:r>
      <w:r>
        <w:rPr>
          <w:sz w:val="20"/>
          <w:szCs w:val="20"/>
        </w:rPr>
        <w:t xml:space="preserve">atment laid down in Article 3 of the ECHR, regard must be had to the area ensuring normal movement and, therefore, furnishings tending to be fixed to the ground, including bunk beds, must be deducted”. </w:t>
      </w:r>
    </w:p>
    <w:p w:rsidR="00300835" w:rsidRDefault="00300835">
      <w:pPr>
        <w:jc w:val="both"/>
        <w:rPr>
          <w:color w:val="222222"/>
          <w:sz w:val="22"/>
          <w:szCs w:val="22"/>
        </w:rPr>
      </w:pPr>
    </w:p>
    <w:p w:rsidR="00300835" w:rsidRDefault="00300835">
      <w:pPr>
        <w:spacing w:line="240" w:lineRule="auto"/>
        <w:rPr>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835" w:rsidRDefault="00AA3C37">
    <w:r>
      <w:rPr>
        <w:noProof/>
      </w:rPr>
      <w:drawing>
        <wp:inline distT="114300" distB="114300" distL="114300" distR="114300">
          <wp:extent cx="1599600" cy="1276350"/>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5142" t="14535" r="12471" b="26431"/>
                  <a:stretch>
                    <a:fillRect/>
                  </a:stretch>
                </pic:blipFill>
                <pic:spPr>
                  <a:xfrm>
                    <a:off x="0" y="0"/>
                    <a:ext cx="1599600" cy="1276350"/>
                  </a:xfrm>
                  <a:prstGeom prst="rect">
                    <a:avLst/>
                  </a:prstGeom>
                  <a:ln/>
                </pic:spPr>
              </pic:pic>
            </a:graphicData>
          </a:graphic>
        </wp:inline>
      </w:drawing>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06665"/>
    <w:multiLevelType w:val="multilevel"/>
    <w:tmpl w:val="17DEE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A805CE"/>
    <w:multiLevelType w:val="multilevel"/>
    <w:tmpl w:val="AD18F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835"/>
    <w:rsid w:val="00300835"/>
    <w:rsid w:val="004F6B11"/>
    <w:rsid w:val="0084360B"/>
    <w:rsid w:val="00AA3C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F7BD04-5769-440E-9B92-0352CDDE0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arlow" w:eastAsia="Barlow" w:hAnsi="Barlow" w:cs="Barlow"/>
        <w:sz w:val="21"/>
        <w:szCs w:val="21"/>
        <w:highlight w:val="white"/>
        <w:lang w:val="it-IT" w:eastAsia="it-I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style>
  <w:style w:type="paragraph" w:styleId="Titolo1">
    <w:name w:val="heading 1"/>
    <w:basedOn w:val="Normale"/>
    <w:next w:val="Normale"/>
    <w:pPr>
      <w:keepNext/>
      <w:keepLines/>
      <w:spacing w:before="400" w:after="120"/>
      <w:outlineLvl w:val="0"/>
    </w:pPr>
    <w:rPr>
      <w:sz w:val="40"/>
      <w:szCs w:val="40"/>
    </w:rPr>
  </w:style>
  <w:style w:type="paragraph" w:styleId="Titolo2">
    <w:name w:val="heading 2"/>
    <w:basedOn w:val="Normale"/>
    <w:next w:val="Normale"/>
    <w:pPr>
      <w:keepNext/>
      <w:keepLines/>
      <w:spacing w:before="360" w:after="120"/>
      <w:outlineLvl w:val="1"/>
    </w:pPr>
    <w:rPr>
      <w:sz w:val="32"/>
      <w:szCs w:val="32"/>
    </w:rPr>
  </w:style>
  <w:style w:type="paragraph" w:styleId="Titolo3">
    <w:name w:val="heading 3"/>
    <w:basedOn w:val="Normale"/>
    <w:next w:val="Normale"/>
    <w:pPr>
      <w:keepNext/>
      <w:keepLines/>
      <w:spacing w:before="320" w:after="80"/>
      <w:outlineLvl w:val="2"/>
    </w:pPr>
    <w:rPr>
      <w:color w:val="434343"/>
      <w:sz w:val="28"/>
      <w:szCs w:val="28"/>
    </w:rPr>
  </w:style>
  <w:style w:type="paragraph" w:styleId="Titolo4">
    <w:name w:val="heading 4"/>
    <w:basedOn w:val="Normale"/>
    <w:next w:val="Normale"/>
    <w:pPr>
      <w:keepNext/>
      <w:keepLines/>
      <w:spacing w:before="280" w:after="80"/>
      <w:outlineLvl w:val="3"/>
    </w:pPr>
    <w:rPr>
      <w:color w:val="666666"/>
      <w:sz w:val="24"/>
      <w:szCs w:val="24"/>
    </w:rPr>
  </w:style>
  <w:style w:type="paragraph" w:styleId="Titolo5">
    <w:name w:val="heading 5"/>
    <w:basedOn w:val="Normale"/>
    <w:next w:val="Normale"/>
    <w:pPr>
      <w:keepNext/>
      <w:keepLines/>
      <w:spacing w:before="240" w:after="80"/>
      <w:outlineLvl w:val="4"/>
    </w:pPr>
    <w:rPr>
      <w:color w:val="666666"/>
      <w:sz w:val="22"/>
      <w:szCs w:val="22"/>
    </w:rPr>
  </w:style>
  <w:style w:type="paragraph" w:styleId="Titolo6">
    <w:name w:val="heading 6"/>
    <w:basedOn w:val="Normale"/>
    <w:next w:val="Normale"/>
    <w:pPr>
      <w:keepNext/>
      <w:keepLines/>
      <w:spacing w:before="240" w:after="80"/>
      <w:outlineLvl w:val="5"/>
    </w:pPr>
    <w:rPr>
      <w:i/>
      <w:color w:val="666666"/>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Sottotitolo">
    <w:name w:val="Subtitle"/>
    <w:basedOn w:val="Normale"/>
    <w:next w:val="Normale"/>
    <w:pPr>
      <w:keepNext/>
      <w:keepLines/>
      <w:spacing w:after="320"/>
    </w:pPr>
    <w:rPr>
      <w:rFonts w:ascii="Arial" w:eastAsia="Arial" w:hAnsi="Arial" w:cs="Arial"/>
      <w:color w:val="666666"/>
      <w:sz w:val="30"/>
      <w:szCs w:val="30"/>
    </w:rPr>
  </w:style>
  <w:style w:type="table" w:customStyle="1" w:styleId="a">
    <w:basedOn w:val="TableNormal4"/>
    <w:tblPr>
      <w:tblStyleRowBandSize w:val="1"/>
      <w:tblStyleColBandSize w:val="1"/>
      <w:tblCellMar>
        <w:top w:w="0" w:type="dxa"/>
        <w:left w:w="115" w:type="dxa"/>
        <w:bottom w:w="0" w:type="dxa"/>
        <w:right w:w="115" w:type="dxa"/>
      </w:tblCellMar>
    </w:tblPr>
  </w:style>
  <w:style w:type="paragraph" w:styleId="Intestazione">
    <w:name w:val="header"/>
    <w:basedOn w:val="Normale"/>
    <w:link w:val="IntestazioneCarattere"/>
    <w:uiPriority w:val="99"/>
    <w:unhideWhenUsed/>
    <w:rsid w:val="004F6B11"/>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4F6B11"/>
  </w:style>
  <w:style w:type="paragraph" w:styleId="Pidipagina">
    <w:name w:val="footer"/>
    <w:basedOn w:val="Normale"/>
    <w:link w:val="PidipaginaCarattere"/>
    <w:uiPriority w:val="99"/>
    <w:unhideWhenUsed/>
    <w:rsid w:val="004F6B11"/>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4F6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hyperlink" Target="http://www.antigone.it" TargetMode="External"/><Relationship Id="rId1" Type="http://schemas.openxmlformats.org/officeDocument/2006/relationships/hyperlink" Target="mailto:segreteria@antigone.i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antigone.it" TargetMode="External"/><Relationship Id="rId1" Type="http://schemas.openxmlformats.org/officeDocument/2006/relationships/hyperlink" Target="mailto:segreteria@antigone.it"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sovraffollamentocarcerario.it/" TargetMode="External"/><Relationship Id="rId18" Type="http://schemas.openxmlformats.org/officeDocument/2006/relationships/hyperlink" Target="https://www.giustizia.it/giustizia/it/mg_1_14_1.page?contentId=SST1486460" TargetMode="External"/><Relationship Id="rId26" Type="http://schemas.openxmlformats.org/officeDocument/2006/relationships/hyperlink" Target="https://gmr.lbg.ac.at/wp-content/uploads/sites/12/2025/10/LGBTIQ-Detainees_National-Report_Italy_EN.pdf" TargetMode="External"/><Relationship Id="rId39" Type="http://schemas.openxmlformats.org/officeDocument/2006/relationships/hyperlink" Target="https://www.garantenazionaleprivatiliberta.it/gnpl/resources/cms/documents/20253112_Report_decessi_in_Carcere_2025.pdf" TargetMode="External"/><Relationship Id="rId21" Type="http://schemas.openxmlformats.org/officeDocument/2006/relationships/hyperlink" Target="https://www.ragazzidentro.it/" TargetMode="External"/><Relationship Id="rId34" Type="http://schemas.openxmlformats.org/officeDocument/2006/relationships/hyperlink" Target="https://www.brocardi.it/codice-penale/libro-primo/titolo-iii/capo-iii/art72.html" TargetMode="External"/><Relationship Id="rId42" Type="http://schemas.openxmlformats.org/officeDocument/2006/relationships/hyperlink" Target="https://pg-firenze.giustizia.it/cmsresources/cms/documents/Sentenza_CdA_FI_N.%201393_2025%20.pdf" TargetMode="External"/><Relationship Id="rId7" Type="http://schemas.openxmlformats.org/officeDocument/2006/relationships/hyperlink" Target="https://www.normattiva.it/uri-res/N2Ls?urn:nir:stato:decreto.legge:2025-04-11;48" TargetMode="External"/><Relationship Id="rId2" Type="http://schemas.openxmlformats.org/officeDocument/2006/relationships/hyperlink" Target="https://www.ansa.it/amp/sito/notizie/politica/2025/06/25/salvini-serve-circoscrivere-il-reato-di-tortura_bfbecc69-12bc-4f95-aa5f-1619b678f226.html?utm_source=chatgpt.com" TargetMode="External"/><Relationship Id="rId16" Type="http://schemas.openxmlformats.org/officeDocument/2006/relationships/hyperlink" Target="https://lookerstudio.google.com/u/0/reporting/67110e79-ceab-4a0c-8a53-b14ea9c98c0f/page/woQXC" TargetMode="External"/><Relationship Id="rId29" Type="http://schemas.openxmlformats.org/officeDocument/2006/relationships/hyperlink" Target="https://www.ilfattoquotidiano.it/2026/03/06/spostare-i-detenuti-in-41-bis-in-sardegna-e-una-violazione-dei-diritti-umani-la-garante-dei-detenuti-contro-il-piano-delmastro/8314886/?utm_source=chatgpt.com" TargetMode="External"/><Relationship Id="rId1" Type="http://schemas.openxmlformats.org/officeDocument/2006/relationships/hyperlink" Target="https://www.brocardi.it/codice-penale/libro-secondo/titolo-xii/capo-iii/sezione-iii/art613bis.html?utm_source=internal&amp;utm_medium=link&amp;utm_campaign=articolo&amp;utm_content=nav_art_prec_top" TargetMode="External"/><Relationship Id="rId6" Type="http://schemas.openxmlformats.org/officeDocument/2006/relationships/hyperlink" Target="https://www.garantenazionaleprivatiliberta.it/gnpl/resources/cms/documents/fc13013de38c3ba97c6d0357fe21b941.pdf" TargetMode="External"/><Relationship Id="rId11" Type="http://schemas.openxmlformats.org/officeDocument/2006/relationships/hyperlink" Target="https://www.giustizia.it/giustizia/it/mg_1_14_1.page?contentId=SST1494310" TargetMode="External"/><Relationship Id="rId24" Type="http://schemas.openxmlformats.org/officeDocument/2006/relationships/hyperlink" Target="https://www.normattiva.it/uri-res/N2Ls?urn:nir:stato:decreto.legge:2025-04-11;48" TargetMode="External"/><Relationship Id="rId32" Type="http://schemas.openxmlformats.org/officeDocument/2006/relationships/hyperlink" Target="https://lookerstudio.google.com/u/0/reporting/a3b17a8f-3df6-44c9-8efc-2c40f30bc3b5/page/p_gc2jwxhuqc" TargetMode="External"/><Relationship Id="rId37" Type="http://schemas.openxmlformats.org/officeDocument/2006/relationships/hyperlink" Target="http://www.ristretti.it/areestudio/disagio/ricerca/" TargetMode="External"/><Relationship Id="rId40" Type="http://schemas.openxmlformats.org/officeDocument/2006/relationships/hyperlink" Target="https://tbinternet.ohchr.org/_layouts/15/treatybodyexternal/Download.aspx?symbolno=INT%2FCAT%2FICS%2FITA%2F42520&amp;Lang=en" TargetMode="External"/><Relationship Id="rId45" Type="http://schemas.openxmlformats.org/officeDocument/2006/relationships/hyperlink" Target="https://www.repubblica.it/cronaca/2024/02/09/video/detenuto_incappucciato_e_picchiato_il_video_del_pestaggio_nel_carcere_di_reggio_emilia-422471211/" TargetMode="External"/><Relationship Id="rId5" Type="http://schemas.openxmlformats.org/officeDocument/2006/relationships/hyperlink" Target="https://www.brocardi.it/legge-ordinamento-penitenziario/titolo-i/capo-i/art4bis.html" TargetMode="External"/><Relationship Id="rId15" Type="http://schemas.openxmlformats.org/officeDocument/2006/relationships/hyperlink" Target="https://www.giustizia.it/giustizia/it/mg_1_14_1.page?contentId=SST1486455" TargetMode="External"/><Relationship Id="rId23" Type="http://schemas.openxmlformats.org/officeDocument/2006/relationships/hyperlink" Target="https://www.giustizia.it/giustizia/it/mg_1_14_1.page?contentId=SST1494310" TargetMode="External"/><Relationship Id="rId28" Type="http://schemas.openxmlformats.org/officeDocument/2006/relationships/hyperlink" Target="https://tg24.sky.it/politica/2024/11/15/andrea-delmastro-sottosegretario-polemica-auto-41-bis" TargetMode="External"/><Relationship Id="rId36" Type="http://schemas.openxmlformats.org/officeDocument/2006/relationships/hyperlink" Target="https://www.garantenazionaleprivatiliberta.it/gnpl/resources/cms/documents/20251028_Report_Inglese.pdf" TargetMode="External"/><Relationship Id="rId10" Type="http://schemas.openxmlformats.org/officeDocument/2006/relationships/hyperlink" Target="https://www.poliziapenitenziaria.it/spray-oc-sperimentazione-dap-polizia-penitenziaria/" TargetMode="External"/><Relationship Id="rId19" Type="http://schemas.openxmlformats.org/officeDocument/2006/relationships/hyperlink" Target="https://www.rapportoantigone.it/ventunesimo-rapporto-sulle-condizioni-di-detenzione/stranieri/" TargetMode="External"/><Relationship Id="rId31" Type="http://schemas.openxmlformats.org/officeDocument/2006/relationships/hyperlink" Target="https://www.brocardi.it/legge-ordinamento-penitenziario/titolo-i/capo-iv/art39.html" TargetMode="External"/><Relationship Id="rId44" Type="http://schemas.openxmlformats.org/officeDocument/2006/relationships/hyperlink" Target="https://roma.repubblica.it/cronaca/2026/03/12/news/soprannomi_agenti_penitenziaria_casal_del_marmo_torture-425215970/" TargetMode="External"/><Relationship Id="rId4" Type="http://schemas.openxmlformats.org/officeDocument/2006/relationships/hyperlink" Target="https://www.brocardi.it/codice-penale/libro-secondo/titolo-v/art415bis.html" TargetMode="External"/><Relationship Id="rId9" Type="http://schemas.openxmlformats.org/officeDocument/2006/relationships/hyperlink" Target="https://www.normattiva.it/eli/id/2026/02/24/26G00042/ORIGINAL" TargetMode="External"/><Relationship Id="rId14" Type="http://schemas.openxmlformats.org/officeDocument/2006/relationships/hyperlink" Target="https://www.sovraffollamentocarcerario.it/" TargetMode="External"/><Relationship Id="rId22" Type="http://schemas.openxmlformats.org/officeDocument/2006/relationships/hyperlink" Target="https://www.antigone.it/upload/ITALY_JOINT_SUBMISSION_CRC_31.07.2025.pdf" TargetMode="External"/><Relationship Id="rId27" Type="http://schemas.openxmlformats.org/officeDocument/2006/relationships/hyperlink" Target="https://www.giustizia.it/cmsresources/cms/documents/anno_giudiziario2026_relazione_amministrazione2025.pdf" TargetMode="External"/><Relationship Id="rId30" Type="http://schemas.openxmlformats.org/officeDocument/2006/relationships/hyperlink" Target="https://www.brocardi.it/legge-ordinamento-penitenziario/titolo-i/capo-iv/art39.html" TargetMode="External"/><Relationship Id="rId35" Type="http://schemas.openxmlformats.org/officeDocument/2006/relationships/hyperlink" Target="https://rm.coe.int/1680aaaa03" TargetMode="External"/><Relationship Id="rId43" Type="http://schemas.openxmlformats.org/officeDocument/2006/relationships/hyperlink" Target="https://torino.repubblica.it/cronaca/2026/02/07/news/quel_detenuto_lo_abbiamo_spaccato_ecco_perche_i_giudici_hanno_condannato_sette_agenti_per_tortura-425144231/" TargetMode="External"/><Relationship Id="rId8" Type="http://schemas.openxmlformats.org/officeDocument/2006/relationships/hyperlink" Target="https://www.normattiva.it/atto/caricaDettaglioAtto?atto.dataPubblicazioneGazzetta=2025-06-09&amp;atto.codiceRedazionale=25G00088&amp;atto.articolo.numero=0&amp;atto.articolo.sottoArticolo=1&amp;atto.articolo.sottoArticolo1=0&amp;qId=ba885590-dbd1-4680-ab54-d5cd51a05d50&amp;tabID=0.26760378842390153&amp;title=lbl.dettaglioAtto" TargetMode="External"/><Relationship Id="rId3" Type="http://schemas.openxmlformats.org/officeDocument/2006/relationships/hyperlink" Target="https://www.ansa.it/sito/notizie/politica/2023/03/29/nordio-reato-tortura-e-odioso-governo-non-vuole-abrogarlo_48780764-996d-4660-8146-b74e8f44b904.html?utm_source=chatgpt.com" TargetMode="External"/><Relationship Id="rId12" Type="http://schemas.openxmlformats.org/officeDocument/2006/relationships/hyperlink" Target="https://www.sovraffollamentocarcerario.it/" TargetMode="External"/><Relationship Id="rId17" Type="http://schemas.openxmlformats.org/officeDocument/2006/relationships/hyperlink" Target="https://www.giustizia.it/giustizia/it/mg_1_14_1.page?contentId=SST1486460" TargetMode="External"/><Relationship Id="rId25" Type="http://schemas.openxmlformats.org/officeDocument/2006/relationships/hyperlink" Target="https://www.giustizia.it/giustizia/it/mg_1_14_1.page?contentId=SST1489980" TargetMode="External"/><Relationship Id="rId33" Type="http://schemas.openxmlformats.org/officeDocument/2006/relationships/hyperlink" Target="https://alternativestosolitaryconfinement.org/" TargetMode="External"/><Relationship Id="rId38" Type="http://schemas.openxmlformats.org/officeDocument/2006/relationships/hyperlink" Target="https://www.rapportoantigone.it/ventunesimo-rapporto-sulle-condizioni-di-detenzione/focus-suicidi/" TargetMode="External"/><Relationship Id="rId20" Type="http://schemas.openxmlformats.org/officeDocument/2006/relationships/hyperlink" Target="https://www.sistemapenale.it/pdf_contenuti/1694988058_dl-1232023-caivano.pdf" TargetMode="External"/><Relationship Id="rId41" Type="http://schemas.openxmlformats.org/officeDocument/2006/relationships/hyperlink" Target="https://www.sistemapenale.it/pdf_contenuti/1702740557_trib-siena-anonimizzat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NixawpL5hLxG+7KxzIuzj4Qk6w==">CgMxLjA4AHIhMWlXSW1pUVlmMGdHUEhqZjVmWU15dko1WHljWFpDQ0NV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58C2A31-9FA1-4C1B-A892-02611232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10494</Words>
  <Characters>59816</Characters>
  <Application>Microsoft Office Word</Application>
  <DocSecurity>0</DocSecurity>
  <Lines>498</Lines>
  <Paragraphs>140</Paragraphs>
  <ScaleCrop>false</ScaleCrop>
  <Company>HP</Company>
  <LinksUpToDate>false</LinksUpToDate>
  <CharactersWithSpaces>70170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Account Microsoft</cp:lastModifiedBy>
  <cp:revision>3</cp:revision>
  <dcterms:created xsi:type="dcterms:W3CDTF">2026-03-13T17:44:00Z</dcterms:created>
  <dcterms:modified xsi:type="dcterms:W3CDTF">2026-03-13T17:50:00Z</dcterms:modified>
</cp:coreProperties>
</file>