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60E2A" w14:paraId="09FF2497" w14:textId="77777777" w:rsidTr="00E56EE3">
        <w:trPr>
          <w:trHeight w:hRule="exact" w:val="851"/>
        </w:trPr>
        <w:tc>
          <w:tcPr>
            <w:tcW w:w="1280" w:type="dxa"/>
            <w:tcBorders>
              <w:bottom w:val="single" w:sz="4" w:space="0" w:color="auto"/>
            </w:tcBorders>
          </w:tcPr>
          <w:p w14:paraId="6484F2FF" w14:textId="77777777" w:rsidR="002D5AAC" w:rsidRDefault="002D5AAC" w:rsidP="00E56EE3"/>
        </w:tc>
        <w:tc>
          <w:tcPr>
            <w:tcW w:w="2273" w:type="dxa"/>
            <w:tcBorders>
              <w:bottom w:val="single" w:sz="4" w:space="0" w:color="auto"/>
            </w:tcBorders>
            <w:vAlign w:val="bottom"/>
          </w:tcPr>
          <w:p w14:paraId="5B6AFBE6" w14:textId="257AB469" w:rsidR="002D5AAC" w:rsidRPr="00D4778E" w:rsidRDefault="002D5AAC" w:rsidP="00E56EE3">
            <w:pPr>
              <w:spacing w:after="80" w:line="300" w:lineRule="exact"/>
              <w:rPr>
                <w:sz w:val="28"/>
              </w:rPr>
            </w:pPr>
          </w:p>
        </w:tc>
        <w:tc>
          <w:tcPr>
            <w:tcW w:w="6086" w:type="dxa"/>
            <w:gridSpan w:val="2"/>
            <w:tcBorders>
              <w:bottom w:val="single" w:sz="4" w:space="0" w:color="auto"/>
            </w:tcBorders>
            <w:vAlign w:val="bottom"/>
          </w:tcPr>
          <w:p w14:paraId="324E8989" w14:textId="77777777" w:rsidR="002D5AAC" w:rsidRDefault="002E03F3" w:rsidP="00007BCB">
            <w:pPr>
              <w:jc w:val="right"/>
            </w:pPr>
            <w:r>
              <w:rPr>
                <w:sz w:val="40"/>
              </w:rPr>
              <w:t>CEDAW</w:t>
            </w:r>
            <w:r w:rsidR="00935A0B" w:rsidRPr="00F43810">
              <w:t>/C/BOL/8</w:t>
            </w:r>
          </w:p>
        </w:tc>
      </w:tr>
      <w:tr w:rsidR="00A60E2A" w14:paraId="403D3C35" w14:textId="77777777" w:rsidTr="00E56EE3">
        <w:trPr>
          <w:trHeight w:hRule="exact" w:val="2835"/>
        </w:trPr>
        <w:tc>
          <w:tcPr>
            <w:tcW w:w="1280" w:type="dxa"/>
            <w:tcBorders>
              <w:top w:val="single" w:sz="4" w:space="0" w:color="auto"/>
              <w:bottom w:val="single" w:sz="12" w:space="0" w:color="auto"/>
            </w:tcBorders>
          </w:tcPr>
          <w:p w14:paraId="1C2B63D7" w14:textId="6F67DF75" w:rsidR="002D5AAC" w:rsidRDefault="002D5AAC" w:rsidP="00E56EE3">
            <w:pPr>
              <w:spacing w:before="120"/>
              <w:jc w:val="center"/>
            </w:pPr>
          </w:p>
        </w:tc>
        <w:tc>
          <w:tcPr>
            <w:tcW w:w="5540" w:type="dxa"/>
            <w:gridSpan w:val="2"/>
            <w:tcBorders>
              <w:top w:val="single" w:sz="4" w:space="0" w:color="auto"/>
              <w:bottom w:val="single" w:sz="12" w:space="0" w:color="auto"/>
            </w:tcBorders>
          </w:tcPr>
          <w:p w14:paraId="47A1DE4F" w14:textId="348BA58C" w:rsidR="002D5AAC" w:rsidRPr="00D4778E" w:rsidRDefault="00EC25E8" w:rsidP="00C4227A">
            <w:pPr>
              <w:spacing w:before="120" w:line="380" w:lineRule="exact"/>
              <w:rPr>
                <w:b/>
                <w:sz w:val="34"/>
                <w:szCs w:val="34"/>
              </w:rPr>
            </w:pPr>
            <w:r w:rsidRPr="00EC25E8">
              <w:rPr>
                <w:b/>
                <w:sz w:val="34"/>
                <w:szCs w:val="40"/>
              </w:rPr>
              <w:t>Versión avanzada sin editar</w:t>
            </w:r>
          </w:p>
        </w:tc>
        <w:tc>
          <w:tcPr>
            <w:tcW w:w="2819" w:type="dxa"/>
            <w:tcBorders>
              <w:top w:val="single" w:sz="4" w:space="0" w:color="auto"/>
              <w:bottom w:val="single" w:sz="12" w:space="0" w:color="auto"/>
            </w:tcBorders>
          </w:tcPr>
          <w:p w14:paraId="27DA672D" w14:textId="77777777" w:rsidR="00935A0B" w:rsidRPr="00F43810" w:rsidRDefault="002E03F3" w:rsidP="00935A0B">
            <w:pPr>
              <w:spacing w:before="240" w:line="240" w:lineRule="exact"/>
            </w:pPr>
            <w:r>
              <w:t>Distr.</w:t>
            </w:r>
            <w:r w:rsidRPr="00F43810">
              <w:t xml:space="preserve"> </w:t>
            </w:r>
            <w:r w:rsidR="00C4227A">
              <w:t>general</w:t>
            </w:r>
          </w:p>
          <w:p w14:paraId="00B4E119" w14:textId="6ACE05D8" w:rsidR="00935A0B" w:rsidRPr="00F43810" w:rsidRDefault="00626472" w:rsidP="00935A0B">
            <w:r>
              <w:t>7</w:t>
            </w:r>
            <w:r w:rsidR="002E03F3" w:rsidRPr="00F43810">
              <w:t xml:space="preserve"> de agosto de 2026</w:t>
            </w:r>
          </w:p>
          <w:p w14:paraId="362C34F4" w14:textId="77777777" w:rsidR="00935A0B" w:rsidRPr="00F43810" w:rsidRDefault="00935A0B" w:rsidP="00935A0B"/>
          <w:p w14:paraId="58F8494F" w14:textId="77777777" w:rsidR="00935A0B" w:rsidRPr="00F43810" w:rsidRDefault="002E03F3" w:rsidP="00935A0B">
            <w:r w:rsidRPr="00F43810">
              <w:t>Original: español</w:t>
            </w:r>
          </w:p>
          <w:p w14:paraId="48214ABE" w14:textId="77777777" w:rsidR="002D5AAC" w:rsidRDefault="00935A0B" w:rsidP="00935A0B">
            <w:pPr>
              <w:spacing w:line="240" w:lineRule="exact"/>
            </w:pPr>
            <w:r w:rsidRPr="00F43810">
              <w:t>Español, francés e inglés únicamente</w:t>
            </w:r>
          </w:p>
        </w:tc>
      </w:tr>
    </w:tbl>
    <w:p w14:paraId="083B8749" w14:textId="77777777" w:rsidR="00B569EA" w:rsidRDefault="002E03F3" w:rsidP="00B569EA">
      <w:pPr>
        <w:autoSpaceDE w:val="0"/>
        <w:autoSpaceDN w:val="0"/>
        <w:adjustRightInd w:val="0"/>
        <w:spacing w:before="120"/>
        <w:rPr>
          <w:rFonts w:ascii="Times New Roman Bold" w:hAnsi="Times New Roman Bold" w:hint="eastAsia"/>
          <w:b/>
          <w:color w:val="000000"/>
          <w:sz w:val="24"/>
        </w:rPr>
      </w:pPr>
      <w:r>
        <w:rPr>
          <w:b/>
          <w:sz w:val="24"/>
        </w:rPr>
        <w:t xml:space="preserve">Comité para la Eliminación de la Discriminación </w:t>
      </w:r>
      <w:r>
        <w:rPr>
          <w:b/>
          <w:sz w:val="24"/>
        </w:rPr>
        <w:br/>
        <w:t>contra la Mujer</w:t>
      </w:r>
    </w:p>
    <w:p w14:paraId="6EC1C0AD" w14:textId="26277A02" w:rsidR="00C4227A" w:rsidRPr="00626472" w:rsidRDefault="002E03F3" w:rsidP="00C4227A">
      <w:pPr>
        <w:pStyle w:val="HMG"/>
      </w:pPr>
      <w:r w:rsidRPr="00626472">
        <w:tab/>
      </w:r>
      <w:r w:rsidRPr="00626472">
        <w:tab/>
      </w:r>
      <w:r w:rsidRPr="00C4227A">
        <w:rPr>
          <w:lang w:val="es-ES_tradnl"/>
        </w:rPr>
        <w:t>Octavo informe periódico</w:t>
      </w:r>
      <w:r w:rsidRPr="004A4532">
        <w:rPr>
          <w:lang w:val="es-ES_tradnl"/>
        </w:rPr>
        <w:t xml:space="preserve"> que </w:t>
      </w:r>
      <w:r>
        <w:rPr>
          <w:lang w:val="es-ES_tradnl"/>
        </w:rPr>
        <w:t>el Estado Plurinacional de Bolivia</w:t>
      </w:r>
      <w:r w:rsidRPr="004A4532">
        <w:rPr>
          <w:lang w:val="es-ES_tradnl"/>
        </w:rPr>
        <w:t xml:space="preserve"> debía presentar en </w:t>
      </w:r>
      <w:r w:rsidR="00EF4851">
        <w:rPr>
          <w:lang w:val="es-ES_tradnl"/>
        </w:rPr>
        <w:t>2026</w:t>
      </w:r>
      <w:r w:rsidRPr="004A4532">
        <w:rPr>
          <w:lang w:val="es-ES_tradnl"/>
        </w:rPr>
        <w:t xml:space="preserve"> en virtud del artículo</w:t>
      </w:r>
      <w:r>
        <w:rPr>
          <w:lang w:val="es-ES_tradnl"/>
        </w:rPr>
        <w:t> </w:t>
      </w:r>
      <w:r w:rsidRPr="004A4532">
        <w:rPr>
          <w:lang w:val="es-ES_tradnl"/>
        </w:rPr>
        <w:t>18 de la Convención</w:t>
      </w:r>
      <w:r>
        <w:rPr>
          <w:rStyle w:val="FootnoteReference"/>
          <w:b w:val="0"/>
          <w:sz w:val="20"/>
          <w:vertAlign w:val="baseline"/>
        </w:rPr>
        <w:footnoteReference w:customMarkFollows="1" w:id="1"/>
        <w:t>*</w:t>
      </w:r>
      <w:r w:rsidR="008A6576" w:rsidRPr="00155194">
        <w:rPr>
          <w:b w:val="0"/>
          <w:sz w:val="20"/>
        </w:rPr>
        <w:t xml:space="preserve"> </w:t>
      </w:r>
      <w:r>
        <w:rPr>
          <w:rStyle w:val="FootnoteReference"/>
          <w:b w:val="0"/>
          <w:sz w:val="20"/>
          <w:vertAlign w:val="baseline"/>
        </w:rPr>
        <w:footnoteReference w:customMarkFollows="1" w:id="2"/>
        <w:t>**</w:t>
      </w:r>
    </w:p>
    <w:p w14:paraId="1A099FCA" w14:textId="29E6AD56" w:rsidR="00242391" w:rsidRPr="00BC3E2F" w:rsidRDefault="002E03F3" w:rsidP="00242391">
      <w:pPr>
        <w:ind w:left="1134" w:right="1134"/>
        <w:jc w:val="right"/>
      </w:pPr>
      <w:r>
        <w:t xml:space="preserve">[Fecha de recepción: </w:t>
      </w:r>
      <w:r w:rsidR="008C0070">
        <w:t>5</w:t>
      </w:r>
      <w:r w:rsidRPr="008C0070">
        <w:t xml:space="preserve"> de </w:t>
      </w:r>
      <w:r w:rsidR="0064056A">
        <w:t>agosto</w:t>
      </w:r>
      <w:r w:rsidRPr="008C0070">
        <w:t xml:space="preserve"> de </w:t>
      </w:r>
      <w:r w:rsidR="0064056A">
        <w:t>2026</w:t>
      </w:r>
      <w:r>
        <w:t>]</w:t>
      </w:r>
    </w:p>
    <w:p w14:paraId="0B398E2E" w14:textId="1A03B234" w:rsidR="00B75720" w:rsidRDefault="00B75720">
      <w:pPr>
        <w:spacing w:line="240" w:lineRule="auto"/>
        <w:rPr>
          <w:color w:val="0000FF"/>
        </w:rPr>
      </w:pPr>
      <w:r>
        <w:rPr>
          <w:color w:val="0000FF"/>
        </w:rPr>
        <w:br w:type="page"/>
      </w:r>
    </w:p>
    <w:p w14:paraId="3EAB66F6" w14:textId="58A6AC12" w:rsidR="003800B1" w:rsidRPr="003B6C6D" w:rsidRDefault="00D354A4" w:rsidP="00DC48B4">
      <w:pPr>
        <w:pStyle w:val="HChG"/>
      </w:pPr>
      <w:r>
        <w:lastRenderedPageBreak/>
        <w:tab/>
      </w:r>
      <w:r>
        <w:tab/>
      </w:r>
      <w:r w:rsidR="003800B1" w:rsidRPr="003B6C6D">
        <w:t xml:space="preserve">Abreviaturas </w:t>
      </w:r>
    </w:p>
    <w:p w14:paraId="3371FEF2" w14:textId="77777777"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ACOBOL </w:t>
      </w:r>
      <w:r>
        <w:rPr>
          <w:rFonts w:eastAsia="Times New Roman"/>
          <w:highlight w:val="white"/>
        </w:rPr>
        <w:tab/>
      </w:r>
      <w:r>
        <w:rPr>
          <w:rFonts w:eastAsia="Times New Roman"/>
          <w:highlight w:val="white"/>
        </w:rPr>
        <w:tab/>
        <w:t>Asociación de Concejalas y Alcaldesas de Bolivia</w:t>
      </w:r>
    </w:p>
    <w:p w14:paraId="374E6361" w14:textId="77777777" w:rsidR="003800B1" w:rsidRDefault="003800B1" w:rsidP="006845BC">
      <w:pPr>
        <w:spacing w:before="100" w:beforeAutospacing="1" w:after="100" w:afterAutospacing="1" w:line="240" w:lineRule="auto"/>
        <w:ind w:left="2874" w:right="1290" w:hanging="1740"/>
        <w:rPr>
          <w:rFonts w:eastAsia="Times New Roman"/>
          <w:highlight w:val="white"/>
        </w:rPr>
      </w:pPr>
      <w:r>
        <w:rPr>
          <w:rFonts w:eastAsia="Times New Roman"/>
          <w:highlight w:val="white"/>
        </w:rPr>
        <w:t xml:space="preserve">AGETIC </w:t>
      </w:r>
      <w:r>
        <w:rPr>
          <w:rFonts w:eastAsia="Times New Roman"/>
          <w:highlight w:val="white"/>
        </w:rPr>
        <w:tab/>
        <w:t>Agencia de Gobierno Electrónico y Tecnologías de la Información y Comunicación</w:t>
      </w:r>
    </w:p>
    <w:p w14:paraId="5547556E" w14:textId="2578D12E"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AIDA </w:t>
      </w:r>
      <w:r>
        <w:rPr>
          <w:rFonts w:eastAsia="Times New Roman"/>
          <w:highlight w:val="white"/>
        </w:rPr>
        <w:tab/>
      </w:r>
      <w:r>
        <w:rPr>
          <w:rFonts w:eastAsia="Times New Roman"/>
          <w:highlight w:val="white"/>
        </w:rPr>
        <w:tab/>
      </w:r>
      <w:r w:rsidR="00C90991">
        <w:rPr>
          <w:rFonts w:eastAsia="Times New Roman"/>
          <w:highlight w:val="white"/>
        </w:rPr>
        <w:tab/>
      </w:r>
      <w:r>
        <w:rPr>
          <w:rFonts w:eastAsia="Times New Roman"/>
          <w:highlight w:val="white"/>
        </w:rPr>
        <w:t>Atención Integral de Adolescentes y Jóvenes</w:t>
      </w:r>
    </w:p>
    <w:p w14:paraId="2CA54AF5" w14:textId="77777777" w:rsidR="003800B1" w:rsidRDefault="003800B1" w:rsidP="006845BC">
      <w:pPr>
        <w:spacing w:before="100" w:beforeAutospacing="1" w:after="100" w:afterAutospacing="1" w:line="240" w:lineRule="auto"/>
        <w:ind w:left="2880" w:right="1290" w:hanging="1746"/>
        <w:rPr>
          <w:rFonts w:eastAsia="Times New Roman"/>
          <w:highlight w:val="white"/>
        </w:rPr>
      </w:pPr>
      <w:r>
        <w:rPr>
          <w:rFonts w:eastAsia="Times New Roman"/>
          <w:highlight w:val="white"/>
        </w:rPr>
        <w:t xml:space="preserve">AMADBOL </w:t>
      </w:r>
      <w:r>
        <w:rPr>
          <w:rFonts w:eastAsia="Times New Roman"/>
          <w:highlight w:val="white"/>
        </w:rPr>
        <w:tab/>
        <w:t>Asociación de Mujeres Asambleístas Departamentales de Bolivia</w:t>
      </w:r>
    </w:p>
    <w:p w14:paraId="5C39655B" w14:textId="77777777"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AMEB</w:t>
      </w:r>
      <w:r>
        <w:rPr>
          <w:rFonts w:eastAsia="Times New Roman"/>
          <w:highlight w:val="white"/>
        </w:rPr>
        <w:tab/>
      </w:r>
      <w:r>
        <w:rPr>
          <w:rFonts w:eastAsia="Times New Roman"/>
          <w:highlight w:val="white"/>
        </w:rPr>
        <w:tab/>
        <w:t xml:space="preserve">Asociación Boliviana de Mujeres en Energía </w:t>
      </w:r>
    </w:p>
    <w:p w14:paraId="20F2316C" w14:textId="77777777"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APMT </w:t>
      </w:r>
      <w:r>
        <w:rPr>
          <w:rFonts w:eastAsia="Times New Roman"/>
          <w:highlight w:val="white"/>
        </w:rPr>
        <w:tab/>
      </w:r>
      <w:r>
        <w:rPr>
          <w:rFonts w:eastAsia="Times New Roman"/>
          <w:highlight w:val="white"/>
        </w:rPr>
        <w:tab/>
        <w:t>Autoridad Plurinacional de la Madre Tierra</w:t>
      </w:r>
    </w:p>
    <w:p w14:paraId="065EBC27" w14:textId="26FD892E"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ASFI </w:t>
      </w:r>
      <w:r>
        <w:rPr>
          <w:rFonts w:eastAsia="Times New Roman"/>
          <w:highlight w:val="white"/>
        </w:rPr>
        <w:tab/>
      </w:r>
      <w:r>
        <w:rPr>
          <w:rFonts w:eastAsia="Times New Roman"/>
          <w:highlight w:val="white"/>
        </w:rPr>
        <w:tab/>
      </w:r>
      <w:r w:rsidR="00C90991">
        <w:rPr>
          <w:rFonts w:eastAsia="Times New Roman"/>
          <w:highlight w:val="white"/>
        </w:rPr>
        <w:tab/>
      </w:r>
      <w:r>
        <w:rPr>
          <w:rFonts w:eastAsia="Times New Roman"/>
          <w:highlight w:val="white"/>
        </w:rPr>
        <w:t>Autoridad de Supervisión del Sistema Financiero</w:t>
      </w:r>
    </w:p>
    <w:p w14:paraId="7B64D551" w14:textId="77777777" w:rsidR="003800B1" w:rsidRDefault="003800B1" w:rsidP="006845BC">
      <w:pPr>
        <w:spacing w:before="100" w:beforeAutospacing="1" w:after="100" w:afterAutospacing="1" w:line="240" w:lineRule="auto"/>
        <w:ind w:left="2874" w:right="1290" w:hanging="1740"/>
        <w:rPr>
          <w:rFonts w:eastAsia="Times New Roman"/>
          <w:highlight w:val="white"/>
        </w:rPr>
      </w:pPr>
      <w:r>
        <w:rPr>
          <w:rFonts w:eastAsia="Times New Roman"/>
          <w:highlight w:val="white"/>
        </w:rPr>
        <w:t xml:space="preserve">ASUSS </w:t>
      </w:r>
      <w:r>
        <w:rPr>
          <w:rFonts w:eastAsia="Times New Roman"/>
          <w:highlight w:val="white"/>
        </w:rPr>
        <w:tab/>
        <w:t>Autoridad de Supervisión de la Seguridad Social de Corto Plazo</w:t>
      </w:r>
    </w:p>
    <w:p w14:paraId="66588A9F" w14:textId="67846534"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AVP </w:t>
      </w:r>
      <w:r>
        <w:rPr>
          <w:rFonts w:eastAsia="Times New Roman"/>
          <w:highlight w:val="white"/>
        </w:rPr>
        <w:tab/>
      </w:r>
      <w:r>
        <w:rPr>
          <w:rFonts w:eastAsia="Times New Roman"/>
          <w:highlight w:val="white"/>
        </w:rPr>
        <w:tab/>
      </w:r>
      <w:r w:rsidR="00C90991">
        <w:rPr>
          <w:rFonts w:eastAsia="Times New Roman"/>
          <w:highlight w:val="white"/>
        </w:rPr>
        <w:tab/>
      </w:r>
      <w:r>
        <w:rPr>
          <w:rFonts w:eastAsia="Times New Roman"/>
          <w:highlight w:val="white"/>
        </w:rPr>
        <w:t>Acoso y Violencia Política</w:t>
      </w:r>
    </w:p>
    <w:p w14:paraId="6DCADBE3" w14:textId="77777777"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BDP - SAM</w:t>
      </w:r>
      <w:r>
        <w:rPr>
          <w:rFonts w:eastAsia="Times New Roman"/>
          <w:highlight w:val="white"/>
        </w:rPr>
        <w:tab/>
      </w:r>
      <w:r>
        <w:rPr>
          <w:rFonts w:eastAsia="Times New Roman"/>
          <w:highlight w:val="white"/>
        </w:rPr>
        <w:tab/>
        <w:t>Banco de Desarrollo Productivo - Sociedad Anónima Mixta</w:t>
      </w:r>
    </w:p>
    <w:p w14:paraId="1A628369" w14:textId="5D2B5E45"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BJA</w:t>
      </w:r>
      <w:r>
        <w:rPr>
          <w:rFonts w:eastAsia="Times New Roman"/>
          <w:highlight w:val="white"/>
        </w:rPr>
        <w:tab/>
      </w:r>
      <w:r>
        <w:rPr>
          <w:rFonts w:eastAsia="Times New Roman"/>
          <w:highlight w:val="white"/>
        </w:rPr>
        <w:tab/>
      </w:r>
      <w:r w:rsidR="00C90991">
        <w:rPr>
          <w:rFonts w:eastAsia="Times New Roman"/>
          <w:highlight w:val="white"/>
        </w:rPr>
        <w:tab/>
      </w:r>
      <w:r>
        <w:rPr>
          <w:rFonts w:eastAsia="Times New Roman"/>
          <w:highlight w:val="white"/>
        </w:rPr>
        <w:t>Bono Juana Azurduy</w:t>
      </w:r>
    </w:p>
    <w:p w14:paraId="50581501" w14:textId="77777777" w:rsidR="003800B1" w:rsidRDefault="003800B1" w:rsidP="006845BC">
      <w:pPr>
        <w:spacing w:before="100" w:beforeAutospacing="1" w:after="100" w:afterAutospacing="1" w:line="240" w:lineRule="auto"/>
        <w:ind w:left="2880" w:right="1290" w:hanging="1746"/>
        <w:rPr>
          <w:rFonts w:eastAsia="Times New Roman"/>
          <w:highlight w:val="white"/>
        </w:rPr>
      </w:pPr>
      <w:r>
        <w:rPr>
          <w:rFonts w:eastAsia="Times New Roman"/>
          <w:highlight w:val="white"/>
        </w:rPr>
        <w:t xml:space="preserve">CM </w:t>
      </w:r>
      <w:r>
        <w:rPr>
          <w:rFonts w:eastAsia="Times New Roman"/>
          <w:highlight w:val="white"/>
        </w:rPr>
        <w:tab/>
        <w:t>Consejo de la Magistratura</w:t>
      </w:r>
    </w:p>
    <w:p w14:paraId="5E2ABA9A" w14:textId="77777777" w:rsidR="003800B1" w:rsidRDefault="003800B1" w:rsidP="006845BC">
      <w:pPr>
        <w:spacing w:before="100" w:beforeAutospacing="1" w:after="100" w:afterAutospacing="1" w:line="240" w:lineRule="auto"/>
        <w:ind w:left="2880" w:right="1290" w:hanging="1746"/>
        <w:rPr>
          <w:rFonts w:eastAsia="Times New Roman"/>
          <w:highlight w:val="white"/>
        </w:rPr>
      </w:pPr>
      <w:r>
        <w:rPr>
          <w:rFonts w:eastAsia="Times New Roman"/>
          <w:highlight w:val="white"/>
        </w:rPr>
        <w:t xml:space="preserve">CONACVAE </w:t>
      </w:r>
      <w:r>
        <w:rPr>
          <w:rFonts w:eastAsia="Times New Roman"/>
          <w:highlight w:val="white"/>
        </w:rPr>
        <w:tab/>
        <w:t>Comité Nacional contra la Violencia en el Ámbito Educativo</w:t>
      </w:r>
    </w:p>
    <w:p w14:paraId="28458DB9" w14:textId="77777777"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CONAFRO</w:t>
      </w:r>
      <w:r>
        <w:rPr>
          <w:rFonts w:eastAsia="Times New Roman"/>
          <w:highlight w:val="white"/>
        </w:rPr>
        <w:tab/>
      </w:r>
      <w:r>
        <w:rPr>
          <w:rFonts w:eastAsia="Times New Roman"/>
          <w:highlight w:val="white"/>
        </w:rPr>
        <w:tab/>
        <w:t xml:space="preserve">Consejo Nacional Afroboliviano </w:t>
      </w:r>
    </w:p>
    <w:p w14:paraId="0F5ABBA4" w14:textId="77777777"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CONALPEDIS</w:t>
      </w:r>
      <w:r>
        <w:rPr>
          <w:rFonts w:eastAsia="Times New Roman"/>
          <w:highlight w:val="white"/>
        </w:rPr>
        <w:tab/>
        <w:t xml:space="preserve">Comité Nacional de Personas con Discapacidad </w:t>
      </w:r>
    </w:p>
    <w:p w14:paraId="26DD365B" w14:textId="4ACC170E"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CPE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Constitución Política del Estado</w:t>
      </w:r>
    </w:p>
    <w:p w14:paraId="0F7B083E" w14:textId="129D447D"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CPV</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Censo de Población y Vivienda</w:t>
      </w:r>
    </w:p>
    <w:p w14:paraId="7DF7FB6D" w14:textId="36591F11"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DAIA</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 xml:space="preserve">Comité Nacional de Personas con Discapacidad </w:t>
      </w:r>
    </w:p>
    <w:p w14:paraId="2D757AB0" w14:textId="77777777"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DGTTP </w:t>
      </w:r>
      <w:r>
        <w:rPr>
          <w:rFonts w:eastAsia="Times New Roman"/>
          <w:highlight w:val="white"/>
        </w:rPr>
        <w:tab/>
      </w:r>
      <w:r>
        <w:rPr>
          <w:rFonts w:eastAsia="Times New Roman"/>
          <w:highlight w:val="white"/>
        </w:rPr>
        <w:tab/>
        <w:t>Dirección General de Trata y Tráfico de Personas</w:t>
      </w:r>
    </w:p>
    <w:p w14:paraId="0EF06F9B" w14:textId="140996BC"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DPB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Defensoría del Pueblo</w:t>
      </w:r>
    </w:p>
    <w:p w14:paraId="38F65398" w14:textId="4EE86FAE"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D.S.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Decreto Supremo</w:t>
      </w:r>
    </w:p>
    <w:p w14:paraId="5CF1B03B" w14:textId="77777777"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EDSA </w:t>
      </w:r>
      <w:r>
        <w:rPr>
          <w:rFonts w:eastAsia="Times New Roman"/>
          <w:highlight w:val="white"/>
        </w:rPr>
        <w:tab/>
      </w:r>
      <w:r>
        <w:rPr>
          <w:rFonts w:eastAsia="Times New Roman"/>
          <w:highlight w:val="white"/>
        </w:rPr>
        <w:tab/>
        <w:t>Encuesta de Demografía y Salud</w:t>
      </w:r>
    </w:p>
    <w:p w14:paraId="3F02A23F" w14:textId="461147B1"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EGPP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Escuela de Gestión Pública Plurinacional</w:t>
      </w:r>
    </w:p>
    <w:p w14:paraId="63172A6B" w14:textId="77777777"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EIS</w:t>
      </w:r>
      <w:r>
        <w:rPr>
          <w:rFonts w:eastAsia="Times New Roman"/>
          <w:highlight w:val="white"/>
        </w:rPr>
        <w:tab/>
      </w:r>
      <w:r>
        <w:rPr>
          <w:rFonts w:eastAsia="Times New Roman"/>
          <w:highlight w:val="white"/>
        </w:rPr>
        <w:tab/>
      </w:r>
      <w:r>
        <w:rPr>
          <w:rFonts w:eastAsia="Times New Roman"/>
          <w:highlight w:val="white"/>
        </w:rPr>
        <w:tab/>
        <w:t xml:space="preserve">Educación Integral en Sexualidad </w:t>
      </w:r>
    </w:p>
    <w:p w14:paraId="0AC33B6B" w14:textId="77777777" w:rsidR="003800B1" w:rsidRDefault="003800B1" w:rsidP="006845BC">
      <w:pPr>
        <w:spacing w:before="100" w:beforeAutospacing="1" w:after="100" w:afterAutospacing="1" w:line="240" w:lineRule="auto"/>
        <w:ind w:left="2880" w:right="1290" w:hanging="1746"/>
        <w:rPr>
          <w:rFonts w:eastAsia="Times New Roman"/>
          <w:highlight w:val="white"/>
        </w:rPr>
      </w:pPr>
      <w:r>
        <w:rPr>
          <w:rFonts w:eastAsia="Times New Roman"/>
          <w:highlight w:val="white"/>
        </w:rPr>
        <w:t xml:space="preserve">ELCVAE </w:t>
      </w:r>
      <w:r>
        <w:rPr>
          <w:rFonts w:eastAsia="Times New Roman"/>
          <w:highlight w:val="white"/>
        </w:rPr>
        <w:tab/>
        <w:t>Estrategia de Lucha contra la Violencia en el Ámbito Educativo</w:t>
      </w:r>
    </w:p>
    <w:p w14:paraId="7ECB249A" w14:textId="1FF83735"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ENDE</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 xml:space="preserve">Empresa Nacional de Electricidad </w:t>
      </w:r>
    </w:p>
    <w:p w14:paraId="524812A4" w14:textId="106AA0EF"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lastRenderedPageBreak/>
        <w:t>ENIF</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Estrategia Nacional de Inclusión Financiera</w:t>
      </w:r>
    </w:p>
    <w:p w14:paraId="32001098" w14:textId="77777777"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ESFM </w:t>
      </w:r>
      <w:r>
        <w:rPr>
          <w:rFonts w:eastAsia="Times New Roman"/>
          <w:highlight w:val="white"/>
        </w:rPr>
        <w:tab/>
      </w:r>
      <w:r>
        <w:rPr>
          <w:rFonts w:eastAsia="Times New Roman"/>
          <w:highlight w:val="white"/>
        </w:rPr>
        <w:tab/>
        <w:t>Escuelas Superiores de Formación de Maestras y Maestros</w:t>
      </w:r>
    </w:p>
    <w:p w14:paraId="47896A17" w14:textId="65AC9889"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ETAs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Entidades Territoriales Autónomas</w:t>
      </w:r>
    </w:p>
    <w:p w14:paraId="7DB7CA25" w14:textId="77777777"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FELCC </w:t>
      </w:r>
      <w:r>
        <w:rPr>
          <w:rFonts w:eastAsia="Times New Roman"/>
          <w:highlight w:val="white"/>
        </w:rPr>
        <w:tab/>
      </w:r>
      <w:r>
        <w:rPr>
          <w:rFonts w:eastAsia="Times New Roman"/>
          <w:highlight w:val="white"/>
        </w:rPr>
        <w:tab/>
        <w:t>Fuerza Especial de Lucha Contra el Crimen</w:t>
      </w:r>
    </w:p>
    <w:p w14:paraId="0ED2ECD3" w14:textId="77777777"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FELCV </w:t>
      </w:r>
      <w:r>
        <w:rPr>
          <w:rFonts w:eastAsia="Times New Roman"/>
          <w:highlight w:val="white"/>
        </w:rPr>
        <w:tab/>
      </w:r>
      <w:r>
        <w:rPr>
          <w:rFonts w:eastAsia="Times New Roman"/>
          <w:highlight w:val="white"/>
        </w:rPr>
        <w:tab/>
        <w:t>Fuerza Especial de Lucha Contra la Violencia</w:t>
      </w:r>
    </w:p>
    <w:p w14:paraId="4CD40609" w14:textId="77777777" w:rsidR="003800B1" w:rsidRDefault="003800B1" w:rsidP="006845BC">
      <w:pPr>
        <w:spacing w:before="100" w:beforeAutospacing="1" w:after="100" w:afterAutospacing="1" w:line="240" w:lineRule="auto"/>
        <w:ind w:left="2880" w:right="1290" w:hanging="1746"/>
        <w:rPr>
          <w:rFonts w:eastAsia="Times New Roman"/>
          <w:highlight w:val="white"/>
        </w:rPr>
      </w:pPr>
      <w:r>
        <w:rPr>
          <w:rFonts w:eastAsia="Times New Roman"/>
          <w:highlight w:val="white"/>
        </w:rPr>
        <w:t>FENATRAHOB</w:t>
      </w:r>
      <w:r>
        <w:rPr>
          <w:rFonts w:eastAsia="Times New Roman"/>
          <w:highlight w:val="white"/>
        </w:rPr>
        <w:tab/>
        <w:t>Federación Nacional de Trabajadoras Asalariadas del Hogar de Bolivia</w:t>
      </w:r>
    </w:p>
    <w:p w14:paraId="7CF867A0" w14:textId="2964A3F3"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FGE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Fiscalía General del Estado</w:t>
      </w:r>
    </w:p>
    <w:p w14:paraId="60AC5597" w14:textId="14F27580"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GAD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Gobiernos Autónomos Departamentales</w:t>
      </w:r>
    </w:p>
    <w:p w14:paraId="4E5C746C" w14:textId="34926945"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GAM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Gobiernos Autónomos Municipales</w:t>
      </w:r>
    </w:p>
    <w:p w14:paraId="4BEB22A8" w14:textId="6FDD57A0"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GIZ</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 xml:space="preserve">Agencia Alemana para la Cooperación Internacional </w:t>
      </w:r>
    </w:p>
    <w:p w14:paraId="169D758E" w14:textId="197793FB"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IDH</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Impuesto Directo a los Hidrocarburos</w:t>
      </w:r>
    </w:p>
    <w:p w14:paraId="31B378FE" w14:textId="1B74CB98"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ILE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Interrupción Legal del Embarazo</w:t>
      </w:r>
    </w:p>
    <w:p w14:paraId="4D3568C9" w14:textId="6AB33DAA"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IOC</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Indígena Originario Campesino</w:t>
      </w:r>
    </w:p>
    <w:p w14:paraId="1501CFEC" w14:textId="77777777"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INAMU </w:t>
      </w:r>
      <w:r>
        <w:rPr>
          <w:rFonts w:eastAsia="Times New Roman"/>
          <w:highlight w:val="white"/>
        </w:rPr>
        <w:tab/>
      </w:r>
      <w:r>
        <w:rPr>
          <w:rFonts w:eastAsia="Times New Roman"/>
          <w:highlight w:val="white"/>
        </w:rPr>
        <w:tab/>
        <w:t>Instituto Nacional de las Mujeres – Costa Rica</w:t>
      </w:r>
    </w:p>
    <w:p w14:paraId="01924F9A" w14:textId="79518C7A"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INE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Instituto Nacional de Estadística</w:t>
      </w:r>
    </w:p>
    <w:p w14:paraId="650489A1" w14:textId="48872FD6"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INRA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Instituto Nacional de Reforma Agraria</w:t>
      </w:r>
    </w:p>
    <w:p w14:paraId="7A20D8A7" w14:textId="054306FA"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JIOC</w:t>
      </w:r>
      <w:r>
        <w:rPr>
          <w:rFonts w:eastAsia="Times New Roman"/>
          <w:highlight w:val="white"/>
        </w:rPr>
        <w:tab/>
      </w:r>
      <w:r>
        <w:rPr>
          <w:rFonts w:eastAsia="Times New Roman"/>
          <w:highlight w:val="white"/>
        </w:rPr>
        <w:tab/>
      </w:r>
      <w:r w:rsidR="0055166B">
        <w:rPr>
          <w:rFonts w:eastAsia="Times New Roman"/>
        </w:rPr>
        <w:tab/>
      </w:r>
      <w:r>
        <w:rPr>
          <w:rFonts w:eastAsia="Times New Roman"/>
        </w:rPr>
        <w:t>Jurisdicción Indígena Originaria Campesina</w:t>
      </w:r>
    </w:p>
    <w:p w14:paraId="59246AF0" w14:textId="776F5D50"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ME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Ministerio de Educación</w:t>
      </w:r>
    </w:p>
    <w:p w14:paraId="65276528" w14:textId="065BC49F"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MGR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Modelo de Gestión de Redes</w:t>
      </w:r>
    </w:p>
    <w:p w14:paraId="3360A5EB" w14:textId="0992B34C"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MJTI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Ministerio de Justicia y Transparencia Institucional</w:t>
      </w:r>
    </w:p>
    <w:p w14:paraId="1DCA01EA" w14:textId="77777777"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MOLIV </w:t>
      </w:r>
      <w:r>
        <w:rPr>
          <w:rFonts w:eastAsia="Times New Roman"/>
          <w:highlight w:val="white"/>
        </w:rPr>
        <w:tab/>
      </w:r>
      <w:r>
        <w:rPr>
          <w:rFonts w:eastAsia="Times New Roman"/>
          <w:highlight w:val="white"/>
        </w:rPr>
        <w:tab/>
        <w:t>Módulo por una Vida Libre de Violencias</w:t>
      </w:r>
    </w:p>
    <w:p w14:paraId="69B823CE" w14:textId="77777777" w:rsidR="003800B1" w:rsidRDefault="003800B1" w:rsidP="006845BC">
      <w:pPr>
        <w:spacing w:before="100" w:beforeAutospacing="1" w:after="100" w:afterAutospacing="1" w:line="240" w:lineRule="auto"/>
        <w:ind w:right="1290" w:firstLine="1134"/>
        <w:rPr>
          <w:rFonts w:eastAsia="Times New Roman"/>
          <w:highlight w:val="white"/>
        </w:rPr>
      </w:pPr>
      <w:r>
        <w:rPr>
          <w:rFonts w:eastAsia="Times New Roman"/>
          <w:highlight w:val="white"/>
        </w:rPr>
        <w:t>MOSPA</w:t>
      </w:r>
      <w:r>
        <w:rPr>
          <w:rFonts w:eastAsia="Times New Roman"/>
          <w:highlight w:val="white"/>
        </w:rPr>
        <w:tab/>
      </w:r>
      <w:r>
        <w:rPr>
          <w:rFonts w:eastAsia="Times New Roman"/>
          <w:highlight w:val="white"/>
        </w:rPr>
        <w:tab/>
      </w:r>
      <w:r>
        <w:rPr>
          <w:rFonts w:eastAsia="Times New Roman"/>
        </w:rPr>
        <w:t>Módulo del Sistema Penal para Adolescentes</w:t>
      </w:r>
    </w:p>
    <w:p w14:paraId="58427FB5" w14:textId="5BF5328A"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MRE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 xml:space="preserve">Ministerio de Relaciones Exteriores </w:t>
      </w:r>
    </w:p>
    <w:p w14:paraId="0A2A35D9" w14:textId="68A0C05B"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MSyD</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Ministerio de Salud y Deportes</w:t>
      </w:r>
    </w:p>
    <w:p w14:paraId="10607950" w14:textId="77777777"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MTEPS </w:t>
      </w:r>
      <w:r>
        <w:rPr>
          <w:rFonts w:eastAsia="Times New Roman"/>
          <w:highlight w:val="white"/>
        </w:rPr>
        <w:tab/>
      </w:r>
      <w:r>
        <w:rPr>
          <w:rFonts w:eastAsia="Times New Roman"/>
          <w:highlight w:val="white"/>
        </w:rPr>
        <w:tab/>
        <w:t>Ministerio de Trabajo, Empleo y Previsión Social</w:t>
      </w:r>
    </w:p>
    <w:p w14:paraId="601A9D5F" w14:textId="7A00564C" w:rsidR="003800B1" w:rsidRDefault="003800B1" w:rsidP="006845BC">
      <w:pPr>
        <w:spacing w:before="100" w:beforeAutospacing="1" w:after="100" w:afterAutospacing="1" w:line="240" w:lineRule="auto"/>
        <w:ind w:left="1134" w:right="1290"/>
        <w:jc w:val="both"/>
        <w:rPr>
          <w:rFonts w:eastAsia="Times New Roman"/>
          <w:highlight w:val="white"/>
        </w:rPr>
      </w:pPr>
      <w:r>
        <w:rPr>
          <w:rFonts w:eastAsia="Times New Roman"/>
          <w:highlight w:val="white"/>
        </w:rPr>
        <w:t>NDC</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Contribución Nacionalmente Determinada</w:t>
      </w:r>
    </w:p>
    <w:p w14:paraId="78141EE6" w14:textId="77777777" w:rsidR="003800B1" w:rsidRDefault="003800B1" w:rsidP="006845BC">
      <w:pPr>
        <w:spacing w:before="100" w:beforeAutospacing="1" w:after="100" w:afterAutospacing="1" w:line="240" w:lineRule="auto"/>
        <w:ind w:left="2874" w:right="1290" w:hanging="1740"/>
        <w:rPr>
          <w:rFonts w:eastAsia="Times New Roman"/>
          <w:highlight w:val="white"/>
        </w:rPr>
      </w:pPr>
      <w:r>
        <w:rPr>
          <w:rFonts w:eastAsia="Times New Roman"/>
          <w:highlight w:val="white"/>
        </w:rPr>
        <w:t xml:space="preserve">NGGE </w:t>
      </w:r>
      <w:r>
        <w:rPr>
          <w:rFonts w:eastAsia="Times New Roman"/>
          <w:highlight w:val="white"/>
        </w:rPr>
        <w:tab/>
        <w:t>Normas Generales para Gestión Educativa del Subsistema de Educación Regular</w:t>
      </w:r>
    </w:p>
    <w:p w14:paraId="36F25225" w14:textId="79FB8962"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lastRenderedPageBreak/>
        <w:t xml:space="preserve">NNA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Niñas, Niños y Adolescentes</w:t>
      </w:r>
    </w:p>
    <w:p w14:paraId="09462133" w14:textId="77777777" w:rsidR="003800B1" w:rsidRDefault="003800B1" w:rsidP="006845BC">
      <w:pPr>
        <w:spacing w:before="100" w:beforeAutospacing="1" w:after="100" w:afterAutospacing="1" w:line="240" w:lineRule="auto"/>
        <w:ind w:left="2880" w:right="1290" w:hanging="1746"/>
        <w:rPr>
          <w:rFonts w:eastAsia="Times New Roman"/>
          <w:highlight w:val="white"/>
        </w:rPr>
      </w:pPr>
      <w:r>
        <w:rPr>
          <w:rFonts w:eastAsia="Times New Roman"/>
          <w:highlight w:val="white"/>
        </w:rPr>
        <w:t>OBSDC</w:t>
      </w:r>
      <w:r>
        <w:rPr>
          <w:rFonts w:eastAsia="Times New Roman"/>
          <w:highlight w:val="white"/>
        </w:rPr>
        <w:tab/>
        <w:t xml:space="preserve">Observatorio Boliviano de Seguridad Ciudadana y Lucha contra las Drogas </w:t>
      </w:r>
    </w:p>
    <w:p w14:paraId="62744724" w14:textId="77777777" w:rsidR="003800B1" w:rsidRDefault="003800B1" w:rsidP="006845BC">
      <w:pPr>
        <w:spacing w:before="100" w:beforeAutospacing="1" w:after="100" w:afterAutospacing="1" w:line="240" w:lineRule="auto"/>
        <w:ind w:left="2880" w:right="1232" w:hanging="1746"/>
        <w:rPr>
          <w:rFonts w:eastAsia="Times New Roman"/>
          <w:highlight w:val="white"/>
        </w:rPr>
      </w:pPr>
      <w:r>
        <w:rPr>
          <w:rFonts w:eastAsia="Times New Roman"/>
          <w:highlight w:val="white"/>
        </w:rPr>
        <w:t xml:space="preserve">OECAS </w:t>
      </w:r>
      <w:r>
        <w:rPr>
          <w:rFonts w:eastAsia="Times New Roman"/>
          <w:highlight w:val="white"/>
        </w:rPr>
        <w:tab/>
        <w:t>Organizaciones Económicas Campesinas, Indígena Originarias</w:t>
      </w:r>
    </w:p>
    <w:p w14:paraId="21DA10F6" w14:textId="77777777"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OECOM</w:t>
      </w:r>
      <w:r>
        <w:rPr>
          <w:rFonts w:eastAsia="Times New Roman"/>
          <w:highlight w:val="white"/>
        </w:rPr>
        <w:tab/>
      </w:r>
      <w:r>
        <w:rPr>
          <w:rFonts w:eastAsia="Times New Roman"/>
          <w:highlight w:val="white"/>
        </w:rPr>
        <w:tab/>
        <w:t>Organizaciones Económicas Comunitarias</w:t>
      </w:r>
    </w:p>
    <w:p w14:paraId="45C981E3" w14:textId="41D26478"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 xml:space="preserve">OEP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Órgano Electoral Plurinacional</w:t>
      </w:r>
    </w:p>
    <w:p w14:paraId="5E88B71B" w14:textId="77777777"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 xml:space="preserve">OJ </w:t>
      </w:r>
      <w:r>
        <w:rPr>
          <w:rFonts w:eastAsia="Times New Roman"/>
          <w:highlight w:val="white"/>
        </w:rPr>
        <w:tab/>
      </w:r>
      <w:r>
        <w:rPr>
          <w:rFonts w:eastAsia="Times New Roman"/>
          <w:highlight w:val="white"/>
        </w:rPr>
        <w:tab/>
      </w:r>
      <w:r>
        <w:rPr>
          <w:rFonts w:eastAsia="Times New Roman"/>
          <w:highlight w:val="white"/>
        </w:rPr>
        <w:tab/>
        <w:t>Órgano Judicial</w:t>
      </w:r>
    </w:p>
    <w:p w14:paraId="3DE57840" w14:textId="77777777"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OP</w:t>
      </w:r>
      <w:r>
        <w:rPr>
          <w:rFonts w:eastAsia="Times New Roman"/>
          <w:highlight w:val="white"/>
        </w:rPr>
        <w:tab/>
      </w:r>
      <w:r>
        <w:rPr>
          <w:rFonts w:eastAsia="Times New Roman"/>
          <w:highlight w:val="white"/>
        </w:rPr>
        <w:tab/>
      </w:r>
      <w:r>
        <w:rPr>
          <w:rFonts w:eastAsia="Times New Roman"/>
          <w:highlight w:val="white"/>
        </w:rPr>
        <w:tab/>
      </w:r>
      <w:r>
        <w:rPr>
          <w:rFonts w:eastAsia="Times New Roman"/>
        </w:rPr>
        <w:t>Organizaciones Políticas</w:t>
      </w:r>
    </w:p>
    <w:p w14:paraId="2743093E" w14:textId="77777777"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 xml:space="preserve">PAGCC </w:t>
      </w:r>
      <w:r>
        <w:rPr>
          <w:rFonts w:eastAsia="Times New Roman"/>
          <w:highlight w:val="white"/>
        </w:rPr>
        <w:tab/>
      </w:r>
      <w:r>
        <w:rPr>
          <w:rFonts w:eastAsia="Times New Roman"/>
          <w:highlight w:val="white"/>
        </w:rPr>
        <w:tab/>
        <w:t>Plan de Acción de Género y Cambio Climático</w:t>
      </w:r>
    </w:p>
    <w:p w14:paraId="51C648C5" w14:textId="3F6530C7"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PAE</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 xml:space="preserve">Programa de Apoyo al Empleo </w:t>
      </w:r>
    </w:p>
    <w:p w14:paraId="3EE27EB7" w14:textId="280D0C53"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 xml:space="preserve">PAR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Programa de Alianzas Rurales</w:t>
      </w:r>
    </w:p>
    <w:p w14:paraId="12240175" w14:textId="77777777" w:rsidR="003800B1" w:rsidRDefault="003800B1" w:rsidP="006845BC">
      <w:pPr>
        <w:spacing w:before="100" w:beforeAutospacing="1" w:after="100" w:afterAutospacing="1" w:line="240" w:lineRule="auto"/>
        <w:ind w:left="2880" w:right="1290" w:hanging="1746"/>
        <w:rPr>
          <w:rFonts w:eastAsia="Times New Roman"/>
          <w:highlight w:val="white"/>
        </w:rPr>
      </w:pPr>
      <w:r>
        <w:rPr>
          <w:rFonts w:eastAsia="Times New Roman"/>
          <w:highlight w:val="white"/>
        </w:rPr>
        <w:t>PAR III</w:t>
      </w:r>
      <w:r>
        <w:rPr>
          <w:rFonts w:eastAsia="Times New Roman"/>
          <w:highlight w:val="white"/>
        </w:rPr>
        <w:tab/>
        <w:t>Proyecto de Innovación para Sistemas Alimentarios Resilientes</w:t>
      </w:r>
    </w:p>
    <w:p w14:paraId="0A58AA37" w14:textId="179E9150"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PAM</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Personas Adultas Mayores</w:t>
      </w:r>
    </w:p>
    <w:p w14:paraId="0686C91D" w14:textId="393976A4"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 xml:space="preserve">PcD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Personas con Discapacidad</w:t>
      </w:r>
    </w:p>
    <w:p w14:paraId="7BDE1BCC" w14:textId="6C893D7A"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PIOC</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Pueblo Indígena Originario Campesino</w:t>
      </w:r>
    </w:p>
    <w:p w14:paraId="12DD5F24" w14:textId="77777777" w:rsidR="003800B1" w:rsidRDefault="003800B1" w:rsidP="006845BC">
      <w:pPr>
        <w:spacing w:before="100" w:beforeAutospacing="1" w:after="100" w:afterAutospacing="1" w:line="240" w:lineRule="auto"/>
        <w:ind w:left="2880" w:right="1290" w:hanging="1746"/>
        <w:rPr>
          <w:rFonts w:eastAsia="Times New Roman"/>
          <w:highlight w:val="white"/>
        </w:rPr>
      </w:pPr>
      <w:r>
        <w:rPr>
          <w:rFonts w:eastAsia="Times New Roman"/>
          <w:highlight w:val="white"/>
        </w:rPr>
        <w:t xml:space="preserve">PPDD </w:t>
      </w:r>
      <w:r>
        <w:rPr>
          <w:rFonts w:eastAsia="Times New Roman"/>
          <w:highlight w:val="white"/>
        </w:rPr>
        <w:tab/>
        <w:t>Política Plurinacional de Descolonización y Despatriarcalización</w:t>
      </w:r>
    </w:p>
    <w:p w14:paraId="5197AFA2" w14:textId="77777777" w:rsidR="003800B1" w:rsidRDefault="003800B1" w:rsidP="006845BC">
      <w:pPr>
        <w:spacing w:before="100" w:beforeAutospacing="1" w:after="100" w:afterAutospacing="1" w:line="240" w:lineRule="auto"/>
        <w:ind w:left="2874" w:right="1290" w:hanging="1740"/>
        <w:rPr>
          <w:rFonts w:eastAsia="Times New Roman"/>
          <w:highlight w:val="white"/>
        </w:rPr>
      </w:pPr>
      <w:r>
        <w:rPr>
          <w:rFonts w:eastAsia="Times New Roman"/>
          <w:highlight w:val="white"/>
        </w:rPr>
        <w:t xml:space="preserve">PRONASSLE </w:t>
      </w:r>
      <w:r>
        <w:rPr>
          <w:rFonts w:eastAsia="Times New Roman"/>
          <w:highlight w:val="white"/>
        </w:rPr>
        <w:tab/>
        <w:t>Programa Nacional de Servicios Sociales y Legales para Personas con Discapacidad</w:t>
      </w:r>
    </w:p>
    <w:p w14:paraId="4339C599" w14:textId="77777777"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ProTransición </w:t>
      </w:r>
      <w:r>
        <w:rPr>
          <w:rFonts w:eastAsia="Times New Roman"/>
          <w:highlight w:val="white"/>
        </w:rPr>
        <w:tab/>
        <w:t>Programa Fortalecimiento de la Transición Energética</w:t>
      </w:r>
    </w:p>
    <w:p w14:paraId="1A5E6011" w14:textId="68087198"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PSDI</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Plan Sectorial de Desarrollo Integral</w:t>
      </w:r>
    </w:p>
    <w:p w14:paraId="31982BB7" w14:textId="77777777"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RUV - SIPPASE</w:t>
      </w:r>
      <w:r>
        <w:rPr>
          <w:rFonts w:eastAsia="Times New Roman"/>
          <w:highlight w:val="white"/>
        </w:rPr>
        <w:tab/>
        <w:t>Registro Único de Violencia - SIPPASE</w:t>
      </w:r>
    </w:p>
    <w:p w14:paraId="35D1E685" w14:textId="26FAD339"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SAFCI</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Salud Familiar Comunitaria Intercultura</w:t>
      </w:r>
      <w:r>
        <w:rPr>
          <w:rFonts w:ascii="Roboto" w:eastAsia="Roboto" w:hAnsi="Roboto" w:cs="Roboto"/>
          <w:color w:val="0F1115"/>
          <w:sz w:val="23"/>
          <w:szCs w:val="23"/>
          <w:highlight w:val="white"/>
        </w:rPr>
        <w:t>l</w:t>
      </w:r>
      <w:r>
        <w:rPr>
          <w:rFonts w:eastAsia="Times New Roman"/>
          <w:highlight w:val="white"/>
        </w:rPr>
        <w:t xml:space="preserve"> </w:t>
      </w:r>
    </w:p>
    <w:p w14:paraId="50854A64" w14:textId="7F8606F9"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 xml:space="preserve">SCP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Sentencia Constitucional Plurinacional</w:t>
      </w:r>
    </w:p>
    <w:p w14:paraId="2483C282" w14:textId="53C6736B"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SEA</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Servicio Estatal de Autonomía</w:t>
      </w:r>
    </w:p>
    <w:p w14:paraId="6DC9C972" w14:textId="7F46BE89"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SEGIP</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Servicio General de Identificación Personal</w:t>
      </w:r>
    </w:p>
    <w:p w14:paraId="7141FA8B" w14:textId="580898D6" w:rsidR="003800B1" w:rsidRDefault="003800B1" w:rsidP="006845BC">
      <w:pPr>
        <w:spacing w:before="100" w:beforeAutospacing="1" w:after="100" w:afterAutospacing="1" w:line="240" w:lineRule="auto"/>
        <w:ind w:left="2874" w:right="1091" w:hanging="1740"/>
        <w:rPr>
          <w:rFonts w:eastAsia="Times New Roman"/>
          <w:highlight w:val="white"/>
        </w:rPr>
      </w:pPr>
      <w:r>
        <w:rPr>
          <w:rFonts w:eastAsia="Times New Roman"/>
          <w:highlight w:val="white"/>
        </w:rPr>
        <w:t xml:space="preserve">SENASAG </w:t>
      </w:r>
      <w:r>
        <w:rPr>
          <w:rFonts w:eastAsia="Times New Roman"/>
          <w:highlight w:val="white"/>
        </w:rPr>
        <w:tab/>
        <w:t>Servicio Nacional de Sanidad Agropecuaria e Inocuidad Alimentaria</w:t>
      </w:r>
    </w:p>
    <w:p w14:paraId="0B35A880" w14:textId="77777777"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SEPDAVI </w:t>
      </w:r>
      <w:r>
        <w:rPr>
          <w:rFonts w:eastAsia="Times New Roman"/>
          <w:highlight w:val="white"/>
        </w:rPr>
        <w:tab/>
      </w:r>
      <w:r>
        <w:rPr>
          <w:rFonts w:eastAsia="Times New Roman"/>
          <w:highlight w:val="white"/>
        </w:rPr>
        <w:tab/>
        <w:t>Servicio Plurinacional de Asistencia a la Víctima</w:t>
      </w:r>
    </w:p>
    <w:p w14:paraId="248DEFAC" w14:textId="77777777" w:rsidR="003800B1" w:rsidRDefault="003800B1" w:rsidP="006845BC">
      <w:pPr>
        <w:spacing w:before="100" w:beforeAutospacing="1" w:after="100" w:afterAutospacing="1" w:line="240" w:lineRule="auto"/>
        <w:ind w:left="2874" w:right="1290" w:hanging="1740"/>
        <w:rPr>
          <w:rFonts w:eastAsia="Times New Roman"/>
          <w:highlight w:val="white"/>
        </w:rPr>
      </w:pPr>
      <w:r>
        <w:rPr>
          <w:rFonts w:eastAsia="Times New Roman"/>
          <w:highlight w:val="white"/>
        </w:rPr>
        <w:t xml:space="preserve">SEPMUD </w:t>
      </w:r>
      <w:r>
        <w:rPr>
          <w:rFonts w:eastAsia="Times New Roman"/>
          <w:highlight w:val="white"/>
        </w:rPr>
        <w:tab/>
        <w:t>Servicio Plurinacional de la Mujer y de la Despatriarcalización "Ana María Romero de Campero"</w:t>
      </w:r>
    </w:p>
    <w:p w14:paraId="743063A9" w14:textId="77777777"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 xml:space="preserve">SEPREC </w:t>
      </w:r>
      <w:r>
        <w:rPr>
          <w:rFonts w:eastAsia="Times New Roman"/>
          <w:highlight w:val="white"/>
        </w:rPr>
        <w:tab/>
      </w:r>
      <w:r>
        <w:rPr>
          <w:rFonts w:eastAsia="Times New Roman"/>
          <w:highlight w:val="white"/>
        </w:rPr>
        <w:tab/>
        <w:t>Servicio Plurinacional de Registro de Comercio</w:t>
      </w:r>
    </w:p>
    <w:p w14:paraId="7F6C43DA" w14:textId="77777777"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lastRenderedPageBreak/>
        <w:t>SERECI</w:t>
      </w:r>
      <w:r>
        <w:rPr>
          <w:rFonts w:eastAsia="Times New Roman"/>
          <w:highlight w:val="white"/>
        </w:rPr>
        <w:tab/>
      </w:r>
      <w:r>
        <w:rPr>
          <w:rFonts w:eastAsia="Times New Roman"/>
          <w:highlight w:val="white"/>
        </w:rPr>
        <w:tab/>
        <w:t>Servicio de Registro Cívico</w:t>
      </w:r>
    </w:p>
    <w:p w14:paraId="7773ECF7" w14:textId="77777777"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 xml:space="preserve">SIJPLU </w:t>
      </w:r>
      <w:r>
        <w:rPr>
          <w:rFonts w:eastAsia="Times New Roman"/>
          <w:highlight w:val="white"/>
        </w:rPr>
        <w:tab/>
      </w:r>
      <w:r>
        <w:rPr>
          <w:rFonts w:eastAsia="Times New Roman"/>
          <w:highlight w:val="white"/>
        </w:rPr>
        <w:tab/>
        <w:t>Servicios Integrados de Justicia Plurinacional</w:t>
      </w:r>
    </w:p>
    <w:p w14:paraId="3556B9CA" w14:textId="77777777"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 xml:space="preserve">SINNA </w:t>
      </w:r>
      <w:r>
        <w:rPr>
          <w:rFonts w:eastAsia="Times New Roman"/>
          <w:highlight w:val="white"/>
        </w:rPr>
        <w:tab/>
      </w:r>
      <w:r>
        <w:rPr>
          <w:rFonts w:eastAsia="Times New Roman"/>
          <w:highlight w:val="white"/>
        </w:rPr>
        <w:tab/>
        <w:t>Sistema de Información de Niñas, Niños y Adolescentes</w:t>
      </w:r>
    </w:p>
    <w:p w14:paraId="5B22502D" w14:textId="77777777" w:rsidR="003800B1" w:rsidRDefault="003800B1" w:rsidP="006845BC">
      <w:pPr>
        <w:spacing w:before="100" w:beforeAutospacing="1" w:after="100" w:afterAutospacing="1" w:line="240" w:lineRule="auto"/>
        <w:ind w:left="2874" w:right="1290" w:hanging="1740"/>
        <w:rPr>
          <w:rFonts w:eastAsia="Times New Roman"/>
          <w:highlight w:val="white"/>
        </w:rPr>
      </w:pPr>
      <w:r>
        <w:rPr>
          <w:rFonts w:eastAsia="Times New Roman"/>
          <w:highlight w:val="white"/>
        </w:rPr>
        <w:t xml:space="preserve">SIPPASE </w:t>
      </w:r>
      <w:r>
        <w:rPr>
          <w:rFonts w:eastAsia="Times New Roman"/>
          <w:highlight w:val="white"/>
        </w:rPr>
        <w:tab/>
        <w:t>Sistema Integral Plurinacional de Prevención, Atención, Sanción y Erradicación de la Violencia en Razón de Género</w:t>
      </w:r>
    </w:p>
    <w:p w14:paraId="4E6AA75D" w14:textId="5CDC2860"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 xml:space="preserve">SLIM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Servicios Legales Integrales Municipales</w:t>
      </w:r>
    </w:p>
    <w:p w14:paraId="6CA36C88" w14:textId="0505D487"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SUS</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Sistema Único de Salud</w:t>
      </w:r>
    </w:p>
    <w:p w14:paraId="54877DC3" w14:textId="4BB6F6DD"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TCP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Tribunal Constitucional Plurinacional</w:t>
      </w:r>
    </w:p>
    <w:p w14:paraId="6CF09274" w14:textId="4529627D"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 xml:space="preserve">TED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Tribunal Electoral Departamental</w:t>
      </w:r>
    </w:p>
    <w:p w14:paraId="642F6C91" w14:textId="5FB425F5"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TIOC</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Territorio Indígena Originario Campesino</w:t>
      </w:r>
    </w:p>
    <w:p w14:paraId="0A64DD68" w14:textId="1D210BF6"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TSE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Tribunal Supremo Electoral</w:t>
      </w:r>
    </w:p>
    <w:p w14:paraId="5A8E9361" w14:textId="17D49BAF"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TSJ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Tribunal Supremo de Justicia</w:t>
      </w:r>
    </w:p>
    <w:p w14:paraId="2AB8DDB6" w14:textId="52654EB5" w:rsidR="003800B1" w:rsidRDefault="003800B1" w:rsidP="006845BC">
      <w:pPr>
        <w:spacing w:before="100" w:beforeAutospacing="1" w:after="100" w:afterAutospacing="1" w:line="240" w:lineRule="auto"/>
        <w:ind w:left="1134" w:right="1290"/>
        <w:jc w:val="both"/>
        <w:rPr>
          <w:rFonts w:eastAsia="Times New Roman"/>
          <w:highlight w:val="white"/>
        </w:rPr>
      </w:pPr>
      <w:r>
        <w:rPr>
          <w:rFonts w:eastAsia="Times New Roman"/>
          <w:highlight w:val="white"/>
        </w:rPr>
        <w:t>UGPD</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Unidad de Gestión de la Política de Discapacidad</w:t>
      </w:r>
    </w:p>
    <w:p w14:paraId="111E510F" w14:textId="13895032"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VIO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Viceministerio de Igualdad de Oportunidades</w:t>
      </w:r>
    </w:p>
    <w:p w14:paraId="531859EE" w14:textId="77777777" w:rsidR="003800B1" w:rsidRDefault="003800B1" w:rsidP="006845BC">
      <w:pPr>
        <w:spacing w:before="100" w:beforeAutospacing="1" w:after="100" w:afterAutospacing="1" w:line="240" w:lineRule="auto"/>
        <w:ind w:left="2874" w:right="1290" w:hanging="1740"/>
        <w:rPr>
          <w:rFonts w:eastAsia="Times New Roman"/>
          <w:highlight w:val="white"/>
        </w:rPr>
      </w:pPr>
      <w:r>
        <w:rPr>
          <w:rFonts w:eastAsia="Times New Roman"/>
          <w:highlight w:val="white"/>
        </w:rPr>
        <w:t xml:space="preserve">VIODyD </w:t>
      </w:r>
      <w:r>
        <w:rPr>
          <w:rFonts w:eastAsia="Times New Roman"/>
          <w:highlight w:val="white"/>
        </w:rPr>
        <w:tab/>
        <w:t>Viceministerio de Igualdad de Oportunidades, Descolonización y Despatriarcalización</w:t>
      </w:r>
    </w:p>
    <w:p w14:paraId="683EE31D" w14:textId="15D64ADC" w:rsidR="003800B1" w:rsidRDefault="003800B1" w:rsidP="006845BC">
      <w:pPr>
        <w:spacing w:before="100" w:beforeAutospacing="1" w:after="100" w:afterAutospacing="1" w:line="240" w:lineRule="auto"/>
        <w:ind w:left="1134" w:right="1290"/>
        <w:rPr>
          <w:rFonts w:eastAsia="Times New Roman"/>
          <w:highlight w:val="white"/>
        </w:rPr>
      </w:pPr>
      <w:r>
        <w:rPr>
          <w:rFonts w:eastAsia="Times New Roman"/>
          <w:highlight w:val="white"/>
        </w:rPr>
        <w:t xml:space="preserve">VSC </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Viceministerio de Seguridad Ciudadana</w:t>
      </w:r>
    </w:p>
    <w:p w14:paraId="4F9BBFB4" w14:textId="77777777" w:rsidR="003800B1" w:rsidRDefault="003800B1" w:rsidP="006845BC">
      <w:pPr>
        <w:spacing w:before="100" w:beforeAutospacing="1" w:after="100" w:afterAutospacing="1" w:line="240" w:lineRule="auto"/>
        <w:ind w:left="2880" w:right="1290" w:hanging="1746"/>
        <w:rPr>
          <w:rFonts w:eastAsia="Times New Roman"/>
          <w:highlight w:val="white"/>
        </w:rPr>
      </w:pPr>
      <w:r>
        <w:rPr>
          <w:rFonts w:eastAsia="Times New Roman"/>
          <w:highlight w:val="white"/>
        </w:rPr>
        <w:t>VTSGDH</w:t>
      </w:r>
      <w:r>
        <w:rPr>
          <w:rFonts w:eastAsia="Times New Roman"/>
          <w:highlight w:val="white"/>
        </w:rPr>
        <w:tab/>
        <w:t>Viceministerio de Transparencia, Seguridad Jurídica y Derechos Humanos</w:t>
      </w:r>
    </w:p>
    <w:p w14:paraId="25163302" w14:textId="59029257" w:rsidR="003800B1" w:rsidRDefault="003800B1" w:rsidP="006845BC">
      <w:pPr>
        <w:spacing w:before="100" w:beforeAutospacing="1" w:after="100" w:afterAutospacing="1" w:line="240" w:lineRule="auto"/>
        <w:ind w:left="1134"/>
        <w:rPr>
          <w:rFonts w:eastAsia="Times New Roman"/>
          <w:highlight w:val="white"/>
        </w:rPr>
      </w:pPr>
      <w:r>
        <w:rPr>
          <w:rFonts w:eastAsia="Times New Roman"/>
          <w:highlight w:val="white"/>
        </w:rPr>
        <w:t>VRG</w:t>
      </w:r>
      <w:r>
        <w:rPr>
          <w:rFonts w:eastAsia="Times New Roman"/>
          <w:highlight w:val="white"/>
        </w:rPr>
        <w:tab/>
      </w:r>
      <w:r>
        <w:rPr>
          <w:rFonts w:eastAsia="Times New Roman"/>
          <w:highlight w:val="white"/>
        </w:rPr>
        <w:tab/>
      </w:r>
      <w:r w:rsidR="0055166B">
        <w:rPr>
          <w:rFonts w:eastAsia="Times New Roman"/>
          <w:highlight w:val="white"/>
        </w:rPr>
        <w:tab/>
      </w:r>
      <w:r>
        <w:rPr>
          <w:rFonts w:eastAsia="Times New Roman"/>
          <w:highlight w:val="white"/>
        </w:rPr>
        <w:t>Violencia en Razón de Género</w:t>
      </w:r>
    </w:p>
    <w:p w14:paraId="2B2A68B6" w14:textId="7957E6DB" w:rsidR="00993D99" w:rsidRPr="00993D99" w:rsidRDefault="003800B1" w:rsidP="00D54B73">
      <w:pPr>
        <w:pStyle w:val="HChG"/>
        <w:rPr>
          <w:lang w:val="es"/>
        </w:rPr>
      </w:pPr>
      <w:r>
        <w:br w:type="page"/>
      </w:r>
      <w:r w:rsidR="00D54B73">
        <w:lastRenderedPageBreak/>
        <w:tab/>
        <w:t>I.</w:t>
      </w:r>
      <w:r w:rsidR="00D54B73">
        <w:tab/>
      </w:r>
      <w:r w:rsidR="00993D99" w:rsidRPr="00993D99">
        <w:rPr>
          <w:lang w:val="es"/>
        </w:rPr>
        <w:t xml:space="preserve">Introducción </w:t>
      </w:r>
    </w:p>
    <w:p w14:paraId="14FFDDEB" w14:textId="4E86F9BF" w:rsidR="00993D99" w:rsidRPr="00D54B73" w:rsidRDefault="00993D99" w:rsidP="001A0D63">
      <w:pPr>
        <w:pStyle w:val="SingleTxtG"/>
        <w:numPr>
          <w:ilvl w:val="0"/>
          <w:numId w:val="17"/>
        </w:numPr>
        <w:ind w:left="1134" w:firstLine="0"/>
      </w:pPr>
      <w:r w:rsidRPr="00D54B73">
        <w:t>El Estado Plurinacional de Bolivia ratificó la Convención sobre la Eliminación de Todas las Formas de Discriminación contra la Mujer (CEDAW) en junio de 1990, a través de la Ley N° 1100 de 1989. Con esta Ley el Estado se compromete a efectivizar las disposiciones de la Convención a través de medidas institucionales en el conjunto de su estructura pública. El 8vo Informe Periódico (julio 2022 – junio 2026) se presenta en cumplimiento con el Artículo 18 de la Convención.</w:t>
      </w:r>
    </w:p>
    <w:p w14:paraId="36F14502" w14:textId="3D36B795" w:rsidR="00993D99" w:rsidRPr="00D54B73" w:rsidRDefault="00993D99" w:rsidP="001A0D63">
      <w:pPr>
        <w:pStyle w:val="SingleTxtG"/>
        <w:numPr>
          <w:ilvl w:val="0"/>
          <w:numId w:val="17"/>
        </w:numPr>
        <w:ind w:left="1134" w:firstLine="0"/>
      </w:pPr>
      <w:r w:rsidRPr="00D54B73">
        <w:t xml:space="preserve">El informe responde a las recomendaciones del Comité en las Observaciones finales sobre el séptimo informe periódico </w:t>
      </w:r>
      <w:hyperlink r:id="rId11">
        <w:r w:rsidRPr="00D54B73">
          <w:t>(CEDAW/C/BOL/CO/7)</w:t>
        </w:r>
      </w:hyperlink>
      <w:r w:rsidRPr="00D54B73">
        <w:t>, como resultado del examen del séptimo informe. También reúne información sobre los desafíos y obstáculos que persisten en la aplicación de la Convención en el país.</w:t>
      </w:r>
    </w:p>
    <w:p w14:paraId="60F11FE3" w14:textId="1B482C43" w:rsidR="00993D99" w:rsidRPr="00C9553A" w:rsidRDefault="00993D99" w:rsidP="001A0D63">
      <w:pPr>
        <w:pStyle w:val="SingleTxtG"/>
        <w:numPr>
          <w:ilvl w:val="0"/>
          <w:numId w:val="17"/>
        </w:numPr>
        <w:ind w:left="1134" w:firstLine="0"/>
      </w:pPr>
      <w:r w:rsidRPr="00C9553A">
        <w:t>El documento fue liderado por el VIODyD, en coordinación con el SEPMUD y el VTSJD). Contó con la participación de las entidades del Órgano Ejecutivo, Legislativo, Judicial y Electoral, así como con las organizaciones de la sociedad civil, organizaciones sociales y organismos internacionales.</w:t>
      </w:r>
    </w:p>
    <w:p w14:paraId="1D613038" w14:textId="7E410E0A" w:rsidR="00993D99" w:rsidRPr="00C9553A" w:rsidRDefault="00993D99" w:rsidP="001A0D63">
      <w:pPr>
        <w:pStyle w:val="SingleTxtG"/>
        <w:numPr>
          <w:ilvl w:val="0"/>
          <w:numId w:val="17"/>
        </w:numPr>
        <w:ind w:left="1134" w:firstLine="0"/>
      </w:pPr>
      <w:r w:rsidRPr="00C9553A">
        <w:t>La elaboración del presente Informe inició con la construcción de la Plataforma Interinstitucional CEDAW – Bolivia, un mecanismo articulador, permanente y participativo para la implementación de las recomendaciones del Comité. En 2025 se realizaron actividades participativas que combinaron el proceso de construcción de la Plataforma y la socialización de los avances y desafíos de las recomendaciones del Comité. En estos espacios participaron más de 50 instituciones estatales del nivel central, gobiernos autónomos, organizaciones sociales y organizaciones de la sociedad civil de los 9 departamentos.</w:t>
      </w:r>
    </w:p>
    <w:p w14:paraId="34838546" w14:textId="5EBD0E29" w:rsidR="00993D99" w:rsidRPr="00C9553A" w:rsidRDefault="00993D99" w:rsidP="001A0D63">
      <w:pPr>
        <w:pStyle w:val="SingleTxtG"/>
        <w:numPr>
          <w:ilvl w:val="0"/>
          <w:numId w:val="17"/>
        </w:numPr>
        <w:ind w:left="1134" w:firstLine="0"/>
      </w:pPr>
      <w:r w:rsidRPr="00C9553A">
        <w:t>Aunque la Plataforma está en etapa de implementación, aportó información relevante que luego fue complementada y actualizada por entidades del Estado. Dicha información fue socializada a través de espacios de intercambio y mesas técnicas, en las que se dialogó con sociedad civil respecto a los avances y tareas pendientes sobre cada tema y artículo.</w:t>
      </w:r>
    </w:p>
    <w:p w14:paraId="349C995C" w14:textId="3743A2C6" w:rsidR="00993D99" w:rsidRPr="00C9553A" w:rsidRDefault="00993D99" w:rsidP="001A0D63">
      <w:pPr>
        <w:pStyle w:val="SingleTxtG"/>
        <w:numPr>
          <w:ilvl w:val="0"/>
          <w:numId w:val="17"/>
        </w:numPr>
        <w:ind w:left="1134" w:firstLine="0"/>
      </w:pPr>
      <w:r w:rsidRPr="00C9553A">
        <w:t>Con la información recopilada y sistematizada se procedió a redactar el informe que se presenta a continuación.</w:t>
      </w:r>
    </w:p>
    <w:p w14:paraId="76B42A79" w14:textId="3D2B06D2" w:rsidR="00993D99" w:rsidRPr="00993D99" w:rsidRDefault="001A6C4B" w:rsidP="001A6C4B">
      <w:pPr>
        <w:pStyle w:val="HChG"/>
        <w:rPr>
          <w:lang w:val="es"/>
        </w:rPr>
      </w:pPr>
      <w:r>
        <w:rPr>
          <w:lang w:val="es"/>
        </w:rPr>
        <w:tab/>
        <w:t>II.</w:t>
      </w:r>
      <w:r>
        <w:rPr>
          <w:lang w:val="es"/>
        </w:rPr>
        <w:tab/>
      </w:r>
      <w:r w:rsidR="00993D99" w:rsidRPr="00993D99">
        <w:rPr>
          <w:lang w:val="es"/>
        </w:rPr>
        <w:t xml:space="preserve">Aplicación del articulado de la Convención </w:t>
      </w:r>
    </w:p>
    <w:p w14:paraId="78CE4BCE" w14:textId="29430735" w:rsidR="00993D99" w:rsidRPr="00993D99" w:rsidRDefault="001A6C4B" w:rsidP="001A6C4B">
      <w:pPr>
        <w:pStyle w:val="H1G"/>
        <w:rPr>
          <w:lang w:val="es"/>
        </w:rPr>
      </w:pPr>
      <w:r>
        <w:rPr>
          <w:lang w:val="es"/>
        </w:rPr>
        <w:tab/>
      </w:r>
      <w:r>
        <w:rPr>
          <w:lang w:val="es"/>
        </w:rPr>
        <w:tab/>
      </w:r>
      <w:r w:rsidR="00993D99" w:rsidRPr="00993D99">
        <w:rPr>
          <w:lang w:val="es"/>
        </w:rPr>
        <w:t xml:space="preserve">Artículos 1 y 2. </w:t>
      </w:r>
    </w:p>
    <w:p w14:paraId="1D3F14C0" w14:textId="4FA93BF2" w:rsidR="00993D99" w:rsidRPr="00993D99" w:rsidRDefault="001A6C4B" w:rsidP="001A6C4B">
      <w:pPr>
        <w:pStyle w:val="H23G"/>
        <w:rPr>
          <w:lang w:val="es"/>
        </w:rPr>
      </w:pPr>
      <w:r>
        <w:rPr>
          <w:lang w:val="es"/>
        </w:rPr>
        <w:tab/>
      </w:r>
      <w:r>
        <w:rPr>
          <w:lang w:val="es"/>
        </w:rPr>
        <w:tab/>
      </w:r>
      <w:r w:rsidR="00993D99" w:rsidRPr="00993D99">
        <w:rPr>
          <w:lang w:val="es"/>
        </w:rPr>
        <w:t>Socialización de la CEDAW</w:t>
      </w:r>
    </w:p>
    <w:p w14:paraId="180BC76B" w14:textId="013FA4B8" w:rsidR="00993D99" w:rsidRPr="00993D99" w:rsidRDefault="00993D99" w:rsidP="001A0D63">
      <w:pPr>
        <w:pStyle w:val="SingleTxtG"/>
        <w:numPr>
          <w:ilvl w:val="0"/>
          <w:numId w:val="17"/>
        </w:numPr>
        <w:ind w:left="1134" w:firstLine="0"/>
        <w:rPr>
          <w:lang w:val="es"/>
        </w:rPr>
      </w:pPr>
      <w:r w:rsidRPr="00993D99">
        <w:rPr>
          <w:lang w:val="es"/>
        </w:rPr>
        <w:t xml:space="preserve">La socialización de la Convención y los espacios de análisis de las recomendaciones al séptimo informe país comenzaron en febrero de 2025. Para ello se activaron alianzas entre el SEPMUD, organizaciones de la sociedad civil, la GIZ e INAMU, a través de la cuales Bolivia compartió con Costa Rica su experiencia de trabajo con organizaciones de mujeres, mientras que INAMU compartió su </w:t>
      </w:r>
      <w:r w:rsidRPr="001A6C4B">
        <w:t>metodología</w:t>
      </w:r>
      <w:r w:rsidRPr="00993D99">
        <w:rPr>
          <w:lang w:val="es"/>
        </w:rPr>
        <w:t xml:space="preserve"> para elaborar informes de Estado ante la CEDAW. Bolivia adoptó algunas de las estrategias metodológicas de Costa Rica, sobre todo en lo relacionado al trabajo con ciudadanía. Así surgió la cooperación triangular entre Bolivia, Costa Rica y Alemania, denominada CoTri-CEDAW.</w:t>
      </w:r>
    </w:p>
    <w:p w14:paraId="16EE1A28" w14:textId="2C667448" w:rsidR="00993D99" w:rsidRPr="00993D99" w:rsidRDefault="00993D99" w:rsidP="001A0D63">
      <w:pPr>
        <w:pStyle w:val="SingleTxtG"/>
        <w:numPr>
          <w:ilvl w:val="0"/>
          <w:numId w:val="17"/>
        </w:numPr>
        <w:ind w:left="1134" w:firstLine="0"/>
        <w:rPr>
          <w:lang w:val="es"/>
        </w:rPr>
      </w:pPr>
      <w:r w:rsidRPr="00993D99">
        <w:rPr>
          <w:lang w:val="es"/>
        </w:rPr>
        <w:t xml:space="preserve">A partir de este proyecto se logró conformar la “Plataforma Interinstitucional CEDAW-Bolivia” para el seguimiento y monitoreo permanente al cumplimiento de las recomendaciones de la Convención, entre el Estado, las organizaciones sociales y la cooperación internacional. Para garantizar la transparencia en este proceso, el SEPMUD consolidó el portal web </w:t>
      </w:r>
      <w:r w:rsidRPr="001A6C4B">
        <w:t>estadístico</w:t>
      </w:r>
      <w:r w:rsidRPr="00993D99">
        <w:rPr>
          <w:lang w:val="es"/>
        </w:rPr>
        <w:t xml:space="preserve"> (https://cedaw.sepmud.gob.bo/), que centraliza y difunde información sobre el cumplimiento de las recomendaciones del Comité para la sociedad civil y entidades públicas.</w:t>
      </w:r>
    </w:p>
    <w:p w14:paraId="476E328B" w14:textId="39F2C5D2" w:rsidR="00993D99" w:rsidRPr="00993D99" w:rsidRDefault="00993D99" w:rsidP="001A0D63">
      <w:pPr>
        <w:pStyle w:val="SingleTxtG"/>
        <w:numPr>
          <w:ilvl w:val="0"/>
          <w:numId w:val="17"/>
        </w:numPr>
        <w:ind w:left="1134" w:firstLine="0"/>
        <w:rPr>
          <w:lang w:val="es"/>
        </w:rPr>
      </w:pPr>
      <w:r w:rsidRPr="00993D99">
        <w:rPr>
          <w:lang w:val="es"/>
        </w:rPr>
        <w:t xml:space="preserve">Paralelamente, se fortalecieron las capacidades del personal del SEPMUD para la aplicación de metodologías participativas, así como metodologías de análisis y evaluación de datos con perspectiva de género. Estas fueron aplicadas con organizaciones sociales de </w:t>
      </w:r>
      <w:r w:rsidRPr="00993D99">
        <w:rPr>
          <w:lang w:val="es"/>
        </w:rPr>
        <w:lastRenderedPageBreak/>
        <w:t>mujeres, quienes recibieron información concreta sobre los avances en derechos, a través de datos generados como resultado del fortalecimiento de capacidades y la conformación de la Plataforma CEDAW</w:t>
      </w:r>
      <w:r w:rsidRPr="00993D99">
        <w:rPr>
          <w:vertAlign w:val="superscript"/>
          <w:lang w:val="es"/>
        </w:rPr>
        <w:footnoteReference w:id="3"/>
      </w:r>
      <w:r w:rsidRPr="00993D99">
        <w:rPr>
          <w:lang w:val="es"/>
        </w:rPr>
        <w:t>.</w:t>
      </w:r>
    </w:p>
    <w:p w14:paraId="6995D94F" w14:textId="46EAE2FC" w:rsidR="00993D99" w:rsidRPr="00993D99" w:rsidRDefault="00993D99" w:rsidP="001A0D63">
      <w:pPr>
        <w:pStyle w:val="SingleTxtG"/>
        <w:numPr>
          <w:ilvl w:val="0"/>
          <w:numId w:val="17"/>
        </w:numPr>
        <w:ind w:left="1134" w:firstLine="0"/>
        <w:rPr>
          <w:lang w:val="es"/>
        </w:rPr>
      </w:pPr>
      <w:r w:rsidRPr="00993D99">
        <w:rPr>
          <w:lang w:val="es"/>
        </w:rPr>
        <w:t>El proceso de difusión tuvo un despliegue territorial significativo coordinado por el SEPMUD. Entre 2021 y 2025 se realizaron 245 espacios de socialización en todo el país, con la participación de 20.259 personas, de las cuales 16.204 fueron mujeres. Estos encuentros articularon saberes con mujeres rurales, indígenas y afrobolivianas y permitieron consolidar la “Agenda de las Mujeres hacia el Decenio de la Despatriarcalización para Vivir Bien”, como hoja de ruta para la incidencia social.</w:t>
      </w:r>
    </w:p>
    <w:p w14:paraId="34BE8B3C" w14:textId="1E56DAD2" w:rsidR="00993D99" w:rsidRPr="00993D99" w:rsidRDefault="00993D99" w:rsidP="001A0D63">
      <w:pPr>
        <w:pStyle w:val="SingleTxtG"/>
        <w:numPr>
          <w:ilvl w:val="0"/>
          <w:numId w:val="17"/>
        </w:numPr>
        <w:ind w:left="1134" w:firstLine="0"/>
        <w:rPr>
          <w:lang w:val="es"/>
        </w:rPr>
      </w:pPr>
      <w:r w:rsidRPr="00993D99">
        <w:rPr>
          <w:lang w:val="es"/>
        </w:rPr>
        <w:t xml:space="preserve">Para la redacción de este informe, el VIODyD organizó un taller con la sociedad civil, organismos y cooperación internacional. En este espacio se recuperó el trabajo conjunto y se analizaron tanto </w:t>
      </w:r>
      <w:r w:rsidRPr="001A6C4B">
        <w:t>los</w:t>
      </w:r>
      <w:r w:rsidRPr="00993D99">
        <w:rPr>
          <w:lang w:val="es"/>
        </w:rPr>
        <w:t xml:space="preserve"> principales avances del periodo como las temáticas donde es necesario reforzar las acciones. Toda esta información se encuentra reflejada en el presente documento.</w:t>
      </w:r>
    </w:p>
    <w:p w14:paraId="0CF046FB" w14:textId="1936C042" w:rsidR="00993D99" w:rsidRPr="00993D99" w:rsidRDefault="00714DCB" w:rsidP="00714DCB">
      <w:pPr>
        <w:pStyle w:val="H23G"/>
        <w:rPr>
          <w:lang w:val="es"/>
        </w:rPr>
      </w:pPr>
      <w:r>
        <w:rPr>
          <w:lang w:val="es"/>
        </w:rPr>
        <w:tab/>
      </w:r>
      <w:r>
        <w:rPr>
          <w:lang w:val="es"/>
        </w:rPr>
        <w:tab/>
      </w:r>
      <w:r w:rsidR="00993D99" w:rsidRPr="00993D99">
        <w:rPr>
          <w:lang w:val="es"/>
        </w:rPr>
        <w:t>Políticas y acciones para la eliminación de la discriminación</w:t>
      </w:r>
    </w:p>
    <w:p w14:paraId="78DFB7EA" w14:textId="024374FE" w:rsidR="00993D99" w:rsidRPr="00714DCB" w:rsidRDefault="00993D99" w:rsidP="001A0D63">
      <w:pPr>
        <w:pStyle w:val="SingleTxtG"/>
        <w:numPr>
          <w:ilvl w:val="0"/>
          <w:numId w:val="17"/>
        </w:numPr>
        <w:ind w:left="1134" w:firstLine="0"/>
      </w:pPr>
      <w:r w:rsidRPr="00714DCB">
        <w:t xml:space="preserve">En respuesta a las recomendaciones del Comité, el D.S. Nº 4650 que declaró el “2022 Año de la Revolución Cultural para la Despatriarcalización: Por una Vida Libre de Violencia contra las Mujeres”, fue el documento sustantivo para la implementación de acciones institucionales orientadas a eliminar la discriminación contra mujeres y niñas en las entidades públicas. La norma instruyó a las entidades públicas destinar recursos económicos y técnicos para reducir las </w:t>
      </w:r>
      <w:r w:rsidRPr="0030732F">
        <w:rPr>
          <w:lang w:val="es"/>
        </w:rPr>
        <w:t>brechas</w:t>
      </w:r>
      <w:r w:rsidRPr="00714DCB">
        <w:t xml:space="preserve"> de género, eliminar estereotipos y promover la autonomía económica de las mujeres, entre otras 10 líneas de acción.</w:t>
      </w:r>
    </w:p>
    <w:p w14:paraId="399F76B5" w14:textId="19BE8582" w:rsidR="00993D99" w:rsidRPr="00714DCB" w:rsidRDefault="00993D99" w:rsidP="001A0D63">
      <w:pPr>
        <w:pStyle w:val="SingleTxtG"/>
        <w:numPr>
          <w:ilvl w:val="0"/>
          <w:numId w:val="17"/>
        </w:numPr>
        <w:ind w:left="1134" w:firstLine="0"/>
      </w:pPr>
      <w:r w:rsidRPr="00714DCB">
        <w:t xml:space="preserve">En la esfera económica, el D.S. Nº 4779 creó el Sello “Empresa Comprometida con una Vida Libre de Violencia”, un incentivo y reconocimiento para empresas bolivianas que implementen campañas para identificar micromachismos, reducir la brecha salarial y crear espacios </w:t>
      </w:r>
      <w:r w:rsidRPr="0030732F">
        <w:rPr>
          <w:lang w:val="es"/>
        </w:rPr>
        <w:t>laborales</w:t>
      </w:r>
      <w:r w:rsidRPr="00714DCB">
        <w:t xml:space="preserve"> seguros para las mujeres. Esta iniciativa, liderada por el VIODyD, se encuentra en su tercera versión. Asimismo, en el ámbito laboral privado, la ley prohíbe toda forma de discriminación en contratación, ascensos o despidos y obliga a las empresas a procesar internamente las denuncias, bajo sanción del MTEPS.</w:t>
      </w:r>
    </w:p>
    <w:p w14:paraId="3599CA68" w14:textId="4DD22309" w:rsidR="00993D99" w:rsidRPr="00714DCB" w:rsidRDefault="00993D99" w:rsidP="001A0D63">
      <w:pPr>
        <w:pStyle w:val="SingleTxtG"/>
        <w:numPr>
          <w:ilvl w:val="0"/>
          <w:numId w:val="17"/>
        </w:numPr>
        <w:ind w:left="1134" w:firstLine="0"/>
      </w:pPr>
      <w:r w:rsidRPr="00714DCB">
        <w:t xml:space="preserve">En prevención cultural y educación, el Viceministerio de Comunicación socializó entre 2022 y 2025 el “Protocolo para el Tratamiento Informativo de la Violencia”, capacitando a comunicadores para eliminar discursos misóginos, la revictimización y términos discriminatorios. </w:t>
      </w:r>
      <w:r w:rsidRPr="0030732F">
        <w:rPr>
          <w:lang w:val="es"/>
        </w:rPr>
        <w:t>Asimismo</w:t>
      </w:r>
      <w:r w:rsidRPr="00714DCB">
        <w:t>, por el Año de la Despatriarcalización (2022) se obligó a entidades educativas públicas a diseñar campañas para desmontar estereotipos discriminatorios, y en 2023 el ME implementó obligatoriamente la “Guía para una Educación Despatriarcalizadora”. En 2024, los resultados del CPV reflejaron una mayor presencia de mujeres en educación superior, evidenciando mayor igualdad en este ámbito.</w:t>
      </w:r>
    </w:p>
    <w:p w14:paraId="67F6CAA6" w14:textId="44B8EBCA" w:rsidR="00993D99" w:rsidRPr="00714DCB" w:rsidRDefault="00993D99" w:rsidP="001A0D63">
      <w:pPr>
        <w:pStyle w:val="SingleTxtG"/>
        <w:numPr>
          <w:ilvl w:val="0"/>
          <w:numId w:val="17"/>
        </w:numPr>
        <w:ind w:left="1134" w:firstLine="0"/>
      </w:pPr>
      <w:r w:rsidRPr="00714DCB">
        <w:t xml:space="preserve">En la esfera de la participación política, el TSE y los TEDs implementaron protocolos de defensa inmediata </w:t>
      </w:r>
      <w:r w:rsidRPr="0030732F">
        <w:rPr>
          <w:lang w:val="es"/>
        </w:rPr>
        <w:t>para</w:t>
      </w:r>
      <w:r w:rsidRPr="00714DCB">
        <w:t xml:space="preserve"> concejalas y asambleístas, así como reglamentos especiales para evitar las renuncias obligatorias durante los procesos electorales.</w:t>
      </w:r>
    </w:p>
    <w:p w14:paraId="01C93E77" w14:textId="0A2D5E54" w:rsidR="00993D99" w:rsidRPr="00714DCB" w:rsidRDefault="00993D99" w:rsidP="001A0D63">
      <w:pPr>
        <w:pStyle w:val="SingleTxtG"/>
        <w:numPr>
          <w:ilvl w:val="0"/>
          <w:numId w:val="17"/>
        </w:numPr>
        <w:ind w:left="1134" w:firstLine="0"/>
      </w:pPr>
      <w:r w:rsidRPr="00714DCB">
        <w:t xml:space="preserve">El OJ, a través del CM, formuló la “Política Institucional de Igualdad de Género del Órgano Judicial 2021-2025”, orientada a incorporar la igualdad de género en el sistema judicial y garantizar el acceso a la justicia de mujeres, NNA, poblaciones IOC y personas de identidad sexual diversa. </w:t>
      </w:r>
      <w:r w:rsidRPr="0030732F">
        <w:rPr>
          <w:lang w:val="es"/>
        </w:rPr>
        <w:t>Asimismo</w:t>
      </w:r>
      <w:r w:rsidRPr="00714DCB">
        <w:t>, en 2024 el CM aprobó la política de “Acceso a la Justicia” y la “Política de Gestión Judicial para Optimizar el Procesamiento y Resolución de Casos de Feminicidio en el OJ”.</w:t>
      </w:r>
    </w:p>
    <w:p w14:paraId="206E0DE2" w14:textId="059D8DDA" w:rsidR="00993D99" w:rsidRPr="00714DCB" w:rsidRDefault="00993D99" w:rsidP="001A0D63">
      <w:pPr>
        <w:pStyle w:val="SingleTxtG"/>
        <w:numPr>
          <w:ilvl w:val="0"/>
          <w:numId w:val="17"/>
        </w:numPr>
        <w:ind w:left="1134" w:firstLine="0"/>
      </w:pPr>
      <w:r w:rsidRPr="00714DCB">
        <w:t>A finales de 2024, mediante el MRE y con apoyo de ONU Mujeres, Bolivia inició la construcción del Plan de Acción Nacional - Mujeres, Paz y Seguridad</w:t>
      </w:r>
      <w:r w:rsidRPr="00714DCB">
        <w:footnoteReference w:id="4"/>
      </w:r>
      <w:r w:rsidRPr="00714DCB">
        <w:t xml:space="preserve"> con base en demandas de organizaciones sociales y civiles, presentándolo formalmente en octubre de 2025 para implementar </w:t>
      </w:r>
      <w:r w:rsidRPr="0030732F">
        <w:rPr>
          <w:lang w:val="es"/>
        </w:rPr>
        <w:t>dicha</w:t>
      </w:r>
      <w:r w:rsidRPr="00714DCB">
        <w:t xml:space="preserve"> agenda global. Complementariamente, la “Agenda Nacional de Paz y </w:t>
      </w:r>
      <w:r w:rsidRPr="00714DCB">
        <w:lastRenderedPageBreak/>
        <w:t>Reencuentro desde las Mujeres y Juventudes de Bolivia” (2025) promovió consolidar la paz con enfoque de género. Bajo este marco, se elaboraron nueve agendas de mujeres y nueve de juventudes con la participación de 2.519 personas: 884 en encuentros departamentales (757 mujeres y 127 hombres, incluidos 559 jóvenes de 295 organizaciones sociales y 34 instituciones) y 1.635 en encuentros comunitarios (1.332 mujeres y 487 jóvenes) de más de 50 comunidades indígenas, campesinas y rurales</w:t>
      </w:r>
      <w:r w:rsidRPr="004515CC">
        <w:rPr>
          <w:vertAlign w:val="superscript"/>
        </w:rPr>
        <w:footnoteReference w:id="5"/>
      </w:r>
      <w:r w:rsidRPr="00714DCB">
        <w:t>.</w:t>
      </w:r>
    </w:p>
    <w:p w14:paraId="391768DA" w14:textId="0BE73809" w:rsidR="00993D99" w:rsidRPr="00993D99" w:rsidRDefault="0030732F" w:rsidP="0030732F">
      <w:pPr>
        <w:pStyle w:val="H23G"/>
        <w:rPr>
          <w:lang w:val="es"/>
        </w:rPr>
      </w:pPr>
      <w:r>
        <w:rPr>
          <w:lang w:val="es"/>
        </w:rPr>
        <w:tab/>
      </w:r>
      <w:r>
        <w:rPr>
          <w:lang w:val="es"/>
        </w:rPr>
        <w:tab/>
      </w:r>
      <w:r w:rsidR="00993D99" w:rsidRPr="00993D99">
        <w:rPr>
          <w:lang w:val="es"/>
        </w:rPr>
        <w:t>Formación de jueces, fiscales y generación de indicadores</w:t>
      </w:r>
    </w:p>
    <w:p w14:paraId="521E4431" w14:textId="14CA28BA" w:rsidR="00993D99" w:rsidRPr="0030732F" w:rsidRDefault="00993D99" w:rsidP="001A0D63">
      <w:pPr>
        <w:pStyle w:val="SingleTxtG"/>
        <w:numPr>
          <w:ilvl w:val="0"/>
          <w:numId w:val="17"/>
        </w:numPr>
        <w:ind w:left="1134" w:firstLine="0"/>
      </w:pPr>
      <w:r w:rsidRPr="0030732F">
        <w:t>En respuesta a la recomendación del Comité sobre la adopción de medidas para garantizar la aplicación de la Convención, entre 2022 y 2024 el CM capacitó a 9.383 operadores de justicia sobre el manejo de instrumentos internacionales, igualdad sustantiva y manejo jurisprudencial relacionado con derechos humanos y derechos de las mujeres, fortaleciendo las capacidades del sistema judicial.</w:t>
      </w:r>
    </w:p>
    <w:p w14:paraId="6E2AF333" w14:textId="46052933" w:rsidR="00993D99" w:rsidRPr="0030732F" w:rsidRDefault="00993D99" w:rsidP="001A0D63">
      <w:pPr>
        <w:pStyle w:val="SingleTxtG"/>
        <w:numPr>
          <w:ilvl w:val="0"/>
          <w:numId w:val="17"/>
        </w:numPr>
        <w:ind w:left="1134" w:firstLine="0"/>
      </w:pPr>
      <w:r w:rsidRPr="0030732F">
        <w:t>En 2026, la Escuela de Jueces desarrolló el Curso Autoformativo de Inducción en Derechos Humanos y Perspectiva de Género, que aborda las “Herramientas para la aplicación de la perspectiva de género y derechos humanos”, reforzando la formación continua de los operadores judiciales.</w:t>
      </w:r>
    </w:p>
    <w:p w14:paraId="00C0DED9" w14:textId="233CC1B6" w:rsidR="00993D99" w:rsidRPr="0030732F" w:rsidRDefault="00993D99" w:rsidP="001A0D63">
      <w:pPr>
        <w:pStyle w:val="SingleTxtG"/>
        <w:numPr>
          <w:ilvl w:val="0"/>
          <w:numId w:val="17"/>
        </w:numPr>
        <w:ind w:left="1134" w:firstLine="0"/>
      </w:pPr>
      <w:r w:rsidRPr="0030732F">
        <w:t>En noviembre de 2022, el SEPMUD publicó el documento “Observaciones y Recomendaciones del Comité para la Eliminación de la Discriminación contra la Mujer al Estado Plurinacional de Bolivia”, para difundir las recomendaciones del Comité e impulsar su implementación a nivel nacional y subnacional.</w:t>
      </w:r>
    </w:p>
    <w:p w14:paraId="0231CCEE" w14:textId="670BE631" w:rsidR="00993D99" w:rsidRPr="0030732F" w:rsidRDefault="00993D99" w:rsidP="001A0D63">
      <w:pPr>
        <w:pStyle w:val="SingleTxtG"/>
        <w:numPr>
          <w:ilvl w:val="0"/>
          <w:numId w:val="17"/>
        </w:numPr>
        <w:ind w:left="1134" w:firstLine="0"/>
      </w:pPr>
      <w:r w:rsidRPr="0030732F">
        <w:t>En 2023, el VIODyD organizó el evento “Avances de los derechos de las mujeres y las recomendaciones de la CEDAW”. Asimismo, en marzo de 2026, con apoyo de ONU Mujeres, realizó el “Taller de Inducción para Servidoras y Servidores Públicos sobre la Metodología de Elaboración del Octavo Informe País”, fortaleciendo la coordinación interinstitucional para el cumplimiento de las obligaciones derivadas de la Convención.</w:t>
      </w:r>
    </w:p>
    <w:p w14:paraId="4B8F6C60" w14:textId="0BA2E38F" w:rsidR="00993D99" w:rsidRPr="0030732F" w:rsidRDefault="00993D99" w:rsidP="001A0D63">
      <w:pPr>
        <w:pStyle w:val="SingleTxtG"/>
        <w:numPr>
          <w:ilvl w:val="0"/>
          <w:numId w:val="17"/>
        </w:numPr>
        <w:ind w:left="1134" w:firstLine="0"/>
      </w:pPr>
      <w:r w:rsidRPr="0030732F">
        <w:t>El Observatorio de Género, creado en 2022 por el TCP y el Comité de Género del OJ, genera estadística para el seguimiento de los derechos de las mujeres. Sus indicadores incluyen denuncias de feminicidio, delitos de la Ley 348, infanticidios, AVP, auditorías jurídicas con enfoque de género, capacitación y composición del personal de ambas instituciones, desagregados por género, entre otros.</w:t>
      </w:r>
    </w:p>
    <w:p w14:paraId="583D80C4" w14:textId="6F3C6218" w:rsidR="00993D99" w:rsidRPr="0030732F" w:rsidRDefault="00993D99" w:rsidP="001A0D63">
      <w:pPr>
        <w:pStyle w:val="SingleTxtG"/>
        <w:numPr>
          <w:ilvl w:val="0"/>
          <w:numId w:val="17"/>
        </w:numPr>
        <w:ind w:left="1134" w:firstLine="0"/>
      </w:pPr>
      <w:r w:rsidRPr="0030732F">
        <w:t>Por otro lado, la Ley Integral para Garantizar a las Mujeres una Vida Libre de Violencia N° 348 dispone la creación del Sistema Integral Plurinacional de Prevención, Atención Sanción y Erradicación de la Violencia en Razón de Género (SIPPASE).</w:t>
      </w:r>
    </w:p>
    <w:p w14:paraId="4A81C149" w14:textId="058E9655" w:rsidR="00993D99" w:rsidRPr="00993D99" w:rsidRDefault="0030732F" w:rsidP="0030732F">
      <w:pPr>
        <w:pStyle w:val="H23G"/>
        <w:rPr>
          <w:lang w:val="es"/>
        </w:rPr>
      </w:pPr>
      <w:r>
        <w:rPr>
          <w:lang w:val="es"/>
        </w:rPr>
        <w:tab/>
      </w:r>
      <w:r>
        <w:rPr>
          <w:lang w:val="es"/>
        </w:rPr>
        <w:tab/>
      </w:r>
      <w:r w:rsidR="00993D99" w:rsidRPr="00993D99">
        <w:rPr>
          <w:lang w:val="es"/>
        </w:rPr>
        <w:t>Investigación y sanción de casos de corrupción del personal de justicia e independencia de poder del Ministerio Público</w:t>
      </w:r>
    </w:p>
    <w:p w14:paraId="6EE0DE71" w14:textId="7FECD37A" w:rsidR="00993D99" w:rsidRPr="00993D99" w:rsidRDefault="00993D99" w:rsidP="001A0D63">
      <w:pPr>
        <w:pStyle w:val="SingleTxtG"/>
        <w:numPr>
          <w:ilvl w:val="0"/>
          <w:numId w:val="17"/>
        </w:numPr>
        <w:ind w:left="1134" w:firstLine="0"/>
        <w:rPr>
          <w:lang w:val="es"/>
        </w:rPr>
      </w:pPr>
      <w:r w:rsidRPr="00993D99">
        <w:rPr>
          <w:lang w:val="es"/>
        </w:rPr>
        <w:t xml:space="preserve">En febrero de 2023 se promulgó el D.S. Nº 4872, que aprueba la Política Plurinacional de Lucha Contra </w:t>
      </w:r>
      <w:r w:rsidRPr="007100A3">
        <w:t>la</w:t>
      </w:r>
      <w:r w:rsidRPr="00993D99">
        <w:rPr>
          <w:lang w:val="es"/>
        </w:rPr>
        <w:t xml:space="preserve"> Corrupción “Hacia una nueva gestión pública digitalizada y transparente”, orientada a fortalecer esta lucha estatal mediante la digitalización pública y sistemas de riesgos, denuncias, verificadores patrimoniales, rendición de cuentas y seguimiento a procesos penales. En este marco de transparencia, el CM cuenta con la Unidad Nacional de Transparencia para transparentar la gestión judicial</w:t>
      </w:r>
      <w:r w:rsidRPr="00993D99">
        <w:rPr>
          <w:vertAlign w:val="superscript"/>
          <w:lang w:val="es"/>
        </w:rPr>
        <w:footnoteReference w:id="6"/>
      </w:r>
      <w:r w:rsidRPr="00993D99">
        <w:rPr>
          <w:lang w:val="es"/>
        </w:rPr>
        <w:t>. Según sus registros, en 2024 se admitieron 435 denuncias a nivel nacional, derivando 110 a procesos administrativos y disciplinarios, y 11 a la vía penal; de estas, más del 60% se concentraron en La Paz</w:t>
      </w:r>
      <w:r w:rsidRPr="00993D99">
        <w:rPr>
          <w:vertAlign w:val="superscript"/>
          <w:lang w:val="es"/>
        </w:rPr>
        <w:footnoteReference w:id="7"/>
      </w:r>
      <w:r w:rsidRPr="00993D99">
        <w:rPr>
          <w:lang w:val="es"/>
        </w:rPr>
        <w:t>.</w:t>
      </w:r>
    </w:p>
    <w:p w14:paraId="43C2757C" w14:textId="1370B7ED" w:rsidR="00993D99" w:rsidRPr="00993D99" w:rsidRDefault="0030732F" w:rsidP="0030732F">
      <w:pPr>
        <w:pStyle w:val="H23G"/>
        <w:rPr>
          <w:lang w:val="es"/>
        </w:rPr>
      </w:pPr>
      <w:r>
        <w:rPr>
          <w:lang w:val="es"/>
        </w:rPr>
        <w:tab/>
      </w:r>
      <w:r>
        <w:rPr>
          <w:lang w:val="es"/>
        </w:rPr>
        <w:tab/>
      </w:r>
      <w:r w:rsidR="00993D99" w:rsidRPr="00993D99">
        <w:rPr>
          <w:lang w:val="es"/>
        </w:rPr>
        <w:t>Patrocinio legal a víctimas de violencia de género</w:t>
      </w:r>
    </w:p>
    <w:p w14:paraId="1621E732" w14:textId="1E8536F2" w:rsidR="00993D99" w:rsidRPr="00993D99" w:rsidRDefault="00993D99" w:rsidP="001A0D63">
      <w:pPr>
        <w:pStyle w:val="SingleTxtG"/>
        <w:numPr>
          <w:ilvl w:val="0"/>
          <w:numId w:val="17"/>
        </w:numPr>
        <w:ind w:left="1134" w:firstLine="0"/>
        <w:rPr>
          <w:lang w:val="es"/>
        </w:rPr>
      </w:pPr>
      <w:r w:rsidRPr="00993D99">
        <w:rPr>
          <w:lang w:val="es"/>
        </w:rPr>
        <w:t xml:space="preserve">El Estado brinda patrocinio legal gratuito mediante tres instancias: el SEPDAVI, que ofrece asistencia legal, psicológica y social a víctimas de violencia sexual, agresiones graves </w:t>
      </w:r>
      <w:r w:rsidRPr="00993D99">
        <w:rPr>
          <w:lang w:val="es"/>
        </w:rPr>
        <w:lastRenderedPageBreak/>
        <w:t>y feminicidio; el SIJPLU, para asuntos civiles y familiares; y los SLIM a nivel municipal, que promueven la denuncia y brindan asistencia integral según la Ley 348. Dentro de esta estructura, la jurisdicción ordinaria y la JIOC actúan coordinadamente; de hecho, la Ley Nº 073 de Deslinde Jurisdiccional y el artículo 46 de la Ley 348 prohíben la conciliación en violencia de género. Pese a esto, persiste el desafío de articular ambas jurisdicciones para evitar vacíos en delitos graves. En respuesta, en 2026, el Consejo de Género del OJ de Tarija impulsó una Agenda Institucional para fortalecer la capacitación con enfoque de género e interculturalidad, el acceso a la justicia rural y la atención sin revictimización</w:t>
      </w:r>
      <w:r w:rsidRPr="00993D99">
        <w:rPr>
          <w:vertAlign w:val="superscript"/>
          <w:lang w:val="es"/>
        </w:rPr>
        <w:footnoteReference w:id="8"/>
      </w:r>
      <w:r w:rsidRPr="00993D99">
        <w:rPr>
          <w:lang w:val="es"/>
        </w:rPr>
        <w:t>.</w:t>
      </w:r>
    </w:p>
    <w:p w14:paraId="2DAF3824" w14:textId="21F92585" w:rsidR="00993D99" w:rsidRPr="00993D99" w:rsidRDefault="00C66B36" w:rsidP="00C66B36">
      <w:pPr>
        <w:pStyle w:val="H23G"/>
        <w:rPr>
          <w:lang w:val="es"/>
        </w:rPr>
      </w:pPr>
      <w:r>
        <w:rPr>
          <w:lang w:val="es"/>
        </w:rPr>
        <w:tab/>
      </w:r>
      <w:r>
        <w:rPr>
          <w:lang w:val="es"/>
        </w:rPr>
        <w:tab/>
      </w:r>
      <w:r w:rsidR="00993D99" w:rsidRPr="00993D99">
        <w:rPr>
          <w:lang w:val="es"/>
        </w:rPr>
        <w:t>Promoción del conocimiento y ejercicio de los derechos de las mujeres</w:t>
      </w:r>
    </w:p>
    <w:p w14:paraId="360981CA" w14:textId="764532B4" w:rsidR="00993D99" w:rsidRPr="00993D99" w:rsidRDefault="00993D99" w:rsidP="001A0D63">
      <w:pPr>
        <w:pStyle w:val="SingleTxtG"/>
        <w:numPr>
          <w:ilvl w:val="0"/>
          <w:numId w:val="17"/>
        </w:numPr>
        <w:ind w:left="1134" w:firstLine="0"/>
        <w:rPr>
          <w:lang w:val="es"/>
        </w:rPr>
      </w:pPr>
      <w:r w:rsidRPr="00993D99">
        <w:rPr>
          <w:lang w:val="es"/>
        </w:rPr>
        <w:t>El SEPMUD prioriza la concienciación y el fortalecimiento de derechos de mujeres vulnerables, indígenas, afrobolivianas, rurales y con discapacidad; entre 2021 y 2025 desarrolló 176 capacitaciones que alcanzaron a 13.397 mujeres. En este periodo, dichos espacios abordaron la agenda de mujeres, liderazgo, derechos sobre tierras, economía del cuidado, violencia, derechos sexuales y reproductivos, discapacidad, despatriarcalización, trata y la modificación de la Ley 348.</w:t>
      </w:r>
    </w:p>
    <w:p w14:paraId="25C4EB84" w14:textId="1518F89C" w:rsidR="00993D99" w:rsidRPr="00993D99" w:rsidRDefault="00C66B36" w:rsidP="00C66B36">
      <w:pPr>
        <w:pStyle w:val="H1G"/>
        <w:rPr>
          <w:lang w:val="es"/>
        </w:rPr>
      </w:pPr>
      <w:r>
        <w:rPr>
          <w:lang w:val="es"/>
        </w:rPr>
        <w:tab/>
      </w:r>
      <w:r>
        <w:rPr>
          <w:lang w:val="es"/>
        </w:rPr>
        <w:tab/>
      </w:r>
      <w:r w:rsidR="00993D99" w:rsidRPr="00993D99">
        <w:rPr>
          <w:lang w:val="es"/>
        </w:rPr>
        <w:t xml:space="preserve">Artículo 3 </w:t>
      </w:r>
    </w:p>
    <w:p w14:paraId="27E56D03" w14:textId="7950EB6B" w:rsidR="00993D99" w:rsidRPr="00993D99" w:rsidRDefault="00C66B36" w:rsidP="00C66B36">
      <w:pPr>
        <w:pStyle w:val="H23G"/>
        <w:rPr>
          <w:lang w:val="es"/>
        </w:rPr>
      </w:pPr>
      <w:r>
        <w:rPr>
          <w:lang w:val="es"/>
        </w:rPr>
        <w:tab/>
      </w:r>
      <w:r>
        <w:rPr>
          <w:lang w:val="es"/>
        </w:rPr>
        <w:tab/>
      </w:r>
      <w:r w:rsidR="00993D99" w:rsidRPr="00993D99">
        <w:rPr>
          <w:lang w:val="es"/>
        </w:rPr>
        <w:t>Mecanismos nacionales para el adelanto de la mujer y fortalecimiento</w:t>
      </w:r>
    </w:p>
    <w:p w14:paraId="2793D380" w14:textId="540E0365" w:rsidR="00993D99" w:rsidRPr="00993D99" w:rsidRDefault="00993D99" w:rsidP="001A0D63">
      <w:pPr>
        <w:pStyle w:val="SingleTxtG"/>
        <w:numPr>
          <w:ilvl w:val="0"/>
          <w:numId w:val="17"/>
        </w:numPr>
        <w:ind w:left="1134" w:firstLine="0"/>
        <w:rPr>
          <w:lang w:val="es"/>
        </w:rPr>
      </w:pPr>
      <w:r w:rsidRPr="00993D99">
        <w:rPr>
          <w:lang w:val="es"/>
        </w:rPr>
        <w:t>A raíz de la reestructuración del Estado, y en virtud del D.S. N° 5488 de 16 de noviembre de 2025, la Unidad de Descolonización del antiguo Ministerio de Culturas, Descolonización y Despatriarcalización pasó a depender del ahora VIODyD como una Dirección. Asimismo, en virtud del D.S. N° 5493 del 25 de noviembre de 2025, el VIODyD pasó a depender del Ministerio de la Presidencia ampliando sus atribuciones, siendo la cabeza de sector en la formulación, elaboración de normativa y política pública en materia de género. Por su parte, el SEPMUD, conforme su Decreto de creación, es el mecanismo de género que tiene la finalidad de monitorear, realizar seguimiento, evaluar el cumplimiento de las políticas públicas hacia la despatriarcalización y de promover la erradicación de todo tipo de violencia y formas de discriminación contra la mujer. En este marco institucional renovado, las actuales autoridades del VIODyD y del SEPMUD impulsan un proceso de coordinación y trabajo conjunto.</w:t>
      </w:r>
    </w:p>
    <w:p w14:paraId="6D258CF2" w14:textId="2B903189" w:rsidR="00993D99" w:rsidRPr="00993D99" w:rsidRDefault="00993D99" w:rsidP="001A0D63">
      <w:pPr>
        <w:pStyle w:val="SingleTxtG"/>
        <w:numPr>
          <w:ilvl w:val="0"/>
          <w:numId w:val="17"/>
        </w:numPr>
        <w:ind w:left="1134" w:firstLine="0"/>
        <w:rPr>
          <w:lang w:val="es"/>
        </w:rPr>
      </w:pPr>
      <w:r w:rsidRPr="00993D99">
        <w:rPr>
          <w:lang w:val="es"/>
        </w:rPr>
        <w:t>Para fortalecer las capacidades institucionales, todo el personal público debe aprobar obligatoriamente los cursos sobre la Ley 348 impartidos por la EGPP. Complementariamente, el VIODyD promueve la formación continua de su personal en igualdad de género, derechos de la niñez y adolescencia, descolonización, despatriarcalización y no discriminación. Por su parte, el SEPMUD registró un incremento progresivo en su presupuesto del TGN: de Bs. 2.499.619 en 2021 a Bs. 5.010.892 proyectados para 2025, creciendo más del 100% en el último quinquenio. Asimismo, el presupuesto para Servicios Personales aumentó de Bs. 2.158.461 en 2019 a Bs. 3.250.315 para 2026, consolidando su estructura técnica y operativa</w:t>
      </w:r>
      <w:r w:rsidRPr="00993D99">
        <w:rPr>
          <w:vertAlign w:val="superscript"/>
          <w:lang w:val="es"/>
        </w:rPr>
        <w:footnoteReference w:id="9"/>
      </w:r>
      <w:r w:rsidRPr="00993D99">
        <w:rPr>
          <w:lang w:val="es"/>
        </w:rPr>
        <w:t>.</w:t>
      </w:r>
    </w:p>
    <w:p w14:paraId="549D09A3" w14:textId="3FD03674" w:rsidR="00993D99" w:rsidRPr="00993D99" w:rsidRDefault="00C66B36" w:rsidP="00C66B36">
      <w:pPr>
        <w:pStyle w:val="H23G"/>
        <w:rPr>
          <w:lang w:val="es"/>
        </w:rPr>
      </w:pPr>
      <w:r>
        <w:rPr>
          <w:lang w:val="es"/>
        </w:rPr>
        <w:tab/>
      </w:r>
      <w:r>
        <w:rPr>
          <w:lang w:val="es"/>
        </w:rPr>
        <w:tab/>
      </w:r>
      <w:r w:rsidR="00993D99" w:rsidRPr="00993D99">
        <w:rPr>
          <w:lang w:val="es"/>
        </w:rPr>
        <w:t xml:space="preserve">Plan integral para la igualdad y el adelanto de la mujer </w:t>
      </w:r>
    </w:p>
    <w:p w14:paraId="27879772" w14:textId="1380628F" w:rsidR="00993D99" w:rsidRPr="00993D99" w:rsidRDefault="00993D99" w:rsidP="001A0D63">
      <w:pPr>
        <w:pStyle w:val="SingleTxtG"/>
        <w:numPr>
          <w:ilvl w:val="0"/>
          <w:numId w:val="17"/>
        </w:numPr>
        <w:ind w:left="1134" w:firstLine="0"/>
        <w:rPr>
          <w:lang w:val="es"/>
        </w:rPr>
      </w:pPr>
      <w:r w:rsidRPr="00993D99">
        <w:rPr>
          <w:lang w:val="es"/>
        </w:rPr>
        <w:t>Los instrumentos que orientaron las acciones contra toda forma de discriminación y violencia contra la mujer en este periodo fueron: el D.S. N° 4650, “2022 Año de la Revolución Cultural para la Despatriarcalización: Por una Vida Libre de Violencia contra las Mujeres” y el D.S. N° 4958, que aprueba la “Política Plurinacional de Descolonización y Despatriarcalización” (PPDD) ‘La Bolivia de Iguales desde Nuestras Diversidades’”, que tienen por objeto promover acciones de lucha contra la violencia y profundizar los procesos de descolonización y despatriarcalización en la gestión pública y en la sociedad (Anexo 1).</w:t>
      </w:r>
    </w:p>
    <w:p w14:paraId="17C9B31A" w14:textId="6ED48308" w:rsidR="00993D99" w:rsidRPr="00993D99" w:rsidRDefault="00993D99" w:rsidP="001A0D63">
      <w:pPr>
        <w:pStyle w:val="SingleTxtG"/>
        <w:numPr>
          <w:ilvl w:val="0"/>
          <w:numId w:val="17"/>
        </w:numPr>
        <w:ind w:left="1134" w:firstLine="0"/>
        <w:rPr>
          <w:lang w:val="es"/>
        </w:rPr>
      </w:pPr>
      <w:r w:rsidRPr="00993D99">
        <w:rPr>
          <w:lang w:val="es"/>
        </w:rPr>
        <w:t xml:space="preserve">La PPDD alcanza a entidades públicas, privadas y organizaciones sociales del nivel central y a las ETAs. En este marco, el 2025, el SEPMUD desarrolló la “Estrategia Integral </w:t>
      </w:r>
      <w:r w:rsidRPr="00993D99">
        <w:rPr>
          <w:lang w:val="es"/>
        </w:rPr>
        <w:lastRenderedPageBreak/>
        <w:t>de Despatriarcalización y Transformación del Estado Plurinacional”, que constituye la hoja de ruta de largo plazo para transformar las estructuras sociales, económicas, políticas y culturales que reproducen el patriarcado.</w:t>
      </w:r>
    </w:p>
    <w:p w14:paraId="2FE8B940" w14:textId="1EFDE7C8" w:rsidR="00993D99" w:rsidRPr="00993D99" w:rsidRDefault="00993D99" w:rsidP="001A0D63">
      <w:pPr>
        <w:pStyle w:val="SingleTxtG"/>
        <w:numPr>
          <w:ilvl w:val="0"/>
          <w:numId w:val="17"/>
        </w:numPr>
        <w:ind w:left="1134" w:firstLine="0"/>
        <w:rPr>
          <w:lang w:val="es"/>
        </w:rPr>
      </w:pPr>
      <w:r w:rsidRPr="00993D99">
        <w:rPr>
          <w:lang w:val="es"/>
        </w:rPr>
        <w:t>La Estrategia 2025-2030 establece lineamientos, acciones y objetivos en 10 áreas prioritarias, entre ellas: economía, empleo, lucha contra la violencia, e incorpora 133 indicadores para medir el impacto y avances de la PPDD, los cuales operan bajo la “Guía de Relevamiento y Reporte de Información 2025”, que exige desagregación interseccional por sexo, identidad de género, edad, ubicación geográfica y autoidentificación étnica.</w:t>
      </w:r>
    </w:p>
    <w:p w14:paraId="0E1786B3" w14:textId="3D906229" w:rsidR="00993D99" w:rsidRPr="00993D99" w:rsidRDefault="00993D99" w:rsidP="001A0D63">
      <w:pPr>
        <w:pStyle w:val="SingleTxtG"/>
        <w:numPr>
          <w:ilvl w:val="0"/>
          <w:numId w:val="17"/>
        </w:numPr>
        <w:ind w:left="1134" w:firstLine="0"/>
        <w:rPr>
          <w:lang w:val="es"/>
        </w:rPr>
      </w:pPr>
      <w:r w:rsidRPr="00993D99">
        <w:rPr>
          <w:lang w:val="es"/>
        </w:rPr>
        <w:t>En cuanto a los datos sobre NNA, en 2024 fue puesto en funcionamiento el SINNA, que registra información sobre derechos y actividad laboral de NNA</w:t>
      </w:r>
      <w:r w:rsidRPr="00993D99">
        <w:rPr>
          <w:vertAlign w:val="superscript"/>
          <w:lang w:val="es"/>
        </w:rPr>
        <w:footnoteReference w:id="10"/>
      </w:r>
      <w:r w:rsidRPr="00993D99">
        <w:rPr>
          <w:lang w:val="es"/>
        </w:rPr>
        <w:t>. Entre sus módulos destacan el MOLIV, que monitorea casos violencia sexual e ILE, y el MOSPA que</w:t>
      </w:r>
      <w:r w:rsidRPr="00993D99">
        <w:rPr>
          <w:b/>
          <w:bCs/>
          <w:lang w:val="es"/>
        </w:rPr>
        <w:t xml:space="preserve"> </w:t>
      </w:r>
      <w:r w:rsidRPr="00993D99">
        <w:rPr>
          <w:lang w:val="es"/>
        </w:rPr>
        <w:t>registra los datos y el seguimiento de casos de adolescentes en conflictos penales y monitorea su situación en el sistema de justicia juvenil. Para 2026 está previsto incorporar un módulo de registro de hijas e hijos huérfanos víctimas por feminicidio o asesinato del padre, en aplicación de la Ley N° 1689.</w:t>
      </w:r>
    </w:p>
    <w:p w14:paraId="37972837" w14:textId="58BE6804" w:rsidR="00993D99" w:rsidRPr="00993D99" w:rsidRDefault="00081C5E" w:rsidP="00081C5E">
      <w:pPr>
        <w:pStyle w:val="H23G"/>
        <w:rPr>
          <w:lang w:val="es"/>
        </w:rPr>
      </w:pPr>
      <w:r>
        <w:rPr>
          <w:lang w:val="es"/>
        </w:rPr>
        <w:tab/>
      </w:r>
      <w:r>
        <w:rPr>
          <w:lang w:val="es"/>
        </w:rPr>
        <w:tab/>
      </w:r>
      <w:r w:rsidR="00993D99" w:rsidRPr="00993D99">
        <w:rPr>
          <w:lang w:val="es"/>
        </w:rPr>
        <w:t>Seguimiento a medidas y políticas</w:t>
      </w:r>
    </w:p>
    <w:p w14:paraId="3CEE9FBF" w14:textId="514E7AD9" w:rsidR="00993D99" w:rsidRPr="00993D99" w:rsidRDefault="00993D99" w:rsidP="001A0D63">
      <w:pPr>
        <w:pStyle w:val="SingleTxtG"/>
        <w:numPr>
          <w:ilvl w:val="0"/>
          <w:numId w:val="17"/>
        </w:numPr>
        <w:ind w:left="1134" w:firstLine="0"/>
        <w:rPr>
          <w:lang w:val="es"/>
        </w:rPr>
      </w:pPr>
      <w:r w:rsidRPr="00993D99">
        <w:rPr>
          <w:lang w:val="es"/>
        </w:rPr>
        <w:t>El SEPMUD es el mecanismo encargado de monitorear, realizar seguimiento y evaluar el cumplimiento de las políticas públicas hacia la despatriarcalización. En 2023, desarrolló el monitoreo y seguimiento de varios instrumentos sobre AVP, presupuestos sensibles a género, prestación de servicios de salud ILE, trabajo asalariado del hogar, reforma agraria, OECAs y OECOMs, y mujeres indígenas originarias, campesinas y afrobolivianas, entre otros.</w:t>
      </w:r>
    </w:p>
    <w:p w14:paraId="29732D18" w14:textId="3A6C515C" w:rsidR="00993D99" w:rsidRPr="00993D99" w:rsidRDefault="00993D99" w:rsidP="001A0D63">
      <w:pPr>
        <w:pStyle w:val="SingleTxtG"/>
        <w:numPr>
          <w:ilvl w:val="0"/>
          <w:numId w:val="17"/>
        </w:numPr>
        <w:ind w:left="1134" w:firstLine="0"/>
        <w:rPr>
          <w:lang w:val="es"/>
        </w:rPr>
      </w:pPr>
      <w:r w:rsidRPr="00993D99">
        <w:rPr>
          <w:lang w:val="es"/>
        </w:rPr>
        <w:t>En 2024, evaluó el cumplimiento de la normativa laboral de mujeres mineras y la autonomía económica de las mujeres, además de realizar seguimientos sobre los derechos de PcD y la inversión pública con enfoque de género (Anexo 2).</w:t>
      </w:r>
    </w:p>
    <w:p w14:paraId="4295A8DE" w14:textId="227574FD" w:rsidR="00993D99" w:rsidRPr="00993D99" w:rsidRDefault="00081C5E" w:rsidP="00081C5E">
      <w:pPr>
        <w:pStyle w:val="H23G"/>
        <w:rPr>
          <w:lang w:val="es"/>
        </w:rPr>
      </w:pPr>
      <w:r>
        <w:rPr>
          <w:lang w:val="es"/>
        </w:rPr>
        <w:tab/>
      </w:r>
      <w:r>
        <w:rPr>
          <w:lang w:val="es"/>
        </w:rPr>
        <w:tab/>
      </w:r>
      <w:r w:rsidR="00993D99" w:rsidRPr="00993D99">
        <w:rPr>
          <w:lang w:val="es"/>
        </w:rPr>
        <w:t>Defensoría del Pueblo</w:t>
      </w:r>
    </w:p>
    <w:p w14:paraId="027C1A81" w14:textId="63D60FC3" w:rsidR="00993D99" w:rsidRPr="00993D99" w:rsidRDefault="00993D99" w:rsidP="001A0D63">
      <w:pPr>
        <w:pStyle w:val="SingleTxtG"/>
        <w:numPr>
          <w:ilvl w:val="0"/>
          <w:numId w:val="17"/>
        </w:numPr>
        <w:ind w:left="1134" w:firstLine="0"/>
        <w:rPr>
          <w:lang w:val="es"/>
        </w:rPr>
      </w:pPr>
      <w:r w:rsidRPr="00993D99">
        <w:rPr>
          <w:lang w:val="es"/>
        </w:rPr>
        <w:t>La DPB promueve condiciones materiales que permitan el ejercicio de los derechos humanos de poblaciones vulnerables y sectores desfavorecidos. En este marco, entre 2021 y 2026 publicó informes defensoriales sobre: la Ley 348, el incumplimiento de la SCP N° 206/2014, la situación de los DDHH en Bolivia, matrimonios infantiles, gestión compartida, centros de acogida, trabajo infantil y violencia sexual contra NNA. Asimismo, coordina iniciativas multisectoriales frente a formas múltiples e interseccionales de discriminación, como la Mesa de Lucha contra la Violencia Política hacia las Mujeres, el Comité Plurinacional de la Niña, Niño y Adolescente y el Consejo Plurinacional contra la Trata y Tráfico de Personas, articulando estratégicamente estos espacios para fiscalizar el cumplimiento de los compromisos estatales en derechos humanos.</w:t>
      </w:r>
    </w:p>
    <w:p w14:paraId="6E116FC6" w14:textId="7796D91F" w:rsidR="00993D99" w:rsidRPr="00993D99" w:rsidRDefault="00993D99" w:rsidP="001A0D63">
      <w:pPr>
        <w:pStyle w:val="SingleTxtG"/>
        <w:numPr>
          <w:ilvl w:val="0"/>
          <w:numId w:val="17"/>
        </w:numPr>
        <w:ind w:left="1134" w:firstLine="0"/>
        <w:rPr>
          <w:lang w:val="es"/>
        </w:rPr>
      </w:pPr>
      <w:r w:rsidRPr="00993D99">
        <w:rPr>
          <w:lang w:val="es"/>
        </w:rPr>
        <w:t>En los últimos años el presupuesto de la DPB tuvo un incremento paulatino: en 2022 su presupuesto fue de 38.165.737 Bs., en 2023 de Bs. 39.770.291, en 2024, Bs. 43.398.328, y para el 2025 el monto de Bs. 43.763.481</w:t>
      </w:r>
      <w:r w:rsidRPr="00993D99">
        <w:rPr>
          <w:vertAlign w:val="superscript"/>
          <w:lang w:val="es"/>
        </w:rPr>
        <w:footnoteReference w:id="11"/>
      </w:r>
      <w:r w:rsidRPr="00993D99">
        <w:rPr>
          <w:lang w:val="es"/>
        </w:rPr>
        <w:t>.</w:t>
      </w:r>
    </w:p>
    <w:p w14:paraId="2DF9DF84" w14:textId="1BD65785" w:rsidR="00993D99" w:rsidRPr="00993D99" w:rsidRDefault="00081C5E" w:rsidP="00081C5E">
      <w:pPr>
        <w:pStyle w:val="H1G"/>
        <w:rPr>
          <w:lang w:val="es"/>
        </w:rPr>
      </w:pPr>
      <w:r>
        <w:rPr>
          <w:lang w:val="es"/>
        </w:rPr>
        <w:tab/>
      </w:r>
      <w:r>
        <w:rPr>
          <w:lang w:val="es"/>
        </w:rPr>
        <w:tab/>
      </w:r>
      <w:r w:rsidR="00993D99" w:rsidRPr="00993D99">
        <w:rPr>
          <w:lang w:val="es"/>
        </w:rPr>
        <w:t xml:space="preserve">Artículo 4 </w:t>
      </w:r>
    </w:p>
    <w:p w14:paraId="66009A9A" w14:textId="191D1E61" w:rsidR="00993D99" w:rsidRPr="00993D99" w:rsidRDefault="00081C5E" w:rsidP="00081C5E">
      <w:pPr>
        <w:pStyle w:val="H23G"/>
        <w:rPr>
          <w:lang w:val="es"/>
        </w:rPr>
      </w:pPr>
      <w:r>
        <w:rPr>
          <w:lang w:val="es"/>
        </w:rPr>
        <w:tab/>
      </w:r>
      <w:r>
        <w:rPr>
          <w:lang w:val="es"/>
        </w:rPr>
        <w:tab/>
      </w:r>
      <w:r w:rsidR="00993D99" w:rsidRPr="00993D99">
        <w:rPr>
          <w:lang w:val="es"/>
        </w:rPr>
        <w:t>Medidas especiales de carácter temporal para acelerar la igualdad sustantiva entre hombres y mujeres</w:t>
      </w:r>
    </w:p>
    <w:p w14:paraId="4037E302" w14:textId="255AE7AA" w:rsidR="00993D99" w:rsidRPr="00993D99" w:rsidRDefault="00993D99" w:rsidP="001A0D63">
      <w:pPr>
        <w:pStyle w:val="SingleTxtG"/>
        <w:numPr>
          <w:ilvl w:val="0"/>
          <w:numId w:val="17"/>
        </w:numPr>
        <w:ind w:left="1134" w:firstLine="0"/>
        <w:rPr>
          <w:lang w:val="es"/>
        </w:rPr>
      </w:pPr>
      <w:r w:rsidRPr="00993D99">
        <w:rPr>
          <w:lang w:val="es"/>
        </w:rPr>
        <w:t xml:space="preserve">Entre 2019 y 2026, Bolivia adoptó medidas en sus procesos electorales nacionales y subnacionales para garantizar la participación paritaria y libre de violencia de las mujeres. En este ámbito, el TSE y los TEDs supervisan la paridad y alternancia en las listas de las OP aplicando la reglamentación específica. Para las elecciones nacionales se implementaron medidas especiales de carácter temporal, luego extendidas a otros procesos, como el </w:t>
      </w:r>
      <w:r w:rsidRPr="00993D99">
        <w:rPr>
          <w:lang w:val="es"/>
        </w:rPr>
        <w:lastRenderedPageBreak/>
        <w:t>“Reglamento de Faltas Electorales y Sanciones” (2020), que obliga a la judicatura electoral a tramitar con debida diligencia los casos de AVP, permitiendo que las denuncias sean presentadas por las víctimas, terceros o de oficio.</w:t>
      </w:r>
    </w:p>
    <w:p w14:paraId="3B0C8E22" w14:textId="51FE1D08" w:rsidR="00993D99" w:rsidRPr="00993D99" w:rsidRDefault="00993D99" w:rsidP="001A0D63">
      <w:pPr>
        <w:pStyle w:val="SingleTxtG"/>
        <w:numPr>
          <w:ilvl w:val="0"/>
          <w:numId w:val="17"/>
        </w:numPr>
        <w:ind w:left="1134" w:firstLine="0"/>
        <w:rPr>
          <w:lang w:val="es"/>
        </w:rPr>
      </w:pPr>
      <w:r w:rsidRPr="00993D99">
        <w:rPr>
          <w:lang w:val="es"/>
        </w:rPr>
        <w:t>Como resultado, las elecciones generales de 2020 fueron las primeras en la historia del país donde todas las OP presentaron listas paritarias: el 52% de las candidaturas habilitadas y el 54,8% de las titulares fueron para mujeres. En contraste, en los comicios de 2025, pese a que el 50% de las postulaciones correspondían a mujeres, ninguna de las 8 OP cumplió los principios de paridad y alternancia, ya que las titularidades no alcanzaron el 50% exigido. Así, se observa que las medidas especiales para la ALP han sido efectivas, pero aún se requieren mejores mecanismos de verificación para garantizar que la paridad sea la norma en todas las listas</w:t>
      </w:r>
      <w:r w:rsidRPr="00993D99">
        <w:rPr>
          <w:vertAlign w:val="superscript"/>
          <w:lang w:val="es"/>
        </w:rPr>
        <w:footnoteReference w:id="12"/>
      </w:r>
      <w:r w:rsidRPr="00993D99">
        <w:rPr>
          <w:lang w:val="es"/>
        </w:rPr>
        <w:t>.</w:t>
      </w:r>
    </w:p>
    <w:p w14:paraId="6BB56FFD" w14:textId="62F0FC91" w:rsidR="00993D99" w:rsidRPr="00993D99" w:rsidRDefault="00081C5E" w:rsidP="00081C5E">
      <w:pPr>
        <w:pStyle w:val="H1G"/>
        <w:rPr>
          <w:lang w:val="es"/>
        </w:rPr>
      </w:pPr>
      <w:r>
        <w:rPr>
          <w:lang w:val="es"/>
        </w:rPr>
        <w:tab/>
      </w:r>
      <w:r>
        <w:rPr>
          <w:lang w:val="es"/>
        </w:rPr>
        <w:tab/>
      </w:r>
      <w:r w:rsidR="00993D99" w:rsidRPr="00993D99">
        <w:rPr>
          <w:lang w:val="es"/>
        </w:rPr>
        <w:t xml:space="preserve">Artículo 5 </w:t>
      </w:r>
    </w:p>
    <w:p w14:paraId="2A961B3F" w14:textId="39513271" w:rsidR="00993D99" w:rsidRPr="00993D99" w:rsidRDefault="00081C5E" w:rsidP="00081C5E">
      <w:pPr>
        <w:pStyle w:val="H23G"/>
        <w:rPr>
          <w:lang w:val="es"/>
        </w:rPr>
      </w:pPr>
      <w:r>
        <w:rPr>
          <w:lang w:val="es"/>
        </w:rPr>
        <w:tab/>
      </w:r>
      <w:r>
        <w:rPr>
          <w:lang w:val="es"/>
        </w:rPr>
        <w:tab/>
      </w:r>
      <w:r w:rsidR="00993D99" w:rsidRPr="00993D99">
        <w:rPr>
          <w:lang w:val="es"/>
        </w:rPr>
        <w:t xml:space="preserve">Marco legal y políticas de estado para luchar contra la violencia </w:t>
      </w:r>
    </w:p>
    <w:p w14:paraId="5BA00DBC" w14:textId="3F4C5469" w:rsidR="00993D99" w:rsidRPr="00993D99" w:rsidRDefault="00993D99" w:rsidP="001A0D63">
      <w:pPr>
        <w:pStyle w:val="SingleTxtG"/>
        <w:numPr>
          <w:ilvl w:val="0"/>
          <w:numId w:val="17"/>
        </w:numPr>
        <w:ind w:left="1134" w:firstLine="0"/>
        <w:rPr>
          <w:lang w:val="es"/>
        </w:rPr>
      </w:pPr>
      <w:r w:rsidRPr="00993D99">
        <w:rPr>
          <w:lang w:val="es"/>
        </w:rPr>
        <w:t>En Bolivia, la condena a la violencia de género tiene rango constitucional. Como principal política de Estado se desarrolló la Ley 348, que aborda la prevención, atención, protección, reparación y sanción involucrando a diversas instituciones.</w:t>
      </w:r>
    </w:p>
    <w:p w14:paraId="263BDAF0" w14:textId="38B61024" w:rsidR="00993D99" w:rsidRPr="00993D99" w:rsidRDefault="00993D99" w:rsidP="001A0D63">
      <w:pPr>
        <w:pStyle w:val="SingleTxtG"/>
        <w:numPr>
          <w:ilvl w:val="0"/>
          <w:numId w:val="17"/>
        </w:numPr>
        <w:ind w:left="1134" w:firstLine="0"/>
        <w:rPr>
          <w:lang w:val="es"/>
        </w:rPr>
      </w:pPr>
      <w:r w:rsidRPr="00993D99">
        <w:rPr>
          <w:lang w:val="es"/>
        </w:rPr>
        <w:t>A lo largo de los años se trabajó en la reglamentación, decretos y otras acciones para complementar esta normativa. En agosto de 2019 se promulgó el D.S. N° 4012 cuyo principal objeto es definir los porcentajes que cada ETA debe asignar a la prevención y lucha contra la violencia hacia las mujeres. Este D.S. exige la asignación del 15% a los GAD.</w:t>
      </w:r>
    </w:p>
    <w:p w14:paraId="614AE368" w14:textId="1BF1AF35" w:rsidR="00993D99" w:rsidRPr="00993D99" w:rsidRDefault="00993D99" w:rsidP="001A0D63">
      <w:pPr>
        <w:pStyle w:val="SingleTxtG"/>
        <w:numPr>
          <w:ilvl w:val="0"/>
          <w:numId w:val="17"/>
        </w:numPr>
        <w:ind w:left="1134" w:firstLine="0"/>
        <w:rPr>
          <w:lang w:val="es"/>
        </w:rPr>
      </w:pPr>
      <w:r w:rsidRPr="00993D99">
        <w:rPr>
          <w:lang w:val="es"/>
        </w:rPr>
        <w:t>En el mismo sentido, se declaró el “2022, Año de la Revolución Cultural para la Despatriarcalización: por una Vida Libre de Violencia contra las Mujeres” y el Plan Multisectorial para el Avance en la Despatriarcalización y el Derecho de las Mujeres para Vivir Bien y el fortalecimiento de la reglamentación a la Ley 348, a través del D.S. Nº4399 de 2020.</w:t>
      </w:r>
    </w:p>
    <w:p w14:paraId="1102EBCB" w14:textId="1BA84C73" w:rsidR="00993D99" w:rsidRPr="00993D99" w:rsidRDefault="00993D99" w:rsidP="001A0D63">
      <w:pPr>
        <w:pStyle w:val="SingleTxtG"/>
        <w:numPr>
          <w:ilvl w:val="0"/>
          <w:numId w:val="17"/>
        </w:numPr>
        <w:ind w:left="1134" w:firstLine="0"/>
        <w:rPr>
          <w:lang w:val="es"/>
        </w:rPr>
      </w:pPr>
      <w:r w:rsidRPr="00993D99">
        <w:rPr>
          <w:lang w:val="es"/>
        </w:rPr>
        <w:t>El año 2025 se promulgó la Ley Nº 1636, para la Protección de la Integridad Sexual de Niñas, Niños y Adolescentes en Entornos Digitales, que establece mecanismos para prevenir, identificar, investigar y sancionar los delitos cometidos contra la integridad sexual de NNA mediante el uso de tecnologías de la información y la comunicación. El mismo año, se promulgó la Ley Nº 1639 que modifica el Código de las Familias y del Proceso Familiar y prohíbe de manera absoluta el matrimonio y las uniones libres de menores de 18 años. Elimina las excepciones legales previas y establece que cualquier unión con personas menores de edad es nula de pleno derecho.</w:t>
      </w:r>
    </w:p>
    <w:p w14:paraId="381C8A83" w14:textId="3D5341A4" w:rsidR="00993D99" w:rsidRPr="00993D99" w:rsidRDefault="00993D99" w:rsidP="001A0D63">
      <w:pPr>
        <w:pStyle w:val="SingleTxtG"/>
        <w:numPr>
          <w:ilvl w:val="0"/>
          <w:numId w:val="17"/>
        </w:numPr>
        <w:ind w:left="1134" w:firstLine="0"/>
        <w:rPr>
          <w:lang w:val="es"/>
        </w:rPr>
      </w:pPr>
      <w:r w:rsidRPr="00993D99">
        <w:rPr>
          <w:lang w:val="es"/>
        </w:rPr>
        <w:t>Paralelamente, se desarrollaron mecanismos como el Modelo de Gestión de Redes (MGR), creado en 2023 para articular instituciones y servicios públicos, privados y comunitarios de prevención, atención y protección de NNA y mujeres. El modelo busca optimizar y fortalecer la institucionalidad y garantizar el acceso eficaz e inmediato a la justicia. Asimismo, a través del trabajo con los GAMs, el MGR estandariza lineamientos técnicos, articula acciones para fortalecer la lucha y erradicación de la violencia contra las mujeres y mejora la gestión presupuestaria y del sistema de protección contra la violencia.</w:t>
      </w:r>
    </w:p>
    <w:p w14:paraId="39FA8D2C" w14:textId="31986336" w:rsidR="00993D99" w:rsidRPr="00993D99" w:rsidRDefault="00993D99" w:rsidP="001A0D63">
      <w:pPr>
        <w:pStyle w:val="SingleTxtG"/>
        <w:numPr>
          <w:ilvl w:val="0"/>
          <w:numId w:val="17"/>
        </w:numPr>
        <w:ind w:left="1134" w:firstLine="0"/>
        <w:rPr>
          <w:lang w:val="es"/>
        </w:rPr>
      </w:pPr>
      <w:r w:rsidRPr="00993D99">
        <w:rPr>
          <w:lang w:val="es"/>
        </w:rPr>
        <w:t>A través de este modelo, el 2024 se coordinaron siete redes locales para la construcción participativa de los Planes Estratégicos Integrales de Prevención de Violencia hacia Mujeres, NNA de las Redes Locales</w:t>
      </w:r>
      <w:r w:rsidRPr="00993D99">
        <w:rPr>
          <w:vertAlign w:val="superscript"/>
          <w:lang w:val="es"/>
        </w:rPr>
        <w:footnoteReference w:id="13"/>
      </w:r>
      <w:r w:rsidRPr="00993D99">
        <w:rPr>
          <w:lang w:val="es"/>
        </w:rPr>
        <w:t>. Hasta junio de 2026 se cuenta con 15 redes y este año se prevé llegar a 16.</w:t>
      </w:r>
    </w:p>
    <w:p w14:paraId="5C0692B2" w14:textId="454AD3F3" w:rsidR="00993D99" w:rsidRPr="00993D99" w:rsidRDefault="00993D99" w:rsidP="001A0D63">
      <w:pPr>
        <w:pStyle w:val="SingleTxtG"/>
        <w:numPr>
          <w:ilvl w:val="0"/>
          <w:numId w:val="17"/>
        </w:numPr>
        <w:ind w:left="1134" w:firstLine="0"/>
        <w:rPr>
          <w:lang w:val="es"/>
        </w:rPr>
      </w:pPr>
      <w:r w:rsidRPr="00993D99">
        <w:rPr>
          <w:lang w:val="es"/>
        </w:rPr>
        <w:t xml:space="preserve">La Mesa Nacional Interinstitucional de Lucha Contra la Violencia de Género, liderada por la FGE, reúne a las máximas autoridades del Sistema Penal, involucradas en la atención, investigación, sanción, reparación y ejecución en casos vinculados a la violencia de género. </w:t>
      </w:r>
      <w:r w:rsidRPr="00993D99">
        <w:rPr>
          <w:lang w:val="es"/>
        </w:rPr>
        <w:lastRenderedPageBreak/>
        <w:t>Esta mesa desarrolló la Ruta de acción Institucional (2022), que estandariza los procedimientos y actuaciones de las instituciones que intervienen en la cadena de lucha contra la violencia</w:t>
      </w:r>
      <w:r w:rsidRPr="00993D99">
        <w:rPr>
          <w:vertAlign w:val="superscript"/>
          <w:lang w:val="es"/>
        </w:rPr>
        <w:footnoteReference w:id="14"/>
      </w:r>
      <w:r w:rsidRPr="00993D99">
        <w:rPr>
          <w:lang w:val="es"/>
        </w:rPr>
        <w:t>.</w:t>
      </w:r>
    </w:p>
    <w:p w14:paraId="03369BF9" w14:textId="107A3D35" w:rsidR="00993D99" w:rsidRPr="00993D99" w:rsidRDefault="00993D99" w:rsidP="001A0D63">
      <w:pPr>
        <w:pStyle w:val="SingleTxtG"/>
        <w:numPr>
          <w:ilvl w:val="0"/>
          <w:numId w:val="17"/>
        </w:numPr>
        <w:ind w:left="1134" w:firstLine="0"/>
        <w:rPr>
          <w:lang w:val="es"/>
        </w:rPr>
      </w:pPr>
      <w:r w:rsidRPr="00993D99">
        <w:rPr>
          <w:lang w:val="es"/>
        </w:rPr>
        <w:t>El Estado reconoce la importancia de la participación de organizaciones sociales y de la sociedad civil en la implementación de políticas de lucha contra la violencia. En este marco, la Ley 348 reconoce a las Promotoras Comunitarias, como mujeres que superaron situaciones de violencia o que voluntariamente asumen el compromiso de apoyar a otras mujeres mediante redes de solidaridad y protección articuladas a servicios públicos de atención. Asimismo, en el marco de la Política Pública Integral “Para una Vida Digna de las Mujeres”, se las cualificó, formó, capacitó y certificó; entre 2018 y 2022 se otorgó la certificación de “Promotora Comunitaria en Prevención de la Violencia en Razón de Género”</w:t>
      </w:r>
      <w:r w:rsidRPr="00993D99">
        <w:rPr>
          <w:vertAlign w:val="superscript"/>
          <w:lang w:val="es"/>
        </w:rPr>
        <w:footnoteReference w:id="15"/>
      </w:r>
      <w:r w:rsidRPr="00993D99">
        <w:rPr>
          <w:lang w:val="es"/>
        </w:rPr>
        <w:t>.</w:t>
      </w:r>
    </w:p>
    <w:p w14:paraId="610A42BF" w14:textId="76136A21" w:rsidR="00993D99" w:rsidRPr="00993D99" w:rsidRDefault="00993D99" w:rsidP="001A0D63">
      <w:pPr>
        <w:pStyle w:val="SingleTxtG"/>
        <w:numPr>
          <w:ilvl w:val="0"/>
          <w:numId w:val="17"/>
        </w:numPr>
        <w:ind w:left="1134" w:firstLine="0"/>
        <w:rPr>
          <w:lang w:val="es"/>
        </w:rPr>
      </w:pPr>
      <w:r w:rsidRPr="00993D99">
        <w:rPr>
          <w:lang w:val="es"/>
        </w:rPr>
        <w:t>Por otro lado, se activó la Plataforma Alerta 348, que, si bien es una iniciativa de la sociedad civil, interactúa con el VIODyD y el SEPMUD, sobre todo cuando el Estado activa mesas técnicas o procesos participativos para reformar normativas, como ocurrió con las propuestas de modificación a la Ley 348. Así también, el VIODyD y el SEPMUD procesan demandas e informes técnicos que genera esta Plataforma.</w:t>
      </w:r>
    </w:p>
    <w:p w14:paraId="61AF886E" w14:textId="63BC42D7" w:rsidR="00993D99" w:rsidRPr="00993D99" w:rsidRDefault="009A132F" w:rsidP="009A132F">
      <w:pPr>
        <w:pStyle w:val="H23G"/>
        <w:rPr>
          <w:lang w:val="es"/>
        </w:rPr>
      </w:pPr>
      <w:r>
        <w:rPr>
          <w:lang w:val="es"/>
        </w:rPr>
        <w:tab/>
      </w:r>
      <w:r>
        <w:rPr>
          <w:lang w:val="es"/>
        </w:rPr>
        <w:tab/>
      </w:r>
      <w:r w:rsidR="00993D99" w:rsidRPr="00993D99">
        <w:rPr>
          <w:lang w:val="es"/>
        </w:rPr>
        <w:t>Panorama actual, datos y generación de datos</w:t>
      </w:r>
    </w:p>
    <w:p w14:paraId="2611DC26" w14:textId="2D8F1FA9" w:rsidR="00993D99" w:rsidRPr="00993D99" w:rsidRDefault="00993D99" w:rsidP="001A0D63">
      <w:pPr>
        <w:pStyle w:val="SingleTxtG"/>
        <w:numPr>
          <w:ilvl w:val="0"/>
          <w:numId w:val="17"/>
        </w:numPr>
        <w:ind w:left="1134" w:firstLine="0"/>
        <w:rPr>
          <w:lang w:val="es"/>
        </w:rPr>
      </w:pPr>
      <w:r w:rsidRPr="00993D99">
        <w:rPr>
          <w:lang w:val="es"/>
        </w:rPr>
        <w:t>A pesar de los avances, el Ministerio de Gobienro reporta un alto número de casos de violencia de género. El OBSCD registró 2.157 denuncias de abuso sexual contra mujeres en 2021, 2.882 (2022), 3.116 (2023), 2.999 (2024), y 1.996 (sept.2025). En cuanto a las denuncias de violación contra mujeres, el Observatorio registró 1.556 en 2021, 1.816 (2022), 2.175 (2023), 2.208 (2024), y 1.584 (sept. 2025)</w:t>
      </w:r>
      <w:r w:rsidRPr="00993D99">
        <w:rPr>
          <w:vertAlign w:val="superscript"/>
          <w:lang w:val="es"/>
        </w:rPr>
        <w:footnoteReference w:id="16"/>
      </w:r>
      <w:r w:rsidRPr="00993D99">
        <w:rPr>
          <w:lang w:val="es"/>
        </w:rPr>
        <w:t>.</w:t>
      </w:r>
    </w:p>
    <w:p w14:paraId="16375EC5" w14:textId="6A9AE507" w:rsidR="00993D99" w:rsidRPr="00993D99" w:rsidRDefault="00993D99" w:rsidP="001A0D63">
      <w:pPr>
        <w:pStyle w:val="SingleTxtG"/>
        <w:numPr>
          <w:ilvl w:val="0"/>
          <w:numId w:val="17"/>
        </w:numPr>
        <w:ind w:left="1134" w:firstLine="0"/>
        <w:rPr>
          <w:lang w:val="es"/>
        </w:rPr>
      </w:pPr>
      <w:r w:rsidRPr="00993D99">
        <w:rPr>
          <w:lang w:val="es"/>
        </w:rPr>
        <w:t>En el caso de denuncias de violación a niñas o adolescente mujer, en el primer semestre del 2025 se registraron 864. El mismo año, durante el primer semestre, se registraron 741 denuncias de estupro a víctimas mujeres. Las violencias de acoso sexual durante el primer semestre del 2025 fueron 47. Las denuncias por pornografía con víctimas mujeres durante el primer semestre del 2025 fueron 60. Finalmente, las denuncias por proxenetismo fueron 17 durante el primer semestre del 2025</w:t>
      </w:r>
      <w:r w:rsidRPr="00993D99">
        <w:rPr>
          <w:vertAlign w:val="superscript"/>
          <w:lang w:val="es"/>
        </w:rPr>
        <w:footnoteReference w:id="17"/>
      </w:r>
      <w:r w:rsidRPr="00993D99">
        <w:rPr>
          <w:lang w:val="es"/>
        </w:rPr>
        <w:t>.</w:t>
      </w:r>
    </w:p>
    <w:p w14:paraId="653B718C" w14:textId="4E318179" w:rsidR="00993D99" w:rsidRPr="00993D99" w:rsidRDefault="00993D99" w:rsidP="001A0D63">
      <w:pPr>
        <w:pStyle w:val="SingleTxtG"/>
        <w:numPr>
          <w:ilvl w:val="0"/>
          <w:numId w:val="17"/>
        </w:numPr>
        <w:ind w:left="1134" w:firstLine="0"/>
        <w:rPr>
          <w:lang w:val="es"/>
        </w:rPr>
      </w:pPr>
      <w:r w:rsidRPr="00993D99">
        <w:rPr>
          <w:lang w:val="es"/>
        </w:rPr>
        <w:t>Los feminicidios disminuyeron paulatinamente, de 130 casos en 2018, 2019: 117, 2020: 113, 2021: 108, 2022: 95, 2023: 81, 2024: 84, 2025: 81. No obstante, el índice de feminicidios en el país continúa siendo alto, los casos presentan niveles de violencia cada vez más agudos, y solo el 42,81% de los casos ha obtenido sentencia</w:t>
      </w:r>
      <w:r w:rsidRPr="00993D99">
        <w:rPr>
          <w:vertAlign w:val="superscript"/>
          <w:lang w:val="es"/>
        </w:rPr>
        <w:footnoteReference w:id="18"/>
      </w:r>
      <w:r w:rsidRPr="00993D99">
        <w:rPr>
          <w:lang w:val="es"/>
        </w:rPr>
        <w:t>.</w:t>
      </w:r>
    </w:p>
    <w:p w14:paraId="347FFABA" w14:textId="73075534" w:rsidR="00993D99" w:rsidRPr="00993D99" w:rsidRDefault="00993D99" w:rsidP="001A0D63">
      <w:pPr>
        <w:pStyle w:val="SingleTxtG"/>
        <w:numPr>
          <w:ilvl w:val="0"/>
          <w:numId w:val="17"/>
        </w:numPr>
        <w:ind w:left="1134" w:firstLine="0"/>
        <w:rPr>
          <w:lang w:val="es"/>
        </w:rPr>
      </w:pPr>
      <w:r w:rsidRPr="00993D99">
        <w:rPr>
          <w:lang w:val="es"/>
        </w:rPr>
        <w:t>Según datos de la FGE, en los últimos 12 meses las denuncias de violencia sexual en las que las víctimas son mujeres entre 15 a 49 años de edad, ascienden a 1.600, siendo las más altas las de Santa Cruz (581 casos) y La Paz (359 casos). Esta misma instancia estatal, indica que en los últimos 12 meses hubo 25.379 casos de violencia física a mujeres entre 15 a 49 años, con más de ocho mil casos en Santa Cruz y más de seis mil en La Paz</w:t>
      </w:r>
      <w:r w:rsidRPr="00993D99">
        <w:rPr>
          <w:vertAlign w:val="superscript"/>
          <w:lang w:val="es"/>
        </w:rPr>
        <w:footnoteReference w:id="19"/>
      </w:r>
      <w:r w:rsidRPr="00993D99">
        <w:rPr>
          <w:lang w:val="es"/>
        </w:rPr>
        <w:t>.</w:t>
      </w:r>
    </w:p>
    <w:p w14:paraId="2CC27681" w14:textId="78F2C5B5" w:rsidR="00993D99" w:rsidRPr="00993D99" w:rsidRDefault="00993D99" w:rsidP="001A0D63">
      <w:pPr>
        <w:pStyle w:val="SingleTxtG"/>
        <w:numPr>
          <w:ilvl w:val="0"/>
          <w:numId w:val="17"/>
        </w:numPr>
        <w:ind w:left="1134" w:firstLine="0"/>
        <w:rPr>
          <w:lang w:val="es"/>
        </w:rPr>
      </w:pPr>
      <w:r w:rsidRPr="00993D99">
        <w:rPr>
          <w:lang w:val="es"/>
        </w:rPr>
        <w:t xml:space="preserve">La FGE registra de forma desagregada los casos de violencia contra mujeres indígenas originarias, campesinas y afrobolivianas. Entre 2019 y 2023 se registraron 875 denuncias de violencia amparadas en la Ley 348, las cuales afectaron a mujeres de 16 pueblos indígenas y </w:t>
      </w:r>
      <w:r w:rsidRPr="00993D99">
        <w:rPr>
          <w:lang w:val="es"/>
        </w:rPr>
        <w:lastRenderedPageBreak/>
        <w:t>al pueblo afroboliviano. Del total de casos, el 78% corresponde a víctimas auto identificadas como aymaras y el 13% pertenece a mujeres afrobolivianas</w:t>
      </w:r>
      <w:r w:rsidRPr="00993D99">
        <w:rPr>
          <w:vertAlign w:val="superscript"/>
          <w:lang w:val="es"/>
        </w:rPr>
        <w:footnoteReference w:id="20"/>
      </w:r>
      <w:r w:rsidRPr="00993D99">
        <w:rPr>
          <w:lang w:val="es"/>
        </w:rPr>
        <w:t>.</w:t>
      </w:r>
    </w:p>
    <w:p w14:paraId="3B4910E6" w14:textId="72A5F204" w:rsidR="00993D99" w:rsidRPr="00993D99" w:rsidRDefault="00993D99" w:rsidP="001A0D63">
      <w:pPr>
        <w:pStyle w:val="SingleTxtG"/>
        <w:numPr>
          <w:ilvl w:val="0"/>
          <w:numId w:val="17"/>
        </w:numPr>
        <w:ind w:left="1134" w:firstLine="0"/>
        <w:rPr>
          <w:lang w:val="es"/>
        </w:rPr>
      </w:pPr>
      <w:r w:rsidRPr="00993D99">
        <w:rPr>
          <w:lang w:val="es"/>
        </w:rPr>
        <w:t>En cumplimiento de los mandatos establecidos por la Ley 348 y Ley N° 1173 Ley de Abreviación Procesal Penal y de Fortalecimiento de la Lucha Integral contra la Violencia NNA y Mujeres, el Ministerio Público dispone de manera oficiosa e inmediata medidas de protección especiales en todos los casos, con sujetos procesales identificados. Estas medidas de protección incluyen desde ordenar la salida o desocupación del agresor del domicilio hasta la prohibición de comunicación y acercamiento con la víctima, las cuales se determinan de forma específica según el análisis de riesgo de cada caso.</w:t>
      </w:r>
    </w:p>
    <w:p w14:paraId="7D1A1FD1" w14:textId="208C1CBE" w:rsidR="00993D99" w:rsidRPr="00993D99" w:rsidRDefault="00993D99" w:rsidP="001A0D63">
      <w:pPr>
        <w:pStyle w:val="SingleTxtG"/>
        <w:numPr>
          <w:ilvl w:val="0"/>
          <w:numId w:val="17"/>
        </w:numPr>
        <w:ind w:left="1134" w:firstLine="0"/>
        <w:rPr>
          <w:lang w:val="es"/>
        </w:rPr>
      </w:pPr>
      <w:r w:rsidRPr="00993D99">
        <w:rPr>
          <w:lang w:val="es"/>
        </w:rPr>
        <w:t>Según datos de la Fiscalía, en los últimos 12 meses se otorgaron 38.432 medidas de protección, sobre todo en Santa Cruz (12.096) y La Paz (9.712)</w:t>
      </w:r>
      <w:r w:rsidRPr="00993D99">
        <w:rPr>
          <w:vertAlign w:val="superscript"/>
          <w:lang w:val="es"/>
        </w:rPr>
        <w:footnoteReference w:id="21"/>
      </w:r>
      <w:r w:rsidRPr="00993D99">
        <w:rPr>
          <w:lang w:val="es"/>
        </w:rPr>
        <w:t>. Durante la gestión 2025, se ejecutaron 2.802 detenciones preventivas por denuncias relacionadas a la Ley 348</w:t>
      </w:r>
      <w:r w:rsidRPr="00993D99">
        <w:rPr>
          <w:vertAlign w:val="superscript"/>
          <w:lang w:val="es"/>
        </w:rPr>
        <w:footnoteReference w:id="22"/>
      </w:r>
      <w:r w:rsidRPr="00993D99">
        <w:rPr>
          <w:lang w:val="es"/>
        </w:rPr>
        <w:t>.</w:t>
      </w:r>
    </w:p>
    <w:p w14:paraId="6E439414" w14:textId="338055D8" w:rsidR="00993D99" w:rsidRPr="00993D99" w:rsidRDefault="00993D99" w:rsidP="001A0D63">
      <w:pPr>
        <w:pStyle w:val="SingleTxtG"/>
        <w:numPr>
          <w:ilvl w:val="0"/>
          <w:numId w:val="17"/>
        </w:numPr>
        <w:ind w:left="1134" w:firstLine="0"/>
        <w:rPr>
          <w:lang w:val="es"/>
        </w:rPr>
      </w:pPr>
      <w:r w:rsidRPr="00993D99">
        <w:rPr>
          <w:lang w:val="es"/>
        </w:rPr>
        <w:t>La Ley 348 prevé la generación sistemática de información, estadísticas y mecanismos de seguimiento. Bolivia realizó la encuesta de “Prevalencia y Características de la Violencia contra las Mujeres” (INE, 2016). Desde el VIODyD se reconoce la importancia y la necesidad de actualizarla, por lo que se están realizando las gestiones para contar con el financiamiento y propuestas metodológicas.</w:t>
      </w:r>
    </w:p>
    <w:p w14:paraId="3194A68C" w14:textId="0CA4E122" w:rsidR="00993D99" w:rsidRPr="00993D99" w:rsidRDefault="00993D99" w:rsidP="001A0D63">
      <w:pPr>
        <w:pStyle w:val="SingleTxtG"/>
        <w:numPr>
          <w:ilvl w:val="0"/>
          <w:numId w:val="17"/>
        </w:numPr>
        <w:ind w:left="1134" w:firstLine="0"/>
        <w:rPr>
          <w:lang w:val="es"/>
        </w:rPr>
      </w:pPr>
      <w:r w:rsidRPr="00993D99">
        <w:rPr>
          <w:lang w:val="es"/>
        </w:rPr>
        <w:t>Por su parte, el VIODyD cuenta con el módulo RUV-SIPPASE para recabar los datos de denuncias de violencia en los municipios. Los artículos 4 y 9 del Reglamento de la Ley 348 determinan que el SIPPASE es el encargado de registrar, centralizar y producir los datos e indicadores oficiales sobre la violencia y el estado de situación de las mujeres en Bolivia. El financiamiento del SIPPASE está ligado al D.S. Nº 4012 que determina que gobernaciones y municipios deben destinar porcentajes obligatorios de los recursos del IDH a la lucha contra la violencia de género.</w:t>
      </w:r>
    </w:p>
    <w:p w14:paraId="2EC61643" w14:textId="18A54146" w:rsidR="00993D99" w:rsidRPr="00993D99" w:rsidRDefault="00993D99" w:rsidP="001A0D63">
      <w:pPr>
        <w:pStyle w:val="SingleTxtG"/>
        <w:numPr>
          <w:ilvl w:val="0"/>
          <w:numId w:val="17"/>
        </w:numPr>
        <w:ind w:left="1134" w:firstLine="0"/>
        <w:rPr>
          <w:lang w:val="es"/>
        </w:rPr>
      </w:pPr>
      <w:r w:rsidRPr="00993D99">
        <w:rPr>
          <w:lang w:val="es"/>
        </w:rPr>
        <w:t>En 2024, mediante R.M 142/2024, se implementó la fase piloto del módulo RUV-SIPASSE y se capacitó a personal público de los equipos multidisciplinarios de los SLIM en el uso de este módulo. En 2024 se capacitó a 611 personas del servicio público, de 220 municipios, y durante el 2025 a 561 de 173 municipios; fortaleciendo las capacidades institucionales para la atención, seguimiento y registro de casos de violencia</w:t>
      </w:r>
      <w:r w:rsidRPr="00993D99">
        <w:rPr>
          <w:vertAlign w:val="superscript"/>
          <w:lang w:val="es"/>
        </w:rPr>
        <w:footnoteReference w:id="23"/>
      </w:r>
      <w:r w:rsidRPr="00993D99">
        <w:rPr>
          <w:lang w:val="es"/>
        </w:rPr>
        <w:t>.</w:t>
      </w:r>
    </w:p>
    <w:p w14:paraId="0050D42C" w14:textId="00B69230" w:rsidR="00993D99" w:rsidRPr="00993D99" w:rsidRDefault="00993D99" w:rsidP="001A0D63">
      <w:pPr>
        <w:pStyle w:val="SingleTxtG"/>
        <w:numPr>
          <w:ilvl w:val="0"/>
          <w:numId w:val="17"/>
        </w:numPr>
        <w:ind w:left="1134" w:firstLine="0"/>
        <w:rPr>
          <w:lang w:val="es"/>
        </w:rPr>
      </w:pPr>
      <w:r w:rsidRPr="00993D99">
        <w:rPr>
          <w:lang w:val="es"/>
        </w:rPr>
        <w:t>A su vez, otras instituciones estatales recaban, analizan y publican datos sobre el número de denuncias de violencia de género, como la FGE, la FELCV, y el MG, que, a través del OBSCD, desarrolla constantes estudios que permiten mejorar el proceso de formulación de políticas públicas.</w:t>
      </w:r>
    </w:p>
    <w:p w14:paraId="37E84891" w14:textId="7F947361" w:rsidR="00993D99" w:rsidRPr="00993D99" w:rsidRDefault="009A132F" w:rsidP="009A132F">
      <w:pPr>
        <w:pStyle w:val="H23G"/>
        <w:rPr>
          <w:lang w:val="es"/>
        </w:rPr>
      </w:pPr>
      <w:r>
        <w:rPr>
          <w:lang w:val="es"/>
        </w:rPr>
        <w:tab/>
      </w:r>
      <w:r>
        <w:rPr>
          <w:lang w:val="es"/>
        </w:rPr>
        <w:tab/>
      </w:r>
      <w:r w:rsidR="00993D99" w:rsidRPr="00993D99">
        <w:rPr>
          <w:lang w:val="es"/>
        </w:rPr>
        <w:t>Aparato judicial de lucha contra la violencia</w:t>
      </w:r>
    </w:p>
    <w:p w14:paraId="6534BF70" w14:textId="270B2C01" w:rsidR="00993D99" w:rsidRPr="00993D99" w:rsidRDefault="00993D99" w:rsidP="001A0D63">
      <w:pPr>
        <w:pStyle w:val="SingleTxtG"/>
        <w:numPr>
          <w:ilvl w:val="0"/>
          <w:numId w:val="17"/>
        </w:numPr>
        <w:ind w:left="1134" w:firstLine="0"/>
        <w:rPr>
          <w:lang w:val="es"/>
        </w:rPr>
      </w:pPr>
      <w:r w:rsidRPr="00993D99">
        <w:rPr>
          <w:lang w:val="es"/>
        </w:rPr>
        <w:t>Para enfrentar la violencia de género, el Ministerio Público dispone de 28 Fiscalías Especializadas de Delitos en Razón de Género en todo el país, además de oficinas en los municipios con mayor incidencia en estos delitos. En los asientos fiscales ubicados en provincias, la competencia es mixta, es decir que la atención de causas de violencia se procesa junto con otros delitos.</w:t>
      </w:r>
    </w:p>
    <w:p w14:paraId="33A10EF8" w14:textId="0F79930D" w:rsidR="00993D99" w:rsidRPr="00993D99" w:rsidRDefault="00993D99" w:rsidP="001A0D63">
      <w:pPr>
        <w:pStyle w:val="SingleTxtG"/>
        <w:numPr>
          <w:ilvl w:val="0"/>
          <w:numId w:val="17"/>
        </w:numPr>
        <w:ind w:left="1134" w:firstLine="0"/>
        <w:rPr>
          <w:lang w:val="es"/>
        </w:rPr>
      </w:pPr>
      <w:r w:rsidRPr="00993D99">
        <w:rPr>
          <w:lang w:val="es"/>
        </w:rPr>
        <w:t>El Ministerio Público reporta que, a mediados de 2025, el país cuenta con 673 fiscales de materia, de los cuales 286 son mujeres y 387 hombres. Asimismo, señala que existen 28 acefalias u oficinas fiscales que no cuentan con la asignación de fiscales titulares, o las mismas fungen bajo suplencias. Respecto a la cantidad de fiscales especializados en razón de género, la FGE reporta los siguientes datos: en 2020: 49 mujeres y 32 hombres; en 2021: 48 mujeres y 33 hombres; en 2022: 49 mujeres y 38 hombres; en 2023: 47 mujeres y 32 hombres; en 2024: 54 mujeres y 38 hombres; y en 2025: 51 mujeres y 39 hombres</w:t>
      </w:r>
      <w:r w:rsidRPr="00993D99">
        <w:rPr>
          <w:vertAlign w:val="superscript"/>
          <w:lang w:val="es"/>
        </w:rPr>
        <w:footnoteReference w:id="24"/>
      </w:r>
      <w:r w:rsidRPr="00993D99">
        <w:rPr>
          <w:lang w:val="es"/>
        </w:rPr>
        <w:t xml:space="preserve">. Es preciso destacar </w:t>
      </w:r>
      <w:r w:rsidRPr="00993D99">
        <w:rPr>
          <w:lang w:val="es"/>
        </w:rPr>
        <w:lastRenderedPageBreak/>
        <w:t>la presencia mayoritaria de fiscales mujeres entre las destinadas a la atención de delitos en razón de género, siendo esto una constante desde la gestión 2020.</w:t>
      </w:r>
    </w:p>
    <w:p w14:paraId="44C80D6B" w14:textId="0E60DC20" w:rsidR="00993D99" w:rsidRPr="00993D99" w:rsidRDefault="00993D99" w:rsidP="001A0D63">
      <w:pPr>
        <w:pStyle w:val="SingleTxtG"/>
        <w:numPr>
          <w:ilvl w:val="0"/>
          <w:numId w:val="17"/>
        </w:numPr>
        <w:ind w:left="1134" w:firstLine="0"/>
        <w:rPr>
          <w:lang w:val="es"/>
        </w:rPr>
      </w:pPr>
      <w:r w:rsidRPr="00993D99">
        <w:rPr>
          <w:lang w:val="es"/>
        </w:rPr>
        <w:t>Según el anuario presentado por el CM, entre 2019 y 2021 se tiene un total de 924 juzgados a nivel nacional, 1.009 juzgados en el mismo nivel para el 2022, y 1.051 juzgados en Bolivia para el 2023. De estos últimos, el espacio clasificado para la materia concerniente a la atención de casos de violencia de género es la materia penal, respecto de los cuales se tiene: 32 tribunales de sentencia penal, anticorrupción y contra la violencia hacia la mujer, 118 juzgados de sentencia penal anticorrupción y violencia contra la mujer, y 108 juzgados de instrucción penal anticorrupción y contra la violencia hacia la mujer, datos contemplados a nivel nacional. De estos, 166 son juzgados de provincia, categoría destinada a sentar presencia del OJ en territorio disperso y/o rural, bajo la figura de juzgados mixtos y/o de Instrucción penal anticorrupción y contra la violencia hacia las mujeres</w:t>
      </w:r>
      <w:r w:rsidRPr="00993D99">
        <w:rPr>
          <w:vertAlign w:val="superscript"/>
          <w:lang w:val="es"/>
        </w:rPr>
        <w:footnoteReference w:id="25"/>
      </w:r>
      <w:r w:rsidRPr="00993D99">
        <w:rPr>
          <w:lang w:val="es"/>
        </w:rPr>
        <w:t>.</w:t>
      </w:r>
    </w:p>
    <w:p w14:paraId="49B7AD18" w14:textId="7C0D570D" w:rsidR="00993D99" w:rsidRPr="00993D99" w:rsidRDefault="00993D99" w:rsidP="001A0D63">
      <w:pPr>
        <w:pStyle w:val="SingleTxtG"/>
        <w:numPr>
          <w:ilvl w:val="0"/>
          <w:numId w:val="17"/>
        </w:numPr>
        <w:ind w:left="1134" w:firstLine="0"/>
        <w:rPr>
          <w:lang w:val="es"/>
        </w:rPr>
      </w:pPr>
      <w:r w:rsidRPr="00993D99">
        <w:rPr>
          <w:lang w:val="es"/>
        </w:rPr>
        <w:t>A pesar de los avances logrados, los datos muestran que es necesario contar con un mayor número de juzgados de instrucción especializados en provincias, en proporción a la densidad poblacional del lugar y al porcentaje de denuncias.</w:t>
      </w:r>
    </w:p>
    <w:p w14:paraId="267848CA" w14:textId="5BB2A7A2" w:rsidR="00993D99" w:rsidRPr="00993D99" w:rsidRDefault="00B4153B" w:rsidP="009A132F">
      <w:pPr>
        <w:pStyle w:val="H23G"/>
        <w:rPr>
          <w:lang w:val="es"/>
        </w:rPr>
      </w:pPr>
      <w:r>
        <w:rPr>
          <w:lang w:val="es"/>
        </w:rPr>
        <w:tab/>
      </w:r>
      <w:r>
        <w:rPr>
          <w:lang w:val="es"/>
        </w:rPr>
        <w:tab/>
      </w:r>
      <w:r w:rsidR="00993D99" w:rsidRPr="00993D99">
        <w:rPr>
          <w:lang w:val="es"/>
        </w:rPr>
        <w:t>Modificación de los artículos 308 y 309 del código penal</w:t>
      </w:r>
    </w:p>
    <w:p w14:paraId="6F8D2367" w14:textId="451C15F3" w:rsidR="00993D99" w:rsidRPr="00993D99" w:rsidRDefault="00993D99" w:rsidP="001A0D63">
      <w:pPr>
        <w:pStyle w:val="SingleTxtG"/>
        <w:numPr>
          <w:ilvl w:val="0"/>
          <w:numId w:val="17"/>
        </w:numPr>
        <w:ind w:left="1134" w:firstLine="0"/>
        <w:rPr>
          <w:lang w:val="es"/>
        </w:rPr>
      </w:pPr>
      <w:r w:rsidRPr="00993D99">
        <w:rPr>
          <w:lang w:val="es"/>
        </w:rPr>
        <w:t xml:space="preserve">La recomendación referida a la modificación de los artículos 308 (Violación) y 309 (Estupro) del Código Penal Boliviano, fue respondida inicialmente a través del informe de Estado presentado al Comité en julio de 2024 </w:t>
      </w:r>
      <w:hyperlink r:id="rId12">
        <w:r w:rsidRPr="00993D99">
          <w:rPr>
            <w:rStyle w:val="Hyperlink"/>
            <w:lang w:val="es"/>
          </w:rPr>
          <w:t>(CEDAW/C/BOL/FCO/7)</w:t>
        </w:r>
      </w:hyperlink>
      <w:r w:rsidRPr="00993D99">
        <w:rPr>
          <w:lang w:val="es"/>
        </w:rPr>
        <w:t>. Este documento dejó constancia del tratamiento del tema en la Asamblea Legislativa a través del Proyecto de Ley 376/23, destinado a fortalecer mecanismos integrales para la atención de mujeres en situación de violencia; sin embargo, la iniciativa fue archivada. En 2023 la DPB interpuso un recurso de Acción de Inconstitucionalidad Abstracta argumentando contradicciones con los Derechos Fundamentales (art. 15. II y III) y Garantías Jurisdiccionales (art. 115. I y II) de la CPE. Dicho recurso fue admitido mediante Auto Constitucional 0441/2023-CA, cuya resolución definitiva se encuentra pendiente. Los antecedentes legislativos de esta reforma penal tienen su origen en la legislatura 2023-2024 con la propuesta del Proyecto de Ley Nº 010/2023-2024 orientado al cumplimiento de compromisos internacionales en materia de derechos humanos. El 6 de diciembre de 2024, la presidencia de la Cámara de Diputados remitió a la Comisión de Derechos Humanos los siguientes Proyectos de Ley: PL – N° 010/2023-2024 Proyecto “De incorporación del tipo penal de violación incestuosa, eliminación del estupro y reconocimiento de la falta de consentimiento como elemento constitutivo del delito de la violación para garantizar el acceso a la justicia” y el Proyecto de Ley N° 102/2024-2025 para la “Protección reforzada para infantes, niñas, niños y adolescentes”, propuesto por el Órgano Ejecutivo, el 11 de diciembre de 2024.</w:t>
      </w:r>
    </w:p>
    <w:p w14:paraId="14942533" w14:textId="43ECAE0D" w:rsidR="00993D99" w:rsidRPr="00993D99" w:rsidRDefault="00993D99" w:rsidP="001A0D63">
      <w:pPr>
        <w:pStyle w:val="SingleTxtG"/>
        <w:numPr>
          <w:ilvl w:val="0"/>
          <w:numId w:val="17"/>
        </w:numPr>
        <w:ind w:left="1134" w:firstLine="0"/>
        <w:rPr>
          <w:lang w:val="es"/>
        </w:rPr>
      </w:pPr>
      <w:r w:rsidRPr="00993D99">
        <w:rPr>
          <w:lang w:val="es"/>
        </w:rPr>
        <w:t>Ambos Proyectos fueron unificados, quedando como PL CS - N° 010/2023-2024 C.S. “Para fortalecer el acceso a la justicia a víctimas del delito de infanticidio y delitos contra la libertad sexual”. En 2025, la propuesta fue ajustada en diferentes reuniones técnicas de la Comisión de Derechos Humanos, hasta el 25 de septiembre de 2025. El Proyecto de Ley PL CS - N° 010/2023-2024 C.S. fue ajustado con la finalidad de fortalecer el acceso a la justicia a víctimas del delito de infanticidio y delitos contra la libertad sexual, y tiene por objeto modificar el Código Penal elevado a rango de Ley por la Ley N° 1768, estableciendo modificaciones al delito de Infanticidio y los delitos previstos en el Título XI “Delitos Contra la Libertad Sexual”, modificar la Ley N° 1970 Código de Procedimiento Penal, declarando la imprescriptibilidad tanto en la acción como en la pena de estos delitos, y crear mecanismos para el esclarecimiento de la verdad sobre los hechos contra la libertad sexual cometidos en contra de Infantes, NNA, que hubieran prescrito.</w:t>
      </w:r>
    </w:p>
    <w:p w14:paraId="1263D5E5" w14:textId="07DC2CEA" w:rsidR="00993D99" w:rsidRPr="00993D99" w:rsidRDefault="00993D99" w:rsidP="001A0D63">
      <w:pPr>
        <w:pStyle w:val="SingleTxtG"/>
        <w:numPr>
          <w:ilvl w:val="0"/>
          <w:numId w:val="17"/>
        </w:numPr>
        <w:ind w:left="1134" w:firstLine="0"/>
        <w:rPr>
          <w:lang w:val="es"/>
        </w:rPr>
      </w:pPr>
      <w:r w:rsidRPr="00993D99">
        <w:rPr>
          <w:lang w:val="es"/>
        </w:rPr>
        <w:t xml:space="preserve">El 16 de octubre de 2025, la presidenta de la Comisión de Derechos Humanos socializó el PL CS - N° 010/2023-2024 C.S., la propuesta contemplaba algunas modificaciones a artículos del Código Penal, para garantizar una respuesta judicial más efectiva ante delitos sexuales, especialmente los cometidos contra NNA. En ese marco, se incluye la tipificación de la violación incestuosa, una figura que sanciona con mayor </w:t>
      </w:r>
      <w:r w:rsidRPr="00993D99">
        <w:rPr>
          <w:lang w:val="es"/>
        </w:rPr>
        <w:lastRenderedPageBreak/>
        <w:t>severidad los abusos cometidos dentro del entorno familiar, reconociendo la especial vulnerabilidad de las víctimas. Asimismo, se plantea la eliminación del estupro como atenuante en casos de violación, lo que representa un avance en la lucha contra la impunidad. El Proyecto de Ley quedó pendiente de su tratamiento en la 22ª Sesión Ordinaria de la Comisión de Derechos Humanos, del 22 de octubre de 2025, posteriormente fue archivado.</w:t>
      </w:r>
    </w:p>
    <w:p w14:paraId="1B1166CB" w14:textId="2AF66961" w:rsidR="00993D99" w:rsidRPr="00993D99" w:rsidRDefault="00993D99" w:rsidP="001A0D63">
      <w:pPr>
        <w:pStyle w:val="SingleTxtG"/>
        <w:numPr>
          <w:ilvl w:val="0"/>
          <w:numId w:val="17"/>
        </w:numPr>
        <w:ind w:left="1134" w:firstLine="0"/>
        <w:rPr>
          <w:lang w:val="es"/>
        </w:rPr>
      </w:pPr>
      <w:r w:rsidRPr="00993D99">
        <w:rPr>
          <w:lang w:val="es"/>
        </w:rPr>
        <w:t>En la gestión 2026, el Proyecto de Ley N° 010 fue repuesto y reactivado formalmente para la gestión legislativa actual. Este proceso es trabajado de manera conjunta en la Cámara de Diputados con la presidencia de la Comisión de Derechos Humanos y se encuentra en etapa de socialización y debate en mesas técnicas dentro de esta Cámara. Los conflictos sociales de esta gestión han pausado sus avances. Será importante retomar a la brevedad posible todo lo avanzado hasta el momento para que el país pueda cumplir con sus compromisos internacionales y con las víctimas.</w:t>
      </w:r>
    </w:p>
    <w:p w14:paraId="05A140DB" w14:textId="640980DD" w:rsidR="00993D99" w:rsidRPr="00993D99" w:rsidRDefault="00B4153B" w:rsidP="00B4153B">
      <w:pPr>
        <w:pStyle w:val="H23G"/>
        <w:rPr>
          <w:lang w:val="es"/>
        </w:rPr>
      </w:pPr>
      <w:r>
        <w:rPr>
          <w:lang w:val="es"/>
        </w:rPr>
        <w:tab/>
      </w:r>
      <w:r>
        <w:rPr>
          <w:lang w:val="es"/>
        </w:rPr>
        <w:tab/>
      </w:r>
      <w:r w:rsidR="00993D99" w:rsidRPr="00993D99">
        <w:rPr>
          <w:lang w:val="es"/>
        </w:rPr>
        <w:t xml:space="preserve">Fomento de la denuncia y prevención de la violencia </w:t>
      </w:r>
    </w:p>
    <w:p w14:paraId="1641D380" w14:textId="5427F3E5" w:rsidR="00993D99" w:rsidRPr="00993D99" w:rsidRDefault="00993D99" w:rsidP="001A0D63">
      <w:pPr>
        <w:pStyle w:val="SingleTxtG"/>
        <w:numPr>
          <w:ilvl w:val="0"/>
          <w:numId w:val="17"/>
        </w:numPr>
        <w:ind w:left="1134" w:firstLine="0"/>
        <w:rPr>
          <w:lang w:val="es"/>
        </w:rPr>
      </w:pPr>
      <w:r w:rsidRPr="00993D99">
        <w:rPr>
          <w:lang w:val="es"/>
        </w:rPr>
        <w:t>La recomendación concerniente al fomento de la denuncia de hechos de violencia de género contra mujeres y niñas es abordada a partir de mecanismos operativos y formativos. Entre ellos destaca la creación de comités de seguimiento, surgidos de convenios entre el CM y el TSJ, los cuales han ejecutado procesos de concientización, capacitación y desarrollo de campañas. Como ejemplo, se tienen procesos de capacitación en la materia en distintos departamentos del oriente, y la participación en comités de seguimiento y fiscalización judicial en juzgados a través de procesos particulares</w:t>
      </w:r>
      <w:r w:rsidRPr="00993D99">
        <w:rPr>
          <w:vertAlign w:val="superscript"/>
          <w:lang w:val="es"/>
        </w:rPr>
        <w:footnoteReference w:id="26"/>
      </w:r>
      <w:r w:rsidRPr="00993D99">
        <w:rPr>
          <w:lang w:val="es"/>
        </w:rPr>
        <w:t>.</w:t>
      </w:r>
    </w:p>
    <w:p w14:paraId="765B82FA" w14:textId="7A13A24A" w:rsidR="00993D99" w:rsidRPr="00993D99" w:rsidRDefault="00993D99" w:rsidP="001A0D63">
      <w:pPr>
        <w:pStyle w:val="SingleTxtG"/>
        <w:numPr>
          <w:ilvl w:val="0"/>
          <w:numId w:val="17"/>
        </w:numPr>
        <w:ind w:left="1134" w:firstLine="0"/>
        <w:rPr>
          <w:lang w:val="es"/>
        </w:rPr>
      </w:pPr>
      <w:r w:rsidRPr="00993D99">
        <w:rPr>
          <w:lang w:val="es"/>
        </w:rPr>
        <w:t>En lo referente a prevención, la EGPP desarrolla el “Curso de Prevención de la Violencia en el marco de la Ley 348”. Entre el año 2022 y septiembre de 2025, se capacitaron a 66.622 personas, de las cuales 35.970 fueron varones y 30.652 mujeres: 17.666 personas capacitadas para el 2022, 19.399 personas capacitadas para el 2023, 17.967 personas capacitadas para el 2024, y 11.590 personas capacitadas a septiembre de 2025</w:t>
      </w:r>
      <w:r w:rsidRPr="00993D99">
        <w:rPr>
          <w:vertAlign w:val="superscript"/>
          <w:lang w:val="es"/>
        </w:rPr>
        <w:footnoteReference w:id="27"/>
      </w:r>
      <w:r w:rsidRPr="00993D99">
        <w:rPr>
          <w:lang w:val="es"/>
        </w:rPr>
        <w:t>. Estos datos dan cuenta del continuo fomento de la prevención de la violencia y la viabilización de la denuncia.</w:t>
      </w:r>
    </w:p>
    <w:p w14:paraId="2FBCBAD7" w14:textId="30733E62" w:rsidR="00993D99" w:rsidRPr="00993D99" w:rsidRDefault="00B4153B" w:rsidP="00B4153B">
      <w:pPr>
        <w:pStyle w:val="H23G"/>
        <w:rPr>
          <w:lang w:val="es"/>
        </w:rPr>
      </w:pPr>
      <w:r>
        <w:rPr>
          <w:lang w:val="es"/>
        </w:rPr>
        <w:tab/>
      </w:r>
      <w:r>
        <w:rPr>
          <w:lang w:val="es"/>
        </w:rPr>
        <w:tab/>
      </w:r>
      <w:r w:rsidR="00993D99" w:rsidRPr="00993D99">
        <w:rPr>
          <w:lang w:val="es"/>
        </w:rPr>
        <w:t>Eliminación de estereotipos de género discriminatorios</w:t>
      </w:r>
    </w:p>
    <w:p w14:paraId="7658940F" w14:textId="48D59351" w:rsidR="00993D99" w:rsidRPr="00993D99" w:rsidRDefault="00993D99" w:rsidP="001A0D63">
      <w:pPr>
        <w:pStyle w:val="SingleTxtG"/>
        <w:numPr>
          <w:ilvl w:val="0"/>
          <w:numId w:val="17"/>
        </w:numPr>
        <w:ind w:left="1134" w:firstLine="0"/>
        <w:rPr>
          <w:lang w:val="es"/>
        </w:rPr>
      </w:pPr>
      <w:r w:rsidRPr="00993D99">
        <w:rPr>
          <w:lang w:val="es"/>
        </w:rPr>
        <w:t>Mediante el D.S. N° 4650 se instruyó a todas las carteras del Estado a asignar presupuesto específico para campañas comunicacionales orientadas a romper lógicas coloniales y machistas. Asimismo, entre 2023 y 2024, el VIODyD impulsó la campaña de corresponsabilidad “Aprender a Cuidar”, mediante campañas masivas en medios audiovisuales enfocadas en desmontar el estereotipo del “hombre proveedor”, promoviendo la crianza compartida y las nuevas masculinidades.</w:t>
      </w:r>
    </w:p>
    <w:p w14:paraId="3F34E801" w14:textId="358F9353" w:rsidR="00993D99" w:rsidRPr="00993D99" w:rsidRDefault="00993D99" w:rsidP="001A0D63">
      <w:pPr>
        <w:pStyle w:val="SingleTxtG"/>
        <w:numPr>
          <w:ilvl w:val="0"/>
          <w:numId w:val="17"/>
        </w:numPr>
        <w:ind w:left="1134" w:firstLine="0"/>
        <w:rPr>
          <w:lang w:val="es"/>
        </w:rPr>
      </w:pPr>
      <w:r w:rsidRPr="00993D99">
        <w:rPr>
          <w:lang w:val="es"/>
        </w:rPr>
        <w:t>En 2023, el Ministerio de la Presidencia y el ME implementaron en redes sociales la estrategia comunicacional del Torneo Nacional de Ajedrez “Jaque Mate a la Violencia”, con la participación de 38.965 niñas y adolescentes, orientada a cuestionar estereotipos y preconceptos sobre deportes o profesiones consideradas exclusivas para hombres. Asimismo, entre 2023 y 2025, ONU Mujeres y la empresa estatal Mi Teleférico desarrollaron la iniciativa “Mujeres y Niñas Extremas”, destinada a desafiar modelos tradicionales mediante la difusión de historias, videos y fotografías de mujeres bolivianas que rompieron estereotipos de género en estaciones del teleférico y otros espacios urbanos del país; además, elaboraron un cómic anual con historias gráficas de estas mujeres</w:t>
      </w:r>
      <w:r w:rsidRPr="00993D99">
        <w:rPr>
          <w:vertAlign w:val="superscript"/>
          <w:lang w:val="es"/>
        </w:rPr>
        <w:footnoteReference w:id="28"/>
      </w:r>
      <w:r w:rsidRPr="00993D99">
        <w:rPr>
          <w:lang w:val="es"/>
        </w:rPr>
        <w:t>.</w:t>
      </w:r>
    </w:p>
    <w:p w14:paraId="6BB53F35" w14:textId="1D8DC44A" w:rsidR="00993D99" w:rsidRPr="00993D99" w:rsidRDefault="00993D99" w:rsidP="001A0D63">
      <w:pPr>
        <w:pStyle w:val="SingleTxtG"/>
        <w:numPr>
          <w:ilvl w:val="0"/>
          <w:numId w:val="17"/>
        </w:numPr>
        <w:ind w:left="1134" w:firstLine="0"/>
        <w:rPr>
          <w:lang w:val="es"/>
        </w:rPr>
      </w:pPr>
      <w:r w:rsidRPr="00993D99">
        <w:rPr>
          <w:lang w:val="es"/>
        </w:rPr>
        <w:t>El 2024 y 2025 AGETIC y ONU Mujeres lanzaron la campaña “Foco en la Violencia Digital”, para alertar a la juventud sobre el ciberacoso y la proliferación de comunidades virtuales radicalizadas como la “manosfera”.</w:t>
      </w:r>
    </w:p>
    <w:p w14:paraId="2346D415" w14:textId="26E512BB" w:rsidR="00993D99" w:rsidRPr="00993D99" w:rsidRDefault="00B4153B" w:rsidP="00B4153B">
      <w:pPr>
        <w:pStyle w:val="H23G"/>
        <w:rPr>
          <w:lang w:val="es"/>
        </w:rPr>
      </w:pPr>
      <w:r>
        <w:rPr>
          <w:lang w:val="es"/>
        </w:rPr>
        <w:lastRenderedPageBreak/>
        <w:tab/>
      </w:r>
      <w:r>
        <w:rPr>
          <w:lang w:val="es"/>
        </w:rPr>
        <w:tab/>
      </w:r>
      <w:r w:rsidR="00993D99" w:rsidRPr="00993D99">
        <w:rPr>
          <w:lang w:val="es"/>
        </w:rPr>
        <w:t>Violencia de género en entornos tecnológicos</w:t>
      </w:r>
    </w:p>
    <w:p w14:paraId="6F42FEF8" w14:textId="33428617" w:rsidR="00993D99" w:rsidRPr="00993D99" w:rsidRDefault="00993D99" w:rsidP="001A0D63">
      <w:pPr>
        <w:pStyle w:val="SingleTxtG"/>
        <w:numPr>
          <w:ilvl w:val="0"/>
          <w:numId w:val="17"/>
        </w:numPr>
        <w:ind w:left="1134" w:firstLine="0"/>
        <w:rPr>
          <w:lang w:val="es"/>
        </w:rPr>
      </w:pPr>
      <w:r w:rsidRPr="00993D99">
        <w:rPr>
          <w:lang w:val="es"/>
        </w:rPr>
        <w:t>La Ley 348 no contempla la violencia en entornos tecnológicos, cuando fue promulgada, esta forma de violencia todavía no estaba plenamente identificada, ni comprendida en el país. No obstante, con el transcurso de los años se hace evidente que esta es una de las formas de violencia que más afectan a mujeres, niñas y adolescentes.</w:t>
      </w:r>
    </w:p>
    <w:p w14:paraId="783C6C06" w14:textId="61833367" w:rsidR="00993D99" w:rsidRPr="00993D99" w:rsidRDefault="00993D99" w:rsidP="001A0D63">
      <w:pPr>
        <w:pStyle w:val="SingleTxtG"/>
        <w:numPr>
          <w:ilvl w:val="0"/>
          <w:numId w:val="17"/>
        </w:numPr>
        <w:ind w:left="1134" w:firstLine="0"/>
        <w:rPr>
          <w:lang w:val="es"/>
        </w:rPr>
      </w:pPr>
      <w:r w:rsidRPr="00993D99">
        <w:rPr>
          <w:lang w:val="es"/>
        </w:rPr>
        <w:t>Bolivia aún carece de una normativa específica que aborde de manera integral la violencia de género facilitada por la tecnología contra personas adultas. En los hechos, las mujeres que enfrentan estas formas de violencia deben recurrir a tipos penales diseñados para contextos distintos, realizando complejos esfuerzos de interpretación jurídica para que sus casos puedan ser atendidos. Esta situación genera obstáculos para el acceso a la justicia para las mujeres y se ve agravada por la ausencia de protocolos especializados, rutas de atención e investigación claras.</w:t>
      </w:r>
    </w:p>
    <w:p w14:paraId="41090CCE" w14:textId="5E7BA950" w:rsidR="00993D99" w:rsidRPr="00993D99" w:rsidRDefault="00993D99" w:rsidP="001A0D63">
      <w:pPr>
        <w:pStyle w:val="SingleTxtG"/>
        <w:numPr>
          <w:ilvl w:val="0"/>
          <w:numId w:val="17"/>
        </w:numPr>
        <w:ind w:left="1134" w:firstLine="0"/>
        <w:rPr>
          <w:lang w:val="es"/>
        </w:rPr>
      </w:pPr>
      <w:r w:rsidRPr="00993D99">
        <w:rPr>
          <w:lang w:val="es"/>
        </w:rPr>
        <w:t>Un avance significativo en esta materia es la promulgación de la Ley Nº 1636 de Protección de la Integridad Sexual de NNA en Entornos Digitales en 2025, que establece mecanismos para prevenir, identificar, investigar y sancionar los delitos cometidos contra la integridad sexual de NNA mediante el uso de tecnologías de la información y la comunicación. Esta norma amplió el marco de acción frente a delitos cometidos a través de redes sociales que previamente solo se enmarcaban en el delito de pornografía. Entre septiembre de 2025 y abril de 2026 la Fiscalía registró 148 casos delitos cometidos contra la integridad sexual de NNA mediante el uso de TICs.</w:t>
      </w:r>
    </w:p>
    <w:p w14:paraId="133D0099" w14:textId="21787D1B" w:rsidR="00993D99" w:rsidRPr="00993D99" w:rsidRDefault="00993D99" w:rsidP="001A0D63">
      <w:pPr>
        <w:pStyle w:val="SingleTxtG"/>
        <w:numPr>
          <w:ilvl w:val="0"/>
          <w:numId w:val="17"/>
        </w:numPr>
        <w:ind w:left="1134" w:firstLine="0"/>
        <w:rPr>
          <w:lang w:val="es"/>
        </w:rPr>
      </w:pPr>
      <w:r w:rsidRPr="00993D99">
        <w:rPr>
          <w:lang w:val="es"/>
        </w:rPr>
        <w:t>En 2026, el VIODyD junto con organizaciones de sociedad civil y la Cámara de Diputados, organizaron un evento de intercambio y diálogo entre representantes estatales y de la sociedad civil para la construcción participativa de un Proyecto de Ley de Violencia Digital. El evento se articuló en el marco del MESECVI y de la Ley Modelo Interamericana para Prevenir, Sancionar y Erradicar la Violencia Digital contra las Mujeres.</w:t>
      </w:r>
    </w:p>
    <w:p w14:paraId="264CA52E" w14:textId="6E61FC32" w:rsidR="00993D99" w:rsidRPr="00993D99" w:rsidRDefault="00993D99" w:rsidP="001A0D63">
      <w:pPr>
        <w:pStyle w:val="SingleTxtG"/>
        <w:numPr>
          <w:ilvl w:val="0"/>
          <w:numId w:val="17"/>
        </w:numPr>
        <w:ind w:left="1134" w:firstLine="0"/>
        <w:rPr>
          <w:lang w:val="es"/>
        </w:rPr>
      </w:pPr>
      <w:r w:rsidRPr="00993D99">
        <w:rPr>
          <w:lang w:val="es"/>
        </w:rPr>
        <w:t>El mismo año, el VIODyD junto organizaciones de sociedad civil, elaboraron la propuesta legislativa “De Incorporación en el Código Penal de los Delitos de Acoso Digital y Violación a la Intimidad Sexual en Entornos Digitales”. La propuesta fue presentada en la Cámara de Diputados e incorpora los tipos penales de acoso digital y violación a la intimidad sexual en entornos digitales. En marzo del 2026, desde la Comisión de Derechos Humanos de la Cámara de Diputados, se presentó el proyecto de ley para la prevención de la violencia digital en Bolivia.</w:t>
      </w:r>
    </w:p>
    <w:p w14:paraId="6569A702" w14:textId="0442DE28" w:rsidR="00993D99" w:rsidRPr="00993D99" w:rsidRDefault="00993D99" w:rsidP="001A0D63">
      <w:pPr>
        <w:pStyle w:val="SingleTxtG"/>
        <w:numPr>
          <w:ilvl w:val="0"/>
          <w:numId w:val="17"/>
        </w:numPr>
        <w:ind w:left="1134" w:firstLine="0"/>
        <w:rPr>
          <w:lang w:val="es"/>
        </w:rPr>
      </w:pPr>
      <w:r w:rsidRPr="00993D99">
        <w:rPr>
          <w:lang w:val="es"/>
        </w:rPr>
        <w:t>En junio de 2026, el VIODyD, suscribió un acuerdo con algunos diputados y diputadas con el fin de crear la Comisión de Impulso de la “Ley Integral contra la Violencia Digital en Bolivia”.</w:t>
      </w:r>
    </w:p>
    <w:p w14:paraId="2138D4A4" w14:textId="6D02D498" w:rsidR="00993D99" w:rsidRPr="00993D99" w:rsidRDefault="00993D99" w:rsidP="001A0D63">
      <w:pPr>
        <w:pStyle w:val="SingleTxtG"/>
        <w:numPr>
          <w:ilvl w:val="0"/>
          <w:numId w:val="17"/>
        </w:numPr>
        <w:ind w:left="1134" w:firstLine="0"/>
        <w:rPr>
          <w:lang w:val="es"/>
        </w:rPr>
      </w:pPr>
      <w:r w:rsidRPr="00993D99">
        <w:rPr>
          <w:lang w:val="es"/>
        </w:rPr>
        <w:t>En paralelo a la propuesta normativa, se habilitaron espacios formativos y de socialización de la problemática. El año 2022, en el marco del D.S. 4650, la AGETIC desarrolló el programa de Derechos Digitales de las Mujeres. El 2025 la FGE junto con Asociación Aguayo, Fundación Internet Bolivia y Save the Children, crearon una página web de sensibilización sobre la Ley N° 1636.</w:t>
      </w:r>
    </w:p>
    <w:p w14:paraId="1C42540C" w14:textId="59D6B74D" w:rsidR="00993D99" w:rsidRPr="00993D99" w:rsidRDefault="00993D99" w:rsidP="001A0D63">
      <w:pPr>
        <w:pStyle w:val="SingleTxtG"/>
        <w:numPr>
          <w:ilvl w:val="0"/>
          <w:numId w:val="17"/>
        </w:numPr>
        <w:ind w:left="1134" w:firstLine="0"/>
        <w:rPr>
          <w:lang w:val="es"/>
        </w:rPr>
      </w:pPr>
      <w:r w:rsidRPr="00993D99">
        <w:rPr>
          <w:lang w:val="es"/>
        </w:rPr>
        <w:t xml:space="preserve">En 2023 y 2024, el SEPMUD impulsó el proyecto piloto “Cultivando Conexiones Seguras”, orientado a prevenir y responder a la Violencia de Género Facilitada por la Tecnología, con énfasis en la protección de NNA frente al acoso digital, el </w:t>
      </w:r>
      <w:r w:rsidRPr="00993D99">
        <w:rPr>
          <w:i/>
          <w:iCs/>
          <w:lang w:val="es"/>
        </w:rPr>
        <w:t>grooming</w:t>
      </w:r>
      <w:r w:rsidRPr="00993D99">
        <w:rPr>
          <w:lang w:val="es"/>
        </w:rPr>
        <w:t xml:space="preserve"> y otras formas de ciberviolencia. En este marco, se elaboraron herramientas dirigidas a estudiantes, docentes, madres, padres y cuidadores: la “Guía Cultivando Conexiones Seguras sobre Violencia Digital”, y el “Manual para Personas Educadoras” y la “Cartilla para Adolescentes de 13 a 17 años”. La iniciativa fue implementada inicialmente en el municipio de Coroico mediante un proceso participativo con 650 estudiantes.</w:t>
      </w:r>
    </w:p>
    <w:p w14:paraId="379F1A3D" w14:textId="32F1A030" w:rsidR="00993D99" w:rsidRPr="00993D99" w:rsidRDefault="00993D99" w:rsidP="001A0D63">
      <w:pPr>
        <w:pStyle w:val="SingleTxtG"/>
        <w:numPr>
          <w:ilvl w:val="0"/>
          <w:numId w:val="17"/>
        </w:numPr>
        <w:ind w:left="1134" w:firstLine="0"/>
        <w:rPr>
          <w:lang w:val="es"/>
        </w:rPr>
      </w:pPr>
      <w:r w:rsidRPr="00993D99">
        <w:rPr>
          <w:lang w:val="es"/>
        </w:rPr>
        <w:t>En 2025, el SEPMUD lideró la implementación de la Cooperación Técnica “Fortalecimiento de la Prevención y Respuesta Institucional a la Ciberviolencia contra NNA”, ejecutada en los municipios de Irupana, Cobija y Tarija. Asimismo, promovió propuestas normativas contra la violencia digital en protección de NNA y mujeres, para el GAM Mecapaca, y el Gobierno Autónomo Departamental (GAD) de Tarija.</w:t>
      </w:r>
    </w:p>
    <w:p w14:paraId="6DBE73BE" w14:textId="0D6F6C20" w:rsidR="00993D99" w:rsidRPr="00993D99" w:rsidRDefault="00B4153B" w:rsidP="00B4153B">
      <w:pPr>
        <w:pStyle w:val="H1G"/>
        <w:rPr>
          <w:lang w:val="es"/>
        </w:rPr>
      </w:pPr>
      <w:r>
        <w:rPr>
          <w:lang w:val="es"/>
        </w:rPr>
        <w:lastRenderedPageBreak/>
        <w:tab/>
      </w:r>
      <w:r>
        <w:rPr>
          <w:lang w:val="es"/>
        </w:rPr>
        <w:tab/>
      </w:r>
      <w:r w:rsidR="00993D99" w:rsidRPr="00993D99">
        <w:rPr>
          <w:lang w:val="es"/>
        </w:rPr>
        <w:t xml:space="preserve">Artículo 6. </w:t>
      </w:r>
    </w:p>
    <w:p w14:paraId="3E6B3B35" w14:textId="555B8883" w:rsidR="00993D99" w:rsidRPr="00993D99" w:rsidRDefault="00993D99" w:rsidP="001A0D63">
      <w:pPr>
        <w:pStyle w:val="SingleTxtG"/>
        <w:numPr>
          <w:ilvl w:val="0"/>
          <w:numId w:val="17"/>
        </w:numPr>
        <w:ind w:left="1134" w:firstLine="0"/>
        <w:rPr>
          <w:lang w:val="es"/>
        </w:rPr>
      </w:pPr>
      <w:r w:rsidRPr="00993D99">
        <w:rPr>
          <w:lang w:val="es"/>
        </w:rPr>
        <w:t>La Ley N° 263 y el D.S. N° 1486 establecen el Consejo Plurinacional Contra la Trata y Tráfico de Personas como instancia de articulación interinstitucional. En 2022, el Consejo aprobó la Política Plurinacional Contra la Trata de Personas, Tráfico Ilícito de Migrantes y Delitos Conexos 2021-2025, cuya implementación se desarrolló mediante el Plan Multisectorial contra la Trata y Tráfico de Personas 2021-2025.</w:t>
      </w:r>
    </w:p>
    <w:p w14:paraId="32CB2B68" w14:textId="54C66F67" w:rsidR="00993D99" w:rsidRPr="00993D99" w:rsidRDefault="00993D99" w:rsidP="001A0D63">
      <w:pPr>
        <w:pStyle w:val="SingleTxtG"/>
        <w:numPr>
          <w:ilvl w:val="0"/>
          <w:numId w:val="17"/>
        </w:numPr>
        <w:ind w:left="1134" w:firstLine="0"/>
        <w:rPr>
          <w:lang w:val="es"/>
        </w:rPr>
      </w:pPr>
      <w:r w:rsidRPr="00993D99">
        <w:rPr>
          <w:lang w:val="es"/>
        </w:rPr>
        <w:t>La DGTTP del VSC dirige y coordina acciones nacionales, subnacionales e internacionales de lucha contra la trata y tráfico de personas y delitos conexos, promoviendo la articulación con GADs y GAMs.</w:t>
      </w:r>
    </w:p>
    <w:p w14:paraId="374D15BD" w14:textId="08E49A25" w:rsidR="00993D99" w:rsidRPr="00993D99" w:rsidRDefault="00993D99" w:rsidP="001A0D63">
      <w:pPr>
        <w:pStyle w:val="SingleTxtG"/>
        <w:numPr>
          <w:ilvl w:val="0"/>
          <w:numId w:val="17"/>
        </w:numPr>
        <w:ind w:left="1134" w:firstLine="0"/>
        <w:rPr>
          <w:lang w:val="es"/>
        </w:rPr>
      </w:pPr>
      <w:r w:rsidRPr="00993D99">
        <w:rPr>
          <w:lang w:val="es"/>
        </w:rPr>
        <w:t>Con la reestructuración del Órgano Ejecutivo (D.S. Nº 5493) el extinto MJTI pasó a depender del MP. Las competencias sobre prevención, atención y lucha contra la Trata y Tráfico de Personas pasaron al VTSJDH, que fortalece los mecanismos de coordinación interinstitucional para mejorar la implementación de las políticas públicas en la materia.</w:t>
      </w:r>
    </w:p>
    <w:p w14:paraId="2347CF26" w14:textId="319E7329" w:rsidR="00993D99" w:rsidRPr="00993D99" w:rsidRDefault="00993D99" w:rsidP="001A0D63">
      <w:pPr>
        <w:pStyle w:val="SingleTxtG"/>
        <w:numPr>
          <w:ilvl w:val="0"/>
          <w:numId w:val="17"/>
        </w:numPr>
        <w:ind w:left="1134" w:firstLine="0"/>
        <w:rPr>
          <w:lang w:val="es"/>
        </w:rPr>
      </w:pPr>
      <w:r w:rsidRPr="00993D99">
        <w:rPr>
          <w:lang w:val="es"/>
        </w:rPr>
        <w:t>Para fortalecer las capacidades de detección temprana de víctimas de trata, el Ministerio de Gobienro aprobó la “Guía de Detección Temprana de Víctimas de Trata de Personas para Autoridades Migratorias”</w:t>
      </w:r>
      <w:r w:rsidRPr="00993D99">
        <w:rPr>
          <w:vertAlign w:val="superscript"/>
          <w:lang w:val="es"/>
        </w:rPr>
        <w:footnoteReference w:id="29"/>
      </w:r>
      <w:r w:rsidRPr="00993D99">
        <w:rPr>
          <w:lang w:val="es"/>
        </w:rPr>
        <w:t>. También aprobó el “Protocolo Único de actuación en Aeropuertos Internacionales en casos sospechosos de Trata y Tráfico de Personas” y la “Guía de Actuación para la Prevención, Detección y Respuesta ante Situaciones de Trata de Personas y Tráfico Ilícito de Migrantes en Terminales Terrestres”</w:t>
      </w:r>
      <w:r w:rsidRPr="00993D99">
        <w:rPr>
          <w:vertAlign w:val="superscript"/>
          <w:lang w:val="es"/>
        </w:rPr>
        <w:footnoteReference w:id="30"/>
      </w:r>
      <w:r w:rsidRPr="00993D99">
        <w:rPr>
          <w:lang w:val="es"/>
        </w:rPr>
        <w:t>, con apoyo técnico de la Fundación EDUCO.</w:t>
      </w:r>
    </w:p>
    <w:p w14:paraId="14E2B654" w14:textId="4F338C9B" w:rsidR="00993D99" w:rsidRPr="00993D99" w:rsidRDefault="00993D99" w:rsidP="001A0D63">
      <w:pPr>
        <w:pStyle w:val="SingleTxtG"/>
        <w:numPr>
          <w:ilvl w:val="0"/>
          <w:numId w:val="17"/>
        </w:numPr>
        <w:ind w:left="1134" w:firstLine="0"/>
        <w:rPr>
          <w:lang w:val="es"/>
        </w:rPr>
      </w:pPr>
      <w:r w:rsidRPr="00993D99">
        <w:rPr>
          <w:lang w:val="es"/>
        </w:rPr>
        <w:t>El Estado cuenta con un sistema de atención integral para víctimas de trata y tráfico (Ley N° 263), que garantiza el acceso gratuito a la asistencia legal, psicológica, médica y medidas de protección. La DGTTP promueve la coordinación interinstitucional con la FELCC, la FGE, la Defensoría de la Niñez y Adolescencia, los SLIM, los servicios de gestión social de los departamentos, los servicios de salud y organizaciones de la sociedad civil.</w:t>
      </w:r>
    </w:p>
    <w:p w14:paraId="58797FF8" w14:textId="57FAD440" w:rsidR="00993D99" w:rsidRPr="00993D99" w:rsidRDefault="00993D99" w:rsidP="001A0D63">
      <w:pPr>
        <w:pStyle w:val="SingleTxtG"/>
        <w:numPr>
          <w:ilvl w:val="0"/>
          <w:numId w:val="17"/>
        </w:numPr>
        <w:ind w:left="1134" w:firstLine="0"/>
        <w:rPr>
          <w:lang w:val="es"/>
        </w:rPr>
      </w:pPr>
      <w:r w:rsidRPr="00993D99">
        <w:rPr>
          <w:lang w:val="es"/>
        </w:rPr>
        <w:t>La Política Plurinacional garantiza la atención gratuita especialmente en salud, y el acceso a centros y recursos de acogida para víctimas y personas migrantes en situación irregular cuyos derechos hayan sido vulnerados.</w:t>
      </w:r>
    </w:p>
    <w:p w14:paraId="53741651" w14:textId="4B594DC5" w:rsidR="00993D99" w:rsidRPr="00993D99" w:rsidRDefault="00993D99" w:rsidP="001A0D63">
      <w:pPr>
        <w:pStyle w:val="SingleTxtG"/>
        <w:numPr>
          <w:ilvl w:val="0"/>
          <w:numId w:val="17"/>
        </w:numPr>
        <w:ind w:left="1134" w:firstLine="0"/>
        <w:rPr>
          <w:lang w:val="es"/>
        </w:rPr>
      </w:pPr>
      <w:r w:rsidRPr="00993D99">
        <w:rPr>
          <w:lang w:val="es"/>
        </w:rPr>
        <w:t>El “Protocolo de Actuación Consular para la Atención de Connacionales Víctimas de Trata de Personas en el Exterior” (2024), establece una ruta de atención integral con asistencia jurídica, médica y psicológica, coordinada con autoridades del país receptor y basada en los principios de no discriminación, confidencialidad, consentimiento informado, no revictimización y atención integral e individualizada</w:t>
      </w:r>
      <w:r w:rsidRPr="00993D99">
        <w:rPr>
          <w:vertAlign w:val="superscript"/>
          <w:lang w:val="es"/>
        </w:rPr>
        <w:footnoteReference w:id="31"/>
      </w:r>
      <w:r w:rsidRPr="00993D99">
        <w:rPr>
          <w:lang w:val="es"/>
        </w:rPr>
        <w:t>.</w:t>
      </w:r>
    </w:p>
    <w:p w14:paraId="2788F473" w14:textId="5CC1B9BE" w:rsidR="00993D99" w:rsidRPr="00993D99" w:rsidRDefault="00993D99" w:rsidP="001A0D63">
      <w:pPr>
        <w:pStyle w:val="SingleTxtG"/>
        <w:numPr>
          <w:ilvl w:val="0"/>
          <w:numId w:val="17"/>
        </w:numPr>
        <w:ind w:left="1134" w:firstLine="0"/>
        <w:rPr>
          <w:lang w:val="es"/>
        </w:rPr>
      </w:pPr>
      <w:r w:rsidRPr="00993D99">
        <w:rPr>
          <w:lang w:val="es"/>
        </w:rPr>
        <w:t>El OBSCD es la instancia oficial de referencia estadística para la lucha contra la trata y tráfico de personas y delitos conexos. Entre 2020 y 2025 se registraron 3.411 denuncias de delitos de trata en el país. El 56,4% de las víctimas fueron mujeres (el 27% son hombres y el resto está en la categoría “indeterminado”). El 30% del total de víctimas son mujeres menores de edad, el 11% son mujeres entre 18 y 29 años, y el 8,5% son hombres menores de edad. El 50% de las denuncias se concentran en el departamento de La Paz. La mayoría de las denuncias corresponden a connacionales, seguido por una proporción considerable de casos “indeterminados” que representa un 17% y luego por personas de nacionalidad haitiana con 22 denuncias, peruana con 12 y colombiana y venezolana con 9</w:t>
      </w:r>
      <w:r w:rsidRPr="00993D99">
        <w:rPr>
          <w:vertAlign w:val="superscript"/>
          <w:lang w:val="es"/>
        </w:rPr>
        <w:footnoteReference w:id="32"/>
      </w:r>
      <w:r w:rsidRPr="00993D99">
        <w:rPr>
          <w:lang w:val="es"/>
        </w:rPr>
        <w:t>.</w:t>
      </w:r>
    </w:p>
    <w:p w14:paraId="4C169D25" w14:textId="5FB91F53" w:rsidR="00993D99" w:rsidRPr="00993D99" w:rsidRDefault="00993D99" w:rsidP="001A0D63">
      <w:pPr>
        <w:pStyle w:val="SingleTxtG"/>
        <w:numPr>
          <w:ilvl w:val="0"/>
          <w:numId w:val="17"/>
        </w:numPr>
        <w:ind w:left="1134" w:firstLine="0"/>
        <w:rPr>
          <w:lang w:val="es"/>
        </w:rPr>
      </w:pPr>
      <w:r w:rsidRPr="00993D99">
        <w:rPr>
          <w:lang w:val="es"/>
        </w:rPr>
        <w:t xml:space="preserve">El estudio “Caracterización de las víctimas de trata de personas en Bolivia”, con datos de 2024, identificó como principales fines la explotación sexual (77,78%), explotación laboral (11,43%) y esclavitud (5,71%). Asimismo, señala limitaciones en el registro: sobreestimación de cifras (casos tipificados inicialmente como trata que corresponden a personas desaparecidas), falta de datos consolidados (por encontrarse la mayoría en </w:t>
      </w:r>
      <w:r w:rsidRPr="00993D99">
        <w:rPr>
          <w:lang w:val="es"/>
        </w:rPr>
        <w:lastRenderedPageBreak/>
        <w:t>investigación preliminar) y una alta cifra negra (debido al temor a represalias, desconfianza institucional y revictimización)</w:t>
      </w:r>
      <w:r w:rsidRPr="00993D99">
        <w:rPr>
          <w:vertAlign w:val="superscript"/>
          <w:lang w:val="es"/>
        </w:rPr>
        <w:footnoteReference w:id="33"/>
      </w:r>
      <w:r w:rsidRPr="00993D99">
        <w:rPr>
          <w:lang w:val="es"/>
        </w:rPr>
        <w:t>.</w:t>
      </w:r>
    </w:p>
    <w:p w14:paraId="1A976537" w14:textId="7C2AB3DB" w:rsidR="00993D99" w:rsidRPr="00993D99" w:rsidRDefault="00993D99" w:rsidP="001A0D63">
      <w:pPr>
        <w:pStyle w:val="SingleTxtG"/>
        <w:numPr>
          <w:ilvl w:val="0"/>
          <w:numId w:val="17"/>
        </w:numPr>
        <w:ind w:left="1134" w:firstLine="0"/>
        <w:rPr>
          <w:lang w:val="es"/>
        </w:rPr>
      </w:pPr>
      <w:r w:rsidRPr="00993D99">
        <w:rPr>
          <w:lang w:val="es"/>
        </w:rPr>
        <w:t>El monitoreo técnico del flujo judicial realizado por el SEPMUD, revela alertas críticas sobre la eficacia de estos mecanismos de persecución penal. Entre 2022 y 2024, se registró una alta tasa de rechazo de denuncias por trata de personas mayor al 70%. Esta tendencia evidencia dificultades institucionales persistentes para la tipificación adecuada de los delitos desde el primer contacto.</w:t>
      </w:r>
    </w:p>
    <w:p w14:paraId="3D12C17A" w14:textId="0D438E88" w:rsidR="00993D99" w:rsidRPr="00993D99" w:rsidRDefault="00993D99" w:rsidP="001A0D63">
      <w:pPr>
        <w:pStyle w:val="SingleTxtG"/>
        <w:numPr>
          <w:ilvl w:val="0"/>
          <w:numId w:val="17"/>
        </w:numPr>
        <w:ind w:left="1134" w:firstLine="0"/>
        <w:rPr>
          <w:lang w:val="es"/>
        </w:rPr>
      </w:pPr>
      <w:r w:rsidRPr="00993D99">
        <w:rPr>
          <w:lang w:val="es"/>
        </w:rPr>
        <w:t>En 2024, la DPB identificó deficiencias en las Divisiones de Trata y Tráfico de Personas de la FELCC, entre ellas: cobertura insuficiente en municipios intermedios y fronterizos; personal reducido; falta de servicios de telefonía y líneas gratuitas para denuncias; ausencia de mecanismos de cooperación interinstitucional con GAD y GAM; deficiencias en el registro administrativo, sin desagregación por fines de trata; e insuficientes recursos presupuestarios.</w:t>
      </w:r>
    </w:p>
    <w:p w14:paraId="13953EA3" w14:textId="43595A6B" w:rsidR="00993D99" w:rsidRPr="00993D99" w:rsidRDefault="00993D99" w:rsidP="001A0D63">
      <w:pPr>
        <w:pStyle w:val="SingleTxtG"/>
        <w:numPr>
          <w:ilvl w:val="0"/>
          <w:numId w:val="17"/>
        </w:numPr>
        <w:ind w:left="1134" w:firstLine="0"/>
        <w:rPr>
          <w:lang w:val="es"/>
        </w:rPr>
      </w:pPr>
      <w:r w:rsidRPr="00993D99">
        <w:rPr>
          <w:lang w:val="es"/>
        </w:rPr>
        <w:t>La lucha contra la trata y tráfico de personas es un desafío pendiente del Estado, especialmente con las mujeres menores de edad y niñas, quienes son las principales víctimas. Consciente de ello, el Estado boliviano aplicará las medidas correspondientes para lograr avances en la materia.</w:t>
      </w:r>
    </w:p>
    <w:p w14:paraId="5F90BA78" w14:textId="27A652F7" w:rsidR="00993D99" w:rsidRPr="00993D99" w:rsidRDefault="0076439C" w:rsidP="0076439C">
      <w:pPr>
        <w:pStyle w:val="H1G"/>
        <w:rPr>
          <w:lang w:val="es"/>
        </w:rPr>
      </w:pPr>
      <w:r>
        <w:rPr>
          <w:lang w:val="es"/>
        </w:rPr>
        <w:tab/>
      </w:r>
      <w:r>
        <w:rPr>
          <w:lang w:val="es"/>
        </w:rPr>
        <w:tab/>
      </w:r>
      <w:r w:rsidR="00993D99" w:rsidRPr="00993D99">
        <w:rPr>
          <w:lang w:val="es"/>
        </w:rPr>
        <w:t xml:space="preserve">Artículos 7 y 8 </w:t>
      </w:r>
    </w:p>
    <w:p w14:paraId="4E4E83D4" w14:textId="19EA288A" w:rsidR="00993D99" w:rsidRPr="00993D99" w:rsidRDefault="0076439C" w:rsidP="0076439C">
      <w:pPr>
        <w:pStyle w:val="H23G"/>
        <w:rPr>
          <w:lang w:val="es"/>
        </w:rPr>
      </w:pPr>
      <w:r>
        <w:rPr>
          <w:lang w:val="es"/>
        </w:rPr>
        <w:tab/>
      </w:r>
      <w:r>
        <w:rPr>
          <w:lang w:val="es"/>
        </w:rPr>
        <w:tab/>
      </w:r>
      <w:r w:rsidR="00993D99" w:rsidRPr="00993D99">
        <w:rPr>
          <w:lang w:val="es"/>
        </w:rPr>
        <w:t xml:space="preserve">Igualdad entre mujeres y hombres respecto al voto </w:t>
      </w:r>
    </w:p>
    <w:p w14:paraId="35244DFC" w14:textId="057AFB19" w:rsidR="00993D99" w:rsidRPr="00993D99" w:rsidRDefault="00993D99" w:rsidP="001A0D63">
      <w:pPr>
        <w:pStyle w:val="SingleTxtG"/>
        <w:numPr>
          <w:ilvl w:val="0"/>
          <w:numId w:val="17"/>
        </w:numPr>
        <w:ind w:left="1134" w:firstLine="0"/>
        <w:rPr>
          <w:lang w:val="es"/>
        </w:rPr>
      </w:pPr>
      <w:r w:rsidRPr="00993D99">
        <w:rPr>
          <w:lang w:val="es"/>
        </w:rPr>
        <w:t>La CPE garantiza la igualdad entre mujeres y hombres con respecto al voto. El artículo 26 establece que “Todas las ciudadanas y los ciudadanos tienen derecho a participar libremente en la formación, ejercicio y control del poder político, directamente o por medio de sus representantes, y de manera individual o colectiva”. Así mismo, la Ley N° 026 del Régimen Electoral, reconoce la igualdad y la equivalencia de condiciones entre mujeres y hombres para el ejercicio de los derechos políticos y electorales.</w:t>
      </w:r>
    </w:p>
    <w:p w14:paraId="4CD07A96" w14:textId="6C6AEEE0" w:rsidR="00993D99" w:rsidRPr="00993D99" w:rsidRDefault="00993D99" w:rsidP="001A0D63">
      <w:pPr>
        <w:pStyle w:val="SingleTxtG"/>
        <w:numPr>
          <w:ilvl w:val="0"/>
          <w:numId w:val="17"/>
        </w:numPr>
        <w:ind w:left="1134" w:firstLine="0"/>
        <w:rPr>
          <w:lang w:val="es"/>
        </w:rPr>
      </w:pPr>
      <w:r w:rsidRPr="00993D99">
        <w:rPr>
          <w:lang w:val="es"/>
        </w:rPr>
        <w:t>El voto es intransferible, como establece el artículo 26, parágrafo II. 2, indicando que el sufragio se ejerce mediante voto igual, universal, directo, individual, secreto, libre y obligatorio.</w:t>
      </w:r>
    </w:p>
    <w:p w14:paraId="74FBB59D" w14:textId="176FFD27" w:rsidR="00993D99" w:rsidRPr="00993D99" w:rsidRDefault="004E1418" w:rsidP="004E1418">
      <w:pPr>
        <w:pStyle w:val="H23G"/>
        <w:rPr>
          <w:lang w:val="es"/>
        </w:rPr>
      </w:pPr>
      <w:r>
        <w:rPr>
          <w:lang w:val="es"/>
        </w:rPr>
        <w:tab/>
      </w:r>
      <w:r>
        <w:rPr>
          <w:lang w:val="es"/>
        </w:rPr>
        <w:tab/>
      </w:r>
      <w:r w:rsidR="00993D99" w:rsidRPr="00993D99">
        <w:rPr>
          <w:lang w:val="es"/>
        </w:rPr>
        <w:t>Cuotas en favor de las mujeres, evaluación de la Ley Nº 243</w:t>
      </w:r>
    </w:p>
    <w:p w14:paraId="7773422A" w14:textId="058117E8" w:rsidR="00993D99" w:rsidRPr="00993D99" w:rsidRDefault="00993D99" w:rsidP="001A0D63">
      <w:pPr>
        <w:pStyle w:val="SingleTxtG"/>
        <w:numPr>
          <w:ilvl w:val="0"/>
          <w:numId w:val="17"/>
        </w:numPr>
        <w:ind w:left="1134" w:firstLine="0"/>
        <w:rPr>
          <w:lang w:val="es"/>
        </w:rPr>
      </w:pPr>
      <w:r w:rsidRPr="00993D99">
        <w:rPr>
          <w:lang w:val="es"/>
        </w:rPr>
        <w:t>Existen varios estudios sobre los avances en el cumplimiento de la Ley N° 243, desde el Estado, en los años que abarca este informe, se desarrollaron dos importantes evaluaciones. La primera publicada el 2023 por el SEPMUD denominada “Evaluación del Estado de Situación del Cumplimiento de la ley N° 243”, contó con la participación de diversas organizaciones de mujeres. Este estudio hace una valoración de la norma por partes e identifica que la conceptualización, la tipificación, las atribuciones, entre otras partes de la Ley están muy bien sustentadas; así también identifica que las partes más débiles de la Ley son la atención de denuncias y renuncias, las medidas de protección que se ofrecen a las víctimas, el sistema de sanciones y las medidas de reparación. Según este documento, desde el año en que se promulgó esta Ley (2012) hasta diciembre del 2023 se contaron cuatro sentencias en el marco de esta norma. Hasta el 2026 hubo seis sentencias ejecutoriadas y 10 resoluciones ejecutoriadas. Para poner este dato en perspectiva es preciso mencionar que entre el 2021 y el primer trimestre del 2026 ACOBOL registró 532 casos de AVP</w:t>
      </w:r>
      <w:r w:rsidRPr="00993D99">
        <w:rPr>
          <w:vertAlign w:val="superscript"/>
          <w:lang w:val="es"/>
        </w:rPr>
        <w:footnoteReference w:id="34"/>
      </w:r>
      <w:r w:rsidRPr="00993D99">
        <w:rPr>
          <w:lang w:val="es"/>
        </w:rPr>
        <w:t>.</w:t>
      </w:r>
    </w:p>
    <w:p w14:paraId="1BBE4876" w14:textId="25C214F7" w:rsidR="00993D99" w:rsidRPr="00993D99" w:rsidRDefault="00993D99" w:rsidP="001A0D63">
      <w:pPr>
        <w:pStyle w:val="SingleTxtG"/>
        <w:numPr>
          <w:ilvl w:val="0"/>
          <w:numId w:val="17"/>
        </w:numPr>
        <w:ind w:left="1134" w:firstLine="0"/>
        <w:rPr>
          <w:lang w:val="es"/>
        </w:rPr>
      </w:pPr>
      <w:r w:rsidRPr="00993D99">
        <w:rPr>
          <w:lang w:val="es"/>
        </w:rPr>
        <w:t xml:space="preserve">El informe del SEPMUD identificó que solo un 3.2% de los municipios adaptaron su normativa interna a la Ley N° 243, lo cual es un gran obstáculo para el cumplimiento de la Ley. Evidentemente, esto requiere de un seguimiento al cumplimiento de la norma, no obstante, una de las problemáticas es que no existe claridad al momento de definir cuál es la </w:t>
      </w:r>
      <w:r w:rsidRPr="00993D99">
        <w:rPr>
          <w:lang w:val="es"/>
        </w:rPr>
        <w:lastRenderedPageBreak/>
        <w:t>o las instancias encargadas de hacerlo. En este sentido el año 2025 el SEPMUD desarrolló un Proyecto de Ley de Modificación a la Ley N° 243</w:t>
      </w:r>
      <w:r w:rsidRPr="00993D99">
        <w:rPr>
          <w:vertAlign w:val="superscript"/>
          <w:lang w:val="es"/>
        </w:rPr>
        <w:footnoteReference w:id="35"/>
      </w:r>
      <w:r w:rsidRPr="00993D99">
        <w:rPr>
          <w:lang w:val="es"/>
        </w:rPr>
        <w:t>. Por su parte, el VIODyD presentó su proyecto de Modificación a la Ley N° 243, en el Consejo Intersectorial para Garantizar a las Mujeres una Vida Libre de Violencia.</w:t>
      </w:r>
    </w:p>
    <w:p w14:paraId="6DEE8C70" w14:textId="64037018" w:rsidR="00993D99" w:rsidRPr="00993D99" w:rsidRDefault="00993D99" w:rsidP="001A0D63">
      <w:pPr>
        <w:pStyle w:val="SingleTxtG"/>
        <w:numPr>
          <w:ilvl w:val="0"/>
          <w:numId w:val="17"/>
        </w:numPr>
        <w:ind w:left="1134" w:firstLine="0"/>
        <w:rPr>
          <w:lang w:val="es"/>
        </w:rPr>
      </w:pPr>
      <w:r w:rsidRPr="00993D99">
        <w:rPr>
          <w:lang w:val="es"/>
        </w:rPr>
        <w:t>En los últimos años se trabajó en estrategias institucionales para cubrir algunas falencias. El TSE incorporó mecanismos legales como el Reglamento para el trámite de renuncias y denuncias por AVP de mujeres candidatas, electas o en funciones, y el Reglamento de “Faltas Electorales y Sanciones”. Ambos mecanismos contribuyen al cumplimiento de las responsabilidades asignadas, sin embargo, este Órgano se ve limitado porque no es su atribución atender y procesar este tipo de casos, solo le corresponde remitir denuncias al Ministerio Público, lo que dilata el proceso.</w:t>
      </w:r>
    </w:p>
    <w:p w14:paraId="738EA004" w14:textId="71F36035" w:rsidR="00993D99" w:rsidRPr="00993D99" w:rsidRDefault="00993D99" w:rsidP="001A0D63">
      <w:pPr>
        <w:pStyle w:val="SingleTxtG"/>
        <w:numPr>
          <w:ilvl w:val="0"/>
          <w:numId w:val="17"/>
        </w:numPr>
        <w:ind w:left="1134" w:firstLine="0"/>
        <w:rPr>
          <w:lang w:val="es"/>
        </w:rPr>
      </w:pPr>
      <w:r w:rsidRPr="00993D99">
        <w:rPr>
          <w:lang w:val="es"/>
        </w:rPr>
        <w:t>Si bien existen avances institucionales para que la Ley N° 243 sea más efectiva, a través de los mencionados informes de evaluación de la norma, se identificó la necesidad de establecer mecanismos de seguimiento y coordinación; incorporar medidas de reparación para las víctimas; incorporar sanciones ante incumplimiento de responsabilidades institucionales; diseñar e implementar mecanismos de monitoreo y evaluación a los casos de AVP; designar una instancia específica para el procesamiento y sanción de los casos de AVP para agilizar su resolución y sentencia, entre otras acciones</w:t>
      </w:r>
      <w:r w:rsidRPr="00993D99">
        <w:rPr>
          <w:vertAlign w:val="superscript"/>
          <w:lang w:val="es"/>
        </w:rPr>
        <w:footnoteReference w:id="36"/>
      </w:r>
      <w:r w:rsidRPr="00993D99">
        <w:rPr>
          <w:lang w:val="es"/>
        </w:rPr>
        <w:t>.</w:t>
      </w:r>
    </w:p>
    <w:p w14:paraId="419DB90E" w14:textId="46543FF0" w:rsidR="00993D99" w:rsidRPr="00993D99" w:rsidRDefault="004E1418" w:rsidP="004E1418">
      <w:pPr>
        <w:pStyle w:val="H23G"/>
        <w:rPr>
          <w:lang w:val="es"/>
        </w:rPr>
      </w:pPr>
      <w:r>
        <w:rPr>
          <w:lang w:val="es"/>
        </w:rPr>
        <w:tab/>
      </w:r>
      <w:r>
        <w:rPr>
          <w:lang w:val="es"/>
        </w:rPr>
        <w:tab/>
      </w:r>
      <w:r w:rsidR="00993D99" w:rsidRPr="00993D99">
        <w:rPr>
          <w:lang w:val="es"/>
        </w:rPr>
        <w:t xml:space="preserve">Representación de las mujeres en partidos políticos </w:t>
      </w:r>
    </w:p>
    <w:p w14:paraId="5AD134D0" w14:textId="12CB5B6D" w:rsidR="00993D99" w:rsidRPr="00993D99" w:rsidRDefault="00993D99" w:rsidP="001A0D63">
      <w:pPr>
        <w:pStyle w:val="SingleTxtG"/>
        <w:numPr>
          <w:ilvl w:val="0"/>
          <w:numId w:val="17"/>
        </w:numPr>
        <w:ind w:left="1134" w:firstLine="0"/>
        <w:rPr>
          <w:lang w:val="es"/>
        </w:rPr>
      </w:pPr>
      <w:r w:rsidRPr="00993D99">
        <w:rPr>
          <w:lang w:val="es"/>
        </w:rPr>
        <w:t>En Bolivia, la representación de las mujeres en las estructuras de decisión política y en cargos públicos está regida por un marco legal que combina principios de paridad, alternancia y protección contra la violencia.</w:t>
      </w:r>
    </w:p>
    <w:p w14:paraId="26E3EA87" w14:textId="4DF3E13E" w:rsidR="00993D99" w:rsidRPr="00993D99" w:rsidRDefault="00993D99" w:rsidP="001A0D63">
      <w:pPr>
        <w:pStyle w:val="SingleTxtG"/>
        <w:numPr>
          <w:ilvl w:val="0"/>
          <w:numId w:val="17"/>
        </w:numPr>
        <w:ind w:left="1134" w:firstLine="0"/>
        <w:rPr>
          <w:lang w:val="es"/>
        </w:rPr>
      </w:pPr>
      <w:r w:rsidRPr="00993D99">
        <w:rPr>
          <w:lang w:val="es"/>
        </w:rPr>
        <w:t>La Ley N° 1096 de OP regula la participación interna y la estructura de los partidos, estableciendo en su artículo 8 y 26, la participación igualitaria y sistemática de mujeres y hombres en la vida orgánica de los partidos políticos y que los procedimientos para la conformación de las estructuras orgánicas y la selección de dirigencias en todos los niveles deben respetar estrictamente la paridad (50% mujeres y 50% hombres) y la alternancia.</w:t>
      </w:r>
    </w:p>
    <w:p w14:paraId="10A90427" w14:textId="080841F5" w:rsidR="00993D99" w:rsidRPr="00993D99" w:rsidRDefault="00993D99" w:rsidP="001A0D63">
      <w:pPr>
        <w:pStyle w:val="SingleTxtG"/>
        <w:numPr>
          <w:ilvl w:val="0"/>
          <w:numId w:val="17"/>
        </w:numPr>
        <w:ind w:left="1134" w:firstLine="0"/>
        <w:rPr>
          <w:lang w:val="es"/>
        </w:rPr>
      </w:pPr>
      <w:r w:rsidRPr="00993D99">
        <w:rPr>
          <w:lang w:val="es"/>
        </w:rPr>
        <w:t>El artículo indica que es obligatorio que los estatutos de cada organización incluyan el régimen de despatriarcalización, que debe establecer acciones afirmativas para asegurar que las mujeres no solo ocupen cargos, sino que lo hagan en igualdad de condiciones. El artículo 28 faculta al Tribunal Electoral competente a rechazar las listas de candidaturas que no cumplan con los criterios de paridad y alternancia de género: Asimismo, el OEP fiscaliza que el funcionamiento de estas organizaciones se ajuste a la ley, es decir, todas las OP debieron modificar sus estatutos en el marco de la Ley N° 1096 para participar en los procesos electorales.</w:t>
      </w:r>
    </w:p>
    <w:p w14:paraId="3F110E1B" w14:textId="2D66D204" w:rsidR="00993D99" w:rsidRPr="00993D99" w:rsidRDefault="00565396" w:rsidP="004E1418">
      <w:pPr>
        <w:pStyle w:val="H23G"/>
        <w:rPr>
          <w:lang w:val="es"/>
        </w:rPr>
      </w:pPr>
      <w:r>
        <w:rPr>
          <w:lang w:val="es"/>
        </w:rPr>
        <w:tab/>
      </w:r>
      <w:r>
        <w:rPr>
          <w:lang w:val="es"/>
        </w:rPr>
        <w:tab/>
      </w:r>
      <w:r w:rsidR="00993D99" w:rsidRPr="00993D99">
        <w:rPr>
          <w:lang w:val="es"/>
        </w:rPr>
        <w:t>Fortalecimiento de capacidades para la participación política</w:t>
      </w:r>
    </w:p>
    <w:p w14:paraId="0C56F5A8" w14:textId="6382209E" w:rsidR="00993D99" w:rsidRPr="00993D99" w:rsidRDefault="00993D99" w:rsidP="001A0D63">
      <w:pPr>
        <w:pStyle w:val="SingleTxtG"/>
        <w:numPr>
          <w:ilvl w:val="0"/>
          <w:numId w:val="17"/>
        </w:numPr>
        <w:ind w:left="1134" w:firstLine="0"/>
        <w:rPr>
          <w:lang w:val="es"/>
        </w:rPr>
      </w:pPr>
      <w:r w:rsidRPr="00993D99">
        <w:rPr>
          <w:lang w:val="es"/>
        </w:rPr>
        <w:t>Varias instancias estatales brindan capacitación e información a las mujeres que entran a la política; una de ellas es el TSE, que lleva adelante procesos de capacitación a mujeres candidatas y electas para apoyar su participación efectiva en la vida política.</w:t>
      </w:r>
    </w:p>
    <w:p w14:paraId="7F1AEB52" w14:textId="27797551" w:rsidR="00993D99" w:rsidRPr="00993D99" w:rsidRDefault="00993D99" w:rsidP="001A0D63">
      <w:pPr>
        <w:pStyle w:val="SingleTxtG"/>
        <w:numPr>
          <w:ilvl w:val="0"/>
          <w:numId w:val="17"/>
        </w:numPr>
        <w:ind w:left="1134" w:firstLine="0"/>
        <w:rPr>
          <w:lang w:val="es"/>
        </w:rPr>
      </w:pPr>
      <w:r w:rsidRPr="00993D99">
        <w:rPr>
          <w:lang w:val="es"/>
        </w:rPr>
        <w:t>Tanto para las elecciones generales como subnacionales se capacitó a mujeres lideresas y electas sobre las características de la AVP y la ruta de denuncia. En 2019, la Comisión Interamericana de Mujeres y la Escuela de Gobierno de la OEA, junto al MRE y el TSE, realizó el Curso para candidatas electorales “Remedios Loza”, para fortalecer las habilidades de las candidatas a diputadas y senadoras. Alcanzó a 49 candidatas de todas las fuerzas políticas que terciaron en las Elecciones Generales del 2019</w:t>
      </w:r>
      <w:r w:rsidRPr="00993D99">
        <w:rPr>
          <w:vertAlign w:val="superscript"/>
          <w:lang w:val="es"/>
        </w:rPr>
        <w:footnoteReference w:id="37"/>
      </w:r>
      <w:r w:rsidRPr="00993D99">
        <w:rPr>
          <w:lang w:val="es"/>
        </w:rPr>
        <w:t>.</w:t>
      </w:r>
    </w:p>
    <w:p w14:paraId="46C298F5" w14:textId="2F4789A5" w:rsidR="00993D99" w:rsidRPr="00993D99" w:rsidRDefault="00993D99" w:rsidP="001A0D63">
      <w:pPr>
        <w:pStyle w:val="SingleTxtG"/>
        <w:numPr>
          <w:ilvl w:val="0"/>
          <w:numId w:val="17"/>
        </w:numPr>
        <w:ind w:left="1134" w:firstLine="0"/>
        <w:rPr>
          <w:lang w:val="es"/>
        </w:rPr>
      </w:pPr>
      <w:r w:rsidRPr="00993D99">
        <w:rPr>
          <w:lang w:val="es"/>
        </w:rPr>
        <w:lastRenderedPageBreak/>
        <w:t>Durante la gestión 2023 el SEPMUD, en coordinación con la DPB, realizó un proceso de fortalecimiento de capacidades sobre el ejercicio de los derechos políticos de las mujeres y la ruta de denuncia en el marco de la Ley N° 243, dirigida a mujeres electas, a través de ACOBOL y AMADBOL, en la misma participaron más de 320 autoridades, en 6 departamentos.</w:t>
      </w:r>
    </w:p>
    <w:p w14:paraId="3272C5B2" w14:textId="32901FD9" w:rsidR="00993D99" w:rsidRPr="00993D99" w:rsidRDefault="00993D99" w:rsidP="001A0D63">
      <w:pPr>
        <w:pStyle w:val="SingleTxtG"/>
        <w:numPr>
          <w:ilvl w:val="0"/>
          <w:numId w:val="17"/>
        </w:numPr>
        <w:ind w:left="1134" w:firstLine="0"/>
        <w:rPr>
          <w:lang w:val="es"/>
        </w:rPr>
      </w:pPr>
      <w:r w:rsidRPr="00993D99">
        <w:rPr>
          <w:lang w:val="es"/>
        </w:rPr>
        <w:t>La AGETIC y ACOBOL en 2023 y 2024 desarrollaron tres cursos denominados “Inclusión Digital y Prevención de la Violencia”, con el objetivo de fortalecer las capacidades de las concejalas para enfrentar situaciones de riesgo y violencia en entornos digitales. En este curso participaron 103 concejalas</w:t>
      </w:r>
      <w:r w:rsidRPr="00993D99">
        <w:rPr>
          <w:vertAlign w:val="superscript"/>
          <w:lang w:val="es"/>
        </w:rPr>
        <w:footnoteReference w:id="38"/>
      </w:r>
      <w:r w:rsidRPr="00993D99">
        <w:rPr>
          <w:lang w:val="es"/>
        </w:rPr>
        <w:t>.</w:t>
      </w:r>
    </w:p>
    <w:p w14:paraId="78171D92" w14:textId="78E2D4E7" w:rsidR="00993D99" w:rsidRPr="00993D99" w:rsidRDefault="00993D99" w:rsidP="001A0D63">
      <w:pPr>
        <w:pStyle w:val="SingleTxtG"/>
        <w:numPr>
          <w:ilvl w:val="0"/>
          <w:numId w:val="17"/>
        </w:numPr>
        <w:ind w:left="1134" w:firstLine="0"/>
        <w:rPr>
          <w:lang w:val="es"/>
        </w:rPr>
      </w:pPr>
      <w:r w:rsidRPr="00993D99">
        <w:rPr>
          <w:lang w:val="es"/>
        </w:rPr>
        <w:t>En las elecciones 2025, la Unidad de Género del TSE desarrolló un proceso formativo dirigido a 300 mujeres candidatas de las ocho OP habilitadas para participar en las Elecciones Generales</w:t>
      </w:r>
      <w:r w:rsidRPr="00993D99">
        <w:rPr>
          <w:vertAlign w:val="superscript"/>
          <w:lang w:val="es"/>
        </w:rPr>
        <w:footnoteReference w:id="39"/>
      </w:r>
      <w:r w:rsidRPr="00993D99">
        <w:rPr>
          <w:lang w:val="es"/>
        </w:rPr>
        <w:t>.</w:t>
      </w:r>
    </w:p>
    <w:p w14:paraId="29D65710" w14:textId="3313AEDA" w:rsidR="00993D99" w:rsidRPr="00993D99" w:rsidRDefault="00565396" w:rsidP="00565396">
      <w:pPr>
        <w:pStyle w:val="H23G"/>
        <w:rPr>
          <w:lang w:val="es"/>
        </w:rPr>
      </w:pPr>
      <w:r>
        <w:rPr>
          <w:lang w:val="es"/>
        </w:rPr>
        <w:tab/>
      </w:r>
      <w:r>
        <w:rPr>
          <w:lang w:val="es"/>
        </w:rPr>
        <w:tab/>
      </w:r>
      <w:r w:rsidR="00993D99" w:rsidRPr="00993D99">
        <w:rPr>
          <w:lang w:val="es"/>
        </w:rPr>
        <w:t xml:space="preserve">Medidas para aumentar la representación de las mujeres, en espacios gubernamentales, del poder judicial y del sector privado </w:t>
      </w:r>
    </w:p>
    <w:p w14:paraId="1ED6BF61" w14:textId="7A3C6E33" w:rsidR="00993D99" w:rsidRPr="00993D99" w:rsidRDefault="00993D99" w:rsidP="001A0D63">
      <w:pPr>
        <w:pStyle w:val="SingleTxtG"/>
        <w:numPr>
          <w:ilvl w:val="0"/>
          <w:numId w:val="17"/>
        </w:numPr>
        <w:ind w:left="1134" w:firstLine="0"/>
        <w:rPr>
          <w:lang w:val="es"/>
        </w:rPr>
      </w:pPr>
      <w:r w:rsidRPr="00993D99">
        <w:rPr>
          <w:lang w:val="es"/>
        </w:rPr>
        <w:t>El Estado cuenta con medidas de acción afirmativa traducidas en cuotas de participación para las mujeres en espacios de toma de decisión. El país cuenta con un sistema de paridad y alternancia basado dos normas: la Ley N° 018 del OEP, que establece la aplicación obligatoria de la paridad y alternancia en la elección y designación de todas las autoridades y representantes del Estado, en la elección interna de las dirigencias y candidaturas de las OP y en la elección y designación de representantes de las NPIOC mediante normas y procedimientos propios; y la Ley N° 026 del Régimen Electoral que dispone que las listas de candidaturas deben respetar la paridad y alternancia entre mujeres y hombres. Asimismo, cuando se trate de circunscripciones uninominales o de candidatura única, al menos 50% de las candidaturas titulares deberán corresponder a mujeres.</w:t>
      </w:r>
    </w:p>
    <w:p w14:paraId="2F78B96A" w14:textId="369B9727" w:rsidR="00993D99" w:rsidRPr="00993D99" w:rsidRDefault="00993D99" w:rsidP="001A0D63">
      <w:pPr>
        <w:pStyle w:val="SingleTxtG"/>
        <w:numPr>
          <w:ilvl w:val="0"/>
          <w:numId w:val="17"/>
        </w:numPr>
        <w:ind w:left="1134" w:firstLine="0"/>
        <w:rPr>
          <w:lang w:val="es"/>
        </w:rPr>
      </w:pPr>
      <w:r w:rsidRPr="00993D99">
        <w:rPr>
          <w:lang w:val="es"/>
        </w:rPr>
        <w:t>El sistema legal boliviano establece sanciones administrativas y electorales ante la vulneración de estos derechos. Para las OP se consideran faltas graves, no aplicar la paridad y alternancia en las listas o imponer sanciones económicas arbitrarias a las mujeres. Ambas faltas se sancionan con multas proporcionales a salarios mínimos. Se consideran faltas muy graves, no tramitar o no sancionar casos de AVP internos y la reincidencia en estas faltas puede derivar en la cancelación de la personalidad jurídica de la organización política. Respecto a las suplencias, el TSE ha puesto un “candado” legal que impide que un suplente asuma el cargo de una mujer que renuncia si existen indicios de violencia política detrás de dicha dimisión.</w:t>
      </w:r>
    </w:p>
    <w:p w14:paraId="456DF4CB" w14:textId="328880E0" w:rsidR="00993D99" w:rsidRPr="00993D99" w:rsidRDefault="00993D99" w:rsidP="001A0D63">
      <w:pPr>
        <w:pStyle w:val="SingleTxtG"/>
        <w:numPr>
          <w:ilvl w:val="0"/>
          <w:numId w:val="17"/>
        </w:numPr>
        <w:ind w:left="1134" w:firstLine="0"/>
        <w:rPr>
          <w:lang w:val="es"/>
        </w:rPr>
      </w:pPr>
      <w:r w:rsidRPr="00993D99">
        <w:rPr>
          <w:lang w:val="es"/>
        </w:rPr>
        <w:t>El alcance de la Ley N° 243 alcanza a todas las mujeres autoridades designadas en todos los niveles y órganos del Estado, incluyendo ministras, secretarías departamentales y municipales, y otras autoridades del Órgano Ejecutivo.</w:t>
      </w:r>
    </w:p>
    <w:p w14:paraId="2654EF0F" w14:textId="5EFC9EC0" w:rsidR="00993D99" w:rsidRPr="00993D99" w:rsidRDefault="00993D99" w:rsidP="001A0D63">
      <w:pPr>
        <w:pStyle w:val="SingleTxtG"/>
        <w:numPr>
          <w:ilvl w:val="0"/>
          <w:numId w:val="17"/>
        </w:numPr>
        <w:ind w:left="1134" w:firstLine="0"/>
        <w:rPr>
          <w:lang w:val="es"/>
        </w:rPr>
      </w:pPr>
      <w:r w:rsidRPr="00993D99">
        <w:rPr>
          <w:lang w:val="es"/>
        </w:rPr>
        <w:t>Las instituciones públicas tienen el mandato de modificar sus reglamentos internos, disciplinarios y de personal para incluir el AVP como faltas sancionables. También deben incluir la Nulidad de Actos: Según la Ley N° 243, cualquier acto o decisión (como una renuncia forzada) bajo presión, hostigamiento o amenazas es considerada nula de pleno derecho. En estas entidades las Comisiones de Ética son las encargadas de procesar las denuncias de AVP por la vía administrativa.</w:t>
      </w:r>
    </w:p>
    <w:p w14:paraId="2363C7BA" w14:textId="60A90395" w:rsidR="00993D99" w:rsidRPr="00993D99" w:rsidRDefault="00565396" w:rsidP="00565396">
      <w:pPr>
        <w:pStyle w:val="H23G"/>
        <w:rPr>
          <w:lang w:val="es"/>
        </w:rPr>
      </w:pPr>
      <w:r>
        <w:rPr>
          <w:lang w:val="es"/>
        </w:rPr>
        <w:tab/>
      </w:r>
      <w:r>
        <w:rPr>
          <w:lang w:val="es"/>
        </w:rPr>
        <w:tab/>
      </w:r>
      <w:r w:rsidR="00993D99" w:rsidRPr="00993D99">
        <w:rPr>
          <w:lang w:val="es"/>
        </w:rPr>
        <w:t>Tendencias en materia de candidatas y electorado en las cuatro últimas elecciones nacionales</w:t>
      </w:r>
    </w:p>
    <w:p w14:paraId="45F1E3AA" w14:textId="053846D6" w:rsidR="00993D99" w:rsidRPr="00993D99" w:rsidRDefault="00993D99" w:rsidP="001A0D63">
      <w:pPr>
        <w:pStyle w:val="SingleTxtG"/>
        <w:numPr>
          <w:ilvl w:val="0"/>
          <w:numId w:val="17"/>
        </w:numPr>
        <w:ind w:left="1134" w:firstLine="0"/>
        <w:rPr>
          <w:lang w:val="es"/>
        </w:rPr>
      </w:pPr>
      <w:r w:rsidRPr="00993D99">
        <w:rPr>
          <w:lang w:val="es"/>
        </w:rPr>
        <w:t xml:space="preserve">Para las elecciones generales de 2020, el TSE registró 3.590.638 mujeres habilitadas para votar, el 2025 registró 3.874.550 mujeres habilitadas para el voto a nivel nacional y el </w:t>
      </w:r>
      <w:r w:rsidRPr="00993D99">
        <w:rPr>
          <w:lang w:val="es"/>
        </w:rPr>
        <w:lastRenderedPageBreak/>
        <w:t>2026, el TSE registró 3.806.963 mujeres habilitadas para votar en las elecciones subnacionales</w:t>
      </w:r>
      <w:r w:rsidRPr="00993D99">
        <w:rPr>
          <w:vertAlign w:val="superscript"/>
          <w:lang w:val="es"/>
        </w:rPr>
        <w:footnoteReference w:id="40"/>
      </w:r>
      <w:r w:rsidRPr="00993D99">
        <w:rPr>
          <w:lang w:val="es"/>
        </w:rPr>
        <w:t>.</w:t>
      </w:r>
    </w:p>
    <w:p w14:paraId="6BB7DA54" w14:textId="0AEF42D0" w:rsidR="00993D99" w:rsidRPr="00993D99" w:rsidRDefault="00993D99" w:rsidP="001A0D63">
      <w:pPr>
        <w:pStyle w:val="SingleTxtG"/>
        <w:numPr>
          <w:ilvl w:val="0"/>
          <w:numId w:val="17"/>
        </w:numPr>
        <w:ind w:left="1134" w:firstLine="0"/>
        <w:rPr>
          <w:lang w:val="es"/>
        </w:rPr>
      </w:pPr>
      <w:r w:rsidRPr="00993D99">
        <w:rPr>
          <w:lang w:val="es"/>
        </w:rPr>
        <w:t>Las elecciones generales de 2020 fueron las primeras elecciones en la historia del país con listas de candidaturas plenamente paritarias. En las elecciones generales del 2025, el número de candidatas habilitadas para las elecciones fue ligeramente menor que el de candidatos: 1.065 candidatas habilitadas y 1.077 candidatos</w:t>
      </w:r>
      <w:r w:rsidRPr="00993D99">
        <w:rPr>
          <w:vertAlign w:val="superscript"/>
          <w:lang w:val="es"/>
        </w:rPr>
        <w:footnoteReference w:id="41"/>
      </w:r>
      <w:r w:rsidRPr="00993D99">
        <w:rPr>
          <w:lang w:val="es"/>
        </w:rPr>
        <w:t>.</w:t>
      </w:r>
    </w:p>
    <w:p w14:paraId="073FC619" w14:textId="0A8AA1CA" w:rsidR="00993D99" w:rsidRPr="00993D99" w:rsidRDefault="00993D99" w:rsidP="001A0D63">
      <w:pPr>
        <w:pStyle w:val="SingleTxtG"/>
        <w:numPr>
          <w:ilvl w:val="0"/>
          <w:numId w:val="17"/>
        </w:numPr>
        <w:ind w:left="1134" w:firstLine="0"/>
        <w:rPr>
          <w:lang w:val="es"/>
        </w:rPr>
      </w:pPr>
      <w:r w:rsidRPr="00993D99">
        <w:rPr>
          <w:lang w:val="es"/>
        </w:rPr>
        <w:t>Durante las elecciones generales del 2020, la Asamblea Legislativa estaba integrada por 81 mujeres y 85 hombres, de este número, 61 fueron diputadas y 69 diputados</w:t>
      </w:r>
      <w:r w:rsidRPr="00993D99">
        <w:rPr>
          <w:vertAlign w:val="superscript"/>
          <w:lang w:val="es"/>
        </w:rPr>
        <w:footnoteReference w:id="42"/>
      </w:r>
      <w:r w:rsidRPr="00993D99">
        <w:rPr>
          <w:lang w:val="es"/>
        </w:rPr>
        <w:t>. En las elecciones subnacionales del 2021 de los 39 cargos electos para los órganos ejecutivos de los nueve GADs, únicamente diez cargos fueron ocupados por mujeres</w:t>
      </w:r>
      <w:r w:rsidRPr="00993D99">
        <w:rPr>
          <w:vertAlign w:val="superscript"/>
          <w:lang w:val="es"/>
        </w:rPr>
        <w:footnoteReference w:id="43"/>
      </w:r>
      <w:r w:rsidRPr="00993D99">
        <w:rPr>
          <w:lang w:val="es"/>
        </w:rPr>
        <w:t>.</w:t>
      </w:r>
    </w:p>
    <w:p w14:paraId="349F710B" w14:textId="3C7D037B" w:rsidR="00993D99" w:rsidRPr="00993D99" w:rsidRDefault="00993D99" w:rsidP="001A0D63">
      <w:pPr>
        <w:pStyle w:val="SingleTxtG"/>
        <w:numPr>
          <w:ilvl w:val="0"/>
          <w:numId w:val="17"/>
        </w:numPr>
        <w:ind w:left="1134" w:firstLine="0"/>
        <w:rPr>
          <w:lang w:val="es"/>
        </w:rPr>
      </w:pPr>
      <w:r w:rsidRPr="00993D99">
        <w:rPr>
          <w:lang w:val="es"/>
        </w:rPr>
        <w:t>En las elecciones generales de 2025 se eligieron a 21 mujeres y 15 hombres en las senadurías. En la cámara baja se cuenta con 66 diputadas y 64 diputados</w:t>
      </w:r>
      <w:r w:rsidRPr="00993D99">
        <w:rPr>
          <w:vertAlign w:val="superscript"/>
          <w:lang w:val="es"/>
        </w:rPr>
        <w:footnoteReference w:id="44"/>
      </w:r>
      <w:r w:rsidRPr="00993D99">
        <w:rPr>
          <w:lang w:val="es"/>
        </w:rPr>
        <w:t>. Respecto a las elecciones generales, se han observado avances en la participación política de las mujeres, sumando ambas cámaras notamos que las mujeres ocupan un 52,4% de la Asamblea, lo que genera una mayoría inédita desde el retorno a la democracia.</w:t>
      </w:r>
    </w:p>
    <w:p w14:paraId="63C0832B" w14:textId="2D6C60FA" w:rsidR="00993D99" w:rsidRPr="00993D99" w:rsidRDefault="00993D99" w:rsidP="001A0D63">
      <w:pPr>
        <w:pStyle w:val="SingleTxtG"/>
        <w:numPr>
          <w:ilvl w:val="0"/>
          <w:numId w:val="17"/>
        </w:numPr>
        <w:ind w:left="1134" w:firstLine="0"/>
        <w:rPr>
          <w:lang w:val="es"/>
        </w:rPr>
      </w:pPr>
      <w:r w:rsidRPr="00993D99">
        <w:rPr>
          <w:lang w:val="es"/>
        </w:rPr>
        <w:t>En las elecciones Subnacionales 2026, se eligieron 31 alcaldesas y 304 alcaldes; 2 gobernadoras y 7 gobernadores, 216 asambleístas departamentales mujeres y 235 varones; 1.816 concejalas municipales y 1.840 concejales municipales; 10 mujeres corregidoras y 9 corregidores</w:t>
      </w:r>
      <w:r w:rsidRPr="00993D99">
        <w:rPr>
          <w:vertAlign w:val="superscript"/>
          <w:lang w:val="es"/>
        </w:rPr>
        <w:footnoteReference w:id="45"/>
      </w:r>
      <w:r w:rsidRPr="00993D99">
        <w:rPr>
          <w:lang w:val="es"/>
        </w:rPr>
        <w:t>. En total se eligieron a 2.088 autoridades mujeres y 2.415. Estos resultados permiten observar que, si bien puede existir paridad en las listas, en las elecciones subnacionales es menos probable contar con paridad en autoridades electas. Por otro lado, es evidente, que el principio de paridad tiende a cumplirse en los órganos legislativos, no ocurre lo mismo en los ejecutivos.</w:t>
      </w:r>
    </w:p>
    <w:p w14:paraId="6B74F018" w14:textId="526399BE" w:rsidR="00993D99" w:rsidRPr="00993D99" w:rsidRDefault="00993D99" w:rsidP="001A0D63">
      <w:pPr>
        <w:pStyle w:val="SingleTxtG"/>
        <w:numPr>
          <w:ilvl w:val="0"/>
          <w:numId w:val="17"/>
        </w:numPr>
        <w:ind w:left="1134" w:firstLine="0"/>
        <w:rPr>
          <w:lang w:val="es"/>
        </w:rPr>
      </w:pPr>
      <w:r w:rsidRPr="00993D99">
        <w:rPr>
          <w:lang w:val="es"/>
        </w:rPr>
        <w:t>Con el objetivo de contar con un número mayor de representantes mujeres en los órganos ejecutivos, el TCP determinó, a través de la SCP 0040/2025, que, a partir de las elecciones de 2030, las OP estarán obligadas a postular binomios paritarios para la presidencia y vicepresidencia.</w:t>
      </w:r>
    </w:p>
    <w:p w14:paraId="002BC302" w14:textId="37B92D69" w:rsidR="00993D99" w:rsidRPr="00993D99" w:rsidRDefault="000A2085" w:rsidP="000A2085">
      <w:pPr>
        <w:pStyle w:val="H23G"/>
        <w:rPr>
          <w:lang w:val="es"/>
        </w:rPr>
      </w:pPr>
      <w:r>
        <w:rPr>
          <w:lang w:val="es"/>
        </w:rPr>
        <w:tab/>
      </w:r>
      <w:r>
        <w:rPr>
          <w:lang w:val="es"/>
        </w:rPr>
        <w:tab/>
      </w:r>
      <w:r w:rsidR="00993D99" w:rsidRPr="00993D99">
        <w:rPr>
          <w:lang w:val="es"/>
        </w:rPr>
        <w:t>Mujeres en las relaciones exteriores</w:t>
      </w:r>
    </w:p>
    <w:p w14:paraId="29E4C1A0" w14:textId="2285989A" w:rsidR="00993D99" w:rsidRPr="00993D99" w:rsidRDefault="00993D99" w:rsidP="001A0D63">
      <w:pPr>
        <w:pStyle w:val="SingleTxtG"/>
        <w:numPr>
          <w:ilvl w:val="0"/>
          <w:numId w:val="17"/>
        </w:numPr>
        <w:ind w:left="1134" w:firstLine="0"/>
        <w:rPr>
          <w:lang w:val="es"/>
        </w:rPr>
      </w:pPr>
      <w:r w:rsidRPr="00993D99">
        <w:rPr>
          <w:lang w:val="es"/>
        </w:rPr>
        <w:t>El Estado se encuentra revisando y aprobando el reglamento de la Ley N° 465 del Servicio de Relaciones Exteriores, bajo una línea de meritocracia con enfoque de equidad de género. Para que esta sea efectiva y no formal, los proyectos incorporan garantías procedimentales que evitan que los criterios de evaluación perpetúen desventajas estructurales.</w:t>
      </w:r>
    </w:p>
    <w:p w14:paraId="47E4DCCF" w14:textId="31C8C1EF" w:rsidR="00993D99" w:rsidRPr="00993D99" w:rsidRDefault="00993D99" w:rsidP="001A0D63">
      <w:pPr>
        <w:pStyle w:val="SingleTxtG"/>
        <w:numPr>
          <w:ilvl w:val="0"/>
          <w:numId w:val="17"/>
        </w:numPr>
        <w:ind w:left="1134" w:firstLine="0"/>
        <w:rPr>
          <w:vertAlign w:val="superscript"/>
          <w:lang w:val="es"/>
        </w:rPr>
      </w:pPr>
      <w:r w:rsidRPr="00993D99">
        <w:rPr>
          <w:lang w:val="es"/>
        </w:rPr>
        <w:t>En este sentido, los criterios para calificar el mérito, producción académica, años de servicio y desempeño se aplican uniformemente, asegurando que los comités operen con objetividad y sin sesgos de género. Asimismo, el reglamento prevé que la maternidad, lactancia o licencias de cuidado familiar no suspendan los derechos de antigüedad ni penalicen el tiempo de servicio para ascensos. También se incorporan Comisiones de Evaluación Equitativas que promueven la participación de funcionarias para asegurar la pluralidad de perspectivas. De este modo, no se establecen privilegios ni se alteran los requisitos técnicos, garantizando un entorno que no penalice el desarrollo personal o familiar</w:t>
      </w:r>
      <w:r w:rsidRPr="00993D99">
        <w:rPr>
          <w:vertAlign w:val="superscript"/>
          <w:lang w:val="es"/>
        </w:rPr>
        <w:footnoteReference w:id="46"/>
      </w:r>
      <w:r w:rsidRPr="00993D99">
        <w:rPr>
          <w:lang w:val="es"/>
        </w:rPr>
        <w:t>.</w:t>
      </w:r>
    </w:p>
    <w:p w14:paraId="31F7D694" w14:textId="63B71BB9" w:rsidR="00993D99" w:rsidRPr="00993D99" w:rsidRDefault="00993D99" w:rsidP="001A0D63">
      <w:pPr>
        <w:pStyle w:val="SingleTxtG"/>
        <w:numPr>
          <w:ilvl w:val="0"/>
          <w:numId w:val="17"/>
        </w:numPr>
        <w:ind w:left="1134" w:firstLine="0"/>
        <w:rPr>
          <w:lang w:val="es"/>
        </w:rPr>
      </w:pPr>
      <w:r w:rsidRPr="00993D99">
        <w:rPr>
          <w:lang w:val="es"/>
        </w:rPr>
        <w:lastRenderedPageBreak/>
        <w:t>En el marco de la “Cumbre Iberoamericana de Despatriarcalización” de 2025, Bolivia planteó su política exterior con enfoque feminista, descolonizador y despatriarcalizador, construida colectivamente con organizaciones sociales, colectivos comunitarios, sociedad civil y trabajadoras del MRE. Esta política busca romper las estructuras patriarcales, teniendo como pilar la incorporación de más mujeres en los espacios de decisión internacional</w:t>
      </w:r>
      <w:r w:rsidRPr="00993D99">
        <w:rPr>
          <w:vertAlign w:val="superscript"/>
          <w:lang w:val="es"/>
        </w:rPr>
        <w:footnoteReference w:id="47"/>
      </w:r>
      <w:r w:rsidRPr="00993D99">
        <w:rPr>
          <w:lang w:val="es"/>
        </w:rPr>
        <w:t>.</w:t>
      </w:r>
    </w:p>
    <w:p w14:paraId="0BEFBC64" w14:textId="0C636AC9" w:rsidR="00993D99" w:rsidRPr="00993D99" w:rsidRDefault="00993D99" w:rsidP="001A0D63">
      <w:pPr>
        <w:pStyle w:val="SingleTxtG"/>
        <w:numPr>
          <w:ilvl w:val="0"/>
          <w:numId w:val="17"/>
        </w:numPr>
        <w:ind w:left="1134" w:firstLine="0"/>
        <w:rPr>
          <w:lang w:val="es"/>
        </w:rPr>
      </w:pPr>
      <w:r w:rsidRPr="00993D99">
        <w:rPr>
          <w:lang w:val="es"/>
        </w:rPr>
        <w:t>Entre 2019 y 2025, se incorporaron al servicio exterior 309 mujeres y 339 hombres. El ingreso de mujeres fue de 171 entre 2020-2021, 33 entre 2022-2023 y 53 entre 2024-2025, mostrando una recuperación en los últimos dos años. No obstante, la reducción del presupuesto estatal afectó significativamente la contratación total en el periodo 2022-2025.</w:t>
      </w:r>
    </w:p>
    <w:p w14:paraId="071B0CE4" w14:textId="06605868" w:rsidR="00993D99" w:rsidRPr="00993D99" w:rsidRDefault="00993D99" w:rsidP="001A0D63">
      <w:pPr>
        <w:pStyle w:val="SingleTxtG"/>
        <w:numPr>
          <w:ilvl w:val="0"/>
          <w:numId w:val="17"/>
        </w:numPr>
        <w:ind w:left="1134" w:firstLine="0"/>
        <w:rPr>
          <w:lang w:val="es"/>
        </w:rPr>
      </w:pPr>
      <w:r w:rsidRPr="00993D99">
        <w:rPr>
          <w:lang w:val="es"/>
        </w:rPr>
        <w:t>Entre las gestiones 2019 y 2025 se incorporó al servicio exterior, con categoría superior, a 51 mujeres y 106 hombres. Estos datos muestran el desafío pendiente de superar las diferencias estructurales que priorizan a los hombres en puestos jerárquicos. No obstante, se busca replicar la composición actual del Servicio Central de la diplomacia boliviana donde, de 20 cargos de alto nivel (ministro, viceministros y directores), 9 son ejercidos por mujeres y 11 por hombres, reflejando un avance significativo respecto a gestiones anteriores</w:t>
      </w:r>
      <w:r w:rsidRPr="00993D99">
        <w:rPr>
          <w:vertAlign w:val="superscript"/>
          <w:lang w:val="es"/>
        </w:rPr>
        <w:footnoteReference w:id="48"/>
      </w:r>
      <w:r w:rsidRPr="00993D99">
        <w:rPr>
          <w:lang w:val="es"/>
        </w:rPr>
        <w:t>.</w:t>
      </w:r>
    </w:p>
    <w:p w14:paraId="33CA4206" w14:textId="304573CC" w:rsidR="00993D99" w:rsidRPr="00993D99" w:rsidRDefault="000A2085" w:rsidP="000A2085">
      <w:pPr>
        <w:pStyle w:val="H23G"/>
        <w:rPr>
          <w:lang w:val="es"/>
        </w:rPr>
      </w:pPr>
      <w:r>
        <w:rPr>
          <w:lang w:val="es"/>
        </w:rPr>
        <w:tab/>
      </w:r>
      <w:r>
        <w:rPr>
          <w:lang w:val="es"/>
        </w:rPr>
        <w:tab/>
      </w:r>
      <w:r w:rsidR="00993D99" w:rsidRPr="00993D99">
        <w:rPr>
          <w:lang w:val="es"/>
        </w:rPr>
        <w:t>Igual derecho a ocupar cargos de juez, abogado u otros oficiales judiciales</w:t>
      </w:r>
    </w:p>
    <w:p w14:paraId="312E84DB" w14:textId="3544C3C3" w:rsidR="00993D99" w:rsidRPr="00993D99" w:rsidRDefault="00993D99" w:rsidP="001A0D63">
      <w:pPr>
        <w:pStyle w:val="SingleTxtG"/>
        <w:numPr>
          <w:ilvl w:val="0"/>
          <w:numId w:val="17"/>
        </w:numPr>
        <w:ind w:left="1134" w:firstLine="0"/>
        <w:rPr>
          <w:lang w:val="es"/>
        </w:rPr>
      </w:pPr>
      <w:r w:rsidRPr="00993D99">
        <w:rPr>
          <w:lang w:val="es"/>
        </w:rPr>
        <w:t>La CPE y el ordenamiento jurídico boliviano garantizan a las mujeres el derecho a ejercer como juezas, abogadas y otros cargos en la administración de justicia. Este derecho se sustenta en la Ley N° 025 del OJ, que regula la carrera judicial sin restricciones por razón de sexo. Actualmente, Bolivia cuenta con 268 Fiscales de Materia mujeres.</w:t>
      </w:r>
    </w:p>
    <w:p w14:paraId="3159F163" w14:textId="0CAD6D5C" w:rsidR="00993D99" w:rsidRPr="00993D99" w:rsidRDefault="000A2085" w:rsidP="000A2085">
      <w:pPr>
        <w:pStyle w:val="H1G"/>
        <w:rPr>
          <w:lang w:val="es"/>
        </w:rPr>
      </w:pPr>
      <w:r>
        <w:rPr>
          <w:lang w:val="es"/>
        </w:rPr>
        <w:tab/>
      </w:r>
      <w:r>
        <w:rPr>
          <w:lang w:val="es"/>
        </w:rPr>
        <w:tab/>
      </w:r>
      <w:r w:rsidR="00993D99" w:rsidRPr="00993D99">
        <w:rPr>
          <w:lang w:val="es"/>
        </w:rPr>
        <w:t>Artículo 9</w:t>
      </w:r>
    </w:p>
    <w:p w14:paraId="01D169C7" w14:textId="29DAB504" w:rsidR="00993D99" w:rsidRPr="00993D99" w:rsidRDefault="000A2085" w:rsidP="000A2085">
      <w:pPr>
        <w:pStyle w:val="H23G"/>
        <w:rPr>
          <w:lang w:val="es"/>
        </w:rPr>
      </w:pPr>
      <w:r>
        <w:rPr>
          <w:lang w:val="es"/>
        </w:rPr>
        <w:tab/>
      </w:r>
      <w:r>
        <w:rPr>
          <w:lang w:val="es"/>
        </w:rPr>
        <w:tab/>
      </w:r>
      <w:r w:rsidR="00993D99" w:rsidRPr="00993D99">
        <w:rPr>
          <w:lang w:val="es"/>
        </w:rPr>
        <w:t xml:space="preserve">Identidad para personas en situación de vulnerabilidad. </w:t>
      </w:r>
    </w:p>
    <w:p w14:paraId="59D39AE2" w14:textId="597D6903" w:rsidR="00993D99" w:rsidRPr="00993D99" w:rsidRDefault="00993D99" w:rsidP="001A0D63">
      <w:pPr>
        <w:pStyle w:val="SingleTxtG"/>
        <w:numPr>
          <w:ilvl w:val="0"/>
          <w:numId w:val="17"/>
        </w:numPr>
        <w:ind w:left="1134" w:firstLine="0"/>
        <w:rPr>
          <w:lang w:val="es"/>
        </w:rPr>
      </w:pPr>
      <w:r w:rsidRPr="00993D99">
        <w:rPr>
          <w:lang w:val="es"/>
        </w:rPr>
        <w:t>En 2022 y 2023 el SERECI, implementó la campaña "Mujeres con Identidad", en coordinación con la Casa de la Mujer en Santa Cruz, que garantiza la emisión y saneamiento de documentos de identidad para mujeres y NNA en situación de violencia. Complementariamente, despliega brigadas a comunidades IOC para registrar nacimientos y emitir certificaciones gratuitas, en coordinación con el BJA y el SEGIP, para consolidar el derecho a la identidad de la población más vulnerable.</w:t>
      </w:r>
    </w:p>
    <w:p w14:paraId="25E9B4A9" w14:textId="238513C2" w:rsidR="00993D99" w:rsidRPr="00993D99" w:rsidRDefault="00993D99" w:rsidP="001A0D63">
      <w:pPr>
        <w:pStyle w:val="SingleTxtG"/>
        <w:numPr>
          <w:ilvl w:val="0"/>
          <w:numId w:val="17"/>
        </w:numPr>
        <w:ind w:left="1134" w:firstLine="0"/>
        <w:rPr>
          <w:lang w:val="es"/>
        </w:rPr>
      </w:pPr>
      <w:r w:rsidRPr="00993D99">
        <w:rPr>
          <w:lang w:val="es"/>
        </w:rPr>
        <w:t>El Estado promulgó el D.S. 4655 en 2022, que establece la emisión gratuita de cédulas de identidad para NNA, coordinando el SEGIP con entidades de asistencia social. Así, el SEGIP y la Fundación ALALAY impulsaron la campaña "Mi Identidad, mi Derecho" para NNA en situación de calle. Complementariamente, implementó brigadas móviles y "SEGIP a Domicilio" para atender a PAM y personas con movilidad reducida, además de entregar cédulas a personas privadas de libertad. También despliega brigadas en municipios afectados por desastres naturales para reponer cédulas extraviadas o deterioradas por eventos climatológicos, permitiendo regularizar la documentación personal.</w:t>
      </w:r>
    </w:p>
    <w:p w14:paraId="11C478BC" w14:textId="7CB9F4FD" w:rsidR="00993D99" w:rsidRPr="00993D99" w:rsidRDefault="000A2085" w:rsidP="000A2085">
      <w:pPr>
        <w:pStyle w:val="H1G"/>
        <w:rPr>
          <w:lang w:val="es"/>
        </w:rPr>
      </w:pPr>
      <w:r>
        <w:rPr>
          <w:lang w:val="es"/>
        </w:rPr>
        <w:tab/>
      </w:r>
      <w:r>
        <w:rPr>
          <w:lang w:val="es"/>
        </w:rPr>
        <w:tab/>
      </w:r>
      <w:r w:rsidR="00993D99" w:rsidRPr="00993D99">
        <w:rPr>
          <w:lang w:val="es"/>
        </w:rPr>
        <w:t>Artículo 10</w:t>
      </w:r>
    </w:p>
    <w:p w14:paraId="14369EBD" w14:textId="0A5FE30D" w:rsidR="00993D99" w:rsidRPr="00993D99" w:rsidRDefault="000A2085" w:rsidP="000A2085">
      <w:pPr>
        <w:pStyle w:val="H23G"/>
        <w:rPr>
          <w:lang w:val="es"/>
        </w:rPr>
      </w:pPr>
      <w:r>
        <w:rPr>
          <w:lang w:val="es"/>
        </w:rPr>
        <w:tab/>
      </w:r>
      <w:r>
        <w:rPr>
          <w:lang w:val="es"/>
        </w:rPr>
        <w:tab/>
      </w:r>
      <w:r w:rsidR="00993D99" w:rsidRPr="00993D99">
        <w:rPr>
          <w:lang w:val="es"/>
        </w:rPr>
        <w:t xml:space="preserve">Educación </w:t>
      </w:r>
    </w:p>
    <w:p w14:paraId="264AEB06" w14:textId="4F9F6727" w:rsidR="00993D99" w:rsidRPr="00993D99" w:rsidRDefault="00993D99" w:rsidP="001A0D63">
      <w:pPr>
        <w:pStyle w:val="SingleTxtG"/>
        <w:numPr>
          <w:ilvl w:val="0"/>
          <w:numId w:val="17"/>
        </w:numPr>
        <w:ind w:left="1134" w:firstLine="0"/>
        <w:rPr>
          <w:lang w:val="es"/>
        </w:rPr>
      </w:pPr>
      <w:r w:rsidRPr="00993D99">
        <w:rPr>
          <w:lang w:val="es"/>
        </w:rPr>
        <w:t>La Ley N° 070 de Educación “Avelino Siñani - Elizardo Pérez” garantiza la educación universal, gratuita, intercultural, intracultural y plurilingüe, sin discriminación, en todo el sistema educativo.</w:t>
      </w:r>
    </w:p>
    <w:p w14:paraId="2AB08499" w14:textId="7435F028" w:rsidR="00993D99" w:rsidRPr="00993D99" w:rsidRDefault="00993D99" w:rsidP="001A0D63">
      <w:pPr>
        <w:pStyle w:val="SingleTxtG"/>
        <w:numPr>
          <w:ilvl w:val="0"/>
          <w:numId w:val="17"/>
        </w:numPr>
        <w:ind w:left="1134" w:firstLine="0"/>
        <w:rPr>
          <w:lang w:val="es"/>
        </w:rPr>
      </w:pPr>
      <w:r w:rsidRPr="00993D99">
        <w:rPr>
          <w:lang w:val="es"/>
        </w:rPr>
        <w:t xml:space="preserve">En atención a la recomendación del Comité de promover la matriculación de estudiantes en situaciones vulnerables, desde 2023, las NGGE facilitan la inscripción de estudiantes que no cuenten con documentos (extranjeros en situación extrema y estudiantes en desventaja social o vulnerabilidad) a través de un Formulario de Declaración Jurada de </w:t>
      </w:r>
      <w:r w:rsidRPr="00993D99">
        <w:rPr>
          <w:lang w:val="es"/>
        </w:rPr>
        <w:lastRenderedPageBreak/>
        <w:t>Buena Fe. En ningún caso se limita el acceso y ejercicio del derecho a la educación.</w:t>
      </w:r>
      <w:r w:rsidRPr="00993D99">
        <w:rPr>
          <w:vertAlign w:val="superscript"/>
          <w:lang w:val="es"/>
        </w:rPr>
        <w:footnoteReference w:id="49"/>
      </w:r>
      <w:r w:rsidRPr="00993D99">
        <w:rPr>
          <w:lang w:val="es"/>
        </w:rPr>
        <w:t xml:space="preserve"> Asimismo, las NGGE promueven los idiomas de las NPIOCS, desde 2022 establecen que, en contextos educativos indígenas con la lengua en situación de riesgo, debe priorizarse la designación de maestros hablantes del idioma originario</w:t>
      </w:r>
      <w:r w:rsidRPr="00993D99">
        <w:rPr>
          <w:vertAlign w:val="superscript"/>
          <w:lang w:val="es"/>
        </w:rPr>
        <w:footnoteReference w:id="50"/>
      </w:r>
      <w:r w:rsidRPr="00993D99">
        <w:rPr>
          <w:lang w:val="es"/>
        </w:rPr>
        <w:t>.</w:t>
      </w:r>
    </w:p>
    <w:p w14:paraId="50DBB979" w14:textId="395CD9C3" w:rsidR="00993D99" w:rsidRPr="00993D99" w:rsidRDefault="00993D99" w:rsidP="001A0D63">
      <w:pPr>
        <w:pStyle w:val="SingleTxtG"/>
        <w:numPr>
          <w:ilvl w:val="0"/>
          <w:numId w:val="17"/>
        </w:numPr>
        <w:ind w:left="1134" w:firstLine="0"/>
        <w:rPr>
          <w:lang w:val="es"/>
        </w:rPr>
      </w:pPr>
      <w:r w:rsidRPr="00993D99">
        <w:rPr>
          <w:lang w:val="es"/>
        </w:rPr>
        <w:t>Además de los currículos regionalizados de los que tiene conocimiento el Comité (Anexo 3), las Universidades Indígenas han incorporado los valores, el enfoque de inclusión y promoción de derechos de mujeres desde la perspectiva de los PIOCs. Estas universidades coordinan con organizaciones de mujeres para facilitar el acceso a formación superior a estudiantes provenientes de las comunidades indígenas, acorde a sus necesidades.</w:t>
      </w:r>
    </w:p>
    <w:p w14:paraId="18673345" w14:textId="529A33F4" w:rsidR="00993D99" w:rsidRPr="00993D99" w:rsidRDefault="00993D99" w:rsidP="001A0D63">
      <w:pPr>
        <w:pStyle w:val="SingleTxtG"/>
        <w:numPr>
          <w:ilvl w:val="0"/>
          <w:numId w:val="17"/>
        </w:numPr>
        <w:ind w:left="1134" w:firstLine="0"/>
        <w:rPr>
          <w:lang w:val="es"/>
        </w:rPr>
      </w:pPr>
      <w:r w:rsidRPr="00993D99">
        <w:rPr>
          <w:lang w:val="es"/>
        </w:rPr>
        <w:t>Entre 2011 y 2025, el Programa Nacional de Postalfabetización desarrolló acciones de captación, sensibilización e incorporación de mujeres adultas y adultas mayores para promover su acceso a procesos educativos inclusivos. Como resultado se logró alfabetizar a 106.887 mujeres a nivel nacional, fortaleciendo sus capacidades de lectura, escritura y cálculo básico</w:t>
      </w:r>
      <w:r w:rsidRPr="00993D99">
        <w:rPr>
          <w:vertAlign w:val="superscript"/>
          <w:lang w:val="es"/>
        </w:rPr>
        <w:footnoteReference w:id="51"/>
      </w:r>
      <w:r w:rsidRPr="00993D99">
        <w:rPr>
          <w:lang w:val="es"/>
        </w:rPr>
        <w:t>.</w:t>
      </w:r>
    </w:p>
    <w:p w14:paraId="49281F70" w14:textId="73A38827" w:rsidR="00993D99" w:rsidRPr="00993D99" w:rsidRDefault="00993D99" w:rsidP="001A0D63">
      <w:pPr>
        <w:pStyle w:val="SingleTxtG"/>
        <w:numPr>
          <w:ilvl w:val="0"/>
          <w:numId w:val="17"/>
        </w:numPr>
        <w:ind w:left="1134" w:firstLine="0"/>
        <w:rPr>
          <w:lang w:val="es"/>
        </w:rPr>
      </w:pPr>
      <w:bookmarkStart w:id="4" w:name="_heading=h.mlmku1keehg5" w:colFirst="0" w:colLast="0"/>
      <w:bookmarkStart w:id="5" w:name="_heading=h.r0bwpmp75cj9" w:colFirst="0" w:colLast="0"/>
      <w:bookmarkEnd w:id="4"/>
      <w:bookmarkEnd w:id="5"/>
      <w:r w:rsidRPr="00993D99">
        <w:rPr>
          <w:lang w:val="es"/>
        </w:rPr>
        <w:t>El ME aplica una política de tolerancia cero a la VRG y la violencia sexual con base en la “Estrategia de Lucha contra la Violencia en el Ámbito Educativo (ELCVAE)”</w:t>
      </w:r>
      <w:r w:rsidRPr="00993D99">
        <w:rPr>
          <w:vertAlign w:val="superscript"/>
          <w:lang w:val="es"/>
        </w:rPr>
        <w:footnoteReference w:id="52"/>
      </w:r>
      <w:r w:rsidRPr="00993D99">
        <w:rPr>
          <w:lang w:val="es"/>
        </w:rPr>
        <w:t>, aprobada en 2025. Se trata de un plan integral que articula al ME, MG, MSyD y el VIODyD con 73 acciones concretas distribuidas en 6 componentes: gestión institucional, curricular, formación docente, comunitaria, comunicacional y monitoreo. En este esquema, el CONACVAE, creado en 2024, y conformado por el ME, las direcciones departamentales, organizaciones de Madres y Padres de Familia, estudiantes y pueblos IOCs; es la instancia de seguimiento y evaluación</w:t>
      </w:r>
      <w:r w:rsidRPr="00993D99">
        <w:rPr>
          <w:vertAlign w:val="superscript"/>
          <w:lang w:val="es"/>
        </w:rPr>
        <w:footnoteReference w:id="53"/>
      </w:r>
      <w:r w:rsidRPr="00993D99">
        <w:rPr>
          <w:lang w:val="es"/>
        </w:rPr>
        <w:t>.</w:t>
      </w:r>
    </w:p>
    <w:p w14:paraId="0B70FC6D" w14:textId="0BAE4102" w:rsidR="00993D99" w:rsidRPr="00993D99" w:rsidRDefault="00993D99" w:rsidP="001A0D63">
      <w:pPr>
        <w:pStyle w:val="SingleTxtG"/>
        <w:numPr>
          <w:ilvl w:val="0"/>
          <w:numId w:val="17"/>
        </w:numPr>
        <w:ind w:left="1134" w:firstLine="0"/>
        <w:rPr>
          <w:lang w:val="es"/>
        </w:rPr>
      </w:pPr>
      <w:r w:rsidRPr="00993D99">
        <w:rPr>
          <w:lang w:val="es"/>
        </w:rPr>
        <w:t>En el marco del D.S. N° 1302 (modificado por el D.S. N° 1320) que obliga a las autoridades educativas a denunciar y coadyuvar en la acción penal, el ME reporta 972 procesos penales a mayo de 2026. Del total de procesos, el 20,5% culminó con sentencia condenatoria ejecutoriada, y cerca del 40% se encuentra en proceso de resolución</w:t>
      </w:r>
      <w:r w:rsidRPr="00993D99">
        <w:rPr>
          <w:vertAlign w:val="superscript"/>
          <w:lang w:val="es"/>
        </w:rPr>
        <w:footnoteReference w:id="54"/>
      </w:r>
      <w:r w:rsidRPr="00993D99">
        <w:rPr>
          <w:lang w:val="es"/>
        </w:rPr>
        <w:t>.</w:t>
      </w:r>
    </w:p>
    <w:p w14:paraId="2D355144" w14:textId="26F32E60" w:rsidR="00993D99" w:rsidRPr="00993D99" w:rsidRDefault="00993D99" w:rsidP="001A0D63">
      <w:pPr>
        <w:pStyle w:val="SingleTxtG"/>
        <w:numPr>
          <w:ilvl w:val="0"/>
          <w:numId w:val="17"/>
        </w:numPr>
        <w:ind w:left="1134" w:firstLine="0"/>
        <w:rPr>
          <w:lang w:val="es"/>
        </w:rPr>
      </w:pPr>
      <w:r w:rsidRPr="00993D99">
        <w:rPr>
          <w:lang w:val="es"/>
        </w:rPr>
        <w:t>El SEPMUD diseñó el Programa “Voces Protegidas: Alerta Temprana Escolar” que opera bajo un modelo de prevención comunitaria mediante la capacitación de docentes, estudiantes y familias para identificar oportunamente situaciones de violencia y activar rutas de denuncia. Asimismo, el SEPMUD promueve el monitoreo de datos e indicadores a través de la articulación con los sistemas de registro oficial, vinculados a violencia en el ámbito educativo</w:t>
      </w:r>
      <w:r w:rsidRPr="00993D99">
        <w:rPr>
          <w:vertAlign w:val="superscript"/>
          <w:lang w:val="es"/>
        </w:rPr>
        <w:footnoteReference w:id="55"/>
      </w:r>
      <w:r w:rsidRPr="00993D99">
        <w:rPr>
          <w:lang w:val="es"/>
        </w:rPr>
        <w:t>.</w:t>
      </w:r>
    </w:p>
    <w:p w14:paraId="717B6C9A" w14:textId="46136E9D" w:rsidR="00993D99" w:rsidRPr="00993D99" w:rsidRDefault="00993D99" w:rsidP="001A0D63">
      <w:pPr>
        <w:pStyle w:val="SingleTxtG"/>
        <w:numPr>
          <w:ilvl w:val="0"/>
          <w:numId w:val="17"/>
        </w:numPr>
        <w:ind w:left="1134" w:firstLine="0"/>
        <w:rPr>
          <w:lang w:val="es"/>
        </w:rPr>
      </w:pPr>
      <w:r w:rsidRPr="00993D99">
        <w:rPr>
          <w:lang w:val="es"/>
        </w:rPr>
        <w:t>Según el INE, en 2025 persistió una brecha de género en el acceso a la educación, con 104,8 mil hombres más que mujeres matriculadas a nivel nacional, brecha que se profundiza en el área rural (81,7 mil) frente a la urbana (23 mil). En educación superior, en cambio, se registra una mayor participación femenina, con 21,9 mil mujeres frente a 18,6 mil hombres en 2025</w:t>
      </w:r>
      <w:r w:rsidRPr="00993D99">
        <w:rPr>
          <w:vertAlign w:val="superscript"/>
          <w:lang w:val="es"/>
        </w:rPr>
        <w:footnoteReference w:id="56"/>
      </w:r>
      <w:r w:rsidRPr="00993D99">
        <w:rPr>
          <w:lang w:val="es"/>
        </w:rPr>
        <w:t>.</w:t>
      </w:r>
    </w:p>
    <w:p w14:paraId="2702340D" w14:textId="22CFD1E1" w:rsidR="00993D99" w:rsidRPr="00993D99" w:rsidRDefault="00993D99" w:rsidP="001A0D63">
      <w:pPr>
        <w:pStyle w:val="SingleTxtG"/>
        <w:numPr>
          <w:ilvl w:val="0"/>
          <w:numId w:val="17"/>
        </w:numPr>
        <w:ind w:left="1134" w:firstLine="0"/>
        <w:rPr>
          <w:lang w:val="es"/>
        </w:rPr>
      </w:pPr>
      <w:r w:rsidRPr="00993D99">
        <w:rPr>
          <w:lang w:val="es"/>
        </w:rPr>
        <w:t>Entre 2022 y 2025 el número de mujeres tituladas en carreras de ciencia, tecnología, ingeniería y matemática oscila entre 4.500 y 6,000. Sin embargo, el SEPMUD advierte que, pese a las iniciativas para incluir a las mujeres en estas carreras, los indicadores alertan que su matriculación en universidades públicas en dichas carreras ha ido decreciendo, pasando de 30,1% en 2021 a 24,2% en 2023.</w:t>
      </w:r>
    </w:p>
    <w:p w14:paraId="2D066BB6" w14:textId="1F105569" w:rsidR="00993D99" w:rsidRPr="00993D99" w:rsidRDefault="00993D99" w:rsidP="001A0D63">
      <w:pPr>
        <w:pStyle w:val="SingleTxtG"/>
        <w:numPr>
          <w:ilvl w:val="0"/>
          <w:numId w:val="17"/>
        </w:numPr>
        <w:ind w:left="1134" w:firstLine="0"/>
        <w:rPr>
          <w:lang w:val="es"/>
        </w:rPr>
      </w:pPr>
      <w:r w:rsidRPr="00993D99">
        <w:rPr>
          <w:lang w:val="es"/>
        </w:rPr>
        <w:t xml:space="preserve">El ME aprobó el “Reglamento de Prevención de Embarazos y Parentalidades Tempranas y Garantizar el Derecho a la Educación de Estudiantes en Situación de Embarazo, </w:t>
      </w:r>
      <w:r w:rsidRPr="00993D99">
        <w:rPr>
          <w:lang w:val="es"/>
        </w:rPr>
        <w:lastRenderedPageBreak/>
        <w:t>Maternidad o Paternidad en Unidades Educativas”</w:t>
      </w:r>
      <w:r w:rsidRPr="00993D99">
        <w:rPr>
          <w:vertAlign w:val="superscript"/>
          <w:lang w:val="es"/>
        </w:rPr>
        <w:footnoteReference w:id="57"/>
      </w:r>
      <w:r w:rsidRPr="00993D99">
        <w:rPr>
          <w:lang w:val="es"/>
        </w:rPr>
        <w:t>. La norma asegura que los estudiantes puedan proseguir sus estudios. A diferencia de la norma anterior, establece criterios de prevención del embarazo en el ámbito educativo y amplía la atención educativa a estudiantes en situación de maternidad y paternidad.</w:t>
      </w:r>
    </w:p>
    <w:p w14:paraId="3F640E45" w14:textId="7FF71B86" w:rsidR="00993D99" w:rsidRPr="00993D99" w:rsidRDefault="00993D99" w:rsidP="001A0D63">
      <w:pPr>
        <w:pStyle w:val="SingleTxtG"/>
        <w:numPr>
          <w:ilvl w:val="0"/>
          <w:numId w:val="17"/>
        </w:numPr>
        <w:ind w:left="1134" w:firstLine="0"/>
        <w:rPr>
          <w:lang w:val="es"/>
        </w:rPr>
      </w:pPr>
      <w:bookmarkStart w:id="6" w:name="_heading=h.26mmdygum6vb" w:colFirst="0" w:colLast="0"/>
      <w:bookmarkEnd w:id="6"/>
      <w:r w:rsidRPr="00993D99">
        <w:rPr>
          <w:lang w:val="es"/>
        </w:rPr>
        <w:t>La ELCVAE incorpora la EIS mediante la incorporación de contenidos curriculares en la formación inicial en las ESFM, capacitación continua a docentes y autoridades educativas, programas de postgrado especializada en EIS y actividades dirigidas a madres y padres sobre prevención de la pornografía y crianza afectiva.</w:t>
      </w:r>
    </w:p>
    <w:p w14:paraId="7C844208" w14:textId="43E77061" w:rsidR="00993D99" w:rsidRPr="00993D99" w:rsidRDefault="00AD065D" w:rsidP="00AD065D">
      <w:pPr>
        <w:pStyle w:val="H1G"/>
        <w:rPr>
          <w:lang w:val="es"/>
        </w:rPr>
      </w:pPr>
      <w:r>
        <w:rPr>
          <w:lang w:val="es"/>
        </w:rPr>
        <w:tab/>
      </w:r>
      <w:r>
        <w:rPr>
          <w:lang w:val="es"/>
        </w:rPr>
        <w:tab/>
      </w:r>
      <w:r w:rsidR="00993D99" w:rsidRPr="00993D99">
        <w:rPr>
          <w:lang w:val="es"/>
        </w:rPr>
        <w:t xml:space="preserve">Artículo 11 </w:t>
      </w:r>
    </w:p>
    <w:p w14:paraId="31409E37" w14:textId="436B3FEC" w:rsidR="00993D99" w:rsidRPr="00993D99" w:rsidRDefault="004D10F3" w:rsidP="00AD065D">
      <w:pPr>
        <w:pStyle w:val="H23G"/>
        <w:rPr>
          <w:lang w:val="es"/>
        </w:rPr>
      </w:pPr>
      <w:r>
        <w:rPr>
          <w:lang w:val="es"/>
        </w:rPr>
        <w:tab/>
      </w:r>
      <w:r>
        <w:rPr>
          <w:lang w:val="es"/>
        </w:rPr>
        <w:tab/>
      </w:r>
      <w:r w:rsidR="00993D99" w:rsidRPr="00993D99">
        <w:rPr>
          <w:lang w:val="es"/>
        </w:rPr>
        <w:t>Acceso al empleo formal e igualdad en la remuneración</w:t>
      </w:r>
    </w:p>
    <w:p w14:paraId="514C24E1" w14:textId="40BC6784" w:rsidR="00993D99" w:rsidRPr="00993D99" w:rsidRDefault="00993D99" w:rsidP="001A0D63">
      <w:pPr>
        <w:pStyle w:val="SingleTxtG"/>
        <w:numPr>
          <w:ilvl w:val="0"/>
          <w:numId w:val="17"/>
        </w:numPr>
        <w:ind w:left="1134" w:firstLine="0"/>
        <w:rPr>
          <w:lang w:val="es"/>
        </w:rPr>
      </w:pPr>
      <w:r w:rsidRPr="00993D99">
        <w:rPr>
          <w:lang w:val="es"/>
        </w:rPr>
        <w:t>La adopción de medidas para promover el acceso de las mujeres al empleo formal estuvo orientada en gran medida en el PAE, implementado por el MTEPS. El Programa pasó de enfocarse en reducir la desocupación en servicios y comercio, a una segunda fase (PAE II, 2018-2023) articulada con el sector productivo y áreas estratégicas del Estado. El PAE II priorizó la inserción laboral de mujeres, PcD y otros grupos de vulnerables. Para la línea de madres con hijos menores de 5 años, el Programa no fija un límite de beneficiarias (meta abierta), lo que facilitó que cualquier madre que deseara reinsertarse o capacitarse fuera priorizada en el Servicio Público de Empleo</w:t>
      </w:r>
      <w:r w:rsidRPr="00993D99">
        <w:rPr>
          <w:vertAlign w:val="superscript"/>
          <w:lang w:val="es"/>
        </w:rPr>
        <w:footnoteReference w:id="58"/>
      </w:r>
      <w:r w:rsidRPr="00993D99">
        <w:rPr>
          <w:lang w:val="es"/>
        </w:rPr>
        <w:t>.</w:t>
      </w:r>
    </w:p>
    <w:p w14:paraId="4E8AD26F" w14:textId="1B0F42D7" w:rsidR="00993D99" w:rsidRPr="00993D99" w:rsidRDefault="00993D99" w:rsidP="001A0D63">
      <w:pPr>
        <w:pStyle w:val="SingleTxtG"/>
        <w:numPr>
          <w:ilvl w:val="0"/>
          <w:numId w:val="17"/>
        </w:numPr>
        <w:ind w:left="1134" w:firstLine="0"/>
        <w:rPr>
          <w:lang w:val="es"/>
        </w:rPr>
      </w:pPr>
      <w:r w:rsidRPr="00993D99">
        <w:rPr>
          <w:lang w:val="es"/>
        </w:rPr>
        <w:t>Las mujeres representaron el 51% de los beneficiarios insertados en empleos por el PAE II (5.760 frente a 5.461 hombres). Salvo en 2020, cuando su participación disminuyó por los efectos de la pandemia, la proporción de mujeres se mantuvo estable. Del total de beneficiarias del PAE II el 38% era mayor de 29 años, y el 62% tenía entre 18 y 28 años</w:t>
      </w:r>
      <w:r w:rsidRPr="00993D99">
        <w:rPr>
          <w:vertAlign w:val="superscript"/>
          <w:lang w:val="es"/>
        </w:rPr>
        <w:footnoteReference w:id="59"/>
      </w:r>
      <w:r w:rsidRPr="00993D99">
        <w:rPr>
          <w:lang w:val="es"/>
        </w:rPr>
        <w:t>.</w:t>
      </w:r>
    </w:p>
    <w:p w14:paraId="2BA18647" w14:textId="53D82D88" w:rsidR="00993D99" w:rsidRPr="00993D99" w:rsidRDefault="00993D99" w:rsidP="001A0D63">
      <w:pPr>
        <w:pStyle w:val="SingleTxtG"/>
        <w:numPr>
          <w:ilvl w:val="0"/>
          <w:numId w:val="17"/>
        </w:numPr>
        <w:ind w:left="1134" w:firstLine="0"/>
        <w:rPr>
          <w:lang w:val="es"/>
        </w:rPr>
      </w:pPr>
      <w:r w:rsidRPr="00993D99">
        <w:rPr>
          <w:lang w:val="es"/>
        </w:rPr>
        <w:t>Para promover el acceso de mujeres a profesiones masculinizadas, el Ministerio de Hidrocarburos y Energía y el Programa ProTransición (GIZ) impulsan la “Plataforma de promoción en género y energía hacia una transición energética equitativa”. En ese marco se desarrolla en 2026 la “Guía Técnica para una Planificación Energética con Equidad de Género”</w:t>
      </w:r>
      <w:r w:rsidRPr="00993D99">
        <w:rPr>
          <w:vertAlign w:val="superscript"/>
          <w:lang w:val="es"/>
        </w:rPr>
        <w:footnoteReference w:id="60"/>
      </w:r>
      <w:r w:rsidRPr="00993D99">
        <w:rPr>
          <w:lang w:val="es"/>
        </w:rPr>
        <w:t>,</w:t>
      </w:r>
      <w:r w:rsidRPr="00993D99">
        <w:rPr>
          <w:vertAlign w:val="superscript"/>
          <w:lang w:val="es"/>
        </w:rPr>
        <w:t xml:space="preserve"> </w:t>
      </w:r>
      <w:r w:rsidRPr="00993D99">
        <w:rPr>
          <w:lang w:val="es"/>
        </w:rPr>
        <w:t>un instrumento que será alineado a la planificación nacional y sectorial</w:t>
      </w:r>
      <w:r w:rsidRPr="00993D99">
        <w:rPr>
          <w:vertAlign w:val="superscript"/>
          <w:lang w:val="es"/>
        </w:rPr>
        <w:footnoteReference w:id="61"/>
      </w:r>
      <w:r w:rsidRPr="00993D99">
        <w:rPr>
          <w:lang w:val="es"/>
        </w:rPr>
        <w:t>. Asimismo, promovieron la conformación de la AMEB tras movilizar a 200 profesionales del sector en encuentros nacionales y departamentales.</w:t>
      </w:r>
    </w:p>
    <w:p w14:paraId="65EE31B8" w14:textId="77E3C8C6" w:rsidR="00993D99" w:rsidRPr="00993D99" w:rsidRDefault="00993D99" w:rsidP="001A0D63">
      <w:pPr>
        <w:pStyle w:val="SingleTxtG"/>
        <w:numPr>
          <w:ilvl w:val="0"/>
          <w:numId w:val="17"/>
        </w:numPr>
        <w:ind w:left="1134" w:firstLine="0"/>
        <w:rPr>
          <w:lang w:val="es"/>
        </w:rPr>
      </w:pPr>
      <w:r w:rsidRPr="00993D99">
        <w:rPr>
          <w:lang w:val="es"/>
        </w:rPr>
        <w:t>En 2025, ENDE implementó su Plan de Acción de Género y conformó una Comisión de Género encargada de supervisar su ejecución y asegurar la incorporación de los objetivos de igualdad, inclusión y prevención de la violencia laboral</w:t>
      </w:r>
      <w:r w:rsidRPr="00993D99">
        <w:rPr>
          <w:vertAlign w:val="superscript"/>
          <w:lang w:val="es"/>
        </w:rPr>
        <w:footnoteReference w:id="62"/>
      </w:r>
      <w:r w:rsidRPr="00993D99">
        <w:rPr>
          <w:lang w:val="es"/>
        </w:rPr>
        <w:t>.</w:t>
      </w:r>
    </w:p>
    <w:p w14:paraId="6BF2AA84" w14:textId="3410EFF2" w:rsidR="00993D99" w:rsidRPr="00993D99" w:rsidRDefault="00993D99" w:rsidP="001A0D63">
      <w:pPr>
        <w:pStyle w:val="SingleTxtG"/>
        <w:numPr>
          <w:ilvl w:val="0"/>
          <w:numId w:val="17"/>
        </w:numPr>
        <w:ind w:left="1134" w:firstLine="0"/>
        <w:rPr>
          <w:lang w:val="es"/>
        </w:rPr>
      </w:pPr>
      <w:r w:rsidRPr="00993D99">
        <w:rPr>
          <w:lang w:val="es"/>
        </w:rPr>
        <w:t>Para garantizar el cumplimiento del principio de igualdad de remuneración, en 2023 se aprobó el “Reglamento General de la Inspección del Trabajo” que faculta a la inspección laboral a verificar la igualdad de remuneración</w:t>
      </w:r>
      <w:r w:rsidRPr="00993D99">
        <w:rPr>
          <w:vertAlign w:val="superscript"/>
          <w:lang w:val="es"/>
        </w:rPr>
        <w:footnoteReference w:id="63"/>
      </w:r>
      <w:r w:rsidRPr="00993D99">
        <w:rPr>
          <w:lang w:val="es"/>
        </w:rPr>
        <w:t>, el trato igualitario e igualdad de oportunidades de ascenso sin discriminación. Esta disposición sigue el mandato del D.S. Nº 4401 que impulsa la igualdad de oportunidades en el acceso al empleo, remuneración y trato igualitario.</w:t>
      </w:r>
    </w:p>
    <w:p w14:paraId="5784880E" w14:textId="6B8935FD" w:rsidR="00993D99" w:rsidRPr="00993D99" w:rsidRDefault="00993D99" w:rsidP="001A0D63">
      <w:pPr>
        <w:pStyle w:val="SingleTxtG"/>
        <w:numPr>
          <w:ilvl w:val="0"/>
          <w:numId w:val="17"/>
        </w:numPr>
        <w:ind w:left="1134" w:firstLine="0"/>
        <w:rPr>
          <w:lang w:val="es"/>
        </w:rPr>
      </w:pPr>
      <w:r w:rsidRPr="00993D99">
        <w:rPr>
          <w:lang w:val="es"/>
        </w:rPr>
        <w:t xml:space="preserve">Según el CPV 2024, 20.137 mujeres ocupaban cargos de dirección y gerencia (42% del total), aunque sólo el 0,8 % de las mujeres en edad de trabajar accede a estas posiciones. Por otro lado, la información estadística de la Base Empresarial del SEPREC de noviembre </w:t>
      </w:r>
      <w:r w:rsidRPr="00993D99">
        <w:rPr>
          <w:lang w:val="es"/>
        </w:rPr>
        <w:lastRenderedPageBreak/>
        <w:t>de 2025, revela que el 33,4% de las unidades económicas del país tienen a una mujer como propietaria o representante legal</w:t>
      </w:r>
      <w:r w:rsidRPr="00993D99">
        <w:rPr>
          <w:vertAlign w:val="superscript"/>
          <w:lang w:val="es"/>
        </w:rPr>
        <w:footnoteReference w:id="64"/>
      </w:r>
      <w:r w:rsidRPr="00993D99">
        <w:rPr>
          <w:lang w:val="es"/>
        </w:rPr>
        <w:t>.</w:t>
      </w:r>
    </w:p>
    <w:p w14:paraId="330BD937" w14:textId="258C3E80" w:rsidR="00993D99" w:rsidRPr="00993D99" w:rsidRDefault="00993D99" w:rsidP="001A0D63">
      <w:pPr>
        <w:pStyle w:val="SingleTxtG"/>
        <w:numPr>
          <w:ilvl w:val="0"/>
          <w:numId w:val="17"/>
        </w:numPr>
        <w:ind w:left="1134" w:firstLine="0"/>
        <w:rPr>
          <w:lang w:val="es"/>
        </w:rPr>
      </w:pPr>
      <w:r w:rsidRPr="00993D99">
        <w:rPr>
          <w:lang w:val="es"/>
        </w:rPr>
        <w:t>Hasta abril de 2026, la Gestora Pública registró 2.822.112 afiliados, de los cuales el 38,4% son mujeres</w:t>
      </w:r>
      <w:r w:rsidRPr="00993D99">
        <w:rPr>
          <w:vertAlign w:val="superscript"/>
          <w:lang w:val="es"/>
        </w:rPr>
        <w:footnoteReference w:id="65"/>
      </w:r>
      <w:r w:rsidRPr="00993D99">
        <w:rPr>
          <w:lang w:val="es"/>
        </w:rPr>
        <w:t>. Mientras que, en el marco de los programas de protección social, en febrero de 2026 la Renta Dignidad alcanzó a un total de 891.641 beneficiarios de los que el 52,8% son mujeres</w:t>
      </w:r>
      <w:r w:rsidRPr="00993D99">
        <w:rPr>
          <w:vertAlign w:val="superscript"/>
          <w:lang w:val="es"/>
        </w:rPr>
        <w:footnoteReference w:id="66"/>
      </w:r>
      <w:r w:rsidRPr="00993D99">
        <w:rPr>
          <w:lang w:val="es"/>
        </w:rPr>
        <w:t>.</w:t>
      </w:r>
    </w:p>
    <w:p w14:paraId="6898D298" w14:textId="28181690" w:rsidR="00993D99" w:rsidRPr="00993D99" w:rsidRDefault="001A1200" w:rsidP="001A1200">
      <w:pPr>
        <w:pStyle w:val="H23G"/>
        <w:rPr>
          <w:lang w:val="es"/>
        </w:rPr>
      </w:pPr>
      <w:r>
        <w:rPr>
          <w:lang w:val="es"/>
        </w:rPr>
        <w:tab/>
      </w:r>
      <w:r>
        <w:rPr>
          <w:lang w:val="es"/>
        </w:rPr>
        <w:tab/>
      </w:r>
      <w:r w:rsidR="00993D99" w:rsidRPr="00993D99">
        <w:rPr>
          <w:lang w:val="es"/>
        </w:rPr>
        <w:t>Acoso laboral y acoso sexual en el ámbito laboral</w:t>
      </w:r>
    </w:p>
    <w:p w14:paraId="49D3F33A" w14:textId="3DF005F9" w:rsidR="00993D99" w:rsidRPr="00993D99" w:rsidRDefault="00993D99" w:rsidP="001A0D63">
      <w:pPr>
        <w:pStyle w:val="SingleTxtG"/>
        <w:numPr>
          <w:ilvl w:val="0"/>
          <w:numId w:val="17"/>
        </w:numPr>
        <w:ind w:left="1134" w:firstLine="0"/>
        <w:rPr>
          <w:lang w:val="es"/>
        </w:rPr>
      </w:pPr>
      <w:r w:rsidRPr="00993D99">
        <w:rPr>
          <w:lang w:val="es"/>
        </w:rPr>
        <w:t>En el marco de la Ley N° 348, el MTEPS reglamentó el “Procedimiento para la atención de denuncias sobre acoso laboral y acoso sexual a mujeres en el ámbito laboral” aplicable a establecimientos públicos y privados. Entre 2022 y 2024, se registraron 1.383 denuncias presentadas por mujeres, de las cuales 416 tienen conminatorias de cese inmediato</w:t>
      </w:r>
      <w:r w:rsidRPr="00993D99">
        <w:rPr>
          <w:vertAlign w:val="superscript"/>
          <w:lang w:val="es"/>
        </w:rPr>
        <w:footnoteReference w:id="67"/>
      </w:r>
      <w:r w:rsidRPr="00993D99">
        <w:rPr>
          <w:lang w:val="es"/>
        </w:rPr>
        <w:t>. No obstante, el SEPMUD advierte que aún no existen datos sobre su resolución o eventual sanción.</w:t>
      </w:r>
    </w:p>
    <w:p w14:paraId="60EE44BB" w14:textId="2EE1D4EE" w:rsidR="00993D99" w:rsidRPr="00993D99" w:rsidRDefault="00993D99" w:rsidP="001A0D63">
      <w:pPr>
        <w:pStyle w:val="SingleTxtG"/>
        <w:numPr>
          <w:ilvl w:val="0"/>
          <w:numId w:val="17"/>
        </w:numPr>
        <w:ind w:left="1134" w:firstLine="0"/>
        <w:rPr>
          <w:lang w:val="es"/>
        </w:rPr>
      </w:pPr>
      <w:r w:rsidRPr="00993D99">
        <w:rPr>
          <w:lang w:val="es"/>
        </w:rPr>
        <w:t>En 2022 se aprobó la Ley Nº 1468 de Procedimiento Especial para la Restitución de Derechos Laborales en caso de despido injustificado, la inamovilidad laboral, la falta de pago de remuneración o salario, y el cumplimiento del fuero sindical. El mismo año se aprobó el “Protocolo de Actuación para la Restitución de Derechos Laborales”, estableciendo el procedimiento administrativo para garantizar la restitución ágil de derechos laborales vulnerados.</w:t>
      </w:r>
    </w:p>
    <w:p w14:paraId="2FCFB0FF" w14:textId="0E14AFB1" w:rsidR="00993D99" w:rsidRPr="00993D99" w:rsidRDefault="001A1200" w:rsidP="001A1200">
      <w:pPr>
        <w:pStyle w:val="H23G"/>
        <w:rPr>
          <w:lang w:val="es"/>
        </w:rPr>
      </w:pPr>
      <w:r>
        <w:rPr>
          <w:lang w:val="es"/>
        </w:rPr>
        <w:tab/>
      </w:r>
      <w:r>
        <w:rPr>
          <w:lang w:val="es"/>
        </w:rPr>
        <w:tab/>
      </w:r>
      <w:r w:rsidR="00993D99" w:rsidRPr="00993D99">
        <w:rPr>
          <w:lang w:val="es"/>
        </w:rPr>
        <w:t>Distribución equitativa de responsabilidades familiares y trabajadoras del hogar</w:t>
      </w:r>
    </w:p>
    <w:p w14:paraId="4DC5F22A" w14:textId="4CB0C43E" w:rsidR="00993D99" w:rsidRPr="00993D99" w:rsidRDefault="00993D99" w:rsidP="001A0D63">
      <w:pPr>
        <w:pStyle w:val="SingleTxtG"/>
        <w:numPr>
          <w:ilvl w:val="0"/>
          <w:numId w:val="17"/>
        </w:numPr>
        <w:ind w:left="1134" w:firstLine="0"/>
        <w:rPr>
          <w:lang w:val="es"/>
        </w:rPr>
      </w:pPr>
      <w:r w:rsidRPr="00993D99">
        <w:rPr>
          <w:lang w:val="es"/>
        </w:rPr>
        <w:t>En marzo de 2026, la nueva gestión del VIODyD retomó oficialmente la política de corresponsabilidad, en articulación con organizaciones de sociedad civil, ONU Mujeres, y plataformas especializadas. Elaboró una propuesta de “Política Pública de Corresponsabilidad los Cuidados”, la cual se encuentra en proceso de socialización, respondiendo a la necesidad de reconocer el cuidado como pilar del sostenimiento de la vida.</w:t>
      </w:r>
    </w:p>
    <w:p w14:paraId="0B21FD8D" w14:textId="790666B6" w:rsidR="00993D99" w:rsidRPr="00993D99" w:rsidRDefault="00993D99" w:rsidP="001A0D63">
      <w:pPr>
        <w:pStyle w:val="SingleTxtG"/>
        <w:numPr>
          <w:ilvl w:val="0"/>
          <w:numId w:val="17"/>
        </w:numPr>
        <w:ind w:left="1134" w:firstLine="0"/>
        <w:rPr>
          <w:lang w:val="es"/>
        </w:rPr>
      </w:pPr>
      <w:r w:rsidRPr="00993D99">
        <w:rPr>
          <w:lang w:val="es"/>
        </w:rPr>
        <w:t>Entre 2019 y 2025 se aprobó normativa municipal para la institucionalización de políticas de cuidados en siete municipios: Cochabamba, Colcapirhua, Tarija, Sucre, Quillacollo, Ascención de Guarayos y Entre Ríos. La normativa se enfoca en la visibilización de las tareas de cuidado, la regulación de guarderías con enfoque de cuidados, algunas prohíben la reducción anual del presupuesto y fomentan los servicios de rehabilitación para PcD y servicios para PAM, así como la identificación temprana de violencia.</w:t>
      </w:r>
    </w:p>
    <w:p w14:paraId="3208B741" w14:textId="24804350" w:rsidR="00993D99" w:rsidRPr="00993D99" w:rsidRDefault="00993D99" w:rsidP="001A0D63">
      <w:pPr>
        <w:pStyle w:val="SingleTxtG"/>
        <w:numPr>
          <w:ilvl w:val="0"/>
          <w:numId w:val="17"/>
        </w:numPr>
        <w:ind w:left="1134" w:firstLine="0"/>
        <w:rPr>
          <w:lang w:val="es"/>
        </w:rPr>
      </w:pPr>
      <w:r w:rsidRPr="00993D99">
        <w:rPr>
          <w:lang w:val="es"/>
        </w:rPr>
        <w:t>El SEA y Swisscontact desarrollaron la “Guía de corresponsabilidad del cuidado para la sostenibilidad de la vida” (2025)</w:t>
      </w:r>
      <w:r w:rsidRPr="00993D99">
        <w:rPr>
          <w:vertAlign w:val="superscript"/>
          <w:lang w:val="es"/>
        </w:rPr>
        <w:footnoteReference w:id="68"/>
      </w:r>
      <w:r w:rsidRPr="00993D99">
        <w:rPr>
          <w:lang w:val="es"/>
        </w:rPr>
        <w:t>, una herramienta técnica para acompañar al nivel central y las ETAs en el proceso de políticas públicas de cuidado. La Guía propone modelos de gestión diferenciados, entendiendo que las ETAs tienen recursos y realidades distintas.</w:t>
      </w:r>
    </w:p>
    <w:p w14:paraId="136B18D3" w14:textId="086B5660" w:rsidR="00993D99" w:rsidRPr="00993D99" w:rsidRDefault="00993D99" w:rsidP="001A0D63">
      <w:pPr>
        <w:pStyle w:val="SingleTxtG"/>
        <w:numPr>
          <w:ilvl w:val="0"/>
          <w:numId w:val="17"/>
        </w:numPr>
        <w:ind w:left="1134" w:firstLine="0"/>
        <w:rPr>
          <w:lang w:val="es"/>
        </w:rPr>
      </w:pPr>
      <w:r w:rsidRPr="00993D99">
        <w:rPr>
          <w:lang w:val="es"/>
        </w:rPr>
        <w:t>En 2023, se aprobó el D.S. N.º 4980 “Política de Desarrollo Integral de la Primera Infancia ‘Contigo desde tus Inicios”, fortaleciendo las acciones de atención, protección y desarrollo integral en la primera infancia, así como el apoyo a las familias y personas cuidadoras.</w:t>
      </w:r>
    </w:p>
    <w:p w14:paraId="4772D6A8" w14:textId="7CACCD54" w:rsidR="00993D99" w:rsidRPr="00993D99" w:rsidRDefault="00993D99" w:rsidP="001A0D63">
      <w:pPr>
        <w:pStyle w:val="SingleTxtG"/>
        <w:numPr>
          <w:ilvl w:val="0"/>
          <w:numId w:val="17"/>
        </w:numPr>
        <w:ind w:left="1134" w:firstLine="0"/>
        <w:rPr>
          <w:lang w:val="es"/>
        </w:rPr>
      </w:pPr>
      <w:r w:rsidRPr="00993D99">
        <w:rPr>
          <w:lang w:val="es"/>
        </w:rPr>
        <w:lastRenderedPageBreak/>
        <w:t>Según el CPV 2024, el 61% de las personas que se desempeñan como trabajadores familiares o aprendices sin remuneración, son mujeres. Esta categoría comprende al 11,8% de las mujeres en edad de trabajar y alcanza el 21% en el área rural, con mayor concentración en el grupo de 14 a 19 años.</w:t>
      </w:r>
    </w:p>
    <w:p w14:paraId="2B128DC4" w14:textId="26754B4C" w:rsidR="00993D99" w:rsidRPr="00993D99" w:rsidRDefault="00993D99" w:rsidP="001A0D63">
      <w:pPr>
        <w:pStyle w:val="SingleTxtG"/>
        <w:numPr>
          <w:ilvl w:val="0"/>
          <w:numId w:val="17"/>
        </w:numPr>
        <w:ind w:left="1134" w:firstLine="0"/>
        <w:rPr>
          <w:lang w:val="es"/>
        </w:rPr>
      </w:pPr>
      <w:r w:rsidRPr="00993D99">
        <w:rPr>
          <w:lang w:val="es"/>
        </w:rPr>
        <w:t>En relación a la recomendación destinada al reconocimiento del trabajo doméstico y de cuidados, y su aporte a las cuentas nacionales, en el marco de la Política de Corresponsabilidad de Cuidados, el VIODyD gestiona una Encuesta de Uso del Tiempo en coordinación con el INE.</w:t>
      </w:r>
    </w:p>
    <w:p w14:paraId="746DE2B3" w14:textId="64520B22" w:rsidR="00993D99" w:rsidRPr="00993D99" w:rsidRDefault="00993D99" w:rsidP="001A0D63">
      <w:pPr>
        <w:pStyle w:val="SingleTxtG"/>
        <w:numPr>
          <w:ilvl w:val="0"/>
          <w:numId w:val="17"/>
        </w:numPr>
        <w:ind w:left="1134" w:firstLine="0"/>
        <w:rPr>
          <w:lang w:val="es"/>
        </w:rPr>
      </w:pPr>
      <w:r w:rsidRPr="00993D99">
        <w:rPr>
          <w:lang w:val="es"/>
        </w:rPr>
        <w:t>En 2022, el SEPMUD publicó el “Diagnóstico sobre el aporte al sistema económico del trabajo de cuidado en el nivel nacional”, que estima que las mujeres realizan el 70% del trabajo de cuidados no remunerado. El documento estima que este trabajo aporta entre 16% a 24% del PIB, dependiendo de la metodología utilizada.</w:t>
      </w:r>
    </w:p>
    <w:p w14:paraId="091FA333" w14:textId="48D50677" w:rsidR="00993D99" w:rsidRPr="00993D99" w:rsidRDefault="00993D99" w:rsidP="001A0D63">
      <w:pPr>
        <w:pStyle w:val="SingleTxtG"/>
        <w:numPr>
          <w:ilvl w:val="0"/>
          <w:numId w:val="17"/>
        </w:numPr>
        <w:ind w:left="1134" w:firstLine="0"/>
        <w:rPr>
          <w:lang w:val="es"/>
        </w:rPr>
      </w:pPr>
      <w:r w:rsidRPr="00993D99">
        <w:rPr>
          <w:lang w:val="es"/>
        </w:rPr>
        <w:t>El D.S. 4589 (2021), reglamentario de la Ley N° 2450, promueve la afiliación de las trabajadoras asalariadas del hogar ante la CNS. Se realizaron nueve talleres de socialización de la normativa y hasta julio de 2022 se afiliaron 143 trabajadoras a la Caja</w:t>
      </w:r>
      <w:r w:rsidRPr="00993D99">
        <w:rPr>
          <w:vertAlign w:val="superscript"/>
          <w:lang w:val="es"/>
        </w:rPr>
        <w:footnoteReference w:id="69"/>
      </w:r>
      <w:r w:rsidRPr="00993D99">
        <w:rPr>
          <w:lang w:val="es"/>
        </w:rPr>
        <w:t>. En 2023, el SEPMUD propuso modificar esta normativa para reducir de 90 días a cinco días hábiles el plazo de afiliación a la seguridad social</w:t>
      </w:r>
      <w:r w:rsidRPr="00993D99">
        <w:rPr>
          <w:vertAlign w:val="superscript"/>
          <w:lang w:val="es"/>
        </w:rPr>
        <w:footnoteReference w:id="70"/>
      </w:r>
      <w:r w:rsidRPr="00993D99">
        <w:rPr>
          <w:lang w:val="es"/>
        </w:rPr>
        <w:t>.</w:t>
      </w:r>
    </w:p>
    <w:p w14:paraId="196F825F" w14:textId="45D3872D" w:rsidR="00993D99" w:rsidRPr="00993D99" w:rsidRDefault="00993D99" w:rsidP="001A0D63">
      <w:pPr>
        <w:pStyle w:val="SingleTxtG"/>
        <w:numPr>
          <w:ilvl w:val="0"/>
          <w:numId w:val="17"/>
        </w:numPr>
        <w:ind w:left="1134" w:firstLine="0"/>
        <w:rPr>
          <w:lang w:val="es"/>
        </w:rPr>
      </w:pPr>
      <w:r w:rsidRPr="00993D99">
        <w:rPr>
          <w:lang w:val="es"/>
        </w:rPr>
        <w:t>En abril de 2026 se instaló una Mesa de Trabajo Tripartita entre el MTEPS, la FENATRAHOB, la COB y la Liga Boliviana de Amas de Casa, con el apoyo de la OIT, para promover el trabajo decente en el hogar. Entre los principales acuerdos figura la formalización del contrato de trabajo en el hogar</w:t>
      </w:r>
      <w:r w:rsidRPr="00993D99">
        <w:rPr>
          <w:vertAlign w:val="superscript"/>
          <w:lang w:val="es"/>
        </w:rPr>
        <w:footnoteReference w:id="71"/>
      </w:r>
      <w:r w:rsidRPr="00993D99">
        <w:rPr>
          <w:lang w:val="es"/>
        </w:rPr>
        <w:t>.</w:t>
      </w:r>
    </w:p>
    <w:p w14:paraId="4188CC35" w14:textId="6EF897EC" w:rsidR="00993D99" w:rsidRPr="00993D99" w:rsidRDefault="001A1200" w:rsidP="001A1200">
      <w:pPr>
        <w:pStyle w:val="H1G"/>
        <w:rPr>
          <w:lang w:val="es"/>
        </w:rPr>
      </w:pPr>
      <w:r>
        <w:rPr>
          <w:lang w:val="es"/>
        </w:rPr>
        <w:tab/>
      </w:r>
      <w:r>
        <w:rPr>
          <w:lang w:val="es"/>
        </w:rPr>
        <w:tab/>
      </w:r>
      <w:r w:rsidR="00993D99" w:rsidRPr="00993D99">
        <w:rPr>
          <w:lang w:val="es"/>
        </w:rPr>
        <w:t>Artículo 12</w:t>
      </w:r>
    </w:p>
    <w:p w14:paraId="2BCA97AA" w14:textId="63D14191" w:rsidR="00993D99" w:rsidRPr="00993D99" w:rsidRDefault="00993D99" w:rsidP="001A0D63">
      <w:pPr>
        <w:pStyle w:val="SingleTxtG"/>
        <w:numPr>
          <w:ilvl w:val="0"/>
          <w:numId w:val="17"/>
        </w:numPr>
        <w:ind w:left="1134" w:firstLine="0"/>
        <w:rPr>
          <w:lang w:val="es"/>
        </w:rPr>
      </w:pPr>
      <w:r w:rsidRPr="00993D99">
        <w:rPr>
          <w:lang w:val="es"/>
        </w:rPr>
        <w:t>El marco normativo de la salud sexual y reproductiva en Bolivia se rige por la Ley N° 475 de Prestación del Sistema Integral de Salud, que regula la atención integral, gratuita, universal y la protección financiera en establecimientos públicos. Por otro lado, para superar las interrupciones médicas experimentadas durante la pandemia, el Estado fortaleció la implementación del SUS, el cual ofrece servicios sanitarios integrales y gratuitos a la mujer en toda su diversidad.</w:t>
      </w:r>
    </w:p>
    <w:p w14:paraId="41CB7956" w14:textId="0CE71E9F" w:rsidR="00993D99" w:rsidRPr="00993D99" w:rsidRDefault="00F57CC6" w:rsidP="00F57CC6">
      <w:pPr>
        <w:pStyle w:val="H23G"/>
        <w:rPr>
          <w:lang w:val="es"/>
        </w:rPr>
      </w:pPr>
      <w:r>
        <w:rPr>
          <w:lang w:val="es"/>
        </w:rPr>
        <w:tab/>
      </w:r>
      <w:r>
        <w:rPr>
          <w:lang w:val="es"/>
        </w:rPr>
        <w:tab/>
      </w:r>
      <w:r w:rsidR="00993D99" w:rsidRPr="00993D99">
        <w:rPr>
          <w:lang w:val="es"/>
        </w:rPr>
        <w:t>Reducción de la mortalidad materna</w:t>
      </w:r>
    </w:p>
    <w:p w14:paraId="6D524404" w14:textId="59190E7A" w:rsidR="00993D99" w:rsidRPr="00993D99" w:rsidRDefault="00993D99" w:rsidP="001A0D63">
      <w:pPr>
        <w:pStyle w:val="SingleTxtG"/>
        <w:numPr>
          <w:ilvl w:val="0"/>
          <w:numId w:val="17"/>
        </w:numPr>
        <w:ind w:left="1134" w:firstLine="0"/>
        <w:rPr>
          <w:lang w:val="es"/>
        </w:rPr>
      </w:pPr>
      <w:r w:rsidRPr="00993D99">
        <w:rPr>
          <w:lang w:val="es"/>
        </w:rPr>
        <w:t>El Estado, a través del MSyD, fortaleció las acciones orientadas a la reducción de la mortalidad materna. En 2024 se implementó el “Plan de Acción a Corto Plazo para Contribuir a la Reducción de la Mortalidad Materna, Perinatal y Neonatal”</w:t>
      </w:r>
      <w:r w:rsidRPr="00993D99">
        <w:rPr>
          <w:vertAlign w:val="superscript"/>
          <w:lang w:val="es"/>
        </w:rPr>
        <w:footnoteReference w:id="72"/>
      </w:r>
      <w:r w:rsidRPr="00993D99">
        <w:rPr>
          <w:vertAlign w:val="superscript"/>
          <w:lang w:val="es"/>
        </w:rPr>
        <w:t xml:space="preserve"> </w:t>
      </w:r>
      <w:r w:rsidRPr="00993D99">
        <w:rPr>
          <w:lang w:val="es"/>
        </w:rPr>
        <w:t>que articula acciones de gestión, promoción, prevención, atención, vigilancia epidemiológica y fortalecimiento de capacidades.</w:t>
      </w:r>
    </w:p>
    <w:p w14:paraId="3D3F89C1" w14:textId="100C519D" w:rsidR="00993D99" w:rsidRPr="00993D99" w:rsidRDefault="00993D99" w:rsidP="001A0D63">
      <w:pPr>
        <w:pStyle w:val="SingleTxtG"/>
        <w:numPr>
          <w:ilvl w:val="0"/>
          <w:numId w:val="17"/>
        </w:numPr>
        <w:ind w:left="1134" w:firstLine="0"/>
        <w:rPr>
          <w:lang w:val="es"/>
        </w:rPr>
      </w:pPr>
      <w:r w:rsidRPr="00993D99">
        <w:rPr>
          <w:lang w:val="es"/>
        </w:rPr>
        <w:t>En atención prenatal y posnatal, se han fortalecido los mecanismos de seguimiento de las gestantes con la implementación del Sistema Informático Perinatal (SIP Plus), para la gestión clínica y el monitoreo de la atención materna y perinatal. Alrededor de 705 establecimientos de salud realizan el registro de la Historia Clínica Perinatal mediante el SIP Plus, contribuyendo al fortalecimiento de la vigilancia clínica y epidemiológica de la salud materna</w:t>
      </w:r>
      <w:r w:rsidRPr="00993D99">
        <w:rPr>
          <w:vertAlign w:val="superscript"/>
          <w:lang w:val="es"/>
        </w:rPr>
        <w:footnoteReference w:id="73"/>
      </w:r>
      <w:r w:rsidRPr="00993D99">
        <w:rPr>
          <w:lang w:val="es"/>
        </w:rPr>
        <w:t>.</w:t>
      </w:r>
    </w:p>
    <w:p w14:paraId="601CC169" w14:textId="2F882BFB" w:rsidR="00993D99" w:rsidRPr="00993D99" w:rsidRDefault="00993D99" w:rsidP="001A0D63">
      <w:pPr>
        <w:pStyle w:val="SingleTxtG"/>
        <w:numPr>
          <w:ilvl w:val="0"/>
          <w:numId w:val="17"/>
        </w:numPr>
        <w:ind w:left="1134" w:firstLine="0"/>
        <w:rPr>
          <w:lang w:val="es"/>
        </w:rPr>
      </w:pPr>
      <w:r w:rsidRPr="00993D99">
        <w:rPr>
          <w:lang w:val="es"/>
        </w:rPr>
        <w:t xml:space="preserve">Como es de conocimiento del Comité, el BJA y el subsidio materno infantil, como beneficios condicionados a controles médicos, han sido incentivos importantes para proteger </w:t>
      </w:r>
      <w:r w:rsidRPr="00993D99">
        <w:rPr>
          <w:lang w:val="es"/>
        </w:rPr>
        <w:lastRenderedPageBreak/>
        <w:t>la salud materno-infantil. Entre la gestión 2025 y mayo de 2026, el BJA, tuvo 911.734 beneficiarias, con un monto que asciende a Bs. 149.422.375</w:t>
      </w:r>
      <w:r w:rsidRPr="00993D99">
        <w:rPr>
          <w:vertAlign w:val="superscript"/>
          <w:lang w:val="es"/>
        </w:rPr>
        <w:footnoteReference w:id="74"/>
      </w:r>
      <w:r w:rsidRPr="00993D99">
        <w:rPr>
          <w:lang w:val="es"/>
        </w:rPr>
        <w:t>.</w:t>
      </w:r>
    </w:p>
    <w:p w14:paraId="63AC14BE" w14:textId="2257F898" w:rsidR="00993D99" w:rsidRPr="00993D99" w:rsidRDefault="00993D99" w:rsidP="001A0D63">
      <w:pPr>
        <w:pStyle w:val="SingleTxtG"/>
        <w:numPr>
          <w:ilvl w:val="0"/>
          <w:numId w:val="17"/>
        </w:numPr>
        <w:ind w:left="1134" w:firstLine="0"/>
        <w:rPr>
          <w:lang w:val="es"/>
        </w:rPr>
      </w:pPr>
      <w:r w:rsidRPr="00993D99">
        <w:rPr>
          <w:lang w:val="es"/>
        </w:rPr>
        <w:t>Según el CPV, el 92,22% de los partos entre 2019 y 2024 fueron asistidos por personal sanitario calificado. En el extremo inferior se encuentran municipios rurales concentrados en La Paz y Potosí, con valores que van desde el 40,82% en el municipio de Curva hasta el 75,78% en Acasio. Algunas TIOCs con índices bajos son TIOC-Raqaypampa (54,97 %) y la TIOC Multiétnico del Beni (55,21%).</w:t>
      </w:r>
    </w:p>
    <w:p w14:paraId="55E2FAF2" w14:textId="59DA700D" w:rsidR="00993D99" w:rsidRPr="00993D99" w:rsidRDefault="00330EAA" w:rsidP="00330EAA">
      <w:pPr>
        <w:pStyle w:val="H23G"/>
        <w:rPr>
          <w:bCs/>
          <w:lang w:val="es"/>
        </w:rPr>
      </w:pPr>
      <w:r>
        <w:rPr>
          <w:bCs/>
          <w:lang w:val="es"/>
        </w:rPr>
        <w:tab/>
      </w:r>
      <w:r>
        <w:rPr>
          <w:bCs/>
          <w:lang w:val="es"/>
        </w:rPr>
        <w:tab/>
      </w:r>
      <w:r w:rsidR="00993D99" w:rsidRPr="00993D99">
        <w:rPr>
          <w:bCs/>
          <w:lang w:val="es"/>
        </w:rPr>
        <w:t xml:space="preserve">Sentencia </w:t>
      </w:r>
      <w:hyperlink r:id="rId13">
        <w:r w:rsidR="00993D99" w:rsidRPr="00993D99">
          <w:rPr>
            <w:rStyle w:val="Hyperlink"/>
            <w:bCs/>
            <w:lang w:val="es"/>
          </w:rPr>
          <w:t>Constitucional Plurinacional Nº 0206/2014</w:t>
        </w:r>
      </w:hyperlink>
      <w:r w:rsidR="00993D99" w:rsidRPr="00993D99">
        <w:rPr>
          <w:bCs/>
          <w:lang w:val="es"/>
        </w:rPr>
        <w:t>, anticoncepción y embarazo adolescente</w:t>
      </w:r>
    </w:p>
    <w:p w14:paraId="4F39E3B9" w14:textId="41597E10" w:rsidR="00993D99" w:rsidRPr="00993D99" w:rsidRDefault="00993D99" w:rsidP="001A0D63">
      <w:pPr>
        <w:pStyle w:val="SingleTxtG"/>
        <w:numPr>
          <w:ilvl w:val="0"/>
          <w:numId w:val="17"/>
        </w:numPr>
        <w:ind w:left="1134" w:firstLine="0"/>
        <w:rPr>
          <w:lang w:val="es"/>
        </w:rPr>
      </w:pPr>
      <w:r w:rsidRPr="00993D99">
        <w:rPr>
          <w:lang w:val="es"/>
        </w:rPr>
        <w:t>La normativa ministerial que establece los procedimientos para el acceso a la ILE son: el “Modelo de Atención Integral a Víctimas de Violencia Sexual”, el “Procedimiento Técnico para la prestación de servicios de salud en el marco de la SCP 0206/2014”, y “Protocolos Clínicos sobre el empleo de Misoprostol en Ginecología y Obstetricia”.</w:t>
      </w:r>
    </w:p>
    <w:p w14:paraId="4D7736B8" w14:textId="13BF7B98" w:rsidR="00993D99" w:rsidRPr="00993D99" w:rsidRDefault="00993D99" w:rsidP="001A0D63">
      <w:pPr>
        <w:pStyle w:val="SingleTxtG"/>
        <w:numPr>
          <w:ilvl w:val="0"/>
          <w:numId w:val="17"/>
        </w:numPr>
        <w:ind w:left="1134" w:firstLine="0"/>
        <w:rPr>
          <w:lang w:val="es"/>
        </w:rPr>
      </w:pPr>
      <w:r w:rsidRPr="00993D99">
        <w:rPr>
          <w:lang w:val="es"/>
        </w:rPr>
        <w:t>De acuerdo con información del MSyD los hospitales de 2do y 3er nivel del sistema público, la seguridad social a corto plazo y centros privados acreditados están normativamente habilitados y obligados a prestar atención médica posterior al aborto. Los servicios específicos para la realización de la ILE se concentran en las zonas urbanas y periurbanas (82%), debido a la disponibilidad de personal gineco-obstétrico. Las zonas rurales reportan una brecha de acceso (18%), la cual intenta ser mitigada con brigadas SAFCI y protocolos de referencia de emergencias.</w:t>
      </w:r>
    </w:p>
    <w:p w14:paraId="19D11C2D" w14:textId="268AA95A" w:rsidR="00993D99" w:rsidRPr="00993D99" w:rsidRDefault="00993D99" w:rsidP="001A0D63">
      <w:pPr>
        <w:pStyle w:val="SingleTxtG"/>
        <w:numPr>
          <w:ilvl w:val="0"/>
          <w:numId w:val="17"/>
        </w:numPr>
        <w:ind w:left="1134" w:firstLine="0"/>
        <w:rPr>
          <w:lang w:val="es"/>
        </w:rPr>
      </w:pPr>
      <w:r w:rsidRPr="00993D99">
        <w:rPr>
          <w:lang w:val="es"/>
        </w:rPr>
        <w:t>El protocolo post-aborto establece que la atención debe aplicarse de forma universal, gratuita y confidencial, incorporando adaptaciones lingüísticas para las diferentes etnias del país y guías específicas de accesibilidad física y comunicacional para mujeres con discapacidad. Los reportes del SEPMUD indican que los servicios de ILE reportan un incremento del 155% en 2024 en comparación con 2022.</w:t>
      </w:r>
    </w:p>
    <w:p w14:paraId="63894386" w14:textId="759AFB03" w:rsidR="00993D99" w:rsidRPr="00993D99" w:rsidRDefault="00993D99" w:rsidP="001A0D63">
      <w:pPr>
        <w:pStyle w:val="SingleTxtG"/>
        <w:numPr>
          <w:ilvl w:val="0"/>
          <w:numId w:val="17"/>
        </w:numPr>
        <w:ind w:left="1134" w:firstLine="0"/>
        <w:rPr>
          <w:lang w:val="es"/>
        </w:rPr>
      </w:pPr>
      <w:r w:rsidRPr="00993D99">
        <w:rPr>
          <w:lang w:val="es"/>
        </w:rPr>
        <w:t>Entre 2021 y 2026, el SEPMUD prioriza el monitoreo de los derechos reproductivos; enfoque incluido en el portafolio estratégico presentado a la Presidencia en abril de 2026, con el objetivo de contrarrestar el desconocimiento normativo, la falta de equipamiento técnico y el alto índice de objeción de conciencia que se registra en el país. El Estado reafirma que superar estos obstáculos es fundamental para garantizar que mujeres y adolescentes accedan plenamente a sus derechos en condiciones dignas y sin revictimización.</w:t>
      </w:r>
    </w:p>
    <w:p w14:paraId="55627D12" w14:textId="00763D41" w:rsidR="00993D99" w:rsidRPr="00993D99" w:rsidRDefault="00993D99" w:rsidP="001A0D63">
      <w:pPr>
        <w:pStyle w:val="SingleTxtG"/>
        <w:numPr>
          <w:ilvl w:val="0"/>
          <w:numId w:val="17"/>
        </w:numPr>
        <w:ind w:left="1134" w:firstLine="0"/>
        <w:rPr>
          <w:lang w:val="es"/>
        </w:rPr>
      </w:pPr>
      <w:r w:rsidRPr="00993D99">
        <w:rPr>
          <w:lang w:val="es"/>
        </w:rPr>
        <w:t>En respuesta a la preocupación del Comité sobre el acceso a métodos de anticoncepción modernos, el Estado conformó el Comité de Disponibilidad Asegurada de insumos Anticonceptivos (DAIA) y sus comités regionales, responsables de garantizar el abastecimiento de al menos 5 métodos anticonceptivos en los establecimientos de salud, con especial atención a mujeres y adolescentes de áreas rurales y poblaciones vulnerables.</w:t>
      </w:r>
    </w:p>
    <w:p w14:paraId="44B5BE6D" w14:textId="718B1A8B" w:rsidR="00993D99" w:rsidRPr="00993D99" w:rsidRDefault="00993D99" w:rsidP="001A0D63">
      <w:pPr>
        <w:pStyle w:val="SingleTxtG"/>
        <w:numPr>
          <w:ilvl w:val="0"/>
          <w:numId w:val="17"/>
        </w:numPr>
        <w:ind w:left="1134" w:firstLine="0"/>
        <w:rPr>
          <w:lang w:val="es"/>
        </w:rPr>
      </w:pPr>
      <w:r w:rsidRPr="00993D99">
        <w:rPr>
          <w:lang w:val="es"/>
        </w:rPr>
        <w:t>Para la prevención de embarazos adolescentes, a lo largo del periodo se trabajó en la implementación de la estrategia AIDA y la estrategia EIS, cuyo trabajo se enmarca en: fortalecer los servicios de salud en atención primaria; implementar intervenciones de promoción, prevención, y servicios integrales diferenciados para adolescentes y jóvenes; identificar factores de riesgo. (salud mental, prevención de ITS/VIH, prevención de violencias, nutrición); gestión, apoyo y participación de procesos y espacios para la incidencia con autoridades; trabajo intersectorial; acciones comunitarias y empoderamiento.</w:t>
      </w:r>
    </w:p>
    <w:p w14:paraId="28C43CBA" w14:textId="04ACBCB5" w:rsidR="00993D99" w:rsidRPr="00993D99" w:rsidRDefault="00993D99" w:rsidP="001A0D63">
      <w:pPr>
        <w:pStyle w:val="SingleTxtG"/>
        <w:numPr>
          <w:ilvl w:val="0"/>
          <w:numId w:val="17"/>
        </w:numPr>
        <w:ind w:left="1134" w:firstLine="0"/>
        <w:rPr>
          <w:lang w:val="es"/>
        </w:rPr>
      </w:pPr>
      <w:r w:rsidRPr="00993D99">
        <w:rPr>
          <w:lang w:val="es"/>
        </w:rPr>
        <w:t xml:space="preserve">El embarazo adolescente ha disminuido significativamente en los últimos años: disminuyó la Tasa Específica de Fecundación en Adolescentes de 71 x1000 adolescentes de 15 a 19 años en el EDSA 2016 a 48 x 1000 adolescentes en el EDSA 2023. En 2015 hubo 82.416 casos de embarazos en adolescentes de 10 a 19 años, mientras que en 2025 hubo 28.115. El índice de embarazo adolescente disminuyó de 16.5% en la gestión 2020 a 12.69% en 2025. Mientras que la tasa de embarazo adolescente disminuyó de 35,48 x 1000 en 2020, </w:t>
      </w:r>
      <w:r w:rsidRPr="00993D99">
        <w:rPr>
          <w:lang w:val="es"/>
        </w:rPr>
        <w:lastRenderedPageBreak/>
        <w:t>a 25.21 x 1000 adolescentes en 2025. Por otro lado, el porcentaje de embarazos adolescentes menores de 15 experimentó una leve disminución de 5.43% en 2020 a 4.69%. en 2025.</w:t>
      </w:r>
    </w:p>
    <w:p w14:paraId="2907F27A" w14:textId="6CD117CB" w:rsidR="00993D99" w:rsidRPr="00993D99" w:rsidRDefault="00993D99" w:rsidP="001A0D63">
      <w:pPr>
        <w:pStyle w:val="SingleTxtG"/>
        <w:numPr>
          <w:ilvl w:val="0"/>
          <w:numId w:val="17"/>
        </w:numPr>
        <w:ind w:left="1134" w:firstLine="0"/>
        <w:rPr>
          <w:lang w:val="es"/>
        </w:rPr>
      </w:pPr>
      <w:r w:rsidRPr="00993D99">
        <w:rPr>
          <w:lang w:val="es"/>
        </w:rPr>
        <w:t>Se observa un incremento en la cobertura de consulta externa a nuevas de adolescentes de 10 a 19 años de ambos sexos de 59.07% en 2020 a 128.00% en 2025. La cobertura de orientación en métodos anticonceptivos modernos para adolescentes incrementó de 4.41% en la gestión 2020 a 5.38% en 2025. A su vez, incrementó la cobertura de uso de métodos anticonceptivos modernos por adolescentes desde 2020 de 2.55% a 3.27% en 2025.</w:t>
      </w:r>
    </w:p>
    <w:p w14:paraId="33673FD5" w14:textId="67227DF1" w:rsidR="00993D99" w:rsidRPr="00993D99" w:rsidRDefault="00993D99" w:rsidP="001A0D63">
      <w:pPr>
        <w:pStyle w:val="SingleTxtG"/>
        <w:numPr>
          <w:ilvl w:val="0"/>
          <w:numId w:val="17"/>
        </w:numPr>
        <w:ind w:left="1134" w:firstLine="0"/>
        <w:rPr>
          <w:lang w:val="es"/>
        </w:rPr>
      </w:pPr>
      <w:r w:rsidRPr="00993D99">
        <w:rPr>
          <w:lang w:val="es"/>
        </w:rPr>
        <w:t>Las recomendaciones del Comité sobre la ampliación de la cobertura Política SAFCI y sobre la accesibilidad de servicios de salud para mujeres con discapacidad son respondidas en los puntos específicos para estas poblaciones.</w:t>
      </w:r>
    </w:p>
    <w:p w14:paraId="33C8D96F" w14:textId="14FFCBAC" w:rsidR="00993D99" w:rsidRPr="00993D99" w:rsidRDefault="0010713E" w:rsidP="0010713E">
      <w:pPr>
        <w:pStyle w:val="H1G"/>
        <w:rPr>
          <w:lang w:val="es"/>
        </w:rPr>
      </w:pPr>
      <w:r>
        <w:rPr>
          <w:lang w:val="es"/>
        </w:rPr>
        <w:tab/>
      </w:r>
      <w:r>
        <w:rPr>
          <w:lang w:val="es"/>
        </w:rPr>
        <w:tab/>
      </w:r>
      <w:r w:rsidR="00993D99" w:rsidRPr="00993D99">
        <w:rPr>
          <w:lang w:val="es"/>
        </w:rPr>
        <w:t>Artículo 13</w:t>
      </w:r>
    </w:p>
    <w:p w14:paraId="2BB9D9B5" w14:textId="15BC4C38" w:rsidR="00993D99" w:rsidRPr="00993D99" w:rsidRDefault="0010713E" w:rsidP="0010713E">
      <w:pPr>
        <w:pStyle w:val="H23G"/>
        <w:rPr>
          <w:lang w:val="es"/>
        </w:rPr>
      </w:pPr>
      <w:r>
        <w:rPr>
          <w:lang w:val="es"/>
        </w:rPr>
        <w:tab/>
      </w:r>
      <w:r>
        <w:rPr>
          <w:lang w:val="es"/>
        </w:rPr>
        <w:tab/>
      </w:r>
      <w:r w:rsidR="00993D99" w:rsidRPr="00993D99">
        <w:rPr>
          <w:lang w:val="es"/>
        </w:rPr>
        <w:t>Empoderamiento económico</w:t>
      </w:r>
    </w:p>
    <w:p w14:paraId="594968AF" w14:textId="6629D888" w:rsidR="00993D99" w:rsidRPr="00993D99" w:rsidRDefault="00993D99" w:rsidP="001A0D63">
      <w:pPr>
        <w:pStyle w:val="SingleTxtG"/>
        <w:numPr>
          <w:ilvl w:val="0"/>
          <w:numId w:val="17"/>
        </w:numPr>
        <w:ind w:left="1134" w:firstLine="0"/>
        <w:rPr>
          <w:lang w:val="es"/>
        </w:rPr>
      </w:pPr>
      <w:r w:rsidRPr="00993D99">
        <w:rPr>
          <w:lang w:val="es"/>
        </w:rPr>
        <w:t>Desde hace varios años las instituciones financieras públicas y privadas trabajan en estrategias de inclusión de las mujeres, sobre todo micro emprendedoras, en la capacitación y acceso a servicios financieros. La Dirección General de Servicios Financieros implementa el “Programa de Educación Financiera y Acceso a los Servicios Financieros” que incorpora incentivos regulatorios para promover la equidad de género en el acceso a servicios financieros, seguros y pensiones.</w:t>
      </w:r>
    </w:p>
    <w:p w14:paraId="28940E4E" w14:textId="45319B6A" w:rsidR="00993D99" w:rsidRPr="00993D99" w:rsidRDefault="00993D99" w:rsidP="001A0D63">
      <w:pPr>
        <w:pStyle w:val="SingleTxtG"/>
        <w:numPr>
          <w:ilvl w:val="0"/>
          <w:numId w:val="17"/>
        </w:numPr>
        <w:ind w:left="1134" w:firstLine="0"/>
        <w:rPr>
          <w:lang w:val="es"/>
        </w:rPr>
      </w:pPr>
      <w:r w:rsidRPr="00993D99">
        <w:rPr>
          <w:lang w:val="es"/>
        </w:rPr>
        <w:t>A octubre de 2025, el BDP-SAM superó los Bs. 3.425 millones en créditos y fideicomisos destinados a productoras y emprendedoras. De este total, Bs. 2.639 millones fueron canalizados mediante créditos directos, impactando positivamente en 32.232 mujeres. Adicionalmente, Bs. 786 millones fueron otorgados en el marco de fideicomisos con enfoque de género, beneficiando a 15.115 operaciones productivas lideradas por mujeres. Uno de los pilares de esta estrategia es el Programa Integral Mujer BDP, que a 2026 contribuyó al fortalecimiento económico de 16.971 mujeres productoras y benefició a 50.793 mujeres con Asistencia Técnica Genérica y Especializada en manufactura y agrícola</w:t>
      </w:r>
      <w:r w:rsidRPr="00993D99">
        <w:rPr>
          <w:vertAlign w:val="superscript"/>
          <w:lang w:val="es"/>
        </w:rPr>
        <w:footnoteReference w:id="75"/>
      </w:r>
      <w:r w:rsidRPr="00993D99">
        <w:rPr>
          <w:lang w:val="es"/>
        </w:rPr>
        <w:t>.</w:t>
      </w:r>
    </w:p>
    <w:p w14:paraId="2F9C633C" w14:textId="7294D3E8" w:rsidR="00993D99" w:rsidRPr="00993D99" w:rsidRDefault="00993D99" w:rsidP="001A0D63">
      <w:pPr>
        <w:pStyle w:val="SingleTxtG"/>
        <w:numPr>
          <w:ilvl w:val="0"/>
          <w:numId w:val="17"/>
        </w:numPr>
        <w:ind w:left="1134" w:firstLine="0"/>
        <w:rPr>
          <w:lang w:val="es"/>
        </w:rPr>
      </w:pPr>
      <w:r w:rsidRPr="00993D99">
        <w:rPr>
          <w:lang w:val="es"/>
        </w:rPr>
        <w:t>En noviembre de 2025 el BDP-SAM. lanzó el “Seguro Jefa BDP”. que protege a sus clientas frente a situaciones que pueden afectar su bienestar y continuidad productiva, como: violencia familiar o sexual, maternidad, incapacidad temporal por accidente o enfermedad. A junio de 2026, el Seguro beneficia a 489 productoras, principalmente entre 20 y 40 años.</w:t>
      </w:r>
    </w:p>
    <w:p w14:paraId="6127742F" w14:textId="1B8BAC94" w:rsidR="00993D99" w:rsidRPr="00993D99" w:rsidRDefault="00993D99" w:rsidP="001A0D63">
      <w:pPr>
        <w:pStyle w:val="SingleTxtG"/>
        <w:numPr>
          <w:ilvl w:val="0"/>
          <w:numId w:val="17"/>
        </w:numPr>
        <w:ind w:left="1134" w:firstLine="0"/>
        <w:rPr>
          <w:lang w:val="es"/>
        </w:rPr>
      </w:pPr>
      <w:r w:rsidRPr="00993D99">
        <w:rPr>
          <w:lang w:val="es"/>
        </w:rPr>
        <w:t>Según la ASFI, a marzo de 2025 la cartera de créditos destinada a empresas lideradas por mujeres alcanza a Bs. 29.022 millones, representando el 49% del total de crédito otorgado a mujeres. De este monto, el 91% corresponde a microempresas, el 4% a medianas empresas, el 3% a pequeñas y 2% a grandes. En cuanto al destino de los recursos, 64% se dirige a actividades productivas, 24% al comercio y 12% a servicios</w:t>
      </w:r>
      <w:r w:rsidRPr="00993D99">
        <w:rPr>
          <w:vertAlign w:val="superscript"/>
          <w:lang w:val="es"/>
        </w:rPr>
        <w:footnoteReference w:id="76"/>
      </w:r>
      <w:r w:rsidRPr="00993D99">
        <w:rPr>
          <w:lang w:val="es"/>
        </w:rPr>
        <w:t>.</w:t>
      </w:r>
    </w:p>
    <w:p w14:paraId="59C8CBB7" w14:textId="6320A7D3" w:rsidR="00993D99" w:rsidRPr="00993D99" w:rsidRDefault="00993D99" w:rsidP="001A0D63">
      <w:pPr>
        <w:pStyle w:val="SingleTxtG"/>
        <w:numPr>
          <w:ilvl w:val="0"/>
          <w:numId w:val="17"/>
        </w:numPr>
        <w:ind w:left="1134" w:firstLine="0"/>
        <w:rPr>
          <w:lang w:val="es"/>
        </w:rPr>
      </w:pPr>
      <w:r w:rsidRPr="00993D99">
        <w:rPr>
          <w:lang w:val="es"/>
        </w:rPr>
        <w:t>En 2026 se presentaron los lineamientos para la “Estrategia Nacional de Inclusión Financiera - ENIF del Ministerio de Economía y Finanzas Públicas 2027 - 2031” que incorpora un enfoque de género, priorizando acciones destinadas a fortalecer la participación de las mujeres en el sistema financiero formal, mejorar los servicios financieros y promover su autonomía económica. La ENIF, cuenta con el apoyo técnico de ONU Mujeres</w:t>
      </w:r>
      <w:r w:rsidRPr="00993D99">
        <w:rPr>
          <w:vertAlign w:val="superscript"/>
          <w:lang w:val="es"/>
        </w:rPr>
        <w:footnoteReference w:id="77"/>
      </w:r>
      <w:r w:rsidRPr="00993D99">
        <w:rPr>
          <w:lang w:val="es"/>
        </w:rPr>
        <w:t>.</w:t>
      </w:r>
    </w:p>
    <w:p w14:paraId="23C4B68D" w14:textId="25528EE8" w:rsidR="00993D99" w:rsidRPr="00993D99" w:rsidRDefault="00993D99" w:rsidP="001A0D63">
      <w:pPr>
        <w:pStyle w:val="SingleTxtG"/>
        <w:numPr>
          <w:ilvl w:val="0"/>
          <w:numId w:val="17"/>
        </w:numPr>
        <w:ind w:left="1134" w:firstLine="0"/>
        <w:rPr>
          <w:lang w:val="es"/>
        </w:rPr>
      </w:pPr>
      <w:r w:rsidRPr="00993D99">
        <w:rPr>
          <w:lang w:val="es"/>
        </w:rPr>
        <w:t xml:space="preserve">Persisten desafíos en el uso efectivo de plataformas digitales, educación y salud financiera, la protección de las personas usuarias, especialmente entre poblaciones excluidas. En respuesta, la ENIF prioriza acciones dirigidas a mujeres rurales y periurbanas, PcD, PAM, </w:t>
      </w:r>
      <w:r w:rsidRPr="00993D99">
        <w:rPr>
          <w:lang w:val="es"/>
        </w:rPr>
        <w:lastRenderedPageBreak/>
        <w:t>y micro y pequeñas empresas, para promover una inclusión financiera accesible, equitativa y sostenible</w:t>
      </w:r>
      <w:r w:rsidRPr="00993D99">
        <w:rPr>
          <w:vertAlign w:val="superscript"/>
          <w:lang w:val="es"/>
        </w:rPr>
        <w:footnoteReference w:id="78"/>
      </w:r>
      <w:r w:rsidRPr="00993D99">
        <w:rPr>
          <w:lang w:val="es"/>
        </w:rPr>
        <w:t>.</w:t>
      </w:r>
    </w:p>
    <w:p w14:paraId="17D6F664" w14:textId="694242A6" w:rsidR="00993D99" w:rsidRPr="00993D99" w:rsidRDefault="00993D99" w:rsidP="001A0D63">
      <w:pPr>
        <w:pStyle w:val="SingleTxtG"/>
        <w:numPr>
          <w:ilvl w:val="0"/>
          <w:numId w:val="17"/>
        </w:numPr>
        <w:ind w:left="1134" w:firstLine="0"/>
        <w:rPr>
          <w:lang w:val="es"/>
        </w:rPr>
      </w:pPr>
      <w:r w:rsidRPr="00993D99">
        <w:rPr>
          <w:lang w:val="es"/>
        </w:rPr>
        <w:t>Sobre la recomendación del Comité sobre el Fondo de Desarrollo Indígena, se informa que los convenios intergubernativos suscritos entre el Fondo con los GAM y los Gobiernos Autónomos IOC fomentaron la participación de las mujeres en el empoderamiento de los programas y proyectos durante la fase de inversión y posterior operación y mantenimiento. Bajo ese contexto, en 110 programas y proyectos de maquinaria, financiados en la cartera IV “Fortaleciendo el Desarrollo Productivo” existe la participación activa de 39% de mujeres y representan el 45% de beneficiarias de proyectos de riego para la producción agrícola familiar</w:t>
      </w:r>
      <w:r w:rsidRPr="00993D99">
        <w:rPr>
          <w:vertAlign w:val="superscript"/>
          <w:lang w:val="es"/>
        </w:rPr>
        <w:footnoteReference w:id="79"/>
      </w:r>
      <w:r w:rsidRPr="00993D99">
        <w:rPr>
          <w:lang w:val="es"/>
        </w:rPr>
        <w:t>.</w:t>
      </w:r>
    </w:p>
    <w:p w14:paraId="0468B738" w14:textId="694FC6E9" w:rsidR="00993D99" w:rsidRPr="00993D99" w:rsidRDefault="00BC501A" w:rsidP="00BC501A">
      <w:pPr>
        <w:pStyle w:val="H1G"/>
        <w:rPr>
          <w:lang w:val="es"/>
        </w:rPr>
      </w:pPr>
      <w:r>
        <w:rPr>
          <w:lang w:val="es"/>
        </w:rPr>
        <w:tab/>
      </w:r>
      <w:r>
        <w:rPr>
          <w:lang w:val="es"/>
        </w:rPr>
        <w:tab/>
      </w:r>
      <w:r w:rsidR="00993D99" w:rsidRPr="00993D99">
        <w:rPr>
          <w:lang w:val="es"/>
        </w:rPr>
        <w:t>Artículo 14</w:t>
      </w:r>
    </w:p>
    <w:p w14:paraId="63BA3B21" w14:textId="7443FAF6" w:rsidR="00993D99" w:rsidRPr="00993D99" w:rsidRDefault="00190EB6" w:rsidP="00190EB6">
      <w:pPr>
        <w:pStyle w:val="H23G"/>
        <w:rPr>
          <w:lang w:val="es"/>
        </w:rPr>
      </w:pPr>
      <w:r>
        <w:rPr>
          <w:lang w:val="es"/>
        </w:rPr>
        <w:tab/>
      </w:r>
      <w:r>
        <w:rPr>
          <w:lang w:val="es"/>
        </w:rPr>
        <w:tab/>
      </w:r>
      <w:r w:rsidR="00993D99" w:rsidRPr="00993D99">
        <w:rPr>
          <w:lang w:val="es"/>
        </w:rPr>
        <w:t>Lucha contra la pobreza de las mujeres rurales</w:t>
      </w:r>
    </w:p>
    <w:p w14:paraId="66A350A1" w14:textId="458453AB" w:rsidR="00993D99" w:rsidRPr="00993D99" w:rsidRDefault="00993D99" w:rsidP="001A0D63">
      <w:pPr>
        <w:pStyle w:val="SingleTxtG"/>
        <w:numPr>
          <w:ilvl w:val="0"/>
          <w:numId w:val="17"/>
        </w:numPr>
        <w:ind w:left="1134" w:firstLine="0"/>
        <w:rPr>
          <w:lang w:val="es"/>
        </w:rPr>
      </w:pPr>
      <w:r w:rsidRPr="00993D99">
        <w:rPr>
          <w:lang w:val="es"/>
        </w:rPr>
        <w:t>El Estado implementa acciones para garantizar el acceso a la tierra, su uso productivo, y el acceso a mercados para contrarrestar la pobreza de las mujeres rurales. En este sentido, se dio continuidad al Programa de Alianzas Rurales (PAR) que promueve acciones de inclusión económica con enfoque de género; y mejora las condiciones de inserción de productos agropecuarios a mercados internos y externos. Entre 2019 y 2023 el PAR II benefició a 16.445 mujeres, el 37% del total de beneficiarios. En 2024, el PAR III registra 29.650 mujeres beneficiarias directas, que representa el 43% del total, superando ampliamente las metas de participación femenina establecidas en el Plan de Género del programa</w:t>
      </w:r>
      <w:r w:rsidRPr="00993D99">
        <w:rPr>
          <w:vertAlign w:val="superscript"/>
          <w:lang w:val="es"/>
        </w:rPr>
        <w:footnoteReference w:id="80"/>
      </w:r>
      <w:r w:rsidRPr="00993D99">
        <w:rPr>
          <w:lang w:val="es"/>
        </w:rPr>
        <w:t>. El Ministerio de Desarrollo Productivo, Rural y Aguas también reporta que en 2024 y 2025 un total de 37.233 mujeres fueron beneficiarias de todos los programas y proyectos del sector agropecuario, equivalente al 64,8% de beneficiarios.</w:t>
      </w:r>
    </w:p>
    <w:p w14:paraId="225930FE" w14:textId="1F217207" w:rsidR="00993D99" w:rsidRPr="00993D99" w:rsidRDefault="00993D99" w:rsidP="001A0D63">
      <w:pPr>
        <w:pStyle w:val="SingleTxtG"/>
        <w:numPr>
          <w:ilvl w:val="0"/>
          <w:numId w:val="17"/>
        </w:numPr>
        <w:ind w:left="1134" w:firstLine="0"/>
        <w:rPr>
          <w:lang w:val="es"/>
        </w:rPr>
      </w:pPr>
      <w:r w:rsidRPr="00993D99">
        <w:rPr>
          <w:lang w:val="es"/>
        </w:rPr>
        <w:t>De acuerdo con datos del INRA, entre 2022 y 2025 se benefició a 61.768 mujeres con títulos de propiedad de tierras, lo que representa el 45% del total entregado en el período; el 52,5% correspondió a varones y el 2,5% a personerías jurídicas</w:t>
      </w:r>
      <w:r w:rsidRPr="00993D99">
        <w:rPr>
          <w:vertAlign w:val="superscript"/>
          <w:lang w:val="es"/>
        </w:rPr>
        <w:footnoteReference w:id="81"/>
      </w:r>
      <w:r w:rsidRPr="00993D99">
        <w:rPr>
          <w:lang w:val="es"/>
        </w:rPr>
        <w:t>. Por su parte, una evaluación del SEPMUD de 2021 sobre la Ley N° 3545 de Reconducción Comunitaria de la Reforma Agraria da cuenta de una problemática vigente: persisten barreras culturales como la resistencia masculina a la copropiedad, la tradición patrilineal sucesoria que excluye a viudas e hijas, y la actuación parcializada de sindicatos agrarios en el saneamiento interno</w:t>
      </w:r>
      <w:r w:rsidRPr="00993D99">
        <w:rPr>
          <w:vertAlign w:val="superscript"/>
          <w:lang w:val="es"/>
        </w:rPr>
        <w:footnoteReference w:id="82"/>
      </w:r>
      <w:r w:rsidRPr="00993D99">
        <w:rPr>
          <w:lang w:val="es"/>
        </w:rPr>
        <w:t>.</w:t>
      </w:r>
    </w:p>
    <w:p w14:paraId="52B94774" w14:textId="08E1AD7A" w:rsidR="00993D99" w:rsidRPr="00993D99" w:rsidRDefault="00993D99" w:rsidP="001A0D63">
      <w:pPr>
        <w:pStyle w:val="SingleTxtG"/>
        <w:numPr>
          <w:ilvl w:val="0"/>
          <w:numId w:val="17"/>
        </w:numPr>
        <w:ind w:left="1134" w:firstLine="0"/>
        <w:rPr>
          <w:lang w:val="es"/>
        </w:rPr>
      </w:pPr>
      <w:bookmarkStart w:id="7" w:name="_heading=h.4w71bdo8k6ba" w:colFirst="0" w:colLast="0"/>
      <w:bookmarkEnd w:id="7"/>
      <w:r w:rsidRPr="00993D99">
        <w:rPr>
          <w:lang w:val="es"/>
        </w:rPr>
        <w:t>El Informe de evaluación realizado por el SEPMUD sobre OECAs y OECOMs, señala que el Registro Único de la Agricultura Familiar registró a 26.382 familias productoras a nivel nacional, de las cuales el 32,09% son mujeres; y registró 648 OECAS y OECOMS en todo el país. En materia de acceso a insumos y servicios, el SENASAG estableció tasas preferenciales para estas organizaciones en el registro sanitario animal, sin costo y una tasa reducida de Bs. 150 para el registro fitosanitario, frente a los Bs. 500 regulares.</w:t>
      </w:r>
    </w:p>
    <w:p w14:paraId="28F71C69" w14:textId="6C6F87AC" w:rsidR="00993D99" w:rsidRPr="00993D99" w:rsidRDefault="00993D99" w:rsidP="001A0D63">
      <w:pPr>
        <w:pStyle w:val="SingleTxtG"/>
        <w:numPr>
          <w:ilvl w:val="0"/>
          <w:numId w:val="17"/>
        </w:numPr>
        <w:ind w:left="1134" w:firstLine="0"/>
        <w:rPr>
          <w:lang w:val="es"/>
        </w:rPr>
      </w:pPr>
      <w:r w:rsidRPr="00993D99">
        <w:rPr>
          <w:lang w:val="es"/>
        </w:rPr>
        <w:t>A partir del PSDI, se implementaron acciones para eliminar la pobreza de las mujeres rurales. En los últimos años, en materia de acceso a formación técnica y tecnologías, se establecieron centros de capacitación e innovación tecnológica rurales que atendieron a 784 beneficiarias en 2022 (8 centros), 4.840 en 2023 (10 centros) y 7.773 en 2024 (4 centros)</w:t>
      </w:r>
      <w:r w:rsidRPr="00993D99">
        <w:rPr>
          <w:vertAlign w:val="superscript"/>
          <w:lang w:val="es"/>
        </w:rPr>
        <w:footnoteReference w:id="83"/>
      </w:r>
      <w:r w:rsidRPr="00993D99">
        <w:rPr>
          <w:lang w:val="es"/>
        </w:rPr>
        <w:t>.</w:t>
      </w:r>
    </w:p>
    <w:p w14:paraId="2B09B7DF" w14:textId="5F739F18" w:rsidR="00993D99" w:rsidRPr="00993D99" w:rsidRDefault="00993D99" w:rsidP="001A0D63">
      <w:pPr>
        <w:pStyle w:val="SingleTxtG"/>
        <w:numPr>
          <w:ilvl w:val="0"/>
          <w:numId w:val="17"/>
        </w:numPr>
        <w:ind w:left="1134" w:firstLine="0"/>
        <w:rPr>
          <w:lang w:val="es"/>
        </w:rPr>
      </w:pPr>
      <w:r w:rsidRPr="00993D99">
        <w:rPr>
          <w:lang w:val="es"/>
        </w:rPr>
        <w:t xml:space="preserve">En atención sanitaria, bajo la Política SAFCI, las acciones principales incluyen ampliar la cobertura mediante equipos médicos en comunidades rurales. Este modelo prioriza </w:t>
      </w:r>
      <w:r w:rsidRPr="00993D99">
        <w:rPr>
          <w:lang w:val="es"/>
        </w:rPr>
        <w:lastRenderedPageBreak/>
        <w:t>la atención médica primaria y domiciliaria gratuita, respaldada financieramente por los recursos sostenidos del SUS. Como resultado, entre 2022 y 2025, los establecimientos de salud de primer nivel en el área rural se incrementaron de 2.634 a 2.690 centros</w:t>
      </w:r>
      <w:r w:rsidRPr="00993D99">
        <w:rPr>
          <w:vertAlign w:val="superscript"/>
          <w:lang w:val="es"/>
        </w:rPr>
        <w:footnoteReference w:id="84"/>
      </w:r>
      <w:r w:rsidRPr="00993D99">
        <w:rPr>
          <w:lang w:val="es"/>
        </w:rPr>
        <w:t>.</w:t>
      </w:r>
    </w:p>
    <w:p w14:paraId="5497107E" w14:textId="779804D1" w:rsidR="00993D99" w:rsidRPr="00993D99" w:rsidRDefault="00993D99" w:rsidP="001A0D63">
      <w:pPr>
        <w:pStyle w:val="SingleTxtG"/>
        <w:numPr>
          <w:ilvl w:val="0"/>
          <w:numId w:val="17"/>
        </w:numPr>
        <w:ind w:left="1134" w:firstLine="0"/>
        <w:rPr>
          <w:lang w:val="es"/>
        </w:rPr>
      </w:pPr>
      <w:r w:rsidRPr="00993D99">
        <w:rPr>
          <w:lang w:val="es"/>
        </w:rPr>
        <w:t>La Política SAFCI articula la medicina biomédica con la tradicional ancestral. Un pilar es el Parto Intercultural, que adecúa las salas hospitalarias para respetar las prácticas, posición preferida, cosmovisión y acompañamiento de parteras tradicionales; esto genera confianza en el sistema público e incide directamente en la reducción de la mortalidad materna.</w:t>
      </w:r>
    </w:p>
    <w:p w14:paraId="0F067E9F" w14:textId="39D7BB17" w:rsidR="00993D99" w:rsidRPr="00993D99" w:rsidRDefault="00993D99" w:rsidP="001A0D63">
      <w:pPr>
        <w:pStyle w:val="SingleTxtG"/>
        <w:numPr>
          <w:ilvl w:val="0"/>
          <w:numId w:val="17"/>
        </w:numPr>
        <w:ind w:left="1134" w:firstLine="0"/>
        <w:rPr>
          <w:lang w:val="es"/>
        </w:rPr>
      </w:pPr>
      <w:r w:rsidRPr="00993D99">
        <w:rPr>
          <w:lang w:val="es"/>
        </w:rPr>
        <w:t>En el ámbito financiero, la ENIF 2027-2031 constituye el marco orientador para consolidar la inclusión financiera como una herramienta que promueve la equidad y la lucha contra la pobreza de las mujeres rurales.</w:t>
      </w:r>
    </w:p>
    <w:p w14:paraId="7D5E6500" w14:textId="7A0CD34C" w:rsidR="00993D99" w:rsidRPr="00993D99" w:rsidRDefault="000B7E1E" w:rsidP="000B7E1E">
      <w:pPr>
        <w:pStyle w:val="H23G"/>
        <w:rPr>
          <w:lang w:val="es"/>
        </w:rPr>
      </w:pPr>
      <w:r>
        <w:rPr>
          <w:lang w:val="es"/>
        </w:rPr>
        <w:tab/>
      </w:r>
      <w:r>
        <w:rPr>
          <w:lang w:val="es"/>
        </w:rPr>
        <w:tab/>
      </w:r>
      <w:r w:rsidR="00993D99" w:rsidRPr="00993D99">
        <w:rPr>
          <w:lang w:val="es"/>
        </w:rPr>
        <w:t>Perspectiva de género en las políticas agrícolas y las políticas de cambio climático</w:t>
      </w:r>
    </w:p>
    <w:p w14:paraId="56793547" w14:textId="548CC7D4" w:rsidR="00993D99" w:rsidRPr="00993D99" w:rsidRDefault="00993D99" w:rsidP="001A0D63">
      <w:pPr>
        <w:pStyle w:val="SingleTxtG"/>
        <w:numPr>
          <w:ilvl w:val="0"/>
          <w:numId w:val="17"/>
        </w:numPr>
        <w:ind w:left="1134" w:firstLine="0"/>
        <w:rPr>
          <w:lang w:val="es"/>
        </w:rPr>
      </w:pPr>
      <w:bookmarkStart w:id="8" w:name="_heading=h.ygp0jdf9gb2b" w:colFirst="0" w:colLast="0"/>
      <w:bookmarkEnd w:id="8"/>
      <w:r w:rsidRPr="00993D99">
        <w:rPr>
          <w:lang w:val="es"/>
        </w:rPr>
        <w:t>El Plan de Género del PAR III aborda las dimensiones de la pobreza de las mujeres rurales con acciones concretas. Al reconocer la sobrecarga de tareas domésticas como una barrera que limita su tiempo y movilidad, el plan propone sensibilizar en masculinidades y programar capacitaciones en horarios compatibles con sus labores de cuidado.</w:t>
      </w:r>
    </w:p>
    <w:p w14:paraId="02FDB86B" w14:textId="0C460662" w:rsidR="00993D99" w:rsidRPr="00993D99" w:rsidRDefault="00993D99" w:rsidP="001A0D63">
      <w:pPr>
        <w:pStyle w:val="SingleTxtG"/>
        <w:numPr>
          <w:ilvl w:val="0"/>
          <w:numId w:val="17"/>
        </w:numPr>
        <w:ind w:left="1134" w:firstLine="0"/>
        <w:rPr>
          <w:lang w:val="es"/>
        </w:rPr>
      </w:pPr>
      <w:r w:rsidRPr="00993D99">
        <w:rPr>
          <w:lang w:val="es"/>
        </w:rPr>
        <w:t>En lo referido a la política ambiental se aprobó la Política Plurinacional del Cambio Climático</w:t>
      </w:r>
      <w:r w:rsidRPr="00993D99">
        <w:rPr>
          <w:vertAlign w:val="superscript"/>
          <w:lang w:val="es"/>
        </w:rPr>
        <w:footnoteReference w:id="85"/>
      </w:r>
      <w:r w:rsidRPr="00993D99">
        <w:rPr>
          <w:lang w:val="es"/>
        </w:rPr>
        <w:t>, que incluye una perspectiva de género y equidad intergeneracional. Reconoce que las mujeres rurales enfrentan condiciones de vulnerabilidad agravada frente a los efectos del cambio climático; y su importante participación en la agricultura familiar, la seguridad alimentaria y gestión de recursos para los hogares</w:t>
      </w:r>
      <w:r w:rsidRPr="00993D99">
        <w:rPr>
          <w:vertAlign w:val="superscript"/>
          <w:lang w:val="es"/>
        </w:rPr>
        <w:footnoteReference w:id="86"/>
      </w:r>
      <w:r w:rsidRPr="00993D99">
        <w:rPr>
          <w:lang w:val="es"/>
        </w:rPr>
        <w:t>.</w:t>
      </w:r>
    </w:p>
    <w:p w14:paraId="28D67F26" w14:textId="57531C60" w:rsidR="00993D99" w:rsidRPr="00993D99" w:rsidRDefault="00993D99" w:rsidP="001A0D63">
      <w:pPr>
        <w:pStyle w:val="SingleTxtG"/>
        <w:numPr>
          <w:ilvl w:val="0"/>
          <w:numId w:val="17"/>
        </w:numPr>
        <w:ind w:left="1134" w:firstLine="0"/>
        <w:rPr>
          <w:lang w:val="es"/>
        </w:rPr>
      </w:pPr>
      <w:r w:rsidRPr="00993D99">
        <w:rPr>
          <w:lang w:val="es"/>
        </w:rPr>
        <w:t>La APMT elabora el PAGCC para fortalecer la incorporación del enfoque de género en las políticas, programas y proyectos relacionados con la adaptación, mitigación, resiliencia climática y gestión de riesgos. En abril de 2026 se aprobó la hoja de ruta y la propuesta metodológica para la formulación del PAGCC. Las acciones contemplan encuentros departamentales con más de 500 actores estratégicos y un trabajo sustantivo con la Plataforma de Mujeres Frente al Cambio Climático</w:t>
      </w:r>
      <w:r w:rsidRPr="00993D99">
        <w:rPr>
          <w:vertAlign w:val="superscript"/>
          <w:lang w:val="es"/>
        </w:rPr>
        <w:footnoteReference w:id="87"/>
      </w:r>
      <w:r w:rsidRPr="00993D99">
        <w:rPr>
          <w:lang w:val="es"/>
        </w:rPr>
        <w:t>.</w:t>
      </w:r>
    </w:p>
    <w:p w14:paraId="5BBCC3A0" w14:textId="133C4AAE" w:rsidR="00993D99" w:rsidRPr="00993D99" w:rsidRDefault="00993D99" w:rsidP="001A0D63">
      <w:pPr>
        <w:pStyle w:val="SingleTxtG"/>
        <w:numPr>
          <w:ilvl w:val="0"/>
          <w:numId w:val="17"/>
        </w:numPr>
        <w:ind w:left="1134" w:firstLine="0"/>
        <w:rPr>
          <w:lang w:val="es"/>
        </w:rPr>
      </w:pPr>
      <w:r w:rsidRPr="00993D99">
        <w:rPr>
          <w:lang w:val="es"/>
        </w:rPr>
        <w:t>En el marco de la implementación de las NDC 3.0 del Estado, la APMT fortalece la integración del enfoque de Género, Discapacidad e Inclusión Social en la acción climática nacional. Se viene desarrollando, de manera participativa un producto específico orientado a incorporar transversalmente el género en la implementación, seguimiento y monitoreo de las metas climáticas nacionales</w:t>
      </w:r>
      <w:r w:rsidRPr="00993D99">
        <w:rPr>
          <w:vertAlign w:val="superscript"/>
          <w:lang w:val="es"/>
        </w:rPr>
        <w:footnoteReference w:id="88"/>
      </w:r>
      <w:r w:rsidRPr="00993D99">
        <w:rPr>
          <w:lang w:val="es"/>
        </w:rPr>
        <w:t>.</w:t>
      </w:r>
    </w:p>
    <w:p w14:paraId="5072277F" w14:textId="75A24CDF" w:rsidR="00993D99" w:rsidRPr="00993D99" w:rsidRDefault="000B7E1E" w:rsidP="000B7E1E">
      <w:pPr>
        <w:pStyle w:val="H23G"/>
        <w:rPr>
          <w:lang w:val="es"/>
        </w:rPr>
      </w:pPr>
      <w:r>
        <w:rPr>
          <w:lang w:val="es"/>
        </w:rPr>
        <w:tab/>
      </w:r>
      <w:r>
        <w:rPr>
          <w:lang w:val="es"/>
        </w:rPr>
        <w:tab/>
      </w:r>
      <w:r w:rsidR="00993D99" w:rsidRPr="00993D99">
        <w:rPr>
          <w:lang w:val="es"/>
        </w:rPr>
        <w:t>Mujeres indígenas y afrobolivianas</w:t>
      </w:r>
    </w:p>
    <w:p w14:paraId="3950F33C" w14:textId="1113F859" w:rsidR="00993D99" w:rsidRPr="00993D99" w:rsidRDefault="00993D99" w:rsidP="001A0D63">
      <w:pPr>
        <w:pStyle w:val="SingleTxtG"/>
        <w:numPr>
          <w:ilvl w:val="0"/>
          <w:numId w:val="17"/>
        </w:numPr>
        <w:ind w:left="1134" w:firstLine="0"/>
        <w:rPr>
          <w:lang w:val="es"/>
        </w:rPr>
      </w:pPr>
      <w:r w:rsidRPr="00993D99">
        <w:rPr>
          <w:lang w:val="es"/>
        </w:rPr>
        <w:t>Se elaboró la “Agenda de las Mujeres hacia el Decenio de la Despatriarcalización para Vivir Bien (2023)”, que sintetiza el proceso histórico, político y organizativo de las mujeres campesinas, indígenas y originarias y se consolidó como un instrumento que articula la acción del Estado y las organizaciones sociales, dando continuidad a la agenda de 2018.</w:t>
      </w:r>
    </w:p>
    <w:p w14:paraId="424D155E" w14:textId="2B0C2570" w:rsidR="00993D99" w:rsidRPr="00993D99" w:rsidRDefault="00993D99" w:rsidP="001A0D63">
      <w:pPr>
        <w:pStyle w:val="SingleTxtG"/>
        <w:numPr>
          <w:ilvl w:val="0"/>
          <w:numId w:val="17"/>
        </w:numPr>
        <w:ind w:left="1134" w:firstLine="0"/>
        <w:rPr>
          <w:lang w:val="es"/>
        </w:rPr>
      </w:pPr>
      <w:r w:rsidRPr="00993D99">
        <w:rPr>
          <w:lang w:val="es"/>
        </w:rPr>
        <w:t xml:space="preserve">En 2024, el SEPMUD elaboró la “Guía metodológica para la inclusión de organizaciones sociales de mujeres en la construcción y seguimiento de políticas públicas”, que proporciona un marco para diseñar, implementar y evaluar políticas públicas con la participación activa de las organizaciones sociales de mujeres, bajo un enfoque de despatriarcalización y descolonización. En 2025, se publicó “Del Tejido a la gestión, Guía Metodológica para Políticas Públicas con Mujeres Indígenas”, que sistematiza la experiencia boliviana de trabajo con organizaciones de mujeres indígenas, recogiendo sus saberes, demandas y propuestas construidas colectivamente, y fue adaptada para su implementación </w:t>
      </w:r>
      <w:r w:rsidRPr="00993D99">
        <w:rPr>
          <w:lang w:val="es"/>
        </w:rPr>
        <w:lastRenderedPageBreak/>
        <w:t>en Costa Rica. Es un instrumento que promueve la participación de las mujeres indígenas en la toma de decisiones y el diseño de políticas públicas con enfoque intercultural y despatriarcalizador.</w:t>
      </w:r>
    </w:p>
    <w:p w14:paraId="161184DC" w14:textId="26441E42" w:rsidR="00993D99" w:rsidRPr="00993D99" w:rsidRDefault="00993D99" w:rsidP="001A0D63">
      <w:pPr>
        <w:pStyle w:val="SingleTxtG"/>
        <w:numPr>
          <w:ilvl w:val="0"/>
          <w:numId w:val="17"/>
        </w:numPr>
        <w:ind w:left="1134" w:firstLine="0"/>
        <w:rPr>
          <w:lang w:val="es"/>
        </w:rPr>
      </w:pPr>
      <w:r w:rsidRPr="00993D99">
        <w:rPr>
          <w:lang w:val="es"/>
        </w:rPr>
        <w:t>En 2024 el SEPMUD realizó el “Estado de situación de las mujeres afrobolivianas” con datos preliminares con apoyo de CONAFRO y Cimarronas. El documento aborda 9 líneas temáticas sobre el acceso a servicios, situación laboral, salud, educación, violencia de género, participación política y trabajo no remunerado y de cuidado. Este diagnóstico constituyó la base técnica para la construcción participativa de la “Política Pública Plurinacional del Pueblo Afroboliviano: Acciones para el Ejercicio de los Derechos y la Reparación Histórica”. Este instrumento integra de manera transversal la perspectiva de género e interculturalidad, asegurando que el Plan de Acción del Decenio del Pueblo Afroboliviano incorpore ejes específicos de empoderamiento, prevención de la violencia con pertinencia cultural y reparación histórica.</w:t>
      </w:r>
    </w:p>
    <w:p w14:paraId="029A0317" w14:textId="79A75C7F" w:rsidR="00993D99" w:rsidRPr="00993D99" w:rsidRDefault="00993D99" w:rsidP="001A0D63">
      <w:pPr>
        <w:pStyle w:val="SingleTxtG"/>
        <w:numPr>
          <w:ilvl w:val="0"/>
          <w:numId w:val="17"/>
        </w:numPr>
        <w:ind w:left="1134" w:firstLine="0"/>
        <w:rPr>
          <w:lang w:val="es"/>
        </w:rPr>
      </w:pPr>
      <w:r w:rsidRPr="00993D99">
        <w:rPr>
          <w:lang w:val="es"/>
        </w:rPr>
        <w:t>Sobre la recomendación del Comité de investigar y enjuiciar los actos de violencia de género contra defensoras indígenas de derechos humanos, el Estado ratificó el Acuerdo de Escazú en 2019, mediante Ley N° 1182. Complementariamente, a través de la DPB, en su calidad de miembro de la “Red de Instituciones Nacionales para la Promoción y Protección de los Derechos Humanos del Continente Americano”, participó en la elaboración del "Protocolo para la defensa de las personas defensoras de los derechos humanos y espacio cívico como seguimiento de la Declaración de Marrakech" de 2023</w:t>
      </w:r>
      <w:r w:rsidRPr="00993D99">
        <w:rPr>
          <w:vertAlign w:val="superscript"/>
          <w:lang w:val="es"/>
        </w:rPr>
        <w:footnoteReference w:id="89"/>
      </w:r>
      <w:r w:rsidRPr="00993D99">
        <w:rPr>
          <w:lang w:val="es"/>
        </w:rPr>
        <w:t>.</w:t>
      </w:r>
    </w:p>
    <w:p w14:paraId="50DC925D" w14:textId="444B2632" w:rsidR="00993D99" w:rsidRPr="00993D99" w:rsidRDefault="00993D99" w:rsidP="001A0D63">
      <w:pPr>
        <w:pStyle w:val="SingleTxtG"/>
        <w:numPr>
          <w:ilvl w:val="0"/>
          <w:numId w:val="17"/>
        </w:numPr>
        <w:ind w:left="1134" w:firstLine="0"/>
        <w:rPr>
          <w:lang w:val="es"/>
        </w:rPr>
      </w:pPr>
      <w:r w:rsidRPr="00993D99">
        <w:rPr>
          <w:lang w:val="es"/>
        </w:rPr>
        <w:t>El D.S. N° 5478 de 2025 establece un mecanismo de protección para las y los defensores de derechos humanos Esta norma reconoce su labor como legítima, prohíbe su criminalización y estigmatización, y crea el Comité de Protección de las y los Defensores de Derechos Humanos, integrado por representantes del ejecutivo, organizaciones de mujeres, organizaciones IOC, la COB, entre otras. El Decreto establece que las y los defensores de derechos gozarán de medidas específicas que permitan su protección integral en el desarrollo de su labor, de acuerdo a su género, etnia, orientación sexual, edad, discapacidad u otra condición.</w:t>
      </w:r>
    </w:p>
    <w:p w14:paraId="3288BD76" w14:textId="568FFA29" w:rsidR="00993D99" w:rsidRPr="00993D99" w:rsidRDefault="00422C6C" w:rsidP="00422C6C">
      <w:pPr>
        <w:pStyle w:val="H23G"/>
        <w:rPr>
          <w:lang w:val="es"/>
        </w:rPr>
      </w:pPr>
      <w:r>
        <w:rPr>
          <w:lang w:val="es"/>
        </w:rPr>
        <w:tab/>
      </w:r>
      <w:r>
        <w:rPr>
          <w:lang w:val="es"/>
        </w:rPr>
        <w:tab/>
      </w:r>
      <w:r w:rsidR="00993D99" w:rsidRPr="00993D99">
        <w:rPr>
          <w:lang w:val="es"/>
        </w:rPr>
        <w:t>Mujeres con discapacidad</w:t>
      </w:r>
    </w:p>
    <w:p w14:paraId="1D190F2F" w14:textId="7161EDAB" w:rsidR="00993D99" w:rsidRPr="00993D99" w:rsidRDefault="00993D99" w:rsidP="001A0D63">
      <w:pPr>
        <w:pStyle w:val="SingleTxtG"/>
        <w:numPr>
          <w:ilvl w:val="0"/>
          <w:numId w:val="17"/>
        </w:numPr>
        <w:ind w:left="1134" w:firstLine="0"/>
        <w:rPr>
          <w:lang w:val="es"/>
        </w:rPr>
      </w:pPr>
      <w:r w:rsidRPr="00993D99">
        <w:rPr>
          <w:lang w:val="es"/>
        </w:rPr>
        <w:t>En 2022, el D.S. N° 4691 crea el CONALPEDIS para promover normas, políticas y estrategias para el ejercicio de los derechos de las PcD; promover y fomentar el enfoque de discapacidad; y coordinar la mejora de la infraestructura física pública y los recursos técnicos, materiales y humanos para la atención de las PcD. El mismo decreto crea el “Consejo Plurinacional de Personas con Discapacidad” conformado por los ministerios del ramo y la Confederación Boliviana de Personas con Discapacidad. Actualmente, CONALPEDIS depende administrativamente del MSyD.</w:t>
      </w:r>
    </w:p>
    <w:p w14:paraId="6C0D7FB1" w14:textId="7D1FB530" w:rsidR="00993D99" w:rsidRPr="00993D99" w:rsidRDefault="00993D99" w:rsidP="001A0D63">
      <w:pPr>
        <w:pStyle w:val="SingleTxtG"/>
        <w:numPr>
          <w:ilvl w:val="0"/>
          <w:numId w:val="17"/>
        </w:numPr>
        <w:ind w:left="1134" w:firstLine="0"/>
        <w:rPr>
          <w:lang w:val="es"/>
        </w:rPr>
      </w:pPr>
      <w:r w:rsidRPr="00993D99">
        <w:rPr>
          <w:lang w:val="es"/>
        </w:rPr>
        <w:t>Para garantizar iguales derechos jurídicos para las mujeres con discapacidad, el Estado implementó en 2018 el PRONASSLE, cuyo objetivo es que las PcD ejerzan plenamente sus derechos en condiciones de igualdad, equidad y respeto. Los servicios incluyen: orientación sobre procesos de trámites en áreas social y legal; asesoramiento jurídico especializado y gratuito para casos de discriminación, abuso y otros. Estos servicios se brindan de manera gratuita y preferencial, con calidad, calidez y transparencia, a las PcD, sus familiares o tutores.</w:t>
      </w:r>
    </w:p>
    <w:p w14:paraId="605D5DFE" w14:textId="43BD95F7" w:rsidR="00993D99" w:rsidRPr="00993D99" w:rsidRDefault="00993D99" w:rsidP="001A0D63">
      <w:pPr>
        <w:pStyle w:val="SingleTxtG"/>
        <w:numPr>
          <w:ilvl w:val="0"/>
          <w:numId w:val="17"/>
        </w:numPr>
        <w:ind w:left="1134" w:firstLine="0"/>
        <w:rPr>
          <w:lang w:val="es"/>
        </w:rPr>
      </w:pPr>
      <w:r w:rsidRPr="00993D99">
        <w:rPr>
          <w:lang w:val="es"/>
        </w:rPr>
        <w:t>Dentro del Módulo RUV-SIPPASE, se contempla el registro de mujeres con discapacidad. Igualmente, la RAI, determina un enfoque interseccional estableciendo que las instituciones que intervienen en la Ruta deben considerar las particularidades de las víctimas y las múltiples formas de discriminación que podrían presentarse. Por otro lado, la Ley Nº 1658, de octubre de 2025, reconoce la Lengua de Señas Boliviana, como idioma oficial, para facilitar el acceso a la justicia de Personas Sordas.</w:t>
      </w:r>
    </w:p>
    <w:p w14:paraId="060F4807" w14:textId="1697EE93" w:rsidR="00993D99" w:rsidRPr="00993D99" w:rsidRDefault="00993D99" w:rsidP="001A0D63">
      <w:pPr>
        <w:pStyle w:val="SingleTxtG"/>
        <w:numPr>
          <w:ilvl w:val="0"/>
          <w:numId w:val="17"/>
        </w:numPr>
        <w:ind w:left="1134" w:firstLine="0"/>
        <w:rPr>
          <w:lang w:val="es"/>
        </w:rPr>
      </w:pPr>
      <w:r w:rsidRPr="00993D99">
        <w:rPr>
          <w:lang w:val="es"/>
        </w:rPr>
        <w:lastRenderedPageBreak/>
        <w:t>En el marco de la Ley N° 223 General para Personas con Discapacidad, en 2020 se aprobó la “Guía de Creación y Funcionamiento de las Unidades Especializadas Municipales para la Atención Integral de PcD”, con el objetivo de coadyuvar a los GAMs en la creación de dichas unidades y de fortalecerlas.</w:t>
      </w:r>
    </w:p>
    <w:p w14:paraId="3DCA816F" w14:textId="4C65E127" w:rsidR="00993D99" w:rsidRPr="00993D99" w:rsidRDefault="00993D99" w:rsidP="001A0D63">
      <w:pPr>
        <w:pStyle w:val="SingleTxtG"/>
        <w:numPr>
          <w:ilvl w:val="0"/>
          <w:numId w:val="17"/>
        </w:numPr>
        <w:ind w:left="1134" w:firstLine="0"/>
        <w:rPr>
          <w:lang w:val="es"/>
        </w:rPr>
      </w:pPr>
      <w:r w:rsidRPr="00993D99">
        <w:rPr>
          <w:lang w:val="es"/>
        </w:rPr>
        <w:t>CONALPEDIS, en coordinación con la Fiscalía Departamental de La Paz, implementó talleres de capacitación especializada dirigidos a servidores de la fiscalía. La capacitación abordó la Ley contra el racismo y toda forma de discriminación y el “Protocolo de Acceso a la Justicia”. Esta iniciativa contribuye a fortalecer las capacidades de los operadores de justicia para garantizar una atención objetiva en el acceso a la justicia para PcD.</w:t>
      </w:r>
    </w:p>
    <w:p w14:paraId="1978F16A" w14:textId="7434394C" w:rsidR="00993D99" w:rsidRPr="00993D99" w:rsidRDefault="00993D99" w:rsidP="001A0D63">
      <w:pPr>
        <w:pStyle w:val="SingleTxtG"/>
        <w:numPr>
          <w:ilvl w:val="0"/>
          <w:numId w:val="17"/>
        </w:numPr>
        <w:ind w:left="1134" w:firstLine="0"/>
        <w:rPr>
          <w:lang w:val="es"/>
        </w:rPr>
      </w:pPr>
      <w:r w:rsidRPr="00993D99">
        <w:rPr>
          <w:lang w:val="es"/>
        </w:rPr>
        <w:t>En mayo de 2026, el CONALPEDIS dio inicio al “Proceso de Fortalecimiento en la Atención y Buen Trato a las Personas con Discapacidad”, dirigido a efectivos policiales con la participación de 200 servidores en La Paz, con proyección de extensión a nivel nacional hasta julio de 2026. La capacitación abordó modelos de discapacidad, tipos y grados de discapacidad, y pautas de buen trato.</w:t>
      </w:r>
    </w:p>
    <w:p w14:paraId="4ECB0A3B" w14:textId="024225D5" w:rsidR="00993D99" w:rsidRPr="00993D99" w:rsidRDefault="00993D99" w:rsidP="001A0D63">
      <w:pPr>
        <w:pStyle w:val="SingleTxtG"/>
        <w:numPr>
          <w:ilvl w:val="0"/>
          <w:numId w:val="17"/>
        </w:numPr>
        <w:ind w:left="1134" w:firstLine="0"/>
        <w:rPr>
          <w:lang w:val="es"/>
        </w:rPr>
      </w:pPr>
      <w:r w:rsidRPr="00993D99">
        <w:rPr>
          <w:lang w:val="es"/>
        </w:rPr>
        <w:t>El Informe del SEPMUD sobre mujeres IOC y afrobolivianas señala que esta población con algún tipo de discapacidad, enfrenta una triple situación de vulnerabilidad, el 97% de estas mujeres no se encuentra registrada en los sistemas estatales de atención (Sistema de Información para el Registro Único Nacional de Personas con Discapacidad y Sistema de Control de Afiliados), lo que les impide acceder a beneficios y protección social.</w:t>
      </w:r>
    </w:p>
    <w:p w14:paraId="65926483" w14:textId="1031B51E" w:rsidR="00993D99" w:rsidRPr="00993D99" w:rsidRDefault="00993D99" w:rsidP="001A0D63">
      <w:pPr>
        <w:pStyle w:val="SingleTxtG"/>
        <w:numPr>
          <w:ilvl w:val="0"/>
          <w:numId w:val="17"/>
        </w:numPr>
        <w:ind w:left="1134" w:firstLine="0"/>
        <w:rPr>
          <w:lang w:val="es"/>
        </w:rPr>
      </w:pPr>
      <w:bookmarkStart w:id="9" w:name="_heading=h.wyeutdexuoq" w:colFirst="0" w:colLast="0"/>
      <w:bookmarkEnd w:id="9"/>
      <w:r w:rsidRPr="00993D99">
        <w:rPr>
          <w:lang w:val="es"/>
        </w:rPr>
        <w:t>En cuanto a la accesibilidad de los servicios de salud, a partir de 2023 se aplica la “Guía del Buen Trato a las Personas con Discapacidad en servicios de Salud”, que aborda la eliminación de barreras arquitectónicas, comunicacionales y actitudinales, y que para 2024 fue implementada en 63 centros de salud</w:t>
      </w:r>
      <w:r w:rsidRPr="00993D99">
        <w:rPr>
          <w:vertAlign w:val="superscript"/>
          <w:lang w:val="es"/>
        </w:rPr>
        <w:footnoteReference w:id="90"/>
      </w:r>
      <w:r w:rsidRPr="00993D99">
        <w:rPr>
          <w:lang w:val="es"/>
        </w:rPr>
        <w:t>. En 2026, la UGPD trabaja en una norma de caracterización de establecimientos de salud para facilitar el acceso de PcD a todos los centros de salud en los tres niveles.</w:t>
      </w:r>
    </w:p>
    <w:p w14:paraId="3A1E278B" w14:textId="76077B72" w:rsidR="00993D99" w:rsidRPr="00993D99" w:rsidRDefault="00993D99" w:rsidP="001A0D63">
      <w:pPr>
        <w:pStyle w:val="SingleTxtG"/>
        <w:numPr>
          <w:ilvl w:val="0"/>
          <w:numId w:val="17"/>
        </w:numPr>
        <w:ind w:left="1134" w:firstLine="0"/>
        <w:rPr>
          <w:lang w:val="es"/>
        </w:rPr>
      </w:pPr>
      <w:bookmarkStart w:id="10" w:name="_heading=h.rcx40jmafnbf" w:colFirst="0" w:colLast="0"/>
      <w:bookmarkStart w:id="11" w:name="_heading=h.ppca6vzdxig1" w:colFirst="0" w:colLast="0"/>
      <w:bookmarkEnd w:id="10"/>
      <w:bookmarkEnd w:id="11"/>
      <w:r w:rsidRPr="00993D99">
        <w:rPr>
          <w:lang w:val="es"/>
        </w:rPr>
        <w:t>En relación con la libertad sexual y reproductiva, se elaboró la “Guía para la Aplicación de la Norma Técnica de Atención Integral en Salud Sexual y Salud Reproductiva para Personas con Discapacidad” (2023) y la “Cartilla de Salud Sexual y Salud Reproductiva dirigida para Personas con Discapacidad” (2024). La UGPD trabaja en 2026 en una Norma Nacional de Salud Sexual y Reproductiva para PcD en los centros de salud de tercer nivel. Por otro lado, el “Protocolo de atención post-aborto” se aplica incorporando y guías específicas de accesibilidad física y comunicacional para mujeres con discapacidad</w:t>
      </w:r>
      <w:r w:rsidRPr="00993D99">
        <w:rPr>
          <w:vertAlign w:val="superscript"/>
          <w:lang w:val="es"/>
        </w:rPr>
        <w:footnoteReference w:id="91"/>
      </w:r>
      <w:r w:rsidRPr="00993D99">
        <w:rPr>
          <w:lang w:val="es"/>
        </w:rPr>
        <w:t>.</w:t>
      </w:r>
    </w:p>
    <w:p w14:paraId="747C0015" w14:textId="18B4DF34" w:rsidR="00993D99" w:rsidRPr="00993D99" w:rsidRDefault="00993D99" w:rsidP="001A0D63">
      <w:pPr>
        <w:pStyle w:val="SingleTxtG"/>
        <w:numPr>
          <w:ilvl w:val="0"/>
          <w:numId w:val="17"/>
        </w:numPr>
        <w:ind w:left="1134" w:firstLine="0"/>
        <w:rPr>
          <w:lang w:val="es"/>
        </w:rPr>
      </w:pPr>
      <w:r w:rsidRPr="00993D99">
        <w:rPr>
          <w:lang w:val="es"/>
        </w:rPr>
        <w:t>El Estado ha impulsado las atenciones médicas directas en las comunidades para poblaciones vulnerables, como las PcD, logrando incrementar las atenciones “en comunidad” de 5.334 en 2022 a 17.629 atenciones en 2025.</w:t>
      </w:r>
    </w:p>
    <w:p w14:paraId="55E179C4" w14:textId="2311904C" w:rsidR="00993D99" w:rsidRPr="00993D99" w:rsidRDefault="00993D99" w:rsidP="001A0D63">
      <w:pPr>
        <w:pStyle w:val="SingleTxtG"/>
        <w:numPr>
          <w:ilvl w:val="0"/>
          <w:numId w:val="17"/>
        </w:numPr>
        <w:ind w:left="1134" w:firstLine="0"/>
        <w:rPr>
          <w:lang w:val="es"/>
        </w:rPr>
      </w:pPr>
      <w:r w:rsidRPr="00993D99">
        <w:rPr>
          <w:lang w:val="es"/>
        </w:rPr>
        <w:t>Sobre la Educación inclusiva, el ME implementó y actualizó lineamientos curriculares, currículos específicos, programas educativos e instrumentos técnicos para fortalecer la atención educativa inclusiva, se aprobaron 11 documentos curriculares orientados a armonizar la implementación de la Educación Inclusiva (Anexo 3)</w:t>
      </w:r>
      <w:r w:rsidRPr="00993D99">
        <w:rPr>
          <w:vertAlign w:val="superscript"/>
          <w:lang w:val="es"/>
        </w:rPr>
        <w:footnoteReference w:id="92"/>
      </w:r>
      <w:r w:rsidRPr="00993D99">
        <w:rPr>
          <w:lang w:val="es"/>
        </w:rPr>
        <w:t>.</w:t>
      </w:r>
    </w:p>
    <w:p w14:paraId="68499866" w14:textId="1E98822D" w:rsidR="00993D99" w:rsidRPr="00993D99" w:rsidRDefault="00993D99" w:rsidP="001A0D63">
      <w:pPr>
        <w:pStyle w:val="SingleTxtG"/>
        <w:numPr>
          <w:ilvl w:val="0"/>
          <w:numId w:val="17"/>
        </w:numPr>
        <w:ind w:left="1134" w:firstLine="0"/>
        <w:rPr>
          <w:lang w:val="es"/>
        </w:rPr>
      </w:pPr>
      <w:r w:rsidRPr="00993D99">
        <w:rPr>
          <w:lang w:val="es"/>
        </w:rPr>
        <w:t>La matriculación de mujeres entre 15 y 18 años en centros de educación alternativa y especial ha incrementado. En 2020 había 5.317 estudiantes mujeres matriculadas en centros de educación especial, e incrementó hasta 8.101 en 2026. La gran mayoría de matriculadas en estos centros tiene discapacidad intelectual y visual. Entre 2023 y 2026 ha incrementado considerablemente el número de matriculadas con discapacidad mental – psíquica y con trastorno de espectro autista</w:t>
      </w:r>
      <w:r w:rsidRPr="00993D99">
        <w:rPr>
          <w:vertAlign w:val="superscript"/>
          <w:lang w:val="es"/>
        </w:rPr>
        <w:footnoteReference w:id="93"/>
      </w:r>
      <w:r w:rsidRPr="00993D99">
        <w:rPr>
          <w:lang w:val="es"/>
        </w:rPr>
        <w:t>.</w:t>
      </w:r>
    </w:p>
    <w:p w14:paraId="45A6B8FC" w14:textId="0EA1FB6E" w:rsidR="00993D99" w:rsidRPr="00993D99" w:rsidRDefault="00993D99" w:rsidP="001A0D63">
      <w:pPr>
        <w:pStyle w:val="SingleTxtG"/>
        <w:numPr>
          <w:ilvl w:val="0"/>
          <w:numId w:val="17"/>
        </w:numPr>
        <w:ind w:left="1134" w:firstLine="0"/>
        <w:rPr>
          <w:lang w:val="es"/>
        </w:rPr>
      </w:pPr>
      <w:r w:rsidRPr="00993D99">
        <w:rPr>
          <w:lang w:val="es"/>
        </w:rPr>
        <w:t xml:space="preserve">El Sistema Educativo Plurinacional incluye la educación técnica alternativa y la educación técnica especial; en ese marco, entre 2021 y 2026 se registraron más de 3.000 </w:t>
      </w:r>
      <w:r w:rsidRPr="00993D99">
        <w:rPr>
          <w:lang w:val="es"/>
        </w:rPr>
        <w:lastRenderedPageBreak/>
        <w:t>mujeres en educación técnica. De éstas, la mayor parte tienen discapacidad intelectual, y aproximadamente el 8% está registrada en el área rural</w:t>
      </w:r>
      <w:r w:rsidRPr="00993D99">
        <w:rPr>
          <w:vertAlign w:val="superscript"/>
          <w:lang w:val="es"/>
        </w:rPr>
        <w:footnoteReference w:id="94"/>
      </w:r>
      <w:r w:rsidRPr="00993D99">
        <w:rPr>
          <w:lang w:val="es"/>
        </w:rPr>
        <w:t>.</w:t>
      </w:r>
    </w:p>
    <w:p w14:paraId="0EFDF7F5" w14:textId="29577BFF" w:rsidR="00993D99" w:rsidRPr="00993D99" w:rsidRDefault="00993D99" w:rsidP="001A0D63">
      <w:pPr>
        <w:pStyle w:val="SingleTxtG"/>
        <w:numPr>
          <w:ilvl w:val="0"/>
          <w:numId w:val="17"/>
        </w:numPr>
        <w:ind w:left="1134" w:firstLine="0"/>
        <w:rPr>
          <w:lang w:val="es"/>
        </w:rPr>
      </w:pPr>
      <w:r w:rsidRPr="00993D99">
        <w:rPr>
          <w:lang w:val="es"/>
        </w:rPr>
        <w:t>Las ESFM han registrado un incremento sostenido en la matrícula de estudiantes mujeres en la especialidad de Educación para PcD, de 60 matriculadas en 2020 a 342 en 2026</w:t>
      </w:r>
      <w:r w:rsidRPr="00993D99">
        <w:rPr>
          <w:vertAlign w:val="superscript"/>
          <w:lang w:val="es"/>
        </w:rPr>
        <w:footnoteReference w:id="95"/>
      </w:r>
      <w:r w:rsidRPr="00993D99">
        <w:rPr>
          <w:lang w:val="es"/>
        </w:rPr>
        <w:t>. Por otro lado, el ME ejecutó cursos de postgrado y ciclos formativos en educación especial entre 2021 y 2024, alcanzando un total de 8.003 maestros y maestras capacitados.</w:t>
      </w:r>
    </w:p>
    <w:p w14:paraId="605148B0" w14:textId="44A38FB8" w:rsidR="00993D99" w:rsidRPr="00993D99" w:rsidRDefault="00993D99" w:rsidP="001A0D63">
      <w:pPr>
        <w:pStyle w:val="SingleTxtG"/>
        <w:numPr>
          <w:ilvl w:val="0"/>
          <w:numId w:val="17"/>
        </w:numPr>
        <w:ind w:left="1134" w:firstLine="0"/>
        <w:rPr>
          <w:lang w:val="es"/>
        </w:rPr>
      </w:pPr>
      <w:r w:rsidRPr="00993D99">
        <w:rPr>
          <w:lang w:val="es"/>
        </w:rPr>
        <w:t>Entre 2021 y 2026, el SEPMUD integró la discapacidad como eje crítico en propuestas normativas e instrumentos de política pública, incluido el portafolio estratégico presentado a la Presidencia en abril de 2026. Esto busca eliminar barreras de acceso y desarrollar apoyos técnicos que reviertan las elevadas tasas de deserción escolar reportadas.</w:t>
      </w:r>
    </w:p>
    <w:p w14:paraId="29660C97" w14:textId="66A64EB6" w:rsidR="00993D99" w:rsidRPr="00993D99" w:rsidRDefault="00993D99" w:rsidP="001A0D63">
      <w:pPr>
        <w:pStyle w:val="SingleTxtG"/>
        <w:numPr>
          <w:ilvl w:val="0"/>
          <w:numId w:val="17"/>
        </w:numPr>
        <w:ind w:left="1134" w:firstLine="0"/>
        <w:rPr>
          <w:lang w:val="es"/>
        </w:rPr>
      </w:pPr>
      <w:r w:rsidRPr="00993D99">
        <w:rPr>
          <w:lang w:val="es"/>
        </w:rPr>
        <w:t>El PAE II desarrolló acciones orientadas a promover el acceso al empleo de mujeres, PcD y otros grupos en situación de vulnerabilidad. En ese marco el 45% de las personas con discapacidad beneficiarias del PAE fueron mujeres. La participación de mujeres con discapacidad pasó de 44 beneficiarias en 2018 a 301 en 2022, con una caída durante 2020</w:t>
      </w:r>
      <w:r w:rsidRPr="00993D99">
        <w:rPr>
          <w:vertAlign w:val="superscript"/>
          <w:lang w:val="es"/>
        </w:rPr>
        <w:footnoteReference w:id="96"/>
      </w:r>
      <w:r w:rsidRPr="00993D99">
        <w:rPr>
          <w:lang w:val="es"/>
        </w:rPr>
        <w:t>.</w:t>
      </w:r>
    </w:p>
    <w:p w14:paraId="04287E9C" w14:textId="001BC18A" w:rsidR="00993D99" w:rsidRPr="00993D99" w:rsidRDefault="00993D99" w:rsidP="001A0D63">
      <w:pPr>
        <w:pStyle w:val="SingleTxtG"/>
        <w:numPr>
          <w:ilvl w:val="0"/>
          <w:numId w:val="17"/>
        </w:numPr>
        <w:ind w:left="1134" w:firstLine="0"/>
        <w:rPr>
          <w:lang w:val="es"/>
        </w:rPr>
      </w:pPr>
      <w:r w:rsidRPr="00993D99">
        <w:rPr>
          <w:lang w:val="es"/>
        </w:rPr>
        <w:t>El SEPMUD emitió alertas técnicas tras constatar un incumplimiento sistemático de la Ley Nº 977. Pese a que la normativa exige una cuota de inserción laboral del 4% en el sector público y 2% en el privado, el monitoreo realizado entre 2022 y 2024 revela que el cumplimiento promedio en las entidades estatales alcanzó solamente el 1,2%, sin que ninguna institución se acerque a la mitad del porcentaje legal.</w:t>
      </w:r>
    </w:p>
    <w:p w14:paraId="7F947757" w14:textId="68E7857C" w:rsidR="00993D99" w:rsidRPr="00993D99" w:rsidRDefault="00993D99" w:rsidP="001A0D63">
      <w:pPr>
        <w:pStyle w:val="SingleTxtG"/>
        <w:numPr>
          <w:ilvl w:val="0"/>
          <w:numId w:val="17"/>
        </w:numPr>
        <w:ind w:left="1134" w:firstLine="0"/>
        <w:rPr>
          <w:lang w:val="es"/>
        </w:rPr>
      </w:pPr>
      <w:r w:rsidRPr="00993D99">
        <w:rPr>
          <w:lang w:val="es"/>
        </w:rPr>
        <w:t>En respuesta a la recomendación sobre la generación de datos de las mujeres con discapacidad se presentan los datos disponibles sobre prevalencia de discapacidad, alfabetización y registros. En el CPV 2024, se incorporó una pregunta destinada a identificar a las PcD. De acuerdo con estos datos, la prevalencia de discapacidad es de 5,7. En hombres la prevalencia es de 4,7, y de mujeres el 6,7; en mujeres del área urbana es de 6,6 y en el área rural de 7,1.</w:t>
      </w:r>
    </w:p>
    <w:p w14:paraId="61272DBC" w14:textId="576E8659" w:rsidR="00993D99" w:rsidRPr="00993D99" w:rsidRDefault="00993D99" w:rsidP="001A0D63">
      <w:pPr>
        <w:pStyle w:val="SingleTxtG"/>
        <w:numPr>
          <w:ilvl w:val="0"/>
          <w:numId w:val="17"/>
        </w:numPr>
        <w:ind w:left="1134" w:firstLine="0"/>
        <w:rPr>
          <w:lang w:val="es"/>
        </w:rPr>
      </w:pPr>
      <w:r w:rsidRPr="00993D99">
        <w:rPr>
          <w:lang w:val="es"/>
        </w:rPr>
        <w:t>Los departamentos con mayor prevalencia en mujeres son Chuquisaca (9,0 %) y Tarija (8,4 %). Los municipios Villa Serrano y Tarabuco registran los valores más extremos, con 16,4 % y 15,8 %, respectivamente. En cuanto al tipo de discapacidad, en el área urbana la dificultad más frecuente entre las mujeres es la visión (144.841 mujeres), y el área rural predomina la dificultad para caminar, subir gradas o usar brazos o manos (55.573 mujeres), seguida de cerca por la dificultad visual (52.159).</w:t>
      </w:r>
    </w:p>
    <w:p w14:paraId="5A596B09" w14:textId="7C78567F" w:rsidR="00993D99" w:rsidRPr="00993D99" w:rsidRDefault="00993D99" w:rsidP="001A0D63">
      <w:pPr>
        <w:pStyle w:val="SingleTxtG"/>
        <w:numPr>
          <w:ilvl w:val="0"/>
          <w:numId w:val="17"/>
        </w:numPr>
        <w:ind w:left="1134" w:firstLine="0"/>
        <w:rPr>
          <w:lang w:val="es"/>
        </w:rPr>
      </w:pPr>
      <w:r w:rsidRPr="00993D99">
        <w:rPr>
          <w:lang w:val="es"/>
        </w:rPr>
        <w:t>La tasa de alfabetismo de personas con discapacidad es 78,0%, es decir, 19,2 puntos inferior a la de quienes no tienen discapacidad (97,2%). La brecha de género es de 3,2 puntos entre personas sin discapacidad (95,6% mujeres frente a 98,8% hombres) y se amplía a 14,5 puntos entre personas con discapacidad (72,1% mujeres frente a 86,6% hombres). En el área rural, las mujeres con discapacidad presentan la tasa de alfabetización más baja (49,7%), con una brecha de 28,1 puntos respecto a los hombres con discapacidad de la misma área, lo que evidencia una triple desigualdad por género, discapacidad y área geográfica.</w:t>
      </w:r>
    </w:p>
    <w:p w14:paraId="56B72E8C" w14:textId="3FD248A8" w:rsidR="00993D99" w:rsidRPr="00993D99" w:rsidRDefault="00993D99" w:rsidP="001A0D63">
      <w:pPr>
        <w:pStyle w:val="SingleTxtG"/>
        <w:numPr>
          <w:ilvl w:val="0"/>
          <w:numId w:val="17"/>
        </w:numPr>
        <w:ind w:left="1134" w:firstLine="0"/>
        <w:rPr>
          <w:lang w:val="es"/>
        </w:rPr>
      </w:pPr>
      <w:r w:rsidRPr="00993D99">
        <w:rPr>
          <w:lang w:val="es"/>
        </w:rPr>
        <w:t>La información sobre PcD es insuficiente en muchos ámbitos, por eso se trabaja en la implementación del Sistema de Indicadores Interseccionales que opera bajo la “Guía de Relevamiento y Reporte de Información”, que exige que todos los datos estatales reporten desagregación interseccional por sexo, edad, discapacidad, ubicación geográfica y autoidentificación étnica.</w:t>
      </w:r>
    </w:p>
    <w:p w14:paraId="20A74738" w14:textId="4F17CEFD" w:rsidR="00993D99" w:rsidRPr="00993D99" w:rsidRDefault="003933DF" w:rsidP="003933DF">
      <w:pPr>
        <w:pStyle w:val="H23G"/>
        <w:rPr>
          <w:lang w:val="es"/>
        </w:rPr>
      </w:pPr>
      <w:r>
        <w:rPr>
          <w:lang w:val="es"/>
        </w:rPr>
        <w:tab/>
      </w:r>
      <w:r>
        <w:rPr>
          <w:lang w:val="es"/>
        </w:rPr>
        <w:tab/>
      </w:r>
      <w:r w:rsidR="00993D99" w:rsidRPr="00993D99">
        <w:rPr>
          <w:lang w:val="es"/>
        </w:rPr>
        <w:t>Mujeres privadas de libertad</w:t>
      </w:r>
    </w:p>
    <w:p w14:paraId="31688849" w14:textId="2EABC735" w:rsidR="00993D99" w:rsidRPr="00993D99" w:rsidRDefault="00993D99" w:rsidP="001A0D63">
      <w:pPr>
        <w:pStyle w:val="SingleTxtG"/>
        <w:numPr>
          <w:ilvl w:val="0"/>
          <w:numId w:val="17"/>
        </w:numPr>
        <w:ind w:left="1134" w:firstLine="0"/>
        <w:rPr>
          <w:lang w:val="es"/>
        </w:rPr>
      </w:pPr>
      <w:r w:rsidRPr="00993D99">
        <w:rPr>
          <w:lang w:val="es"/>
        </w:rPr>
        <w:t>Sobre las preocupaciones del Comité sobre mujeres privadas de libertad, esta población accede al BJA y al subsidio materno infantil. Entre 2021 y 2023, el Estado brindó asistencia en salud a un total de 31.813 mujeres privadas de libertad.</w:t>
      </w:r>
    </w:p>
    <w:p w14:paraId="6A35C517" w14:textId="2930FD16" w:rsidR="00993D99" w:rsidRPr="00993D99" w:rsidRDefault="00993D99" w:rsidP="001A0D63">
      <w:pPr>
        <w:pStyle w:val="SingleTxtG"/>
        <w:numPr>
          <w:ilvl w:val="0"/>
          <w:numId w:val="17"/>
        </w:numPr>
        <w:ind w:left="1134" w:firstLine="0"/>
        <w:rPr>
          <w:lang w:val="es"/>
        </w:rPr>
      </w:pPr>
      <w:r w:rsidRPr="00993D99">
        <w:rPr>
          <w:lang w:val="es"/>
        </w:rPr>
        <w:lastRenderedPageBreak/>
        <w:t>En el ámbito educativo, tienen acceso los niveles: primaria, secundaria y nivel técnico. El acceso a servicios de educación superior todavía no es generalizado, funciona únicamente en ciudades capitales del eje central del país. Entre 2021 y 2023 y 225 mujeres accedieron a educación primaria alternativa, 1.155 mujeres a educación alternativa humanística y técnica, y 3.268 mujeres a educación técnica alternativa. En conjunto, 4.648 mujeres privadas de libertad participaron en algún nivel de educación alternativa. La educación técnica alternativa fue la modalidad más popular, concentrando el 70,3% del total de beneficiarias, lo que evidencia una mayor demanda por formación orientada a oficios y habilidades prácticas para la reinserción laboral</w:t>
      </w:r>
      <w:r w:rsidRPr="00993D99">
        <w:rPr>
          <w:vertAlign w:val="superscript"/>
          <w:lang w:val="es"/>
        </w:rPr>
        <w:footnoteReference w:id="97"/>
      </w:r>
      <w:r w:rsidRPr="00993D99">
        <w:rPr>
          <w:lang w:val="es"/>
        </w:rPr>
        <w:t>.</w:t>
      </w:r>
    </w:p>
    <w:p w14:paraId="729F1765" w14:textId="65237A5D" w:rsidR="00993D99" w:rsidRPr="00993D99" w:rsidRDefault="00993D99" w:rsidP="001A0D63">
      <w:pPr>
        <w:pStyle w:val="SingleTxtG"/>
        <w:numPr>
          <w:ilvl w:val="0"/>
          <w:numId w:val="17"/>
        </w:numPr>
        <w:ind w:left="1134" w:firstLine="0"/>
        <w:rPr>
          <w:lang w:val="es"/>
        </w:rPr>
      </w:pPr>
      <w:r w:rsidRPr="00993D99">
        <w:rPr>
          <w:lang w:val="es"/>
        </w:rPr>
        <w:t>Para erradicar el discurso de odio y promover una sociedad inclusiva, el VIODyD impulsó políticas públicas con enfoque de género, derechos humanos y lucha contra la discriminación, reconociendo que los derechos de la población LGTBI son un pilar para una sociedad más justa. En 2024, mediante políticas de promoción y coordinación con colectivos LGTBI, se socializaron materiales para sensibilizar sobre diversidades sexuales e identidades de género, entre ellos la Cartilla “Iguales en derechos, Iguales en Oportunidades” y el “Compendio sobre los Derechos de las Personas con Diversa Orientación Sexual, Expresión e Identidad de Género”.</w:t>
      </w:r>
    </w:p>
    <w:p w14:paraId="3B3B2441" w14:textId="54DB9D01" w:rsidR="00993D99" w:rsidRPr="00993D99" w:rsidRDefault="00993D99" w:rsidP="001A0D63">
      <w:pPr>
        <w:pStyle w:val="SingleTxtG"/>
        <w:numPr>
          <w:ilvl w:val="0"/>
          <w:numId w:val="17"/>
        </w:numPr>
        <w:ind w:left="1134" w:firstLine="0"/>
        <w:rPr>
          <w:lang w:val="es"/>
        </w:rPr>
      </w:pPr>
      <w:r w:rsidRPr="00993D99">
        <w:rPr>
          <w:lang w:val="es"/>
        </w:rPr>
        <w:t>En el marco del “Plan Intermunicipal de Fortalecimiento Comunicacional para la Igualdad de Género y la Diversidad”, los Gobiernos Autónomos Municipales del eje central, con el apoyo técnico de la GIZ, desarrollaron el “Catálogo de buenas prácticas de experiencias para el fomento de equidad de género y derechos LGBTI+” y un “Manual de Comunicación Inclusiva y No Sexista”, herramientas que buscan fortalecer las capacidades institucionales municipales para atender la discriminación de las diversidades, promoviendo así una gestión pública más inclusiva y libre de violencias en el ámbito local.</w:t>
      </w:r>
    </w:p>
    <w:p w14:paraId="501A1CD8" w14:textId="11C05CB2" w:rsidR="00993D99" w:rsidRPr="00993D99" w:rsidRDefault="000172ED" w:rsidP="000172ED">
      <w:pPr>
        <w:pStyle w:val="H1G"/>
        <w:rPr>
          <w:lang w:val="es"/>
        </w:rPr>
      </w:pPr>
      <w:r>
        <w:rPr>
          <w:lang w:val="es"/>
        </w:rPr>
        <w:tab/>
      </w:r>
      <w:r>
        <w:rPr>
          <w:lang w:val="es"/>
        </w:rPr>
        <w:tab/>
      </w:r>
      <w:r w:rsidR="00993D99" w:rsidRPr="00993D99">
        <w:rPr>
          <w:lang w:val="es"/>
        </w:rPr>
        <w:t xml:space="preserve">Artículos 15 y 16 </w:t>
      </w:r>
    </w:p>
    <w:p w14:paraId="3F6F62F8" w14:textId="39A5952D" w:rsidR="00993D99" w:rsidRPr="00993D99" w:rsidRDefault="000172ED" w:rsidP="000172ED">
      <w:pPr>
        <w:pStyle w:val="H23G"/>
        <w:rPr>
          <w:lang w:val="es"/>
        </w:rPr>
      </w:pPr>
      <w:r>
        <w:rPr>
          <w:lang w:val="es"/>
        </w:rPr>
        <w:tab/>
      </w:r>
      <w:r>
        <w:rPr>
          <w:lang w:val="es"/>
        </w:rPr>
        <w:tab/>
      </w:r>
      <w:r w:rsidR="00993D99" w:rsidRPr="00993D99">
        <w:rPr>
          <w:lang w:val="es"/>
        </w:rPr>
        <w:t>Matrimonio y relaciones familiares</w:t>
      </w:r>
    </w:p>
    <w:p w14:paraId="0D8AEECE" w14:textId="5BC1ED0F" w:rsidR="00993D99" w:rsidRPr="00993D99" w:rsidRDefault="00993D99" w:rsidP="001A0D63">
      <w:pPr>
        <w:pStyle w:val="SingleTxtG"/>
        <w:numPr>
          <w:ilvl w:val="0"/>
          <w:numId w:val="17"/>
        </w:numPr>
        <w:ind w:left="1134" w:firstLine="0"/>
        <w:rPr>
          <w:lang w:val="es"/>
        </w:rPr>
      </w:pPr>
      <w:r w:rsidRPr="00993D99">
        <w:rPr>
          <w:lang w:val="es"/>
        </w:rPr>
        <w:t>En respuesta a la recomendación sobre la revisión de leyes vigentes para garantizar la igualdad de acceso a los derechos de las mujeres lesbianas, bisexuales, transgénero e intersexuales, mediante SCP N.° 577/2022 S2 de 22 de junio de 2022, el TCP señaló que la Opinión Consultiva OC-24/17 de la CIDH genera la obligación de las autoridades estatales de realizar el control de convencionalidad y aplicar los principios de igualdad y no discriminación como partes consustanciales del ius cogens. El TCP también indicó que la orientación sexual y la identidad de género son componentes fundamentales de la libertad de las personas y un pilar básico de su identidad, por lo que es obligación de todas las autoridades estatales abstenerse de adoptar medidas tendientes a impedir que cualquier persona sea discriminada o se limite el ejercicio de sus derechos fundamentales en razón a su orientación sexual o identidad de género. Bajo esta aplicación preferente de los estándares interamericanos sobre la CPE, Bolivia reconoce las uniones libres de las parejas del mismo sexo</w:t>
      </w:r>
      <w:r w:rsidRPr="00993D99">
        <w:rPr>
          <w:vertAlign w:val="superscript"/>
          <w:lang w:val="es"/>
        </w:rPr>
        <w:footnoteReference w:id="98"/>
      </w:r>
      <w:r w:rsidRPr="00993D99">
        <w:rPr>
          <w:lang w:val="es"/>
        </w:rPr>
        <w:t>.</w:t>
      </w:r>
    </w:p>
    <w:p w14:paraId="393281EA" w14:textId="6725033E" w:rsidR="00993D99" w:rsidRPr="00993D99" w:rsidRDefault="00993D99" w:rsidP="001A0D63">
      <w:pPr>
        <w:pStyle w:val="SingleTxtG"/>
        <w:numPr>
          <w:ilvl w:val="0"/>
          <w:numId w:val="17"/>
        </w:numPr>
        <w:ind w:left="1134" w:firstLine="0"/>
        <w:rPr>
          <w:lang w:val="es"/>
        </w:rPr>
      </w:pPr>
      <w:r w:rsidRPr="00993D99">
        <w:rPr>
          <w:lang w:val="es"/>
        </w:rPr>
        <w:t>Considerando la SCP citada, en abril de 2023, la ASUSS garantiza el registro de los beneficiarios de trabajadores que tengan aprobadas sus uniones libres con parejas del mismo sexo a la seguridad social de corto plazo. De esta forma se materializa el reconocimiento de los vínculos de las uniones libres</w:t>
      </w:r>
      <w:r w:rsidRPr="00993D99">
        <w:rPr>
          <w:vertAlign w:val="superscript"/>
          <w:lang w:val="es"/>
        </w:rPr>
        <w:footnoteReference w:id="99"/>
      </w:r>
      <w:r w:rsidRPr="00993D99">
        <w:rPr>
          <w:lang w:val="es"/>
        </w:rPr>
        <w:t>.</w:t>
      </w:r>
    </w:p>
    <w:p w14:paraId="077255D0" w14:textId="59FD275C" w:rsidR="00993D99" w:rsidRPr="00993D99" w:rsidRDefault="00993D99" w:rsidP="001A0D63">
      <w:pPr>
        <w:pStyle w:val="SingleTxtG"/>
        <w:numPr>
          <w:ilvl w:val="0"/>
          <w:numId w:val="17"/>
        </w:numPr>
        <w:ind w:left="1134" w:firstLine="0"/>
        <w:rPr>
          <w:lang w:val="es"/>
        </w:rPr>
      </w:pPr>
      <w:r w:rsidRPr="00993D99">
        <w:rPr>
          <w:lang w:val="es"/>
        </w:rPr>
        <w:t xml:space="preserve">Entre 2022 y 2025, se han formalizado 122 uniones libres entre personas del mismo sexo (18 en 2022, 45 en 2023, 41 en 2024 y 18 en el tercer cuatrimestre de 2025), lo que evidencia el ejercicio del derecho a la conformación de vínculos familiares por parte de parejas LGBTQ. Se han tramitado 318 cambios de nombre y de sexo en el mismo período </w:t>
      </w:r>
      <w:r w:rsidRPr="00993D99">
        <w:rPr>
          <w:lang w:val="es"/>
        </w:rPr>
        <w:lastRenderedPageBreak/>
        <w:t>(97 en 2022, 83 en 2023, 69 en 2024 y 69 en lo que va de 2025), reflejando el acceso a procedimientos administrativos de rectificación de identidad de género</w:t>
      </w:r>
      <w:r w:rsidRPr="00993D99">
        <w:rPr>
          <w:vertAlign w:val="superscript"/>
          <w:lang w:val="es"/>
        </w:rPr>
        <w:footnoteReference w:id="100"/>
      </w:r>
      <w:r w:rsidRPr="00993D99">
        <w:rPr>
          <w:lang w:val="es"/>
        </w:rPr>
        <w:t>.</w:t>
      </w:r>
    </w:p>
    <w:p w14:paraId="28C67B01" w14:textId="2441B12D" w:rsidR="00993D99" w:rsidRPr="00993D99" w:rsidRDefault="00993D99" w:rsidP="001A0D63">
      <w:pPr>
        <w:pStyle w:val="SingleTxtG"/>
        <w:numPr>
          <w:ilvl w:val="0"/>
          <w:numId w:val="17"/>
        </w:numPr>
        <w:ind w:left="1134" w:firstLine="0"/>
        <w:rPr>
          <w:lang w:val="es"/>
        </w:rPr>
      </w:pPr>
      <w:r w:rsidRPr="00993D99">
        <w:rPr>
          <w:lang w:val="es"/>
        </w:rPr>
        <w:t>En septiembre de 2025, la Ley N° 1639 modificó el artículo 139 del Código de las Familias (Ley N° 603), estableciendo la mayoría de edad (18 años) como requisito mínimo para el matrimonio o unión libre, sin excepciones, para erradicar el matrimonio infantil. También reformó el artículo 170 para declarar nula de pleno derecho e inconvalidable cualquier unión con menores de edad. Así, se eliminan las excepciones que permitían casarse desde los 16 años con autorización judicial o parental, práctica que entre 2010 y 2022 afectó a más de 11.000 adolescentes, principalmente mujeres.</w:t>
      </w:r>
    </w:p>
    <w:p w14:paraId="2EB54C97" w14:textId="41DAD226" w:rsidR="00993D99" w:rsidRPr="00993D99" w:rsidRDefault="00993D99" w:rsidP="001A0D63">
      <w:pPr>
        <w:pStyle w:val="SingleTxtG"/>
        <w:numPr>
          <w:ilvl w:val="0"/>
          <w:numId w:val="17"/>
        </w:numPr>
        <w:ind w:left="1134" w:firstLine="0"/>
        <w:rPr>
          <w:lang w:val="es"/>
        </w:rPr>
      </w:pPr>
      <w:r w:rsidRPr="00993D99">
        <w:rPr>
          <w:lang w:val="es"/>
        </w:rPr>
        <w:t>En abril de 2026, se lanzó la campaña “Ni esposas ni concubinas, las niñas son niñas”, relanzada por el VIODyD junto a la Comisión de Derechos Humanos de la Cámara de Diputados e IPAS para fiscalizar y acompañar la aplicación real de la Ley 1639 en todo el territorio nacional.</w:t>
      </w:r>
    </w:p>
    <w:p w14:paraId="7C48042F" w14:textId="50A290BA" w:rsidR="00993D99" w:rsidRPr="00993D99" w:rsidRDefault="00993D99" w:rsidP="001A0D63">
      <w:pPr>
        <w:pStyle w:val="SingleTxtG"/>
        <w:numPr>
          <w:ilvl w:val="0"/>
          <w:numId w:val="17"/>
        </w:numPr>
        <w:ind w:left="1134" w:firstLine="0"/>
        <w:rPr>
          <w:lang w:val="es"/>
        </w:rPr>
      </w:pPr>
      <w:r w:rsidRPr="00993D99">
        <w:rPr>
          <w:lang w:val="es"/>
        </w:rPr>
        <w:t>Sobre la preocupación del Comité de que las mujeres recuperen sus derechos en caso de violencia patrimonial, el Estado ha consolidado un enfoque integral que articula la vía judicial civil, los procesos catastrales y la jurisdicción penal especializada para sancionar el despojo y proteger el patrimonio de las mujeres.</w:t>
      </w:r>
    </w:p>
    <w:p w14:paraId="71D57C47" w14:textId="40D8F2E4" w:rsidR="00993D99" w:rsidRPr="00993D99" w:rsidRDefault="00993D99" w:rsidP="001A0D63">
      <w:pPr>
        <w:pStyle w:val="SingleTxtG"/>
        <w:numPr>
          <w:ilvl w:val="0"/>
          <w:numId w:val="17"/>
        </w:numPr>
        <w:ind w:left="1134" w:firstLine="0"/>
        <w:rPr>
          <w:lang w:val="es"/>
        </w:rPr>
      </w:pPr>
      <w:r w:rsidRPr="00993D99">
        <w:rPr>
          <w:lang w:val="es"/>
        </w:rPr>
        <w:t>La Ley 348 tipifica la violencia patrimonial y económica como delitos, permitiendo a las mujeres despojadas de sus herencias denunciar ante la FELCV y el Ministerio Público, activando una persecución penal inmediata. Los jueces y fiscales pueden dictar medidas de protección urgentes y precautorias en la vía penal, como la prohibición de transferir, gravar u ocultar bienes, y disponer la anotación preventiva de la litis en la Dirección General de Derechos Reales y en los registros catastrales municipales, bloqueando el tráfico jurídico de los bienes en disputa.</w:t>
      </w:r>
    </w:p>
    <w:p w14:paraId="260D9DB7" w14:textId="09B731E2" w:rsidR="00993D99" w:rsidRPr="00993D99" w:rsidRDefault="00993D99" w:rsidP="001A0D63">
      <w:pPr>
        <w:pStyle w:val="SingleTxtG"/>
        <w:numPr>
          <w:ilvl w:val="0"/>
          <w:numId w:val="17"/>
        </w:numPr>
        <w:ind w:left="1134" w:firstLine="0"/>
        <w:rPr>
          <w:lang w:val="es"/>
        </w:rPr>
      </w:pPr>
      <w:r w:rsidRPr="00993D99">
        <w:rPr>
          <w:lang w:val="es"/>
        </w:rPr>
        <w:t>El Código Procesal Civil garantiza procesos declarativos de petición de herencia y demandas de nulidad de división y partición cuando ésta haya vulnerado la legítima de las coherederas. En el ámbito agrario, la Ley aplica el principio de equidad de género en la titulación de la tierra, obligando al INRA a verificar la posesión real de las mujeres e inscribirlas catastralmente como propietarias legítimas, neutralizando usos consuetudinarios desfavorables o fraudes familiares.</w:t>
      </w:r>
    </w:p>
    <w:p w14:paraId="1AD846A4" w14:textId="0BBD432D" w:rsidR="00242391" w:rsidRPr="00245246" w:rsidRDefault="00245246" w:rsidP="00245246">
      <w:pPr>
        <w:pStyle w:val="SingleTxtG"/>
        <w:jc w:val="center"/>
        <w:rPr>
          <w:u w:val="single"/>
          <w:lang w:val="es"/>
        </w:rPr>
      </w:pPr>
      <w:r>
        <w:rPr>
          <w:u w:val="single"/>
          <w:lang w:val="es"/>
        </w:rPr>
        <w:tab/>
      </w:r>
      <w:r>
        <w:rPr>
          <w:u w:val="single"/>
          <w:lang w:val="es"/>
        </w:rPr>
        <w:tab/>
      </w:r>
      <w:r>
        <w:rPr>
          <w:u w:val="single"/>
          <w:lang w:val="es"/>
        </w:rPr>
        <w:tab/>
      </w:r>
    </w:p>
    <w:sectPr w:rsidR="00242391" w:rsidRPr="00245246" w:rsidSect="00E56EE3">
      <w:headerReference w:type="even" r:id="rId14"/>
      <w:headerReference w:type="default" r:id="rId15"/>
      <w:footerReference w:type="even" r:id="rId16"/>
      <w:footerReference w:type="default" r:id="rId17"/>
      <w:footerReference w:type="first" r:id="rId18"/>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7719F" w14:textId="77777777" w:rsidR="000C1776" w:rsidRDefault="000C1776">
      <w:r>
        <w:separator/>
      </w:r>
    </w:p>
  </w:endnote>
  <w:endnote w:type="continuationSeparator" w:id="0">
    <w:p w14:paraId="68363652" w14:textId="77777777" w:rsidR="000C1776" w:rsidRDefault="000C1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F2EA0" w14:textId="77777777" w:rsidR="001A4396" w:rsidRPr="001A4396" w:rsidRDefault="002E03F3"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E966A8">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ACF1C" w14:textId="77777777" w:rsidR="001A4396" w:rsidRPr="001A4396" w:rsidRDefault="002E03F3"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242391">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8B09C" w14:textId="77777777" w:rsidR="002D4172" w:rsidRDefault="002E03F3" w:rsidP="00521DC1">
    <w:pPr>
      <w:pStyle w:val="Footer"/>
      <w:rPr>
        <w:noProof/>
        <w:lang w:val="fr-FR" w:eastAsia="fr-FR"/>
      </w:rPr>
    </w:pPr>
    <w:r>
      <w:t>GE.</w:t>
    </w:r>
    <w:r>
      <w:rPr>
        <w:noProof/>
        <w:lang w:val="fr-FR" w:eastAsia="fr-FR"/>
      </w:rPr>
      <w:t xml:space="preserve"> </w:t>
    </w:r>
  </w:p>
  <w:tbl>
    <w:tblPr>
      <w:tblStyle w:val="Tablaconcuadrcula1"/>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A60E2A" w14:paraId="3BB08C33" w14:textId="77777777" w:rsidTr="00303190">
      <w:tc>
        <w:tcPr>
          <w:tcW w:w="1848" w:type="dxa"/>
          <w:vAlign w:val="bottom"/>
          <w:hideMark/>
        </w:tcPr>
        <w:p w14:paraId="17BC47A9" w14:textId="77777777" w:rsidR="002D4172" w:rsidRPr="00754B77" w:rsidRDefault="002E03F3" w:rsidP="002D4172">
          <w:pPr>
            <w:kinsoku w:val="0"/>
            <w:overflowPunct w:val="0"/>
            <w:autoSpaceDE w:val="0"/>
            <w:autoSpaceDN w:val="0"/>
            <w:adjustRightInd w:val="0"/>
            <w:snapToGrid w:val="0"/>
            <w:spacing w:before="120" w:after="120" w:line="240" w:lineRule="auto"/>
            <w:jc w:val="right"/>
            <w:rPr>
              <w:sz w:val="16"/>
              <w:lang w:val="fr-CH"/>
            </w:rPr>
          </w:pPr>
          <w:r w:rsidRPr="002D4172">
            <w:rPr>
              <w:noProof/>
              <w:sz w:val="16"/>
              <w:lang w:val="fr-CH" w:eastAsia="fr-CH"/>
            </w:rPr>
            <w:drawing>
              <wp:inline distT="0" distB="0" distL="0" distR="0" wp14:anchorId="60549B1F" wp14:editId="28CFDA3E">
                <wp:extent cx="1076400" cy="230400"/>
                <wp:effectExtent l="0" t="0" r="0" b="0"/>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recycle_Span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76400" cy="230400"/>
                        </a:xfrm>
                        <a:prstGeom prst="rect">
                          <a:avLst/>
                        </a:prstGeom>
                        <a:noFill/>
                        <a:ln>
                          <a:noFill/>
                        </a:ln>
                      </pic:spPr>
                    </pic:pic>
                  </a:graphicData>
                </a:graphic>
              </wp:inline>
            </w:drawing>
          </w:r>
        </w:p>
      </w:tc>
      <w:tc>
        <w:tcPr>
          <w:tcW w:w="1274" w:type="dxa"/>
        </w:tcPr>
        <w:p w14:paraId="2D15E2F5" w14:textId="77777777" w:rsidR="002D4172" w:rsidRPr="00754B77" w:rsidRDefault="002D4172" w:rsidP="002D4172">
          <w:pPr>
            <w:kinsoku w:val="0"/>
            <w:overflowPunct w:val="0"/>
            <w:autoSpaceDE w:val="0"/>
            <w:autoSpaceDN w:val="0"/>
            <w:adjustRightInd w:val="0"/>
            <w:snapToGrid w:val="0"/>
            <w:spacing w:line="240" w:lineRule="auto"/>
            <w:jc w:val="right"/>
            <w:rPr>
              <w:sz w:val="16"/>
              <w:lang w:val="fr-CH"/>
            </w:rPr>
          </w:pPr>
        </w:p>
      </w:tc>
    </w:tr>
  </w:tbl>
  <w:p w14:paraId="7EFF4708" w14:textId="77777777" w:rsidR="00A86F80" w:rsidRPr="002A02C6" w:rsidRDefault="00A86F80" w:rsidP="00521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D1E98" w14:textId="77777777" w:rsidR="000C1776" w:rsidRPr="001075E9" w:rsidRDefault="000C1776" w:rsidP="001075E9">
      <w:pPr>
        <w:tabs>
          <w:tab w:val="right" w:pos="2155"/>
        </w:tabs>
        <w:spacing w:after="80" w:line="240" w:lineRule="auto"/>
        <w:ind w:left="680"/>
        <w:rPr>
          <w:u w:val="single"/>
        </w:rPr>
      </w:pPr>
      <w:r>
        <w:rPr>
          <w:u w:val="single"/>
        </w:rPr>
        <w:tab/>
      </w:r>
    </w:p>
  </w:footnote>
  <w:footnote w:type="continuationSeparator" w:id="0">
    <w:p w14:paraId="562E5F7C" w14:textId="77777777" w:rsidR="000C1776" w:rsidRDefault="000C1776" w:rsidP="00407B78">
      <w:pPr>
        <w:tabs>
          <w:tab w:val="right" w:pos="2155"/>
        </w:tabs>
        <w:spacing w:after="80"/>
        <w:ind w:left="680"/>
        <w:rPr>
          <w:u w:val="single"/>
        </w:rPr>
      </w:pPr>
      <w:r>
        <w:rPr>
          <w:u w:val="single"/>
        </w:rPr>
        <w:tab/>
      </w:r>
    </w:p>
  </w:footnote>
  <w:footnote w:id="1">
    <w:p w14:paraId="48F4382B" w14:textId="77777777" w:rsidR="008A6576" w:rsidRPr="004F6E95" w:rsidRDefault="002E03F3" w:rsidP="008A6576">
      <w:pPr>
        <w:pStyle w:val="FootnoteText"/>
      </w:pPr>
      <w:r>
        <w:tab/>
      </w:r>
      <w:r w:rsidRPr="008A6576">
        <w:rPr>
          <w:rStyle w:val="FootnoteReference"/>
          <w:sz w:val="20"/>
          <w:vertAlign w:val="baseline"/>
        </w:rPr>
        <w:t>*</w:t>
      </w:r>
      <w:r w:rsidRPr="006028C3">
        <w:rPr>
          <w:sz w:val="20"/>
        </w:rPr>
        <w:tab/>
      </w:r>
      <w:r w:rsidRPr="00B45321">
        <w:t>El presente documento se publica sin haber sido objeto de revisión editorial oficial.</w:t>
      </w:r>
    </w:p>
  </w:footnote>
  <w:footnote w:id="2">
    <w:p w14:paraId="5C1B9393" w14:textId="4533D476" w:rsidR="008A6576" w:rsidRPr="004F6E95" w:rsidRDefault="002E03F3" w:rsidP="00A05C9C">
      <w:pPr>
        <w:pStyle w:val="FootnoteText"/>
        <w:rPr>
          <w:sz w:val="20"/>
        </w:rPr>
      </w:pPr>
      <w:r>
        <w:tab/>
      </w:r>
      <w:r w:rsidRPr="008A6576">
        <w:rPr>
          <w:rStyle w:val="FootnoteReference"/>
          <w:sz w:val="20"/>
          <w:vertAlign w:val="baseline"/>
        </w:rPr>
        <w:t>**</w:t>
      </w:r>
      <w:r w:rsidRPr="004F6E95">
        <w:rPr>
          <w:rStyle w:val="FootnoteReference"/>
        </w:rPr>
        <w:tab/>
      </w:r>
      <w:r w:rsidR="00161E36" w:rsidRPr="00D6116D">
        <w:rPr>
          <w:lang w:val="es-ES_tradnl"/>
        </w:rPr>
        <w:t>El</w:t>
      </w:r>
      <w:r w:rsidR="00161E36" w:rsidRPr="00602BB6">
        <w:rPr>
          <w:lang w:val="es-ES_tradnl"/>
        </w:rPr>
        <w:t xml:space="preserve"> </w:t>
      </w:r>
      <w:r w:rsidR="00161E36" w:rsidRPr="00155194">
        <w:rPr>
          <w:lang w:val="es-ES_tradnl"/>
        </w:rPr>
        <w:t>anex</w:t>
      </w:r>
      <w:r w:rsidR="00161E36">
        <w:rPr>
          <w:lang w:val="es-ES_tradnl"/>
        </w:rPr>
        <w:t>o</w:t>
      </w:r>
      <w:r w:rsidR="00161E36" w:rsidRPr="00575534">
        <w:rPr>
          <w:color w:val="FF0000"/>
        </w:rPr>
        <w:t xml:space="preserve"> </w:t>
      </w:r>
      <w:r w:rsidR="00161E36">
        <w:rPr>
          <w:lang w:val="es-ES_tradnl"/>
        </w:rPr>
        <w:t>del</w:t>
      </w:r>
      <w:r w:rsidR="00161E36" w:rsidRPr="00155194">
        <w:rPr>
          <w:lang w:val="es-ES_tradnl"/>
        </w:rPr>
        <w:t xml:space="preserve"> present</w:t>
      </w:r>
      <w:r w:rsidR="00161E36">
        <w:rPr>
          <w:lang w:val="es-ES_tradnl"/>
        </w:rPr>
        <w:t>e</w:t>
      </w:r>
      <w:r w:rsidR="00161E36" w:rsidRPr="00155194">
        <w:rPr>
          <w:lang w:val="es-ES_tradnl"/>
        </w:rPr>
        <w:t xml:space="preserve"> document</w:t>
      </w:r>
      <w:r w:rsidR="00161E36">
        <w:rPr>
          <w:lang w:val="es-ES_tradnl"/>
        </w:rPr>
        <w:t>o</w:t>
      </w:r>
      <w:r w:rsidR="00161E36" w:rsidRPr="00155194">
        <w:rPr>
          <w:lang w:val="es-ES_tradnl"/>
        </w:rPr>
        <w:t xml:space="preserve"> </w:t>
      </w:r>
      <w:r w:rsidR="00161E36">
        <w:rPr>
          <w:lang w:val="es-ES_tradnl"/>
        </w:rPr>
        <w:t xml:space="preserve">puede consultarse en la página </w:t>
      </w:r>
      <w:r w:rsidR="00161E36" w:rsidRPr="00155194">
        <w:rPr>
          <w:lang w:val="es-ES_tradnl"/>
        </w:rPr>
        <w:t xml:space="preserve">web </w:t>
      </w:r>
      <w:r w:rsidR="00161E36">
        <w:rPr>
          <w:lang w:val="es-ES_tradnl"/>
        </w:rPr>
        <w:t>del</w:t>
      </w:r>
      <w:r w:rsidR="00161E36" w:rsidRPr="00155194">
        <w:rPr>
          <w:lang w:val="es-ES_tradnl"/>
        </w:rPr>
        <w:t xml:space="preserve"> Com</w:t>
      </w:r>
      <w:r w:rsidR="00161E36">
        <w:rPr>
          <w:lang w:val="es-ES_tradnl"/>
        </w:rPr>
        <w:t>ité</w:t>
      </w:r>
      <w:r w:rsidR="00161E36" w:rsidRPr="00155194">
        <w:rPr>
          <w:lang w:val="es-ES_tradnl"/>
        </w:rPr>
        <w:t>.</w:t>
      </w:r>
    </w:p>
  </w:footnote>
  <w:footnote w:id="3">
    <w:p w14:paraId="00A9F1A4" w14:textId="5989D813" w:rsidR="00993D99" w:rsidRPr="00913F3A" w:rsidRDefault="00B056F9" w:rsidP="00A05C9C">
      <w:pPr>
        <w:pStyle w:val="FootnoteText"/>
        <w:rPr>
          <w:rFonts w:eastAsia="Times New Roman"/>
          <w:szCs w:val="18"/>
        </w:rPr>
      </w:pPr>
      <w:r>
        <w:rPr>
          <w:rFonts w:eastAsia="Times New Roman"/>
          <w:sz w:val="16"/>
          <w:szCs w:val="16"/>
        </w:rPr>
        <w:tab/>
      </w:r>
      <w:r w:rsidR="00993D99" w:rsidRPr="00387801">
        <w:rPr>
          <w:rFonts w:eastAsia="Times New Roman"/>
          <w:sz w:val="16"/>
          <w:szCs w:val="16"/>
          <w:vertAlign w:val="superscript"/>
        </w:rPr>
        <w:footnoteRef/>
      </w:r>
      <w:r>
        <w:rPr>
          <w:rFonts w:eastAsia="Times New Roman"/>
          <w:sz w:val="16"/>
          <w:szCs w:val="16"/>
        </w:rPr>
        <w:tab/>
      </w:r>
      <w:r w:rsidR="00993D99" w:rsidRPr="00913F3A">
        <w:rPr>
          <w:rFonts w:eastAsia="Times New Roman"/>
          <w:szCs w:val="18"/>
        </w:rPr>
        <w:t xml:space="preserve">Recuperado de: </w:t>
      </w:r>
      <w:hyperlink r:id="rId1">
        <w:r w:rsidR="00993D99" w:rsidRPr="00913F3A">
          <w:rPr>
            <w:rFonts w:eastAsia="Times New Roman"/>
            <w:color w:val="1155CC"/>
            <w:szCs w:val="18"/>
            <w:u w:val="single"/>
          </w:rPr>
          <w:t>https://www.bivica.org/files/7083_20250602_FS%20CoTriCEDAW.pdf</w:t>
        </w:r>
      </w:hyperlink>
      <w:r w:rsidR="00993D99" w:rsidRPr="00913F3A">
        <w:rPr>
          <w:rFonts w:eastAsia="Times New Roman"/>
          <w:szCs w:val="18"/>
        </w:rPr>
        <w:t xml:space="preserve"> el 11 de junio de 2026.</w:t>
      </w:r>
    </w:p>
  </w:footnote>
  <w:footnote w:id="4">
    <w:p w14:paraId="12A7DC26" w14:textId="20AAE6B6" w:rsidR="00993D99" w:rsidRPr="00913F3A" w:rsidRDefault="00B056F9" w:rsidP="00A05C9C">
      <w:pPr>
        <w:pStyle w:val="FootnoteText"/>
        <w:rPr>
          <w:rFonts w:eastAsia="Times New Roman"/>
          <w:szCs w:val="18"/>
          <w:highlight w:val="white"/>
        </w:rPr>
      </w:pPr>
      <w:r w:rsidRPr="00913F3A">
        <w:rPr>
          <w:rFonts w:eastAsia="Times New Roman"/>
          <w:szCs w:val="18"/>
        </w:rPr>
        <w:tab/>
      </w:r>
      <w:r w:rsidR="00993D99" w:rsidRPr="00913F3A">
        <w:rPr>
          <w:szCs w:val="18"/>
          <w:vertAlign w:val="superscript"/>
        </w:rPr>
        <w:footnoteRef/>
      </w:r>
      <w:r w:rsidRPr="00913F3A">
        <w:rPr>
          <w:rFonts w:eastAsia="Times New Roman"/>
          <w:szCs w:val="18"/>
        </w:rPr>
        <w:tab/>
      </w:r>
      <w:r w:rsidR="00993D99" w:rsidRPr="00913F3A">
        <w:rPr>
          <w:rFonts w:eastAsia="Times New Roman"/>
          <w:szCs w:val="18"/>
          <w:highlight w:val="white"/>
        </w:rPr>
        <w:t xml:space="preserve">Ministerio de Relaciones Exteriores (MRE). Nota de Remisión de Información. CITE: VRG-DGRM-UPIDH-Cs- 413/2026. </w:t>
      </w:r>
    </w:p>
  </w:footnote>
  <w:footnote w:id="5">
    <w:p w14:paraId="4CB560CB" w14:textId="7FF69DD3" w:rsidR="00993D99" w:rsidRPr="00913F3A" w:rsidRDefault="00B056F9" w:rsidP="00A05C9C">
      <w:pPr>
        <w:pStyle w:val="FootnoteText"/>
        <w:rPr>
          <w:rFonts w:eastAsia="Times New Roman"/>
          <w:szCs w:val="18"/>
        </w:rPr>
      </w:pPr>
      <w:r w:rsidRPr="00913F3A">
        <w:rPr>
          <w:rFonts w:eastAsia="Times New Roman"/>
          <w:szCs w:val="18"/>
        </w:rPr>
        <w:tab/>
      </w:r>
      <w:r w:rsidR="00993D99" w:rsidRPr="00913F3A">
        <w:rPr>
          <w:szCs w:val="18"/>
          <w:vertAlign w:val="superscript"/>
        </w:rPr>
        <w:footnoteRef/>
      </w:r>
      <w:r w:rsidRPr="00913F3A">
        <w:rPr>
          <w:rFonts w:eastAsia="Times New Roman"/>
          <w:szCs w:val="18"/>
        </w:rPr>
        <w:tab/>
      </w:r>
      <w:r w:rsidR="00993D99" w:rsidRPr="00913F3A">
        <w:rPr>
          <w:rFonts w:eastAsia="Times New Roman"/>
          <w:szCs w:val="18"/>
        </w:rPr>
        <w:t>Ibid.</w:t>
      </w:r>
    </w:p>
  </w:footnote>
  <w:footnote w:id="6">
    <w:p w14:paraId="654F198F" w14:textId="4BC92AE6" w:rsidR="00993D99" w:rsidRPr="00913F3A" w:rsidRDefault="00B056F9" w:rsidP="00A05C9C">
      <w:pPr>
        <w:pStyle w:val="FootnoteText"/>
        <w:rPr>
          <w:rFonts w:eastAsia="Times New Roman"/>
          <w:szCs w:val="18"/>
        </w:rPr>
      </w:pPr>
      <w:r>
        <w:rPr>
          <w:rFonts w:eastAsia="Times New Roman"/>
          <w:sz w:val="16"/>
          <w:szCs w:val="16"/>
        </w:rPr>
        <w:tab/>
      </w:r>
      <w:r w:rsidR="00993D99" w:rsidRPr="00387801">
        <w:rPr>
          <w:sz w:val="16"/>
          <w:szCs w:val="16"/>
          <w:vertAlign w:val="superscript"/>
        </w:rPr>
        <w:footnoteRef/>
      </w:r>
      <w:r>
        <w:rPr>
          <w:rFonts w:eastAsia="Times New Roman"/>
          <w:sz w:val="16"/>
          <w:szCs w:val="16"/>
        </w:rPr>
        <w:tab/>
      </w:r>
      <w:r w:rsidR="00993D99" w:rsidRPr="00913F3A">
        <w:rPr>
          <w:rFonts w:eastAsia="Times New Roman"/>
          <w:szCs w:val="18"/>
        </w:rPr>
        <w:t>Respaldada por los Acuerdos N° 36/2023, N° 155/2024 y N° 326/2024.</w:t>
      </w:r>
    </w:p>
  </w:footnote>
  <w:footnote w:id="7">
    <w:p w14:paraId="269461F6" w14:textId="6E3C3787" w:rsidR="00993D99" w:rsidRPr="00913F3A" w:rsidRDefault="00B056F9" w:rsidP="00A05C9C">
      <w:pPr>
        <w:pStyle w:val="FootnoteText"/>
        <w:rPr>
          <w:rFonts w:eastAsia="Times New Roman"/>
          <w:szCs w:val="18"/>
        </w:rPr>
      </w:pPr>
      <w:r w:rsidRPr="00913F3A">
        <w:rPr>
          <w:rFonts w:eastAsia="Times New Roman"/>
          <w:szCs w:val="18"/>
        </w:rPr>
        <w:tab/>
      </w:r>
      <w:r w:rsidR="00993D99" w:rsidRPr="00913F3A">
        <w:rPr>
          <w:szCs w:val="18"/>
          <w:vertAlign w:val="superscript"/>
        </w:rPr>
        <w:footnoteRef/>
      </w:r>
      <w:r w:rsidRPr="00913F3A">
        <w:rPr>
          <w:rFonts w:eastAsia="Times New Roman"/>
          <w:szCs w:val="18"/>
        </w:rPr>
        <w:tab/>
      </w:r>
      <w:r w:rsidR="00993D99" w:rsidRPr="00913F3A">
        <w:rPr>
          <w:rFonts w:eastAsia="Times New Roman"/>
          <w:szCs w:val="18"/>
        </w:rPr>
        <w:t>Recuperado de:</w:t>
      </w:r>
      <w:hyperlink r:id="rId2">
        <w:r w:rsidR="00993D99" w:rsidRPr="00913F3A">
          <w:rPr>
            <w:rFonts w:eastAsia="Times New Roman"/>
            <w:szCs w:val="18"/>
          </w:rPr>
          <w:t xml:space="preserve"> </w:t>
        </w:r>
      </w:hyperlink>
      <w:hyperlink r:id="rId3">
        <w:r w:rsidR="00993D99" w:rsidRPr="00913F3A">
          <w:rPr>
            <w:rFonts w:eastAsia="Times New Roman"/>
            <w:color w:val="1155CC"/>
            <w:szCs w:val="18"/>
            <w:u w:val="single"/>
          </w:rPr>
          <w:t>https://magistratura.organojudicial.gob.bo/transparencia/</w:t>
        </w:r>
      </w:hyperlink>
      <w:r w:rsidR="00993D99" w:rsidRPr="00913F3A">
        <w:rPr>
          <w:rFonts w:eastAsia="Times New Roman"/>
          <w:szCs w:val="18"/>
        </w:rPr>
        <w:t xml:space="preserve"> y </w:t>
      </w:r>
      <w:hyperlink r:id="rId4">
        <w:r w:rsidR="00993D99" w:rsidRPr="00913F3A">
          <w:rPr>
            <w:rFonts w:eastAsia="Times New Roman"/>
            <w:color w:val="0000FF"/>
            <w:szCs w:val="18"/>
            <w:u w:val="single"/>
          </w:rPr>
          <w:t>https://magistratura.organojudicial.gob.bo/wp-content/uploads/2025/04/RENDICION-FINAL-2024.pdf</w:t>
        </w:r>
      </w:hyperlink>
      <w:r w:rsidR="00993D99" w:rsidRPr="00913F3A">
        <w:rPr>
          <w:rFonts w:eastAsia="Times New Roman"/>
          <w:szCs w:val="18"/>
        </w:rPr>
        <w:t xml:space="preserve"> el 22 de mayo de 2026.</w:t>
      </w:r>
    </w:p>
  </w:footnote>
  <w:footnote w:id="8">
    <w:p w14:paraId="257EDA22" w14:textId="2A4CF982" w:rsidR="00993D99" w:rsidRPr="00913F3A" w:rsidRDefault="00B056F9" w:rsidP="00A05C9C">
      <w:pPr>
        <w:pStyle w:val="FootnoteText"/>
        <w:rPr>
          <w:szCs w:val="18"/>
        </w:rPr>
      </w:pPr>
      <w:r w:rsidRPr="00913F3A">
        <w:rPr>
          <w:rFonts w:eastAsia="Times New Roman"/>
          <w:szCs w:val="18"/>
        </w:rPr>
        <w:tab/>
      </w:r>
      <w:r w:rsidR="00993D99" w:rsidRPr="00913F3A">
        <w:rPr>
          <w:szCs w:val="18"/>
          <w:vertAlign w:val="superscript"/>
        </w:rPr>
        <w:footnoteRef/>
      </w:r>
      <w:r w:rsidRPr="00913F3A">
        <w:rPr>
          <w:rFonts w:eastAsia="Times New Roman"/>
          <w:szCs w:val="18"/>
        </w:rPr>
        <w:tab/>
      </w:r>
      <w:r w:rsidR="00993D99" w:rsidRPr="00913F3A">
        <w:rPr>
          <w:rFonts w:eastAsia="Times New Roman"/>
          <w:szCs w:val="18"/>
          <w:highlight w:val="white"/>
        </w:rPr>
        <w:t xml:space="preserve">Recuperado de: </w:t>
      </w:r>
      <w:hyperlink r:id="rId5">
        <w:r w:rsidR="00993D99" w:rsidRPr="00913F3A">
          <w:rPr>
            <w:rFonts w:eastAsia="Times New Roman"/>
            <w:color w:val="1155CC"/>
            <w:szCs w:val="18"/>
            <w:highlight w:val="white"/>
            <w:u w:val="single"/>
          </w:rPr>
          <w:t>https://cipca.org.bo/noticias/fortalecimiento-del-pluralismo-juridico-justicia-ordinaria-e-indigena-articulan-acciones-contra-la-violencia-sexual</w:t>
        </w:r>
      </w:hyperlink>
      <w:r w:rsidR="00993D99" w:rsidRPr="00913F3A">
        <w:rPr>
          <w:rFonts w:eastAsia="Times New Roman"/>
          <w:szCs w:val="18"/>
          <w:highlight w:val="white"/>
        </w:rPr>
        <w:t xml:space="preserve"> el 5 de mayo de 2025</w:t>
      </w:r>
      <w:r w:rsidRPr="00913F3A">
        <w:rPr>
          <w:rFonts w:eastAsia="Times New Roman"/>
          <w:szCs w:val="18"/>
        </w:rPr>
        <w:t>.</w:t>
      </w:r>
    </w:p>
  </w:footnote>
  <w:footnote w:id="9">
    <w:p w14:paraId="0E8313EF" w14:textId="5840E15A" w:rsidR="00993D99" w:rsidRPr="00913F3A" w:rsidRDefault="00B056F9" w:rsidP="00A05C9C">
      <w:pPr>
        <w:pStyle w:val="FootnoteText"/>
        <w:rPr>
          <w:rFonts w:eastAsia="Times New Roman"/>
          <w:szCs w:val="18"/>
          <w:highlight w:val="white"/>
        </w:rPr>
      </w:pPr>
      <w:r w:rsidRPr="00913F3A">
        <w:rPr>
          <w:rFonts w:eastAsia="Times New Roman"/>
          <w:szCs w:val="18"/>
        </w:rPr>
        <w:tab/>
      </w:r>
      <w:r w:rsidR="00993D99" w:rsidRPr="00913F3A">
        <w:rPr>
          <w:szCs w:val="18"/>
          <w:vertAlign w:val="superscript"/>
        </w:rPr>
        <w:footnoteRef/>
      </w:r>
      <w:r w:rsidRPr="00913F3A">
        <w:rPr>
          <w:rFonts w:eastAsia="Times New Roman"/>
          <w:szCs w:val="18"/>
        </w:rPr>
        <w:tab/>
      </w:r>
      <w:r w:rsidR="00993D99" w:rsidRPr="00913F3A">
        <w:rPr>
          <w:rFonts w:eastAsia="Times New Roman"/>
          <w:szCs w:val="18"/>
          <w:highlight w:val="white"/>
        </w:rPr>
        <w:t xml:space="preserve">SEPMUD. Nota Interna. </w:t>
      </w:r>
      <w:r w:rsidR="00993D99" w:rsidRPr="00913F3A">
        <w:rPr>
          <w:rFonts w:eastAsia="Times New Roman"/>
          <w:szCs w:val="18"/>
        </w:rPr>
        <w:t>CITE: SEPMUD UMEPP NI N°053/2026</w:t>
      </w:r>
      <w:r w:rsidRPr="00913F3A">
        <w:rPr>
          <w:rFonts w:eastAsia="Times New Roman"/>
          <w:szCs w:val="18"/>
        </w:rPr>
        <w:t>.</w:t>
      </w:r>
    </w:p>
  </w:footnote>
  <w:footnote w:id="10">
    <w:p w14:paraId="55A07989" w14:textId="0F6C0EAE" w:rsidR="00993D99" w:rsidRPr="00913F3A" w:rsidRDefault="00B056F9" w:rsidP="00A05C9C">
      <w:pPr>
        <w:pStyle w:val="FootnoteText"/>
        <w:rPr>
          <w:rFonts w:eastAsia="Times New Roman"/>
          <w:szCs w:val="18"/>
        </w:rPr>
      </w:pPr>
      <w:r w:rsidRPr="00913F3A">
        <w:rPr>
          <w:rFonts w:eastAsia="Times New Roman"/>
          <w:szCs w:val="18"/>
        </w:rPr>
        <w:tab/>
      </w:r>
      <w:r w:rsidR="00993D99" w:rsidRPr="00913F3A">
        <w:rPr>
          <w:szCs w:val="18"/>
          <w:vertAlign w:val="superscript"/>
        </w:rPr>
        <w:footnoteRef/>
      </w:r>
      <w:r w:rsidRPr="00913F3A">
        <w:rPr>
          <w:rFonts w:eastAsia="Times New Roman"/>
          <w:szCs w:val="18"/>
        </w:rPr>
        <w:tab/>
      </w:r>
      <w:r w:rsidR="00993D99" w:rsidRPr="00913F3A">
        <w:rPr>
          <w:rFonts w:eastAsia="Times New Roman"/>
          <w:szCs w:val="18"/>
        </w:rPr>
        <w:t xml:space="preserve">Recuperado de: </w:t>
      </w:r>
      <w:hyperlink r:id="rId6">
        <w:r w:rsidR="00993D99" w:rsidRPr="00913F3A">
          <w:rPr>
            <w:rFonts w:eastAsia="Times New Roman"/>
            <w:szCs w:val="18"/>
          </w:rPr>
          <w:t>https://www.unicef.org/bolivia/comunicados-prensa/bolivia-pone-en-funcionamiento-su-sistema-de-informacion-de-ninas-ninos-y</w:t>
        </w:r>
      </w:hyperlink>
      <w:r w:rsidR="00993D99" w:rsidRPr="00913F3A">
        <w:rPr>
          <w:rFonts w:eastAsia="Times New Roman"/>
          <w:szCs w:val="18"/>
        </w:rPr>
        <w:t xml:space="preserve"> el 15 de mayo de 2026</w:t>
      </w:r>
      <w:r w:rsidRPr="00913F3A">
        <w:rPr>
          <w:rFonts w:eastAsia="Times New Roman"/>
          <w:szCs w:val="18"/>
        </w:rPr>
        <w:t>.</w:t>
      </w:r>
    </w:p>
  </w:footnote>
  <w:footnote w:id="11">
    <w:p w14:paraId="08636214" w14:textId="2FF6B116" w:rsidR="00993D99" w:rsidRPr="00913F3A" w:rsidRDefault="00913F3A" w:rsidP="00A05C9C">
      <w:pPr>
        <w:pStyle w:val="FootnoteText"/>
        <w:rPr>
          <w:rFonts w:eastAsia="Times New Roman"/>
          <w:szCs w:val="18"/>
          <w:highlight w:val="white"/>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highlight w:val="white"/>
        </w:rPr>
        <w:t xml:space="preserve">Cf. Defensoría del Pueblo. Rendiciones Públicas de Cuentas Finales de 2022, 2023, 2024 y 2025. </w:t>
      </w:r>
    </w:p>
  </w:footnote>
  <w:footnote w:id="12">
    <w:p w14:paraId="67B63C8E" w14:textId="5476FD39" w:rsidR="00993D99" w:rsidRPr="00913F3A" w:rsidRDefault="00913F3A"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Recuperado de </w:t>
      </w:r>
      <w:hyperlink r:id="rId7">
        <w:r w:rsidR="00993D99" w:rsidRPr="00913F3A">
          <w:rPr>
            <w:rFonts w:eastAsia="Times New Roman"/>
            <w:szCs w:val="18"/>
          </w:rPr>
          <w:t>https://www.coordinadoradelamujer.org.bo/observatorio/index.php/tematica/3/destacado/3/registro/264</w:t>
        </w:r>
      </w:hyperlink>
      <w:r w:rsidR="00993D99" w:rsidRPr="00913F3A">
        <w:rPr>
          <w:rFonts w:eastAsia="Times New Roman"/>
          <w:szCs w:val="18"/>
        </w:rPr>
        <w:t>, el 25 de mayo de 2026</w:t>
      </w:r>
      <w:r>
        <w:rPr>
          <w:rFonts w:eastAsia="Times New Roman"/>
          <w:szCs w:val="18"/>
        </w:rPr>
        <w:t>.</w:t>
      </w:r>
    </w:p>
  </w:footnote>
  <w:footnote w:id="13">
    <w:p w14:paraId="553E02A1" w14:textId="5AE01657" w:rsidR="00993D99" w:rsidRPr="00913F3A" w:rsidRDefault="003F3B1B" w:rsidP="00A05C9C">
      <w:pPr>
        <w:pStyle w:val="FootnoteText"/>
        <w:rPr>
          <w:rFonts w:eastAsia="Times New Roman"/>
          <w:szCs w:val="18"/>
        </w:rPr>
      </w:pPr>
      <w:r>
        <w:rPr>
          <w:rFonts w:eastAsia="Times New Roman"/>
          <w:szCs w:val="18"/>
        </w:rPr>
        <w:tab/>
      </w:r>
      <w:r w:rsidR="00993D99" w:rsidRPr="00387801">
        <w:rPr>
          <w:sz w:val="16"/>
          <w:szCs w:val="16"/>
          <w:vertAlign w:val="superscript"/>
        </w:rPr>
        <w:footnoteRef/>
      </w:r>
      <w:r>
        <w:rPr>
          <w:rFonts w:eastAsia="Times New Roman"/>
          <w:szCs w:val="18"/>
        </w:rPr>
        <w:tab/>
      </w:r>
      <w:r w:rsidR="00993D99" w:rsidRPr="00913F3A">
        <w:rPr>
          <w:rFonts w:eastAsia="Times New Roman"/>
          <w:szCs w:val="18"/>
        </w:rPr>
        <w:t>SEPMUD. Informe Anual de la Gestión 2024 en cumplimiento a la Ley N° 348, a la Asamblea Legislativa Plurinacional. CITE: MJTI-DESP-NE-Z-2276-2025</w:t>
      </w:r>
      <w:r>
        <w:rPr>
          <w:rFonts w:eastAsia="Times New Roman"/>
          <w:szCs w:val="18"/>
        </w:rPr>
        <w:t>.</w:t>
      </w:r>
    </w:p>
  </w:footnote>
  <w:footnote w:id="14">
    <w:p w14:paraId="46F7BBAC" w14:textId="023823A1" w:rsidR="00993D99" w:rsidRPr="00913F3A" w:rsidRDefault="003F3B1B" w:rsidP="00A05C9C">
      <w:pPr>
        <w:pStyle w:val="FootnoteText"/>
        <w:rPr>
          <w:rFonts w:eastAsia="Times New Roman"/>
          <w:szCs w:val="18"/>
          <w:shd w:val="clear" w:color="auto" w:fill="A4C2F4"/>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Recuperado de: </w:t>
      </w:r>
      <w:hyperlink r:id="rId8">
        <w:r w:rsidR="00993D99" w:rsidRPr="00913F3A">
          <w:rPr>
            <w:rFonts w:eastAsia="Times New Roman"/>
            <w:color w:val="1155CC"/>
            <w:szCs w:val="18"/>
            <w:u w:val="single"/>
          </w:rPr>
          <w:t>https://comunidad.org.bo/assets/archivos/publicacion/51ff46130a97cc154cd3325d89b0807f.pdf</w:t>
        </w:r>
      </w:hyperlink>
      <w:r w:rsidR="00993D99" w:rsidRPr="00913F3A">
        <w:rPr>
          <w:rFonts w:eastAsia="Times New Roman"/>
          <w:szCs w:val="18"/>
        </w:rPr>
        <w:t xml:space="preserve"> el 25 de junio de 2026.</w:t>
      </w:r>
    </w:p>
  </w:footnote>
  <w:footnote w:id="15">
    <w:p w14:paraId="28E77F84" w14:textId="6A553B1B" w:rsidR="00993D99" w:rsidRPr="00913F3A" w:rsidRDefault="005F7997"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Ministerio de Educación (ME). R.M. Nº 0842/2021.</w:t>
      </w:r>
    </w:p>
  </w:footnote>
  <w:footnote w:id="16">
    <w:p w14:paraId="5413B01C" w14:textId="66C310C9" w:rsidR="00993D99" w:rsidRPr="00913F3A" w:rsidRDefault="005F7997"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Recuperado de: </w:t>
      </w:r>
      <w:hyperlink r:id="rId9">
        <w:r w:rsidR="00993D99" w:rsidRPr="00913F3A">
          <w:rPr>
            <w:rFonts w:eastAsia="Times New Roman"/>
            <w:color w:val="1155CC"/>
            <w:szCs w:val="18"/>
            <w:u w:val="single"/>
          </w:rPr>
          <w:t>https://obscd.mingobierno.gob.bo/sites/default/files/2025-12/Warmi%20Cifras%2010%20%28a%20sept%29.pdf</w:t>
        </w:r>
      </w:hyperlink>
      <w:r w:rsidR="00993D99" w:rsidRPr="00913F3A">
        <w:rPr>
          <w:rFonts w:eastAsia="Times New Roman"/>
          <w:szCs w:val="18"/>
        </w:rPr>
        <w:t xml:space="preserve"> el 14 de junio del 2026. </w:t>
      </w:r>
    </w:p>
  </w:footnote>
  <w:footnote w:id="17">
    <w:p w14:paraId="1258151D" w14:textId="7F8B2F52" w:rsidR="00993D99" w:rsidRPr="00913F3A" w:rsidRDefault="005F7997"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Fiscalía General del Estado (FGE). Nota de Remisión </w:t>
      </w:r>
      <w:r w:rsidR="00993D99" w:rsidRPr="00913F3A">
        <w:rPr>
          <w:rFonts w:eastAsia="Times New Roman"/>
          <w:szCs w:val="18"/>
          <w:highlight w:val="white"/>
        </w:rPr>
        <w:t>de Información</w:t>
      </w:r>
      <w:r w:rsidR="00993D99" w:rsidRPr="00913F3A">
        <w:rPr>
          <w:rFonts w:eastAsia="Times New Roman"/>
          <w:szCs w:val="18"/>
        </w:rPr>
        <w:t xml:space="preserve">. CITE:FGE/RRMM N° 56/2026. </w:t>
      </w:r>
    </w:p>
  </w:footnote>
  <w:footnote w:id="18">
    <w:p w14:paraId="582EC570" w14:textId="28730DC8" w:rsidR="00993D99" w:rsidRPr="00913F3A" w:rsidRDefault="005F7997" w:rsidP="00A05C9C">
      <w:pPr>
        <w:pStyle w:val="FootnoteText"/>
        <w:rPr>
          <w:rFonts w:eastAsia="Times New Roman"/>
          <w:szCs w:val="18"/>
          <w:shd w:val="clear" w:color="auto" w:fill="6FA8DC"/>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Recuperado de: </w:t>
      </w:r>
      <w:hyperlink r:id="rId10">
        <w:r w:rsidR="00993D99" w:rsidRPr="00913F3A">
          <w:rPr>
            <w:rFonts w:eastAsia="Times New Roman"/>
            <w:szCs w:val="18"/>
          </w:rPr>
          <w:t>https://www.coordinadoradelamujer.org.bo/observatorio/index.php/tematica/2/cifras/2</w:t>
        </w:r>
      </w:hyperlink>
      <w:r w:rsidR="00993D99" w:rsidRPr="00913F3A">
        <w:rPr>
          <w:rFonts w:eastAsia="Times New Roman"/>
          <w:szCs w:val="18"/>
        </w:rPr>
        <w:t>. el 5 de mayo de 2026</w:t>
      </w:r>
      <w:r w:rsidR="003F3B1B">
        <w:rPr>
          <w:rFonts w:eastAsia="Times New Roman"/>
          <w:szCs w:val="18"/>
        </w:rPr>
        <w:t>.</w:t>
      </w:r>
    </w:p>
  </w:footnote>
  <w:footnote w:id="19">
    <w:p w14:paraId="1559339B" w14:textId="38E28EAA" w:rsidR="00993D99" w:rsidRPr="00913F3A" w:rsidRDefault="005F7997" w:rsidP="00A05C9C">
      <w:pPr>
        <w:pStyle w:val="FootnoteText"/>
        <w:rPr>
          <w:rFonts w:eastAsia="Times New Roman"/>
          <w:szCs w:val="18"/>
          <w:shd w:val="clear" w:color="auto" w:fill="CFE2F3"/>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FGE. Nota de Remisión </w:t>
      </w:r>
      <w:r w:rsidR="00993D99" w:rsidRPr="00913F3A">
        <w:rPr>
          <w:rFonts w:eastAsia="Times New Roman"/>
          <w:szCs w:val="18"/>
          <w:highlight w:val="white"/>
        </w:rPr>
        <w:t>de Información</w:t>
      </w:r>
      <w:r w:rsidR="00993D99" w:rsidRPr="00913F3A">
        <w:rPr>
          <w:rFonts w:eastAsia="Times New Roman"/>
          <w:szCs w:val="18"/>
        </w:rPr>
        <w:t>. OF.CITE:FGE/Stría. Gral. N 60/2026.</w:t>
      </w:r>
    </w:p>
  </w:footnote>
  <w:footnote w:id="20">
    <w:p w14:paraId="1A1D7397" w14:textId="07EB3AD1" w:rsidR="00993D99" w:rsidRPr="00913F3A" w:rsidRDefault="005F7997" w:rsidP="00A05C9C">
      <w:pPr>
        <w:pStyle w:val="FootnoteText"/>
        <w:rPr>
          <w:rFonts w:eastAsia="Times New Roman"/>
          <w:szCs w:val="18"/>
          <w:lang w:val="en-US"/>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SEPMUD. Nota de remisión </w:t>
      </w:r>
      <w:r w:rsidR="00993D99" w:rsidRPr="00913F3A">
        <w:rPr>
          <w:rFonts w:eastAsia="Times New Roman"/>
          <w:szCs w:val="18"/>
          <w:highlight w:val="white"/>
        </w:rPr>
        <w:t>de Información.</w:t>
      </w:r>
      <w:r w:rsidR="00993D99" w:rsidRPr="00913F3A">
        <w:rPr>
          <w:rFonts w:eastAsia="Times New Roman"/>
          <w:szCs w:val="18"/>
        </w:rPr>
        <w:t xml:space="preserve"> </w:t>
      </w:r>
      <w:r w:rsidR="00993D99" w:rsidRPr="00913F3A">
        <w:rPr>
          <w:rFonts w:eastAsia="Times New Roman"/>
          <w:szCs w:val="18"/>
          <w:lang w:val="en-US"/>
        </w:rPr>
        <w:t xml:space="preserve">CITE: SEPMUD-DGE-EXT No 218/2024. </w:t>
      </w:r>
    </w:p>
  </w:footnote>
  <w:footnote w:id="21">
    <w:p w14:paraId="76E816C2" w14:textId="2B323264" w:rsidR="00993D99" w:rsidRPr="00913F3A" w:rsidRDefault="005F7997" w:rsidP="00065F01">
      <w:pPr>
        <w:pStyle w:val="FootnoteText"/>
        <w:rPr>
          <w:rFonts w:eastAsia="Times New Roman"/>
          <w:szCs w:val="18"/>
          <w:lang w:val="en-US"/>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SEPMUD. Nota de remisión </w:t>
      </w:r>
      <w:r w:rsidR="00993D99" w:rsidRPr="00913F3A">
        <w:rPr>
          <w:rFonts w:eastAsia="Times New Roman"/>
          <w:szCs w:val="18"/>
          <w:highlight w:val="white"/>
        </w:rPr>
        <w:t>de Información.</w:t>
      </w:r>
      <w:r w:rsidR="00993D99" w:rsidRPr="00913F3A">
        <w:rPr>
          <w:rFonts w:eastAsia="Times New Roman"/>
          <w:szCs w:val="18"/>
        </w:rPr>
        <w:t xml:space="preserve"> </w:t>
      </w:r>
      <w:r w:rsidR="00993D99" w:rsidRPr="00913F3A">
        <w:rPr>
          <w:rFonts w:eastAsia="Times New Roman"/>
          <w:szCs w:val="18"/>
          <w:lang w:val="en-US"/>
        </w:rPr>
        <w:t>CITE: SEPMUD-DGE-EXT No 218/2024</w:t>
      </w:r>
      <w:r w:rsidR="003F3B1B">
        <w:rPr>
          <w:rFonts w:eastAsia="Times New Roman"/>
          <w:szCs w:val="18"/>
          <w:lang w:val="en-US"/>
        </w:rPr>
        <w:t>.</w:t>
      </w:r>
    </w:p>
  </w:footnote>
  <w:footnote w:id="22">
    <w:p w14:paraId="40BE0571" w14:textId="5CE2A7D1" w:rsidR="00993D99" w:rsidRPr="00913F3A" w:rsidRDefault="005F7997"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FGE. Nota de Remisión </w:t>
      </w:r>
      <w:r w:rsidR="00993D99" w:rsidRPr="00913F3A">
        <w:rPr>
          <w:rFonts w:eastAsia="Times New Roman"/>
          <w:szCs w:val="18"/>
          <w:highlight w:val="white"/>
        </w:rPr>
        <w:t>de Información</w:t>
      </w:r>
      <w:r w:rsidR="00993D99" w:rsidRPr="00913F3A">
        <w:rPr>
          <w:rFonts w:eastAsia="Times New Roman"/>
          <w:szCs w:val="18"/>
        </w:rPr>
        <w:t xml:space="preserve">. CITE:FGE/RRMM N° 56/2026. </w:t>
      </w:r>
    </w:p>
  </w:footnote>
  <w:footnote w:id="23">
    <w:p w14:paraId="54E3885B" w14:textId="6924DD57" w:rsidR="00993D99" w:rsidRPr="00913F3A" w:rsidRDefault="005F7997" w:rsidP="00A05C9C">
      <w:pPr>
        <w:pStyle w:val="FootnoteText"/>
        <w:rPr>
          <w:rFonts w:eastAsia="Times New Roman"/>
          <w:szCs w:val="18"/>
          <w:shd w:val="clear" w:color="auto" w:fill="9FC5E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Ministerio de Justicia y Transparencia Institucional (MJTI). Nota de remisión </w:t>
      </w:r>
      <w:r w:rsidR="00993D99" w:rsidRPr="00913F3A">
        <w:rPr>
          <w:rFonts w:eastAsia="Times New Roman"/>
          <w:szCs w:val="18"/>
          <w:highlight w:val="white"/>
        </w:rPr>
        <w:t>de Información</w:t>
      </w:r>
      <w:r w:rsidR="00993D99" w:rsidRPr="00913F3A">
        <w:rPr>
          <w:rFonts w:eastAsia="Times New Roman"/>
          <w:szCs w:val="18"/>
        </w:rPr>
        <w:t>. CITE: MJTI-DGPETFVRGG-INF-Z-213-2025.</w:t>
      </w:r>
    </w:p>
  </w:footnote>
  <w:footnote w:id="24">
    <w:p w14:paraId="37F2EFC3" w14:textId="78316AF5" w:rsidR="00993D99" w:rsidRPr="00913F3A" w:rsidRDefault="005F7997" w:rsidP="00A05C9C">
      <w:pPr>
        <w:pStyle w:val="FootnoteText"/>
        <w:rPr>
          <w:rFonts w:eastAsia="Times New Roman"/>
          <w:szCs w:val="18"/>
          <w:shd w:val="clear" w:color="auto" w:fill="CFE2F3"/>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Recuperado de: </w:t>
      </w:r>
      <w:hyperlink r:id="rId11">
        <w:r w:rsidR="00993D99" w:rsidRPr="00913F3A">
          <w:rPr>
            <w:rFonts w:eastAsia="Times New Roman"/>
            <w:szCs w:val="18"/>
          </w:rPr>
          <w:t>https://www.fiscalia.gob.bo/</w:t>
        </w:r>
      </w:hyperlink>
      <w:r w:rsidR="00993D99" w:rsidRPr="00913F3A">
        <w:rPr>
          <w:rFonts w:eastAsia="Times New Roman"/>
          <w:szCs w:val="18"/>
        </w:rPr>
        <w:t xml:space="preserve"> el 20 de agosto del 2025.</w:t>
      </w:r>
      <w:r w:rsidR="00993D99" w:rsidRPr="00913F3A">
        <w:rPr>
          <w:rFonts w:eastAsia="Times New Roman"/>
          <w:szCs w:val="18"/>
          <w:shd w:val="clear" w:color="auto" w:fill="CFE2F3"/>
        </w:rPr>
        <w:t xml:space="preserve"> </w:t>
      </w:r>
    </w:p>
    <w:bookmarkStart w:id="0" w:name="_heading=h.i7wqf3hxa075" w:colFirst="0" w:colLast="0"/>
    <w:bookmarkEnd w:id="0"/>
  </w:footnote>
  <w:footnote w:id="25">
    <w:p w14:paraId="7DE4EA79" w14:textId="49B921E7" w:rsidR="00993D99" w:rsidRPr="00913F3A" w:rsidRDefault="005F7997" w:rsidP="00A05C9C">
      <w:pPr>
        <w:pStyle w:val="FootnoteText"/>
        <w:rPr>
          <w:rFonts w:eastAsia="Times New Roman"/>
          <w:szCs w:val="18"/>
        </w:rPr>
      </w:pPr>
      <w:bookmarkStart w:id="1" w:name="_heading=h.i7wqf3hxa075" w:colFirst="0" w:colLast="0"/>
      <w:bookmarkEnd w:id="1"/>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Cf. Anuario estadístico judicial 2023, Consejo de la Magistratura, Dirección Nacional de Políticas de Gestión.</w:t>
      </w:r>
    </w:p>
    <w:bookmarkStart w:id="2" w:name="_heading=h.thjjpqltti06" w:colFirst="0" w:colLast="0"/>
    <w:bookmarkEnd w:id="2"/>
  </w:footnote>
  <w:footnote w:id="26">
    <w:p w14:paraId="52040D9B" w14:textId="35A4A9D5" w:rsidR="00993D99" w:rsidRPr="00913F3A" w:rsidRDefault="005F7997" w:rsidP="00065F01">
      <w:pPr>
        <w:pStyle w:val="FootnoteText"/>
        <w:rPr>
          <w:rFonts w:eastAsia="Times New Roman"/>
          <w:szCs w:val="18"/>
          <w:highlight w:val="white"/>
        </w:rPr>
      </w:pPr>
      <w:bookmarkStart w:id="3" w:name="_heading=h.thjjpqltti06" w:colFirst="0" w:colLast="0"/>
      <w:bookmarkEnd w:id="3"/>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highlight w:val="white"/>
        </w:rPr>
        <w:t>Cf. Tribunal Supremo de Justicia (TSJ). Rendición Pública de Cuentas Final, 2022 y 2023.</w:t>
      </w:r>
    </w:p>
  </w:footnote>
  <w:footnote w:id="27">
    <w:p w14:paraId="008AD1A6" w14:textId="621B00C0" w:rsidR="00993D99" w:rsidRPr="00913F3A" w:rsidRDefault="005F7997"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SEPMUD. Informe de seguimiento a las recomendaciones del Comité CEDAW al 7mo informe del Estado Plurinacional de Bolivia, 2026.</w:t>
      </w:r>
    </w:p>
  </w:footnote>
  <w:footnote w:id="28">
    <w:p w14:paraId="689974B7" w14:textId="21CF1ED3" w:rsidR="00993D99" w:rsidRPr="00913F3A" w:rsidRDefault="005F7997" w:rsidP="00A05C9C">
      <w:pPr>
        <w:pStyle w:val="FootnoteText"/>
        <w:rPr>
          <w:rFonts w:eastAsia="Times New Roman"/>
          <w:szCs w:val="18"/>
          <w:highlight w:val="white"/>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highlight w:val="white"/>
        </w:rPr>
        <w:t xml:space="preserve">Recuperado de: </w:t>
      </w:r>
      <w:hyperlink r:id="rId12">
        <w:r w:rsidR="00993D99" w:rsidRPr="00913F3A">
          <w:rPr>
            <w:rFonts w:eastAsia="Times New Roman"/>
            <w:color w:val="1155CC"/>
            <w:szCs w:val="18"/>
            <w:highlight w:val="white"/>
            <w:u w:val="single"/>
          </w:rPr>
          <w:t>https://bolivia.un.org/es/299710-historieta-mujeres-extremas</w:t>
        </w:r>
      </w:hyperlink>
      <w:r w:rsidR="00993D99" w:rsidRPr="00913F3A">
        <w:rPr>
          <w:rFonts w:eastAsia="Times New Roman"/>
          <w:szCs w:val="18"/>
          <w:highlight w:val="white"/>
        </w:rPr>
        <w:t>. el primero de junio de 2026.</w:t>
      </w:r>
    </w:p>
  </w:footnote>
  <w:footnote w:id="29">
    <w:p w14:paraId="621F7F26" w14:textId="6843D751" w:rsidR="00993D99" w:rsidRPr="00913F3A" w:rsidRDefault="005F7997" w:rsidP="00A05C9C">
      <w:pPr>
        <w:pStyle w:val="FootnoteText"/>
        <w:rPr>
          <w:rFonts w:eastAsia="Times New Roman"/>
          <w:szCs w:val="18"/>
          <w:highlight w:val="white"/>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highlight w:val="white"/>
        </w:rPr>
        <w:t>MJTI. Nota de Remisión de Información. CITE: MJTI-ATT-INF-Z-3-2024</w:t>
      </w:r>
      <w:r w:rsidR="003F3B1B">
        <w:rPr>
          <w:rFonts w:eastAsia="Times New Roman"/>
          <w:szCs w:val="18"/>
          <w:highlight w:val="white"/>
        </w:rPr>
        <w:t>.</w:t>
      </w:r>
    </w:p>
  </w:footnote>
  <w:footnote w:id="30">
    <w:p w14:paraId="6D5DC4F8" w14:textId="68FB9843" w:rsidR="00993D99" w:rsidRPr="00913F3A" w:rsidRDefault="005F7997" w:rsidP="00A05C9C">
      <w:pPr>
        <w:pStyle w:val="FootnoteText"/>
        <w:rPr>
          <w:rFonts w:eastAsia="Times New Roman"/>
          <w:szCs w:val="18"/>
          <w:highlight w:val="white"/>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highlight w:val="white"/>
        </w:rPr>
        <w:t>MJTI. Nota de Remisión de Información. CITE: MJTI-ATT-INF-Z-3-2024</w:t>
      </w:r>
      <w:r w:rsidR="003F3B1B">
        <w:rPr>
          <w:rFonts w:eastAsia="Times New Roman"/>
          <w:szCs w:val="18"/>
          <w:highlight w:val="white"/>
        </w:rPr>
        <w:t>.</w:t>
      </w:r>
    </w:p>
  </w:footnote>
  <w:footnote w:id="31">
    <w:p w14:paraId="415A5B13" w14:textId="7231C681" w:rsidR="00993D99" w:rsidRPr="00913F3A" w:rsidRDefault="005F7997" w:rsidP="00A05C9C">
      <w:pPr>
        <w:pStyle w:val="FootnoteText"/>
        <w:rPr>
          <w:rFonts w:eastAsia="Times New Roman"/>
          <w:szCs w:val="18"/>
          <w:highlight w:val="white"/>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highlight w:val="white"/>
        </w:rPr>
        <w:t>MRE. R.A. N° 062/2024.</w:t>
      </w:r>
    </w:p>
  </w:footnote>
  <w:footnote w:id="32">
    <w:p w14:paraId="4264C0D8" w14:textId="6061C661" w:rsidR="00993D99" w:rsidRPr="00913F3A" w:rsidRDefault="005F7997" w:rsidP="00065F01">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Viceministerio de Seguridad Ciudadana (VSC). Nota de Remisión de Información. CITE: E-MINPR/2026-16418. </w:t>
      </w:r>
    </w:p>
  </w:footnote>
  <w:footnote w:id="33">
    <w:p w14:paraId="2E46E940" w14:textId="1B6AB525" w:rsidR="00993D99" w:rsidRPr="00913F3A" w:rsidRDefault="005F7997"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Recuperado de: https://obscd.mingobierno.gob.bo/sites/default/files/2025-12/B.%20Trata%20de%20personas%20dic..pdf el 6 de junio de 2026</w:t>
      </w:r>
      <w:r w:rsidR="003F3B1B">
        <w:rPr>
          <w:rFonts w:eastAsia="Times New Roman"/>
          <w:szCs w:val="18"/>
        </w:rPr>
        <w:t>.</w:t>
      </w:r>
    </w:p>
  </w:footnote>
  <w:footnote w:id="34">
    <w:p w14:paraId="716EFA5D" w14:textId="408E6F28" w:rsidR="00993D99" w:rsidRPr="00913F3A" w:rsidRDefault="00765C7D"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Recuperado de: </w:t>
      </w:r>
      <w:hyperlink r:id="rId13">
        <w:r w:rsidR="00993D99" w:rsidRPr="00913F3A">
          <w:rPr>
            <w:rFonts w:eastAsia="Times New Roman"/>
            <w:color w:val="1155CC"/>
            <w:szCs w:val="18"/>
            <w:u w:val="single"/>
          </w:rPr>
          <w:t>https://www.coordinadoradelamujer.org.bo/observatorio/index.php/tematica/3/cifras/3</w:t>
        </w:r>
      </w:hyperlink>
      <w:r w:rsidR="00993D99" w:rsidRPr="00913F3A">
        <w:rPr>
          <w:rFonts w:eastAsia="Times New Roman"/>
          <w:szCs w:val="18"/>
        </w:rPr>
        <w:t xml:space="preserve"> el 11 de junio de 2026. </w:t>
      </w:r>
    </w:p>
  </w:footnote>
  <w:footnote w:id="35">
    <w:p w14:paraId="4987B1E1" w14:textId="675E1B13" w:rsidR="00993D99" w:rsidRPr="00913F3A" w:rsidRDefault="00765C7D" w:rsidP="00A05C9C">
      <w:pPr>
        <w:pStyle w:val="FootnoteText"/>
        <w:rPr>
          <w:rFonts w:eastAsia="Times New Roman"/>
          <w:szCs w:val="18"/>
          <w:shd w:val="clear" w:color="auto" w:fill="9FC5E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Recuperado de:</w:t>
      </w:r>
      <w:hyperlink r:id="rId14">
        <w:r w:rsidR="00993D99" w:rsidRPr="00913F3A">
          <w:rPr>
            <w:rFonts w:eastAsia="Times New Roman"/>
            <w:color w:val="1155CC"/>
            <w:szCs w:val="18"/>
            <w:u w:val="single"/>
          </w:rPr>
          <w:t>https://www.sepmud.gob.bo/INFORME_DE_GESTION_SEPMUD_2021-2025.pdf</w:t>
        </w:r>
      </w:hyperlink>
      <w:r w:rsidR="00993D99" w:rsidRPr="00913F3A">
        <w:rPr>
          <w:rFonts w:eastAsia="Times New Roman"/>
          <w:szCs w:val="18"/>
        </w:rPr>
        <w:t xml:space="preserve"> el 24 de junio de 2026.</w:t>
      </w:r>
    </w:p>
  </w:footnote>
  <w:footnote w:id="36">
    <w:p w14:paraId="75BFD462" w14:textId="119028D9" w:rsidR="00993D99" w:rsidRPr="00913F3A" w:rsidRDefault="00765C7D"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Ibid.</w:t>
      </w:r>
    </w:p>
  </w:footnote>
  <w:footnote w:id="37">
    <w:p w14:paraId="5B43B706" w14:textId="3F4B76DB" w:rsidR="00993D99" w:rsidRPr="00913F3A" w:rsidRDefault="00765C7D"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Recuperado de: </w:t>
      </w:r>
      <w:hyperlink r:id="rId15">
        <w:r w:rsidR="00993D99" w:rsidRPr="00913F3A">
          <w:rPr>
            <w:rFonts w:eastAsia="Times New Roman"/>
            <w:color w:val="0563C1"/>
            <w:szCs w:val="18"/>
            <w:u w:val="single"/>
          </w:rPr>
          <w:t>https://fuentedirecta.oep.org.bo/noticia/elecciones-generales-candidatas-de-las-nueve-organizaciones-politicas-participaran-en-un-curso-para-enfrentar-la-campana-electoral/</w:t>
        </w:r>
      </w:hyperlink>
      <w:r w:rsidR="00993D99" w:rsidRPr="00913F3A">
        <w:rPr>
          <w:rFonts w:eastAsia="Times New Roman"/>
          <w:szCs w:val="18"/>
        </w:rPr>
        <w:t xml:space="preserve"> el 09 de junio de 2026. </w:t>
      </w:r>
    </w:p>
  </w:footnote>
  <w:footnote w:id="38">
    <w:p w14:paraId="4FD15219" w14:textId="348F9E6F" w:rsidR="00993D99" w:rsidRPr="00913F3A" w:rsidRDefault="00765C7D"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SEPMUD. Informe Anual de la Gestión 2024 en cumplimiento a la Ley N° 348, a la Asamblea Legislativa Plurinacional. CITE: MJTI-DESP-NE-Z-2276-2025.</w:t>
      </w:r>
    </w:p>
  </w:footnote>
  <w:footnote w:id="39">
    <w:p w14:paraId="2C4758A8" w14:textId="031BBCA0" w:rsidR="00993D99" w:rsidRPr="00913F3A" w:rsidRDefault="00765C7D" w:rsidP="00A05C9C">
      <w:pPr>
        <w:pStyle w:val="FootnoteText"/>
        <w:rPr>
          <w:rFonts w:eastAsia="Times New Roman"/>
          <w:szCs w:val="18"/>
          <w:shd w:val="clear" w:color="auto" w:fill="CFE2F3"/>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Coordinadora de la Mujer. Remisión de información para el 8vo Informe Periódico al Comité CEDAW.</w:t>
      </w:r>
      <w:r w:rsidR="00993D99" w:rsidRPr="00913F3A">
        <w:rPr>
          <w:rFonts w:eastAsia="Times New Roman"/>
          <w:szCs w:val="18"/>
          <w:shd w:val="clear" w:color="auto" w:fill="CFE2F3"/>
        </w:rPr>
        <w:t xml:space="preserve"> </w:t>
      </w:r>
    </w:p>
  </w:footnote>
  <w:footnote w:id="40">
    <w:p w14:paraId="4820FB20" w14:textId="1613AD81" w:rsidR="00993D99" w:rsidRPr="00913F3A" w:rsidRDefault="00765C7D"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Órgano Electoral Plurinacional. Nota de Remisión de Información CITE:TSE-SC-EXTN°0665/2026.</w:t>
      </w:r>
    </w:p>
  </w:footnote>
  <w:footnote w:id="41">
    <w:p w14:paraId="344EC927" w14:textId="27A8264E" w:rsidR="00993D99" w:rsidRPr="00913F3A" w:rsidRDefault="00765C7D"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Ibid.</w:t>
      </w:r>
    </w:p>
  </w:footnote>
  <w:footnote w:id="42">
    <w:p w14:paraId="4D879E6E" w14:textId="3321267C" w:rsidR="00993D99" w:rsidRPr="00913F3A" w:rsidRDefault="00765C7D"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Recuperado de: </w:t>
      </w:r>
      <w:hyperlink r:id="rId16">
        <w:r w:rsidR="00993D99" w:rsidRPr="00913F3A">
          <w:rPr>
            <w:rFonts w:eastAsia="Times New Roman"/>
            <w:color w:val="1155CC"/>
            <w:szCs w:val="18"/>
            <w:u w:val="single"/>
          </w:rPr>
          <w:t>https://observatorioparidaddemocratica.oep.org.bo/wp-content/uploads/2021/05/7.pdf</w:t>
        </w:r>
      </w:hyperlink>
      <w:r w:rsidR="00993D99" w:rsidRPr="00913F3A">
        <w:rPr>
          <w:rFonts w:eastAsia="Times New Roman"/>
          <w:szCs w:val="18"/>
        </w:rPr>
        <w:t xml:space="preserve"> el 11 de junio de 2026, p. 101.</w:t>
      </w:r>
    </w:p>
  </w:footnote>
  <w:footnote w:id="43">
    <w:p w14:paraId="66D5C3D1" w14:textId="76CAB70E" w:rsidR="00993D99" w:rsidRPr="00913F3A" w:rsidRDefault="00765C7D"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Recuperado de: </w:t>
      </w:r>
      <w:hyperlink r:id="rId17">
        <w:r w:rsidR="00993D99" w:rsidRPr="00913F3A">
          <w:rPr>
            <w:rFonts w:eastAsia="Times New Roman"/>
            <w:color w:val="0000FF"/>
            <w:szCs w:val="18"/>
            <w:u w:val="single"/>
          </w:rPr>
          <w:t>https://observatorioparidaddemocratica.oep.org.bo/wp-content/uploads/2022/10/REPRE_POLITICA_MUJERE_BOLIVIA-_2009_2021_3.pdf</w:t>
        </w:r>
      </w:hyperlink>
      <w:r w:rsidR="00993D99" w:rsidRPr="00913F3A">
        <w:rPr>
          <w:rFonts w:eastAsia="Times New Roman"/>
          <w:szCs w:val="18"/>
        </w:rPr>
        <w:t xml:space="preserve"> el 11 de junio de 2026.</w:t>
      </w:r>
    </w:p>
  </w:footnote>
  <w:footnote w:id="44">
    <w:p w14:paraId="31C60B4F" w14:textId="21BA4D39" w:rsidR="00993D99" w:rsidRPr="00913F3A" w:rsidRDefault="00765C7D"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Recuperado de: </w:t>
      </w:r>
      <w:hyperlink r:id="rId18">
        <w:r w:rsidR="00993D99" w:rsidRPr="00913F3A">
          <w:rPr>
            <w:rFonts w:eastAsia="Times New Roman"/>
            <w:color w:val="1155CC"/>
            <w:szCs w:val="18"/>
            <w:u w:val="single"/>
          </w:rPr>
          <w:t>https://sl1nk.com/7wc04yl</w:t>
        </w:r>
      </w:hyperlink>
      <w:r w:rsidR="00993D99" w:rsidRPr="00913F3A">
        <w:rPr>
          <w:rFonts w:eastAsia="Times New Roman"/>
          <w:szCs w:val="18"/>
        </w:rPr>
        <w:t xml:space="preserve"> el 11 de junio de 2026.</w:t>
      </w:r>
    </w:p>
  </w:footnote>
  <w:footnote w:id="45">
    <w:p w14:paraId="15AC9C22" w14:textId="138067D8" w:rsidR="00993D99" w:rsidRPr="00913F3A" w:rsidRDefault="00765C7D" w:rsidP="00A05C9C">
      <w:pPr>
        <w:pStyle w:val="FootnoteText"/>
        <w:rPr>
          <w:rFonts w:eastAsia="Times New Roman"/>
          <w:szCs w:val="18"/>
          <w:shd w:val="clear" w:color="auto" w:fill="9FC5E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Tribunal Supremo Electoral (TSE). Nota de Remisión de Información. Cf. CITE: TSE-SC-EXT N° 0665/2026.</w:t>
      </w:r>
    </w:p>
  </w:footnote>
  <w:footnote w:id="46">
    <w:p w14:paraId="19EE944D" w14:textId="1EA7A777" w:rsidR="00993D99" w:rsidRPr="00913F3A" w:rsidRDefault="00765C7D"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MRE. Nota de Remisión </w:t>
      </w:r>
      <w:r w:rsidR="00993D99" w:rsidRPr="00913F3A">
        <w:rPr>
          <w:rFonts w:eastAsia="Times New Roman"/>
          <w:szCs w:val="18"/>
          <w:highlight w:val="white"/>
        </w:rPr>
        <w:t>de Información</w:t>
      </w:r>
      <w:r w:rsidR="00993D99" w:rsidRPr="00913F3A">
        <w:rPr>
          <w:rFonts w:eastAsia="Times New Roman"/>
          <w:szCs w:val="18"/>
        </w:rPr>
        <w:t>. CITE: VRG-DGRM-UPIDH-Cs- 413/2026.</w:t>
      </w:r>
      <w:r w:rsidR="00993D99" w:rsidRPr="00913F3A">
        <w:rPr>
          <w:rFonts w:eastAsia="Times New Roman"/>
          <w:szCs w:val="18"/>
          <w:shd w:val="clear" w:color="auto" w:fill="CFE2F3"/>
        </w:rPr>
        <w:t xml:space="preserve"> </w:t>
      </w:r>
    </w:p>
  </w:footnote>
  <w:footnote w:id="47">
    <w:p w14:paraId="70BC208A" w14:textId="6EF7B171" w:rsidR="00993D99" w:rsidRPr="00913F3A" w:rsidRDefault="00765C7D" w:rsidP="00A05C9C">
      <w:pPr>
        <w:pStyle w:val="FootnoteText"/>
        <w:rPr>
          <w:rFonts w:eastAsia="Times New Roman"/>
          <w:szCs w:val="18"/>
          <w:highlight w:val="white"/>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highlight w:val="white"/>
        </w:rPr>
        <w:t xml:space="preserve">Recuperado de: </w:t>
      </w:r>
      <w:hyperlink r:id="rId19">
        <w:r w:rsidR="00993D99" w:rsidRPr="00913F3A">
          <w:rPr>
            <w:rFonts w:eastAsia="Times New Roman"/>
            <w:color w:val="1155CC"/>
            <w:szCs w:val="18"/>
            <w:highlight w:val="white"/>
            <w:u w:val="single"/>
          </w:rPr>
          <w:t>https://cancilleria.gob.bo/mre/2025/04/25/21015/</w:t>
        </w:r>
      </w:hyperlink>
      <w:r w:rsidR="00993D99" w:rsidRPr="00913F3A">
        <w:rPr>
          <w:rFonts w:eastAsia="Times New Roman"/>
          <w:szCs w:val="18"/>
          <w:highlight w:val="white"/>
        </w:rPr>
        <w:t xml:space="preserve"> el 26 de junio de 2026.</w:t>
      </w:r>
    </w:p>
  </w:footnote>
  <w:footnote w:id="48">
    <w:p w14:paraId="7C3954C7" w14:textId="6EEB9128" w:rsidR="00993D99" w:rsidRPr="00913F3A" w:rsidRDefault="00765C7D"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MRE. Nota de Remisión </w:t>
      </w:r>
      <w:r w:rsidR="00993D99" w:rsidRPr="00913F3A">
        <w:rPr>
          <w:rFonts w:eastAsia="Times New Roman"/>
          <w:szCs w:val="18"/>
          <w:highlight w:val="white"/>
        </w:rPr>
        <w:t>de Información</w:t>
      </w:r>
      <w:r w:rsidR="00993D99" w:rsidRPr="00913F3A">
        <w:rPr>
          <w:rFonts w:eastAsia="Times New Roman"/>
          <w:szCs w:val="18"/>
        </w:rPr>
        <w:t xml:space="preserve">. CITE: VRG-DGRM-UPIDH-Cs- 413/2026. </w:t>
      </w:r>
    </w:p>
  </w:footnote>
  <w:footnote w:id="49">
    <w:p w14:paraId="3E763FDE" w14:textId="71F3468E" w:rsidR="00993D99" w:rsidRPr="00913F3A" w:rsidRDefault="00765C7D" w:rsidP="00A05C9C">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 xml:space="preserve">ME. R.M. 001/2023. </w:t>
      </w:r>
    </w:p>
  </w:footnote>
  <w:footnote w:id="50">
    <w:p w14:paraId="597CFEF0" w14:textId="5AF56B66" w:rsidR="00993D99" w:rsidRPr="00913F3A" w:rsidRDefault="00765C7D" w:rsidP="00A05C9C">
      <w:pPr>
        <w:pStyle w:val="FootnoteText"/>
        <w:rPr>
          <w:rFonts w:eastAsia="Times New Roman"/>
          <w:color w:val="000000"/>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ME</w:t>
      </w:r>
      <w:r w:rsidR="00993D99" w:rsidRPr="00913F3A">
        <w:rPr>
          <w:rFonts w:eastAsia="Times New Roman"/>
          <w:color w:val="000000"/>
          <w:szCs w:val="18"/>
        </w:rPr>
        <w:t xml:space="preserve">. R.M. 001/2022. </w:t>
      </w:r>
    </w:p>
  </w:footnote>
  <w:footnote w:id="51">
    <w:p w14:paraId="2B4D2E7B" w14:textId="15427067" w:rsidR="00993D99" w:rsidRPr="00913F3A" w:rsidRDefault="00765C7D" w:rsidP="00A05C9C">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Viceministerio de Educación Alternativa (VEA). Nota de Remisión de Información CITE: NE/VEAE/DGEA Nro. 643/2026.</w:t>
      </w:r>
    </w:p>
  </w:footnote>
  <w:footnote w:id="52">
    <w:p w14:paraId="4AFCF0BC" w14:textId="728C277C" w:rsidR="00993D99" w:rsidRPr="00913F3A" w:rsidRDefault="00765C7D" w:rsidP="00A05C9C">
      <w:pPr>
        <w:pStyle w:val="FootnoteText"/>
        <w:rPr>
          <w:rFonts w:eastAsia="Times New Roman"/>
          <w:b/>
          <w:bCs/>
          <w:color w:val="000000"/>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Ministerio de Educación; Gobierno; Salud y Deportes; y Justicia y Transparencia Institucional. Resolución Interministerial 0001/2025</w:t>
      </w:r>
      <w:r w:rsidR="003F3B1B">
        <w:rPr>
          <w:rFonts w:eastAsia="Times New Roman"/>
          <w:szCs w:val="18"/>
        </w:rPr>
        <w:t>.</w:t>
      </w:r>
    </w:p>
  </w:footnote>
  <w:footnote w:id="53">
    <w:p w14:paraId="64AC4425" w14:textId="272FCCD3" w:rsidR="00993D99" w:rsidRPr="00913F3A" w:rsidRDefault="00765C7D"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ME. R.M. 870/2024.</w:t>
      </w:r>
    </w:p>
  </w:footnote>
  <w:footnote w:id="54">
    <w:p w14:paraId="3FBF3634" w14:textId="5329BAC0" w:rsidR="00993D99" w:rsidRPr="00913F3A" w:rsidRDefault="00765C7D" w:rsidP="00A05C9C">
      <w:pPr>
        <w:pStyle w:val="FootnoteText"/>
        <w:rPr>
          <w:rFonts w:eastAsia="Times New Roman"/>
          <w:color w:val="000000"/>
          <w:szCs w:val="18"/>
          <w:lang w:val="pt-BR"/>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ME</w:t>
      </w:r>
      <w:r w:rsidR="00993D99" w:rsidRPr="00913F3A">
        <w:rPr>
          <w:rFonts w:eastAsia="Times New Roman"/>
          <w:color w:val="000000"/>
          <w:szCs w:val="18"/>
        </w:rPr>
        <w:t xml:space="preserve">. Nota de Remisión </w:t>
      </w:r>
      <w:r w:rsidR="00993D99" w:rsidRPr="00913F3A">
        <w:rPr>
          <w:rFonts w:eastAsia="Times New Roman"/>
          <w:szCs w:val="18"/>
          <w:highlight w:val="white"/>
        </w:rPr>
        <w:t>de Información</w:t>
      </w:r>
      <w:r w:rsidR="00993D99" w:rsidRPr="00913F3A">
        <w:rPr>
          <w:rFonts w:eastAsia="Times New Roman"/>
          <w:color w:val="000000"/>
          <w:szCs w:val="18"/>
        </w:rPr>
        <w:t xml:space="preserve">. </w:t>
      </w:r>
      <w:r w:rsidR="00993D99" w:rsidRPr="00913F3A">
        <w:rPr>
          <w:rFonts w:eastAsia="Times New Roman"/>
          <w:color w:val="000000"/>
          <w:szCs w:val="18"/>
          <w:lang w:val="pt-BR"/>
        </w:rPr>
        <w:t xml:space="preserve">CITE: </w:t>
      </w:r>
      <w:r w:rsidR="00993D99" w:rsidRPr="00913F3A">
        <w:rPr>
          <w:rFonts w:eastAsia="Times New Roman"/>
          <w:szCs w:val="18"/>
          <w:lang w:val="pt-BR"/>
        </w:rPr>
        <w:t>INE-DGE-DEIES-EXTERNA-N°</w:t>
      </w:r>
      <w:r w:rsidR="00993D99" w:rsidRPr="003F3B1B">
        <w:rPr>
          <w:szCs w:val="18"/>
          <w:lang w:val="pt-BR"/>
        </w:rPr>
        <w:t>1274</w:t>
      </w:r>
      <w:r w:rsidR="00993D99" w:rsidRPr="00913F3A">
        <w:rPr>
          <w:rFonts w:eastAsia="Times New Roman"/>
          <w:szCs w:val="18"/>
          <w:lang w:val="pt-BR"/>
        </w:rPr>
        <w:t>/2026</w:t>
      </w:r>
      <w:r w:rsidR="003F3B1B">
        <w:rPr>
          <w:rFonts w:eastAsia="Times New Roman"/>
          <w:szCs w:val="18"/>
          <w:lang w:val="pt-BR"/>
        </w:rPr>
        <w:t>.</w:t>
      </w:r>
      <w:r w:rsidR="00993D99" w:rsidRPr="00913F3A">
        <w:rPr>
          <w:rFonts w:eastAsia="Times New Roman"/>
          <w:szCs w:val="18"/>
          <w:lang w:val="pt-BR"/>
        </w:rPr>
        <w:t xml:space="preserve"> </w:t>
      </w:r>
    </w:p>
  </w:footnote>
  <w:footnote w:id="55">
    <w:p w14:paraId="258F3EE9" w14:textId="08C2EA95" w:rsidR="00993D99" w:rsidRPr="00913F3A" w:rsidRDefault="00765C7D" w:rsidP="00CD5870">
      <w:pPr>
        <w:pStyle w:val="FootnoteText"/>
        <w:rPr>
          <w:rFonts w:eastAsia="Times New Roman"/>
          <w:szCs w:val="18"/>
          <w:lang w:val="pt-BR"/>
        </w:rPr>
      </w:pPr>
      <w:r>
        <w:rPr>
          <w:rFonts w:eastAsia="Times New Roman"/>
          <w:szCs w:val="18"/>
          <w:lang w:val="en-US"/>
        </w:rPr>
        <w:tab/>
      </w:r>
      <w:r w:rsidR="00993D99" w:rsidRPr="00913F3A">
        <w:rPr>
          <w:szCs w:val="18"/>
          <w:vertAlign w:val="superscript"/>
        </w:rPr>
        <w:footnoteRef/>
      </w:r>
      <w:r>
        <w:rPr>
          <w:rFonts w:eastAsia="Times New Roman"/>
          <w:szCs w:val="18"/>
          <w:lang w:val="en-US"/>
        </w:rPr>
        <w:tab/>
      </w:r>
      <w:r w:rsidR="00993D99" w:rsidRPr="00913F3A">
        <w:rPr>
          <w:rFonts w:eastAsia="Times New Roman"/>
          <w:szCs w:val="18"/>
          <w:lang w:val="en-US"/>
        </w:rPr>
        <w:t xml:space="preserve">SEPMUD. Informe. CITE: SEPMUD/UPPEVD/INF. </w:t>
      </w:r>
      <w:r w:rsidR="00993D99" w:rsidRPr="00913F3A">
        <w:rPr>
          <w:rFonts w:eastAsia="Times New Roman"/>
          <w:szCs w:val="18"/>
          <w:lang w:val="pt-BR"/>
        </w:rPr>
        <w:t>N° 079/2026</w:t>
      </w:r>
      <w:r w:rsidR="003F3B1B">
        <w:rPr>
          <w:rFonts w:eastAsia="Times New Roman"/>
          <w:szCs w:val="18"/>
          <w:lang w:val="pt-BR"/>
        </w:rPr>
        <w:t>.</w:t>
      </w:r>
    </w:p>
  </w:footnote>
  <w:footnote w:id="56">
    <w:p w14:paraId="036D3834" w14:textId="05520365" w:rsidR="00993D99" w:rsidRPr="00913F3A" w:rsidRDefault="00765C7D" w:rsidP="00A05C9C">
      <w:pPr>
        <w:pStyle w:val="FootnoteText"/>
        <w:rPr>
          <w:rFonts w:eastAsia="Times New Roman"/>
          <w:szCs w:val="18"/>
        </w:rPr>
      </w:pPr>
      <w:r>
        <w:rPr>
          <w:rFonts w:eastAsia="Times New Roman"/>
          <w:szCs w:val="18"/>
          <w:lang w:val="pt-BR"/>
        </w:rPr>
        <w:tab/>
      </w:r>
      <w:r w:rsidR="00993D99" w:rsidRPr="00913F3A">
        <w:rPr>
          <w:szCs w:val="18"/>
          <w:vertAlign w:val="superscript"/>
        </w:rPr>
        <w:footnoteRef/>
      </w:r>
      <w:r>
        <w:rPr>
          <w:rFonts w:eastAsia="Times New Roman"/>
          <w:szCs w:val="18"/>
          <w:lang w:val="pt-BR"/>
        </w:rPr>
        <w:tab/>
      </w:r>
      <w:r w:rsidR="00993D99" w:rsidRPr="00913F3A">
        <w:rPr>
          <w:rFonts w:eastAsia="Times New Roman"/>
          <w:szCs w:val="18"/>
          <w:lang w:val="pt-BR"/>
        </w:rPr>
        <w:t xml:space="preserve">Instituto Nacional de Estadística (INE). </w:t>
      </w:r>
      <w:r w:rsidR="00993D99" w:rsidRPr="00913F3A">
        <w:rPr>
          <w:rFonts w:eastAsia="Times New Roman"/>
          <w:szCs w:val="18"/>
        </w:rPr>
        <w:t>Nota de Remisión de Información CITE: INE-DGE-DEIES-EXTERNA-N°1274/2026</w:t>
      </w:r>
      <w:r w:rsidR="003F3B1B">
        <w:rPr>
          <w:rFonts w:eastAsia="Times New Roman"/>
          <w:szCs w:val="18"/>
        </w:rPr>
        <w:t>.</w:t>
      </w:r>
    </w:p>
  </w:footnote>
  <w:footnote w:id="57">
    <w:p w14:paraId="1011E847" w14:textId="0D4A33E4" w:rsidR="00993D99" w:rsidRPr="00913F3A" w:rsidRDefault="00765C7D" w:rsidP="00A05C9C">
      <w:pPr>
        <w:pStyle w:val="FootnoteText"/>
        <w:rPr>
          <w:rFonts w:eastAsia="Times New Roman"/>
          <w:color w:val="000000"/>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ME. </w:t>
      </w:r>
      <w:r w:rsidR="00993D99" w:rsidRPr="00913F3A">
        <w:rPr>
          <w:rFonts w:eastAsia="Times New Roman"/>
          <w:color w:val="000000"/>
          <w:szCs w:val="18"/>
        </w:rPr>
        <w:t>R.M.</w:t>
      </w:r>
      <w:r w:rsidR="00993D99" w:rsidRPr="00913F3A">
        <w:rPr>
          <w:rFonts w:eastAsia="Times New Roman"/>
          <w:szCs w:val="18"/>
        </w:rPr>
        <w:t xml:space="preserve"> N°</w:t>
      </w:r>
      <w:r w:rsidR="00993D99" w:rsidRPr="00913F3A">
        <w:rPr>
          <w:rFonts w:eastAsia="Times New Roman"/>
          <w:color w:val="000000"/>
          <w:szCs w:val="18"/>
        </w:rPr>
        <w:t xml:space="preserve"> 0622/2025 de 12 de septiembre de 2025.</w:t>
      </w:r>
    </w:p>
  </w:footnote>
  <w:footnote w:id="58">
    <w:p w14:paraId="1A08A6EA" w14:textId="3404D29F" w:rsidR="00993D99" w:rsidRPr="00913F3A" w:rsidRDefault="00765C7D" w:rsidP="00A05C9C">
      <w:pPr>
        <w:pStyle w:val="FootnoteText"/>
        <w:rPr>
          <w:rFonts w:eastAsia="Times New Roman"/>
          <w:color w:val="000000"/>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Ministerio de Trabajo Empleo y Previsión Social (MTEPS). Información proporcionada por la Dirección General de Empleo. Documento oficial en proceso de remisión</w:t>
      </w:r>
      <w:r w:rsidR="003F3B1B">
        <w:rPr>
          <w:rFonts w:eastAsia="Times New Roman"/>
          <w:szCs w:val="18"/>
        </w:rPr>
        <w:t>.</w:t>
      </w:r>
      <w:r w:rsidR="00993D99" w:rsidRPr="00913F3A">
        <w:rPr>
          <w:rFonts w:eastAsia="Times New Roman"/>
          <w:szCs w:val="18"/>
        </w:rPr>
        <w:t xml:space="preserve"> </w:t>
      </w:r>
    </w:p>
  </w:footnote>
  <w:footnote w:id="59">
    <w:p w14:paraId="58F81E8C" w14:textId="7C0EF699" w:rsidR="00993D99" w:rsidRPr="00913F3A" w:rsidRDefault="00765C7D" w:rsidP="00A05C9C">
      <w:pPr>
        <w:pStyle w:val="FootnoteText"/>
        <w:rPr>
          <w:rFonts w:eastAsia="Times New Roman"/>
          <w:color w:val="000000"/>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MTEPS. Información proporcionada por la Dirección General de Empleo. Documento oficial en proceso de remisión</w:t>
      </w:r>
      <w:r w:rsidR="003F3B1B">
        <w:rPr>
          <w:rFonts w:eastAsia="Times New Roman"/>
          <w:szCs w:val="18"/>
        </w:rPr>
        <w:t>.</w:t>
      </w:r>
      <w:r w:rsidR="00993D99" w:rsidRPr="00913F3A">
        <w:rPr>
          <w:rFonts w:eastAsia="Times New Roman"/>
          <w:szCs w:val="18"/>
        </w:rPr>
        <w:t xml:space="preserve"> </w:t>
      </w:r>
    </w:p>
  </w:footnote>
  <w:footnote w:id="60">
    <w:p w14:paraId="41B8BBE6" w14:textId="4B331F36" w:rsidR="00993D99" w:rsidRPr="00913F3A" w:rsidRDefault="00765C7D" w:rsidP="00CD5870">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 xml:space="preserve">Recuperado de: </w:t>
      </w:r>
      <w:hyperlink r:id="rId20">
        <w:r w:rsidR="00993D99" w:rsidRPr="00913F3A">
          <w:rPr>
            <w:rFonts w:eastAsia="Times New Roman"/>
            <w:color w:val="000000"/>
            <w:szCs w:val="18"/>
          </w:rPr>
          <w:t>https://www.mhe.gob.bo/2025/09/10/asociacion-boliviana-de-mujeres-en-energia/</w:t>
        </w:r>
      </w:hyperlink>
      <w:r w:rsidR="00993D99" w:rsidRPr="00913F3A">
        <w:rPr>
          <w:rFonts w:eastAsia="Times New Roman"/>
          <w:color w:val="000000"/>
          <w:szCs w:val="18"/>
        </w:rPr>
        <w:t xml:space="preserve"> el 7 de junio de 2026</w:t>
      </w:r>
      <w:r w:rsidR="003F3B1B">
        <w:rPr>
          <w:rFonts w:eastAsia="Times New Roman"/>
          <w:color w:val="000000"/>
          <w:szCs w:val="18"/>
        </w:rPr>
        <w:t>.</w:t>
      </w:r>
      <w:r w:rsidR="00993D99" w:rsidRPr="00913F3A">
        <w:rPr>
          <w:rFonts w:eastAsia="Times New Roman"/>
          <w:color w:val="000000"/>
          <w:szCs w:val="18"/>
        </w:rPr>
        <w:t xml:space="preserve"> </w:t>
      </w:r>
    </w:p>
  </w:footnote>
  <w:footnote w:id="61">
    <w:p w14:paraId="670D34A1" w14:textId="79F0425E" w:rsidR="00993D99" w:rsidRPr="00913F3A" w:rsidRDefault="00765C7D" w:rsidP="00A05C9C">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 xml:space="preserve">Recuperado de: </w:t>
      </w:r>
      <w:hyperlink r:id="rId21">
        <w:r w:rsidR="00993D99" w:rsidRPr="00913F3A">
          <w:rPr>
            <w:rFonts w:eastAsia="Times New Roman"/>
            <w:color w:val="000000"/>
            <w:szCs w:val="18"/>
          </w:rPr>
          <w:t>https://www.mhe.gob.bo/2026/05/07/bolivia-avanza-hacia-una-planificacion-energetica-inclusiva-y-con-igualdad-de-oportunidades/</w:t>
        </w:r>
      </w:hyperlink>
      <w:r w:rsidR="00993D99" w:rsidRPr="00913F3A">
        <w:rPr>
          <w:rFonts w:eastAsia="Times New Roman"/>
          <w:color w:val="000000"/>
          <w:szCs w:val="18"/>
        </w:rPr>
        <w:t xml:space="preserve"> el 9 de junio de 2026</w:t>
      </w:r>
      <w:r w:rsidR="003F3B1B">
        <w:rPr>
          <w:rFonts w:eastAsia="Times New Roman"/>
          <w:color w:val="000000"/>
          <w:szCs w:val="18"/>
        </w:rPr>
        <w:t>.</w:t>
      </w:r>
    </w:p>
  </w:footnote>
  <w:footnote w:id="62">
    <w:p w14:paraId="00A8E8AC" w14:textId="54F51C8F" w:rsidR="00993D99" w:rsidRPr="00913F3A" w:rsidRDefault="00765C7D" w:rsidP="00A05C9C">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Cf. Ministerio de Hidrocarburos y Energías. Informe Rendición de Cuentas públicas Final. 2025. 5</w:t>
      </w:r>
      <w:r w:rsidR="003F3B1B">
        <w:rPr>
          <w:rFonts w:eastAsia="Times New Roman"/>
          <w:color w:val="000000"/>
          <w:szCs w:val="18"/>
        </w:rPr>
        <w:t>.</w:t>
      </w:r>
    </w:p>
  </w:footnote>
  <w:footnote w:id="63">
    <w:p w14:paraId="6AF2BC57" w14:textId="1A5F0888" w:rsidR="00993D99" w:rsidRPr="00913F3A" w:rsidRDefault="00765C7D" w:rsidP="00A05C9C">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 xml:space="preserve">Cf. Ministerio de Trabajo, </w:t>
      </w:r>
      <w:r w:rsidR="00993D99" w:rsidRPr="00913F3A">
        <w:rPr>
          <w:rFonts w:eastAsia="Times New Roman"/>
          <w:szCs w:val="18"/>
        </w:rPr>
        <w:t xml:space="preserve">Empleo y Previsión Social (MTEPS). </w:t>
      </w:r>
      <w:r w:rsidR="00993D99" w:rsidRPr="00913F3A">
        <w:rPr>
          <w:rFonts w:eastAsia="Times New Roman"/>
          <w:color w:val="000000"/>
          <w:szCs w:val="18"/>
        </w:rPr>
        <w:t>R.M. Nº 1444/23</w:t>
      </w:r>
      <w:r w:rsidR="003F3B1B">
        <w:rPr>
          <w:rFonts w:eastAsia="Times New Roman"/>
          <w:color w:val="000000"/>
          <w:szCs w:val="18"/>
        </w:rPr>
        <w:t>.</w:t>
      </w:r>
    </w:p>
  </w:footnote>
  <w:footnote w:id="64">
    <w:p w14:paraId="7D3035BC" w14:textId="38A6EE1F" w:rsidR="00993D99" w:rsidRPr="00913F3A" w:rsidRDefault="00765C7D"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Recuperado de: </w:t>
      </w:r>
      <w:hyperlink r:id="rId22">
        <w:r w:rsidR="00993D99" w:rsidRPr="00913F3A">
          <w:rPr>
            <w:rFonts w:eastAsia="Times New Roman"/>
            <w:szCs w:val="18"/>
          </w:rPr>
          <w:t>https://seprec.gob.bo/index.php/datos/</w:t>
        </w:r>
      </w:hyperlink>
      <w:r w:rsidR="00993D99" w:rsidRPr="00913F3A">
        <w:rPr>
          <w:rFonts w:eastAsia="Times New Roman"/>
          <w:szCs w:val="18"/>
        </w:rPr>
        <w:t xml:space="preserve"> el 5 de mayo de 2026</w:t>
      </w:r>
      <w:r w:rsidR="003F3B1B">
        <w:rPr>
          <w:rFonts w:eastAsia="Times New Roman"/>
          <w:szCs w:val="18"/>
        </w:rPr>
        <w:t>.</w:t>
      </w:r>
    </w:p>
  </w:footnote>
  <w:footnote w:id="65">
    <w:p w14:paraId="3D8A7AD6" w14:textId="54715397" w:rsidR="00993D99" w:rsidRPr="00913F3A" w:rsidRDefault="00765C7D" w:rsidP="00A05C9C">
      <w:pPr>
        <w:pStyle w:val="FootnoteText"/>
        <w:rPr>
          <w:rFonts w:eastAsia="Times New Roman"/>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 xml:space="preserve">Gestora Pública. 2026. </w:t>
      </w:r>
      <w:r w:rsidR="00993D99" w:rsidRPr="00913F3A">
        <w:rPr>
          <w:rFonts w:eastAsia="Times New Roman"/>
          <w:szCs w:val="18"/>
        </w:rPr>
        <w:t xml:space="preserve">Asegurados registrados en el Sistema Integral De Pensiones. Grupos quinquenales por edad y género. Acumulado al 30 de abril de 2026. Recuperado de: </w:t>
      </w:r>
      <w:hyperlink r:id="rId23">
        <w:r w:rsidR="00993D99" w:rsidRPr="00913F3A">
          <w:rPr>
            <w:rFonts w:eastAsia="Times New Roman"/>
            <w:color w:val="1155CC"/>
            <w:szCs w:val="18"/>
            <w:u w:val="single"/>
          </w:rPr>
          <w:t>https://www.gestora.bo/SistemaIntegralPensiones/Aseguramiento/InformacionEstadistica/</w:t>
        </w:r>
      </w:hyperlink>
      <w:r w:rsidR="00993D99" w:rsidRPr="00913F3A">
        <w:rPr>
          <w:rFonts w:eastAsia="Times New Roman"/>
          <w:szCs w:val="18"/>
        </w:rPr>
        <w:t xml:space="preserve"> el 15 de mayo de 2026</w:t>
      </w:r>
      <w:r w:rsidR="003F3B1B">
        <w:rPr>
          <w:rFonts w:eastAsia="Times New Roman"/>
          <w:szCs w:val="18"/>
        </w:rPr>
        <w:t>.</w:t>
      </w:r>
    </w:p>
  </w:footnote>
  <w:footnote w:id="66">
    <w:p w14:paraId="0497423B" w14:textId="20BB2C14" w:rsidR="00993D99" w:rsidRPr="00913F3A" w:rsidRDefault="00765C7D" w:rsidP="00A05C9C">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 xml:space="preserve">Autoridad de Fiscalización y Control de Pensiones y Seguros - APS. 2026. Cantidad de Beneficiarios de la Renta Dignidad por Género y Departamento (Acumulado a Febrero 2026). </w:t>
      </w:r>
      <w:r w:rsidR="00993D99" w:rsidRPr="00913F3A">
        <w:rPr>
          <w:rFonts w:eastAsia="Times New Roman"/>
          <w:szCs w:val="18"/>
        </w:rPr>
        <w:t>Recuperado de</w:t>
      </w:r>
      <w:r w:rsidR="00993D99" w:rsidRPr="00913F3A">
        <w:rPr>
          <w:rFonts w:eastAsia="Times New Roman"/>
          <w:color w:val="000000"/>
          <w:szCs w:val="18"/>
        </w:rPr>
        <w:t xml:space="preserve">: </w:t>
      </w:r>
      <w:hyperlink r:id="rId24">
        <w:r w:rsidR="00993D99" w:rsidRPr="00913F3A">
          <w:rPr>
            <w:rFonts w:eastAsia="Times New Roman"/>
            <w:color w:val="1155CC"/>
            <w:szCs w:val="18"/>
            <w:u w:val="single"/>
          </w:rPr>
          <w:t>https://www.aps.gob.bo/index.php/component/rsfiles/Vista%20previa?path=UNE%252FDP%252Frenta%252FGenero%2By%2BEdad%252FGenero%2By%2BDepartamento%252F2026%252FFebrero.pdf&amp;Itemid=437</w:t>
        </w:r>
      </w:hyperlink>
      <w:r w:rsidR="00993D99" w:rsidRPr="00913F3A">
        <w:rPr>
          <w:rFonts w:eastAsia="Times New Roman"/>
          <w:color w:val="000000"/>
          <w:szCs w:val="18"/>
        </w:rPr>
        <w:t xml:space="preserve"> el 15 de mayo de 2026</w:t>
      </w:r>
      <w:r w:rsidR="003F3B1B">
        <w:rPr>
          <w:rFonts w:eastAsia="Times New Roman"/>
          <w:color w:val="000000"/>
          <w:szCs w:val="18"/>
        </w:rPr>
        <w:t>.</w:t>
      </w:r>
    </w:p>
  </w:footnote>
  <w:footnote w:id="67">
    <w:p w14:paraId="39D486C9" w14:textId="7C866C00" w:rsidR="00993D99" w:rsidRPr="00913F3A" w:rsidRDefault="00765C7D" w:rsidP="00A05C9C">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Cf. Informes de Rendición de Cuentas Finales 2022, 2023 y 2024 del Ministerio de Trabajo</w:t>
      </w:r>
      <w:r w:rsidR="003F3B1B">
        <w:rPr>
          <w:rFonts w:eastAsia="Times New Roman"/>
          <w:color w:val="000000"/>
          <w:szCs w:val="18"/>
        </w:rPr>
        <w:t>.</w:t>
      </w:r>
    </w:p>
  </w:footnote>
  <w:footnote w:id="68">
    <w:p w14:paraId="29438D16" w14:textId="5DF0E4B9" w:rsidR="00993D99" w:rsidRPr="00913F3A" w:rsidRDefault="00765C7D" w:rsidP="00CD5870">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szCs w:val="18"/>
        </w:rPr>
        <w:t>Servicio Estatal de Autonomías. Nota de Remisión de Información. CITE: SEA-DE-UDLC-NE-N° 0191/2026</w:t>
      </w:r>
      <w:r w:rsidR="003F3B1B">
        <w:rPr>
          <w:rFonts w:eastAsia="Times New Roman"/>
          <w:szCs w:val="18"/>
        </w:rPr>
        <w:t>.</w:t>
      </w:r>
    </w:p>
  </w:footnote>
  <w:footnote w:id="69">
    <w:p w14:paraId="1F884416" w14:textId="5BC89C37" w:rsidR="00993D99" w:rsidRPr="00913F3A" w:rsidRDefault="00765C7D" w:rsidP="00CD5870">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Cf. Informe de la Dirección General de Políticas de Previsión Social del MTEPS enviado al SEPMUD</w:t>
      </w:r>
      <w:r w:rsidR="003F3B1B">
        <w:rPr>
          <w:rFonts w:eastAsia="Times New Roman"/>
          <w:color w:val="000000"/>
          <w:szCs w:val="18"/>
        </w:rPr>
        <w:t>.</w:t>
      </w:r>
    </w:p>
  </w:footnote>
  <w:footnote w:id="70">
    <w:p w14:paraId="49A8B138" w14:textId="25E4FED2" w:rsidR="00993D99" w:rsidRPr="00913F3A" w:rsidRDefault="00765C7D" w:rsidP="00A05C9C">
      <w:pPr>
        <w:pStyle w:val="FootnoteText"/>
        <w:rPr>
          <w:szCs w:val="18"/>
        </w:rPr>
      </w:pPr>
      <w:r>
        <w:rPr>
          <w:rFonts w:eastAsia="Times New Roman"/>
          <w:szCs w:val="18"/>
          <w:lang w:val="en-US"/>
        </w:rPr>
        <w:tab/>
      </w:r>
      <w:r w:rsidR="00993D99" w:rsidRPr="00913F3A">
        <w:rPr>
          <w:szCs w:val="18"/>
          <w:vertAlign w:val="superscript"/>
        </w:rPr>
        <w:footnoteRef/>
      </w:r>
      <w:r>
        <w:rPr>
          <w:rFonts w:eastAsia="Times New Roman"/>
          <w:szCs w:val="18"/>
          <w:lang w:val="en-US"/>
        </w:rPr>
        <w:tab/>
      </w:r>
      <w:r w:rsidR="00993D99" w:rsidRPr="00913F3A">
        <w:rPr>
          <w:rFonts w:eastAsia="Times New Roman"/>
          <w:szCs w:val="18"/>
          <w:lang w:val="en-US"/>
        </w:rPr>
        <w:t xml:space="preserve">SEPMUD. Informe. CITE: SEPMUD/UPPEVD/INF. </w:t>
      </w:r>
      <w:r w:rsidR="00993D99" w:rsidRPr="00913F3A">
        <w:rPr>
          <w:rFonts w:eastAsia="Times New Roman"/>
          <w:szCs w:val="18"/>
        </w:rPr>
        <w:t>N° 079/2026</w:t>
      </w:r>
      <w:r w:rsidR="003F3B1B">
        <w:rPr>
          <w:rFonts w:eastAsia="Times New Roman"/>
          <w:szCs w:val="18"/>
        </w:rPr>
        <w:t>.</w:t>
      </w:r>
    </w:p>
  </w:footnote>
  <w:footnote w:id="71">
    <w:p w14:paraId="67A39825" w14:textId="5E86D43B" w:rsidR="00993D99" w:rsidRPr="00913F3A" w:rsidRDefault="00765C7D" w:rsidP="00A05C9C">
      <w:pPr>
        <w:pStyle w:val="FootnoteText"/>
        <w:rPr>
          <w:rFonts w:eastAsia="Times New Roman"/>
          <w:color w:val="000000"/>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Recuperado de </w:t>
      </w:r>
      <w:hyperlink r:id="rId25">
        <w:r w:rsidR="00993D99" w:rsidRPr="00913F3A">
          <w:rPr>
            <w:rFonts w:eastAsia="Times New Roman"/>
            <w:color w:val="1155CC"/>
            <w:szCs w:val="18"/>
            <w:u w:val="single"/>
          </w:rPr>
          <w:t>https://www.ilo.org/es/resource/news/bolivia-desarrolla-un-plan-de-accion-para-dignificar-el-trabajo-asalariado</w:t>
        </w:r>
      </w:hyperlink>
      <w:r w:rsidR="00993D99" w:rsidRPr="00913F3A">
        <w:rPr>
          <w:rFonts w:eastAsia="Times New Roman"/>
          <w:color w:val="000000"/>
          <w:szCs w:val="18"/>
        </w:rPr>
        <w:t xml:space="preserve"> el 15 de mayo de 202</w:t>
      </w:r>
      <w:r w:rsidR="00993D99" w:rsidRPr="00913F3A">
        <w:rPr>
          <w:rFonts w:eastAsia="Times New Roman"/>
          <w:szCs w:val="18"/>
        </w:rPr>
        <w:t>6</w:t>
      </w:r>
      <w:r w:rsidR="003F3B1B">
        <w:rPr>
          <w:rFonts w:eastAsia="Times New Roman"/>
          <w:szCs w:val="18"/>
        </w:rPr>
        <w:t>.</w:t>
      </w:r>
    </w:p>
  </w:footnote>
  <w:footnote w:id="72">
    <w:p w14:paraId="0A10A560" w14:textId="1AE975B9" w:rsidR="00993D99" w:rsidRPr="00913F3A" w:rsidRDefault="00765C7D" w:rsidP="00A05C9C">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 xml:space="preserve">Ministerio de Salud y Deportes (MSyD). R.M. N°0662 de 4 de diciembre de 2024 </w:t>
      </w:r>
    </w:p>
  </w:footnote>
  <w:footnote w:id="73">
    <w:p w14:paraId="3BA516DD" w14:textId="40FF1F13" w:rsidR="00993D99" w:rsidRPr="00913F3A" w:rsidRDefault="00765C7D" w:rsidP="00A05C9C">
      <w:pPr>
        <w:pStyle w:val="FootnoteText"/>
        <w:rPr>
          <w:rFonts w:eastAsia="Times New Roman"/>
          <w:szCs w:val="18"/>
          <w:lang w:val="fr-FR"/>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MSyD. Nota de Remisión de Información. </w:t>
      </w:r>
      <w:r w:rsidR="00993D99" w:rsidRPr="00913F3A">
        <w:rPr>
          <w:rFonts w:eastAsia="Times New Roman"/>
          <w:szCs w:val="18"/>
          <w:lang w:val="fr-FR"/>
        </w:rPr>
        <w:t>CITE:</w:t>
      </w:r>
      <w:r w:rsidR="00993D99" w:rsidRPr="00913F3A">
        <w:rPr>
          <w:szCs w:val="18"/>
          <w:lang w:val="fr-FR"/>
        </w:rPr>
        <w:t xml:space="preserve"> </w:t>
      </w:r>
      <w:r w:rsidR="00993D99" w:rsidRPr="00913F3A">
        <w:rPr>
          <w:rFonts w:eastAsia="Times New Roman"/>
          <w:szCs w:val="18"/>
          <w:lang w:val="fr-FR"/>
        </w:rPr>
        <w:t>MSyD/VGSNS/DGRSS/URSSyC/ACON/CE/98/2026</w:t>
      </w:r>
      <w:r w:rsidR="003F3B1B">
        <w:rPr>
          <w:rFonts w:eastAsia="Times New Roman"/>
          <w:szCs w:val="18"/>
          <w:lang w:val="fr-FR"/>
        </w:rPr>
        <w:t>.</w:t>
      </w:r>
    </w:p>
  </w:footnote>
  <w:footnote w:id="74">
    <w:p w14:paraId="476ADE99" w14:textId="45B52021" w:rsidR="00993D99" w:rsidRPr="00913F3A" w:rsidRDefault="00765C7D"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Viceministerio de Pensiones y Seguros Financieros (VPSF). Nota de Remisión de Información. MEFP /VPSF /DGSF /USSF /NE Nº218/2026</w:t>
      </w:r>
      <w:r w:rsidR="003F3B1B">
        <w:rPr>
          <w:rFonts w:eastAsia="Times New Roman"/>
          <w:szCs w:val="18"/>
        </w:rPr>
        <w:t>.</w:t>
      </w:r>
      <w:r w:rsidR="00993D99" w:rsidRPr="00913F3A">
        <w:rPr>
          <w:rFonts w:eastAsia="Times New Roman"/>
          <w:szCs w:val="18"/>
        </w:rPr>
        <w:t xml:space="preserve"> </w:t>
      </w:r>
    </w:p>
  </w:footnote>
  <w:footnote w:id="75">
    <w:p w14:paraId="69EA63E7" w14:textId="6861F846" w:rsidR="00993D99" w:rsidRPr="00913F3A" w:rsidRDefault="00765C7D"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Recuperado de: </w:t>
      </w:r>
      <w:hyperlink r:id="rId26">
        <w:r w:rsidR="00993D99" w:rsidRPr="00913F3A">
          <w:rPr>
            <w:rFonts w:eastAsia="Times New Roman"/>
            <w:szCs w:val="18"/>
          </w:rPr>
          <w:t>https://www.bdp.com.bo/mujeres-productoras-reciben-fuerte-impulso-del-bdp-sam/?utm_source=copilot.com</w:t>
        </w:r>
      </w:hyperlink>
      <w:r w:rsidR="00993D99" w:rsidRPr="00913F3A">
        <w:rPr>
          <w:rFonts w:eastAsia="Times New Roman"/>
          <w:szCs w:val="18"/>
        </w:rPr>
        <w:t xml:space="preserve"> el 25 de mayo de 2026</w:t>
      </w:r>
      <w:r w:rsidR="003F3B1B">
        <w:rPr>
          <w:rFonts w:eastAsia="Times New Roman"/>
          <w:szCs w:val="18"/>
        </w:rPr>
        <w:t>.</w:t>
      </w:r>
    </w:p>
  </w:footnote>
  <w:footnote w:id="76">
    <w:p w14:paraId="60078A54" w14:textId="3B48B2B0" w:rsidR="00993D99" w:rsidRPr="00913F3A" w:rsidRDefault="00765C7D"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Recuperado de</w:t>
      </w:r>
      <w:hyperlink r:id="rId27">
        <w:r w:rsidR="00993D99" w:rsidRPr="00913F3A">
          <w:rPr>
            <w:rFonts w:eastAsia="Times New Roman"/>
            <w:szCs w:val="18"/>
          </w:rPr>
          <w:t xml:space="preserve"> </w:t>
        </w:r>
      </w:hyperlink>
      <w:hyperlink r:id="rId28">
        <w:r w:rsidR="00993D99" w:rsidRPr="00913F3A">
          <w:rPr>
            <w:rFonts w:eastAsia="Times New Roman"/>
            <w:color w:val="1155CC"/>
            <w:szCs w:val="18"/>
            <w:u w:val="single"/>
          </w:rPr>
          <w:t>https://www.asfi.gob.bo/sites/default/files/2025-07/Bonos%20sociales%20con%20enfoque%20de%20g%C3%A9nero%20Impulsando%20el%20acceso%20de%20las%20mujeres%20al%20cr%C3%A9dito%20en%20Bolivia.pdf</w:t>
        </w:r>
      </w:hyperlink>
      <w:r w:rsidR="00993D99" w:rsidRPr="00913F3A">
        <w:rPr>
          <w:rFonts w:eastAsia="Times New Roman"/>
          <w:szCs w:val="18"/>
        </w:rPr>
        <w:t xml:space="preserve"> el 25 de mayo de 2026.</w:t>
      </w:r>
    </w:p>
  </w:footnote>
  <w:footnote w:id="77">
    <w:p w14:paraId="1C52AA8F" w14:textId="4D503E24" w:rsidR="00993D99" w:rsidRPr="00913F3A" w:rsidRDefault="00765C7D" w:rsidP="00A05C9C">
      <w:pPr>
        <w:pStyle w:val="FootnoteText"/>
        <w:rPr>
          <w:rFonts w:eastAsia="Times New Roman"/>
          <w:szCs w:val="18"/>
          <w:lang w:val="fr-FR"/>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VPSF. Nota de Remisión de Información. </w:t>
      </w:r>
      <w:r w:rsidR="00993D99" w:rsidRPr="00913F3A">
        <w:rPr>
          <w:rFonts w:eastAsia="Times New Roman"/>
          <w:szCs w:val="18"/>
          <w:lang w:val="fr-FR"/>
        </w:rPr>
        <w:t>CITE: MEFP /VPSF /DGSF /USSF /NE Nº218/2026</w:t>
      </w:r>
      <w:r w:rsidR="003F3B1B">
        <w:rPr>
          <w:rFonts w:eastAsia="Times New Roman"/>
          <w:szCs w:val="18"/>
          <w:lang w:val="fr-FR"/>
        </w:rPr>
        <w:t>.</w:t>
      </w:r>
      <w:r w:rsidR="00993D99" w:rsidRPr="00913F3A">
        <w:rPr>
          <w:rFonts w:eastAsia="Times New Roman"/>
          <w:szCs w:val="18"/>
          <w:lang w:val="fr-FR"/>
        </w:rPr>
        <w:t xml:space="preserve"> </w:t>
      </w:r>
    </w:p>
  </w:footnote>
  <w:footnote w:id="78">
    <w:p w14:paraId="2A65F4F6" w14:textId="5B01AF13" w:rsidR="00993D99" w:rsidRPr="00913F3A" w:rsidRDefault="00765C7D"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Ibid.</w:t>
      </w:r>
    </w:p>
  </w:footnote>
  <w:footnote w:id="79">
    <w:p w14:paraId="24734002" w14:textId="0A078218" w:rsidR="00993D99" w:rsidRPr="00913F3A" w:rsidRDefault="00765C7D" w:rsidP="00A05C9C">
      <w:pPr>
        <w:pStyle w:val="FootnoteText"/>
        <w:rPr>
          <w:szCs w:val="18"/>
          <w:lang w:val="pt-BR"/>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Ministerio de Desarrollo Productivo, Rural y Aguas. Nota de Remisión de Información. </w:t>
      </w:r>
      <w:r w:rsidR="00993D99" w:rsidRPr="00913F3A">
        <w:rPr>
          <w:rFonts w:eastAsia="Times New Roman"/>
          <w:szCs w:val="18"/>
          <w:lang w:val="pt-BR"/>
        </w:rPr>
        <w:t>CITE:INF/MDPRyA/VDAyDI N° 0042/2026</w:t>
      </w:r>
      <w:r w:rsidR="003F3B1B">
        <w:rPr>
          <w:rFonts w:eastAsia="Times New Roman"/>
          <w:szCs w:val="18"/>
          <w:lang w:val="pt-BR"/>
        </w:rPr>
        <w:t>.</w:t>
      </w:r>
    </w:p>
  </w:footnote>
  <w:footnote w:id="80">
    <w:p w14:paraId="746B60DE" w14:textId="42891076" w:rsidR="00993D99" w:rsidRPr="00913F3A" w:rsidRDefault="00765C7D" w:rsidP="00A05C9C">
      <w:pPr>
        <w:pStyle w:val="FootnoteText"/>
        <w:rPr>
          <w:rFonts w:eastAsia="Times New Roman"/>
          <w:szCs w:val="18"/>
          <w:lang w:val="pt-BR"/>
        </w:rPr>
      </w:pPr>
      <w:r>
        <w:rPr>
          <w:rFonts w:eastAsia="Times New Roman"/>
          <w:szCs w:val="18"/>
          <w:lang w:val="pt-BR"/>
        </w:rPr>
        <w:tab/>
      </w:r>
      <w:r w:rsidR="00993D99" w:rsidRPr="00913F3A">
        <w:rPr>
          <w:szCs w:val="18"/>
          <w:vertAlign w:val="superscript"/>
        </w:rPr>
        <w:footnoteRef/>
      </w:r>
      <w:r>
        <w:rPr>
          <w:rFonts w:eastAsia="Times New Roman"/>
          <w:szCs w:val="18"/>
          <w:lang w:val="pt-BR"/>
        </w:rPr>
        <w:tab/>
      </w:r>
      <w:r w:rsidR="00993D99" w:rsidRPr="00913F3A">
        <w:rPr>
          <w:rFonts w:eastAsia="Times New Roman"/>
          <w:szCs w:val="18"/>
          <w:lang w:val="pt-BR"/>
        </w:rPr>
        <w:t>Ibid.</w:t>
      </w:r>
    </w:p>
  </w:footnote>
  <w:footnote w:id="81">
    <w:p w14:paraId="5670242D" w14:textId="58BDCD61" w:rsidR="00993D99" w:rsidRPr="00913F3A" w:rsidRDefault="00765C7D" w:rsidP="00A05C9C">
      <w:pPr>
        <w:pStyle w:val="FootnoteText"/>
        <w:rPr>
          <w:rFonts w:eastAsia="Times New Roman"/>
          <w:szCs w:val="18"/>
        </w:rPr>
      </w:pPr>
      <w:r>
        <w:rPr>
          <w:rFonts w:eastAsia="Times New Roman"/>
          <w:szCs w:val="18"/>
          <w:lang w:val="pt-BR"/>
        </w:rPr>
        <w:tab/>
      </w:r>
      <w:r w:rsidR="00993D99" w:rsidRPr="00913F3A">
        <w:rPr>
          <w:szCs w:val="18"/>
          <w:vertAlign w:val="superscript"/>
        </w:rPr>
        <w:footnoteRef/>
      </w:r>
      <w:r>
        <w:rPr>
          <w:rFonts w:eastAsia="Times New Roman"/>
          <w:szCs w:val="18"/>
          <w:lang w:val="pt-BR"/>
        </w:rPr>
        <w:tab/>
      </w:r>
      <w:r w:rsidR="00993D99" w:rsidRPr="00913F3A">
        <w:rPr>
          <w:rFonts w:eastAsia="Times New Roman"/>
          <w:szCs w:val="18"/>
          <w:lang w:val="pt-BR"/>
        </w:rPr>
        <w:t xml:space="preserve">Instituto Nacional de Reforma Agraria. </w:t>
      </w:r>
      <w:r w:rsidR="00993D99" w:rsidRPr="00913F3A">
        <w:rPr>
          <w:rFonts w:eastAsia="Times New Roman"/>
          <w:szCs w:val="18"/>
        </w:rPr>
        <w:t>Nota de Remisión de Información. CITE: DN-C-EXT N° 753/2026</w:t>
      </w:r>
      <w:r w:rsidR="003F3B1B">
        <w:rPr>
          <w:rFonts w:eastAsia="Times New Roman"/>
          <w:szCs w:val="18"/>
        </w:rPr>
        <w:t>.</w:t>
      </w:r>
    </w:p>
  </w:footnote>
  <w:footnote w:id="82">
    <w:p w14:paraId="2728B22F" w14:textId="443946C4" w:rsidR="00993D99" w:rsidRPr="00913F3A" w:rsidRDefault="00765C7D" w:rsidP="00A05C9C">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 xml:space="preserve">Recuperado de </w:t>
      </w:r>
      <w:hyperlink r:id="rId29">
        <w:r w:rsidR="00993D99" w:rsidRPr="00913F3A">
          <w:rPr>
            <w:rFonts w:eastAsia="Times New Roman"/>
            <w:color w:val="0000FF"/>
            <w:szCs w:val="18"/>
            <w:u w:val="single"/>
          </w:rPr>
          <w:t>https://bqlhunvxidqiwtezfiry.supabase.co/storage/v1/object/public/comunicacion/investigacion/evaluacion-de-la-ley-de-reconduccio-comu-zshdi1.pdf</w:t>
        </w:r>
      </w:hyperlink>
      <w:r w:rsidR="00993D99" w:rsidRPr="00913F3A">
        <w:rPr>
          <w:rFonts w:eastAsia="Times New Roman"/>
          <w:color w:val="000000"/>
          <w:szCs w:val="18"/>
        </w:rPr>
        <w:t xml:space="preserve"> el 18 de mayo de 2026.</w:t>
      </w:r>
    </w:p>
  </w:footnote>
  <w:footnote w:id="83">
    <w:p w14:paraId="5F4874C3" w14:textId="58FDA220" w:rsidR="00993D99" w:rsidRPr="00913F3A" w:rsidRDefault="00E47565"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SEPMUD. Informe de seguimiento a las recomendaciones del Comité CEDAW al 7mo informe del Estado Plurinacional de Bolivia. 2026.</w:t>
      </w:r>
    </w:p>
  </w:footnote>
  <w:footnote w:id="84">
    <w:p w14:paraId="79B445D0" w14:textId="0D08C6CD" w:rsidR="00993D99" w:rsidRPr="00913F3A" w:rsidRDefault="00E47565" w:rsidP="00A05C9C">
      <w:pPr>
        <w:pStyle w:val="FootnoteText"/>
        <w:rPr>
          <w:rFonts w:eastAsia="Times New Roman"/>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SEPMUD. </w:t>
      </w:r>
      <w:r w:rsidR="00993D99" w:rsidRPr="00913F3A">
        <w:rPr>
          <w:rFonts w:eastAsia="Times New Roman"/>
          <w:szCs w:val="18"/>
          <w:lang w:val="es-BO"/>
        </w:rPr>
        <w:t xml:space="preserve">Informe. CITE: SEPMUD/UPPEVD/INF. </w:t>
      </w:r>
      <w:r w:rsidR="00993D99" w:rsidRPr="00913F3A">
        <w:rPr>
          <w:rFonts w:eastAsia="Times New Roman"/>
          <w:szCs w:val="18"/>
        </w:rPr>
        <w:t>N°079/2026.</w:t>
      </w:r>
    </w:p>
  </w:footnote>
  <w:footnote w:id="85">
    <w:p w14:paraId="13E728C3" w14:textId="468A70B5" w:rsidR="00993D99" w:rsidRPr="00913F3A" w:rsidRDefault="00E47565" w:rsidP="00A05C9C">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Ministerio de Medio Ambiente y Aguas. R.M. N° 369/2023</w:t>
      </w:r>
      <w:r>
        <w:rPr>
          <w:rFonts w:eastAsia="Times New Roman"/>
          <w:color w:val="000000"/>
          <w:szCs w:val="18"/>
        </w:rPr>
        <w:t>.</w:t>
      </w:r>
    </w:p>
  </w:footnote>
  <w:footnote w:id="86">
    <w:p w14:paraId="26137F68" w14:textId="229D9153" w:rsidR="00993D99" w:rsidRPr="00913F3A" w:rsidRDefault="00E47565" w:rsidP="00A05C9C">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Autoridad Plurinacional de la Madre Tierra (APTM). Nota de Remisión. CITE: APMT/DE/CAR/0191/2026</w:t>
      </w:r>
      <w:r>
        <w:rPr>
          <w:rFonts w:eastAsia="Times New Roman"/>
          <w:color w:val="000000"/>
          <w:szCs w:val="18"/>
        </w:rPr>
        <w:t>.</w:t>
      </w:r>
    </w:p>
  </w:footnote>
  <w:footnote w:id="87">
    <w:p w14:paraId="550B85F5" w14:textId="2CF6DFCB" w:rsidR="00993D99" w:rsidRPr="00913F3A" w:rsidRDefault="00E47565" w:rsidP="00A05C9C">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 xml:space="preserve">Recuperado de: </w:t>
      </w:r>
      <w:hyperlink r:id="rId30">
        <w:r w:rsidR="00993D99" w:rsidRPr="00913F3A">
          <w:rPr>
            <w:rFonts w:eastAsia="Times New Roman"/>
            <w:color w:val="0000FF"/>
            <w:szCs w:val="18"/>
            <w:u w:val="single"/>
          </w:rPr>
          <w:t>https://onumujeresbolivia.exposure.co/bolivia-contara-con-plan-de-accion-de-genero-para-enfrentar-los-efectos-del-cambio-climatico</w:t>
        </w:r>
      </w:hyperlink>
      <w:r w:rsidR="00993D99" w:rsidRPr="00913F3A">
        <w:rPr>
          <w:rFonts w:eastAsia="Times New Roman"/>
          <w:color w:val="000000"/>
          <w:szCs w:val="18"/>
        </w:rPr>
        <w:t xml:space="preserve"> el 18 de mayo de 2026</w:t>
      </w:r>
      <w:r>
        <w:rPr>
          <w:rFonts w:eastAsia="Times New Roman"/>
          <w:color w:val="000000"/>
          <w:szCs w:val="18"/>
        </w:rPr>
        <w:t>.</w:t>
      </w:r>
    </w:p>
  </w:footnote>
  <w:footnote w:id="88">
    <w:p w14:paraId="361EE54A" w14:textId="56E7DBCB" w:rsidR="00993D99" w:rsidRPr="00913F3A" w:rsidRDefault="00E47565" w:rsidP="00A05C9C">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 xml:space="preserve">APTM. Nota de Remisión </w:t>
      </w:r>
      <w:r w:rsidR="00993D99" w:rsidRPr="00913F3A">
        <w:rPr>
          <w:rFonts w:eastAsia="Times New Roman"/>
          <w:szCs w:val="18"/>
        </w:rPr>
        <w:t>de Información</w:t>
      </w:r>
      <w:r w:rsidR="00993D99" w:rsidRPr="00913F3A">
        <w:rPr>
          <w:rFonts w:eastAsia="Times New Roman"/>
          <w:color w:val="000000"/>
          <w:szCs w:val="18"/>
        </w:rPr>
        <w:t>. CITE: APMT/DE/CAR/0191/2026</w:t>
      </w:r>
      <w:r w:rsidR="003F3B1B">
        <w:rPr>
          <w:rFonts w:eastAsia="Times New Roman"/>
          <w:color w:val="000000"/>
          <w:szCs w:val="18"/>
        </w:rPr>
        <w:t>.</w:t>
      </w:r>
    </w:p>
  </w:footnote>
  <w:footnote w:id="89">
    <w:p w14:paraId="5A4F2731" w14:textId="35B35A91" w:rsidR="00993D99" w:rsidRPr="00913F3A" w:rsidRDefault="00E47565" w:rsidP="00A05C9C">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 xml:space="preserve">Recuperado de: </w:t>
      </w:r>
      <w:hyperlink r:id="rId31">
        <w:r w:rsidR="00993D99" w:rsidRPr="00913F3A">
          <w:rPr>
            <w:rFonts w:eastAsia="Times New Roman"/>
            <w:color w:val="1155CC"/>
            <w:szCs w:val="18"/>
            <w:u w:val="single"/>
          </w:rPr>
          <w:t>https://www.defensoria.gob.bo/uploads/files/protocolo-para-la-defensa-de-las-personas-defensoras-de-los-derechos-humanos-y-espacio-civico-como-seguimiento-de-la-declaracion-de-marrakech.pdf</w:t>
        </w:r>
      </w:hyperlink>
      <w:r w:rsidR="00993D99" w:rsidRPr="00913F3A">
        <w:rPr>
          <w:rFonts w:eastAsia="Times New Roman"/>
          <w:color w:val="000000"/>
          <w:szCs w:val="18"/>
        </w:rPr>
        <w:t xml:space="preserve"> el 2 de mayo de 2026.</w:t>
      </w:r>
    </w:p>
  </w:footnote>
  <w:footnote w:id="90">
    <w:p w14:paraId="299F5E71" w14:textId="5233E464" w:rsidR="00993D99" w:rsidRPr="00913F3A" w:rsidRDefault="00E47565" w:rsidP="00A05C9C">
      <w:pPr>
        <w:pStyle w:val="FootnoteText"/>
        <w:rPr>
          <w:rFonts w:eastAsia="Times New Roman"/>
          <w:szCs w:val="18"/>
        </w:rPr>
      </w:pPr>
      <w:r>
        <w:rPr>
          <w:rFonts w:eastAsia="Times New Roman"/>
          <w:szCs w:val="18"/>
          <w:lang w:val="en-US"/>
        </w:rPr>
        <w:tab/>
      </w:r>
      <w:r w:rsidR="00993D99" w:rsidRPr="00913F3A">
        <w:rPr>
          <w:szCs w:val="18"/>
          <w:vertAlign w:val="superscript"/>
        </w:rPr>
        <w:footnoteRef/>
      </w:r>
      <w:r>
        <w:rPr>
          <w:rFonts w:eastAsia="Times New Roman"/>
          <w:szCs w:val="18"/>
          <w:lang w:val="en-US"/>
        </w:rPr>
        <w:tab/>
      </w:r>
      <w:r w:rsidR="00993D99" w:rsidRPr="00913F3A">
        <w:rPr>
          <w:rFonts w:eastAsia="Times New Roman"/>
          <w:szCs w:val="18"/>
          <w:lang w:val="en-US"/>
        </w:rPr>
        <w:t xml:space="preserve">SEPMUD. Informe. CITE: SEPMUD/UPPEVD/INF. </w:t>
      </w:r>
      <w:r w:rsidR="00993D99" w:rsidRPr="00913F3A">
        <w:rPr>
          <w:rFonts w:eastAsia="Times New Roman"/>
          <w:szCs w:val="18"/>
        </w:rPr>
        <w:t>N°079/2026.</w:t>
      </w:r>
    </w:p>
  </w:footnote>
  <w:footnote w:id="91">
    <w:p w14:paraId="61F6CE25" w14:textId="22A804B1" w:rsidR="00993D99" w:rsidRPr="00913F3A" w:rsidRDefault="00E47565" w:rsidP="00A05C9C">
      <w:pPr>
        <w:pStyle w:val="FootnoteText"/>
        <w:rPr>
          <w:rFonts w:eastAsia="Times New Roman"/>
          <w:color w:val="000000"/>
          <w:szCs w:val="18"/>
          <w:lang w:val="fr-FR"/>
        </w:rPr>
      </w:pPr>
      <w:r>
        <w:rPr>
          <w:rFonts w:eastAsia="Times New Roman"/>
          <w:color w:val="000000"/>
          <w:szCs w:val="18"/>
        </w:rPr>
        <w:tab/>
      </w:r>
      <w:r>
        <w:rPr>
          <w:rFonts w:eastAsia="Times New Roman"/>
          <w:color w:val="000000"/>
          <w:szCs w:val="18"/>
        </w:rPr>
        <w:tab/>
      </w:r>
      <w:r w:rsidR="00993D99" w:rsidRPr="00913F3A">
        <w:rPr>
          <w:szCs w:val="18"/>
          <w:vertAlign w:val="superscript"/>
        </w:rPr>
        <w:footnoteRef/>
      </w:r>
      <w:r w:rsidR="00993D99" w:rsidRPr="00913F3A">
        <w:rPr>
          <w:rFonts w:eastAsia="Times New Roman"/>
          <w:color w:val="000000"/>
          <w:szCs w:val="18"/>
        </w:rPr>
        <w:t>MSyD. Nota de Remisión de Información</w:t>
      </w:r>
      <w:r w:rsidR="00993D99" w:rsidRPr="00913F3A">
        <w:rPr>
          <w:rFonts w:eastAsia="Times New Roman"/>
          <w:szCs w:val="18"/>
        </w:rPr>
        <w:t xml:space="preserve">. </w:t>
      </w:r>
      <w:r w:rsidR="00993D99" w:rsidRPr="00913F3A">
        <w:rPr>
          <w:rFonts w:eastAsia="Times New Roman"/>
          <w:color w:val="000000"/>
          <w:szCs w:val="18"/>
          <w:lang w:val="fr-FR"/>
        </w:rPr>
        <w:t>CITE: MSyD/VGSNS/DGRSS/URSSyC/ACON/CE/98/2026</w:t>
      </w:r>
      <w:r>
        <w:rPr>
          <w:rFonts w:eastAsia="Times New Roman"/>
          <w:color w:val="000000"/>
          <w:szCs w:val="18"/>
          <w:lang w:val="fr-FR"/>
        </w:rPr>
        <w:t>.</w:t>
      </w:r>
    </w:p>
  </w:footnote>
  <w:footnote w:id="92">
    <w:p w14:paraId="544F4B04" w14:textId="08F5EF00" w:rsidR="00993D99" w:rsidRPr="00913F3A" w:rsidRDefault="00E47565" w:rsidP="00A05C9C">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 xml:space="preserve">ME. R.M. Nº1040/2022. 3. </w:t>
      </w:r>
    </w:p>
  </w:footnote>
  <w:footnote w:id="93">
    <w:p w14:paraId="00FDAFAD" w14:textId="7E0E9F34" w:rsidR="00993D99" w:rsidRPr="00913F3A" w:rsidRDefault="00E47565" w:rsidP="00A05C9C">
      <w:pPr>
        <w:pStyle w:val="FootnoteText"/>
        <w:rPr>
          <w:rFonts w:eastAsia="Times New Roman"/>
          <w:color w:val="000000"/>
          <w:szCs w:val="18"/>
          <w:lang w:val="fr-FR"/>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 xml:space="preserve">VEA. Nota de Remisión de Información. </w:t>
      </w:r>
      <w:r w:rsidR="00993D99" w:rsidRPr="00913F3A">
        <w:rPr>
          <w:rFonts w:eastAsia="Times New Roman"/>
          <w:color w:val="000000"/>
          <w:szCs w:val="18"/>
          <w:lang w:val="fr-FR"/>
        </w:rPr>
        <w:t>CITE: NE/VEAE/DGEA Nro. 643/2026</w:t>
      </w:r>
      <w:r w:rsidR="00A7457A">
        <w:rPr>
          <w:rFonts w:eastAsia="Times New Roman"/>
          <w:color w:val="000000"/>
          <w:szCs w:val="18"/>
          <w:lang w:val="fr-FR"/>
        </w:rPr>
        <w:t>.</w:t>
      </w:r>
    </w:p>
  </w:footnote>
  <w:footnote w:id="94">
    <w:p w14:paraId="1F491D72" w14:textId="16881808" w:rsidR="00993D99" w:rsidRPr="00913F3A" w:rsidRDefault="00A7457A" w:rsidP="00A05C9C">
      <w:pPr>
        <w:pStyle w:val="FootnoteText"/>
        <w:rPr>
          <w:rFonts w:eastAsia="Times New Roman"/>
          <w:color w:val="000000"/>
          <w:szCs w:val="18"/>
        </w:rPr>
      </w:pPr>
      <w:r w:rsidRPr="00A7457A">
        <w:rPr>
          <w:rFonts w:eastAsia="Times New Roman"/>
          <w:szCs w:val="18"/>
          <w:lang w:val="fr-FR"/>
        </w:rPr>
        <w:tab/>
      </w:r>
      <w:r w:rsidR="00993D99" w:rsidRPr="00913F3A">
        <w:rPr>
          <w:szCs w:val="18"/>
          <w:vertAlign w:val="superscript"/>
        </w:rPr>
        <w:footnoteRef/>
      </w:r>
      <w:r w:rsidR="00E47565">
        <w:rPr>
          <w:rFonts w:eastAsia="Times New Roman"/>
          <w:szCs w:val="18"/>
        </w:rPr>
        <w:tab/>
      </w:r>
      <w:r w:rsidR="00993D99" w:rsidRPr="00913F3A">
        <w:rPr>
          <w:rFonts w:eastAsia="Times New Roman"/>
          <w:szCs w:val="18"/>
        </w:rPr>
        <w:t xml:space="preserve">Ibid. </w:t>
      </w:r>
    </w:p>
  </w:footnote>
  <w:footnote w:id="95">
    <w:p w14:paraId="52FB6E96" w14:textId="6C61CEB0" w:rsidR="00993D99" w:rsidRPr="00913F3A" w:rsidRDefault="00A7457A" w:rsidP="00A05C9C">
      <w:pPr>
        <w:pStyle w:val="FootnoteText"/>
        <w:rPr>
          <w:rFonts w:eastAsia="Times New Roman"/>
          <w:color w:val="000000"/>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 xml:space="preserve">Ibid. </w:t>
      </w:r>
    </w:p>
  </w:footnote>
  <w:footnote w:id="96">
    <w:p w14:paraId="12CE6379" w14:textId="506CB5A8" w:rsidR="00993D99" w:rsidRPr="00913F3A" w:rsidRDefault="00A7457A" w:rsidP="00A05C9C">
      <w:pPr>
        <w:pStyle w:val="FootnoteText"/>
        <w:rPr>
          <w:rFonts w:eastAsia="Times New Roman"/>
          <w:color w:val="000000"/>
          <w:szCs w:val="18"/>
        </w:rPr>
      </w:pPr>
      <w:r>
        <w:rPr>
          <w:rFonts w:eastAsia="Times New Roman"/>
          <w:szCs w:val="18"/>
        </w:rPr>
        <w:tab/>
      </w:r>
      <w:r w:rsidR="00993D99" w:rsidRPr="00913F3A">
        <w:rPr>
          <w:szCs w:val="18"/>
          <w:vertAlign w:val="superscript"/>
        </w:rPr>
        <w:footnoteRef/>
      </w:r>
      <w:r>
        <w:rPr>
          <w:rFonts w:eastAsia="Times New Roman"/>
          <w:szCs w:val="18"/>
        </w:rPr>
        <w:tab/>
      </w:r>
      <w:r w:rsidR="00993D99" w:rsidRPr="00913F3A">
        <w:rPr>
          <w:rFonts w:eastAsia="Times New Roman"/>
          <w:szCs w:val="18"/>
        </w:rPr>
        <w:t>MTEPS. Información proporcionada por la Dirección General de Empleo. Documento oficial en proceso de remisión</w:t>
      </w:r>
      <w:r w:rsidR="003F3B1B">
        <w:rPr>
          <w:rFonts w:eastAsia="Times New Roman"/>
          <w:szCs w:val="18"/>
        </w:rPr>
        <w:t>.</w:t>
      </w:r>
      <w:r w:rsidR="00993D99" w:rsidRPr="00913F3A">
        <w:rPr>
          <w:rFonts w:eastAsia="Times New Roman"/>
          <w:szCs w:val="18"/>
        </w:rPr>
        <w:t xml:space="preserve"> </w:t>
      </w:r>
    </w:p>
  </w:footnote>
  <w:footnote w:id="97">
    <w:p w14:paraId="12CAD534" w14:textId="075C848D" w:rsidR="00993D99" w:rsidRPr="00913F3A" w:rsidRDefault="00A7457A" w:rsidP="00A05C9C">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sidR="00993D99" w:rsidRPr="00913F3A">
        <w:rPr>
          <w:rFonts w:eastAsia="Times New Roman"/>
          <w:color w:val="000000"/>
          <w:szCs w:val="18"/>
        </w:rPr>
        <w:tab/>
        <w:t xml:space="preserve">SEPMUD. </w:t>
      </w:r>
      <w:r w:rsidR="00993D99" w:rsidRPr="00913F3A">
        <w:rPr>
          <w:rFonts w:eastAsia="Times New Roman"/>
          <w:szCs w:val="18"/>
        </w:rPr>
        <w:t>Informe de seguimiento a las recomendaciones del Comité CEDAW al 7mo informe del Estado Plurinacional de Bolivia. 2026.</w:t>
      </w:r>
    </w:p>
  </w:footnote>
  <w:footnote w:id="98">
    <w:p w14:paraId="0A61E0DE" w14:textId="0BB0FBD5" w:rsidR="00993D99" w:rsidRPr="00913F3A" w:rsidRDefault="00A7457A" w:rsidP="00A05C9C">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 xml:space="preserve">Tribunal </w:t>
      </w:r>
      <w:r w:rsidR="00993D99" w:rsidRPr="00913F3A">
        <w:rPr>
          <w:szCs w:val="18"/>
        </w:rPr>
        <w:t>Constitucional</w:t>
      </w:r>
      <w:r w:rsidR="00993D99" w:rsidRPr="00913F3A">
        <w:rPr>
          <w:rFonts w:eastAsia="Times New Roman"/>
          <w:color w:val="000000"/>
          <w:szCs w:val="18"/>
        </w:rPr>
        <w:t xml:space="preserve"> Plurinacional. Sentencia Constitucional Plurinacional 0577/2022-S2 Sucre, 22 de junio de 2022.</w:t>
      </w:r>
    </w:p>
  </w:footnote>
  <w:footnote w:id="99">
    <w:p w14:paraId="67FC683B" w14:textId="394E5760" w:rsidR="00993D99" w:rsidRPr="00913F3A" w:rsidRDefault="00A7457A" w:rsidP="00A05C9C">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Mediante Instructivo INS/ASUSS/DGE/UADR N.°002/6</w:t>
      </w:r>
      <w:r w:rsidR="003F3B1B">
        <w:rPr>
          <w:rFonts w:eastAsia="Times New Roman"/>
          <w:color w:val="000000"/>
          <w:szCs w:val="18"/>
        </w:rPr>
        <w:t>.</w:t>
      </w:r>
    </w:p>
  </w:footnote>
  <w:footnote w:id="100">
    <w:p w14:paraId="5937997E" w14:textId="3917A2AB" w:rsidR="00993D99" w:rsidRPr="00913F3A" w:rsidRDefault="00A7457A" w:rsidP="00A05C9C">
      <w:pPr>
        <w:pStyle w:val="FootnoteText"/>
        <w:rPr>
          <w:rFonts w:eastAsia="Times New Roman"/>
          <w:color w:val="000000"/>
          <w:szCs w:val="18"/>
        </w:rPr>
      </w:pPr>
      <w:r>
        <w:rPr>
          <w:rFonts w:eastAsia="Times New Roman"/>
          <w:color w:val="000000"/>
          <w:szCs w:val="18"/>
        </w:rPr>
        <w:tab/>
      </w:r>
      <w:r w:rsidR="00993D99" w:rsidRPr="00913F3A">
        <w:rPr>
          <w:szCs w:val="18"/>
          <w:vertAlign w:val="superscript"/>
        </w:rPr>
        <w:footnoteRef/>
      </w:r>
      <w:r>
        <w:rPr>
          <w:rFonts w:eastAsia="Times New Roman"/>
          <w:color w:val="000000"/>
          <w:szCs w:val="18"/>
        </w:rPr>
        <w:tab/>
      </w:r>
      <w:r w:rsidR="00993D99" w:rsidRPr="00913F3A">
        <w:rPr>
          <w:rFonts w:eastAsia="Times New Roman"/>
          <w:color w:val="000000"/>
          <w:szCs w:val="18"/>
        </w:rPr>
        <w:t xml:space="preserve">SEPMUD. </w:t>
      </w:r>
      <w:r w:rsidR="00993D99" w:rsidRPr="00913F3A">
        <w:rPr>
          <w:rFonts w:eastAsia="Times New Roman"/>
          <w:szCs w:val="18"/>
        </w:rPr>
        <w:t>Informe de seguimiento a las recomendaciones del Comité CEDAW al 7mo informe del Estado Plurinacional de Bolivia.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9ACF2" w14:textId="77777777" w:rsidR="001A4396" w:rsidRPr="001A4396" w:rsidRDefault="00935A0B">
    <w:pPr>
      <w:pStyle w:val="Header"/>
    </w:pPr>
    <w:r>
      <w:t>CEDAW/C/BOL/8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937E2" w14:textId="77777777" w:rsidR="001A4396" w:rsidRPr="00935A0B" w:rsidRDefault="00935A0B" w:rsidP="00935A0B">
    <w:pPr>
      <w:pStyle w:val="Header"/>
      <w:jc w:val="right"/>
      <w:rPr>
        <w:u w:val="double"/>
      </w:rPr>
    </w:pPr>
    <w:r>
      <w:t>CEDAW/C/BOL/8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27D8D27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9B0AAB8" w:tentative="1">
      <w:start w:val="1"/>
      <w:numFmt w:val="lowerLetter"/>
      <w:lvlText w:val="%2."/>
      <w:lvlJc w:val="left"/>
      <w:pPr>
        <w:tabs>
          <w:tab w:val="num" w:pos="1440"/>
        </w:tabs>
        <w:ind w:left="1440" w:hanging="360"/>
      </w:pPr>
    </w:lvl>
    <w:lvl w:ilvl="2" w:tplc="D2DCCFA6" w:tentative="1">
      <w:start w:val="1"/>
      <w:numFmt w:val="lowerRoman"/>
      <w:lvlText w:val="%3."/>
      <w:lvlJc w:val="right"/>
      <w:pPr>
        <w:tabs>
          <w:tab w:val="num" w:pos="2160"/>
        </w:tabs>
        <w:ind w:left="2160" w:hanging="180"/>
      </w:pPr>
    </w:lvl>
    <w:lvl w:ilvl="3" w:tplc="C48254F4" w:tentative="1">
      <w:start w:val="1"/>
      <w:numFmt w:val="decimal"/>
      <w:lvlText w:val="%4."/>
      <w:lvlJc w:val="left"/>
      <w:pPr>
        <w:tabs>
          <w:tab w:val="num" w:pos="2880"/>
        </w:tabs>
        <w:ind w:left="2880" w:hanging="360"/>
      </w:pPr>
    </w:lvl>
    <w:lvl w:ilvl="4" w:tplc="9EA22298" w:tentative="1">
      <w:start w:val="1"/>
      <w:numFmt w:val="lowerLetter"/>
      <w:lvlText w:val="%5."/>
      <w:lvlJc w:val="left"/>
      <w:pPr>
        <w:tabs>
          <w:tab w:val="num" w:pos="3600"/>
        </w:tabs>
        <w:ind w:left="3600" w:hanging="360"/>
      </w:pPr>
    </w:lvl>
    <w:lvl w:ilvl="5" w:tplc="8C844056" w:tentative="1">
      <w:start w:val="1"/>
      <w:numFmt w:val="lowerRoman"/>
      <w:lvlText w:val="%6."/>
      <w:lvlJc w:val="right"/>
      <w:pPr>
        <w:tabs>
          <w:tab w:val="num" w:pos="4320"/>
        </w:tabs>
        <w:ind w:left="4320" w:hanging="180"/>
      </w:pPr>
    </w:lvl>
    <w:lvl w:ilvl="6" w:tplc="A6D0EA4E" w:tentative="1">
      <w:start w:val="1"/>
      <w:numFmt w:val="decimal"/>
      <w:lvlText w:val="%7."/>
      <w:lvlJc w:val="left"/>
      <w:pPr>
        <w:tabs>
          <w:tab w:val="num" w:pos="5040"/>
        </w:tabs>
        <w:ind w:left="5040" w:hanging="360"/>
      </w:pPr>
    </w:lvl>
    <w:lvl w:ilvl="7" w:tplc="3AD6983E" w:tentative="1">
      <w:start w:val="1"/>
      <w:numFmt w:val="lowerLetter"/>
      <w:lvlText w:val="%8."/>
      <w:lvlJc w:val="left"/>
      <w:pPr>
        <w:tabs>
          <w:tab w:val="num" w:pos="5760"/>
        </w:tabs>
        <w:ind w:left="5760" w:hanging="360"/>
      </w:pPr>
    </w:lvl>
    <w:lvl w:ilvl="8" w:tplc="E97A6F50" w:tentative="1">
      <w:start w:val="1"/>
      <w:numFmt w:val="lowerRoman"/>
      <w:lvlText w:val="%9."/>
      <w:lvlJc w:val="right"/>
      <w:pPr>
        <w:tabs>
          <w:tab w:val="num" w:pos="6480"/>
        </w:tabs>
        <w:ind w:left="6480" w:hanging="180"/>
      </w:pPr>
    </w:lvl>
  </w:abstractNum>
  <w:abstractNum w:abstractNumId="11" w15:restartNumberingAfterBreak="0">
    <w:nsid w:val="14164BBC"/>
    <w:multiLevelType w:val="hybridMultilevel"/>
    <w:tmpl w:val="90DA766A"/>
    <w:lvl w:ilvl="0" w:tplc="305A440A">
      <w:start w:val="1"/>
      <w:numFmt w:val="decimal"/>
      <w:lvlText w:val="%1."/>
      <w:lvlJc w:val="left"/>
      <w:pPr>
        <w:ind w:left="1494" w:hanging="360"/>
      </w:pPr>
      <w:rPr>
        <w:rFonts w:hint="default"/>
        <w:vertAlign w:val="baseline"/>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2" w15:restartNumberingAfterBreak="0">
    <w:nsid w:val="36A7743B"/>
    <w:multiLevelType w:val="hybridMultilevel"/>
    <w:tmpl w:val="165289D8"/>
    <w:lvl w:ilvl="0" w:tplc="5614D200">
      <w:start w:val="1"/>
      <w:numFmt w:val="bullet"/>
      <w:pStyle w:val="Bullet2G"/>
      <w:lvlText w:val="•"/>
      <w:lvlJc w:val="left"/>
      <w:pPr>
        <w:tabs>
          <w:tab w:val="num" w:pos="2268"/>
        </w:tabs>
        <w:ind w:left="2268" w:hanging="170"/>
      </w:pPr>
      <w:rPr>
        <w:rFonts w:ascii="Times New Roman" w:hAnsi="Times New Roman" w:cs="Times New Roman" w:hint="default"/>
      </w:rPr>
    </w:lvl>
    <w:lvl w:ilvl="1" w:tplc="0456D2E8" w:tentative="1">
      <w:start w:val="1"/>
      <w:numFmt w:val="bullet"/>
      <w:lvlText w:val="o"/>
      <w:lvlJc w:val="left"/>
      <w:pPr>
        <w:tabs>
          <w:tab w:val="num" w:pos="1440"/>
        </w:tabs>
        <w:ind w:left="1440" w:hanging="360"/>
      </w:pPr>
      <w:rPr>
        <w:rFonts w:ascii="Courier New" w:hAnsi="Courier New" w:hint="default"/>
      </w:rPr>
    </w:lvl>
    <w:lvl w:ilvl="2" w:tplc="C8CE262A" w:tentative="1">
      <w:start w:val="1"/>
      <w:numFmt w:val="bullet"/>
      <w:lvlText w:val=""/>
      <w:lvlJc w:val="left"/>
      <w:pPr>
        <w:tabs>
          <w:tab w:val="num" w:pos="2160"/>
        </w:tabs>
        <w:ind w:left="2160" w:hanging="360"/>
      </w:pPr>
      <w:rPr>
        <w:rFonts w:ascii="Wingdings" w:hAnsi="Wingdings" w:hint="default"/>
      </w:rPr>
    </w:lvl>
    <w:lvl w:ilvl="3" w:tplc="69706E38" w:tentative="1">
      <w:start w:val="1"/>
      <w:numFmt w:val="bullet"/>
      <w:lvlText w:val=""/>
      <w:lvlJc w:val="left"/>
      <w:pPr>
        <w:tabs>
          <w:tab w:val="num" w:pos="2880"/>
        </w:tabs>
        <w:ind w:left="2880" w:hanging="360"/>
      </w:pPr>
      <w:rPr>
        <w:rFonts w:ascii="Symbol" w:hAnsi="Symbol" w:hint="default"/>
      </w:rPr>
    </w:lvl>
    <w:lvl w:ilvl="4" w:tplc="E23A6806" w:tentative="1">
      <w:start w:val="1"/>
      <w:numFmt w:val="bullet"/>
      <w:lvlText w:val="o"/>
      <w:lvlJc w:val="left"/>
      <w:pPr>
        <w:tabs>
          <w:tab w:val="num" w:pos="3600"/>
        </w:tabs>
        <w:ind w:left="3600" w:hanging="360"/>
      </w:pPr>
      <w:rPr>
        <w:rFonts w:ascii="Courier New" w:hAnsi="Courier New" w:hint="default"/>
      </w:rPr>
    </w:lvl>
    <w:lvl w:ilvl="5" w:tplc="23F83044" w:tentative="1">
      <w:start w:val="1"/>
      <w:numFmt w:val="bullet"/>
      <w:lvlText w:val=""/>
      <w:lvlJc w:val="left"/>
      <w:pPr>
        <w:tabs>
          <w:tab w:val="num" w:pos="4320"/>
        </w:tabs>
        <w:ind w:left="4320" w:hanging="360"/>
      </w:pPr>
      <w:rPr>
        <w:rFonts w:ascii="Wingdings" w:hAnsi="Wingdings" w:hint="default"/>
      </w:rPr>
    </w:lvl>
    <w:lvl w:ilvl="6" w:tplc="0F323A78" w:tentative="1">
      <w:start w:val="1"/>
      <w:numFmt w:val="bullet"/>
      <w:lvlText w:val=""/>
      <w:lvlJc w:val="left"/>
      <w:pPr>
        <w:tabs>
          <w:tab w:val="num" w:pos="5040"/>
        </w:tabs>
        <w:ind w:left="5040" w:hanging="360"/>
      </w:pPr>
      <w:rPr>
        <w:rFonts w:ascii="Symbol" w:hAnsi="Symbol" w:hint="default"/>
      </w:rPr>
    </w:lvl>
    <w:lvl w:ilvl="7" w:tplc="7922A65A" w:tentative="1">
      <w:start w:val="1"/>
      <w:numFmt w:val="bullet"/>
      <w:lvlText w:val="o"/>
      <w:lvlJc w:val="left"/>
      <w:pPr>
        <w:tabs>
          <w:tab w:val="num" w:pos="5760"/>
        </w:tabs>
        <w:ind w:left="5760" w:hanging="360"/>
      </w:pPr>
      <w:rPr>
        <w:rFonts w:ascii="Courier New" w:hAnsi="Courier New" w:hint="default"/>
      </w:rPr>
    </w:lvl>
    <w:lvl w:ilvl="8" w:tplc="53A8B06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F2C2BDF2">
      <w:start w:val="1"/>
      <w:numFmt w:val="bullet"/>
      <w:pStyle w:val="Bullet1G"/>
      <w:lvlText w:val="•"/>
      <w:lvlJc w:val="left"/>
      <w:pPr>
        <w:tabs>
          <w:tab w:val="num" w:pos="1701"/>
        </w:tabs>
        <w:ind w:left="1701" w:hanging="170"/>
      </w:pPr>
      <w:rPr>
        <w:rFonts w:ascii="Times New Roman" w:hAnsi="Times New Roman" w:cs="Times New Roman" w:hint="default"/>
      </w:rPr>
    </w:lvl>
    <w:lvl w:ilvl="1" w:tplc="8BE2E774" w:tentative="1">
      <w:start w:val="1"/>
      <w:numFmt w:val="bullet"/>
      <w:lvlText w:val="o"/>
      <w:lvlJc w:val="left"/>
      <w:pPr>
        <w:tabs>
          <w:tab w:val="num" w:pos="1440"/>
        </w:tabs>
        <w:ind w:left="1440" w:hanging="360"/>
      </w:pPr>
      <w:rPr>
        <w:rFonts w:ascii="Courier New" w:hAnsi="Courier New" w:hint="default"/>
      </w:rPr>
    </w:lvl>
    <w:lvl w:ilvl="2" w:tplc="0450B692" w:tentative="1">
      <w:start w:val="1"/>
      <w:numFmt w:val="bullet"/>
      <w:lvlText w:val=""/>
      <w:lvlJc w:val="left"/>
      <w:pPr>
        <w:tabs>
          <w:tab w:val="num" w:pos="2160"/>
        </w:tabs>
        <w:ind w:left="2160" w:hanging="360"/>
      </w:pPr>
      <w:rPr>
        <w:rFonts w:ascii="Wingdings" w:hAnsi="Wingdings" w:hint="default"/>
      </w:rPr>
    </w:lvl>
    <w:lvl w:ilvl="3" w:tplc="76307E10" w:tentative="1">
      <w:start w:val="1"/>
      <w:numFmt w:val="bullet"/>
      <w:lvlText w:val=""/>
      <w:lvlJc w:val="left"/>
      <w:pPr>
        <w:tabs>
          <w:tab w:val="num" w:pos="2880"/>
        </w:tabs>
        <w:ind w:left="2880" w:hanging="360"/>
      </w:pPr>
      <w:rPr>
        <w:rFonts w:ascii="Symbol" w:hAnsi="Symbol" w:hint="default"/>
      </w:rPr>
    </w:lvl>
    <w:lvl w:ilvl="4" w:tplc="953E153C" w:tentative="1">
      <w:start w:val="1"/>
      <w:numFmt w:val="bullet"/>
      <w:lvlText w:val="o"/>
      <w:lvlJc w:val="left"/>
      <w:pPr>
        <w:tabs>
          <w:tab w:val="num" w:pos="3600"/>
        </w:tabs>
        <w:ind w:left="3600" w:hanging="360"/>
      </w:pPr>
      <w:rPr>
        <w:rFonts w:ascii="Courier New" w:hAnsi="Courier New" w:hint="default"/>
      </w:rPr>
    </w:lvl>
    <w:lvl w:ilvl="5" w:tplc="1F88298A" w:tentative="1">
      <w:start w:val="1"/>
      <w:numFmt w:val="bullet"/>
      <w:lvlText w:val=""/>
      <w:lvlJc w:val="left"/>
      <w:pPr>
        <w:tabs>
          <w:tab w:val="num" w:pos="4320"/>
        </w:tabs>
        <w:ind w:left="4320" w:hanging="360"/>
      </w:pPr>
      <w:rPr>
        <w:rFonts w:ascii="Wingdings" w:hAnsi="Wingdings" w:hint="default"/>
      </w:rPr>
    </w:lvl>
    <w:lvl w:ilvl="6" w:tplc="0E682F9A" w:tentative="1">
      <w:start w:val="1"/>
      <w:numFmt w:val="bullet"/>
      <w:lvlText w:val=""/>
      <w:lvlJc w:val="left"/>
      <w:pPr>
        <w:tabs>
          <w:tab w:val="num" w:pos="5040"/>
        </w:tabs>
        <w:ind w:left="5040" w:hanging="360"/>
      </w:pPr>
      <w:rPr>
        <w:rFonts w:ascii="Symbol" w:hAnsi="Symbol" w:hint="default"/>
      </w:rPr>
    </w:lvl>
    <w:lvl w:ilvl="7" w:tplc="B56A3D3A" w:tentative="1">
      <w:start w:val="1"/>
      <w:numFmt w:val="bullet"/>
      <w:lvlText w:val="o"/>
      <w:lvlJc w:val="left"/>
      <w:pPr>
        <w:tabs>
          <w:tab w:val="num" w:pos="5760"/>
        </w:tabs>
        <w:ind w:left="5760" w:hanging="360"/>
      </w:pPr>
      <w:rPr>
        <w:rFonts w:ascii="Courier New" w:hAnsi="Courier New" w:hint="default"/>
      </w:rPr>
    </w:lvl>
    <w:lvl w:ilvl="8" w:tplc="412E022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89062108">
    <w:abstractNumId w:val="16"/>
  </w:num>
  <w:num w:numId="2" w16cid:durableId="1839727262">
    <w:abstractNumId w:val="15"/>
  </w:num>
  <w:num w:numId="3" w16cid:durableId="758713553">
    <w:abstractNumId w:val="13"/>
  </w:num>
  <w:num w:numId="4" w16cid:durableId="1608347970">
    <w:abstractNumId w:val="14"/>
  </w:num>
  <w:num w:numId="5" w16cid:durableId="257369312">
    <w:abstractNumId w:val="12"/>
  </w:num>
  <w:num w:numId="6" w16cid:durableId="2119443511">
    <w:abstractNumId w:val="9"/>
  </w:num>
  <w:num w:numId="7" w16cid:durableId="654141438">
    <w:abstractNumId w:val="7"/>
  </w:num>
  <w:num w:numId="8" w16cid:durableId="1576549170">
    <w:abstractNumId w:val="6"/>
  </w:num>
  <w:num w:numId="9" w16cid:durableId="1863325505">
    <w:abstractNumId w:val="5"/>
  </w:num>
  <w:num w:numId="10" w16cid:durableId="2040428387">
    <w:abstractNumId w:val="4"/>
  </w:num>
  <w:num w:numId="11" w16cid:durableId="1930699956">
    <w:abstractNumId w:val="8"/>
  </w:num>
  <w:num w:numId="12" w16cid:durableId="2046904527">
    <w:abstractNumId w:val="3"/>
  </w:num>
  <w:num w:numId="13" w16cid:durableId="911625023">
    <w:abstractNumId w:val="2"/>
  </w:num>
  <w:num w:numId="14" w16cid:durableId="2134052397">
    <w:abstractNumId w:val="1"/>
  </w:num>
  <w:num w:numId="15" w16cid:durableId="629819417">
    <w:abstractNumId w:val="0"/>
  </w:num>
  <w:num w:numId="16" w16cid:durableId="1941062422">
    <w:abstractNumId w:val="10"/>
  </w:num>
  <w:num w:numId="17" w16cid:durableId="2094468796">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172ED"/>
    <w:rsid w:val="00033EE1"/>
    <w:rsid w:val="00042B72"/>
    <w:rsid w:val="000558BD"/>
    <w:rsid w:val="00065F01"/>
    <w:rsid w:val="00081C5E"/>
    <w:rsid w:val="000A2085"/>
    <w:rsid w:val="000B57E7"/>
    <w:rsid w:val="000B6373"/>
    <w:rsid w:val="000B7E1E"/>
    <w:rsid w:val="000C1776"/>
    <w:rsid w:val="000D3664"/>
    <w:rsid w:val="000F09DF"/>
    <w:rsid w:val="000F61B2"/>
    <w:rsid w:val="0010713E"/>
    <w:rsid w:val="001075E9"/>
    <w:rsid w:val="0014319F"/>
    <w:rsid w:val="00155194"/>
    <w:rsid w:val="00161E36"/>
    <w:rsid w:val="00180183"/>
    <w:rsid w:val="0018024D"/>
    <w:rsid w:val="0018649F"/>
    <w:rsid w:val="00190EB6"/>
    <w:rsid w:val="00196389"/>
    <w:rsid w:val="001A0D63"/>
    <w:rsid w:val="001A1200"/>
    <w:rsid w:val="001A4396"/>
    <w:rsid w:val="001A6C4B"/>
    <w:rsid w:val="001B3EF6"/>
    <w:rsid w:val="001C309B"/>
    <w:rsid w:val="001C7A89"/>
    <w:rsid w:val="002138D6"/>
    <w:rsid w:val="00242391"/>
    <w:rsid w:val="00245246"/>
    <w:rsid w:val="00267B13"/>
    <w:rsid w:val="002A02C6"/>
    <w:rsid w:val="002A2EFC"/>
    <w:rsid w:val="002C0E18"/>
    <w:rsid w:val="002C3171"/>
    <w:rsid w:val="002D4172"/>
    <w:rsid w:val="002D5AAC"/>
    <w:rsid w:val="002E03F3"/>
    <w:rsid w:val="002F405F"/>
    <w:rsid w:val="00301299"/>
    <w:rsid w:val="0030732F"/>
    <w:rsid w:val="00307FB6"/>
    <w:rsid w:val="00310E6B"/>
    <w:rsid w:val="00317339"/>
    <w:rsid w:val="00322004"/>
    <w:rsid w:val="00330EAA"/>
    <w:rsid w:val="003402C2"/>
    <w:rsid w:val="00356166"/>
    <w:rsid w:val="00376E4E"/>
    <w:rsid w:val="003800B1"/>
    <w:rsid w:val="00381C24"/>
    <w:rsid w:val="003933DF"/>
    <w:rsid w:val="003958D0"/>
    <w:rsid w:val="003A3CE4"/>
    <w:rsid w:val="003B00E5"/>
    <w:rsid w:val="003D3526"/>
    <w:rsid w:val="003E0332"/>
    <w:rsid w:val="003E46DC"/>
    <w:rsid w:val="003F3B1B"/>
    <w:rsid w:val="003F43D1"/>
    <w:rsid w:val="003F6FF0"/>
    <w:rsid w:val="00407B78"/>
    <w:rsid w:val="00422C6C"/>
    <w:rsid w:val="00424203"/>
    <w:rsid w:val="004452DE"/>
    <w:rsid w:val="004515CC"/>
    <w:rsid w:val="00454E07"/>
    <w:rsid w:val="004553FD"/>
    <w:rsid w:val="004579B8"/>
    <w:rsid w:val="004923E9"/>
    <w:rsid w:val="004A4532"/>
    <w:rsid w:val="004B7E30"/>
    <w:rsid w:val="004D10F3"/>
    <w:rsid w:val="004D1828"/>
    <w:rsid w:val="004D789F"/>
    <w:rsid w:val="004E1418"/>
    <w:rsid w:val="004F6E95"/>
    <w:rsid w:val="0050108D"/>
    <w:rsid w:val="00513081"/>
    <w:rsid w:val="00517901"/>
    <w:rsid w:val="00521DC1"/>
    <w:rsid w:val="00526683"/>
    <w:rsid w:val="005426C7"/>
    <w:rsid w:val="0055166B"/>
    <w:rsid w:val="00565396"/>
    <w:rsid w:val="005709E0"/>
    <w:rsid w:val="00572E19"/>
    <w:rsid w:val="00575534"/>
    <w:rsid w:val="005961C8"/>
    <w:rsid w:val="005D7914"/>
    <w:rsid w:val="005F0B42"/>
    <w:rsid w:val="005F7997"/>
    <w:rsid w:val="006028C3"/>
    <w:rsid w:val="00602BB6"/>
    <w:rsid w:val="00615628"/>
    <w:rsid w:val="00621949"/>
    <w:rsid w:val="00626472"/>
    <w:rsid w:val="0064056A"/>
    <w:rsid w:val="00646787"/>
    <w:rsid w:val="00664882"/>
    <w:rsid w:val="00681A10"/>
    <w:rsid w:val="006845BC"/>
    <w:rsid w:val="006C2031"/>
    <w:rsid w:val="006D461A"/>
    <w:rsid w:val="006F35EE"/>
    <w:rsid w:val="007021FF"/>
    <w:rsid w:val="007100A3"/>
    <w:rsid w:val="00710F69"/>
    <w:rsid w:val="00712895"/>
    <w:rsid w:val="00714DCB"/>
    <w:rsid w:val="00733598"/>
    <w:rsid w:val="00754B77"/>
    <w:rsid w:val="00757357"/>
    <w:rsid w:val="0076439C"/>
    <w:rsid w:val="00765C7D"/>
    <w:rsid w:val="007C333F"/>
    <w:rsid w:val="007E072F"/>
    <w:rsid w:val="007F6041"/>
    <w:rsid w:val="00805D1C"/>
    <w:rsid w:val="00825F8D"/>
    <w:rsid w:val="00834B71"/>
    <w:rsid w:val="008365A8"/>
    <w:rsid w:val="00841CBA"/>
    <w:rsid w:val="0086445C"/>
    <w:rsid w:val="00894693"/>
    <w:rsid w:val="008A08D7"/>
    <w:rsid w:val="008A6576"/>
    <w:rsid w:val="008B6909"/>
    <w:rsid w:val="008C0070"/>
    <w:rsid w:val="00906890"/>
    <w:rsid w:val="00911BE4"/>
    <w:rsid w:val="00913F3A"/>
    <w:rsid w:val="00917637"/>
    <w:rsid w:val="00935A0B"/>
    <w:rsid w:val="00951972"/>
    <w:rsid w:val="00953B31"/>
    <w:rsid w:val="009608F3"/>
    <w:rsid w:val="009867CD"/>
    <w:rsid w:val="00993D99"/>
    <w:rsid w:val="009A132F"/>
    <w:rsid w:val="009D28EB"/>
    <w:rsid w:val="009D3A15"/>
    <w:rsid w:val="00A05C9C"/>
    <w:rsid w:val="00A22CB7"/>
    <w:rsid w:val="00A32382"/>
    <w:rsid w:val="00A44B2D"/>
    <w:rsid w:val="00A60E2A"/>
    <w:rsid w:val="00A64850"/>
    <w:rsid w:val="00A7457A"/>
    <w:rsid w:val="00A760F9"/>
    <w:rsid w:val="00A84021"/>
    <w:rsid w:val="00A86F80"/>
    <w:rsid w:val="00A90C2B"/>
    <w:rsid w:val="00A917B3"/>
    <w:rsid w:val="00AB4B51"/>
    <w:rsid w:val="00AD065D"/>
    <w:rsid w:val="00AE5F3B"/>
    <w:rsid w:val="00B056F9"/>
    <w:rsid w:val="00B10CC7"/>
    <w:rsid w:val="00B151B3"/>
    <w:rsid w:val="00B4153B"/>
    <w:rsid w:val="00B45321"/>
    <w:rsid w:val="00B47528"/>
    <w:rsid w:val="00B539E7"/>
    <w:rsid w:val="00B563EB"/>
    <w:rsid w:val="00B569EA"/>
    <w:rsid w:val="00B62458"/>
    <w:rsid w:val="00B65A46"/>
    <w:rsid w:val="00B7218A"/>
    <w:rsid w:val="00B75720"/>
    <w:rsid w:val="00B80A93"/>
    <w:rsid w:val="00BC3E2F"/>
    <w:rsid w:val="00BC501A"/>
    <w:rsid w:val="00BD33EE"/>
    <w:rsid w:val="00BF2E5C"/>
    <w:rsid w:val="00C106D6"/>
    <w:rsid w:val="00C4227A"/>
    <w:rsid w:val="00C60F0C"/>
    <w:rsid w:val="00C66B36"/>
    <w:rsid w:val="00C805C9"/>
    <w:rsid w:val="00C845B3"/>
    <w:rsid w:val="00C90991"/>
    <w:rsid w:val="00C92939"/>
    <w:rsid w:val="00C9553A"/>
    <w:rsid w:val="00CA1679"/>
    <w:rsid w:val="00CB151C"/>
    <w:rsid w:val="00CB242B"/>
    <w:rsid w:val="00CD4A7F"/>
    <w:rsid w:val="00CD5870"/>
    <w:rsid w:val="00CE5A1A"/>
    <w:rsid w:val="00CF55F6"/>
    <w:rsid w:val="00CF728D"/>
    <w:rsid w:val="00D04407"/>
    <w:rsid w:val="00D33D63"/>
    <w:rsid w:val="00D354A4"/>
    <w:rsid w:val="00D4778E"/>
    <w:rsid w:val="00D54B73"/>
    <w:rsid w:val="00D6116D"/>
    <w:rsid w:val="00D63D6C"/>
    <w:rsid w:val="00D6569A"/>
    <w:rsid w:val="00D669F5"/>
    <w:rsid w:val="00D82740"/>
    <w:rsid w:val="00D90138"/>
    <w:rsid w:val="00DC22E1"/>
    <w:rsid w:val="00DC48B4"/>
    <w:rsid w:val="00E1416F"/>
    <w:rsid w:val="00E31CF9"/>
    <w:rsid w:val="00E47565"/>
    <w:rsid w:val="00E56EE3"/>
    <w:rsid w:val="00E73F76"/>
    <w:rsid w:val="00E86371"/>
    <w:rsid w:val="00E966A8"/>
    <w:rsid w:val="00EA2C9F"/>
    <w:rsid w:val="00EC25E8"/>
    <w:rsid w:val="00ED0BDA"/>
    <w:rsid w:val="00EE7654"/>
    <w:rsid w:val="00EF1360"/>
    <w:rsid w:val="00EF3220"/>
    <w:rsid w:val="00EF4851"/>
    <w:rsid w:val="00F43810"/>
    <w:rsid w:val="00F444F7"/>
    <w:rsid w:val="00F47FB4"/>
    <w:rsid w:val="00F57CC6"/>
    <w:rsid w:val="00F63772"/>
    <w:rsid w:val="00F76A49"/>
    <w:rsid w:val="00F9377E"/>
    <w:rsid w:val="00F94155"/>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6E1CF"/>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227A"/>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C4227A"/>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C4227A"/>
    <w:pPr>
      <w:keepNext/>
      <w:outlineLvl w:val="1"/>
    </w:pPr>
    <w:rPr>
      <w:rFonts w:cs="Arial"/>
      <w:bCs/>
      <w:iCs/>
      <w:szCs w:val="28"/>
    </w:rPr>
  </w:style>
  <w:style w:type="paragraph" w:styleId="Heading3">
    <w:name w:val="heading 3"/>
    <w:basedOn w:val="Normal"/>
    <w:next w:val="Normal"/>
    <w:semiHidden/>
    <w:rsid w:val="00C4227A"/>
    <w:pPr>
      <w:keepNext/>
      <w:spacing w:before="240" w:after="60"/>
      <w:outlineLvl w:val="2"/>
    </w:pPr>
    <w:rPr>
      <w:rFonts w:ascii="Arial" w:hAnsi="Arial" w:cs="Arial"/>
      <w:b/>
      <w:bCs/>
      <w:sz w:val="26"/>
      <w:szCs w:val="26"/>
    </w:rPr>
  </w:style>
  <w:style w:type="paragraph" w:styleId="Heading4">
    <w:name w:val="heading 4"/>
    <w:basedOn w:val="Normal"/>
    <w:next w:val="Normal"/>
    <w:semiHidden/>
    <w:rsid w:val="00C4227A"/>
    <w:pPr>
      <w:keepNext/>
      <w:spacing w:before="240" w:after="60"/>
      <w:outlineLvl w:val="3"/>
    </w:pPr>
    <w:rPr>
      <w:b/>
      <w:bCs/>
      <w:sz w:val="28"/>
      <w:szCs w:val="28"/>
    </w:rPr>
  </w:style>
  <w:style w:type="paragraph" w:styleId="Heading5">
    <w:name w:val="heading 5"/>
    <w:basedOn w:val="Normal"/>
    <w:next w:val="Normal"/>
    <w:semiHidden/>
    <w:rsid w:val="00C4227A"/>
    <w:pPr>
      <w:spacing w:before="240" w:after="60"/>
      <w:outlineLvl w:val="4"/>
    </w:pPr>
    <w:rPr>
      <w:b/>
      <w:bCs/>
      <w:i/>
      <w:iCs/>
      <w:sz w:val="26"/>
      <w:szCs w:val="26"/>
    </w:rPr>
  </w:style>
  <w:style w:type="paragraph" w:styleId="Heading6">
    <w:name w:val="heading 6"/>
    <w:basedOn w:val="Normal"/>
    <w:next w:val="Normal"/>
    <w:semiHidden/>
    <w:rsid w:val="00C4227A"/>
    <w:pPr>
      <w:spacing w:before="240" w:after="60"/>
      <w:outlineLvl w:val="5"/>
    </w:pPr>
    <w:rPr>
      <w:b/>
      <w:bCs/>
      <w:sz w:val="22"/>
      <w:szCs w:val="22"/>
    </w:rPr>
  </w:style>
  <w:style w:type="paragraph" w:styleId="Heading7">
    <w:name w:val="heading 7"/>
    <w:basedOn w:val="Normal"/>
    <w:next w:val="Normal"/>
    <w:semiHidden/>
    <w:rsid w:val="00C4227A"/>
    <w:pPr>
      <w:spacing w:before="240" w:after="60"/>
      <w:outlineLvl w:val="6"/>
    </w:pPr>
    <w:rPr>
      <w:sz w:val="24"/>
      <w:szCs w:val="24"/>
    </w:rPr>
  </w:style>
  <w:style w:type="paragraph" w:styleId="Heading8">
    <w:name w:val="heading 8"/>
    <w:basedOn w:val="Normal"/>
    <w:next w:val="Normal"/>
    <w:semiHidden/>
    <w:rsid w:val="00C4227A"/>
    <w:pPr>
      <w:spacing w:before="240" w:after="60"/>
      <w:outlineLvl w:val="7"/>
    </w:pPr>
    <w:rPr>
      <w:i/>
      <w:iCs/>
      <w:sz w:val="24"/>
      <w:szCs w:val="24"/>
    </w:rPr>
  </w:style>
  <w:style w:type="paragraph" w:styleId="Heading9">
    <w:name w:val="heading 9"/>
    <w:basedOn w:val="Normal"/>
    <w:next w:val="Normal"/>
    <w:semiHidden/>
    <w:rsid w:val="00C4227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C4227A"/>
    <w:rPr>
      <w:rFonts w:ascii="Times New Roman" w:hAnsi="Times New Roman"/>
      <w:sz w:val="18"/>
      <w:vertAlign w:val="superscript"/>
    </w:rPr>
  </w:style>
  <w:style w:type="paragraph" w:customStyle="1" w:styleId="HMG">
    <w:name w:val="_ H __M_G"/>
    <w:basedOn w:val="Normal"/>
    <w:next w:val="Normal"/>
    <w:link w:val="HMGChar"/>
    <w:qFormat/>
    <w:rsid w:val="00C4227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C4227A"/>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C4227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C4227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4227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4227A"/>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C4227A"/>
    <w:pPr>
      <w:pBdr>
        <w:bottom w:val="single" w:sz="4" w:space="4" w:color="auto"/>
      </w:pBdr>
      <w:spacing w:line="240" w:lineRule="auto"/>
    </w:pPr>
    <w:rPr>
      <w:b/>
      <w:sz w:val="18"/>
    </w:rPr>
  </w:style>
  <w:style w:type="paragraph" w:customStyle="1" w:styleId="SingleTxtG">
    <w:name w:val="_ Single Txt_G"/>
    <w:basedOn w:val="Normal"/>
    <w:link w:val="SingleTxtGChar"/>
    <w:qFormat/>
    <w:rsid w:val="00C4227A"/>
    <w:pPr>
      <w:tabs>
        <w:tab w:val="left" w:pos="1701"/>
        <w:tab w:val="left" w:pos="2268"/>
        <w:tab w:val="left" w:pos="2835"/>
      </w:tabs>
      <w:spacing w:after="120"/>
      <w:ind w:left="1134" w:right="1134"/>
      <w:jc w:val="both"/>
    </w:pPr>
  </w:style>
  <w:style w:type="paragraph" w:customStyle="1" w:styleId="SMG">
    <w:name w:val="__S_M_G"/>
    <w:basedOn w:val="Normal"/>
    <w:next w:val="Normal"/>
    <w:rsid w:val="00C4227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4227A"/>
    <w:pPr>
      <w:keepNext/>
      <w:keepLines/>
      <w:spacing w:before="240" w:after="240" w:line="580" w:lineRule="exact"/>
      <w:ind w:left="1134" w:right="1134"/>
    </w:pPr>
    <w:rPr>
      <w:b/>
      <w:sz w:val="56"/>
    </w:rPr>
  </w:style>
  <w:style w:type="paragraph" w:customStyle="1" w:styleId="SSG">
    <w:name w:val="__S_S_G"/>
    <w:basedOn w:val="Normal"/>
    <w:next w:val="Normal"/>
    <w:rsid w:val="00C4227A"/>
    <w:pPr>
      <w:keepNext/>
      <w:keepLines/>
      <w:spacing w:before="240" w:after="240" w:line="300" w:lineRule="exact"/>
      <w:ind w:left="1134" w:right="1134"/>
    </w:pPr>
    <w:rPr>
      <w:b/>
      <w:sz w:val="28"/>
    </w:rPr>
  </w:style>
  <w:style w:type="paragraph" w:styleId="Footer">
    <w:name w:val="footer"/>
    <w:aliases w:val="3_G"/>
    <w:basedOn w:val="Normal"/>
    <w:next w:val="Normal"/>
    <w:qFormat/>
    <w:rsid w:val="00C4227A"/>
    <w:rPr>
      <w:sz w:val="16"/>
    </w:rPr>
  </w:style>
  <w:style w:type="paragraph" w:customStyle="1" w:styleId="XLargeG">
    <w:name w:val="__XLarge_G"/>
    <w:basedOn w:val="Normal"/>
    <w:next w:val="Normal"/>
    <w:rsid w:val="00C4227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4227A"/>
    <w:pPr>
      <w:tabs>
        <w:tab w:val="right" w:pos="1021"/>
      </w:tabs>
      <w:spacing w:line="220" w:lineRule="exact"/>
      <w:ind w:left="1134" w:right="1134" w:hanging="1134"/>
    </w:pPr>
    <w:rPr>
      <w:sz w:val="18"/>
    </w:rPr>
  </w:style>
  <w:style w:type="table" w:styleId="TableGrid">
    <w:name w:val="Table Grid"/>
    <w:basedOn w:val="TableNormal"/>
    <w:rsid w:val="00C4227A"/>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4227A"/>
    <w:pPr>
      <w:numPr>
        <w:numId w:val="1"/>
      </w:numPr>
    </w:pPr>
  </w:style>
  <w:style w:type="numbering" w:styleId="1ai">
    <w:name w:val="Outline List 1"/>
    <w:basedOn w:val="NoList"/>
    <w:semiHidden/>
    <w:rsid w:val="00C4227A"/>
    <w:pPr>
      <w:numPr>
        <w:numId w:val="2"/>
      </w:numPr>
    </w:pPr>
  </w:style>
  <w:style w:type="character" w:styleId="HTMLAcronym">
    <w:name w:val="HTML Acronym"/>
    <w:basedOn w:val="DefaultParagraphFont"/>
    <w:semiHidden/>
    <w:rsid w:val="00C4227A"/>
  </w:style>
  <w:style w:type="numbering" w:styleId="ArticleSection">
    <w:name w:val="Outline List 3"/>
    <w:basedOn w:val="NoList"/>
    <w:semiHidden/>
    <w:rsid w:val="00C4227A"/>
    <w:pPr>
      <w:numPr>
        <w:numId w:val="3"/>
      </w:numPr>
    </w:pPr>
  </w:style>
  <w:style w:type="paragraph" w:styleId="Closing">
    <w:name w:val="Closing"/>
    <w:basedOn w:val="Normal"/>
    <w:semiHidden/>
    <w:rsid w:val="00C4227A"/>
    <w:pPr>
      <w:ind w:left="4252"/>
    </w:pPr>
  </w:style>
  <w:style w:type="character" w:styleId="HTMLCite">
    <w:name w:val="HTML Cite"/>
    <w:semiHidden/>
    <w:rsid w:val="00C4227A"/>
    <w:rPr>
      <w:i/>
      <w:iCs/>
    </w:rPr>
  </w:style>
  <w:style w:type="character" w:styleId="HTMLCode">
    <w:name w:val="HTML Code"/>
    <w:semiHidden/>
    <w:rsid w:val="00C4227A"/>
    <w:rPr>
      <w:rFonts w:ascii="Courier New" w:hAnsi="Courier New" w:cs="Courier New"/>
      <w:sz w:val="20"/>
      <w:szCs w:val="20"/>
    </w:rPr>
  </w:style>
  <w:style w:type="paragraph" w:styleId="ListContinue">
    <w:name w:val="List Continue"/>
    <w:basedOn w:val="Normal"/>
    <w:semiHidden/>
    <w:rsid w:val="00C4227A"/>
    <w:pPr>
      <w:spacing w:after="120"/>
      <w:ind w:left="283"/>
    </w:pPr>
  </w:style>
  <w:style w:type="paragraph" w:styleId="ListContinue2">
    <w:name w:val="List Continue 2"/>
    <w:basedOn w:val="Normal"/>
    <w:semiHidden/>
    <w:rsid w:val="00C4227A"/>
    <w:pPr>
      <w:spacing w:after="120"/>
      <w:ind w:left="566"/>
    </w:pPr>
  </w:style>
  <w:style w:type="paragraph" w:styleId="ListContinue3">
    <w:name w:val="List Continue 3"/>
    <w:basedOn w:val="Normal"/>
    <w:semiHidden/>
    <w:rsid w:val="00C4227A"/>
    <w:pPr>
      <w:spacing w:after="120"/>
      <w:ind w:left="849"/>
    </w:pPr>
  </w:style>
  <w:style w:type="paragraph" w:styleId="ListContinue4">
    <w:name w:val="List Continue 4"/>
    <w:basedOn w:val="Normal"/>
    <w:semiHidden/>
    <w:rsid w:val="00C4227A"/>
    <w:pPr>
      <w:spacing w:after="120"/>
      <w:ind w:left="1132"/>
    </w:pPr>
  </w:style>
  <w:style w:type="paragraph" w:styleId="ListContinue5">
    <w:name w:val="List Continue 5"/>
    <w:basedOn w:val="Normal"/>
    <w:semiHidden/>
    <w:rsid w:val="00C4227A"/>
    <w:pPr>
      <w:spacing w:after="120"/>
      <w:ind w:left="1415"/>
    </w:pPr>
  </w:style>
  <w:style w:type="character" w:styleId="HTMLDefinition">
    <w:name w:val="HTML Definition"/>
    <w:semiHidden/>
    <w:rsid w:val="00C4227A"/>
    <w:rPr>
      <w:i/>
      <w:iCs/>
    </w:rPr>
  </w:style>
  <w:style w:type="paragraph" w:styleId="HTMLAddress">
    <w:name w:val="HTML Address"/>
    <w:basedOn w:val="Normal"/>
    <w:semiHidden/>
    <w:rsid w:val="00C4227A"/>
    <w:rPr>
      <w:i/>
      <w:iCs/>
    </w:rPr>
  </w:style>
  <w:style w:type="paragraph" w:styleId="EnvelopeAddress">
    <w:name w:val="envelope address"/>
    <w:basedOn w:val="Normal"/>
    <w:semiHidden/>
    <w:rsid w:val="00C4227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4227A"/>
    <w:rPr>
      <w:rFonts w:ascii="Courier New" w:hAnsi="Courier New" w:cs="Courier New"/>
    </w:rPr>
  </w:style>
  <w:style w:type="paragraph" w:styleId="MessageHeader">
    <w:name w:val="Message Header"/>
    <w:basedOn w:val="Normal"/>
    <w:semiHidden/>
    <w:rsid w:val="00C4227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4227A"/>
  </w:style>
  <w:style w:type="character" w:styleId="Emphasis">
    <w:name w:val="Emphasis"/>
    <w:semiHidden/>
    <w:rsid w:val="00C4227A"/>
    <w:rPr>
      <w:i/>
      <w:iCs/>
    </w:rPr>
  </w:style>
  <w:style w:type="paragraph" w:styleId="Date">
    <w:name w:val="Date"/>
    <w:basedOn w:val="Normal"/>
    <w:next w:val="Normal"/>
    <w:semiHidden/>
    <w:rsid w:val="00C4227A"/>
  </w:style>
  <w:style w:type="paragraph" w:styleId="Signature">
    <w:name w:val="Signature"/>
    <w:basedOn w:val="Normal"/>
    <w:semiHidden/>
    <w:rsid w:val="00C4227A"/>
    <w:pPr>
      <w:ind w:left="4252"/>
    </w:pPr>
  </w:style>
  <w:style w:type="paragraph" w:styleId="E-mailSignature">
    <w:name w:val="E-mail Signature"/>
    <w:basedOn w:val="Normal"/>
    <w:semiHidden/>
    <w:rsid w:val="00C4227A"/>
  </w:style>
  <w:style w:type="character" w:styleId="Hyperlink">
    <w:name w:val="Hyperlink"/>
    <w:rsid w:val="00C4227A"/>
    <w:rPr>
      <w:color w:val="0000FF"/>
      <w:u w:val="none"/>
    </w:rPr>
  </w:style>
  <w:style w:type="character" w:styleId="FollowedHyperlink">
    <w:name w:val="FollowedHyperlink"/>
    <w:rsid w:val="00C4227A"/>
    <w:rPr>
      <w:color w:val="0000FF"/>
      <w:u w:val="none"/>
    </w:rPr>
  </w:style>
  <w:style w:type="paragraph" w:styleId="HTMLPreformatted">
    <w:name w:val="HTML Preformatted"/>
    <w:basedOn w:val="Normal"/>
    <w:semiHidden/>
    <w:rsid w:val="00C4227A"/>
    <w:rPr>
      <w:rFonts w:ascii="Courier New" w:hAnsi="Courier New" w:cs="Courier New"/>
    </w:rPr>
  </w:style>
  <w:style w:type="paragraph" w:styleId="List">
    <w:name w:val="List"/>
    <w:basedOn w:val="Normal"/>
    <w:semiHidden/>
    <w:rsid w:val="00C4227A"/>
    <w:pPr>
      <w:ind w:left="283" w:hanging="283"/>
    </w:pPr>
  </w:style>
  <w:style w:type="paragraph" w:styleId="List2">
    <w:name w:val="List 2"/>
    <w:basedOn w:val="Normal"/>
    <w:semiHidden/>
    <w:rsid w:val="00C4227A"/>
    <w:pPr>
      <w:ind w:left="566" w:hanging="283"/>
    </w:pPr>
  </w:style>
  <w:style w:type="paragraph" w:styleId="List3">
    <w:name w:val="List 3"/>
    <w:basedOn w:val="Normal"/>
    <w:semiHidden/>
    <w:rsid w:val="00C4227A"/>
    <w:pPr>
      <w:ind w:left="849" w:hanging="283"/>
    </w:pPr>
  </w:style>
  <w:style w:type="paragraph" w:styleId="List4">
    <w:name w:val="List 4"/>
    <w:basedOn w:val="Normal"/>
    <w:semiHidden/>
    <w:rsid w:val="00C4227A"/>
    <w:pPr>
      <w:ind w:left="1132" w:hanging="283"/>
    </w:pPr>
  </w:style>
  <w:style w:type="paragraph" w:styleId="List5">
    <w:name w:val="List 5"/>
    <w:basedOn w:val="Normal"/>
    <w:semiHidden/>
    <w:rsid w:val="00C4227A"/>
    <w:pPr>
      <w:ind w:left="1415" w:hanging="283"/>
    </w:pPr>
  </w:style>
  <w:style w:type="paragraph" w:styleId="ListNumber">
    <w:name w:val="List Number"/>
    <w:basedOn w:val="Normal"/>
    <w:semiHidden/>
    <w:rsid w:val="00C4227A"/>
    <w:pPr>
      <w:numPr>
        <w:numId w:val="11"/>
      </w:numPr>
    </w:pPr>
  </w:style>
  <w:style w:type="paragraph" w:styleId="ListNumber2">
    <w:name w:val="List Number 2"/>
    <w:basedOn w:val="Normal"/>
    <w:semiHidden/>
    <w:rsid w:val="00C4227A"/>
    <w:pPr>
      <w:numPr>
        <w:numId w:val="12"/>
      </w:numPr>
    </w:pPr>
  </w:style>
  <w:style w:type="paragraph" w:styleId="ListNumber3">
    <w:name w:val="List Number 3"/>
    <w:basedOn w:val="Normal"/>
    <w:semiHidden/>
    <w:rsid w:val="00C4227A"/>
    <w:pPr>
      <w:numPr>
        <w:numId w:val="13"/>
      </w:numPr>
    </w:pPr>
  </w:style>
  <w:style w:type="paragraph" w:styleId="ListNumber4">
    <w:name w:val="List Number 4"/>
    <w:basedOn w:val="Normal"/>
    <w:semiHidden/>
    <w:rsid w:val="00C4227A"/>
    <w:pPr>
      <w:numPr>
        <w:numId w:val="14"/>
      </w:numPr>
    </w:pPr>
  </w:style>
  <w:style w:type="paragraph" w:styleId="ListNumber5">
    <w:name w:val="List Number 5"/>
    <w:basedOn w:val="Normal"/>
    <w:semiHidden/>
    <w:rsid w:val="00C4227A"/>
    <w:pPr>
      <w:numPr>
        <w:numId w:val="15"/>
      </w:numPr>
    </w:pPr>
  </w:style>
  <w:style w:type="paragraph" w:styleId="ListBullet">
    <w:name w:val="List Bullet"/>
    <w:basedOn w:val="Normal"/>
    <w:semiHidden/>
    <w:rsid w:val="00C4227A"/>
    <w:pPr>
      <w:numPr>
        <w:numId w:val="6"/>
      </w:numPr>
    </w:pPr>
  </w:style>
  <w:style w:type="paragraph" w:styleId="ListBullet2">
    <w:name w:val="List Bullet 2"/>
    <w:basedOn w:val="Normal"/>
    <w:semiHidden/>
    <w:rsid w:val="00C4227A"/>
    <w:pPr>
      <w:numPr>
        <w:numId w:val="7"/>
      </w:numPr>
    </w:pPr>
  </w:style>
  <w:style w:type="paragraph" w:styleId="ListBullet3">
    <w:name w:val="List Bullet 3"/>
    <w:basedOn w:val="Normal"/>
    <w:semiHidden/>
    <w:rsid w:val="00C4227A"/>
    <w:pPr>
      <w:numPr>
        <w:numId w:val="8"/>
      </w:numPr>
    </w:pPr>
  </w:style>
  <w:style w:type="paragraph" w:styleId="ListBullet4">
    <w:name w:val="List Bullet 4"/>
    <w:basedOn w:val="Normal"/>
    <w:semiHidden/>
    <w:rsid w:val="00C4227A"/>
    <w:pPr>
      <w:numPr>
        <w:numId w:val="9"/>
      </w:numPr>
    </w:pPr>
  </w:style>
  <w:style w:type="paragraph" w:styleId="ListBullet5">
    <w:name w:val="List Bullet 5"/>
    <w:basedOn w:val="Normal"/>
    <w:semiHidden/>
    <w:rsid w:val="00C4227A"/>
    <w:pPr>
      <w:numPr>
        <w:numId w:val="10"/>
      </w:numPr>
    </w:pPr>
  </w:style>
  <w:style w:type="character" w:styleId="HTMLTypewriter">
    <w:name w:val="HTML Typewriter"/>
    <w:semiHidden/>
    <w:rsid w:val="00C4227A"/>
    <w:rPr>
      <w:rFonts w:ascii="Courier New" w:hAnsi="Courier New" w:cs="Courier New"/>
      <w:sz w:val="20"/>
      <w:szCs w:val="20"/>
    </w:rPr>
  </w:style>
  <w:style w:type="paragraph" w:styleId="NormalWeb">
    <w:name w:val="Normal (Web)"/>
    <w:basedOn w:val="Normal"/>
    <w:semiHidden/>
    <w:rsid w:val="00C4227A"/>
    <w:rPr>
      <w:sz w:val="24"/>
      <w:szCs w:val="24"/>
    </w:rPr>
  </w:style>
  <w:style w:type="character" w:styleId="LineNumber">
    <w:name w:val="line number"/>
    <w:basedOn w:val="DefaultParagraphFont"/>
    <w:semiHidden/>
    <w:rsid w:val="00C4227A"/>
  </w:style>
  <w:style w:type="character" w:styleId="PageNumber">
    <w:name w:val="page number"/>
    <w:aliases w:val="7_G"/>
    <w:qFormat/>
    <w:rsid w:val="00C4227A"/>
    <w:rPr>
      <w:b/>
      <w:sz w:val="18"/>
    </w:rPr>
  </w:style>
  <w:style w:type="character" w:styleId="EndnoteReference">
    <w:name w:val="endnote reference"/>
    <w:aliases w:val="1_G"/>
    <w:qFormat/>
    <w:rsid w:val="00C4227A"/>
    <w:rPr>
      <w:rFonts w:ascii="Times New Roman" w:hAnsi="Times New Roman"/>
      <w:sz w:val="18"/>
      <w:vertAlign w:val="superscript"/>
    </w:rPr>
  </w:style>
  <w:style w:type="paragraph" w:styleId="EnvelopeReturn">
    <w:name w:val="envelope return"/>
    <w:basedOn w:val="Normal"/>
    <w:semiHidden/>
    <w:rsid w:val="00C4227A"/>
    <w:rPr>
      <w:rFonts w:ascii="Arial" w:hAnsi="Arial" w:cs="Arial"/>
    </w:rPr>
  </w:style>
  <w:style w:type="paragraph" w:styleId="Salutation">
    <w:name w:val="Salutation"/>
    <w:basedOn w:val="Normal"/>
    <w:next w:val="Normal"/>
    <w:semiHidden/>
    <w:rsid w:val="00C4227A"/>
  </w:style>
  <w:style w:type="paragraph" w:styleId="BodyTextIndent2">
    <w:name w:val="Body Text Indent 2"/>
    <w:basedOn w:val="Normal"/>
    <w:semiHidden/>
    <w:rsid w:val="00C4227A"/>
    <w:pPr>
      <w:spacing w:after="120" w:line="480" w:lineRule="auto"/>
      <w:ind w:left="283"/>
    </w:pPr>
  </w:style>
  <w:style w:type="paragraph" w:styleId="BodyTextIndent3">
    <w:name w:val="Body Text Indent 3"/>
    <w:basedOn w:val="Normal"/>
    <w:semiHidden/>
    <w:rsid w:val="00C4227A"/>
    <w:pPr>
      <w:spacing w:after="120"/>
      <w:ind w:left="283"/>
    </w:pPr>
    <w:rPr>
      <w:sz w:val="16"/>
      <w:szCs w:val="16"/>
    </w:rPr>
  </w:style>
  <w:style w:type="paragraph" w:styleId="BodyTextIndent">
    <w:name w:val="Body Text Indent"/>
    <w:basedOn w:val="Normal"/>
    <w:semiHidden/>
    <w:rsid w:val="00C4227A"/>
    <w:pPr>
      <w:spacing w:after="120"/>
      <w:ind w:left="283"/>
    </w:pPr>
  </w:style>
  <w:style w:type="paragraph" w:styleId="NormalIndent">
    <w:name w:val="Normal Indent"/>
    <w:basedOn w:val="Normal"/>
    <w:semiHidden/>
    <w:rsid w:val="00C4227A"/>
    <w:pPr>
      <w:ind w:left="567"/>
    </w:pPr>
  </w:style>
  <w:style w:type="paragraph" w:styleId="Subtitle">
    <w:name w:val="Subtitle"/>
    <w:basedOn w:val="Normal"/>
    <w:semiHidden/>
    <w:rsid w:val="00C4227A"/>
    <w:pPr>
      <w:spacing w:after="60"/>
      <w:jc w:val="center"/>
      <w:outlineLvl w:val="1"/>
    </w:pPr>
    <w:rPr>
      <w:rFonts w:ascii="Arial" w:hAnsi="Arial" w:cs="Arial"/>
      <w:sz w:val="24"/>
      <w:szCs w:val="24"/>
    </w:rPr>
  </w:style>
  <w:style w:type="table" w:styleId="TableSimple1">
    <w:name w:val="Table Simple 1"/>
    <w:basedOn w:val="TableNormal"/>
    <w:semiHidden/>
    <w:rsid w:val="00C4227A"/>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4227A"/>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4227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4227A"/>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4227A"/>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4227A"/>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4227A"/>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4227A"/>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4227A"/>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4227A"/>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4227A"/>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4227A"/>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4227A"/>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4227A"/>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4227A"/>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4227A"/>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4227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4227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4227A"/>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4227A"/>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4227A"/>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4227A"/>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4227A"/>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4227A"/>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4227A"/>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4227A"/>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4227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4227A"/>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4227A"/>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4227A"/>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4227A"/>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4227A"/>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4227A"/>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4227A"/>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4227A"/>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4227A"/>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4227A"/>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4227A"/>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4227A"/>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4227A"/>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4227A"/>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4227A"/>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4227A"/>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4227A"/>
    <w:rPr>
      <w:rFonts w:ascii="Courier New" w:hAnsi="Courier New" w:cs="Courier New"/>
      <w:sz w:val="20"/>
      <w:szCs w:val="20"/>
    </w:rPr>
  </w:style>
  <w:style w:type="paragraph" w:styleId="BlockText">
    <w:name w:val="Block Text"/>
    <w:basedOn w:val="Normal"/>
    <w:semiHidden/>
    <w:rsid w:val="00C4227A"/>
    <w:pPr>
      <w:spacing w:after="120"/>
      <w:ind w:left="1440" w:right="1440"/>
    </w:pPr>
  </w:style>
  <w:style w:type="character" w:styleId="Strong">
    <w:name w:val="Strong"/>
    <w:semiHidden/>
    <w:rsid w:val="00C4227A"/>
    <w:rPr>
      <w:b/>
      <w:bCs/>
    </w:rPr>
  </w:style>
  <w:style w:type="paragraph" w:styleId="BodyText">
    <w:name w:val="Body Text"/>
    <w:basedOn w:val="Normal"/>
    <w:semiHidden/>
    <w:rsid w:val="00C4227A"/>
    <w:pPr>
      <w:spacing w:after="120"/>
    </w:pPr>
  </w:style>
  <w:style w:type="paragraph" w:styleId="BodyText2">
    <w:name w:val="Body Text 2"/>
    <w:basedOn w:val="Normal"/>
    <w:semiHidden/>
    <w:rsid w:val="00C4227A"/>
    <w:pPr>
      <w:spacing w:after="120" w:line="480" w:lineRule="auto"/>
    </w:pPr>
  </w:style>
  <w:style w:type="paragraph" w:styleId="BodyText3">
    <w:name w:val="Body Text 3"/>
    <w:basedOn w:val="Normal"/>
    <w:semiHidden/>
    <w:rsid w:val="00C4227A"/>
    <w:pPr>
      <w:spacing w:after="120"/>
    </w:pPr>
    <w:rPr>
      <w:sz w:val="16"/>
      <w:szCs w:val="16"/>
    </w:rPr>
  </w:style>
  <w:style w:type="paragraph" w:styleId="BodyTextFirstIndent">
    <w:name w:val="Body Text First Indent"/>
    <w:basedOn w:val="BodyText"/>
    <w:semiHidden/>
    <w:rsid w:val="00C4227A"/>
    <w:pPr>
      <w:ind w:firstLine="210"/>
    </w:pPr>
  </w:style>
  <w:style w:type="paragraph" w:styleId="BodyTextFirstIndent2">
    <w:name w:val="Body Text First Indent 2"/>
    <w:basedOn w:val="BodyTextIndent"/>
    <w:semiHidden/>
    <w:rsid w:val="00C4227A"/>
    <w:pPr>
      <w:ind w:firstLine="210"/>
    </w:pPr>
  </w:style>
  <w:style w:type="paragraph" w:styleId="EndnoteText">
    <w:name w:val="endnote text"/>
    <w:aliases w:val="2_G"/>
    <w:basedOn w:val="FootnoteText"/>
    <w:qFormat/>
    <w:rsid w:val="00C4227A"/>
  </w:style>
  <w:style w:type="paragraph" w:styleId="PlainText">
    <w:name w:val="Plain Text"/>
    <w:basedOn w:val="Normal"/>
    <w:semiHidden/>
    <w:rsid w:val="00C4227A"/>
    <w:rPr>
      <w:rFonts w:ascii="Courier New" w:hAnsi="Courier New" w:cs="Courier New"/>
    </w:rPr>
  </w:style>
  <w:style w:type="paragraph" w:styleId="Title">
    <w:name w:val="Title"/>
    <w:basedOn w:val="Normal"/>
    <w:semiHidden/>
    <w:rsid w:val="00C4227A"/>
    <w:pPr>
      <w:spacing w:before="240" w:after="60"/>
      <w:jc w:val="center"/>
      <w:outlineLvl w:val="0"/>
    </w:pPr>
    <w:rPr>
      <w:rFonts w:ascii="Arial" w:hAnsi="Arial" w:cs="Arial"/>
      <w:b/>
      <w:bCs/>
      <w:kern w:val="28"/>
      <w:sz w:val="32"/>
      <w:szCs w:val="32"/>
    </w:rPr>
  </w:style>
  <w:style w:type="character" w:styleId="HTMLVariable">
    <w:name w:val="HTML Variable"/>
    <w:semiHidden/>
    <w:rsid w:val="00C4227A"/>
    <w:rPr>
      <w:i/>
      <w:iCs/>
    </w:rPr>
  </w:style>
  <w:style w:type="paragraph" w:customStyle="1" w:styleId="Bullet1G">
    <w:name w:val="_Bullet 1_G"/>
    <w:basedOn w:val="Normal"/>
    <w:qFormat/>
    <w:rsid w:val="00C4227A"/>
    <w:pPr>
      <w:numPr>
        <w:numId w:val="4"/>
      </w:numPr>
      <w:spacing w:after="120"/>
      <w:ind w:right="1134"/>
      <w:jc w:val="both"/>
    </w:pPr>
    <w:rPr>
      <w:lang w:eastAsia="en-US"/>
    </w:rPr>
  </w:style>
  <w:style w:type="paragraph" w:customStyle="1" w:styleId="Bullet2G">
    <w:name w:val="_Bullet 2_G"/>
    <w:basedOn w:val="Normal"/>
    <w:qFormat/>
    <w:rsid w:val="00C4227A"/>
    <w:pPr>
      <w:numPr>
        <w:numId w:val="5"/>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C4227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C4227A"/>
    <w:rPr>
      <w:rFonts w:eastAsiaTheme="minorEastAsia"/>
      <w:b/>
      <w:bCs/>
      <w:i/>
      <w:iCs/>
      <w:color w:val="4F81BD"/>
      <w:lang w:val="es-ES" w:eastAsia="es-ES"/>
    </w:rPr>
  </w:style>
  <w:style w:type="character" w:styleId="IntenseEmphasis">
    <w:name w:val="Intense Emphasis"/>
    <w:uiPriority w:val="21"/>
    <w:semiHidden/>
    <w:rsid w:val="00C4227A"/>
    <w:rPr>
      <w:b/>
      <w:bCs/>
      <w:i/>
      <w:iCs/>
      <w:color w:val="4F81BD"/>
    </w:rPr>
  </w:style>
  <w:style w:type="character" w:customStyle="1" w:styleId="Heading1Char">
    <w:name w:val="Heading 1 Char"/>
    <w:aliases w:val="Cuadro_G Char"/>
    <w:basedOn w:val="DefaultParagraphFont"/>
    <w:link w:val="Heading1"/>
    <w:rsid w:val="00C4227A"/>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3E46D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B7E30"/>
    <w:rPr>
      <w:rFonts w:eastAsiaTheme="minorEastAsia"/>
      <w:lang w:val="es-ES" w:eastAsia="es-ES"/>
    </w:rPr>
  </w:style>
  <w:style w:type="character" w:customStyle="1" w:styleId="FootnoteTextChar">
    <w:name w:val="Footnote Text Char"/>
    <w:aliases w:val="5_G Char"/>
    <w:link w:val="FootnoteText"/>
    <w:locked/>
    <w:rsid w:val="00B569EA"/>
    <w:rPr>
      <w:rFonts w:eastAsiaTheme="minorEastAsia"/>
      <w:sz w:val="18"/>
      <w:lang w:val="es-ES" w:eastAsia="es-ES"/>
    </w:rPr>
  </w:style>
  <w:style w:type="character" w:customStyle="1" w:styleId="H23GChar">
    <w:name w:val="_ H_2/3_G Char"/>
    <w:link w:val="H23G"/>
    <w:locked/>
    <w:rsid w:val="00917637"/>
    <w:rPr>
      <w:rFonts w:eastAsiaTheme="minorEastAsia"/>
      <w:b/>
      <w:lang w:val="es-ES" w:eastAsia="es-ES"/>
    </w:rPr>
  </w:style>
  <w:style w:type="paragraph" w:styleId="ListParagraph">
    <w:name w:val="List Paragraph"/>
    <w:basedOn w:val="Normal"/>
    <w:uiPriority w:val="34"/>
    <w:qFormat/>
    <w:rsid w:val="00993D99"/>
    <w:pPr>
      <w:spacing w:line="276" w:lineRule="auto"/>
      <w:ind w:left="720"/>
      <w:contextualSpacing/>
    </w:pPr>
    <w:rPr>
      <w:rFonts w:ascii="Arial" w:eastAsia="Arial" w:hAnsi="Arial" w:cs="Arial"/>
      <w:sz w:val="22"/>
      <w:szCs w:val="22"/>
      <w:lang w:val="es" w:eastAsia="es-BO"/>
    </w:rPr>
  </w:style>
  <w:style w:type="character" w:styleId="UnresolvedMention">
    <w:name w:val="Unresolved Mention"/>
    <w:basedOn w:val="DefaultParagraphFont"/>
    <w:uiPriority w:val="99"/>
    <w:semiHidden/>
    <w:unhideWhenUsed/>
    <w:rsid w:val="00993D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ordinadoradelamujer.org.bo/observatorio/archivos/marco/sentencia206_439.pdf"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cs.un.org/es/CEDAW/C/BOL/FCO/7"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cs.un.org/es/CEDAW/C/BOL/CO/7"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comunidad.org.bo/assets/archivos/publicacion/51ff46130a97cc154cd3325d89b0807f.pdf" TargetMode="External"/><Relationship Id="rId13" Type="http://schemas.openxmlformats.org/officeDocument/2006/relationships/hyperlink" Target="https://www.coordinadoradelamujer.org.bo/observatorio/index.php/tematica/3/cifras/3" TargetMode="External"/><Relationship Id="rId18" Type="http://schemas.openxmlformats.org/officeDocument/2006/relationships/hyperlink" Target="https://sl1nk.com/7wc04yl" TargetMode="External"/><Relationship Id="rId26" Type="http://schemas.openxmlformats.org/officeDocument/2006/relationships/hyperlink" Target="https://www.bdp.com.bo/mujeres-productoras-reciben-fuerte-impulso-del-bdp-sam/?utm_source=copilot.com" TargetMode="External"/><Relationship Id="rId3" Type="http://schemas.openxmlformats.org/officeDocument/2006/relationships/hyperlink" Target="https://magistratura.organojudicial.gob.bo/transparencia/" TargetMode="External"/><Relationship Id="rId21" Type="http://schemas.openxmlformats.org/officeDocument/2006/relationships/hyperlink" Target="https://www.mhe.gob.bo/2026/05/07/bolivia-avanza-hacia-una-planificacion-energetica-inclusiva-y-con-igualdad-de-oportunidades/" TargetMode="External"/><Relationship Id="rId7" Type="http://schemas.openxmlformats.org/officeDocument/2006/relationships/hyperlink" Target="https://www.coordinadoradelamujer.org.bo/observatorio/index.php/tematica/3/destacado/3/registro/264" TargetMode="External"/><Relationship Id="rId12" Type="http://schemas.openxmlformats.org/officeDocument/2006/relationships/hyperlink" Target="https://bolivia.un.org/es/299710-historieta-mujeres-extremas" TargetMode="External"/><Relationship Id="rId17" Type="http://schemas.openxmlformats.org/officeDocument/2006/relationships/hyperlink" Target="https://observatorioparidaddemocratica.oep.org.bo/wp-content/uploads/2022/10/REPRE_POLITICA_MUJERE_BOLIVIA-_2009_2021_3.pdf" TargetMode="External"/><Relationship Id="rId25" Type="http://schemas.openxmlformats.org/officeDocument/2006/relationships/hyperlink" Target="https://www.ilo.org/es/resource/news/bolivia-desarrolla-un-plan-de-accion-para-dignificar-el-trabajo-asalariado" TargetMode="External"/><Relationship Id="rId2" Type="http://schemas.openxmlformats.org/officeDocument/2006/relationships/hyperlink" Target="https://magistratura.organojudicial.gob.bo/transparencia/" TargetMode="External"/><Relationship Id="rId16" Type="http://schemas.openxmlformats.org/officeDocument/2006/relationships/hyperlink" Target="https://observatorioparidaddemocratica.oep.org.bo/wp-content/uploads/2021/05/7.pdf" TargetMode="External"/><Relationship Id="rId20" Type="http://schemas.openxmlformats.org/officeDocument/2006/relationships/hyperlink" Target="https://www.mhe.gob.bo/2025/09/10/asociacion-boliviana-de-mujeres-en-energia/" TargetMode="External"/><Relationship Id="rId29" Type="http://schemas.openxmlformats.org/officeDocument/2006/relationships/hyperlink" Target="https://bqlhunvxidqiwtezfiry.supabase.co/storage/v1/object/public/comunicacion/investigacion/evaluacion-de-la-ley-de-reconduccio-comu-zshdi1.pdf" TargetMode="External"/><Relationship Id="rId1" Type="http://schemas.openxmlformats.org/officeDocument/2006/relationships/hyperlink" Target="https://www.bivica.org/files/7083_20250602_FS%20CoTriCEDAW.pdf" TargetMode="External"/><Relationship Id="rId6" Type="http://schemas.openxmlformats.org/officeDocument/2006/relationships/hyperlink" Target="https://www.unicef.org/bolivia/comunicados-prensa/bolivia-pone-en-funcionamiento-su-sistema-de-informacion-de-ninas-ninos-y" TargetMode="External"/><Relationship Id="rId11" Type="http://schemas.openxmlformats.org/officeDocument/2006/relationships/hyperlink" Target="https://www.fiscalia.gob.bo/" TargetMode="External"/><Relationship Id="rId24" Type="http://schemas.openxmlformats.org/officeDocument/2006/relationships/hyperlink" Target="https://www.aps.gob.bo/index.php/component/rsfiles/Vista%20previa?path=UNE%252FDP%252Frenta%252FGenero%2By%2BEdad%252FGenero%2By%2BDepartamento%252F2026%252FFebrero.pdf&amp;Itemid=437" TargetMode="External"/><Relationship Id="rId5" Type="http://schemas.openxmlformats.org/officeDocument/2006/relationships/hyperlink" Target="https://cipca.org.bo/noticias/fortalecimiento-del-pluralismo-juridico-justicia-ordinaria-e-indigena-articulan-acciones-contra-la-violencia-sexual" TargetMode="External"/><Relationship Id="rId15" Type="http://schemas.openxmlformats.org/officeDocument/2006/relationships/hyperlink" Target="https://fuentedirecta.oep.org.bo/noticia/elecciones-generales-candidatas-de-las-nueve-organizaciones-politicas-participaran-en-un-curso-para-enfrentar-la-campana-electoral/" TargetMode="External"/><Relationship Id="rId23" Type="http://schemas.openxmlformats.org/officeDocument/2006/relationships/hyperlink" Target="https://www.gestora.bo/SistemaIntegralPensiones/Aseguramiento/InformacionEstadistica/" TargetMode="External"/><Relationship Id="rId28" Type="http://schemas.openxmlformats.org/officeDocument/2006/relationships/hyperlink" Target="https://www.asfi.gob.bo/sites/default/files/2025-07/Bonos%20sociales%20con%20enfoque%20de%20g%C3%A9nero%20Impulsando%20el%20acceso%20de%20las%20mujeres%20al%20cr%C3%A9dito%20en%20Bolivia.pdf" TargetMode="External"/><Relationship Id="rId10" Type="http://schemas.openxmlformats.org/officeDocument/2006/relationships/hyperlink" Target="https://www.coordinadoradelamujer.org.bo/observatorio/index.php/tematica/2/cifras/2" TargetMode="External"/><Relationship Id="rId19" Type="http://schemas.openxmlformats.org/officeDocument/2006/relationships/hyperlink" Target="https://cancilleria.gob.bo/mre/2025/04/25/21015/" TargetMode="External"/><Relationship Id="rId31" Type="http://schemas.openxmlformats.org/officeDocument/2006/relationships/hyperlink" Target="https://www.defensoria.gob.bo/uploads/files/protocolo-para-la-defensa-de-las-personas-defensoras-de-los-derechos-humanos-y-espacio-civico-como-seguimiento-de-la-declaracion-de-marrakech.pdf" TargetMode="External"/><Relationship Id="rId4" Type="http://schemas.openxmlformats.org/officeDocument/2006/relationships/hyperlink" Target="https://magistratura.organojudicial.gob.bo/wp-content/uploads/2025/04/RENDICION-FINAL-2024.pdf" TargetMode="External"/><Relationship Id="rId9" Type="http://schemas.openxmlformats.org/officeDocument/2006/relationships/hyperlink" Target="https://obscd.mingobierno.gob.bo/sites/default/files/2025-12/Warmi%20Cifras%2010%20%28a%20sept%29.pdf" TargetMode="External"/><Relationship Id="rId14" Type="http://schemas.openxmlformats.org/officeDocument/2006/relationships/hyperlink" Target="https://www.sepmud.gob.bo/INFORME_DE_GESTION_SEPMUD_2021-2025.pdf" TargetMode="External"/><Relationship Id="rId22" Type="http://schemas.openxmlformats.org/officeDocument/2006/relationships/hyperlink" Target="https://seprec.gob.bo/index.php/datos/" TargetMode="External"/><Relationship Id="rId27" Type="http://schemas.openxmlformats.org/officeDocument/2006/relationships/hyperlink" Target="https://www.asfi.gob.bo/sites/default/files/2025-07/Bonos%20sociales%20con%20enfoque%20de%20g%C3%A9nero%20Impulsando%20el%20acceso%20de%20las%20mujeres%20al%20cr%C3%A9dito%20en%20Bolivia.pdf" TargetMode="External"/><Relationship Id="rId30" Type="http://schemas.openxmlformats.org/officeDocument/2006/relationships/hyperlink" Target="https://onumujeresbolivia.exposure.co/bolivia-contara-con-plan-de-accion-de-genero-para-enfrentar-los-efectos-del-cambio-climatico"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2026-07-13T04:57:07+00:00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37B3F-C7E3-4D78-B7E3-6C9329433D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00C6D3-C117-469E-A547-EEAA80D4E14F}">
  <ds:schemaRefs>
    <ds:schemaRef ds:uri="http://schemas.microsoft.com/sharepoint/v3/contenttype/forms"/>
  </ds:schemaRefs>
</ds:datastoreItem>
</file>

<file path=customXml/itemProps3.xml><?xml version="1.0" encoding="utf-8"?>
<ds:datastoreItem xmlns:ds="http://schemas.openxmlformats.org/officeDocument/2006/customXml" ds:itemID="{4850C5FD-6688-40C3-8F80-E453A9468B74}">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4.xml><?xml version="1.0" encoding="utf-8"?>
<ds:datastoreItem xmlns:ds="http://schemas.openxmlformats.org/officeDocument/2006/customXml" ds:itemID="{629846E6-113F-4079-B250-0C5A4620F2F5}">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4</TotalTime>
  <Pages>35</Pages>
  <Words>17685</Words>
  <Characters>96208</Characters>
  <Application>Microsoft Office Word</Application>
  <DocSecurity>0</DocSecurity>
  <Lines>1503</Lines>
  <Paragraphs>453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CEDAW/C/BOL/8</vt:lpstr>
      <vt:lpstr>CAT/C/XXX/Y</vt:lpstr>
      <vt:lpstr>CAT/C/XXX/Y</vt:lpstr>
    </vt:vector>
  </TitlesOfParts>
  <Company>DCM</Company>
  <LinksUpToDate>false</LinksUpToDate>
  <CharactersWithSpaces>113440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CEDAW/C/BOL/8</dc:title>
  <dc:creator>Gloria</dc:creator>
  <cp:lastModifiedBy>Jamila Devi Seerathun</cp:lastModifiedBy>
  <cp:revision>3</cp:revision>
  <cp:lastPrinted>2013-10-24T10:25:00Z</cp:lastPrinted>
  <dcterms:created xsi:type="dcterms:W3CDTF">2026-08-07T06:55:00Z</dcterms:created>
  <dcterms:modified xsi:type="dcterms:W3CDTF">2026-08-07T06:59:00Z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del Estado Plurinacional de Bolivia</vt:lpwstr>
  </property>
  <property fmtid="{D5CDD505-2E9C-101B-9397-08002B2CF9AE}" pid="9" name="countw">
    <vt:lpwstr>Estado Plurinacional de Bolivia</vt:lpwstr>
  </property>
  <property fmtid="{D5CDD505-2E9C-101B-9397-08002B2CF9AE}" pid="10" name="countwd">
    <vt:lpwstr>el Estado Plurinacional de Bolivia</vt:lpwstr>
  </property>
  <property fmtid="{D5CDD505-2E9C-101B-9397-08002B2CF9AE}" pid="11" name="date">
    <vt:lpwstr>28 de agosto de 2026</vt:lpwstr>
  </property>
  <property fmtid="{D5CDD505-2E9C-101B-9397-08002B2CF9AE}" pid="12" name="Date-Generated">
    <vt:filetime>2026-07-13T04:55:00Z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257400</vt:r8>
  </property>
  <property fmtid="{D5CDD505-2E9C-101B-9397-08002B2CF9AE}" pid="23" name="Org">
    <vt:lpwstr>OHCHR</vt:lpwstr>
  </property>
  <property fmtid="{D5CDD505-2E9C-101B-9397-08002B2CF9AE}" pid="24" name="prep">
    <vt:lpwstr>al octavo informe periódico del Estado Plurinacional de Bolivia</vt:lpwstr>
  </property>
  <property fmtid="{D5CDD505-2E9C-101B-9397-08002B2CF9AE}" pid="25" name="preps">
    <vt:lpwstr>octavo informe periódico del Estado Plurinacional de Bolivia</vt:lpwstr>
  </property>
  <property fmtid="{D5CDD505-2E9C-101B-9397-08002B2CF9AE}" pid="26" name="prepw">
    <vt:lpwstr>al octavo informe periódico </vt:lpwstr>
  </property>
  <property fmtid="{D5CDD505-2E9C-101B-9397-08002B2CF9AE}" pid="27" name="prepwc">
    <vt:lpwstr>Octavo informe periódico </vt:lpwstr>
  </property>
  <property fmtid="{D5CDD505-2E9C-101B-9397-08002B2CF9AE}" pid="28" name="prepws">
    <vt:lpwstr>octavo informe periódico</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C/BOL/8</vt:lpwstr>
  </property>
  <property fmtid="{D5CDD505-2E9C-101B-9397-08002B2CF9AE}" pid="34" name="symh">
    <vt:lpwstr>CEDAW/C/BOL/8</vt:lpwstr>
  </property>
  <property fmtid="{D5CDD505-2E9C-101B-9397-08002B2CF9AE}" pid="35" name="Title">
    <vt:lpwstr>CEDAW/C/BOL/8</vt:lpwstr>
  </property>
  <property fmtid="{D5CDD505-2E9C-101B-9397-08002B2CF9AE}" pid="36" name="tlang">
    <vt:lpwstr/>
  </property>
  <property fmtid="{D5CDD505-2E9C-101B-9397-08002B2CF9AE}" pid="37" name="virs">
    <vt:lpwstr>Español, francés e inglés únicamente</vt:lpwstr>
  </property>
</Properties>
</file>