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86A61" w14:textId="77777777" w:rsidR="002A749B" w:rsidRPr="009741E0" w:rsidRDefault="002A749B" w:rsidP="002A749B">
      <w:pPr>
        <w:jc w:val="center"/>
        <w:rPr>
          <w:rFonts w:asciiTheme="majorBidi" w:hAnsiTheme="majorBidi" w:cstheme="majorBidi"/>
          <w:b/>
          <w:bCs/>
          <w:color w:val="2E74B5" w:themeColor="accent5" w:themeShade="BF"/>
          <w:sz w:val="28"/>
          <w:szCs w:val="28"/>
        </w:rPr>
      </w:pPr>
      <w:r w:rsidRPr="009741E0">
        <w:rPr>
          <w:rFonts w:asciiTheme="majorBidi" w:hAnsiTheme="majorBidi" w:cstheme="majorBidi"/>
          <w:b/>
          <w:bCs/>
          <w:color w:val="2E74B5" w:themeColor="accent5" w:themeShade="BF"/>
          <w:sz w:val="28"/>
          <w:szCs w:val="28"/>
        </w:rPr>
        <w:t xml:space="preserve">Report of </w:t>
      </w:r>
      <w:r>
        <w:rPr>
          <w:rFonts w:asciiTheme="majorBidi" w:hAnsiTheme="majorBidi" w:cstheme="majorBidi"/>
          <w:b/>
          <w:bCs/>
          <w:color w:val="2E74B5" w:themeColor="accent5" w:themeShade="BF"/>
          <w:sz w:val="28"/>
          <w:szCs w:val="28"/>
        </w:rPr>
        <w:t xml:space="preserve">The </w:t>
      </w:r>
      <w:r w:rsidRPr="009741E0">
        <w:rPr>
          <w:rFonts w:asciiTheme="majorBidi" w:hAnsiTheme="majorBidi" w:cstheme="majorBidi"/>
          <w:b/>
          <w:bCs/>
          <w:color w:val="2E74B5" w:themeColor="accent5" w:themeShade="BF"/>
          <w:sz w:val="28"/>
          <w:szCs w:val="28"/>
        </w:rPr>
        <w:t xml:space="preserve">International Alliance for Peace and Development </w:t>
      </w:r>
    </w:p>
    <w:p w14:paraId="4DE5D472" w14:textId="4C27C7EF" w:rsidR="002A749B" w:rsidRPr="009741E0" w:rsidRDefault="002A749B" w:rsidP="002A749B">
      <w:pPr>
        <w:jc w:val="center"/>
        <w:rPr>
          <w:rFonts w:asciiTheme="majorBidi" w:hAnsiTheme="majorBidi" w:cstheme="majorBidi"/>
          <w:b/>
          <w:bCs/>
          <w:color w:val="70AD47" w:themeColor="accent6"/>
          <w:sz w:val="24"/>
          <w:szCs w:val="24"/>
        </w:rPr>
      </w:pPr>
      <w:r w:rsidRPr="009741E0">
        <w:rPr>
          <w:rFonts w:asciiTheme="majorBidi" w:hAnsiTheme="majorBidi" w:cstheme="majorBidi"/>
          <w:b/>
          <w:bCs/>
          <w:color w:val="70AD47" w:themeColor="accent6"/>
          <w:sz w:val="24"/>
          <w:szCs w:val="24"/>
        </w:rPr>
        <w:t xml:space="preserve">Submitted to The Committee on Elimination of Discrimination against Women on the State of </w:t>
      </w:r>
      <w:r w:rsidRPr="002A749B">
        <w:rPr>
          <w:rFonts w:asciiTheme="majorBidi" w:hAnsiTheme="majorBidi" w:cstheme="majorBidi"/>
          <w:b/>
          <w:bCs/>
          <w:color w:val="70AD47" w:themeColor="accent6"/>
          <w:sz w:val="24"/>
          <w:szCs w:val="24"/>
        </w:rPr>
        <w:t>Luxembourg</w:t>
      </w:r>
    </w:p>
    <w:p w14:paraId="0513F5A8" w14:textId="77777777" w:rsidR="002A749B" w:rsidRPr="009741E0" w:rsidRDefault="002A749B" w:rsidP="002A749B">
      <w:pPr>
        <w:pBdr>
          <w:bottom w:val="single" w:sz="18" w:space="1" w:color="auto"/>
        </w:pBdr>
        <w:jc w:val="center"/>
        <w:rPr>
          <w:rFonts w:asciiTheme="majorBidi" w:hAnsiTheme="majorBidi" w:cstheme="majorBidi"/>
        </w:rPr>
      </w:pPr>
      <w:r w:rsidRPr="009741E0">
        <w:rPr>
          <w:rFonts w:asciiTheme="majorBidi" w:hAnsiTheme="majorBidi" w:cstheme="majorBidi"/>
        </w:rPr>
        <w:t>January 2025</w:t>
      </w:r>
    </w:p>
    <w:p w14:paraId="0075558A" w14:textId="38E4B058" w:rsidR="002A749B" w:rsidRPr="00EF25B0" w:rsidRDefault="002A749B" w:rsidP="002A749B">
      <w:pPr>
        <w:jc w:val="both"/>
        <w:rPr>
          <w:rFonts w:ascii="Times New Roman" w:hAnsi="Times New Roman" w:cs="Times New Roman"/>
        </w:rPr>
      </w:pPr>
      <w:r w:rsidRPr="00EF25B0">
        <w:rPr>
          <w:rFonts w:ascii="Times New Roman" w:hAnsi="Times New Roman" w:cs="Times New Roman"/>
        </w:rPr>
        <w:t>Luxembourg signed the Convention on the Elimination of All Forms of Discrimination against Women (CEDAW) on July 17, 1980, and ratified it on February 2, 1989 (hereinafter referred to as the "Convention"). With this ratification, Luxembourg commits to protecting and promoting the rights of women—both its citizens and foreign residents—without discrimination. Luxembourg regularly submits its periodic national reports to the United Nations Committee on the Elimination of Discrimination against Women (hereinafter referred to as the "Committee"), although there have been some delays. The most recent report, the eighth periodic report, was submitted in February 2024.</w:t>
      </w:r>
      <w:r w:rsidRPr="00EF25B0">
        <w:rPr>
          <w:rStyle w:val="FootnoteReference"/>
          <w:rFonts w:ascii="Times New Roman" w:hAnsi="Times New Roman" w:cs="Times New Roman"/>
        </w:rPr>
        <w:footnoteReference w:id="1"/>
      </w:r>
      <w:r w:rsidR="00C5009D">
        <w:rPr>
          <w:rFonts w:ascii="Times New Roman" w:hAnsi="Times New Roman" w:cs="Times New Roman"/>
        </w:rPr>
        <w:t xml:space="preserve"> </w:t>
      </w:r>
    </w:p>
    <w:p w14:paraId="305F2F81" w14:textId="77777777" w:rsidR="002A749B" w:rsidRPr="00EF25B0" w:rsidRDefault="002A749B" w:rsidP="002A749B">
      <w:pPr>
        <w:jc w:val="both"/>
        <w:rPr>
          <w:rFonts w:ascii="Times New Roman" w:hAnsi="Times New Roman" w:cs="Times New Roman"/>
        </w:rPr>
      </w:pPr>
      <w:r w:rsidRPr="00EF25B0">
        <w:rPr>
          <w:rFonts w:ascii="Times New Roman" w:hAnsi="Times New Roman" w:cs="Times New Roman"/>
        </w:rPr>
        <w:t>However, in recent years, Luxembourg has faced criticism for violations of women's rights, affecting both citizens and foreign residents, due to certain policies and practices implemented by the authorities. The International Alliance for Peace and Development (IAPD) is submitting this report to the Committee on the Elimination of Discrimination against Women in anticipation of Luxembourg’s review during the Committee’s 90th session, scheduled for February 3 to 21, 2025. This report aims to assess Luxembourg’s compliance with the provisions of the Convention, highlighting significant shortcomings and providing recommendations to address them. The goal is to support the Committee in conducting a comprehensive and objective assessment of Luxembourg’s situation during the upcoming session.</w:t>
      </w:r>
    </w:p>
    <w:p w14:paraId="4EAE2D53" w14:textId="06F19E81" w:rsidR="002A749B" w:rsidRPr="00D1496E" w:rsidRDefault="002A749B" w:rsidP="002A749B">
      <w:pPr>
        <w:jc w:val="both"/>
        <w:rPr>
          <w:rFonts w:ascii="Times New Roman" w:hAnsi="Times New Roman" w:cs="Times New Roman"/>
          <w:b/>
          <w:bCs/>
          <w:color w:val="00B050"/>
          <w:sz w:val="24"/>
          <w:szCs w:val="24"/>
        </w:rPr>
      </w:pPr>
      <w:r w:rsidRPr="00D1496E">
        <w:rPr>
          <w:rFonts w:asciiTheme="majorBidi" w:hAnsiTheme="majorBidi" w:cstheme="majorBidi"/>
          <w:b/>
          <w:bCs/>
          <w:color w:val="70AD47" w:themeColor="accent6"/>
          <w:sz w:val="28"/>
          <w:szCs w:val="28"/>
        </w:rPr>
        <w:t>Discrimination Against Women (Article 2)</w:t>
      </w:r>
    </w:p>
    <w:p w14:paraId="0B0D96BF" w14:textId="77777777" w:rsidR="002A749B" w:rsidRPr="00EF25B0" w:rsidRDefault="002A749B" w:rsidP="002A749B">
      <w:pPr>
        <w:jc w:val="both"/>
        <w:rPr>
          <w:rFonts w:ascii="Times New Roman" w:hAnsi="Times New Roman" w:cs="Times New Roman"/>
        </w:rPr>
      </w:pPr>
      <w:r w:rsidRPr="00EF25B0">
        <w:rPr>
          <w:rFonts w:ascii="Times New Roman" w:hAnsi="Times New Roman" w:cs="Times New Roman"/>
        </w:rPr>
        <w:t>Luxembourg has made significant progress in achieving equality and non-discrimination against women in recent years, guided by its national Constitution, the provisions of the Convention, and government policies. Article 10 of the Luxembourg Constitution states that "Luxembourg citizens are equal before the law," while Article 11 affirms that women and men enjoy equal rights and duties, with the state committing to removing any obstacles to achieving gender equality.</w:t>
      </w:r>
      <w:r w:rsidRPr="00EF25B0">
        <w:rPr>
          <w:rStyle w:val="FootnoteReference"/>
          <w:rFonts w:ascii="Times New Roman" w:hAnsi="Times New Roman" w:cs="Times New Roman"/>
        </w:rPr>
        <w:footnoteReference w:id="2"/>
      </w:r>
      <w:r w:rsidRPr="00EF25B0">
        <w:rPr>
          <w:rFonts w:ascii="Times New Roman" w:hAnsi="Times New Roman" w:cs="Times New Roman"/>
        </w:rPr>
        <w:t xml:space="preserve"> IAPD notes that Luxembourg is the only EU country with a ministry exclusively dedicated to gender equality, established in 2015.</w:t>
      </w:r>
      <w:r w:rsidRPr="00EF25B0">
        <w:rPr>
          <w:rStyle w:val="FootnoteReference"/>
          <w:rFonts w:ascii="Times New Roman" w:hAnsi="Times New Roman" w:cs="Times New Roman"/>
        </w:rPr>
        <w:footnoteReference w:id="3"/>
      </w:r>
      <w:r w:rsidRPr="00EF25B0">
        <w:rPr>
          <w:rFonts w:ascii="Times New Roman" w:hAnsi="Times New Roman" w:cs="Times New Roman"/>
        </w:rPr>
        <w:t xml:space="preserve"> </w:t>
      </w:r>
    </w:p>
    <w:p w14:paraId="235CC10E" w14:textId="77777777" w:rsidR="002A749B" w:rsidRPr="00EF25B0" w:rsidRDefault="002A749B" w:rsidP="00C5009D">
      <w:pPr>
        <w:jc w:val="both"/>
        <w:rPr>
          <w:rFonts w:ascii="Times New Roman" w:hAnsi="Times New Roman" w:cs="Times New Roman"/>
        </w:rPr>
      </w:pPr>
      <w:r w:rsidRPr="00EF25B0">
        <w:rPr>
          <w:rFonts w:ascii="Times New Roman" w:hAnsi="Times New Roman" w:cs="Times New Roman"/>
        </w:rPr>
        <w:t>The Ministry for Gender Equality has achieved notable successes in fulfilling its mandate. In 2019, it launched the "Equality Observatory," which monitors the development of gender equality in seven key areas: domestic violence, employment, decision-making, work-life balance, education, income, and health.</w:t>
      </w:r>
      <w:r w:rsidRPr="00EF25B0">
        <w:rPr>
          <w:rStyle w:val="FootnoteReference"/>
          <w:rFonts w:ascii="Times New Roman" w:hAnsi="Times New Roman" w:cs="Times New Roman"/>
        </w:rPr>
        <w:footnoteReference w:id="4"/>
      </w:r>
      <w:r w:rsidRPr="00EF25B0">
        <w:rPr>
          <w:rFonts w:ascii="Times New Roman" w:hAnsi="Times New Roman" w:cs="Times New Roman"/>
        </w:rPr>
        <w:t xml:space="preserve"> During the COVID-19 crisis, the ministry established a crisis management mechanism in March 2020 to address the increase in domestic violence cases. This mechanism included weekly monitoring of domestic violence trends, providing alternative accommodation to alleviate overcrowding in emergency shelters, and setting up a helpline for individuals affected by domestic violence. In addition to ongoing weekly monitoring, the mechanism continues to provide these services, supported by preventive and informational campaigns via social and national media.</w:t>
      </w:r>
      <w:r w:rsidRPr="00EF25B0">
        <w:rPr>
          <w:rStyle w:val="FootnoteReference"/>
          <w:rFonts w:ascii="Times New Roman" w:hAnsi="Times New Roman" w:cs="Times New Roman"/>
        </w:rPr>
        <w:footnoteReference w:id="5"/>
      </w:r>
    </w:p>
    <w:p w14:paraId="3866FB3F" w14:textId="77777777" w:rsidR="002A749B" w:rsidRPr="00EF25B0" w:rsidRDefault="002A749B" w:rsidP="009E5A35">
      <w:pPr>
        <w:jc w:val="both"/>
        <w:rPr>
          <w:rFonts w:ascii="Times New Roman" w:hAnsi="Times New Roman" w:cs="Times New Roman"/>
        </w:rPr>
      </w:pPr>
      <w:r w:rsidRPr="00EF25B0">
        <w:rPr>
          <w:rFonts w:ascii="Times New Roman" w:hAnsi="Times New Roman" w:cs="Times New Roman"/>
        </w:rPr>
        <w:lastRenderedPageBreak/>
        <w:t>In the context of combating negative stereotypes of women and girls in the media, IAPD notes that this issue is a current priority within Luxembourg’s audiovisual policy. IAPD has identified several government commitments to initiate discussions with stakeholders aimed at developing an effective strategy to combat gender stereotypes in advertising.</w:t>
      </w:r>
      <w:r w:rsidRPr="00EF25B0">
        <w:rPr>
          <w:rStyle w:val="FootnoteReference"/>
          <w:rFonts w:ascii="Times New Roman" w:hAnsi="Times New Roman" w:cs="Times New Roman"/>
        </w:rPr>
        <w:footnoteReference w:id="6"/>
      </w:r>
    </w:p>
    <w:p w14:paraId="6938E03D" w14:textId="322D44C0" w:rsidR="009E5A35" w:rsidRPr="00D1496E" w:rsidRDefault="009E5A35" w:rsidP="009E5A35">
      <w:pPr>
        <w:jc w:val="both"/>
        <w:rPr>
          <w:rFonts w:ascii="Times New Roman" w:hAnsi="Times New Roman" w:cs="Times New Roman"/>
          <w:b/>
          <w:bCs/>
          <w:color w:val="00B050"/>
          <w:sz w:val="24"/>
          <w:szCs w:val="24"/>
        </w:rPr>
      </w:pPr>
      <w:r w:rsidRPr="00D1496E">
        <w:rPr>
          <w:rFonts w:asciiTheme="majorBidi" w:hAnsiTheme="majorBidi" w:cstheme="majorBidi"/>
          <w:b/>
          <w:bCs/>
          <w:color w:val="70AD47" w:themeColor="accent6"/>
          <w:sz w:val="28"/>
          <w:szCs w:val="28"/>
        </w:rPr>
        <w:t>Ensuring Development of Women (Article 3)</w:t>
      </w:r>
    </w:p>
    <w:p w14:paraId="546ADD22" w14:textId="0DB34DF9" w:rsidR="002A749B" w:rsidRPr="00EF25B0" w:rsidRDefault="002A749B" w:rsidP="009E5A35">
      <w:pPr>
        <w:jc w:val="both"/>
        <w:rPr>
          <w:rFonts w:ascii="Times New Roman" w:hAnsi="Times New Roman" w:cs="Times New Roman"/>
        </w:rPr>
      </w:pPr>
      <w:r w:rsidRPr="00EF25B0">
        <w:rPr>
          <w:rFonts w:ascii="Times New Roman" w:hAnsi="Times New Roman" w:cs="Times New Roman"/>
        </w:rPr>
        <w:t xml:space="preserve">Luxembourg Government is diligently working to implement Article 3 of the Convention, which focuses on </w:t>
      </w:r>
      <w:r>
        <w:rPr>
          <w:rFonts w:ascii="Times New Roman" w:hAnsi="Times New Roman" w:cs="Times New Roman"/>
        </w:rPr>
        <w:t>women's advancement and development and achieving</w:t>
      </w:r>
      <w:r w:rsidRPr="00EF25B0">
        <w:rPr>
          <w:rFonts w:ascii="Times New Roman" w:hAnsi="Times New Roman" w:cs="Times New Roman"/>
        </w:rPr>
        <w:t xml:space="preserve"> gender equality in all aspects of life. This commitment is demonstrated through training programs regularly organized for a wide range of employees, particularly targeting women workers and trainees. For instance, approximately 300 trainees from municipalities participate in training courses aimed at promoting gender equality each year. These courses introduce participants to concepts of gender equality, various forms of discrimination, key UN conventions on gender equality, and their application in Luxembourg’s legislation. Additionally, the courses explain the structures that municipalities can establish to promote equality.</w:t>
      </w:r>
    </w:p>
    <w:p w14:paraId="22B23B45" w14:textId="7E5FA3A1" w:rsidR="002A749B" w:rsidRPr="00EF25B0" w:rsidRDefault="002A749B" w:rsidP="009E5A35">
      <w:pPr>
        <w:jc w:val="both"/>
        <w:rPr>
          <w:rFonts w:ascii="Times New Roman" w:hAnsi="Times New Roman" w:cs="Times New Roman"/>
        </w:rPr>
      </w:pPr>
      <w:r w:rsidRPr="00EF25B0">
        <w:rPr>
          <w:rFonts w:ascii="Times New Roman" w:hAnsi="Times New Roman" w:cs="Times New Roman"/>
        </w:rPr>
        <w:t>Furthermore, the Ministry for Gender Equality provides specialized training for government delegates responsible for employee equality issues. This training focuses on detailed information regarding employees' rights and duties, especially concerning equal opportunities in the workplace. It also offers support and advice to individuals who have experienced gender-based discrimination, including psychological and sexual harassment.</w:t>
      </w:r>
    </w:p>
    <w:p w14:paraId="2A987858" w14:textId="77777777" w:rsidR="002A749B" w:rsidRPr="00EF25B0" w:rsidRDefault="002A749B" w:rsidP="009E5A35">
      <w:pPr>
        <w:jc w:val="both"/>
        <w:rPr>
          <w:rFonts w:ascii="Times New Roman" w:hAnsi="Times New Roman" w:cs="Times New Roman"/>
        </w:rPr>
      </w:pPr>
      <w:r w:rsidRPr="00EF25B0">
        <w:rPr>
          <w:rFonts w:ascii="Times New Roman" w:hAnsi="Times New Roman" w:cs="Times New Roman"/>
        </w:rPr>
        <w:t>In a related context, IAPD notes that although gender equality training is not mandatory for military trainees, the Ministry organizes an introductory course on this topic two to three times a year for recruits. This reflects the government’s commitment to raising awareness of equality issues across various sectors and promoting these principles throughout the country.</w:t>
      </w:r>
      <w:r w:rsidRPr="00EF25B0">
        <w:rPr>
          <w:rStyle w:val="FootnoteReference"/>
          <w:rFonts w:ascii="Times New Roman" w:hAnsi="Times New Roman" w:cs="Times New Roman"/>
        </w:rPr>
        <w:footnoteReference w:id="7"/>
      </w:r>
    </w:p>
    <w:p w14:paraId="02BA55C5" w14:textId="4509473B" w:rsidR="009E5A35" w:rsidRPr="00D1496E" w:rsidRDefault="009E5A35" w:rsidP="009E5A35">
      <w:pPr>
        <w:jc w:val="both"/>
        <w:rPr>
          <w:rFonts w:ascii="Times New Roman" w:hAnsi="Times New Roman" w:cs="Times New Roman"/>
          <w:b/>
          <w:bCs/>
          <w:color w:val="00B050"/>
          <w:sz w:val="24"/>
          <w:szCs w:val="24"/>
        </w:rPr>
      </w:pPr>
      <w:r w:rsidRPr="00D1496E">
        <w:rPr>
          <w:rFonts w:asciiTheme="majorBidi" w:hAnsiTheme="majorBidi" w:cstheme="majorBidi"/>
          <w:b/>
          <w:bCs/>
          <w:color w:val="70AD47" w:themeColor="accent6"/>
          <w:sz w:val="28"/>
          <w:szCs w:val="28"/>
        </w:rPr>
        <w:t>Trafficking in Women (Article 6)</w:t>
      </w:r>
    </w:p>
    <w:p w14:paraId="5A95FBC2" w14:textId="77777777" w:rsidR="002A749B" w:rsidRPr="00EF25B0" w:rsidRDefault="002A749B" w:rsidP="009E5A35">
      <w:pPr>
        <w:jc w:val="both"/>
        <w:rPr>
          <w:rFonts w:ascii="Times New Roman" w:hAnsi="Times New Roman" w:cs="Times New Roman"/>
        </w:rPr>
      </w:pPr>
      <w:r w:rsidRPr="00EF25B0">
        <w:rPr>
          <w:rFonts w:ascii="Times New Roman" w:hAnsi="Times New Roman" w:cs="Times New Roman"/>
        </w:rPr>
        <w:t>Despite significant efforts by the government and civil society in Luxembourg to combat trafficking in women, vulnerabilities to exploitation and trafficking for forced labor and sexual exploitation persist. In 2021 and 2022, authorities recorded a total of 127 cases of human trafficking within the country. Notably, women constituted the largest proportion of victims, with 67 women compared to 60 men. Reports reviewed by IAPD indicate that victims primarily hail from third countries, such as Ukraine, Russia, and China, with forms of exploitation varying by nationality. For instance, victims from China and Nepal are mainly exploited in the restaurant sector, while those from Ukraine and Russia are often subjected to forced prostitution. Despite ongoing efforts, criticism has arisen regarding the disparity in the legal treatment of cases involving sexual exploitation versus labor exploitation. Businesses implicated in sexual exploitation are frequently closed, while companies involved in labor exploitation often receive suspended sentences, allowing them to continue operations. Perpetrators typically receive suspended prison sentences and fines that are disproportionately low compared to their illicit profits or the severity of their crimes. Reports also highlight systemic barriers that impede victims’ access to adequate legal redress, resulting in meager compensation awards ranging from €1,000 to €5,000—insufficient relative to their legitimate claims.</w:t>
      </w:r>
      <w:r w:rsidRPr="00EF25B0">
        <w:rPr>
          <w:rStyle w:val="FootnoteReference"/>
          <w:rFonts w:ascii="Times New Roman" w:hAnsi="Times New Roman" w:cs="Times New Roman"/>
        </w:rPr>
        <w:footnoteReference w:id="8"/>
      </w:r>
      <w:r w:rsidRPr="00EF25B0">
        <w:rPr>
          <w:rFonts w:ascii="Times New Roman" w:hAnsi="Times New Roman" w:cs="Times New Roman"/>
        </w:rPr>
        <w:t xml:space="preserve"> Continuing such policies will hinder the effective implementation of Article 6 of the Convention.</w:t>
      </w:r>
    </w:p>
    <w:p w14:paraId="46E83012" w14:textId="7105C1D6" w:rsidR="002A749B" w:rsidRPr="00EF25B0" w:rsidRDefault="002A749B" w:rsidP="009E5A35">
      <w:pPr>
        <w:jc w:val="both"/>
        <w:rPr>
          <w:rFonts w:ascii="Times New Roman" w:hAnsi="Times New Roman" w:cs="Times New Roman"/>
        </w:rPr>
      </w:pPr>
      <w:r w:rsidRPr="00EF25B0">
        <w:rPr>
          <w:rFonts w:ascii="Times New Roman" w:hAnsi="Times New Roman" w:cs="Times New Roman"/>
        </w:rPr>
        <w:t xml:space="preserve">IAPD notes that while the Luxembourg Police have made progress in collecting data on human trafficking crimes and victims, further development is necessary, particularly in adopting advanced technological and statistical methods. In 2023, police units tasked with investigating human trafficking crimes and protecting victims were </w:t>
      </w:r>
      <w:r w:rsidRPr="00EF25B0">
        <w:rPr>
          <w:rFonts w:ascii="Times New Roman" w:hAnsi="Times New Roman" w:cs="Times New Roman"/>
        </w:rPr>
        <w:lastRenderedPageBreak/>
        <w:t>strengthened through the recruitment of additional staff. However, staff shortages continue to pose challenges, limiting the ability of these units to respond quickly and effectively to these crimes.</w:t>
      </w:r>
    </w:p>
    <w:p w14:paraId="4B689B5D" w14:textId="4E1E33AA" w:rsidR="009E5A35" w:rsidRPr="00D1496E" w:rsidRDefault="009E5A35" w:rsidP="009E5A35">
      <w:pPr>
        <w:jc w:val="both"/>
        <w:rPr>
          <w:rFonts w:ascii="Times New Roman" w:hAnsi="Times New Roman" w:cs="Times New Roman"/>
          <w:b/>
          <w:bCs/>
          <w:color w:val="00B050"/>
          <w:sz w:val="24"/>
          <w:szCs w:val="24"/>
        </w:rPr>
      </w:pPr>
      <w:r w:rsidRPr="00D1496E">
        <w:rPr>
          <w:rFonts w:asciiTheme="majorBidi" w:hAnsiTheme="majorBidi" w:cstheme="majorBidi"/>
          <w:b/>
          <w:bCs/>
          <w:color w:val="70AD47" w:themeColor="accent6"/>
          <w:sz w:val="28"/>
          <w:szCs w:val="28"/>
        </w:rPr>
        <w:t>Women’s Political Rights (Article 7)</w:t>
      </w:r>
    </w:p>
    <w:p w14:paraId="26DC6030" w14:textId="77777777" w:rsidR="002A749B" w:rsidRPr="00EF25B0" w:rsidRDefault="002A749B" w:rsidP="009E5A35">
      <w:pPr>
        <w:jc w:val="both"/>
        <w:rPr>
          <w:rFonts w:ascii="Times New Roman" w:hAnsi="Times New Roman" w:cs="Times New Roman"/>
        </w:rPr>
      </w:pPr>
      <w:r w:rsidRPr="00EF25B0">
        <w:rPr>
          <w:rFonts w:ascii="Times New Roman" w:hAnsi="Times New Roman" w:cs="Times New Roman"/>
        </w:rPr>
        <w:t>Women in Luxembourg actively participate in political life, holding leadership positions in government and parliament. The government is committed to promoting gender equality through legislation and policies that support women's involvement in political decision-making. In recent years, there has been a significant increase in the percentage of women participating in elections and running for public office, reflecting Luxembourg's dedication to strengthening the role of women in political life, in accordance with Article 7 of the Convention. Under the Luxembourg Coalition Agreement for 2018-2023, which outlines the government’s five-year plan, efforts have been made to achieve a more balanced representation of women and men in decision-making positions, particularly in political and economic spheres. These initiatives aim to ensure 40% representation of underrepresented groups on the boards of directors of public institutions and private companies in which the state has a stake.</w:t>
      </w:r>
      <w:r w:rsidRPr="00EF25B0">
        <w:rPr>
          <w:rStyle w:val="FootnoteReference"/>
          <w:rFonts w:ascii="Times New Roman" w:hAnsi="Times New Roman" w:cs="Times New Roman"/>
        </w:rPr>
        <w:footnoteReference w:id="9"/>
      </w:r>
    </w:p>
    <w:p w14:paraId="6F62D459" w14:textId="77777777" w:rsidR="002A749B" w:rsidRPr="00EF25B0" w:rsidRDefault="002A749B" w:rsidP="009E5A35">
      <w:pPr>
        <w:jc w:val="both"/>
        <w:rPr>
          <w:rFonts w:ascii="Times New Roman" w:hAnsi="Times New Roman" w:cs="Times New Roman"/>
        </w:rPr>
      </w:pPr>
      <w:r w:rsidRPr="00EF25B0">
        <w:rPr>
          <w:rFonts w:ascii="Times New Roman" w:hAnsi="Times New Roman" w:cs="Times New Roman"/>
        </w:rPr>
        <w:t>As a result of these policies, the October 2023 legislative elections saw 278 women among 649 candidates, representing 42% of the total, compared to 371 men. Of the 60 elected members of the Chamber of Deputies, 18 were women,</w:t>
      </w:r>
      <w:r w:rsidRPr="00EF25B0">
        <w:rPr>
          <w:rStyle w:val="FootnoteReference"/>
          <w:rFonts w:ascii="Times New Roman" w:hAnsi="Times New Roman" w:cs="Times New Roman"/>
        </w:rPr>
        <w:footnoteReference w:id="10"/>
      </w:r>
      <w:r w:rsidRPr="00EF25B0">
        <w:rPr>
          <w:rFonts w:ascii="Times New Roman" w:hAnsi="Times New Roman" w:cs="Times New Roman"/>
        </w:rPr>
        <w:t xml:space="preserve"> equating to 33.3% of parliamentary seats as of February 2024.</w:t>
      </w:r>
      <w:r w:rsidRPr="00EF25B0">
        <w:rPr>
          <w:rStyle w:val="FootnoteReference"/>
          <w:rFonts w:ascii="Times New Roman" w:hAnsi="Times New Roman" w:cs="Times New Roman"/>
        </w:rPr>
        <w:footnoteReference w:id="11"/>
      </w:r>
    </w:p>
    <w:p w14:paraId="3D793C0A" w14:textId="77777777" w:rsidR="002A749B" w:rsidRPr="00EF25B0" w:rsidRDefault="002A749B" w:rsidP="009E5A35">
      <w:pPr>
        <w:jc w:val="both"/>
        <w:rPr>
          <w:rFonts w:ascii="Times New Roman" w:hAnsi="Times New Roman" w:cs="Times New Roman"/>
        </w:rPr>
      </w:pPr>
      <w:r w:rsidRPr="00EF25B0">
        <w:rPr>
          <w:rFonts w:ascii="Times New Roman" w:hAnsi="Times New Roman" w:cs="Times New Roman"/>
        </w:rPr>
        <w:t>Official statistics reviewed by IAPD indicate that by 31 December 2023, the proportion of women on the boards of directors of public institutions in Luxembourg rose to 38.89%, up from 27.41% in the first census conducted on 31 January 2015. Additionally, the percentage of women representing the state on these boards increased from 30.34% in January 2015 to 42.09% in December 2023. In private companies, the representation of women increased significantly, reaching 35.06% in December 2023, compared to 24.69% in January 2015. These figures underscore Luxembourg’s ongoing progress in promoting gender equality and ensuring women's representation in various decision-making areas.</w:t>
      </w:r>
      <w:r w:rsidRPr="00EF25B0">
        <w:rPr>
          <w:rStyle w:val="FootnoteReference"/>
          <w:rFonts w:ascii="Times New Roman" w:hAnsi="Times New Roman" w:cs="Times New Roman"/>
        </w:rPr>
        <w:footnoteReference w:id="12"/>
      </w:r>
    </w:p>
    <w:p w14:paraId="0D22E71F" w14:textId="0ABCFCA1" w:rsidR="003B579F" w:rsidRPr="00D1496E" w:rsidRDefault="003B579F" w:rsidP="003B579F">
      <w:pPr>
        <w:jc w:val="both"/>
        <w:rPr>
          <w:rFonts w:ascii="Times New Roman" w:hAnsi="Times New Roman" w:cs="Times New Roman"/>
          <w:b/>
          <w:bCs/>
          <w:color w:val="00B050"/>
          <w:sz w:val="24"/>
          <w:szCs w:val="24"/>
        </w:rPr>
      </w:pPr>
      <w:r w:rsidRPr="00D1496E">
        <w:rPr>
          <w:rFonts w:asciiTheme="majorBidi" w:hAnsiTheme="majorBidi" w:cstheme="majorBidi"/>
          <w:b/>
          <w:bCs/>
          <w:color w:val="70AD47" w:themeColor="accent6"/>
          <w:sz w:val="28"/>
          <w:szCs w:val="28"/>
        </w:rPr>
        <w:t>Women’s International Representation (Article 8)</w:t>
      </w:r>
    </w:p>
    <w:p w14:paraId="19386DF1" w14:textId="77777777" w:rsidR="002A749B" w:rsidRPr="00EF25B0" w:rsidRDefault="002A749B" w:rsidP="003B579F">
      <w:pPr>
        <w:jc w:val="both"/>
        <w:rPr>
          <w:rFonts w:ascii="Times New Roman" w:hAnsi="Times New Roman" w:cs="Times New Roman"/>
        </w:rPr>
      </w:pPr>
      <w:r w:rsidRPr="00EF25B0">
        <w:rPr>
          <w:rFonts w:ascii="Times New Roman" w:hAnsi="Times New Roman" w:cs="Times New Roman"/>
        </w:rPr>
        <w:t>With the support of the government and civil society, Luxembourg aims to strengthen women's representation on the international stage. The Ministry of Foreign Affairs and European Affairs continues its efforts to enhance women's participation in election observation missions and civilian missions supported by Luxembourg. The principle of equal representation is systematically applied when selecting candidates for EU election observation missions. However, Luxembourg did not achieve parity in 2022, with women comprising 45% of candidates compared to 55% men, a decrease from 52% in 2021.</w:t>
      </w:r>
      <w:r w:rsidRPr="00EF25B0">
        <w:rPr>
          <w:rStyle w:val="FootnoteReference"/>
          <w:rFonts w:ascii="Times New Roman" w:hAnsi="Times New Roman" w:cs="Times New Roman"/>
        </w:rPr>
        <w:footnoteReference w:id="13"/>
      </w:r>
    </w:p>
    <w:p w14:paraId="24DE85E7" w14:textId="1291736C" w:rsidR="002A749B" w:rsidRPr="00EF25B0" w:rsidRDefault="002A749B" w:rsidP="003B579F">
      <w:pPr>
        <w:jc w:val="both"/>
        <w:rPr>
          <w:rFonts w:ascii="Times New Roman" w:hAnsi="Times New Roman" w:cs="Times New Roman"/>
        </w:rPr>
      </w:pPr>
      <w:r w:rsidRPr="00EF25B0">
        <w:rPr>
          <w:rFonts w:ascii="Times New Roman" w:hAnsi="Times New Roman" w:cs="Times New Roman"/>
        </w:rPr>
        <w:t xml:space="preserve">Furthermore, the Ministry of Foreign Affairs and European Affairs is committed to enhancing women's representation and participation in international organizations, factoring in the gender dimension when supporting candidacies. In 2022, Luxembourg backed women in 54% of elections, despite them representing only 42% of total candidates. Increasing the number of female military personnel and enhancing the appeal of military careers and voluntary services remain key priorities for the Luxembourg Army and </w:t>
      </w:r>
      <w:r w:rsidR="003B579F" w:rsidRPr="00EF25B0">
        <w:rPr>
          <w:rFonts w:ascii="Times New Roman" w:hAnsi="Times New Roman" w:cs="Times New Roman"/>
        </w:rPr>
        <w:t>Defense</w:t>
      </w:r>
      <w:r w:rsidRPr="00EF25B0">
        <w:rPr>
          <w:rFonts w:ascii="Times New Roman" w:hAnsi="Times New Roman" w:cs="Times New Roman"/>
        </w:rPr>
        <w:t xml:space="preserve"> Command. A gender perspective is incorporated into recruitment advertisements and publications to emphasize workforce diversity and demonstrate women’s capabilities in operational roles.</w:t>
      </w:r>
      <w:r w:rsidRPr="00EF25B0">
        <w:rPr>
          <w:rStyle w:val="FootnoteReference"/>
          <w:rFonts w:ascii="Times New Roman" w:hAnsi="Times New Roman" w:cs="Times New Roman"/>
        </w:rPr>
        <w:footnoteReference w:id="14"/>
      </w:r>
    </w:p>
    <w:p w14:paraId="04EA1326" w14:textId="79E76A1F" w:rsidR="003B579F" w:rsidRPr="00D1496E" w:rsidRDefault="003B579F" w:rsidP="003B579F">
      <w:pPr>
        <w:jc w:val="both"/>
        <w:rPr>
          <w:rFonts w:ascii="Times New Roman" w:hAnsi="Times New Roman" w:cs="Times New Roman"/>
          <w:b/>
          <w:bCs/>
          <w:color w:val="00B050"/>
          <w:sz w:val="24"/>
          <w:szCs w:val="24"/>
        </w:rPr>
      </w:pPr>
      <w:r w:rsidRPr="00D1496E">
        <w:rPr>
          <w:rFonts w:asciiTheme="majorBidi" w:hAnsiTheme="majorBidi" w:cstheme="majorBidi"/>
          <w:b/>
          <w:bCs/>
          <w:color w:val="70AD47" w:themeColor="accent6"/>
          <w:sz w:val="28"/>
          <w:szCs w:val="28"/>
        </w:rPr>
        <w:lastRenderedPageBreak/>
        <w:t>Equality at Work (Article 11)</w:t>
      </w:r>
    </w:p>
    <w:p w14:paraId="7947D6B2" w14:textId="77777777" w:rsidR="002A749B" w:rsidRPr="00FD2D1A" w:rsidRDefault="002A749B" w:rsidP="003B579F">
      <w:pPr>
        <w:jc w:val="both"/>
        <w:rPr>
          <w:rFonts w:ascii="Times New Roman" w:hAnsi="Times New Roman" w:cs="Times New Roman"/>
        </w:rPr>
      </w:pPr>
      <w:r w:rsidRPr="00FD2D1A">
        <w:rPr>
          <w:rFonts w:ascii="Times New Roman" w:hAnsi="Times New Roman" w:cs="Times New Roman"/>
        </w:rPr>
        <w:t>Equality in the workplace between men and women is a fundamental value promoted by both the government and society in Luxembourg. Strict laws ensure that women have the same opportunities and rights as men in the labor market, including equal pay for equal work and protection from discrimination. These legal frameworks are supported by national policies that encourage women’s empowerment across all professional fields, contributing to an inclusive and equitable working environment.</w:t>
      </w:r>
    </w:p>
    <w:p w14:paraId="5404512A" w14:textId="77777777" w:rsidR="002A749B" w:rsidRPr="00FD2D1A" w:rsidRDefault="002A749B" w:rsidP="002A749B">
      <w:pPr>
        <w:jc w:val="both"/>
        <w:rPr>
          <w:rFonts w:ascii="Times New Roman" w:hAnsi="Times New Roman" w:cs="Times New Roman"/>
        </w:rPr>
      </w:pPr>
      <w:r w:rsidRPr="00FD2D1A">
        <w:rPr>
          <w:rFonts w:ascii="Times New Roman" w:hAnsi="Times New Roman" w:cs="Times New Roman"/>
        </w:rPr>
        <w:t>In this context, the law enacted on 15 December 2016 introduced the principle of equal pay into Luxembourg’s national legislation, making any discrimination in pay between men and women performing the same work, or work of equal value, illegal.</w:t>
      </w:r>
      <w:r w:rsidRPr="00EF25B0">
        <w:rPr>
          <w:rStyle w:val="FootnoteReference"/>
          <w:rFonts w:ascii="Times New Roman" w:hAnsi="Times New Roman" w:cs="Times New Roman"/>
        </w:rPr>
        <w:footnoteReference w:id="15"/>
      </w:r>
      <w:r w:rsidRPr="00FD2D1A">
        <w:rPr>
          <w:rFonts w:ascii="Times New Roman" w:hAnsi="Times New Roman" w:cs="Times New Roman"/>
        </w:rPr>
        <w:t xml:space="preserve"> The International Alliance for Peace and Development (IAPD) notes that Luxembourg is the first and so far the only country in the European Union to have eliminated the gender pay gap.</w:t>
      </w:r>
      <w:r w:rsidRPr="00EF25B0">
        <w:rPr>
          <w:rFonts w:ascii="Times New Roman" w:hAnsi="Times New Roman" w:cs="Times New Roman"/>
        </w:rPr>
        <w:t xml:space="preserve"> </w:t>
      </w:r>
      <w:r w:rsidRPr="00FD2D1A">
        <w:rPr>
          <w:rFonts w:ascii="Times New Roman" w:hAnsi="Times New Roman" w:cs="Times New Roman"/>
        </w:rPr>
        <w:t>In 2021, the gender pay gap in Luxembourg was approximately -0.2%, indicating that women, on average, earned 0.2% more per hour than men. This achievement positions Luxembourg as a global leader in gender equality in the labor market and underscores its commitment to promoting women’s rights and ensuring equal opportunities in the workplace.</w:t>
      </w:r>
      <w:r w:rsidRPr="00EF25B0">
        <w:rPr>
          <w:rStyle w:val="FootnoteReference"/>
          <w:rFonts w:ascii="Times New Roman" w:hAnsi="Times New Roman" w:cs="Times New Roman"/>
        </w:rPr>
        <w:footnoteReference w:id="16"/>
      </w:r>
    </w:p>
    <w:p w14:paraId="7FAE7CB1" w14:textId="543BC31F" w:rsidR="003B579F" w:rsidRPr="00D1496E" w:rsidRDefault="003B579F" w:rsidP="003B579F">
      <w:pPr>
        <w:jc w:val="both"/>
        <w:rPr>
          <w:rFonts w:ascii="Times New Roman" w:hAnsi="Times New Roman" w:cs="Times New Roman"/>
          <w:b/>
          <w:bCs/>
          <w:color w:val="00B050"/>
          <w:sz w:val="24"/>
          <w:szCs w:val="24"/>
        </w:rPr>
      </w:pPr>
      <w:r w:rsidRPr="00D1496E">
        <w:rPr>
          <w:rFonts w:asciiTheme="majorBidi" w:hAnsiTheme="majorBidi" w:cstheme="majorBidi"/>
          <w:b/>
          <w:bCs/>
          <w:color w:val="70AD47" w:themeColor="accent6"/>
          <w:sz w:val="28"/>
          <w:szCs w:val="28"/>
        </w:rPr>
        <w:t>Legal Capacity of Women (Article 15)</w:t>
      </w:r>
    </w:p>
    <w:p w14:paraId="617C7AAE" w14:textId="77777777" w:rsidR="002A749B" w:rsidRPr="00FD2D1A" w:rsidRDefault="002A749B" w:rsidP="003B579F">
      <w:pPr>
        <w:jc w:val="both"/>
        <w:rPr>
          <w:rFonts w:ascii="Times New Roman" w:hAnsi="Times New Roman" w:cs="Times New Roman"/>
        </w:rPr>
      </w:pPr>
      <w:r w:rsidRPr="00FD2D1A">
        <w:rPr>
          <w:rFonts w:ascii="Times New Roman" w:hAnsi="Times New Roman" w:cs="Times New Roman"/>
        </w:rPr>
        <w:t>Women in Luxembourg enjoy equal legal rights with men in most areas, including legal capacity, marriage, divorce, employment, and property ownership, thus having the same rights and obligations as men. According to international reports for 2023, Luxembourg is one of only 14 countries in the world that provides full legal protection for women, ensuring complete gender equality in the law.</w:t>
      </w:r>
      <w:r w:rsidRPr="00EF25B0">
        <w:rPr>
          <w:rStyle w:val="FootnoteReference"/>
          <w:rFonts w:ascii="Times New Roman" w:hAnsi="Times New Roman" w:cs="Times New Roman"/>
        </w:rPr>
        <w:footnoteReference w:id="17"/>
      </w:r>
    </w:p>
    <w:p w14:paraId="7F7B4C62" w14:textId="77777777" w:rsidR="002A749B" w:rsidRPr="00FD2D1A" w:rsidRDefault="002A749B" w:rsidP="002A749B">
      <w:pPr>
        <w:jc w:val="both"/>
        <w:rPr>
          <w:rFonts w:ascii="Times New Roman" w:hAnsi="Times New Roman" w:cs="Times New Roman"/>
        </w:rPr>
      </w:pPr>
      <w:r w:rsidRPr="00FD2D1A">
        <w:rPr>
          <w:rFonts w:ascii="Times New Roman" w:hAnsi="Times New Roman" w:cs="Times New Roman"/>
        </w:rPr>
        <w:t>In this context, IAPD notes that the authorities in Luxembourg are implementing policies aimed at raising public awareness—especially among women—about available legislation and remedies. This approach enhances women’s access to the justice system and empowers them to exercise their legal rights. For example, the Legal Information Service provides general information on family law, covering topics such as divorce and separation, domestic violence, and sexual assault.</w:t>
      </w:r>
      <w:r w:rsidRPr="00EF25B0">
        <w:rPr>
          <w:rFonts w:ascii="Times New Roman" w:hAnsi="Times New Roman" w:cs="Times New Roman"/>
        </w:rPr>
        <w:t xml:space="preserve"> </w:t>
      </w:r>
      <w:r w:rsidRPr="00FD2D1A">
        <w:rPr>
          <w:rFonts w:ascii="Times New Roman" w:hAnsi="Times New Roman" w:cs="Times New Roman"/>
        </w:rPr>
        <w:t>This information is offered free of charge every Wednesday morning at justice centers, through personal and confidential consultations with specialized legal staff. Additionally, the Victim Support Service of the Luxembourg Public Prosecutor’s Office provides comprehensive assistance to victims who have suffered psychological or physical harm due to crimes.</w:t>
      </w:r>
      <w:r w:rsidRPr="00EF25B0">
        <w:rPr>
          <w:rFonts w:ascii="Times New Roman" w:hAnsi="Times New Roman" w:cs="Times New Roman"/>
        </w:rPr>
        <w:t xml:space="preserve"> </w:t>
      </w:r>
      <w:r w:rsidRPr="00FD2D1A">
        <w:rPr>
          <w:rFonts w:ascii="Times New Roman" w:hAnsi="Times New Roman" w:cs="Times New Roman"/>
        </w:rPr>
        <w:t>This assistance includes psychological and therapeutic support, along with information about their rights, such as those outlined in the Criminal Victims Act and compensation procedures. The service also offers support during legal proceedings and group therapy sessions for victims of domestic violence, all at no cost. Furthermore, Luxembourg authorities permit non-profit organizations to represent victims in court, ensuring they receive effective legal support in overcoming challenges.</w:t>
      </w:r>
      <w:r w:rsidRPr="00EF25B0">
        <w:rPr>
          <w:rStyle w:val="FootnoteReference"/>
          <w:rFonts w:ascii="Times New Roman" w:hAnsi="Times New Roman" w:cs="Times New Roman"/>
        </w:rPr>
        <w:footnoteReference w:id="18"/>
      </w:r>
    </w:p>
    <w:p w14:paraId="382E5060" w14:textId="7ACC5079" w:rsidR="002A749B" w:rsidRPr="00D1496E" w:rsidRDefault="003B579F" w:rsidP="002A749B">
      <w:pPr>
        <w:jc w:val="both"/>
        <w:rPr>
          <w:rFonts w:ascii="Times New Roman" w:hAnsi="Times New Roman" w:cs="Times New Roman"/>
          <w:b/>
          <w:bCs/>
          <w:color w:val="00B050"/>
          <w:sz w:val="24"/>
          <w:szCs w:val="24"/>
        </w:rPr>
      </w:pPr>
      <w:r w:rsidRPr="00D1496E">
        <w:rPr>
          <w:rFonts w:asciiTheme="majorBidi" w:hAnsiTheme="majorBidi" w:cstheme="majorBidi"/>
          <w:b/>
          <w:bCs/>
          <w:color w:val="70AD47" w:themeColor="accent6"/>
          <w:sz w:val="28"/>
          <w:szCs w:val="28"/>
        </w:rPr>
        <w:t>Recommendations</w:t>
      </w:r>
    </w:p>
    <w:p w14:paraId="63CE479E" w14:textId="77777777" w:rsidR="002A749B" w:rsidRPr="003B579F" w:rsidRDefault="002A749B" w:rsidP="002A749B">
      <w:pPr>
        <w:jc w:val="both"/>
        <w:rPr>
          <w:rFonts w:ascii="Times New Roman" w:hAnsi="Times New Roman" w:cs="Times New Roman"/>
          <w:b/>
          <w:bCs/>
        </w:rPr>
      </w:pPr>
      <w:r w:rsidRPr="003B579F">
        <w:rPr>
          <w:rFonts w:ascii="Times New Roman" w:hAnsi="Times New Roman" w:cs="Times New Roman"/>
          <w:b/>
          <w:bCs/>
        </w:rPr>
        <w:t>Based on the information presented in this report, IAPD recommends that the Luxembourg authorities take the following steps to strengthen the implementation of the provisions of the Convention on the Elimination of All Forms of Discrimination against Women (CEDAW):</w:t>
      </w:r>
    </w:p>
    <w:p w14:paraId="7B9E62F1" w14:textId="77777777" w:rsidR="002A749B" w:rsidRPr="00FD2D1A" w:rsidRDefault="002A749B" w:rsidP="002A749B">
      <w:pPr>
        <w:numPr>
          <w:ilvl w:val="0"/>
          <w:numId w:val="29"/>
        </w:numPr>
        <w:spacing w:after="160" w:line="278" w:lineRule="auto"/>
        <w:jc w:val="both"/>
        <w:rPr>
          <w:rFonts w:ascii="Times New Roman" w:hAnsi="Times New Roman" w:cs="Times New Roman"/>
        </w:rPr>
      </w:pPr>
      <w:r w:rsidRPr="00FD2D1A">
        <w:rPr>
          <w:rFonts w:ascii="Times New Roman" w:hAnsi="Times New Roman" w:cs="Times New Roman"/>
        </w:rPr>
        <w:lastRenderedPageBreak/>
        <w:t>Strengthen efforts to combat trafficking in women by imposing harsher penalties on institutions and individuals involved in sexual exploitation and forced labor, ensuring that penalties are proportionate to the illicit profits and the severity of the crimes committed.</w:t>
      </w:r>
    </w:p>
    <w:p w14:paraId="0646C2FF" w14:textId="77777777" w:rsidR="002A749B" w:rsidRPr="00FD2D1A" w:rsidRDefault="002A749B" w:rsidP="002A749B">
      <w:pPr>
        <w:numPr>
          <w:ilvl w:val="0"/>
          <w:numId w:val="29"/>
        </w:numPr>
        <w:spacing w:after="160" w:line="278" w:lineRule="auto"/>
        <w:jc w:val="both"/>
        <w:rPr>
          <w:rFonts w:ascii="Times New Roman" w:hAnsi="Times New Roman" w:cs="Times New Roman"/>
        </w:rPr>
      </w:pPr>
      <w:r w:rsidRPr="00FD2D1A">
        <w:rPr>
          <w:rFonts w:ascii="Times New Roman" w:hAnsi="Times New Roman" w:cs="Times New Roman"/>
        </w:rPr>
        <w:t>Develop mechanisms to provide fair and comprehensive compensation for victims of human trafficking, commensurate with the harm they have suffered.</w:t>
      </w:r>
    </w:p>
    <w:p w14:paraId="63B36576"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FD2D1A">
        <w:rPr>
          <w:rFonts w:ascii="Times New Roman" w:hAnsi="Times New Roman" w:cs="Times New Roman"/>
        </w:rPr>
        <w:t>Increase the human and technological resources of police units specialized in combating human trafficking, including staff training and expanding the scope of investigations.</w:t>
      </w:r>
    </w:p>
    <w:p w14:paraId="74483BE0"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Develop policies to encourage an increase in the proportion of women in parliament and boards of directors, ensuring the goal of balanced representation of 40%.</w:t>
      </w:r>
    </w:p>
    <w:p w14:paraId="122E02AE"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Organize awareness-raising campaigns to encourage women to run for office and participate in elections, with a focus on marginalized groups.</w:t>
      </w:r>
    </w:p>
    <w:p w14:paraId="0A297BE5" w14:textId="3C84F81E"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 xml:space="preserve">Launch a comprehensive strategy in partnership with the media and stakeholders to reduce gender stereotypes in advertising and media </w:t>
      </w:r>
      <w:r w:rsidR="00D1496E" w:rsidRPr="00EF25B0">
        <w:rPr>
          <w:rFonts w:ascii="Times New Roman" w:hAnsi="Times New Roman" w:cs="Times New Roman"/>
        </w:rPr>
        <w:t>programs</w:t>
      </w:r>
      <w:r w:rsidRPr="00EF25B0">
        <w:rPr>
          <w:rFonts w:ascii="Times New Roman" w:hAnsi="Times New Roman" w:cs="Times New Roman"/>
        </w:rPr>
        <w:t>.</w:t>
      </w:r>
    </w:p>
    <w:p w14:paraId="7482B9E2"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Promote gender equality education and training in schools and universities to create early awareness of the importance of equality.</w:t>
      </w:r>
    </w:p>
    <w:p w14:paraId="56220E0F"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Improve equality in the labour market by conducting periodic studies to monitor potential wage gaps and ensure that wage equality is sustainable.</w:t>
      </w:r>
    </w:p>
    <w:p w14:paraId="73823222"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Increase access to legal information by expanding the scope of the Legal Information Service’s services to cover more areas and provide multilingual counselling services.</w:t>
      </w:r>
    </w:p>
    <w:p w14:paraId="64CA36A3"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Strengthen victim support by providing additional centres for psychological and legal support, with a focus on groups most vulnerable to violence.</w:t>
      </w:r>
    </w:p>
    <w:p w14:paraId="3C9F07D2"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Develop an action plan to achieve parity in election observation missions and international missions through 2025 and beyond.</w:t>
      </w:r>
    </w:p>
    <w:p w14:paraId="3BFBDFC0"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Engage civil society in evaluating current policies and making recommendations to improve implementation of the Convention.</w:t>
      </w:r>
    </w:p>
    <w:p w14:paraId="48C3A822"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Make equality training mandatory for all military trainees and government employees.</w:t>
      </w:r>
    </w:p>
    <w:p w14:paraId="151602F6" w14:textId="77777777" w:rsidR="002A749B" w:rsidRPr="00EF25B0" w:rsidRDefault="002A749B" w:rsidP="002A749B">
      <w:pPr>
        <w:numPr>
          <w:ilvl w:val="0"/>
          <w:numId w:val="29"/>
        </w:numPr>
        <w:spacing w:after="160" w:line="278" w:lineRule="auto"/>
        <w:jc w:val="both"/>
        <w:rPr>
          <w:rFonts w:ascii="Times New Roman" w:hAnsi="Times New Roman" w:cs="Times New Roman"/>
        </w:rPr>
      </w:pPr>
      <w:r w:rsidRPr="00EF25B0">
        <w:rPr>
          <w:rFonts w:ascii="Times New Roman" w:hAnsi="Times New Roman" w:cs="Times New Roman"/>
        </w:rPr>
        <w:t>Expand awareness programs to include concepts related to gender equality at all levels of education.</w:t>
      </w:r>
    </w:p>
    <w:p w14:paraId="19073781" w14:textId="77777777" w:rsidR="001719EB" w:rsidRPr="00265110" w:rsidRDefault="001719EB" w:rsidP="00265110">
      <w:pPr>
        <w:jc w:val="both"/>
        <w:rPr>
          <w:rFonts w:ascii="Aptos" w:hAnsi="Aptos"/>
        </w:rPr>
      </w:pPr>
    </w:p>
    <w:sectPr w:rsidR="001719EB" w:rsidRPr="00265110">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F4DBB0" w14:textId="77777777" w:rsidR="00532295" w:rsidRDefault="00532295" w:rsidP="003D1884">
      <w:pPr>
        <w:spacing w:after="0" w:line="240" w:lineRule="auto"/>
      </w:pPr>
      <w:r>
        <w:separator/>
      </w:r>
    </w:p>
  </w:endnote>
  <w:endnote w:type="continuationSeparator" w:id="0">
    <w:p w14:paraId="3F0B26B8" w14:textId="77777777" w:rsidR="00532295" w:rsidRDefault="00532295"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D99EE" w14:textId="77777777" w:rsidR="00532295" w:rsidRDefault="00532295" w:rsidP="003D1884">
      <w:pPr>
        <w:spacing w:after="0" w:line="240" w:lineRule="auto"/>
      </w:pPr>
      <w:r>
        <w:separator/>
      </w:r>
    </w:p>
  </w:footnote>
  <w:footnote w:type="continuationSeparator" w:id="0">
    <w:p w14:paraId="3652CBEB" w14:textId="77777777" w:rsidR="00532295" w:rsidRDefault="00532295" w:rsidP="003D1884">
      <w:pPr>
        <w:spacing w:after="0" w:line="240" w:lineRule="auto"/>
      </w:pPr>
      <w:r>
        <w:continuationSeparator/>
      </w:r>
    </w:p>
  </w:footnote>
  <w:footnote w:id="1">
    <w:p w14:paraId="087C4C58" w14:textId="6AD90FD6"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w:t>
      </w:r>
      <w:r w:rsidRPr="00EF25B0">
        <w:rPr>
          <w:rFonts w:ascii="Times New Roman" w:eastAsia="Sakkal Majalla" w:hAnsi="Times New Roman" w:cs="Times New Roman"/>
          <w:color w:val="000000"/>
          <w:sz w:val="16"/>
          <w:szCs w:val="16"/>
        </w:rPr>
        <w:t xml:space="preserve">Ratification, Reporting &amp; Documentation for Luxembourg, </w:t>
      </w:r>
      <w:r w:rsidR="00C5009D">
        <w:rPr>
          <w:rFonts w:ascii="Times New Roman" w:eastAsia="Sakkal Majalla" w:hAnsi="Times New Roman" w:cs="Times New Roman"/>
          <w:color w:val="000000"/>
          <w:sz w:val="16"/>
          <w:szCs w:val="16"/>
        </w:rPr>
        <w:t>OHCHR</w:t>
      </w:r>
      <w:r w:rsidRPr="00EF25B0">
        <w:rPr>
          <w:rFonts w:ascii="Times New Roman" w:eastAsia="Sakkal Majalla" w:hAnsi="Times New Roman" w:cs="Times New Roman"/>
          <w:color w:val="000000"/>
          <w:sz w:val="16"/>
          <w:szCs w:val="16"/>
        </w:rPr>
        <w:t xml:space="preserve">, </w:t>
      </w:r>
      <w:hyperlink r:id="rId1">
        <w:r w:rsidRPr="00EF25B0">
          <w:rPr>
            <w:rFonts w:ascii="Times New Roman" w:eastAsia="Sakkal Majalla" w:hAnsi="Times New Roman" w:cs="Times New Roman"/>
            <w:color w:val="0563C1"/>
            <w:sz w:val="16"/>
            <w:szCs w:val="16"/>
            <w:u w:val="single"/>
          </w:rPr>
          <w:t>https://2h.ae/wfUt</w:t>
        </w:r>
      </w:hyperlink>
    </w:p>
  </w:footnote>
  <w:footnote w:id="2">
    <w:p w14:paraId="23898F8E"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Constitution of the Grand Duchy of Luxembourg, Weibo, </w:t>
      </w:r>
      <w:hyperlink r:id="rId2" w:history="1">
        <w:r w:rsidRPr="00EF25B0">
          <w:rPr>
            <w:rStyle w:val="Hyperlink"/>
            <w:rFonts w:ascii="Times New Roman" w:hAnsi="Times New Roman" w:cs="Times New Roman"/>
            <w:sz w:val="16"/>
            <w:szCs w:val="16"/>
          </w:rPr>
          <w:t>https://2h.ae/YJxI</w:t>
        </w:r>
      </w:hyperlink>
      <w:r w:rsidRPr="00EF25B0">
        <w:rPr>
          <w:rFonts w:ascii="Times New Roman" w:hAnsi="Times New Roman" w:cs="Times New Roman"/>
          <w:sz w:val="16"/>
          <w:szCs w:val="16"/>
        </w:rPr>
        <w:t xml:space="preserve"> </w:t>
      </w:r>
    </w:p>
  </w:footnote>
  <w:footnote w:id="3">
    <w:p w14:paraId="6F550E47" w14:textId="7DC769FD"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w:t>
      </w:r>
      <w:r w:rsidRPr="00EF25B0">
        <w:rPr>
          <w:rFonts w:ascii="Times New Roman" w:eastAsia="Sakkal Majalla" w:hAnsi="Times New Roman" w:cs="Times New Roman"/>
          <w:color w:val="000000"/>
          <w:sz w:val="16"/>
          <w:szCs w:val="16"/>
        </w:rPr>
        <w:t xml:space="preserve">Equal opportunities, </w:t>
      </w:r>
      <w:r w:rsidR="00C5009D" w:rsidRPr="00EF25B0">
        <w:rPr>
          <w:rFonts w:ascii="Times New Roman" w:eastAsia="Sakkal Majalla" w:hAnsi="Times New Roman" w:cs="Times New Roman"/>
          <w:color w:val="000000"/>
          <w:sz w:val="16"/>
          <w:szCs w:val="16"/>
        </w:rPr>
        <w:t>Luxembourg</w:t>
      </w:r>
      <w:r w:rsidRPr="00EF25B0">
        <w:rPr>
          <w:rFonts w:ascii="Times New Roman" w:eastAsia="Sakkal Majalla" w:hAnsi="Times New Roman" w:cs="Times New Roman"/>
          <w:color w:val="000000"/>
          <w:sz w:val="16"/>
          <w:szCs w:val="16"/>
        </w:rPr>
        <w:t xml:space="preserve">, </w:t>
      </w:r>
      <w:hyperlink r:id="rId3">
        <w:r w:rsidRPr="00EF25B0">
          <w:rPr>
            <w:rFonts w:ascii="Times New Roman" w:eastAsia="Sakkal Majalla" w:hAnsi="Times New Roman" w:cs="Times New Roman"/>
            <w:color w:val="0563C1"/>
            <w:sz w:val="16"/>
            <w:szCs w:val="16"/>
            <w:u w:val="single"/>
          </w:rPr>
          <w:t>https://2h.ae/Myzp</w:t>
        </w:r>
      </w:hyperlink>
    </w:p>
  </w:footnote>
  <w:footnote w:id="4">
    <w:p w14:paraId="2D11B5E0"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Eighth periodic report submitted by Luxemburg under article 18 of the Convention, </w:t>
      </w:r>
      <w:hyperlink r:id="rId4">
        <w:r w:rsidRPr="00EF25B0">
          <w:rPr>
            <w:rFonts w:ascii="Times New Roman" w:hAnsi="Times New Roman" w:cs="Times New Roman"/>
            <w:color w:val="1155CC"/>
            <w:sz w:val="16"/>
            <w:szCs w:val="16"/>
            <w:u w:val="single"/>
          </w:rPr>
          <w:t>https://2h.ae/mjoX</w:t>
        </w:r>
      </w:hyperlink>
    </w:p>
  </w:footnote>
  <w:footnote w:id="5">
    <w:p w14:paraId="1B7B246D"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Ibid</w:t>
      </w:r>
    </w:p>
  </w:footnote>
  <w:footnote w:id="6">
    <w:p w14:paraId="5E31191A"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Ibid</w:t>
      </w:r>
    </w:p>
  </w:footnote>
  <w:footnote w:id="7">
    <w:p w14:paraId="1C9CDA6E"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Eighth periodic report submitted by Luxemburg under article 18 of the Convention, </w:t>
      </w:r>
      <w:hyperlink r:id="rId5">
        <w:r w:rsidRPr="00EF25B0">
          <w:rPr>
            <w:rFonts w:ascii="Times New Roman" w:hAnsi="Times New Roman" w:cs="Times New Roman"/>
            <w:color w:val="1155CC"/>
            <w:sz w:val="16"/>
            <w:szCs w:val="16"/>
            <w:u w:val="single"/>
          </w:rPr>
          <w:t>https://2h.ae/mjoX</w:t>
        </w:r>
      </w:hyperlink>
    </w:p>
  </w:footnote>
  <w:footnote w:id="8">
    <w:p w14:paraId="48747B96"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127 cases detected in Luxembourg between 2021 and 2022, RTL today, </w:t>
      </w:r>
      <w:hyperlink r:id="rId6">
        <w:r w:rsidRPr="00EF25B0">
          <w:rPr>
            <w:rFonts w:ascii="Times New Roman" w:hAnsi="Times New Roman" w:cs="Times New Roman"/>
            <w:color w:val="1155CC"/>
            <w:sz w:val="16"/>
            <w:szCs w:val="16"/>
            <w:u w:val="single"/>
          </w:rPr>
          <w:t>https://2h.ae/xyvt</w:t>
        </w:r>
      </w:hyperlink>
    </w:p>
  </w:footnote>
  <w:footnote w:id="9">
    <w:p w14:paraId="5DB319A7"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Eighth periodic report submitted by Luxemburg under article 18 of the Convention, </w:t>
      </w:r>
      <w:hyperlink r:id="rId7">
        <w:r w:rsidRPr="00EF25B0">
          <w:rPr>
            <w:rFonts w:ascii="Times New Roman" w:hAnsi="Times New Roman" w:cs="Times New Roman"/>
            <w:color w:val="1155CC"/>
            <w:sz w:val="16"/>
            <w:szCs w:val="16"/>
            <w:u w:val="single"/>
          </w:rPr>
          <w:t>https://2h.ae/mjoX</w:t>
        </w:r>
      </w:hyperlink>
    </w:p>
  </w:footnote>
  <w:footnote w:id="10">
    <w:p w14:paraId="3AEBF98E"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Eighth periodic report submitted by Luxemburg under article 18 of the Convention, </w:t>
      </w:r>
      <w:hyperlink r:id="rId8">
        <w:r w:rsidRPr="00EF25B0">
          <w:rPr>
            <w:rFonts w:ascii="Times New Roman" w:hAnsi="Times New Roman" w:cs="Times New Roman"/>
            <w:color w:val="1155CC"/>
            <w:sz w:val="16"/>
            <w:szCs w:val="16"/>
            <w:u w:val="single"/>
          </w:rPr>
          <w:t>https://2h.ae/mjoX</w:t>
        </w:r>
      </w:hyperlink>
    </w:p>
  </w:footnote>
  <w:footnote w:id="11">
    <w:p w14:paraId="09D186EB" w14:textId="0E33ED32"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Luxembourg, </w:t>
      </w:r>
      <w:r w:rsidR="003B579F">
        <w:rPr>
          <w:rFonts w:ascii="Times New Roman" w:hAnsi="Times New Roman" w:cs="Times New Roman"/>
          <w:sz w:val="16"/>
          <w:szCs w:val="16"/>
        </w:rPr>
        <w:t>UN W</w:t>
      </w:r>
      <w:r w:rsidR="003B579F" w:rsidRPr="00EF25B0">
        <w:rPr>
          <w:rFonts w:ascii="Times New Roman" w:hAnsi="Times New Roman" w:cs="Times New Roman"/>
          <w:sz w:val="16"/>
          <w:szCs w:val="16"/>
        </w:rPr>
        <w:t>oman</w:t>
      </w:r>
      <w:r w:rsidRPr="00EF25B0">
        <w:rPr>
          <w:rFonts w:ascii="Times New Roman" w:hAnsi="Times New Roman" w:cs="Times New Roman"/>
          <w:sz w:val="16"/>
          <w:szCs w:val="16"/>
        </w:rPr>
        <w:t xml:space="preserve">, </w:t>
      </w:r>
      <w:hyperlink r:id="rId9">
        <w:r w:rsidRPr="00EF25B0">
          <w:rPr>
            <w:rFonts w:ascii="Times New Roman" w:hAnsi="Times New Roman" w:cs="Times New Roman"/>
            <w:color w:val="1155CC"/>
            <w:sz w:val="16"/>
            <w:szCs w:val="16"/>
            <w:u w:val="single"/>
          </w:rPr>
          <w:t>https://2h.ae/gmfI</w:t>
        </w:r>
      </w:hyperlink>
    </w:p>
  </w:footnote>
  <w:footnote w:id="12">
    <w:p w14:paraId="4631A00A"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w:t>
      </w:r>
      <w:r w:rsidRPr="00EF25B0">
        <w:rPr>
          <w:rFonts w:ascii="Times New Roman" w:eastAsia="Sakkal Majalla" w:hAnsi="Times New Roman" w:cs="Times New Roman"/>
          <w:color w:val="000000"/>
          <w:sz w:val="16"/>
          <w:szCs w:val="16"/>
        </w:rPr>
        <w:t xml:space="preserve">Gender statistics in decision-making bodies - 17th interim report, The Luxembourg Government, </w:t>
      </w:r>
      <w:hyperlink r:id="rId10">
        <w:r w:rsidRPr="00EF25B0">
          <w:rPr>
            <w:rFonts w:ascii="Times New Roman" w:eastAsia="Sakkal Majalla" w:hAnsi="Times New Roman" w:cs="Times New Roman"/>
            <w:color w:val="0563C1"/>
            <w:sz w:val="16"/>
            <w:szCs w:val="16"/>
            <w:u w:val="single"/>
          </w:rPr>
          <w:t>https://2h.ae/Gttj</w:t>
        </w:r>
      </w:hyperlink>
    </w:p>
  </w:footnote>
  <w:footnote w:id="13">
    <w:p w14:paraId="78D58216"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Eighth periodic report submitted by Luxemburg under article 18 of the Convention, </w:t>
      </w:r>
      <w:hyperlink r:id="rId11">
        <w:r w:rsidRPr="00EF25B0">
          <w:rPr>
            <w:rFonts w:ascii="Times New Roman" w:hAnsi="Times New Roman" w:cs="Times New Roman"/>
            <w:color w:val="1155CC"/>
            <w:sz w:val="16"/>
            <w:szCs w:val="16"/>
            <w:u w:val="single"/>
          </w:rPr>
          <w:t>https://2h.ae/mjoX</w:t>
        </w:r>
      </w:hyperlink>
    </w:p>
  </w:footnote>
  <w:footnote w:id="14">
    <w:p w14:paraId="31EC79C2"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Eighth periodic report submitted by Luxemburg under article 18 of the Convention, </w:t>
      </w:r>
      <w:hyperlink r:id="rId12">
        <w:r w:rsidRPr="00EF25B0">
          <w:rPr>
            <w:rFonts w:ascii="Times New Roman" w:hAnsi="Times New Roman" w:cs="Times New Roman"/>
            <w:color w:val="1155CC"/>
            <w:sz w:val="16"/>
            <w:szCs w:val="16"/>
            <w:u w:val="single"/>
          </w:rPr>
          <w:t>https://2h.ae/mjoX</w:t>
        </w:r>
      </w:hyperlink>
    </w:p>
  </w:footnote>
  <w:footnote w:id="15">
    <w:p w14:paraId="5807D361" w14:textId="04ACEEDF"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Equal opportunities, </w:t>
      </w:r>
      <w:r w:rsidR="003B579F" w:rsidRPr="00EF25B0">
        <w:rPr>
          <w:rFonts w:ascii="Times New Roman" w:hAnsi="Times New Roman" w:cs="Times New Roman"/>
          <w:sz w:val="16"/>
          <w:szCs w:val="16"/>
        </w:rPr>
        <w:t>Luxembourg</w:t>
      </w:r>
      <w:r w:rsidRPr="00EF25B0">
        <w:rPr>
          <w:rFonts w:ascii="Times New Roman" w:hAnsi="Times New Roman" w:cs="Times New Roman"/>
          <w:sz w:val="16"/>
          <w:szCs w:val="16"/>
        </w:rPr>
        <w:t xml:space="preserve">, </w:t>
      </w:r>
      <w:hyperlink r:id="rId13">
        <w:r w:rsidRPr="00EF25B0">
          <w:rPr>
            <w:rFonts w:ascii="Times New Roman" w:hAnsi="Times New Roman" w:cs="Times New Roman"/>
            <w:color w:val="1155CC"/>
            <w:sz w:val="16"/>
            <w:szCs w:val="16"/>
            <w:u w:val="single"/>
          </w:rPr>
          <w:t>https://2h.ae/SwDC</w:t>
        </w:r>
      </w:hyperlink>
    </w:p>
  </w:footnote>
  <w:footnote w:id="16">
    <w:p w14:paraId="3F450A27" w14:textId="3CBD31FD"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w:t>
      </w:r>
      <w:r w:rsidRPr="00EF25B0">
        <w:rPr>
          <w:rFonts w:ascii="Times New Roman" w:eastAsia="Sakkal Majalla" w:hAnsi="Times New Roman" w:cs="Times New Roman"/>
          <w:color w:val="000000"/>
          <w:sz w:val="16"/>
          <w:szCs w:val="16"/>
        </w:rPr>
        <w:t xml:space="preserve">The Elimination of the Gender Wage Gap in Luxembourg, </w:t>
      </w:r>
      <w:r w:rsidR="003B579F" w:rsidRPr="00EF25B0">
        <w:rPr>
          <w:rFonts w:ascii="Times New Roman" w:eastAsia="Sakkal Majalla" w:hAnsi="Times New Roman" w:cs="Times New Roman"/>
          <w:color w:val="000000"/>
          <w:sz w:val="16"/>
          <w:szCs w:val="16"/>
        </w:rPr>
        <w:t>Borgen</w:t>
      </w:r>
      <w:r w:rsidRPr="00EF25B0">
        <w:rPr>
          <w:rFonts w:ascii="Times New Roman" w:eastAsia="Sakkal Majalla" w:hAnsi="Times New Roman" w:cs="Times New Roman"/>
          <w:color w:val="000000"/>
          <w:sz w:val="16"/>
          <w:szCs w:val="16"/>
        </w:rPr>
        <w:t xml:space="preserve"> project, </w:t>
      </w:r>
      <w:hyperlink r:id="rId14">
        <w:r w:rsidRPr="00EF25B0">
          <w:rPr>
            <w:rFonts w:ascii="Times New Roman" w:eastAsia="Sakkal Majalla" w:hAnsi="Times New Roman" w:cs="Times New Roman"/>
            <w:color w:val="0563C1"/>
            <w:sz w:val="16"/>
            <w:szCs w:val="16"/>
            <w:u w:val="single"/>
          </w:rPr>
          <w:t>https://2h.ae/XcLX</w:t>
        </w:r>
      </w:hyperlink>
    </w:p>
  </w:footnote>
  <w:footnote w:id="17">
    <w:p w14:paraId="56A352CF" w14:textId="70C9787D"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w:t>
      </w:r>
      <w:r w:rsidRPr="00EF25B0">
        <w:rPr>
          <w:rFonts w:ascii="Times New Roman" w:eastAsia="Sakkal Majalla" w:hAnsi="Times New Roman" w:cs="Times New Roman"/>
          <w:color w:val="000000"/>
          <w:sz w:val="16"/>
          <w:szCs w:val="16"/>
        </w:rPr>
        <w:t xml:space="preserve">Only 14 Countries Have Full Equal Rights for Women, </w:t>
      </w:r>
      <w:r w:rsidR="003B579F" w:rsidRPr="00EF25B0">
        <w:rPr>
          <w:rFonts w:ascii="Times New Roman" w:eastAsia="Sakkal Majalla" w:hAnsi="Times New Roman" w:cs="Times New Roman"/>
          <w:color w:val="000000"/>
          <w:sz w:val="16"/>
          <w:szCs w:val="16"/>
        </w:rPr>
        <w:t>Statista</w:t>
      </w:r>
      <w:r w:rsidRPr="00EF25B0">
        <w:rPr>
          <w:rFonts w:ascii="Times New Roman" w:eastAsia="Sakkal Majalla" w:hAnsi="Times New Roman" w:cs="Times New Roman"/>
          <w:color w:val="000000"/>
          <w:sz w:val="16"/>
          <w:szCs w:val="16"/>
        </w:rPr>
        <w:t xml:space="preserve">, </w:t>
      </w:r>
      <w:hyperlink r:id="rId15">
        <w:r w:rsidRPr="00EF25B0">
          <w:rPr>
            <w:rFonts w:ascii="Times New Roman" w:eastAsia="Sakkal Majalla" w:hAnsi="Times New Roman" w:cs="Times New Roman"/>
            <w:color w:val="0563C1"/>
            <w:sz w:val="16"/>
            <w:szCs w:val="16"/>
            <w:u w:val="single"/>
          </w:rPr>
          <w:t>https://2h.ae/lPPx</w:t>
        </w:r>
      </w:hyperlink>
    </w:p>
  </w:footnote>
  <w:footnote w:id="18">
    <w:p w14:paraId="52ACA478" w14:textId="77777777" w:rsidR="002A749B" w:rsidRPr="00EF25B0" w:rsidRDefault="002A749B" w:rsidP="002A749B">
      <w:pPr>
        <w:pStyle w:val="FootnoteText"/>
        <w:rPr>
          <w:rFonts w:ascii="Times New Roman" w:hAnsi="Times New Roman" w:cs="Times New Roman"/>
          <w:sz w:val="16"/>
          <w:szCs w:val="16"/>
        </w:rPr>
      </w:pPr>
      <w:r w:rsidRPr="00EF25B0">
        <w:rPr>
          <w:rStyle w:val="FootnoteReference"/>
          <w:rFonts w:ascii="Times New Roman" w:hAnsi="Times New Roman" w:cs="Times New Roman"/>
          <w:sz w:val="16"/>
          <w:szCs w:val="16"/>
        </w:rPr>
        <w:footnoteRef/>
      </w:r>
      <w:r w:rsidRPr="00EF25B0">
        <w:rPr>
          <w:rFonts w:ascii="Times New Roman" w:hAnsi="Times New Roman" w:cs="Times New Roman"/>
          <w:sz w:val="16"/>
          <w:szCs w:val="16"/>
        </w:rPr>
        <w:t xml:space="preserve"> Eighth periodic report submitted by Luxemburg under article 18 of the Convention, </w:t>
      </w:r>
      <w:hyperlink r:id="rId16">
        <w:r w:rsidRPr="00EF25B0">
          <w:rPr>
            <w:rFonts w:ascii="Times New Roman" w:hAnsi="Times New Roman" w:cs="Times New Roman"/>
            <w:color w:val="1155CC"/>
            <w:sz w:val="16"/>
            <w:szCs w:val="16"/>
            <w:u w:val="single"/>
          </w:rPr>
          <w:t>https://2h.ae/mjoX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B72CBE"/>
    <w:multiLevelType w:val="multilevel"/>
    <w:tmpl w:val="5482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8"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5"/>
  </w:num>
  <w:num w:numId="3" w16cid:durableId="1057122983">
    <w:abstractNumId w:val="25"/>
  </w:num>
  <w:num w:numId="4" w16cid:durableId="599484416">
    <w:abstractNumId w:val="14"/>
  </w:num>
  <w:num w:numId="5" w16cid:durableId="221990767">
    <w:abstractNumId w:val="28"/>
  </w:num>
  <w:num w:numId="6" w16cid:durableId="1184974759">
    <w:abstractNumId w:val="2"/>
  </w:num>
  <w:num w:numId="7" w16cid:durableId="719747233">
    <w:abstractNumId w:val="8"/>
  </w:num>
  <w:num w:numId="8" w16cid:durableId="2082218265">
    <w:abstractNumId w:val="16"/>
  </w:num>
  <w:num w:numId="9" w16cid:durableId="44522668">
    <w:abstractNumId w:val="18"/>
  </w:num>
  <w:num w:numId="10" w16cid:durableId="384570591">
    <w:abstractNumId w:val="20"/>
  </w:num>
  <w:num w:numId="11" w16cid:durableId="955409921">
    <w:abstractNumId w:val="1"/>
  </w:num>
  <w:num w:numId="12" w16cid:durableId="329604790">
    <w:abstractNumId w:val="0"/>
  </w:num>
  <w:num w:numId="13" w16cid:durableId="499975853">
    <w:abstractNumId w:val="21"/>
  </w:num>
  <w:num w:numId="14" w16cid:durableId="933244681">
    <w:abstractNumId w:val="23"/>
  </w:num>
  <w:num w:numId="15" w16cid:durableId="1029186210">
    <w:abstractNumId w:val="26"/>
  </w:num>
  <w:num w:numId="16" w16cid:durableId="510409883">
    <w:abstractNumId w:val="24"/>
  </w:num>
  <w:num w:numId="17" w16cid:durableId="1424718560">
    <w:abstractNumId w:val="5"/>
  </w:num>
  <w:num w:numId="18" w16cid:durableId="1266771858">
    <w:abstractNumId w:val="19"/>
  </w:num>
  <w:num w:numId="19" w16cid:durableId="1307006074">
    <w:abstractNumId w:val="7"/>
  </w:num>
  <w:num w:numId="20" w16cid:durableId="596136773">
    <w:abstractNumId w:val="13"/>
  </w:num>
  <w:num w:numId="21" w16cid:durableId="31420069">
    <w:abstractNumId w:val="9"/>
  </w:num>
  <w:num w:numId="22" w16cid:durableId="334383903">
    <w:abstractNumId w:val="27"/>
  </w:num>
  <w:num w:numId="23" w16cid:durableId="1430659545">
    <w:abstractNumId w:val="10"/>
  </w:num>
  <w:num w:numId="24" w16cid:durableId="155460974">
    <w:abstractNumId w:val="22"/>
  </w:num>
  <w:num w:numId="25" w16cid:durableId="722827196">
    <w:abstractNumId w:val="4"/>
  </w:num>
  <w:num w:numId="26" w16cid:durableId="2024890808">
    <w:abstractNumId w:val="17"/>
  </w:num>
  <w:num w:numId="27" w16cid:durableId="570501625">
    <w:abstractNumId w:val="11"/>
  </w:num>
  <w:num w:numId="28" w16cid:durableId="1337419106">
    <w:abstractNumId w:val="6"/>
  </w:num>
  <w:num w:numId="29" w16cid:durableId="16308231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D2801"/>
    <w:rsid w:val="001E0F28"/>
    <w:rsid w:val="001E5853"/>
    <w:rsid w:val="001F17D0"/>
    <w:rsid w:val="00204088"/>
    <w:rsid w:val="0021413B"/>
    <w:rsid w:val="00220D6B"/>
    <w:rsid w:val="00265110"/>
    <w:rsid w:val="00273EAA"/>
    <w:rsid w:val="0027781D"/>
    <w:rsid w:val="00287FC0"/>
    <w:rsid w:val="00292DF1"/>
    <w:rsid w:val="002A6B29"/>
    <w:rsid w:val="002A749B"/>
    <w:rsid w:val="002F1224"/>
    <w:rsid w:val="00304121"/>
    <w:rsid w:val="003174DA"/>
    <w:rsid w:val="00340D06"/>
    <w:rsid w:val="00391176"/>
    <w:rsid w:val="003946B5"/>
    <w:rsid w:val="003A181E"/>
    <w:rsid w:val="003B579F"/>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32295"/>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56631"/>
    <w:rsid w:val="007719B0"/>
    <w:rsid w:val="00774046"/>
    <w:rsid w:val="007809DA"/>
    <w:rsid w:val="0078773E"/>
    <w:rsid w:val="007A3308"/>
    <w:rsid w:val="007A5537"/>
    <w:rsid w:val="007D795E"/>
    <w:rsid w:val="007E687B"/>
    <w:rsid w:val="0080014F"/>
    <w:rsid w:val="00807AC5"/>
    <w:rsid w:val="00832E45"/>
    <w:rsid w:val="0085336D"/>
    <w:rsid w:val="008738FB"/>
    <w:rsid w:val="0087723C"/>
    <w:rsid w:val="00877E2D"/>
    <w:rsid w:val="008A1847"/>
    <w:rsid w:val="008C49F7"/>
    <w:rsid w:val="008D520A"/>
    <w:rsid w:val="008F2735"/>
    <w:rsid w:val="00904745"/>
    <w:rsid w:val="0096340C"/>
    <w:rsid w:val="0096779B"/>
    <w:rsid w:val="009852FE"/>
    <w:rsid w:val="009940AF"/>
    <w:rsid w:val="00996355"/>
    <w:rsid w:val="009A47EF"/>
    <w:rsid w:val="009C68A7"/>
    <w:rsid w:val="009D18CE"/>
    <w:rsid w:val="009E120E"/>
    <w:rsid w:val="009E5640"/>
    <w:rsid w:val="009E5A35"/>
    <w:rsid w:val="00A16414"/>
    <w:rsid w:val="00A42355"/>
    <w:rsid w:val="00A52770"/>
    <w:rsid w:val="00A641E3"/>
    <w:rsid w:val="00A64F85"/>
    <w:rsid w:val="00A66799"/>
    <w:rsid w:val="00AE3F17"/>
    <w:rsid w:val="00B02619"/>
    <w:rsid w:val="00B30326"/>
    <w:rsid w:val="00B544FE"/>
    <w:rsid w:val="00B567EF"/>
    <w:rsid w:val="00B86C51"/>
    <w:rsid w:val="00BC412F"/>
    <w:rsid w:val="00BD5A19"/>
    <w:rsid w:val="00BE0F32"/>
    <w:rsid w:val="00BE1008"/>
    <w:rsid w:val="00C26EB5"/>
    <w:rsid w:val="00C3032A"/>
    <w:rsid w:val="00C5009D"/>
    <w:rsid w:val="00C508A5"/>
    <w:rsid w:val="00C6564D"/>
    <w:rsid w:val="00C71B16"/>
    <w:rsid w:val="00C76041"/>
    <w:rsid w:val="00C82B72"/>
    <w:rsid w:val="00CA624A"/>
    <w:rsid w:val="00CA7CEB"/>
    <w:rsid w:val="00CF53E4"/>
    <w:rsid w:val="00D1496E"/>
    <w:rsid w:val="00D51762"/>
    <w:rsid w:val="00D65F66"/>
    <w:rsid w:val="00DB790F"/>
    <w:rsid w:val="00DC2019"/>
    <w:rsid w:val="00DC4F4D"/>
    <w:rsid w:val="00DF4ECD"/>
    <w:rsid w:val="00E0326C"/>
    <w:rsid w:val="00E23A40"/>
    <w:rsid w:val="00E23EEE"/>
    <w:rsid w:val="00E3778A"/>
    <w:rsid w:val="00E4081E"/>
    <w:rsid w:val="00E53BB1"/>
    <w:rsid w:val="00E55D80"/>
    <w:rsid w:val="00E56E43"/>
    <w:rsid w:val="00EB2133"/>
    <w:rsid w:val="00EC41C9"/>
    <w:rsid w:val="00ED1E5C"/>
    <w:rsid w:val="00EE156B"/>
    <w:rsid w:val="00F154A1"/>
    <w:rsid w:val="00F44F63"/>
    <w:rsid w:val="00F4689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A35"/>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2h.ae/mjoX" TargetMode="External"/><Relationship Id="rId13" Type="http://schemas.openxmlformats.org/officeDocument/2006/relationships/hyperlink" Target="https://2h.ae/SwDC" TargetMode="External"/><Relationship Id="rId3" Type="http://schemas.openxmlformats.org/officeDocument/2006/relationships/hyperlink" Target="https://2h.ae/Myzp" TargetMode="External"/><Relationship Id="rId7" Type="http://schemas.openxmlformats.org/officeDocument/2006/relationships/hyperlink" Target="https://2h.ae/mjoX" TargetMode="External"/><Relationship Id="rId12" Type="http://schemas.openxmlformats.org/officeDocument/2006/relationships/hyperlink" Target="https://2h.ae/mjoX" TargetMode="External"/><Relationship Id="rId2" Type="http://schemas.openxmlformats.org/officeDocument/2006/relationships/hyperlink" Target="https://2h.ae/YJxI" TargetMode="External"/><Relationship Id="rId16" Type="http://schemas.openxmlformats.org/officeDocument/2006/relationships/hyperlink" Target="https://2h.ae/mjoX" TargetMode="External"/><Relationship Id="rId1" Type="http://schemas.openxmlformats.org/officeDocument/2006/relationships/hyperlink" Target="https://2h.ae/wfUt" TargetMode="External"/><Relationship Id="rId6" Type="http://schemas.openxmlformats.org/officeDocument/2006/relationships/hyperlink" Target="https://2h.ae/xyvt" TargetMode="External"/><Relationship Id="rId11" Type="http://schemas.openxmlformats.org/officeDocument/2006/relationships/hyperlink" Target="https://2h.ae/mjoX" TargetMode="External"/><Relationship Id="rId5" Type="http://schemas.openxmlformats.org/officeDocument/2006/relationships/hyperlink" Target="https://2h.ae/mjoX" TargetMode="External"/><Relationship Id="rId15" Type="http://schemas.openxmlformats.org/officeDocument/2006/relationships/hyperlink" Target="https://2h.ae/lPPx" TargetMode="External"/><Relationship Id="rId10" Type="http://schemas.openxmlformats.org/officeDocument/2006/relationships/hyperlink" Target="https://2h.ae/Gttj" TargetMode="External"/><Relationship Id="rId4" Type="http://schemas.openxmlformats.org/officeDocument/2006/relationships/hyperlink" Target="https://2h.ae/mjoX" TargetMode="External"/><Relationship Id="rId9" Type="http://schemas.openxmlformats.org/officeDocument/2006/relationships/hyperlink" Target="https://2h.ae/gmfI" TargetMode="External"/><Relationship Id="rId14" Type="http://schemas.openxmlformats.org/officeDocument/2006/relationships/hyperlink" Target="https://2h.ae/XcL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2025-01-14T15:12:05+00:00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customXml/itemProps2.xml><?xml version="1.0" encoding="utf-8"?>
<ds:datastoreItem xmlns:ds="http://schemas.openxmlformats.org/officeDocument/2006/customXml" ds:itemID="{24526C76-774F-46F2-A4D0-2D2DECD60738}"/>
</file>

<file path=customXml/itemProps3.xml><?xml version="1.0" encoding="utf-8"?>
<ds:datastoreItem xmlns:ds="http://schemas.openxmlformats.org/officeDocument/2006/customXml" ds:itemID="{16772494-7602-4D31-9B15-8957AACD0FAF}"/>
</file>

<file path=customXml/itemProps4.xml><?xml version="1.0" encoding="utf-8"?>
<ds:datastoreItem xmlns:ds="http://schemas.openxmlformats.org/officeDocument/2006/customXml" ds:itemID="{521A86D0-87A7-4C13-B3C7-88A59ABCEEBE}"/>
</file>

<file path=docProps/app.xml><?xml version="1.0" encoding="utf-8"?>
<Properties xmlns="http://schemas.openxmlformats.org/officeDocument/2006/extended-properties" xmlns:vt="http://schemas.openxmlformats.org/officeDocument/2006/docPropsVTypes">
  <Template>Normal</Template>
  <TotalTime>6</TotalTime>
  <Pages>5</Pages>
  <Words>2393</Words>
  <Characters>13646</Characters>
  <Application>Microsoft Office Word</Application>
  <DocSecurity>0</DocSecurity>
  <Lines>113</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2</cp:revision>
  <dcterms:created xsi:type="dcterms:W3CDTF">2025-01-07T09:35:00Z</dcterms:created>
  <dcterms:modified xsi:type="dcterms:W3CDTF">2025-01-07T09:35:00Z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y fmtid="{D5CDD505-2E9C-101B-9397-08002B2CF9AE}" pid="3" name="ContentTypeId">
    <vt:lpwstr>0x010100A3CFA62B47352B44BFD11BEB9CD9FD5A</vt:lpwstr>
  </property>
</Properties>
</file>