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3F1FE917"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A97A12">
        <w:rPr>
          <w:rFonts w:ascii="Proxima Nova Rg" w:hAnsi="Proxima Nova Rg" w:cstheme="minorHAnsi"/>
          <w:b/>
          <w:sz w:val="32"/>
          <w:szCs w:val="32"/>
          <w:u w:val="single"/>
          <w:lang w:val="fr-FR"/>
        </w:rPr>
        <w:t>A</w:t>
      </w:r>
      <w:r w:rsidR="006E0F24">
        <w:rPr>
          <w:rFonts w:ascii="Proxima Nova Rg" w:hAnsi="Proxima Nova Rg" w:cstheme="minorHAnsi"/>
          <w:b/>
          <w:sz w:val="32"/>
          <w:szCs w:val="32"/>
          <w:u w:val="single"/>
          <w:lang w:val="fr-FR"/>
        </w:rPr>
        <w:t>RMENIA</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6E0F24">
        <w:rPr>
          <w:rFonts w:ascii="Proxima Nova Rg" w:hAnsi="Proxima Nova Rg" w:cstheme="minorHAnsi"/>
          <w:b/>
          <w:sz w:val="32"/>
          <w:szCs w:val="32"/>
          <w:lang w:val="fr-FR"/>
        </w:rPr>
        <w:t>7</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6E0F24">
        <w:rPr>
          <w:rFonts w:ascii="Proxima Nova Rg" w:hAnsi="Proxima Nova Rg" w:cstheme="minorHAnsi"/>
          <w:b/>
          <w:sz w:val="32"/>
          <w:szCs w:val="32"/>
          <w:u w:val="single"/>
        </w:rPr>
        <w:t>FEB</w:t>
      </w:r>
      <w:r w:rsidR="00A97A12">
        <w:rPr>
          <w:rFonts w:ascii="Proxima Nova Rg" w:hAnsi="Proxima Nova Rg" w:cstheme="minorHAnsi"/>
          <w:b/>
          <w:sz w:val="32"/>
          <w:szCs w:val="32"/>
          <w:u w:val="single"/>
        </w:rPr>
        <w:t>.</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6E0F24">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46D1ECF"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6E0F24">
        <w:rPr>
          <w:rFonts w:ascii="Proxima Nova Rg" w:hAnsi="Proxima Nova Rg" w:cstheme="minorHAnsi"/>
          <w:i/>
        </w:rPr>
        <w:t>Corporal Punishment</w:t>
      </w:r>
      <w:r w:rsidRPr="00E35A27">
        <w:rPr>
          <w:rFonts w:ascii="Proxima Nova Rg" w:hAnsi="Proxima Nova Rg" w:cstheme="minorHAnsi"/>
          <w:i/>
        </w:rPr>
        <w:t xml:space="preserve">, </w:t>
      </w:r>
      <w:r w:rsidR="006E0F24">
        <w:rPr>
          <w:rFonts w:ascii="Proxima Nova Rg" w:hAnsi="Proxima Nova Rg" w:cstheme="minorHAnsi"/>
          <w:i/>
        </w:rPr>
        <w:t>November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8F6A26">
        <w:rPr>
          <w:rFonts w:ascii="Proxima Nova Rg" w:hAnsi="Proxima Nova Rg" w:cstheme="minorHAnsi"/>
          <w:i/>
        </w:rPr>
        <w:t>3</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7AF37180"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677507">
        <w:rPr>
          <w:rFonts w:ascii="Proxima Nova Rg" w:hAnsi="Proxima Nova Rg"/>
          <w:b/>
          <w:sz w:val="28"/>
          <w:szCs w:val="28"/>
        </w:rPr>
        <w:t>Armenia</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677507">
        <w:rPr>
          <w:rFonts w:ascii="Proxima Nova Rg" w:hAnsi="Proxima Nova Rg"/>
          <w:b/>
          <w:sz w:val="28"/>
          <w:szCs w:val="28"/>
        </w:rPr>
        <w:t>5</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05892BA2" w:rsidR="00486A01" w:rsidRPr="00E35A27"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1D690A" w:rsidRPr="00E35A27">
        <w:rPr>
          <w:rFonts w:ascii="Proxima Nova Rg" w:hAnsi="Proxima Nova Rg"/>
          <w:b/>
          <w:sz w:val="28"/>
          <w:szCs w:val="28"/>
        </w:rPr>
        <w:t xml:space="preserve">List of Issues for </w:t>
      </w:r>
      <w:r w:rsidR="00677507">
        <w:rPr>
          <w:rFonts w:ascii="Proxima Nova Rg" w:hAnsi="Proxima Nova Rg"/>
          <w:b/>
          <w:sz w:val="28"/>
          <w:szCs w:val="28"/>
        </w:rPr>
        <w:t>Armenia</w:t>
      </w:r>
      <w:r w:rsidR="001D690A" w:rsidRPr="00E35A27">
        <w:rPr>
          <w:rFonts w:ascii="Proxima Nova Rg" w:hAnsi="Proxima Nova Rg"/>
          <w:b/>
          <w:sz w:val="28"/>
          <w:szCs w:val="28"/>
        </w:rPr>
        <w:t xml:space="preserve">, raise the issue of corporal punishment </w:t>
      </w:r>
      <w:r w:rsidR="00486A01" w:rsidRPr="00E35A27">
        <w:rPr>
          <w:rFonts w:ascii="Proxima Nova Rg" w:hAnsi="Proxima Nova Rg"/>
          <w:b/>
          <w:sz w:val="28"/>
          <w:szCs w:val="28"/>
        </w:rPr>
        <w:t xml:space="preserve">of children, </w:t>
      </w:r>
      <w:proofErr w:type="gramStart"/>
      <w:r w:rsidR="00486A01" w:rsidRPr="00E35A27">
        <w:rPr>
          <w:rFonts w:ascii="Proxima Nova Rg" w:hAnsi="Proxima Nova Rg"/>
          <w:b/>
          <w:sz w:val="28"/>
          <w:szCs w:val="28"/>
        </w:rPr>
        <w:t>in particular asking</w:t>
      </w:r>
      <w:proofErr w:type="gramEnd"/>
      <w:r w:rsidR="00486A01" w:rsidRPr="00E35A27">
        <w:rPr>
          <w:rFonts w:ascii="Proxima Nova Rg" w:hAnsi="Proxima Nova Rg"/>
          <w:b/>
          <w:sz w:val="28"/>
          <w:szCs w:val="28"/>
        </w:rPr>
        <w:t xml:space="preserve"> what </w:t>
      </w:r>
      <w:r w:rsidR="0053743C">
        <w:rPr>
          <w:rFonts w:ascii="Proxima Nova Rg" w:hAnsi="Proxima Nova Rg"/>
          <w:b/>
          <w:sz w:val="28"/>
          <w:szCs w:val="28"/>
        </w:rPr>
        <w:t>steps are being taken</w:t>
      </w:r>
      <w:r w:rsidR="00410E4B" w:rsidRPr="00E35A27">
        <w:rPr>
          <w:rFonts w:ascii="Proxima Nova Rg" w:hAnsi="Proxima Nova Rg"/>
          <w:b/>
          <w:sz w:val="28"/>
          <w:szCs w:val="28"/>
        </w:rPr>
        <w:t xml:space="preserve"> </w:t>
      </w:r>
      <w:r w:rsidR="0053743C">
        <w:rPr>
          <w:rFonts w:ascii="Proxima Nova Rg" w:hAnsi="Proxima Nova Rg"/>
          <w:b/>
          <w:sz w:val="28"/>
          <w:szCs w:val="28"/>
        </w:rPr>
        <w:t>to enact legislation to</w:t>
      </w:r>
      <w:r w:rsidR="008C5CA7" w:rsidRPr="00E35A27">
        <w:rPr>
          <w:rFonts w:ascii="Proxima Nova Rg" w:hAnsi="Proxima Nova Rg"/>
          <w:b/>
          <w:sz w:val="28"/>
          <w:szCs w:val="28"/>
        </w:rPr>
        <w:t xml:space="preserve"> </w:t>
      </w:r>
      <w:r w:rsidR="00410E4B" w:rsidRPr="00E35A27">
        <w:rPr>
          <w:rFonts w:ascii="Proxima Nova Rg" w:hAnsi="Proxima Nova Rg"/>
          <w:b/>
          <w:sz w:val="28"/>
          <w:szCs w:val="28"/>
        </w:rPr>
        <w:t>explicitly</w:t>
      </w:r>
      <w:r w:rsidR="00486A01" w:rsidRPr="00E35A27">
        <w:rPr>
          <w:rFonts w:ascii="Proxima Nova Rg" w:hAnsi="Proxima Nova Rg"/>
          <w:b/>
          <w:sz w:val="28"/>
          <w:szCs w:val="28"/>
        </w:rPr>
        <w:t xml:space="preserve"> prohibit corporal punishment of children in all settings; and</w:t>
      </w:r>
      <w:r w:rsidR="00410E4B" w:rsidRPr="00E35A27">
        <w:rPr>
          <w:rFonts w:ascii="Proxima Nova Rg" w:hAnsi="Proxima Nova Rg"/>
          <w:b/>
          <w:sz w:val="28"/>
          <w:szCs w:val="28"/>
        </w:rPr>
        <w:t>,</w:t>
      </w:r>
    </w:p>
    <w:p w14:paraId="01D78E95" w14:textId="42F19EAD"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0323EA">
        <w:rPr>
          <w:rFonts w:ascii="Proxima Nova Rg" w:hAnsi="Proxima Nova Rg"/>
          <w:b/>
          <w:sz w:val="28"/>
          <w:szCs w:val="28"/>
        </w:rPr>
        <w:t>f</w:t>
      </w:r>
      <w:r w:rsidR="00677507">
        <w:rPr>
          <w:rFonts w:ascii="Proxima Nova Rg" w:hAnsi="Proxima Nova Rg"/>
          <w:b/>
          <w:sz w:val="28"/>
          <w:szCs w:val="28"/>
        </w:rPr>
        <w:t xml:space="preserve">ifth- </w:t>
      </w:r>
      <w:r w:rsidR="00546A2A" w:rsidRPr="00E35A27">
        <w:rPr>
          <w:rFonts w:ascii="Proxima Nova Rg" w:hAnsi="Proxima Nova Rg"/>
          <w:b/>
          <w:sz w:val="28"/>
          <w:szCs w:val="28"/>
        </w:rPr>
        <w:t>sixth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677507">
        <w:rPr>
          <w:rFonts w:ascii="Proxima Nova Rg" w:hAnsi="Proxima Nova Rg"/>
          <w:b/>
          <w:sz w:val="28"/>
          <w:szCs w:val="28"/>
        </w:rPr>
        <w:t>Armenia</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5E7B9EAE" w14:textId="65F9619C" w:rsidR="0053743C" w:rsidRPr="00542E5B" w:rsidRDefault="00C76E0B"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Pr>
          <w:rFonts w:ascii="Proxima Nova Rg" w:hAnsi="Proxima Nova Rg"/>
          <w:color w:val="1E3250"/>
        </w:rPr>
        <w:t>Armenia</w:t>
      </w:r>
      <w:r w:rsidR="0053743C" w:rsidRPr="00542E5B">
        <w:rPr>
          <w:rFonts w:ascii="Proxima Nova Rg" w:hAnsi="Proxima Nova Rg"/>
          <w:color w:val="1E3250"/>
        </w:rPr>
        <w:t>’s commitment to prohibiting corporal punishment</w:t>
      </w:r>
    </w:p>
    <w:p w14:paraId="47836C9A" w14:textId="4B28DC7F" w:rsidR="0053743C" w:rsidRPr="00542E5B" w:rsidRDefault="00677507" w:rsidP="0053743C">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Pr>
          <w:rStyle w:val="normaltextrun"/>
          <w:rFonts w:ascii="Proxima Nova Rg" w:hAnsi="Proxima Nova Rg"/>
          <w:color w:val="000000"/>
          <w:shd w:val="clear" w:color="auto" w:fill="FFFFFF"/>
        </w:rPr>
        <w:t xml:space="preserve">Armenia expressed its commitment to prohibiting all corporal punishment of children by unequivocally accepting recommendations to do so made during the Universal Periodic Reviews of Armenia in 2010 and 2015 and within the Human Rights Action Plan 2020-2022. </w:t>
      </w:r>
    </w:p>
    <w:p w14:paraId="17EA1F4C" w14:textId="77777777" w:rsidR="0053743C" w:rsidRPr="00542E5B" w:rsidRDefault="0053743C"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050F471D" w14:textId="4403859C" w:rsidR="00677507" w:rsidRDefault="00677507"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Pr>
          <w:rFonts w:ascii="Proxima Nova Rg" w:hAnsi="Proxima Nova Rg"/>
        </w:rPr>
        <w:t xml:space="preserve">Prohibition is still to be achieved in the home, some alternative care </w:t>
      </w:r>
      <w:proofErr w:type="gramStart"/>
      <w:r>
        <w:rPr>
          <w:rFonts w:ascii="Proxima Nova Rg" w:hAnsi="Proxima Nova Rg"/>
        </w:rPr>
        <w:t>settings</w:t>
      </w:r>
      <w:proofErr w:type="gramEnd"/>
      <w:r>
        <w:rPr>
          <w:rFonts w:ascii="Proxima Nova Rg" w:hAnsi="Proxima Nova Rg"/>
        </w:rPr>
        <w:t xml:space="preserve"> and day care.</w:t>
      </w:r>
    </w:p>
    <w:p w14:paraId="50A5F35C" w14:textId="797EAE79" w:rsidR="00677507" w:rsidRDefault="00677507"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r>
        <w:rPr>
          <w:rStyle w:val="normaltextrun"/>
          <w:rFonts w:ascii="Proxima Nova Rg" w:hAnsi="Proxima Nova Rg" w:cs="Segoe UI"/>
        </w:rPr>
        <w:t xml:space="preserve">There is no defence for the use of corporal punishment enshrined in legislation but there is no explicit prohibition. In theory, the prohibition of physical or psychological violence, </w:t>
      </w:r>
      <w:proofErr w:type="gramStart"/>
      <w:r>
        <w:rPr>
          <w:rStyle w:val="normaltextrun"/>
          <w:rFonts w:ascii="Proxima Nova Rg" w:hAnsi="Proxima Nova Rg" w:cs="Segoe UI"/>
        </w:rPr>
        <w:t>cruelty</w:t>
      </w:r>
      <w:proofErr w:type="gramEnd"/>
      <w:r>
        <w:rPr>
          <w:rStyle w:val="normaltextrun"/>
          <w:rFonts w:ascii="Proxima Nova Rg" w:hAnsi="Proxima Nova Rg" w:cs="Segoe UI"/>
        </w:rPr>
        <w:t xml:space="preserve"> and humiliation in childrearing in article 53 of the Family Code would prohibit corporal punishment by parents, which invariably violates a child’s dignity, but the potential for such an interpretation is undermined by the near universal social acceptance and use of corporal punishment in childrearing. Realisation of children’s rights to equal protection from assault under the law and to protection from all forms of violence requires clarity in law that no degree or form of corporal punishment is acceptable or lawful, without exception. Explicit prohibition should be enacted of all corporal punishment and other humiliating and degrading treatment, </w:t>
      </w:r>
      <w:r w:rsidR="00C76E0B">
        <w:rPr>
          <w:rStyle w:val="normaltextrun"/>
          <w:rFonts w:ascii="Proxima Nova Rg" w:hAnsi="Proxima Nova Rg" w:cs="Segoe UI"/>
        </w:rPr>
        <w:t xml:space="preserve">in the home and all other settings </w:t>
      </w:r>
      <w:proofErr w:type="gramStart"/>
      <w:r w:rsidR="00C76E0B">
        <w:rPr>
          <w:rStyle w:val="normaltextrun"/>
          <w:rFonts w:ascii="Proxima Nova Rg" w:hAnsi="Proxima Nova Rg" w:cs="Segoe UI"/>
        </w:rPr>
        <w:t>where</w:t>
      </w:r>
      <w:proofErr w:type="gramEnd"/>
      <w:r w:rsidR="00C76E0B">
        <w:rPr>
          <w:rStyle w:val="normaltextrun"/>
          <w:rFonts w:ascii="Proxima Nova Rg" w:hAnsi="Proxima Nova Rg" w:cs="Segoe UI"/>
        </w:rPr>
        <w:t xml:space="preserve"> adults exercise authority over children.</w:t>
      </w:r>
    </w:p>
    <w:p w14:paraId="17C316D2" w14:textId="77777777" w:rsidR="00C76E0B" w:rsidRDefault="00C76E0B"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p>
    <w:p w14:paraId="3DE5443C" w14:textId="454803FD" w:rsidR="00C76E0B" w:rsidRDefault="00C76E0B"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r w:rsidRPr="00C76E0B">
        <w:rPr>
          <w:rStyle w:val="normaltextrun"/>
          <w:rFonts w:ascii="Proxima Nova Rg" w:hAnsi="Proxima Nova Rg" w:cs="Segoe UI"/>
          <w:i/>
          <w:iCs/>
        </w:rPr>
        <w:t>Alternative care settings</w:t>
      </w:r>
      <w:r>
        <w:rPr>
          <w:rStyle w:val="normaltextrun"/>
          <w:rFonts w:ascii="Proxima Nova Rg" w:hAnsi="Proxima Nova Rg" w:cs="Segoe UI"/>
        </w:rPr>
        <w:t xml:space="preserve"> – Corporal punishment is considered unlawful in care institutions under the Rights of the Child Act 1996, though the law does not explicitly refer to corporal punishment. Explicit prohibition should be enacted in relation to all alternative care settings (including foster care, places of safety, emergency care, etc.). </w:t>
      </w:r>
    </w:p>
    <w:p w14:paraId="69ED2ED7" w14:textId="77777777" w:rsidR="00C76E0B" w:rsidRDefault="00C76E0B"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p>
    <w:p w14:paraId="44CD9BC2" w14:textId="10C89166" w:rsidR="00677507" w:rsidRDefault="00C76E0B"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Pr>
          <w:rStyle w:val="normaltextrun"/>
          <w:rFonts w:ascii="Proxima Nova Rg" w:hAnsi="Proxima Nova Rg" w:cs="Segoe UI"/>
        </w:rPr>
        <w:t xml:space="preserve">Day care – Corporal punishment should be prohibited in all early childhood care (nurseries, creches, preschools, family centres, etc.) and </w:t>
      </w:r>
      <w:proofErr w:type="gramStart"/>
      <w:r>
        <w:rPr>
          <w:rStyle w:val="normaltextrun"/>
          <w:rFonts w:ascii="Proxima Nova Rg" w:hAnsi="Proxima Nova Rg" w:cs="Segoe UI"/>
        </w:rPr>
        <w:t>all day</w:t>
      </w:r>
      <w:proofErr w:type="gramEnd"/>
      <w:r>
        <w:rPr>
          <w:rStyle w:val="normaltextrun"/>
          <w:rFonts w:ascii="Proxima Nova Rg" w:hAnsi="Proxima Nova Rg" w:cs="Segoe UI"/>
        </w:rPr>
        <w:t xml:space="preserve"> care for older children (day centres, after-school childcare, childminding, etc.)</w:t>
      </w:r>
    </w:p>
    <w:p w14:paraId="27508E93" w14:textId="77777777" w:rsidR="00677507" w:rsidRPr="00542E5B" w:rsidRDefault="00677507"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119C4D3F"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677507">
        <w:rPr>
          <w:rFonts w:ascii="Proxima Nova Rg" w:hAnsi="Proxima Nova Rg" w:cstheme="minorHAnsi"/>
          <w:b/>
          <w:sz w:val="28"/>
          <w:szCs w:val="28"/>
        </w:rPr>
        <w:t>Armenia</w:t>
      </w:r>
    </w:p>
    <w:p w14:paraId="1A81B8BE" w14:textId="1FF6D0BB" w:rsidR="00E44610" w:rsidRPr="00E44610" w:rsidRDefault="00EE5054" w:rsidP="00E44610">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E44610" w:rsidRPr="00E44610">
        <w:rPr>
          <w:rFonts w:ascii="Proxima Nova Rg" w:hAnsi="Proxima Nova Rg" w:cstheme="minorHAnsi"/>
          <w:color w:val="000000" w:themeColor="text1"/>
          <w:sz w:val="22"/>
          <w:szCs w:val="22"/>
        </w:rPr>
        <w:t>Corporal punishment is lawful in the home. The Family Code 2004 (amended 2017) states in article 53(1) (unofficial translation): “Parental rights may not be exercised contrary to the interests of children…. In the exercise of parental rights, parents are not entitled to harm the physical and mental health of children or their moral development. Methods of parenting must exclude</w:t>
      </w:r>
      <w:r w:rsidR="00E44610" w:rsidRPr="00E44610">
        <w:rPr>
          <w:rFonts w:ascii="Proxima Nova Rg" w:hAnsi="Proxima Nova Rg" w:cstheme="minorHAnsi"/>
          <w:sz w:val="22"/>
          <w:szCs w:val="22"/>
        </w:rPr>
        <w:t xml:space="preserve"> any </w:t>
      </w:r>
      <w:r w:rsidR="00E44610" w:rsidRPr="00E44610">
        <w:rPr>
          <w:rFonts w:ascii="Proxima Nova Rg" w:hAnsi="Proxima Nova Rg" w:cstheme="minorHAnsi"/>
          <w:color w:val="000000" w:themeColor="text1"/>
          <w:sz w:val="22"/>
          <w:szCs w:val="22"/>
        </w:rPr>
        <w:t xml:space="preserve">physical or psychological violence as a means of upbringing, as well as scornful, cruel, inhuman treatment, </w:t>
      </w:r>
      <w:proofErr w:type="gramStart"/>
      <w:r w:rsidR="00E44610" w:rsidRPr="00E44610">
        <w:rPr>
          <w:rFonts w:ascii="Proxima Nova Rg" w:hAnsi="Proxima Nova Rg" w:cstheme="minorHAnsi"/>
          <w:color w:val="000000" w:themeColor="text1"/>
          <w:sz w:val="22"/>
          <w:szCs w:val="22"/>
        </w:rPr>
        <w:t>insults</w:t>
      </w:r>
      <w:proofErr w:type="gramEnd"/>
      <w:r w:rsidR="00E44610" w:rsidRPr="00E44610">
        <w:rPr>
          <w:rFonts w:ascii="Proxima Nova Rg" w:hAnsi="Proxima Nova Rg" w:cstheme="minorHAnsi"/>
          <w:color w:val="000000" w:themeColor="text1"/>
          <w:sz w:val="22"/>
          <w:szCs w:val="22"/>
        </w:rPr>
        <w:t xml:space="preserve"> and exploitation….” </w:t>
      </w:r>
      <w:r w:rsidR="00E44610" w:rsidRPr="00E44610">
        <w:rPr>
          <w:rFonts w:ascii="Proxima Nova Rg" w:eastAsia="Calibri" w:hAnsi="Proxima Nova Rg" w:cstheme="minorHAnsi"/>
          <w:color w:val="000000" w:themeColor="text1"/>
          <w:sz w:val="22"/>
          <w:szCs w:val="22"/>
          <w:lang w:eastAsia="en-GB"/>
        </w:rPr>
        <w:t xml:space="preserve">Article 9 of the Rights of the Child Act 1996 states that children have a right to protection from all forms of violence and that no person, including parents, must inflict violence on the child or punishment which affects the child’s dignity, and article 22 protects the child’s right to honour and dignity. But </w:t>
      </w:r>
      <w:r w:rsidR="00E44610" w:rsidRPr="00E44610">
        <w:rPr>
          <w:rFonts w:ascii="Proxima Nova Rg" w:hAnsi="Proxima Nova Rg" w:cstheme="minorHAnsi"/>
          <w:color w:val="000000" w:themeColor="text1"/>
          <w:sz w:val="22"/>
          <w:szCs w:val="22"/>
        </w:rPr>
        <w:t>there is no clear and explicit prohibition of all corporal punishment.</w:t>
      </w:r>
      <w:r w:rsidR="00E44610" w:rsidRPr="00E44610">
        <w:rPr>
          <w:rFonts w:ascii="Proxima Nova Rg" w:hAnsi="Proxima Nova Rg" w:cstheme="minorHAnsi"/>
          <w:color w:val="000000" w:themeColor="text1"/>
          <w:sz w:val="22"/>
          <w:szCs w:val="22"/>
          <w:lang w:val="en"/>
        </w:rPr>
        <w:t xml:space="preserve"> </w:t>
      </w:r>
    </w:p>
    <w:p w14:paraId="3F9C5A0F" w14:textId="77777777" w:rsid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75257308" w14:textId="77777777" w:rsid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792AE9B4" w14:textId="77777777" w:rsidR="00E44610" w:rsidRPr="00E44610"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5A80CE93" w14:textId="77777777" w:rsidR="00E44610" w:rsidRPr="00F8547D"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00C6D3D1" w14:textId="2DFA13DF" w:rsidR="00E44610" w:rsidRPr="00E44610" w:rsidRDefault="00E44610" w:rsidP="00E44610">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E44610">
        <w:rPr>
          <w:rFonts w:ascii="Proxima Nova Rg" w:eastAsia="Calibri" w:hAnsi="Proxima Nova Rg" w:cstheme="minorHAnsi"/>
          <w:sz w:val="22"/>
          <w:szCs w:val="22"/>
          <w:lang w:eastAsia="en-GB"/>
        </w:rPr>
        <w:t>A new Criminal Code is being drafted and a Law on the Rights and Social Inclusion of Persons with Disabilities is being considered.</w:t>
      </w:r>
      <w:r w:rsidRPr="00A0206F">
        <w:rPr>
          <w:rStyle w:val="FootnoteReference"/>
          <w:rFonts w:ascii="Proxima Nova Rg" w:eastAsia="Calibri" w:hAnsi="Proxima Nova Rg" w:cstheme="minorHAnsi"/>
          <w:sz w:val="22"/>
          <w:szCs w:val="22"/>
          <w:lang w:eastAsia="en-GB"/>
        </w:rPr>
        <w:footnoteReference w:id="2"/>
      </w:r>
      <w:r w:rsidRPr="00E44610">
        <w:rPr>
          <w:rFonts w:ascii="Proxima Nova Rg" w:eastAsia="Calibri" w:hAnsi="Proxima Nova Rg" w:cstheme="minorHAnsi"/>
          <w:sz w:val="22"/>
          <w:szCs w:val="22"/>
          <w:lang w:eastAsia="en-GB"/>
        </w:rPr>
        <w:t xml:space="preserve"> The National Strategy and Action Plan on the Protection of the Rights of the Child 2017-2021 does not provide a separate activity on corporal punishment, but reportedly priorities the issue of social acceptance of violence in home as a serious concern, and provides several activities on public awareness raising.</w:t>
      </w:r>
      <w:r w:rsidRPr="00A0206F">
        <w:rPr>
          <w:rStyle w:val="FootnoteReference"/>
          <w:rFonts w:ascii="Proxima Nova Rg" w:eastAsia="Calibri" w:hAnsi="Proxima Nova Rg"/>
          <w:sz w:val="22"/>
          <w:szCs w:val="22"/>
          <w:lang w:eastAsia="en-GB"/>
        </w:rPr>
        <w:footnoteReference w:id="3"/>
      </w:r>
      <w:r w:rsidRPr="00E44610">
        <w:rPr>
          <w:rFonts w:ascii="Proxima Nova Rg" w:eastAsia="Calibri" w:hAnsi="Proxima Nova Rg" w:cstheme="minorHAnsi"/>
          <w:sz w:val="22"/>
          <w:szCs w:val="22"/>
          <w:lang w:eastAsia="en-GB"/>
        </w:rPr>
        <w:t xml:space="preserve"> </w:t>
      </w:r>
      <w:r w:rsidRPr="00E44610">
        <w:rPr>
          <w:rFonts w:ascii="Proxima Nova Rg" w:hAnsi="Proxima Nova Rg" w:cs="Calibri"/>
          <w:sz w:val="22"/>
          <w:szCs w:val="22"/>
        </w:rPr>
        <w:t>Armenia has been a Pathfinder country with the Global Partnership to End Violence Against Children since January 2018. This commits the Government to three to five years of accelerated action towards the achievement of Target 16.2 of the Sustainable Development Goals. The Human Rights Action Plan 2020-2022 commits Armenia to adopting legislation prohibiting corporal punishment of children, with the relevant Bill to be submitted to the National Assembly in the first semester of 2021.  We do not have further information about the law reform process.</w:t>
      </w:r>
    </w:p>
    <w:p w14:paraId="094F63B6" w14:textId="77777777" w:rsidR="003E745A" w:rsidRPr="003E745A" w:rsidRDefault="003E745A" w:rsidP="00F8547D">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p>
    <w:p w14:paraId="6589AB1E" w14:textId="2391D6F4" w:rsidR="00E44610" w:rsidRPr="00E44610" w:rsidRDefault="00016CB3" w:rsidP="00E44610">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E44610" w:rsidRPr="00E44610">
        <w:rPr>
          <w:rFonts w:ascii="Proxima Nova Rg" w:hAnsi="Proxima Nova Rg" w:cstheme="minorHAnsi"/>
          <w:sz w:val="22"/>
          <w:szCs w:val="22"/>
        </w:rPr>
        <w:t xml:space="preserve">Corporal punishment is unlawful in care institutions under the Rights of the Child Act 1996 (see under “Home”) but there is no explicit </w:t>
      </w:r>
      <w:proofErr w:type="gramStart"/>
      <w:r w:rsidR="00E44610" w:rsidRPr="00E44610">
        <w:rPr>
          <w:rFonts w:ascii="Proxima Nova Rg" w:hAnsi="Proxima Nova Rg" w:cstheme="minorHAnsi"/>
          <w:sz w:val="22"/>
          <w:szCs w:val="22"/>
        </w:rPr>
        <w:t>prohibition</w:t>
      </w:r>
      <w:proofErr w:type="gramEnd"/>
      <w:r w:rsidR="00E44610" w:rsidRPr="00E44610">
        <w:rPr>
          <w:rFonts w:ascii="Proxima Nova Rg" w:hAnsi="Proxima Nova Rg" w:cstheme="minorHAnsi"/>
          <w:sz w:val="22"/>
          <w:szCs w:val="22"/>
        </w:rPr>
        <w:t xml:space="preserve"> and the law is not interpreted as prohibiting corporal punishment in non-institutional forms of care. Applicable law includes the Law “On social protection of children deprived of parental care” 2002: it does not explicitly prohibit corporal punishment.</w:t>
      </w:r>
    </w:p>
    <w:p w14:paraId="1951ACD1"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39E02B54" w14:textId="09474CE2" w:rsidR="007666F1" w:rsidRPr="007666F1" w:rsidRDefault="004A62CE" w:rsidP="007666F1">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7666F1" w:rsidRPr="007666F1">
        <w:rPr>
          <w:rFonts w:ascii="Proxima Nova Rg" w:hAnsi="Proxima Nova Rg" w:cstheme="minorHAnsi"/>
          <w:iCs/>
          <w:sz w:val="22"/>
          <w:szCs w:val="22"/>
        </w:rPr>
        <w:t>There is no explicit prohibition of corporal punishment in all early childhood care and day care for older children. It is possibly considered unlawful in preschool settings under the Law on Education 1999 (see under “Schools”).</w:t>
      </w:r>
    </w:p>
    <w:p w14:paraId="4D64E372"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2CE73784" w14:textId="6BB5A1C0" w:rsidR="007666F1" w:rsidRDefault="00EE5054" w:rsidP="007666F1">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7666F1" w:rsidRPr="007666F1">
        <w:rPr>
          <w:rFonts w:ascii="Proxima Nova Rg" w:hAnsi="Proxima Nova Rg" w:cstheme="minorHAnsi"/>
          <w:sz w:val="22"/>
          <w:szCs w:val="22"/>
        </w:rPr>
        <w:t>Corporal punishment is unlawful in schools under the Rights of the Child Act 1996 (see under “Home”) but there is no explicit prohibition. Article 49(2) of the Law on Education 1999 prohibits teaching methods that use physical or mental pressure.</w:t>
      </w:r>
    </w:p>
    <w:p w14:paraId="018ADDDF" w14:textId="77777777" w:rsidR="007666F1" w:rsidRDefault="007666F1" w:rsidP="007666F1">
      <w:pPr>
        <w:pStyle w:val="ListParagraph"/>
        <w:rPr>
          <w:rFonts w:ascii="Proxima Nova Rg" w:hAnsi="Proxima Nova Rg" w:cstheme="minorHAnsi"/>
          <w:sz w:val="22"/>
          <w:szCs w:val="22"/>
        </w:rPr>
      </w:pPr>
    </w:p>
    <w:p w14:paraId="45E813BA" w14:textId="5FEFDD51" w:rsidR="007666F1" w:rsidRPr="007666F1" w:rsidRDefault="007666F1" w:rsidP="007666F1">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Penal institutions:</w:t>
      </w:r>
      <w:r>
        <w:rPr>
          <w:rFonts w:ascii="Proxima Nova Rg" w:hAnsi="Proxima Nova Rg" w:cstheme="minorHAnsi"/>
          <w:sz w:val="22"/>
          <w:szCs w:val="22"/>
        </w:rPr>
        <w:t xml:space="preserve"> </w:t>
      </w:r>
      <w:r w:rsidRPr="007666F1">
        <w:rPr>
          <w:rFonts w:ascii="Proxima Nova Rg" w:hAnsi="Proxima Nova Rg" w:cstheme="minorHAnsi"/>
          <w:sz w:val="22"/>
          <w:szCs w:val="22"/>
        </w:rPr>
        <w:t xml:space="preserve">Corporal punishment is considered unlawful as a disciplinary measure in penal institutions under the Rights of the Child Act 1996, the Criminal Code </w:t>
      </w:r>
      <w:proofErr w:type="gramStart"/>
      <w:r w:rsidRPr="007666F1">
        <w:rPr>
          <w:rFonts w:ascii="Proxima Nova Rg" w:hAnsi="Proxima Nova Rg" w:cstheme="minorHAnsi"/>
          <w:sz w:val="22"/>
          <w:szCs w:val="22"/>
        </w:rPr>
        <w:t>2003</w:t>
      </w:r>
      <w:proofErr w:type="gramEnd"/>
      <w:r w:rsidRPr="007666F1">
        <w:rPr>
          <w:rFonts w:ascii="Proxima Nova Rg" w:hAnsi="Proxima Nova Rg" w:cstheme="minorHAnsi"/>
          <w:sz w:val="22"/>
          <w:szCs w:val="22"/>
        </w:rPr>
        <w:t xml:space="preserve"> and the Constitution 1995, but there is no explicit prohibition. The Law on the Treatment of Arrestees and Detainees 2002 prohibits physical violence and inhuman or degrading actions and makes no provision for corporal punishment. Under the Penitentiary Code, </w:t>
      </w:r>
      <w:r w:rsidRPr="007666F1">
        <w:rPr>
          <w:rFonts w:ascii="Proxima Nova Rg" w:eastAsia="Calibri" w:hAnsi="Proxima Nova Rg" w:cstheme="minorHAnsi"/>
          <w:sz w:val="22"/>
          <w:szCs w:val="22"/>
          <w:lang w:eastAsia="en-GB"/>
        </w:rPr>
        <w:t xml:space="preserve">the execution of a sentence must not be accompanied by physical violence or degrading treatment and no person sentenced to deprivation of liberty shall be subjected to torture or other cruel, </w:t>
      </w:r>
      <w:proofErr w:type="gramStart"/>
      <w:r w:rsidRPr="007666F1">
        <w:rPr>
          <w:rFonts w:ascii="Proxima Nova Rg" w:eastAsia="Calibri" w:hAnsi="Proxima Nova Rg" w:cstheme="minorHAnsi"/>
          <w:sz w:val="22"/>
          <w:szCs w:val="22"/>
          <w:lang w:eastAsia="en-GB"/>
        </w:rPr>
        <w:t>inhuman</w:t>
      </w:r>
      <w:proofErr w:type="gramEnd"/>
      <w:r w:rsidRPr="007666F1">
        <w:rPr>
          <w:rFonts w:ascii="Proxima Nova Rg" w:eastAsia="Calibri" w:hAnsi="Proxima Nova Rg" w:cstheme="minorHAnsi"/>
          <w:sz w:val="22"/>
          <w:szCs w:val="22"/>
          <w:lang w:eastAsia="en-GB"/>
        </w:rPr>
        <w:t xml:space="preserve"> or degrading treatment or punishment.</w:t>
      </w:r>
    </w:p>
    <w:p w14:paraId="2E1AA50E" w14:textId="77777777" w:rsidR="007666F1" w:rsidRDefault="007666F1" w:rsidP="007666F1">
      <w:pPr>
        <w:pStyle w:val="ListParagraph"/>
        <w:rPr>
          <w:rFonts w:ascii="Proxima Nova Rg" w:hAnsi="Proxima Nova Rg" w:cstheme="minorHAnsi"/>
          <w:sz w:val="22"/>
          <w:szCs w:val="22"/>
        </w:rPr>
      </w:pPr>
    </w:p>
    <w:p w14:paraId="440199B0" w14:textId="4AD823EA" w:rsidR="007666F1" w:rsidRPr="007666F1" w:rsidRDefault="007666F1" w:rsidP="007666F1">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Sentence for crime:</w:t>
      </w:r>
      <w:r>
        <w:rPr>
          <w:rFonts w:ascii="Proxima Nova Rg" w:hAnsi="Proxima Nova Rg" w:cstheme="minorHAnsi"/>
          <w:sz w:val="22"/>
          <w:szCs w:val="22"/>
        </w:rPr>
        <w:t xml:space="preserve"> </w:t>
      </w:r>
      <w:r w:rsidRPr="007666F1">
        <w:rPr>
          <w:rFonts w:ascii="Proxima Nova Rg" w:hAnsi="Proxima Nova Rg" w:cstheme="minorHAnsi"/>
          <w:sz w:val="22"/>
          <w:szCs w:val="22"/>
        </w:rPr>
        <w:t xml:space="preserve">Corporal punishment is unlawful as a sentence for crime. It is not available as a sentence under the Criminal Code 2003 and article </w:t>
      </w:r>
      <w:r w:rsidRPr="007666F1">
        <w:rPr>
          <w:rFonts w:ascii="Proxima Nova Rg" w:eastAsia="Calibri" w:hAnsi="Proxima Nova Rg" w:cstheme="minorHAnsi"/>
          <w:sz w:val="22"/>
          <w:szCs w:val="22"/>
          <w:lang w:eastAsia="en-GB"/>
        </w:rPr>
        <w:t xml:space="preserve">11 of the Code states that no one shall be subjected to torture or cruel, </w:t>
      </w:r>
      <w:proofErr w:type="gramStart"/>
      <w:r w:rsidRPr="007666F1">
        <w:rPr>
          <w:rFonts w:ascii="Proxima Nova Rg" w:eastAsia="Calibri" w:hAnsi="Proxima Nova Rg" w:cstheme="minorHAnsi"/>
          <w:sz w:val="22"/>
          <w:szCs w:val="22"/>
        </w:rPr>
        <w:t>inhuman</w:t>
      </w:r>
      <w:proofErr w:type="gramEnd"/>
      <w:r w:rsidRPr="007666F1">
        <w:rPr>
          <w:rFonts w:ascii="Proxima Nova Rg" w:eastAsia="Calibri" w:hAnsi="Proxima Nova Rg" w:cstheme="minorHAnsi"/>
          <w:sz w:val="22"/>
          <w:szCs w:val="22"/>
        </w:rPr>
        <w:t xml:space="preserve"> or degrading treatment or punishment.</w:t>
      </w:r>
      <w:r w:rsidRPr="007666F1">
        <w:rPr>
          <w:rFonts w:ascii="Proxima Nova Rg" w:hAnsi="Proxima Nova Rg" w:cstheme="minorHAnsi"/>
          <w:sz w:val="22"/>
          <w:szCs w:val="22"/>
        </w:rPr>
        <w:t xml:space="preserve"> </w:t>
      </w:r>
      <w:r w:rsidRPr="007666F1">
        <w:rPr>
          <w:rFonts w:ascii="Proxima Nova Rg" w:eastAsia="Calibri" w:hAnsi="Proxima Nova Rg" w:cstheme="minorHAnsi"/>
          <w:sz w:val="22"/>
          <w:szCs w:val="22"/>
          <w:lang w:eastAsia="en-GB"/>
        </w:rPr>
        <w:t>Article 17 of the Constitution 1995 states that “no one shall be subjected to torture or inhuman or degrading treatment or punishment” and “all persons arrested, detained or deprived of liberty shall have the right to be treated with humanity and with respect for dignity”; there are similar provisions in the Criminal Procedure Code. A draft new Criminal Procedure Code is under discussion (2015) which includes a chapter on juvenile justice.</w:t>
      </w:r>
    </w:p>
    <w:p w14:paraId="3E363385" w14:textId="77777777" w:rsidR="009358B8" w:rsidRDefault="009358B8" w:rsidP="009358B8">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b/>
          <w:bCs/>
          <w:i/>
          <w:iCs/>
        </w:rPr>
      </w:pPr>
    </w:p>
    <w:p w14:paraId="1AE2BC2D" w14:textId="77777777" w:rsidR="00C25807" w:rsidRPr="00E35A27" w:rsidRDefault="00C2580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409D823E" w14:textId="77777777" w:rsidR="008549A7" w:rsidRPr="00E35A27" w:rsidRDefault="008549A7" w:rsidP="000C4C49">
      <w:pPr>
        <w:pStyle w:val="ListParagraph"/>
        <w:jc w:val="both"/>
        <w:rPr>
          <w:rFonts w:ascii="Proxima Nova Rg" w:hAnsi="Proxima Nova Rg"/>
        </w:rPr>
      </w:pP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4D237DFB" w14:textId="19A11F56" w:rsidR="0070788B" w:rsidRPr="0070788B" w:rsidRDefault="0070788B" w:rsidP="0070788B">
      <w:pPr>
        <w:pStyle w:val="ListParagraph"/>
        <w:numPr>
          <w:ilvl w:val="1"/>
          <w:numId w:val="18"/>
        </w:numPr>
        <w:spacing w:after="120"/>
        <w:ind w:left="360"/>
        <w:jc w:val="both"/>
        <w:rPr>
          <w:rFonts w:ascii="Proxima Nova Rg" w:hAnsi="Proxima Nova Rg" w:cstheme="minorHAnsi"/>
          <w:bCs/>
          <w:sz w:val="22"/>
          <w:szCs w:val="22"/>
        </w:rPr>
      </w:pPr>
      <w:r w:rsidRPr="0070788B">
        <w:rPr>
          <w:rStyle w:val="normaltextrun"/>
          <w:rFonts w:ascii="Proxima Nova Rg" w:hAnsi="Proxima Nova Rg"/>
          <w:color w:val="000000"/>
          <w:sz w:val="22"/>
          <w:szCs w:val="22"/>
          <w:shd w:val="clear" w:color="auto" w:fill="FFFFFF"/>
        </w:rPr>
        <w:t xml:space="preserve">Armenia has received repeated recommendations concerning prohibition and elimination of corporal punishment of children from the </w:t>
      </w:r>
      <w:r w:rsidRPr="0070788B">
        <w:rPr>
          <w:rStyle w:val="normaltextrun"/>
          <w:rFonts w:ascii="Proxima Nova Rg" w:hAnsi="Proxima Nova Rg"/>
          <w:b/>
          <w:bCs/>
          <w:i/>
          <w:iCs/>
          <w:color w:val="000000"/>
          <w:sz w:val="22"/>
          <w:szCs w:val="22"/>
          <w:shd w:val="clear" w:color="auto" w:fill="FFFFFF"/>
        </w:rPr>
        <w:t>Committee on the Rights of the Child</w:t>
      </w:r>
      <w:r w:rsidRPr="0070788B">
        <w:rPr>
          <w:rStyle w:val="normaltextrun"/>
          <w:rFonts w:ascii="Proxima Nova Rg" w:hAnsi="Proxima Nova Rg"/>
          <w:color w:val="000000"/>
          <w:sz w:val="22"/>
          <w:szCs w:val="22"/>
          <w:shd w:val="clear" w:color="auto" w:fill="FFFFFF"/>
        </w:rPr>
        <w:t xml:space="preserve"> (2013,</w:t>
      </w:r>
      <w:r>
        <w:rPr>
          <w:rStyle w:val="FootnoteReference"/>
          <w:rFonts w:ascii="Proxima Nova Rg" w:hAnsi="Proxima Nova Rg"/>
          <w:color w:val="000000"/>
          <w:sz w:val="22"/>
          <w:szCs w:val="22"/>
          <w:shd w:val="clear" w:color="auto" w:fill="FFFFFF"/>
        </w:rPr>
        <w:footnoteReference w:id="4"/>
      </w:r>
      <w:r w:rsidRPr="0070788B">
        <w:rPr>
          <w:rStyle w:val="normaltextrun"/>
          <w:rFonts w:ascii="Proxima Nova Rg" w:hAnsi="Proxima Nova Rg"/>
          <w:color w:val="000000"/>
          <w:sz w:val="22"/>
          <w:szCs w:val="22"/>
          <w:shd w:val="clear" w:color="auto" w:fill="FFFFFF"/>
        </w:rPr>
        <w:t xml:space="preserve"> 2004,</w:t>
      </w:r>
      <w:r>
        <w:rPr>
          <w:rStyle w:val="FootnoteReference"/>
          <w:rFonts w:ascii="Proxima Nova Rg" w:hAnsi="Proxima Nova Rg"/>
          <w:color w:val="000000"/>
          <w:sz w:val="22"/>
          <w:szCs w:val="22"/>
          <w:shd w:val="clear" w:color="auto" w:fill="FFFFFF"/>
        </w:rPr>
        <w:footnoteReference w:id="5"/>
      </w:r>
      <w:r w:rsidRPr="0070788B">
        <w:rPr>
          <w:rStyle w:val="normaltextrun"/>
          <w:rFonts w:ascii="Proxima Nova Rg" w:hAnsi="Proxima Nova Rg"/>
          <w:color w:val="000000"/>
          <w:sz w:val="22"/>
          <w:szCs w:val="22"/>
          <w:shd w:val="clear" w:color="auto" w:fill="FFFFFF"/>
        </w:rPr>
        <w:t xml:space="preserve"> 2000),</w:t>
      </w:r>
      <w:r>
        <w:rPr>
          <w:rStyle w:val="FootnoteReference"/>
          <w:rFonts w:ascii="Proxima Nova Rg" w:hAnsi="Proxima Nova Rg"/>
          <w:color w:val="000000"/>
          <w:sz w:val="22"/>
          <w:szCs w:val="22"/>
          <w:shd w:val="clear" w:color="auto" w:fill="FFFFFF"/>
        </w:rPr>
        <w:footnoteReference w:id="6"/>
      </w:r>
      <w:r w:rsidRPr="0070788B">
        <w:rPr>
          <w:rStyle w:val="normaltextrun"/>
          <w:rFonts w:ascii="Proxima Nova Rg" w:hAnsi="Proxima Nova Rg"/>
          <w:color w:val="000000"/>
          <w:sz w:val="22"/>
          <w:szCs w:val="22"/>
          <w:shd w:val="clear" w:color="auto" w:fill="FFFFFF"/>
        </w:rPr>
        <w:t xml:space="preserve"> the </w:t>
      </w:r>
      <w:r w:rsidRPr="0070788B">
        <w:rPr>
          <w:rStyle w:val="normaltextrun"/>
          <w:rFonts w:ascii="Proxima Nova Rg" w:hAnsi="Proxima Nova Rg"/>
          <w:b/>
          <w:bCs/>
          <w:i/>
          <w:iCs/>
          <w:color w:val="000000"/>
          <w:sz w:val="22"/>
          <w:szCs w:val="22"/>
          <w:shd w:val="clear" w:color="auto" w:fill="FFFFFF"/>
        </w:rPr>
        <w:t>Committee on Economic, Social and Cultural Rights</w:t>
      </w:r>
      <w:r w:rsidRPr="0070788B">
        <w:rPr>
          <w:rStyle w:val="normaltextrun"/>
          <w:rFonts w:ascii="Proxima Nova Rg" w:hAnsi="Proxima Nova Rg"/>
          <w:color w:val="000000"/>
          <w:sz w:val="22"/>
          <w:szCs w:val="22"/>
          <w:shd w:val="clear" w:color="auto" w:fill="FFFFFF"/>
        </w:rPr>
        <w:t xml:space="preserve"> (2014)</w:t>
      </w:r>
      <w:r>
        <w:rPr>
          <w:rStyle w:val="FootnoteReference"/>
          <w:rFonts w:ascii="Proxima Nova Rg" w:hAnsi="Proxima Nova Rg"/>
          <w:color w:val="000000"/>
          <w:sz w:val="22"/>
          <w:szCs w:val="22"/>
          <w:shd w:val="clear" w:color="auto" w:fill="FFFFFF"/>
        </w:rPr>
        <w:footnoteReference w:id="7"/>
      </w:r>
      <w:r w:rsidRPr="0070788B">
        <w:rPr>
          <w:rStyle w:val="superscript"/>
          <w:rFonts w:ascii="Proxima Nova Rg" w:hAnsi="Proxima Nova Rg"/>
          <w:color w:val="000000"/>
          <w:sz w:val="22"/>
          <w:szCs w:val="22"/>
          <w:shd w:val="clear" w:color="auto" w:fill="FFFFFF"/>
          <w:vertAlign w:val="superscript"/>
        </w:rPr>
        <w:t xml:space="preserve"> </w:t>
      </w:r>
      <w:r w:rsidRPr="0070788B">
        <w:rPr>
          <w:rStyle w:val="normaltextrun"/>
          <w:rFonts w:ascii="Proxima Nova Rg" w:hAnsi="Proxima Nova Rg"/>
          <w:color w:val="000000"/>
          <w:sz w:val="22"/>
          <w:szCs w:val="22"/>
          <w:shd w:val="clear" w:color="auto" w:fill="FFFFFF"/>
        </w:rPr>
        <w:t xml:space="preserve">and the </w:t>
      </w:r>
      <w:r w:rsidRPr="0070788B">
        <w:rPr>
          <w:rStyle w:val="normaltextrun"/>
          <w:rFonts w:ascii="Proxima Nova Rg" w:hAnsi="Proxima Nova Rg"/>
          <w:b/>
          <w:bCs/>
          <w:i/>
          <w:iCs/>
          <w:color w:val="000000"/>
          <w:sz w:val="22"/>
          <w:szCs w:val="22"/>
          <w:shd w:val="clear" w:color="auto" w:fill="FFFFFF"/>
        </w:rPr>
        <w:t>European Committee of Social Rights</w:t>
      </w:r>
      <w:r w:rsidRPr="0070788B">
        <w:rPr>
          <w:rStyle w:val="normaltextrun"/>
          <w:rFonts w:ascii="Proxima Nova Rg" w:hAnsi="Proxima Nova Rg"/>
          <w:color w:val="000000"/>
          <w:sz w:val="22"/>
          <w:szCs w:val="22"/>
          <w:shd w:val="clear" w:color="auto" w:fill="FFFFFF"/>
        </w:rPr>
        <w:t xml:space="preserve"> (</w:t>
      </w:r>
      <w:r>
        <w:rPr>
          <w:rStyle w:val="normaltextrun"/>
          <w:rFonts w:ascii="Proxima Nova Rg" w:hAnsi="Proxima Nova Rg"/>
          <w:color w:val="000000"/>
          <w:sz w:val="22"/>
          <w:szCs w:val="22"/>
          <w:shd w:val="clear" w:color="auto" w:fill="FFFFFF"/>
        </w:rPr>
        <w:t>2019,</w:t>
      </w:r>
      <w:r>
        <w:rPr>
          <w:rStyle w:val="FootnoteReference"/>
          <w:rFonts w:ascii="Proxima Nova Rg" w:hAnsi="Proxima Nova Rg"/>
          <w:color w:val="000000"/>
          <w:sz w:val="22"/>
          <w:szCs w:val="22"/>
          <w:shd w:val="clear" w:color="auto" w:fill="FFFFFF"/>
        </w:rPr>
        <w:footnoteReference w:id="8"/>
      </w:r>
      <w:r>
        <w:rPr>
          <w:rStyle w:val="normaltextrun"/>
          <w:rFonts w:ascii="Proxima Nova Rg" w:hAnsi="Proxima Nova Rg"/>
          <w:color w:val="000000"/>
          <w:sz w:val="22"/>
          <w:szCs w:val="22"/>
          <w:shd w:val="clear" w:color="auto" w:fill="FFFFFF"/>
        </w:rPr>
        <w:t xml:space="preserve"> 2016,</w:t>
      </w:r>
      <w:r>
        <w:rPr>
          <w:rStyle w:val="FootnoteReference"/>
          <w:rFonts w:ascii="Proxima Nova Rg" w:hAnsi="Proxima Nova Rg"/>
          <w:color w:val="000000"/>
          <w:sz w:val="22"/>
          <w:szCs w:val="22"/>
          <w:shd w:val="clear" w:color="auto" w:fill="FFFFFF"/>
        </w:rPr>
        <w:footnoteReference w:id="9"/>
      </w:r>
      <w:r>
        <w:rPr>
          <w:rStyle w:val="normaltextrun"/>
          <w:rFonts w:ascii="Proxima Nova Rg" w:hAnsi="Proxima Nova Rg"/>
          <w:color w:val="000000"/>
          <w:sz w:val="22"/>
          <w:szCs w:val="22"/>
          <w:shd w:val="clear" w:color="auto" w:fill="FFFFFF"/>
        </w:rPr>
        <w:t xml:space="preserve"> </w:t>
      </w:r>
      <w:r w:rsidRPr="0070788B">
        <w:rPr>
          <w:rStyle w:val="normaltextrun"/>
          <w:rFonts w:ascii="Proxima Nova Rg" w:hAnsi="Proxima Nova Rg"/>
          <w:color w:val="000000"/>
          <w:sz w:val="22"/>
          <w:szCs w:val="22"/>
          <w:shd w:val="clear" w:color="auto" w:fill="FFFFFF"/>
        </w:rPr>
        <w:t>2012,</w:t>
      </w:r>
      <w:r>
        <w:rPr>
          <w:rStyle w:val="FootnoteReference"/>
          <w:rFonts w:ascii="Proxima Nova Rg" w:hAnsi="Proxima Nova Rg"/>
          <w:color w:val="000000"/>
          <w:sz w:val="22"/>
          <w:szCs w:val="22"/>
          <w:shd w:val="clear" w:color="auto" w:fill="FFFFFF"/>
        </w:rPr>
        <w:footnoteReference w:id="10"/>
      </w:r>
      <w:r w:rsidRPr="0070788B">
        <w:rPr>
          <w:rStyle w:val="normaltextrun"/>
          <w:rFonts w:ascii="Proxima Nova Rg" w:hAnsi="Proxima Nova Rg"/>
          <w:color w:val="000000"/>
          <w:sz w:val="22"/>
          <w:szCs w:val="22"/>
          <w:shd w:val="clear" w:color="auto" w:fill="FFFFFF"/>
        </w:rPr>
        <w:t xml:space="preserve"> 2007)</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1"/>
      </w:r>
    </w:p>
    <w:p w14:paraId="747DA919" w14:textId="77777777" w:rsidR="00226B7E" w:rsidRPr="00DB6D8A" w:rsidRDefault="00226B7E" w:rsidP="000C4C49">
      <w:pPr>
        <w:pStyle w:val="ListParagraph"/>
        <w:jc w:val="both"/>
        <w:rPr>
          <w:rFonts w:ascii="Proxima Nova Rg" w:hAnsi="Proxima Nova Rg" w:cstheme="minorHAnsi"/>
          <w:bCs/>
        </w:rPr>
      </w:pPr>
    </w:p>
    <w:p w14:paraId="54008309" w14:textId="3FA66FA0" w:rsidR="00C25080" w:rsidRPr="00257FE2" w:rsidRDefault="00956A2B" w:rsidP="00F8547D">
      <w:pPr>
        <w:pStyle w:val="ListParagraph"/>
        <w:numPr>
          <w:ilvl w:val="1"/>
          <w:numId w:val="18"/>
        </w:numPr>
        <w:spacing w:after="60"/>
        <w:ind w:left="360"/>
        <w:jc w:val="both"/>
        <w:rPr>
          <w:rFonts w:ascii="Proxima Nova Rg" w:eastAsia="Calibri" w:hAnsi="Proxima Nova Rg" w:cstheme="minorHAnsi"/>
          <w:sz w:val="20"/>
          <w:szCs w:val="20"/>
          <w:lang w:val="en-US" w:eastAsia="en-GB"/>
        </w:rPr>
      </w:pPr>
      <w:r w:rsidRPr="00257FE2">
        <w:rPr>
          <w:rFonts w:ascii="Proxima Nova Rg" w:hAnsi="Proxima Nova Rg" w:cstheme="minorHAnsi"/>
          <w:bCs/>
          <w:sz w:val="22"/>
          <w:szCs w:val="22"/>
        </w:rPr>
        <w:t xml:space="preserve">At the </w:t>
      </w:r>
      <w:r w:rsidR="001B43C5">
        <w:rPr>
          <w:rFonts w:ascii="Proxima Nova Rg" w:hAnsi="Proxima Nova Rg" w:cstheme="minorHAnsi"/>
          <w:bCs/>
          <w:sz w:val="22"/>
          <w:szCs w:val="22"/>
        </w:rPr>
        <w:t xml:space="preserve">first and </w:t>
      </w:r>
      <w:r w:rsidR="00257FE2" w:rsidRPr="00257FE2">
        <w:rPr>
          <w:rFonts w:ascii="Proxima Nova Rg" w:hAnsi="Proxima Nova Rg" w:cstheme="minorHAnsi"/>
          <w:bCs/>
          <w:sz w:val="22"/>
          <w:szCs w:val="22"/>
        </w:rPr>
        <w:t xml:space="preserve">second </w:t>
      </w:r>
      <w:r w:rsidRPr="00257FE2">
        <w:rPr>
          <w:rFonts w:ascii="Proxima Nova Rg" w:hAnsi="Proxima Nova Rg" w:cstheme="minorHAnsi"/>
          <w:bCs/>
          <w:sz w:val="22"/>
          <w:szCs w:val="22"/>
        </w:rPr>
        <w:t>cycle</w:t>
      </w:r>
      <w:r w:rsidR="001B43C5">
        <w:rPr>
          <w:rFonts w:ascii="Proxima Nova Rg" w:hAnsi="Proxima Nova Rg" w:cstheme="minorHAnsi"/>
          <w:bCs/>
          <w:sz w:val="22"/>
          <w:szCs w:val="22"/>
        </w:rPr>
        <w:t>s</w:t>
      </w:r>
      <w:r w:rsidRPr="00257FE2">
        <w:rPr>
          <w:rFonts w:ascii="Proxima Nova Rg" w:hAnsi="Proxima Nova Rg" w:cstheme="minorHAnsi"/>
          <w:bCs/>
          <w:sz w:val="22"/>
          <w:szCs w:val="22"/>
        </w:rPr>
        <w:t xml:space="preserve"> of the </w:t>
      </w:r>
      <w:r w:rsidRPr="0070788B">
        <w:rPr>
          <w:rFonts w:ascii="Proxima Nova Rg" w:hAnsi="Proxima Nova Rg" w:cstheme="minorHAnsi"/>
          <w:b/>
          <w:i/>
          <w:iCs/>
          <w:sz w:val="22"/>
          <w:szCs w:val="22"/>
        </w:rPr>
        <w:t>Universal Periodic Review</w:t>
      </w:r>
      <w:r w:rsidRPr="0070788B">
        <w:rPr>
          <w:rFonts w:ascii="Proxima Nova Rg" w:hAnsi="Proxima Nova Rg" w:cstheme="minorHAnsi"/>
          <w:bCs/>
          <w:i/>
          <w:iCs/>
          <w:sz w:val="22"/>
          <w:szCs w:val="22"/>
        </w:rPr>
        <w:t xml:space="preserve"> </w:t>
      </w:r>
      <w:r w:rsidRPr="00257FE2">
        <w:rPr>
          <w:rFonts w:ascii="Proxima Nova Rg" w:hAnsi="Proxima Nova Rg" w:cstheme="minorHAnsi"/>
          <w:bCs/>
          <w:sz w:val="22"/>
          <w:szCs w:val="22"/>
        </w:rPr>
        <w:t xml:space="preserve">of </w:t>
      </w:r>
      <w:r w:rsidR="0070788B">
        <w:rPr>
          <w:rFonts w:ascii="Proxima Nova Rg" w:hAnsi="Proxima Nova Rg" w:cstheme="minorHAnsi"/>
          <w:bCs/>
          <w:sz w:val="22"/>
          <w:szCs w:val="22"/>
        </w:rPr>
        <w:t>Armenia</w:t>
      </w:r>
      <w:r w:rsidR="00257FE2" w:rsidRPr="00257FE2">
        <w:rPr>
          <w:rFonts w:ascii="Proxima Nova Rg" w:hAnsi="Proxima Nova Rg" w:cstheme="minorHAnsi"/>
          <w:bCs/>
          <w:sz w:val="22"/>
          <w:szCs w:val="22"/>
        </w:rPr>
        <w:t xml:space="preserve"> </w:t>
      </w:r>
      <w:r w:rsidRPr="00257FE2">
        <w:rPr>
          <w:rFonts w:ascii="Proxima Nova Rg" w:hAnsi="Proxima Nova Rg" w:cstheme="minorHAnsi"/>
          <w:bCs/>
          <w:sz w:val="22"/>
          <w:szCs w:val="22"/>
        </w:rPr>
        <w:t>in 20</w:t>
      </w:r>
      <w:r w:rsidR="001B43C5">
        <w:rPr>
          <w:rFonts w:ascii="Proxima Nova Rg" w:hAnsi="Proxima Nova Rg" w:cstheme="minorHAnsi"/>
          <w:bCs/>
          <w:sz w:val="22"/>
          <w:szCs w:val="22"/>
        </w:rPr>
        <w:t>10 and 2015</w:t>
      </w:r>
      <w:r w:rsidRPr="00257FE2">
        <w:rPr>
          <w:rFonts w:ascii="Proxima Nova Rg" w:hAnsi="Proxima Nova Rg" w:cstheme="minorHAnsi"/>
          <w:bCs/>
          <w:sz w:val="22"/>
          <w:szCs w:val="22"/>
        </w:rPr>
        <w:t xml:space="preserve">, recommendations </w:t>
      </w:r>
      <w:r w:rsidR="00F8547D" w:rsidRPr="00257FE2">
        <w:rPr>
          <w:rFonts w:ascii="Proxima Nova Rg" w:hAnsi="Proxima Nova Rg" w:cstheme="minorHAnsi"/>
          <w:bCs/>
          <w:sz w:val="22"/>
          <w:szCs w:val="22"/>
        </w:rPr>
        <w:t>to prohibit</w:t>
      </w:r>
      <w:r w:rsidRPr="00257FE2">
        <w:rPr>
          <w:rFonts w:ascii="Proxima Nova Rg" w:hAnsi="Proxima Nova Rg" w:cstheme="minorHAnsi"/>
          <w:bCs/>
          <w:sz w:val="22"/>
          <w:szCs w:val="22"/>
        </w:rPr>
        <w:t xml:space="preserve"> corporal punishment were issued</w:t>
      </w:r>
      <w:r w:rsidR="00804717" w:rsidRPr="00257FE2">
        <w:rPr>
          <w:rFonts w:ascii="Proxima Nova Rg" w:hAnsi="Proxima Nova Rg" w:cstheme="minorHAnsi"/>
          <w:bCs/>
          <w:sz w:val="22"/>
          <w:szCs w:val="22"/>
        </w:rPr>
        <w:t>.</w:t>
      </w:r>
      <w:r w:rsidR="00257FE2">
        <w:rPr>
          <w:rStyle w:val="FootnoteReference"/>
          <w:rFonts w:ascii="Proxima Nova Rg" w:hAnsi="Proxima Nova Rg"/>
          <w:bCs/>
          <w:sz w:val="22"/>
          <w:szCs w:val="22"/>
        </w:rPr>
        <w:footnoteReference w:id="12"/>
      </w:r>
      <w:r w:rsidRPr="00257FE2">
        <w:rPr>
          <w:rFonts w:ascii="Proxima Nova Rg" w:hAnsi="Proxima Nova Rg" w:cstheme="minorHAnsi"/>
          <w:bCs/>
          <w:sz w:val="22"/>
          <w:szCs w:val="22"/>
        </w:rPr>
        <w:t xml:space="preserve"> </w:t>
      </w:r>
      <w:r w:rsidR="00804717" w:rsidRPr="00257FE2">
        <w:rPr>
          <w:rFonts w:ascii="Proxima Nova Rg" w:hAnsi="Proxima Nova Rg" w:cstheme="minorHAnsi"/>
          <w:bCs/>
          <w:sz w:val="22"/>
          <w:szCs w:val="22"/>
        </w:rPr>
        <w:t xml:space="preserve">The Government </w:t>
      </w:r>
      <w:r w:rsidRPr="00257FE2">
        <w:rPr>
          <w:rFonts w:ascii="Proxima Nova Rg" w:hAnsi="Proxima Nova Rg" w:cstheme="minorHAnsi"/>
          <w:bCs/>
          <w:sz w:val="22"/>
          <w:szCs w:val="22"/>
        </w:rPr>
        <w:t xml:space="preserve">accepted </w:t>
      </w:r>
      <w:r w:rsidR="00257FE2" w:rsidRPr="00257FE2">
        <w:rPr>
          <w:rFonts w:ascii="Proxima Nova Rg" w:hAnsi="Proxima Nova Rg" w:cstheme="minorHAnsi"/>
          <w:bCs/>
          <w:sz w:val="22"/>
          <w:szCs w:val="22"/>
        </w:rPr>
        <w:t>all</w:t>
      </w:r>
      <w:r w:rsidR="00804717" w:rsidRPr="00257FE2">
        <w:rPr>
          <w:rFonts w:ascii="Proxima Nova Rg" w:hAnsi="Proxima Nova Rg" w:cstheme="minorHAnsi"/>
          <w:bCs/>
          <w:sz w:val="22"/>
          <w:szCs w:val="22"/>
        </w:rPr>
        <w:t xml:space="preserve"> recommendation</w:t>
      </w:r>
      <w:r w:rsidR="00257FE2" w:rsidRPr="00257FE2">
        <w:rPr>
          <w:rFonts w:ascii="Proxima Nova Rg" w:hAnsi="Proxima Nova Rg" w:cstheme="minorHAnsi"/>
          <w:bCs/>
          <w:sz w:val="22"/>
          <w:szCs w:val="22"/>
        </w:rPr>
        <w:t>s.</w:t>
      </w:r>
      <w:r w:rsidR="00257FE2">
        <w:rPr>
          <w:rStyle w:val="FootnoteReference"/>
          <w:rFonts w:ascii="Proxima Nova Rg" w:hAnsi="Proxima Nova Rg"/>
          <w:bCs/>
          <w:sz w:val="22"/>
          <w:szCs w:val="22"/>
        </w:rPr>
        <w:footnoteReference w:id="13"/>
      </w:r>
      <w:r w:rsidR="00257FE2" w:rsidRPr="00257FE2">
        <w:rPr>
          <w:rFonts w:ascii="Proxima Nova Rg" w:hAnsi="Proxima Nova Rg" w:cstheme="minorHAnsi"/>
          <w:bCs/>
          <w:sz w:val="22"/>
          <w:szCs w:val="22"/>
        </w:rPr>
        <w:t xml:space="preserve"> </w:t>
      </w:r>
      <w:r w:rsidR="00804717" w:rsidRPr="00257FE2">
        <w:rPr>
          <w:rFonts w:ascii="Proxima Nova Rg" w:hAnsi="Proxima Nova Rg" w:cstheme="minorHAnsi"/>
          <w:bCs/>
          <w:sz w:val="22"/>
          <w:szCs w:val="22"/>
        </w:rPr>
        <w:t xml:space="preserve"> </w:t>
      </w: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BA270B">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1FEC9" w14:textId="77777777" w:rsidR="005E6A3D" w:rsidRDefault="005E6A3D" w:rsidP="00323C9D">
      <w:r>
        <w:separator/>
      </w:r>
    </w:p>
    <w:p w14:paraId="02185258" w14:textId="77777777" w:rsidR="005E6A3D" w:rsidRDefault="005E6A3D"/>
  </w:endnote>
  <w:endnote w:type="continuationSeparator" w:id="0">
    <w:p w14:paraId="12EDDF30" w14:textId="77777777" w:rsidR="005E6A3D" w:rsidRDefault="005E6A3D" w:rsidP="00323C9D">
      <w:r>
        <w:continuationSeparator/>
      </w:r>
    </w:p>
    <w:p w14:paraId="4A97E19E" w14:textId="77777777" w:rsidR="005E6A3D" w:rsidRDefault="005E6A3D"/>
  </w:endnote>
  <w:endnote w:type="continuationNotice" w:id="1">
    <w:p w14:paraId="77CCA6C8" w14:textId="77777777" w:rsidR="005E6A3D" w:rsidRDefault="005E6A3D"/>
    <w:p w14:paraId="01274224" w14:textId="77777777" w:rsidR="005E6A3D" w:rsidRDefault="005E6A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D6123" w14:textId="77777777" w:rsidR="005E6A3D" w:rsidRDefault="005E6A3D" w:rsidP="00323C9D">
      <w:r>
        <w:separator/>
      </w:r>
    </w:p>
    <w:p w14:paraId="0DE472EE" w14:textId="77777777" w:rsidR="005E6A3D" w:rsidRDefault="005E6A3D"/>
  </w:footnote>
  <w:footnote w:type="continuationSeparator" w:id="0">
    <w:p w14:paraId="480C9460" w14:textId="77777777" w:rsidR="005E6A3D" w:rsidRDefault="005E6A3D" w:rsidP="00323C9D">
      <w:r>
        <w:continuationSeparator/>
      </w:r>
    </w:p>
    <w:p w14:paraId="25A510C0" w14:textId="77777777" w:rsidR="005E6A3D" w:rsidRDefault="005E6A3D"/>
  </w:footnote>
  <w:footnote w:type="continuationNotice" w:id="1">
    <w:p w14:paraId="004EBC2A" w14:textId="77777777" w:rsidR="005E6A3D" w:rsidRDefault="005E6A3D"/>
    <w:p w14:paraId="67954290" w14:textId="77777777" w:rsidR="005E6A3D" w:rsidRDefault="005E6A3D"/>
  </w:footnote>
  <w:footnote w:id="2">
    <w:p w14:paraId="66B8AC66" w14:textId="77777777" w:rsidR="00E44610" w:rsidRPr="00EF537B" w:rsidRDefault="00E44610" w:rsidP="00E44610">
      <w:pPr>
        <w:pStyle w:val="FootnoteText"/>
        <w:rPr>
          <w:rFonts w:ascii="Proxima Nova Rg" w:hAnsi="Proxima Nova Rg" w:cstheme="minorHAnsi"/>
          <w:sz w:val="18"/>
          <w:szCs w:val="18"/>
          <w:lang w:val="en-US"/>
        </w:rPr>
      </w:pPr>
      <w:r w:rsidRPr="00EF537B">
        <w:rPr>
          <w:rStyle w:val="FootnoteReference"/>
          <w:rFonts w:ascii="Proxima Nova Rg" w:hAnsi="Proxima Nova Rg" w:cstheme="minorHAnsi"/>
          <w:sz w:val="18"/>
          <w:szCs w:val="18"/>
        </w:rPr>
        <w:footnoteRef/>
      </w:r>
      <w:r w:rsidRPr="00EF537B">
        <w:rPr>
          <w:rFonts w:ascii="Proxima Nova Rg" w:hAnsi="Proxima Nova Rg" w:cstheme="minorHAnsi"/>
          <w:sz w:val="18"/>
          <w:szCs w:val="18"/>
        </w:rPr>
        <w:t xml:space="preserve"> </w:t>
      </w:r>
      <w:r w:rsidRPr="00EF537B">
        <w:rPr>
          <w:rFonts w:ascii="Proxima Nova Rg" w:hAnsi="Proxima Nova Rg" w:cstheme="minorHAnsi"/>
          <w:sz w:val="18"/>
          <w:szCs w:val="18"/>
          <w:lang w:val="en-US"/>
        </w:rPr>
        <w:t xml:space="preserve">For example, see </w:t>
      </w:r>
      <w:r w:rsidRPr="00EF537B">
        <w:rPr>
          <w:rFonts w:ascii="Proxima Nova Rg" w:eastAsia="Calibri" w:hAnsi="Proxima Nova Rg" w:cstheme="minorHAnsi"/>
          <w:sz w:val="18"/>
          <w:szCs w:val="18"/>
          <w:lang w:val="en-US"/>
        </w:rPr>
        <w:t>2 July 2015, A/HRC/29/2 Advance Unedited Version, Report of the Human Rights Council on its twenty-ninth session, para. 496</w:t>
      </w:r>
    </w:p>
  </w:footnote>
  <w:footnote w:id="3">
    <w:p w14:paraId="55BABD17" w14:textId="77777777" w:rsidR="00E44610" w:rsidRPr="00587C7F" w:rsidRDefault="00E44610" w:rsidP="00E44610">
      <w:pPr>
        <w:pStyle w:val="FootnoteText"/>
        <w:rPr>
          <w:rFonts w:asciiTheme="minorHAnsi" w:hAnsiTheme="minorHAnsi" w:cstheme="minorHAnsi"/>
          <w:lang w:val="en-US"/>
        </w:rPr>
      </w:pPr>
      <w:r w:rsidRPr="00EF537B">
        <w:rPr>
          <w:rStyle w:val="FootnoteReference"/>
          <w:rFonts w:ascii="Proxima Nova Rg" w:hAnsi="Proxima Nova Rg" w:cstheme="minorHAnsi"/>
          <w:sz w:val="18"/>
          <w:szCs w:val="18"/>
        </w:rPr>
        <w:footnoteRef/>
      </w:r>
      <w:r w:rsidRPr="00EF537B">
        <w:rPr>
          <w:rFonts w:ascii="Proxima Nova Rg" w:hAnsi="Proxima Nova Rg" w:cstheme="minorHAnsi"/>
          <w:sz w:val="18"/>
          <w:szCs w:val="18"/>
        </w:rPr>
        <w:t xml:space="preserve"> </w:t>
      </w:r>
      <w:r w:rsidRPr="00EF537B">
        <w:rPr>
          <w:rFonts w:ascii="Proxima Nova Rg" w:hAnsi="Proxima Nova Rg" w:cstheme="minorHAnsi"/>
          <w:sz w:val="18"/>
          <w:szCs w:val="18"/>
          <w:lang w:val="en-US"/>
        </w:rPr>
        <w:t>April 2019, Communication with Save the Children Armenia</w:t>
      </w:r>
    </w:p>
  </w:footnote>
  <w:footnote w:id="4">
    <w:p w14:paraId="1F30374C" w14:textId="294FE907"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8 July 2013, CRC/C/ARM/CO/3-4, Concluding observations on third/fourth report, paras. 24 and 25</w:t>
      </w:r>
    </w:p>
  </w:footnote>
  <w:footnote w:id="5">
    <w:p w14:paraId="6FEDEA1B" w14:textId="2BF1CC6D"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26 February 2004, CRC/C/15/Add.225, Concluding observations on second report, paras. 39 and 40</w:t>
      </w:r>
    </w:p>
  </w:footnote>
  <w:footnote w:id="6">
    <w:p w14:paraId="68379C86" w14:textId="424605B5"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iCs/>
          <w:sz w:val="18"/>
          <w:szCs w:val="18"/>
        </w:rPr>
        <w:t>24 February 2000, CRC/C/15/Add.119, Concluding observations on initial report, paras. 32 and 33)</w:t>
      </w:r>
    </w:p>
  </w:footnote>
  <w:footnote w:id="7">
    <w:p w14:paraId="553BD359" w14:textId="1D5D485E"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23 May 2014, E/C.12/ARM/CO/2-3 Advance Unedited Version, Concluding observations on second/third report, para. 19</w:t>
      </w:r>
    </w:p>
  </w:footnote>
  <w:footnote w:id="8">
    <w:p w14:paraId="282D19AA" w14:textId="1AEB897F"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March 2020, Conclusions 2019</w:t>
      </w:r>
    </w:p>
  </w:footnote>
  <w:footnote w:id="9">
    <w:p w14:paraId="74EA14FA" w14:textId="6E5F5869"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January 2016, Conclusions 2015</w:t>
      </w:r>
    </w:p>
  </w:footnote>
  <w:footnote w:id="10">
    <w:p w14:paraId="73C65BB6" w14:textId="326DD831" w:rsidR="0070788B" w:rsidRPr="0070788B" w:rsidRDefault="0070788B">
      <w:pPr>
        <w:pStyle w:val="FootnoteText"/>
        <w:rPr>
          <w:rFonts w:ascii="Proxima Nova Rg" w:hAnsi="Proxima Nova Rg"/>
          <w:sz w:val="18"/>
          <w:szCs w:val="18"/>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January 2012, Conclusions 2011</w:t>
      </w:r>
    </w:p>
  </w:footnote>
  <w:footnote w:id="11">
    <w:p w14:paraId="71B86C8A" w14:textId="51A5428F" w:rsidR="0070788B" w:rsidRPr="0070788B" w:rsidRDefault="0070788B">
      <w:pPr>
        <w:pStyle w:val="FootnoteText"/>
        <w:rPr>
          <w:lang w:val="en-US"/>
        </w:rPr>
      </w:pPr>
      <w:r w:rsidRPr="0070788B">
        <w:rPr>
          <w:rStyle w:val="FootnoteReference"/>
          <w:rFonts w:ascii="Proxima Nova Rg" w:hAnsi="Proxima Nova Rg"/>
          <w:sz w:val="18"/>
          <w:szCs w:val="18"/>
        </w:rPr>
        <w:footnoteRef/>
      </w:r>
      <w:r w:rsidRPr="0070788B">
        <w:rPr>
          <w:rFonts w:ascii="Proxima Nova Rg" w:hAnsi="Proxima Nova Rg"/>
          <w:sz w:val="18"/>
          <w:szCs w:val="18"/>
        </w:rPr>
        <w:t xml:space="preserve"> </w:t>
      </w:r>
      <w:r w:rsidRPr="0070788B">
        <w:rPr>
          <w:rFonts w:ascii="Proxima Nova Rg" w:hAnsi="Proxima Nova Rg" w:cstheme="minorHAnsi"/>
          <w:sz w:val="18"/>
          <w:szCs w:val="18"/>
        </w:rPr>
        <w:t>2007, Conclusions XVIII-1, vol.1</w:t>
      </w:r>
    </w:p>
  </w:footnote>
  <w:footnote w:id="12">
    <w:p w14:paraId="080D535F" w14:textId="68399D86" w:rsidR="00257FE2" w:rsidRPr="00F8547D" w:rsidRDefault="00257FE2">
      <w:pPr>
        <w:pStyle w:val="FootnoteText"/>
        <w:rPr>
          <w:lang w:val="en-US"/>
        </w:rPr>
      </w:pPr>
      <w:r w:rsidRPr="00F8547D">
        <w:rPr>
          <w:rStyle w:val="FootnoteReference"/>
          <w:rFonts w:ascii="Proxima Nova Rg" w:hAnsi="Proxima Nova Rg"/>
          <w:sz w:val="18"/>
          <w:szCs w:val="18"/>
        </w:rPr>
        <w:footnoteRef/>
      </w:r>
      <w:r w:rsidRPr="00F8547D">
        <w:rPr>
          <w:rFonts w:ascii="Proxima Nova Rg" w:hAnsi="Proxima Nova Rg"/>
          <w:sz w:val="18"/>
          <w:szCs w:val="18"/>
        </w:rPr>
        <w:t xml:space="preserve"> </w:t>
      </w:r>
      <w:r w:rsidR="001B43C5" w:rsidRPr="00EF537B">
        <w:rPr>
          <w:rFonts w:ascii="Proxima Nova Rg" w:eastAsia="Calibri" w:hAnsi="Proxima Nova Rg" w:cstheme="minorHAnsi"/>
          <w:sz w:val="18"/>
          <w:szCs w:val="18"/>
          <w:lang w:val="en-US"/>
        </w:rPr>
        <w:t>27 January 2015, A/HRC/WG.6/21/L.8 Unedited Version, Draft report of the working group, para. 120.117</w:t>
      </w:r>
    </w:p>
  </w:footnote>
  <w:footnote w:id="13">
    <w:p w14:paraId="27750E0D" w14:textId="77777777" w:rsidR="001B43C5" w:rsidRPr="00EF537B" w:rsidRDefault="00257FE2" w:rsidP="001B43C5">
      <w:pPr>
        <w:pStyle w:val="FootnoteText"/>
        <w:rPr>
          <w:rFonts w:ascii="Proxima Nova Rg" w:hAnsi="Proxima Nova Rg" w:cstheme="minorHAnsi"/>
          <w:sz w:val="18"/>
          <w:szCs w:val="18"/>
          <w:lang w:val="en-US"/>
        </w:rPr>
      </w:pPr>
      <w:r w:rsidRPr="00F8547D">
        <w:rPr>
          <w:rStyle w:val="FootnoteReference"/>
          <w:rFonts w:ascii="Proxima Nova Rg" w:hAnsi="Proxima Nova Rg"/>
          <w:sz w:val="18"/>
          <w:szCs w:val="18"/>
        </w:rPr>
        <w:footnoteRef/>
      </w:r>
      <w:r w:rsidRPr="00F8547D">
        <w:rPr>
          <w:rFonts w:ascii="Proxima Nova Rg" w:hAnsi="Proxima Nova Rg"/>
          <w:sz w:val="18"/>
          <w:szCs w:val="18"/>
        </w:rPr>
        <w:t xml:space="preserve"> </w:t>
      </w:r>
      <w:r w:rsidR="001B43C5">
        <w:rPr>
          <w:rFonts w:ascii="Proxima Nova Rg" w:hAnsi="Proxima Nova Rg"/>
          <w:sz w:val="18"/>
          <w:szCs w:val="18"/>
        </w:rPr>
        <w:t xml:space="preserve"> </w:t>
      </w:r>
      <w:r w:rsidR="001B43C5" w:rsidRPr="00EF537B">
        <w:rPr>
          <w:rFonts w:ascii="Proxima Nova Rg" w:hAnsi="Proxima Nova Rg" w:cstheme="minorHAnsi"/>
          <w:sz w:val="18"/>
          <w:szCs w:val="18"/>
        </w:rPr>
        <w:t>6 July 2010, A/HRC/15/9, Report of the working group, para. 93(25)</w:t>
      </w:r>
      <w:r w:rsidR="001B43C5">
        <w:rPr>
          <w:rFonts w:ascii="Proxima Nova Rg" w:hAnsi="Proxima Nova Rg" w:cstheme="minorHAnsi"/>
          <w:sz w:val="18"/>
          <w:szCs w:val="18"/>
        </w:rPr>
        <w:t xml:space="preserve"> and </w:t>
      </w:r>
      <w:r w:rsidR="001B43C5" w:rsidRPr="00EF537B">
        <w:rPr>
          <w:rFonts w:ascii="Proxima Nova Rg" w:eastAsia="Calibri" w:hAnsi="Proxima Nova Rg" w:cstheme="minorHAnsi"/>
          <w:sz w:val="18"/>
          <w:szCs w:val="18"/>
          <w:lang w:val="en-US"/>
        </w:rPr>
        <w:t>5 June 2015, A/HRC/29/11/Add.1, Report of the working group: Addendum, para. 120(117)</w:t>
      </w:r>
    </w:p>
    <w:p w14:paraId="0E9E94FC" w14:textId="50A8D6DF" w:rsidR="00257FE2" w:rsidRPr="00F8547D" w:rsidRDefault="00257FE2">
      <w:pPr>
        <w:pStyle w:val="FootnoteText"/>
        <w:rPr>
          <w:rFonts w:ascii="Proxima Nova Rg" w:hAnsi="Proxima Nova Rg"/>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225605503">
    <w:abstractNumId w:val="13"/>
  </w:num>
  <w:num w:numId="2" w16cid:durableId="703409305">
    <w:abstractNumId w:val="8"/>
  </w:num>
  <w:num w:numId="3" w16cid:durableId="1955018056">
    <w:abstractNumId w:val="7"/>
  </w:num>
  <w:num w:numId="4" w16cid:durableId="1488092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092702">
    <w:abstractNumId w:val="14"/>
  </w:num>
  <w:num w:numId="6" w16cid:durableId="2012219308">
    <w:abstractNumId w:val="0"/>
  </w:num>
  <w:num w:numId="7" w16cid:durableId="1990672619">
    <w:abstractNumId w:val="4"/>
  </w:num>
  <w:num w:numId="8" w16cid:durableId="2087723875">
    <w:abstractNumId w:val="1"/>
  </w:num>
  <w:num w:numId="9" w16cid:durableId="825513918">
    <w:abstractNumId w:val="6"/>
  </w:num>
  <w:num w:numId="10" w16cid:durableId="491919519">
    <w:abstractNumId w:val="2"/>
  </w:num>
  <w:num w:numId="11" w16cid:durableId="1696081865">
    <w:abstractNumId w:val="11"/>
  </w:num>
  <w:num w:numId="12" w16cid:durableId="1120802199">
    <w:abstractNumId w:val="15"/>
  </w:num>
  <w:num w:numId="13" w16cid:durableId="1920289315">
    <w:abstractNumId w:val="17"/>
  </w:num>
  <w:num w:numId="14" w16cid:durableId="1659335760">
    <w:abstractNumId w:val="18"/>
  </w:num>
  <w:num w:numId="15" w16cid:durableId="1638757092">
    <w:abstractNumId w:val="9"/>
  </w:num>
  <w:num w:numId="16" w16cid:durableId="1733917757">
    <w:abstractNumId w:val="3"/>
  </w:num>
  <w:num w:numId="17" w16cid:durableId="1617836497">
    <w:abstractNumId w:val="12"/>
  </w:num>
  <w:num w:numId="18" w16cid:durableId="817767155">
    <w:abstractNumId w:val="16"/>
  </w:num>
  <w:num w:numId="19" w16cid:durableId="89591864">
    <w:abstractNumId w:val="5"/>
  </w:num>
  <w:num w:numId="20" w16cid:durableId="1627539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B43C5"/>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A3D"/>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77507"/>
    <w:rsid w:val="006825A3"/>
    <w:rsid w:val="00682E39"/>
    <w:rsid w:val="006929A1"/>
    <w:rsid w:val="006A1C2C"/>
    <w:rsid w:val="006C2E7A"/>
    <w:rsid w:val="006D0138"/>
    <w:rsid w:val="006D767D"/>
    <w:rsid w:val="006E0F24"/>
    <w:rsid w:val="006E7A39"/>
    <w:rsid w:val="006F0FB1"/>
    <w:rsid w:val="006F1AB7"/>
    <w:rsid w:val="006F2157"/>
    <w:rsid w:val="006F553D"/>
    <w:rsid w:val="00706843"/>
    <w:rsid w:val="007069FF"/>
    <w:rsid w:val="0070788B"/>
    <w:rsid w:val="00707EFA"/>
    <w:rsid w:val="00712323"/>
    <w:rsid w:val="00727FCA"/>
    <w:rsid w:val="00733D0A"/>
    <w:rsid w:val="00735A54"/>
    <w:rsid w:val="0074008B"/>
    <w:rsid w:val="0074554E"/>
    <w:rsid w:val="00760FB3"/>
    <w:rsid w:val="007650B3"/>
    <w:rsid w:val="007656F5"/>
    <w:rsid w:val="00766433"/>
    <w:rsid w:val="007666F1"/>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8F6A26"/>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8659A"/>
    <w:rsid w:val="00B868B0"/>
    <w:rsid w:val="00BA1B3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6E0B"/>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44610"/>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677507"/>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70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743394">
      <w:bodyDiv w:val="1"/>
      <w:marLeft w:val="0"/>
      <w:marRight w:val="0"/>
      <w:marTop w:val="0"/>
      <w:marBottom w:val="0"/>
      <w:divBdr>
        <w:top w:val="none" w:sz="0" w:space="0" w:color="auto"/>
        <w:left w:val="none" w:sz="0" w:space="0" w:color="auto"/>
        <w:bottom w:val="none" w:sz="0" w:space="0" w:color="auto"/>
        <w:right w:val="none" w:sz="0" w:space="0" w:color="auto"/>
      </w:divBdr>
      <w:divsChild>
        <w:div w:id="387000303">
          <w:marLeft w:val="0"/>
          <w:marRight w:val="0"/>
          <w:marTop w:val="0"/>
          <w:marBottom w:val="0"/>
          <w:divBdr>
            <w:top w:val="none" w:sz="0" w:space="0" w:color="auto"/>
            <w:left w:val="none" w:sz="0" w:space="0" w:color="auto"/>
            <w:bottom w:val="none" w:sz="0" w:space="0" w:color="auto"/>
            <w:right w:val="none" w:sz="0" w:space="0" w:color="auto"/>
          </w:divBdr>
        </w:div>
        <w:div w:id="466582780">
          <w:marLeft w:val="0"/>
          <w:marRight w:val="0"/>
          <w:marTop w:val="0"/>
          <w:marBottom w:val="0"/>
          <w:divBdr>
            <w:top w:val="none" w:sz="0" w:space="0" w:color="auto"/>
            <w:left w:val="none" w:sz="0" w:space="0" w:color="auto"/>
            <w:bottom w:val="none" w:sz="0" w:space="0" w:color="auto"/>
            <w:right w:val="none" w:sz="0" w:space="0" w:color="auto"/>
          </w:divBdr>
        </w:div>
        <w:div w:id="83575384">
          <w:marLeft w:val="0"/>
          <w:marRight w:val="0"/>
          <w:marTop w:val="0"/>
          <w:marBottom w:val="0"/>
          <w:divBdr>
            <w:top w:val="none" w:sz="0" w:space="0" w:color="auto"/>
            <w:left w:val="none" w:sz="0" w:space="0" w:color="auto"/>
            <w:bottom w:val="none" w:sz="0" w:space="0" w:color="auto"/>
            <w:right w:val="none" w:sz="0" w:space="0" w:color="auto"/>
          </w:divBdr>
        </w:div>
        <w:div w:id="913929042">
          <w:marLeft w:val="0"/>
          <w:marRight w:val="0"/>
          <w:marTop w:val="0"/>
          <w:marBottom w:val="0"/>
          <w:divBdr>
            <w:top w:val="none" w:sz="0" w:space="0" w:color="auto"/>
            <w:left w:val="none" w:sz="0" w:space="0" w:color="auto"/>
            <w:bottom w:val="none" w:sz="0" w:space="0" w:color="auto"/>
            <w:right w:val="none" w:sz="0" w:space="0" w:color="auto"/>
          </w:divBdr>
        </w:div>
      </w:divsChild>
    </w:div>
    <w:div w:id="1108891852">
      <w:bodyDiv w:val="1"/>
      <w:marLeft w:val="0"/>
      <w:marRight w:val="0"/>
      <w:marTop w:val="0"/>
      <w:marBottom w:val="0"/>
      <w:divBdr>
        <w:top w:val="none" w:sz="0" w:space="0" w:color="auto"/>
        <w:left w:val="none" w:sz="0" w:space="0" w:color="auto"/>
        <w:bottom w:val="none" w:sz="0" w:space="0" w:color="auto"/>
        <w:right w:val="none" w:sz="0" w:space="0" w:color="auto"/>
      </w:divBdr>
      <w:divsChild>
        <w:div w:id="1737122158">
          <w:marLeft w:val="0"/>
          <w:marRight w:val="0"/>
          <w:marTop w:val="0"/>
          <w:marBottom w:val="0"/>
          <w:divBdr>
            <w:top w:val="none" w:sz="0" w:space="0" w:color="auto"/>
            <w:left w:val="none" w:sz="0" w:space="0" w:color="auto"/>
            <w:bottom w:val="none" w:sz="0" w:space="0" w:color="auto"/>
            <w:right w:val="none" w:sz="0" w:space="0" w:color="auto"/>
          </w:divBdr>
        </w:div>
        <w:div w:id="1529374075">
          <w:marLeft w:val="0"/>
          <w:marRight w:val="0"/>
          <w:marTop w:val="0"/>
          <w:marBottom w:val="0"/>
          <w:divBdr>
            <w:top w:val="none" w:sz="0" w:space="0" w:color="auto"/>
            <w:left w:val="none" w:sz="0" w:space="0" w:color="auto"/>
            <w:bottom w:val="none" w:sz="0" w:space="0" w:color="auto"/>
            <w:right w:val="none" w:sz="0" w:space="0" w:color="auto"/>
          </w:divBdr>
        </w:div>
        <w:div w:id="1083531853">
          <w:marLeft w:val="0"/>
          <w:marRight w:val="0"/>
          <w:marTop w:val="0"/>
          <w:marBottom w:val="0"/>
          <w:divBdr>
            <w:top w:val="none" w:sz="0" w:space="0" w:color="auto"/>
            <w:left w:val="none" w:sz="0" w:space="0" w:color="auto"/>
            <w:bottom w:val="none" w:sz="0" w:space="0" w:color="auto"/>
            <w:right w:val="none" w:sz="0" w:space="0" w:color="auto"/>
          </w:divBdr>
        </w:div>
        <w:div w:id="1297294727">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2023-12-21T11:54:00Z</dcterms:created>
  <dcterms:modified xsi:type="dcterms:W3CDTF">2023-12-21T11:54:00Z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