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127" w:line="360" w:lineRule="auto"/>
        <w:ind w:right="450"/>
        <w:jc w:val="center"/>
        <w:rPr>
          <w:rFonts w:ascii="Times New Roman" w:cs="Times New Roman" w:eastAsia="Times New Roman" w:hAnsi="Times New Roman"/>
          <w:b w:val="1"/>
          <w:sz w:val="31"/>
          <w:szCs w:val="31"/>
        </w:rPr>
      </w:pPr>
      <w:r w:rsidDel="00000000" w:rsidR="00000000" w:rsidRPr="00000000">
        <w:rPr>
          <w:rFonts w:ascii="Times New Roman" w:cs="Times New Roman" w:eastAsia="Times New Roman" w:hAnsi="Times New Roman"/>
          <w:b w:val="1"/>
          <w:sz w:val="31"/>
          <w:szCs w:val="31"/>
          <w:rtl w:val="0"/>
        </w:rPr>
        <w:t xml:space="preserve">      THE LESBIAN GAY BISEXUAL TRANSGENDER CENTRE</w:t>
      </w:r>
    </w:p>
    <w:p w:rsidR="00000000" w:rsidDel="00000000" w:rsidP="00000000" w:rsidRDefault="00000000" w:rsidRPr="00000000" w14:paraId="00000002">
      <w:pPr>
        <w:widowControl w:val="0"/>
        <w:spacing w:before="127" w:line="360" w:lineRule="auto"/>
        <w:ind w:right="450"/>
        <w:jc w:val="center"/>
        <w:rPr>
          <w:rFonts w:ascii="Times New Roman" w:cs="Times New Roman" w:eastAsia="Times New Roman" w:hAnsi="Times New Roman"/>
          <w:b w:val="1"/>
          <w:sz w:val="31"/>
          <w:szCs w:val="31"/>
        </w:rPr>
      </w:pPr>
      <w:r w:rsidDel="00000000" w:rsidR="00000000" w:rsidRPr="00000000">
        <w:rPr>
          <w:rtl w:val="0"/>
        </w:rPr>
      </w:r>
    </w:p>
    <w:p w:rsidR="00000000" w:rsidDel="00000000" w:rsidP="00000000" w:rsidRDefault="00000000" w:rsidRPr="00000000" w14:paraId="00000003">
      <w:pPr>
        <w:widowControl w:val="0"/>
        <w:spacing w:before="127" w:line="360" w:lineRule="auto"/>
        <w:ind w:right="450"/>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114300" distT="114300" distL="114300" distR="114300">
            <wp:extent cx="3055938" cy="1064817"/>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3055938" cy="1064817"/>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widowControl w:val="0"/>
        <w:spacing w:before="127" w:line="360" w:lineRule="auto"/>
        <w:ind w:right="450"/>
        <w:jc w:val="left"/>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widowControl w:val="0"/>
        <w:spacing w:before="127" w:line="360" w:lineRule="auto"/>
        <w:ind w:right="45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Mongolia Shadow Report on ICCPR on its 7</w:t>
      </w:r>
      <w:r w:rsidDel="00000000" w:rsidR="00000000" w:rsidRPr="00000000">
        <w:rPr>
          <w:rFonts w:ascii="Times New Roman" w:cs="Times New Roman" w:eastAsia="Times New Roman" w:hAnsi="Times New Roman"/>
          <w:b w:val="1"/>
          <w:sz w:val="32"/>
          <w:szCs w:val="32"/>
          <w:vertAlign w:val="superscript"/>
          <w:rtl w:val="0"/>
        </w:rPr>
        <w:t xml:space="preserve">th</w:t>
      </w:r>
      <w:r w:rsidDel="00000000" w:rsidR="00000000" w:rsidRPr="00000000">
        <w:rPr>
          <w:rFonts w:ascii="Times New Roman" w:cs="Times New Roman" w:eastAsia="Times New Roman" w:hAnsi="Times New Roman"/>
          <w:b w:val="1"/>
          <w:sz w:val="32"/>
          <w:szCs w:val="32"/>
          <w:rtl w:val="0"/>
        </w:rPr>
        <w:t xml:space="preserve"> Periodic Review.</w:t>
      </w:r>
    </w:p>
    <w:p w:rsidR="00000000" w:rsidDel="00000000" w:rsidP="00000000" w:rsidRDefault="00000000" w:rsidRPr="00000000" w14:paraId="00000006">
      <w:pPr>
        <w:widowControl w:val="0"/>
        <w:spacing w:before="127" w:line="360" w:lineRule="auto"/>
        <w:ind w:right="450"/>
        <w:jc w:val="center"/>
        <w:rPr>
          <w:rFonts w:ascii="Times New Roman" w:cs="Times New Roman" w:eastAsia="Times New Roman" w:hAnsi="Times New Roman"/>
          <w:b w:val="1"/>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widowControl w:val="0"/>
        <w:spacing w:before="127" w:line="360" w:lineRule="auto"/>
        <w:ind w:right="45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8">
      <w:pPr>
        <w:widowControl w:val="0"/>
        <w:spacing w:before="127" w:line="360" w:lineRule="auto"/>
        <w:ind w:right="45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Submission to the UN Human Rights Committee’s consideration of lesbian, gay, bisexual, transgender, and intersex persons in Mongolia for the 140th session of the UN Human Rights Committee</w:t>
      </w:r>
    </w:p>
    <w:p w:rsidR="00000000" w:rsidDel="00000000" w:rsidP="00000000" w:rsidRDefault="00000000" w:rsidRPr="00000000" w14:paraId="00000009">
      <w:pPr>
        <w:widowControl w:val="0"/>
        <w:spacing w:before="127" w:line="360" w:lineRule="auto"/>
        <w:ind w:right="450"/>
        <w:jc w:val="cente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0A">
      <w:pPr>
        <w:widowControl w:val="0"/>
        <w:spacing w:before="127" w:line="360" w:lineRule="auto"/>
        <w:ind w:right="450"/>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[05 FEBRUARY 2024]</w:t>
      </w:r>
    </w:p>
    <w:p w:rsidR="00000000" w:rsidDel="00000000" w:rsidP="00000000" w:rsidRDefault="00000000" w:rsidRPr="00000000" w14:paraId="0000000B">
      <w:pPr>
        <w:widowControl w:val="0"/>
        <w:spacing w:before="203" w:line="240" w:lineRule="auto"/>
        <w:ind w:right="2282"/>
        <w:jc w:val="right"/>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Central Post Office - 120, Ulaanbaatar 13, Mongolia. </w:t>
      </w:r>
    </w:p>
    <w:p w:rsidR="00000000" w:rsidDel="00000000" w:rsidP="00000000" w:rsidRDefault="00000000" w:rsidRPr="00000000" w14:paraId="0000000C">
      <w:pPr>
        <w:widowControl w:val="0"/>
        <w:spacing w:before="81" w:line="240" w:lineRule="auto"/>
        <w:ind w:right="1206"/>
        <w:jc w:val="right"/>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Е-mail: </w:t>
      </w:r>
      <w:r w:rsidDel="00000000" w:rsidR="00000000" w:rsidRPr="00000000">
        <w:rPr>
          <w:rFonts w:ascii="Times New Roman" w:cs="Times New Roman" w:eastAsia="Times New Roman" w:hAnsi="Times New Roman"/>
          <w:color w:val="1155cc"/>
          <w:u w:val="single"/>
          <w:rtl w:val="0"/>
        </w:rPr>
        <w:t xml:space="preserve">edirector@lgbtcentre.mn</w:t>
      </w:r>
      <w:r w:rsidDel="00000000" w:rsidR="00000000" w:rsidRPr="00000000">
        <w:rPr>
          <w:rFonts w:ascii="Times New Roman" w:cs="Times New Roman" w:eastAsia="Times New Roman" w:hAnsi="Times New Roman"/>
          <w:rtl w:val="0"/>
        </w:rPr>
        <w:t xml:space="preserve">, Website: </w:t>
      </w:r>
      <w:r w:rsidDel="00000000" w:rsidR="00000000" w:rsidRPr="00000000">
        <w:rPr>
          <w:rFonts w:ascii="Times New Roman" w:cs="Times New Roman" w:eastAsia="Times New Roman" w:hAnsi="Times New Roman"/>
          <w:color w:val="1155cc"/>
          <w:rtl w:val="0"/>
        </w:rPr>
        <w:t xml:space="preserve">w</w:t>
      </w:r>
      <w:r w:rsidDel="00000000" w:rsidR="00000000" w:rsidRPr="00000000">
        <w:rPr>
          <w:rFonts w:ascii="Times New Roman" w:cs="Times New Roman" w:eastAsia="Times New Roman" w:hAnsi="Times New Roman"/>
          <w:color w:val="1155cc"/>
          <w:u w:val="single"/>
          <w:rtl w:val="0"/>
        </w:rPr>
        <w:t xml:space="preserve">ww.lgbtcentre.mn</w:t>
      </w:r>
      <w:r w:rsidDel="00000000" w:rsidR="00000000" w:rsidRPr="00000000">
        <w:rPr>
          <w:rFonts w:ascii="Times New Roman" w:cs="Times New Roman" w:eastAsia="Times New Roman" w:hAnsi="Times New Roman"/>
          <w:rtl w:val="0"/>
        </w:rPr>
        <w:t xml:space="preserve">, Phone: +976 70110323 </w:t>
      </w:r>
      <w:r w:rsidDel="00000000" w:rsidR="00000000" w:rsidRPr="00000000">
        <w:rPr>
          <w:rtl w:val="0"/>
        </w:rPr>
      </w:r>
    </w:p>
    <w:p w:rsidR="00000000" w:rsidDel="00000000" w:rsidP="00000000" w:rsidRDefault="00000000" w:rsidRPr="00000000" w14:paraId="0000000D">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1">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widowControl w:val="0"/>
        <w:pBdr>
          <w:top w:color="d9d9e3" w:space="0" w:sz="0" w:val="none"/>
          <w:left w:color="d9d9e3" w:space="0" w:sz="0" w:val="none"/>
          <w:bottom w:color="d9d9e3" w:space="0" w:sz="0" w:val="none"/>
          <w:right w:color="d9d9e3" w:space="0" w:sz="0" w:val="none"/>
          <w:between w:color="d9d9e3" w:space="0" w:sz="0" w:val="none"/>
        </w:pBdr>
        <w:spacing w:after="300"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3">
      <w:pPr>
        <w:widowControl w:val="0"/>
        <w:pBdr>
          <w:top w:color="d9d9e3" w:space="0" w:sz="0" w:val="none"/>
          <w:left w:color="d9d9e3" w:space="0" w:sz="0" w:val="none"/>
          <w:bottom w:color="d9d9e3" w:space="0" w:sz="0" w:val="none"/>
          <w:right w:color="d9d9e3" w:space="0" w:sz="0" w:val="none"/>
          <w:between w:color="d9d9e3" w:space="0" w:sz="0" w:val="none"/>
        </w:pBdr>
        <w:spacing w:after="300" w:line="360" w:lineRule="auto"/>
        <w:jc w:val="both"/>
        <w:rPr>
          <w:rFonts w:ascii="Times New Roman" w:cs="Times New Roman" w:eastAsia="Times New Roman" w:hAnsi="Times New Roman"/>
          <w:b w:val="1"/>
          <w:color w:val="366091"/>
          <w:sz w:val="32"/>
          <w:szCs w:val="32"/>
        </w:rPr>
      </w:pPr>
      <w:r w:rsidDel="00000000" w:rsidR="00000000" w:rsidRPr="00000000">
        <w:rPr>
          <w:rFonts w:ascii="Times New Roman" w:cs="Times New Roman" w:eastAsia="Times New Roman" w:hAnsi="Times New Roman"/>
          <w:b w:val="1"/>
          <w:color w:val="366091"/>
          <w:sz w:val="32"/>
          <w:szCs w:val="32"/>
          <w:rtl w:val="0"/>
        </w:rPr>
        <w:t xml:space="preserve">Preface.</w:t>
      </w:r>
    </w:p>
    <w:p w:rsidR="00000000" w:rsidDel="00000000" w:rsidP="00000000" w:rsidRDefault="00000000" w:rsidRPr="00000000" w14:paraId="00000014">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4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comprehensive report embodies the collaborative efforts of four (4) National Civil Society Organizations, meticulously crafted for submission to the United Nations Committee on Civil and Political Rights during its 140th Periodic Review Session in Geneva, Switzerland, slated from 4th March to 28th March 2024. The primary emphasis is on scrutinizing Mongolia's Seventh Periodic Report.</w:t>
      </w:r>
    </w:p>
    <w:p w:rsidR="00000000" w:rsidDel="00000000" w:rsidP="00000000" w:rsidRDefault="00000000" w:rsidRPr="00000000" w14:paraId="00000015">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4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information within stems from assiduous compilation of primary and secondary sources, conscientiously gathered by the participating organizations. A series of meetings facilitated by the LGBT Centre played a pivotal role in identifying substantive issues, followed by the drafting, documentation, revision, and validation of the report.</w:t>
      </w:r>
    </w:p>
    <w:p w:rsidR="00000000" w:rsidDel="00000000" w:rsidP="00000000" w:rsidRDefault="00000000" w:rsidRPr="00000000" w14:paraId="00000016">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4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collective initiative underscores the unwavering commitment of National Civil Society Organizations to illuminate crucial matters pertaining to civil and political rights in Mongolia, offering a comprehensive overview for the esteemed consideration of the United Nations Committee.</w:t>
      </w:r>
    </w:p>
    <w:p w:rsidR="00000000" w:rsidDel="00000000" w:rsidP="00000000" w:rsidRDefault="00000000" w:rsidRPr="00000000" w14:paraId="00000017">
      <w:pPr>
        <w:widowControl w:val="0"/>
        <w:pBdr>
          <w:top w:color="d9d9e3" w:space="0" w:sz="0" w:val="none"/>
          <w:left w:color="d9d9e3" w:space="0" w:sz="0" w:val="none"/>
          <w:bottom w:color="d9d9e3" w:space="0" w:sz="0" w:val="none"/>
          <w:right w:color="d9d9e3" w:space="0" w:sz="0" w:val="none"/>
          <w:between w:color="d9d9e3" w:space="0" w:sz="0" w:val="none"/>
        </w:pBdr>
        <w:spacing w:after="300" w:before="300" w:line="42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the report draws extensively from the systematic documentation of various violations against LGBTI persons by LGBTCM. This includes insights into social perceptions of sexuality, instances of violence and discrimination against LGBTI individuals, and an exploration of the shortcomings in institutional protection and redress mechanisms. The data was meticulously sourced from key entities such as the General Police Office, General Prosecutors Office, National Judicial Office, and National Human Rights Commission.</w:t>
      </w:r>
    </w:p>
    <w:p w:rsidR="00000000" w:rsidDel="00000000" w:rsidP="00000000" w:rsidRDefault="00000000" w:rsidRPr="00000000" w14:paraId="00000018">
      <w:pPr>
        <w:widowControl w:val="0"/>
        <w:pBdr>
          <w:top w:color="d9d9e3" w:space="0" w:sz="0" w:val="none"/>
          <w:left w:color="d9d9e3" w:space="0" w:sz="0" w:val="none"/>
          <w:bottom w:color="d9d9e3" w:space="0" w:sz="0" w:val="none"/>
          <w:right w:color="d9d9e3" w:space="0" w:sz="0" w:val="none"/>
          <w:between w:color="d9d9e3" w:space="0" w:sz="0" w:val="none"/>
        </w:pBdr>
        <w:spacing w:before="300" w:line="420" w:lineRule="auto"/>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rtl w:val="0"/>
        </w:rPr>
        <w:t xml:space="preserve">Furthermore, this report is a product of collaborative consultations with local LGBTI civil society organizations, namely Trans For Unity and Sayanaa Wellbeing Association. Their valuable insights and perspectives have enriched the report, contributing to a more holistic understanding of the challenges faced by the LGBTI community in Mongolia.</w:t>
      </w:r>
      <w:r w:rsidDel="00000000" w:rsidR="00000000" w:rsidRPr="00000000">
        <w:rPr>
          <w:rtl w:val="0"/>
        </w:rPr>
      </w:r>
    </w:p>
    <w:p w:rsidR="00000000" w:rsidDel="00000000" w:rsidP="00000000" w:rsidRDefault="00000000" w:rsidRPr="00000000" w14:paraId="00000019">
      <w:pPr>
        <w:widowControl w:val="0"/>
        <w:spacing w:before="127" w:line="360" w:lineRule="auto"/>
        <w:ind w:right="45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LESBIAN GAY BISEXUAL TRANSGENDER CENTRE (LGBT Centre) was established in 2007 and obtained its official state registration certificate as a nonprofit organization in 2009. </w:t>
      </w:r>
    </w:p>
    <w:p w:rsidR="00000000" w:rsidDel="00000000" w:rsidP="00000000" w:rsidRDefault="00000000" w:rsidRPr="00000000" w14:paraId="0000001A">
      <w:pPr>
        <w:widowControl w:val="0"/>
        <w:spacing w:before="127" w:line="360" w:lineRule="auto"/>
        <w:ind w:right="45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B">
      <w:pPr>
        <w:widowControl w:val="0"/>
        <w:spacing w:before="127" w:line="360" w:lineRule="auto"/>
        <w:ind w:right="450"/>
        <w:jc w:val="both"/>
        <w:rPr>
          <w:rFonts w:ascii="Times New Roman" w:cs="Times New Roman" w:eastAsia="Times New Roman" w:hAnsi="Times New Roman"/>
          <w:b w:val="1"/>
          <w:color w:val="366091"/>
          <w:sz w:val="40"/>
          <w:szCs w:val="40"/>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widowControl w:val="0"/>
            <w:spacing w:line="276" w:lineRule="auto"/>
            <w:rPr>
              <w:rFonts w:ascii="Times New Roman" w:cs="Times New Roman" w:eastAsia="Times New Roman" w:hAnsi="Times New Roman"/>
              <w:b w:val="1"/>
              <w:color w:val="366091"/>
              <w:sz w:val="40"/>
              <w:szCs w:val="40"/>
            </w:rPr>
          </w:pPr>
          <w:r w:rsidDel="00000000" w:rsidR="00000000" w:rsidRPr="00000000">
            <w:fldChar w:fldCharType="begin"/>
            <w:instrText xml:space="preserve"> TOC \h \u \z \t "Heading 1,1,Heading 2,2,Heading 3,3,Heading 4,4,Heading 5,5,Heading 6,6,"</w:instrText>
            <w:fldChar w:fldCharType="separate"/>
          </w:r>
          <w:r w:rsidDel="00000000" w:rsidR="00000000" w:rsidRPr="00000000">
            <w:rPr>
              <w:rFonts w:ascii="Times New Roman" w:cs="Times New Roman" w:eastAsia="Times New Roman" w:hAnsi="Times New Roman"/>
              <w:b w:val="1"/>
              <w:color w:val="366091"/>
              <w:sz w:val="40"/>
              <w:szCs w:val="40"/>
              <w:rtl w:val="0"/>
            </w:rPr>
            <w:t xml:space="preserve">CONTENT</w:t>
            <w:tab/>
          </w:r>
        </w:p>
        <w:p w:rsidR="00000000" w:rsidDel="00000000" w:rsidP="00000000" w:rsidRDefault="00000000" w:rsidRPr="00000000" w14:paraId="0000001D">
          <w:pPr>
            <w:widowControl w:val="0"/>
            <w:spacing w:line="276" w:lineRule="auto"/>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1E">
          <w:pPr>
            <w:widowControl w:val="0"/>
            <w:numPr>
              <w:ilvl w:val="0"/>
              <w:numId w:val="1"/>
            </w:numPr>
            <w:spacing w:line="276" w:lineRule="auto"/>
            <w:ind w:left="720" w:hanging="36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ACRONYMS AND ABBREVIATIONS </w:t>
            <w:tab/>
            <w:t xml:space="preserve">     4</w:t>
          </w:r>
        </w:p>
        <w:p w:rsidR="00000000" w:rsidDel="00000000" w:rsidP="00000000" w:rsidRDefault="00000000" w:rsidRPr="00000000" w14:paraId="0000001F">
          <w:pPr>
            <w:widowControl w:val="0"/>
            <w:spacing w:line="276" w:lineRule="auto"/>
            <w:ind w:left="72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0">
          <w:pPr>
            <w:widowControl w:val="0"/>
            <w:numPr>
              <w:ilvl w:val="0"/>
              <w:numId w:val="1"/>
            </w:numPr>
            <w:spacing w:line="276" w:lineRule="auto"/>
            <w:ind w:left="720" w:hanging="36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EXECUTIVE SUMMARY</w:t>
            <w:tab/>
            <w:tab/>
            <w:tab/>
            <w:tab/>
            <w:t xml:space="preserve">     5-6</w:t>
          </w:r>
        </w:p>
        <w:p w:rsidR="00000000" w:rsidDel="00000000" w:rsidP="00000000" w:rsidRDefault="00000000" w:rsidRPr="00000000" w14:paraId="00000021">
          <w:pPr>
            <w:widowControl w:val="0"/>
            <w:spacing w:line="276" w:lineRule="auto"/>
            <w:ind w:left="72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2">
          <w:pPr>
            <w:widowControl w:val="0"/>
            <w:numPr>
              <w:ilvl w:val="0"/>
              <w:numId w:val="1"/>
            </w:numPr>
            <w:spacing w:line="276" w:lineRule="auto"/>
            <w:ind w:left="720" w:hanging="36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CONCERNS AND RECOMMENDATIONS</w:t>
            <w:tab/>
          </w:r>
        </w:p>
        <w:p w:rsidR="00000000" w:rsidDel="00000000" w:rsidP="00000000" w:rsidRDefault="00000000" w:rsidRPr="00000000" w14:paraId="00000023">
          <w:pPr>
            <w:widowControl w:val="0"/>
            <w:spacing w:line="276" w:lineRule="auto"/>
            <w:ind w:left="72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4">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ARTICLE 2, 19, and 26  </w:t>
            <w:tab/>
            <w:tab/>
            <w:tab/>
            <w:tab/>
            <w:t xml:space="preserve">     6-17</w:t>
          </w:r>
        </w:p>
        <w:p w:rsidR="00000000" w:rsidDel="00000000" w:rsidP="00000000" w:rsidRDefault="00000000" w:rsidRPr="00000000" w14:paraId="00000025">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6">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ARTICLE 21 and 22 </w:t>
            <w:tab/>
            <w:tab/>
            <w:tab/>
            <w:tab/>
            <w:t xml:space="preserve">     17-23</w:t>
          </w:r>
        </w:p>
        <w:p w:rsidR="00000000" w:rsidDel="00000000" w:rsidP="00000000" w:rsidRDefault="00000000" w:rsidRPr="00000000" w14:paraId="00000027">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8">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ARTICLE 17 and 23</w:t>
            <w:tab/>
            <w:tab/>
            <w:tab/>
            <w:tab/>
            <w:tab/>
            <w:t xml:space="preserve">     24-25</w:t>
          </w:r>
        </w:p>
        <w:p w:rsidR="00000000" w:rsidDel="00000000" w:rsidP="00000000" w:rsidRDefault="00000000" w:rsidRPr="00000000" w14:paraId="00000029">
          <w:pPr>
            <w:widowControl w:val="0"/>
            <w:spacing w:line="276" w:lineRule="auto"/>
            <w:ind w:left="1440" w:firstLine="0"/>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A">
          <w:pPr>
            <w:widowControl w:val="0"/>
            <w:numPr>
              <w:ilvl w:val="0"/>
              <w:numId w:val="1"/>
            </w:numPr>
            <w:spacing w:line="276" w:lineRule="auto"/>
            <w:ind w:left="720" w:hanging="360"/>
            <w:rPr>
              <w:rFonts w:ascii="Times New Roman" w:cs="Times New Roman" w:eastAsia="Times New Roman" w:hAnsi="Times New Roman"/>
              <w:b w:val="1"/>
              <w:color w:val="366091"/>
              <w:sz w:val="40"/>
              <w:szCs w:val="40"/>
            </w:rPr>
          </w:pPr>
          <w:r w:rsidDel="00000000" w:rsidR="00000000" w:rsidRPr="00000000">
            <w:rPr>
              <w:rFonts w:ascii="Times New Roman" w:cs="Times New Roman" w:eastAsia="Times New Roman" w:hAnsi="Times New Roman"/>
              <w:b w:val="1"/>
              <w:color w:val="366091"/>
              <w:sz w:val="40"/>
              <w:szCs w:val="40"/>
              <w:rtl w:val="0"/>
            </w:rPr>
            <w:t xml:space="preserve">RECOMMENDATIONS</w:t>
            <w:tab/>
            <w:tab/>
            <w:tab/>
            <w:tab/>
            <w:tab/>
            <w:t xml:space="preserve">     25-27</w:t>
            <w:tab/>
          </w:r>
          <w:r w:rsidDel="00000000" w:rsidR="00000000" w:rsidRPr="00000000">
            <w:fldChar w:fldCharType="end"/>
          </w:r>
        </w:p>
      </w:sdtContent>
    </w:sdt>
    <w:p w:rsidR="00000000" w:rsidDel="00000000" w:rsidP="00000000" w:rsidRDefault="00000000" w:rsidRPr="00000000" w14:paraId="0000002B">
      <w:pPr>
        <w:widowControl w:val="0"/>
        <w:spacing w:before="127" w:line="360" w:lineRule="auto"/>
        <w:ind w:right="450"/>
        <w:jc w:val="both"/>
        <w:rPr>
          <w:rFonts w:ascii="Times New Roman" w:cs="Times New Roman" w:eastAsia="Times New Roman" w:hAnsi="Times New Roman"/>
          <w:b w:val="1"/>
          <w:color w:val="366091"/>
          <w:sz w:val="40"/>
          <w:szCs w:val="40"/>
        </w:rPr>
      </w:pPr>
      <w:r w:rsidDel="00000000" w:rsidR="00000000" w:rsidRPr="00000000">
        <w:rPr>
          <w:rtl w:val="0"/>
        </w:rPr>
      </w:r>
    </w:p>
    <w:p w:rsidR="00000000" w:rsidDel="00000000" w:rsidP="00000000" w:rsidRDefault="00000000" w:rsidRPr="00000000" w14:paraId="0000002C">
      <w:pPr>
        <w:widowControl w:val="0"/>
        <w:spacing w:before="127" w:line="360" w:lineRule="auto"/>
        <w:ind w:right="45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widowControl w:val="0"/>
        <w:spacing w:before="205.11962890625" w:line="240" w:lineRule="auto"/>
        <w:ind w:left="8.16009521484375" w:right="816.72119140625" w:hanging="1.9200134277343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widowControl w:val="0"/>
        <w:spacing w:before="205.11962890625" w:line="240" w:lineRule="auto"/>
        <w:ind w:left="8.16009521484375" w:right="816.72119140625" w:hanging="1.9200134277343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widowControl w:val="0"/>
        <w:spacing w:before="205.11962890625" w:line="240" w:lineRule="auto"/>
        <w:ind w:left="8.16009521484375" w:right="816.72119140625" w:hanging="1.9200134277343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widowControl w:val="0"/>
        <w:spacing w:before="205.11962890625" w:line="240" w:lineRule="auto"/>
        <w:ind w:left="8.16009521484375" w:right="816.72119140625" w:hanging="1.920013427734375"/>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widowControl w:val="0"/>
        <w:spacing w:before="205.11962890625" w:line="480" w:lineRule="auto"/>
        <w:ind w:left="0" w:right="816.72119140625"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widowControl w:val="0"/>
        <w:spacing w:before="205.11962890625" w:line="480" w:lineRule="auto"/>
        <w:ind w:left="0" w:right="816.72119140625" w:firstLine="0"/>
        <w:jc w:val="both"/>
        <w:rPr>
          <w:rFonts w:ascii="Times New Roman" w:cs="Times New Roman" w:eastAsia="Times New Roman" w:hAnsi="Times New Roman"/>
          <w:b w:val="1"/>
          <w:color w:val="366091"/>
          <w:sz w:val="30"/>
          <w:szCs w:val="30"/>
        </w:rPr>
      </w:pPr>
      <w:r w:rsidDel="00000000" w:rsidR="00000000" w:rsidRPr="00000000">
        <w:rPr>
          <w:rFonts w:ascii="Times New Roman" w:cs="Times New Roman" w:eastAsia="Times New Roman" w:hAnsi="Times New Roman"/>
          <w:b w:val="1"/>
          <w:color w:val="366091"/>
          <w:sz w:val="30"/>
          <w:szCs w:val="30"/>
          <w:rtl w:val="0"/>
        </w:rPr>
        <w:t xml:space="preserve">ACRONYMS AND ABBREVIATIONS</w:t>
      </w:r>
    </w:p>
    <w:p w:rsidR="00000000" w:rsidDel="00000000" w:rsidP="00000000" w:rsidRDefault="00000000" w:rsidRPr="00000000" w14:paraId="00000033">
      <w:pPr>
        <w:widowControl w:val="0"/>
        <w:spacing w:before="205.11962890625" w:line="240" w:lineRule="auto"/>
        <w:ind w:left="8.16009521484375" w:right="816.72119140625" w:hanging="1.92001342773437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LGBTCM: </w:t>
      </w:r>
      <w:r w:rsidDel="00000000" w:rsidR="00000000" w:rsidRPr="00000000">
        <w:rPr>
          <w:rFonts w:ascii="Times New Roman" w:cs="Times New Roman" w:eastAsia="Times New Roman" w:hAnsi="Times New Roman"/>
          <w:sz w:val="30"/>
          <w:szCs w:val="30"/>
          <w:rtl w:val="0"/>
        </w:rPr>
        <w:t xml:space="preserve">Lesbian Gay Bisexual Transgender Centre of Mongolia </w:t>
      </w:r>
    </w:p>
    <w:p w:rsidR="00000000" w:rsidDel="00000000" w:rsidP="00000000" w:rsidRDefault="00000000" w:rsidRPr="00000000" w14:paraId="00000034">
      <w:pPr>
        <w:widowControl w:val="0"/>
        <w:spacing w:before="205.11962890625" w:line="240" w:lineRule="auto"/>
        <w:ind w:left="8.16009521484375" w:right="816.72119140625" w:hanging="1.92001342773437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LGBTI: </w:t>
      </w:r>
      <w:r w:rsidDel="00000000" w:rsidR="00000000" w:rsidRPr="00000000">
        <w:rPr>
          <w:rFonts w:ascii="Times New Roman" w:cs="Times New Roman" w:eastAsia="Times New Roman" w:hAnsi="Times New Roman"/>
          <w:sz w:val="30"/>
          <w:szCs w:val="30"/>
          <w:rtl w:val="0"/>
        </w:rPr>
        <w:t xml:space="preserve">lesbian, gay, bisexual, transgender and intersex </w:t>
      </w:r>
    </w:p>
    <w:p w:rsidR="00000000" w:rsidDel="00000000" w:rsidP="00000000" w:rsidRDefault="00000000" w:rsidRPr="00000000" w14:paraId="00000035">
      <w:pPr>
        <w:widowControl w:val="0"/>
        <w:spacing w:before="205.11962890625" w:line="240" w:lineRule="auto"/>
        <w:ind w:left="8.16009521484375" w:right="816.72119140625" w:hanging="1.92001342773437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SOGI: </w:t>
      </w:r>
      <w:r w:rsidDel="00000000" w:rsidR="00000000" w:rsidRPr="00000000">
        <w:rPr>
          <w:rFonts w:ascii="Times New Roman" w:cs="Times New Roman" w:eastAsia="Times New Roman" w:hAnsi="Times New Roman"/>
          <w:sz w:val="30"/>
          <w:szCs w:val="30"/>
          <w:rtl w:val="0"/>
        </w:rPr>
        <w:t xml:space="preserve">sexual orientation and gender identity</w:t>
      </w:r>
    </w:p>
    <w:p w:rsidR="00000000" w:rsidDel="00000000" w:rsidP="00000000" w:rsidRDefault="00000000" w:rsidRPr="00000000" w14:paraId="00000036">
      <w:pPr>
        <w:widowControl w:val="0"/>
        <w:spacing w:before="205.11962890625" w:line="240" w:lineRule="auto"/>
        <w:ind w:left="8.16009521484375" w:right="816.72119140625" w:hanging="1.92001342773437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NHRCM: </w:t>
      </w:r>
      <w:r w:rsidDel="00000000" w:rsidR="00000000" w:rsidRPr="00000000">
        <w:rPr>
          <w:rFonts w:ascii="Times New Roman" w:cs="Times New Roman" w:eastAsia="Times New Roman" w:hAnsi="Times New Roman"/>
          <w:sz w:val="30"/>
          <w:szCs w:val="30"/>
          <w:rtl w:val="0"/>
        </w:rPr>
        <w:t xml:space="preserve">National Human Rights Commission of Mongolia </w:t>
      </w:r>
    </w:p>
    <w:p w:rsidR="00000000" w:rsidDel="00000000" w:rsidP="00000000" w:rsidRDefault="00000000" w:rsidRPr="00000000" w14:paraId="00000037">
      <w:pPr>
        <w:widowControl w:val="0"/>
        <w:spacing w:before="205.11962890625" w:line="240" w:lineRule="auto"/>
        <w:ind w:right="816.72119140625"/>
        <w:jc w:val="both"/>
        <w:rPr>
          <w:rFonts w:ascii="Times New Roman" w:cs="Times New Roman" w:eastAsia="Times New Roman" w:hAnsi="Times New Roman"/>
          <w:b w:val="1"/>
          <w:color w:val="366091"/>
          <w:sz w:val="30"/>
          <w:szCs w:val="30"/>
        </w:rPr>
      </w:pPr>
      <w:r w:rsidDel="00000000" w:rsidR="00000000" w:rsidRPr="00000000">
        <w:rPr>
          <w:rFonts w:ascii="Times New Roman" w:cs="Times New Roman" w:eastAsia="Times New Roman" w:hAnsi="Times New Roman"/>
          <w:b w:val="1"/>
          <w:color w:val="366091"/>
          <w:sz w:val="30"/>
          <w:szCs w:val="30"/>
          <w:rtl w:val="0"/>
        </w:rPr>
        <w:t xml:space="preserve">INTERPRETATION</w:t>
      </w:r>
    </w:p>
    <w:p w:rsidR="00000000" w:rsidDel="00000000" w:rsidP="00000000" w:rsidRDefault="00000000" w:rsidRPr="00000000" w14:paraId="00000038">
      <w:pPr>
        <w:widowControl w:val="0"/>
        <w:spacing w:before="205.11962890625" w:line="240" w:lineRule="auto"/>
        <w:ind w:right="816.7211914062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Committee: </w:t>
      </w:r>
      <w:r w:rsidDel="00000000" w:rsidR="00000000" w:rsidRPr="00000000">
        <w:rPr>
          <w:rFonts w:ascii="Times New Roman" w:cs="Times New Roman" w:eastAsia="Times New Roman" w:hAnsi="Times New Roman"/>
          <w:sz w:val="30"/>
          <w:szCs w:val="30"/>
          <w:rtl w:val="0"/>
        </w:rPr>
        <w:t xml:space="preserve">Committee on International Covenant on Civil and Political Rights</w:t>
      </w:r>
    </w:p>
    <w:p w:rsidR="00000000" w:rsidDel="00000000" w:rsidP="00000000" w:rsidRDefault="00000000" w:rsidRPr="00000000" w14:paraId="00000039">
      <w:pPr>
        <w:widowControl w:val="0"/>
        <w:spacing w:before="205.11962890625" w:line="240" w:lineRule="auto"/>
        <w:ind w:right="816.7211914062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Government: </w:t>
      </w:r>
      <w:r w:rsidDel="00000000" w:rsidR="00000000" w:rsidRPr="00000000">
        <w:rPr>
          <w:rFonts w:ascii="Times New Roman" w:cs="Times New Roman" w:eastAsia="Times New Roman" w:hAnsi="Times New Roman"/>
          <w:sz w:val="30"/>
          <w:szCs w:val="30"/>
          <w:rtl w:val="0"/>
        </w:rPr>
        <w:t xml:space="preserve">government of Mongolia </w:t>
      </w:r>
    </w:p>
    <w:p w:rsidR="00000000" w:rsidDel="00000000" w:rsidP="00000000" w:rsidRDefault="00000000" w:rsidRPr="00000000" w14:paraId="0000003A">
      <w:pPr>
        <w:widowControl w:val="0"/>
        <w:spacing w:before="205.11962890625" w:line="240" w:lineRule="auto"/>
        <w:ind w:right="816.7211914062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State: </w:t>
      </w:r>
      <w:r w:rsidDel="00000000" w:rsidR="00000000" w:rsidRPr="00000000">
        <w:rPr>
          <w:rFonts w:ascii="Times New Roman" w:cs="Times New Roman" w:eastAsia="Times New Roman" w:hAnsi="Times New Roman"/>
          <w:sz w:val="30"/>
          <w:szCs w:val="30"/>
          <w:rtl w:val="0"/>
        </w:rPr>
        <w:t xml:space="preserve">government of Mongolia </w:t>
      </w:r>
    </w:p>
    <w:p w:rsidR="00000000" w:rsidDel="00000000" w:rsidP="00000000" w:rsidRDefault="00000000" w:rsidRPr="00000000" w14:paraId="0000003B">
      <w:pPr>
        <w:widowControl w:val="0"/>
        <w:spacing w:before="205.11962890625" w:line="240" w:lineRule="auto"/>
        <w:ind w:right="816.72119140625"/>
        <w:jc w:val="both"/>
        <w:rPr>
          <w:rFonts w:ascii="Times New Roman" w:cs="Times New Roman" w:eastAsia="Times New Roman" w:hAnsi="Times New Roman"/>
          <w:sz w:val="30"/>
          <w:szCs w:val="30"/>
        </w:rPr>
      </w:pPr>
      <w:r w:rsidDel="00000000" w:rsidR="00000000" w:rsidRPr="00000000">
        <w:rPr>
          <w:rFonts w:ascii="Times New Roman" w:cs="Times New Roman" w:eastAsia="Times New Roman" w:hAnsi="Times New Roman"/>
          <w:b w:val="1"/>
          <w:sz w:val="30"/>
          <w:szCs w:val="30"/>
          <w:rtl w:val="0"/>
        </w:rPr>
        <w:t xml:space="preserve">Mongolia: </w:t>
      </w:r>
      <w:r w:rsidDel="00000000" w:rsidR="00000000" w:rsidRPr="00000000">
        <w:rPr>
          <w:rFonts w:ascii="Times New Roman" w:cs="Times New Roman" w:eastAsia="Times New Roman" w:hAnsi="Times New Roman"/>
          <w:sz w:val="30"/>
          <w:szCs w:val="30"/>
          <w:rtl w:val="0"/>
        </w:rPr>
        <w:t xml:space="preserve">government of Mongolia </w:t>
      </w:r>
    </w:p>
    <w:p w:rsidR="00000000" w:rsidDel="00000000" w:rsidP="00000000" w:rsidRDefault="00000000" w:rsidRPr="00000000" w14:paraId="0000003C">
      <w:pPr>
        <w:widowControl w:val="0"/>
        <w:spacing w:before="127" w:line="360" w:lineRule="auto"/>
        <w:ind w:right="450"/>
        <w:jc w:val="both"/>
        <w:rPr>
          <w:rFonts w:ascii="Times New Roman" w:cs="Times New Roman" w:eastAsia="Times New Roman" w:hAnsi="Times New Roman"/>
          <w:b w:val="1"/>
          <w:sz w:val="30"/>
          <w:szCs w:val="30"/>
        </w:rPr>
      </w:pPr>
      <w:r w:rsidDel="00000000" w:rsidR="00000000" w:rsidRPr="00000000">
        <w:rPr>
          <w:rtl w:val="0"/>
        </w:rPr>
      </w:r>
    </w:p>
    <w:p w:rsidR="00000000" w:rsidDel="00000000" w:rsidP="00000000" w:rsidRDefault="00000000" w:rsidRPr="00000000" w14:paraId="0000003D">
      <w:pPr>
        <w:widowControl w:val="0"/>
        <w:spacing w:before="127" w:line="360" w:lineRule="auto"/>
        <w:ind w:right="45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E">
      <w:pPr>
        <w:widowControl w:val="0"/>
        <w:spacing w:before="127" w:line="360" w:lineRule="auto"/>
        <w:ind w:right="45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F">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0">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1">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2">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3">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4">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5">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6">
      <w:pPr>
        <w:widowControl w:val="0"/>
        <w:spacing w:before="127" w:line="360" w:lineRule="auto"/>
        <w:ind w:right="450"/>
        <w:jc w:val="both"/>
        <w:rPr>
          <w:rFonts w:ascii="Times New Roman" w:cs="Times New Roman" w:eastAsia="Times New Roman" w:hAnsi="Times New Roman"/>
          <w:b w:val="1"/>
          <w:color w:val="366091"/>
          <w:sz w:val="24"/>
          <w:szCs w:val="24"/>
        </w:rPr>
      </w:pPr>
      <w:r w:rsidDel="00000000" w:rsidR="00000000" w:rsidRPr="00000000">
        <w:rPr>
          <w:rtl w:val="0"/>
        </w:rPr>
      </w:r>
    </w:p>
    <w:p w:rsidR="00000000" w:rsidDel="00000000" w:rsidP="00000000" w:rsidRDefault="00000000" w:rsidRPr="00000000" w14:paraId="00000047">
      <w:pPr>
        <w:widowControl w:val="0"/>
        <w:spacing w:before="127" w:line="360" w:lineRule="auto"/>
        <w:ind w:right="450"/>
        <w:jc w:val="both"/>
        <w:rPr>
          <w:rFonts w:ascii="Times New Roman" w:cs="Times New Roman" w:eastAsia="Times New Roman" w:hAnsi="Times New Roman"/>
          <w:b w:val="1"/>
          <w:color w:val="366091"/>
        </w:rPr>
      </w:pPr>
      <w:r w:rsidDel="00000000" w:rsidR="00000000" w:rsidRPr="00000000">
        <w:rPr>
          <w:rtl w:val="0"/>
        </w:rPr>
      </w:r>
    </w:p>
    <w:p w:rsidR="00000000" w:rsidDel="00000000" w:rsidP="00000000" w:rsidRDefault="00000000" w:rsidRPr="00000000" w14:paraId="00000048">
      <w:pPr>
        <w:widowControl w:val="0"/>
        <w:spacing w:before="127" w:line="360" w:lineRule="auto"/>
        <w:ind w:right="450"/>
        <w:jc w:val="both"/>
        <w:rPr>
          <w:rFonts w:ascii="Times New Roman" w:cs="Times New Roman" w:eastAsia="Times New Roman" w:hAnsi="Times New Roman"/>
          <w:b w:val="1"/>
          <w:color w:val="366091"/>
        </w:rPr>
      </w:pPr>
      <w:r w:rsidDel="00000000" w:rsidR="00000000" w:rsidRPr="00000000">
        <w:rPr>
          <w:rtl w:val="0"/>
        </w:rPr>
      </w:r>
    </w:p>
    <w:p w:rsidR="00000000" w:rsidDel="00000000" w:rsidP="00000000" w:rsidRDefault="00000000" w:rsidRPr="00000000" w14:paraId="00000049">
      <w:pPr>
        <w:widowControl w:val="0"/>
        <w:spacing w:before="127" w:line="360" w:lineRule="auto"/>
        <w:ind w:right="450"/>
        <w:jc w:val="both"/>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rtl w:val="0"/>
        </w:rPr>
        <w:t xml:space="preserve">II EXECUTIVE SUMMARY </w:t>
      </w:r>
    </w:p>
    <w:p w:rsidR="00000000" w:rsidDel="00000000" w:rsidP="00000000" w:rsidRDefault="00000000" w:rsidRPr="00000000" w14:paraId="0000004A">
      <w:pPr>
        <w:widowControl w:val="0"/>
        <w:spacing w:before="127" w:line="360" w:lineRule="auto"/>
        <w:ind w:right="450"/>
        <w:jc w:val="both"/>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B">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August 2017, Concluding observation of the 6th periodic report of Mongolia, The Committee expressed their concern </w:t>
      </w:r>
      <w:r w:rsidDel="00000000" w:rsidR="00000000" w:rsidRPr="00000000">
        <w:rPr>
          <w:rFonts w:ascii="Times New Roman" w:cs="Times New Roman" w:eastAsia="Times New Roman" w:hAnsi="Times New Roman"/>
          <w:vertAlign w:val="superscript"/>
        </w:rPr>
        <w:footnoteReference w:customMarkFollows="0" w:id="0"/>
      </w:r>
      <w:r w:rsidDel="00000000" w:rsidR="00000000" w:rsidRPr="00000000">
        <w:rPr>
          <w:rFonts w:ascii="Times New Roman" w:cs="Times New Roman" w:eastAsia="Times New Roman" w:hAnsi="Times New Roman"/>
          <w:rtl w:val="0"/>
        </w:rPr>
        <w:t xml:space="preserve"> about reports of violence, harassment and attacks against lesbian, gay, bisexual, transgender and intersex persons, about the failure of the State party to investigate, prosecute and punish such attacks, thus contributing to a culture of impunity and about the prevalence of prejudices and discrimination based on sexual orientation and gender identity. The Committee was also concerned about notable obstacles to the exercise of freedom of assembly by persons belonging to the lesbian, gay, bisexual, transgender and intersex community, which further exacerbates their vulnerable status in Mongolian society. The Committee also regretted the absence of legal recognition and protection of same-sex couples (arts. 2, 6, 7, 19, 21, 22 and 26).</w:t>
      </w:r>
    </w:p>
    <w:p w:rsidR="00000000" w:rsidDel="00000000" w:rsidP="00000000" w:rsidRDefault="00000000" w:rsidRPr="00000000" w14:paraId="0000004C">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Between 2017 and 2022, Mongolia has made legal strides to combat discrimination based on sexual orientation and gender identity (SOGI). The implementation of the 2015 Criminal Code on July 1, 2017, signified a notable commitment to addressing SOGI discrimination. However, the lack of court rulings on any discrimination cases since then indicates the ineffectiveness of current laws, raising concerns about the accountability of perpetrators.</w:t>
      </w:r>
    </w:p>
    <w:p w:rsidR="00000000" w:rsidDel="00000000" w:rsidP="00000000" w:rsidRDefault="00000000" w:rsidRPr="00000000" w14:paraId="0000004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report delves into key concerns and recommendations arising from the 6th periodic report of Mongolia by the Committee, focusing on anti-discrimination measures. Despite the existence of Article 14.1 in the 2015 Criminal Code, there have been no court rulings on discrimination cases, exposing deficiencies in the recently established crime information database and necessitating a comprehensive review.</w:t>
      </w:r>
    </w:p>
    <w:p w:rsidR="00000000" w:rsidDel="00000000" w:rsidP="00000000" w:rsidRDefault="00000000" w:rsidRPr="00000000" w14:paraId="0000004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Recommendations include evaluating the Criminal Code, advocating for comprehensive equality legislation, and fostering ongoing collaboration between the government and NGOs for sustainable capacity-building. The 1992 Constitution's vague discrimination prohibition requires review to align with international standards, addressing the needs of sexual and gender minorities.</w:t>
      </w:r>
    </w:p>
    <w:p w:rsidR="00000000" w:rsidDel="00000000" w:rsidP="00000000" w:rsidRDefault="00000000" w:rsidRPr="00000000" w14:paraId="0000004F">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Systemic challenges are evident in instances of discrimination, hate speech, and threats against the LGBTI community, demanding legal reform and heightened social awareness. Inadequate responses to discriminatory incidents, despite NHRCM directives, underscore the necessity for improved accountability mechanisms and compliance with commission recommendations.</w:t>
      </w:r>
    </w:p>
    <w:p w:rsidR="00000000" w:rsidDel="00000000" w:rsidP="00000000" w:rsidRDefault="00000000" w:rsidRPr="00000000" w14:paraId="00000050">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Government failure to provide peaceful assembly and freedom of association for LGBTI individuals compounds the challenges faced by the community. Existing healthcare projects focusing on HIV/AIDS lack inclusivity and sustainability. The report urges a comprehensive healthcare approach, encompassing diverse needs and sustained collaboration with advocacy groups. A disturbing incident involving an assault on a transgender woman underscores the urgency of legal reform to effectively combat hate crimes.</w:t>
      </w:r>
    </w:p>
    <w:p w:rsidR="00000000" w:rsidDel="00000000" w:rsidP="00000000" w:rsidRDefault="00000000" w:rsidRPr="00000000" w14:paraId="0000005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Inconsistencies in reported discrimination cases and their resolution reveal flaws in the criminal justice system, necessitating a comprehensive review for effective prosecution. The dismissal of a discrimination case against the LGBT Centre of Mongolia, coupled with the emergence of a homophobic group, underscores the imperative for legal reform and heightened social awareness to safeguard the rights of LGBTI organizations and individuals.</w:t>
      </w:r>
    </w:p>
    <w:p w:rsidR="00000000" w:rsidDel="00000000" w:rsidP="00000000" w:rsidRDefault="00000000" w:rsidRPr="00000000" w14:paraId="0000005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healthcare projects focusing on HIV/AIDS need expansion to address the diverse healthcare needs of the LGBTI community, including hormone replacement therapy, surgeries, and reproductive healthcare. This shadow report not only highlights concerns about anti-discrimination measures but also addresses critical issues related to hate crimes, legal responses, protection of LGBTI organizations, healthcare disparities, and the failure of the government to provide peaceful assembly and freedom of association for LGBTI individuals. Recommendations underscore the need for a comprehensive and inclusive approach to effectively protect the rights of the LGBTI community in Mongolia.</w:t>
      </w:r>
    </w:p>
    <w:p w:rsidR="00000000" w:rsidDel="00000000" w:rsidP="00000000" w:rsidRDefault="00000000" w:rsidRPr="00000000" w14:paraId="00000053">
      <w:pPr>
        <w:widowControl w:val="0"/>
        <w:spacing w:line="360" w:lineRule="auto"/>
        <w:ind w:left="11" w:right="450" w:firstLine="0"/>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rtl w:val="0"/>
        </w:rPr>
        <w:t xml:space="preserve">III: CONCERNS AND RECOMMENDATIONS</w:t>
      </w:r>
    </w:p>
    <w:p w:rsidR="00000000" w:rsidDel="00000000" w:rsidP="00000000" w:rsidRDefault="00000000" w:rsidRPr="00000000" w14:paraId="00000054">
      <w:pPr>
        <w:widowControl w:val="0"/>
        <w:spacing w:line="360" w:lineRule="auto"/>
        <w:ind w:left="11" w:right="450" w:firstLine="0"/>
        <w:rPr>
          <w:rFonts w:ascii="Times New Roman" w:cs="Times New Roman" w:eastAsia="Times New Roman" w:hAnsi="Times New Roman"/>
          <w:b w:val="1"/>
          <w:color w:val="366091"/>
          <w:sz w:val="28"/>
          <w:szCs w:val="28"/>
          <w:u w:val="single"/>
        </w:rPr>
      </w:pPr>
      <w:r w:rsidDel="00000000" w:rsidR="00000000" w:rsidRPr="00000000">
        <w:rPr>
          <w:rFonts w:ascii="Times New Roman" w:cs="Times New Roman" w:eastAsia="Times New Roman" w:hAnsi="Times New Roman"/>
          <w:b w:val="1"/>
          <w:color w:val="366091"/>
          <w:sz w:val="28"/>
          <w:szCs w:val="28"/>
          <w:u w:val="single"/>
          <w:rtl w:val="0"/>
        </w:rPr>
        <w:t xml:space="preserve">Enactment and Implementation of the Prevention of Discrimination </w:t>
      </w:r>
    </w:p>
    <w:p w:rsidR="00000000" w:rsidDel="00000000" w:rsidP="00000000" w:rsidRDefault="00000000" w:rsidRPr="00000000" w14:paraId="00000055">
      <w:pPr>
        <w:widowControl w:val="0"/>
        <w:spacing w:line="360" w:lineRule="auto"/>
        <w:ind w:left="0" w:right="450" w:firstLine="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color w:val="366091"/>
          <w:sz w:val="28"/>
          <w:szCs w:val="28"/>
          <w:rtl w:val="0"/>
        </w:rPr>
        <w:t xml:space="preserve">Articles 2, 19 and 26</w:t>
      </w:r>
      <w:r w:rsidDel="00000000" w:rsidR="00000000" w:rsidRPr="00000000">
        <w:rPr>
          <w:rtl w:val="0"/>
        </w:rPr>
      </w:r>
    </w:p>
    <w:p w:rsidR="00000000" w:rsidDel="00000000" w:rsidP="00000000" w:rsidRDefault="00000000" w:rsidRPr="00000000" w14:paraId="00000056">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August 2017, Concluding observation of the 6th periodic report of Mongolia, The Committee expressed their concern </w:t>
      </w:r>
      <w:r w:rsidDel="00000000" w:rsidR="00000000" w:rsidRPr="00000000">
        <w:rPr>
          <w:rFonts w:ascii="Times New Roman" w:cs="Times New Roman" w:eastAsia="Times New Roman" w:hAnsi="Times New Roman"/>
          <w:vertAlign w:val="superscript"/>
        </w:rPr>
        <w:footnoteReference w:customMarkFollows="0" w:id="1"/>
      </w:r>
      <w:r w:rsidDel="00000000" w:rsidR="00000000" w:rsidRPr="00000000">
        <w:rPr>
          <w:rFonts w:ascii="Times New Roman" w:cs="Times New Roman" w:eastAsia="Times New Roman" w:hAnsi="Times New Roman"/>
          <w:rtl w:val="0"/>
        </w:rPr>
        <w:t xml:space="preserve"> about reports of violence, harassment and attacks against lesbian, gay, bisexual, transgender and intersex persons, about the failure of the State party to investigate, prosecute and punish such attacks, thus contributing to a culture of impunity and about the prevalence of prejudices and discrimination based on sexual orientation and gender identity. The Committee was also concerned about notable obstacles to the exercise of freedom of assembly by persons belonging to the lesbian, gay, bisexual, transgender and intersex community, which further exacerbates their vulnerable status in Mongolian society. The Committee also regretted the absence of legal recognition and protection of same-sex couples (arts. 2, 6, 7, 19, 21, 22 and 26).</w:t>
      </w:r>
    </w:p>
    <w:p w:rsidR="00000000" w:rsidDel="00000000" w:rsidP="00000000" w:rsidRDefault="00000000" w:rsidRPr="00000000" w14:paraId="00000057">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August 2017, Concluding observation of the 6th periodic report of Mongolia, The Committee recommended </w:t>
      </w:r>
      <w:r w:rsidDel="00000000" w:rsidR="00000000" w:rsidRPr="00000000">
        <w:rPr>
          <w:rFonts w:ascii="Times New Roman" w:cs="Times New Roman" w:eastAsia="Times New Roman" w:hAnsi="Times New Roman"/>
          <w:vertAlign w:val="superscript"/>
        </w:rPr>
        <w:footnoteReference w:customMarkFollows="0" w:id="2"/>
      </w:r>
      <w:r w:rsidDel="00000000" w:rsidR="00000000" w:rsidRPr="00000000">
        <w:rPr>
          <w:rFonts w:ascii="Times New Roman" w:cs="Times New Roman" w:eastAsia="Times New Roman" w:hAnsi="Times New Roman"/>
          <w:rtl w:val="0"/>
        </w:rPr>
        <w:t xml:space="preserve"> that </w:t>
      </w:r>
      <w:r w:rsidDel="00000000" w:rsidR="00000000" w:rsidRPr="00000000">
        <w:rPr>
          <w:rFonts w:ascii="Times New Roman" w:cs="Times New Roman" w:eastAsia="Times New Roman" w:hAnsi="Times New Roman"/>
          <w:b w:val="1"/>
          <w:rtl w:val="0"/>
        </w:rPr>
        <w:t xml:space="preserve">The State party should intensify its efforts to combat stereotypes and prejudices against lesbian, gay, bisexual, transgender and intersex persons, and ensure that acts of discrimination and violence directed against them are investigated, that perpetrators are prosecuted, and if convicted, punished with appropriate penalties, and that victims are provided with full reparation. </w:t>
      </w:r>
      <w:r w:rsidDel="00000000" w:rsidR="00000000" w:rsidRPr="00000000">
        <w:rPr>
          <w:rtl w:val="0"/>
        </w:rPr>
      </w:r>
    </w:p>
    <w:p w:rsidR="00000000" w:rsidDel="00000000" w:rsidP="00000000" w:rsidRDefault="00000000" w:rsidRPr="00000000" w14:paraId="0000005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light of the Committee's recommendation for Mongolia to intensify efforts in combatting stereotypes and prejudices against LGBTQI+ individuals, the response provided in the 2023 State Report </w:t>
      </w:r>
      <w:r w:rsidDel="00000000" w:rsidR="00000000" w:rsidRPr="00000000">
        <w:rPr>
          <w:rFonts w:ascii="Times New Roman" w:cs="Times New Roman" w:eastAsia="Times New Roman" w:hAnsi="Times New Roman"/>
          <w:vertAlign w:val="superscript"/>
        </w:rPr>
        <w:footnoteReference w:customMarkFollows="0" w:id="3"/>
      </w:r>
      <w:r w:rsidDel="00000000" w:rsidR="00000000" w:rsidRPr="00000000">
        <w:rPr>
          <w:rFonts w:ascii="Times New Roman" w:cs="Times New Roman" w:eastAsia="Times New Roman" w:hAnsi="Times New Roman"/>
          <w:rtl w:val="0"/>
        </w:rPr>
        <w:t xml:space="preserve"> lacks clarity and depth. The State mentioned the implementation of tiered training courses for gender trainers since 2019, resulting in the certification of 170 trainers by governmental and non-governmental organizations, professional associations, and the LGBT Center. However, this information is insufficient for a comprehensive assessment. To enhance the transparency and quality of the response, the State should provide more detailed information.</w:t>
      </w:r>
    </w:p>
    <w:p w:rsidR="00000000" w:rsidDel="00000000" w:rsidP="00000000" w:rsidRDefault="00000000" w:rsidRPr="00000000" w14:paraId="00000059">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Can the State provide comprehensive details on the inclusivity of the training agenda implemented for gender trainers, specifically addressing topics related to LGBTI persons, hate speech, hate crime, and discrimination based on sexual orientation and gender identity? Additionally, which specific State agency or agencies are responsible for conducting the training courses for gender trainers, registering the 170 trainers, and defining their specific responsibilities? Moreover, which agency is tasked with certifying the trainers, and what criteria are utilized for certification? Furthermore, what measures are in place for monitoring and evaluating the effectiveness of these initiatives, especially in combating stereotypes and prejudices against LGBTI individuals? Lastly, can the State outline its plans for future training initiatives and detail how it intends to address any shortcomings identified in the current response? </w:t>
      </w:r>
      <w:r w:rsidDel="00000000" w:rsidR="00000000" w:rsidRPr="00000000">
        <w:rPr>
          <w:rtl w:val="0"/>
        </w:rPr>
      </w:r>
    </w:p>
    <w:p w:rsidR="00000000" w:rsidDel="00000000" w:rsidP="00000000" w:rsidRDefault="00000000" w:rsidRPr="00000000" w14:paraId="0000005A">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light of the Committee’s recommendation </w:t>
      </w:r>
      <w:r w:rsidDel="00000000" w:rsidR="00000000" w:rsidRPr="00000000">
        <w:rPr>
          <w:rFonts w:ascii="Times New Roman" w:cs="Times New Roman" w:eastAsia="Times New Roman" w:hAnsi="Times New Roman"/>
          <w:vertAlign w:val="superscript"/>
        </w:rPr>
        <w:footnoteReference w:customMarkFollows="0" w:id="4"/>
      </w:r>
      <w:r w:rsidDel="00000000" w:rsidR="00000000" w:rsidRPr="00000000">
        <w:rPr>
          <w:rFonts w:ascii="Times New Roman" w:cs="Times New Roman" w:eastAsia="Times New Roman" w:hAnsi="Times New Roman"/>
          <w:rtl w:val="0"/>
        </w:rPr>
        <w:t xml:space="preserve"> calling for ensuring the investigation and prosecution of acts of discrimination and violence against LGBTI individuals, with appropriate penalties for perpetrators and full reparations for victims. In its initial 2019 State Follow-up report, the government highlighted a troubling pattern wherein LGBT citizens tended to conceal their identities. Subsequently, investigations into complaints submitted to police offices revealed a distortion in reporting, as incidents were initially classified as drunken assaults rather than recognized as violations against sexual orientation and gender identity. In response, the State committed to registering cases of discrimination based on sexual orientation and gender identity in the newly established crime information database, with the intention of utilizing the collected data to effectively combat such discrimination.</w:t>
      </w:r>
    </w:p>
    <w:p w:rsidR="00000000" w:rsidDel="00000000" w:rsidP="00000000" w:rsidRDefault="00000000" w:rsidRPr="00000000" w14:paraId="0000005B">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the 2023 State Report presents a contradictory stance, indicating merely two cases of discrimination specified in the Criminal Code between 2018 and 2020, with no reported instances between 2021 and April 2022. Notably, the report highlights an absence of discrimination cases addressed by the court from 2018 to 2022, a claim corroborated by LGBTCM. This stark disparity becomes particularly conspicuous when juxtaposed with the records meticulously maintained by LGBTCM.</w:t>
      </w:r>
    </w:p>
    <w:p w:rsidR="00000000" w:rsidDel="00000000" w:rsidP="00000000" w:rsidRDefault="00000000" w:rsidRPr="00000000" w14:paraId="0000005C">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2021, LGBTCM officially obtained data on number of complaints, cases filed, and cases handled under Article 14.1 of the Criminal Code from the NHRCM, which had summoned data from the General Prosecutor's Office, General Police Office, and General Judicial Office, requesting implementation and data collected under Article 14.1. The records portray a divergent narrative, documenting five cases reported to the police </w:t>
      </w:r>
      <w:r w:rsidDel="00000000" w:rsidR="00000000" w:rsidRPr="00000000">
        <w:rPr>
          <w:rFonts w:ascii="Times New Roman" w:cs="Times New Roman" w:eastAsia="Times New Roman" w:hAnsi="Times New Roman"/>
          <w:vertAlign w:val="superscript"/>
        </w:rPr>
        <w:footnoteReference w:customMarkFollows="0" w:id="5"/>
      </w:r>
      <w:r w:rsidDel="00000000" w:rsidR="00000000" w:rsidRPr="00000000">
        <w:rPr>
          <w:rFonts w:ascii="Times New Roman" w:cs="Times New Roman" w:eastAsia="Times New Roman" w:hAnsi="Times New Roman"/>
          <w:rtl w:val="0"/>
        </w:rPr>
        <w:t xml:space="preserve"> and 13 cases recorded at the General Prosecutor's Office </w:t>
      </w:r>
      <w:r w:rsidDel="00000000" w:rsidR="00000000" w:rsidRPr="00000000">
        <w:rPr>
          <w:rFonts w:ascii="Times New Roman" w:cs="Times New Roman" w:eastAsia="Times New Roman" w:hAnsi="Times New Roman"/>
          <w:vertAlign w:val="superscript"/>
        </w:rPr>
        <w:footnoteReference w:customMarkFollows="0" w:id="6"/>
      </w:r>
      <w:r w:rsidDel="00000000" w:rsidR="00000000" w:rsidRPr="00000000">
        <w:rPr>
          <w:rFonts w:ascii="Times New Roman" w:cs="Times New Roman" w:eastAsia="Times New Roman" w:hAnsi="Times New Roman"/>
          <w:rtl w:val="0"/>
        </w:rPr>
        <w:t xml:space="preserve"> between 2017 and 2021. Among these, ten cases faced dismissal, three were under investigation, and two were transferred to court.</w:t>
      </w:r>
    </w:p>
    <w:p w:rsidR="00000000" w:rsidDel="00000000" w:rsidP="00000000" w:rsidRDefault="00000000" w:rsidRPr="00000000" w14:paraId="0000005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Adding to the complexity, the 2024 LGBTCM obtained data on complaints, cases filed, and cases handled under Article 14.1 of the Criminal Code from the General Police Office. Records obtained from the General Police Office revealed even more disparity. Between 2017 and 2023, the General Police Office reported </w:t>
      </w:r>
      <w:r w:rsidDel="00000000" w:rsidR="00000000" w:rsidRPr="00000000">
        <w:rPr>
          <w:rFonts w:ascii="Times New Roman" w:cs="Times New Roman" w:eastAsia="Times New Roman" w:hAnsi="Times New Roman"/>
          <w:vertAlign w:val="superscript"/>
        </w:rPr>
        <w:footnoteReference w:customMarkFollows="0" w:id="7"/>
      </w:r>
      <w:r w:rsidDel="00000000" w:rsidR="00000000" w:rsidRPr="00000000">
        <w:rPr>
          <w:rFonts w:ascii="Times New Roman" w:cs="Times New Roman" w:eastAsia="Times New Roman" w:hAnsi="Times New Roman"/>
          <w:rtl w:val="0"/>
        </w:rPr>
        <w:t xml:space="preserve"> that  a total of five complaints were filed, out of which three were recorded as cases, and all three were dismissed. Completely different from the records obtained in 2021</w:t>
      </w:r>
      <w:r w:rsidDel="00000000" w:rsidR="00000000" w:rsidRPr="00000000">
        <w:rPr>
          <w:rFonts w:ascii="Times New Roman" w:cs="Times New Roman" w:eastAsia="Times New Roman" w:hAnsi="Times New Roman"/>
          <w:highlight w:val="white"/>
          <w:rtl w:val="0"/>
        </w:rPr>
        <w:t xml:space="preserve">. Intriguingly, LGBTCM itself lodged </w:t>
      </w:r>
      <w:r w:rsidDel="00000000" w:rsidR="00000000" w:rsidRPr="00000000">
        <w:rPr>
          <w:rFonts w:ascii="Times New Roman" w:cs="Times New Roman" w:eastAsia="Times New Roman" w:hAnsi="Times New Roman"/>
          <w:highlight w:val="white"/>
          <w:vertAlign w:val="superscript"/>
        </w:rPr>
        <w:footnoteReference w:customMarkFollows="0" w:id="8"/>
      </w:r>
      <w:r w:rsidDel="00000000" w:rsidR="00000000" w:rsidRPr="00000000">
        <w:rPr>
          <w:rFonts w:ascii="Times New Roman" w:cs="Times New Roman" w:eastAsia="Times New Roman" w:hAnsi="Times New Roman"/>
          <w:highlight w:val="white"/>
          <w:rtl w:val="0"/>
        </w:rPr>
        <w:t xml:space="preserve"> a total of sixteen (16) complaints under the Article 14.1 of the Criminal Code with the police between 2017 to 2023; 3 in 2017, 1 in 2018, 1 in 2019, 4 in 2020, 6 in 2021 and 1 in 2022 respectfully. Cases investigated by the police are 2 in 2017, 1 in 2018, 2 in 2020, 2 in 2021 and 1 in 2022. The 2019 one case was transferred to the court and dismissed, all other years of cases faced subsequent dismissal. This signific</w:t>
      </w:r>
      <w:r w:rsidDel="00000000" w:rsidR="00000000" w:rsidRPr="00000000">
        <w:rPr>
          <w:rFonts w:ascii="Times New Roman" w:cs="Times New Roman" w:eastAsia="Times New Roman" w:hAnsi="Times New Roman"/>
          <w:rtl w:val="0"/>
        </w:rPr>
        <w:t xml:space="preserve">ant discrepancy underscores the need for a comprehensive examination of the mechanisms and processes involved in handling discrimination cases, aiming for consistency and effectiveness across all levels of the legal system.</w:t>
      </w:r>
    </w:p>
    <w:p w:rsidR="00000000" w:rsidDel="00000000" w:rsidP="00000000" w:rsidRDefault="00000000" w:rsidRPr="00000000" w14:paraId="0000005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glaring discrepancy underscores a fundamental issue with the newly established crime information database and its statistical data. It suggests that Article 14.1 of the Criminal Code is inadequately implemented at all levels, including the flawed data collection process. The systemic gaps extend to procedural lapses in implementation and a deficiency in the requisite skills and knowledge needed to effectively combat discrimination and safeguard the rights of LGBTI individuals in crisis.</w:t>
      </w:r>
    </w:p>
    <w:p w:rsidR="00000000" w:rsidDel="00000000" w:rsidP="00000000" w:rsidRDefault="00000000" w:rsidRPr="00000000" w14:paraId="0000005F">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accordance with Mongolian Legislation Act </w:t>
      </w:r>
      <w:r w:rsidDel="00000000" w:rsidR="00000000" w:rsidRPr="00000000">
        <w:rPr>
          <w:rFonts w:ascii="Times New Roman" w:cs="Times New Roman" w:eastAsia="Times New Roman" w:hAnsi="Times New Roman"/>
          <w:vertAlign w:val="superscript"/>
        </w:rPr>
        <w:footnoteReference w:customMarkFollows="0" w:id="9"/>
      </w:r>
      <w:r w:rsidDel="00000000" w:rsidR="00000000" w:rsidRPr="00000000">
        <w:rPr>
          <w:rFonts w:ascii="Times New Roman" w:cs="Times New Roman" w:eastAsia="Times New Roman" w:hAnsi="Times New Roman"/>
          <w:rtl w:val="0"/>
        </w:rPr>
        <w:t xml:space="preserve">, a mandatory review </w:t>
      </w:r>
      <w:r w:rsidDel="00000000" w:rsidR="00000000" w:rsidRPr="00000000">
        <w:rPr>
          <w:rFonts w:ascii="Times New Roman" w:cs="Times New Roman" w:eastAsia="Times New Roman" w:hAnsi="Times New Roman"/>
          <w:vertAlign w:val="superscript"/>
        </w:rPr>
        <w:footnoteReference w:customMarkFollows="0" w:id="10"/>
      </w:r>
      <w:r w:rsidDel="00000000" w:rsidR="00000000" w:rsidRPr="00000000">
        <w:rPr>
          <w:rFonts w:ascii="Times New Roman" w:cs="Times New Roman" w:eastAsia="Times New Roman" w:hAnsi="Times New Roman"/>
          <w:rtl w:val="0"/>
        </w:rPr>
        <w:t xml:space="preserve"> and evaluation of any legislation take place after five years of its implementation. Given the elapsed time since the enactment of the Criminal Code, it is imperative for the State to undertake a thorough examination of its effectiveness, with a specific focus on Article 14.1 addressing discrimination based on sexual orientation and gender identity. </w:t>
      </w:r>
    </w:p>
    <w:p w:rsidR="00000000" w:rsidDel="00000000" w:rsidP="00000000" w:rsidRDefault="00000000" w:rsidRPr="00000000" w14:paraId="00000060">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current disparities between official state reports and the records maintained by LGBTCM reveal significant discrepancies, warranting closer scrutiny of the Criminal Code's efficacy. The apparent failure to address discrimination cases, as evidenced by inconsistencies in reported incidents and their legal resolution, underscores the urgency for a comprehensive review.</w:t>
      </w:r>
    </w:p>
    <w:p w:rsidR="00000000" w:rsidDel="00000000" w:rsidP="00000000" w:rsidRDefault="00000000" w:rsidRPr="00000000" w14:paraId="0000006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evaluation should encompass not only the shortcomings in data collection and reporting mechanisms but also extend to the procedural aspects of implementing Article 14.1. It is crucial to identify and rectify any systemic gaps that hinder the code's effectiveness in combating discrimination against the LGBTI community.  According to the Legislation Act, the National Legal Institute </w:t>
      </w:r>
      <w:r w:rsidDel="00000000" w:rsidR="00000000" w:rsidRPr="00000000">
        <w:rPr>
          <w:rFonts w:ascii="Times New Roman" w:cs="Times New Roman" w:eastAsia="Times New Roman" w:hAnsi="Times New Roman"/>
          <w:vertAlign w:val="superscript"/>
        </w:rPr>
        <w:footnoteReference w:customMarkFollows="0" w:id="11"/>
      </w:r>
      <w:r w:rsidDel="00000000" w:rsidR="00000000" w:rsidRPr="00000000">
        <w:rPr>
          <w:rFonts w:ascii="Times New Roman" w:cs="Times New Roman" w:eastAsia="Times New Roman" w:hAnsi="Times New Roman"/>
          <w:rtl w:val="0"/>
        </w:rPr>
        <w:t xml:space="preserve"> is responsible to make an assessment of the non-effectiveness of the implementation of the legislation, unless otherwise specified, within 5 years of the implementation of the relevant legislation.</w:t>
      </w:r>
    </w:p>
    <w:p w:rsidR="00000000" w:rsidDel="00000000" w:rsidP="00000000" w:rsidRDefault="00000000" w:rsidRPr="00000000" w14:paraId="0000006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Moreover, this review presents an opportune moment for the State to reconsider the adoption of comprehensive equality legislation. Recognizing the evolving landscape of societal values and the pressing need for robust legal frameworks, the State should explore avenues to enhance and fortify its commitment to protecting the rights of all citizens, irrespective of their sexual orientation or gender identity.</w:t>
      </w:r>
    </w:p>
    <w:p w:rsidR="00000000" w:rsidDel="00000000" w:rsidP="00000000" w:rsidRDefault="00000000" w:rsidRPr="00000000" w14:paraId="00000063">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2023 State Report </w:t>
      </w:r>
      <w:r w:rsidDel="00000000" w:rsidR="00000000" w:rsidRPr="00000000">
        <w:rPr>
          <w:rFonts w:ascii="Times New Roman" w:cs="Times New Roman" w:eastAsia="Times New Roman" w:hAnsi="Times New Roman"/>
          <w:vertAlign w:val="superscript"/>
        </w:rPr>
        <w:footnoteReference w:customMarkFollows="0" w:id="12"/>
      </w:r>
      <w:r w:rsidDel="00000000" w:rsidR="00000000" w:rsidRPr="00000000">
        <w:rPr>
          <w:rFonts w:ascii="Times New Roman" w:cs="Times New Roman" w:eastAsia="Times New Roman" w:hAnsi="Times New Roman"/>
          <w:rtl w:val="0"/>
        </w:rPr>
        <w:t xml:space="preserve"> to the Committee underscores notable progress, particularly in strengthening the capabilities of law enforcement officers to address sexual orientation and gender identity-related crimes. A significant initiative in this direction was developing a comprehensive training program by the State General Prosecutor’s Office. This program, accredited by the training committee of the Mongolian Bar Association in 2021, covers essential topics such as the understanding of discrimination, relevant legal norms, and criteria for differentiating this crime from others. It's important to clarify that the training program targeted 90 prosecutors across the nation, encompassing 21 provinces and 9 districts within the capital city, rather than law enforcement personnel. Additional clarification is that this training initiative, crucial for enhancing the legal system's capacity, was initiated, partially implemented and  funded by LGBTCM, signifying a commendable collaboration. However, it's essential to note that the training was not financially supported by the General Prosecutor’s Office or any other government agency, and its reliance on one-time funding from an NGO raises concerns about the sustainability of such efforts. Despite the valuable contributions of the LGBTCM, there is a need for continued support and commitment from governmental bodies to ensure the longevity and effectiveness of initiatives aimed at addressing SOGI-related discrimination. Recognizing the current limitations, there is an opportunity for further collaboration to establish sustainable mechanisms for ongoing training and capacity-building within the legal system.</w:t>
      </w:r>
    </w:p>
    <w:p w:rsidR="00000000" w:rsidDel="00000000" w:rsidP="00000000" w:rsidRDefault="00000000" w:rsidRPr="00000000" w14:paraId="00000064">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How does the Government of Mongolia plan to ensure the sustained effectiveness of these initiatives in advancing the rights of sexual and gender minorities (SOGI) within the justice and judicial sectors? Specifically, what comprehensive strategies are in place for long-term funding, evaluation, and monitoring of ongoing training programs for law enforcement, prosecutors, and judges and how does the government intend to measure and track the progress and improvement of prosecutors in handling cases related to SOGI discrimination?</w:t>
      </w:r>
      <w:r w:rsidDel="00000000" w:rsidR="00000000" w:rsidRPr="00000000">
        <w:rPr>
          <w:rtl w:val="0"/>
        </w:rPr>
      </w:r>
    </w:p>
    <w:p w:rsidR="00000000" w:rsidDel="00000000" w:rsidP="00000000" w:rsidRDefault="00000000" w:rsidRPr="00000000" w14:paraId="00000065">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2019 State Follow-Up Report</w:t>
      </w:r>
      <w:r w:rsidDel="00000000" w:rsidR="00000000" w:rsidRPr="00000000">
        <w:rPr>
          <w:rFonts w:ascii="Times New Roman" w:cs="Times New Roman" w:eastAsia="Times New Roman" w:hAnsi="Times New Roman"/>
          <w:vertAlign w:val="superscript"/>
        </w:rPr>
        <w:footnoteReference w:customMarkFollows="0" w:id="13"/>
      </w:r>
      <w:r w:rsidDel="00000000" w:rsidR="00000000" w:rsidRPr="00000000">
        <w:rPr>
          <w:rFonts w:ascii="Times New Roman" w:cs="Times New Roman" w:eastAsia="Times New Roman" w:hAnsi="Times New Roman"/>
          <w:rtl w:val="0"/>
        </w:rPr>
        <w:t xml:space="preserve"> indicated that “Mongolia has legalized the prohibition of discrimination in its 1992 Constitution as  a fundamental principle.</w:t>
      </w:r>
      <w:r w:rsidDel="00000000" w:rsidR="00000000" w:rsidRPr="00000000">
        <w:rPr>
          <w:rFonts w:ascii="Times New Roman" w:cs="Times New Roman" w:eastAsia="Times New Roman" w:hAnsi="Times New Roman"/>
          <w:vertAlign w:val="superscript"/>
        </w:rPr>
        <w:footnoteReference w:customMarkFollows="0" w:id="14"/>
      </w:r>
      <w:r w:rsidDel="00000000" w:rsidR="00000000" w:rsidRPr="00000000">
        <w:rPr>
          <w:rFonts w:ascii="Times New Roman" w:cs="Times New Roman" w:eastAsia="Times New Roman" w:hAnsi="Times New Roman"/>
          <w:vertAlign w:val="superscript"/>
          <w:rtl w:val="0"/>
        </w:rPr>
        <w:t xml:space="preserve"> </w:t>
      </w:r>
      <w:r w:rsidDel="00000000" w:rsidR="00000000" w:rsidRPr="00000000">
        <w:rPr>
          <w:rFonts w:ascii="Times New Roman" w:cs="Times New Roman" w:eastAsia="Times New Roman" w:hAnsi="Times New Roman"/>
          <w:rtl w:val="0"/>
        </w:rPr>
        <w:t xml:space="preserve">The principle of the prohibition of discrimination has been  reflected in the laws adopted within the framework of criminal justice reforms, including the Criminal Procedure Code. According to Article 1.12 of the Criminal Procedure Code,  “all citizens are equal before the law and the courts without discrimination”. In case of an  act of discrimination that constitutes a breach of these laws, the victim has a right to file a  complaint under the law.”</w:t>
      </w:r>
    </w:p>
    <w:p w:rsidR="00000000" w:rsidDel="00000000" w:rsidP="00000000" w:rsidRDefault="00000000" w:rsidRPr="00000000" w14:paraId="00000066">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prohibition of discrimination provision of the 1992 Constitution  contains a number of shortcomings that undermine rights to equality and non-discrimination in practice. Discrimination is not defined, leaving the scope of protection and the forms of discrimination which are prohibited unclear. The Constitution does not specifically require the adoption of positive action measures to address </w:t>
      </w:r>
      <w:r w:rsidDel="00000000" w:rsidR="00000000" w:rsidRPr="00000000">
        <w:rPr>
          <w:rFonts w:ascii="Times New Roman" w:cs="Times New Roman" w:eastAsia="Times New Roman" w:hAnsi="Times New Roman"/>
          <w:i w:val="1"/>
          <w:rtl w:val="0"/>
        </w:rPr>
        <w:t xml:space="preserve">substantive inequalities</w:t>
      </w:r>
      <w:r w:rsidDel="00000000" w:rsidR="00000000" w:rsidRPr="00000000">
        <w:rPr>
          <w:rFonts w:ascii="Times New Roman" w:cs="Times New Roman" w:eastAsia="Times New Roman" w:hAnsi="Times New Roman"/>
          <w:rtl w:val="0"/>
        </w:rPr>
        <w:t xml:space="preserve">, in line with international standards, and best practices. </w:t>
      </w:r>
      <w:r w:rsidDel="00000000" w:rsidR="00000000" w:rsidRPr="00000000">
        <w:rPr>
          <w:rFonts w:ascii="Times New Roman" w:cs="Times New Roman" w:eastAsia="Times New Roman" w:hAnsi="Times New Roman"/>
          <w:color w:val="050505"/>
          <w:rtl w:val="0"/>
        </w:rPr>
        <w:t xml:space="preserve">The list </w:t>
      </w:r>
      <w:r w:rsidDel="00000000" w:rsidR="00000000" w:rsidRPr="00000000">
        <w:rPr>
          <w:rFonts w:ascii="Times New Roman" w:cs="Times New Roman" w:eastAsia="Times New Roman" w:hAnsi="Times New Roman"/>
          <w:color w:val="050505"/>
          <w:vertAlign w:val="superscript"/>
        </w:rPr>
        <w:footnoteReference w:customMarkFollows="0" w:id="15"/>
      </w:r>
      <w:r w:rsidDel="00000000" w:rsidR="00000000" w:rsidRPr="00000000">
        <w:rPr>
          <w:rFonts w:ascii="Times New Roman" w:cs="Times New Roman" w:eastAsia="Times New Roman" w:hAnsi="Times New Roman"/>
          <w:color w:val="050505"/>
          <w:rtl w:val="0"/>
        </w:rPr>
        <w:t xml:space="preserve"> of protected grounds is closed and omits reference to several personal characteristics recognised under</w:t>
      </w:r>
      <w:r w:rsidDel="00000000" w:rsidR="00000000" w:rsidRPr="00000000">
        <w:rPr>
          <w:rFonts w:ascii="Times New Roman" w:cs="Times New Roman" w:eastAsia="Times New Roman" w:hAnsi="Times New Roman"/>
          <w:color w:val="050505"/>
          <w:vertAlign w:val="superscript"/>
        </w:rPr>
        <w:footnoteReference w:customMarkFollows="0" w:id="16"/>
      </w:r>
      <w:r w:rsidDel="00000000" w:rsidR="00000000" w:rsidRPr="00000000">
        <w:rPr>
          <w:rFonts w:ascii="Times New Roman" w:cs="Times New Roman" w:eastAsia="Times New Roman" w:hAnsi="Times New Roman"/>
          <w:color w:val="050505"/>
          <w:rtl w:val="0"/>
        </w:rPr>
        <w:t xml:space="preserve"> international law, including sexual orientation and gender identity.</w:t>
      </w:r>
      <w:r w:rsidDel="00000000" w:rsidR="00000000" w:rsidRPr="00000000">
        <w:rPr>
          <w:rtl w:val="0"/>
        </w:rPr>
      </w:r>
    </w:p>
    <w:p w:rsidR="00000000" w:rsidDel="00000000" w:rsidP="00000000" w:rsidRDefault="00000000" w:rsidRPr="00000000" w14:paraId="00000067">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color w:val="050505"/>
        </w:rPr>
      </w:pPr>
      <w:r w:rsidDel="00000000" w:rsidR="00000000" w:rsidRPr="00000000">
        <w:rPr>
          <w:rFonts w:ascii="Times New Roman" w:cs="Times New Roman" w:eastAsia="Times New Roman" w:hAnsi="Times New Roman"/>
          <w:color w:val="050505"/>
          <w:rtl w:val="0"/>
        </w:rPr>
        <w:t xml:space="preserve">Despite weaknesses in the domestic legal framework, contrary to the recommendations of </w:t>
      </w:r>
      <w:r w:rsidDel="00000000" w:rsidR="00000000" w:rsidRPr="00000000">
        <w:rPr>
          <w:rFonts w:ascii="Times New Roman" w:cs="Times New Roman" w:eastAsia="Times New Roman" w:hAnsi="Times New Roman"/>
          <w:color w:val="050505"/>
          <w:vertAlign w:val="superscript"/>
        </w:rPr>
        <w:footnoteReference w:customMarkFollows="0" w:id="17"/>
      </w:r>
      <w:r w:rsidDel="00000000" w:rsidR="00000000" w:rsidRPr="00000000">
        <w:rPr>
          <w:rFonts w:ascii="Times New Roman" w:cs="Times New Roman" w:eastAsia="Times New Roman" w:hAnsi="Times New Roman"/>
          <w:color w:val="050505"/>
          <w:rtl w:val="0"/>
        </w:rPr>
        <w:t xml:space="preserve">states and UN treaty bodies</w:t>
      </w:r>
      <w:r w:rsidDel="00000000" w:rsidR="00000000" w:rsidRPr="00000000">
        <w:rPr>
          <w:rFonts w:ascii="Times New Roman" w:cs="Times New Roman" w:eastAsia="Times New Roman" w:hAnsi="Times New Roman"/>
          <w:color w:val="050505"/>
          <w:vertAlign w:val="superscript"/>
        </w:rPr>
        <w:footnoteReference w:customMarkFollows="0" w:id="18"/>
      </w:r>
      <w:r w:rsidDel="00000000" w:rsidR="00000000" w:rsidRPr="00000000">
        <w:rPr>
          <w:rFonts w:ascii="Times New Roman" w:cs="Times New Roman" w:eastAsia="Times New Roman" w:hAnsi="Times New Roman"/>
          <w:color w:val="050505"/>
          <w:rtl w:val="0"/>
        </w:rPr>
        <w:t xml:space="preserve"> Mongolia has failed to adopt comprehensive equality legislation in line with its international human rights obligations.</w:t>
      </w:r>
    </w:p>
    <w:p w:rsidR="00000000" w:rsidDel="00000000" w:rsidP="00000000" w:rsidRDefault="00000000" w:rsidRPr="00000000" w14:paraId="0000006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2019 State Follow-Up Report </w:t>
      </w:r>
      <w:r w:rsidDel="00000000" w:rsidR="00000000" w:rsidRPr="00000000">
        <w:rPr>
          <w:rFonts w:ascii="Times New Roman" w:cs="Times New Roman" w:eastAsia="Times New Roman" w:hAnsi="Times New Roman"/>
          <w:vertAlign w:val="superscript"/>
        </w:rPr>
        <w:footnoteReference w:customMarkFollows="0" w:id="19"/>
      </w:r>
      <w:r w:rsidDel="00000000" w:rsidR="00000000" w:rsidRPr="00000000">
        <w:rPr>
          <w:rFonts w:ascii="Times New Roman" w:cs="Times New Roman" w:eastAsia="Times New Roman" w:hAnsi="Times New Roman"/>
          <w:rtl w:val="0"/>
        </w:rPr>
        <w:t xml:space="preserve"> indicated that </w:t>
      </w:r>
      <w:r w:rsidDel="00000000" w:rsidR="00000000" w:rsidRPr="00000000">
        <w:rPr>
          <w:rFonts w:ascii="Times New Roman" w:cs="Times New Roman" w:eastAsia="Times New Roman" w:hAnsi="Times New Roman"/>
          <w:i w:val="1"/>
          <w:rtl w:val="0"/>
        </w:rPr>
        <w:t xml:space="preserve">An act of “discrimination on the basis of sexual orientation and gender identity” is  considered as a crime and is regulated by Article 14.1 of the Criminal Code. </w:t>
      </w:r>
      <w:r w:rsidDel="00000000" w:rsidR="00000000" w:rsidRPr="00000000">
        <w:rPr>
          <w:rFonts w:ascii="Times New Roman" w:cs="Times New Roman" w:eastAsia="Times New Roman" w:hAnsi="Times New Roman"/>
          <w:color w:val="050505"/>
          <w:sz w:val="20"/>
          <w:szCs w:val="20"/>
          <w:rtl w:val="0"/>
        </w:rPr>
        <w:t xml:space="preserve">Whilst Article 14 of the Criminal Code makes discrimination, </w:t>
      </w:r>
      <w:r w:rsidDel="00000000" w:rsidR="00000000" w:rsidRPr="00000000">
        <w:rPr>
          <w:rFonts w:ascii="Times New Roman" w:cs="Times New Roman" w:eastAsia="Times New Roman" w:hAnsi="Times New Roman"/>
          <w:i w:val="1"/>
          <w:color w:val="050505"/>
          <w:sz w:val="20"/>
          <w:szCs w:val="20"/>
          <w:rtl w:val="0"/>
        </w:rPr>
        <w:t xml:space="preserve">inter alia</w:t>
      </w:r>
      <w:r w:rsidDel="00000000" w:rsidR="00000000" w:rsidRPr="00000000">
        <w:rPr>
          <w:rFonts w:ascii="Times New Roman" w:cs="Times New Roman" w:eastAsia="Times New Roman" w:hAnsi="Times New Roman"/>
          <w:color w:val="050505"/>
          <w:sz w:val="20"/>
          <w:szCs w:val="20"/>
          <w:rtl w:val="0"/>
        </w:rPr>
        <w:t xml:space="preserve">, on the grounds of sexual orientation and gender identify, as a crime, as discussed elsewhere, international best practice requires that discrimination be treated as a matter of civil law rather than criminal law.</w:t>
      </w:r>
      <w:r w:rsidDel="00000000" w:rsidR="00000000" w:rsidRPr="00000000">
        <w:rPr>
          <w:rFonts w:ascii="Times New Roman" w:cs="Times New Roman" w:eastAsia="Times New Roman" w:hAnsi="Times New Roman"/>
          <w:color w:val="050505"/>
          <w:sz w:val="20"/>
          <w:szCs w:val="20"/>
          <w:vertAlign w:val="superscript"/>
        </w:rPr>
        <w:footnoteReference w:customMarkFollows="0" w:id="20"/>
      </w:r>
      <w:r w:rsidDel="00000000" w:rsidR="00000000" w:rsidRPr="00000000">
        <w:rPr>
          <w:rFonts w:ascii="Times New Roman" w:cs="Times New Roman" w:eastAsia="Times New Roman" w:hAnsi="Times New Roman"/>
          <w:color w:val="050505"/>
          <w:sz w:val="20"/>
          <w:szCs w:val="20"/>
          <w:vertAlign w:val="superscript"/>
          <w:rtl w:val="0"/>
        </w:rPr>
        <w:t xml:space="preserve"> </w:t>
      </w:r>
      <w:r w:rsidDel="00000000" w:rsidR="00000000" w:rsidRPr="00000000">
        <w:rPr>
          <w:rtl w:val="0"/>
        </w:rPr>
      </w:r>
    </w:p>
    <w:p w:rsidR="00000000" w:rsidDel="00000000" w:rsidP="00000000" w:rsidRDefault="00000000" w:rsidRPr="00000000" w14:paraId="00000069">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2022 survey </w:t>
      </w:r>
      <w:r w:rsidDel="00000000" w:rsidR="00000000" w:rsidRPr="00000000">
        <w:rPr>
          <w:rFonts w:ascii="Times New Roman" w:cs="Times New Roman" w:eastAsia="Times New Roman" w:hAnsi="Times New Roman"/>
          <w:vertAlign w:val="superscript"/>
        </w:rPr>
        <w:footnoteReference w:customMarkFollows="0" w:id="21"/>
      </w:r>
      <w:r w:rsidDel="00000000" w:rsidR="00000000" w:rsidRPr="00000000">
        <w:rPr>
          <w:rFonts w:ascii="Times New Roman" w:cs="Times New Roman" w:eastAsia="Times New Roman" w:hAnsi="Times New Roman"/>
          <w:rtl w:val="0"/>
        </w:rPr>
        <w:t xml:space="preserve"> revealed that “</w:t>
      </w:r>
      <w:r w:rsidDel="00000000" w:rsidR="00000000" w:rsidRPr="00000000">
        <w:rPr>
          <w:rFonts w:ascii="Times New Roman" w:cs="Times New Roman" w:eastAsia="Times New Roman" w:hAnsi="Times New Roman"/>
          <w:highlight w:val="white"/>
          <w:rtl w:val="0"/>
        </w:rPr>
        <w:t xml:space="preserve">Despite recent new laws designed to protect the rights of Mongolian sexual and gender minorities, more than three-quarters (78%) of survey respondents indicated these laws had made no difference or very little difference to them.”</w:t>
      </w:r>
      <w:r w:rsidDel="00000000" w:rsidR="00000000" w:rsidRPr="00000000">
        <w:rPr>
          <w:rtl w:val="0"/>
        </w:rPr>
      </w:r>
    </w:p>
    <w:p w:rsidR="00000000" w:rsidDel="00000000" w:rsidP="00000000" w:rsidRDefault="00000000" w:rsidRPr="00000000" w14:paraId="0000006A">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 22 April 2022, The Special Rapporteur on violence against women and girls, its causes and consequences </w:t>
      </w:r>
      <w:r w:rsidDel="00000000" w:rsidR="00000000" w:rsidRPr="00000000">
        <w:rPr>
          <w:rFonts w:ascii="Times New Roman" w:cs="Times New Roman" w:eastAsia="Times New Roman" w:hAnsi="Times New Roman"/>
          <w:vertAlign w:val="superscript"/>
        </w:rPr>
        <w:footnoteReference w:customMarkFollows="0" w:id="22"/>
      </w:r>
      <w:r w:rsidDel="00000000" w:rsidR="00000000" w:rsidRPr="00000000">
        <w:rPr>
          <w:rFonts w:ascii="Times New Roman" w:cs="Times New Roman" w:eastAsia="Times New Roman" w:hAnsi="Times New Roman"/>
          <w:rtl w:val="0"/>
        </w:rPr>
        <w:t xml:space="preserve"> notes that ‘service providers and public officials are still insufficiently sensitized to the protection needs of women and girls of diverse sexual orientations and gender identities, including those on the multidisciplinary teams and those who work in the justice system. There is a need to improve outreach and inclusion in mainstream government programmes and response mechanisms. There is also a need to improve data collection and statistics regarding the situation of these groups.’ </w:t>
      </w:r>
    </w:p>
    <w:p w:rsidR="00000000" w:rsidDel="00000000" w:rsidP="00000000" w:rsidRDefault="00000000" w:rsidRPr="00000000" w14:paraId="0000006B">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September 2019 </w:t>
      </w:r>
      <w:r w:rsidDel="00000000" w:rsidR="00000000" w:rsidRPr="00000000">
        <w:rPr>
          <w:rFonts w:ascii="Times New Roman" w:cs="Times New Roman" w:eastAsia="Times New Roman" w:hAnsi="Times New Roman"/>
          <w:vertAlign w:val="superscript"/>
        </w:rPr>
        <w:footnoteReference w:customMarkFollows="0" w:id="23"/>
      </w:r>
      <w:r w:rsidDel="00000000" w:rsidR="00000000" w:rsidRPr="00000000">
        <w:rPr>
          <w:rFonts w:ascii="Times New Roman" w:cs="Times New Roman" w:eastAsia="Times New Roman" w:hAnsi="Times New Roman"/>
          <w:rtl w:val="0"/>
        </w:rPr>
        <w:t xml:space="preserve">, a disturbing incident unfolded when ten men of the ultra-nationalist NGO, "Bosoo Khukh Mongol," in collaboration with TV4-TV station, launched an assault on a transgender woman named N within the confines of a hotel. During this reprehensible act, the perpetrators not only threatened N but also coerced her into speaking in front of a camera, subsequently broadcasting the distressing video. The assailants brazenly proclaimed their intention to persist in discriminating against transgender individuals, sharing a detailed plan outlining how they intended to humiliate them. One particularly egregious instance of hate speech emerged on Facebook, where the NGO director declared, "...we will impinge on the 'rights' that they talk about so much, and will insult them, we will shave their heads, wash their faces, strip them, and take their nude photos to disgrace them..." Furthermore, the same NGO hosted a press conference, openly issuing threats against the transgender community. In response, LGBTCM rallied behind the victim, supporting her in filing a discrimination case under Article 14 of the Criminal Code against the ultra-nationalist groups. Despite persistent efforts and an appeal reaching the Supreme Court, the court controversially ruled that the victim did not face discrimination based on her sexual orientation and gender identity. </w:t>
      </w:r>
      <w:r w:rsidDel="00000000" w:rsidR="00000000" w:rsidRPr="00000000">
        <w:rPr>
          <w:rFonts w:ascii="Times New Roman" w:cs="Times New Roman" w:eastAsia="Times New Roman" w:hAnsi="Times New Roman"/>
          <w:vertAlign w:val="superscript"/>
        </w:rPr>
        <w:footnoteReference w:customMarkFollows="0" w:id="24"/>
      </w:r>
      <w:r w:rsidDel="00000000" w:rsidR="00000000" w:rsidRPr="00000000">
        <w:rPr>
          <w:rtl w:val="0"/>
        </w:rPr>
      </w:r>
    </w:p>
    <w:p w:rsidR="00000000" w:rsidDel="00000000" w:rsidP="00000000" w:rsidRDefault="00000000" w:rsidRPr="00000000" w14:paraId="0000006C">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September 2021, a government official displayed blatant discrimination against the LGBTCM by issuing an order to eradicate the organization's public campaign materials from public transportation during Equality and Pride Days, with an unfortunate sense of impunity. The LGBTCM promptly reported this incident as a clear act of discrimination against LGBTI individuals, the dedicated staff of the LGBT Centre, and the organization itself, invoking Article 14 of the 2015 Criminal Code. Despite earnest efforts to seek justice through legal channels, the prosecutors' office consistently dismissed the case, contending that the discrimination was directed towards an organization rather than an individual. After over a year of relentless appeals, even the State Prosecutors Office chose to dismiss the case</w:t>
      </w:r>
      <w:r w:rsidDel="00000000" w:rsidR="00000000" w:rsidRPr="00000000">
        <w:rPr>
          <w:rFonts w:ascii="Times New Roman" w:cs="Times New Roman" w:eastAsia="Times New Roman" w:hAnsi="Times New Roman"/>
          <w:vertAlign w:val="superscript"/>
        </w:rPr>
        <w:footnoteReference w:customMarkFollows="0" w:id="25"/>
      </w:r>
      <w:r w:rsidDel="00000000" w:rsidR="00000000" w:rsidRPr="00000000">
        <w:rPr>
          <w:rFonts w:ascii="Times New Roman" w:cs="Times New Roman" w:eastAsia="Times New Roman" w:hAnsi="Times New Roman"/>
          <w:rtl w:val="0"/>
        </w:rPr>
        <w:t xml:space="preserve">, leaving the LGBTCM grappling with the frustrating lack of legal recourse. Regrettably, this case served as a catalyst for the formation of a homophobic group that, in turn, began burning rainbow flags and issuing threats against the LGBTCM and the broader LGBTI community. The repercussions of this discriminatory incident have generated a wave of intense animosity towards LGBTI individuals, instilling fear within the community. The aftermath of this case underscores the urgent need for comprehensive legal reform and social awareness to address and combat discrimination against the LGBTI community.</w:t>
      </w:r>
    </w:p>
    <w:p w:rsidR="00000000" w:rsidDel="00000000" w:rsidP="00000000" w:rsidRDefault="00000000" w:rsidRPr="00000000" w14:paraId="0000006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Following the discriminatory case mentioned above, the LGBTCM lodged a formal complaint with the NHRCM, resulting in the issuance of three requirements </w:t>
      </w:r>
      <w:r w:rsidDel="00000000" w:rsidR="00000000" w:rsidRPr="00000000">
        <w:rPr>
          <w:rFonts w:ascii="Times New Roman" w:cs="Times New Roman" w:eastAsia="Times New Roman" w:hAnsi="Times New Roman"/>
          <w:vertAlign w:val="superscript"/>
        </w:rPr>
        <w:footnoteReference w:customMarkFollows="0" w:id="26"/>
      </w:r>
      <w:r w:rsidDel="00000000" w:rsidR="00000000" w:rsidRPr="00000000">
        <w:rPr>
          <w:rFonts w:ascii="Times New Roman" w:cs="Times New Roman" w:eastAsia="Times New Roman" w:hAnsi="Times New Roman"/>
          <w:rtl w:val="0"/>
        </w:rPr>
        <w:t xml:space="preserve"> directed at the mayor of Ulaanbaatar by an NHRCM representative. These requirements were as follows: 1) Instruct the Deputy Director, the head of projects responsible for road and transport issues in the capital city, to promptly issue a public apology, accessible to all, for his discriminatory actions against sexual minorities on social media platforms; 2) Disseminate information among employees of local administrative institutions in the capital regarding the human rights and living conditions of sexual minorities, emphasizing the principles and norms of non-discrimination, along with the relevant provisions of the Law on the Legal Status of Human Rights Defenders; 3) Utilize its mandate to take appropriate measures for compensating the damages inflicted upon the NGO "LGBT Center" and restoring the violated rights. Regrettably, to date, the Deputy Director has not extended any apologies to the LGBTI community, nor has there been any financial restitution. Furthermore, only requirement  №2, underscores a lack of accountability in addressing the repercussions of the discriminatory incident.</w:t>
      </w:r>
    </w:p>
    <w:p w:rsidR="00000000" w:rsidDel="00000000" w:rsidP="00000000" w:rsidRDefault="00000000" w:rsidRPr="00000000" w14:paraId="0000006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crucial to highlight the stipulations outlined in Article 28 of the Law on NHRCM, which delineates the obligations of organizations, officials, and legal entities upon receiving requirements and recommendations from commission members. According to Article 28.1</w:t>
      </w:r>
      <w:r w:rsidDel="00000000" w:rsidR="00000000" w:rsidRPr="00000000">
        <w:rPr>
          <w:rFonts w:ascii="Times New Roman" w:cs="Times New Roman" w:eastAsia="Times New Roman" w:hAnsi="Times New Roman"/>
          <w:highlight w:val="white"/>
          <w:vertAlign w:val="superscript"/>
        </w:rPr>
        <w:footnoteReference w:customMarkFollows="0" w:id="27"/>
      </w:r>
      <w:r w:rsidDel="00000000" w:rsidR="00000000" w:rsidRPr="00000000">
        <w:rPr>
          <w:rFonts w:ascii="Times New Roman" w:cs="Times New Roman" w:eastAsia="Times New Roman" w:hAnsi="Times New Roman"/>
          <w:rtl w:val="0"/>
        </w:rPr>
        <w:t xml:space="preserve">, compliance with such requirements and recommendations is mandatory. Furthermore, Article 28.2</w:t>
      </w:r>
      <w:r w:rsidDel="00000000" w:rsidR="00000000" w:rsidRPr="00000000">
        <w:rPr>
          <w:rFonts w:ascii="Times New Roman" w:cs="Times New Roman" w:eastAsia="Times New Roman" w:hAnsi="Times New Roman"/>
          <w:highlight w:val="white"/>
          <w:vertAlign w:val="superscript"/>
        </w:rPr>
        <w:footnoteReference w:customMarkFollows="0" w:id="28"/>
      </w:r>
      <w:r w:rsidDel="00000000" w:rsidR="00000000" w:rsidRPr="00000000">
        <w:rPr>
          <w:rFonts w:ascii="Times New Roman" w:cs="Times New Roman" w:eastAsia="Times New Roman" w:hAnsi="Times New Roman"/>
          <w:rtl w:val="0"/>
        </w:rPr>
        <w:t xml:space="preserve"> specifies that organizations, officials, and legal entities must provide a written response within 30 days after receiving a request and within 60 days after receiving a recommendation. The commission member holds the authority to establish alternative deadlines based on the nature of the human rights violation and enforcement measures.</w:t>
      </w:r>
    </w:p>
    <w:p w:rsidR="00000000" w:rsidDel="00000000" w:rsidP="00000000" w:rsidRDefault="00000000" w:rsidRPr="00000000" w14:paraId="0000006F">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event of non-compliance with the commission member's requirements, Article 28.3</w:t>
      </w:r>
      <w:r w:rsidDel="00000000" w:rsidR="00000000" w:rsidRPr="00000000">
        <w:rPr>
          <w:rFonts w:ascii="Times New Roman" w:cs="Times New Roman" w:eastAsia="Times New Roman" w:hAnsi="Times New Roman"/>
          <w:highlight w:val="white"/>
          <w:vertAlign w:val="superscript"/>
        </w:rPr>
        <w:footnoteReference w:customMarkFollows="0" w:id="29"/>
      </w:r>
      <w:r w:rsidDel="00000000" w:rsidR="00000000" w:rsidRPr="00000000">
        <w:rPr>
          <w:rFonts w:ascii="Times New Roman" w:cs="Times New Roman" w:eastAsia="Times New Roman" w:hAnsi="Times New Roman"/>
          <w:rtl w:val="0"/>
        </w:rPr>
        <w:t xml:space="preserve"> empowers the commission to submit a proposal to the authorized organization and official for the dismissal of the official from their position, revocation of the legal entity's license, or cessation of its operations. Additionally, Article 28.4</w:t>
      </w:r>
      <w:r w:rsidDel="00000000" w:rsidR="00000000" w:rsidRPr="00000000">
        <w:rPr>
          <w:rFonts w:ascii="Times New Roman" w:cs="Times New Roman" w:eastAsia="Times New Roman" w:hAnsi="Times New Roman"/>
          <w:highlight w:val="white"/>
          <w:vertAlign w:val="superscript"/>
        </w:rPr>
        <w:footnoteReference w:customMarkFollows="0" w:id="30"/>
      </w:r>
      <w:r w:rsidDel="00000000" w:rsidR="00000000" w:rsidRPr="00000000">
        <w:rPr>
          <w:rFonts w:ascii="Times New Roman" w:cs="Times New Roman" w:eastAsia="Times New Roman" w:hAnsi="Times New Roman"/>
          <w:rtl w:val="0"/>
        </w:rPr>
        <w:t xml:space="preserve"> underscores that failure to act in accordance with the recommendations of a commission member constitutes grounds for the demotion of the official, suspension of the legal entity's license, or temporary suspension of its operations, as submitted to the authorized organization and official. These legal provisions establish a clear framework for accountability and consequences in the face of non-compliance with NHRCM directives.</w:t>
      </w:r>
    </w:p>
    <w:p w:rsidR="00000000" w:rsidDel="00000000" w:rsidP="00000000" w:rsidRDefault="00000000" w:rsidRPr="00000000" w14:paraId="00000070">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2019 State Follow-up Report </w:t>
      </w:r>
      <w:r w:rsidDel="00000000" w:rsidR="00000000" w:rsidRPr="00000000">
        <w:rPr>
          <w:rFonts w:ascii="Times New Roman" w:cs="Times New Roman" w:eastAsia="Times New Roman" w:hAnsi="Times New Roman"/>
          <w:vertAlign w:val="superscript"/>
        </w:rPr>
        <w:footnoteReference w:customMarkFollows="0" w:id="31"/>
      </w:r>
      <w:r w:rsidDel="00000000" w:rsidR="00000000" w:rsidRPr="00000000">
        <w:rPr>
          <w:rFonts w:ascii="Times New Roman" w:cs="Times New Roman" w:eastAsia="Times New Roman" w:hAnsi="Times New Roman"/>
          <w:rtl w:val="0"/>
        </w:rPr>
        <w:t xml:space="preserve"> indicated that the National Legal Institute is currently conducting a research on the theme “Effective  implementation of anti-discrimination clauses stipulated in the currently effective laws and  regulations of Mongolia: Regulations related to sexual orientation minorities.” </w:t>
      </w:r>
    </w:p>
    <w:p w:rsidR="00000000" w:rsidDel="00000000" w:rsidP="00000000" w:rsidRDefault="00000000" w:rsidRPr="00000000" w14:paraId="0000007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Such research was conducted in 2019, the State in its National report </w:t>
      </w:r>
      <w:r w:rsidDel="00000000" w:rsidR="00000000" w:rsidRPr="00000000">
        <w:rPr>
          <w:rFonts w:ascii="Times New Roman" w:cs="Times New Roman" w:eastAsia="Times New Roman" w:hAnsi="Times New Roman"/>
          <w:vertAlign w:val="superscript"/>
        </w:rPr>
        <w:footnoteReference w:customMarkFollows="0" w:id="32"/>
      </w:r>
      <w:r w:rsidDel="00000000" w:rsidR="00000000" w:rsidRPr="00000000">
        <w:rPr>
          <w:rFonts w:ascii="Times New Roman" w:cs="Times New Roman" w:eastAsia="Times New Roman" w:hAnsi="Times New Roman"/>
          <w:rtl w:val="0"/>
        </w:rPr>
        <w:t xml:space="preserve"> submitted in accordance with paragraph 5 of  the annex to Human Rights Council resolution 16/21, regretfully the State reported </w:t>
      </w:r>
      <w:r w:rsidDel="00000000" w:rsidR="00000000" w:rsidRPr="00000000">
        <w:rPr>
          <w:rFonts w:ascii="Times New Roman" w:cs="Times New Roman" w:eastAsia="Times New Roman" w:hAnsi="Times New Roman"/>
          <w:vertAlign w:val="superscript"/>
        </w:rPr>
        <w:footnoteReference w:customMarkFollows="0" w:id="33"/>
      </w:r>
      <w:r w:rsidDel="00000000" w:rsidR="00000000" w:rsidRPr="00000000">
        <w:rPr>
          <w:rFonts w:ascii="Times New Roman" w:cs="Times New Roman" w:eastAsia="Times New Roman" w:hAnsi="Times New Roman"/>
          <w:rtl w:val="0"/>
        </w:rPr>
        <w:t xml:space="preserve"> that “The National Legal Institute has conducted a study on “Enforcement of Clauses  against Discrimination in the Legislation in force: Clauses related to the Sexual Minority”  and has found that instead of passing an independent separate law prohibiting  discrimination, a more effective way for enforcement is incorporating relevant clauses  prohibiting discrimination, in the legislations regulating sectors. This issue will continue to receive proper attention.”</w:t>
      </w:r>
    </w:p>
    <w:p w:rsidR="00000000" w:rsidDel="00000000" w:rsidP="00000000" w:rsidRDefault="00000000" w:rsidRPr="00000000" w14:paraId="0000007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Given the absence of any case ruled in favour of Article 14 acts of discrimination under the 2015 Criminal Code since its enforcement on July 1, 2017, and considering the 2019 research mentioned in the State's National report submitted in accordance with paragraph 5 of the annexe to Human Rights Council resolution 16/21, where the National Legal Institute highlighted the effectiveness of incorporating anti-discrimination clauses into sector-specific legislations, will the government reconsider its current approach to combating discrimination? Specifically, in light of the National Legal Institute's findings, how does the government plan to address the preference for integrating relevant anti-discrimination clauses into sector-specific laws rather than establishing an independent law prohibiting discrimination? Furthermore, how does the State intend to ensure that this issue not only receives ongoing attention but also results in tangible follow-up actions to effectively address and prosecute acts of discrimination under Article 14 of the Criminal Code?</w:t>
      </w:r>
      <w:r w:rsidDel="00000000" w:rsidR="00000000" w:rsidRPr="00000000">
        <w:rPr>
          <w:rtl w:val="0"/>
        </w:rPr>
      </w:r>
    </w:p>
    <w:p w:rsidR="00000000" w:rsidDel="00000000" w:rsidP="00000000" w:rsidRDefault="00000000" w:rsidRPr="00000000" w14:paraId="00000073">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light of the 2019 State Follow-up Report's </w:t>
      </w:r>
      <w:r w:rsidDel="00000000" w:rsidR="00000000" w:rsidRPr="00000000">
        <w:rPr>
          <w:rFonts w:ascii="Times New Roman" w:cs="Times New Roman" w:eastAsia="Times New Roman" w:hAnsi="Times New Roman"/>
          <w:u w:val="single"/>
          <w:vertAlign w:val="superscript"/>
        </w:rPr>
        <w:footnoteReference w:customMarkFollows="0" w:id="34"/>
      </w:r>
      <w:r w:rsidDel="00000000" w:rsidR="00000000" w:rsidRPr="00000000">
        <w:rPr>
          <w:rFonts w:ascii="Times New Roman" w:cs="Times New Roman" w:eastAsia="Times New Roman" w:hAnsi="Times New Roman"/>
          <w:rtl w:val="0"/>
        </w:rPr>
        <w:t xml:space="preserve"> assertions that "Short-term trainings on sexual orientation, gender identity, stigma, and discrimination are constantly conducted for doctors and medical professionals,". LGBTCM is sceptical, asserting that such training may not be available to medical professionals. </w:t>
      </w:r>
    </w:p>
    <w:p w:rsidR="00000000" w:rsidDel="00000000" w:rsidP="00000000" w:rsidRDefault="00000000" w:rsidRPr="00000000" w14:paraId="00000074">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Evidence gathered from the Mongolian LBTI community suggests there is a lack of understanding of sexual and gender minorities among healthcare providers and the associated physical and psychological problems the LBTI community face as a result of SOGI-related trauma. Many LBTI persons reported that the disclosure of their SOGI to health-service providers would lead to ridicule, outright dismissal, and a denial of services. The following are testimonies of FGD of doctors during a study in 2020.</w:t>
      </w:r>
      <w:r w:rsidDel="00000000" w:rsidR="00000000" w:rsidRPr="00000000">
        <w:rPr>
          <w:rFonts w:ascii="Times New Roman" w:cs="Times New Roman" w:eastAsia="Times New Roman" w:hAnsi="Times New Roman"/>
          <w:vertAlign w:val="superscript"/>
        </w:rPr>
        <w:footnoteReference w:customMarkFollows="0" w:id="35"/>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5">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National Center for Maternal and Child Health, Dr. A stated,  "I want such people [trans people] to be removed from the world by natural selection". Urgoo Maternity Hospital, Psychologist A: "... We need to pay attention to secondary school and tell them. They may be tempted and imitate each other. The school social worker needs to work well. I do not support it, but I will not refuse to provide professional services."</w:t>
      </w:r>
      <w:r w:rsidDel="00000000" w:rsidR="00000000" w:rsidRPr="00000000">
        <w:rPr>
          <w:rFonts w:ascii="Times New Roman" w:cs="Times New Roman" w:eastAsia="Times New Roman" w:hAnsi="Times New Roman"/>
          <w:vertAlign w:val="superscript"/>
        </w:rPr>
        <w:footnoteReference w:customMarkFollows="0" w:id="36"/>
      </w:r>
      <w:r w:rsidDel="00000000" w:rsidR="00000000" w:rsidRPr="00000000">
        <w:rPr>
          <w:rtl w:val="0"/>
        </w:rPr>
      </w:r>
    </w:p>
    <w:p w:rsidR="00000000" w:rsidDel="00000000" w:rsidP="00000000" w:rsidRDefault="00000000" w:rsidRPr="00000000" w14:paraId="00000076">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How does the State ensure the accessibility, implementation, and effectiveness of short-term trainings on sexual orientation, gender identity, stigma, and discrimination, addressing the unique healthcare needs of sub-communities within the LGBTI community? Specifically, could you provide information on whether these training programs encompass aspects beyond those related to HIV, addressing the broader spectrum of sexual orientation, gender identity, and the unique healthcare requirements, such as hormone replacement therapy and surgeries for the transgender community, as well as reproductive healthcare for lesbian and bisexual women?</w:t>
      </w:r>
      <w:r w:rsidDel="00000000" w:rsidR="00000000" w:rsidRPr="00000000">
        <w:rPr>
          <w:rtl w:val="0"/>
        </w:rPr>
      </w:r>
    </w:p>
    <w:p w:rsidR="00000000" w:rsidDel="00000000" w:rsidP="00000000" w:rsidRDefault="00000000" w:rsidRPr="00000000" w14:paraId="00000077">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light of the 2019 State Follow-up Report, the LGBTCM acknowledges the government's initiative in implementing the "Improving sexual healthcare services"</w:t>
      </w:r>
      <w:r w:rsidDel="00000000" w:rsidR="00000000" w:rsidRPr="00000000">
        <w:rPr>
          <w:rFonts w:ascii="Times New Roman" w:cs="Times New Roman" w:eastAsia="Times New Roman" w:hAnsi="Times New Roman"/>
          <w:vertAlign w:val="superscript"/>
        </w:rPr>
        <w:footnoteReference w:customMarkFollows="0" w:id="37"/>
      </w:r>
      <w:r w:rsidDel="00000000" w:rsidR="00000000" w:rsidRPr="00000000">
        <w:rPr>
          <w:rFonts w:ascii="Times New Roman" w:cs="Times New Roman" w:eastAsia="Times New Roman" w:hAnsi="Times New Roman"/>
          <w:rtl w:val="0"/>
        </w:rPr>
        <w:t xml:space="preserve"> project with support from the Local Initiative Project of Canada. While appreciating the project's focus on HIV/AIDS, we express several concerns from LGBTCM perspective:</w:t>
      </w:r>
    </w:p>
    <w:p w:rsidR="00000000" w:rsidDel="00000000" w:rsidP="00000000" w:rsidRDefault="00000000" w:rsidRPr="00000000" w14:paraId="0000007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healthcare project's limited focus on HIV/AIDS, as acknowledged by the State, falls short in addressing the diverse healthcare needs of the broader LGBTI community. Unique challenges, such as hormone replacement treatment and sexual reproductive healthcare, demand explicit consideration. Despite emphasis on specific populations, including female prostitutes, males who have sex with males, and people with HIV/AIDS, a call for greater inclusivity is made. Recognition of various sub-communities within the LGBTI spectrum is crucial, ensuring accessibility to healthcare services for all marginalized groups.</w:t>
      </w:r>
    </w:p>
    <w:p w:rsidR="00000000" w:rsidDel="00000000" w:rsidP="00000000" w:rsidRDefault="00000000" w:rsidRPr="00000000" w14:paraId="00000079">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While the establishment of dressing and waiting rooms for women is a positive step, LGBTCM urges the State to ensure that healthcare services, including extended-hour counseling and sexual healthcare, equally cater to individuals of all gender identities within the LGBTI community. Sustainability concerns arise from the short duration of the project (August to November 2017), prompting a request for clarification on the government's plans to sustain and expand initiatives beyond this period. LGBTCM emphasizes the importance of ongoing collaboration between the government and advocacy groups, stressing that meaningful dialogue and partnerships are essential to keep healthcare initiatives informed by the diverse experiences and needs of the LGBTI community.</w:t>
      </w:r>
    </w:p>
    <w:p w:rsidR="00000000" w:rsidDel="00000000" w:rsidP="00000000" w:rsidRDefault="00000000" w:rsidRPr="00000000" w14:paraId="0000007A">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How does the government plan to address the need for a more expansive, inclusive, and sustainable approach that explicitly considers the unique healthcare challenges faced by different sub-communities within the LGBTI spectrum? Additionally, how does the government intend to foster ongoing collaboration with advocacy organizations to ensure that healthcare initiatives remain informed by the diverse experiences and needs of the LGBTI community?</w:t>
      </w:r>
      <w:r w:rsidDel="00000000" w:rsidR="00000000" w:rsidRPr="00000000">
        <w:rPr>
          <w:rtl w:val="0"/>
        </w:rPr>
      </w:r>
    </w:p>
    <w:p w:rsidR="00000000" w:rsidDel="00000000" w:rsidP="00000000" w:rsidRDefault="00000000" w:rsidRPr="00000000" w14:paraId="0000007B">
      <w:pPr>
        <w:widowControl w:val="0"/>
        <w:spacing w:before="126" w:line="360" w:lineRule="auto"/>
        <w:ind w:left="0" w:right="450" w:firstLine="0"/>
        <w:jc w:val="both"/>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rtl w:val="0"/>
        </w:rPr>
        <w:t xml:space="preserve">Articles 21 and 22: Peaceful assembly and freedom of association </w:t>
      </w:r>
    </w:p>
    <w:p w:rsidR="00000000" w:rsidDel="00000000" w:rsidP="00000000" w:rsidRDefault="00000000" w:rsidRPr="00000000" w14:paraId="0000007C">
      <w:pPr>
        <w:widowControl w:val="0"/>
        <w:spacing w:line="360" w:lineRule="auto"/>
        <w:ind w:left="11" w:right="450" w:firstLine="0"/>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u w:val="single"/>
          <w:rtl w:val="0"/>
        </w:rPr>
        <w:t xml:space="preserve">Enactment and Implementation</w:t>
      </w:r>
      <w:r w:rsidDel="00000000" w:rsidR="00000000" w:rsidRPr="00000000">
        <w:rPr>
          <w:rtl w:val="0"/>
        </w:rPr>
      </w:r>
    </w:p>
    <w:p w:rsidR="00000000" w:rsidDel="00000000" w:rsidP="00000000" w:rsidRDefault="00000000" w:rsidRPr="00000000" w14:paraId="0000007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August 2017, Concluding observation of the 6th periodic report of Mongolia, The Committee recommended</w:t>
      </w:r>
      <w:r w:rsidDel="00000000" w:rsidR="00000000" w:rsidRPr="00000000">
        <w:rPr>
          <w:rFonts w:ascii="Times New Roman" w:cs="Times New Roman" w:eastAsia="Times New Roman" w:hAnsi="Times New Roman"/>
          <w:vertAlign w:val="superscript"/>
        </w:rPr>
        <w:footnoteReference w:customMarkFollows="0" w:id="38"/>
      </w:r>
      <w:r w:rsidDel="00000000" w:rsidR="00000000" w:rsidRPr="00000000">
        <w:rPr>
          <w:rFonts w:ascii="Times New Roman" w:cs="Times New Roman" w:eastAsia="Times New Roman" w:hAnsi="Times New Roman"/>
          <w:rtl w:val="0"/>
        </w:rPr>
        <w:t xml:space="preserve"> that </w:t>
      </w:r>
      <w:r w:rsidDel="00000000" w:rsidR="00000000" w:rsidRPr="00000000">
        <w:rPr>
          <w:rFonts w:ascii="Times New Roman" w:cs="Times New Roman" w:eastAsia="Times New Roman" w:hAnsi="Times New Roman"/>
          <w:b w:val="1"/>
          <w:rtl w:val="0"/>
        </w:rPr>
        <w:t xml:space="preserve">The State party should also promote and guarantee freedom of expression, association and peaceful assembly for lesbian, gay, bisexual, transgender and intersex persons, and should abstain from any unjustified interference with the exercise of these rights and ensure that any restrictions imposed comply with the strict requirements of articles 19, 21 and 22 of the Covenant and are not applied in a discriminatory manner. </w:t>
      </w:r>
      <w:r w:rsidDel="00000000" w:rsidR="00000000" w:rsidRPr="00000000">
        <w:rPr>
          <w:rtl w:val="0"/>
        </w:rPr>
      </w:r>
    </w:p>
    <w:p w:rsidR="00000000" w:rsidDel="00000000" w:rsidP="00000000" w:rsidRDefault="00000000" w:rsidRPr="00000000" w14:paraId="0000007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2023 State Report</w:t>
      </w:r>
      <w:r w:rsidDel="00000000" w:rsidR="00000000" w:rsidRPr="00000000">
        <w:rPr>
          <w:rFonts w:ascii="Times New Roman" w:cs="Times New Roman" w:eastAsia="Times New Roman" w:hAnsi="Times New Roman"/>
          <w:vertAlign w:val="superscript"/>
        </w:rPr>
        <w:footnoteReference w:customMarkFollows="0" w:id="39"/>
      </w:r>
      <w:r w:rsidDel="00000000" w:rsidR="00000000" w:rsidRPr="00000000">
        <w:rPr>
          <w:rFonts w:ascii="Times New Roman" w:cs="Times New Roman" w:eastAsia="Times New Roman" w:hAnsi="Times New Roman"/>
          <w:rtl w:val="0"/>
        </w:rPr>
        <w:t xml:space="preserve"> responded that “There were recorded 28 demonstrations in Mongolia in 2018, 54 in 2019, 44 in 2020, and 25 in 2021. For instance, on August 25, 2018, the LGBTCM organized the “Voice for Equality Demonstration”, where 180 people marched, and on August 31, 2019, the “March for Gender Equality and Respect for Human Rights of Sexual Minorities” with the participation of 120 people.” However, The government's response is inadequate. Instead of addressing the essence of the recommendation, the response focuses on numerical data of demonstrations without providing substantive information on the protection of LGBTI rights during these events. The response lacks specifics on the nature of demonstrations, issues raised, and measures taken to ensure non-discrimination. It also fails to mention the legal framework in place to safeguard LGBTI rights during demonstrations and lacks information on collaboration with LGBTI organizations or civil society. Overall, the response does not effectively address the committee's concerns and falls short of providing a comprehensive overview of the government's efforts in promoting LGBTI rights during public demonstrations.</w:t>
      </w:r>
    </w:p>
    <w:p w:rsidR="00000000" w:rsidDel="00000000" w:rsidP="00000000" w:rsidRDefault="00000000" w:rsidRPr="00000000" w14:paraId="0000007F">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LGBTCM has been hosting annual Equality and Pride Days since 2013, with a primary objective of fostering non-discrimination and promoting acceptance for all. This 10-day series of events encompasses various activities, including arts, culture, and human rights-oriented public gatherings. Notable events within this initiative include the Voices-4-Equality public concert, Equality Walk, Arts-4-Rights exhibition, and the Beyond the Blue Sky Queer Film Festival. These events are strategically designed to engage the broader public, serving as educational platforms aimed at dispelling unscientific views and misinformation surrounding LGBTI individuals in Mongolia.</w:t>
      </w:r>
    </w:p>
    <w:p w:rsidR="00000000" w:rsidDel="00000000" w:rsidP="00000000" w:rsidRDefault="00000000" w:rsidRPr="00000000" w14:paraId="00000080">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LGBTCM consistently seeks official authorization to host its annual Equality Walk at Chinggis Square </w:t>
      </w:r>
      <w:r w:rsidDel="00000000" w:rsidR="00000000" w:rsidRPr="00000000">
        <w:rPr>
          <w:rFonts w:ascii="Times New Roman" w:cs="Times New Roman" w:eastAsia="Times New Roman" w:hAnsi="Times New Roman"/>
          <w:vertAlign w:val="superscript"/>
        </w:rPr>
        <w:footnoteReference w:customMarkFollows="0" w:id="40"/>
      </w:r>
      <w:r w:rsidDel="00000000" w:rsidR="00000000" w:rsidRPr="00000000">
        <w:rPr>
          <w:rFonts w:ascii="Times New Roman" w:cs="Times New Roman" w:eastAsia="Times New Roman" w:hAnsi="Times New Roman"/>
          <w:rtl w:val="0"/>
        </w:rPr>
        <w:t xml:space="preserve">, proposing a stipulated duration of up to three hours during daylight. Unfortunately, each successive year, these solicitations face formal denials from local municipal and/or district administrative authorities. The designated routes for the Equality Walk between 2014 and 2019 were discernibly unique, with no other groups utilizing them during this specified period. Throughout the comprehensive process, spanning from the formal petitioning to the meticulous organization of the Equality Walk and its subsequent aftermath, LGBTCM has encountered formidable challenges, including instances of false arrests and intimidation, emanating from various entities such as law enforcement agencies, administrative bodies, ultranationalist factions, and religious-right groups.</w:t>
      </w:r>
    </w:p>
    <w:p w:rsidR="00000000" w:rsidDel="00000000" w:rsidP="00000000" w:rsidRDefault="00000000" w:rsidRPr="00000000" w14:paraId="0000008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2021, 2022, and 2023, the LGBTCM faced insurmountable obstacles and, regrettably, could not organize the Equality Walk at Chinggis Square. To date, LGBTCM continues to confront unwavering impediments in orchestrating the Equality Walk at Chinggis Square. In the year 2020, temporary measures were instituted by the government, attributed to the prevailing COVID-19 pandemic, resulting in stringent restrictions on public assemblies. Nevertheless, the State report paradoxically indicated the occurrence of some assemblies. Confronted with the persistent prejudice and stigma against the LGBTI community, LGBTCM exercised prudent restraint in organizing any assembly during that designated period. Moreover, since the year 2019, LGBTCM has consistently faced reiterated denials for Equality Walk requests. No Equality Walk has been organized since 2019.  In light of this evident and systemic discrimination, LGBTCM staunchly advocates for the recognition of equal rights, accentuating the imperative need to organize the Equality Walk at Chinggis Square, in parity with the rights afforded to any other groups and citizens.</w:t>
      </w:r>
    </w:p>
    <w:p w:rsidR="00000000" w:rsidDel="00000000" w:rsidP="00000000" w:rsidRDefault="00000000" w:rsidRPr="00000000" w14:paraId="0000008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2018 </w:t>
      </w:r>
      <w:r w:rsidDel="00000000" w:rsidR="00000000" w:rsidRPr="00000000">
        <w:rPr>
          <w:rFonts w:ascii="Times New Roman" w:cs="Times New Roman" w:eastAsia="Times New Roman" w:hAnsi="Times New Roman"/>
          <w:vertAlign w:val="superscript"/>
        </w:rPr>
        <w:footnoteReference w:customMarkFollows="0" w:id="41"/>
      </w:r>
      <w:r w:rsidDel="00000000" w:rsidR="00000000" w:rsidRPr="00000000">
        <w:rPr>
          <w:rFonts w:ascii="Times New Roman" w:cs="Times New Roman" w:eastAsia="Times New Roman" w:hAnsi="Times New Roman"/>
          <w:rtl w:val="0"/>
        </w:rPr>
        <w:t xml:space="preserve">, following the organization of the Equality Walk in Chingeltei District, a distressing incident unfolded involving LGBTCM staff member, B. Deceptively contacted by a stranger under the guise of seeking help to locate a missing youth within the LGBTI network, B was manipulated and taken to Chingeltei District Police Station. It came to light that a baseless complaint of child seduction had been lodged against LGBTCM by the family of a youth who had participated in the Equality Walk just three days prior. Summoned to Chingeltei District Police Station on the same day, executive director M faced an escalation of the situation. The police facilitated the arrival of the family, and during the journey to the police station, B endured verbal abuse and death threats. Outside the station, the threats escalated, culminating in an attempt to physically harm B, M, and even stone them. Despite the visible abuse, law enforcement at Chingeltei District Police Station failed to intervene or take preventive measures. When B and M sought protection and assistance to leave the premises, their request was regrettably denied by the police at Chingeltei District Police Station. Despite the absence of legal grounds for the complaint, B and M were unjustly held and interrogated for seven hours at Chingeltei District Police Station, highlighting a significant lapse in the protection of their rights and well-being. During the interrogation, police at Chingeltei District Police Station questioned B and M about the content of their banners, whether participants engaged in holding hands or kissing, and the presence of any pornographic materials during the Equality Walk. Adding to the gravity of the situation, E, who was a witness, recorded the incident with their cellphone. Shockingly, the police confiscated E's cellphone and deleted the video, further raising concerns about the violation of evidence and the suppression of information related to the incident.</w:t>
      </w:r>
    </w:p>
    <w:p w:rsidR="00000000" w:rsidDel="00000000" w:rsidP="00000000" w:rsidRDefault="00000000" w:rsidRPr="00000000" w14:paraId="00000083">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During the 2019 Equality Walk, the police insisted on the removal of children accompanying their parents. As a result, two parents with their children were expelled from the Equality Walk. </w:t>
      </w:r>
    </w:p>
    <w:p w:rsidR="00000000" w:rsidDel="00000000" w:rsidP="00000000" w:rsidRDefault="00000000" w:rsidRPr="00000000" w14:paraId="00000084">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2021, LGBTCM faced yet another denial to organize the Equality Walk, compounded by the persistent COVID-19 restrictions on public assembly. Rather than persisting in the face of these challenges, LGBTCM adapted its approach, launching a public awareness campaign utilizing public transportation as a symbolic representation. Banners promoting Equality and Pride Days adorned 18 public buses, effectively disseminating the message citywide in Ulaanbaatar.</w:t>
      </w:r>
    </w:p>
    <w:p w:rsidR="00000000" w:rsidDel="00000000" w:rsidP="00000000" w:rsidRDefault="00000000" w:rsidRPr="00000000" w14:paraId="00000085">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on September 2, 2021 </w:t>
      </w:r>
      <w:r w:rsidDel="00000000" w:rsidR="00000000" w:rsidRPr="00000000">
        <w:rPr>
          <w:rFonts w:ascii="Times New Roman" w:cs="Times New Roman" w:eastAsia="Times New Roman" w:hAnsi="Times New Roman"/>
          <w:vertAlign w:val="superscript"/>
        </w:rPr>
        <w:footnoteReference w:customMarkFollows="0" w:id="42"/>
      </w:r>
      <w:r w:rsidDel="00000000" w:rsidR="00000000" w:rsidRPr="00000000">
        <w:rPr>
          <w:rFonts w:ascii="Times New Roman" w:cs="Times New Roman" w:eastAsia="Times New Roman" w:hAnsi="Times New Roman"/>
          <w:rtl w:val="0"/>
        </w:rPr>
        <w:t xml:space="preserve">, a government official displayed overt discrimination against LGBTCM by ordering the removal of the organization's public campaign materials from public transportation during Equality and Pride Days, demonstrating a disturbing sense of impunity. This discriminatory action was further exacerbated when the government official shared a photo of the banners being forcibly removed from moving public transportation with passengers. Additionally, the official posted a photo of a rainbow-colored 'pop it' sensory toy, suggesting it be thrown in the trash, claiming the toy and its colors promote LGBTI themes. He stated that he had unknowingly purchased the toy for his child. These actions were posted on his social media account, attracting widespread public attention.</w:t>
      </w:r>
    </w:p>
    <w:p w:rsidR="00000000" w:rsidDel="00000000" w:rsidP="00000000" w:rsidRDefault="00000000" w:rsidRPr="00000000" w14:paraId="00000086">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Regrettably, this case catalyzed the formation of a homophobic group that, in turn, began burning rainbow flags and issuing threats against the LGBTCM and the broader LGBTI community. The repercussions of this discriminatory incident have generated a wave of intense animosity towards LGBTI individuals, instilling fear within the community. The aftermath of this case underscores the urgent need for comprehensive legal reform and social awareness to address and combat discrimination against the LGBTI community.</w:t>
      </w:r>
    </w:p>
    <w:p w:rsidR="00000000" w:rsidDel="00000000" w:rsidP="00000000" w:rsidRDefault="00000000" w:rsidRPr="00000000" w14:paraId="00000087">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LGBTCM expeditiously reported this incident as a manifest act of discrimination against LGBTI individuals, the dedicated staff of the LGBT Centre, and the organization as an entity, invoking the pertinent provisions enshrined in Article 14 of the 2015 Criminal Code. Despite earnest endeavours to pursue justice through legal channels, the prosecutors' office consistently dismissed the case, positing that the discrimination was aimed at an organization rather than an individual. Following an enduring period of over a year and unwavering appeals, even the State Prosecutors Office opted to dismiss the case, leaving the LGBTCM grappling with the vexing absence of legal recourse.</w:t>
      </w:r>
    </w:p>
    <w:p w:rsidR="00000000" w:rsidDel="00000000" w:rsidP="00000000" w:rsidRDefault="00000000" w:rsidRPr="00000000" w14:paraId="0000008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LGBTCM lodged a formal complaint</w:t>
      </w:r>
      <w:r w:rsidDel="00000000" w:rsidR="00000000" w:rsidRPr="00000000">
        <w:rPr>
          <w:rFonts w:ascii="Times New Roman" w:cs="Times New Roman" w:eastAsia="Times New Roman" w:hAnsi="Times New Roman"/>
          <w:vertAlign w:val="superscript"/>
        </w:rPr>
        <w:footnoteReference w:customMarkFollows="0" w:id="43"/>
      </w:r>
      <w:r w:rsidDel="00000000" w:rsidR="00000000" w:rsidRPr="00000000">
        <w:rPr>
          <w:rFonts w:ascii="Times New Roman" w:cs="Times New Roman" w:eastAsia="Times New Roman" w:hAnsi="Times New Roman"/>
          <w:rtl w:val="0"/>
        </w:rPr>
        <w:t xml:space="preserve"> with the National Human Rights Commission of Mongolia, resulting in the issuance of three requirements</w:t>
      </w:r>
      <w:r w:rsidDel="00000000" w:rsidR="00000000" w:rsidRPr="00000000">
        <w:rPr>
          <w:rFonts w:ascii="Times New Roman" w:cs="Times New Roman" w:eastAsia="Times New Roman" w:hAnsi="Times New Roman"/>
          <w:vertAlign w:val="superscript"/>
        </w:rPr>
        <w:footnoteReference w:customMarkFollows="0" w:id="44"/>
      </w:r>
      <w:r w:rsidDel="00000000" w:rsidR="00000000" w:rsidRPr="00000000">
        <w:rPr>
          <w:rFonts w:ascii="Times New Roman" w:cs="Times New Roman" w:eastAsia="Times New Roman" w:hAnsi="Times New Roman"/>
          <w:rtl w:val="0"/>
        </w:rPr>
        <w:t xml:space="preserve"> directed at the mayor of Ulaanbaatar by an NHRCM commissioner. These requirements were as follows: </w:t>
      </w:r>
    </w:p>
    <w:p w:rsidR="00000000" w:rsidDel="00000000" w:rsidP="00000000" w:rsidRDefault="00000000" w:rsidRPr="00000000" w14:paraId="00000089">
      <w:pPr>
        <w:numPr>
          <w:ilvl w:val="1"/>
          <w:numId w:val="2"/>
        </w:numPr>
        <w:spacing w:after="120" w:line="360" w:lineRule="auto"/>
        <w:ind w:left="1440" w:right="45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Instruct the Deputy Director, the head of projects responsible for road and transport issues in the capital city, to promptly issue a public apology, accessible to all, for his discriminatory actions against sexual minorities on social media platforms; </w:t>
      </w:r>
    </w:p>
    <w:p w:rsidR="00000000" w:rsidDel="00000000" w:rsidP="00000000" w:rsidRDefault="00000000" w:rsidRPr="00000000" w14:paraId="0000008A">
      <w:pPr>
        <w:numPr>
          <w:ilvl w:val="1"/>
          <w:numId w:val="2"/>
        </w:numPr>
        <w:spacing w:after="120" w:line="360" w:lineRule="auto"/>
        <w:ind w:left="1440" w:right="45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 Disseminate information among employees of local administrative institutions in the capital regarding the human rights and living conditions of sexual minorities, emphasizing the principles and norms of non-discrimination, along with the relevant provisions of the Law on the Legal Status of Human Rights Defenders; </w:t>
      </w:r>
    </w:p>
    <w:p w:rsidR="00000000" w:rsidDel="00000000" w:rsidP="00000000" w:rsidRDefault="00000000" w:rsidRPr="00000000" w14:paraId="0000008B">
      <w:pPr>
        <w:numPr>
          <w:ilvl w:val="1"/>
          <w:numId w:val="2"/>
        </w:numPr>
        <w:spacing w:after="120" w:line="360" w:lineRule="auto"/>
        <w:ind w:left="1440" w:right="45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 Utilize its mandate to take appropriate measures for compensating the damages inflicted upon the NGO "LGBT Center" and restoring the violated rights. </w:t>
      </w:r>
    </w:p>
    <w:p w:rsidR="00000000" w:rsidDel="00000000" w:rsidP="00000000" w:rsidRDefault="00000000" w:rsidRPr="00000000" w14:paraId="0000008C">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Regrettably, to date, the Deputy Director has not extended any apologies to the LGBTI community, nor has there been any financial restitution. Furthermore, only requirement  №2 underscores a lack of accountability in addressing the repercussions of the discriminatory incident.</w:t>
      </w:r>
    </w:p>
    <w:p w:rsidR="00000000" w:rsidDel="00000000" w:rsidP="00000000" w:rsidRDefault="00000000" w:rsidRPr="00000000" w14:paraId="0000008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It is crucial to highlight the stipulations outlined in Article 28 of the Law on NHRCM, which delineates the obligations of organizations, officials, and legal entities upon receiving requirements and recommendations from commission members. According to Article 28.1</w:t>
      </w:r>
      <w:r w:rsidDel="00000000" w:rsidR="00000000" w:rsidRPr="00000000">
        <w:rPr>
          <w:rFonts w:ascii="Times New Roman" w:cs="Times New Roman" w:eastAsia="Times New Roman" w:hAnsi="Times New Roman"/>
          <w:highlight w:val="white"/>
          <w:vertAlign w:val="superscript"/>
        </w:rPr>
        <w:footnoteReference w:customMarkFollows="0" w:id="45"/>
      </w:r>
      <w:r w:rsidDel="00000000" w:rsidR="00000000" w:rsidRPr="00000000">
        <w:rPr>
          <w:rFonts w:ascii="Times New Roman" w:cs="Times New Roman" w:eastAsia="Times New Roman" w:hAnsi="Times New Roman"/>
          <w:rtl w:val="0"/>
        </w:rPr>
        <w:t xml:space="preserve">, compliance with such requirements and recommendations is mandatory. Furthermore, Article 28.2</w:t>
      </w:r>
      <w:r w:rsidDel="00000000" w:rsidR="00000000" w:rsidRPr="00000000">
        <w:rPr>
          <w:rFonts w:ascii="Times New Roman" w:cs="Times New Roman" w:eastAsia="Times New Roman" w:hAnsi="Times New Roman"/>
          <w:highlight w:val="white"/>
          <w:vertAlign w:val="superscript"/>
        </w:rPr>
        <w:footnoteReference w:customMarkFollows="0" w:id="46"/>
      </w:r>
      <w:r w:rsidDel="00000000" w:rsidR="00000000" w:rsidRPr="00000000">
        <w:rPr>
          <w:rFonts w:ascii="Times New Roman" w:cs="Times New Roman" w:eastAsia="Times New Roman" w:hAnsi="Times New Roman"/>
          <w:rtl w:val="0"/>
        </w:rPr>
        <w:t xml:space="preserve"> specifies that organizations, officials, and legal entities must provide a written response within 30 days after receiving a request and within 60 days after receiving a recommendation. The commission member holds the authority to establish alternative deadlines based on the nature of the human rights violation and enforcement measures.</w:t>
      </w:r>
    </w:p>
    <w:p w:rsidR="00000000" w:rsidDel="00000000" w:rsidP="00000000" w:rsidRDefault="00000000" w:rsidRPr="00000000" w14:paraId="0000008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the event of non-compliance with the commission member's requirements, Article 28.3</w:t>
      </w:r>
      <w:r w:rsidDel="00000000" w:rsidR="00000000" w:rsidRPr="00000000">
        <w:rPr>
          <w:rFonts w:ascii="Times New Roman" w:cs="Times New Roman" w:eastAsia="Times New Roman" w:hAnsi="Times New Roman"/>
          <w:highlight w:val="white"/>
          <w:vertAlign w:val="superscript"/>
        </w:rPr>
        <w:footnoteReference w:customMarkFollows="0" w:id="47"/>
      </w:r>
      <w:r w:rsidDel="00000000" w:rsidR="00000000" w:rsidRPr="00000000">
        <w:rPr>
          <w:rFonts w:ascii="Times New Roman" w:cs="Times New Roman" w:eastAsia="Times New Roman" w:hAnsi="Times New Roman"/>
          <w:rtl w:val="0"/>
        </w:rPr>
        <w:t xml:space="preserve"> empowers the commission to submit a proposal to the authorized organization and official for the dismissal of the official from their position, revocation of the legal entity's license, or cessation of its operations. Additionally, Article 28.4</w:t>
      </w:r>
      <w:r w:rsidDel="00000000" w:rsidR="00000000" w:rsidRPr="00000000">
        <w:rPr>
          <w:rFonts w:ascii="Times New Roman" w:cs="Times New Roman" w:eastAsia="Times New Roman" w:hAnsi="Times New Roman"/>
          <w:highlight w:val="white"/>
          <w:vertAlign w:val="superscript"/>
        </w:rPr>
        <w:footnoteReference w:customMarkFollows="0" w:id="48"/>
      </w:r>
      <w:r w:rsidDel="00000000" w:rsidR="00000000" w:rsidRPr="00000000">
        <w:rPr>
          <w:rFonts w:ascii="Times New Roman" w:cs="Times New Roman" w:eastAsia="Times New Roman" w:hAnsi="Times New Roman"/>
          <w:rtl w:val="0"/>
        </w:rPr>
        <w:t xml:space="preserve"> underscores that failure to act in accordance with the recommendations of a commission member constitutes grounds for the demotion of the official, suspension of the legal entity's license, or temporary suspension of its operations, as submitted to the authorized organization and official. These legal provisions establish a clear framework for accountability and consequences in the face of non-compliance with NHRCM directives.</w:t>
      </w:r>
    </w:p>
    <w:p w:rsidR="00000000" w:rsidDel="00000000" w:rsidP="00000000" w:rsidRDefault="00000000" w:rsidRPr="00000000" w14:paraId="0000008F">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2022 and 2023, LGBTCM requested Chinggis Square to organize the Equality Walk, but each time denied. Each time LGBTCM filed a complaint with the administrative court. </w:t>
      </w:r>
    </w:p>
    <w:p w:rsidR="00000000" w:rsidDel="00000000" w:rsidP="00000000" w:rsidRDefault="00000000" w:rsidRPr="00000000" w14:paraId="00000090">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2022, The Court</w:t>
      </w:r>
      <w:r w:rsidDel="00000000" w:rsidR="00000000" w:rsidRPr="00000000">
        <w:rPr>
          <w:rFonts w:ascii="Times New Roman" w:cs="Times New Roman" w:eastAsia="Times New Roman" w:hAnsi="Times New Roman"/>
          <w:vertAlign w:val="superscript"/>
        </w:rPr>
        <w:footnoteReference w:customMarkFollows="0" w:id="49"/>
      </w:r>
      <w:r w:rsidDel="00000000" w:rsidR="00000000" w:rsidRPr="00000000">
        <w:rPr>
          <w:rFonts w:ascii="Times New Roman" w:cs="Times New Roman" w:eastAsia="Times New Roman" w:hAnsi="Times New Roman"/>
          <w:rtl w:val="0"/>
        </w:rPr>
        <w:t xml:space="preserve"> ruled that there was a procedural error in the decision by the government body. However, by the time the litigation ended, the sprit and the events of Equality and Pride Days were over. </w:t>
      </w:r>
    </w:p>
    <w:p w:rsidR="00000000" w:rsidDel="00000000" w:rsidP="00000000" w:rsidRDefault="00000000" w:rsidRPr="00000000" w14:paraId="0000009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2023, during the court proceedings, a government representative employed derogatory language against the LGBTCM representative. The presiding judge further questioned the LGBTCM about the rationale behind organizing the Equality Walk in such proximity to the first day of the school year when children are present on the streets. The judge mandated that the LGBTCM provide substantiation for the selection of this particular date for the Equality Walk. It is crucial to note that LGBTCM has consistently organized Equality and Pride Days between the end of August and the beginning of September each year since 2014. Despite presenting this historical context, the Court </w:t>
      </w:r>
      <w:r w:rsidDel="00000000" w:rsidR="00000000" w:rsidRPr="00000000">
        <w:rPr>
          <w:rFonts w:ascii="Times New Roman" w:cs="Times New Roman" w:eastAsia="Times New Roman" w:hAnsi="Times New Roman"/>
          <w:vertAlign w:val="superscript"/>
        </w:rPr>
        <w:footnoteReference w:customMarkFollows="0" w:id="50"/>
      </w:r>
      <w:r w:rsidDel="00000000" w:rsidR="00000000" w:rsidRPr="00000000">
        <w:rPr>
          <w:rFonts w:ascii="Times New Roman" w:cs="Times New Roman" w:eastAsia="Times New Roman" w:hAnsi="Times New Roman"/>
          <w:rtl w:val="0"/>
        </w:rPr>
        <w:t xml:space="preserve"> ruled in favor of the government, revealing a clear bias on the part of the judges.</w:t>
      </w:r>
    </w:p>
    <w:p w:rsidR="00000000" w:rsidDel="00000000" w:rsidP="00000000" w:rsidRDefault="00000000" w:rsidRPr="00000000" w14:paraId="0000009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2023, Beautiful Heart NGO organized a One Billion Rising March</w:t>
      </w:r>
      <w:r w:rsidDel="00000000" w:rsidR="00000000" w:rsidRPr="00000000">
        <w:rPr>
          <w:rFonts w:ascii="Times New Roman" w:cs="Times New Roman" w:eastAsia="Times New Roman" w:hAnsi="Times New Roman"/>
          <w:vertAlign w:val="superscript"/>
        </w:rPr>
        <w:footnoteReference w:customMarkFollows="0" w:id="51"/>
      </w:r>
      <w:r w:rsidDel="00000000" w:rsidR="00000000" w:rsidRPr="00000000">
        <w:rPr>
          <w:rFonts w:ascii="Times New Roman" w:cs="Times New Roman" w:eastAsia="Times New Roman" w:hAnsi="Times New Roman"/>
          <w:rtl w:val="0"/>
        </w:rPr>
        <w:t xml:space="preserve"> in commemoration of the International Day for Women's Rights on 8th March at Chinggis Square. As part of this event, a group of LGBTI citizens, proudly displaying rainbow flags, trans flags, and banners, gathered to participate in the March. Even before entering Chinggis Square, the police began filming the LGBTI citizens. Upon reaching Chinggis Square to join the March, the police intercepted the group and inquired about the meaning of the rainbow flag and trans flag. Additionally, the police took photographs of both the flags and the individuals holding them. This incident has instilled fear among LGBTI marchers, raised concerns for the event organizers, and constitutes clear intimidation designed to sow fear. Such actions create challenges for LGBTI activists and citizens seeking collaboration with other groups, hindering the potential for meaningful partnerships.</w:t>
      </w:r>
    </w:p>
    <w:p w:rsidR="00000000" w:rsidDel="00000000" w:rsidP="00000000" w:rsidRDefault="00000000" w:rsidRPr="00000000" w14:paraId="00000093">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Of further grave concern on the implementation of the freedom of assembly are Sections 7.1.4 and 9.4 of the Law on Regulating Assembly, which are contrary to Article 19 of the ICCPR. The Law on Regulating Assembly provides blanket powers to governors of districts/soums and cities/provinces to register/permit deny such assemblies, and gives these administrative bodies the right to change the route of the assembly under its Section 9.4. Also Section 7.1.4 of the Law on Regulating Assembly allows aforementioned administrative bodies to curtail the right to freedom of assembly if such assemblies are held at places designated as markets. While it is true that the Chinggis Square has been used for various commercial purposes such as school-supplies sales during the Equality and Pride Days in 2015 and 2016, the Chinggis Square is not a designated market place. If such loose interpretation of a market place continues to be upheld by administrative and judicial branches, the freedom of assembly will be nullified as the government will continue to rent out these public spaces for commercial purposes, therefore denying access to open spaces for such cultural or human rights purposes such as the Equality Walk. Section 7.1.4 of the Law on Regulating Assembly and its mechanical interpretation allowing a denial of public gathering in a non-designated market is extremely contentious as the Government continues to rent out this and other similar public spaces for commercial purposes and provides no access to such spaces for cultural or human rights promotion events/assemblies effectively nullifying the freedom of assembly in those public spaces. Therefore, Section 7.1.4 of the Law on Regulating Assembly and its mechanical application is seen as a direct violation of the Article 19 of the ICCPR. </w:t>
      </w:r>
    </w:p>
    <w:p w:rsidR="00000000" w:rsidDel="00000000" w:rsidP="00000000" w:rsidRDefault="00000000" w:rsidRPr="00000000" w14:paraId="00000094">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Can the Committee inquire about the measures taken by the government to ensure that policies, legislations, and binding guidelines of central government bodies are effectively communicated in a constructive and regular manner to all branches, particularly local administrative bodies and law enforcement agencies? How does the government plan to address existing prejudices leading to discrimination and the infringement of the rights of LGBTI people?</w:t>
      </w:r>
      <w:r w:rsidDel="00000000" w:rsidR="00000000" w:rsidRPr="00000000">
        <w:rPr>
          <w:rtl w:val="0"/>
        </w:rPr>
      </w:r>
    </w:p>
    <w:p w:rsidR="00000000" w:rsidDel="00000000" w:rsidP="00000000" w:rsidRDefault="00000000" w:rsidRPr="00000000" w14:paraId="00000095">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Could the Committee seek information on the steps the government has taken or plans to take to ensure that the public's right to information is not restricted due to prevailing ignorance and discriminatory attitudes among public servants? Specifically, can the government provide details on proposed amendments to Sections 9.1 and 7.1.4 of the Law on Regulating Public Assembly to align them with Article 19 of the ICCPR?</w:t>
      </w:r>
      <w:r w:rsidDel="00000000" w:rsidR="00000000" w:rsidRPr="00000000">
        <w:rPr>
          <w:rtl w:val="0"/>
        </w:rPr>
      </w:r>
    </w:p>
    <w:p w:rsidR="00000000" w:rsidDel="00000000" w:rsidP="00000000" w:rsidRDefault="00000000" w:rsidRPr="00000000" w14:paraId="00000096">
      <w:pPr>
        <w:spacing w:after="120" w:line="360" w:lineRule="auto"/>
        <w:ind w:right="450"/>
        <w:jc w:val="both"/>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rtl w:val="0"/>
        </w:rPr>
        <w:t xml:space="preserve">Articles 17 and 23</w:t>
      </w:r>
    </w:p>
    <w:p w:rsidR="00000000" w:rsidDel="00000000" w:rsidP="00000000" w:rsidRDefault="00000000" w:rsidRPr="00000000" w14:paraId="00000097">
      <w:pPr>
        <w:widowControl w:val="0"/>
        <w:spacing w:line="360" w:lineRule="auto"/>
        <w:ind w:left="11" w:right="450" w:firstLine="0"/>
        <w:rPr>
          <w:rFonts w:ascii="Times New Roman" w:cs="Times New Roman" w:eastAsia="Times New Roman" w:hAnsi="Times New Roman"/>
          <w:b w:val="1"/>
          <w:color w:val="366091"/>
          <w:sz w:val="28"/>
          <w:szCs w:val="28"/>
        </w:rPr>
      </w:pPr>
      <w:r w:rsidDel="00000000" w:rsidR="00000000" w:rsidRPr="00000000">
        <w:rPr>
          <w:rFonts w:ascii="Times New Roman" w:cs="Times New Roman" w:eastAsia="Times New Roman" w:hAnsi="Times New Roman"/>
          <w:b w:val="1"/>
          <w:color w:val="366091"/>
          <w:sz w:val="28"/>
          <w:szCs w:val="28"/>
          <w:u w:val="single"/>
          <w:rtl w:val="0"/>
        </w:rPr>
        <w:t xml:space="preserve">Enactment and Implementation </w:t>
      </w:r>
      <w:r w:rsidDel="00000000" w:rsidR="00000000" w:rsidRPr="00000000">
        <w:rPr>
          <w:rtl w:val="0"/>
        </w:rPr>
      </w:r>
    </w:p>
    <w:p w:rsidR="00000000" w:rsidDel="00000000" w:rsidP="00000000" w:rsidRDefault="00000000" w:rsidRPr="00000000" w14:paraId="0000009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 August 2017, Concluding observation of the 6th periodic report of Mongolia, The Committee recommended </w:t>
      </w:r>
      <w:r w:rsidDel="00000000" w:rsidR="00000000" w:rsidRPr="00000000">
        <w:rPr>
          <w:rFonts w:ascii="Times New Roman" w:cs="Times New Roman" w:eastAsia="Times New Roman" w:hAnsi="Times New Roman"/>
          <w:vertAlign w:val="superscript"/>
        </w:rPr>
        <w:footnoteReference w:customMarkFollows="0" w:id="52"/>
      </w:r>
      <w:r w:rsidDel="00000000" w:rsidR="00000000" w:rsidRPr="00000000">
        <w:rPr>
          <w:rFonts w:ascii="Times New Roman" w:cs="Times New Roman" w:eastAsia="Times New Roman" w:hAnsi="Times New Roman"/>
          <w:rtl w:val="0"/>
        </w:rPr>
        <w:t xml:space="preserve"> that </w:t>
      </w:r>
      <w:r w:rsidDel="00000000" w:rsidR="00000000" w:rsidRPr="00000000">
        <w:rPr>
          <w:rFonts w:ascii="Times New Roman" w:cs="Times New Roman" w:eastAsia="Times New Roman" w:hAnsi="Times New Roman"/>
          <w:b w:val="1"/>
          <w:rtl w:val="0"/>
        </w:rPr>
        <w:t xml:space="preserve">The State party should consider legal recognition and protection of same-sex couples.</w:t>
      </w:r>
      <w:r w:rsidDel="00000000" w:rsidR="00000000" w:rsidRPr="00000000">
        <w:rPr>
          <w:rtl w:val="0"/>
        </w:rPr>
      </w:r>
    </w:p>
    <w:p w:rsidR="00000000" w:rsidDel="00000000" w:rsidP="00000000" w:rsidRDefault="00000000" w:rsidRPr="00000000" w14:paraId="00000099">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Mongolia currently does not recognize same-sex unions, whether through marriage, registered partnerships, or cohabitation rights. Despite Article 16.11 of the Constitution emphasizing equal rights, including in marriage, specifying that it is based on the equality and mutual consent of men and women, Article 3.1.3 of the Family Law defines "spouses" in gender-specific terms as a "husband and wife."</w:t>
      </w:r>
    </w:p>
    <w:p w:rsidR="00000000" w:rsidDel="00000000" w:rsidP="00000000" w:rsidRDefault="00000000" w:rsidRPr="00000000" w14:paraId="0000009A">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This failure to align with Articles 17 and 23 of the ICCPR leads to ongoing discrimination against same-sex couples and families. The non-recognition of same-sex relationships denies them essential family rights, impacting immigration processes, medical decision-making, and parental rights. In bi-national couples, the lack of spousal recognition impedes immigration rights, while medical decisions and parenting rights are often overlooked, leading to disputes in areas such as estate and inheritance.</w:t>
      </w:r>
    </w:p>
    <w:p w:rsidR="00000000" w:rsidDel="00000000" w:rsidP="00000000" w:rsidRDefault="00000000" w:rsidRPr="00000000" w14:paraId="0000009B">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Moreover, same-sex couples in Mongolia face legal barriers in adopting children or accessing parenting-related rights. For instance, the non-biological mother in a same-sex relationship, even when actively involved in raising a child born through in-vitro fertilization (IVF), is not legally recognized as a co-parent. This legal gap has profound consequences, affecting not only the realization of fundamental rights under Articles 17 and 23 but also impacting various civil, social, and economic rights.</w:t>
      </w:r>
    </w:p>
    <w:p w:rsidR="00000000" w:rsidDel="00000000" w:rsidP="00000000" w:rsidRDefault="00000000" w:rsidRPr="00000000" w14:paraId="0000009C">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children of same-sex partners, whether adoptive or biological, often encounter bullying and harassment, particularly in educational settings, due to the perceived sexual orientation or gender identity of their parents. Addressing these legal gaps is crucial to ensuring equal rights and protections for all families, irrespective of their composition.</w:t>
      </w:r>
    </w:p>
    <w:p w:rsidR="00000000" w:rsidDel="00000000" w:rsidP="00000000" w:rsidRDefault="00000000" w:rsidRPr="00000000" w14:paraId="0000009D">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Mongolia exhibits a persistent reluctance to acknowledge same-sex unions, evident in the steadfast adherence to the 1992 Constitution's regulation of marriage, explicitly specifying it as a union between men and women. This stance was reiterated during the 36th UPR Working Group Sessions, where Mongolia, in response to interventions, stated, "In the Constitution of Mongolia, it is specified that marriage shall be contracted by men and women based on voluntary will and equal rights of these two. This is very clear on the constitution of Mongolia." This unyielding position is further underscored by Mongolia's conspicuous silence on the matter in both the Committee's concluding observations and follow-up discussions. The State's lack of response signals a clear and unwavering attitude regarding same-sex unions, reflecting an ongoing reluctance to consider and address the rights and concerns of the LGBTIQ community in this regard.</w:t>
      </w:r>
    </w:p>
    <w:p w:rsidR="00000000" w:rsidDel="00000000" w:rsidP="00000000" w:rsidRDefault="00000000" w:rsidRPr="00000000" w14:paraId="0000009E">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720" w:hanging="360"/>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In light of the State's remarks on the issues of LGBTI persons, particularly concerning same-sex marriage and the reference to the Constitution of Mongolia, can the government clarify how it reconciles these constitutional provisions with the Committee's recommendation for legal recognition and protection of same-sex couples?</w:t>
      </w:r>
      <w:r w:rsidDel="00000000" w:rsidR="00000000" w:rsidRPr="00000000">
        <w:rPr>
          <w:rtl w:val="0"/>
        </w:rPr>
      </w:r>
    </w:p>
    <w:p w:rsidR="00000000" w:rsidDel="00000000" w:rsidP="00000000" w:rsidRDefault="00000000" w:rsidRPr="00000000" w14:paraId="0000009F">
      <w:pPr>
        <w:ind w:left="0" w:firstLine="0"/>
        <w:jc w:val="both"/>
        <w:rPr>
          <w:rFonts w:ascii="Times New Roman" w:cs="Times New Roman" w:eastAsia="Times New Roman" w:hAnsi="Times New Roman"/>
          <w:b w:val="1"/>
          <w:color w:val="366091"/>
        </w:rPr>
      </w:pPr>
      <w:r w:rsidDel="00000000" w:rsidR="00000000" w:rsidRPr="00000000">
        <w:rPr>
          <w:rFonts w:ascii="Times New Roman" w:cs="Times New Roman" w:eastAsia="Times New Roman" w:hAnsi="Times New Roman"/>
          <w:b w:val="1"/>
          <w:color w:val="366091"/>
          <w:rtl w:val="0"/>
        </w:rPr>
        <w:t xml:space="preserve">IV   WE REQUEST THE COMMITTEE TO RECOMMEND TO THE STATE </w:t>
      </w:r>
    </w:p>
    <w:p w:rsidR="00000000" w:rsidDel="00000000" w:rsidP="00000000" w:rsidRDefault="00000000" w:rsidRPr="00000000" w14:paraId="000000A0">
      <w:pPr>
        <w:ind w:left="0" w:firstLine="0"/>
        <w:jc w:val="both"/>
        <w:rPr>
          <w:rFonts w:ascii="Times New Roman" w:cs="Times New Roman" w:eastAsia="Times New Roman" w:hAnsi="Times New Roman"/>
          <w:b w:val="1"/>
          <w:color w:val="366091"/>
        </w:rPr>
      </w:pPr>
      <w:r w:rsidDel="00000000" w:rsidR="00000000" w:rsidRPr="00000000">
        <w:rPr>
          <w:rtl w:val="0"/>
        </w:rPr>
      </w:r>
    </w:p>
    <w:p w:rsidR="00000000" w:rsidDel="00000000" w:rsidP="00000000" w:rsidRDefault="00000000" w:rsidRPr="00000000" w14:paraId="000000A1">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Mongolia should adopt comprehensive equality legislation appropriate for the implementation of the rights to equality and non-discrimination. Such legislation should </w:t>
      </w:r>
      <w:r w:rsidDel="00000000" w:rsidR="00000000" w:rsidRPr="00000000">
        <w:rPr>
          <w:rFonts w:ascii="Times New Roman" w:cs="Times New Roman" w:eastAsia="Times New Roman" w:hAnsi="Times New Roman"/>
          <w:b w:val="1"/>
          <w:i w:val="1"/>
          <w:sz w:val="22.00846290588379"/>
          <w:szCs w:val="22.00846290588379"/>
          <w:rtl w:val="0"/>
        </w:rPr>
        <w:t xml:space="preserve">inter alia </w:t>
      </w:r>
      <w:r w:rsidDel="00000000" w:rsidR="00000000" w:rsidRPr="00000000">
        <w:rPr>
          <w:rFonts w:ascii="Times New Roman" w:cs="Times New Roman" w:eastAsia="Times New Roman" w:hAnsi="Times New Roman"/>
          <w:b w:val="1"/>
          <w:sz w:val="22.00846290588379"/>
          <w:szCs w:val="22.00846290588379"/>
          <w:rtl w:val="0"/>
        </w:rPr>
        <w:t xml:space="preserve">prohibit all forms of discrimination, on all grounds recognized at international law (including sexual orientation and gender identity) and in all areas of life regulated by law; require the adoption of positive action measures to address substantive inequalities; and provide the procedural safeguards necessary for the effective functioning of the rights protected therein. The state should engage in further meaningful consultations with civil society in the development of such a law and establish an independent equality body with a large mandate and institutional guarantees to secure its enforcement. </w:t>
      </w:r>
      <w:r w:rsidDel="00000000" w:rsidR="00000000" w:rsidRPr="00000000">
        <w:rPr>
          <w:rtl w:val="0"/>
        </w:rPr>
      </w:r>
    </w:p>
    <w:p w:rsidR="00000000" w:rsidDel="00000000" w:rsidP="00000000" w:rsidRDefault="00000000" w:rsidRPr="00000000" w14:paraId="000000A2">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Improve the implementation of the new Criminal Law to protect minorities from hate crimes, ensure privacy and confidentiality of information, emphasise education and conciliation, and provide for speedy and effective criminal, administrative and civil remedies. </w:t>
      </w:r>
      <w:r w:rsidDel="00000000" w:rsidR="00000000" w:rsidRPr="00000000">
        <w:rPr>
          <w:rtl w:val="0"/>
        </w:rPr>
      </w:r>
    </w:p>
    <w:p w:rsidR="00000000" w:rsidDel="00000000" w:rsidP="00000000" w:rsidRDefault="00000000" w:rsidRPr="00000000" w14:paraId="000000A3">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Provide continued training for the law enforcement and judicial sectors on the prevalence of sexuality and gender-based violence against LGBTI persons and codify their obligation to uphold non-discriminatory and inclusive practices, including the preservation of dignity and confidentiality, in their dealings with such victims. </w:t>
      </w:r>
      <w:r w:rsidDel="00000000" w:rsidR="00000000" w:rsidRPr="00000000">
        <w:rPr>
          <w:rtl w:val="0"/>
        </w:rPr>
      </w:r>
    </w:p>
    <w:p w:rsidR="00000000" w:rsidDel="00000000" w:rsidP="00000000" w:rsidRDefault="00000000" w:rsidRPr="00000000" w14:paraId="000000A4">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Provide social services and support for sexual minorities who are victims of familial violence, including the provision of State protective shelters for victims, medical care and psychological counselling. </w:t>
      </w:r>
      <w:r w:rsidDel="00000000" w:rsidR="00000000" w:rsidRPr="00000000">
        <w:rPr>
          <w:rtl w:val="0"/>
        </w:rPr>
      </w:r>
    </w:p>
    <w:p w:rsidR="00000000" w:rsidDel="00000000" w:rsidP="00000000" w:rsidRDefault="00000000" w:rsidRPr="00000000" w14:paraId="000000A5">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Introduce a universal non-discrimination policy inclusive of sexual orientation and gender identity/expression in all educational institutions to ensure a safe environment for LGBTI youth to develop and express themselves without fear of retribution by faculty or peers. Review curricula of teacher training, social work and the psychology and medical professions in order to mainstream human rights, with particular attention paid to the inclusion of a wide concept of sexuality and by paying special attention to sexual minorities and their social and legal issues, in order to promote a supportive and enabling environment in which LGBTI youth may study, in line with their right to receive education and information. </w:t>
      </w:r>
      <w:r w:rsidDel="00000000" w:rsidR="00000000" w:rsidRPr="00000000">
        <w:rPr>
          <w:rtl w:val="0"/>
        </w:rPr>
      </w:r>
    </w:p>
    <w:p w:rsidR="00000000" w:rsidDel="00000000" w:rsidP="00000000" w:rsidRDefault="00000000" w:rsidRPr="00000000" w14:paraId="000000A6">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Ensure that healthcare providers are informed about both the physical and psychological issues that pertain to sexual minorities and that equality and non-discrimination are prescribed as ethical standard in the provision of healthcare. </w:t>
      </w:r>
      <w:r w:rsidDel="00000000" w:rsidR="00000000" w:rsidRPr="00000000">
        <w:rPr>
          <w:rtl w:val="0"/>
        </w:rPr>
      </w:r>
    </w:p>
    <w:p w:rsidR="00000000" w:rsidDel="00000000" w:rsidP="00000000" w:rsidRDefault="00000000" w:rsidRPr="00000000" w14:paraId="000000A7">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Ensure that sub-communities are able to access specific healthcare (such as universal healthcare insurance-covered access to IVF for lesbian and bisexual women; and universal healthcare insurance-covered access to hormone replacement therapy and transition-related medical procedures by trans persons). </w:t>
      </w:r>
      <w:r w:rsidDel="00000000" w:rsidR="00000000" w:rsidRPr="00000000">
        <w:rPr>
          <w:rtl w:val="0"/>
        </w:rPr>
      </w:r>
    </w:p>
    <w:p w:rsidR="00000000" w:rsidDel="00000000" w:rsidP="00000000" w:rsidRDefault="00000000" w:rsidRPr="00000000" w14:paraId="000000A8">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Mandate the professionalisation of psychological counselling methods and techniques in line with international standards and criteria, and enforce those instead of the remnants of socialist curricula, through which non-heteronormative sexual orientations and gender identities/expressions are considered disorders. </w:t>
      </w:r>
      <w:r w:rsidDel="00000000" w:rsidR="00000000" w:rsidRPr="00000000">
        <w:rPr>
          <w:rtl w:val="0"/>
        </w:rPr>
      </w:r>
    </w:p>
    <w:p w:rsidR="00000000" w:rsidDel="00000000" w:rsidP="00000000" w:rsidRDefault="00000000" w:rsidRPr="00000000" w14:paraId="000000A9">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Review the Family Law, which in Article 3.1.1 defines marriage as: “Marriage is a man and a woman registering with a competent government authority to found a family based on their free will, consent and equality”, and which in Article 3.1.3 defines spouses as: “A husband and a wife related to each other through marriage and who have equal rights and responsibilities”, and bring the spirit and language of the law in line with international obligations to provide the widest possible protection and assistance to all consenting adults to marry and found a family, without discrimination based on their sexual orientation. </w:t>
      </w:r>
      <w:r w:rsidDel="00000000" w:rsidR="00000000" w:rsidRPr="00000000">
        <w:rPr>
          <w:rtl w:val="0"/>
        </w:rPr>
      </w:r>
    </w:p>
    <w:p w:rsidR="00000000" w:rsidDel="00000000" w:rsidP="00000000" w:rsidRDefault="00000000" w:rsidRPr="00000000" w14:paraId="000000AA">
      <w:pPr>
        <w:widowControl w:val="0"/>
        <w:numPr>
          <w:ilvl w:val="0"/>
          <w:numId w:val="2"/>
        </w:numPr>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720" w:hanging="360"/>
        <w:jc w:val="both"/>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z w:val="22.00846290588379"/>
          <w:szCs w:val="22.00846290588379"/>
          <w:rtl w:val="0"/>
        </w:rPr>
        <w:t xml:space="preserve">Launch a public awareness-raising campaign to fight and prevent discrimination and violence against LGBTI persons and to promote tolerance. </w:t>
      </w:r>
      <w:r w:rsidDel="00000000" w:rsidR="00000000" w:rsidRPr="00000000">
        <w:rPr>
          <w:rtl w:val="0"/>
        </w:rPr>
      </w:r>
    </w:p>
    <w:p w:rsidR="00000000" w:rsidDel="00000000" w:rsidP="00000000" w:rsidRDefault="00000000" w:rsidRPr="00000000" w14:paraId="000000AB">
      <w:pPr>
        <w:widowControl w:val="0"/>
        <w:pBdr>
          <w:top w:color="d9d9e3" w:space="0" w:sz="0" w:val="none"/>
          <w:left w:color="d9d9e3" w:space="0" w:sz="0" w:val="none"/>
          <w:bottom w:color="d9d9e3" w:space="0" w:sz="0" w:val="none"/>
          <w:right w:color="d9d9e3" w:space="0" w:sz="0" w:val="none"/>
          <w:between w:color="d9d9e3" w:space="0" w:sz="0" w:val="none"/>
        </w:pBdr>
        <w:spacing w:after="300" w:line="404.78236198425293" w:lineRule="auto"/>
        <w:ind w:left="0" w:firstLine="0"/>
        <w:jc w:val="both"/>
        <w:rPr>
          <w:rFonts w:ascii="Times New Roman" w:cs="Times New Roman" w:eastAsia="Times New Roman" w:hAnsi="Times New Roman"/>
        </w:rPr>
      </w:pPr>
      <w:r w:rsidDel="00000000" w:rsidR="00000000" w:rsidRPr="00000000">
        <w:rPr>
          <w:rtl w:val="0"/>
        </w:rPr>
      </w:r>
    </w:p>
    <w:sectPr>
      <w:headerReference r:id="rId9" w:type="default"/>
      <w:headerReference r:id="rId10" w:type="first"/>
      <w:footerReference r:id="rId11" w:type="default"/>
      <w:footerReference r:id="rId12"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3">
    <w:pPr>
      <w:jc w:val="center"/>
      <w:rPr>
        <w:rFonts w:ascii="Times New Roman" w:cs="Times New Roman" w:eastAsia="Times New Roman" w:hAnsi="Times New Roman"/>
        <w:sz w:val="40"/>
        <w:szCs w:val="40"/>
        <w:vertAlign w:val="superscript"/>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4">
    <w:pPr>
      <w:jc w:val="right"/>
      <w:rPr>
        <w:rFonts w:ascii="Times New Roman" w:cs="Times New Roman" w:eastAsia="Times New Roman" w:hAnsi="Times New Roman"/>
        <w:sz w:val="32"/>
        <w:szCs w:val="32"/>
        <w:vertAlign w:val="superscript"/>
      </w:rPr>
    </w:pPr>
    <w:r w:rsidDel="00000000" w:rsidR="00000000" w:rsidRPr="00000000">
      <w:rPr>
        <w:rFonts w:ascii="Times New Roman" w:cs="Times New Roman" w:eastAsia="Times New Roman" w:hAnsi="Times New Roman"/>
        <w:sz w:val="32"/>
        <w:szCs w:val="32"/>
        <w:vertAlign w:val="superscript"/>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1">
    <w:p w:rsidR="00000000" w:rsidDel="00000000" w:rsidP="00000000" w:rsidRDefault="00000000" w:rsidRPr="00000000" w14:paraId="000000AC">
      <w:pPr>
        <w:spacing w:after="120" w:line="240" w:lineRule="auto"/>
        <w:ind w:right="1125"/>
        <w:jc w:val="both"/>
        <w:rPr>
          <w:rFonts w:ascii="Times New Roman" w:cs="Times New Roman" w:eastAsia="Times New Roman" w:hAnsi="Times New Roman"/>
          <w:sz w:val="24"/>
          <w:szCs w:val="24"/>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vertAlign w:val="superscript"/>
          <w:rtl w:val="0"/>
        </w:rPr>
        <w:t xml:space="preserve"> https://www.reportout.org/post/out-in-mongolia-largest-ever-survey-on-the-experiences-of-mongolian-lgbtqi-community</w:t>
      </w:r>
    </w:p>
  </w:footnote>
  <w:footnote w:id="22">
    <w:p w:rsidR="00000000" w:rsidDel="00000000" w:rsidP="00000000" w:rsidRDefault="00000000" w:rsidRPr="00000000" w14:paraId="000000AD">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A/HRC/50/26/Add.1 Para 31</w:t>
      </w:r>
    </w:p>
  </w:footnote>
  <w:footnote w:id="23">
    <w:p w:rsidR="00000000" w:rsidDel="00000000" w:rsidP="00000000" w:rsidRDefault="00000000" w:rsidRPr="00000000" w14:paraId="000000AE">
      <w:pPr>
        <w:spacing w:line="240" w:lineRule="auto"/>
        <w:rPr>
          <w:rFonts w:ascii="Times New Roman" w:cs="Times New Roman" w:eastAsia="Times New Roman" w:hAnsi="Times New Roman"/>
          <w:sz w:val="24"/>
          <w:szCs w:val="24"/>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vertAlign w:val="superscript"/>
          <w:rtl w:val="0"/>
        </w:rPr>
        <w:t xml:space="preserve"> https://www.aljazeera.com/news/2019/10/9/charges-in-mongolia-lgbt-attack-hint-at-changing-attitudes</w:t>
      </w:r>
    </w:p>
  </w:footnote>
  <w:footnote w:id="26">
    <w:p w:rsidR="00000000" w:rsidDel="00000000" w:rsidP="00000000" w:rsidRDefault="00000000" w:rsidRPr="00000000" w14:paraId="000000AF">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Order of issue №3/31, published on NHRCM official website 16 September 2021</w:t>
      </w:r>
    </w:p>
  </w:footnote>
  <w:footnote w:id="27">
    <w:p w:rsidR="00000000" w:rsidDel="00000000" w:rsidP="00000000" w:rsidRDefault="00000000" w:rsidRPr="00000000" w14:paraId="000000B0">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28.1</w:t>
      </w:r>
    </w:p>
  </w:footnote>
  <w:footnote w:id="28">
    <w:p w:rsidR="00000000" w:rsidDel="00000000" w:rsidP="00000000" w:rsidRDefault="00000000" w:rsidRPr="00000000" w14:paraId="000000B1">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28.2</w:t>
      </w:r>
      <w:r w:rsidDel="00000000" w:rsidR="00000000" w:rsidRPr="00000000">
        <w:rPr>
          <w:rtl w:val="0"/>
        </w:rPr>
      </w:r>
    </w:p>
  </w:footnote>
  <w:footnote w:id="29">
    <w:p w:rsidR="00000000" w:rsidDel="00000000" w:rsidP="00000000" w:rsidRDefault="00000000" w:rsidRPr="00000000" w14:paraId="000000B2">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28.3</w:t>
      </w:r>
      <w:r w:rsidDel="00000000" w:rsidR="00000000" w:rsidRPr="00000000">
        <w:rPr>
          <w:rtl w:val="0"/>
        </w:rPr>
      </w:r>
    </w:p>
  </w:footnote>
  <w:footnote w:id="30">
    <w:p w:rsidR="00000000" w:rsidDel="00000000" w:rsidP="00000000" w:rsidRDefault="00000000" w:rsidRPr="00000000" w14:paraId="000000B3">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28.4</w:t>
      </w:r>
      <w:r w:rsidDel="00000000" w:rsidR="00000000" w:rsidRPr="00000000">
        <w:rPr>
          <w:rtl w:val="0"/>
        </w:rPr>
      </w:r>
    </w:p>
  </w:footnote>
  <w:footnote w:id="31">
    <w:p w:rsidR="00000000" w:rsidDel="00000000" w:rsidP="00000000" w:rsidRDefault="00000000" w:rsidRPr="00000000" w14:paraId="000000B4">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CCPR/C/MNG/CO/6/Add.1 (para 10)</w:t>
      </w:r>
      <w:r w:rsidDel="00000000" w:rsidR="00000000" w:rsidRPr="00000000">
        <w:rPr>
          <w:rtl w:val="0"/>
        </w:rPr>
      </w:r>
    </w:p>
  </w:footnote>
  <w:footnote w:id="32">
    <w:p w:rsidR="00000000" w:rsidDel="00000000" w:rsidP="00000000" w:rsidRDefault="00000000" w:rsidRPr="00000000" w14:paraId="000000B5">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A/HRC/WG.6/36/MNG/1 (para 122) </w:t>
      </w:r>
      <w:r w:rsidDel="00000000" w:rsidR="00000000" w:rsidRPr="00000000">
        <w:rPr>
          <w:rtl w:val="0"/>
        </w:rPr>
      </w:r>
    </w:p>
  </w:footnote>
  <w:footnote w:id="33">
    <w:p w:rsidR="00000000" w:rsidDel="00000000" w:rsidP="00000000" w:rsidRDefault="00000000" w:rsidRPr="00000000" w14:paraId="000000B6">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During the 36</w:t>
      </w:r>
      <w:r w:rsidDel="00000000" w:rsidR="00000000" w:rsidRPr="00000000">
        <w:rPr>
          <w:rFonts w:ascii="Times New Roman" w:cs="Times New Roman" w:eastAsia="Times New Roman" w:hAnsi="Times New Roman"/>
          <w:sz w:val="16"/>
          <w:szCs w:val="16"/>
          <w:vertAlign w:val="superscript"/>
          <w:rtl w:val="0"/>
        </w:rPr>
        <w:t xml:space="preserve">th </w:t>
      </w:r>
      <w:r w:rsidDel="00000000" w:rsidR="00000000" w:rsidRPr="00000000">
        <w:rPr>
          <w:rFonts w:ascii="Times New Roman" w:cs="Times New Roman" w:eastAsia="Times New Roman" w:hAnsi="Times New Roman"/>
          <w:sz w:val="16"/>
          <w:szCs w:val="16"/>
          <w:rtl w:val="0"/>
        </w:rPr>
        <w:t xml:space="preserve">UPR Working Group Sessions, Mongolia</w:t>
      </w:r>
      <w:r w:rsidDel="00000000" w:rsidR="00000000" w:rsidRPr="00000000">
        <w:rPr>
          <w:rtl w:val="0"/>
        </w:rPr>
      </w:r>
    </w:p>
  </w:footnote>
  <w:footnote w:id="44">
    <w:p w:rsidR="00000000" w:rsidDel="00000000" w:rsidP="00000000" w:rsidRDefault="00000000" w:rsidRPr="00000000" w14:paraId="000000B7">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Order of issue №3/31, published on NHRCM official website 16 September 2021</w:t>
      </w:r>
    </w:p>
  </w:footnote>
  <w:footnote w:id="45">
    <w:p w:rsidR="00000000" w:rsidDel="00000000" w:rsidP="00000000" w:rsidRDefault="00000000" w:rsidRPr="00000000" w14:paraId="000000B8">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28.1</w:t>
      </w:r>
    </w:p>
  </w:footnote>
  <w:footnote w:id="46">
    <w:p w:rsidR="00000000" w:rsidDel="00000000" w:rsidP="00000000" w:rsidRDefault="00000000" w:rsidRPr="00000000" w14:paraId="000000B9">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28.2</w:t>
      </w:r>
      <w:r w:rsidDel="00000000" w:rsidR="00000000" w:rsidRPr="00000000">
        <w:rPr>
          <w:rtl w:val="0"/>
        </w:rPr>
      </w:r>
    </w:p>
  </w:footnote>
  <w:footnote w:id="47">
    <w:p w:rsidR="00000000" w:rsidDel="00000000" w:rsidP="00000000" w:rsidRDefault="00000000" w:rsidRPr="00000000" w14:paraId="000000BA">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28.3</w:t>
      </w:r>
      <w:r w:rsidDel="00000000" w:rsidR="00000000" w:rsidRPr="00000000">
        <w:rPr>
          <w:rtl w:val="0"/>
        </w:rPr>
      </w:r>
    </w:p>
  </w:footnote>
  <w:footnote w:id="48">
    <w:p w:rsidR="00000000" w:rsidDel="00000000" w:rsidP="00000000" w:rsidRDefault="00000000" w:rsidRPr="00000000" w14:paraId="000000BB">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imes New Roman" w:cs="Times New Roman" w:eastAsia="Times New Roman" w:hAnsi="Times New Roman"/>
          <w:sz w:val="16"/>
          <w:szCs w:val="16"/>
          <w:rtl w:val="0"/>
        </w:rPr>
        <w:t xml:space="preserve"> The Law on the National Human Rights Commission of Mongolia 2020 Article 28.4</w:t>
      </w:r>
      <w:r w:rsidDel="00000000" w:rsidR="00000000" w:rsidRPr="00000000">
        <w:rPr>
          <w:rtl w:val="0"/>
        </w:rPr>
      </w:r>
    </w:p>
  </w:footnote>
  <w:footnote w:id="2">
    <w:p w:rsidR="00000000" w:rsidDel="00000000" w:rsidP="00000000" w:rsidRDefault="00000000" w:rsidRPr="00000000" w14:paraId="000000BC">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12(1)) </w:t>
      </w:r>
      <w:r w:rsidDel="00000000" w:rsidR="00000000" w:rsidRPr="00000000">
        <w:rPr>
          <w:rtl w:val="0"/>
        </w:rPr>
      </w:r>
    </w:p>
  </w:footnote>
  <w:footnote w:id="1">
    <w:p w:rsidR="00000000" w:rsidDel="00000000" w:rsidP="00000000" w:rsidRDefault="00000000" w:rsidRPr="00000000" w14:paraId="000000BD">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11) </w:t>
      </w:r>
      <w:r w:rsidDel="00000000" w:rsidR="00000000" w:rsidRPr="00000000">
        <w:rPr>
          <w:rtl w:val="0"/>
        </w:rPr>
      </w:r>
    </w:p>
  </w:footnote>
  <w:footnote w:id="12">
    <w:p w:rsidR="00000000" w:rsidDel="00000000" w:rsidP="00000000" w:rsidRDefault="00000000" w:rsidRPr="00000000" w14:paraId="000000BE">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CCPR/C/MNG/7 (para 8) </w:t>
      </w:r>
      <w:r w:rsidDel="00000000" w:rsidR="00000000" w:rsidRPr="00000000">
        <w:rPr>
          <w:rtl w:val="0"/>
        </w:rPr>
      </w:r>
    </w:p>
  </w:footnote>
  <w:footnote w:id="3">
    <w:p w:rsidR="00000000" w:rsidDel="00000000" w:rsidP="00000000" w:rsidRDefault="00000000" w:rsidRPr="00000000" w14:paraId="000000BF">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CCPR/C/MNG/7 (para 6)</w:t>
      </w:r>
      <w:r w:rsidDel="00000000" w:rsidR="00000000" w:rsidRPr="00000000">
        <w:rPr>
          <w:rtl w:val="0"/>
        </w:rPr>
      </w:r>
    </w:p>
  </w:footnote>
  <w:footnote w:id="4">
    <w:p w:rsidR="00000000" w:rsidDel="00000000" w:rsidP="00000000" w:rsidRDefault="00000000" w:rsidRPr="00000000" w14:paraId="000000C0">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12 (1) ) </w:t>
      </w:r>
      <w:r w:rsidDel="00000000" w:rsidR="00000000" w:rsidRPr="00000000">
        <w:rPr>
          <w:rtl w:val="0"/>
        </w:rPr>
      </w:r>
    </w:p>
  </w:footnote>
  <w:footnote w:id="24">
    <w:p w:rsidR="00000000" w:rsidDel="00000000" w:rsidP="00000000" w:rsidRDefault="00000000" w:rsidRPr="00000000" w14:paraId="000000C1">
      <w:pPr>
        <w:spacing w:line="240" w:lineRule="auto"/>
        <w:rPr>
          <w:rFonts w:ascii="Times New Roman" w:cs="Times New Roman" w:eastAsia="Times New Roman" w:hAnsi="Times New Roman"/>
          <w:sz w:val="30"/>
          <w:szCs w:val="30"/>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30"/>
          <w:szCs w:val="30"/>
          <w:vertAlign w:val="superscript"/>
          <w:rtl w:val="0"/>
        </w:rPr>
        <w:t xml:space="preserve"> Judgement by the Supreme Court on 21 April 20021 case #</w:t>
      </w:r>
      <w:r w:rsidDel="00000000" w:rsidR="00000000" w:rsidRPr="00000000">
        <w:rPr>
          <w:rFonts w:ascii="Times New Roman" w:cs="Times New Roman" w:eastAsia="Times New Roman" w:hAnsi="Times New Roman"/>
          <w:color w:val="212529"/>
          <w:sz w:val="30"/>
          <w:szCs w:val="30"/>
          <w:highlight w:val="white"/>
          <w:vertAlign w:val="superscript"/>
          <w:rtl w:val="0"/>
        </w:rPr>
        <w:t xml:space="preserve">1902007800323</w:t>
      </w:r>
      <w:r w:rsidDel="00000000" w:rsidR="00000000" w:rsidRPr="00000000">
        <w:rPr>
          <w:rtl w:val="0"/>
        </w:rPr>
      </w:r>
    </w:p>
  </w:footnote>
  <w:footnote w:id="34">
    <w:p w:rsidR="00000000" w:rsidDel="00000000" w:rsidP="00000000" w:rsidRDefault="00000000" w:rsidRPr="00000000" w14:paraId="000000C2">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rFonts w:ascii="Times New Roman" w:cs="Times New Roman" w:eastAsia="Times New Roman" w:hAnsi="Times New Roman"/>
          <w:sz w:val="16"/>
          <w:szCs w:val="16"/>
          <w:rtl w:val="0"/>
        </w:rPr>
        <w:t xml:space="preserve">CCPR/C/MNG/CO/6/Add.1 (para 9) </w:t>
      </w:r>
      <w:r w:rsidDel="00000000" w:rsidR="00000000" w:rsidRPr="00000000">
        <w:rPr>
          <w:rtl w:val="0"/>
        </w:rPr>
      </w:r>
    </w:p>
  </w:footnote>
  <w:footnote w:id="37">
    <w:p w:rsidR="00000000" w:rsidDel="00000000" w:rsidP="00000000" w:rsidRDefault="00000000" w:rsidRPr="00000000" w14:paraId="000000C3">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CCPR/C/MNG/CO/6/Add.1 (para 6,7,8)</w:t>
      </w:r>
      <w:r w:rsidDel="00000000" w:rsidR="00000000" w:rsidRPr="00000000">
        <w:rPr>
          <w:rtl w:val="0"/>
        </w:rPr>
      </w:r>
    </w:p>
  </w:footnote>
  <w:footnote w:id="39">
    <w:p w:rsidR="00000000" w:rsidDel="00000000" w:rsidP="00000000" w:rsidRDefault="00000000" w:rsidRPr="00000000" w14:paraId="000000C4">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CCPR/C/MNG/7 (127, 128)</w:t>
      </w:r>
    </w:p>
  </w:footnote>
  <w:footnote w:id="40">
    <w:p w:rsidR="00000000" w:rsidDel="00000000" w:rsidP="00000000" w:rsidRDefault="00000000" w:rsidRPr="00000000" w14:paraId="000000C5">
      <w:pPr>
        <w:spacing w:line="240" w:lineRule="auto"/>
        <w:rPr>
          <w:rFonts w:ascii="Times New Roman" w:cs="Times New Roman" w:eastAsia="Times New Roman" w:hAnsi="Times New Roman"/>
          <w:sz w:val="20"/>
          <w:szCs w:val="2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Located south of the Government Palace, central square for demonstration </w:t>
      </w:r>
    </w:p>
  </w:footnote>
  <w:footnote w:id="41">
    <w:p w:rsidR="00000000" w:rsidDel="00000000" w:rsidP="00000000" w:rsidRDefault="00000000" w:rsidRPr="00000000" w14:paraId="000000C6">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LGBT Centre of Mongolia, case documentation</w:t>
      </w:r>
    </w:p>
  </w:footnote>
  <w:footnote w:id="9">
    <w:p w:rsidR="00000000" w:rsidDel="00000000" w:rsidP="00000000" w:rsidRDefault="00000000" w:rsidRPr="00000000" w14:paraId="000000C7">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sz w:val="16"/>
          <w:szCs w:val="16"/>
          <w:rtl w:val="0"/>
        </w:rPr>
        <w:t xml:space="preserve">The Legislation Act of Mongolia </w:t>
      </w:r>
    </w:p>
  </w:footnote>
  <w:footnote w:id="13">
    <w:p w:rsidR="00000000" w:rsidDel="00000000" w:rsidP="00000000" w:rsidRDefault="00000000" w:rsidRPr="00000000" w14:paraId="000000C8">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CCPR/C/MNG/CO/6/Add.1 (para 1) </w:t>
      </w:r>
      <w:r w:rsidDel="00000000" w:rsidR="00000000" w:rsidRPr="00000000">
        <w:rPr>
          <w:rtl w:val="0"/>
        </w:rPr>
      </w:r>
    </w:p>
  </w:footnote>
  <w:footnote w:id="14">
    <w:p w:rsidR="00000000" w:rsidDel="00000000" w:rsidP="00000000" w:rsidRDefault="00000000" w:rsidRPr="00000000" w14:paraId="000000C9">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Paragraph 2 of article 14 of the Constitution of Mongolia provides, “no person shall be discriminated  against on the basis of national or ethnic origin, language, race, age, sex, social origin and status,  wealth, occupation and post, religion, opinion or education. Everyone shall have the right to act as a  legal person.”</w:t>
      </w:r>
      <w:r w:rsidDel="00000000" w:rsidR="00000000" w:rsidRPr="00000000">
        <w:rPr>
          <w:rtl w:val="0"/>
        </w:rPr>
      </w:r>
    </w:p>
  </w:footnote>
  <w:footnote w:id="25">
    <w:p w:rsidR="00000000" w:rsidDel="00000000" w:rsidP="00000000" w:rsidRDefault="00000000" w:rsidRPr="00000000" w14:paraId="000000CA">
      <w:pPr>
        <w:spacing w:line="240" w:lineRule="auto"/>
        <w:rPr>
          <w:rFonts w:ascii="Times New Roman" w:cs="Times New Roman" w:eastAsia="Times New Roman" w:hAnsi="Times New Roman"/>
          <w:sz w:val="24"/>
          <w:szCs w:val="24"/>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vertAlign w:val="superscript"/>
          <w:rtl w:val="0"/>
        </w:rPr>
        <w:t xml:space="preserve"> Decision No. 1/2303 of the General Prosecutor Office of Mongolia, September 29, 2022</w:t>
      </w:r>
    </w:p>
  </w:footnote>
  <w:footnote w:id="38">
    <w:p w:rsidR="00000000" w:rsidDel="00000000" w:rsidP="00000000" w:rsidRDefault="00000000" w:rsidRPr="00000000" w14:paraId="000000CB">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12(2)) </w:t>
      </w:r>
      <w:r w:rsidDel="00000000" w:rsidR="00000000" w:rsidRPr="00000000">
        <w:rPr>
          <w:rtl w:val="0"/>
        </w:rPr>
      </w:r>
    </w:p>
  </w:footnote>
  <w:footnote w:id="42">
    <w:p w:rsidR="00000000" w:rsidDel="00000000" w:rsidP="00000000" w:rsidRDefault="00000000" w:rsidRPr="00000000" w14:paraId="000000CC">
      <w:pPr>
        <w:spacing w:line="240" w:lineRule="auto"/>
        <w:rPr>
          <w:rFonts w:ascii="Times New Roman" w:cs="Times New Roman" w:eastAsia="Times New Roman" w:hAnsi="Times New Roman"/>
          <w:sz w:val="26"/>
          <w:szCs w:val="2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6"/>
          <w:szCs w:val="26"/>
          <w:vertAlign w:val="superscript"/>
          <w:rtl w:val="0"/>
        </w:rPr>
        <w:t xml:space="preserve"> </w:t>
      </w:r>
      <w:hyperlink r:id="rId1">
        <w:r w:rsidDel="00000000" w:rsidR="00000000" w:rsidRPr="00000000">
          <w:rPr>
            <w:rFonts w:ascii="Times New Roman" w:cs="Times New Roman" w:eastAsia="Times New Roman" w:hAnsi="Times New Roman"/>
            <w:color w:val="1155cc"/>
            <w:sz w:val="26"/>
            <w:szCs w:val="26"/>
            <w:u w:val="single"/>
            <w:vertAlign w:val="superscript"/>
            <w:rtl w:val="0"/>
          </w:rPr>
          <w:t xml:space="preserve">https://ikon.mn/n/2be9</w:t>
        </w:r>
      </w:hyperlink>
      <w:r w:rsidDel="00000000" w:rsidR="00000000" w:rsidRPr="00000000">
        <w:rPr>
          <w:rFonts w:ascii="Times New Roman" w:cs="Times New Roman" w:eastAsia="Times New Roman" w:hAnsi="Times New Roman"/>
          <w:sz w:val="26"/>
          <w:szCs w:val="26"/>
          <w:vertAlign w:val="superscript"/>
          <w:rtl w:val="0"/>
        </w:rPr>
        <w:t xml:space="preserve"> 02 September 2021, the case was reported by Ikno online newsletter </w:t>
      </w:r>
    </w:p>
  </w:footnote>
  <w:footnote w:id="43">
    <w:p w:rsidR="00000000" w:rsidDel="00000000" w:rsidP="00000000" w:rsidRDefault="00000000" w:rsidRPr="00000000" w14:paraId="000000CD">
      <w:pPr>
        <w:spacing w:line="240" w:lineRule="auto"/>
        <w:rPr>
          <w:rFonts w:ascii="Times New Roman" w:cs="Times New Roman" w:eastAsia="Times New Roman" w:hAnsi="Times New Roman"/>
          <w:sz w:val="26"/>
          <w:szCs w:val="2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6"/>
          <w:szCs w:val="26"/>
          <w:vertAlign w:val="superscript"/>
          <w:rtl w:val="0"/>
        </w:rPr>
        <w:t xml:space="preserve"> Offical complaint letter № 20/21 by the LGBT Centre of Mongolia to the National Human Rights Committee of Mongolia on 02 September 2021 </w:t>
      </w:r>
    </w:p>
  </w:footnote>
  <w:footnote w:id="49">
    <w:p w:rsidR="00000000" w:rsidDel="00000000" w:rsidP="00000000" w:rsidRDefault="00000000" w:rsidRPr="00000000" w14:paraId="000000CE">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Decision No. 128/SHSH2022/0674 dated September 14, 2022, of Trial Court of the Capital City Administrative Affairs</w:t>
      </w:r>
      <w:r w:rsidDel="00000000" w:rsidR="00000000" w:rsidRPr="00000000">
        <w:rPr>
          <w:rtl w:val="0"/>
        </w:rPr>
      </w:r>
    </w:p>
  </w:footnote>
  <w:footnote w:id="50">
    <w:p w:rsidR="00000000" w:rsidDel="00000000" w:rsidP="00000000" w:rsidRDefault="00000000" w:rsidRPr="00000000" w14:paraId="000000CF">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Court decision No. 128/SHSH2023/0645 dated 08/25/2023 of the Trial Court of Capital Administrative Affairs</w:t>
      </w:r>
      <w:r w:rsidDel="00000000" w:rsidR="00000000" w:rsidRPr="00000000">
        <w:rPr>
          <w:rtl w:val="0"/>
        </w:rPr>
      </w:r>
    </w:p>
  </w:footnote>
  <w:footnote w:id="51">
    <w:p w:rsidR="00000000" w:rsidDel="00000000" w:rsidP="00000000" w:rsidRDefault="00000000" w:rsidRPr="00000000" w14:paraId="000000D0">
      <w:pPr>
        <w:spacing w:line="240" w:lineRule="auto"/>
        <w:rPr>
          <w:rFonts w:ascii="Times New Roman" w:cs="Times New Roman" w:eastAsia="Times New Roman" w:hAnsi="Times New Roman"/>
          <w:sz w:val="24"/>
          <w:szCs w:val="24"/>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4"/>
          <w:szCs w:val="24"/>
          <w:vertAlign w:val="superscript"/>
          <w:rtl w:val="0"/>
        </w:rPr>
        <w:t xml:space="preserve">    </w:t>
      </w:r>
      <w:hyperlink r:id="rId2">
        <w:r w:rsidDel="00000000" w:rsidR="00000000" w:rsidRPr="00000000">
          <w:rPr>
            <w:rFonts w:ascii="Times New Roman" w:cs="Times New Roman" w:eastAsia="Times New Roman" w:hAnsi="Times New Roman"/>
            <w:color w:val="1155cc"/>
            <w:sz w:val="24"/>
            <w:szCs w:val="24"/>
            <w:u w:val="single"/>
            <w:vertAlign w:val="superscript"/>
            <w:rtl w:val="0"/>
          </w:rPr>
          <w:t xml:space="preserve">https://gogo.mn/r/vvewk</w:t>
        </w:r>
      </w:hyperlink>
      <w:r w:rsidDel="00000000" w:rsidR="00000000" w:rsidRPr="00000000">
        <w:rPr>
          <w:rFonts w:ascii="Times New Roman" w:cs="Times New Roman" w:eastAsia="Times New Roman" w:hAnsi="Times New Roman"/>
          <w:sz w:val="24"/>
          <w:szCs w:val="24"/>
          <w:vertAlign w:val="superscript"/>
          <w:rtl w:val="0"/>
        </w:rPr>
        <w:t xml:space="preserve"> Article reporting on the One Billion Rising March by Gogo online newsletter on 08 March 2023</w:t>
      </w:r>
    </w:p>
  </w:footnote>
  <w:footnote w:id="35">
    <w:p w:rsidR="00000000" w:rsidDel="00000000" w:rsidP="00000000" w:rsidRDefault="00000000" w:rsidRPr="00000000" w14:paraId="000000D1">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LGBT Centre, 2020, “Knowledge and Attitude among healthcare professionals and Trans* community with regards to trans specific healthcare”</w:t>
      </w:r>
    </w:p>
  </w:footnote>
  <w:footnote w:id="36">
    <w:p w:rsidR="00000000" w:rsidDel="00000000" w:rsidP="00000000" w:rsidRDefault="00000000" w:rsidRPr="00000000" w14:paraId="000000D2">
      <w:pPr>
        <w:spacing w:line="240" w:lineRule="auto"/>
        <w:rPr>
          <w:rFonts w:ascii="Times New Roman" w:cs="Times New Roman" w:eastAsia="Times New Roman" w:hAnsi="Times New Roman"/>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LGBT Centre, 2020, “Knowledge and Attitude among healthcare professionals and Trans* community with regards to trans specific healthcare” p.29.</w:t>
      </w:r>
    </w:p>
  </w:footnote>
  <w:footnote w:id="15">
    <w:p w:rsidR="00000000" w:rsidDel="00000000" w:rsidP="00000000" w:rsidRDefault="00000000" w:rsidRPr="00000000" w14:paraId="000000D3">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i w:val="1"/>
          <w:sz w:val="16"/>
          <w:szCs w:val="16"/>
          <w:rtl w:val="0"/>
        </w:rPr>
        <w:t xml:space="preserve">Declaration of Principles on Equality</w:t>
      </w:r>
      <w:r w:rsidDel="00000000" w:rsidR="00000000" w:rsidRPr="00000000">
        <w:rPr>
          <w:rFonts w:ascii="Times New Roman" w:cs="Times New Roman" w:eastAsia="Times New Roman" w:hAnsi="Times New Roman"/>
          <w:sz w:val="16"/>
          <w:szCs w:val="16"/>
          <w:rtl w:val="0"/>
        </w:rPr>
        <w:t xml:space="preserve">, Equal Rights Trust, London, 2008, Principle 3. </w:t>
      </w:r>
      <w:r w:rsidDel="00000000" w:rsidR="00000000" w:rsidRPr="00000000">
        <w:rPr>
          <w:rtl w:val="0"/>
        </w:rPr>
      </w:r>
    </w:p>
  </w:footnote>
  <w:footnote w:id="16">
    <w:p w:rsidR="00000000" w:rsidDel="00000000" w:rsidP="00000000" w:rsidRDefault="00000000" w:rsidRPr="00000000" w14:paraId="000000D4">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Committee on Economic, Social and Cultural Rights, </w:t>
      </w:r>
      <w:r w:rsidDel="00000000" w:rsidR="00000000" w:rsidRPr="00000000">
        <w:rPr>
          <w:rFonts w:ascii="Times New Roman" w:cs="Times New Roman" w:eastAsia="Times New Roman" w:hAnsi="Times New Roman"/>
          <w:i w:val="1"/>
          <w:sz w:val="16"/>
          <w:szCs w:val="16"/>
          <w:rtl w:val="0"/>
        </w:rPr>
        <w:t xml:space="preserve">General Comment No. 20: Non-Discrimination in Economic, Social and Cultural Rights</w:t>
      </w:r>
      <w:r w:rsidDel="00000000" w:rsidR="00000000" w:rsidRPr="00000000">
        <w:rPr>
          <w:rFonts w:ascii="Times New Roman" w:cs="Times New Roman" w:eastAsia="Times New Roman" w:hAnsi="Times New Roman"/>
          <w:sz w:val="16"/>
          <w:szCs w:val="16"/>
          <w:rtl w:val="0"/>
        </w:rPr>
        <w:t xml:space="preserve">, UN Doc. E/C.12/GC/20, 2009, Para 32. </w:t>
      </w:r>
      <w:r w:rsidDel="00000000" w:rsidR="00000000" w:rsidRPr="00000000">
        <w:rPr>
          <w:rtl w:val="0"/>
        </w:rPr>
      </w:r>
    </w:p>
  </w:footnote>
  <w:footnote w:id="19">
    <w:p w:rsidR="00000000" w:rsidDel="00000000" w:rsidP="00000000" w:rsidRDefault="00000000" w:rsidRPr="00000000" w14:paraId="000000D5">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 CCPR/C/MNG/CO/6/Add.1 (para 2) </w:t>
      </w:r>
      <w:r w:rsidDel="00000000" w:rsidR="00000000" w:rsidRPr="00000000">
        <w:rPr>
          <w:rtl w:val="0"/>
        </w:rPr>
      </w:r>
    </w:p>
  </w:footnote>
  <w:footnote w:id="20">
    <w:p w:rsidR="00000000" w:rsidDel="00000000" w:rsidP="00000000" w:rsidRDefault="00000000" w:rsidRPr="00000000" w14:paraId="000000D6">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For further discussion of the reasons why criminal prohibition of discrimination contradicts international best practice, see Equal Rights Trust, </w:t>
      </w:r>
      <w:r w:rsidDel="00000000" w:rsidR="00000000" w:rsidRPr="00000000">
        <w:rPr>
          <w:rFonts w:ascii="Times New Roman" w:cs="Times New Roman" w:eastAsia="Times New Roman" w:hAnsi="Times New Roman"/>
          <w:i w:val="1"/>
          <w:sz w:val="16"/>
          <w:szCs w:val="16"/>
          <w:rtl w:val="0"/>
        </w:rPr>
        <w:t xml:space="preserve">A Past Still Present: Addressing Discrimination and Inequality in Egypt</w:t>
      </w:r>
      <w:r w:rsidDel="00000000" w:rsidR="00000000" w:rsidRPr="00000000">
        <w:rPr>
          <w:rFonts w:ascii="Times New Roman" w:cs="Times New Roman" w:eastAsia="Times New Roman" w:hAnsi="Times New Roman"/>
          <w:sz w:val="16"/>
          <w:szCs w:val="16"/>
          <w:rtl w:val="0"/>
        </w:rPr>
        <w:t xml:space="preserve">, 2018, pp. 53-54. </w:t>
      </w:r>
      <w:r w:rsidDel="00000000" w:rsidR="00000000" w:rsidRPr="00000000">
        <w:rPr>
          <w:rtl w:val="0"/>
        </w:rPr>
      </w:r>
    </w:p>
  </w:footnote>
  <w:footnote w:id="17">
    <w:p w:rsidR="00000000" w:rsidDel="00000000" w:rsidP="00000000" w:rsidRDefault="00000000" w:rsidRPr="00000000" w14:paraId="000000D7">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See, for instance, Committee on the Elimination of Racial Discrimination, Concluding Observations: Mongolia, UN Doc. CERD/C/MNG/CO/23-24, 17 September 2019, Para 8. </w:t>
      </w:r>
      <w:r w:rsidDel="00000000" w:rsidR="00000000" w:rsidRPr="00000000">
        <w:rPr>
          <w:rtl w:val="0"/>
        </w:rPr>
      </w:r>
    </w:p>
  </w:footnote>
  <w:footnote w:id="18">
    <w:p w:rsidR="00000000" w:rsidDel="00000000" w:rsidP="00000000" w:rsidRDefault="00000000" w:rsidRPr="00000000" w14:paraId="000000D8">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See Committee on Economic, Social and Cultural Rights, </w:t>
      </w:r>
      <w:r w:rsidDel="00000000" w:rsidR="00000000" w:rsidRPr="00000000">
        <w:rPr>
          <w:rFonts w:ascii="Times New Roman" w:cs="Times New Roman" w:eastAsia="Times New Roman" w:hAnsi="Times New Roman"/>
          <w:i w:val="1"/>
          <w:sz w:val="16"/>
          <w:szCs w:val="16"/>
          <w:rtl w:val="0"/>
        </w:rPr>
        <w:t xml:space="preserve">General Comment No. 20: Non-Discrimination in Economic, Social and Cultural Rights</w:t>
      </w:r>
      <w:r w:rsidDel="00000000" w:rsidR="00000000" w:rsidRPr="00000000">
        <w:rPr>
          <w:rFonts w:ascii="Times New Roman" w:cs="Times New Roman" w:eastAsia="Times New Roman" w:hAnsi="Times New Roman"/>
          <w:sz w:val="16"/>
          <w:szCs w:val="16"/>
          <w:rtl w:val="0"/>
        </w:rPr>
        <w:t xml:space="preserve">, UN Doc. E/C.12/GC/20, 2009, Para 37; Committee on the Rights of Persons with Disabilities, </w:t>
      </w:r>
      <w:r w:rsidDel="00000000" w:rsidR="00000000" w:rsidRPr="00000000">
        <w:rPr>
          <w:rFonts w:ascii="Times New Roman" w:cs="Times New Roman" w:eastAsia="Times New Roman" w:hAnsi="Times New Roman"/>
          <w:i w:val="1"/>
          <w:sz w:val="16"/>
          <w:szCs w:val="16"/>
          <w:rtl w:val="0"/>
        </w:rPr>
        <w:t xml:space="preserve">General Comment No. 6: Equality and Non-Discrimination</w:t>
      </w:r>
      <w:r w:rsidDel="00000000" w:rsidR="00000000" w:rsidRPr="00000000">
        <w:rPr>
          <w:rFonts w:ascii="Times New Roman" w:cs="Times New Roman" w:eastAsia="Times New Roman" w:hAnsi="Times New Roman"/>
          <w:sz w:val="16"/>
          <w:szCs w:val="16"/>
          <w:rtl w:val="0"/>
        </w:rPr>
        <w:t xml:space="preserve">, UN Doc. CRPD/C/GC/6, 2018, Para 22. </w:t>
      </w:r>
      <w:r w:rsidDel="00000000" w:rsidR="00000000" w:rsidRPr="00000000">
        <w:rPr>
          <w:rtl w:val="0"/>
        </w:rPr>
      </w:r>
    </w:p>
  </w:footnote>
  <w:footnote w:id="52">
    <w:p w:rsidR="00000000" w:rsidDel="00000000" w:rsidP="00000000" w:rsidRDefault="00000000" w:rsidRPr="00000000" w14:paraId="000000D9">
      <w:pPr>
        <w:spacing w:line="240" w:lineRule="auto"/>
        <w:rPr>
          <w:rFonts w:ascii="Times New Roman" w:cs="Times New Roman" w:eastAsia="Times New Roman" w:hAnsi="Times New Roman"/>
          <w:sz w:val="16"/>
          <w:szCs w:val="16"/>
          <w:vertAlign w:val="superscript"/>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12(1)) </w:t>
      </w:r>
      <w:r w:rsidDel="00000000" w:rsidR="00000000" w:rsidRPr="00000000">
        <w:rPr>
          <w:rtl w:val="0"/>
        </w:rPr>
      </w:r>
    </w:p>
  </w:footnote>
  <w:footnote w:id="5">
    <w:p w:rsidR="00000000" w:rsidDel="00000000" w:rsidP="00000000" w:rsidRDefault="00000000" w:rsidRPr="00000000" w14:paraId="000000DA">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Official letter № 2/477 of General Police Department of Mongolia to National Human Rights Commission, 08 December 2021</w:t>
      </w:r>
    </w:p>
  </w:footnote>
  <w:footnote w:id="6">
    <w:p w:rsidR="00000000" w:rsidDel="00000000" w:rsidP="00000000" w:rsidRDefault="00000000" w:rsidRPr="00000000" w14:paraId="000000DB">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Official letter № 1/7766 of General Prosecutors Office of Mongolia to National Human Rights Commission , 14 December 2021</w:t>
      </w:r>
    </w:p>
  </w:footnote>
  <w:footnote w:id="7">
    <w:p w:rsidR="00000000" w:rsidDel="00000000" w:rsidP="00000000" w:rsidRDefault="00000000" w:rsidRPr="00000000" w14:paraId="000000DC">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Official letter № 1b/212 of the General Police Department of Mongolia, 01 January 2024</w:t>
      </w:r>
    </w:p>
  </w:footnote>
  <w:footnote w:id="0">
    <w:p w:rsidR="00000000" w:rsidDel="00000000" w:rsidP="00000000" w:rsidRDefault="00000000" w:rsidRPr="00000000" w14:paraId="000000DD">
      <w:pPr>
        <w:spacing w:line="240" w:lineRule="auto"/>
        <w:rPr>
          <w:sz w:val="20"/>
          <w:szCs w:val="20"/>
          <w:vertAlign w:val="superscript"/>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rFonts w:ascii="Times New Roman" w:cs="Times New Roman" w:eastAsia="Times New Roman" w:hAnsi="Times New Roman"/>
          <w:sz w:val="16"/>
          <w:szCs w:val="16"/>
          <w:rtl w:val="0"/>
        </w:rPr>
        <w:t xml:space="preserve">CCPR/C/MNG/CO/6 (para 11) </w:t>
      </w:r>
      <w:r w:rsidDel="00000000" w:rsidR="00000000" w:rsidRPr="00000000">
        <w:rPr>
          <w:rtl w:val="0"/>
        </w:rPr>
      </w:r>
    </w:p>
  </w:footnote>
  <w:footnote w:id="10">
    <w:p w:rsidR="00000000" w:rsidDel="00000000" w:rsidP="00000000" w:rsidRDefault="00000000" w:rsidRPr="00000000" w14:paraId="000000DE">
      <w:pPr>
        <w:widowControl w:val="0"/>
        <w:spacing w:before="0" w:line="240" w:lineRule="auto"/>
        <w:jc w:val="both"/>
        <w:rPr>
          <w:rFonts w:ascii="Times New Roman" w:cs="Times New Roman" w:eastAsia="Times New Roman" w:hAnsi="Times New Roman"/>
          <w:sz w:val="26"/>
          <w:szCs w:val="2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6"/>
          <w:szCs w:val="26"/>
          <w:rtl w:val="0"/>
        </w:rPr>
        <w:t xml:space="preserve"> </w:t>
      </w:r>
      <w:r w:rsidDel="00000000" w:rsidR="00000000" w:rsidRPr="00000000">
        <w:rPr>
          <w:rFonts w:ascii="Times New Roman" w:cs="Times New Roman" w:eastAsia="Times New Roman" w:hAnsi="Times New Roman"/>
          <w:color w:val="222222"/>
          <w:sz w:val="28"/>
          <w:szCs w:val="28"/>
          <w:highlight w:val="white"/>
          <w:vertAlign w:val="superscript"/>
          <w:rtl w:val="0"/>
        </w:rPr>
        <w:t xml:space="preserve">Section 53.1 of The Legislation Act, unless otherwise specified in this law, the assessment of the consequences of the implementation of the legislation shall be carried out every 5 years after the implementation of the relevant legislation, and may be carried out earlier if necessary.</w:t>
      </w:r>
      <w:r w:rsidDel="00000000" w:rsidR="00000000" w:rsidRPr="00000000">
        <w:rPr>
          <w:rtl w:val="0"/>
        </w:rPr>
      </w:r>
    </w:p>
  </w:footnote>
  <w:footnote w:id="11">
    <w:p w:rsidR="00000000" w:rsidDel="00000000" w:rsidP="00000000" w:rsidRDefault="00000000" w:rsidRPr="00000000" w14:paraId="000000DF">
      <w:pPr>
        <w:spacing w:line="240" w:lineRule="auto"/>
        <w:rPr>
          <w:rFonts w:ascii="Times New Roman" w:cs="Times New Roman" w:eastAsia="Times New Roman" w:hAnsi="Times New Roman"/>
          <w:sz w:val="30"/>
          <w:szCs w:val="30"/>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30"/>
          <w:szCs w:val="30"/>
          <w:rtl w:val="0"/>
        </w:rPr>
        <w:t xml:space="preserve"> </w:t>
      </w:r>
      <w:r w:rsidDel="00000000" w:rsidR="00000000" w:rsidRPr="00000000">
        <w:rPr>
          <w:rFonts w:ascii="Times New Roman" w:cs="Times New Roman" w:eastAsia="Times New Roman" w:hAnsi="Times New Roman"/>
          <w:color w:val="222222"/>
          <w:sz w:val="30"/>
          <w:szCs w:val="30"/>
          <w:highlight w:val="white"/>
          <w:vertAlign w:val="superscript"/>
          <w:rtl w:val="0"/>
        </w:rPr>
        <w:t xml:space="preserve">Section 49.3 of The Legislation Act, the National Institute of Justice (hereinafter referred to as the "Institute") will carry out the evaluation of the consequences of the implementation of the legislation specified in Article 15.7.1 of this Law.</w:t>
      </w:r>
      <w:r w:rsidDel="00000000" w:rsidR="00000000" w:rsidRPr="00000000">
        <w:rPr>
          <w:rtl w:val="0"/>
        </w:rPr>
      </w:r>
    </w:p>
  </w:footnote>
  <w:footnote w:id="8">
    <w:p w:rsidR="00000000" w:rsidDel="00000000" w:rsidP="00000000" w:rsidRDefault="00000000" w:rsidRPr="00000000" w14:paraId="000000E0">
      <w:pPr>
        <w:spacing w:line="240" w:lineRule="auto"/>
        <w:rPr>
          <w:rFonts w:ascii="Times New Roman" w:cs="Times New Roman" w:eastAsia="Times New Roman" w:hAnsi="Times New Roman"/>
          <w:sz w:val="16"/>
          <w:szCs w:val="16"/>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6"/>
          <w:szCs w:val="16"/>
          <w:rtl w:val="0"/>
        </w:rPr>
        <w:t xml:space="preserve"> The LGBT Centre case documentation records</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1">
    <w:pPr>
      <w:rPr>
        <w:vertAlign w:val="superscrip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E2">
    <w:pPr>
      <w:rPr>
        <w:rFonts w:ascii="Times New Roman" w:cs="Times New Roman" w:eastAsia="Times New Roman" w:hAnsi="Times New Roman"/>
        <w:sz w:val="16"/>
        <w:szCs w:val="16"/>
      </w:rPr>
    </w:pPr>
    <w:r w:rsidDel="00000000" w:rsidR="00000000" w:rsidRPr="00000000">
      <w:rPr>
        <w:rFonts w:ascii="Times New Roman" w:cs="Times New Roman" w:eastAsia="Times New Roman" w:hAnsi="Times New Roman"/>
        <w:sz w:val="16"/>
        <w:szCs w:val="16"/>
        <w:rtl w:val="0"/>
      </w:rPr>
      <w:t xml:space="preserve">Shadow Report on ICCPR 2024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Heading1">
    <w:name w:val="heading 1"/>
    <w:basedOn w:val="Normal"/>
    <w:next w:val="Normal"/>
    <w:uiPriority w:val="9"/>
    <w:qFormat w:val="1"/>
    <w:pPr>
      <w:keepNext w:val="1"/>
      <w:keepLines w:val="1"/>
      <w:spacing w:after="120" w:before="400"/>
      <w:outlineLvl w:val="0"/>
    </w:pPr>
    <w:rPr>
      <w:sz w:val="40"/>
      <w:szCs w:val="40"/>
    </w:rPr>
  </w:style>
  <w:style w:type="paragraph" w:styleId="Heading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Heading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Heading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60"/>
    </w:pPr>
    <w:rPr>
      <w:sz w:val="52"/>
      <w:szCs w:val="52"/>
    </w:rPr>
  </w:style>
  <w:style w:type="paragraph" w:styleId="Subtitle">
    <w:name w:val="Subtitle"/>
    <w:basedOn w:val="Normal"/>
    <w:next w:val="Normal"/>
    <w:uiPriority w:val="11"/>
    <w:qFormat w:val="1"/>
    <w:pPr>
      <w:keepNext w:val="1"/>
      <w:keepLines w:val="1"/>
      <w:spacing w:after="320"/>
    </w:pPr>
    <w:rPr>
      <w:color w:val="666666"/>
      <w:sz w:val="30"/>
      <w:szCs w:val="30"/>
    </w:rPr>
  </w:style>
  <w:style w:type="paragraph" w:styleId="CommentText">
    <w:name w:val="annotation text"/>
    <w:basedOn w:val="Normal"/>
    <w:link w:val="CommentTextChar"/>
    <w:uiPriority w:val="99"/>
    <w:semiHidden w:val="1"/>
    <w:unhideWhenUsed w:val="1"/>
    <w:pPr>
      <w:spacing w:line="240" w:lineRule="auto"/>
    </w:pPr>
    <w:rPr>
      <w:sz w:val="20"/>
      <w:szCs w:val="20"/>
    </w:rPr>
  </w:style>
  <w:style w:type="character" w:styleId="CommentTextChar" w:customStyle="1">
    <w:name w:val="Comment Text Char"/>
    <w:basedOn w:val="DefaultParagraphFont"/>
    <w:link w:val="CommentText"/>
    <w:uiPriority w:val="99"/>
    <w:semiHidden w:val="1"/>
    <w:rPr>
      <w:sz w:val="20"/>
      <w:szCs w:val="20"/>
    </w:rPr>
  </w:style>
  <w:style w:type="character" w:styleId="CommentReference">
    <w:name w:val="annotation reference"/>
    <w:basedOn w:val="DefaultParagraphFont"/>
    <w:uiPriority w:val="99"/>
    <w:semiHidden w:val="1"/>
    <w:unhideWhenUsed w:val="1"/>
    <w:rPr>
      <w:sz w:val="16"/>
      <w:szCs w:val="16"/>
    </w:rPr>
  </w:style>
  <w:style w:type="paragraph" w:styleId="Revision">
    <w:name w:val="Revision"/>
    <w:hidden w:val="1"/>
    <w:uiPriority w:val="99"/>
    <w:semiHidden w:val="1"/>
    <w:rsid w:val="00F16B25"/>
    <w:pPr>
      <w:spacing w:line="240" w:lineRule="auto"/>
    </w:pPr>
  </w:style>
  <w:style w:type="paragraph" w:styleId="CommentSubject">
    <w:name w:val="annotation subject"/>
    <w:basedOn w:val="CommentText"/>
    <w:next w:val="CommentText"/>
    <w:link w:val="CommentSubjectChar"/>
    <w:uiPriority w:val="99"/>
    <w:semiHidden w:val="1"/>
    <w:unhideWhenUsed w:val="1"/>
    <w:rsid w:val="00F16B25"/>
    <w:rPr>
      <w:b w:val="1"/>
      <w:bCs w:val="1"/>
    </w:rPr>
  </w:style>
  <w:style w:type="character" w:styleId="CommentSubjectChar" w:customStyle="1">
    <w:name w:val="Comment Subject Char"/>
    <w:basedOn w:val="CommentTextChar"/>
    <w:link w:val="CommentSubject"/>
    <w:uiPriority w:val="99"/>
    <w:semiHidden w:val="1"/>
    <w:rsid w:val="00F16B25"/>
    <w:rPr>
      <w:b w:val="1"/>
      <w:bCs w:val="1"/>
      <w:sz w:val="20"/>
      <w:szCs w:val="20"/>
    </w:rPr>
  </w:style>
  <w:style w:type="character" w:styleId="Hyperlink">
    <w:name w:val="Hyperlink"/>
    <w:basedOn w:val="DefaultParagraphFont"/>
    <w:uiPriority w:val="99"/>
    <w:unhideWhenUsed w:val="1"/>
    <w:rsid w:val="00F16B25"/>
    <w:rPr>
      <w:color w:val="0000ff" w:themeColor="hyperlink"/>
      <w:u w:val="single"/>
    </w:rPr>
  </w:style>
  <w:style w:type="character" w:styleId="UnresolvedMention">
    <w:name w:val="Unresolved Mention"/>
    <w:basedOn w:val="DefaultParagraphFont"/>
    <w:uiPriority w:val="99"/>
    <w:semiHidden w:val="1"/>
    <w:unhideWhenUsed w:val="1"/>
    <w:rsid w:val="00F16B25"/>
    <w:rPr>
      <w:color w:val="605e5c"/>
      <w:shd w:color="auto" w:fill="e1dfdd" w:val="clear"/>
    </w:rPr>
  </w:style>
  <w:style w:type="paragraph" w:styleId="Subtitle">
    <w:name w:val="Subtitle"/>
    <w:basedOn w:val="Normal"/>
    <w:next w:val="Normal"/>
    <w:pPr>
      <w:keepNext w:val="1"/>
      <w:keepLines w:val="1"/>
      <w:spacing w:after="320" w:lineRule="auto"/>
    </w:pPr>
    <w:rPr>
      <w:color w:val="666666"/>
      <w:sz w:val="30"/>
      <w:szCs w:val="30"/>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1" Type="http://schemas.openxmlformats.org/officeDocument/2006/relationships/footer" Target="footer2.xml"/><Relationship Id="rId10" Type="http://schemas.openxmlformats.org/officeDocument/2006/relationships/header" Target="header1.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ikon.mn/n/2be9" TargetMode="External"/><Relationship Id="rId2" Type="http://schemas.openxmlformats.org/officeDocument/2006/relationships/hyperlink" Target="https://gogo.mn/r/vvew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yP9THrWkWBdHF08zQ5ZQh/2R+Q==">CgMxLjA4AHIhMUlGYlZDRG5qa2tzR19kbDZqX1g5d1NLeWZPTl9IUDhq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2024-01-31T06:14:00Z</dcterms:created>
</cp:coreProperties>
</file>