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843E3" w14:textId="77777777" w:rsidR="004A0F9F" w:rsidRPr="002040C7" w:rsidRDefault="004A0F9F" w:rsidP="004A0F9F">
      <w:pPr>
        <w:suppressAutoHyphens/>
        <w:spacing w:after="60" w:line="240" w:lineRule="auto"/>
        <w:jc w:val="center"/>
        <w:textAlignment w:val="baseline"/>
        <w:rPr>
          <w:rFonts w:ascii="Arial" w:eastAsia="Times New Roman" w:hAnsi="Arial" w:cs="Arial"/>
          <w:bCs/>
          <w:color w:val="000000" w:themeColor="text1"/>
          <w:kern w:val="2"/>
          <w:sz w:val="20"/>
          <w:szCs w:val="20"/>
          <w:lang w:val="en-GB" w:eastAsia="sl-SI"/>
        </w:rPr>
      </w:pPr>
      <w:r w:rsidRPr="002040C7">
        <w:rPr>
          <w:rFonts w:ascii="Arial" w:eastAsia="Times New Roman" w:hAnsi="Arial" w:cs="Arial"/>
          <w:noProof/>
          <w:color w:val="000000" w:themeColor="text1"/>
          <w:sz w:val="20"/>
          <w:szCs w:val="20"/>
          <w:lang w:val="en-GB" w:eastAsia="sl-SI"/>
        </w:rPr>
        <w:drawing>
          <wp:inline distT="0" distB="0" distL="0" distR="0" wp14:anchorId="5EEAABE7" wp14:editId="6BD1A870">
            <wp:extent cx="552450" cy="641350"/>
            <wp:effectExtent l="0" t="0" r="0" b="6350"/>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 cy="641350"/>
                    </a:xfrm>
                    <a:prstGeom prst="rect">
                      <a:avLst/>
                    </a:prstGeom>
                    <a:noFill/>
                    <a:ln>
                      <a:noFill/>
                    </a:ln>
                  </pic:spPr>
                </pic:pic>
              </a:graphicData>
            </a:graphic>
          </wp:inline>
        </w:drawing>
      </w:r>
    </w:p>
    <w:p w14:paraId="488149D6" w14:textId="77777777" w:rsidR="004A0F9F" w:rsidRPr="002040C7" w:rsidRDefault="004A0F9F" w:rsidP="004A0F9F">
      <w:pPr>
        <w:suppressAutoHyphens/>
        <w:spacing w:after="60" w:line="240" w:lineRule="auto"/>
        <w:jc w:val="center"/>
        <w:textAlignment w:val="baseline"/>
        <w:rPr>
          <w:rFonts w:ascii="Arial" w:eastAsia="Times New Roman" w:hAnsi="Arial" w:cs="Arial"/>
          <w:bCs/>
          <w:color w:val="000000" w:themeColor="text1"/>
          <w:kern w:val="2"/>
          <w:sz w:val="20"/>
          <w:szCs w:val="20"/>
          <w:lang w:val="en-GB" w:eastAsia="sl-SI"/>
        </w:rPr>
      </w:pPr>
    </w:p>
    <w:p w14:paraId="22FA6B30" w14:textId="77777777" w:rsidR="004A0F9F" w:rsidRPr="002040C7" w:rsidRDefault="004A0F9F" w:rsidP="004A0F9F">
      <w:pPr>
        <w:suppressAutoHyphens/>
        <w:spacing w:after="60" w:line="240" w:lineRule="auto"/>
        <w:jc w:val="center"/>
        <w:textAlignment w:val="baseline"/>
        <w:rPr>
          <w:rFonts w:ascii="Arial" w:eastAsia="Times New Roman" w:hAnsi="Arial" w:cs="Arial"/>
          <w:bCs/>
          <w:color w:val="000000" w:themeColor="text1"/>
          <w:kern w:val="2"/>
          <w:sz w:val="20"/>
          <w:szCs w:val="20"/>
          <w:lang w:val="en-GB" w:eastAsia="sl-SI"/>
        </w:rPr>
      </w:pPr>
    </w:p>
    <w:p w14:paraId="7BEEDF1C" w14:textId="77777777" w:rsidR="004A0F9F" w:rsidRPr="002040C7" w:rsidRDefault="004A0F9F" w:rsidP="004A0F9F">
      <w:pPr>
        <w:suppressAutoHyphens/>
        <w:spacing w:after="60" w:line="240" w:lineRule="auto"/>
        <w:jc w:val="center"/>
        <w:textAlignment w:val="baseline"/>
        <w:rPr>
          <w:rFonts w:ascii="Arial" w:eastAsia="Times New Roman" w:hAnsi="Arial" w:cs="Arial"/>
          <w:bCs/>
          <w:color w:val="000000" w:themeColor="text1"/>
          <w:kern w:val="2"/>
          <w:sz w:val="20"/>
          <w:szCs w:val="20"/>
          <w:lang w:val="en-GB" w:eastAsia="sl-SI"/>
        </w:rPr>
      </w:pPr>
    </w:p>
    <w:p w14:paraId="15F22ABD" w14:textId="77777777" w:rsidR="004A0F9F" w:rsidRPr="002040C7" w:rsidRDefault="004A0F9F" w:rsidP="004A0F9F">
      <w:pPr>
        <w:suppressAutoHyphens/>
        <w:spacing w:after="60" w:line="240" w:lineRule="auto"/>
        <w:jc w:val="center"/>
        <w:textAlignment w:val="baseline"/>
        <w:rPr>
          <w:rFonts w:ascii="Arial" w:eastAsia="Times New Roman" w:hAnsi="Arial" w:cs="Arial"/>
          <w:bCs/>
          <w:color w:val="000000" w:themeColor="text1"/>
          <w:kern w:val="2"/>
          <w:sz w:val="20"/>
          <w:szCs w:val="20"/>
          <w:lang w:val="en-GB" w:eastAsia="sl-SI"/>
        </w:rPr>
      </w:pPr>
    </w:p>
    <w:p w14:paraId="065E47FD" w14:textId="77777777" w:rsidR="004A0F9F" w:rsidRPr="002040C7" w:rsidRDefault="004A0F9F" w:rsidP="004A0F9F">
      <w:pPr>
        <w:suppressAutoHyphens/>
        <w:spacing w:after="60" w:line="240" w:lineRule="auto"/>
        <w:jc w:val="center"/>
        <w:textAlignment w:val="baseline"/>
        <w:rPr>
          <w:rFonts w:ascii="Arial" w:eastAsia="Times New Roman" w:hAnsi="Arial" w:cs="Arial"/>
          <w:bCs/>
          <w:color w:val="000000" w:themeColor="text1"/>
          <w:kern w:val="2"/>
          <w:sz w:val="20"/>
          <w:szCs w:val="20"/>
          <w:lang w:val="en-GB" w:eastAsia="sl-SI"/>
        </w:rPr>
      </w:pPr>
    </w:p>
    <w:p w14:paraId="69FC78A5" w14:textId="77777777" w:rsidR="004A0F9F" w:rsidRPr="002040C7" w:rsidRDefault="004A0F9F" w:rsidP="004A0F9F">
      <w:pPr>
        <w:suppressAutoHyphens/>
        <w:spacing w:after="60" w:line="240" w:lineRule="auto"/>
        <w:jc w:val="center"/>
        <w:textAlignment w:val="baseline"/>
        <w:rPr>
          <w:rFonts w:ascii="Arial" w:eastAsia="Times New Roman" w:hAnsi="Arial" w:cs="Arial"/>
          <w:bCs/>
          <w:color w:val="000000" w:themeColor="text1"/>
          <w:kern w:val="2"/>
          <w:sz w:val="20"/>
          <w:szCs w:val="20"/>
          <w:lang w:val="en-GB" w:eastAsia="sl-SI"/>
        </w:rPr>
      </w:pPr>
    </w:p>
    <w:p w14:paraId="15AD3393" w14:textId="77777777" w:rsidR="004A0F9F" w:rsidRPr="002040C7" w:rsidRDefault="004A0F9F" w:rsidP="004A0F9F">
      <w:pPr>
        <w:suppressAutoHyphens/>
        <w:spacing w:after="60" w:line="240" w:lineRule="auto"/>
        <w:jc w:val="center"/>
        <w:textAlignment w:val="baseline"/>
        <w:rPr>
          <w:rFonts w:ascii="Arial" w:eastAsia="Times New Roman" w:hAnsi="Arial" w:cs="Arial"/>
          <w:b/>
          <w:color w:val="000000" w:themeColor="text1"/>
          <w:kern w:val="2"/>
          <w:sz w:val="20"/>
          <w:szCs w:val="20"/>
          <w:lang w:val="en-GB" w:eastAsia="sl-SI"/>
        </w:rPr>
      </w:pPr>
    </w:p>
    <w:p w14:paraId="30A05BE1" w14:textId="77777777" w:rsidR="004A0F9F" w:rsidRPr="00025169" w:rsidRDefault="004A0F9F" w:rsidP="00340CD3">
      <w:pPr>
        <w:rPr>
          <w:rFonts w:ascii="Times New Roman" w:hAnsi="Times New Roman" w:cs="Times New Roman"/>
          <w:sz w:val="24"/>
          <w:szCs w:val="24"/>
          <w:lang w:val="en-GB" w:eastAsia="sl-SI"/>
        </w:rPr>
      </w:pPr>
    </w:p>
    <w:p w14:paraId="1CD47E5A" w14:textId="135DB1A2" w:rsidR="00025169" w:rsidRDefault="004F742E" w:rsidP="00025169">
      <w:pPr>
        <w:spacing w:line="360" w:lineRule="auto"/>
        <w:jc w:val="center"/>
        <w:rPr>
          <w:rFonts w:ascii="Times New Roman" w:hAnsi="Times New Roman" w:cs="Times New Roman"/>
          <w:b/>
          <w:bCs/>
          <w:sz w:val="24"/>
          <w:szCs w:val="24"/>
        </w:rPr>
      </w:pPr>
      <w:r w:rsidRPr="00025169">
        <w:rPr>
          <w:rFonts w:ascii="Times New Roman" w:hAnsi="Times New Roman" w:cs="Times New Roman"/>
          <w:b/>
          <w:bCs/>
          <w:sz w:val="24"/>
          <w:szCs w:val="24"/>
        </w:rPr>
        <w:t>Response of the Republic of Slovenia to the List of issues in relation to the report submitted under article 29, paragraph 1, of the Convention</w:t>
      </w:r>
      <w:r w:rsidR="00025169" w:rsidRPr="00025169">
        <w:rPr>
          <w:rFonts w:ascii="Times New Roman" w:hAnsi="Times New Roman" w:cs="Times New Roman"/>
          <w:b/>
          <w:bCs/>
          <w:sz w:val="24"/>
          <w:szCs w:val="24"/>
        </w:rPr>
        <w:t xml:space="preserve"> </w:t>
      </w:r>
      <w:r w:rsidR="00025169">
        <w:rPr>
          <w:rFonts w:ascii="Times New Roman" w:hAnsi="Times New Roman" w:cs="Times New Roman"/>
          <w:b/>
          <w:bCs/>
          <w:sz w:val="24"/>
          <w:szCs w:val="24"/>
        </w:rPr>
        <w:t>for the Protection of All Persons from Enforced Disappearance</w:t>
      </w:r>
    </w:p>
    <w:p w14:paraId="3482ABD1" w14:textId="77777777" w:rsidR="002040C7" w:rsidRPr="00025169" w:rsidRDefault="002040C7" w:rsidP="00340CD3">
      <w:pPr>
        <w:rPr>
          <w:rFonts w:ascii="Times New Roman" w:hAnsi="Times New Roman" w:cs="Times New Roman"/>
          <w:bCs/>
          <w:i/>
          <w:sz w:val="24"/>
          <w:szCs w:val="24"/>
          <w:lang w:eastAsia="sl-SI"/>
        </w:rPr>
      </w:pPr>
    </w:p>
    <w:p w14:paraId="4F32E11A" w14:textId="77777777" w:rsidR="002040C7" w:rsidRPr="00025169" w:rsidRDefault="002040C7"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09775B21" w14:textId="77777777" w:rsidR="002040C7" w:rsidRPr="00BF452B" w:rsidRDefault="002040C7" w:rsidP="004A0F9F">
      <w:pPr>
        <w:suppressAutoHyphens/>
        <w:spacing w:after="0" w:line="240" w:lineRule="auto"/>
        <w:jc w:val="center"/>
        <w:textAlignment w:val="baseline"/>
        <w:rPr>
          <w:rFonts w:ascii="Times New Roman" w:eastAsia="Times New Roman" w:hAnsi="Times New Roman" w:cs="Times New Roman"/>
          <w:bCs/>
          <w:iCs/>
          <w:color w:val="000000" w:themeColor="text1"/>
          <w:kern w:val="2"/>
          <w:sz w:val="24"/>
          <w:szCs w:val="24"/>
          <w:lang w:val="en-GB" w:eastAsia="sl-SI"/>
        </w:rPr>
      </w:pPr>
    </w:p>
    <w:p w14:paraId="7F641C7D" w14:textId="77777777" w:rsidR="002040C7" w:rsidRPr="00025169" w:rsidRDefault="002040C7"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7B631E6B" w14:textId="77777777" w:rsidR="002040C7" w:rsidRPr="00025169" w:rsidRDefault="002040C7"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04D82062"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725F0925"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42EEBD76"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5BE73CCB"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51142B49"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0B303915"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540A93B9"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34D209C8"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78CE14DF"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15039957"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461E487E"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12CFD1DC"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49B28E5B"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620C240E"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06D0159D"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77D9EA6B"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7E030886"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556AEE0C"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023B1575"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2FB2EDD7"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7E5B1DC2"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0891855B"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51B59A7F"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3EF4DAF2"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bCs/>
          <w:i/>
          <w:color w:val="000000" w:themeColor="text1"/>
          <w:kern w:val="2"/>
          <w:sz w:val="24"/>
          <w:szCs w:val="24"/>
          <w:lang w:val="en-GB" w:eastAsia="sl-SI"/>
        </w:rPr>
      </w:pPr>
    </w:p>
    <w:p w14:paraId="52804377" w14:textId="6A8B0F5F"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color w:val="000000" w:themeColor="text1"/>
          <w:sz w:val="24"/>
          <w:szCs w:val="24"/>
          <w:lang w:val="en-GB"/>
        </w:rPr>
      </w:pPr>
      <w:r w:rsidRPr="00025169">
        <w:rPr>
          <w:rFonts w:ascii="Times New Roman" w:eastAsia="Times New Roman" w:hAnsi="Times New Roman" w:cs="Times New Roman"/>
          <w:bCs/>
          <w:iCs/>
          <w:color w:val="000000" w:themeColor="text1"/>
          <w:kern w:val="2"/>
          <w:sz w:val="24"/>
          <w:szCs w:val="24"/>
          <w:lang w:val="en-GB" w:eastAsia="sl-SI"/>
        </w:rPr>
        <w:t xml:space="preserve"> </w:t>
      </w:r>
      <w:r w:rsidR="00025169" w:rsidRPr="00025169">
        <w:rPr>
          <w:rFonts w:ascii="Times New Roman" w:eastAsia="Times New Roman" w:hAnsi="Times New Roman" w:cs="Times New Roman"/>
          <w:bCs/>
          <w:iCs/>
          <w:color w:val="000000" w:themeColor="text1"/>
          <w:kern w:val="2"/>
          <w:sz w:val="24"/>
          <w:szCs w:val="24"/>
          <w:lang w:val="en-GB" w:eastAsia="sl-SI"/>
        </w:rPr>
        <w:t>August</w:t>
      </w:r>
      <w:r w:rsidRPr="00025169">
        <w:rPr>
          <w:rFonts w:ascii="Times New Roman" w:eastAsia="Times New Roman" w:hAnsi="Times New Roman" w:cs="Times New Roman"/>
          <w:bCs/>
          <w:iCs/>
          <w:color w:val="000000" w:themeColor="text1"/>
          <w:kern w:val="2"/>
          <w:sz w:val="24"/>
          <w:szCs w:val="24"/>
          <w:lang w:val="en-GB" w:eastAsia="sl-SI"/>
        </w:rPr>
        <w:t xml:space="preserve"> 2026</w:t>
      </w:r>
    </w:p>
    <w:p w14:paraId="1DA905FF" w14:textId="77777777" w:rsidR="004A0F9F" w:rsidRPr="00025169" w:rsidRDefault="004A0F9F" w:rsidP="004A0F9F">
      <w:pPr>
        <w:suppressAutoHyphens/>
        <w:spacing w:after="0" w:line="240" w:lineRule="auto"/>
        <w:jc w:val="center"/>
        <w:textAlignment w:val="baseline"/>
        <w:rPr>
          <w:rFonts w:ascii="Times New Roman" w:eastAsia="Times New Roman" w:hAnsi="Times New Roman" w:cs="Times New Roman"/>
          <w:iCs/>
          <w:color w:val="000000" w:themeColor="text1"/>
          <w:kern w:val="2"/>
          <w:sz w:val="24"/>
          <w:szCs w:val="24"/>
          <w:lang w:val="en-GB" w:eastAsia="zh-CN"/>
        </w:rPr>
      </w:pPr>
    </w:p>
    <w:p w14:paraId="238A52AF" w14:textId="77777777" w:rsidR="00C45139" w:rsidRPr="007E1A1A" w:rsidRDefault="00C45139" w:rsidP="00C45139">
      <w:pPr>
        <w:spacing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lastRenderedPageBreak/>
        <w:t>1):</w:t>
      </w:r>
      <w:r w:rsidRPr="007E1A1A">
        <w:rPr>
          <w:rFonts w:ascii="Times New Roman" w:hAnsi="Times New Roman" w:cs="Times New Roman"/>
          <w:sz w:val="24"/>
          <w:szCs w:val="24"/>
        </w:rPr>
        <w:t xml:space="preserve"> </w:t>
      </w:r>
    </w:p>
    <w:p w14:paraId="0C92B8ED"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The Judicial Training Centre (CIP) is responsible for professional training for work in judicial bodies. During the reporting period, the CIP conducted ten lectures addressing topics covered by the convention, focusing on the issue of human trafficking, criminal offenses related to human trafficking, the risks of human trafficking during the Ukrainian refugee crisis. During the reporting period, no instances of judicial practice where national courts have applied the Convention were recorded. </w:t>
      </w:r>
    </w:p>
    <w:p w14:paraId="73CD1C29" w14:textId="77777777" w:rsidR="00C45139" w:rsidRPr="00FA5612" w:rsidRDefault="00C45139" w:rsidP="00C45139">
      <w:pPr>
        <w:spacing w:line="360" w:lineRule="auto"/>
        <w:jc w:val="both"/>
        <w:rPr>
          <w:rFonts w:ascii="Times New Roman" w:hAnsi="Times New Roman" w:cs="Times New Roman"/>
          <w:sz w:val="24"/>
          <w:szCs w:val="24"/>
        </w:rPr>
      </w:pPr>
      <w:r w:rsidRPr="007E1A1A">
        <w:rPr>
          <w:rFonts w:ascii="Times New Roman" w:hAnsi="Times New Roman" w:cs="Times New Roman"/>
          <w:b/>
          <w:bCs/>
          <w:sz w:val="24"/>
          <w:szCs w:val="24"/>
        </w:rPr>
        <w:t xml:space="preserve">2 a): </w:t>
      </w:r>
    </w:p>
    <w:p w14:paraId="1EBE365A"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No special measures are needed or were additionally undertaken, since the Human Rights Ombudsman (Ombudsman) has been accredited status A according to the Paris Principles in 2021, taking into account the renovated Human Rights Ombudsman Act (</w:t>
      </w:r>
      <w:proofErr w:type="spellStart"/>
      <w:r w:rsidRPr="00FA5612">
        <w:rPr>
          <w:rFonts w:ascii="Times New Roman" w:hAnsi="Times New Roman" w:cs="Times New Roman"/>
          <w:sz w:val="24"/>
          <w:szCs w:val="24"/>
        </w:rPr>
        <w:t>ZVarČP</w:t>
      </w:r>
      <w:proofErr w:type="spellEnd"/>
      <w:r w:rsidRPr="00FA5612">
        <w:rPr>
          <w:rFonts w:ascii="Times New Roman" w:hAnsi="Times New Roman" w:cs="Times New Roman"/>
          <w:sz w:val="24"/>
          <w:szCs w:val="24"/>
        </w:rPr>
        <w:t>).</w:t>
      </w:r>
      <w:r w:rsidRPr="00394886">
        <w:rPr>
          <w:rFonts w:ascii="Times New Roman" w:hAnsi="Times New Roman" w:cs="Times New Roman"/>
          <w:sz w:val="24"/>
          <w:szCs w:val="24"/>
          <w:vertAlign w:val="superscript"/>
        </w:rPr>
        <w:footnoteReference w:id="1"/>
      </w:r>
      <w:r w:rsidRPr="00FA5612">
        <w:rPr>
          <w:rFonts w:ascii="Times New Roman" w:hAnsi="Times New Roman" w:cs="Times New Roman"/>
          <w:sz w:val="24"/>
          <w:szCs w:val="24"/>
        </w:rPr>
        <w:t xml:space="preserve"> That Novella established: the Centre for Human Rights at the Human Rights Ombudsman institution and Council for Human Rights at the Human Rights Ombudsman institution.  </w:t>
      </w:r>
    </w:p>
    <w:p w14:paraId="0237CC14"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There are plans for an additional Novella of the </w:t>
      </w:r>
      <w:proofErr w:type="spellStart"/>
      <w:r w:rsidRPr="00FA5612">
        <w:rPr>
          <w:rFonts w:ascii="Times New Roman" w:hAnsi="Times New Roman" w:cs="Times New Roman"/>
          <w:sz w:val="24"/>
          <w:szCs w:val="24"/>
        </w:rPr>
        <w:t>ZVarČP</w:t>
      </w:r>
      <w:proofErr w:type="spellEnd"/>
      <w:r w:rsidRPr="00FA5612">
        <w:rPr>
          <w:rFonts w:ascii="Times New Roman" w:hAnsi="Times New Roman" w:cs="Times New Roman"/>
          <w:sz w:val="24"/>
          <w:szCs w:val="24"/>
        </w:rPr>
        <w:t>, that shall be prepared in cooperation with the Ombudsman institution, and it shall be devoted to additional specialization of the Deputies of the Human Rights Ombudsman (for children, for persons with disabilities, for trafficking in persons), thus some “upgrades”, but not necessarily systemic changes with respect to further respecting of the Paris Principles are planned.</w:t>
      </w:r>
    </w:p>
    <w:p w14:paraId="319CC347" w14:textId="77777777" w:rsidR="00C45139" w:rsidRPr="007E1A1A" w:rsidRDefault="00C45139" w:rsidP="00C45139">
      <w:pPr>
        <w:spacing w:after="120"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t xml:space="preserve">2 b): </w:t>
      </w:r>
    </w:p>
    <w:p w14:paraId="65FC547C"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No special activities were undertaken so far, since the Ombudsman has traditionally (legally) very wide monitoring power over the public authorities in the Republic of Slovenia (hereinafter: RS). Any complaint (or its indication) would be treated as a human rights violation. Additionally, the institution of the Ombudsman has not indicated that it needs any new competences to be stated in this respect in the </w:t>
      </w:r>
      <w:proofErr w:type="spellStart"/>
      <w:r w:rsidRPr="00FA5612">
        <w:rPr>
          <w:rFonts w:ascii="Times New Roman" w:hAnsi="Times New Roman" w:cs="Times New Roman"/>
          <w:sz w:val="24"/>
          <w:szCs w:val="24"/>
        </w:rPr>
        <w:t>ZVarČP</w:t>
      </w:r>
      <w:proofErr w:type="spellEnd"/>
      <w:r w:rsidRPr="00FA5612">
        <w:rPr>
          <w:rFonts w:ascii="Times New Roman" w:hAnsi="Times New Roman" w:cs="Times New Roman"/>
          <w:sz w:val="24"/>
          <w:szCs w:val="24"/>
        </w:rPr>
        <w:t>.</w:t>
      </w:r>
    </w:p>
    <w:p w14:paraId="1C41F3CA" w14:textId="77777777" w:rsidR="00C45139" w:rsidRPr="007E1A1A" w:rsidRDefault="00C45139" w:rsidP="00C45139">
      <w:pPr>
        <w:spacing w:after="120"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t xml:space="preserve">2 (c): </w:t>
      </w:r>
    </w:p>
    <w:p w14:paraId="29323E96"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Financial, technical and human resources for the effective functioning of the Office of the Ombudsman are apparently adequate, since the Ombudsman does not complain about those in its annual reports. Furthermore, it has achieved new (own) competence in financial matters: it </w:t>
      </w:r>
      <w:r w:rsidRPr="00FA5612">
        <w:rPr>
          <w:rFonts w:ascii="Times New Roman" w:hAnsi="Times New Roman" w:cs="Times New Roman"/>
          <w:sz w:val="24"/>
          <w:szCs w:val="24"/>
        </w:rPr>
        <w:lastRenderedPageBreak/>
        <w:t xml:space="preserve">can propose the Budget for her Office directly to the National Assembly of RS (the Parliament) if he/she wishes so (in accordance with changes to the Public Finances Act of 2023). </w:t>
      </w:r>
    </w:p>
    <w:p w14:paraId="0797CECC" w14:textId="77777777" w:rsidR="00C45139" w:rsidRPr="007E1A1A" w:rsidRDefault="00C45139" w:rsidP="00C45139">
      <w:pPr>
        <w:spacing w:after="120"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t>3):</w:t>
      </w:r>
      <w:r w:rsidRPr="007E1A1A">
        <w:rPr>
          <w:rFonts w:ascii="Times New Roman" w:hAnsi="Times New Roman" w:cs="Times New Roman"/>
          <w:sz w:val="24"/>
          <w:szCs w:val="24"/>
          <w:u w:val="single"/>
        </w:rPr>
        <w:t xml:space="preserve"> </w:t>
      </w:r>
    </w:p>
    <w:p w14:paraId="65E51477"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Examples of previously published first reports by other countries on the implementation of the relevant international convention were reviewed. Ministry of Justice of Slovenia (MP) provided the selected initial reports of other countries to the stakeholders who were asked to submit contributions on the implementation of Convention. Based on their responses, the MP drafted the content of the First Report and sent it for approval to all recipients who had provided contributions regarding the implementation of the Convention. We also specifically sent the draft to the Ombudsman for review and incorporated his suggestions for substantive improvements into the draft report.</w:t>
      </w:r>
    </w:p>
    <w:p w14:paraId="204F0774"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To ensure the substantive integrity of the report and involving the broader public in the preparation of the First Report, we have asked the umbrella network of Slovenian non-governmental organizations (CNVOS) to forward our request to non-governmental organizations (NGOs) to submit feedback and additions to the draft First Report. The MP also reviewed the substantive initiatives and proposals received from NGOs and incorporated them as appropriate into the draft of the First Report, which was subsequently approved by the national Government. </w:t>
      </w:r>
    </w:p>
    <w:p w14:paraId="12DDA80A" w14:textId="77777777" w:rsidR="00C45139" w:rsidRPr="007E1A1A" w:rsidRDefault="00C45139" w:rsidP="00C45139">
      <w:pPr>
        <w:spacing w:after="120"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t>4):</w:t>
      </w:r>
      <w:r w:rsidRPr="007E1A1A">
        <w:rPr>
          <w:rFonts w:ascii="Times New Roman" w:hAnsi="Times New Roman" w:cs="Times New Roman"/>
          <w:sz w:val="24"/>
          <w:szCs w:val="24"/>
        </w:rPr>
        <w:t xml:space="preserve"> </w:t>
      </w:r>
    </w:p>
    <w:p w14:paraId="5C843244"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The Missing persons registry contains specific types of information intended to facilitate the effective search for missing persons who, given the circumstances, are presumed to be in need of assistance. The data is selected to help the police and the public identify and understand the severity of each individual case. It includes basic identification details, a description of the person, details of the disappearance, a photograph, and the status of the case. </w:t>
      </w:r>
    </w:p>
    <w:p w14:paraId="5689421A"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Addition information is available in the Appendix. </w:t>
      </w:r>
    </w:p>
    <w:p w14:paraId="6AB9D2C2" w14:textId="77777777" w:rsidR="00C45139" w:rsidRPr="007E1A1A" w:rsidRDefault="00C45139" w:rsidP="00C45139">
      <w:pPr>
        <w:spacing w:after="120"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t>5 (a comprehensive reaction to sub-questions a, b, and c):</w:t>
      </w:r>
      <w:r w:rsidRPr="007E1A1A">
        <w:rPr>
          <w:rFonts w:ascii="Times New Roman" w:hAnsi="Times New Roman" w:cs="Times New Roman"/>
          <w:sz w:val="24"/>
          <w:szCs w:val="24"/>
        </w:rPr>
        <w:t xml:space="preserve"> </w:t>
      </w:r>
    </w:p>
    <w:p w14:paraId="75D74B38"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The police maintain a national registry of missing persons, into which every report of a missing person is entered, and which is accessible to police units throughout the country. This registry serves as the foundation for a coordinated search. The police publicly release a list of missing people (including a photograph and basic information) when they determine that the public can assist in the search. The public website contains information such as gender, year of birth, and </w:t>
      </w:r>
      <w:r w:rsidRPr="00FA5612">
        <w:rPr>
          <w:rFonts w:ascii="Times New Roman" w:hAnsi="Times New Roman" w:cs="Times New Roman"/>
          <w:sz w:val="24"/>
          <w:szCs w:val="24"/>
        </w:rPr>
        <w:lastRenderedPageBreak/>
        <w:t xml:space="preserve">nationality. Simultaneously with entry into the Missing Persons Register, the data is also entered into international police databases such as the Schengen Information System (SIS) and Interpol’s ASF system. The police participate in European networks of experts on missing people, organize international conferences, and have been involved in projects to improve the exchange of data and statistics. This strengthens the standardization of procedures and data collection. </w:t>
      </w:r>
    </w:p>
    <w:p w14:paraId="5F6D8F04" w14:textId="77777777" w:rsidR="00C45139" w:rsidRPr="007E1A1A"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In March 2026, there were 105 people on the public list of missing persons. The Slovenian police do not collect statistical data such as sexual orientation, religious beliefs, racial/ethnic origin, political opinions, or other special categories of personal data. Statistical data show that approximately 80% of missing persons are found quickly (most within a few hours or days), while about 20% of reported missing persons are not found immediately and remain missing for a longer period. In RS, we have no time limit, and a missing person remains missing until they are found alive or dead. Similarly, we retain data on found unidentified bodies in our records until their identity is established.</w:t>
      </w:r>
      <w:r w:rsidRPr="007E1A1A">
        <w:rPr>
          <w:rFonts w:ascii="Times New Roman" w:hAnsi="Times New Roman" w:cs="Times New Roman"/>
          <w:sz w:val="24"/>
          <w:szCs w:val="24"/>
        </w:rPr>
        <w:t xml:space="preserve">  </w:t>
      </w:r>
    </w:p>
    <w:p w14:paraId="0914670C" w14:textId="77777777" w:rsidR="00C45139" w:rsidRPr="007E1A1A" w:rsidRDefault="00C45139" w:rsidP="00C45139">
      <w:pPr>
        <w:spacing w:after="120"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t xml:space="preserve">6): </w:t>
      </w:r>
    </w:p>
    <w:p w14:paraId="6EC1DB9F" w14:textId="77777777" w:rsidR="00C45139" w:rsidRPr="007E1A1A"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There are no plans to include in the Constitution of RS</w:t>
      </w:r>
      <w:r w:rsidRPr="00FA5612">
        <w:rPr>
          <w:rStyle w:val="FootnoteReference"/>
          <w:sz w:val="24"/>
          <w:szCs w:val="24"/>
        </w:rPr>
        <w:footnoteReference w:id="2"/>
      </w:r>
      <w:r w:rsidRPr="00FA5612">
        <w:rPr>
          <w:rFonts w:ascii="Times New Roman" w:hAnsi="Times New Roman" w:cs="Times New Roman"/>
          <w:sz w:val="24"/>
          <w:szCs w:val="24"/>
        </w:rPr>
        <w:t xml:space="preserve"> (Constitution) a specific provision on protection from enforced disappearance. The importance of international law (Articles 8 and 153 of the Constitution) in the hierarchy of legal norms in RS`s legal system already gives this right from the Convention a constitutional validation (see also Article 15 of the Constitution). From the case law of the Constitutional Court of RS follows that constitutional prohibitions against torture and other cruel acts are absolute. The same applies to constitutional prohibitions on inviolability of human life are also absolute. Additionally, the combination of prohibitions and limitations from Article 16 of the Constitution also partially covers enforced disappearances, as an extrapolation from its paragraph 2 on the state of emergency and state of war. Namely, it is explicitly prohibited in that provision to allow for any temporary suspension or restriction of the rights provided by Articles 17 (Inviolability of Human Life) and 18 (Prohibition of Torture) of the Constitution.</w:t>
      </w:r>
    </w:p>
    <w:p w14:paraId="6D215A26" w14:textId="77777777" w:rsidR="008C43B1" w:rsidRDefault="008C43B1" w:rsidP="00C45139">
      <w:pPr>
        <w:spacing w:after="120" w:line="360" w:lineRule="auto"/>
        <w:jc w:val="both"/>
        <w:rPr>
          <w:rFonts w:ascii="Times New Roman" w:hAnsi="Times New Roman" w:cs="Times New Roman"/>
          <w:b/>
          <w:bCs/>
          <w:sz w:val="24"/>
          <w:szCs w:val="24"/>
        </w:rPr>
      </w:pPr>
    </w:p>
    <w:p w14:paraId="2C07F0EC" w14:textId="77777777" w:rsidR="008C43B1" w:rsidRDefault="008C43B1" w:rsidP="00C45139">
      <w:pPr>
        <w:spacing w:after="120" w:line="360" w:lineRule="auto"/>
        <w:jc w:val="both"/>
        <w:rPr>
          <w:rFonts w:ascii="Times New Roman" w:hAnsi="Times New Roman" w:cs="Times New Roman"/>
          <w:b/>
          <w:bCs/>
          <w:sz w:val="24"/>
          <w:szCs w:val="24"/>
        </w:rPr>
      </w:pPr>
    </w:p>
    <w:p w14:paraId="218CEBF7" w14:textId="77777777" w:rsidR="008C43B1" w:rsidRDefault="008C43B1" w:rsidP="00C45139">
      <w:pPr>
        <w:spacing w:after="120" w:line="360" w:lineRule="auto"/>
        <w:jc w:val="both"/>
        <w:rPr>
          <w:rFonts w:ascii="Times New Roman" w:hAnsi="Times New Roman" w:cs="Times New Roman"/>
          <w:b/>
          <w:bCs/>
          <w:sz w:val="24"/>
          <w:szCs w:val="24"/>
        </w:rPr>
      </w:pPr>
    </w:p>
    <w:p w14:paraId="784F487C" w14:textId="47B26301" w:rsidR="00C45139" w:rsidRPr="007E1A1A" w:rsidRDefault="00C45139" w:rsidP="00C45139">
      <w:pPr>
        <w:spacing w:after="120"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lastRenderedPageBreak/>
        <w:t xml:space="preserve">7 a): </w:t>
      </w:r>
    </w:p>
    <w:p w14:paraId="149CC365"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Reference to political organization was a sign of a criminal offence under the Criminal Code</w:t>
      </w:r>
      <w:r w:rsidRPr="00FA5612">
        <w:rPr>
          <w:rStyle w:val="FootnoteReference"/>
          <w:sz w:val="24"/>
          <w:szCs w:val="24"/>
        </w:rPr>
        <w:footnoteReference w:id="3"/>
      </w:r>
      <w:r w:rsidRPr="00FA5612">
        <w:rPr>
          <w:rFonts w:ascii="Times New Roman" w:hAnsi="Times New Roman" w:cs="Times New Roman"/>
          <w:sz w:val="24"/>
          <w:szCs w:val="24"/>
        </w:rPr>
        <w:t xml:space="preserve"> even before the Act on Amendments to the Criminal Code (KZ-1) of 2021, which implemented the Convention also in Article 134 of the KZ-1; i.e. outside of crimes against humanity. Slovenia did not remove the political organization as a possible perpetrator of the criminal offence of enforced disappearance from the description of the criminal offence, as we assess that both the criminal offence within the framework of crimes against humanity and the third paragraph of Article 134 of the Criminal Code are consistent with Art</w:t>
      </w:r>
      <w:r w:rsidRPr="007E1A1A">
        <w:rPr>
          <w:rFonts w:ascii="Times New Roman" w:hAnsi="Times New Roman" w:cs="Times New Roman"/>
          <w:sz w:val="24"/>
          <w:szCs w:val="24"/>
        </w:rPr>
        <w:t>icle</w:t>
      </w:r>
      <w:r w:rsidRPr="00FA5612">
        <w:rPr>
          <w:rFonts w:ascii="Times New Roman" w:hAnsi="Times New Roman" w:cs="Times New Roman"/>
          <w:sz w:val="24"/>
          <w:szCs w:val="24"/>
        </w:rPr>
        <w:t xml:space="preserve"> 2 of the Convention, as they define a wider circle of possible perpetrators.</w:t>
      </w:r>
    </w:p>
    <w:p w14:paraId="5D00C764" w14:textId="77777777" w:rsidR="00C45139" w:rsidRPr="007E1A1A" w:rsidRDefault="00C45139" w:rsidP="00C45139">
      <w:pPr>
        <w:pStyle w:val="SingleTxtG"/>
        <w:spacing w:line="360" w:lineRule="auto"/>
        <w:ind w:left="0" w:right="0"/>
        <w:rPr>
          <w:b/>
          <w:bCs/>
          <w:sz w:val="24"/>
          <w:szCs w:val="24"/>
          <w:lang w:val="en-US"/>
        </w:rPr>
      </w:pPr>
      <w:r w:rsidRPr="007E1A1A">
        <w:rPr>
          <w:b/>
          <w:bCs/>
          <w:sz w:val="24"/>
          <w:szCs w:val="24"/>
          <w:lang w:val="en-US"/>
        </w:rPr>
        <w:t>7 b):</w:t>
      </w:r>
      <w:r w:rsidRPr="007E1A1A">
        <w:rPr>
          <w:sz w:val="24"/>
          <w:szCs w:val="24"/>
          <w:lang w:val="en-US"/>
        </w:rPr>
        <w:t xml:space="preserve"> </w:t>
      </w:r>
    </w:p>
    <w:p w14:paraId="01EE2F08" w14:textId="77777777" w:rsidR="00C45139" w:rsidRPr="00FA5612" w:rsidRDefault="00C45139" w:rsidP="00C45139">
      <w:pPr>
        <w:pStyle w:val="SingleTxtG"/>
        <w:spacing w:line="360" w:lineRule="auto"/>
        <w:ind w:left="0" w:right="0"/>
        <w:rPr>
          <w:sz w:val="24"/>
          <w:szCs w:val="24"/>
          <w:lang w:val="en-US"/>
        </w:rPr>
      </w:pPr>
      <w:r w:rsidRPr="00FA5612">
        <w:rPr>
          <w:sz w:val="24"/>
          <w:szCs w:val="24"/>
          <w:lang w:val="en-US"/>
        </w:rPr>
        <w:t xml:space="preserve">In relation to the criminal offence under third paragraph of Article 134 of the KZ-1 and of Article 101 of the KZ-1, we would like to clarify that in accordance with the constitutional principle of legality in criminal law, newly defined criminal offences and amended existing criminal offences apply to acts committed after the entry into force of the amendments to the KZ-1, and to acts committed before that only if the amendments are more lenient for the perpetrators. No person has yet been charged/convicted for the mentioned criminal offences in RS since 2019 regarding Articles 101 and 102 of the KZ-1 before and after the KZ-1I and regarding the third paragraph of Article 134 of the Criminal Code after the KZ-1I. </w:t>
      </w:r>
    </w:p>
    <w:p w14:paraId="298F085F" w14:textId="77777777" w:rsidR="00C45139" w:rsidRPr="007E1A1A" w:rsidRDefault="00C45139" w:rsidP="00C45139">
      <w:pPr>
        <w:pStyle w:val="SingleTxtG"/>
        <w:spacing w:line="360" w:lineRule="auto"/>
        <w:ind w:left="0" w:right="0"/>
        <w:rPr>
          <w:b/>
          <w:bCs/>
          <w:sz w:val="24"/>
          <w:szCs w:val="24"/>
          <w:lang w:val="en-US"/>
        </w:rPr>
      </w:pPr>
      <w:r w:rsidRPr="007E1A1A">
        <w:rPr>
          <w:b/>
          <w:bCs/>
          <w:sz w:val="24"/>
          <w:szCs w:val="24"/>
          <w:lang w:val="en-US"/>
        </w:rPr>
        <w:t>8):</w:t>
      </w:r>
      <w:r w:rsidRPr="007E1A1A">
        <w:rPr>
          <w:sz w:val="24"/>
          <w:szCs w:val="24"/>
          <w:lang w:val="en-US"/>
        </w:rPr>
        <w:t xml:space="preserve"> </w:t>
      </w:r>
    </w:p>
    <w:p w14:paraId="6F40DC68" w14:textId="77777777" w:rsidR="00C45139" w:rsidRPr="00FA5612" w:rsidRDefault="00C45139" w:rsidP="00C45139">
      <w:pPr>
        <w:pStyle w:val="SingleTxtG"/>
        <w:spacing w:line="360" w:lineRule="auto"/>
        <w:ind w:left="0" w:right="0"/>
        <w:rPr>
          <w:sz w:val="24"/>
          <w:szCs w:val="24"/>
          <w:lang w:val="en-US"/>
        </w:rPr>
      </w:pPr>
      <w:r w:rsidRPr="00FA5612">
        <w:rPr>
          <w:sz w:val="24"/>
          <w:szCs w:val="24"/>
          <w:lang w:val="en-US"/>
        </w:rPr>
        <w:t>Criminal offences under Articles 101 and 102 of the KZ-1 are punishable by a minimum of 15 years in prison, which means a maximum of 30 years or life imprisonment.</w:t>
      </w:r>
      <w:r w:rsidRPr="00FA5612">
        <w:rPr>
          <w:rFonts w:eastAsia="Times New Roman"/>
          <w:b/>
          <w:sz w:val="24"/>
          <w:szCs w:val="24"/>
          <w:lang w:val="en-US" w:eastAsia="sl-SI"/>
        </w:rPr>
        <w:t xml:space="preserve"> </w:t>
      </w:r>
      <w:r w:rsidRPr="00FA5612">
        <w:rPr>
          <w:sz w:val="24"/>
          <w:szCs w:val="24"/>
          <w:lang w:val="en-US"/>
        </w:rPr>
        <w:t>For enforced disappearance under the third paragraph of Article 134 of the KZ-1</w:t>
      </w:r>
      <w:r w:rsidRPr="00FA5612">
        <w:rPr>
          <w:rFonts w:eastAsia="Arial"/>
          <w:sz w:val="24"/>
          <w:szCs w:val="24"/>
          <w:lang w:val="en-US"/>
        </w:rPr>
        <w:t xml:space="preserve"> imprisonment for a term of one to eight years</w:t>
      </w:r>
      <w:r w:rsidRPr="00FA5612">
        <w:rPr>
          <w:sz w:val="24"/>
          <w:szCs w:val="24"/>
          <w:lang w:val="en-US"/>
        </w:rPr>
        <w:t xml:space="preserve"> is prescribed. According to the Constitution, laws must be in conformity with generally accepted principles of international law and valid international treaties ratified by the National Assembly. Article 49 of </w:t>
      </w:r>
      <w:r w:rsidRPr="007E1A1A">
        <w:rPr>
          <w:sz w:val="24"/>
          <w:szCs w:val="24"/>
          <w:lang w:val="en-US"/>
        </w:rPr>
        <w:t>KZ</w:t>
      </w:r>
      <w:r w:rsidRPr="00FA5612">
        <w:rPr>
          <w:sz w:val="24"/>
          <w:szCs w:val="24"/>
          <w:lang w:val="en-US"/>
        </w:rPr>
        <w:t>-1, in the case of the criminal offence of enforced disappearance, should also be interpreted in accordance with Article 7 (2) of the Convention regarding aggravating and mitigating circumstances. Regarding Articles 2 and 4 of the Convention, it is clear from the First report and the answers to the questions in this document that enforced disappearance is defined as a criminal offence in the Slovenian criminal law system.</w:t>
      </w:r>
    </w:p>
    <w:p w14:paraId="265485F5" w14:textId="77777777" w:rsidR="00C45139" w:rsidRPr="007E1A1A" w:rsidRDefault="00C45139" w:rsidP="00C45139">
      <w:pPr>
        <w:pStyle w:val="SingleTxtG"/>
        <w:spacing w:line="360" w:lineRule="auto"/>
        <w:ind w:left="0" w:right="0"/>
        <w:rPr>
          <w:b/>
          <w:bCs/>
          <w:sz w:val="24"/>
          <w:szCs w:val="24"/>
          <w:lang w:val="en-US"/>
        </w:rPr>
      </w:pPr>
      <w:r w:rsidRPr="007E1A1A">
        <w:rPr>
          <w:b/>
          <w:bCs/>
          <w:sz w:val="24"/>
          <w:szCs w:val="24"/>
          <w:lang w:val="en-US"/>
        </w:rPr>
        <w:lastRenderedPageBreak/>
        <w:t>9):</w:t>
      </w:r>
      <w:r w:rsidRPr="007E1A1A">
        <w:rPr>
          <w:sz w:val="24"/>
          <w:szCs w:val="24"/>
          <w:lang w:val="en-US"/>
        </w:rPr>
        <w:t xml:space="preserve"> </w:t>
      </w:r>
    </w:p>
    <w:p w14:paraId="13A3CB5E" w14:textId="77777777" w:rsidR="00C45139" w:rsidRPr="00FA5612" w:rsidRDefault="00C45139" w:rsidP="00C45139">
      <w:pPr>
        <w:pStyle w:val="SingleTxtG"/>
        <w:spacing w:line="360" w:lineRule="auto"/>
        <w:ind w:left="0" w:right="0"/>
        <w:rPr>
          <w:sz w:val="24"/>
          <w:szCs w:val="24"/>
          <w:lang w:val="en-US"/>
        </w:rPr>
      </w:pPr>
      <w:r w:rsidRPr="00FA5612">
        <w:rPr>
          <w:sz w:val="24"/>
          <w:szCs w:val="24"/>
          <w:lang w:val="en-US"/>
        </w:rPr>
        <w:t>In accordance with the Defense Act</w:t>
      </w:r>
      <w:r w:rsidRPr="00FA5612">
        <w:rPr>
          <w:rStyle w:val="FootnoteReference"/>
          <w:sz w:val="24"/>
          <w:szCs w:val="24"/>
          <w:lang w:val="en-US"/>
        </w:rPr>
        <w:footnoteReference w:id="4"/>
      </w:r>
      <w:r w:rsidRPr="00FA5612">
        <w:rPr>
          <w:sz w:val="24"/>
          <w:szCs w:val="24"/>
          <w:lang w:val="en-US"/>
        </w:rPr>
        <w:t xml:space="preserve"> (</w:t>
      </w:r>
      <w:proofErr w:type="spellStart"/>
      <w:r w:rsidRPr="00FA5612">
        <w:rPr>
          <w:sz w:val="24"/>
          <w:szCs w:val="24"/>
          <w:lang w:val="en-US"/>
        </w:rPr>
        <w:t>ZObr</w:t>
      </w:r>
      <w:proofErr w:type="spellEnd"/>
      <w:r w:rsidRPr="00FA5612">
        <w:rPr>
          <w:sz w:val="24"/>
          <w:szCs w:val="24"/>
          <w:lang w:val="en-US"/>
        </w:rPr>
        <w:t>) no one may issue, nor is he obliged to, nor may he execute an order if it is obvious that he would thereby commit a criminal offence or violate the provisions of international law of war - “due obedience” cannot be a successful criminal defense.</w:t>
      </w:r>
    </w:p>
    <w:p w14:paraId="0DBD93F1" w14:textId="77777777" w:rsidR="00C45139" w:rsidRPr="00FA5612" w:rsidRDefault="00C45139" w:rsidP="00C45139">
      <w:pPr>
        <w:pStyle w:val="SingleTxtG"/>
        <w:spacing w:line="360" w:lineRule="auto"/>
        <w:ind w:left="0" w:right="0"/>
        <w:rPr>
          <w:sz w:val="24"/>
          <w:szCs w:val="24"/>
          <w:lang w:val="en-US"/>
        </w:rPr>
      </w:pPr>
      <w:r w:rsidRPr="00FA5612">
        <w:rPr>
          <w:sz w:val="24"/>
          <w:szCs w:val="24"/>
          <w:lang w:val="en-US"/>
        </w:rPr>
        <w:t>For criminal offences under Art</w:t>
      </w:r>
      <w:r w:rsidRPr="007E1A1A">
        <w:rPr>
          <w:sz w:val="24"/>
          <w:szCs w:val="24"/>
          <w:lang w:val="en-US"/>
        </w:rPr>
        <w:t>icle</w:t>
      </w:r>
      <w:r w:rsidRPr="00FA5612">
        <w:rPr>
          <w:sz w:val="24"/>
          <w:szCs w:val="24"/>
          <w:lang w:val="en-US"/>
        </w:rPr>
        <w:t xml:space="preserve"> 104 of the KZ-1 </w:t>
      </w:r>
      <w:r w:rsidRPr="00FA5612">
        <w:rPr>
          <w:rStyle w:val="y2iqfc"/>
          <w:sz w:val="24"/>
          <w:szCs w:val="24"/>
          <w:lang w:val="en-US"/>
        </w:rPr>
        <w:t>military commanders and other</w:t>
      </w:r>
      <w:r w:rsidRPr="00FA5612">
        <w:rPr>
          <w:sz w:val="24"/>
          <w:szCs w:val="24"/>
          <w:shd w:val="clear" w:color="auto" w:fill="FFFFFF"/>
          <w:lang w:val="en-US"/>
        </w:rPr>
        <w:t xml:space="preserve"> superiors are held criminally liable. </w:t>
      </w:r>
      <w:r w:rsidRPr="00FA5612">
        <w:rPr>
          <w:sz w:val="24"/>
          <w:szCs w:val="24"/>
          <w:lang w:val="en-US"/>
        </w:rPr>
        <w:t>Everyone is criminally liable for a criminal offence under Art</w:t>
      </w:r>
      <w:r w:rsidRPr="007E1A1A">
        <w:rPr>
          <w:sz w:val="24"/>
          <w:szCs w:val="24"/>
          <w:lang w:val="en-US"/>
        </w:rPr>
        <w:t>icle</w:t>
      </w:r>
      <w:r w:rsidRPr="00FA5612">
        <w:rPr>
          <w:sz w:val="24"/>
          <w:szCs w:val="24"/>
          <w:lang w:val="en-US"/>
        </w:rPr>
        <w:t xml:space="preserve"> 133 of KZ-1, regardless of their status. </w:t>
      </w:r>
      <w:r w:rsidRPr="00FA5612">
        <w:rPr>
          <w:rFonts w:eastAsia="Arial"/>
          <w:sz w:val="24"/>
          <w:szCs w:val="24"/>
          <w:lang w:val="en-US"/>
        </w:rPr>
        <w:t xml:space="preserve">If an official commits this criminal offence by abusing his position or rights the prescribed prison sentence is more severe. </w:t>
      </w:r>
      <w:r w:rsidRPr="00FA5612">
        <w:rPr>
          <w:sz w:val="24"/>
          <w:szCs w:val="24"/>
          <w:lang w:val="en-US"/>
        </w:rPr>
        <w:t xml:space="preserve">If grounds exist for the suspicion that a criminal offence prosecutable </w:t>
      </w:r>
      <w:r w:rsidRPr="00FA5612">
        <w:rPr>
          <w:i/>
          <w:sz w:val="24"/>
          <w:szCs w:val="24"/>
          <w:lang w:val="en-US"/>
        </w:rPr>
        <w:t>ex officio</w:t>
      </w:r>
      <w:r w:rsidRPr="00FA5612">
        <w:rPr>
          <w:sz w:val="24"/>
          <w:szCs w:val="24"/>
          <w:lang w:val="en-US"/>
        </w:rPr>
        <w:t xml:space="preserve"> has been committed, according to the Criminal Procedure Act</w:t>
      </w:r>
      <w:r w:rsidRPr="00FA5612">
        <w:rPr>
          <w:rStyle w:val="FootnoteReference"/>
          <w:sz w:val="24"/>
          <w:szCs w:val="24"/>
          <w:lang w:val="en-US"/>
        </w:rPr>
        <w:footnoteReference w:id="5"/>
      </w:r>
      <w:r w:rsidRPr="00FA5612">
        <w:rPr>
          <w:sz w:val="24"/>
          <w:szCs w:val="24"/>
          <w:lang w:val="en-US"/>
        </w:rPr>
        <w:t xml:space="preserve"> (ZKP) the police must take the necessary steps to trace the perpetrator of the criminal offence, to prevent the perpetrator or participant in the criminal offence going into hiding or fleeing, to detect and secure the traces of the criminal offence and objects which may be of value as evidence, and to collect all information that might be useful for the successful conduct of criminal proceedings. The state prosecutor is responsible for prosecution </w:t>
      </w:r>
      <w:r w:rsidRPr="00FA5612">
        <w:rPr>
          <w:i/>
          <w:iCs/>
          <w:sz w:val="24"/>
          <w:szCs w:val="24"/>
          <w:lang w:val="en-US"/>
        </w:rPr>
        <w:t>ex officio</w:t>
      </w:r>
      <w:r w:rsidRPr="00FA5612">
        <w:rPr>
          <w:sz w:val="24"/>
          <w:szCs w:val="24"/>
          <w:lang w:val="en-US"/>
        </w:rPr>
        <w:t>.</w:t>
      </w:r>
    </w:p>
    <w:p w14:paraId="3CE14045"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Additional information is available in the Appendix. </w:t>
      </w:r>
    </w:p>
    <w:p w14:paraId="286B67FE" w14:textId="77777777" w:rsidR="00C45139" w:rsidRPr="007E1A1A" w:rsidRDefault="00C45139" w:rsidP="00C45139">
      <w:pPr>
        <w:pStyle w:val="SingleTxtG"/>
        <w:spacing w:line="360" w:lineRule="auto"/>
        <w:ind w:left="0" w:right="0"/>
        <w:rPr>
          <w:b/>
          <w:bCs/>
          <w:sz w:val="24"/>
          <w:szCs w:val="24"/>
          <w:lang w:val="en-US"/>
        </w:rPr>
      </w:pPr>
      <w:r w:rsidRPr="007E1A1A">
        <w:rPr>
          <w:b/>
          <w:bCs/>
          <w:sz w:val="24"/>
          <w:szCs w:val="24"/>
          <w:lang w:val="en-US"/>
        </w:rPr>
        <w:t>10):</w:t>
      </w:r>
    </w:p>
    <w:p w14:paraId="3B813558" w14:textId="77777777" w:rsidR="00C45139" w:rsidRPr="007E1A1A" w:rsidRDefault="00C45139" w:rsidP="00C45139">
      <w:pPr>
        <w:pStyle w:val="SingleTxtG"/>
        <w:spacing w:line="360" w:lineRule="auto"/>
        <w:ind w:left="0" w:right="0"/>
        <w:rPr>
          <w:sz w:val="24"/>
          <w:szCs w:val="24"/>
          <w:lang w:val="en-US"/>
        </w:rPr>
      </w:pPr>
      <w:r w:rsidRPr="00FA5612">
        <w:rPr>
          <w:sz w:val="24"/>
          <w:szCs w:val="24"/>
          <w:lang w:val="en-US"/>
        </w:rPr>
        <w:t>No reports or complaints have been filed in RS regarding enforced disappearances in the context of migration, including refugees and applicants for international protection, nor in connection with human trafficking as defined in Article 2 of this Convention. In practice, RS has not identified any cases in which all elements of enforced disappearance were cumulatively met. In accordance with the Police Tasks and Powers Act (</w:t>
      </w:r>
      <w:proofErr w:type="spellStart"/>
      <w:r w:rsidRPr="00FA5612">
        <w:rPr>
          <w:sz w:val="24"/>
          <w:szCs w:val="24"/>
          <w:lang w:val="en-US"/>
        </w:rPr>
        <w:t>ZNPPol</w:t>
      </w:r>
      <w:proofErr w:type="spellEnd"/>
      <w:r w:rsidRPr="00FA5612">
        <w:rPr>
          <w:sz w:val="24"/>
          <w:szCs w:val="24"/>
          <w:lang w:val="en-US"/>
        </w:rPr>
        <w:t>), the police immediately search for missing persons and use all legally permitted means, while investigations are conducted in accordance with the ZKP</w:t>
      </w:r>
      <w:r w:rsidRPr="007E1A1A">
        <w:rPr>
          <w:sz w:val="24"/>
          <w:szCs w:val="24"/>
          <w:lang w:val="en-US"/>
        </w:rPr>
        <w:t>.</w:t>
      </w:r>
    </w:p>
    <w:p w14:paraId="66E8420A" w14:textId="77777777" w:rsidR="00C45139" w:rsidRPr="007E1A1A"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Slovenia is committed to raising awareness among migrants and vulnerable groups by informing applicants for international protection about the dangers of human trafficking and exploitation, as well as about preventive and protective measures (the PATS project). Its aim is to raise awareness among people who largely fail to recognize the dangers and consequences of human trafficking, and to encourage their active participation in preventing various forms of </w:t>
      </w:r>
      <w:r w:rsidRPr="00FA5612">
        <w:rPr>
          <w:rFonts w:ascii="Times New Roman" w:hAnsi="Times New Roman" w:cs="Times New Roman"/>
          <w:sz w:val="24"/>
          <w:szCs w:val="24"/>
        </w:rPr>
        <w:lastRenderedPageBreak/>
        <w:t>exploitation through an appropriate approach. The project’s overall objective is to more effectively identify vulnerable groups who require special attention. In the case of children and adolescents, information is provided in an appropriate manner and adapted to their age and stage of development. If there is a suspicion that a person is a potential victim of human trafficking, the Government Office for the Support and Integration of Migrants (UOIM) notifies it to the competent institutions.</w:t>
      </w:r>
    </w:p>
    <w:p w14:paraId="773A6800" w14:textId="77777777" w:rsidR="00C45139" w:rsidRPr="007E1A1A"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Applicants for international protection - unaccompanied minors, before submitting their application, are informed of their rights, with special effort made to raise their awareness of the risks associated with migration, and particular emphasis placed on warning them about the risks of human trafficking. The Ministry of the Interior (MNZ) does not have mechanisms to record whether individual instances of leaving the accommodation in Postojna are voluntary or forced, so there are no data on the number of potential forced disappearances in the context of human trafficking. In awareness-raising effort, in addition to MNZ officials, the legal representatives of minors in international protection proceedings also play a significant role. Every instance of an unaccompanied minor leaving the facility without permission is reported by staff of the UOIM to both the competent social work center (CSD) and the police.</w:t>
      </w:r>
    </w:p>
    <w:p w14:paraId="16B4B732" w14:textId="77777777" w:rsidR="00C45139" w:rsidRPr="007E1A1A" w:rsidRDefault="00C45139" w:rsidP="00C45139">
      <w:pPr>
        <w:pStyle w:val="SingleTxtG"/>
        <w:spacing w:line="360" w:lineRule="auto"/>
        <w:ind w:left="0" w:right="0"/>
        <w:rPr>
          <w:b/>
          <w:bCs/>
          <w:sz w:val="24"/>
          <w:szCs w:val="24"/>
          <w:lang w:val="en-US"/>
        </w:rPr>
      </w:pPr>
      <w:r w:rsidRPr="007E1A1A">
        <w:rPr>
          <w:b/>
          <w:bCs/>
          <w:sz w:val="24"/>
          <w:szCs w:val="24"/>
          <w:lang w:val="en-US"/>
        </w:rPr>
        <w:t>Ad 11:</w:t>
      </w:r>
    </w:p>
    <w:p w14:paraId="2DE4C1EC" w14:textId="77777777" w:rsidR="00C45139" w:rsidRPr="00FA5612" w:rsidRDefault="00C45139" w:rsidP="00C45139">
      <w:pPr>
        <w:pStyle w:val="SingleTxtG"/>
        <w:spacing w:after="0" w:line="360" w:lineRule="auto"/>
        <w:ind w:left="0" w:right="0"/>
        <w:rPr>
          <w:sz w:val="24"/>
          <w:szCs w:val="24"/>
          <w:lang w:val="en-US"/>
        </w:rPr>
      </w:pPr>
      <w:r w:rsidRPr="00FA5612">
        <w:rPr>
          <w:sz w:val="24"/>
          <w:szCs w:val="24"/>
          <w:lang w:val="en-US"/>
        </w:rPr>
        <w:t xml:space="preserve">The statute of limitations for criminal prosecution is determined by the penalty prescribed for a specific criminal offense, while the statute of limitations for the execution of a sentence is determined by the penalty imposed in a specific case. Statute of limitations for criminal prosecution does </w:t>
      </w:r>
      <w:r w:rsidRPr="00FA5612">
        <w:rPr>
          <w:rFonts w:eastAsia="Arial"/>
          <w:sz w:val="24"/>
          <w:szCs w:val="24"/>
          <w:lang w:val="en-US"/>
        </w:rPr>
        <w:t xml:space="preserve">not run during the period when, by law, prosecution may not commence or continue or when the perpetrator is inaccessible to state authorities. </w:t>
      </w:r>
      <w:r w:rsidRPr="00FA5612">
        <w:rPr>
          <w:sz w:val="24"/>
          <w:szCs w:val="24"/>
          <w:lang w:val="en-US"/>
        </w:rPr>
        <w:t>The prescribed sentence of up to eight years in prison is relatively high in the Slovenian legal system. If the enforced disappearance is accompanied by another crime (ex.: murder), the perpetrator would be punished for both crimes according to the rules on concurrence of criminal offences, which would mean a significantly higher penalty and a longer statute of limitations for prosecution for the criminal offence of murder.</w:t>
      </w:r>
    </w:p>
    <w:p w14:paraId="3BF03C86" w14:textId="77777777" w:rsidR="00C45139" w:rsidRPr="00FA5612" w:rsidRDefault="00C45139" w:rsidP="00C45139">
      <w:pPr>
        <w:pStyle w:val="SingleTxtG"/>
        <w:spacing w:after="0" w:line="360" w:lineRule="auto"/>
        <w:ind w:left="0" w:right="0"/>
        <w:rPr>
          <w:sz w:val="24"/>
          <w:szCs w:val="24"/>
          <w:lang w:val="en-US"/>
        </w:rPr>
      </w:pPr>
      <w:r w:rsidRPr="00FA5612">
        <w:rPr>
          <w:sz w:val="24"/>
          <w:szCs w:val="24"/>
          <w:lang w:val="en-US"/>
        </w:rPr>
        <w:t xml:space="preserve">According to ZKP all state authorities and </w:t>
      </w:r>
      <w:proofErr w:type="spellStart"/>
      <w:r w:rsidRPr="00FA5612">
        <w:rPr>
          <w:sz w:val="24"/>
          <w:szCs w:val="24"/>
          <w:lang w:val="en-US"/>
        </w:rPr>
        <w:t>organisations</w:t>
      </w:r>
      <w:proofErr w:type="spellEnd"/>
      <w:r w:rsidRPr="00FA5612">
        <w:rPr>
          <w:sz w:val="24"/>
          <w:szCs w:val="24"/>
          <w:lang w:val="en-US"/>
        </w:rPr>
        <w:t xml:space="preserve"> with public authority are obliged to report criminal offences which are prosecutable </w:t>
      </w:r>
      <w:r w:rsidRPr="00FA5612">
        <w:rPr>
          <w:i/>
          <w:sz w:val="24"/>
          <w:szCs w:val="24"/>
          <w:lang w:val="en-US"/>
        </w:rPr>
        <w:t>ex officio</w:t>
      </w:r>
      <w:r w:rsidRPr="00FA5612">
        <w:rPr>
          <w:sz w:val="24"/>
          <w:szCs w:val="24"/>
          <w:lang w:val="en-US"/>
        </w:rPr>
        <w:t xml:space="preserve"> if they have been informed of them or if they have been brought to their notice in some other way. An</w:t>
      </w:r>
      <w:r w:rsidRPr="00FA5612">
        <w:rPr>
          <w:sz w:val="24"/>
          <w:szCs w:val="24"/>
          <w:lang w:val="en-US" w:eastAsia="ar-SA"/>
        </w:rPr>
        <w:t xml:space="preserve"> injured party </w:t>
      </w:r>
      <w:r w:rsidRPr="00FA5612">
        <w:rPr>
          <w:sz w:val="24"/>
          <w:szCs w:val="24"/>
          <w:lang w:val="en-US"/>
        </w:rPr>
        <w:t>that</w:t>
      </w:r>
      <w:r w:rsidRPr="00FA5612">
        <w:rPr>
          <w:sz w:val="24"/>
          <w:szCs w:val="24"/>
          <w:lang w:val="en-US" w:eastAsia="ar-SA"/>
        </w:rPr>
        <w:t xml:space="preserve"> does not speak or understand the </w:t>
      </w:r>
      <w:r w:rsidRPr="00FA5612">
        <w:rPr>
          <w:sz w:val="24"/>
          <w:szCs w:val="24"/>
          <w:lang w:val="en-US"/>
        </w:rPr>
        <w:t xml:space="preserve">official </w:t>
      </w:r>
      <w:r w:rsidRPr="00FA5612">
        <w:rPr>
          <w:sz w:val="24"/>
          <w:szCs w:val="24"/>
          <w:lang w:val="en-US" w:eastAsia="ar-SA"/>
        </w:rPr>
        <w:t>language must be provided with the necessary l</w:t>
      </w:r>
      <w:r w:rsidRPr="00FA5612">
        <w:rPr>
          <w:sz w:val="24"/>
          <w:szCs w:val="24"/>
          <w:lang w:val="en-US"/>
        </w:rPr>
        <w:t>anguage</w:t>
      </w:r>
      <w:r w:rsidRPr="00FA5612">
        <w:rPr>
          <w:sz w:val="24"/>
          <w:szCs w:val="24"/>
          <w:lang w:val="en-US" w:eastAsia="ar-SA"/>
        </w:rPr>
        <w:t xml:space="preserve"> assistance of a person who, in addition to the </w:t>
      </w:r>
      <w:r w:rsidRPr="00FA5612">
        <w:rPr>
          <w:sz w:val="24"/>
          <w:szCs w:val="24"/>
          <w:lang w:val="en-US"/>
        </w:rPr>
        <w:t xml:space="preserve">official </w:t>
      </w:r>
      <w:r w:rsidRPr="00FA5612">
        <w:rPr>
          <w:sz w:val="24"/>
          <w:szCs w:val="24"/>
          <w:lang w:val="en-US" w:eastAsia="ar-SA"/>
        </w:rPr>
        <w:t xml:space="preserve">language, </w:t>
      </w:r>
      <w:r w:rsidRPr="00FA5612">
        <w:rPr>
          <w:sz w:val="24"/>
          <w:szCs w:val="24"/>
          <w:lang w:val="en-US"/>
        </w:rPr>
        <w:t xml:space="preserve">also </w:t>
      </w:r>
      <w:r w:rsidRPr="00FA5612">
        <w:rPr>
          <w:sz w:val="24"/>
          <w:szCs w:val="24"/>
          <w:lang w:val="en-US" w:eastAsia="ar-SA"/>
        </w:rPr>
        <w:t xml:space="preserve">understands </w:t>
      </w:r>
      <w:r w:rsidRPr="00FA5612">
        <w:rPr>
          <w:sz w:val="24"/>
          <w:szCs w:val="24"/>
          <w:lang w:val="en-US"/>
        </w:rPr>
        <w:t>and</w:t>
      </w:r>
      <w:r w:rsidRPr="00FA5612">
        <w:rPr>
          <w:sz w:val="24"/>
          <w:szCs w:val="24"/>
          <w:lang w:val="en-US" w:eastAsia="ar-SA"/>
        </w:rPr>
        <w:t xml:space="preserve"> speaks </w:t>
      </w:r>
      <w:r w:rsidRPr="00FA5612">
        <w:rPr>
          <w:sz w:val="24"/>
          <w:szCs w:val="24"/>
          <w:lang w:val="en-US"/>
        </w:rPr>
        <w:t>the</w:t>
      </w:r>
      <w:r w:rsidRPr="00FA5612">
        <w:rPr>
          <w:sz w:val="24"/>
          <w:szCs w:val="24"/>
          <w:lang w:val="en-US" w:eastAsia="ar-SA"/>
        </w:rPr>
        <w:t xml:space="preserve"> </w:t>
      </w:r>
      <w:r w:rsidRPr="00FA5612">
        <w:rPr>
          <w:sz w:val="24"/>
          <w:szCs w:val="24"/>
          <w:lang w:val="en-US" w:eastAsia="ar-SA"/>
        </w:rPr>
        <w:lastRenderedPageBreak/>
        <w:t xml:space="preserve">language understood </w:t>
      </w:r>
      <w:r w:rsidRPr="00FA5612">
        <w:rPr>
          <w:sz w:val="24"/>
          <w:szCs w:val="24"/>
          <w:lang w:val="en-US"/>
        </w:rPr>
        <w:t>and</w:t>
      </w:r>
      <w:r w:rsidRPr="00FA5612">
        <w:rPr>
          <w:sz w:val="24"/>
          <w:szCs w:val="24"/>
          <w:lang w:val="en-US" w:eastAsia="ar-SA"/>
        </w:rPr>
        <w:t xml:space="preserve"> spoken by the injured party</w:t>
      </w:r>
      <w:r w:rsidRPr="00FA5612">
        <w:rPr>
          <w:sz w:val="24"/>
          <w:szCs w:val="24"/>
          <w:lang w:val="en-US"/>
        </w:rPr>
        <w:t>,</w:t>
      </w:r>
      <w:r w:rsidRPr="00FA5612">
        <w:rPr>
          <w:sz w:val="24"/>
          <w:szCs w:val="24"/>
          <w:lang w:val="en-US" w:eastAsia="ar-SA"/>
        </w:rPr>
        <w:t xml:space="preserve"> and who is </w:t>
      </w:r>
      <w:r w:rsidRPr="00FA5612">
        <w:rPr>
          <w:sz w:val="24"/>
          <w:szCs w:val="24"/>
          <w:lang w:val="en-US"/>
        </w:rPr>
        <w:t xml:space="preserve">willing </w:t>
      </w:r>
      <w:r w:rsidRPr="00FA5612">
        <w:rPr>
          <w:sz w:val="24"/>
          <w:szCs w:val="24"/>
          <w:lang w:val="en-US" w:eastAsia="ar-SA"/>
        </w:rPr>
        <w:t xml:space="preserve">to respect the confidentiality of </w:t>
      </w:r>
      <w:r w:rsidRPr="00FA5612">
        <w:rPr>
          <w:sz w:val="24"/>
          <w:szCs w:val="24"/>
          <w:lang w:val="en-US"/>
        </w:rPr>
        <w:t xml:space="preserve">the </w:t>
      </w:r>
      <w:r w:rsidRPr="00FA5612">
        <w:rPr>
          <w:sz w:val="24"/>
          <w:szCs w:val="24"/>
          <w:lang w:val="en-US" w:eastAsia="ar-SA"/>
        </w:rPr>
        <w:t xml:space="preserve">information </w:t>
      </w:r>
      <w:r w:rsidRPr="00FA5612">
        <w:rPr>
          <w:sz w:val="24"/>
          <w:szCs w:val="24"/>
          <w:lang w:val="en-US"/>
        </w:rPr>
        <w:t>that</w:t>
      </w:r>
      <w:r w:rsidRPr="00FA5612">
        <w:rPr>
          <w:sz w:val="24"/>
          <w:szCs w:val="24"/>
          <w:lang w:val="en-US" w:eastAsia="ar-SA"/>
        </w:rPr>
        <w:t xml:space="preserve"> they learn </w:t>
      </w:r>
      <w:r w:rsidRPr="00FA5612">
        <w:rPr>
          <w:sz w:val="24"/>
          <w:szCs w:val="24"/>
          <w:lang w:val="en-US"/>
        </w:rPr>
        <w:t xml:space="preserve">in </w:t>
      </w:r>
      <w:r w:rsidRPr="00FA5612">
        <w:rPr>
          <w:sz w:val="24"/>
          <w:szCs w:val="24"/>
          <w:lang w:val="en-US" w:eastAsia="ar-SA"/>
        </w:rPr>
        <w:t>providing language assistance.</w:t>
      </w:r>
    </w:p>
    <w:p w14:paraId="0A4EA697" w14:textId="77777777" w:rsidR="00C45139" w:rsidRPr="00FA5612" w:rsidRDefault="00C45139" w:rsidP="00C45139">
      <w:pPr>
        <w:pStyle w:val="SingleTxtG"/>
        <w:spacing w:line="360" w:lineRule="auto"/>
        <w:ind w:left="0" w:right="0"/>
        <w:rPr>
          <w:sz w:val="24"/>
          <w:szCs w:val="24"/>
          <w:lang w:val="en-US"/>
        </w:rPr>
      </w:pPr>
      <w:r w:rsidRPr="00FA5612">
        <w:rPr>
          <w:sz w:val="24"/>
          <w:szCs w:val="24"/>
          <w:lang w:val="en-US" w:eastAsia="ar-SA"/>
        </w:rPr>
        <w:t>In pre-trial and criminal proceedings, a</w:t>
      </w:r>
      <w:r w:rsidRPr="00FA5612">
        <w:rPr>
          <w:sz w:val="24"/>
          <w:szCs w:val="24"/>
          <w:lang w:val="en-US"/>
        </w:rPr>
        <w:t xml:space="preserve"> minor as victim, any injured party who is</w:t>
      </w:r>
      <w:r w:rsidRPr="00FA5612">
        <w:rPr>
          <w:sz w:val="24"/>
          <w:szCs w:val="24"/>
          <w:lang w:val="en-US" w:eastAsia="ar-SA"/>
        </w:rPr>
        <w:t xml:space="preserve"> a victim of violence or another </w:t>
      </w:r>
      <w:r w:rsidRPr="00FA5612">
        <w:rPr>
          <w:sz w:val="24"/>
          <w:szCs w:val="24"/>
          <w:lang w:val="en-US"/>
        </w:rPr>
        <w:t>injured party,</w:t>
      </w:r>
      <w:r w:rsidRPr="00FA5612">
        <w:rPr>
          <w:sz w:val="24"/>
          <w:szCs w:val="24"/>
          <w:lang w:val="en-US" w:eastAsia="ar-SA"/>
        </w:rPr>
        <w:t xml:space="preserve"> if </w:t>
      </w:r>
      <w:r w:rsidRPr="00FA5612">
        <w:rPr>
          <w:sz w:val="24"/>
          <w:szCs w:val="24"/>
          <w:lang w:val="en-US"/>
        </w:rPr>
        <w:t xml:space="preserve">so </w:t>
      </w:r>
      <w:r w:rsidRPr="00FA5612">
        <w:rPr>
          <w:sz w:val="24"/>
          <w:szCs w:val="24"/>
          <w:lang w:val="en-US" w:eastAsia="ar-SA"/>
        </w:rPr>
        <w:t>required by the nature and gravity of the crime, their</w:t>
      </w:r>
      <w:r w:rsidRPr="00FA5612">
        <w:rPr>
          <w:sz w:val="24"/>
          <w:szCs w:val="24"/>
          <w:lang w:val="en-US"/>
        </w:rPr>
        <w:t xml:space="preserve"> </w:t>
      </w:r>
      <w:r w:rsidRPr="00FA5612">
        <w:rPr>
          <w:sz w:val="24"/>
          <w:szCs w:val="24"/>
          <w:lang w:val="en-US" w:eastAsia="ar-SA"/>
        </w:rPr>
        <w:t xml:space="preserve">personal circumstances or the degree of </w:t>
      </w:r>
      <w:r w:rsidRPr="00FA5612">
        <w:rPr>
          <w:sz w:val="24"/>
          <w:szCs w:val="24"/>
          <w:lang w:val="en-US"/>
        </w:rPr>
        <w:t>t</w:t>
      </w:r>
      <w:r w:rsidRPr="00FA5612">
        <w:rPr>
          <w:sz w:val="24"/>
          <w:szCs w:val="24"/>
          <w:lang w:val="en-US" w:eastAsia="ar-SA"/>
        </w:rPr>
        <w:t>h</w:t>
      </w:r>
      <w:r w:rsidRPr="00FA5612">
        <w:rPr>
          <w:sz w:val="24"/>
          <w:szCs w:val="24"/>
          <w:lang w:val="en-US"/>
        </w:rPr>
        <w:t>reat to their life and body</w:t>
      </w:r>
      <w:r w:rsidRPr="00FA5612">
        <w:rPr>
          <w:sz w:val="24"/>
          <w:szCs w:val="24"/>
          <w:lang w:val="en-US" w:eastAsia="ar-SA"/>
        </w:rPr>
        <w:t xml:space="preserve">, </w:t>
      </w:r>
      <w:r w:rsidRPr="00FA5612">
        <w:rPr>
          <w:sz w:val="24"/>
          <w:szCs w:val="24"/>
          <w:lang w:val="en-US"/>
        </w:rPr>
        <w:t>may be accompanied by a person of their choosing, unless this is contrary to the</w:t>
      </w:r>
      <w:r w:rsidRPr="00FA5612">
        <w:rPr>
          <w:sz w:val="24"/>
          <w:szCs w:val="24"/>
          <w:lang w:val="en-US" w:eastAsia="ar-SA"/>
        </w:rPr>
        <w:t xml:space="preserve"> </w:t>
      </w:r>
      <w:r w:rsidRPr="00FA5612">
        <w:rPr>
          <w:sz w:val="24"/>
          <w:szCs w:val="24"/>
          <w:lang w:val="en-US"/>
        </w:rPr>
        <w:t xml:space="preserve">interests of the </w:t>
      </w:r>
      <w:r w:rsidRPr="00FA5612">
        <w:rPr>
          <w:sz w:val="24"/>
          <w:szCs w:val="24"/>
          <w:lang w:val="en-US" w:eastAsia="ar-SA"/>
        </w:rPr>
        <w:t xml:space="preserve">successful </w:t>
      </w:r>
      <w:r w:rsidRPr="00FA5612">
        <w:rPr>
          <w:sz w:val="24"/>
          <w:szCs w:val="24"/>
          <w:lang w:val="en-US"/>
        </w:rPr>
        <w:t>implementation</w:t>
      </w:r>
      <w:r w:rsidRPr="00FA5612">
        <w:rPr>
          <w:sz w:val="24"/>
          <w:szCs w:val="24"/>
          <w:lang w:val="en-US" w:eastAsia="ar-SA"/>
        </w:rPr>
        <w:t xml:space="preserve"> of pre-trial or criminal proceedings or the benefit of the injured party. The injured party </w:t>
      </w:r>
      <w:r w:rsidRPr="00FA5612">
        <w:rPr>
          <w:sz w:val="24"/>
          <w:szCs w:val="24"/>
          <w:lang w:val="en-US"/>
        </w:rPr>
        <w:t xml:space="preserve">also has </w:t>
      </w:r>
      <w:r w:rsidRPr="00FA5612">
        <w:rPr>
          <w:sz w:val="24"/>
          <w:szCs w:val="24"/>
          <w:lang w:val="en-US" w:eastAsia="ar-SA"/>
        </w:rPr>
        <w:t>the right to receive information on the stat</w:t>
      </w:r>
      <w:r w:rsidRPr="00FA5612">
        <w:rPr>
          <w:sz w:val="24"/>
          <w:szCs w:val="24"/>
          <w:lang w:val="en-US"/>
        </w:rPr>
        <w:t>e</w:t>
      </w:r>
      <w:r w:rsidRPr="00FA5612">
        <w:rPr>
          <w:sz w:val="24"/>
          <w:szCs w:val="24"/>
          <w:lang w:val="en-US" w:eastAsia="ar-SA"/>
        </w:rPr>
        <w:t xml:space="preserve"> of pre-trial or criminal proceedings and final judgments. The injured party also has the right to </w:t>
      </w:r>
      <w:r w:rsidRPr="00FA5612">
        <w:rPr>
          <w:sz w:val="24"/>
          <w:szCs w:val="24"/>
          <w:lang w:val="en-US"/>
        </w:rPr>
        <w:t xml:space="preserve">lodge an appeal against a judgment passed at first instance within 30 days of service of the copy of the judgment. </w:t>
      </w:r>
    </w:p>
    <w:p w14:paraId="0659B465"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Additional information is available in the Appendix. </w:t>
      </w:r>
    </w:p>
    <w:p w14:paraId="3A6A2962" w14:textId="77777777" w:rsidR="00C45139" w:rsidRPr="007E1A1A" w:rsidRDefault="00C45139" w:rsidP="00C45139">
      <w:pPr>
        <w:pStyle w:val="SingleTxtG"/>
        <w:spacing w:line="360" w:lineRule="auto"/>
        <w:ind w:left="0" w:right="0"/>
        <w:rPr>
          <w:b/>
          <w:bCs/>
          <w:sz w:val="24"/>
          <w:szCs w:val="24"/>
          <w:lang w:val="en-US"/>
        </w:rPr>
      </w:pPr>
      <w:r w:rsidRPr="007E1A1A">
        <w:rPr>
          <w:b/>
          <w:bCs/>
          <w:sz w:val="24"/>
          <w:szCs w:val="24"/>
          <w:lang w:val="en-US"/>
        </w:rPr>
        <w:t>Ad 12:</w:t>
      </w:r>
    </w:p>
    <w:p w14:paraId="15C27244"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eastAsia="Arial" w:hAnsi="Times New Roman" w:cs="Times New Roman"/>
          <w:sz w:val="24"/>
          <w:szCs w:val="24"/>
        </w:rPr>
        <w:t xml:space="preserve">KZ-1 in its articles 10, 12 and 13 specifies the rules on territorial jurisdiction. No extradition </w:t>
      </w:r>
      <w:r w:rsidRPr="00FA5612">
        <w:rPr>
          <w:rFonts w:ascii="Times New Roman" w:hAnsi="Times New Roman" w:cs="Times New Roman"/>
          <w:sz w:val="24"/>
          <w:szCs w:val="24"/>
        </w:rPr>
        <w:t xml:space="preserve">cases occurred since the entry into force of the Convention in RS. </w:t>
      </w:r>
    </w:p>
    <w:p w14:paraId="5FA65020" w14:textId="77777777" w:rsidR="00C45139" w:rsidRPr="00FA5612" w:rsidRDefault="00C45139" w:rsidP="00C45139">
      <w:pPr>
        <w:spacing w:after="120" w:line="360" w:lineRule="auto"/>
        <w:jc w:val="both"/>
        <w:rPr>
          <w:rFonts w:ascii="Times New Roman" w:hAnsi="Times New Roman" w:cs="Times New Roman"/>
          <w:b/>
          <w:bCs/>
          <w:sz w:val="24"/>
          <w:szCs w:val="24"/>
        </w:rPr>
      </w:pPr>
      <w:r w:rsidRPr="00FA5612">
        <w:rPr>
          <w:rFonts w:ascii="Times New Roman" w:hAnsi="Times New Roman" w:cs="Times New Roman"/>
          <w:b/>
          <w:bCs/>
          <w:sz w:val="24"/>
          <w:szCs w:val="24"/>
        </w:rPr>
        <w:t>Ad 13:</w:t>
      </w:r>
    </w:p>
    <w:p w14:paraId="0A5CC906"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ZKP defines various ways in which to guarantee the presence of the accused in the procedure. The court must consider the conditions defined for individual measures. These measures shall also be lifted </w:t>
      </w:r>
      <w:r w:rsidRPr="00FA5612">
        <w:rPr>
          <w:rFonts w:ascii="Times New Roman" w:hAnsi="Times New Roman" w:cs="Times New Roman"/>
          <w:i/>
          <w:sz w:val="24"/>
          <w:szCs w:val="24"/>
        </w:rPr>
        <w:t>ex officio</w:t>
      </w:r>
      <w:r w:rsidRPr="00FA5612">
        <w:rPr>
          <w:rFonts w:ascii="Times New Roman" w:hAnsi="Times New Roman" w:cs="Times New Roman"/>
          <w:sz w:val="24"/>
          <w:szCs w:val="24"/>
        </w:rPr>
        <w:t xml:space="preserve"> if the reasons that dictated them cease to exist or if they are substituted by more lenient measures should the relevant conditions arise. An order to bring in forcibly the accused may be issued by the court if a ruling on detention is issued or if the accused person who has been duly summoned fails to appear and fails to justify absence. The order on forced appearance shall be executed by the police. If there is a risk that the accused will go into hiding or leave for an unknown destination or abroad during the proceedings, the court may decide that they must report on a daily basis or periodically at a specified time at the police station located in the area where they have permanent or temporary residence, or where they are staying at the time of deciding on the application of measures to ensure their appearance.  </w:t>
      </w:r>
    </w:p>
    <w:p w14:paraId="2498A626"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Additional information is available in the Appendix. </w:t>
      </w:r>
    </w:p>
    <w:p w14:paraId="0F2AD7C6" w14:textId="77777777" w:rsidR="00C45139" w:rsidRPr="00FA5612" w:rsidRDefault="00C45139" w:rsidP="00C45139">
      <w:pPr>
        <w:spacing w:after="120" w:line="360" w:lineRule="auto"/>
        <w:jc w:val="both"/>
        <w:rPr>
          <w:rFonts w:ascii="Times New Roman" w:hAnsi="Times New Roman" w:cs="Times New Roman"/>
          <w:b/>
          <w:bCs/>
          <w:sz w:val="24"/>
          <w:szCs w:val="24"/>
        </w:rPr>
      </w:pPr>
      <w:r w:rsidRPr="00FA5612">
        <w:rPr>
          <w:rFonts w:ascii="Times New Roman" w:hAnsi="Times New Roman" w:cs="Times New Roman"/>
          <w:b/>
          <w:bCs/>
          <w:sz w:val="24"/>
          <w:szCs w:val="24"/>
        </w:rPr>
        <w:t>Ad 14:</w:t>
      </w:r>
    </w:p>
    <w:p w14:paraId="79A483D8"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There is no specific criminal law provision designed exclusively to prevent or punish corruption in cases related to enforced disappearances in national jurisdiction. ZKP stipulates that, in the event of deprivation of liberty lasting more than 6 hours, the police must immediately notify </w:t>
      </w:r>
      <w:r w:rsidRPr="00FA5612">
        <w:rPr>
          <w:rFonts w:ascii="Times New Roman" w:hAnsi="Times New Roman" w:cs="Times New Roman"/>
          <w:sz w:val="24"/>
          <w:szCs w:val="24"/>
        </w:rPr>
        <w:lastRenderedPageBreak/>
        <w:t>the person deprived of liberty in writing by means of a decision of the reasons for the deprivation of liberty and inform them that, for the purpose of preparing a complaint, they have the right to review the case file related to the detention. The police shall immediately notify the public prosecutor of every deprivation of liberty, and the public prosecutor may issue instructions to the police regarding further measures. The provision that another authority decides on the appeal and the fact that the public prosecutor is notified of every deprivation of liberty prevent the possibility of abuse in cases of deprivation of liberty.</w:t>
      </w:r>
    </w:p>
    <w:p w14:paraId="3762E929" w14:textId="77777777" w:rsidR="00C45139" w:rsidRPr="007E1A1A" w:rsidRDefault="00C45139" w:rsidP="00C45139">
      <w:pPr>
        <w:pStyle w:val="SingleTxtG"/>
        <w:spacing w:line="360" w:lineRule="auto"/>
        <w:ind w:left="0" w:right="0"/>
        <w:rPr>
          <w:b/>
          <w:bCs/>
          <w:sz w:val="24"/>
          <w:szCs w:val="24"/>
          <w:lang w:val="en-US"/>
        </w:rPr>
      </w:pPr>
      <w:r w:rsidRPr="007E1A1A">
        <w:rPr>
          <w:b/>
          <w:bCs/>
          <w:sz w:val="24"/>
          <w:szCs w:val="24"/>
          <w:lang w:val="en-US"/>
        </w:rPr>
        <w:t>Ad 15:</w:t>
      </w:r>
    </w:p>
    <w:p w14:paraId="68978EC0" w14:textId="77777777" w:rsidR="00C45139" w:rsidRPr="007E1A1A" w:rsidRDefault="00C45139" w:rsidP="00C45139">
      <w:pPr>
        <w:pStyle w:val="CommentText"/>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There are no military courts in RS. Even in extraordinary circumstances (e.g., a state of war),</w:t>
      </w:r>
      <w:r w:rsidRPr="00FA5612" w:rsidDel="00BE5481">
        <w:rPr>
          <w:rFonts w:ascii="Times New Roman" w:hAnsi="Times New Roman" w:cs="Times New Roman"/>
          <w:sz w:val="24"/>
          <w:szCs w:val="24"/>
        </w:rPr>
        <w:t xml:space="preserve"> </w:t>
      </w:r>
      <w:r w:rsidRPr="00FA5612">
        <w:rPr>
          <w:rFonts w:ascii="Times New Roman" w:hAnsi="Times New Roman" w:cs="Times New Roman"/>
          <w:sz w:val="24"/>
          <w:szCs w:val="24"/>
        </w:rPr>
        <w:t>judicial authority remains within the regular court system. Specialized courts operate only in the areas of labor, social, and administrative law, while general courts include district, county, and higher courts, as well as the Supreme Court of the Republic of Slovenia, which adjudicate civil, criminal, and other matters.</w:t>
      </w:r>
    </w:p>
    <w:p w14:paraId="194C592F" w14:textId="77777777" w:rsidR="00C45139" w:rsidRPr="007E1A1A" w:rsidRDefault="00C45139" w:rsidP="00C45139">
      <w:pPr>
        <w:pStyle w:val="SingleTxtG"/>
        <w:spacing w:line="360" w:lineRule="auto"/>
        <w:ind w:left="0" w:right="0"/>
        <w:rPr>
          <w:b/>
          <w:bCs/>
          <w:sz w:val="24"/>
          <w:szCs w:val="24"/>
          <w:lang w:val="en-US"/>
        </w:rPr>
      </w:pPr>
      <w:r w:rsidRPr="007E1A1A">
        <w:rPr>
          <w:b/>
          <w:bCs/>
          <w:sz w:val="24"/>
          <w:szCs w:val="24"/>
          <w:lang w:val="en-US"/>
        </w:rPr>
        <w:t>Ad 16:</w:t>
      </w:r>
    </w:p>
    <w:p w14:paraId="2106161A" w14:textId="77777777" w:rsidR="00C45139" w:rsidRPr="00FA5612" w:rsidRDefault="00C45139" w:rsidP="00C45139">
      <w:pPr>
        <w:pStyle w:val="CommentText"/>
        <w:spacing w:line="360" w:lineRule="auto"/>
        <w:jc w:val="both"/>
        <w:rPr>
          <w:rFonts w:ascii="Times New Roman" w:eastAsia="Times New Roman" w:hAnsi="Times New Roman" w:cs="Times New Roman"/>
          <w:sz w:val="24"/>
          <w:szCs w:val="24"/>
        </w:rPr>
      </w:pPr>
      <w:r w:rsidRPr="00FA5612">
        <w:rPr>
          <w:rFonts w:ascii="Times New Roman" w:eastAsia="Times New Roman" w:hAnsi="Times New Roman" w:cs="Times New Roman"/>
          <w:sz w:val="24"/>
          <w:szCs w:val="24"/>
        </w:rPr>
        <w:t xml:space="preserve">If a criminal offense under Article 101 of the KZ-1 is committed by a member of the Slovenian Armed Forces (SV), the Intelligence and Security Service of the Ministry of Defense (ISS MORS) has jurisdiction over the pre-trial proceedings and investigation as long as the perpetrator retains the status of a military person. In accordance with the </w:t>
      </w:r>
      <w:proofErr w:type="spellStart"/>
      <w:r w:rsidRPr="00FA5612">
        <w:rPr>
          <w:rFonts w:ascii="Times New Roman" w:eastAsia="Times New Roman" w:hAnsi="Times New Roman" w:cs="Times New Roman"/>
          <w:sz w:val="24"/>
          <w:szCs w:val="24"/>
        </w:rPr>
        <w:t>ZObr</w:t>
      </w:r>
      <w:proofErr w:type="spellEnd"/>
      <w:r w:rsidRPr="00FA5612">
        <w:rPr>
          <w:rFonts w:ascii="Times New Roman" w:eastAsia="Times New Roman" w:hAnsi="Times New Roman" w:cs="Times New Roman"/>
          <w:sz w:val="24"/>
          <w:szCs w:val="24"/>
        </w:rPr>
        <w:t xml:space="preserve">, employees of the ISS MORS have the same powers as those granted by law to the police in the prevention, detection, and investigation of criminal offenses within the Ministry and the SV. ISS MORS may exercise any police powers for the purpose of investigating criminal offenses committed within the SV or within the ministry responsible for defense only in cases where, or until the moment when, the alleged perpetrator (still) holds, at the time these powers are exercised, the status of a military person or a civilian employed by the SV, or another employee in the defense sector, or a person assigned to a mission abroad. </w:t>
      </w:r>
    </w:p>
    <w:p w14:paraId="018A9580"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Additional information is available in the Appendix. </w:t>
      </w:r>
    </w:p>
    <w:p w14:paraId="3C960FDD" w14:textId="77777777" w:rsidR="00C45139" w:rsidRPr="007E1A1A" w:rsidRDefault="00C45139" w:rsidP="00C45139">
      <w:pPr>
        <w:pStyle w:val="CommentText"/>
        <w:spacing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t>Ad 17 a):</w:t>
      </w:r>
    </w:p>
    <w:p w14:paraId="63EB6C3F" w14:textId="77777777" w:rsidR="00C45139" w:rsidRPr="007E1A1A" w:rsidRDefault="00C45139" w:rsidP="00C45139">
      <w:pPr>
        <w:spacing w:line="360" w:lineRule="auto"/>
        <w:jc w:val="both"/>
        <w:rPr>
          <w:rFonts w:ascii="Times New Roman" w:hAnsi="Times New Roman" w:cs="Times New Roman"/>
          <w:sz w:val="24"/>
          <w:szCs w:val="24"/>
        </w:rPr>
      </w:pPr>
      <w:r w:rsidRPr="00FA5612">
        <w:rPr>
          <w:rFonts w:ascii="Times New Roman" w:eastAsia="Times New Roman" w:hAnsi="Times New Roman" w:cs="Times New Roman"/>
          <w:sz w:val="24"/>
          <w:szCs w:val="24"/>
        </w:rPr>
        <w:t xml:space="preserve">Criminal complaints regarding alleged cases of enforced disappearances are filed with the competent public prosecutor. Pursuant to ZKP, they may also be submitted to the police, a court, or a public prosecutor without jurisdiction, who are required to immediately refer them to the competent public prosecutor. In such cases, the police conduct pre-trial proceedings under the </w:t>
      </w:r>
      <w:r w:rsidRPr="00FA5612">
        <w:rPr>
          <w:rFonts w:ascii="Times New Roman" w:eastAsia="Times New Roman" w:hAnsi="Times New Roman" w:cs="Times New Roman"/>
          <w:sz w:val="24"/>
          <w:szCs w:val="24"/>
        </w:rPr>
        <w:lastRenderedPageBreak/>
        <w:t>direction of the competent public prosecutor. In case the suspect is a policeman or a similar official, the competent state body is always the so-called Special section.</w:t>
      </w:r>
      <w:r w:rsidRPr="00FA5612">
        <w:rPr>
          <w:rFonts w:ascii="Times New Roman" w:eastAsia="Times New Roman" w:hAnsi="Times New Roman" w:cs="Times New Roman"/>
          <w:sz w:val="24"/>
          <w:szCs w:val="24"/>
          <w:vertAlign w:val="superscript"/>
        </w:rPr>
        <w:footnoteReference w:id="6"/>
      </w:r>
      <w:r w:rsidRPr="00FA5612">
        <w:rPr>
          <w:rFonts w:ascii="Times New Roman" w:eastAsia="Times New Roman" w:hAnsi="Times New Roman" w:cs="Times New Roman"/>
          <w:sz w:val="24"/>
          <w:szCs w:val="24"/>
        </w:rPr>
        <w:t xml:space="preserve"> In it, also police officers are allocated, (they don’t work for the police but for the state prosecutor’s office). If the crime report is filed with the police, they shall immediately inform the competent state prosecutor from the Special Section of the grounds for suspicion that the officially prosecuted criminal offence from their competency has been committed. Special Section is therefore exclusively competent for the prosecution of police officers and similar officials. </w:t>
      </w:r>
    </w:p>
    <w:p w14:paraId="59A4A5D2" w14:textId="77777777" w:rsidR="00C45139" w:rsidRPr="007E1A1A" w:rsidRDefault="00C45139" w:rsidP="00C45139">
      <w:pPr>
        <w:pStyle w:val="CommentText"/>
        <w:spacing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t>Ad 17 b):</w:t>
      </w:r>
    </w:p>
    <w:p w14:paraId="1C7A4993" w14:textId="77777777" w:rsidR="00C45139" w:rsidRPr="007E1A1A" w:rsidRDefault="00C45139" w:rsidP="00C45139">
      <w:pPr>
        <w:spacing w:line="360" w:lineRule="auto"/>
        <w:jc w:val="both"/>
        <w:rPr>
          <w:rFonts w:ascii="Times New Roman" w:eastAsia="Times New Roman" w:hAnsi="Times New Roman" w:cs="Times New Roman"/>
          <w:sz w:val="24"/>
          <w:szCs w:val="24"/>
        </w:rPr>
      </w:pPr>
      <w:r w:rsidRPr="00FA5612">
        <w:rPr>
          <w:rFonts w:ascii="Times New Roman" w:eastAsia="Times New Roman" w:hAnsi="Times New Roman" w:cs="Times New Roman"/>
          <w:sz w:val="24"/>
          <w:szCs w:val="24"/>
        </w:rPr>
        <w:t xml:space="preserve">Any person, including family members, legal representatives, NGOs, or state authorities, may file a criminal complaint or report a suspected criminal offense. Slovenian law provides for the </w:t>
      </w:r>
      <w:r w:rsidRPr="00FA5612">
        <w:rPr>
          <w:rFonts w:ascii="Times New Roman" w:eastAsia="Times New Roman" w:hAnsi="Times New Roman" w:cs="Times New Roman"/>
          <w:i/>
          <w:iCs/>
          <w:sz w:val="24"/>
          <w:szCs w:val="24"/>
        </w:rPr>
        <w:t>ex officio</w:t>
      </w:r>
      <w:r w:rsidRPr="00FA5612">
        <w:rPr>
          <w:rFonts w:ascii="Times New Roman" w:eastAsia="Times New Roman" w:hAnsi="Times New Roman" w:cs="Times New Roman"/>
          <w:sz w:val="24"/>
          <w:szCs w:val="24"/>
        </w:rPr>
        <w:t xml:space="preserve"> prosecution of such criminal offenses. An investigation may therefore be initiated even without a formal complaint, based on any information, indications, suspicions or reports suggesting grounds for suspicion that a criminal offense has been committed. The speed, thoroughness, and impartiality of the investigation are ensured in particular by: (a) the duty of the police to act immediately upon detecting a suspected criminal offense or a missing person; (b) mandatory guidance and supervision of the pre-trial proceedings by the public prosecutor; (c) judicial supervision of human rights interventions; and (d) the exclusion of the police from handling cases in which public officials with special authorities are suspected, with such cases being handled by the Department for the Investigation and Prosecution of Public Officials with special authorities within the Specialized State Prosecutor’s Office of RS. This prevents conflicts of interest and ensures the independence and impartiality of the investigation.</w:t>
      </w:r>
    </w:p>
    <w:p w14:paraId="1A654F8A"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eastAsia="Times New Roman" w:hAnsi="Times New Roman" w:cs="Times New Roman"/>
          <w:b/>
          <w:bCs/>
          <w:sz w:val="24"/>
          <w:szCs w:val="24"/>
        </w:rPr>
        <w:t>Ad 17 c):</w:t>
      </w:r>
    </w:p>
    <w:p w14:paraId="3BA93162" w14:textId="77777777" w:rsidR="00C45139" w:rsidRPr="00FA5612" w:rsidRDefault="00C45139" w:rsidP="00C45139">
      <w:pPr>
        <w:pStyle w:val="SingleTxtG"/>
        <w:spacing w:line="360" w:lineRule="auto"/>
        <w:ind w:left="0" w:right="0"/>
        <w:rPr>
          <w:rFonts w:eastAsia="Times New Roman"/>
          <w:kern w:val="2"/>
          <w:sz w:val="24"/>
          <w:szCs w:val="24"/>
          <w:lang w:val="en-US"/>
          <w14:ligatures w14:val="standardContextual"/>
        </w:rPr>
      </w:pPr>
      <w:r w:rsidRPr="00FA5612">
        <w:rPr>
          <w:rFonts w:eastAsia="Times New Roman"/>
          <w:kern w:val="2"/>
          <w:sz w:val="24"/>
          <w:szCs w:val="24"/>
          <w:lang w:val="en-US"/>
          <w14:ligatures w14:val="standardContextual"/>
        </w:rPr>
        <w:t>The policemen and state prosecutors working at the Special Section have all the police powers and the powers, entitled by state prosecutors, to investigate and prosecute enforced disappearances.</w:t>
      </w:r>
    </w:p>
    <w:p w14:paraId="64D844AE"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eastAsia="Times New Roman" w:hAnsi="Times New Roman" w:cs="Times New Roman"/>
          <w:b/>
          <w:bCs/>
          <w:sz w:val="24"/>
          <w:szCs w:val="24"/>
        </w:rPr>
        <w:t>Ad 17 d):</w:t>
      </w:r>
    </w:p>
    <w:p w14:paraId="57CFBD5F" w14:textId="77777777" w:rsidR="00C45139" w:rsidRPr="007E1A1A" w:rsidRDefault="00C45139" w:rsidP="00C45139">
      <w:pPr>
        <w:spacing w:line="360" w:lineRule="auto"/>
        <w:jc w:val="both"/>
        <w:rPr>
          <w:rFonts w:ascii="Times New Roman" w:eastAsia="Times New Roman" w:hAnsi="Times New Roman" w:cs="Times New Roman"/>
          <w:sz w:val="24"/>
          <w:szCs w:val="24"/>
        </w:rPr>
      </w:pPr>
      <w:r w:rsidRPr="00FA5612">
        <w:rPr>
          <w:rFonts w:ascii="Times New Roman" w:eastAsia="Times New Roman" w:hAnsi="Times New Roman" w:cs="Times New Roman"/>
          <w:sz w:val="24"/>
          <w:szCs w:val="24"/>
        </w:rPr>
        <w:t xml:space="preserve">Since the Convention entered into force, the MNZ has not recorded any cases of enforced disappearance. Similarly, the competent authorities do not have data on reports filed or </w:t>
      </w:r>
      <w:r w:rsidRPr="00FA5612">
        <w:rPr>
          <w:rFonts w:ascii="Times New Roman" w:eastAsia="Times New Roman" w:hAnsi="Times New Roman" w:cs="Times New Roman"/>
          <w:sz w:val="24"/>
          <w:szCs w:val="24"/>
        </w:rPr>
        <w:lastRenderedPageBreak/>
        <w:t>proceedings initiated in connection with the crime of enforced disappearance. Consequently, there is no data on investigations conducted, court proceedings, perpetrators, convictions, or sanctions related to such acts.</w:t>
      </w:r>
    </w:p>
    <w:p w14:paraId="57A0D082"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eastAsia="Times New Roman" w:hAnsi="Times New Roman" w:cs="Times New Roman"/>
          <w:b/>
          <w:bCs/>
          <w:sz w:val="24"/>
          <w:szCs w:val="24"/>
        </w:rPr>
        <w:t>Ad 18:</w:t>
      </w:r>
    </w:p>
    <w:p w14:paraId="4F6BF3C0" w14:textId="77777777" w:rsidR="00C45139" w:rsidRPr="00FA5612" w:rsidRDefault="00C45139" w:rsidP="00C45139">
      <w:pPr>
        <w:spacing w:line="360" w:lineRule="auto"/>
        <w:jc w:val="both"/>
        <w:rPr>
          <w:rFonts w:ascii="Times New Roman" w:eastAsia="Times New Roman" w:hAnsi="Times New Roman" w:cs="Times New Roman"/>
          <w:sz w:val="24"/>
          <w:szCs w:val="24"/>
        </w:rPr>
      </w:pPr>
      <w:r w:rsidRPr="00FA5612">
        <w:rPr>
          <w:rFonts w:ascii="Times New Roman" w:eastAsia="Times New Roman" w:hAnsi="Times New Roman" w:cs="Times New Roman"/>
          <w:sz w:val="24"/>
          <w:szCs w:val="24"/>
        </w:rPr>
        <w:t>The RS ensures the impartiality and independence of search and investigation procedures in cases of alleged enforced disappearances, primarily through a clear institutional and functional separation of the authorities responsible for investigating criminal offenses allegedly committed by public officials. Under Article 134 of the KZ-1, all district public prosecutors’ offices have jurisdiction over the crimes of kidnapping and enforced disappearance; however, if the perpetrators are public officials listed in the note, exclusive subject-matter jurisdiction lies with the Department for the Investigation and Prosecution of Public Officials with Special Powers (Special Department of the SDT RS). It is separate from the “regular” police in organizational terms and entirely separate from the police in organizational, functional, and hierarchical terms and operates as an independent state body outside the police structure, ensuring that the police do not investigate their own officers. Slovenian legislation does not provide for automatic or mandatory temporary suspension from duty solely based on suspicion of a criminal offense, even when the alleged perpetrator is a public official. If the suspect is a police officer, the Special Department of the SDT RS may, already during the pre-trial proceedings, notify the Director General of the Police that the police powers of the suspect-police officer must be revoked, a decision on which is made by the Director General of the Police. If police officers are suspected of involvement in an enforced disappearance, the Act on the Organization and Work of the Police (</w:t>
      </w:r>
      <w:proofErr w:type="spellStart"/>
      <w:r w:rsidRPr="00FA5612">
        <w:rPr>
          <w:rFonts w:ascii="Times New Roman" w:eastAsia="Times New Roman" w:hAnsi="Times New Roman" w:cs="Times New Roman"/>
          <w:sz w:val="24"/>
          <w:szCs w:val="24"/>
        </w:rPr>
        <w:t>ZODPol</w:t>
      </w:r>
      <w:proofErr w:type="spellEnd"/>
      <w:r w:rsidRPr="00FA5612">
        <w:rPr>
          <w:rFonts w:ascii="Times New Roman" w:eastAsia="Times New Roman" w:hAnsi="Times New Roman" w:cs="Times New Roman"/>
          <w:sz w:val="24"/>
          <w:szCs w:val="24"/>
        </w:rPr>
        <w:t xml:space="preserve">) stipulates that they may not perform police duties if they are personally involved in the incident (violation of regulations). In accordance with the Constitution, public prosecutors are autonomous, and representatives of the executive branch are prohibited from interfering in individual cases, issuing instructions regarding individual cases, etc. The appointment of public prosecutors is not time-limited; they cease to perform their duties no later than upon reaching the age of 70. The Constitution also stipulates that the office of public prosecutor is incompatible with a mandate in other state bodies, in local self-government bodies, and in political party bodies, as well as with other offices and activities as prescribed by law. The suspension of a public prosecutor is governed by </w:t>
      </w:r>
      <w:r w:rsidRPr="00377CCC">
        <w:rPr>
          <w:rFonts w:ascii="Times New Roman" w:eastAsia="Times New Roman" w:hAnsi="Times New Roman" w:cs="Times New Roman"/>
          <w:sz w:val="24"/>
          <w:szCs w:val="24"/>
        </w:rPr>
        <w:t>State Prosecution Service Act</w:t>
      </w:r>
      <w:r w:rsidRPr="00FA5612">
        <w:rPr>
          <w:rFonts w:ascii="Times New Roman" w:eastAsia="Times New Roman" w:hAnsi="Times New Roman" w:cs="Times New Roman"/>
          <w:sz w:val="24"/>
          <w:szCs w:val="24"/>
        </w:rPr>
        <w:t xml:space="preserve">. If criminal proceedings are instituted against a public prosecutor for a criminal offense that is prosecuted </w:t>
      </w:r>
      <w:r w:rsidRPr="00FA5612">
        <w:rPr>
          <w:rFonts w:ascii="Times New Roman" w:eastAsia="Times New Roman" w:hAnsi="Times New Roman" w:cs="Times New Roman"/>
          <w:i/>
          <w:iCs/>
          <w:sz w:val="24"/>
          <w:szCs w:val="24"/>
        </w:rPr>
        <w:t>ex officio</w:t>
      </w:r>
      <w:r w:rsidRPr="00FA5612">
        <w:rPr>
          <w:rFonts w:ascii="Times New Roman" w:eastAsia="Times New Roman" w:hAnsi="Times New Roman" w:cs="Times New Roman"/>
          <w:sz w:val="24"/>
          <w:szCs w:val="24"/>
        </w:rPr>
        <w:t xml:space="preserve">, for which a prison sentence of more than two years may </w:t>
      </w:r>
      <w:r w:rsidRPr="00FA5612">
        <w:rPr>
          <w:rFonts w:ascii="Times New Roman" w:eastAsia="Times New Roman" w:hAnsi="Times New Roman" w:cs="Times New Roman"/>
          <w:sz w:val="24"/>
          <w:szCs w:val="24"/>
        </w:rPr>
        <w:lastRenderedPageBreak/>
        <w:t xml:space="preserve">be imposed, and for which the public prosecutor may be removed from office, the Prosecutor General may impose a suspension following the prior opinion of the State Prosecutors’ Council. </w:t>
      </w:r>
    </w:p>
    <w:p w14:paraId="7B72F57F"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Additional information is available in the Appendix. </w:t>
      </w:r>
    </w:p>
    <w:p w14:paraId="044106CC"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eastAsia="Times New Roman" w:hAnsi="Times New Roman" w:cs="Times New Roman"/>
          <w:b/>
          <w:bCs/>
          <w:sz w:val="24"/>
          <w:szCs w:val="24"/>
        </w:rPr>
        <w:t>Ad 19 a):</w:t>
      </w:r>
    </w:p>
    <w:p w14:paraId="4DAE64C0" w14:textId="77777777" w:rsidR="00C45139" w:rsidRPr="007E1A1A"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Activities in the field of preventing and combating human trafficking are carried out </w:t>
      </w:r>
      <w:r w:rsidRPr="007E1A1A">
        <w:rPr>
          <w:rFonts w:ascii="Times New Roman" w:hAnsi="Times New Roman" w:cs="Times New Roman"/>
          <w:sz w:val="24"/>
          <w:szCs w:val="24"/>
        </w:rPr>
        <w:t>based on</w:t>
      </w:r>
      <w:r w:rsidRPr="00FA5612">
        <w:rPr>
          <w:rFonts w:ascii="Times New Roman" w:hAnsi="Times New Roman" w:cs="Times New Roman"/>
          <w:sz w:val="24"/>
          <w:szCs w:val="24"/>
        </w:rPr>
        <w:t xml:space="preserve"> two-year action plans adopted by the national Government. The defined and budgeted activities are carried out on an ongoing basis, ensuring continuous cooperation between government and NGOs in preventing human trafficking, identifying victims, investigating and prosecuting human trafficking offenses, and aiding victims of human trafficking. The Action Plan to Combat Human Trafficking for the period 2023–2024 has strengthened preventive activities, professional training for relevant services, and awareness-raising among vulnerable groups, thereby reducing the risk that victims of human trafficking will slip out of the reach of institutions or become invisible within the protection system. The early identification system is based on the use of human trafficking indicators in police procedures and in asylum and migration procedures, as well as in accommodation and reception settings. Special attention is given to unaccompanied minors, women, and migrant workers. Upon identification of a potential victim, the national referral mechanism is activated, involving the cooperation of the police, the public prosecutor’s office, social work centers, and specialized NGOs.</w:t>
      </w:r>
    </w:p>
    <w:p w14:paraId="365BECC5"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eastAsia="Times New Roman" w:hAnsi="Times New Roman" w:cs="Times New Roman"/>
          <w:b/>
          <w:bCs/>
          <w:sz w:val="24"/>
          <w:szCs w:val="24"/>
        </w:rPr>
        <w:t>Ad 19 b):</w:t>
      </w:r>
    </w:p>
    <w:p w14:paraId="7F97254B"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Statistical data on victims of human trafficking are available in the annual reports of the Interministerial Working Group for Combating Human Trafficking (MDS TZL), which are publicly available on its website. During the reporting period, the police filed 91 criminal complaints with the competent state prosecutors’ offices for human trafficking offenses (under Article 113 of the KZ-1). A total of 83 victims of human trafficking were identified, 82 of whom were women. Just over half of the victims were citizens of countries in Southeast Europe (57%), one-third (33%) were citizens of Latin American countries, and 6% were citizens of RS. The remaining 4% were citizens of countries in Eastern Europe and Asia. Available data from the police and the Supreme State Prosecutor’s Office indicate that the victims’ ages ranged from 10 to 52 years.</w:t>
      </w:r>
    </w:p>
    <w:p w14:paraId="647EA561" w14:textId="77777777" w:rsidR="00C45139" w:rsidRPr="007E1A1A"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During the reporting period, state prosecutors’ offices received 34 criminal complaints, issued 17 requests for investigation, and filed 19 indictments in connection with the investigation of </w:t>
      </w:r>
      <w:r w:rsidRPr="00FA5612">
        <w:rPr>
          <w:rFonts w:ascii="Times New Roman" w:hAnsi="Times New Roman" w:cs="Times New Roman"/>
          <w:sz w:val="24"/>
          <w:szCs w:val="24"/>
        </w:rPr>
        <w:lastRenderedPageBreak/>
        <w:t>criminal offenses under Article 113 of the KZ-1; Persons charged with criminal offenses under Article 113 of the Criminal Code were sentenced to imprisonment in 4 cases, to a suspended sentence in 2 cases, to a fine in 4 cases, and to forfeiture of property in 1 case.</w:t>
      </w:r>
      <w:r w:rsidRPr="007E1A1A">
        <w:rPr>
          <w:rFonts w:ascii="Times New Roman" w:hAnsi="Times New Roman" w:cs="Times New Roman"/>
          <w:sz w:val="24"/>
          <w:szCs w:val="24"/>
        </w:rPr>
        <w:t xml:space="preserve"> </w:t>
      </w:r>
    </w:p>
    <w:p w14:paraId="699B733F"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eastAsia="Times New Roman" w:hAnsi="Times New Roman" w:cs="Times New Roman"/>
          <w:b/>
          <w:bCs/>
          <w:sz w:val="24"/>
          <w:szCs w:val="24"/>
        </w:rPr>
        <w:t>Ad 19 c):</w:t>
      </w:r>
    </w:p>
    <w:p w14:paraId="0BA11F24"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The MDS TZL assists the National Coordinator for Combating Trafficking in Human Beings by formulating proposals to enhance the effectiveness of policies and measures in this area. The Action Plan to Combat Human Trafficking for the period 2023–2024 has stepped up activities in the areas of prevention and awareness-raising; training for police officers, prosecutors, and other professionals; improved victim identification and referral procedures; and strengthened cooperation with NGOs. At its regular meetings in 2022–25, the MDS TZL addressed relevant issues in the fight against human trafficking and adopted conclusions for more effective implementation of policies in this area. During the reporting period, it prepared three annual reports on its work and two action plans. Its work was also marked by the review of actual cases involving the accommodation of victims of human trafficking, on which, in accordance with the Handbook, a specially appointed multidisciplinary group deliberates and makes decisions. Guidelines for Labor Inspectors on Identifying Victims of Human Trafficking were published, designed to assist inspectors in detecting and identifying victims of human trafficking who are exploited for labor.</w:t>
      </w:r>
    </w:p>
    <w:p w14:paraId="3F346718"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Victims of human trafficking will continue to receive protection and assistance in accordance with the Act Ratifying the Council of Europe Convention on Action against Trafficking in Human Beings and in accordance with the Guidelines for the Identification, Assistance, and Protection of Victims. Guidelines define the concept of human trafficking, the roles and responsibilities of all relevant stakeholders in addressing human trafficking and define measures for assisting and protecting victims. The Guidelines include indicators for identifying victims of trafficking, considering various forms of exploitation. These indicators serve as a basic tool for detecting all forms of human trafficking, including labor exploitation, forced labor, and child trafficking. </w:t>
      </w:r>
    </w:p>
    <w:p w14:paraId="5863D457"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As of 2023, the amendment to the Act Amending the Act on Compensation for Victims of Criminal Offenses has been in effect, extending the right to compensation for victims of criminal offenses to third-country nationals. This is important in the context of combating human trafficking, as victims typically do not have a permanent residence or citizenship. The </w:t>
      </w:r>
      <w:r w:rsidRPr="00FA5612">
        <w:rPr>
          <w:rFonts w:ascii="Times New Roman" w:hAnsi="Times New Roman" w:cs="Times New Roman"/>
          <w:sz w:val="24"/>
          <w:szCs w:val="24"/>
        </w:rPr>
        <w:lastRenderedPageBreak/>
        <w:t xml:space="preserve">second amendment introduces the possibility for a person entitled to compensation to waive legal representation, thereby receiving compensation more quickly. </w:t>
      </w:r>
    </w:p>
    <w:p w14:paraId="08D5F888"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The government funds assistance programs for victims of human trafficking, which are implemented by NGOs selected through public tenders. The emergency shelter program provides a 30-day period for recovery and contemplation. During this period, victims also have access to accommodation under the Safe Accommodation Protection Program. Since 2022, victims of the crime of exploitation through prostitution are also entitled to safe accommodation protection. The (Re)integration of Victims of Human Trafficking project was launched in 2019. The amended Regulation on the Provision of Appropriate Accommodation, Care, and Treatment for Unaccompanied Minors establishes a new framework for the accommodation of unaccompanied minors in the facilities of the UOIM, as well as for their care and treatment.</w:t>
      </w:r>
    </w:p>
    <w:p w14:paraId="13AC349A" w14:textId="77777777" w:rsidR="00C45139" w:rsidRPr="007E1A1A"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Legislative provisions are being drafted to regulate the establishment, duties, and powers of the position of an independent National Rapporteur, to be assumed by the Ombudsman. </w:t>
      </w:r>
    </w:p>
    <w:p w14:paraId="506ABE74"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eastAsia="Times New Roman" w:hAnsi="Times New Roman" w:cs="Times New Roman"/>
          <w:b/>
          <w:bCs/>
          <w:sz w:val="24"/>
          <w:szCs w:val="24"/>
        </w:rPr>
        <w:t>Ad 20 a):</w:t>
      </w:r>
    </w:p>
    <w:p w14:paraId="2A193F0F"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The assessment of the nature of the criminal offenses for which extradition is requested is carried out by the competent courts, which determine whether the conditions for the extradition of the person have been met, and by the Minister of Justice. The assessment is conducted based on criteria established by the Constitution, multilateral and bilateral international treaties, and, subsidiarily, by the ZKP. The criteria for distinguishing between criminal and political offenses, as well as related acts, are established by multilateral international treaties (e.g., Additional Protocol on Extradition, UN Convention against Transnational Organized Crime, UN Convention against Corruption, etc.) and bilateral international treaties (Treaty between the RS and the Republic of Kosovo on Extradition). When assessing whether the criminal prosecution of a person whose surrender or extradition is requested is politically motivated, credible sources regarding the protection of human rights in the requesting state are considered, including reports by international and NGOs and the case law of the ECtHR and national courts.</w:t>
      </w:r>
    </w:p>
    <w:p w14:paraId="2594F0E7" w14:textId="65B7BA4E" w:rsidR="00C45139" w:rsidRPr="007E1A1A" w:rsidRDefault="00C45139" w:rsidP="00C45139">
      <w:pPr>
        <w:spacing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t>Ad 20 b):</w:t>
      </w:r>
    </w:p>
    <w:p w14:paraId="5DEA8836" w14:textId="77777777" w:rsidR="00C45139" w:rsidRPr="007E1A1A"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Following the entry into force of the Convention, the Treaty between the RS and the Republic of Kosovo on Extradition was ratified; under the provisions of the Treaty, the crime of enforced disappearance is considered an extraditable offense. The time limits in the Treaty are </w:t>
      </w:r>
      <w:r w:rsidRPr="00FA5612">
        <w:rPr>
          <w:rFonts w:ascii="Times New Roman" w:hAnsi="Times New Roman" w:cs="Times New Roman"/>
          <w:sz w:val="24"/>
          <w:szCs w:val="24"/>
        </w:rPr>
        <w:lastRenderedPageBreak/>
        <w:t>comparable to those set forth in the European Convention on Extradition and other bilateral international treaties to which Slovenia is a party.</w:t>
      </w:r>
    </w:p>
    <w:p w14:paraId="09786599" w14:textId="77777777" w:rsidR="00C45139" w:rsidRPr="007E1A1A" w:rsidRDefault="00C45139" w:rsidP="00C45139">
      <w:pPr>
        <w:spacing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t>Ad 20 c):</w:t>
      </w:r>
    </w:p>
    <w:p w14:paraId="6ADE5A39" w14:textId="77777777" w:rsidR="00C45139" w:rsidRPr="007E1A1A"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No restrictions or conditions apply to requests for international legal assistance, except for the condition that the provision of such assistance does not conflict with the legal order of the RS or undermine its sovereignty and security. Since the Convention’s entry into force, Slovenia has neither received nor sent any requests for international legal assistance related to the crime of enforced disappearance.</w:t>
      </w:r>
    </w:p>
    <w:p w14:paraId="6F382D06" w14:textId="77777777" w:rsidR="00C45139" w:rsidRPr="007E1A1A" w:rsidRDefault="00C45139" w:rsidP="00C45139">
      <w:pPr>
        <w:spacing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t>Ad 20 d):</w:t>
      </w:r>
    </w:p>
    <w:p w14:paraId="592423CF"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To strengthen cooperation with the countries of origin of victims of human trafficking, cooperation protocols on combating human trafficking and child abuse were signed with the Republic of North Macedonia (2021), and with Montenegro (2022). They cover the prevention of human trafficking, the identification, referral, protection and voluntary return of victims of human trafficking, and the protection of children who are victims of all forms of abuse. Slovenia pays special attention to cooperation with the countries of origin of trafficking victims, with a focus on the Western Balkans. To improve prevention, identification, protection, referral, and cooperation in criminal and other proceedings, as well as mutual assistance in the voluntary return of victims and potential victims of trafficking, negotiations are underway to conclude agreements with the Governments of the Republic of Serbia and Bosnia and Herzegovina. </w:t>
      </w:r>
    </w:p>
    <w:p w14:paraId="5A7E93F0"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Slovenia places the fight against human trafficking at the forefront of international cooperation and participates in the informal Network of National Coordinators against Trafficking in Human Beings in Southeast Europe (NATC SEE). Participation in the network facilitates the exchange of experiences and best practices among countries, the identification of common issues, and the development of joint measures. With the support of the International Centre for Migration Policy Development, which provides the network with technical and administrative support, the network has become one of the most important forums for cooperation in the fight against human trafficking in the region. </w:t>
      </w:r>
    </w:p>
    <w:p w14:paraId="44FE52ED"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Within the framework of international police cooperation, the RS also uses the SIS, which enables the rapid entry of measures to locate individuals and the exchange of alerts, data, and information among the competent authorities of Schengen Area member states in the event of a so-called hit or the location of a person. The system is also used in </w:t>
      </w:r>
      <w:r w:rsidRPr="007E1A1A">
        <w:rPr>
          <w:rFonts w:ascii="Times New Roman" w:hAnsi="Times New Roman" w:cs="Times New Roman"/>
          <w:sz w:val="24"/>
          <w:szCs w:val="24"/>
        </w:rPr>
        <w:t>searching</w:t>
      </w:r>
      <w:r w:rsidRPr="00FA5612">
        <w:rPr>
          <w:rFonts w:ascii="Times New Roman" w:hAnsi="Times New Roman" w:cs="Times New Roman"/>
          <w:sz w:val="24"/>
          <w:szCs w:val="24"/>
        </w:rPr>
        <w:t xml:space="preserve"> for missing </w:t>
      </w:r>
      <w:r w:rsidRPr="00FA5612">
        <w:rPr>
          <w:rFonts w:ascii="Times New Roman" w:hAnsi="Times New Roman" w:cs="Times New Roman"/>
          <w:sz w:val="24"/>
          <w:szCs w:val="24"/>
        </w:rPr>
        <w:lastRenderedPageBreak/>
        <w:t>persons, including children, and in the implementation of measures for their protection and tracing. When cases involve third countries, the police also use Interpol channels for the exchange of information and operational cooperation.</w:t>
      </w:r>
    </w:p>
    <w:p w14:paraId="6CB34487"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eastAsia="Times New Roman" w:hAnsi="Times New Roman" w:cs="Times New Roman"/>
          <w:b/>
          <w:bCs/>
          <w:sz w:val="24"/>
          <w:szCs w:val="24"/>
        </w:rPr>
        <w:t>Ad 21 a):</w:t>
      </w:r>
    </w:p>
    <w:p w14:paraId="3458E2E2" w14:textId="77777777" w:rsidR="00C45139" w:rsidRPr="007E1A1A" w:rsidRDefault="00C45139" w:rsidP="00C45139">
      <w:pPr>
        <w:spacing w:line="360" w:lineRule="auto"/>
        <w:jc w:val="both"/>
        <w:rPr>
          <w:rFonts w:ascii="Times New Roman" w:hAnsi="Times New Roman" w:cs="Times New Roman"/>
          <w:sz w:val="24"/>
          <w:szCs w:val="24"/>
          <w:lang w:eastAsia="en-GB"/>
        </w:rPr>
      </w:pPr>
      <w:r w:rsidRPr="00FA5612">
        <w:rPr>
          <w:rFonts w:ascii="Times New Roman" w:hAnsi="Times New Roman" w:cs="Times New Roman"/>
          <w:sz w:val="24"/>
          <w:szCs w:val="24"/>
          <w:lang w:eastAsia="en-GB"/>
        </w:rPr>
        <w:t>The prohibition on the extradition and surrender of a person to another state where there are substantial grounds for believing that the person would be at risk of becoming a victim of enforced disappearance stems from Article 16 of the Convention. This provision is directly applicable in Slovenia pursuant to Article 8 of its Constitution and takes precedence over provisions of domestic law. Likewise, the obligation to examine the likelihood of a violation of the human rights of the person being extradited stems from numerous international treaties (e.g., Convention Relating to the Status of Refugees), Article</w:t>
      </w:r>
      <w:r w:rsidRPr="007E1A1A">
        <w:rPr>
          <w:rFonts w:ascii="Times New Roman" w:hAnsi="Times New Roman" w:cs="Times New Roman"/>
          <w:sz w:val="24"/>
          <w:szCs w:val="24"/>
          <w:lang w:eastAsia="en-GB"/>
        </w:rPr>
        <w:t>s</w:t>
      </w:r>
      <w:r w:rsidRPr="00FA5612">
        <w:rPr>
          <w:rFonts w:ascii="Times New Roman" w:hAnsi="Times New Roman" w:cs="Times New Roman"/>
          <w:sz w:val="24"/>
          <w:szCs w:val="24"/>
          <w:lang w:eastAsia="en-GB"/>
        </w:rPr>
        <w:t xml:space="preserve"> 17 and 18 of the Constitution, Article 522 of the ZKP, and the case law of the ECtHR and Slovenian courts.</w:t>
      </w:r>
    </w:p>
    <w:p w14:paraId="5104CB0C"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hAnsi="Times New Roman" w:cs="Times New Roman"/>
          <w:b/>
          <w:bCs/>
          <w:sz w:val="24"/>
          <w:szCs w:val="24"/>
        </w:rPr>
        <w:t>A</w:t>
      </w:r>
      <w:r w:rsidRPr="007E1A1A">
        <w:rPr>
          <w:rFonts w:ascii="Times New Roman" w:eastAsia="Times New Roman" w:hAnsi="Times New Roman" w:cs="Times New Roman"/>
          <w:b/>
          <w:bCs/>
          <w:sz w:val="24"/>
          <w:szCs w:val="24"/>
        </w:rPr>
        <w:t>d 21 b):</w:t>
      </w:r>
    </w:p>
    <w:p w14:paraId="3FEE681F" w14:textId="77777777" w:rsidR="00C45139" w:rsidRPr="007E1A1A" w:rsidRDefault="00C45139" w:rsidP="00C45139">
      <w:pPr>
        <w:spacing w:line="360" w:lineRule="auto"/>
        <w:jc w:val="both"/>
        <w:rPr>
          <w:rFonts w:ascii="Times New Roman" w:hAnsi="Times New Roman" w:cs="Times New Roman"/>
          <w:b/>
          <w:bCs/>
          <w:sz w:val="24"/>
          <w:szCs w:val="24"/>
        </w:rPr>
      </w:pPr>
      <w:r w:rsidRPr="00FA5612">
        <w:rPr>
          <w:rFonts w:ascii="Times New Roman" w:hAnsi="Times New Roman" w:cs="Times New Roman"/>
          <w:sz w:val="24"/>
          <w:szCs w:val="24"/>
        </w:rPr>
        <w:t xml:space="preserve">When assessing the likelihood of human rights violations in the requesting state, in proceedings for the surrender and extradition of a requested person, takes into account reliable sources regarding the protection of human rights in the requesting state, including reports by international (e.g., CPT and CAT) and NGOs (HRW, AI, etc.), as well as the case law of the ECtHR. Statements and evidence submitted by the requested person or their counsel are also considered. The court, considering the evidence submitted and that obtained </w:t>
      </w:r>
      <w:r w:rsidRPr="00FA5612">
        <w:rPr>
          <w:rFonts w:ascii="Times New Roman" w:hAnsi="Times New Roman" w:cs="Times New Roman"/>
          <w:i/>
          <w:iCs/>
          <w:sz w:val="24"/>
          <w:szCs w:val="24"/>
        </w:rPr>
        <w:t>ex officio</w:t>
      </w:r>
      <w:r w:rsidRPr="00FA5612">
        <w:rPr>
          <w:rFonts w:ascii="Times New Roman" w:hAnsi="Times New Roman" w:cs="Times New Roman"/>
          <w:sz w:val="24"/>
          <w:szCs w:val="24"/>
        </w:rPr>
        <w:t>, decides in adversarial proceedings whether the conditions for the surrender or extradition of the person are met. Extraordinary procedures in the field of international protection cannot be implemented during a complex crisis.</w:t>
      </w:r>
    </w:p>
    <w:p w14:paraId="381D4228"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hAnsi="Times New Roman" w:cs="Times New Roman"/>
          <w:b/>
          <w:bCs/>
          <w:sz w:val="24"/>
          <w:szCs w:val="24"/>
        </w:rPr>
        <w:t>Ad</w:t>
      </w:r>
      <w:r w:rsidRPr="007E1A1A">
        <w:rPr>
          <w:rFonts w:ascii="Times New Roman" w:eastAsia="Times New Roman" w:hAnsi="Times New Roman" w:cs="Times New Roman"/>
          <w:b/>
          <w:bCs/>
          <w:sz w:val="24"/>
          <w:szCs w:val="24"/>
        </w:rPr>
        <w:t xml:space="preserve"> 21 c):</w:t>
      </w:r>
    </w:p>
    <w:p w14:paraId="557FCAA7" w14:textId="77777777" w:rsidR="00C45139" w:rsidRPr="007E1A1A"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An appeal may be filed with the court of second instance against a decision by the court of first instance that the conditions for the surrender or extradition of the requested person have been met. The appeal has suspensive effect. In extradition proceedings, the Minister of Justice also has the authority to decide. An administrative lawsuit may be filed against the Minister’s decision with the Administrative Court of RS. If a person believes that, in the event of surrender or extradition, he/she could be exposed to violations of human rights protected by the Constitution or the Convention in the requesting state, he/she may file a constitutional complaint with the Constitutional Court of RS. Latter may also, upon a party’s motion, suspend </w:t>
      </w:r>
      <w:r w:rsidRPr="00FA5612">
        <w:rPr>
          <w:rFonts w:ascii="Times New Roman" w:hAnsi="Times New Roman" w:cs="Times New Roman"/>
          <w:sz w:val="24"/>
          <w:szCs w:val="24"/>
        </w:rPr>
        <w:lastRenderedPageBreak/>
        <w:t>the execution of the surrender or extradition decision until a final decision on the constitutional complaint is rendered.</w:t>
      </w:r>
    </w:p>
    <w:p w14:paraId="470D41BA"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hAnsi="Times New Roman" w:cs="Times New Roman"/>
          <w:b/>
          <w:bCs/>
          <w:sz w:val="24"/>
          <w:szCs w:val="24"/>
        </w:rPr>
        <w:t xml:space="preserve">Ad </w:t>
      </w:r>
      <w:r w:rsidRPr="007E1A1A">
        <w:rPr>
          <w:rFonts w:ascii="Times New Roman" w:eastAsia="Times New Roman" w:hAnsi="Times New Roman" w:cs="Times New Roman"/>
          <w:b/>
          <w:bCs/>
          <w:sz w:val="24"/>
          <w:szCs w:val="24"/>
        </w:rPr>
        <w:t>21 d):</w:t>
      </w:r>
    </w:p>
    <w:p w14:paraId="629F4A92" w14:textId="77777777" w:rsidR="00C45139" w:rsidRPr="007E1A1A"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In cases where a person applies for international protection, any “returns” take place only within the framework of the so-called Dublin procedures, under which the responsible Member State is determined. These procedures ensure that the Member State responsible conducts a substantive examination of such an application.</w:t>
      </w:r>
    </w:p>
    <w:p w14:paraId="13FCA041"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hAnsi="Times New Roman" w:cs="Times New Roman"/>
          <w:b/>
          <w:bCs/>
          <w:sz w:val="24"/>
          <w:szCs w:val="24"/>
        </w:rPr>
        <w:t xml:space="preserve">Ad </w:t>
      </w:r>
      <w:r w:rsidRPr="007E1A1A">
        <w:rPr>
          <w:rFonts w:ascii="Times New Roman" w:eastAsia="Times New Roman" w:hAnsi="Times New Roman" w:cs="Times New Roman"/>
          <w:b/>
          <w:bCs/>
          <w:sz w:val="24"/>
          <w:szCs w:val="24"/>
        </w:rPr>
        <w:t>22 a):</w:t>
      </w:r>
    </w:p>
    <w:p w14:paraId="5D9C8F97" w14:textId="77777777" w:rsidR="00C45139" w:rsidRPr="00FA5612" w:rsidRDefault="00C45139" w:rsidP="00C45139">
      <w:pPr>
        <w:pStyle w:val="CommentText"/>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Pursuant to the State Border Control Act (ZNDM-2), police officers may detain a person for the time strictly necessary, but for no longer than 48 hours, if the person intends to cross the border or has already crossed it, and there are grounds to suspect that the person intends to cross the state border unlawfully or has already done so, and the detention is necessary to establish all the necessary facts and circumstances of the crossing of the state border or to refuse entry to a foreign national who does not meet the conditions for entry into the country and who, for justified reasons, cannot be immediately removed from the country. Foreign nationals, subject to police proceedings for illegal entry into the country who, during the proceedings, express intention to apply for international protection, are not detained, held in custody or subject to administrative proceedings. After doing so, they are required to cooperate with the police until the end of the registration procedure, as provided by the International Protection Act (ZMZ-1). </w:t>
      </w:r>
    </w:p>
    <w:p w14:paraId="5A3D739D"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The guarantee of fundamental rights is enshrined in the Police and Public Order Act (</w:t>
      </w:r>
      <w:proofErr w:type="spellStart"/>
      <w:r w:rsidRPr="00FA5612">
        <w:rPr>
          <w:rFonts w:ascii="Times New Roman" w:hAnsi="Times New Roman" w:cs="Times New Roman"/>
          <w:sz w:val="24"/>
          <w:szCs w:val="24"/>
        </w:rPr>
        <w:t>ZNPPol</w:t>
      </w:r>
      <w:proofErr w:type="spellEnd"/>
      <w:r w:rsidRPr="00FA5612">
        <w:rPr>
          <w:rFonts w:ascii="Times New Roman" w:hAnsi="Times New Roman" w:cs="Times New Roman"/>
          <w:sz w:val="24"/>
          <w:szCs w:val="24"/>
        </w:rPr>
        <w:t xml:space="preserve">)—the right to use one’s own language, the right to be informed of the reasons for detention, the right to immediate legal assistance, and the right to notify relatives, an employer, a social services office, a diplomatic or consular mission, etc. Regarding immediate legal assistance, a list of attorneys is provided from which the person selects an attorney; they may call one or more attorneys and wait up to 2 hours for the attorney to arrive at the facility. The person may exercise these rights at any time, even if they have waived them at any point during the proceedings. Immediate emergency medical assistance is also provided—either at the person’s request or because police officers determine that the person needs medical assistance. Additional information is available in the Appendix. </w:t>
      </w:r>
    </w:p>
    <w:p w14:paraId="168DFD1B" w14:textId="77777777" w:rsidR="008C43B1" w:rsidRDefault="008C43B1" w:rsidP="00C45139">
      <w:pPr>
        <w:spacing w:line="360" w:lineRule="auto"/>
        <w:jc w:val="both"/>
        <w:rPr>
          <w:rFonts w:ascii="Times New Roman" w:hAnsi="Times New Roman" w:cs="Times New Roman"/>
          <w:b/>
          <w:bCs/>
          <w:sz w:val="24"/>
          <w:szCs w:val="24"/>
        </w:rPr>
      </w:pPr>
    </w:p>
    <w:p w14:paraId="02892D20" w14:textId="36452AF6" w:rsidR="00C45139" w:rsidRPr="00FA5612" w:rsidRDefault="00C45139" w:rsidP="00C45139">
      <w:pPr>
        <w:spacing w:line="360" w:lineRule="auto"/>
        <w:jc w:val="both"/>
        <w:rPr>
          <w:rFonts w:ascii="Times New Roman" w:hAnsi="Times New Roman" w:cs="Times New Roman"/>
          <w:b/>
          <w:bCs/>
          <w:sz w:val="24"/>
          <w:szCs w:val="24"/>
        </w:rPr>
      </w:pPr>
      <w:r w:rsidRPr="00FA5612">
        <w:rPr>
          <w:rFonts w:ascii="Times New Roman" w:hAnsi="Times New Roman" w:cs="Times New Roman"/>
          <w:b/>
          <w:bCs/>
          <w:sz w:val="24"/>
          <w:szCs w:val="24"/>
        </w:rPr>
        <w:lastRenderedPageBreak/>
        <w:t xml:space="preserve">22 b): </w:t>
      </w:r>
    </w:p>
    <w:p w14:paraId="6394C4FE"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The Foreigners Act (ZTuj-2) permits restrictions on the aforementioned rights only in exceptional cases, when such restrictions are strictly necessary for reasons of security, the maintenance of public order, or to ensure the conduct of return proceedings. Such restrictions must be provided for by law, proportionate, and limited in time. A foreign national is guaranteed effective judicial protection against a decision restricting movement. In accordance with ZTuj-2, a foreign national may file a lawsuit before the Administrative Court of the RS within eight days of the decision being served, and the court must rule on the lawsuit within six days. The law thus ensures a swift and effective review of the legality of interference with personal freedom, while respecting procedural guarantees.</w:t>
      </w:r>
    </w:p>
    <w:p w14:paraId="5D563019"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eastAsia="Times New Roman" w:hAnsi="Times New Roman" w:cs="Times New Roman"/>
          <w:b/>
          <w:bCs/>
          <w:sz w:val="24"/>
          <w:szCs w:val="24"/>
        </w:rPr>
        <w:t>22 c):</w:t>
      </w:r>
      <w:r w:rsidRPr="007E1A1A">
        <w:rPr>
          <w:rFonts w:ascii="Times New Roman" w:hAnsi="Times New Roman" w:cs="Times New Roman"/>
          <w:sz w:val="24"/>
          <w:szCs w:val="24"/>
        </w:rPr>
        <w:t xml:space="preserve"> </w:t>
      </w:r>
    </w:p>
    <w:p w14:paraId="4E80082C"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Access by authorities or other bodies authorized to visit places of deprivation of liberty is carried out in accordance with established practice, whereby such visitors are granted unimpeded and unrestricted access to all relevant data, records, and detainees. The supervisory function regarding the treatment of detainees is governed by Article 213.d of the ZKP, which stipulates that supervision is exercised by the president of the district court. The president of the court or a judge designated by him must visit detainees at least once a week and, if he deems it necessary, ask them—even without the presence of judicial police officers—how they are being treated. He is obligated to take the necessary measures to resolve any irregularities he observes during his visit to the facility. The president of the court and the investigating judge may visit a detainee at any time, speak with him, and accept complaints.</w:t>
      </w:r>
    </w:p>
    <w:p w14:paraId="20C658B4" w14:textId="77777777" w:rsidR="00C45139" w:rsidRPr="00FA5612" w:rsidRDefault="00C45139" w:rsidP="00C45139">
      <w:pPr>
        <w:spacing w:line="360" w:lineRule="auto"/>
        <w:jc w:val="both"/>
        <w:rPr>
          <w:rFonts w:ascii="Times New Roman" w:eastAsia="Times New Roman" w:hAnsi="Times New Roman" w:cs="Times New Roman"/>
          <w:sz w:val="24"/>
          <w:szCs w:val="24"/>
        </w:rPr>
      </w:pPr>
      <w:r w:rsidRPr="00FA5612">
        <w:rPr>
          <w:rFonts w:ascii="Times New Roman" w:hAnsi="Times New Roman" w:cs="Times New Roman"/>
          <w:sz w:val="24"/>
          <w:szCs w:val="24"/>
        </w:rPr>
        <w:t xml:space="preserve">ZTuj-2 ensures that restrictions on the movement of or deprivation of liberty of foreign nationals are carried out in institutionally regulated and supervised environments—namely, at the Center for foreigners—and as a formalized administrative measure that is explicitly documented and subject to judicial oversight. Under this framework, the premises of the Center for Foreigners, where the movement of foreign nationals is restricted, are accessible to competent authorities and independent oversight bodies. </w:t>
      </w:r>
      <w:r w:rsidRPr="007E1A1A">
        <w:rPr>
          <w:rFonts w:ascii="Times New Roman" w:hAnsi="Times New Roman" w:cs="Times New Roman"/>
          <w:sz w:val="24"/>
          <w:szCs w:val="24"/>
        </w:rPr>
        <w:t>Additionally,</w:t>
      </w:r>
      <w:r w:rsidRPr="00FA5612">
        <w:rPr>
          <w:rFonts w:ascii="Times New Roman" w:hAnsi="Times New Roman" w:cs="Times New Roman"/>
          <w:sz w:val="24"/>
          <w:szCs w:val="24"/>
        </w:rPr>
        <w:t xml:space="preserve"> to regular judicial protection, ZTuj-2 also establishes a periodic judicial review of the justification for the restriction on movement </w:t>
      </w:r>
      <w:r w:rsidRPr="00FA5612">
        <w:rPr>
          <w:rFonts w:ascii="Times New Roman" w:hAnsi="Times New Roman" w:cs="Times New Roman"/>
          <w:i/>
          <w:iCs/>
          <w:sz w:val="24"/>
          <w:szCs w:val="24"/>
        </w:rPr>
        <w:t>ex officio</w:t>
      </w:r>
      <w:r w:rsidRPr="00FA5612">
        <w:rPr>
          <w:rFonts w:ascii="Times New Roman" w:hAnsi="Times New Roman" w:cs="Times New Roman"/>
          <w:sz w:val="24"/>
          <w:szCs w:val="24"/>
        </w:rPr>
        <w:t xml:space="preserve">, which is conducted before the end of each three-month period. It enables a regular, independent, and substantive assessment of whether the legal conditions for continuing the measure are still met. As the national preventive mechanism, the VČP is authorized by law to visit the Center for Foreigners even without prior notice, and to </w:t>
      </w:r>
      <w:r w:rsidRPr="00FA5612">
        <w:rPr>
          <w:rFonts w:ascii="Times New Roman" w:hAnsi="Times New Roman" w:cs="Times New Roman"/>
          <w:sz w:val="24"/>
          <w:szCs w:val="24"/>
        </w:rPr>
        <w:lastRenderedPageBreak/>
        <w:t>establish direct contact with foreigners whose movement is restricted. This framework, which combines a formalized administrative procedure, continuous and multi-tiered judicial oversight, and independent external oversight—which is also carried out at the Center for Foreigners—establishes a comprehensive and effective system of procedural safeguards. The system represents a crucial and indispensable institutional safeguard against arbitrary, disproportionate, secret, or otherwise unlawful interference with the personal liberty of foreign nationals.</w:t>
      </w:r>
    </w:p>
    <w:p w14:paraId="7445A743" w14:textId="77777777" w:rsidR="00C45139" w:rsidRPr="00FA5612" w:rsidRDefault="00C45139" w:rsidP="00C45139">
      <w:pPr>
        <w:spacing w:line="360" w:lineRule="auto"/>
        <w:jc w:val="both"/>
        <w:rPr>
          <w:rFonts w:ascii="Times New Roman" w:eastAsia="Times New Roman" w:hAnsi="Times New Roman" w:cs="Times New Roman"/>
          <w:b/>
          <w:bCs/>
          <w:sz w:val="24"/>
          <w:szCs w:val="24"/>
        </w:rPr>
      </w:pPr>
      <w:r w:rsidRPr="00FA5612">
        <w:rPr>
          <w:rFonts w:ascii="Times New Roman" w:eastAsia="Times New Roman" w:hAnsi="Times New Roman" w:cs="Times New Roman"/>
          <w:b/>
          <w:bCs/>
          <w:sz w:val="24"/>
          <w:szCs w:val="24"/>
        </w:rPr>
        <w:t>22 d):</w:t>
      </w:r>
    </w:p>
    <w:p w14:paraId="2F2EA62F"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ZTuj-2 establishes effective, multi-tiered judicial protection against restrictions on movement, which is subject to statutory time limits. The deadline for filing a lawsuit against a decision restricting freedom of movement is eight days, and the Administrative Court must rule on the lawsuit within six days. In addition, the law stipulates that the restriction on movement lasts only as long as strictly necessary, generally for a maximum of six months, with the possibility of extension only under strictly defined legal conditions (Articles 76, 78, and 79 of the ZTuj-2). The combination of time limits on the duration of the measure, short and preclusive deadlines for judicial review, mandatory periodic judicial review, and the possibility of the foreign national’s immediate release if the measure is found unjustified constitutes a comprehensive and effective system of safeguards against arbitrary, dilatory, or indefinite deprivation of liberty.</w:t>
      </w:r>
    </w:p>
    <w:p w14:paraId="2BAA21D5" w14:textId="77777777" w:rsidR="00C45139" w:rsidRPr="007E1A1A"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If other legal remedies are not available (rights under the ZKP, the Non-Contentious Proceedings Act, etc.), it is also possible to seek legal remedies under the General Administrative Procedure Act (ZUP), namely specific actions against administrative acts or omissions by administrative authorities – actions for the protection of (all) human rights and fundamental freedoms. The Administrative Court of the RS has jurisdiction over these types of actions.</w:t>
      </w:r>
      <w:r w:rsidRPr="007E1A1A">
        <w:rPr>
          <w:rFonts w:ascii="Times New Roman" w:hAnsi="Times New Roman" w:cs="Times New Roman"/>
          <w:sz w:val="24"/>
          <w:szCs w:val="24"/>
        </w:rPr>
        <w:t xml:space="preserve"> </w:t>
      </w:r>
    </w:p>
    <w:p w14:paraId="38E0AA2B"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eastAsia="Times New Roman" w:hAnsi="Times New Roman" w:cs="Times New Roman"/>
          <w:b/>
          <w:bCs/>
          <w:sz w:val="24"/>
          <w:szCs w:val="24"/>
        </w:rPr>
        <w:t>23 a):</w:t>
      </w:r>
    </w:p>
    <w:p w14:paraId="1DECF988"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Prison Administration (URSIKS) maintains a central registry of detainees for all prisons, and the database on detainees comprises a master register, a personal file, and a central registry (Art</w:t>
      </w:r>
      <w:r w:rsidRPr="007E1A1A">
        <w:rPr>
          <w:rFonts w:ascii="Times New Roman" w:hAnsi="Times New Roman" w:cs="Times New Roman"/>
          <w:sz w:val="24"/>
          <w:szCs w:val="24"/>
        </w:rPr>
        <w:t>icle</w:t>
      </w:r>
      <w:r w:rsidRPr="00FA5612">
        <w:rPr>
          <w:rFonts w:ascii="Times New Roman" w:hAnsi="Times New Roman" w:cs="Times New Roman"/>
          <w:sz w:val="24"/>
          <w:szCs w:val="24"/>
        </w:rPr>
        <w:t xml:space="preserve"> 17 of the Rules on the Implementation of Detention). The register is maintained on a form that is an integral part of these Rules and is published together with them. Upon a detainee’s admission to pretrial detention, a personal file is opened. The personal file contains the information defined as a data set under Art</w:t>
      </w:r>
      <w:r w:rsidRPr="007E1A1A">
        <w:rPr>
          <w:rFonts w:ascii="Times New Roman" w:hAnsi="Times New Roman" w:cs="Times New Roman"/>
          <w:sz w:val="24"/>
          <w:szCs w:val="24"/>
        </w:rPr>
        <w:t>icle</w:t>
      </w:r>
      <w:r w:rsidRPr="00FA5612">
        <w:rPr>
          <w:rFonts w:ascii="Times New Roman" w:hAnsi="Times New Roman" w:cs="Times New Roman"/>
          <w:sz w:val="24"/>
          <w:szCs w:val="24"/>
        </w:rPr>
        <w:t xml:space="preserve"> 211 of ZKP. Information regarding the </w:t>
      </w:r>
      <w:r w:rsidRPr="00FA5612">
        <w:rPr>
          <w:rFonts w:ascii="Times New Roman" w:hAnsi="Times New Roman" w:cs="Times New Roman"/>
          <w:sz w:val="24"/>
          <w:szCs w:val="24"/>
        </w:rPr>
        <w:lastRenderedPageBreak/>
        <w:t xml:space="preserve">detainee’s identity and personal status includes: first and last name, any nickname, personal identification number (EMŠO), date of birth, marital status, citizenship, residence, health status, and legal representative. Data regarding the detention order includes: the name of the court that ordered the detention, the case number, and the date the order was issued; the criminal offense of which the detainee is accused; and the legal grounds for detention. Information regarding admission to detention, the duration, extension, or revocation of detention includes: the date and time of admission to detention, the time at which the detention order was served on the detainee, information regarding the order extending detention, information regarding the order revoking detention, and the date and time of release from detention. </w:t>
      </w:r>
    </w:p>
    <w:p w14:paraId="272D9BF1"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Upon death of the person under protection dies at the facility the president of the competent court appoints a commission to determine the cause of death, consisting of an investigating judge, a public prosecutor, the director of the facility, and a physician. Facility shall hand over the detainee’s body and personal belongings to the deceased’s family or close relatives. The president of the court before which the criminal proceedings are pending shall decide on a third party’s request for the release of the deceased’s body. The competent court shall notify the competent civil registry office of the detainee’s death. Supervision of the treatment of detainees and the adequacy of living conditions is governed by Article 69 of the Rules and is carried out by the president or a designated judge of the district court in the area where the facility in which the detainees are being held is located. </w:t>
      </w:r>
    </w:p>
    <w:p w14:paraId="1BC4359C"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Additional information is available in the Appendix. </w:t>
      </w:r>
    </w:p>
    <w:p w14:paraId="514958F8" w14:textId="77777777" w:rsidR="00C45139" w:rsidRPr="00FA5612" w:rsidRDefault="00C45139" w:rsidP="00C45139">
      <w:pPr>
        <w:spacing w:line="360" w:lineRule="auto"/>
        <w:jc w:val="both"/>
        <w:rPr>
          <w:rFonts w:ascii="Times New Roman" w:hAnsi="Times New Roman" w:cs="Times New Roman"/>
          <w:b/>
          <w:bCs/>
          <w:sz w:val="24"/>
          <w:szCs w:val="24"/>
        </w:rPr>
      </w:pPr>
      <w:r w:rsidRPr="00FA5612">
        <w:rPr>
          <w:rFonts w:ascii="Times New Roman" w:hAnsi="Times New Roman" w:cs="Times New Roman"/>
          <w:b/>
          <w:bCs/>
          <w:sz w:val="24"/>
          <w:szCs w:val="24"/>
        </w:rPr>
        <w:t>23 b):</w:t>
      </w:r>
    </w:p>
    <w:p w14:paraId="05E6FDE3" w14:textId="77777777" w:rsidR="00C45139" w:rsidRPr="007E1A1A"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URSIKS does not record complaints regarding failure to record or delays in recording the deprivation of liberty, or regarding the entry of inaccurate data. Procedures regarding the admitted to the facility where pretrial detention is served are regulated by ZKP and the afore mentioned Rules. </w:t>
      </w:r>
      <w:r w:rsidRPr="007E1A1A">
        <w:rPr>
          <w:rFonts w:ascii="Times New Roman" w:hAnsi="Times New Roman" w:cs="Times New Roman"/>
          <w:sz w:val="24"/>
          <w:szCs w:val="24"/>
        </w:rPr>
        <w:t xml:space="preserve"> </w:t>
      </w:r>
    </w:p>
    <w:p w14:paraId="09A68E23"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eastAsia="Times New Roman" w:hAnsi="Times New Roman" w:cs="Times New Roman"/>
          <w:b/>
          <w:bCs/>
          <w:sz w:val="24"/>
          <w:szCs w:val="24"/>
        </w:rPr>
        <w:t>23 c):</w:t>
      </w:r>
    </w:p>
    <w:p w14:paraId="55A78FAF" w14:textId="77777777" w:rsidR="00C45139" w:rsidRPr="007E1A1A" w:rsidRDefault="00C45139" w:rsidP="00C45139">
      <w:pPr>
        <w:spacing w:line="360" w:lineRule="auto"/>
        <w:jc w:val="both"/>
        <w:rPr>
          <w:rFonts w:ascii="Times New Roman" w:eastAsia="Times New Roman" w:hAnsi="Times New Roman" w:cs="Times New Roman"/>
          <w:sz w:val="24"/>
          <w:szCs w:val="24"/>
        </w:rPr>
      </w:pPr>
      <w:r w:rsidRPr="00FA5612">
        <w:rPr>
          <w:rFonts w:ascii="Times New Roman" w:hAnsi="Times New Roman" w:cs="Times New Roman"/>
          <w:sz w:val="24"/>
          <w:szCs w:val="24"/>
        </w:rPr>
        <w:t xml:space="preserve">Article 18 of the Convention applies directly in Slovene legal system (see Article 8 of the Constitution). Currently there are no plans to legislate upon it. Appeals would usually go via the complaint to the hierarchically higher administrative authority or if this fails or in absence of appellate body – administrative dispute before the Administrative Court of the RS. With regard to ensuring the right of all persons with a legitimate interest to have access to at least the </w:t>
      </w:r>
      <w:r w:rsidRPr="00FA5612">
        <w:rPr>
          <w:rFonts w:ascii="Times New Roman" w:hAnsi="Times New Roman" w:cs="Times New Roman"/>
          <w:sz w:val="24"/>
          <w:szCs w:val="24"/>
        </w:rPr>
        <w:lastRenderedPageBreak/>
        <w:t>information specified in paragraph 1 of Article 18 of the Convention, the procedure is such that any person with a legitimate interest may, upon request, access the data collected by the institutions in accordance with the law. If a request is denied, the person has the option to file a complaint or report with the Information Commissioner or to seek judicial remedy.</w:t>
      </w:r>
    </w:p>
    <w:p w14:paraId="6AFB0569"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eastAsia="Times New Roman" w:hAnsi="Times New Roman" w:cs="Times New Roman"/>
          <w:b/>
          <w:bCs/>
          <w:sz w:val="24"/>
          <w:szCs w:val="24"/>
        </w:rPr>
        <w:t>24):</w:t>
      </w:r>
    </w:p>
    <w:p w14:paraId="3B0B80D6" w14:textId="77777777" w:rsidR="00C45139" w:rsidRPr="00FA5612" w:rsidRDefault="00C45139" w:rsidP="00C45139">
      <w:pPr>
        <w:spacing w:line="360" w:lineRule="auto"/>
        <w:jc w:val="both"/>
        <w:rPr>
          <w:rFonts w:ascii="Times New Roman" w:eastAsia="Times New Roman" w:hAnsi="Times New Roman" w:cs="Times New Roman"/>
          <w:sz w:val="24"/>
          <w:szCs w:val="24"/>
        </w:rPr>
      </w:pPr>
      <w:r w:rsidRPr="00FA5612">
        <w:rPr>
          <w:rFonts w:ascii="Times New Roman" w:eastAsia="Times New Roman" w:hAnsi="Times New Roman" w:cs="Times New Roman"/>
          <w:sz w:val="24"/>
          <w:szCs w:val="24"/>
        </w:rPr>
        <w:t>The URSIKS is responsible for conducting training of judicial police officers. The programs include familiarization with regulations in the field of enforcement of criminal sanctions, with emphasis on the guarantee and protection of human rights and freedoms. Training conducted covers the familiarization with: (1) international and national regulations in the field of human rights, (provisions of the European Convention on Human Rights, the European Prison Rules, the Nelson Mandela Rules, and CPT standards); (2) rules of conduct regarding deprivation of liberty and the enforcement of prison sentences; (3) communication with prisoners, including vulnerable groups (e.g., persons with mental disorders, minors, women), and informing prisoners of their rights to legal representation, access to healthcare, and contact with the outside world.</w:t>
      </w:r>
    </w:p>
    <w:p w14:paraId="435A569A" w14:textId="77777777" w:rsidR="00C45139" w:rsidRPr="00FA5612" w:rsidRDefault="00C45139" w:rsidP="00C45139">
      <w:pPr>
        <w:spacing w:line="360" w:lineRule="auto"/>
        <w:jc w:val="both"/>
        <w:rPr>
          <w:rFonts w:ascii="Times New Roman" w:eastAsia="Times New Roman" w:hAnsi="Times New Roman" w:cs="Times New Roman"/>
          <w:sz w:val="24"/>
          <w:szCs w:val="24"/>
        </w:rPr>
      </w:pPr>
      <w:r w:rsidRPr="00FA5612">
        <w:rPr>
          <w:rFonts w:ascii="Times New Roman" w:eastAsia="Times New Roman" w:hAnsi="Times New Roman" w:cs="Times New Roman"/>
          <w:sz w:val="24"/>
          <w:szCs w:val="24"/>
        </w:rPr>
        <w:t>The training is based on a preventive approach to reject any action that could lead to a situation like enforced disappearance—which includes full transparency, documentation, and accessibility of persons deprived of their liberty to all competent institutions and their family members.</w:t>
      </w:r>
    </w:p>
    <w:p w14:paraId="7BB92902" w14:textId="77777777" w:rsidR="00C45139" w:rsidRPr="00FA5612" w:rsidRDefault="00C45139" w:rsidP="00C45139">
      <w:pPr>
        <w:spacing w:line="360" w:lineRule="auto"/>
        <w:jc w:val="both"/>
        <w:rPr>
          <w:rFonts w:ascii="Times New Roman" w:eastAsia="Times New Roman" w:hAnsi="Times New Roman" w:cs="Times New Roman"/>
          <w:sz w:val="24"/>
          <w:szCs w:val="24"/>
        </w:rPr>
      </w:pPr>
      <w:r w:rsidRPr="00FA5612">
        <w:rPr>
          <w:rFonts w:ascii="Times New Roman" w:eastAsia="Times New Roman" w:hAnsi="Times New Roman" w:cs="Times New Roman"/>
          <w:sz w:val="24"/>
          <w:szCs w:val="24"/>
        </w:rPr>
        <w:t>CIP is responsible for the training of judges, public prosecutors, public defenders, and staff of all three branches of the judiciary. At least once a year, it organizes a seminar or professional training session on topics related to the Convention.</w:t>
      </w:r>
    </w:p>
    <w:p w14:paraId="0967347B" w14:textId="77777777" w:rsidR="00C45139" w:rsidRPr="00FA5612" w:rsidRDefault="00C45139" w:rsidP="00C45139">
      <w:pPr>
        <w:spacing w:line="360" w:lineRule="auto"/>
        <w:jc w:val="both"/>
        <w:rPr>
          <w:rFonts w:ascii="Times New Roman" w:eastAsia="Times New Roman" w:hAnsi="Times New Roman" w:cs="Times New Roman"/>
          <w:sz w:val="24"/>
          <w:szCs w:val="24"/>
        </w:rPr>
      </w:pPr>
      <w:r w:rsidRPr="00FA5612">
        <w:rPr>
          <w:rFonts w:ascii="Times New Roman" w:hAnsi="Times New Roman" w:cs="Times New Roman"/>
          <w:sz w:val="24"/>
          <w:szCs w:val="24"/>
        </w:rPr>
        <w:t xml:space="preserve">Military Occupational </w:t>
      </w:r>
      <w:r w:rsidRPr="007E1A1A">
        <w:rPr>
          <w:rFonts w:ascii="Times New Roman" w:hAnsi="Times New Roman" w:cs="Times New Roman"/>
          <w:sz w:val="24"/>
          <w:szCs w:val="24"/>
        </w:rPr>
        <w:t>Specialty</w:t>
      </w:r>
      <w:r w:rsidRPr="00FA5612">
        <w:rPr>
          <w:rFonts w:ascii="Times New Roman" w:hAnsi="Times New Roman" w:cs="Times New Roman"/>
          <w:sz w:val="24"/>
          <w:szCs w:val="24"/>
        </w:rPr>
        <w:t xml:space="preserve"> (MOS) Training: Human rights standards are directly addressed during the basic military vocational training for military personnel and officers of the Military Police. This is specifically included in Procedures for Prisoners of War and Detainees (Focusing on the treatment of persons deprived of liberty to ensure full compliance with the Convention and international humanitarian law). All authorized Military Police personnel undergo a specific police course whose successful completion is mandatory for Military Police officers to be granted the legal authority to exercise police powers. Within this course the principles of the Convention are integrated. Military Police personnel must renew their qualifications every 3 years, where the knowledge of human rights remains a mandatory </w:t>
      </w:r>
      <w:r w:rsidRPr="00FA5612">
        <w:rPr>
          <w:rFonts w:ascii="Times New Roman" w:hAnsi="Times New Roman" w:cs="Times New Roman"/>
          <w:sz w:val="24"/>
          <w:szCs w:val="24"/>
        </w:rPr>
        <w:lastRenderedPageBreak/>
        <w:t xml:space="preserve">element of professional assessment. Education on the topics is consistently integrated into specific Military Police training, both domestically and during international deployments or </w:t>
      </w:r>
      <w:r w:rsidRPr="00FA5612">
        <w:rPr>
          <w:rFonts w:ascii="Times New Roman" w:eastAsia="Times New Roman" w:hAnsi="Times New Roman" w:cs="Times New Roman"/>
          <w:sz w:val="24"/>
          <w:szCs w:val="24"/>
        </w:rPr>
        <w:t xml:space="preserve">training abroad. </w:t>
      </w:r>
    </w:p>
    <w:p w14:paraId="575504CF" w14:textId="77777777" w:rsidR="00C45139" w:rsidRPr="007E1A1A" w:rsidRDefault="00C45139" w:rsidP="00C45139">
      <w:pPr>
        <w:spacing w:line="360" w:lineRule="auto"/>
        <w:jc w:val="both"/>
        <w:rPr>
          <w:rFonts w:ascii="Times New Roman" w:eastAsia="Times New Roman" w:hAnsi="Times New Roman" w:cs="Times New Roman"/>
          <w:sz w:val="24"/>
          <w:szCs w:val="24"/>
        </w:rPr>
      </w:pPr>
      <w:r w:rsidRPr="00FA5612">
        <w:rPr>
          <w:rFonts w:ascii="Times New Roman" w:eastAsia="Times New Roman" w:hAnsi="Times New Roman" w:cs="Times New Roman"/>
          <w:sz w:val="24"/>
          <w:szCs w:val="24"/>
        </w:rPr>
        <w:t>Since the entry into force of the Convention, healthcare personnel have not yet received any specific training on the provisions thereof.</w:t>
      </w:r>
    </w:p>
    <w:p w14:paraId="73A666E4"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eastAsia="Times New Roman" w:hAnsi="Times New Roman" w:cs="Times New Roman"/>
          <w:b/>
          <w:bCs/>
          <w:sz w:val="24"/>
          <w:szCs w:val="24"/>
        </w:rPr>
        <w:t>25 a):</w:t>
      </w:r>
    </w:p>
    <w:p w14:paraId="51C63608"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FA5612">
        <w:rPr>
          <w:rFonts w:ascii="Times New Roman" w:hAnsi="Times New Roman" w:cs="Times New Roman"/>
          <w:sz w:val="24"/>
          <w:szCs w:val="24"/>
        </w:rPr>
        <w:t>The definition of victim in the Slovene criminal procedure law is very wide: “the injured party, denoting either a male or female, shall mean the person who’s personal or property rights have been violated or threatened by a criminal offence (ZKP).” The law emphasizes that relatives are always victims in case of death of their close one, but this doesn’t mean that relatives are not victims in other situations as well (i.e. when they fall under the wide definition of the victim as mentioned above).</w:t>
      </w:r>
    </w:p>
    <w:p w14:paraId="3C13BED4" w14:textId="77777777" w:rsidR="00C45139" w:rsidRPr="007E1A1A" w:rsidRDefault="00C45139" w:rsidP="00C45139">
      <w:pPr>
        <w:spacing w:line="360" w:lineRule="auto"/>
        <w:jc w:val="both"/>
        <w:rPr>
          <w:rFonts w:ascii="Times New Roman" w:eastAsia="Times New Roman" w:hAnsi="Times New Roman" w:cs="Times New Roman"/>
          <w:b/>
          <w:bCs/>
          <w:sz w:val="24"/>
          <w:szCs w:val="24"/>
        </w:rPr>
      </w:pPr>
      <w:r w:rsidRPr="007E1A1A">
        <w:rPr>
          <w:rFonts w:ascii="Times New Roman" w:eastAsia="Times New Roman" w:hAnsi="Times New Roman" w:cs="Times New Roman"/>
          <w:b/>
          <w:bCs/>
          <w:sz w:val="24"/>
          <w:szCs w:val="24"/>
        </w:rPr>
        <w:t>25 b):</w:t>
      </w:r>
    </w:p>
    <w:p w14:paraId="5C8C9066"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The forms of reparation and compensation cover all legally admissible forms of damage as a notion of civil law, including </w:t>
      </w:r>
      <w:r w:rsidRPr="007E1A1A">
        <w:rPr>
          <w:rFonts w:ascii="Times New Roman" w:hAnsi="Times New Roman" w:cs="Times New Roman"/>
          <w:sz w:val="24"/>
          <w:szCs w:val="24"/>
        </w:rPr>
        <w:t>non</w:t>
      </w:r>
      <w:r w:rsidRPr="00FA5612">
        <w:rPr>
          <w:rFonts w:ascii="Times New Roman" w:hAnsi="Times New Roman" w:cs="Times New Roman"/>
          <w:sz w:val="24"/>
          <w:szCs w:val="24"/>
        </w:rPr>
        <w:t>-pecuniary damage.</w:t>
      </w:r>
    </w:p>
    <w:p w14:paraId="178C7A8A" w14:textId="77777777" w:rsidR="00C45139" w:rsidRPr="007E1A1A" w:rsidRDefault="00C45139" w:rsidP="00C45139">
      <w:pPr>
        <w:spacing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t>25 c):</w:t>
      </w:r>
    </w:p>
    <w:p w14:paraId="0345BFAD"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Compensation or reparation can be demanded during the criminal procedure and decided in the framework of the criminal procedure by the court, or it can be part of the civil procedure. It may refer to compensation for the damage, recovery of an object or the annulment of a legal transaction (ZKP). In a judgment of conviction, the court may grant the pecuniary claim of the injured party in full, or it may grant the claim in part and direct the injured party to enforce the rest of the claim in a civil action. If the data collected in criminal proceedings do not provide a reliable basis for either full or partial adjudication, the court shall direct the injured party to seek full satisfaction of their claim in a civil action (ZKP). If the court renders a judgment of acquittal or a judgment rejecting the charge, or a ruling discontinuing criminal proceedings or dismissing the indictment, the court shall direct the injured party to enforce their </w:t>
      </w:r>
      <w:bookmarkStart w:id="0" w:name="_Hlk222169310"/>
      <w:r w:rsidRPr="00FA5612">
        <w:rPr>
          <w:rFonts w:ascii="Times New Roman" w:hAnsi="Times New Roman" w:cs="Times New Roman"/>
          <w:sz w:val="24"/>
          <w:szCs w:val="24"/>
        </w:rPr>
        <w:t xml:space="preserve">compensation or reparation </w:t>
      </w:r>
      <w:bookmarkEnd w:id="0"/>
      <w:r w:rsidRPr="00FA5612">
        <w:rPr>
          <w:rFonts w:ascii="Times New Roman" w:hAnsi="Times New Roman" w:cs="Times New Roman"/>
          <w:sz w:val="24"/>
          <w:szCs w:val="24"/>
        </w:rPr>
        <w:t xml:space="preserve">in a civil action. If the court declares itself as not having jurisdiction to conduct criminal proceedings, it shall direct the injured party to enforce their compensation or reparation in the criminal proceedings instituted or continued by a court having jurisdiction (ZKP). The </w:t>
      </w:r>
      <w:r w:rsidRPr="00FA5612">
        <w:rPr>
          <w:rFonts w:ascii="Times New Roman" w:hAnsi="Times New Roman" w:cs="Times New Roman"/>
          <w:sz w:val="24"/>
          <w:szCs w:val="24"/>
        </w:rPr>
        <w:lastRenderedPageBreak/>
        <w:t>claim for compensation or reparation is not conditioned by the conviction in the criminal procedure.</w:t>
      </w:r>
    </w:p>
    <w:p w14:paraId="25D70486" w14:textId="77777777" w:rsidR="00C45139" w:rsidRPr="00FA5612" w:rsidRDefault="00C45139" w:rsidP="00C45139">
      <w:pPr>
        <w:spacing w:line="360" w:lineRule="auto"/>
        <w:jc w:val="both"/>
        <w:rPr>
          <w:rFonts w:ascii="Times New Roman" w:hAnsi="Times New Roman" w:cs="Times New Roman"/>
          <w:b/>
          <w:bCs/>
          <w:sz w:val="24"/>
          <w:szCs w:val="24"/>
        </w:rPr>
      </w:pPr>
      <w:r w:rsidRPr="00FA5612">
        <w:rPr>
          <w:rFonts w:ascii="Times New Roman" w:hAnsi="Times New Roman" w:cs="Times New Roman"/>
          <w:b/>
          <w:bCs/>
          <w:sz w:val="24"/>
          <w:szCs w:val="24"/>
        </w:rPr>
        <w:t>25 d):</w:t>
      </w:r>
    </w:p>
    <w:p w14:paraId="44D556C2" w14:textId="77777777" w:rsidR="00C45139" w:rsidRPr="007E1A1A"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To regulate the status of the “erased,” the RS adopted a law in 1999 governing their status which was amended in 2010. </w:t>
      </w:r>
      <w:r w:rsidRPr="007E1A1A">
        <w:rPr>
          <w:rFonts w:ascii="Times New Roman" w:hAnsi="Times New Roman" w:cs="Times New Roman"/>
          <w:sz w:val="24"/>
          <w:szCs w:val="24"/>
        </w:rPr>
        <w:t>Amending</w:t>
      </w:r>
      <w:r w:rsidRPr="00FA5612">
        <w:rPr>
          <w:rFonts w:ascii="Times New Roman" w:hAnsi="Times New Roman" w:cs="Times New Roman"/>
          <w:sz w:val="24"/>
          <w:szCs w:val="24"/>
        </w:rPr>
        <w:t xml:space="preserve"> Act sets forth the conditions under which a foreign national who, as of June 25, 1991, was a citizen of another republic of the former SFRY and who does not yet hold a permanent residence permit in the RS may obtain a permanent residence permit, notwithstanding the provisions of the ZTuj-2. The Act set a deadline for submitting an application for a permanent residence permit of three years from the Act’s entry into force, that is, until July 24, 2013. For all interested parties to familiarize themselves with the Act and submit an application the MNZ presented the Act even before it entered into force and published a special brochure containing information. It was made available to all interested parties at all administrative units in the RS, at diplomatic missions and consulates of the RS, and was distributed to NGOs.</w:t>
      </w:r>
    </w:p>
    <w:p w14:paraId="476E254C"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“Erased” persons who have not applied for a permanent residence permit under mentioned Act, or whose applications were denied, may residence permit in the RS under the conditions set forth in ZTuj-2. A foreign national who has been residing in the RS for a long period of time may, under ZTuj-2, also obtain a temporary residence permit on other justified grounds. In accordance with the case law of the Administrative Court of the RS, a purpose or reason for a foreign national’s residence in the RS—and thus for the issuance of a temporary residence permit on other justified grounds—also includes the exercise of the right to private life, as guaranteed by Article 8 of the European Convention on Human Rights. In 2013, the RS adopted a special law for the “erased” that governs compensation for damages. The Act also implements the judgment of the Grand Chamber of the European Court of Human Rights dated June 26, 2012, issued in the case of </w:t>
      </w:r>
      <w:proofErr w:type="spellStart"/>
      <w:r w:rsidRPr="00FA5612">
        <w:rPr>
          <w:rFonts w:ascii="Times New Roman" w:hAnsi="Times New Roman" w:cs="Times New Roman"/>
          <w:sz w:val="24"/>
          <w:szCs w:val="24"/>
        </w:rPr>
        <w:t>Kurić</w:t>
      </w:r>
      <w:proofErr w:type="spellEnd"/>
      <w:r w:rsidRPr="00FA5612">
        <w:rPr>
          <w:rFonts w:ascii="Times New Roman" w:hAnsi="Times New Roman" w:cs="Times New Roman"/>
          <w:sz w:val="24"/>
          <w:szCs w:val="24"/>
        </w:rPr>
        <w:t xml:space="preserve"> and others v. Slovenia. The legal system of the RS systematically regulates fair compensation or restitution for damages suffered by those erased because of their erasure from the register of permanent residents. For the damages suffered by the “erased” because of the erasure, </w:t>
      </w:r>
      <w:r w:rsidRPr="00377CCC">
        <w:rPr>
          <w:rFonts w:ascii="Times New Roman" w:hAnsi="Times New Roman" w:cs="Times New Roman"/>
          <w:sz w:val="24"/>
          <w:szCs w:val="24"/>
        </w:rPr>
        <w:t>Act Regulating the Compensation for Damage Sustained as a Result of Erasure from the Register of Permanent Residents</w:t>
      </w:r>
      <w:r w:rsidRPr="00FA5612" w:rsidDel="00FA5612">
        <w:rPr>
          <w:rFonts w:ascii="Times New Roman" w:hAnsi="Times New Roman" w:cs="Times New Roman"/>
          <w:sz w:val="24"/>
          <w:szCs w:val="24"/>
        </w:rPr>
        <w:t xml:space="preserve"> </w:t>
      </w:r>
      <w:r w:rsidRPr="00FA5612">
        <w:rPr>
          <w:rFonts w:ascii="Times New Roman" w:hAnsi="Times New Roman" w:cs="Times New Roman"/>
          <w:sz w:val="24"/>
          <w:szCs w:val="24"/>
        </w:rPr>
        <w:t xml:space="preserve">provides for the right to monetary compensation and the right to other forms of just satisfaction as redress for the damages incurred. </w:t>
      </w:r>
    </w:p>
    <w:p w14:paraId="3A21DACD" w14:textId="77777777" w:rsidR="008C43B1" w:rsidRDefault="008C43B1" w:rsidP="00C45139">
      <w:pPr>
        <w:spacing w:line="360" w:lineRule="auto"/>
        <w:jc w:val="both"/>
        <w:rPr>
          <w:rFonts w:ascii="Times New Roman" w:hAnsi="Times New Roman" w:cs="Times New Roman"/>
          <w:b/>
          <w:bCs/>
          <w:sz w:val="24"/>
          <w:szCs w:val="24"/>
        </w:rPr>
      </w:pPr>
    </w:p>
    <w:p w14:paraId="67999FC3" w14:textId="6033B133" w:rsidR="00C45139" w:rsidRPr="007E1A1A" w:rsidRDefault="00C45139" w:rsidP="00C45139">
      <w:pPr>
        <w:spacing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lastRenderedPageBreak/>
        <w:t>25 e):</w:t>
      </w:r>
    </w:p>
    <w:p w14:paraId="0B92DCCD"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pacing w:val="4"/>
          <w:sz w:val="24"/>
          <w:szCs w:val="24"/>
        </w:rPr>
        <w:t xml:space="preserve">The victims have a very strong position in the Slovene ZKP. They can propose evidence to the court, ask questions to witness and following the decision of the Constitutional Court also have the right to complain against the judgment of the court of </w:t>
      </w:r>
      <w:r w:rsidRPr="00FA5612">
        <w:rPr>
          <w:rFonts w:ascii="Times New Roman" w:hAnsi="Times New Roman" w:cs="Times New Roman"/>
          <w:sz w:val="24"/>
          <w:szCs w:val="24"/>
        </w:rPr>
        <w:t>first instance.</w:t>
      </w:r>
    </w:p>
    <w:p w14:paraId="1C2D5999" w14:textId="77777777" w:rsidR="00C45139" w:rsidRPr="007E1A1A" w:rsidRDefault="00C45139" w:rsidP="00C45139">
      <w:pPr>
        <w:spacing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t>25 f):</w:t>
      </w:r>
    </w:p>
    <w:p w14:paraId="12D3141B" w14:textId="77777777" w:rsidR="00C45139" w:rsidRPr="00FA5612" w:rsidRDefault="00C45139" w:rsidP="00C45139">
      <w:pPr>
        <w:pStyle w:val="SingleTxtG"/>
        <w:spacing w:after="0" w:line="360" w:lineRule="auto"/>
        <w:ind w:left="0" w:right="0"/>
        <w:rPr>
          <w:sz w:val="24"/>
          <w:szCs w:val="24"/>
          <w:shd w:val="clear" w:color="auto" w:fill="FFFFFF"/>
          <w:lang w:val="en-US"/>
        </w:rPr>
      </w:pPr>
      <w:r w:rsidRPr="00FA5612">
        <w:rPr>
          <w:sz w:val="24"/>
          <w:szCs w:val="24"/>
          <w:shd w:val="clear" w:color="auto" w:fill="FFFFFF"/>
          <w:lang w:val="en-US"/>
        </w:rPr>
        <w:t>Free medical help is guaranteed based on general rules, regulating the health system in Slovenia. Similarly goes for psychological support. In addition to the health services provided by the public health system, victims of crime are entitled to professional support and counselling at the competent CSD. Support for victims of crime includes professional support and expert advice for persons who have suffered any harm as a direct result of a criminal offense, and information and guidance on appropriate existing forms of assistance that could help improve their psychological, social, and financial situation resulting from the crime committed. NGOs may also assist victims. Regardless of whether the victim reports the crime, it is entitled under the law governing social protection to support for victims of crime, provided by CSDs. This enables the victims to achieve an appropriate psychological, social, and financial improvement in their situation resulting from the criminal offense committed.</w:t>
      </w:r>
    </w:p>
    <w:p w14:paraId="46B71B43" w14:textId="77777777" w:rsidR="00C45139" w:rsidRPr="00FA5612" w:rsidRDefault="00C45139" w:rsidP="00C45139">
      <w:pPr>
        <w:spacing w:line="360" w:lineRule="auto"/>
        <w:jc w:val="both"/>
        <w:rPr>
          <w:rFonts w:ascii="Times New Roman" w:hAnsi="Times New Roman" w:cs="Times New Roman"/>
          <w:sz w:val="24"/>
          <w:szCs w:val="24"/>
          <w:shd w:val="clear" w:color="auto" w:fill="FFFFFF"/>
        </w:rPr>
      </w:pPr>
      <w:r w:rsidRPr="00FA5612">
        <w:rPr>
          <w:rFonts w:ascii="Times New Roman" w:hAnsi="Times New Roman" w:cs="Times New Roman"/>
          <w:sz w:val="24"/>
          <w:szCs w:val="24"/>
          <w:shd w:val="clear" w:color="auto" w:fill="FFFFFF"/>
        </w:rPr>
        <w:t>The victim support service, which is available to victims at the District Court in Ljubljana (and partly also in Maribor, and in the future also in other areas of higher courts), offers only general explanations about the rights of victims and their relatives in court and other practical information related to participation in the proceedings. Free legal aid (BPP) under Legal Aid Act (hereinafter referred to as the ZBPP) constitutes a form of exercising the right to judicial protection in the RS, based on the principle of equality and taking into account the social status of the individual.</w:t>
      </w:r>
      <w:r w:rsidRPr="00FA5612">
        <w:rPr>
          <w:rStyle w:val="FootnoteReference"/>
          <w:sz w:val="24"/>
          <w:szCs w:val="24"/>
          <w:shd w:val="clear" w:color="auto" w:fill="FFFFFF"/>
        </w:rPr>
        <w:footnoteReference w:id="7"/>
      </w:r>
      <w:r w:rsidRPr="00FA5612">
        <w:rPr>
          <w:rFonts w:ascii="Times New Roman" w:hAnsi="Times New Roman" w:cs="Times New Roman"/>
          <w:sz w:val="24"/>
          <w:szCs w:val="24"/>
          <w:shd w:val="clear" w:color="auto" w:fill="FFFFFF"/>
        </w:rPr>
        <w:t xml:space="preserve"> In addition to citizens of the RS, eligible for BPP are: foreigners with permanent or temporary residence permits in the RS, other foreigners subject to reciprocity or under the conditions and in the cases specified by international treaties binding on the RS, other persons whom the law or an international treaty binding on the RS designates as eligible for BPP, and stateless persons (</w:t>
      </w:r>
      <w:proofErr w:type="spellStart"/>
      <w:r w:rsidRPr="00FA5612">
        <w:rPr>
          <w:rFonts w:ascii="Times New Roman" w:hAnsi="Times New Roman" w:cs="Times New Roman"/>
          <w:sz w:val="24"/>
          <w:szCs w:val="24"/>
          <w:shd w:val="clear" w:color="auto" w:fill="FFFFFF"/>
        </w:rPr>
        <w:t>apatrides</w:t>
      </w:r>
      <w:proofErr w:type="spellEnd"/>
      <w:r w:rsidRPr="00FA5612">
        <w:rPr>
          <w:rFonts w:ascii="Times New Roman" w:hAnsi="Times New Roman" w:cs="Times New Roman"/>
          <w:sz w:val="24"/>
          <w:szCs w:val="24"/>
          <w:shd w:val="clear" w:color="auto" w:fill="FFFFFF"/>
        </w:rPr>
        <w:t xml:space="preserve">) lawfully residing in the RS. </w:t>
      </w:r>
    </w:p>
    <w:p w14:paraId="799DAFCE" w14:textId="77777777" w:rsidR="00C45139" w:rsidRPr="00FA5612" w:rsidRDefault="00C45139" w:rsidP="00C45139">
      <w:pPr>
        <w:spacing w:after="120"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Additional information is available in the Appendix. </w:t>
      </w:r>
    </w:p>
    <w:p w14:paraId="3B4CD528" w14:textId="77777777" w:rsidR="008C43B1" w:rsidRDefault="008C43B1" w:rsidP="00C45139">
      <w:pPr>
        <w:spacing w:line="360" w:lineRule="auto"/>
        <w:jc w:val="both"/>
        <w:rPr>
          <w:rFonts w:ascii="Times New Roman" w:hAnsi="Times New Roman" w:cs="Times New Roman"/>
          <w:b/>
          <w:bCs/>
          <w:sz w:val="24"/>
          <w:szCs w:val="24"/>
        </w:rPr>
      </w:pPr>
    </w:p>
    <w:p w14:paraId="316E6334" w14:textId="3FD3CC2E" w:rsidR="00C45139" w:rsidRPr="007E1A1A" w:rsidRDefault="00C45139" w:rsidP="00C45139">
      <w:pPr>
        <w:spacing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lastRenderedPageBreak/>
        <w:t>26):</w:t>
      </w:r>
    </w:p>
    <w:p w14:paraId="72E094FC" w14:textId="77777777" w:rsidR="00C45139" w:rsidRPr="00FA5612" w:rsidRDefault="00C45139" w:rsidP="00C45139">
      <w:pPr>
        <w:pStyle w:val="SingleTxtG"/>
        <w:spacing w:line="360" w:lineRule="auto"/>
        <w:ind w:left="0" w:right="0"/>
        <w:rPr>
          <w:sz w:val="24"/>
          <w:szCs w:val="24"/>
          <w:lang w:val="en-US"/>
        </w:rPr>
      </w:pPr>
      <w:r w:rsidRPr="00FA5612">
        <w:rPr>
          <w:sz w:val="24"/>
          <w:szCs w:val="24"/>
          <w:lang w:val="en-US"/>
        </w:rPr>
        <w:t>By 2005, based on a topographical survey and data collected during the “</w:t>
      </w:r>
      <w:proofErr w:type="spellStart"/>
      <w:r w:rsidRPr="00FA5612">
        <w:rPr>
          <w:sz w:val="24"/>
          <w:szCs w:val="24"/>
          <w:lang w:val="en-US"/>
        </w:rPr>
        <w:t>Sprava</w:t>
      </w:r>
      <w:proofErr w:type="spellEnd"/>
      <w:r w:rsidRPr="00FA5612">
        <w:rPr>
          <w:sz w:val="24"/>
          <w:szCs w:val="24"/>
          <w:lang w:val="en-US"/>
        </w:rPr>
        <w:t xml:space="preserve">” criminal investigation, approximately 500 hidden execution sites and mass graves (dating from the period of the postwar Yugoslav political system) had been documented. By 2009, 596 locations of hidden mass graves had been recorded; the Commission currently has approximately 800 locations on record. Systematic investigations and exhumations have been underway since 2006. The Ministry of </w:t>
      </w:r>
      <w:proofErr w:type="spellStart"/>
      <w:r w:rsidRPr="00FA5612">
        <w:rPr>
          <w:sz w:val="24"/>
          <w:szCs w:val="24"/>
          <w:lang w:val="en-US"/>
        </w:rPr>
        <w:t>Defence</w:t>
      </w:r>
      <w:proofErr w:type="spellEnd"/>
      <w:r w:rsidRPr="00FA5612">
        <w:rPr>
          <w:sz w:val="24"/>
          <w:szCs w:val="24"/>
          <w:lang w:val="en-US"/>
        </w:rPr>
        <w:t xml:space="preserve"> provides the Commission with full support and favorable conditions for the preparation of the </w:t>
      </w:r>
      <w:proofErr w:type="spellStart"/>
      <w:r w:rsidRPr="00FA5612">
        <w:rPr>
          <w:sz w:val="24"/>
          <w:szCs w:val="24"/>
          <w:lang w:val="en-US"/>
        </w:rPr>
        <w:t>programme</w:t>
      </w:r>
      <w:proofErr w:type="spellEnd"/>
      <w:r w:rsidRPr="00FA5612">
        <w:rPr>
          <w:sz w:val="24"/>
          <w:szCs w:val="24"/>
          <w:lang w:val="en-US"/>
        </w:rPr>
        <w:t xml:space="preserve"> and its implementation. The Commission participates in the core project of establishing a register of all burial sites and advocates for the adoption of a legal framework and the establishment of conditions for the identification of victims.</w:t>
      </w:r>
    </w:p>
    <w:p w14:paraId="2CC0723F" w14:textId="77777777" w:rsidR="00C45139" w:rsidRPr="007E1A1A" w:rsidRDefault="00C45139" w:rsidP="00C45139">
      <w:pPr>
        <w:spacing w:line="360" w:lineRule="auto"/>
        <w:jc w:val="both"/>
        <w:rPr>
          <w:rFonts w:ascii="Times New Roman" w:hAnsi="Times New Roman" w:cs="Times New Roman"/>
          <w:b/>
          <w:bCs/>
          <w:sz w:val="24"/>
          <w:szCs w:val="24"/>
        </w:rPr>
      </w:pPr>
      <w:r w:rsidRPr="00FA5612">
        <w:rPr>
          <w:rFonts w:ascii="Times New Roman" w:hAnsi="Times New Roman" w:cs="Times New Roman"/>
          <w:sz w:val="24"/>
          <w:szCs w:val="24"/>
        </w:rPr>
        <w:t xml:space="preserve">To date, 224 burial sites have been investigated in Slovenia. Between 2015 and 2019 alone, restoration work was carried out at 173 burial sites and execution sites. For the most </w:t>
      </w:r>
      <w:r w:rsidRPr="007E1A1A">
        <w:rPr>
          <w:rFonts w:ascii="Times New Roman" w:hAnsi="Times New Roman" w:cs="Times New Roman"/>
          <w:sz w:val="24"/>
          <w:szCs w:val="24"/>
        </w:rPr>
        <w:t xml:space="preserve">part, </w:t>
      </w:r>
      <w:r w:rsidRPr="00FA5612">
        <w:rPr>
          <w:rFonts w:ascii="Times New Roman" w:hAnsi="Times New Roman" w:cs="Times New Roman"/>
          <w:sz w:val="24"/>
          <w:szCs w:val="24"/>
        </w:rPr>
        <w:t xml:space="preserve">depending on the landowner’s requirements, the restoration involved enclosing the site with a wooden fence and erecting a wooden cross. </w:t>
      </w:r>
    </w:p>
    <w:p w14:paraId="6DEBA789" w14:textId="77777777" w:rsidR="00C45139" w:rsidRPr="007E1A1A" w:rsidRDefault="00C45139" w:rsidP="00C45139">
      <w:pPr>
        <w:spacing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t>27):</w:t>
      </w:r>
    </w:p>
    <w:p w14:paraId="04872C02"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Since we have no case law with respect to the provisions of the Convention. We assess that issue would be covered by a court proceeding (under the Non-Contentious Civil Procedure Act), the person`s relatives and other close persons would be able to participate in proceedings (as ancillary participants) and file their requests and questions before the court. The proceedings would start five years after the person was proclaimed to be “missing”. Nevertheless, if a commission of a criminal offence with respect to the disappeared person is suspected, the Police would be obligated to search for this person until the statute of limitations under the KZ-1expires.</w:t>
      </w:r>
    </w:p>
    <w:p w14:paraId="50AFF84E" w14:textId="77777777" w:rsidR="00C45139" w:rsidRPr="00FA5612" w:rsidRDefault="00C45139" w:rsidP="00C45139">
      <w:pPr>
        <w:spacing w:line="360" w:lineRule="auto"/>
        <w:jc w:val="both"/>
        <w:rPr>
          <w:rFonts w:ascii="Times New Roman" w:hAnsi="Times New Roman" w:cs="Times New Roman"/>
          <w:b/>
          <w:bCs/>
          <w:sz w:val="24"/>
          <w:szCs w:val="24"/>
        </w:rPr>
      </w:pPr>
      <w:r w:rsidRPr="00FA5612">
        <w:rPr>
          <w:rFonts w:ascii="Times New Roman" w:hAnsi="Times New Roman" w:cs="Times New Roman"/>
          <w:b/>
          <w:bCs/>
          <w:sz w:val="24"/>
          <w:szCs w:val="24"/>
        </w:rPr>
        <w:t>28):</w:t>
      </w:r>
    </w:p>
    <w:p w14:paraId="09D5AF4B" w14:textId="77777777" w:rsidR="00C45139" w:rsidRPr="007E1A1A"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The Associations Act guarantees the right to freely establish and participate in organizations and associations whose purpose is to work toward determining the circumstances of enforced disappearances and the fate of missing persons, as well as to assist victims of enforced disappearances, as it does not specify the field or purpose for which an association may be established and operate. In accordance with the Act, an association is an independent and nonprofit organization established at the initiative of its founders (natural persons with legal </w:t>
      </w:r>
      <w:r w:rsidRPr="00FA5612">
        <w:rPr>
          <w:rFonts w:ascii="Times New Roman" w:hAnsi="Times New Roman" w:cs="Times New Roman"/>
          <w:sz w:val="24"/>
          <w:szCs w:val="24"/>
        </w:rPr>
        <w:lastRenderedPageBreak/>
        <w:t xml:space="preserve">capacity or legal entities) to pursue common interests. The association independently determines its purpose, objectives, activities, tasks, and mode of operation. </w:t>
      </w:r>
    </w:p>
    <w:p w14:paraId="65B27363" w14:textId="77777777" w:rsidR="00C45139" w:rsidRPr="007E1A1A" w:rsidRDefault="00C45139" w:rsidP="00C45139">
      <w:pPr>
        <w:spacing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t>29 a):</w:t>
      </w:r>
    </w:p>
    <w:p w14:paraId="0A017E13" w14:textId="77777777" w:rsidR="00C45139" w:rsidRPr="007E1A1A" w:rsidRDefault="00C45139" w:rsidP="00C45139">
      <w:pPr>
        <w:pStyle w:val="CommentText"/>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Conduct described in </w:t>
      </w:r>
      <w:r w:rsidRPr="007E1A1A">
        <w:rPr>
          <w:rFonts w:ascii="Times New Roman" w:hAnsi="Times New Roman" w:cs="Times New Roman"/>
          <w:sz w:val="24"/>
          <w:szCs w:val="24"/>
        </w:rPr>
        <w:t>A</w:t>
      </w:r>
      <w:r w:rsidRPr="00FA5612">
        <w:rPr>
          <w:rFonts w:ascii="Times New Roman" w:hAnsi="Times New Roman" w:cs="Times New Roman"/>
          <w:sz w:val="24"/>
          <w:szCs w:val="24"/>
        </w:rPr>
        <w:t xml:space="preserve">rticle 25 (1) of the Convention is specifically criminalized within the </w:t>
      </w:r>
      <w:r w:rsidRPr="007E1A1A">
        <w:rPr>
          <w:rFonts w:ascii="Times New Roman" w:hAnsi="Times New Roman" w:cs="Times New Roman"/>
          <w:sz w:val="24"/>
          <w:szCs w:val="24"/>
        </w:rPr>
        <w:t>A</w:t>
      </w:r>
      <w:r w:rsidRPr="00FA5612">
        <w:rPr>
          <w:rFonts w:ascii="Times New Roman" w:hAnsi="Times New Roman" w:cs="Times New Roman"/>
          <w:sz w:val="24"/>
          <w:szCs w:val="24"/>
        </w:rPr>
        <w:t>rticles 101 (Crimes against Humanity) and 190 (</w:t>
      </w:r>
      <w:r w:rsidRPr="00FA5612">
        <w:rPr>
          <w:rFonts w:ascii="Times New Roman" w:eastAsia="Arial" w:hAnsi="Times New Roman" w:cs="Times New Roman"/>
          <w:sz w:val="24"/>
          <w:szCs w:val="24"/>
        </w:rPr>
        <w:t>Criminal offence of Taking away a minor</w:t>
      </w:r>
      <w:r w:rsidRPr="00FA5612">
        <w:rPr>
          <w:rFonts w:ascii="Times New Roman" w:hAnsi="Times New Roman" w:cs="Times New Roman"/>
          <w:sz w:val="24"/>
          <w:szCs w:val="24"/>
        </w:rPr>
        <w:t xml:space="preserve">) of the KZ-1. </w:t>
      </w:r>
    </w:p>
    <w:p w14:paraId="764E61F6" w14:textId="77777777" w:rsidR="00C45139" w:rsidRPr="00FA5612" w:rsidRDefault="00C45139" w:rsidP="00C45139">
      <w:pPr>
        <w:spacing w:line="360" w:lineRule="auto"/>
        <w:jc w:val="both"/>
        <w:rPr>
          <w:rFonts w:ascii="Times New Roman" w:hAnsi="Times New Roman" w:cs="Times New Roman"/>
          <w:b/>
          <w:bCs/>
          <w:sz w:val="24"/>
          <w:szCs w:val="24"/>
        </w:rPr>
      </w:pPr>
      <w:r w:rsidRPr="00FA5612">
        <w:rPr>
          <w:rFonts w:ascii="Times New Roman" w:hAnsi="Times New Roman" w:cs="Times New Roman"/>
          <w:b/>
          <w:bCs/>
          <w:sz w:val="24"/>
          <w:szCs w:val="24"/>
        </w:rPr>
        <w:t>29 b):</w:t>
      </w:r>
    </w:p>
    <w:p w14:paraId="38110A03"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The police do not have this information/ they have not come across such a case.  </w:t>
      </w:r>
    </w:p>
    <w:p w14:paraId="0D46676D" w14:textId="77777777" w:rsidR="00C45139" w:rsidRPr="00FA5612" w:rsidRDefault="00C45139" w:rsidP="00C45139">
      <w:pPr>
        <w:spacing w:line="360" w:lineRule="auto"/>
        <w:jc w:val="both"/>
        <w:rPr>
          <w:rFonts w:ascii="Times New Roman" w:hAnsi="Times New Roman" w:cs="Times New Roman"/>
          <w:b/>
          <w:bCs/>
          <w:sz w:val="24"/>
          <w:szCs w:val="24"/>
        </w:rPr>
      </w:pPr>
      <w:r w:rsidRPr="00FA5612">
        <w:rPr>
          <w:rFonts w:ascii="Times New Roman" w:hAnsi="Times New Roman" w:cs="Times New Roman"/>
          <w:b/>
          <w:bCs/>
          <w:sz w:val="24"/>
          <w:szCs w:val="24"/>
        </w:rPr>
        <w:t>29 c)</w:t>
      </w:r>
      <w:r>
        <w:rPr>
          <w:rFonts w:ascii="Times New Roman" w:hAnsi="Times New Roman" w:cs="Times New Roman"/>
          <w:b/>
          <w:bCs/>
          <w:sz w:val="24"/>
          <w:szCs w:val="24"/>
        </w:rPr>
        <w:t>:</w:t>
      </w:r>
    </w:p>
    <w:p w14:paraId="60FA7D5D"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In cases where the circumstances indicate that a child may be in another country or where international cooperation is necessary to locate the child, the police, apart from requirements delineated in ZKP, also utilize mechanisms for international police cooperation. In accordance with applicable regulations, an alert may be entered into the SIS, which enables the rapid entry of measures to locate individuals and the exchange of alerts, data, and information among the competent authorities of Schengen Area member states in the event of a so-called “hit” or the location of a person. The channels of the INTERPOL may also be used, particularly when a case involves third country and requires broader international cooperation.</w:t>
      </w:r>
      <w:r w:rsidRPr="007E1A1A">
        <w:rPr>
          <w:rFonts w:ascii="Times New Roman" w:hAnsi="Times New Roman" w:cs="Times New Roman"/>
          <w:sz w:val="24"/>
          <w:szCs w:val="24"/>
        </w:rPr>
        <w:t xml:space="preserve"> </w:t>
      </w:r>
      <w:r w:rsidRPr="00FA5612">
        <w:rPr>
          <w:rFonts w:ascii="Times New Roman" w:hAnsi="Times New Roman" w:cs="Times New Roman"/>
          <w:sz w:val="24"/>
          <w:szCs w:val="24"/>
        </w:rPr>
        <w:t>The use of the SIS system and INTERPOL channels enables more effective tracing of missing or unlawfully removed children, determining their whereabouts, and supporting the procedures for their return in accordance with applicable regulations.</w:t>
      </w:r>
    </w:p>
    <w:p w14:paraId="04A83E8B" w14:textId="77777777" w:rsidR="00C45139" w:rsidRPr="007E1A1A" w:rsidRDefault="00C45139" w:rsidP="00C45139">
      <w:pPr>
        <w:spacing w:line="360" w:lineRule="auto"/>
        <w:jc w:val="both"/>
        <w:rPr>
          <w:rFonts w:ascii="Times New Roman" w:hAnsi="Times New Roman" w:cs="Times New Roman"/>
          <w:b/>
          <w:bCs/>
          <w:sz w:val="24"/>
          <w:szCs w:val="24"/>
        </w:rPr>
      </w:pPr>
      <w:r w:rsidRPr="007E1A1A">
        <w:rPr>
          <w:rFonts w:ascii="Times New Roman" w:hAnsi="Times New Roman" w:cs="Times New Roman"/>
          <w:b/>
          <w:bCs/>
          <w:sz w:val="24"/>
          <w:szCs w:val="24"/>
        </w:rPr>
        <w:t>29 d):</w:t>
      </w:r>
    </w:p>
    <w:p w14:paraId="4574013C" w14:textId="77777777" w:rsidR="00C45139" w:rsidRPr="00FA5612" w:rsidRDefault="00C45139" w:rsidP="00C45139">
      <w:pPr>
        <w:pStyle w:val="CommentText"/>
        <w:spacing w:line="360" w:lineRule="auto"/>
        <w:jc w:val="both"/>
        <w:rPr>
          <w:rFonts w:ascii="Times New Roman" w:hAnsi="Times New Roman" w:cs="Times New Roman"/>
          <w:sz w:val="24"/>
          <w:szCs w:val="24"/>
          <w:lang w:eastAsia="ar-SA"/>
        </w:rPr>
      </w:pPr>
      <w:r w:rsidRPr="00FA5612">
        <w:rPr>
          <w:rFonts w:ascii="Times New Roman" w:hAnsi="Times New Roman" w:cs="Times New Roman"/>
          <w:sz w:val="24"/>
          <w:szCs w:val="24"/>
        </w:rPr>
        <w:t xml:space="preserve">Mentioned Investigative Commission states that to date, it has not obtained any direct evidence that would unequivocally (for the period under investigation) confirm the hypothesis of systematic abductions of newborns and illegal adoptions. Situations were indisputably confirmed in which mothers gave birth to children who were either declared dead or disappeared under unexplained circumstances. In most cases, the parents of the presumed deceased newborns never saw their children, nor were they informed of the burial site or other essential information regarding their children’s fate. Incomplete, inconsistent, or missing documentation, as well as identified procedural errors, further reinforce serious suspicions of irregularities; however, based on the available data, it was not possible to definitively confirm </w:t>
      </w:r>
      <w:r w:rsidRPr="00FA5612">
        <w:rPr>
          <w:rFonts w:ascii="Times New Roman" w:hAnsi="Times New Roman" w:cs="Times New Roman"/>
          <w:sz w:val="24"/>
          <w:szCs w:val="24"/>
        </w:rPr>
        <w:lastRenderedPageBreak/>
        <w:t xml:space="preserve">or refute these suspicions. The historical context reveals that, in the decades following World War II, the principle of limited disclosure to mothers prevailed in health and social institutions; as a result, mothers were often not informed of all relevant facts regarding childbirth, were not allowed to see their children, and were not permitted to participate in funeral arrangements. </w:t>
      </w:r>
    </w:p>
    <w:p w14:paraId="0E60311E" w14:textId="77777777" w:rsidR="00C45139" w:rsidRPr="007E1A1A" w:rsidRDefault="00C45139" w:rsidP="00C45139">
      <w:pPr>
        <w:pStyle w:val="CommentText"/>
        <w:spacing w:line="360" w:lineRule="auto"/>
        <w:jc w:val="both"/>
        <w:rPr>
          <w:rFonts w:ascii="Times New Roman" w:hAnsi="Times New Roman" w:cs="Times New Roman"/>
          <w:b/>
          <w:bCs/>
          <w:sz w:val="24"/>
          <w:szCs w:val="24"/>
          <w:lang w:eastAsia="ar-SA"/>
        </w:rPr>
      </w:pPr>
      <w:r w:rsidRPr="007E1A1A">
        <w:rPr>
          <w:rFonts w:ascii="Times New Roman" w:hAnsi="Times New Roman" w:cs="Times New Roman"/>
          <w:b/>
          <w:bCs/>
          <w:sz w:val="24"/>
          <w:szCs w:val="24"/>
          <w:lang w:eastAsia="ar-SA"/>
        </w:rPr>
        <w:t>30):</w:t>
      </w:r>
    </w:p>
    <w:p w14:paraId="1B4908F8"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Pursuant to the Register of Deaths, Births and Marriages Act,</w:t>
      </w:r>
      <w:r w:rsidRPr="00FA5612">
        <w:rPr>
          <w:rStyle w:val="FootnoteReference"/>
          <w:sz w:val="24"/>
          <w:szCs w:val="24"/>
        </w:rPr>
        <w:footnoteReference w:id="8"/>
      </w:r>
      <w:r w:rsidRPr="00FA5612">
        <w:rPr>
          <w:rFonts w:ascii="Times New Roman" w:hAnsi="Times New Roman" w:cs="Times New Roman"/>
          <w:sz w:val="24"/>
          <w:szCs w:val="24"/>
        </w:rPr>
        <w:t xml:space="preserve"> all changes in civil status (from birth, marriage to death) of citizens of the RS are recorded in the computerized database—the civil registry—regardless of whether they occurred in the RS or abroad. Changes in civil status of foreign nationals are recorded in the Civil Registry provided that they occurred within the territory of the RS. The birth of a child within the territory of the RS is recorded by the registrar of the administrative unit in whose territory the place where the child was born is located. If the child was born in a healthcare facility, the facility where the child was born is required to report the birth to the competent authority. The birth of a child outside a healthcare facility must be reported to the competent authority by the physician present at the birth (“physician”), a registered nurse or registered healthcare professional (“registered healthcare professional”), or a certified midwife, the child’s father or the person with whom the mother lives, or the mother herself, if she is capable of doing so. If none of the persons listed above can register the birth, another person who was present at the birth or who learned of the birth may also register it. In the case of birth outside a healthcare facility, a birth certificate issued by the physician, licensed nurse, or licensed midwife present at birth must be attached to the birth registration. A birth certificate may also be issued by a physician who was not present at the birth, provided that the physician can confirm that the mother gave birth. When a birth certificate cannot be obtained, the birth may be entered into the civil registry based on a decision by the competent authority, provided there is evidence of the civil status event. The birth of a live-born child must be registered within fifteen days of the date of birth, and the birth of a stillborn child within 24 hours. After the birth is entered in the civil registry, the child’s parents receive an extract from the civil registry regarding the birth, which is issued </w:t>
      </w:r>
      <w:r w:rsidRPr="00FA5612">
        <w:rPr>
          <w:rFonts w:ascii="Times New Roman" w:hAnsi="Times New Roman" w:cs="Times New Roman"/>
          <w:i/>
          <w:iCs/>
          <w:sz w:val="24"/>
          <w:szCs w:val="24"/>
        </w:rPr>
        <w:t>ex officio</w:t>
      </w:r>
      <w:r w:rsidRPr="00FA5612">
        <w:rPr>
          <w:rFonts w:ascii="Times New Roman" w:hAnsi="Times New Roman" w:cs="Times New Roman"/>
          <w:sz w:val="24"/>
          <w:szCs w:val="24"/>
        </w:rPr>
        <w:t xml:space="preserve">. </w:t>
      </w:r>
    </w:p>
    <w:p w14:paraId="5BE9C6FE" w14:textId="77777777" w:rsidR="00C45139" w:rsidRPr="007E1A1A" w:rsidRDefault="00C45139" w:rsidP="00C45139">
      <w:pPr>
        <w:pStyle w:val="CommentText"/>
        <w:spacing w:line="360" w:lineRule="auto"/>
        <w:jc w:val="both"/>
        <w:rPr>
          <w:rFonts w:ascii="Times New Roman" w:hAnsi="Times New Roman" w:cs="Times New Roman"/>
          <w:b/>
          <w:bCs/>
          <w:sz w:val="24"/>
          <w:szCs w:val="24"/>
          <w:lang w:eastAsia="ar-SA"/>
        </w:rPr>
      </w:pPr>
      <w:r w:rsidRPr="007E1A1A">
        <w:rPr>
          <w:rFonts w:ascii="Times New Roman" w:hAnsi="Times New Roman" w:cs="Times New Roman"/>
          <w:b/>
          <w:bCs/>
          <w:sz w:val="24"/>
          <w:szCs w:val="24"/>
          <w:lang w:eastAsia="ar-SA"/>
        </w:rPr>
        <w:t>31):</w:t>
      </w:r>
    </w:p>
    <w:p w14:paraId="3283E141"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An adoption is invalid in the RS if the conditions set forth in the Family Code</w:t>
      </w:r>
      <w:r w:rsidRPr="00FA5612">
        <w:rPr>
          <w:rStyle w:val="FootnoteReference"/>
          <w:sz w:val="24"/>
          <w:szCs w:val="24"/>
        </w:rPr>
        <w:footnoteReference w:id="9"/>
      </w:r>
      <w:r w:rsidRPr="00FA5612">
        <w:rPr>
          <w:rFonts w:ascii="Times New Roman" w:hAnsi="Times New Roman" w:cs="Times New Roman"/>
          <w:sz w:val="24"/>
          <w:szCs w:val="24"/>
        </w:rPr>
        <w:t xml:space="preserve"> (DZ), specifically in Articles 212 through 218, have not been met. These provisions define who may be adopted, </w:t>
      </w:r>
      <w:r w:rsidRPr="00FA5612">
        <w:rPr>
          <w:rFonts w:ascii="Times New Roman" w:hAnsi="Times New Roman" w:cs="Times New Roman"/>
          <w:sz w:val="24"/>
          <w:szCs w:val="24"/>
        </w:rPr>
        <w:lastRenderedPageBreak/>
        <w:t>who may be an adoptive parent, the prohibition on the adoption of a relative or ward, the age of the adoptive parent and the child’s consent, obstacles to adoption, adoption by a foreign national, and the conditions for the adoption of a child. If, during court proceedings, it is determined that any of the conditions set forth in the articles were not met at the time of adoption, the court shall annul the adoption. The court shall send the final and binding court decision on the annulment of the adoption to the competent CSD and the administrative unit (for the civil registry).</w:t>
      </w:r>
    </w:p>
    <w:p w14:paraId="0865526F"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 xml:space="preserve">The grounds for terminating foster care defined by the DZ list, that; foster care terminates if the circumstances that necessitated the child’s placement in foster care no longer exist; before the child reaches the age of majority, if the child placed in foster care is capable of living independently, or if the child has become a parent and has been granted full legal capacity by a court decision, or upon the child reaching the age of majority. The court decides on the termination of foster care if the reasons for foster care cease to exist or before the child reaches the age of majority due to the child’s independence or parenthood. If the CSD determines that a guardian appointed by the court is negligent in performing their guardianship duties, abuses their rights, or jeopardizes the ward’s best interests through their actions, or if it determines that it would be in the ward’s best interest to have a different guardian, it shall propose to the court that the guardian be discharged and a new guardian appointed. </w:t>
      </w:r>
    </w:p>
    <w:p w14:paraId="32181B4E" w14:textId="77777777" w:rsidR="00C45139" w:rsidRPr="00FA5612" w:rsidRDefault="00C45139" w:rsidP="00C45139">
      <w:pPr>
        <w:spacing w:line="360" w:lineRule="auto"/>
        <w:jc w:val="both"/>
        <w:rPr>
          <w:rFonts w:ascii="Times New Roman" w:hAnsi="Times New Roman" w:cs="Times New Roman"/>
          <w:sz w:val="24"/>
          <w:szCs w:val="24"/>
        </w:rPr>
      </w:pPr>
      <w:r w:rsidRPr="00FA5612">
        <w:rPr>
          <w:rFonts w:ascii="Times New Roman" w:hAnsi="Times New Roman" w:cs="Times New Roman"/>
          <w:sz w:val="24"/>
          <w:szCs w:val="24"/>
        </w:rPr>
        <w:t>The discharge of a foster parent is regulated in more detail by the Provision of Foster Care Act</w:t>
      </w:r>
      <w:r w:rsidRPr="00FA5612">
        <w:rPr>
          <w:rStyle w:val="FootnoteReference"/>
          <w:sz w:val="24"/>
          <w:szCs w:val="24"/>
        </w:rPr>
        <w:footnoteReference w:id="10"/>
      </w:r>
      <w:r w:rsidRPr="00FA5612">
        <w:rPr>
          <w:rFonts w:ascii="Times New Roman" w:hAnsi="Times New Roman" w:cs="Times New Roman"/>
          <w:sz w:val="24"/>
          <w:szCs w:val="24"/>
        </w:rPr>
        <w:t xml:space="preserve"> (ZIRD-C), pursuant to which a court shall discharge a foster parent from providing foster care for a given child if it is determined that the conditions who may perform foster care in the RS (pursuant to Article 6 of ZIRD-C) weren’t met, if the foster parent fails to attend the prescribed training sessions, if required to protect the child’s best interests; if the foster parent fails to fulfill the obligations specified in the foster care agreement; or if the foster parent requests discharge and submits a statement to that effect to the child’s CSD. The court shall send the enforceable decision on the foster parent’s discharge to the CSD under whose jurisdiction it falls foster parent, the CSD with responsibility for the child, and the foster parent. The foster care agreement terminates upon the enforceability of the court decision to terminate the foster parent’s appointment.</w:t>
      </w:r>
    </w:p>
    <w:p w14:paraId="61DC54E7" w14:textId="77777777" w:rsidR="00C45139" w:rsidRPr="007E1A1A" w:rsidRDefault="00C45139" w:rsidP="00C45139">
      <w:pPr>
        <w:spacing w:line="360" w:lineRule="auto"/>
        <w:jc w:val="both"/>
        <w:rPr>
          <w:rFonts w:ascii="Times New Roman" w:hAnsi="Times New Roman" w:cs="Times New Roman"/>
          <w:b/>
          <w:bCs/>
          <w:sz w:val="24"/>
          <w:szCs w:val="24"/>
        </w:rPr>
      </w:pPr>
      <w:r w:rsidRPr="00FA5612">
        <w:rPr>
          <w:rFonts w:ascii="Times New Roman" w:hAnsi="Times New Roman" w:cs="Times New Roman"/>
          <w:sz w:val="24"/>
          <w:szCs w:val="24"/>
        </w:rPr>
        <w:t xml:space="preserve">Except for the agreement with North Macedonia, as noted in paragraph 143 of the First Report of the RS on the implementation of the Convention, the RS has not signed any other agreements. </w:t>
      </w:r>
      <w:r w:rsidRPr="00FA5612">
        <w:rPr>
          <w:rFonts w:ascii="Times New Roman" w:hAnsi="Times New Roman" w:cs="Times New Roman"/>
          <w:sz w:val="24"/>
          <w:szCs w:val="24"/>
        </w:rPr>
        <w:lastRenderedPageBreak/>
        <w:t>Cooperation with other countries takes place with States Parties to the Convention on the Protection of Children and Cooperation in Respect of Intercountry Adoption; to date, cooperation has taken place with the Czechia, Serbia, and Bulgaria; individual applications have also been forwarded to Greece and Rwanda.</w:t>
      </w:r>
    </w:p>
    <w:p w14:paraId="5CB20C64" w14:textId="77777777" w:rsidR="00C45139" w:rsidRPr="007E1A1A" w:rsidRDefault="00C45139" w:rsidP="00C45139">
      <w:pPr>
        <w:spacing w:line="360" w:lineRule="auto"/>
        <w:jc w:val="both"/>
        <w:rPr>
          <w:rFonts w:ascii="Times New Roman" w:hAnsi="Times New Roman" w:cs="Times New Roman"/>
          <w:b/>
          <w:bCs/>
          <w:sz w:val="24"/>
          <w:szCs w:val="24"/>
        </w:rPr>
      </w:pPr>
    </w:p>
    <w:p w14:paraId="35923670" w14:textId="77777777" w:rsidR="00C45139" w:rsidRPr="007E1A1A" w:rsidRDefault="00C45139" w:rsidP="00C45139">
      <w:pPr>
        <w:spacing w:line="360" w:lineRule="auto"/>
        <w:rPr>
          <w:rFonts w:ascii="Times New Roman" w:hAnsi="Times New Roman" w:cs="Times New Roman"/>
          <w:b/>
          <w:bCs/>
          <w:sz w:val="24"/>
          <w:szCs w:val="24"/>
        </w:rPr>
      </w:pPr>
    </w:p>
    <w:p w14:paraId="453F45EC" w14:textId="77777777" w:rsidR="00C45139" w:rsidRPr="007E1A1A" w:rsidRDefault="00C45139" w:rsidP="00C45139">
      <w:pPr>
        <w:spacing w:line="360" w:lineRule="auto"/>
        <w:rPr>
          <w:rFonts w:ascii="Times New Roman" w:hAnsi="Times New Roman" w:cs="Times New Roman"/>
          <w:b/>
          <w:bCs/>
          <w:sz w:val="24"/>
          <w:szCs w:val="24"/>
        </w:rPr>
      </w:pPr>
    </w:p>
    <w:p w14:paraId="3F68A21F" w14:textId="03D67704" w:rsidR="00726526" w:rsidRDefault="00726526">
      <w:pPr>
        <w:rPr>
          <w:rFonts w:ascii="Arial" w:hAnsi="Arial" w:cs="Arial"/>
          <w:b/>
          <w:bCs/>
          <w:color w:val="000000" w:themeColor="text1"/>
          <w:sz w:val="20"/>
          <w:szCs w:val="20"/>
        </w:rPr>
      </w:pPr>
      <w:r>
        <w:rPr>
          <w:rFonts w:ascii="Arial" w:hAnsi="Arial" w:cs="Arial"/>
          <w:b/>
          <w:bCs/>
          <w:color w:val="000000" w:themeColor="text1"/>
          <w:sz w:val="20"/>
          <w:szCs w:val="20"/>
        </w:rPr>
        <w:br w:type="page"/>
      </w:r>
    </w:p>
    <w:p w14:paraId="08E21A47" w14:textId="77777777" w:rsidR="00726526" w:rsidRPr="00377CCC" w:rsidRDefault="00726526" w:rsidP="00726526">
      <w:pPr>
        <w:rPr>
          <w:rFonts w:ascii="Times New Roman" w:hAnsi="Times New Roman" w:cs="Times New Roman"/>
          <w:b/>
          <w:bCs/>
          <w:sz w:val="24"/>
          <w:szCs w:val="24"/>
        </w:rPr>
      </w:pPr>
      <w:r w:rsidRPr="00377CCC">
        <w:rPr>
          <w:rFonts w:ascii="Times New Roman" w:hAnsi="Times New Roman" w:cs="Times New Roman"/>
          <w:b/>
          <w:bCs/>
          <w:sz w:val="24"/>
          <w:szCs w:val="24"/>
        </w:rPr>
        <w:lastRenderedPageBreak/>
        <w:t>APPENDIX:  List of abbreviations and additional explanations to replies</w:t>
      </w:r>
    </w:p>
    <w:p w14:paraId="6516C4EC" w14:textId="77777777" w:rsidR="00726526" w:rsidRPr="00377CCC" w:rsidRDefault="00726526" w:rsidP="00726526">
      <w:pPr>
        <w:pStyle w:val="ListParagraph"/>
        <w:numPr>
          <w:ilvl w:val="0"/>
          <w:numId w:val="6"/>
        </w:numPr>
        <w:spacing w:after="160" w:line="259" w:lineRule="auto"/>
        <w:rPr>
          <w:rFonts w:ascii="Times New Roman" w:hAnsi="Times New Roman" w:cs="Times New Roman"/>
          <w:b/>
          <w:bCs/>
          <w:sz w:val="24"/>
          <w:szCs w:val="24"/>
        </w:rPr>
      </w:pPr>
      <w:r w:rsidRPr="00377CCC">
        <w:rPr>
          <w:rFonts w:ascii="Times New Roman" w:hAnsi="Times New Roman" w:cs="Times New Roman"/>
          <w:b/>
          <w:bCs/>
          <w:sz w:val="24"/>
          <w:szCs w:val="24"/>
        </w:rPr>
        <w:t>List of abbreviations</w:t>
      </w:r>
    </w:p>
    <w:tbl>
      <w:tblPr>
        <w:tblStyle w:val="TableGrid"/>
        <w:tblW w:w="0" w:type="auto"/>
        <w:tblLook w:val="04A0" w:firstRow="1" w:lastRow="0" w:firstColumn="1" w:lastColumn="0" w:noHBand="0" w:noVBand="1"/>
      </w:tblPr>
      <w:tblGrid>
        <w:gridCol w:w="1572"/>
        <w:gridCol w:w="3243"/>
        <w:gridCol w:w="4247"/>
      </w:tblGrid>
      <w:tr w:rsidR="00726526" w:rsidRPr="00377CCC" w14:paraId="159897A2" w14:textId="77777777" w:rsidTr="00BB6351">
        <w:tc>
          <w:tcPr>
            <w:tcW w:w="1572" w:type="dxa"/>
          </w:tcPr>
          <w:p w14:paraId="358D753D" w14:textId="77777777" w:rsidR="00726526" w:rsidRPr="00377CCC" w:rsidRDefault="00726526" w:rsidP="00BB6351">
            <w:pPr>
              <w:spacing w:line="360" w:lineRule="auto"/>
              <w:jc w:val="both"/>
              <w:rPr>
                <w:rFonts w:ascii="Times New Roman" w:hAnsi="Times New Roman" w:cs="Times New Roman"/>
                <w:b/>
                <w:bCs/>
                <w:sz w:val="24"/>
                <w:szCs w:val="24"/>
              </w:rPr>
            </w:pPr>
            <w:r w:rsidRPr="00377CCC">
              <w:rPr>
                <w:rFonts w:ascii="Times New Roman" w:hAnsi="Times New Roman" w:cs="Times New Roman"/>
                <w:b/>
                <w:bCs/>
                <w:sz w:val="24"/>
                <w:szCs w:val="24"/>
              </w:rPr>
              <w:t>Abbreviation</w:t>
            </w:r>
          </w:p>
        </w:tc>
        <w:tc>
          <w:tcPr>
            <w:tcW w:w="3243" w:type="dxa"/>
          </w:tcPr>
          <w:p w14:paraId="0ED78765" w14:textId="77777777" w:rsidR="00726526" w:rsidRPr="00377CCC" w:rsidRDefault="00726526" w:rsidP="00BB6351">
            <w:pPr>
              <w:spacing w:line="360" w:lineRule="auto"/>
              <w:jc w:val="both"/>
              <w:rPr>
                <w:rFonts w:ascii="Times New Roman" w:hAnsi="Times New Roman" w:cs="Times New Roman"/>
                <w:b/>
                <w:bCs/>
                <w:sz w:val="24"/>
                <w:szCs w:val="24"/>
              </w:rPr>
            </w:pPr>
            <w:r w:rsidRPr="00377CCC">
              <w:rPr>
                <w:rFonts w:ascii="Times New Roman" w:hAnsi="Times New Roman" w:cs="Times New Roman"/>
                <w:b/>
                <w:bCs/>
                <w:sz w:val="24"/>
                <w:szCs w:val="24"/>
              </w:rPr>
              <w:t>Term in Slovenian</w:t>
            </w:r>
          </w:p>
        </w:tc>
        <w:tc>
          <w:tcPr>
            <w:tcW w:w="4247" w:type="dxa"/>
          </w:tcPr>
          <w:p w14:paraId="7D71E62F" w14:textId="77777777" w:rsidR="00726526" w:rsidRPr="00377CCC" w:rsidRDefault="00726526" w:rsidP="00BB6351">
            <w:pPr>
              <w:spacing w:line="360" w:lineRule="auto"/>
              <w:jc w:val="both"/>
              <w:rPr>
                <w:rFonts w:ascii="Times New Roman" w:hAnsi="Times New Roman" w:cs="Times New Roman"/>
                <w:b/>
                <w:bCs/>
                <w:sz w:val="24"/>
                <w:szCs w:val="24"/>
              </w:rPr>
            </w:pPr>
            <w:r w:rsidRPr="00377CCC">
              <w:rPr>
                <w:rFonts w:ascii="Times New Roman" w:hAnsi="Times New Roman" w:cs="Times New Roman"/>
                <w:b/>
                <w:bCs/>
                <w:sz w:val="24"/>
                <w:szCs w:val="24"/>
              </w:rPr>
              <w:t>Term in English</w:t>
            </w:r>
          </w:p>
        </w:tc>
      </w:tr>
      <w:tr w:rsidR="00726526" w:rsidRPr="00377CCC" w14:paraId="0D6ED0C0" w14:textId="77777777" w:rsidTr="00BB6351">
        <w:tc>
          <w:tcPr>
            <w:tcW w:w="1572" w:type="dxa"/>
          </w:tcPr>
          <w:p w14:paraId="19FDCD63"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BPP</w:t>
            </w:r>
          </w:p>
        </w:tc>
        <w:tc>
          <w:tcPr>
            <w:tcW w:w="3243" w:type="dxa"/>
          </w:tcPr>
          <w:p w14:paraId="38BD16E6" w14:textId="77777777" w:rsidR="00726526" w:rsidRPr="00377CCC" w:rsidRDefault="00726526" w:rsidP="00BB6351">
            <w:pPr>
              <w:spacing w:line="360" w:lineRule="auto"/>
              <w:jc w:val="both"/>
              <w:rPr>
                <w:rFonts w:ascii="Times New Roman" w:hAnsi="Times New Roman" w:cs="Times New Roman"/>
                <w:sz w:val="24"/>
                <w:szCs w:val="24"/>
              </w:rPr>
            </w:pPr>
            <w:proofErr w:type="spellStart"/>
            <w:r w:rsidRPr="00377CCC">
              <w:rPr>
                <w:rFonts w:ascii="Times New Roman" w:hAnsi="Times New Roman" w:cs="Times New Roman"/>
                <w:sz w:val="24"/>
                <w:szCs w:val="24"/>
              </w:rPr>
              <w:t>Brezplačna</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pravna</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pomoč</w:t>
            </w:r>
            <w:proofErr w:type="spellEnd"/>
            <w:r w:rsidRPr="00377CCC">
              <w:rPr>
                <w:rFonts w:ascii="Times New Roman" w:hAnsi="Times New Roman" w:cs="Times New Roman"/>
                <w:sz w:val="24"/>
                <w:szCs w:val="24"/>
              </w:rPr>
              <w:t xml:space="preserve"> </w:t>
            </w:r>
          </w:p>
        </w:tc>
        <w:tc>
          <w:tcPr>
            <w:tcW w:w="4247" w:type="dxa"/>
          </w:tcPr>
          <w:p w14:paraId="4924376B"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Free Legal Aid</w:t>
            </w:r>
          </w:p>
        </w:tc>
      </w:tr>
      <w:tr w:rsidR="00726526" w:rsidRPr="00377CCC" w14:paraId="3269A7AF" w14:textId="77777777" w:rsidTr="00BB6351">
        <w:tc>
          <w:tcPr>
            <w:tcW w:w="1572" w:type="dxa"/>
          </w:tcPr>
          <w:p w14:paraId="6F4B1729"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CIP</w:t>
            </w:r>
          </w:p>
        </w:tc>
        <w:tc>
          <w:tcPr>
            <w:tcW w:w="3243" w:type="dxa"/>
          </w:tcPr>
          <w:p w14:paraId="2EC46FB0" w14:textId="77777777" w:rsidR="00726526" w:rsidRPr="005F3A49" w:rsidRDefault="00726526" w:rsidP="00BB6351">
            <w:pPr>
              <w:spacing w:line="360" w:lineRule="auto"/>
              <w:jc w:val="both"/>
              <w:rPr>
                <w:rFonts w:ascii="Times New Roman" w:hAnsi="Times New Roman" w:cs="Times New Roman"/>
                <w:sz w:val="24"/>
                <w:szCs w:val="24"/>
                <w:lang w:val="es-ES"/>
              </w:rPr>
            </w:pPr>
            <w:r w:rsidRPr="005F3A49">
              <w:rPr>
                <w:rFonts w:ascii="Times New Roman" w:hAnsi="Times New Roman" w:cs="Times New Roman"/>
                <w:sz w:val="24"/>
                <w:szCs w:val="24"/>
                <w:lang w:val="es-ES"/>
              </w:rPr>
              <w:t xml:space="preserve">Center za izobraževanje v pravosodju </w:t>
            </w:r>
          </w:p>
        </w:tc>
        <w:tc>
          <w:tcPr>
            <w:tcW w:w="4247" w:type="dxa"/>
          </w:tcPr>
          <w:p w14:paraId="40FD8D14"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Center for Education in Judiciary</w:t>
            </w:r>
          </w:p>
          <w:p w14:paraId="5A19FF72" w14:textId="77777777" w:rsidR="00726526" w:rsidRPr="00377CCC" w:rsidRDefault="00726526" w:rsidP="00BB6351">
            <w:pPr>
              <w:spacing w:line="360" w:lineRule="auto"/>
              <w:jc w:val="both"/>
              <w:rPr>
                <w:rFonts w:ascii="Times New Roman" w:hAnsi="Times New Roman" w:cs="Times New Roman"/>
                <w:sz w:val="24"/>
                <w:szCs w:val="24"/>
              </w:rPr>
            </w:pPr>
          </w:p>
        </w:tc>
      </w:tr>
      <w:tr w:rsidR="00726526" w:rsidRPr="00377CCC" w14:paraId="2AAD7873" w14:textId="77777777" w:rsidTr="00BB6351">
        <w:tc>
          <w:tcPr>
            <w:tcW w:w="1572" w:type="dxa"/>
          </w:tcPr>
          <w:p w14:paraId="1A52B44D"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CNVOS</w:t>
            </w:r>
          </w:p>
        </w:tc>
        <w:tc>
          <w:tcPr>
            <w:tcW w:w="3243" w:type="dxa"/>
          </w:tcPr>
          <w:p w14:paraId="71DBABA3" w14:textId="77777777" w:rsidR="00726526" w:rsidRPr="005F3A49" w:rsidRDefault="00726526" w:rsidP="00BB6351">
            <w:pPr>
              <w:spacing w:line="360" w:lineRule="auto"/>
              <w:jc w:val="both"/>
              <w:rPr>
                <w:rFonts w:ascii="Times New Roman" w:hAnsi="Times New Roman" w:cs="Times New Roman"/>
                <w:sz w:val="24"/>
                <w:szCs w:val="24"/>
                <w:lang w:val="es-ES"/>
              </w:rPr>
            </w:pPr>
            <w:r w:rsidRPr="005F3A49">
              <w:rPr>
                <w:rFonts w:ascii="Times New Roman" w:hAnsi="Times New Roman" w:cs="Times New Roman"/>
                <w:sz w:val="24"/>
                <w:szCs w:val="24"/>
                <w:lang w:val="es-ES"/>
              </w:rPr>
              <w:t>Center za informiranje, sodelovanje in razvoj nevladnih organizacij</w:t>
            </w:r>
          </w:p>
        </w:tc>
        <w:tc>
          <w:tcPr>
            <w:tcW w:w="4247" w:type="dxa"/>
          </w:tcPr>
          <w:p w14:paraId="135478DD"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Center for Informing, Cooperation and Development of Non-Governmental Organizations</w:t>
            </w:r>
          </w:p>
        </w:tc>
      </w:tr>
      <w:tr w:rsidR="00726526" w:rsidRPr="00377CCC" w14:paraId="327A0039" w14:textId="77777777" w:rsidTr="00BB6351">
        <w:tc>
          <w:tcPr>
            <w:tcW w:w="1572" w:type="dxa"/>
          </w:tcPr>
          <w:p w14:paraId="5BF2962A"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CSD</w:t>
            </w:r>
          </w:p>
        </w:tc>
        <w:tc>
          <w:tcPr>
            <w:tcW w:w="3243" w:type="dxa"/>
          </w:tcPr>
          <w:p w14:paraId="0477A08E"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 xml:space="preserve">Center za </w:t>
            </w:r>
            <w:proofErr w:type="spellStart"/>
            <w:r w:rsidRPr="00377CCC">
              <w:rPr>
                <w:rFonts w:ascii="Times New Roman" w:hAnsi="Times New Roman" w:cs="Times New Roman"/>
                <w:sz w:val="24"/>
                <w:szCs w:val="24"/>
              </w:rPr>
              <w:t>socialno</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delo</w:t>
            </w:r>
            <w:proofErr w:type="spellEnd"/>
          </w:p>
        </w:tc>
        <w:tc>
          <w:tcPr>
            <w:tcW w:w="4247" w:type="dxa"/>
          </w:tcPr>
          <w:p w14:paraId="7C570C26"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Social work center</w:t>
            </w:r>
          </w:p>
        </w:tc>
      </w:tr>
      <w:tr w:rsidR="00726526" w:rsidRPr="00377CCC" w14:paraId="228E10A4" w14:textId="77777777" w:rsidTr="00BB6351">
        <w:tc>
          <w:tcPr>
            <w:tcW w:w="1572" w:type="dxa"/>
          </w:tcPr>
          <w:p w14:paraId="0D674C46"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DZ</w:t>
            </w:r>
          </w:p>
        </w:tc>
        <w:tc>
          <w:tcPr>
            <w:tcW w:w="3243" w:type="dxa"/>
          </w:tcPr>
          <w:p w14:paraId="4EE5CA6F" w14:textId="77777777" w:rsidR="00726526" w:rsidRPr="00377CCC" w:rsidRDefault="00726526" w:rsidP="00BB6351">
            <w:pPr>
              <w:spacing w:line="360" w:lineRule="auto"/>
              <w:jc w:val="both"/>
              <w:rPr>
                <w:rFonts w:ascii="Times New Roman" w:hAnsi="Times New Roman" w:cs="Times New Roman"/>
                <w:sz w:val="24"/>
                <w:szCs w:val="24"/>
              </w:rPr>
            </w:pPr>
            <w:proofErr w:type="spellStart"/>
            <w:r w:rsidRPr="00377CCC">
              <w:rPr>
                <w:rFonts w:ascii="Times New Roman" w:hAnsi="Times New Roman" w:cs="Times New Roman"/>
                <w:sz w:val="24"/>
                <w:szCs w:val="24"/>
              </w:rPr>
              <w:t>Družinski</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zakonik</w:t>
            </w:r>
            <w:proofErr w:type="spellEnd"/>
          </w:p>
        </w:tc>
        <w:tc>
          <w:tcPr>
            <w:tcW w:w="4247" w:type="dxa"/>
          </w:tcPr>
          <w:p w14:paraId="6093D638"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Family Code</w:t>
            </w:r>
          </w:p>
        </w:tc>
      </w:tr>
      <w:tr w:rsidR="00726526" w:rsidRPr="00377CCC" w14:paraId="0D9BC5E2" w14:textId="77777777" w:rsidTr="00BB6351">
        <w:tc>
          <w:tcPr>
            <w:tcW w:w="1572" w:type="dxa"/>
          </w:tcPr>
          <w:p w14:paraId="3F212571"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KZ-1</w:t>
            </w:r>
          </w:p>
        </w:tc>
        <w:tc>
          <w:tcPr>
            <w:tcW w:w="3243" w:type="dxa"/>
          </w:tcPr>
          <w:p w14:paraId="75A62CED" w14:textId="77777777" w:rsidR="00726526" w:rsidRPr="00377CCC" w:rsidRDefault="00726526" w:rsidP="00BB6351">
            <w:pPr>
              <w:spacing w:line="360" w:lineRule="auto"/>
              <w:jc w:val="both"/>
              <w:rPr>
                <w:rFonts w:ascii="Times New Roman" w:hAnsi="Times New Roman" w:cs="Times New Roman"/>
                <w:sz w:val="24"/>
                <w:szCs w:val="24"/>
              </w:rPr>
            </w:pPr>
            <w:proofErr w:type="spellStart"/>
            <w:r w:rsidRPr="00377CCC">
              <w:rPr>
                <w:rFonts w:ascii="Times New Roman" w:hAnsi="Times New Roman" w:cs="Times New Roman"/>
                <w:sz w:val="24"/>
                <w:szCs w:val="24"/>
              </w:rPr>
              <w:t>Kazenski</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zakonik</w:t>
            </w:r>
            <w:proofErr w:type="spellEnd"/>
            <w:r w:rsidRPr="00377CCC">
              <w:rPr>
                <w:rFonts w:ascii="Times New Roman" w:hAnsi="Times New Roman" w:cs="Times New Roman"/>
                <w:sz w:val="24"/>
                <w:szCs w:val="24"/>
              </w:rPr>
              <w:t xml:space="preserve"> </w:t>
            </w:r>
          </w:p>
        </w:tc>
        <w:tc>
          <w:tcPr>
            <w:tcW w:w="4247" w:type="dxa"/>
          </w:tcPr>
          <w:p w14:paraId="031667E1"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Criminal Code</w:t>
            </w:r>
          </w:p>
        </w:tc>
      </w:tr>
      <w:tr w:rsidR="00726526" w:rsidRPr="00377CCC" w14:paraId="1397E899" w14:textId="77777777" w:rsidTr="00BB6351">
        <w:tc>
          <w:tcPr>
            <w:tcW w:w="1572" w:type="dxa"/>
          </w:tcPr>
          <w:p w14:paraId="2C0329D9"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MDS TZL</w:t>
            </w:r>
          </w:p>
        </w:tc>
        <w:tc>
          <w:tcPr>
            <w:tcW w:w="3243" w:type="dxa"/>
          </w:tcPr>
          <w:p w14:paraId="106943E6" w14:textId="77777777" w:rsidR="00726526" w:rsidRPr="00377CCC" w:rsidRDefault="00726526" w:rsidP="00BB6351">
            <w:pPr>
              <w:spacing w:line="360" w:lineRule="auto"/>
              <w:jc w:val="both"/>
              <w:rPr>
                <w:rFonts w:ascii="Times New Roman" w:hAnsi="Times New Roman" w:cs="Times New Roman"/>
                <w:sz w:val="24"/>
                <w:szCs w:val="24"/>
              </w:rPr>
            </w:pPr>
            <w:proofErr w:type="spellStart"/>
            <w:r w:rsidRPr="00377CCC">
              <w:rPr>
                <w:rFonts w:ascii="Times New Roman" w:hAnsi="Times New Roman" w:cs="Times New Roman"/>
                <w:sz w:val="24"/>
                <w:szCs w:val="24"/>
              </w:rPr>
              <w:t>Medresorska</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delovna</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skupina</w:t>
            </w:r>
            <w:proofErr w:type="spellEnd"/>
            <w:r w:rsidRPr="00377CCC">
              <w:rPr>
                <w:rFonts w:ascii="Times New Roman" w:hAnsi="Times New Roman" w:cs="Times New Roman"/>
                <w:sz w:val="24"/>
                <w:szCs w:val="24"/>
              </w:rPr>
              <w:t xml:space="preserve"> za </w:t>
            </w:r>
            <w:proofErr w:type="spellStart"/>
            <w:r w:rsidRPr="00377CCC">
              <w:rPr>
                <w:rFonts w:ascii="Times New Roman" w:hAnsi="Times New Roman" w:cs="Times New Roman"/>
                <w:sz w:val="24"/>
                <w:szCs w:val="24"/>
              </w:rPr>
              <w:t>boj</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proti</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trgovini</w:t>
            </w:r>
            <w:proofErr w:type="spellEnd"/>
            <w:r w:rsidRPr="00377CCC">
              <w:rPr>
                <w:rFonts w:ascii="Times New Roman" w:hAnsi="Times New Roman" w:cs="Times New Roman"/>
                <w:sz w:val="24"/>
                <w:szCs w:val="24"/>
              </w:rPr>
              <w:t xml:space="preserve"> z </w:t>
            </w:r>
            <w:proofErr w:type="spellStart"/>
            <w:r w:rsidRPr="00377CCC">
              <w:rPr>
                <w:rFonts w:ascii="Times New Roman" w:hAnsi="Times New Roman" w:cs="Times New Roman"/>
                <w:sz w:val="24"/>
                <w:szCs w:val="24"/>
              </w:rPr>
              <w:t>ljudmi</w:t>
            </w:r>
            <w:proofErr w:type="spellEnd"/>
          </w:p>
        </w:tc>
        <w:tc>
          <w:tcPr>
            <w:tcW w:w="4247" w:type="dxa"/>
          </w:tcPr>
          <w:p w14:paraId="315E8EC5"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The Interministerial Working Group on Combating Human Trafficking</w:t>
            </w:r>
          </w:p>
        </w:tc>
      </w:tr>
      <w:tr w:rsidR="00726526" w:rsidRPr="00377CCC" w14:paraId="76B0A481" w14:textId="77777777" w:rsidTr="00BB6351">
        <w:tc>
          <w:tcPr>
            <w:tcW w:w="1572" w:type="dxa"/>
          </w:tcPr>
          <w:p w14:paraId="45C2DE91"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MNZ</w:t>
            </w:r>
          </w:p>
        </w:tc>
        <w:tc>
          <w:tcPr>
            <w:tcW w:w="3243" w:type="dxa"/>
          </w:tcPr>
          <w:p w14:paraId="5FE1483A" w14:textId="77777777" w:rsidR="00726526" w:rsidRPr="00377CCC" w:rsidRDefault="00726526" w:rsidP="00BB6351">
            <w:pPr>
              <w:spacing w:line="360" w:lineRule="auto"/>
              <w:jc w:val="both"/>
              <w:rPr>
                <w:rFonts w:ascii="Times New Roman" w:hAnsi="Times New Roman" w:cs="Times New Roman"/>
                <w:sz w:val="24"/>
                <w:szCs w:val="24"/>
              </w:rPr>
            </w:pPr>
            <w:proofErr w:type="spellStart"/>
            <w:r w:rsidRPr="00377CCC">
              <w:rPr>
                <w:rFonts w:ascii="Times New Roman" w:hAnsi="Times New Roman" w:cs="Times New Roman"/>
                <w:sz w:val="24"/>
                <w:szCs w:val="24"/>
              </w:rPr>
              <w:t>Ministrstvo</w:t>
            </w:r>
            <w:proofErr w:type="spellEnd"/>
            <w:r w:rsidRPr="00377CCC">
              <w:rPr>
                <w:rFonts w:ascii="Times New Roman" w:hAnsi="Times New Roman" w:cs="Times New Roman"/>
                <w:sz w:val="24"/>
                <w:szCs w:val="24"/>
              </w:rPr>
              <w:t xml:space="preserve"> za </w:t>
            </w:r>
            <w:proofErr w:type="spellStart"/>
            <w:r w:rsidRPr="00377CCC">
              <w:rPr>
                <w:rFonts w:ascii="Times New Roman" w:hAnsi="Times New Roman" w:cs="Times New Roman"/>
                <w:sz w:val="24"/>
                <w:szCs w:val="24"/>
              </w:rPr>
              <w:t>notranje</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zadeve</w:t>
            </w:r>
            <w:proofErr w:type="spellEnd"/>
          </w:p>
        </w:tc>
        <w:tc>
          <w:tcPr>
            <w:tcW w:w="4247" w:type="dxa"/>
          </w:tcPr>
          <w:p w14:paraId="609CB3F5"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Ministry of Interior</w:t>
            </w:r>
          </w:p>
        </w:tc>
      </w:tr>
      <w:tr w:rsidR="00726526" w:rsidRPr="00377CCC" w14:paraId="090FA52B" w14:textId="77777777" w:rsidTr="00BB6351">
        <w:tc>
          <w:tcPr>
            <w:tcW w:w="1572" w:type="dxa"/>
          </w:tcPr>
          <w:p w14:paraId="71A3D548"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MORS</w:t>
            </w:r>
          </w:p>
        </w:tc>
        <w:tc>
          <w:tcPr>
            <w:tcW w:w="3243" w:type="dxa"/>
          </w:tcPr>
          <w:p w14:paraId="353A2511" w14:textId="77777777" w:rsidR="00726526" w:rsidRPr="00377CCC" w:rsidRDefault="00726526" w:rsidP="00BB6351">
            <w:pPr>
              <w:spacing w:line="360" w:lineRule="auto"/>
              <w:jc w:val="both"/>
              <w:rPr>
                <w:rFonts w:ascii="Times New Roman" w:hAnsi="Times New Roman" w:cs="Times New Roman"/>
                <w:sz w:val="24"/>
                <w:szCs w:val="24"/>
              </w:rPr>
            </w:pPr>
            <w:proofErr w:type="spellStart"/>
            <w:r w:rsidRPr="00377CCC">
              <w:rPr>
                <w:rFonts w:ascii="Times New Roman" w:hAnsi="Times New Roman" w:cs="Times New Roman"/>
                <w:sz w:val="24"/>
                <w:szCs w:val="24"/>
              </w:rPr>
              <w:t>Ministrstvo</w:t>
            </w:r>
            <w:proofErr w:type="spellEnd"/>
            <w:r w:rsidRPr="00377CCC">
              <w:rPr>
                <w:rFonts w:ascii="Times New Roman" w:hAnsi="Times New Roman" w:cs="Times New Roman"/>
                <w:sz w:val="24"/>
                <w:szCs w:val="24"/>
              </w:rPr>
              <w:t xml:space="preserve"> za </w:t>
            </w:r>
            <w:proofErr w:type="spellStart"/>
            <w:r w:rsidRPr="00377CCC">
              <w:rPr>
                <w:rFonts w:ascii="Times New Roman" w:hAnsi="Times New Roman" w:cs="Times New Roman"/>
                <w:sz w:val="24"/>
                <w:szCs w:val="24"/>
              </w:rPr>
              <w:t>obrambo</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Republike</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Slovenije</w:t>
            </w:r>
            <w:proofErr w:type="spellEnd"/>
          </w:p>
        </w:tc>
        <w:tc>
          <w:tcPr>
            <w:tcW w:w="4247" w:type="dxa"/>
          </w:tcPr>
          <w:p w14:paraId="12ACC509"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 xml:space="preserve">Ministry of </w:t>
            </w:r>
            <w:proofErr w:type="spellStart"/>
            <w:r w:rsidRPr="00377CCC">
              <w:rPr>
                <w:rFonts w:ascii="Times New Roman" w:hAnsi="Times New Roman" w:cs="Times New Roman"/>
                <w:sz w:val="24"/>
                <w:szCs w:val="24"/>
              </w:rPr>
              <w:t>Defence</w:t>
            </w:r>
            <w:proofErr w:type="spellEnd"/>
          </w:p>
        </w:tc>
      </w:tr>
      <w:tr w:rsidR="00726526" w:rsidRPr="00377CCC" w14:paraId="5E1F3A29" w14:textId="77777777" w:rsidTr="00BB6351">
        <w:tc>
          <w:tcPr>
            <w:tcW w:w="1572" w:type="dxa"/>
          </w:tcPr>
          <w:p w14:paraId="38400D42"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MP</w:t>
            </w:r>
          </w:p>
        </w:tc>
        <w:tc>
          <w:tcPr>
            <w:tcW w:w="3243" w:type="dxa"/>
          </w:tcPr>
          <w:p w14:paraId="0C495E05" w14:textId="77777777" w:rsidR="00726526" w:rsidRPr="00377CCC" w:rsidRDefault="00726526" w:rsidP="00BB6351">
            <w:pPr>
              <w:spacing w:line="360" w:lineRule="auto"/>
              <w:jc w:val="both"/>
              <w:rPr>
                <w:rFonts w:ascii="Times New Roman" w:hAnsi="Times New Roman" w:cs="Times New Roman"/>
                <w:sz w:val="24"/>
                <w:szCs w:val="24"/>
              </w:rPr>
            </w:pPr>
            <w:proofErr w:type="spellStart"/>
            <w:r w:rsidRPr="00377CCC">
              <w:rPr>
                <w:rFonts w:ascii="Times New Roman" w:hAnsi="Times New Roman" w:cs="Times New Roman"/>
                <w:sz w:val="24"/>
                <w:szCs w:val="24"/>
              </w:rPr>
              <w:t>Ministrstvo</w:t>
            </w:r>
            <w:proofErr w:type="spellEnd"/>
            <w:r w:rsidRPr="00377CCC">
              <w:rPr>
                <w:rFonts w:ascii="Times New Roman" w:hAnsi="Times New Roman" w:cs="Times New Roman"/>
                <w:sz w:val="24"/>
                <w:szCs w:val="24"/>
              </w:rPr>
              <w:t xml:space="preserve"> za </w:t>
            </w:r>
            <w:proofErr w:type="spellStart"/>
            <w:r w:rsidRPr="00377CCC">
              <w:rPr>
                <w:rFonts w:ascii="Times New Roman" w:hAnsi="Times New Roman" w:cs="Times New Roman"/>
                <w:sz w:val="24"/>
                <w:szCs w:val="24"/>
              </w:rPr>
              <w:t>pravosodje</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Republike</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Slovenije</w:t>
            </w:r>
            <w:proofErr w:type="spellEnd"/>
          </w:p>
        </w:tc>
        <w:tc>
          <w:tcPr>
            <w:tcW w:w="4247" w:type="dxa"/>
          </w:tcPr>
          <w:p w14:paraId="75A88C67"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Ministry of Justice of the Republic of Slovenia</w:t>
            </w:r>
          </w:p>
        </w:tc>
      </w:tr>
      <w:tr w:rsidR="00726526" w:rsidRPr="00377CCC" w14:paraId="38E85FC1" w14:textId="77777777" w:rsidTr="00BB6351">
        <w:tc>
          <w:tcPr>
            <w:tcW w:w="1572" w:type="dxa"/>
          </w:tcPr>
          <w:p w14:paraId="6F0722B7"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NGO</w:t>
            </w:r>
          </w:p>
        </w:tc>
        <w:tc>
          <w:tcPr>
            <w:tcW w:w="3243" w:type="dxa"/>
          </w:tcPr>
          <w:p w14:paraId="7FCBAEED" w14:textId="77777777" w:rsidR="00726526" w:rsidRPr="00377CCC" w:rsidRDefault="00726526" w:rsidP="00BB6351">
            <w:pPr>
              <w:spacing w:line="360" w:lineRule="auto"/>
              <w:jc w:val="both"/>
              <w:rPr>
                <w:rFonts w:ascii="Times New Roman" w:hAnsi="Times New Roman" w:cs="Times New Roman"/>
                <w:sz w:val="24"/>
                <w:szCs w:val="24"/>
              </w:rPr>
            </w:pPr>
            <w:proofErr w:type="spellStart"/>
            <w:r w:rsidRPr="00377CCC">
              <w:rPr>
                <w:rFonts w:ascii="Times New Roman" w:hAnsi="Times New Roman" w:cs="Times New Roman"/>
                <w:sz w:val="24"/>
                <w:szCs w:val="24"/>
              </w:rPr>
              <w:t>Nevladna</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organizacija</w:t>
            </w:r>
            <w:proofErr w:type="spellEnd"/>
          </w:p>
        </w:tc>
        <w:tc>
          <w:tcPr>
            <w:tcW w:w="4247" w:type="dxa"/>
          </w:tcPr>
          <w:p w14:paraId="4402C264"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 xml:space="preserve">Non-governmental </w:t>
            </w:r>
            <w:proofErr w:type="spellStart"/>
            <w:r w:rsidRPr="00377CCC">
              <w:rPr>
                <w:rFonts w:ascii="Times New Roman" w:hAnsi="Times New Roman" w:cs="Times New Roman"/>
                <w:sz w:val="24"/>
                <w:szCs w:val="24"/>
              </w:rPr>
              <w:t>organisation</w:t>
            </w:r>
            <w:proofErr w:type="spellEnd"/>
          </w:p>
        </w:tc>
      </w:tr>
      <w:tr w:rsidR="00726526" w:rsidRPr="00377CCC" w14:paraId="13CE0B8F" w14:textId="77777777" w:rsidTr="00BB6351">
        <w:tc>
          <w:tcPr>
            <w:tcW w:w="1572" w:type="dxa"/>
          </w:tcPr>
          <w:p w14:paraId="45AE3865"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 xml:space="preserve">SIS </w:t>
            </w:r>
          </w:p>
        </w:tc>
        <w:tc>
          <w:tcPr>
            <w:tcW w:w="3243" w:type="dxa"/>
          </w:tcPr>
          <w:p w14:paraId="47B646E5" w14:textId="77777777" w:rsidR="00726526" w:rsidRPr="00377CCC" w:rsidRDefault="00726526" w:rsidP="00BB6351">
            <w:pPr>
              <w:spacing w:line="360" w:lineRule="auto"/>
              <w:jc w:val="both"/>
              <w:rPr>
                <w:rFonts w:ascii="Times New Roman" w:hAnsi="Times New Roman" w:cs="Times New Roman"/>
                <w:sz w:val="24"/>
                <w:szCs w:val="24"/>
              </w:rPr>
            </w:pPr>
            <w:proofErr w:type="spellStart"/>
            <w:r w:rsidRPr="00377CCC">
              <w:rPr>
                <w:rFonts w:ascii="Times New Roman" w:hAnsi="Times New Roman" w:cs="Times New Roman"/>
                <w:sz w:val="24"/>
                <w:szCs w:val="24"/>
              </w:rPr>
              <w:t>Schengenski</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informacijski</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sistem</w:t>
            </w:r>
            <w:proofErr w:type="spellEnd"/>
            <w:r w:rsidRPr="00377CCC">
              <w:rPr>
                <w:rFonts w:ascii="Times New Roman" w:hAnsi="Times New Roman" w:cs="Times New Roman"/>
                <w:sz w:val="24"/>
                <w:szCs w:val="24"/>
              </w:rPr>
              <w:t xml:space="preserve"> </w:t>
            </w:r>
          </w:p>
        </w:tc>
        <w:tc>
          <w:tcPr>
            <w:tcW w:w="4247" w:type="dxa"/>
          </w:tcPr>
          <w:p w14:paraId="36CA8E9E"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Schengen Information System</w:t>
            </w:r>
          </w:p>
        </w:tc>
      </w:tr>
      <w:tr w:rsidR="00726526" w:rsidRPr="00377CCC" w14:paraId="1B372D6B" w14:textId="77777777" w:rsidTr="00BB6351">
        <w:tc>
          <w:tcPr>
            <w:tcW w:w="1572" w:type="dxa"/>
          </w:tcPr>
          <w:p w14:paraId="629E1D5A"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SV</w:t>
            </w:r>
          </w:p>
        </w:tc>
        <w:tc>
          <w:tcPr>
            <w:tcW w:w="3243" w:type="dxa"/>
          </w:tcPr>
          <w:p w14:paraId="66D8EC92" w14:textId="77777777" w:rsidR="00726526" w:rsidRPr="00377CCC" w:rsidRDefault="00726526" w:rsidP="00BB6351">
            <w:pPr>
              <w:spacing w:line="360" w:lineRule="auto"/>
              <w:jc w:val="both"/>
              <w:rPr>
                <w:rFonts w:ascii="Times New Roman" w:hAnsi="Times New Roman" w:cs="Times New Roman"/>
                <w:sz w:val="24"/>
                <w:szCs w:val="24"/>
              </w:rPr>
            </w:pPr>
            <w:proofErr w:type="spellStart"/>
            <w:r w:rsidRPr="00377CCC">
              <w:rPr>
                <w:rFonts w:ascii="Times New Roman" w:hAnsi="Times New Roman" w:cs="Times New Roman"/>
                <w:sz w:val="24"/>
                <w:szCs w:val="24"/>
              </w:rPr>
              <w:t>Slovenska</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vojska</w:t>
            </w:r>
            <w:proofErr w:type="spellEnd"/>
          </w:p>
        </w:tc>
        <w:tc>
          <w:tcPr>
            <w:tcW w:w="4247" w:type="dxa"/>
          </w:tcPr>
          <w:p w14:paraId="2AF885F1"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Slovenian Armed Forces</w:t>
            </w:r>
          </w:p>
        </w:tc>
      </w:tr>
      <w:tr w:rsidR="00726526" w:rsidRPr="00377CCC" w14:paraId="62E7C780" w14:textId="77777777" w:rsidTr="00BB6351">
        <w:tc>
          <w:tcPr>
            <w:tcW w:w="1572" w:type="dxa"/>
          </w:tcPr>
          <w:p w14:paraId="2ED6248F"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UOIM</w:t>
            </w:r>
          </w:p>
        </w:tc>
        <w:tc>
          <w:tcPr>
            <w:tcW w:w="3243" w:type="dxa"/>
          </w:tcPr>
          <w:p w14:paraId="68454EC0"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 xml:space="preserve">Urad </w:t>
            </w:r>
            <w:proofErr w:type="spellStart"/>
            <w:r w:rsidRPr="00377CCC">
              <w:rPr>
                <w:rFonts w:ascii="Times New Roman" w:hAnsi="Times New Roman" w:cs="Times New Roman"/>
                <w:sz w:val="24"/>
                <w:szCs w:val="24"/>
              </w:rPr>
              <w:t>Republike</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Slovenije</w:t>
            </w:r>
            <w:proofErr w:type="spellEnd"/>
            <w:r w:rsidRPr="00377CCC">
              <w:rPr>
                <w:rFonts w:ascii="Times New Roman" w:hAnsi="Times New Roman" w:cs="Times New Roman"/>
                <w:sz w:val="24"/>
                <w:szCs w:val="24"/>
              </w:rPr>
              <w:t xml:space="preserve"> za </w:t>
            </w:r>
            <w:proofErr w:type="spellStart"/>
            <w:r w:rsidRPr="00377CCC">
              <w:rPr>
                <w:rFonts w:ascii="Times New Roman" w:hAnsi="Times New Roman" w:cs="Times New Roman"/>
                <w:sz w:val="24"/>
                <w:szCs w:val="24"/>
              </w:rPr>
              <w:t>oskrbo</w:t>
            </w:r>
            <w:proofErr w:type="spellEnd"/>
            <w:r w:rsidRPr="00377CCC">
              <w:rPr>
                <w:rFonts w:ascii="Times New Roman" w:hAnsi="Times New Roman" w:cs="Times New Roman"/>
                <w:sz w:val="24"/>
                <w:szCs w:val="24"/>
              </w:rPr>
              <w:t xml:space="preserve"> in </w:t>
            </w:r>
            <w:proofErr w:type="spellStart"/>
            <w:r w:rsidRPr="00377CCC">
              <w:rPr>
                <w:rFonts w:ascii="Times New Roman" w:hAnsi="Times New Roman" w:cs="Times New Roman"/>
                <w:sz w:val="24"/>
                <w:szCs w:val="24"/>
              </w:rPr>
              <w:t>integracijo</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migrantov</w:t>
            </w:r>
            <w:proofErr w:type="spellEnd"/>
          </w:p>
        </w:tc>
        <w:tc>
          <w:tcPr>
            <w:tcW w:w="4247" w:type="dxa"/>
          </w:tcPr>
          <w:p w14:paraId="45EAFC8F"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 xml:space="preserve">Government Office for the Support and Integration of Migrants </w:t>
            </w:r>
          </w:p>
        </w:tc>
      </w:tr>
      <w:tr w:rsidR="00726526" w:rsidRPr="00377CCC" w14:paraId="3507640B" w14:textId="77777777" w:rsidTr="00BB6351">
        <w:tc>
          <w:tcPr>
            <w:tcW w:w="1572" w:type="dxa"/>
          </w:tcPr>
          <w:p w14:paraId="70DD5343"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URSIKS</w:t>
            </w:r>
          </w:p>
        </w:tc>
        <w:tc>
          <w:tcPr>
            <w:tcW w:w="3243" w:type="dxa"/>
          </w:tcPr>
          <w:p w14:paraId="75D02267" w14:textId="77777777" w:rsidR="00726526" w:rsidRPr="00377CCC" w:rsidRDefault="00726526" w:rsidP="00BB6351">
            <w:pPr>
              <w:spacing w:line="360" w:lineRule="auto"/>
              <w:jc w:val="both"/>
              <w:rPr>
                <w:rFonts w:ascii="Times New Roman" w:hAnsi="Times New Roman" w:cs="Times New Roman"/>
                <w:sz w:val="24"/>
                <w:szCs w:val="24"/>
              </w:rPr>
            </w:pPr>
            <w:proofErr w:type="spellStart"/>
            <w:r w:rsidRPr="00377CCC">
              <w:rPr>
                <w:rFonts w:ascii="Times New Roman" w:hAnsi="Times New Roman" w:cs="Times New Roman"/>
                <w:sz w:val="24"/>
                <w:szCs w:val="24"/>
              </w:rPr>
              <w:t>Uprava</w:t>
            </w:r>
            <w:proofErr w:type="spellEnd"/>
            <w:r w:rsidRPr="00377CCC">
              <w:rPr>
                <w:rFonts w:ascii="Times New Roman" w:hAnsi="Times New Roman" w:cs="Times New Roman"/>
                <w:sz w:val="24"/>
                <w:szCs w:val="24"/>
              </w:rPr>
              <w:t xml:space="preserve"> za </w:t>
            </w:r>
            <w:proofErr w:type="spellStart"/>
            <w:r w:rsidRPr="00377CCC">
              <w:rPr>
                <w:rFonts w:ascii="Times New Roman" w:hAnsi="Times New Roman" w:cs="Times New Roman"/>
                <w:sz w:val="24"/>
                <w:szCs w:val="24"/>
              </w:rPr>
              <w:t>izvrševanje</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kazenskih</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sankcij</w:t>
            </w:r>
            <w:proofErr w:type="spellEnd"/>
          </w:p>
        </w:tc>
        <w:tc>
          <w:tcPr>
            <w:tcW w:w="4247" w:type="dxa"/>
          </w:tcPr>
          <w:p w14:paraId="4CC4CD5E"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Prison Administration</w:t>
            </w:r>
          </w:p>
        </w:tc>
      </w:tr>
      <w:tr w:rsidR="00726526" w:rsidRPr="00377CCC" w14:paraId="074A29C5" w14:textId="77777777" w:rsidTr="00BB6351">
        <w:tc>
          <w:tcPr>
            <w:tcW w:w="1572" w:type="dxa"/>
          </w:tcPr>
          <w:p w14:paraId="7795CC1D"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VČP</w:t>
            </w:r>
          </w:p>
        </w:tc>
        <w:tc>
          <w:tcPr>
            <w:tcW w:w="3243" w:type="dxa"/>
          </w:tcPr>
          <w:p w14:paraId="48C477BC"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 xml:space="preserve">Varuh </w:t>
            </w:r>
            <w:proofErr w:type="spellStart"/>
            <w:r w:rsidRPr="00377CCC">
              <w:rPr>
                <w:rFonts w:ascii="Times New Roman" w:hAnsi="Times New Roman" w:cs="Times New Roman"/>
                <w:sz w:val="24"/>
                <w:szCs w:val="24"/>
              </w:rPr>
              <w:t>človekovih</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pravic</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Republike</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Slovenije</w:t>
            </w:r>
            <w:proofErr w:type="spellEnd"/>
          </w:p>
        </w:tc>
        <w:tc>
          <w:tcPr>
            <w:tcW w:w="4247" w:type="dxa"/>
          </w:tcPr>
          <w:p w14:paraId="3432433C"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Human Rights Ombudsman</w:t>
            </w:r>
          </w:p>
        </w:tc>
      </w:tr>
      <w:tr w:rsidR="00726526" w:rsidRPr="00377CCC" w14:paraId="2BB147CA" w14:textId="77777777" w:rsidTr="00BB6351">
        <w:tc>
          <w:tcPr>
            <w:tcW w:w="1572" w:type="dxa"/>
          </w:tcPr>
          <w:p w14:paraId="43311D4B"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shd w:val="clear" w:color="auto" w:fill="FFFFFF"/>
              </w:rPr>
              <w:t>ZBPP</w:t>
            </w:r>
          </w:p>
        </w:tc>
        <w:tc>
          <w:tcPr>
            <w:tcW w:w="3243" w:type="dxa"/>
          </w:tcPr>
          <w:p w14:paraId="4E3D9EF6" w14:textId="77777777" w:rsidR="00726526" w:rsidRPr="005F3A49" w:rsidRDefault="00726526" w:rsidP="00BB6351">
            <w:pPr>
              <w:spacing w:line="360" w:lineRule="auto"/>
              <w:jc w:val="both"/>
              <w:rPr>
                <w:rFonts w:ascii="Times New Roman" w:hAnsi="Times New Roman" w:cs="Times New Roman"/>
                <w:sz w:val="24"/>
                <w:szCs w:val="24"/>
                <w:lang w:val="es-ES"/>
              </w:rPr>
            </w:pPr>
            <w:r w:rsidRPr="005F3A49">
              <w:rPr>
                <w:rFonts w:ascii="Times New Roman" w:hAnsi="Times New Roman" w:cs="Times New Roman"/>
                <w:sz w:val="24"/>
                <w:szCs w:val="24"/>
                <w:lang w:val="es-ES"/>
              </w:rPr>
              <w:t>Zakon o brezplačni pravni pomoči</w:t>
            </w:r>
          </w:p>
        </w:tc>
        <w:tc>
          <w:tcPr>
            <w:tcW w:w="4247" w:type="dxa"/>
          </w:tcPr>
          <w:p w14:paraId="2D081F9B"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Legal Aid Act</w:t>
            </w:r>
          </w:p>
        </w:tc>
      </w:tr>
      <w:tr w:rsidR="00726526" w:rsidRPr="00377CCC" w14:paraId="5F204813" w14:textId="77777777" w:rsidTr="00BB6351">
        <w:tc>
          <w:tcPr>
            <w:tcW w:w="1572" w:type="dxa"/>
          </w:tcPr>
          <w:p w14:paraId="4B1BD8FD"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ZDT-1</w:t>
            </w:r>
          </w:p>
        </w:tc>
        <w:tc>
          <w:tcPr>
            <w:tcW w:w="3243" w:type="dxa"/>
          </w:tcPr>
          <w:p w14:paraId="06603C21"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 xml:space="preserve">Zakon o </w:t>
            </w:r>
            <w:proofErr w:type="spellStart"/>
            <w:r w:rsidRPr="00377CCC">
              <w:rPr>
                <w:rFonts w:ascii="Times New Roman" w:hAnsi="Times New Roman" w:cs="Times New Roman"/>
                <w:sz w:val="24"/>
                <w:szCs w:val="24"/>
              </w:rPr>
              <w:t>državnem</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tožilstvu</w:t>
            </w:r>
            <w:proofErr w:type="spellEnd"/>
          </w:p>
        </w:tc>
        <w:tc>
          <w:tcPr>
            <w:tcW w:w="4247" w:type="dxa"/>
          </w:tcPr>
          <w:p w14:paraId="34EF65C7"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eastAsia="Times New Roman" w:hAnsi="Times New Roman" w:cs="Times New Roman"/>
                <w:sz w:val="24"/>
                <w:szCs w:val="24"/>
              </w:rPr>
              <w:t>State Prosecution Service Act</w:t>
            </w:r>
          </w:p>
        </w:tc>
      </w:tr>
      <w:tr w:rsidR="00726526" w:rsidRPr="00377CCC" w14:paraId="6DEC9EC4" w14:textId="77777777" w:rsidTr="00BB6351">
        <w:tc>
          <w:tcPr>
            <w:tcW w:w="1572" w:type="dxa"/>
          </w:tcPr>
          <w:p w14:paraId="7479F75C"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lang w:val="af-ZA"/>
              </w:rPr>
              <w:lastRenderedPageBreak/>
              <w:t>ZIRD-C</w:t>
            </w:r>
          </w:p>
        </w:tc>
        <w:tc>
          <w:tcPr>
            <w:tcW w:w="3243" w:type="dxa"/>
          </w:tcPr>
          <w:p w14:paraId="06138B4C" w14:textId="77777777" w:rsidR="00726526" w:rsidRPr="005F3A49" w:rsidRDefault="00726526" w:rsidP="00BB6351">
            <w:pPr>
              <w:spacing w:line="360" w:lineRule="auto"/>
              <w:jc w:val="both"/>
              <w:rPr>
                <w:rFonts w:ascii="Times New Roman" w:hAnsi="Times New Roman" w:cs="Times New Roman"/>
                <w:sz w:val="24"/>
                <w:szCs w:val="24"/>
                <w:lang w:val="es-ES"/>
              </w:rPr>
            </w:pPr>
            <w:r w:rsidRPr="00377CCC">
              <w:rPr>
                <w:rFonts w:ascii="Times New Roman" w:hAnsi="Times New Roman" w:cs="Times New Roman"/>
                <w:sz w:val="24"/>
                <w:szCs w:val="24"/>
                <w:lang w:val="af-ZA"/>
              </w:rPr>
              <w:t>Zakon o izvajanju rejniške dejavnosti</w:t>
            </w:r>
          </w:p>
        </w:tc>
        <w:tc>
          <w:tcPr>
            <w:tcW w:w="4247" w:type="dxa"/>
          </w:tcPr>
          <w:p w14:paraId="36D3944A"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lang w:val="af-ZA"/>
              </w:rPr>
              <w:t>Provision of Foster Care Act</w:t>
            </w:r>
          </w:p>
        </w:tc>
      </w:tr>
      <w:tr w:rsidR="00726526" w:rsidRPr="00377CCC" w14:paraId="3F1A3382" w14:textId="77777777" w:rsidTr="00BB6351">
        <w:tc>
          <w:tcPr>
            <w:tcW w:w="1572" w:type="dxa"/>
          </w:tcPr>
          <w:p w14:paraId="2993B4C6"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ZKP</w:t>
            </w:r>
          </w:p>
        </w:tc>
        <w:tc>
          <w:tcPr>
            <w:tcW w:w="3243" w:type="dxa"/>
          </w:tcPr>
          <w:p w14:paraId="228AD53E"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 xml:space="preserve">Zakon o </w:t>
            </w:r>
            <w:proofErr w:type="spellStart"/>
            <w:r w:rsidRPr="00377CCC">
              <w:rPr>
                <w:rFonts w:ascii="Times New Roman" w:hAnsi="Times New Roman" w:cs="Times New Roman"/>
                <w:sz w:val="24"/>
                <w:szCs w:val="24"/>
              </w:rPr>
              <w:t>kazenskem</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postopku</w:t>
            </w:r>
            <w:proofErr w:type="spellEnd"/>
          </w:p>
        </w:tc>
        <w:tc>
          <w:tcPr>
            <w:tcW w:w="4247" w:type="dxa"/>
          </w:tcPr>
          <w:p w14:paraId="43235FAC"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Criminal procedure Act</w:t>
            </w:r>
          </w:p>
        </w:tc>
      </w:tr>
      <w:tr w:rsidR="00726526" w:rsidRPr="00377CCC" w14:paraId="1C7A2209" w14:textId="77777777" w:rsidTr="00BB6351">
        <w:tc>
          <w:tcPr>
            <w:tcW w:w="1572" w:type="dxa"/>
          </w:tcPr>
          <w:p w14:paraId="6B36DCE3"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ZMZ-1</w:t>
            </w:r>
          </w:p>
        </w:tc>
        <w:tc>
          <w:tcPr>
            <w:tcW w:w="3243" w:type="dxa"/>
          </w:tcPr>
          <w:p w14:paraId="32C4E86D"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 xml:space="preserve">Zakon o </w:t>
            </w:r>
            <w:proofErr w:type="spellStart"/>
            <w:r w:rsidRPr="00377CCC">
              <w:rPr>
                <w:rFonts w:ascii="Times New Roman" w:hAnsi="Times New Roman" w:cs="Times New Roman"/>
                <w:sz w:val="24"/>
                <w:szCs w:val="24"/>
              </w:rPr>
              <w:t>mednarodni</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zaščiti</w:t>
            </w:r>
            <w:proofErr w:type="spellEnd"/>
          </w:p>
        </w:tc>
        <w:tc>
          <w:tcPr>
            <w:tcW w:w="4247" w:type="dxa"/>
          </w:tcPr>
          <w:p w14:paraId="47157018"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International Protection Act</w:t>
            </w:r>
          </w:p>
        </w:tc>
      </w:tr>
      <w:tr w:rsidR="00726526" w:rsidRPr="00377CCC" w14:paraId="56EC2AEF" w14:textId="77777777" w:rsidTr="00BB6351">
        <w:tc>
          <w:tcPr>
            <w:tcW w:w="1572" w:type="dxa"/>
          </w:tcPr>
          <w:p w14:paraId="14787A88" w14:textId="77777777" w:rsidR="00726526" w:rsidRPr="00377CCC" w:rsidRDefault="00726526" w:rsidP="00BB6351">
            <w:pPr>
              <w:spacing w:line="360" w:lineRule="auto"/>
              <w:jc w:val="both"/>
              <w:rPr>
                <w:rFonts w:ascii="Times New Roman" w:hAnsi="Times New Roman" w:cs="Times New Roman"/>
                <w:sz w:val="24"/>
                <w:szCs w:val="24"/>
              </w:rPr>
            </w:pPr>
            <w:proofErr w:type="spellStart"/>
            <w:r w:rsidRPr="00377CCC">
              <w:rPr>
                <w:rFonts w:ascii="Times New Roman" w:hAnsi="Times New Roman" w:cs="Times New Roman"/>
                <w:sz w:val="24"/>
                <w:szCs w:val="24"/>
              </w:rPr>
              <w:t>ZNPPol</w:t>
            </w:r>
            <w:proofErr w:type="spellEnd"/>
          </w:p>
        </w:tc>
        <w:tc>
          <w:tcPr>
            <w:tcW w:w="3243" w:type="dxa"/>
          </w:tcPr>
          <w:p w14:paraId="6D015CEA"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 xml:space="preserve">Zakon o </w:t>
            </w:r>
            <w:proofErr w:type="spellStart"/>
            <w:r w:rsidRPr="00377CCC">
              <w:rPr>
                <w:rFonts w:ascii="Times New Roman" w:hAnsi="Times New Roman" w:cs="Times New Roman"/>
                <w:sz w:val="24"/>
                <w:szCs w:val="24"/>
              </w:rPr>
              <w:t>nalogah</w:t>
            </w:r>
            <w:proofErr w:type="spellEnd"/>
            <w:r w:rsidRPr="00377CCC">
              <w:rPr>
                <w:rFonts w:ascii="Times New Roman" w:hAnsi="Times New Roman" w:cs="Times New Roman"/>
                <w:sz w:val="24"/>
                <w:szCs w:val="24"/>
              </w:rPr>
              <w:t xml:space="preserve"> in </w:t>
            </w:r>
            <w:proofErr w:type="spellStart"/>
            <w:r w:rsidRPr="00377CCC">
              <w:rPr>
                <w:rFonts w:ascii="Times New Roman" w:hAnsi="Times New Roman" w:cs="Times New Roman"/>
                <w:sz w:val="24"/>
                <w:szCs w:val="24"/>
              </w:rPr>
              <w:t>pooblastilih</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policije</w:t>
            </w:r>
            <w:proofErr w:type="spellEnd"/>
          </w:p>
        </w:tc>
        <w:tc>
          <w:tcPr>
            <w:tcW w:w="4247" w:type="dxa"/>
          </w:tcPr>
          <w:p w14:paraId="68566EF9"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Police Tasks and Powers Act</w:t>
            </w:r>
          </w:p>
        </w:tc>
      </w:tr>
      <w:tr w:rsidR="00726526" w:rsidRPr="00377CCC" w14:paraId="14D0B725" w14:textId="77777777" w:rsidTr="00BB6351">
        <w:tc>
          <w:tcPr>
            <w:tcW w:w="1572" w:type="dxa"/>
          </w:tcPr>
          <w:p w14:paraId="3D3802EB"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ZNDM-2</w:t>
            </w:r>
          </w:p>
        </w:tc>
        <w:tc>
          <w:tcPr>
            <w:tcW w:w="3243" w:type="dxa"/>
          </w:tcPr>
          <w:p w14:paraId="28D4C106" w14:textId="77777777" w:rsidR="00726526" w:rsidRPr="005F3A49" w:rsidRDefault="00726526" w:rsidP="00BB6351">
            <w:pPr>
              <w:spacing w:line="360" w:lineRule="auto"/>
              <w:jc w:val="both"/>
              <w:rPr>
                <w:rFonts w:ascii="Times New Roman" w:hAnsi="Times New Roman" w:cs="Times New Roman"/>
                <w:sz w:val="24"/>
                <w:szCs w:val="24"/>
                <w:lang w:val="es-ES"/>
              </w:rPr>
            </w:pPr>
            <w:r w:rsidRPr="005F3A49">
              <w:rPr>
                <w:rFonts w:ascii="Times New Roman" w:hAnsi="Times New Roman" w:cs="Times New Roman"/>
                <w:sz w:val="24"/>
                <w:szCs w:val="24"/>
                <w:lang w:val="es-ES"/>
              </w:rPr>
              <w:t xml:space="preserve">Zakon o nadzoru državne meje </w:t>
            </w:r>
          </w:p>
        </w:tc>
        <w:tc>
          <w:tcPr>
            <w:tcW w:w="4247" w:type="dxa"/>
          </w:tcPr>
          <w:p w14:paraId="04FDB9E2"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State Border Control Act</w:t>
            </w:r>
          </w:p>
        </w:tc>
      </w:tr>
      <w:tr w:rsidR="00726526" w:rsidRPr="00377CCC" w14:paraId="45BEAB83" w14:textId="77777777" w:rsidTr="00BB6351">
        <w:tc>
          <w:tcPr>
            <w:tcW w:w="1572" w:type="dxa"/>
          </w:tcPr>
          <w:p w14:paraId="260EC815" w14:textId="77777777" w:rsidR="00726526" w:rsidRPr="00377CCC" w:rsidRDefault="00726526" w:rsidP="00BB6351">
            <w:pPr>
              <w:spacing w:line="360" w:lineRule="auto"/>
              <w:jc w:val="both"/>
              <w:rPr>
                <w:rFonts w:ascii="Times New Roman" w:hAnsi="Times New Roman" w:cs="Times New Roman"/>
                <w:sz w:val="24"/>
                <w:szCs w:val="24"/>
              </w:rPr>
            </w:pPr>
            <w:proofErr w:type="spellStart"/>
            <w:r w:rsidRPr="00377CCC">
              <w:rPr>
                <w:rFonts w:ascii="Times New Roman" w:hAnsi="Times New Roman" w:cs="Times New Roman"/>
                <w:sz w:val="24"/>
                <w:szCs w:val="24"/>
              </w:rPr>
              <w:t>ZObr</w:t>
            </w:r>
            <w:proofErr w:type="spellEnd"/>
          </w:p>
        </w:tc>
        <w:tc>
          <w:tcPr>
            <w:tcW w:w="3243" w:type="dxa"/>
          </w:tcPr>
          <w:p w14:paraId="201E859A"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 xml:space="preserve">Zakon o </w:t>
            </w:r>
            <w:proofErr w:type="spellStart"/>
            <w:r w:rsidRPr="00377CCC">
              <w:rPr>
                <w:rFonts w:ascii="Times New Roman" w:hAnsi="Times New Roman" w:cs="Times New Roman"/>
                <w:sz w:val="24"/>
                <w:szCs w:val="24"/>
              </w:rPr>
              <w:t>obrambi</w:t>
            </w:r>
            <w:proofErr w:type="spellEnd"/>
          </w:p>
        </w:tc>
        <w:tc>
          <w:tcPr>
            <w:tcW w:w="4247" w:type="dxa"/>
          </w:tcPr>
          <w:p w14:paraId="4DF832B8" w14:textId="77777777" w:rsidR="00726526" w:rsidRPr="00377CCC" w:rsidRDefault="00726526" w:rsidP="00BB6351">
            <w:pPr>
              <w:spacing w:line="360" w:lineRule="auto"/>
              <w:jc w:val="both"/>
              <w:rPr>
                <w:rFonts w:ascii="Times New Roman" w:hAnsi="Times New Roman" w:cs="Times New Roman"/>
                <w:sz w:val="24"/>
                <w:szCs w:val="24"/>
              </w:rPr>
            </w:pPr>
            <w:proofErr w:type="spellStart"/>
            <w:r w:rsidRPr="00377CCC">
              <w:rPr>
                <w:rFonts w:ascii="Times New Roman" w:hAnsi="Times New Roman" w:cs="Times New Roman"/>
                <w:sz w:val="24"/>
                <w:szCs w:val="24"/>
              </w:rPr>
              <w:t>Defence</w:t>
            </w:r>
            <w:proofErr w:type="spellEnd"/>
            <w:r w:rsidRPr="00377CCC">
              <w:rPr>
                <w:rFonts w:ascii="Times New Roman" w:hAnsi="Times New Roman" w:cs="Times New Roman"/>
                <w:sz w:val="24"/>
                <w:szCs w:val="24"/>
              </w:rPr>
              <w:t xml:space="preserve"> Act</w:t>
            </w:r>
          </w:p>
        </w:tc>
      </w:tr>
      <w:tr w:rsidR="00726526" w:rsidRPr="00377CCC" w14:paraId="07979D27" w14:textId="77777777" w:rsidTr="00BB6351">
        <w:tc>
          <w:tcPr>
            <w:tcW w:w="1572" w:type="dxa"/>
          </w:tcPr>
          <w:p w14:paraId="3EC6A54B" w14:textId="77777777" w:rsidR="00726526" w:rsidRPr="00377CCC" w:rsidRDefault="00726526" w:rsidP="00BB6351">
            <w:pPr>
              <w:spacing w:line="360" w:lineRule="auto"/>
              <w:jc w:val="both"/>
              <w:rPr>
                <w:rFonts w:ascii="Times New Roman" w:hAnsi="Times New Roman" w:cs="Times New Roman"/>
                <w:sz w:val="24"/>
                <w:szCs w:val="24"/>
              </w:rPr>
            </w:pPr>
            <w:proofErr w:type="spellStart"/>
            <w:r w:rsidRPr="00377CCC">
              <w:rPr>
                <w:rFonts w:ascii="Times New Roman" w:hAnsi="Times New Roman" w:cs="Times New Roman"/>
                <w:sz w:val="24"/>
                <w:szCs w:val="24"/>
              </w:rPr>
              <w:t>ZODPol</w:t>
            </w:r>
            <w:proofErr w:type="spellEnd"/>
          </w:p>
        </w:tc>
        <w:tc>
          <w:tcPr>
            <w:tcW w:w="3243" w:type="dxa"/>
          </w:tcPr>
          <w:p w14:paraId="65C00CE1" w14:textId="77777777" w:rsidR="00726526" w:rsidRPr="005F3A49" w:rsidRDefault="00726526" w:rsidP="00BB6351">
            <w:pPr>
              <w:spacing w:line="360" w:lineRule="auto"/>
              <w:jc w:val="both"/>
              <w:rPr>
                <w:rFonts w:ascii="Times New Roman" w:hAnsi="Times New Roman" w:cs="Times New Roman"/>
                <w:sz w:val="24"/>
                <w:szCs w:val="24"/>
                <w:lang w:val="es-ES"/>
              </w:rPr>
            </w:pPr>
            <w:r w:rsidRPr="005F3A49">
              <w:rPr>
                <w:rFonts w:ascii="Times New Roman" w:hAnsi="Times New Roman" w:cs="Times New Roman"/>
                <w:sz w:val="24"/>
                <w:szCs w:val="24"/>
                <w:lang w:val="es-ES"/>
              </w:rPr>
              <w:t>Zakon o organiziranosti in delu v policiji</w:t>
            </w:r>
          </w:p>
        </w:tc>
        <w:tc>
          <w:tcPr>
            <w:tcW w:w="4247" w:type="dxa"/>
          </w:tcPr>
          <w:p w14:paraId="13BAFD64" w14:textId="77777777" w:rsidR="00726526" w:rsidRPr="00377CCC" w:rsidRDefault="00726526" w:rsidP="00BB6351">
            <w:pPr>
              <w:spacing w:line="360" w:lineRule="auto"/>
              <w:jc w:val="both"/>
              <w:rPr>
                <w:rFonts w:ascii="Times New Roman" w:hAnsi="Times New Roman" w:cs="Times New Roman"/>
                <w:sz w:val="24"/>
                <w:szCs w:val="24"/>
              </w:rPr>
            </w:pPr>
            <w:r w:rsidRPr="005F3A49">
              <w:rPr>
                <w:rFonts w:ascii="Times New Roman" w:eastAsia="Times New Roman" w:hAnsi="Times New Roman" w:cs="Times New Roman"/>
                <w:sz w:val="24"/>
                <w:szCs w:val="24"/>
                <w:lang w:val="es-ES"/>
              </w:rPr>
              <w:t xml:space="preserve"> </w:t>
            </w:r>
            <w:r w:rsidRPr="00377CCC">
              <w:rPr>
                <w:rFonts w:ascii="Times New Roman" w:eastAsia="Times New Roman" w:hAnsi="Times New Roman" w:cs="Times New Roman"/>
                <w:sz w:val="24"/>
                <w:szCs w:val="24"/>
              </w:rPr>
              <w:t>Act on the Organization and Work of the Police</w:t>
            </w:r>
          </w:p>
        </w:tc>
      </w:tr>
      <w:tr w:rsidR="00726526" w:rsidRPr="00377CCC" w14:paraId="22C3BC48" w14:textId="77777777" w:rsidTr="00BB6351">
        <w:tc>
          <w:tcPr>
            <w:tcW w:w="1572" w:type="dxa"/>
          </w:tcPr>
          <w:p w14:paraId="5E74A101"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lang w:val="it-IT"/>
              </w:rPr>
              <w:t>ZPŠOIRSP</w:t>
            </w:r>
          </w:p>
        </w:tc>
        <w:tc>
          <w:tcPr>
            <w:tcW w:w="3243" w:type="dxa"/>
          </w:tcPr>
          <w:p w14:paraId="3B519A46"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lang w:val="it-IT"/>
              </w:rPr>
              <w:t>Zakon o povračilu škode osebam, ki so bile izbrisane iz registra stalnega prebivalstva</w:t>
            </w:r>
          </w:p>
        </w:tc>
        <w:tc>
          <w:tcPr>
            <w:tcW w:w="4247" w:type="dxa"/>
          </w:tcPr>
          <w:p w14:paraId="44985362"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Act Regulating the Compensation for Damage Sustained as a Result of Erasure from the Register of Permanent Residents</w:t>
            </w:r>
          </w:p>
        </w:tc>
      </w:tr>
      <w:tr w:rsidR="00726526" w:rsidRPr="00377CCC" w14:paraId="33F9BE41" w14:textId="77777777" w:rsidTr="00BB6351">
        <w:tc>
          <w:tcPr>
            <w:tcW w:w="1572" w:type="dxa"/>
          </w:tcPr>
          <w:p w14:paraId="4A1ADC4A"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ZTuj-2</w:t>
            </w:r>
          </w:p>
        </w:tc>
        <w:tc>
          <w:tcPr>
            <w:tcW w:w="3243" w:type="dxa"/>
          </w:tcPr>
          <w:p w14:paraId="0381DD53"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 xml:space="preserve">Zakon o </w:t>
            </w:r>
            <w:proofErr w:type="spellStart"/>
            <w:r w:rsidRPr="00377CCC">
              <w:rPr>
                <w:rFonts w:ascii="Times New Roman" w:hAnsi="Times New Roman" w:cs="Times New Roman"/>
                <w:sz w:val="24"/>
                <w:szCs w:val="24"/>
              </w:rPr>
              <w:t>tujcih</w:t>
            </w:r>
            <w:proofErr w:type="spellEnd"/>
          </w:p>
        </w:tc>
        <w:tc>
          <w:tcPr>
            <w:tcW w:w="4247" w:type="dxa"/>
          </w:tcPr>
          <w:p w14:paraId="281475D9"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Foreigners Act</w:t>
            </w:r>
          </w:p>
        </w:tc>
      </w:tr>
      <w:tr w:rsidR="00726526" w:rsidRPr="00377CCC" w14:paraId="779AE78B" w14:textId="77777777" w:rsidTr="00BB6351">
        <w:tc>
          <w:tcPr>
            <w:tcW w:w="1572" w:type="dxa"/>
          </w:tcPr>
          <w:p w14:paraId="0F0494D7"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ZUP</w:t>
            </w:r>
          </w:p>
        </w:tc>
        <w:tc>
          <w:tcPr>
            <w:tcW w:w="3243" w:type="dxa"/>
          </w:tcPr>
          <w:p w14:paraId="3DCEABAF"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 xml:space="preserve">Zakon o </w:t>
            </w:r>
            <w:proofErr w:type="spellStart"/>
            <w:r w:rsidRPr="00377CCC">
              <w:rPr>
                <w:rFonts w:ascii="Times New Roman" w:hAnsi="Times New Roman" w:cs="Times New Roman"/>
                <w:sz w:val="24"/>
                <w:szCs w:val="24"/>
              </w:rPr>
              <w:t>upravnem</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postopku</w:t>
            </w:r>
            <w:proofErr w:type="spellEnd"/>
          </w:p>
        </w:tc>
        <w:tc>
          <w:tcPr>
            <w:tcW w:w="4247" w:type="dxa"/>
          </w:tcPr>
          <w:p w14:paraId="3C9D3F87"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General Administrative Procedure Act</w:t>
            </w:r>
          </w:p>
        </w:tc>
      </w:tr>
      <w:tr w:rsidR="00726526" w:rsidRPr="00377CCC" w14:paraId="17DD35C4" w14:textId="77777777" w:rsidTr="00BB6351">
        <w:tc>
          <w:tcPr>
            <w:tcW w:w="1572" w:type="dxa"/>
          </w:tcPr>
          <w:p w14:paraId="0CB1C6F8" w14:textId="77777777" w:rsidR="00726526" w:rsidRPr="00377CCC" w:rsidRDefault="00726526" w:rsidP="00BB6351">
            <w:pPr>
              <w:spacing w:line="360" w:lineRule="auto"/>
              <w:jc w:val="both"/>
              <w:rPr>
                <w:rFonts w:ascii="Times New Roman" w:hAnsi="Times New Roman" w:cs="Times New Roman"/>
                <w:sz w:val="24"/>
                <w:szCs w:val="24"/>
              </w:rPr>
            </w:pPr>
            <w:proofErr w:type="spellStart"/>
            <w:r w:rsidRPr="00377CCC">
              <w:rPr>
                <w:rFonts w:ascii="Times New Roman" w:hAnsi="Times New Roman" w:cs="Times New Roman"/>
                <w:sz w:val="24"/>
                <w:szCs w:val="24"/>
              </w:rPr>
              <w:t>ZvarČP</w:t>
            </w:r>
            <w:proofErr w:type="spellEnd"/>
          </w:p>
        </w:tc>
        <w:tc>
          <w:tcPr>
            <w:tcW w:w="3243" w:type="dxa"/>
          </w:tcPr>
          <w:p w14:paraId="1B2ADB28"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 xml:space="preserve">Zakon o </w:t>
            </w:r>
            <w:proofErr w:type="spellStart"/>
            <w:r w:rsidRPr="00377CCC">
              <w:rPr>
                <w:rFonts w:ascii="Times New Roman" w:hAnsi="Times New Roman" w:cs="Times New Roman"/>
                <w:sz w:val="24"/>
                <w:szCs w:val="24"/>
              </w:rPr>
              <w:t>varuhu</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človekovih</w:t>
            </w:r>
            <w:proofErr w:type="spellEnd"/>
            <w:r w:rsidRPr="00377CCC">
              <w:rPr>
                <w:rFonts w:ascii="Times New Roman" w:hAnsi="Times New Roman" w:cs="Times New Roman"/>
                <w:sz w:val="24"/>
                <w:szCs w:val="24"/>
              </w:rPr>
              <w:t xml:space="preserve"> </w:t>
            </w:r>
            <w:proofErr w:type="spellStart"/>
            <w:r w:rsidRPr="00377CCC">
              <w:rPr>
                <w:rFonts w:ascii="Times New Roman" w:hAnsi="Times New Roman" w:cs="Times New Roman"/>
                <w:sz w:val="24"/>
                <w:szCs w:val="24"/>
              </w:rPr>
              <w:t>pravic</w:t>
            </w:r>
            <w:proofErr w:type="spellEnd"/>
          </w:p>
        </w:tc>
        <w:tc>
          <w:tcPr>
            <w:tcW w:w="4247" w:type="dxa"/>
          </w:tcPr>
          <w:p w14:paraId="562656CF" w14:textId="77777777" w:rsidR="00726526" w:rsidRPr="00377CCC" w:rsidRDefault="00726526" w:rsidP="00BB6351">
            <w:pPr>
              <w:spacing w:line="360" w:lineRule="auto"/>
              <w:jc w:val="both"/>
              <w:rPr>
                <w:rFonts w:ascii="Times New Roman" w:hAnsi="Times New Roman" w:cs="Times New Roman"/>
                <w:sz w:val="24"/>
                <w:szCs w:val="24"/>
              </w:rPr>
            </w:pPr>
            <w:r w:rsidRPr="00377CCC">
              <w:rPr>
                <w:rFonts w:ascii="Times New Roman" w:hAnsi="Times New Roman" w:cs="Times New Roman"/>
                <w:sz w:val="24"/>
                <w:szCs w:val="24"/>
              </w:rPr>
              <w:t>Human rights Ombudsman Act</w:t>
            </w:r>
          </w:p>
        </w:tc>
      </w:tr>
    </w:tbl>
    <w:p w14:paraId="1C646FA1" w14:textId="5A2C19C1" w:rsidR="008C43B1" w:rsidRDefault="008C43B1" w:rsidP="00726526">
      <w:pPr>
        <w:jc w:val="both"/>
        <w:rPr>
          <w:rFonts w:ascii="Times New Roman" w:hAnsi="Times New Roman" w:cs="Times New Roman"/>
          <w:sz w:val="24"/>
          <w:szCs w:val="24"/>
        </w:rPr>
      </w:pPr>
    </w:p>
    <w:p w14:paraId="68E4E43E" w14:textId="77777777" w:rsidR="008C43B1" w:rsidRDefault="008C43B1">
      <w:pPr>
        <w:rPr>
          <w:rFonts w:ascii="Times New Roman" w:hAnsi="Times New Roman" w:cs="Times New Roman"/>
          <w:sz w:val="24"/>
          <w:szCs w:val="24"/>
        </w:rPr>
      </w:pPr>
      <w:r>
        <w:rPr>
          <w:rFonts w:ascii="Times New Roman" w:hAnsi="Times New Roman" w:cs="Times New Roman"/>
          <w:sz w:val="24"/>
          <w:szCs w:val="24"/>
        </w:rPr>
        <w:br w:type="page"/>
      </w:r>
    </w:p>
    <w:p w14:paraId="541B3BA5" w14:textId="77777777" w:rsidR="00726526" w:rsidRPr="00377CCC" w:rsidRDefault="00726526" w:rsidP="00726526">
      <w:pPr>
        <w:pStyle w:val="ListParagraph"/>
        <w:numPr>
          <w:ilvl w:val="0"/>
          <w:numId w:val="6"/>
        </w:numPr>
        <w:spacing w:after="160" w:line="259" w:lineRule="auto"/>
        <w:jc w:val="both"/>
        <w:rPr>
          <w:rFonts w:ascii="Times New Roman" w:hAnsi="Times New Roman" w:cs="Times New Roman"/>
          <w:sz w:val="24"/>
          <w:szCs w:val="24"/>
        </w:rPr>
      </w:pPr>
      <w:r w:rsidRPr="00377CCC">
        <w:rPr>
          <w:rFonts w:ascii="Times New Roman" w:hAnsi="Times New Roman" w:cs="Times New Roman"/>
          <w:b/>
          <w:bCs/>
          <w:sz w:val="24"/>
          <w:szCs w:val="24"/>
        </w:rPr>
        <w:lastRenderedPageBreak/>
        <w:t>Additional explanations to replies</w:t>
      </w:r>
    </w:p>
    <w:p w14:paraId="33CBFFB6" w14:textId="77777777" w:rsidR="00726526" w:rsidRPr="00377CCC" w:rsidRDefault="00726526" w:rsidP="00726526">
      <w:pPr>
        <w:jc w:val="both"/>
        <w:rPr>
          <w:rFonts w:ascii="Times New Roman" w:hAnsi="Times New Roman" w:cs="Times New Roman"/>
          <w:sz w:val="24"/>
          <w:szCs w:val="24"/>
        </w:rPr>
      </w:pPr>
    </w:p>
    <w:p w14:paraId="341DA9A2" w14:textId="77777777" w:rsidR="00726526" w:rsidRPr="00377CCC" w:rsidRDefault="00726526" w:rsidP="00726526">
      <w:pPr>
        <w:spacing w:afterLines="160" w:after="384" w:line="360" w:lineRule="auto"/>
        <w:jc w:val="both"/>
        <w:rPr>
          <w:rFonts w:ascii="Times New Roman" w:hAnsi="Times New Roman" w:cs="Times New Roman"/>
          <w:b/>
          <w:bCs/>
          <w:sz w:val="24"/>
          <w:szCs w:val="24"/>
        </w:rPr>
      </w:pPr>
      <w:r w:rsidRPr="00377CCC">
        <w:rPr>
          <w:rFonts w:ascii="Times New Roman" w:hAnsi="Times New Roman" w:cs="Times New Roman"/>
          <w:b/>
          <w:bCs/>
          <w:sz w:val="24"/>
          <w:szCs w:val="24"/>
        </w:rPr>
        <w:t>Ad: Question 4</w:t>
      </w:r>
    </w:p>
    <w:p w14:paraId="71016E63" w14:textId="77777777" w:rsidR="00726526" w:rsidRPr="00377CCC" w:rsidRDefault="00726526" w:rsidP="00726526">
      <w:pPr>
        <w:spacing w:afterLines="160" w:after="384" w:line="360" w:lineRule="auto"/>
        <w:jc w:val="both"/>
        <w:rPr>
          <w:rFonts w:ascii="Times New Roman" w:hAnsi="Times New Roman" w:cs="Times New Roman"/>
          <w:sz w:val="24"/>
          <w:szCs w:val="24"/>
        </w:rPr>
      </w:pPr>
      <w:r w:rsidRPr="00377CCC">
        <w:rPr>
          <w:rFonts w:ascii="Times New Roman" w:hAnsi="Times New Roman" w:cs="Times New Roman"/>
          <w:sz w:val="24"/>
          <w:szCs w:val="24"/>
        </w:rPr>
        <w:t>The information provided allows for distinguishing between cases based on the level of risk, determining the urgency and scope of the search. Based on this information, a decision is made on whether the case will be made public and whether it constitutes a voluntary departure, a vulnerable case, or a suspected criminal offense.</w:t>
      </w:r>
    </w:p>
    <w:p w14:paraId="5EF4B131" w14:textId="77777777" w:rsidR="00726526" w:rsidRPr="00377CCC" w:rsidRDefault="00726526" w:rsidP="00726526">
      <w:pPr>
        <w:spacing w:afterLines="160" w:after="384" w:line="360" w:lineRule="auto"/>
        <w:jc w:val="both"/>
        <w:rPr>
          <w:rFonts w:ascii="Times New Roman" w:hAnsi="Times New Roman" w:cs="Times New Roman"/>
          <w:b/>
          <w:bCs/>
          <w:sz w:val="24"/>
          <w:szCs w:val="24"/>
        </w:rPr>
      </w:pPr>
      <w:r w:rsidRPr="00377CCC">
        <w:rPr>
          <w:rFonts w:ascii="Times New Roman" w:hAnsi="Times New Roman" w:cs="Times New Roman"/>
          <w:b/>
          <w:bCs/>
          <w:sz w:val="24"/>
          <w:szCs w:val="24"/>
        </w:rPr>
        <w:t>Ad: Question 9</w:t>
      </w:r>
    </w:p>
    <w:p w14:paraId="6C3E8DEC" w14:textId="77777777" w:rsidR="00726526" w:rsidRPr="00377CCC" w:rsidRDefault="00726526" w:rsidP="00726526">
      <w:pPr>
        <w:spacing w:afterLines="160" w:after="384" w:line="360" w:lineRule="auto"/>
        <w:jc w:val="both"/>
        <w:rPr>
          <w:rFonts w:ascii="Times New Roman" w:hAnsi="Times New Roman" w:cs="Times New Roman"/>
          <w:b/>
          <w:bCs/>
          <w:sz w:val="24"/>
          <w:szCs w:val="24"/>
        </w:rPr>
      </w:pPr>
      <w:r w:rsidRPr="00377CCC">
        <w:rPr>
          <w:rFonts w:ascii="Times New Roman" w:eastAsia="Arial" w:hAnsi="Times New Roman" w:cs="Times New Roman"/>
          <w:sz w:val="24"/>
          <w:szCs w:val="24"/>
        </w:rPr>
        <w:t>According to Art. 99 of the KZ-1 an official person under this Code may be also a military person who is designated as such by special regulations, when it comes to special criminal offences in which an official person is mentioned, but are not designated as criminal offences against military duty.</w:t>
      </w:r>
    </w:p>
    <w:p w14:paraId="36D790DE" w14:textId="77777777" w:rsidR="00726526" w:rsidRPr="00377CCC" w:rsidRDefault="00726526" w:rsidP="00726526">
      <w:pPr>
        <w:spacing w:afterLines="160" w:after="384" w:line="360" w:lineRule="auto"/>
        <w:jc w:val="both"/>
        <w:rPr>
          <w:rFonts w:ascii="Times New Roman" w:hAnsi="Times New Roman" w:cs="Times New Roman"/>
          <w:b/>
          <w:bCs/>
          <w:sz w:val="24"/>
          <w:szCs w:val="24"/>
        </w:rPr>
      </w:pPr>
      <w:r w:rsidRPr="00377CCC">
        <w:rPr>
          <w:rFonts w:ascii="Times New Roman" w:hAnsi="Times New Roman" w:cs="Times New Roman"/>
          <w:b/>
          <w:bCs/>
          <w:sz w:val="24"/>
          <w:szCs w:val="24"/>
        </w:rPr>
        <w:t>Ad: Question 11</w:t>
      </w:r>
    </w:p>
    <w:p w14:paraId="06DD717D" w14:textId="77777777" w:rsidR="00726526" w:rsidRPr="00377CCC" w:rsidRDefault="00726526" w:rsidP="00726526">
      <w:pPr>
        <w:spacing w:afterLines="160" w:after="384" w:line="360" w:lineRule="auto"/>
        <w:jc w:val="both"/>
        <w:rPr>
          <w:rFonts w:ascii="Times New Roman" w:eastAsia="Arial" w:hAnsi="Times New Roman" w:cs="Times New Roman"/>
          <w:sz w:val="24"/>
          <w:szCs w:val="24"/>
        </w:rPr>
      </w:pPr>
      <w:r w:rsidRPr="00377CCC">
        <w:rPr>
          <w:rFonts w:ascii="Times New Roman" w:eastAsia="Arial" w:hAnsi="Times New Roman" w:cs="Times New Roman"/>
          <w:sz w:val="24"/>
          <w:szCs w:val="24"/>
        </w:rPr>
        <w:t>The statute of limitations for criminal prosecution is interrupted if the perpetrator commits an equally serious or more serious criminal offence during the period of limitation, and after the interruption, the statute of limitations begins to run again.</w:t>
      </w:r>
    </w:p>
    <w:p w14:paraId="78577DE8" w14:textId="77777777" w:rsidR="00726526" w:rsidRPr="00377CCC" w:rsidRDefault="00726526" w:rsidP="00726526">
      <w:pPr>
        <w:spacing w:afterLines="160" w:after="384" w:line="360" w:lineRule="auto"/>
        <w:jc w:val="both"/>
        <w:rPr>
          <w:rFonts w:ascii="Times New Roman" w:hAnsi="Times New Roman" w:cs="Times New Roman"/>
          <w:b/>
          <w:bCs/>
          <w:sz w:val="24"/>
          <w:szCs w:val="24"/>
        </w:rPr>
      </w:pPr>
      <w:r w:rsidRPr="00377CCC">
        <w:rPr>
          <w:rFonts w:ascii="Times New Roman" w:hAnsi="Times New Roman" w:cs="Times New Roman"/>
          <w:sz w:val="24"/>
          <w:szCs w:val="24"/>
          <w:lang w:eastAsia="ar-SA"/>
        </w:rPr>
        <w:t xml:space="preserve">If the </w:t>
      </w:r>
      <w:r w:rsidRPr="00377CCC">
        <w:rPr>
          <w:rFonts w:ascii="Times New Roman" w:hAnsi="Times New Roman" w:cs="Times New Roman"/>
          <w:sz w:val="24"/>
          <w:szCs w:val="24"/>
        </w:rPr>
        <w:t>state</w:t>
      </w:r>
      <w:r w:rsidRPr="00377CCC">
        <w:rPr>
          <w:rFonts w:ascii="Times New Roman" w:hAnsi="Times New Roman" w:cs="Times New Roman"/>
          <w:sz w:val="24"/>
          <w:szCs w:val="24"/>
          <w:lang w:eastAsia="ar-SA"/>
        </w:rPr>
        <w:t xml:space="preserve"> prosecutor </w:t>
      </w:r>
      <w:r w:rsidRPr="00377CCC">
        <w:rPr>
          <w:rFonts w:ascii="Times New Roman" w:hAnsi="Times New Roman" w:cs="Times New Roman"/>
          <w:sz w:val="24"/>
          <w:szCs w:val="24"/>
        </w:rPr>
        <w:t>has assumed</w:t>
      </w:r>
      <w:r w:rsidRPr="00377CCC">
        <w:rPr>
          <w:rFonts w:ascii="Times New Roman" w:hAnsi="Times New Roman" w:cs="Times New Roman"/>
          <w:sz w:val="24"/>
          <w:szCs w:val="24"/>
          <w:lang w:eastAsia="ar-SA"/>
        </w:rPr>
        <w:t xml:space="preserve"> the prosecution from the injured party as prosecutor, the injured party may appeal </w:t>
      </w:r>
      <w:r w:rsidRPr="00377CCC">
        <w:rPr>
          <w:rFonts w:ascii="Times New Roman" w:hAnsi="Times New Roman" w:cs="Times New Roman"/>
          <w:sz w:val="24"/>
          <w:szCs w:val="24"/>
        </w:rPr>
        <w:t xml:space="preserve">on the grounds of </w:t>
      </w:r>
      <w:r w:rsidRPr="00377CCC">
        <w:rPr>
          <w:rFonts w:ascii="Times New Roman" w:hAnsi="Times New Roman" w:cs="Times New Roman"/>
          <w:sz w:val="24"/>
          <w:szCs w:val="24"/>
          <w:lang w:eastAsia="ar-SA"/>
        </w:rPr>
        <w:t xml:space="preserve">all the reasons </w:t>
      </w:r>
      <w:r w:rsidRPr="00377CCC">
        <w:rPr>
          <w:rFonts w:ascii="Times New Roman" w:hAnsi="Times New Roman" w:cs="Times New Roman"/>
          <w:sz w:val="24"/>
          <w:szCs w:val="24"/>
        </w:rPr>
        <w:t>for which a</w:t>
      </w:r>
      <w:r w:rsidRPr="00377CCC">
        <w:rPr>
          <w:rFonts w:ascii="Times New Roman" w:hAnsi="Times New Roman" w:cs="Times New Roman"/>
          <w:sz w:val="24"/>
          <w:szCs w:val="24"/>
          <w:lang w:eastAsia="ar-SA"/>
        </w:rPr>
        <w:t xml:space="preserve"> judgment </w:t>
      </w:r>
      <w:r w:rsidRPr="00377CCC">
        <w:rPr>
          <w:rFonts w:ascii="Times New Roman" w:hAnsi="Times New Roman" w:cs="Times New Roman"/>
          <w:sz w:val="24"/>
          <w:szCs w:val="24"/>
        </w:rPr>
        <w:t>may be challenged. The state prosecutor may file an appeal both to the prejudice and to the benefit of the defendant.</w:t>
      </w:r>
    </w:p>
    <w:p w14:paraId="4F8621A5" w14:textId="77777777" w:rsidR="00726526" w:rsidRPr="00377CCC" w:rsidRDefault="00726526" w:rsidP="00726526">
      <w:pPr>
        <w:spacing w:afterLines="160" w:after="384" w:line="360" w:lineRule="auto"/>
        <w:jc w:val="both"/>
        <w:rPr>
          <w:rFonts w:ascii="Times New Roman" w:hAnsi="Times New Roman" w:cs="Times New Roman"/>
          <w:b/>
          <w:bCs/>
          <w:sz w:val="24"/>
          <w:szCs w:val="24"/>
        </w:rPr>
      </w:pPr>
      <w:r w:rsidRPr="00377CCC">
        <w:rPr>
          <w:rFonts w:ascii="Times New Roman" w:hAnsi="Times New Roman" w:cs="Times New Roman"/>
          <w:b/>
          <w:bCs/>
          <w:sz w:val="24"/>
          <w:szCs w:val="24"/>
        </w:rPr>
        <w:t>Ad: Question 13</w:t>
      </w:r>
    </w:p>
    <w:p w14:paraId="67C5943A" w14:textId="77777777" w:rsidR="00726526" w:rsidRPr="00D862DB" w:rsidRDefault="00726526" w:rsidP="00726526">
      <w:pPr>
        <w:spacing w:afterLines="160" w:after="384" w:line="360" w:lineRule="auto"/>
        <w:jc w:val="both"/>
        <w:rPr>
          <w:rFonts w:ascii="Times New Roman" w:hAnsi="Times New Roman" w:cs="Times New Roman"/>
          <w:sz w:val="24"/>
          <w:szCs w:val="24"/>
        </w:rPr>
      </w:pPr>
      <w:r w:rsidRPr="00377CCC">
        <w:rPr>
          <w:rFonts w:ascii="Times New Roman" w:hAnsi="Times New Roman" w:cs="Times New Roman"/>
          <w:sz w:val="24"/>
          <w:szCs w:val="24"/>
        </w:rPr>
        <w:t xml:space="preserve">If the accused fails to report at the police station as determined in the ruling, the police must notify the court without delay; the court may order detention against the accused in the event of their intentional violation of this obligation. The accused must always be informed of these consequences in advance. </w:t>
      </w:r>
    </w:p>
    <w:p w14:paraId="21D45462" w14:textId="77777777" w:rsidR="00726526" w:rsidRPr="00377CCC" w:rsidRDefault="00726526" w:rsidP="00726526">
      <w:pPr>
        <w:spacing w:afterLines="160" w:after="384" w:line="360" w:lineRule="auto"/>
        <w:jc w:val="both"/>
        <w:rPr>
          <w:rFonts w:ascii="Times New Roman" w:hAnsi="Times New Roman" w:cs="Times New Roman"/>
          <w:b/>
          <w:bCs/>
          <w:sz w:val="24"/>
          <w:szCs w:val="24"/>
        </w:rPr>
      </w:pPr>
      <w:r w:rsidRPr="00377CCC">
        <w:rPr>
          <w:rFonts w:ascii="Times New Roman" w:hAnsi="Times New Roman" w:cs="Times New Roman"/>
          <w:b/>
          <w:bCs/>
          <w:sz w:val="24"/>
          <w:szCs w:val="24"/>
        </w:rPr>
        <w:lastRenderedPageBreak/>
        <w:t>Ad: Question 16</w:t>
      </w:r>
    </w:p>
    <w:p w14:paraId="69B5E8E0" w14:textId="77777777" w:rsidR="00726526" w:rsidRPr="00377CCC" w:rsidRDefault="00726526" w:rsidP="00726526">
      <w:pPr>
        <w:spacing w:afterLines="160" w:after="384" w:line="360" w:lineRule="auto"/>
        <w:jc w:val="both"/>
        <w:rPr>
          <w:rFonts w:ascii="Times New Roman" w:hAnsi="Times New Roman" w:cs="Times New Roman"/>
          <w:b/>
          <w:bCs/>
          <w:sz w:val="24"/>
          <w:szCs w:val="24"/>
        </w:rPr>
      </w:pPr>
      <w:r w:rsidRPr="00377CCC">
        <w:rPr>
          <w:rFonts w:ascii="Times New Roman" w:eastAsia="Times New Roman" w:hAnsi="Times New Roman" w:cs="Times New Roman"/>
          <w:sz w:val="24"/>
          <w:szCs w:val="24"/>
        </w:rPr>
        <w:t>If a military person has (allegedly) committed a criminal offense within the military or the MORS but no longer holds that status at the time of the investigation of that criminal offense, investigative actions in the pre-trial proceedings may be carried out only by the police organized within the MNZ. District courts have subject-matter jurisdiction over trials for criminal offenses under Article 101 of the KZ-1</w:t>
      </w:r>
    </w:p>
    <w:p w14:paraId="02B3B8D6" w14:textId="77777777" w:rsidR="00726526" w:rsidRPr="00377CCC" w:rsidRDefault="00726526" w:rsidP="00726526">
      <w:pPr>
        <w:spacing w:afterLines="160" w:after="384" w:line="360" w:lineRule="auto"/>
        <w:jc w:val="both"/>
        <w:rPr>
          <w:rFonts w:ascii="Times New Roman" w:hAnsi="Times New Roman" w:cs="Times New Roman"/>
          <w:b/>
          <w:bCs/>
          <w:sz w:val="24"/>
          <w:szCs w:val="24"/>
        </w:rPr>
      </w:pPr>
      <w:r w:rsidRPr="00377CCC">
        <w:rPr>
          <w:rFonts w:ascii="Times New Roman" w:hAnsi="Times New Roman" w:cs="Times New Roman"/>
          <w:b/>
          <w:bCs/>
          <w:sz w:val="24"/>
          <w:szCs w:val="24"/>
        </w:rPr>
        <w:t>Ad: Question 18</w:t>
      </w:r>
    </w:p>
    <w:p w14:paraId="43C6ACF4" w14:textId="77777777" w:rsidR="00726526" w:rsidRPr="00377CCC" w:rsidRDefault="00726526" w:rsidP="00726526">
      <w:pPr>
        <w:spacing w:afterLines="160" w:after="384" w:line="360" w:lineRule="auto"/>
        <w:jc w:val="both"/>
        <w:rPr>
          <w:rFonts w:ascii="Times New Roman" w:hAnsi="Times New Roman" w:cs="Times New Roman"/>
          <w:b/>
          <w:bCs/>
          <w:sz w:val="24"/>
          <w:szCs w:val="24"/>
        </w:rPr>
      </w:pPr>
      <w:r w:rsidRPr="00377CCC">
        <w:rPr>
          <w:rFonts w:ascii="Times New Roman" w:eastAsia="Times New Roman" w:hAnsi="Times New Roman" w:cs="Times New Roman"/>
          <w:sz w:val="24"/>
          <w:szCs w:val="24"/>
        </w:rPr>
        <w:t>If criminal proceedings are instituted against a public prosecutor by the injured party as the complainant for the commission of a criminal offense involving the abuse of public prosecutorial functions or for the commission of another criminal offense, for which a prison sentence of more than two years may be imposed and for which the public prosecutor may be dismissed, the Prosecutor General may impose suspension following the prior opinion of the Public Prosecutors’ Council. The decision on suspension must be substantiated. Public prosecutor’s offices shall immediately notify the competent authorities of the initiation of criminal proceedings against a public prosecutor.</w:t>
      </w:r>
    </w:p>
    <w:p w14:paraId="37E5E3DC" w14:textId="77777777" w:rsidR="00726526" w:rsidRPr="00377CCC" w:rsidRDefault="00726526" w:rsidP="00726526">
      <w:pPr>
        <w:spacing w:afterLines="160" w:after="384" w:line="360" w:lineRule="auto"/>
        <w:jc w:val="both"/>
        <w:rPr>
          <w:rFonts w:ascii="Times New Roman" w:hAnsi="Times New Roman" w:cs="Times New Roman"/>
          <w:b/>
          <w:bCs/>
          <w:sz w:val="24"/>
          <w:szCs w:val="24"/>
        </w:rPr>
      </w:pPr>
      <w:r w:rsidRPr="00377CCC">
        <w:rPr>
          <w:rFonts w:ascii="Times New Roman" w:hAnsi="Times New Roman" w:cs="Times New Roman"/>
          <w:b/>
          <w:bCs/>
          <w:sz w:val="24"/>
          <w:szCs w:val="24"/>
        </w:rPr>
        <w:t>Ad: Question 22a</w:t>
      </w:r>
    </w:p>
    <w:p w14:paraId="096349E3" w14:textId="77777777" w:rsidR="00726526" w:rsidRPr="00377CCC" w:rsidRDefault="00726526" w:rsidP="00726526">
      <w:pPr>
        <w:pStyle w:val="CommentText"/>
        <w:spacing w:afterLines="160" w:after="384" w:line="360" w:lineRule="auto"/>
        <w:jc w:val="both"/>
        <w:rPr>
          <w:rFonts w:ascii="Times New Roman" w:hAnsi="Times New Roman" w:cs="Times New Roman"/>
          <w:sz w:val="24"/>
          <w:szCs w:val="24"/>
        </w:rPr>
      </w:pPr>
      <w:r w:rsidRPr="00377CCC">
        <w:rPr>
          <w:rFonts w:ascii="Times New Roman" w:hAnsi="Times New Roman" w:cs="Times New Roman"/>
          <w:sz w:val="24"/>
          <w:szCs w:val="24"/>
        </w:rPr>
        <w:t>Applicants are warned that contact with the authorities of their country of origin may imply that they do not require international protection. In the case of refugees, such contact may also lead to the termination or revocation of their status, which must, however, be investigated and examined in a separate procedure. In the case of applicants whose movement is restricted to the premises of the Center for Foreigners in accordance with the provisions of ZMZ-1, we are not referring to a classic “deprivation of liberty,” but rather to detention.</w:t>
      </w:r>
    </w:p>
    <w:p w14:paraId="41165092" w14:textId="77777777" w:rsidR="00726526" w:rsidRPr="00377CCC" w:rsidRDefault="00726526" w:rsidP="00726526">
      <w:pPr>
        <w:spacing w:afterLines="160" w:after="384" w:line="360" w:lineRule="auto"/>
        <w:jc w:val="both"/>
        <w:rPr>
          <w:rFonts w:ascii="Times New Roman" w:hAnsi="Times New Roman" w:cs="Times New Roman"/>
          <w:b/>
          <w:bCs/>
          <w:sz w:val="24"/>
          <w:szCs w:val="24"/>
        </w:rPr>
      </w:pPr>
      <w:r w:rsidRPr="00377CCC">
        <w:rPr>
          <w:rFonts w:ascii="Times New Roman" w:hAnsi="Times New Roman" w:cs="Times New Roman"/>
          <w:b/>
          <w:bCs/>
          <w:sz w:val="24"/>
          <w:szCs w:val="24"/>
        </w:rPr>
        <w:t>Ad: Question 23a</w:t>
      </w:r>
    </w:p>
    <w:p w14:paraId="101DD958" w14:textId="77777777" w:rsidR="00726526" w:rsidRPr="00377CCC" w:rsidRDefault="00726526" w:rsidP="00726526">
      <w:pPr>
        <w:spacing w:afterLines="160" w:after="384" w:line="360" w:lineRule="auto"/>
        <w:jc w:val="both"/>
        <w:rPr>
          <w:rFonts w:ascii="Times New Roman" w:hAnsi="Times New Roman" w:cs="Times New Roman"/>
          <w:sz w:val="24"/>
          <w:szCs w:val="24"/>
        </w:rPr>
      </w:pPr>
      <w:r w:rsidRPr="00377CCC">
        <w:rPr>
          <w:rFonts w:ascii="Times New Roman" w:hAnsi="Times New Roman" w:cs="Times New Roman"/>
          <w:sz w:val="24"/>
          <w:szCs w:val="24"/>
        </w:rPr>
        <w:t>For a protected person for whom an identity change measure has been ordered under the law governing witness protection, only the information comprising the new identity shall be recorded.</w:t>
      </w:r>
    </w:p>
    <w:p w14:paraId="6427B273" w14:textId="77777777" w:rsidR="00726526" w:rsidRPr="00377CCC" w:rsidRDefault="00726526" w:rsidP="00726526">
      <w:pPr>
        <w:spacing w:afterLines="160" w:after="384" w:line="360" w:lineRule="auto"/>
        <w:jc w:val="both"/>
        <w:rPr>
          <w:rFonts w:ascii="Times New Roman" w:hAnsi="Times New Roman" w:cs="Times New Roman"/>
          <w:sz w:val="24"/>
          <w:szCs w:val="24"/>
        </w:rPr>
      </w:pPr>
      <w:r w:rsidRPr="00377CCC">
        <w:rPr>
          <w:rFonts w:ascii="Times New Roman" w:hAnsi="Times New Roman" w:cs="Times New Roman"/>
          <w:sz w:val="24"/>
          <w:szCs w:val="24"/>
        </w:rPr>
        <w:lastRenderedPageBreak/>
        <w:t xml:space="preserve">If there is no one to claim the detainee’s body, the institution shall ensure that the body is cremated and the urn is placed in a grave bearing the name of the deceased, at the expense of the court before which the criminal proceedings are pending.  </w:t>
      </w:r>
    </w:p>
    <w:p w14:paraId="61F5C96E" w14:textId="77777777" w:rsidR="00726526" w:rsidRPr="00823D6A" w:rsidRDefault="00726526" w:rsidP="00726526">
      <w:pPr>
        <w:spacing w:afterLines="160" w:after="384" w:line="360" w:lineRule="auto"/>
        <w:jc w:val="both"/>
        <w:rPr>
          <w:rFonts w:ascii="Times New Roman" w:hAnsi="Times New Roman" w:cs="Times New Roman"/>
          <w:sz w:val="24"/>
          <w:szCs w:val="24"/>
        </w:rPr>
      </w:pPr>
      <w:r w:rsidRPr="00377CCC">
        <w:rPr>
          <w:rFonts w:ascii="Times New Roman" w:hAnsi="Times New Roman" w:cs="Times New Roman"/>
          <w:sz w:val="24"/>
          <w:szCs w:val="24"/>
        </w:rPr>
        <w:t>If serious violations regarding the lawful and proper treatment of detainees or inadequate living conditions are identified, the president of the district court notifies the administration, which then takes the necessary measures and reports on them to the president of the district court. Irregularities discovered by administration staff authorized to conduct inspections shall be reported to the president of the competent district court.</w:t>
      </w:r>
    </w:p>
    <w:p w14:paraId="2D3D7121" w14:textId="77777777" w:rsidR="00726526" w:rsidRPr="00377CCC" w:rsidRDefault="00726526" w:rsidP="00726526">
      <w:pPr>
        <w:spacing w:afterLines="160" w:after="384" w:line="360" w:lineRule="auto"/>
        <w:jc w:val="both"/>
        <w:rPr>
          <w:rFonts w:ascii="Times New Roman" w:hAnsi="Times New Roman" w:cs="Times New Roman"/>
          <w:b/>
          <w:bCs/>
          <w:sz w:val="24"/>
          <w:szCs w:val="24"/>
        </w:rPr>
      </w:pPr>
      <w:r w:rsidRPr="00377CCC">
        <w:rPr>
          <w:rFonts w:ascii="Times New Roman" w:hAnsi="Times New Roman" w:cs="Times New Roman"/>
          <w:b/>
          <w:bCs/>
          <w:sz w:val="24"/>
          <w:szCs w:val="24"/>
        </w:rPr>
        <w:t>Ad: Question 25f</w:t>
      </w:r>
    </w:p>
    <w:p w14:paraId="2929D59B" w14:textId="77777777" w:rsidR="00726526" w:rsidRPr="00377CCC" w:rsidRDefault="00726526" w:rsidP="00726526">
      <w:pPr>
        <w:spacing w:afterLines="160" w:after="384" w:line="360" w:lineRule="auto"/>
        <w:jc w:val="both"/>
        <w:rPr>
          <w:rFonts w:ascii="Times New Roman" w:hAnsi="Times New Roman" w:cs="Times New Roman"/>
          <w:sz w:val="24"/>
          <w:szCs w:val="24"/>
        </w:rPr>
      </w:pPr>
      <w:r w:rsidRPr="00377CCC">
        <w:rPr>
          <w:rFonts w:ascii="Times New Roman" w:hAnsi="Times New Roman" w:cs="Times New Roman"/>
          <w:sz w:val="24"/>
          <w:szCs w:val="24"/>
          <w:shd w:val="clear" w:color="auto" w:fill="FFFFFF"/>
        </w:rPr>
        <w:t xml:space="preserve">Legal aid may be granted for legal advice, legal representation, and other legal services specified by law, for all forms of judicial protection before all courts of general jurisdiction and specialized courts in the RS, before the Constitutional Court of the RS, and before all bodies, institutions, or persons in the RS competent for out-of-court </w:t>
      </w:r>
      <w:r w:rsidRPr="00377CCC">
        <w:rPr>
          <w:rFonts w:ascii="Times New Roman" w:hAnsi="Times New Roman" w:cs="Times New Roman"/>
          <w:sz w:val="24"/>
          <w:szCs w:val="24"/>
        </w:rPr>
        <w:t>dispute resolution, as well as for exemption from the payment of court costs.</w:t>
      </w:r>
    </w:p>
    <w:p w14:paraId="44F47440" w14:textId="77777777" w:rsidR="00726526" w:rsidRPr="00377CCC" w:rsidRDefault="00726526" w:rsidP="00726526">
      <w:pPr>
        <w:jc w:val="both"/>
        <w:rPr>
          <w:rFonts w:ascii="Times New Roman" w:hAnsi="Times New Roman" w:cs="Times New Roman"/>
          <w:sz w:val="24"/>
          <w:szCs w:val="24"/>
        </w:rPr>
      </w:pPr>
    </w:p>
    <w:p w14:paraId="55A07CD7" w14:textId="77777777" w:rsidR="00340CD3" w:rsidRPr="00C45139" w:rsidRDefault="00340CD3" w:rsidP="004A0F9F">
      <w:pPr>
        <w:pStyle w:val="NoSpacing"/>
        <w:rPr>
          <w:rFonts w:ascii="Arial" w:hAnsi="Arial" w:cs="Arial"/>
          <w:b/>
          <w:bCs/>
          <w:color w:val="000000" w:themeColor="text1"/>
          <w:sz w:val="20"/>
          <w:szCs w:val="20"/>
          <w:lang w:val="en-US"/>
        </w:rPr>
      </w:pPr>
    </w:p>
    <w:sectPr w:rsidR="00340CD3" w:rsidRPr="00C45139">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56012" w14:textId="77777777" w:rsidR="00A13120" w:rsidRDefault="00A13120" w:rsidP="00DB58D4">
      <w:pPr>
        <w:spacing w:after="0" w:line="240" w:lineRule="auto"/>
      </w:pPr>
      <w:r>
        <w:separator/>
      </w:r>
    </w:p>
  </w:endnote>
  <w:endnote w:type="continuationSeparator" w:id="0">
    <w:p w14:paraId="097A21B8" w14:textId="77777777" w:rsidR="00A13120" w:rsidRDefault="00A13120" w:rsidP="00DB5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6080557"/>
      <w:docPartObj>
        <w:docPartGallery w:val="Page Numbers (Bottom of Page)"/>
        <w:docPartUnique/>
      </w:docPartObj>
    </w:sdtPr>
    <w:sdtContent>
      <w:p w14:paraId="5621E3E5" w14:textId="7F9C495D" w:rsidR="00DB58D4" w:rsidRDefault="00DB58D4">
        <w:pPr>
          <w:pStyle w:val="Footer"/>
          <w:jc w:val="right"/>
        </w:pPr>
        <w:r>
          <w:fldChar w:fldCharType="begin"/>
        </w:r>
        <w:r>
          <w:instrText>PAGE   \* MERGEFORMAT</w:instrText>
        </w:r>
        <w:r>
          <w:fldChar w:fldCharType="separate"/>
        </w:r>
        <w:r>
          <w:rPr>
            <w:lang w:val="en-GB"/>
          </w:rPr>
          <w:t>2</w:t>
        </w:r>
        <w:r>
          <w:fldChar w:fldCharType="end"/>
        </w:r>
      </w:p>
    </w:sdtContent>
  </w:sdt>
  <w:p w14:paraId="629C3030" w14:textId="77777777" w:rsidR="00DB58D4" w:rsidRDefault="00DB58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67007" w14:textId="77777777" w:rsidR="00A13120" w:rsidRDefault="00A13120" w:rsidP="00DB58D4">
      <w:pPr>
        <w:spacing w:after="0" w:line="240" w:lineRule="auto"/>
      </w:pPr>
      <w:r>
        <w:separator/>
      </w:r>
    </w:p>
  </w:footnote>
  <w:footnote w:type="continuationSeparator" w:id="0">
    <w:p w14:paraId="3DF8A958" w14:textId="77777777" w:rsidR="00A13120" w:rsidRDefault="00A13120" w:rsidP="00DB58D4">
      <w:pPr>
        <w:spacing w:after="0" w:line="240" w:lineRule="auto"/>
      </w:pPr>
      <w:r>
        <w:continuationSeparator/>
      </w:r>
    </w:p>
  </w:footnote>
  <w:footnote w:id="1">
    <w:p w14:paraId="276A4368" w14:textId="77777777" w:rsidR="00C45139" w:rsidRPr="007E1A1A" w:rsidRDefault="00C45139" w:rsidP="00C45139">
      <w:pPr>
        <w:pStyle w:val="FootnoteText"/>
        <w:spacing w:line="240" w:lineRule="auto"/>
        <w:ind w:left="0" w:right="0" w:firstLine="0"/>
        <w:jc w:val="both"/>
      </w:pPr>
      <w:r w:rsidRPr="007E1A1A">
        <w:rPr>
          <w:rStyle w:val="FootnoteReference"/>
          <w:sz w:val="20"/>
        </w:rPr>
        <w:footnoteRef/>
      </w:r>
      <w:r w:rsidRPr="007E1A1A">
        <w:rPr>
          <w:sz w:val="20"/>
        </w:rPr>
        <w:t xml:space="preserve"> </w:t>
      </w:r>
      <w:r w:rsidRPr="007E1A1A">
        <w:rPr>
          <w:lang w:val="sl-SI"/>
        </w:rPr>
        <w:t>Available at: https://pisrs.si/pregledPredpisa?id=ZAKO300.</w:t>
      </w:r>
    </w:p>
  </w:footnote>
  <w:footnote w:id="2">
    <w:p w14:paraId="32A8AA00" w14:textId="77777777" w:rsidR="00C45139" w:rsidRPr="007E1A1A" w:rsidRDefault="00C45139" w:rsidP="00C45139">
      <w:pPr>
        <w:pStyle w:val="FootnoteText"/>
        <w:spacing w:line="240" w:lineRule="auto"/>
        <w:ind w:left="0" w:right="0" w:firstLine="0"/>
        <w:jc w:val="both"/>
        <w:rPr>
          <w:szCs w:val="18"/>
          <w:lang w:val="sl-SI"/>
        </w:rPr>
      </w:pPr>
      <w:r w:rsidRPr="007E1A1A">
        <w:rPr>
          <w:rStyle w:val="FootnoteReference"/>
          <w:sz w:val="20"/>
        </w:rPr>
        <w:footnoteRef/>
      </w:r>
      <w:r w:rsidRPr="007E1A1A">
        <w:t xml:space="preserve"> </w:t>
      </w:r>
      <w:r w:rsidRPr="007E1A1A">
        <w:rPr>
          <w:szCs w:val="18"/>
          <w:lang w:val="en-US"/>
        </w:rPr>
        <w:t>Available at: https://pisrs.si/pregledPredpisa?id=USTA1.</w:t>
      </w:r>
      <w:r w:rsidRPr="007E1A1A">
        <w:rPr>
          <w:szCs w:val="18"/>
          <w:lang w:val="sl-SI"/>
        </w:rPr>
        <w:t xml:space="preserve"> </w:t>
      </w:r>
      <w:r w:rsidRPr="007E1A1A">
        <w:rPr>
          <w:szCs w:val="18"/>
          <w:lang w:val="en-US"/>
        </w:rPr>
        <w:t xml:space="preserve">  </w:t>
      </w:r>
    </w:p>
  </w:footnote>
  <w:footnote w:id="3">
    <w:p w14:paraId="0B8E84D7" w14:textId="77777777" w:rsidR="00C45139" w:rsidRPr="007E1A1A" w:rsidRDefault="00C45139" w:rsidP="00C45139">
      <w:pPr>
        <w:pStyle w:val="FootnoteText"/>
        <w:spacing w:line="240" w:lineRule="auto"/>
        <w:ind w:left="0" w:right="0" w:firstLine="0"/>
        <w:jc w:val="both"/>
        <w:rPr>
          <w:lang w:val="sl-SI"/>
        </w:rPr>
      </w:pPr>
      <w:r w:rsidRPr="007E1A1A">
        <w:rPr>
          <w:rStyle w:val="FootnoteReference"/>
          <w:sz w:val="20"/>
        </w:rPr>
        <w:footnoteRef/>
      </w:r>
      <w:r w:rsidRPr="007E1A1A">
        <w:t xml:space="preserve">  </w:t>
      </w:r>
      <w:r w:rsidRPr="007E1A1A">
        <w:rPr>
          <w:lang w:val="sl-SI"/>
        </w:rPr>
        <w:t>Available at: https://pisrs.si/pregledPredpisa?id=ZAKO5050.</w:t>
      </w:r>
    </w:p>
  </w:footnote>
  <w:footnote w:id="4">
    <w:p w14:paraId="758AE07A" w14:textId="77777777" w:rsidR="00C45139" w:rsidRPr="007E1A1A" w:rsidRDefault="00C45139" w:rsidP="00C45139">
      <w:pPr>
        <w:pStyle w:val="FootnoteText"/>
        <w:spacing w:line="240" w:lineRule="auto"/>
        <w:ind w:left="0" w:right="0" w:firstLine="0"/>
        <w:jc w:val="both"/>
        <w:rPr>
          <w:szCs w:val="18"/>
          <w:lang w:val="sl-SI"/>
        </w:rPr>
      </w:pPr>
      <w:r w:rsidRPr="007E1A1A">
        <w:rPr>
          <w:rStyle w:val="FootnoteReference"/>
          <w:sz w:val="20"/>
        </w:rPr>
        <w:footnoteRef/>
      </w:r>
      <w:r w:rsidRPr="007E1A1A">
        <w:rPr>
          <w:lang w:val="en-US"/>
        </w:rPr>
        <w:t xml:space="preserve"> </w:t>
      </w:r>
      <w:r w:rsidRPr="007E1A1A">
        <w:rPr>
          <w:szCs w:val="18"/>
          <w:lang w:val="en-US"/>
        </w:rPr>
        <w:t>Available at: https://pisrs.si/pregledPredpisa?id=ZAKO532</w:t>
      </w:r>
    </w:p>
  </w:footnote>
  <w:footnote w:id="5">
    <w:p w14:paraId="6BD2A73F" w14:textId="77777777" w:rsidR="00C45139" w:rsidRPr="007E1A1A" w:rsidRDefault="00C45139" w:rsidP="00C45139">
      <w:pPr>
        <w:pStyle w:val="FootnoteText"/>
        <w:spacing w:line="240" w:lineRule="auto"/>
        <w:ind w:left="0" w:right="0" w:firstLine="0"/>
        <w:jc w:val="both"/>
        <w:rPr>
          <w:lang w:val="sl-SI"/>
        </w:rPr>
      </w:pPr>
      <w:r w:rsidRPr="007E1A1A">
        <w:rPr>
          <w:rStyle w:val="FootnoteReference"/>
          <w:sz w:val="20"/>
        </w:rPr>
        <w:footnoteRef/>
      </w:r>
      <w:r w:rsidRPr="007E1A1A">
        <w:rPr>
          <w:sz w:val="20"/>
        </w:rPr>
        <w:t xml:space="preserve"> </w:t>
      </w:r>
      <w:r w:rsidRPr="007E1A1A">
        <w:t>Available at: https://pisrs.si/pregledPredpisa?id=ZAKO5050.</w:t>
      </w:r>
    </w:p>
  </w:footnote>
  <w:footnote w:id="6">
    <w:p w14:paraId="0B6710B4" w14:textId="77777777" w:rsidR="00C45139" w:rsidRPr="007E1A1A" w:rsidRDefault="00C45139" w:rsidP="00C45139">
      <w:pPr>
        <w:spacing w:after="0" w:line="240" w:lineRule="auto"/>
        <w:jc w:val="both"/>
        <w:rPr>
          <w:rFonts w:ascii="Times New Roman" w:hAnsi="Times New Roman" w:cs="Times New Roman"/>
          <w:sz w:val="18"/>
          <w:szCs w:val="18"/>
          <w:lang w:val="en-GB"/>
        </w:rPr>
      </w:pPr>
      <w:r w:rsidRPr="007E1A1A">
        <w:rPr>
          <w:rFonts w:cs="Times New Roman"/>
          <w:sz w:val="20"/>
          <w:szCs w:val="20"/>
          <w:vertAlign w:val="superscript"/>
        </w:rPr>
        <w:footnoteRef/>
      </w:r>
      <w:r w:rsidRPr="007E1A1A">
        <w:rPr>
          <w:rFonts w:ascii="Times New Roman" w:hAnsi="Times New Roman" w:cs="Times New Roman"/>
          <w:sz w:val="20"/>
          <w:szCs w:val="20"/>
          <w:lang w:val="en-GB"/>
        </w:rPr>
        <w:t xml:space="preserve"> </w:t>
      </w:r>
      <w:r w:rsidRPr="007E1A1A">
        <w:rPr>
          <w:rFonts w:ascii="Times New Roman" w:hAnsi="Times New Roman" w:cs="Times New Roman"/>
          <w:sz w:val="18"/>
          <w:szCs w:val="18"/>
          <w:lang w:val="en-GB"/>
        </w:rPr>
        <w:t>It has exclusive territorial and subject-matter jurisdiction over criminal offenses committed by police officers and military police officers, as well as by officials with police powers in pre-trial proceedings who are on a mission abroad; officials of the intelligence and security service of the ministry responsible for defence and of the Slovenian Intelligence and Security Agency.</w:t>
      </w:r>
    </w:p>
  </w:footnote>
  <w:footnote w:id="7">
    <w:p w14:paraId="0BF883C3" w14:textId="77777777" w:rsidR="00C45139" w:rsidRPr="00FA5612" w:rsidRDefault="00C45139" w:rsidP="00C45139">
      <w:pPr>
        <w:pStyle w:val="FootnoteText"/>
        <w:spacing w:line="240" w:lineRule="auto"/>
        <w:ind w:left="0" w:right="0" w:firstLine="0"/>
        <w:jc w:val="both"/>
        <w:rPr>
          <w:lang w:val="sl-SI"/>
        </w:rPr>
      </w:pPr>
      <w:r w:rsidRPr="007E1A1A">
        <w:rPr>
          <w:rStyle w:val="FootnoteReference"/>
          <w:sz w:val="20"/>
        </w:rPr>
        <w:footnoteRef/>
      </w:r>
      <w:r w:rsidRPr="007E1A1A">
        <w:rPr>
          <w:sz w:val="20"/>
          <w:lang w:val="es-ES"/>
        </w:rPr>
        <w:t xml:space="preserve"> </w:t>
      </w:r>
      <w:r w:rsidRPr="00FA5612">
        <w:rPr>
          <w:lang w:val="sl-SI"/>
        </w:rPr>
        <w:t>Who would be unable to exercise these rights without jeopardizing their own livelihood and that of their family.</w:t>
      </w:r>
    </w:p>
  </w:footnote>
  <w:footnote w:id="8">
    <w:p w14:paraId="57E3966C" w14:textId="77777777" w:rsidR="00C45139" w:rsidRPr="007E1A1A" w:rsidRDefault="00C45139" w:rsidP="00C45139">
      <w:pPr>
        <w:pStyle w:val="FootnoteText"/>
        <w:spacing w:line="240" w:lineRule="auto"/>
        <w:ind w:left="0" w:right="0" w:firstLine="0"/>
        <w:jc w:val="both"/>
        <w:rPr>
          <w:lang w:val="en-US"/>
        </w:rPr>
      </w:pPr>
      <w:r w:rsidRPr="007E1A1A">
        <w:rPr>
          <w:rStyle w:val="FootnoteReference"/>
          <w:sz w:val="20"/>
        </w:rPr>
        <w:footnoteRef/>
      </w:r>
      <w:r w:rsidRPr="007E1A1A">
        <w:rPr>
          <w:sz w:val="20"/>
          <w:lang w:val="en-US"/>
        </w:rPr>
        <w:t xml:space="preserve"> </w:t>
      </w:r>
      <w:r w:rsidRPr="007E1A1A">
        <w:rPr>
          <w:lang w:val="en-US"/>
        </w:rPr>
        <w:t>A</w:t>
      </w:r>
      <w:r w:rsidRPr="007E1A1A">
        <w:rPr>
          <w:lang w:val="sl-SI"/>
        </w:rPr>
        <w:t>vailable at: https://pisrs.si/pregledPredpisa?id=ZAKO300.</w:t>
      </w:r>
    </w:p>
  </w:footnote>
  <w:footnote w:id="9">
    <w:p w14:paraId="510E8B1E" w14:textId="77777777" w:rsidR="00C45139" w:rsidRPr="007E1A1A" w:rsidRDefault="00C45139" w:rsidP="00C45139">
      <w:pPr>
        <w:pStyle w:val="FootnoteText"/>
        <w:spacing w:line="240" w:lineRule="auto"/>
        <w:ind w:left="0" w:right="0" w:firstLine="0"/>
        <w:jc w:val="both"/>
      </w:pPr>
      <w:r w:rsidRPr="007E1A1A">
        <w:rPr>
          <w:rStyle w:val="FootnoteReference"/>
          <w:sz w:val="20"/>
        </w:rPr>
        <w:footnoteRef/>
      </w:r>
      <w:r w:rsidRPr="007E1A1A">
        <w:t xml:space="preserve"> </w:t>
      </w:r>
      <w:r w:rsidRPr="007E1A1A">
        <w:rPr>
          <w:lang w:val="sl-SI"/>
        </w:rPr>
        <w:t xml:space="preserve">Available at: https://pisrs.si/pregledPredpisa?id=ZAKO7556. </w:t>
      </w:r>
    </w:p>
  </w:footnote>
  <w:footnote w:id="10">
    <w:p w14:paraId="35FBEE97" w14:textId="77777777" w:rsidR="00C45139" w:rsidRPr="00527E60" w:rsidRDefault="00C45139" w:rsidP="00C45139">
      <w:pPr>
        <w:pStyle w:val="FootnoteText"/>
        <w:spacing w:line="240" w:lineRule="auto"/>
        <w:ind w:left="0" w:right="0" w:firstLine="0"/>
        <w:jc w:val="both"/>
      </w:pPr>
      <w:r w:rsidRPr="007E1A1A">
        <w:rPr>
          <w:rStyle w:val="FootnoteReference"/>
          <w:sz w:val="20"/>
        </w:rPr>
        <w:footnoteRef/>
      </w:r>
      <w:r w:rsidRPr="007E1A1A">
        <w:t xml:space="preserve"> </w:t>
      </w:r>
      <w:r w:rsidRPr="007E1A1A">
        <w:rPr>
          <w:lang w:val="sl-SI"/>
        </w:rPr>
        <w:t>Available at:</w:t>
      </w:r>
      <w:r w:rsidRPr="007E1A1A">
        <w:t xml:space="preserve"> </w:t>
      </w:r>
      <w:r w:rsidRPr="007E1A1A">
        <w:rPr>
          <w:lang w:val="sl-SI"/>
        </w:rPr>
        <w:t>https://pisrs.si/pregledPredpisa?id=ZAKO3400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C46687"/>
    <w:multiLevelType w:val="hybridMultilevel"/>
    <w:tmpl w:val="350DFE8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1ED40FCA"/>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E237435"/>
    <w:multiLevelType w:val="hybridMultilevel"/>
    <w:tmpl w:val="FBB88AD8"/>
    <w:lvl w:ilvl="0" w:tplc="04240011">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 w15:restartNumberingAfterBreak="0">
    <w:nsid w:val="59BB2DF3"/>
    <w:multiLevelType w:val="hybridMultilevel"/>
    <w:tmpl w:val="E7568F0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5A484AE8"/>
    <w:multiLevelType w:val="multilevel"/>
    <w:tmpl w:val="B810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86648A"/>
    <w:multiLevelType w:val="hybridMultilevel"/>
    <w:tmpl w:val="A32A08A4"/>
    <w:lvl w:ilvl="0" w:tplc="F4446D8A">
      <w:start w:val="1"/>
      <w:numFmt w:val="decimal"/>
      <w:lvlText w:val="%1."/>
      <w:lvlJc w:val="left"/>
      <w:pPr>
        <w:ind w:left="720" w:hanging="360"/>
      </w:pPr>
      <w:rPr>
        <w:b/>
        <w:bCs/>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16cid:durableId="1761481691">
    <w:abstractNumId w:val="2"/>
  </w:num>
  <w:num w:numId="2" w16cid:durableId="172653839">
    <w:abstractNumId w:val="0"/>
  </w:num>
  <w:num w:numId="3" w16cid:durableId="1839156658">
    <w:abstractNumId w:val="4"/>
  </w:num>
  <w:num w:numId="4" w16cid:durableId="1759476311">
    <w:abstractNumId w:val="3"/>
  </w:num>
  <w:num w:numId="5" w16cid:durableId="1549419471">
    <w:abstractNumId w:val="1"/>
  </w:num>
  <w:num w:numId="6" w16cid:durableId="1422807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21F"/>
    <w:rsid w:val="00002C4A"/>
    <w:rsid w:val="00021409"/>
    <w:rsid w:val="00025169"/>
    <w:rsid w:val="000509E9"/>
    <w:rsid w:val="0006020C"/>
    <w:rsid w:val="00064BE2"/>
    <w:rsid w:val="00083B88"/>
    <w:rsid w:val="0009413F"/>
    <w:rsid w:val="00130FC7"/>
    <w:rsid w:val="00131C5B"/>
    <w:rsid w:val="001377D2"/>
    <w:rsid w:val="0018461C"/>
    <w:rsid w:val="001A25CD"/>
    <w:rsid w:val="002040C7"/>
    <w:rsid w:val="00225902"/>
    <w:rsid w:val="00226CD6"/>
    <w:rsid w:val="00266D8E"/>
    <w:rsid w:val="00281C00"/>
    <w:rsid w:val="002935D6"/>
    <w:rsid w:val="002C388C"/>
    <w:rsid w:val="002C6201"/>
    <w:rsid w:val="002D2E76"/>
    <w:rsid w:val="00330718"/>
    <w:rsid w:val="003344BF"/>
    <w:rsid w:val="00340CD3"/>
    <w:rsid w:val="00356D81"/>
    <w:rsid w:val="003B2CC1"/>
    <w:rsid w:val="003C2A3B"/>
    <w:rsid w:val="003E6217"/>
    <w:rsid w:val="0044405E"/>
    <w:rsid w:val="004635EC"/>
    <w:rsid w:val="004700DD"/>
    <w:rsid w:val="00475435"/>
    <w:rsid w:val="004A0F9F"/>
    <w:rsid w:val="004C089D"/>
    <w:rsid w:val="004E6EA6"/>
    <w:rsid w:val="004F4554"/>
    <w:rsid w:val="004F742E"/>
    <w:rsid w:val="00503568"/>
    <w:rsid w:val="0051579C"/>
    <w:rsid w:val="00534B7D"/>
    <w:rsid w:val="005636BF"/>
    <w:rsid w:val="00576BE7"/>
    <w:rsid w:val="005C2B80"/>
    <w:rsid w:val="005E75DA"/>
    <w:rsid w:val="005F3A49"/>
    <w:rsid w:val="00621B33"/>
    <w:rsid w:val="006533F3"/>
    <w:rsid w:val="00663BDD"/>
    <w:rsid w:val="006C20C2"/>
    <w:rsid w:val="006E594B"/>
    <w:rsid w:val="00726526"/>
    <w:rsid w:val="00763AE7"/>
    <w:rsid w:val="007C0841"/>
    <w:rsid w:val="00813118"/>
    <w:rsid w:val="008327EA"/>
    <w:rsid w:val="00893F60"/>
    <w:rsid w:val="008C43B1"/>
    <w:rsid w:val="008D068F"/>
    <w:rsid w:val="00904518"/>
    <w:rsid w:val="00923F20"/>
    <w:rsid w:val="0097575C"/>
    <w:rsid w:val="00A109BB"/>
    <w:rsid w:val="00A13120"/>
    <w:rsid w:val="00A3423F"/>
    <w:rsid w:val="00A50AFA"/>
    <w:rsid w:val="00A66C77"/>
    <w:rsid w:val="00A95611"/>
    <w:rsid w:val="00AE515A"/>
    <w:rsid w:val="00AF4F7B"/>
    <w:rsid w:val="00B37BF3"/>
    <w:rsid w:val="00B948C2"/>
    <w:rsid w:val="00BF452B"/>
    <w:rsid w:val="00BF76C8"/>
    <w:rsid w:val="00C157CE"/>
    <w:rsid w:val="00C34D9E"/>
    <w:rsid w:val="00C45139"/>
    <w:rsid w:val="00C5456C"/>
    <w:rsid w:val="00C939C8"/>
    <w:rsid w:val="00D054B4"/>
    <w:rsid w:val="00D3551F"/>
    <w:rsid w:val="00D63AE9"/>
    <w:rsid w:val="00D71758"/>
    <w:rsid w:val="00DB083F"/>
    <w:rsid w:val="00DB58D4"/>
    <w:rsid w:val="00DE4D93"/>
    <w:rsid w:val="00DF7F37"/>
    <w:rsid w:val="00E31391"/>
    <w:rsid w:val="00E835D9"/>
    <w:rsid w:val="00F45787"/>
    <w:rsid w:val="00F6521F"/>
    <w:rsid w:val="00FF3659"/>
  </w:rsids>
  <m:mathPr>
    <m:mathFont m:val="Cambria Math"/>
    <m:brkBin m:val="before"/>
    <m:brkBinSub m:val="--"/>
    <m:smallFrac m:val="0"/>
    <m:dispDef/>
    <m:lMargin m:val="0"/>
    <m:rMargin m:val="0"/>
    <m:defJc m:val="centerGroup"/>
    <m:wrapIndent m:val="1440"/>
    <m:intLim m:val="subSup"/>
    <m:naryLim m:val="undOvr"/>
  </m:mathPr>
  <w:themeFontLang w:val="sl-S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7D6F0"/>
  <w15:chartTrackingRefBased/>
  <w15:docId w15:val="{085E9FA6-E5F5-46FC-A4D0-BAAEE601A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F9F"/>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935D6"/>
    <w:pPr>
      <w:spacing w:after="0" w:line="240" w:lineRule="auto"/>
    </w:pPr>
  </w:style>
  <w:style w:type="paragraph" w:customStyle="1" w:styleId="Default">
    <w:name w:val="Default"/>
    <w:rsid w:val="004A0F9F"/>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4F4554"/>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Hyperlink">
    <w:name w:val="Hyperlink"/>
    <w:basedOn w:val="DefaultParagraphFont"/>
    <w:uiPriority w:val="99"/>
    <w:unhideWhenUsed/>
    <w:rsid w:val="003E6217"/>
    <w:rPr>
      <w:color w:val="0000FF" w:themeColor="hyperlink"/>
      <w:u w:val="single"/>
    </w:rPr>
  </w:style>
  <w:style w:type="character" w:styleId="UnresolvedMention">
    <w:name w:val="Unresolved Mention"/>
    <w:basedOn w:val="DefaultParagraphFont"/>
    <w:uiPriority w:val="99"/>
    <w:semiHidden/>
    <w:unhideWhenUsed/>
    <w:rsid w:val="003E6217"/>
    <w:rPr>
      <w:color w:val="605E5C"/>
      <w:shd w:val="clear" w:color="auto" w:fill="E1DFDD"/>
    </w:rPr>
  </w:style>
  <w:style w:type="paragraph" w:styleId="ListParagraph">
    <w:name w:val="List Paragraph"/>
    <w:basedOn w:val="Normal"/>
    <w:uiPriority w:val="34"/>
    <w:qFormat/>
    <w:rsid w:val="004635EC"/>
    <w:pPr>
      <w:ind w:left="720"/>
      <w:contextualSpacing/>
    </w:pPr>
  </w:style>
  <w:style w:type="paragraph" w:styleId="Header">
    <w:name w:val="header"/>
    <w:basedOn w:val="Normal"/>
    <w:link w:val="HeaderChar"/>
    <w:uiPriority w:val="99"/>
    <w:unhideWhenUsed/>
    <w:rsid w:val="00DB58D4"/>
    <w:pPr>
      <w:tabs>
        <w:tab w:val="center" w:pos="4536"/>
        <w:tab w:val="right" w:pos="9072"/>
      </w:tabs>
      <w:spacing w:after="0" w:line="240" w:lineRule="auto"/>
    </w:pPr>
  </w:style>
  <w:style w:type="character" w:customStyle="1" w:styleId="HeaderChar">
    <w:name w:val="Header Char"/>
    <w:basedOn w:val="DefaultParagraphFont"/>
    <w:link w:val="Header"/>
    <w:uiPriority w:val="99"/>
    <w:rsid w:val="00DB58D4"/>
  </w:style>
  <w:style w:type="paragraph" w:styleId="Footer">
    <w:name w:val="footer"/>
    <w:basedOn w:val="Normal"/>
    <w:link w:val="FooterChar"/>
    <w:uiPriority w:val="99"/>
    <w:unhideWhenUsed/>
    <w:rsid w:val="00DB58D4"/>
    <w:pPr>
      <w:tabs>
        <w:tab w:val="center" w:pos="4536"/>
        <w:tab w:val="right" w:pos="9072"/>
      </w:tabs>
      <w:spacing w:after="0" w:line="240" w:lineRule="auto"/>
    </w:pPr>
  </w:style>
  <w:style w:type="character" w:customStyle="1" w:styleId="FooterChar">
    <w:name w:val="Footer Char"/>
    <w:basedOn w:val="DefaultParagraphFont"/>
    <w:link w:val="Footer"/>
    <w:uiPriority w:val="99"/>
    <w:rsid w:val="00DB58D4"/>
  </w:style>
  <w:style w:type="character" w:styleId="CommentReference">
    <w:name w:val="annotation reference"/>
    <w:basedOn w:val="DefaultParagraphFont"/>
    <w:uiPriority w:val="99"/>
    <w:semiHidden/>
    <w:unhideWhenUsed/>
    <w:rsid w:val="000509E9"/>
    <w:rPr>
      <w:sz w:val="16"/>
      <w:szCs w:val="16"/>
    </w:rPr>
  </w:style>
  <w:style w:type="paragraph" w:styleId="CommentText">
    <w:name w:val="annotation text"/>
    <w:basedOn w:val="Normal"/>
    <w:link w:val="CommentTextChar"/>
    <w:uiPriority w:val="99"/>
    <w:unhideWhenUsed/>
    <w:rsid w:val="000509E9"/>
    <w:pPr>
      <w:spacing w:line="240" w:lineRule="auto"/>
    </w:pPr>
    <w:rPr>
      <w:sz w:val="20"/>
      <w:szCs w:val="20"/>
    </w:rPr>
  </w:style>
  <w:style w:type="character" w:customStyle="1" w:styleId="CommentTextChar">
    <w:name w:val="Comment Text Char"/>
    <w:basedOn w:val="DefaultParagraphFont"/>
    <w:link w:val="CommentText"/>
    <w:uiPriority w:val="99"/>
    <w:rsid w:val="000509E9"/>
    <w:rPr>
      <w:sz w:val="20"/>
      <w:szCs w:val="20"/>
    </w:rPr>
  </w:style>
  <w:style w:type="paragraph" w:styleId="CommentSubject">
    <w:name w:val="annotation subject"/>
    <w:basedOn w:val="CommentText"/>
    <w:next w:val="CommentText"/>
    <w:link w:val="CommentSubjectChar"/>
    <w:uiPriority w:val="99"/>
    <w:semiHidden/>
    <w:unhideWhenUsed/>
    <w:rsid w:val="000509E9"/>
    <w:rPr>
      <w:b/>
      <w:bCs/>
    </w:rPr>
  </w:style>
  <w:style w:type="character" w:customStyle="1" w:styleId="CommentSubjectChar">
    <w:name w:val="Comment Subject Char"/>
    <w:basedOn w:val="CommentTextChar"/>
    <w:link w:val="CommentSubject"/>
    <w:uiPriority w:val="99"/>
    <w:semiHidden/>
    <w:rsid w:val="000509E9"/>
    <w:rPr>
      <w:b/>
      <w:bCs/>
      <w:sz w:val="20"/>
      <w:szCs w:val="20"/>
    </w:rPr>
  </w:style>
  <w:style w:type="paragraph" w:styleId="ListBullet">
    <w:name w:val="List Bullet"/>
    <w:basedOn w:val="Normal"/>
    <w:uiPriority w:val="99"/>
    <w:unhideWhenUsed/>
    <w:rsid w:val="003C2A3B"/>
    <w:pPr>
      <w:numPr>
        <w:numId w:val="5"/>
      </w:numPr>
      <w:contextualSpacing/>
    </w:pPr>
  </w:style>
  <w:style w:type="paragraph" w:styleId="Revision">
    <w:name w:val="Revision"/>
    <w:hidden/>
    <w:uiPriority w:val="99"/>
    <w:semiHidden/>
    <w:rsid w:val="00813118"/>
    <w:pPr>
      <w:spacing w:after="0" w:line="240" w:lineRule="auto"/>
    </w:pPr>
  </w:style>
  <w:style w:type="character" w:styleId="FollowedHyperlink">
    <w:name w:val="FollowedHyperlink"/>
    <w:basedOn w:val="DefaultParagraphFont"/>
    <w:uiPriority w:val="99"/>
    <w:semiHidden/>
    <w:unhideWhenUsed/>
    <w:rsid w:val="00DE4D93"/>
    <w:rPr>
      <w:color w:val="800080" w:themeColor="followedHyperlink"/>
      <w:u w:val="single"/>
    </w:rPr>
  </w:style>
  <w:style w:type="character" w:styleId="FootnoteReference">
    <w:name w:val="footnote reference"/>
    <w:aliases w:val="4_G"/>
    <w:basedOn w:val="DefaultParagraphFont"/>
    <w:unhideWhenUsed/>
    <w:qFormat/>
    <w:rsid w:val="00340CD3"/>
    <w:rPr>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Char Char,Char Char,Footnote"/>
    <w:basedOn w:val="Normal"/>
    <w:link w:val="FootnoteTextChar"/>
    <w:qFormat/>
    <w:rsid w:val="00C45139"/>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hAnsi="Times New Roman" w:cs="Times New Roman"/>
      <w:sz w:val="18"/>
      <w:szCs w:val="20"/>
      <w:lang w:val="en-GB"/>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qFormat/>
    <w:rsid w:val="00C45139"/>
    <w:rPr>
      <w:rFonts w:ascii="Times New Roman" w:hAnsi="Times New Roman" w:cs="Times New Roman"/>
      <w:sz w:val="18"/>
      <w:szCs w:val="20"/>
      <w:lang w:val="en-GB"/>
    </w:rPr>
  </w:style>
  <w:style w:type="paragraph" w:customStyle="1" w:styleId="SingleTxtG">
    <w:name w:val="_ Single Txt_G"/>
    <w:basedOn w:val="Normal"/>
    <w:link w:val="SingleTxtGChar"/>
    <w:qFormat/>
    <w:rsid w:val="00C45139"/>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qFormat/>
    <w:locked/>
    <w:rsid w:val="00C45139"/>
    <w:rPr>
      <w:rFonts w:ascii="Times New Roman" w:hAnsi="Times New Roman" w:cs="Times New Roman"/>
      <w:sz w:val="20"/>
      <w:szCs w:val="20"/>
      <w:lang w:val="en-GB"/>
    </w:rPr>
  </w:style>
  <w:style w:type="character" w:customStyle="1" w:styleId="y2iqfc">
    <w:name w:val="y2iqfc"/>
    <w:basedOn w:val="DefaultParagraphFont"/>
    <w:rsid w:val="00C45139"/>
  </w:style>
  <w:style w:type="table" w:styleId="TableGrid">
    <w:name w:val="Table Grid"/>
    <w:basedOn w:val="TableNormal"/>
    <w:uiPriority w:val="39"/>
    <w:rsid w:val="0072652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771599">
      <w:bodyDiv w:val="1"/>
      <w:marLeft w:val="0"/>
      <w:marRight w:val="0"/>
      <w:marTop w:val="0"/>
      <w:marBottom w:val="0"/>
      <w:divBdr>
        <w:top w:val="none" w:sz="0" w:space="0" w:color="auto"/>
        <w:left w:val="none" w:sz="0" w:space="0" w:color="auto"/>
        <w:bottom w:val="none" w:sz="0" w:space="0" w:color="auto"/>
        <w:right w:val="none" w:sz="0" w:space="0" w:color="auto"/>
      </w:divBdr>
      <w:divsChild>
        <w:div w:id="990409710">
          <w:marLeft w:val="0"/>
          <w:marRight w:val="0"/>
          <w:marTop w:val="240"/>
          <w:marBottom w:val="0"/>
          <w:divBdr>
            <w:top w:val="none" w:sz="0" w:space="0" w:color="auto"/>
            <w:left w:val="none" w:sz="0" w:space="0" w:color="auto"/>
            <w:bottom w:val="none" w:sz="0" w:space="0" w:color="auto"/>
            <w:right w:val="none" w:sz="0" w:space="0" w:color="auto"/>
          </w:divBdr>
        </w:div>
        <w:div w:id="356080493">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2026-08-12T12:16:05+00:00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ED9365-4390-41AF-8B3B-8B9E8618706F}">
  <ds:schemaRefs>
    <ds:schemaRef ds:uri="http://schemas.openxmlformats.org/officeDocument/2006/bibliography"/>
  </ds:schemaRefs>
</ds:datastoreItem>
</file>

<file path=customXml/itemProps2.xml><?xml version="1.0" encoding="utf-8"?>
<ds:datastoreItem xmlns:ds="http://schemas.openxmlformats.org/officeDocument/2006/customXml" ds:itemID="{2B589CE0-0AF1-4E6F-A5F7-4E4BF6753854}">
  <ds:schemaRefs>
    <ds:schemaRef ds:uri="http://schemas.microsoft.com/office/2006/metadata/properties"/>
    <ds:schemaRef ds:uri="http://schemas.microsoft.com/office/infopath/2007/PartnerControls"/>
    <ds:schemaRef ds:uri="985ec44e-1bab-4c0b-9df0-6ba128686fc9"/>
    <ds:schemaRef ds:uri="11a6fe0c-d8de-4390-afb3-d9c7c54181f0"/>
    <ds:schemaRef ds:uri="8328ca42-2125-412e-803c-da962a6c2716"/>
  </ds:schemaRefs>
</ds:datastoreItem>
</file>

<file path=customXml/itemProps3.xml><?xml version="1.0" encoding="utf-8"?>
<ds:datastoreItem xmlns:ds="http://schemas.openxmlformats.org/officeDocument/2006/customXml" ds:itemID="{B00EA87A-13CF-4AB7-9111-0927CAD63F4F}">
  <ds:schemaRefs>
    <ds:schemaRef ds:uri="http://schemas.microsoft.com/sharepoint/v3/contenttype/forms"/>
  </ds:schemaRefs>
</ds:datastoreItem>
</file>

<file path=customXml/itemProps4.xml><?xml version="1.0" encoding="utf-8"?>
<ds:datastoreItem xmlns:ds="http://schemas.openxmlformats.org/officeDocument/2006/customXml" ds:itemID="{2A89D71C-2AA8-4E3E-8DD3-15674767AE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53</TotalTime>
  <Pages>34</Pages>
  <Words>11207</Words>
  <Characters>63881</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Ministrstvo za zunanje zadeve</Company>
  <LinksUpToDate>false</LinksUpToDate>
  <CharactersWithSpaces>74939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Žana Drimel</dc:creator>
  <cp:keywords/>
  <dc:description/>
  <cp:lastModifiedBy>Ana Novak</cp:lastModifiedBy>
  <cp:revision>3</cp:revision>
  <cp:lastPrinted>2026-08-05T10:02:00Z</cp:lastPrinted>
  <dcterms:created xsi:type="dcterms:W3CDTF">2026-08-05T10:37:00Z</dcterms:created>
  <dcterms:modified xsi:type="dcterms:W3CDTF">2026-08-12T13:33:00Z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y fmtid="{D5CDD505-2E9C-101B-9397-08002B2CF9AE}" pid="3" name="MediaServiceImageTags">
    <vt:lpwstr/>
  </property>
</Properties>
</file>