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A576B" w:rsidRDefault="00172A10">
      <w:pPr>
        <w:keepNext/>
        <w:pBdr>
          <w:top w:val="nil"/>
          <w:left w:val="nil"/>
          <w:bottom w:val="nil"/>
          <w:right w:val="nil"/>
          <w:between w:val="nil"/>
        </w:pBdr>
        <w:tabs>
          <w:tab w:val="left" w:pos="643"/>
        </w:tabs>
        <w:spacing w:before="240" w:after="240" w:line="360" w:lineRule="auto"/>
        <w:jc w:val="right"/>
        <w:rPr>
          <w:rFonts w:ascii="Arial" w:eastAsia="Arial" w:hAnsi="Arial" w:cs="Arial"/>
          <w:sz w:val="24"/>
          <w:szCs w:val="24"/>
        </w:rPr>
      </w:pPr>
      <w:r>
        <w:rPr>
          <w:rFonts w:ascii="Arial" w:eastAsia="Arial" w:hAnsi="Arial" w:cs="Arial"/>
          <w:sz w:val="24"/>
          <w:szCs w:val="24"/>
        </w:rPr>
        <w:t>Curitiba, April 12, 2024</w:t>
      </w:r>
    </w:p>
    <w:p w14:paraId="00000002" w14:textId="77777777" w:rsidR="005A576B" w:rsidRDefault="00172A10">
      <w:pPr>
        <w:keepNext/>
        <w:pBdr>
          <w:top w:val="nil"/>
          <w:left w:val="nil"/>
          <w:bottom w:val="nil"/>
          <w:right w:val="nil"/>
          <w:between w:val="nil"/>
        </w:pBdr>
        <w:tabs>
          <w:tab w:val="left" w:pos="643"/>
        </w:tabs>
        <w:spacing w:before="240" w:after="240" w:line="360" w:lineRule="auto"/>
        <w:ind w:left="720" w:hanging="360"/>
        <w:rPr>
          <w:rFonts w:ascii="Arial" w:eastAsia="Arial" w:hAnsi="Arial" w:cs="Arial"/>
          <w:sz w:val="24"/>
          <w:szCs w:val="24"/>
        </w:rPr>
      </w:pPr>
      <w:r>
        <w:rPr>
          <w:rFonts w:ascii="Arial" w:eastAsia="Arial" w:hAnsi="Arial" w:cs="Arial"/>
          <w:sz w:val="24"/>
          <w:szCs w:val="24"/>
        </w:rPr>
        <w:t>Association of Indigenous Women Organized in Network - AMIOR</w:t>
      </w:r>
    </w:p>
    <w:p w14:paraId="00000003" w14:textId="77777777" w:rsidR="005A576B" w:rsidRDefault="00172A10">
      <w:pPr>
        <w:spacing w:after="0" w:line="240" w:lineRule="auto"/>
        <w:ind w:right="-432"/>
        <w:rPr>
          <w:rFonts w:ascii="Times" w:eastAsia="Times" w:hAnsi="Times" w:cs="Times"/>
          <w:b/>
          <w:sz w:val="24"/>
          <w:szCs w:val="24"/>
        </w:rPr>
      </w:pPr>
      <w:r>
        <w:rPr>
          <w:b/>
          <w:color w:val="222222"/>
          <w:sz w:val="24"/>
          <w:szCs w:val="24"/>
        </w:rPr>
        <w:t xml:space="preserve">Submission to the Committee on the Elimination of Discrimination Against Women (CEDAW) concerning Brazil’s 8th and 9th periodic report for the </w:t>
      </w:r>
      <w:r>
        <w:rPr>
          <w:rFonts w:ascii="Times" w:eastAsia="Times" w:hAnsi="Times" w:cs="Times"/>
          <w:b/>
          <w:sz w:val="24"/>
          <w:szCs w:val="24"/>
        </w:rPr>
        <w:t>88th session (13</w:t>
      </w:r>
      <w:r>
        <w:rPr>
          <w:rFonts w:ascii="Times" w:eastAsia="Times" w:hAnsi="Times" w:cs="Times"/>
          <w:b/>
          <w:color w:val="0B0B0B"/>
          <w:sz w:val="24"/>
          <w:szCs w:val="24"/>
        </w:rPr>
        <w:t>-31 May 2024</w:t>
      </w:r>
      <w:r>
        <w:rPr>
          <w:rFonts w:ascii="Times" w:eastAsia="Times" w:hAnsi="Times" w:cs="Times"/>
          <w:b/>
          <w:sz w:val="24"/>
          <w:szCs w:val="24"/>
        </w:rPr>
        <w:t>) and Pre-sessional Working Group for the 90th session (3-7 June 2024)</w:t>
      </w:r>
    </w:p>
    <w:p w14:paraId="00000004" w14:textId="77777777" w:rsidR="005A576B" w:rsidRDefault="005A576B">
      <w:pPr>
        <w:spacing w:after="0" w:line="240" w:lineRule="auto"/>
        <w:ind w:right="-432"/>
        <w:rPr>
          <w:rFonts w:ascii="Times" w:eastAsia="Times" w:hAnsi="Times" w:cs="Times"/>
          <w:b/>
          <w:sz w:val="24"/>
          <w:szCs w:val="24"/>
        </w:rPr>
      </w:pPr>
    </w:p>
    <w:p w14:paraId="00000005" w14:textId="77777777" w:rsidR="005A576B" w:rsidRDefault="00172A10">
      <w:pPr>
        <w:spacing w:after="0" w:line="240" w:lineRule="auto"/>
        <w:ind w:right="-432"/>
        <w:rPr>
          <w:rFonts w:ascii="Times" w:eastAsia="Times" w:hAnsi="Times" w:cs="Times"/>
          <w:sz w:val="24"/>
          <w:szCs w:val="24"/>
        </w:rPr>
      </w:pPr>
      <w:r>
        <w:rPr>
          <w:rFonts w:ascii="Times" w:eastAsia="Times" w:hAnsi="Times" w:cs="Times"/>
          <w:sz w:val="24"/>
          <w:szCs w:val="24"/>
        </w:rPr>
        <w:t xml:space="preserve">The state of </w:t>
      </w:r>
      <w:r>
        <w:rPr>
          <w:rFonts w:ascii="Times" w:eastAsia="Times" w:hAnsi="Times" w:cs="Times"/>
          <w:sz w:val="24"/>
          <w:szCs w:val="24"/>
        </w:rPr>
        <w:t>Paraná currently hosts a population of 31,460 self-declared indigenous people, according to the 2023 census survey. Of this total, 13,887 (45.59%) reside in the 38 indigenous territories that are in different stages of regularization. Within these territor</w:t>
      </w:r>
      <w:r>
        <w:rPr>
          <w:rFonts w:ascii="Times" w:eastAsia="Times" w:hAnsi="Times" w:cs="Times"/>
          <w:sz w:val="24"/>
          <w:szCs w:val="24"/>
        </w:rPr>
        <w:t>ies, indigenous people from the Kaingang, Guarani M`byá, Guarani Nhandeva, Awá Guarani, Guarani Kaiowá, Xetá, Xokleng, a few Terena, and other ethnicities from other states reside. At least half of this population consists of indigenous women, who play a c</w:t>
      </w:r>
      <w:r>
        <w:rPr>
          <w:rFonts w:ascii="Times" w:eastAsia="Times" w:hAnsi="Times" w:cs="Times"/>
          <w:sz w:val="24"/>
          <w:szCs w:val="24"/>
        </w:rPr>
        <w:t>entral role in community relations, although they are still a minority in leadership roles and decision-making spaces involving the collective. Power dynamics within indigenous territories in the state of Paraná have, for many years, placed indigenous wome</w:t>
      </w:r>
      <w:r>
        <w:rPr>
          <w:rFonts w:ascii="Times" w:eastAsia="Times" w:hAnsi="Times" w:cs="Times"/>
          <w:sz w:val="24"/>
          <w:szCs w:val="24"/>
        </w:rPr>
        <w:t>n in situations of risk and vulnerability. However, this is a sad national reality present in virtually all indigenous territories in the country.</w:t>
      </w:r>
    </w:p>
    <w:p w14:paraId="00000006" w14:textId="77777777" w:rsidR="005A576B" w:rsidRDefault="005A576B">
      <w:pPr>
        <w:spacing w:after="0" w:line="240" w:lineRule="auto"/>
        <w:ind w:right="-432"/>
        <w:rPr>
          <w:rFonts w:ascii="Times" w:eastAsia="Times" w:hAnsi="Times" w:cs="Times"/>
          <w:sz w:val="24"/>
          <w:szCs w:val="24"/>
        </w:rPr>
      </w:pPr>
    </w:p>
    <w:p w14:paraId="00000007" w14:textId="77777777" w:rsidR="005A576B" w:rsidRDefault="00172A10">
      <w:pPr>
        <w:spacing w:after="0" w:line="240" w:lineRule="auto"/>
        <w:ind w:right="-432"/>
        <w:rPr>
          <w:rFonts w:ascii="Times" w:eastAsia="Times" w:hAnsi="Times" w:cs="Times"/>
          <w:sz w:val="24"/>
          <w:szCs w:val="24"/>
        </w:rPr>
      </w:pPr>
      <w:r>
        <w:rPr>
          <w:rFonts w:ascii="Times" w:eastAsia="Times" w:hAnsi="Times" w:cs="Times"/>
          <w:sz w:val="24"/>
          <w:szCs w:val="24"/>
        </w:rPr>
        <w:t>Between the years 2003 and 2022, 394 homicides of indigenous women and adolescents were recorded. In 2003, t</w:t>
      </w:r>
      <w:r>
        <w:rPr>
          <w:rFonts w:ascii="Times" w:eastAsia="Times" w:hAnsi="Times" w:cs="Times"/>
          <w:sz w:val="24"/>
          <w:szCs w:val="24"/>
        </w:rPr>
        <w:t>he occurrence was significantly reduced, with only 6 homicides, but over the years, the number of cases gradually increased, reaching 36 cases in 2022, representing a gradual increase of 500% (SIGNORELLI; OLIVEIRA; WANZINACK; MARTINS, 2023). According to a</w:t>
      </w:r>
      <w:r>
        <w:rPr>
          <w:rFonts w:ascii="Times" w:eastAsia="Times" w:hAnsi="Times" w:cs="Times"/>
          <w:sz w:val="24"/>
          <w:szCs w:val="24"/>
        </w:rPr>
        <w:t xml:space="preserve"> report by the research group of the Graduate Program in Collective Health at the Federal University of Paraná, coordinated by Professor Marcos Signorelli, Brazil recorded an average national rate of 2.8 homicides of indigenous women and adolescents per 10</w:t>
      </w:r>
      <w:r>
        <w:rPr>
          <w:rFonts w:ascii="Times" w:eastAsia="Times" w:hAnsi="Times" w:cs="Times"/>
          <w:sz w:val="24"/>
          <w:szCs w:val="24"/>
        </w:rPr>
        <w:t>0,000 inhabitants. The Midwest region registers a rate of 9.7 homicides per 100,000, with 157 victims during the period surveyed. The South also has a significant rate, ranking third, after Rondônia, well above the national average, with a rate of 4.5/100,</w:t>
      </w:r>
      <w:r>
        <w:rPr>
          <w:rFonts w:ascii="Times" w:eastAsia="Times" w:hAnsi="Times" w:cs="Times"/>
          <w:sz w:val="24"/>
          <w:szCs w:val="24"/>
        </w:rPr>
        <w:t>000, representing 33 cases in absolute numbers. According to the Igarapé Institute, there are indications of underreporting in cases: obstacles such as distance between communities and police stations, language barriers (17.5% of indigenous people do not s</w:t>
      </w:r>
      <w:r>
        <w:rPr>
          <w:rFonts w:ascii="Times" w:eastAsia="Times" w:hAnsi="Times" w:cs="Times"/>
          <w:sz w:val="24"/>
          <w:szCs w:val="24"/>
        </w:rPr>
        <w:t>peak Portuguese), and discrimination prevent women from pursuing complaints.</w:t>
      </w:r>
    </w:p>
    <w:p w14:paraId="00000008" w14:textId="77777777" w:rsidR="005A576B" w:rsidRDefault="005A576B">
      <w:pPr>
        <w:spacing w:after="0" w:line="240" w:lineRule="auto"/>
        <w:ind w:right="-432"/>
        <w:rPr>
          <w:rFonts w:ascii="Times" w:eastAsia="Times" w:hAnsi="Times" w:cs="Times"/>
          <w:sz w:val="24"/>
          <w:szCs w:val="24"/>
        </w:rPr>
      </w:pPr>
    </w:p>
    <w:p w14:paraId="00000009" w14:textId="77777777" w:rsidR="005A576B" w:rsidRDefault="00172A10">
      <w:pPr>
        <w:spacing w:after="0" w:line="240" w:lineRule="auto"/>
        <w:ind w:right="-432"/>
        <w:rPr>
          <w:rFonts w:ascii="Times" w:eastAsia="Times" w:hAnsi="Times" w:cs="Times"/>
          <w:sz w:val="24"/>
          <w:szCs w:val="24"/>
        </w:rPr>
      </w:pPr>
      <w:r>
        <w:rPr>
          <w:rFonts w:ascii="Times" w:eastAsia="Times" w:hAnsi="Times" w:cs="Times"/>
          <w:sz w:val="24"/>
          <w:szCs w:val="24"/>
        </w:rPr>
        <w:t>In 2020, A. J., from the Guarani Nhandeva people, who lived in a village in the interior of Paraná, was ambushed and then subjected to an assassination attempt due to the complai</w:t>
      </w:r>
      <w:r>
        <w:rPr>
          <w:rFonts w:ascii="Times" w:eastAsia="Times" w:hAnsi="Times" w:cs="Times"/>
          <w:sz w:val="24"/>
          <w:szCs w:val="24"/>
        </w:rPr>
        <w:t>nts she made against the chief, so she was forced to leave the territory. She and other women occupied the headquarters of Funai in the municipality of Londrina, seeking support against the arbitrariness and violence committed by the chief and his accompli</w:t>
      </w:r>
      <w:r>
        <w:rPr>
          <w:rFonts w:ascii="Times" w:eastAsia="Times" w:hAnsi="Times" w:cs="Times"/>
          <w:sz w:val="24"/>
          <w:szCs w:val="24"/>
        </w:rPr>
        <w:t>ces. At the time, she sought various institutions and leaders but received no support. Upon returning to the city of São Jerônimo da Serra, the leaders of the Indigenous Land where A. lived carried out a new ambush, this time determined to execute her. The</w:t>
      </w:r>
      <w:r>
        <w:rPr>
          <w:rFonts w:ascii="Times" w:eastAsia="Times" w:hAnsi="Times" w:cs="Times"/>
          <w:sz w:val="24"/>
          <w:szCs w:val="24"/>
        </w:rPr>
        <w:t>re were over 30 people at the chief's command, who with sticks and stones destroyed her house and threatened to take her daughter from her womb. A. was pregnant at the time. The police were called by neighbors who witnessed the barbaric scene. A., who surv</w:t>
      </w:r>
      <w:r>
        <w:rPr>
          <w:rFonts w:ascii="Times" w:eastAsia="Times" w:hAnsi="Times" w:cs="Times"/>
          <w:sz w:val="24"/>
          <w:szCs w:val="24"/>
        </w:rPr>
        <w:t>ived more than one attempted femicide, entered a program for the protection of victims and human rights defenders. She currently resides in an Incra settlement, prevented from returning to her community, awaiting justice. The Federal Public Ministry at the</w:t>
      </w:r>
      <w:r>
        <w:rPr>
          <w:rFonts w:ascii="Times" w:eastAsia="Times" w:hAnsi="Times" w:cs="Times"/>
          <w:sz w:val="24"/>
          <w:szCs w:val="24"/>
        </w:rPr>
        <w:t xml:space="preserve"> time issued a letter stating that it had heard the leaders </w:t>
      </w:r>
      <w:r>
        <w:rPr>
          <w:rFonts w:ascii="Times" w:eastAsia="Times" w:hAnsi="Times" w:cs="Times"/>
          <w:sz w:val="24"/>
          <w:szCs w:val="24"/>
        </w:rPr>
        <w:lastRenderedPageBreak/>
        <w:t>and found that the incident had been motivated by cultural issues and should therefore be resolved internally. A., like many other women who question and denounce male indigenous authorities, beca</w:t>
      </w:r>
      <w:r>
        <w:rPr>
          <w:rFonts w:ascii="Times" w:eastAsia="Times" w:hAnsi="Times" w:cs="Times"/>
          <w:sz w:val="24"/>
          <w:szCs w:val="24"/>
        </w:rPr>
        <w:t>me a refugee in foreign land, condemned to exile. Many women who suffer abuse do not report it for fear of the same punishment. M. J. received this sentence in early 2024. The chief, who is accused of rape, murder, and more than a dozen violations of right</w:t>
      </w:r>
      <w:r>
        <w:rPr>
          <w:rFonts w:ascii="Times" w:eastAsia="Times" w:hAnsi="Times" w:cs="Times"/>
          <w:sz w:val="24"/>
          <w:szCs w:val="24"/>
        </w:rPr>
        <w:t>s within his community, ordered her and her family to leave. No one supports her accusation. Everyone claims to be limited to the chief's determination, who has a status of divinity, and who has rights even over the bodies of those who live in the common t</w:t>
      </w:r>
      <w:r>
        <w:rPr>
          <w:rFonts w:ascii="Times" w:eastAsia="Times" w:hAnsi="Times" w:cs="Times"/>
          <w:sz w:val="24"/>
          <w:szCs w:val="24"/>
        </w:rPr>
        <w:t>erritory. Any refusal to his will within the community results in penalties such as forced labor, beatings, and imprisonment. The maintenance of the chieftaincy system benefits a perverse system of favors exchange, politics, and negotiations involving defo</w:t>
      </w:r>
      <w:r>
        <w:rPr>
          <w:rFonts w:ascii="Times" w:eastAsia="Times" w:hAnsi="Times" w:cs="Times"/>
          <w:sz w:val="24"/>
          <w:szCs w:val="24"/>
        </w:rPr>
        <w:t>restation and land leases. These structures of chiefs, police posts, and jails were installed in villages, especially in the southern region, during the military dictatorship period. During this period, there were many forced displacements of indigenous pe</w:t>
      </w:r>
      <w:r>
        <w:rPr>
          <w:rFonts w:ascii="Times" w:eastAsia="Times" w:hAnsi="Times" w:cs="Times"/>
          <w:sz w:val="24"/>
          <w:szCs w:val="24"/>
        </w:rPr>
        <w:t>oples from their lands to others on the lands of other peoples, such as the case of the Guarani and Xetá, relocated to Kaingang lands. Minority peoples never have autonomy in managing their communities, resulting in conflicts and violations of one people's</w:t>
      </w:r>
      <w:r>
        <w:rPr>
          <w:rFonts w:ascii="Times" w:eastAsia="Times" w:hAnsi="Times" w:cs="Times"/>
          <w:sz w:val="24"/>
          <w:szCs w:val="24"/>
        </w:rPr>
        <w:t xml:space="preserve"> rights over another. Violence, poverty, misery, neglect, and alcoholism exacerbate violations within communities, within the same nucleus, resulting in an increase in cases of suicide, especially among the Guarani peoples.</w:t>
      </w:r>
    </w:p>
    <w:p w14:paraId="0000000A" w14:textId="77777777" w:rsidR="005A576B" w:rsidRDefault="005A576B">
      <w:pPr>
        <w:spacing w:after="0" w:line="240" w:lineRule="auto"/>
        <w:ind w:right="-432"/>
        <w:rPr>
          <w:rFonts w:ascii="Times" w:eastAsia="Times" w:hAnsi="Times" w:cs="Times"/>
          <w:sz w:val="24"/>
          <w:szCs w:val="24"/>
        </w:rPr>
      </w:pPr>
    </w:p>
    <w:p w14:paraId="0000000B" w14:textId="77777777" w:rsidR="005A576B" w:rsidRDefault="00172A10">
      <w:pPr>
        <w:spacing w:after="0" w:line="240" w:lineRule="auto"/>
        <w:ind w:right="-432"/>
        <w:rPr>
          <w:rFonts w:ascii="Times" w:eastAsia="Times" w:hAnsi="Times" w:cs="Times"/>
          <w:sz w:val="24"/>
          <w:szCs w:val="24"/>
        </w:rPr>
      </w:pPr>
      <w:r>
        <w:rPr>
          <w:rFonts w:ascii="Times" w:eastAsia="Times" w:hAnsi="Times" w:cs="Times"/>
          <w:sz w:val="24"/>
          <w:szCs w:val="24"/>
        </w:rPr>
        <w:t>A. again found herself involved</w:t>
      </w:r>
      <w:r>
        <w:rPr>
          <w:rFonts w:ascii="Times" w:eastAsia="Times" w:hAnsi="Times" w:cs="Times"/>
          <w:sz w:val="24"/>
          <w:szCs w:val="24"/>
        </w:rPr>
        <w:t xml:space="preserve"> in a denunciation of a crime committed against a girl from the Awa Guarani people. At the time, the teenager was 13 years old and was subjected to a collective rape. The violence was recorded and posted online. The girl could not bear the pain and took he</w:t>
      </w:r>
      <w:r>
        <w:rPr>
          <w:rFonts w:ascii="Times" w:eastAsia="Times" w:hAnsi="Times" w:cs="Times"/>
          <w:sz w:val="24"/>
          <w:szCs w:val="24"/>
        </w:rPr>
        <w:t>r own life. The family sought justice at the time, tried to pursue the complaint and put the responsible parties in jail but was discouraged by a broad system concerned with the negative repercussions it could generate, which could weaken the indigenous mo</w:t>
      </w:r>
      <w:r>
        <w:rPr>
          <w:rFonts w:ascii="Times" w:eastAsia="Times" w:hAnsi="Times" w:cs="Times"/>
          <w:sz w:val="24"/>
          <w:szCs w:val="24"/>
        </w:rPr>
        <w:t>vement. The complaint did not proceed, and the case was considered a suicide, end of story. The suicides of indigenous adolescents and women are mostly related to sexual abuse or violence they suffer. In 2022, in a village in the interior, a young woman fr</w:t>
      </w:r>
      <w:r>
        <w:rPr>
          <w:rFonts w:ascii="Times" w:eastAsia="Times" w:hAnsi="Times" w:cs="Times"/>
          <w:sz w:val="24"/>
          <w:szCs w:val="24"/>
        </w:rPr>
        <w:t xml:space="preserve">om the Xetá people was chased by her partner who was under the influence of drugs, entered her house screaming and asking for help, and a few minutes later, she was found hanged. The family did not and still does not believe in suicide, as she was fleeing </w:t>
      </w:r>
      <w:r>
        <w:rPr>
          <w:rFonts w:ascii="Times" w:eastAsia="Times" w:hAnsi="Times" w:cs="Times"/>
          <w:sz w:val="24"/>
          <w:szCs w:val="24"/>
        </w:rPr>
        <w:t>and was in the presence of her partner. No investigation was carried out, and the report considered it another suicide.</w:t>
      </w:r>
    </w:p>
    <w:p w14:paraId="0000000C" w14:textId="77777777" w:rsidR="005A576B" w:rsidRDefault="005A576B">
      <w:pPr>
        <w:spacing w:after="0" w:line="240" w:lineRule="auto"/>
        <w:ind w:right="-432"/>
        <w:rPr>
          <w:rFonts w:ascii="Times" w:eastAsia="Times" w:hAnsi="Times" w:cs="Times"/>
          <w:sz w:val="24"/>
          <w:szCs w:val="24"/>
        </w:rPr>
      </w:pPr>
    </w:p>
    <w:p w14:paraId="0000000D" w14:textId="77777777" w:rsidR="005A576B" w:rsidRDefault="00172A10">
      <w:pPr>
        <w:spacing w:after="0" w:line="240" w:lineRule="auto"/>
        <w:ind w:right="-432"/>
        <w:rPr>
          <w:rFonts w:ascii="Times" w:eastAsia="Times" w:hAnsi="Times" w:cs="Times"/>
          <w:sz w:val="24"/>
          <w:szCs w:val="24"/>
        </w:rPr>
      </w:pPr>
      <w:r>
        <w:rPr>
          <w:rFonts w:ascii="Times" w:eastAsia="Times" w:hAnsi="Times" w:cs="Times"/>
          <w:sz w:val="24"/>
          <w:szCs w:val="24"/>
        </w:rPr>
        <w:t>During the Agroecology Journey fair held at the Federal University of Paraná in November 2023, a workshop organized by the Federal Univ</w:t>
      </w:r>
      <w:r>
        <w:rPr>
          <w:rFonts w:ascii="Times" w:eastAsia="Times" w:hAnsi="Times" w:cs="Times"/>
          <w:sz w:val="24"/>
          <w:szCs w:val="24"/>
        </w:rPr>
        <w:t>ersity, UTFPR, and the Feminist Front brought up the topic of violence against indigenous women, hearing from several companions present that day. Amaue was there and told her story, as were many others, such as the case of M. B., a young woman from the Ka</w:t>
      </w:r>
      <w:r>
        <w:rPr>
          <w:rFonts w:ascii="Times" w:eastAsia="Times" w:hAnsi="Times" w:cs="Times"/>
          <w:sz w:val="24"/>
          <w:szCs w:val="24"/>
        </w:rPr>
        <w:t>ingang people, who was attending university, living in the city, and on one of her returns to the village, was subjected to violence by an ex-boyfriend resulting in an unwanted pregnancy. M. sought the Public Defender's Office, which advised her to seek pu</w:t>
      </w:r>
      <w:r>
        <w:rPr>
          <w:rFonts w:ascii="Times" w:eastAsia="Times" w:hAnsi="Times" w:cs="Times"/>
          <w:sz w:val="24"/>
          <w:szCs w:val="24"/>
        </w:rPr>
        <w:t>blic health services that would guarantee her the termination of the pregnancy. M. was discouraged by social assistance from having an abortion. They delayed the authorization until she completed the gestational weeks where termination was no longer possib</w:t>
      </w:r>
      <w:r>
        <w:rPr>
          <w:rFonts w:ascii="Times" w:eastAsia="Times" w:hAnsi="Times" w:cs="Times"/>
          <w:sz w:val="24"/>
          <w:szCs w:val="24"/>
        </w:rPr>
        <w:t>le. M. went ahead with the pregnancy and died in childbirth due to a pulmonary embolism. Her attacker remains free.</w:t>
      </w:r>
    </w:p>
    <w:p w14:paraId="0000000E" w14:textId="77777777" w:rsidR="005A576B" w:rsidRDefault="005A576B">
      <w:pPr>
        <w:spacing w:after="0" w:line="240" w:lineRule="auto"/>
        <w:ind w:right="-432"/>
        <w:rPr>
          <w:rFonts w:ascii="Times" w:eastAsia="Times" w:hAnsi="Times" w:cs="Times"/>
          <w:sz w:val="24"/>
          <w:szCs w:val="24"/>
        </w:rPr>
      </w:pPr>
    </w:p>
    <w:p w14:paraId="0000000F" w14:textId="77777777" w:rsidR="005A576B" w:rsidRDefault="00172A10">
      <w:pPr>
        <w:spacing w:after="0" w:line="240" w:lineRule="auto"/>
        <w:ind w:right="-432"/>
        <w:rPr>
          <w:rFonts w:ascii="Times" w:eastAsia="Times" w:hAnsi="Times" w:cs="Times"/>
          <w:sz w:val="24"/>
          <w:szCs w:val="24"/>
        </w:rPr>
      </w:pPr>
      <w:r>
        <w:rPr>
          <w:rFonts w:ascii="Times" w:eastAsia="Times" w:hAnsi="Times" w:cs="Times"/>
          <w:sz w:val="24"/>
          <w:szCs w:val="24"/>
        </w:rPr>
        <w:t xml:space="preserve">During the workshop, we decided to explore the possibility of building a women's protection network to assist in creating support and protection strategies for indigenous women in their </w:t>
      </w:r>
      <w:r>
        <w:rPr>
          <w:rFonts w:ascii="Times" w:eastAsia="Times" w:hAnsi="Times" w:cs="Times"/>
          <w:sz w:val="24"/>
          <w:szCs w:val="24"/>
        </w:rPr>
        <w:lastRenderedPageBreak/>
        <w:t>territories and cities. We left that meeting determined to realize thi</w:t>
      </w:r>
      <w:r>
        <w:rPr>
          <w:rFonts w:ascii="Times" w:eastAsia="Times" w:hAnsi="Times" w:cs="Times"/>
          <w:sz w:val="24"/>
          <w:szCs w:val="24"/>
        </w:rPr>
        <w:t>s endeavor. On March 8th, International Women's Day, we managed to mobilize over 40 indigenous women from various territories for a meeting to continue the actions within this network that was taking shape. From there, the group expanded, and today it reac</w:t>
      </w:r>
      <w:r>
        <w:rPr>
          <w:rFonts w:ascii="Times" w:eastAsia="Times" w:hAnsi="Times" w:cs="Times"/>
          <w:sz w:val="24"/>
          <w:szCs w:val="24"/>
        </w:rPr>
        <w:t>hes virtually all indigenous territories in the state, with at least one indigenous representative in each territory. Representatives come from the Guarani Nhandeva, Guarani M'byá, Guarani Kaiowá, Awa Guarani, Xetá, Kaingang, Munduruku, and Jamamadi people</w:t>
      </w:r>
      <w:r>
        <w:rPr>
          <w:rFonts w:ascii="Times" w:eastAsia="Times" w:hAnsi="Times" w:cs="Times"/>
          <w:sz w:val="24"/>
          <w:szCs w:val="24"/>
        </w:rPr>
        <w:t>s. We are formalizing the Association of Indigenous Women Organized in Network - AMIOR. An organization that has indigenous women holding all major positions in its leadership, and a group of non-indigenous women comprising a council whose function is to s</w:t>
      </w:r>
      <w:r>
        <w:rPr>
          <w:rFonts w:ascii="Times" w:eastAsia="Times" w:hAnsi="Times" w:cs="Times"/>
          <w:sz w:val="24"/>
          <w:szCs w:val="24"/>
        </w:rPr>
        <w:t xml:space="preserve">upport the network, promote actions, and raise resources for mobilizations to occur. Our network includes the participation of over 60 indigenous and non-indigenous women, with supporters located in various sectors of society. We aim to collectively build </w:t>
      </w:r>
      <w:r>
        <w:rPr>
          <w:rFonts w:ascii="Times" w:eastAsia="Times" w:hAnsi="Times" w:cs="Times"/>
          <w:sz w:val="24"/>
          <w:szCs w:val="24"/>
        </w:rPr>
        <w:t>actions that ensure the comprehensive protection of indigenous women, their autonomy, and political empowerment, so that they occupy all spaces and can act in their territories promoting well-being and rights guarantees.</w:t>
      </w:r>
    </w:p>
    <w:p w14:paraId="00000010" w14:textId="77777777" w:rsidR="005A576B" w:rsidRDefault="005A576B">
      <w:pPr>
        <w:spacing w:after="0" w:line="240" w:lineRule="auto"/>
        <w:ind w:right="-432"/>
        <w:rPr>
          <w:rFonts w:ascii="Times" w:eastAsia="Times" w:hAnsi="Times" w:cs="Times"/>
          <w:sz w:val="24"/>
          <w:szCs w:val="24"/>
        </w:rPr>
      </w:pPr>
    </w:p>
    <w:p w14:paraId="00000011" w14:textId="77777777" w:rsidR="005A576B" w:rsidRDefault="00172A10">
      <w:pPr>
        <w:spacing w:after="0" w:line="240" w:lineRule="auto"/>
        <w:ind w:right="-432"/>
        <w:rPr>
          <w:rFonts w:ascii="Times" w:eastAsia="Times" w:hAnsi="Times" w:cs="Times"/>
          <w:sz w:val="24"/>
          <w:szCs w:val="24"/>
        </w:rPr>
      </w:pPr>
      <w:r>
        <w:rPr>
          <w:rFonts w:ascii="Times" w:eastAsia="Times" w:hAnsi="Times" w:cs="Times"/>
          <w:sz w:val="24"/>
          <w:szCs w:val="24"/>
        </w:rPr>
        <w:t xml:space="preserve">The publication of this report on </w:t>
      </w:r>
      <w:r>
        <w:rPr>
          <w:rFonts w:ascii="Times" w:eastAsia="Times" w:hAnsi="Times" w:cs="Times"/>
          <w:sz w:val="24"/>
          <w:szCs w:val="24"/>
        </w:rPr>
        <w:t>the CEDAW Committee's website is authorized.</w:t>
      </w:r>
    </w:p>
    <w:p w14:paraId="00000012" w14:textId="77777777" w:rsidR="005A576B" w:rsidRDefault="005A576B">
      <w:pPr>
        <w:spacing w:after="0" w:line="240" w:lineRule="auto"/>
        <w:ind w:right="-432"/>
        <w:rPr>
          <w:rFonts w:ascii="Times" w:eastAsia="Times" w:hAnsi="Times" w:cs="Times"/>
          <w:sz w:val="24"/>
          <w:szCs w:val="24"/>
        </w:rPr>
      </w:pPr>
    </w:p>
    <w:p w14:paraId="00000013" w14:textId="77777777" w:rsidR="005A576B" w:rsidRDefault="00172A10">
      <w:pPr>
        <w:keepNext/>
        <w:tabs>
          <w:tab w:val="left" w:pos="643"/>
        </w:tabs>
        <w:spacing w:before="240" w:after="240" w:line="360" w:lineRule="auto"/>
        <w:ind w:left="720" w:hanging="360"/>
        <w:rPr>
          <w:rFonts w:ascii="Times" w:eastAsia="Times" w:hAnsi="Times" w:cs="Times"/>
          <w:sz w:val="24"/>
          <w:szCs w:val="24"/>
        </w:rPr>
      </w:pPr>
      <w:r>
        <w:rPr>
          <w:rFonts w:ascii="Arial" w:eastAsia="Arial" w:hAnsi="Arial" w:cs="Arial"/>
          <w:sz w:val="24"/>
          <w:szCs w:val="24"/>
        </w:rPr>
        <w:t>AMIOR- jacinthoamaue@gmail.com</w:t>
      </w:r>
    </w:p>
    <w:p w14:paraId="00000014" w14:textId="77777777" w:rsidR="005A576B" w:rsidRDefault="00172A10">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 </w:t>
      </w:r>
    </w:p>
    <w:p w14:paraId="00000015"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16"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17"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18"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19"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1A"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1B"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1C"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1D"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1E"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1F"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20"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21"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22"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23"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24"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25"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26" w14:textId="77777777" w:rsidR="005A576B" w:rsidRDefault="005A576B">
      <w:pPr>
        <w:pBdr>
          <w:top w:val="nil"/>
          <w:left w:val="nil"/>
          <w:bottom w:val="nil"/>
          <w:right w:val="nil"/>
          <w:between w:val="nil"/>
        </w:pBdr>
        <w:spacing w:before="240" w:after="240" w:line="360" w:lineRule="auto"/>
        <w:ind w:firstLine="709"/>
        <w:jc w:val="both"/>
        <w:rPr>
          <w:rFonts w:ascii="Arial" w:eastAsia="Arial" w:hAnsi="Arial" w:cs="Arial"/>
          <w:color w:val="000000"/>
          <w:sz w:val="24"/>
          <w:szCs w:val="24"/>
        </w:rPr>
      </w:pPr>
    </w:p>
    <w:p w14:paraId="00000027" w14:textId="77777777" w:rsidR="005A576B" w:rsidRDefault="005A576B"/>
    <w:p w14:paraId="00000028" w14:textId="77777777" w:rsidR="005A576B" w:rsidRDefault="005A576B"/>
    <w:p w14:paraId="00000029" w14:textId="77777777" w:rsidR="005A576B" w:rsidRDefault="005A576B"/>
    <w:p w14:paraId="0000002A" w14:textId="77777777" w:rsidR="005A576B" w:rsidRDefault="005A576B"/>
    <w:sectPr w:rsidR="005A576B">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76B"/>
    <w:rsid w:val="00172A10"/>
    <w:rsid w:val="005A5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1DADA5-CAA1-4A85-AA01-751A3B626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ind w:left="720" w:hanging="360"/>
      <w:outlineLvl w:val="0"/>
    </w:pPr>
    <w:rPr>
      <w:color w:val="2E75B5"/>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40" w:after="0"/>
      <w:outlineLvl w:val="3"/>
    </w:pPr>
    <w:rPr>
      <w:i/>
      <w:color w:val="2E75B5"/>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5DE8C3-B749-41AF-A6BE-283E31312A11}"/>
</file>

<file path=customXml/itemProps2.xml><?xml version="1.0" encoding="utf-8"?>
<ds:datastoreItem xmlns:ds="http://schemas.openxmlformats.org/officeDocument/2006/customXml" ds:itemID="{F826E34A-D376-4135-A747-F3AE77307A2E}"/>
</file>

<file path=docProps/app.xml><?xml version="1.0" encoding="utf-8"?>
<Properties xmlns="http://schemas.openxmlformats.org/officeDocument/2006/extended-properties" xmlns:vt="http://schemas.openxmlformats.org/officeDocument/2006/docPropsVTypes">
  <Template>Normal.dotm</Template>
  <TotalTime>0</TotalTime>
  <Pages>4</Pages>
  <Words>1382</Words>
  <Characters>7882</Characters>
  <Application>Microsoft Office Word</Application>
  <DocSecurity>0</DocSecurity>
  <Lines>65</Lines>
  <Paragraphs>18</Paragraphs>
  <ScaleCrop>false</ScaleCrop>
  <Company>OHCHR</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EVIA ALSINA Laia</dc:creator>
  <cp:lastModifiedBy>Laia Evia Alsina</cp:lastModifiedBy>
  <cp:revision>2</cp:revision>
  <dcterms:created xsi:type="dcterms:W3CDTF">2024-04-20T17:57:00Z</dcterms:created>
  <dcterms:modified xsi:type="dcterms:W3CDTF">2024-04-20T17:57:00Z</dcterms:modified>
</cp:coreProperties>
</file>