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956298" w14:textId="77777777" w:rsidR="007D3173" w:rsidRDefault="00000000">
      <w:pPr>
        <w:pStyle w:val="Ttulo1"/>
        <w:spacing w:line="276" w:lineRule="auto"/>
        <w:ind w:left="0"/>
        <w:jc w:val="center"/>
        <w:rPr>
          <w:sz w:val="26"/>
          <w:szCs w:val="26"/>
        </w:rPr>
      </w:pPr>
      <w:r>
        <w:rPr>
          <w:sz w:val="26"/>
          <w:szCs w:val="26"/>
        </w:rPr>
        <w:t>“INFORME SOMBRA PRESENTADO AL COMITÉ PARA LA ELIMINACIÓN DE LA DISCRIMINACIÓN RACIAL DE LAS NACIONES UNIDAS CON RELACIÓN A LOS INFORMES PERIÓDICOS 18º A 20º COMBINADOS RESPECTO DE GUATEMALA”</w:t>
      </w:r>
    </w:p>
    <w:p w14:paraId="15F44B65" w14:textId="77777777" w:rsidR="007D3173" w:rsidRDefault="007D3173">
      <w:pPr>
        <w:pStyle w:val="Ttulo1"/>
        <w:spacing w:line="276" w:lineRule="auto"/>
        <w:ind w:left="0"/>
      </w:pPr>
    </w:p>
    <w:p w14:paraId="57FD2400" w14:textId="77777777" w:rsidR="007D3173" w:rsidRDefault="00000000">
      <w:pPr>
        <w:pStyle w:val="Ttulo1"/>
        <w:spacing w:line="276" w:lineRule="auto"/>
        <w:ind w:left="0"/>
        <w:rPr>
          <w:color w:val="000000"/>
        </w:rPr>
      </w:pPr>
      <w:r>
        <w:rPr>
          <w:color w:val="000000"/>
        </w:rPr>
        <w:t>PRESENTADO POR:</w:t>
      </w:r>
    </w:p>
    <w:p w14:paraId="255B0AB0" w14:textId="77777777" w:rsidR="007D3173" w:rsidRDefault="00000000">
      <w:pPr>
        <w:pStyle w:val="Ttulo1"/>
        <w:spacing w:line="276" w:lineRule="auto"/>
        <w:ind w:left="0"/>
      </w:pPr>
      <w:r>
        <w:rPr>
          <w:noProof/>
        </w:rPr>
        <w:drawing>
          <wp:anchor distT="0" distB="0" distL="114300" distR="114300" simplePos="0" relativeHeight="251658240" behindDoc="0" locked="0" layoutInCell="1" hidden="0" allowOverlap="1" wp14:anchorId="08C32097" wp14:editId="40C60065">
            <wp:simplePos x="0" y="0"/>
            <wp:positionH relativeFrom="column">
              <wp:posOffset>4316730</wp:posOffset>
            </wp:positionH>
            <wp:positionV relativeFrom="paragraph">
              <wp:posOffset>298450</wp:posOffset>
            </wp:positionV>
            <wp:extent cx="882650" cy="817245"/>
            <wp:effectExtent l="0" t="0" r="0" b="0"/>
            <wp:wrapSquare wrapText="bothSides" distT="0" distB="0" distL="114300" distR="114300"/>
            <wp:docPr id="16900802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882650" cy="817245"/>
                    </a:xfrm>
                    <a:prstGeom prst="rect">
                      <a:avLst/>
                    </a:prstGeom>
                    <a:ln/>
                  </pic:spPr>
                </pic:pic>
              </a:graphicData>
            </a:graphic>
          </wp:anchor>
        </w:drawing>
      </w:r>
    </w:p>
    <w:p w14:paraId="30B5D0FD" w14:textId="77777777" w:rsidR="007D3173" w:rsidRDefault="00000000">
      <w:pPr>
        <w:pStyle w:val="Ttulo1"/>
        <w:spacing w:line="276" w:lineRule="auto"/>
        <w:ind w:left="0"/>
      </w:pPr>
      <w:r>
        <w:rPr>
          <w:noProof/>
          <w:color w:val="000000"/>
        </w:rPr>
        <w:drawing>
          <wp:anchor distT="0" distB="0" distL="114300" distR="114300" simplePos="0" relativeHeight="251659264" behindDoc="0" locked="0" layoutInCell="1" hidden="0" allowOverlap="1" wp14:anchorId="0709FDBC" wp14:editId="2557BD03">
            <wp:simplePos x="0" y="0"/>
            <wp:positionH relativeFrom="margin">
              <wp:posOffset>2038350</wp:posOffset>
            </wp:positionH>
            <wp:positionV relativeFrom="margin">
              <wp:posOffset>2285469</wp:posOffset>
            </wp:positionV>
            <wp:extent cx="1525905" cy="571500"/>
            <wp:effectExtent l="0" t="0" r="0" b="0"/>
            <wp:wrapSquare wrapText="bothSides" distT="0" distB="0" distL="114300" distR="114300"/>
            <wp:docPr id="1690080209" name="image3.png" descr="LOGO FINAL INTERNACIONAL"/>
            <wp:cNvGraphicFramePr/>
            <a:graphic xmlns:a="http://schemas.openxmlformats.org/drawingml/2006/main">
              <a:graphicData uri="http://schemas.openxmlformats.org/drawingml/2006/picture">
                <pic:pic xmlns:pic="http://schemas.openxmlformats.org/drawingml/2006/picture">
                  <pic:nvPicPr>
                    <pic:cNvPr id="0" name="image3.png" descr="LOGO FINAL INTERNACIONAL"/>
                    <pic:cNvPicPr preferRelativeResize="0"/>
                  </pic:nvPicPr>
                  <pic:blipFill>
                    <a:blip r:embed="rId9"/>
                    <a:srcRect/>
                    <a:stretch>
                      <a:fillRect/>
                    </a:stretch>
                  </pic:blipFill>
                  <pic:spPr>
                    <a:xfrm>
                      <a:off x="0" y="0"/>
                      <a:ext cx="1525905" cy="571500"/>
                    </a:xfrm>
                    <a:prstGeom prst="rect">
                      <a:avLst/>
                    </a:prstGeom>
                    <a:ln/>
                  </pic:spPr>
                </pic:pic>
              </a:graphicData>
            </a:graphic>
          </wp:anchor>
        </w:drawing>
      </w:r>
      <w:r>
        <w:rPr>
          <w:noProof/>
        </w:rPr>
        <w:drawing>
          <wp:inline distT="0" distB="0" distL="0" distR="0" wp14:anchorId="31FAD9E8" wp14:editId="7F866D7F">
            <wp:extent cx="1639191" cy="949127"/>
            <wp:effectExtent l="0" t="0" r="0" b="0"/>
            <wp:docPr id="16900802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639191" cy="949127"/>
                    </a:xfrm>
                    <a:prstGeom prst="rect">
                      <a:avLst/>
                    </a:prstGeom>
                    <a:ln/>
                  </pic:spPr>
                </pic:pic>
              </a:graphicData>
            </a:graphic>
          </wp:inline>
        </w:drawing>
      </w:r>
    </w:p>
    <w:p w14:paraId="4A1F4596" w14:textId="77777777" w:rsidR="007D3173" w:rsidRDefault="00000000">
      <w:pPr>
        <w:pStyle w:val="Ttulo1"/>
        <w:numPr>
          <w:ilvl w:val="0"/>
          <w:numId w:val="5"/>
        </w:numPr>
        <w:spacing w:line="276" w:lineRule="auto"/>
        <w:jc w:val="both"/>
        <w:rPr>
          <w:b w:val="0"/>
          <w:color w:val="000000"/>
        </w:rPr>
      </w:pPr>
      <w:r>
        <w:rPr>
          <w:b w:val="0"/>
          <w:color w:val="000000"/>
        </w:rPr>
        <w:t xml:space="preserve">El </w:t>
      </w:r>
      <w:r>
        <w:rPr>
          <w:color w:val="000000"/>
        </w:rPr>
        <w:t>INSTITUTO INTERNACIONAL DE RESPONSABILIDAD SOCIAL Y DERECHOS HUMANOS (“IIRESODH”)</w:t>
      </w:r>
      <w:r>
        <w:rPr>
          <w:b w:val="0"/>
          <w:color w:val="000000"/>
        </w:rPr>
        <w:t xml:space="preserve"> una organización de la sociedad civil sin fines de lucro, con más de diez años de experiencia desde su fundación en San José, Costa Rica, tiempo en el cual se ha dedicado a actividades como: (a) la promoción y divulgación hacia el respeto a los derechos humanos;  (b) el desarrollo de procesos de capacitación dirigidos a agentes públicos y/o judiciales, como también a la sociedad civil; y (c) Asesoramiento y seguimiento de litigios estratégicos ante el sistema interamericano de protección de derechos humanos y/o ante el sistema universal de Naciones Unidas</w:t>
      </w:r>
      <w:r>
        <w:rPr>
          <w:b w:val="0"/>
          <w:color w:val="000000"/>
          <w:vertAlign w:val="superscript"/>
        </w:rPr>
        <w:footnoteReference w:id="1"/>
      </w:r>
      <w:r>
        <w:rPr>
          <w:b w:val="0"/>
          <w:color w:val="000000"/>
        </w:rPr>
        <w:t xml:space="preserve">. </w:t>
      </w:r>
    </w:p>
    <w:p w14:paraId="2CBD76DE" w14:textId="77777777" w:rsidR="007D3173" w:rsidRDefault="00000000">
      <w:pPr>
        <w:pStyle w:val="Ttulo1"/>
        <w:numPr>
          <w:ilvl w:val="0"/>
          <w:numId w:val="5"/>
        </w:numPr>
        <w:spacing w:line="276" w:lineRule="auto"/>
        <w:jc w:val="both"/>
        <w:rPr>
          <w:color w:val="000000"/>
        </w:rPr>
      </w:pPr>
      <w:r>
        <w:rPr>
          <w:color w:val="000000"/>
        </w:rPr>
        <w:t xml:space="preserve">CONSULTORES, ASESORES Y DEFENSORES EN DERECHOS HUMANOS (“CADDH”) </w:t>
      </w:r>
      <w:r>
        <w:rPr>
          <w:b w:val="0"/>
          <w:color w:val="000000"/>
        </w:rPr>
        <w:t>una firma de litigio estratégico internacional enfocada en la defensa de casos en los que se han producido violaciones y sistemáticas de derechos humanos por parte de agentes del Estado a normas y/o estándares internacionales que los Estados han reconocido cumplir de buena fe</w:t>
      </w:r>
      <w:r>
        <w:rPr>
          <w:b w:val="0"/>
          <w:color w:val="000000"/>
          <w:vertAlign w:val="superscript"/>
        </w:rPr>
        <w:footnoteReference w:id="2"/>
      </w:r>
      <w:r>
        <w:rPr>
          <w:b w:val="0"/>
          <w:color w:val="000000"/>
        </w:rPr>
        <w:t xml:space="preserve">, las cuales producen afectaciones colectivas y/o individuales. </w:t>
      </w:r>
    </w:p>
    <w:p w14:paraId="7B85E149" w14:textId="77777777" w:rsidR="007D3173" w:rsidRDefault="00000000">
      <w:pPr>
        <w:pStyle w:val="Ttulo1"/>
        <w:numPr>
          <w:ilvl w:val="0"/>
          <w:numId w:val="5"/>
        </w:numPr>
        <w:spacing w:line="276" w:lineRule="auto"/>
        <w:jc w:val="both"/>
        <w:rPr>
          <w:color w:val="000000"/>
        </w:rPr>
      </w:pPr>
      <w:r>
        <w:rPr>
          <w:color w:val="000000"/>
        </w:rPr>
        <w:t>COLLECTIF GUATEMALA</w:t>
      </w:r>
      <w:r>
        <w:rPr>
          <w:color w:val="000000"/>
          <w:vertAlign w:val="superscript"/>
        </w:rPr>
        <w:footnoteReference w:id="3"/>
      </w:r>
      <w:r>
        <w:rPr>
          <w:b w:val="0"/>
          <w:color w:val="000000"/>
        </w:rPr>
        <w:t xml:space="preserve">, es una organización sin fines de lucro cuya </w:t>
      </w:r>
      <w:r>
        <w:rPr>
          <w:b w:val="0"/>
          <w:color w:val="000000"/>
        </w:rPr>
        <w:lastRenderedPageBreak/>
        <w:t xml:space="preserve">principal finalidad está dirigida a la colaboración con otras organizaciones, sectores, grupos y miembros de la sociedad civil enfocados en la protección de derechos humanos, movimientos sociales y grupos autóctonos guatemaltecos con el interés de fortalecer el estado de derecho. </w:t>
      </w:r>
    </w:p>
    <w:tbl>
      <w:tblPr>
        <w:tblStyle w:val="a"/>
        <w:tblW w:w="8487" w:type="dxa"/>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87"/>
      </w:tblGrid>
      <w:tr w:rsidR="007D3173" w14:paraId="31DAEDC9" w14:textId="77777777">
        <w:trPr>
          <w:trHeight w:val="483"/>
        </w:trPr>
        <w:tc>
          <w:tcPr>
            <w:tcW w:w="8487" w:type="dxa"/>
          </w:tcPr>
          <w:p w14:paraId="5A20A807" w14:textId="77777777" w:rsidR="007D3173" w:rsidRDefault="00000000">
            <w:pPr>
              <w:pStyle w:val="Ttulo1"/>
              <w:spacing w:line="276" w:lineRule="auto"/>
              <w:ind w:left="0"/>
              <w:jc w:val="center"/>
            </w:pPr>
            <w:r>
              <w:t>TABLA DE CONTENIDO</w:t>
            </w:r>
          </w:p>
        </w:tc>
      </w:tr>
      <w:tr w:rsidR="007D3173" w14:paraId="01979F44" w14:textId="77777777">
        <w:trPr>
          <w:trHeight w:val="519"/>
        </w:trPr>
        <w:tc>
          <w:tcPr>
            <w:tcW w:w="8487" w:type="dxa"/>
          </w:tcPr>
          <w:p w14:paraId="36E0F84F" w14:textId="77777777" w:rsidR="007D3173" w:rsidRDefault="00000000">
            <w:pPr>
              <w:pStyle w:val="Ttulo1"/>
              <w:ind w:left="0"/>
              <w:jc w:val="right"/>
              <w:rPr>
                <w:sz w:val="21"/>
                <w:szCs w:val="21"/>
              </w:rPr>
            </w:pPr>
            <w:r>
              <w:rPr>
                <w:sz w:val="21"/>
                <w:szCs w:val="21"/>
              </w:rPr>
              <w:t xml:space="preserve">Pág. </w:t>
            </w:r>
          </w:p>
          <w:p w14:paraId="6FA2C2B1" w14:textId="77777777" w:rsidR="007D3173" w:rsidRDefault="00000000">
            <w:pPr>
              <w:pStyle w:val="Ttulo1"/>
              <w:ind w:left="0"/>
              <w:rPr>
                <w:sz w:val="21"/>
                <w:szCs w:val="21"/>
              </w:rPr>
            </w:pPr>
            <w:r>
              <w:rPr>
                <w:sz w:val="21"/>
                <w:szCs w:val="21"/>
              </w:rPr>
              <w:t>Introducción ……………………………………………………………………………………   2</w:t>
            </w:r>
          </w:p>
          <w:p w14:paraId="5213F1E4" w14:textId="77777777" w:rsidR="007D3173" w:rsidRDefault="00000000">
            <w:pPr>
              <w:pStyle w:val="Ttulo1"/>
              <w:numPr>
                <w:ilvl w:val="0"/>
                <w:numId w:val="6"/>
              </w:numPr>
              <w:rPr>
                <w:sz w:val="21"/>
                <w:szCs w:val="21"/>
              </w:rPr>
            </w:pPr>
            <w:r>
              <w:rPr>
                <w:sz w:val="21"/>
                <w:szCs w:val="21"/>
              </w:rPr>
              <w:t>Vulneración al derecho a las tierras, a los territorios y a los recursos naturales            de los pueblos indígenas (</w:t>
            </w:r>
            <w:proofErr w:type="spellStart"/>
            <w:r>
              <w:rPr>
                <w:sz w:val="21"/>
                <w:szCs w:val="21"/>
              </w:rPr>
              <w:t>párrs</w:t>
            </w:r>
            <w:proofErr w:type="spellEnd"/>
            <w:r>
              <w:rPr>
                <w:sz w:val="21"/>
                <w:szCs w:val="21"/>
              </w:rPr>
              <w:t>. 16, 17, 18 y 26 de la lista de temas) ……………….  3</w:t>
            </w:r>
          </w:p>
          <w:p w14:paraId="62339FC0" w14:textId="77777777" w:rsidR="007D3173" w:rsidRDefault="00000000">
            <w:pPr>
              <w:pStyle w:val="Ttulo1"/>
              <w:numPr>
                <w:ilvl w:val="0"/>
                <w:numId w:val="6"/>
              </w:numPr>
              <w:rPr>
                <w:sz w:val="21"/>
                <w:szCs w:val="21"/>
              </w:rPr>
            </w:pPr>
            <w:r>
              <w:rPr>
                <w:sz w:val="21"/>
                <w:szCs w:val="21"/>
              </w:rPr>
              <w:t>Criminalización y estigmatización contra personas defensoras de derechos humanos y autoridades indígenas (</w:t>
            </w:r>
            <w:proofErr w:type="spellStart"/>
            <w:r>
              <w:rPr>
                <w:sz w:val="21"/>
                <w:szCs w:val="21"/>
              </w:rPr>
              <w:t>párrs</w:t>
            </w:r>
            <w:proofErr w:type="spellEnd"/>
            <w:r>
              <w:rPr>
                <w:sz w:val="21"/>
                <w:szCs w:val="21"/>
              </w:rPr>
              <w:t>. 12 y 13 de la lista de temas) ……………………….   8</w:t>
            </w:r>
          </w:p>
          <w:p w14:paraId="7184867A" w14:textId="77777777" w:rsidR="007D3173" w:rsidRDefault="00000000">
            <w:pPr>
              <w:pStyle w:val="Ttulo1"/>
              <w:numPr>
                <w:ilvl w:val="0"/>
                <w:numId w:val="6"/>
              </w:numPr>
              <w:rPr>
                <w:sz w:val="21"/>
                <w:szCs w:val="21"/>
              </w:rPr>
            </w:pPr>
            <w:r>
              <w:rPr>
                <w:sz w:val="21"/>
                <w:szCs w:val="21"/>
              </w:rPr>
              <w:t>Libertad de expresión y derecho a la comunicación indígena (</w:t>
            </w:r>
            <w:proofErr w:type="spellStart"/>
            <w:r>
              <w:rPr>
                <w:sz w:val="21"/>
                <w:szCs w:val="21"/>
              </w:rPr>
              <w:t>párrs</w:t>
            </w:r>
            <w:proofErr w:type="spellEnd"/>
            <w:r>
              <w:rPr>
                <w:sz w:val="21"/>
                <w:szCs w:val="21"/>
              </w:rPr>
              <w:t>. 15 y 23 de la lista de temas) ………………………………………………………………………….  11</w:t>
            </w:r>
          </w:p>
          <w:p w14:paraId="0427EE96" w14:textId="77777777" w:rsidR="007D3173" w:rsidRDefault="00000000">
            <w:pPr>
              <w:pStyle w:val="Ttulo1"/>
              <w:numPr>
                <w:ilvl w:val="0"/>
                <w:numId w:val="6"/>
              </w:numPr>
              <w:rPr>
                <w:sz w:val="21"/>
                <w:szCs w:val="21"/>
              </w:rPr>
            </w:pPr>
            <w:r>
              <w:rPr>
                <w:sz w:val="21"/>
                <w:szCs w:val="21"/>
              </w:rPr>
              <w:t>Participación política y exclusión de actores indígenas (párr. 11 de la lista de        temas) ………………………………………………………………………………….   12</w:t>
            </w:r>
          </w:p>
          <w:p w14:paraId="0AF89223" w14:textId="77777777" w:rsidR="007D3173" w:rsidRDefault="00000000">
            <w:pPr>
              <w:pStyle w:val="Ttulo1"/>
              <w:numPr>
                <w:ilvl w:val="0"/>
                <w:numId w:val="6"/>
              </w:numPr>
              <w:rPr>
                <w:sz w:val="21"/>
                <w:szCs w:val="21"/>
              </w:rPr>
            </w:pPr>
            <w:r>
              <w:rPr>
                <w:sz w:val="21"/>
                <w:szCs w:val="21"/>
              </w:rPr>
              <w:t>Discriminación racial en contextos de movilidad humana (</w:t>
            </w:r>
            <w:proofErr w:type="spellStart"/>
            <w:r>
              <w:rPr>
                <w:sz w:val="21"/>
                <w:szCs w:val="21"/>
              </w:rPr>
              <w:t>párrs</w:t>
            </w:r>
            <w:proofErr w:type="spellEnd"/>
            <w:r>
              <w:rPr>
                <w:sz w:val="21"/>
                <w:szCs w:val="21"/>
              </w:rPr>
              <w:t>. 23, 24 y 25 de la lista de temas) ………………………………………………………………………….  13</w:t>
            </w:r>
          </w:p>
          <w:p w14:paraId="7D0B118B" w14:textId="77777777" w:rsidR="007D3173" w:rsidRDefault="00000000">
            <w:pPr>
              <w:pStyle w:val="Ttulo1"/>
              <w:numPr>
                <w:ilvl w:val="0"/>
                <w:numId w:val="6"/>
              </w:numPr>
              <w:rPr>
                <w:sz w:val="21"/>
                <w:szCs w:val="21"/>
              </w:rPr>
            </w:pPr>
            <w:r>
              <w:rPr>
                <w:sz w:val="21"/>
                <w:szCs w:val="21"/>
              </w:rPr>
              <w:t>Lenguas indígenas y educación intercultural bilingüe (</w:t>
            </w:r>
            <w:proofErr w:type="spellStart"/>
            <w:r>
              <w:rPr>
                <w:sz w:val="21"/>
                <w:szCs w:val="21"/>
              </w:rPr>
              <w:t>párrs</w:t>
            </w:r>
            <w:proofErr w:type="spellEnd"/>
            <w:r>
              <w:rPr>
                <w:sz w:val="21"/>
                <w:szCs w:val="21"/>
              </w:rPr>
              <w:t>. 15, 20 y 28 de la lista      de temas) …………………………………………………………………………</w:t>
            </w:r>
            <w:proofErr w:type="gramStart"/>
            <w:r>
              <w:rPr>
                <w:sz w:val="21"/>
                <w:szCs w:val="21"/>
              </w:rPr>
              <w:t>…….</w:t>
            </w:r>
            <w:proofErr w:type="gramEnd"/>
            <w:r>
              <w:rPr>
                <w:sz w:val="21"/>
                <w:szCs w:val="21"/>
              </w:rPr>
              <w:t>. 15</w:t>
            </w:r>
          </w:p>
          <w:p w14:paraId="2CACF09E" w14:textId="77777777" w:rsidR="007D3173" w:rsidRDefault="00000000">
            <w:pPr>
              <w:pStyle w:val="Ttulo1"/>
              <w:numPr>
                <w:ilvl w:val="0"/>
                <w:numId w:val="6"/>
              </w:numPr>
              <w:rPr>
                <w:sz w:val="21"/>
                <w:szCs w:val="21"/>
              </w:rPr>
            </w:pPr>
            <w:proofErr w:type="gramStart"/>
            <w:r>
              <w:rPr>
                <w:sz w:val="21"/>
                <w:szCs w:val="21"/>
              </w:rPr>
              <w:t>Conclusión  …</w:t>
            </w:r>
            <w:proofErr w:type="gramEnd"/>
            <w:r>
              <w:rPr>
                <w:sz w:val="21"/>
                <w:szCs w:val="21"/>
              </w:rPr>
              <w:t>………………………………………………………………………….  17</w:t>
            </w:r>
          </w:p>
        </w:tc>
      </w:tr>
    </w:tbl>
    <w:p w14:paraId="30C59A38" w14:textId="77777777" w:rsidR="007D3173" w:rsidRDefault="007D3173">
      <w:pPr>
        <w:pStyle w:val="Ttulo1"/>
        <w:spacing w:line="276" w:lineRule="auto"/>
        <w:ind w:left="0"/>
      </w:pPr>
    </w:p>
    <w:p w14:paraId="27BA17C2" w14:textId="77777777" w:rsidR="007D3173" w:rsidRDefault="00000000">
      <w:pPr>
        <w:pStyle w:val="Ttulo1"/>
        <w:spacing w:line="276" w:lineRule="auto"/>
        <w:ind w:left="0"/>
        <w:jc w:val="center"/>
        <w:rPr>
          <w:sz w:val="28"/>
          <w:szCs w:val="28"/>
        </w:rPr>
      </w:pPr>
      <w:r>
        <w:rPr>
          <w:sz w:val="28"/>
          <w:szCs w:val="28"/>
        </w:rPr>
        <w:t>Introducción</w:t>
      </w:r>
    </w:p>
    <w:p w14:paraId="292E4269" w14:textId="77777777" w:rsidR="007D3173" w:rsidRDefault="00000000">
      <w:pPr>
        <w:pBdr>
          <w:top w:val="nil"/>
          <w:left w:val="nil"/>
          <w:bottom w:val="nil"/>
          <w:right w:val="nil"/>
          <w:between w:val="nil"/>
        </w:pBdr>
        <w:spacing w:before="120" w:after="120" w:line="276" w:lineRule="auto"/>
        <w:ind w:right="113"/>
        <w:jc w:val="both"/>
        <w:rPr>
          <w:color w:val="000000"/>
          <w:sz w:val="24"/>
          <w:szCs w:val="24"/>
        </w:rPr>
      </w:pPr>
      <w:r>
        <w:rPr>
          <w:color w:val="000000"/>
          <w:sz w:val="24"/>
          <w:szCs w:val="24"/>
        </w:rPr>
        <w:t xml:space="preserve">Este informe sombra es presentado por IIRESODH, CADDH y COLLECTIF GUATEMALA (los cuales podrán ser identificados por sus siglas individuales o en colectivo como “Las organizaciones suscribientes”) con el fin de visibilizar y alertar al Comité para la Eliminación de la Discriminación Racial (“CERD” por sus siglas en inglés) sobre violaciones graves, sistemáticas y estructurales de los derechos de los pueblos indígenas, garífunas y afrodescendientes en Guatemala. A la luz de la Convención Internacional sobre la Eliminación de Todas las Formas de Discriminación Racial (“ICERD”), el presente informe documenta cómo el Estado guatemalteco </w:t>
      </w:r>
      <w:r>
        <w:rPr>
          <w:color w:val="000000"/>
          <w:sz w:val="24"/>
          <w:szCs w:val="24"/>
        </w:rPr>
        <w:lastRenderedPageBreak/>
        <w:t xml:space="preserve">perpetúa un sistema de exclusión, despojo territorial, criminalización, pobreza estructural y violencia institucional que afecta de forma desproporcionada a los pueblos indígenas. Estas violaciones contravienen sus obligaciones internacionales en virtud de los artículos 1, 2, 5, 6 y 7 de la ICERD, al no adoptar medidas efectivas para eliminar la discriminación racial ni garantizar el acceso pleno a los derechos reconocidos. </w:t>
      </w:r>
    </w:p>
    <w:p w14:paraId="6EB67891" w14:textId="77777777" w:rsidR="007D3173" w:rsidRDefault="00000000">
      <w:pPr>
        <w:pBdr>
          <w:top w:val="nil"/>
          <w:left w:val="nil"/>
          <w:bottom w:val="nil"/>
          <w:right w:val="nil"/>
          <w:between w:val="nil"/>
        </w:pBdr>
        <w:spacing w:before="120" w:after="120" w:line="276" w:lineRule="auto"/>
        <w:ind w:right="113"/>
        <w:jc w:val="both"/>
        <w:rPr>
          <w:color w:val="000000"/>
          <w:sz w:val="24"/>
          <w:szCs w:val="24"/>
        </w:rPr>
      </w:pPr>
      <w:r>
        <w:rPr>
          <w:color w:val="000000"/>
          <w:sz w:val="24"/>
          <w:szCs w:val="24"/>
        </w:rPr>
        <w:t xml:space="preserve">En el marco de la lista de cuestiones adoptada por el Comité para la Eliminación de la Discriminación Racial (CERD) en vista del examen periódico de Guatemala, el presente informe sombra pone de relieve las preocupaciones del Comité en relación con diversas áreas críticas identificadas en la lista de temas, entre ellas: </w:t>
      </w:r>
      <w:r>
        <w:rPr>
          <w:b/>
          <w:color w:val="000000"/>
          <w:sz w:val="24"/>
          <w:szCs w:val="24"/>
        </w:rPr>
        <w:t>la participación en los asuntos públicos</w:t>
      </w:r>
      <w:r>
        <w:rPr>
          <w:color w:val="000000"/>
          <w:sz w:val="24"/>
          <w:szCs w:val="24"/>
        </w:rPr>
        <w:t xml:space="preserve"> (párr. 11), l</w:t>
      </w:r>
      <w:r>
        <w:rPr>
          <w:b/>
          <w:color w:val="000000"/>
          <w:sz w:val="24"/>
          <w:szCs w:val="24"/>
        </w:rPr>
        <w:t>a libertad de asociación, el uso de la fuerza y el derecho a la protesta</w:t>
      </w:r>
      <w:r>
        <w:rPr>
          <w:color w:val="000000"/>
          <w:sz w:val="24"/>
          <w:szCs w:val="24"/>
        </w:rPr>
        <w:t xml:space="preserve"> (párr. 12), así como </w:t>
      </w:r>
      <w:r>
        <w:rPr>
          <w:b/>
          <w:color w:val="000000"/>
          <w:sz w:val="24"/>
          <w:szCs w:val="24"/>
        </w:rPr>
        <w:t>la libertad de expresión y los actos de persecución y criminalización contra personas defensoras de derechos humanos</w:t>
      </w:r>
      <w:r>
        <w:rPr>
          <w:color w:val="000000"/>
          <w:sz w:val="24"/>
          <w:szCs w:val="24"/>
        </w:rPr>
        <w:t xml:space="preserve"> (párr. 13). Asimismo, el informe aborda </w:t>
      </w:r>
      <w:r>
        <w:rPr>
          <w:b/>
          <w:color w:val="000000"/>
          <w:sz w:val="24"/>
          <w:szCs w:val="24"/>
        </w:rPr>
        <w:t>los obstáculos en el ejercicio de la libertad de religión</w:t>
      </w:r>
      <w:r>
        <w:rPr>
          <w:color w:val="000000"/>
          <w:sz w:val="24"/>
          <w:szCs w:val="24"/>
        </w:rPr>
        <w:t xml:space="preserve"> (párr. 14), </w:t>
      </w:r>
      <w:r>
        <w:rPr>
          <w:b/>
          <w:color w:val="000000"/>
          <w:sz w:val="24"/>
          <w:szCs w:val="24"/>
        </w:rPr>
        <w:t>la persistencia de la pobreza y las deficiencias en el acceso a servicios básicos</w:t>
      </w:r>
      <w:r>
        <w:rPr>
          <w:color w:val="000000"/>
          <w:sz w:val="24"/>
          <w:szCs w:val="24"/>
        </w:rPr>
        <w:t xml:space="preserve"> (párr. 15), </w:t>
      </w:r>
      <w:r>
        <w:rPr>
          <w:b/>
          <w:color w:val="000000"/>
          <w:sz w:val="24"/>
          <w:szCs w:val="24"/>
        </w:rPr>
        <w:t xml:space="preserve">las violaciones al derecho a la consulta previa, libre e informada en el contexto de la explotación de recursos naturales </w:t>
      </w:r>
      <w:r>
        <w:rPr>
          <w:color w:val="000000"/>
          <w:sz w:val="24"/>
          <w:szCs w:val="24"/>
        </w:rPr>
        <w:t>(párr. 16), l</w:t>
      </w:r>
      <w:r>
        <w:rPr>
          <w:b/>
          <w:color w:val="000000"/>
          <w:sz w:val="24"/>
          <w:szCs w:val="24"/>
        </w:rPr>
        <w:t>a inseguridad sobre la propiedad de la tierra</w:t>
      </w:r>
      <w:r>
        <w:rPr>
          <w:color w:val="000000"/>
          <w:sz w:val="24"/>
          <w:szCs w:val="24"/>
        </w:rPr>
        <w:t xml:space="preserve"> (párr. 17), </w:t>
      </w:r>
      <w:r>
        <w:rPr>
          <w:b/>
          <w:color w:val="000000"/>
          <w:sz w:val="24"/>
          <w:szCs w:val="24"/>
        </w:rPr>
        <w:t>los desalojos forzosos y el uso excesivo de la fuerza tanto por parte del Estado como de actores privados</w:t>
      </w:r>
      <w:r>
        <w:rPr>
          <w:color w:val="000000"/>
          <w:sz w:val="24"/>
          <w:szCs w:val="24"/>
        </w:rPr>
        <w:t xml:space="preserve"> (párr. 18), </w:t>
      </w:r>
      <w:r>
        <w:rPr>
          <w:b/>
          <w:color w:val="000000"/>
          <w:sz w:val="24"/>
          <w:szCs w:val="24"/>
        </w:rPr>
        <w:t>las barreras en el acceso a una educación adecuada</w:t>
      </w:r>
      <w:r>
        <w:rPr>
          <w:color w:val="000000"/>
          <w:sz w:val="24"/>
          <w:szCs w:val="24"/>
        </w:rPr>
        <w:t xml:space="preserve"> (párr. 20), y </w:t>
      </w:r>
      <w:r>
        <w:rPr>
          <w:b/>
          <w:color w:val="000000"/>
          <w:sz w:val="24"/>
          <w:szCs w:val="24"/>
        </w:rPr>
        <w:t>la situación de especial vulnerabilidad de las personas migrantes, solicitantes de asilo y refugiadas</w:t>
      </w:r>
      <w:r>
        <w:rPr>
          <w:color w:val="000000"/>
          <w:sz w:val="24"/>
          <w:szCs w:val="24"/>
        </w:rPr>
        <w:t xml:space="preserve"> (párr. 24 y 25). Finalmente, se subrayan </w:t>
      </w:r>
      <w:r>
        <w:rPr>
          <w:b/>
          <w:color w:val="000000"/>
          <w:sz w:val="24"/>
          <w:szCs w:val="24"/>
        </w:rPr>
        <w:t>las formas de discriminación interseccional</w:t>
      </w:r>
      <w:r>
        <w:rPr>
          <w:color w:val="000000"/>
          <w:sz w:val="24"/>
          <w:szCs w:val="24"/>
        </w:rPr>
        <w:t xml:space="preserve"> (párr. 23), </w:t>
      </w:r>
      <w:r>
        <w:rPr>
          <w:b/>
          <w:color w:val="000000"/>
          <w:sz w:val="24"/>
          <w:szCs w:val="24"/>
        </w:rPr>
        <w:t>las dificultades en el acceso a la justicia</w:t>
      </w:r>
      <w:r>
        <w:rPr>
          <w:color w:val="000000"/>
          <w:sz w:val="24"/>
          <w:szCs w:val="24"/>
        </w:rPr>
        <w:t xml:space="preserve"> (párr. 26) así como </w:t>
      </w:r>
      <w:r>
        <w:rPr>
          <w:b/>
          <w:color w:val="000000"/>
          <w:sz w:val="24"/>
          <w:szCs w:val="24"/>
        </w:rPr>
        <w:t>la insuficiencia de medidas formativas y educativas para combatir los prejuicios y la intolerancia</w:t>
      </w:r>
      <w:r>
        <w:rPr>
          <w:color w:val="000000"/>
          <w:sz w:val="24"/>
          <w:szCs w:val="24"/>
        </w:rPr>
        <w:t xml:space="preserve"> (párr. 28).</w:t>
      </w:r>
    </w:p>
    <w:p w14:paraId="693C40A2" w14:textId="77777777" w:rsidR="007D3173" w:rsidRDefault="00000000">
      <w:pPr>
        <w:pStyle w:val="Ttulo2"/>
        <w:numPr>
          <w:ilvl w:val="0"/>
          <w:numId w:val="1"/>
        </w:numPr>
        <w:spacing w:line="276" w:lineRule="auto"/>
      </w:pPr>
      <w:r>
        <w:t>Vulneración del derecho a las tierras, a los territorios y a los recursos naturales de los pueblos indígenas (párr. 16, 17, 18 y 26 de la lista de temas).</w:t>
      </w:r>
    </w:p>
    <w:p w14:paraId="478862F0" w14:textId="77777777" w:rsidR="007D3173" w:rsidRDefault="00000000">
      <w:pPr>
        <w:pBdr>
          <w:top w:val="nil"/>
          <w:left w:val="nil"/>
          <w:bottom w:val="nil"/>
          <w:right w:val="nil"/>
          <w:between w:val="nil"/>
        </w:pBdr>
        <w:spacing w:before="120" w:after="120" w:line="276" w:lineRule="auto"/>
        <w:ind w:right="113"/>
        <w:jc w:val="both"/>
        <w:rPr>
          <w:color w:val="000000"/>
          <w:sz w:val="24"/>
          <w:szCs w:val="24"/>
        </w:rPr>
      </w:pPr>
      <w:r>
        <w:rPr>
          <w:color w:val="000000"/>
          <w:sz w:val="24"/>
          <w:szCs w:val="24"/>
        </w:rPr>
        <w:t xml:space="preserve">La </w:t>
      </w:r>
      <w:r>
        <w:rPr>
          <w:b/>
          <w:color w:val="000000"/>
          <w:sz w:val="24"/>
          <w:szCs w:val="24"/>
        </w:rPr>
        <w:t>falta de un marco normativo nacional que reconozca y garantice de forma efectiva los derechos colectivos de los pueblos indígenas</w:t>
      </w:r>
      <w:r>
        <w:rPr>
          <w:color w:val="000000"/>
          <w:sz w:val="24"/>
          <w:szCs w:val="24"/>
        </w:rPr>
        <w:t xml:space="preserve"> sobre sus tierras, territorios y recursos naturales constituye una de las causas profundas de las violaciones más persistentes de la ICERD en Guatemala. A pesar de sus obligaciones internacionales, el Estado guatemalteco continúa sin establecer mecanismos culturalmente adecuados, técnicamente efectivos y presupuestariamente respaldados para la identificación, delimitación, saneamiento y titulación de tierras ancestrales. Esta omisión perpetúa la inseguridad jurídica y expone a las comunidades indígenas a situaciones constantes de </w:t>
      </w:r>
      <w:r>
        <w:rPr>
          <w:color w:val="000000"/>
          <w:sz w:val="24"/>
          <w:szCs w:val="24"/>
        </w:rPr>
        <w:lastRenderedPageBreak/>
        <w:t>despojo, criminalización y violencia estructural</w:t>
      </w:r>
      <w:r>
        <w:rPr>
          <w:color w:val="000000"/>
          <w:sz w:val="24"/>
          <w:szCs w:val="24"/>
          <w:vertAlign w:val="superscript"/>
        </w:rPr>
        <w:footnoteReference w:id="4"/>
      </w:r>
      <w:r>
        <w:rPr>
          <w:color w:val="000000"/>
          <w:sz w:val="24"/>
          <w:szCs w:val="24"/>
        </w:rPr>
        <w:t xml:space="preserve">. </w:t>
      </w:r>
    </w:p>
    <w:p w14:paraId="56487418" w14:textId="77777777" w:rsidR="007D3173" w:rsidRDefault="00000000">
      <w:pPr>
        <w:pBdr>
          <w:top w:val="nil"/>
          <w:left w:val="nil"/>
          <w:bottom w:val="nil"/>
          <w:right w:val="nil"/>
          <w:between w:val="nil"/>
        </w:pBdr>
        <w:spacing w:before="120" w:after="120" w:line="276" w:lineRule="auto"/>
        <w:ind w:right="113"/>
        <w:jc w:val="both"/>
        <w:rPr>
          <w:color w:val="000000"/>
          <w:sz w:val="24"/>
          <w:szCs w:val="24"/>
        </w:rPr>
      </w:pPr>
      <w:r>
        <w:rPr>
          <w:color w:val="000000"/>
          <w:sz w:val="24"/>
          <w:szCs w:val="24"/>
        </w:rPr>
        <w:t xml:space="preserve">En este contexto, la negativa del Estado guatemalteco a implementar decisiones vinculantes de los sistemas internacionales de derechos humanos, como la sentencia de la Corte Interamericana de Derechos Humanos (“Corte IDH”) en el caso </w:t>
      </w:r>
      <w:r>
        <w:rPr>
          <w:b/>
          <w:i/>
          <w:color w:val="000000"/>
          <w:sz w:val="24"/>
          <w:szCs w:val="24"/>
        </w:rPr>
        <w:t xml:space="preserve">Comunidad Maya </w:t>
      </w:r>
      <w:proofErr w:type="spellStart"/>
      <w:r>
        <w:rPr>
          <w:b/>
          <w:i/>
          <w:color w:val="000000"/>
          <w:sz w:val="24"/>
          <w:szCs w:val="24"/>
        </w:rPr>
        <w:t>Q’eqchi</w:t>
      </w:r>
      <w:proofErr w:type="spellEnd"/>
      <w:r>
        <w:rPr>
          <w:b/>
          <w:i/>
          <w:color w:val="000000"/>
          <w:sz w:val="24"/>
          <w:szCs w:val="24"/>
        </w:rPr>
        <w:t>’ de Agua Caliente vs. Guatemala</w:t>
      </w:r>
      <w:r>
        <w:rPr>
          <w:color w:val="000000"/>
          <w:sz w:val="24"/>
          <w:szCs w:val="24"/>
          <w:vertAlign w:val="superscript"/>
        </w:rPr>
        <w:footnoteReference w:id="5"/>
      </w:r>
      <w:r>
        <w:rPr>
          <w:color w:val="000000"/>
          <w:sz w:val="24"/>
          <w:szCs w:val="24"/>
        </w:rPr>
        <w:t>, constituye una manifestación clara de la discriminación racial estructural que perdura en el país y de la negación del Estado a reconocer el derecho a la propiedad colectiva de los pueblos indígenas. Esta resolución obligaba al Estado a adoptar un marco jurídico que reconozca la personalidad jurídica de las comunidades indígenas, garantice la propiedad colectiva de sus tierras ancestrales y establezca procedimientos culturalmente adecuados de consulta previa, libre e informada</w:t>
      </w:r>
      <w:r>
        <w:rPr>
          <w:i/>
          <w:color w:val="000000"/>
          <w:sz w:val="24"/>
          <w:szCs w:val="24"/>
          <w:vertAlign w:val="superscript"/>
        </w:rPr>
        <w:footnoteReference w:id="6"/>
      </w:r>
      <w:r>
        <w:rPr>
          <w:color w:val="000000"/>
          <w:sz w:val="24"/>
          <w:szCs w:val="24"/>
        </w:rPr>
        <w:t>. No obstante, a más de dos años de la sentencia, el Estado no ha cumplido con estos deberes</w:t>
      </w:r>
      <w:r>
        <w:rPr>
          <w:color w:val="000000"/>
          <w:sz w:val="24"/>
          <w:szCs w:val="24"/>
          <w:vertAlign w:val="superscript"/>
        </w:rPr>
        <w:footnoteReference w:id="7"/>
      </w:r>
      <w:r>
        <w:rPr>
          <w:color w:val="000000"/>
          <w:sz w:val="24"/>
          <w:szCs w:val="24"/>
        </w:rPr>
        <w:t>.</w:t>
      </w:r>
    </w:p>
    <w:p w14:paraId="349A8D91" w14:textId="77777777" w:rsidR="007D3173" w:rsidRDefault="00000000">
      <w:pPr>
        <w:pBdr>
          <w:top w:val="nil"/>
          <w:left w:val="nil"/>
          <w:bottom w:val="nil"/>
          <w:right w:val="nil"/>
          <w:between w:val="nil"/>
        </w:pBdr>
        <w:spacing w:before="120" w:after="120" w:line="276" w:lineRule="auto"/>
        <w:ind w:right="113"/>
        <w:jc w:val="both"/>
        <w:rPr>
          <w:color w:val="000000"/>
          <w:sz w:val="24"/>
          <w:szCs w:val="24"/>
        </w:rPr>
      </w:pPr>
      <w:r>
        <w:rPr>
          <w:color w:val="000000"/>
          <w:sz w:val="24"/>
          <w:szCs w:val="24"/>
        </w:rPr>
        <w:t>A esto se suma el desmantelamiento progresivo de entidades creadas tras los Acuerdos de Paz de 1996, como la Secretaría de la Paz (SEPAZ), la Secretaría de Asuntos Agrarios (SAA) y la Comisión Presidencial de Derechos Humanos (COPREDEH), que ha dejado al país sin mecanismos institucionales adecuados para abordar de manera estructural los conflictos agrarios, garantizar el diálogo intercultural y proteger los derechos territoriales de los pueblos indígenas</w:t>
      </w:r>
      <w:r>
        <w:rPr>
          <w:color w:val="000000"/>
          <w:sz w:val="24"/>
          <w:szCs w:val="24"/>
          <w:vertAlign w:val="superscript"/>
        </w:rPr>
        <w:footnoteReference w:id="8"/>
      </w:r>
      <w:r>
        <w:rPr>
          <w:color w:val="000000"/>
          <w:sz w:val="24"/>
          <w:szCs w:val="24"/>
        </w:rPr>
        <w:t>. Aunque en 2024 el gobierno anunció un “</w:t>
      </w:r>
      <w:hyperlink r:id="rId11">
        <w:r w:rsidR="007D3173">
          <w:rPr>
            <w:color w:val="0000FF"/>
            <w:sz w:val="24"/>
            <w:szCs w:val="24"/>
            <w:u w:val="single"/>
          </w:rPr>
          <w:t>Acuerdo Político Agrario</w:t>
        </w:r>
      </w:hyperlink>
      <w:r>
        <w:rPr>
          <w:color w:val="000000"/>
          <w:sz w:val="24"/>
          <w:szCs w:val="24"/>
        </w:rPr>
        <w:t>” con organizaciones campesinas e indígenas</w:t>
      </w:r>
      <w:r>
        <w:rPr>
          <w:color w:val="000000"/>
          <w:sz w:val="24"/>
          <w:szCs w:val="24"/>
          <w:vertAlign w:val="superscript"/>
        </w:rPr>
        <w:footnoteReference w:id="9"/>
      </w:r>
      <w:r>
        <w:rPr>
          <w:color w:val="000000"/>
          <w:sz w:val="24"/>
          <w:szCs w:val="24"/>
        </w:rPr>
        <w:t>, persistieron la ausencia de procedimientos claros y la falta de normativa específica sobre acceso, tenencia y titulación de tierras</w:t>
      </w:r>
      <w:r>
        <w:rPr>
          <w:color w:val="000000"/>
          <w:sz w:val="24"/>
          <w:szCs w:val="24"/>
          <w:vertAlign w:val="superscript"/>
        </w:rPr>
        <w:footnoteReference w:id="10"/>
      </w:r>
      <w:r>
        <w:rPr>
          <w:color w:val="000000"/>
          <w:sz w:val="24"/>
          <w:szCs w:val="24"/>
        </w:rPr>
        <w:t xml:space="preserve">. </w:t>
      </w:r>
    </w:p>
    <w:p w14:paraId="2835CD24" w14:textId="77777777" w:rsidR="007D3173" w:rsidRDefault="00000000">
      <w:pPr>
        <w:pBdr>
          <w:top w:val="nil"/>
          <w:left w:val="nil"/>
          <w:bottom w:val="nil"/>
          <w:right w:val="nil"/>
          <w:between w:val="nil"/>
        </w:pBdr>
        <w:spacing w:before="120" w:after="120" w:line="276" w:lineRule="auto"/>
        <w:ind w:right="113"/>
        <w:jc w:val="both"/>
        <w:rPr>
          <w:color w:val="000000"/>
          <w:sz w:val="24"/>
          <w:szCs w:val="24"/>
        </w:rPr>
      </w:pPr>
      <w:r>
        <w:rPr>
          <w:color w:val="000000"/>
          <w:sz w:val="24"/>
          <w:szCs w:val="24"/>
        </w:rPr>
        <w:t xml:space="preserve">Esta persistente negación del Estado, constituyen una violación de sus obligaciones bajo la ICERD, generando una alta conflictividad social y jurídica, así como colocando a las comunidades en situación de constante inseguridad, vulnerabilidad legal y riesgo de despojo. En particular, vulnera los </w:t>
      </w:r>
      <w:r>
        <w:rPr>
          <w:b/>
          <w:color w:val="000000"/>
          <w:sz w:val="24"/>
          <w:szCs w:val="24"/>
        </w:rPr>
        <w:t>artículos 2(1)(c) y 2(2)</w:t>
      </w:r>
      <w:r>
        <w:rPr>
          <w:color w:val="000000"/>
          <w:sz w:val="24"/>
          <w:szCs w:val="24"/>
        </w:rPr>
        <w:t xml:space="preserve">, al no adoptar medidas </w:t>
      </w:r>
      <w:r>
        <w:rPr>
          <w:color w:val="000000"/>
          <w:sz w:val="24"/>
          <w:szCs w:val="24"/>
        </w:rPr>
        <w:lastRenderedPageBreak/>
        <w:t xml:space="preserve">legislativas ni institucionales para eliminar la discriminación estructural; el </w:t>
      </w:r>
      <w:r>
        <w:rPr>
          <w:b/>
          <w:color w:val="000000"/>
          <w:sz w:val="24"/>
          <w:szCs w:val="24"/>
        </w:rPr>
        <w:t>artículo 5(d)(v),</w:t>
      </w:r>
      <w:r>
        <w:rPr>
          <w:color w:val="000000"/>
          <w:sz w:val="24"/>
          <w:szCs w:val="24"/>
        </w:rPr>
        <w:t xml:space="preserve"> al no garantizar el derecho a la propiedad en condiciones de igualdad; y el </w:t>
      </w:r>
      <w:r>
        <w:rPr>
          <w:b/>
          <w:color w:val="000000"/>
          <w:sz w:val="24"/>
          <w:szCs w:val="24"/>
        </w:rPr>
        <w:t>artículo 6</w:t>
      </w:r>
      <w:r>
        <w:rPr>
          <w:color w:val="000000"/>
          <w:sz w:val="24"/>
          <w:szCs w:val="24"/>
        </w:rPr>
        <w:t>, al no garantizar una reparación efectiva frente a actos de discriminación. Esta omisión prolongada refuerza patrones históricos de exclusión y despojo territorial, contrarios al principio de igualdad sustantiva reconocido por la Convención.</w:t>
      </w:r>
    </w:p>
    <w:p w14:paraId="330BB346" w14:textId="77777777" w:rsidR="007D3173" w:rsidRDefault="00000000">
      <w:pPr>
        <w:numPr>
          <w:ilvl w:val="0"/>
          <w:numId w:val="4"/>
        </w:numPr>
        <w:pBdr>
          <w:top w:val="nil"/>
          <w:left w:val="nil"/>
          <w:bottom w:val="nil"/>
          <w:right w:val="nil"/>
          <w:between w:val="nil"/>
        </w:pBdr>
        <w:spacing w:before="120" w:after="120" w:line="276" w:lineRule="auto"/>
        <w:ind w:right="113"/>
        <w:jc w:val="both"/>
        <w:rPr>
          <w:i/>
          <w:color w:val="000000"/>
          <w:sz w:val="24"/>
          <w:szCs w:val="24"/>
        </w:rPr>
      </w:pPr>
      <w:r>
        <w:rPr>
          <w:i/>
          <w:color w:val="000000"/>
          <w:sz w:val="24"/>
          <w:szCs w:val="24"/>
        </w:rPr>
        <w:t>Desalojos forzados</w:t>
      </w:r>
    </w:p>
    <w:p w14:paraId="62E94C0F" w14:textId="77777777" w:rsidR="007D3173" w:rsidRDefault="00000000">
      <w:pPr>
        <w:pBdr>
          <w:top w:val="nil"/>
          <w:left w:val="nil"/>
          <w:bottom w:val="nil"/>
          <w:right w:val="nil"/>
          <w:between w:val="nil"/>
        </w:pBdr>
        <w:spacing w:before="120" w:after="120" w:line="276" w:lineRule="auto"/>
        <w:ind w:right="113"/>
        <w:jc w:val="both"/>
        <w:rPr>
          <w:color w:val="000000"/>
          <w:sz w:val="24"/>
          <w:szCs w:val="24"/>
        </w:rPr>
      </w:pPr>
      <w:r>
        <w:rPr>
          <w:color w:val="000000"/>
          <w:sz w:val="24"/>
          <w:szCs w:val="24"/>
        </w:rPr>
        <w:t xml:space="preserve">Este vacío institucional ha facilitado que </w:t>
      </w:r>
      <w:r>
        <w:rPr>
          <w:b/>
          <w:color w:val="000000"/>
          <w:sz w:val="24"/>
          <w:szCs w:val="24"/>
        </w:rPr>
        <w:t xml:space="preserve">tierras ancestralmente ocupadas por comunidades indígenas sean objeto de concesiones para proyectos extractivos, monocultivos </w:t>
      </w:r>
      <w:r>
        <w:rPr>
          <w:color w:val="000000"/>
          <w:sz w:val="24"/>
          <w:szCs w:val="24"/>
        </w:rPr>
        <w:t xml:space="preserve">–especialmente en el sector de la palma africana– o </w:t>
      </w:r>
      <w:r>
        <w:rPr>
          <w:b/>
          <w:color w:val="000000"/>
          <w:sz w:val="24"/>
          <w:szCs w:val="24"/>
        </w:rPr>
        <w:t>declaradas áreas protegidas</w:t>
      </w:r>
      <w:r>
        <w:rPr>
          <w:color w:val="000000"/>
          <w:sz w:val="24"/>
          <w:szCs w:val="24"/>
        </w:rPr>
        <w:t>, sin consulta previa ni consentimiento de las poblaciones afectadas</w:t>
      </w:r>
      <w:r>
        <w:rPr>
          <w:color w:val="000000"/>
          <w:sz w:val="24"/>
          <w:szCs w:val="24"/>
          <w:vertAlign w:val="superscript"/>
        </w:rPr>
        <w:footnoteReference w:id="11"/>
      </w:r>
      <w:r>
        <w:rPr>
          <w:color w:val="000000"/>
          <w:sz w:val="24"/>
          <w:szCs w:val="24"/>
        </w:rPr>
        <w:t xml:space="preserve">, como se va a detallar y ejemplificar a continuación. </w:t>
      </w:r>
    </w:p>
    <w:p w14:paraId="2B17CE2B" w14:textId="77777777" w:rsidR="007D3173" w:rsidRDefault="00000000">
      <w:pPr>
        <w:pBdr>
          <w:top w:val="nil"/>
          <w:left w:val="nil"/>
          <w:bottom w:val="nil"/>
          <w:right w:val="nil"/>
          <w:between w:val="nil"/>
        </w:pBdr>
        <w:spacing w:before="120" w:after="120" w:line="276" w:lineRule="auto"/>
        <w:ind w:right="113"/>
        <w:jc w:val="both"/>
        <w:rPr>
          <w:color w:val="000000"/>
          <w:sz w:val="24"/>
          <w:szCs w:val="24"/>
        </w:rPr>
      </w:pPr>
      <w:r>
        <w:rPr>
          <w:color w:val="000000"/>
          <w:sz w:val="24"/>
          <w:szCs w:val="24"/>
        </w:rPr>
        <w:t xml:space="preserve">Respecto a los proyectos extractivos, el </w:t>
      </w:r>
      <w:r>
        <w:rPr>
          <w:b/>
          <w:color w:val="000000"/>
          <w:sz w:val="24"/>
          <w:szCs w:val="24"/>
        </w:rPr>
        <w:t>proyecto minero Fénix</w:t>
      </w:r>
      <w:r>
        <w:rPr>
          <w:color w:val="000000"/>
          <w:sz w:val="24"/>
          <w:szCs w:val="24"/>
        </w:rPr>
        <w:t xml:space="preserve">, operado en El Estor, Izabal, por la Compañía Guatemalteca de Níquel (“CGN”) y la Compañía Procesadora de Níquel de Izabal SA (“PRONICO”), filial de </w:t>
      </w:r>
      <w:proofErr w:type="spellStart"/>
      <w:r>
        <w:rPr>
          <w:color w:val="000000"/>
          <w:sz w:val="24"/>
          <w:szCs w:val="24"/>
        </w:rPr>
        <w:t>Solway</w:t>
      </w:r>
      <w:proofErr w:type="spellEnd"/>
      <w:r>
        <w:rPr>
          <w:color w:val="000000"/>
          <w:sz w:val="24"/>
          <w:szCs w:val="24"/>
        </w:rPr>
        <w:t xml:space="preserve">, sigue incumpliendo de manera flagrante la </w:t>
      </w:r>
      <w:hyperlink r:id="rId12">
        <w:r w:rsidR="007D3173">
          <w:rPr>
            <w:color w:val="0000FF"/>
            <w:sz w:val="24"/>
            <w:szCs w:val="24"/>
            <w:u w:val="single"/>
          </w:rPr>
          <w:t>Sentencia 697-2019 de la Corte de Constitucionalidad</w:t>
        </w:r>
      </w:hyperlink>
      <w:r>
        <w:rPr>
          <w:color w:val="000000"/>
          <w:sz w:val="24"/>
          <w:szCs w:val="24"/>
        </w:rPr>
        <w:t xml:space="preserve"> que ordenaba suspender las operaciones y realizar una consulta extensa y culturalmente adecuada. En 2021, la empresa impulsó una preconsulta excluyendo a sectores clave, como la Gremial de Pescadores de El Estor, lo que provocó protestas pacíficas reprimidas violentamente por el Estado bajo un </w:t>
      </w:r>
      <w:hyperlink r:id="rId13">
        <w:r w:rsidR="007D3173">
          <w:rPr>
            <w:color w:val="0000FF"/>
            <w:sz w:val="24"/>
            <w:szCs w:val="24"/>
            <w:u w:val="single"/>
          </w:rPr>
          <w:t>estado de sitio decretado en octubre de ese año</w:t>
        </w:r>
      </w:hyperlink>
      <w:r>
        <w:rPr>
          <w:color w:val="000000"/>
          <w:sz w:val="24"/>
          <w:szCs w:val="24"/>
        </w:rPr>
        <w:t>. Este estado de excepción, ratificado por el Congreso Nacional</w:t>
      </w:r>
      <w:r>
        <w:rPr>
          <w:color w:val="000000"/>
          <w:sz w:val="24"/>
          <w:szCs w:val="24"/>
          <w:vertAlign w:val="superscript"/>
        </w:rPr>
        <w:footnoteReference w:id="12"/>
      </w:r>
      <w:r>
        <w:rPr>
          <w:color w:val="000000"/>
          <w:sz w:val="24"/>
          <w:szCs w:val="24"/>
        </w:rPr>
        <w:t>, ilustra el uso de la militarización como respuesta represiva a demandas territoriales legítimas. En este marco, se suspendieron derechos fundamentales como la libertad de acción, de reunión, de manifestación y de circulación. Se realizaron allanamientos y detenciones arbitrarias, se observó el acoso y la persecución de periodistas</w:t>
      </w:r>
      <w:r>
        <w:rPr>
          <w:color w:val="000000"/>
          <w:sz w:val="24"/>
          <w:szCs w:val="24"/>
          <w:vertAlign w:val="superscript"/>
        </w:rPr>
        <w:footnoteReference w:id="13"/>
      </w:r>
      <w:r>
        <w:rPr>
          <w:color w:val="000000"/>
          <w:sz w:val="24"/>
          <w:szCs w:val="24"/>
        </w:rPr>
        <w:t xml:space="preserve"> así como el</w:t>
      </w:r>
      <w:r>
        <w:rPr>
          <w:i/>
          <w:color w:val="000000"/>
          <w:sz w:val="24"/>
          <w:szCs w:val="24"/>
        </w:rPr>
        <w:t xml:space="preserve"> </w:t>
      </w:r>
      <w:r>
        <w:rPr>
          <w:color w:val="000000"/>
          <w:sz w:val="24"/>
          <w:szCs w:val="24"/>
        </w:rPr>
        <w:t xml:space="preserve">uso excesivo de la fuerza y la represión en contra de pueblos indígenas mayas </w:t>
      </w:r>
      <w:proofErr w:type="spellStart"/>
      <w:r>
        <w:rPr>
          <w:color w:val="000000"/>
          <w:sz w:val="24"/>
          <w:szCs w:val="24"/>
        </w:rPr>
        <w:t>Q'eqchi</w:t>
      </w:r>
      <w:proofErr w:type="spellEnd"/>
      <w:r>
        <w:rPr>
          <w:color w:val="000000"/>
          <w:sz w:val="24"/>
          <w:szCs w:val="24"/>
        </w:rPr>
        <w:t>'</w:t>
      </w:r>
      <w:r>
        <w:rPr>
          <w:color w:val="000000"/>
          <w:sz w:val="24"/>
          <w:szCs w:val="24"/>
          <w:vertAlign w:val="superscript"/>
        </w:rPr>
        <w:footnoteReference w:id="14"/>
      </w:r>
      <w:r>
        <w:rPr>
          <w:color w:val="000000"/>
          <w:sz w:val="24"/>
          <w:szCs w:val="24"/>
        </w:rPr>
        <w:t xml:space="preserve">. </w:t>
      </w:r>
    </w:p>
    <w:p w14:paraId="4B4CFE9E" w14:textId="77777777" w:rsidR="007D3173" w:rsidRDefault="00000000">
      <w:pPr>
        <w:pBdr>
          <w:top w:val="nil"/>
          <w:left w:val="nil"/>
          <w:bottom w:val="nil"/>
          <w:right w:val="nil"/>
          <w:between w:val="nil"/>
        </w:pBdr>
        <w:spacing w:before="120" w:after="120" w:line="276" w:lineRule="auto"/>
        <w:ind w:right="113"/>
        <w:jc w:val="both"/>
        <w:rPr>
          <w:color w:val="000000"/>
          <w:sz w:val="24"/>
          <w:szCs w:val="24"/>
        </w:rPr>
      </w:pPr>
      <w:r>
        <w:rPr>
          <w:color w:val="000000"/>
          <w:sz w:val="24"/>
          <w:szCs w:val="24"/>
        </w:rPr>
        <w:t xml:space="preserve">Estos hechos reflejan un patrón de racismo estructural que criminaliza la defensa del territorio y perpetúa la exclusión histórica de los pueblos indígenas a la justicia. Durante esta militarización, sin libertad ni garantías mínimas, la empresa realizó una consulta </w:t>
      </w:r>
      <w:r>
        <w:rPr>
          <w:color w:val="000000"/>
          <w:sz w:val="24"/>
          <w:szCs w:val="24"/>
        </w:rPr>
        <w:lastRenderedPageBreak/>
        <w:t>“exprés” entre el 12 y el 24 de noviembre de 2021, validada de forma absolutamente irregular por el Ministerio de Energía y Minas (“MEM”)</w:t>
      </w:r>
      <w:r>
        <w:rPr>
          <w:color w:val="000000"/>
          <w:sz w:val="24"/>
          <w:szCs w:val="24"/>
          <w:vertAlign w:val="superscript"/>
        </w:rPr>
        <w:footnoteReference w:id="15"/>
      </w:r>
      <w:r>
        <w:rPr>
          <w:color w:val="000000"/>
          <w:sz w:val="24"/>
          <w:szCs w:val="24"/>
        </w:rPr>
        <w:t>. Si bien este proceso ha sido revertido por la Corte de constitucionalidad</w:t>
      </w:r>
      <w:r>
        <w:rPr>
          <w:color w:val="000000"/>
          <w:sz w:val="24"/>
          <w:szCs w:val="24"/>
          <w:vertAlign w:val="superscript"/>
        </w:rPr>
        <w:footnoteReference w:id="16"/>
      </w:r>
      <w:r>
        <w:rPr>
          <w:color w:val="000000"/>
          <w:sz w:val="24"/>
          <w:szCs w:val="24"/>
        </w:rPr>
        <w:t xml:space="preserve">, </w:t>
      </w:r>
      <w:r>
        <w:rPr>
          <w:b/>
          <w:color w:val="000000"/>
          <w:sz w:val="24"/>
          <w:szCs w:val="24"/>
        </w:rPr>
        <w:t>el MEM ha persistido en validar de facto las operaciones mineras</w:t>
      </w:r>
      <w:r>
        <w:rPr>
          <w:color w:val="000000"/>
          <w:sz w:val="24"/>
          <w:szCs w:val="24"/>
        </w:rPr>
        <w:t xml:space="preserve">, omitiendo cualquier reparación efectiva y permitiendo que las compañías continúen sus actividades sin garantizar los derechos fundamentales del pueblo </w:t>
      </w:r>
      <w:proofErr w:type="spellStart"/>
      <w:r>
        <w:rPr>
          <w:color w:val="000000"/>
          <w:sz w:val="24"/>
          <w:szCs w:val="24"/>
        </w:rPr>
        <w:t>Q’eqchi</w:t>
      </w:r>
      <w:proofErr w:type="spellEnd"/>
      <w:r>
        <w:rPr>
          <w:color w:val="000000"/>
          <w:sz w:val="24"/>
          <w:szCs w:val="24"/>
        </w:rPr>
        <w:t>’, lo que constituye una violación sostenida del derecho a la consulta previa, libre e informada, y una forma de discriminación estructural</w:t>
      </w:r>
      <w:r>
        <w:rPr>
          <w:color w:val="000000"/>
          <w:sz w:val="24"/>
          <w:szCs w:val="24"/>
          <w:vertAlign w:val="superscript"/>
        </w:rPr>
        <w:footnoteReference w:id="17"/>
      </w:r>
      <w:r>
        <w:rPr>
          <w:color w:val="000000"/>
          <w:sz w:val="24"/>
          <w:szCs w:val="24"/>
        </w:rPr>
        <w:t xml:space="preserve">. </w:t>
      </w:r>
    </w:p>
    <w:p w14:paraId="63D0D9AC" w14:textId="77777777" w:rsidR="007D3173" w:rsidRDefault="00000000">
      <w:pPr>
        <w:pBdr>
          <w:top w:val="nil"/>
          <w:left w:val="nil"/>
          <w:bottom w:val="nil"/>
          <w:right w:val="nil"/>
          <w:between w:val="nil"/>
        </w:pBdr>
        <w:spacing w:before="120" w:after="120" w:line="276" w:lineRule="auto"/>
        <w:ind w:right="113"/>
        <w:jc w:val="both"/>
        <w:rPr>
          <w:color w:val="000000"/>
          <w:sz w:val="24"/>
          <w:szCs w:val="24"/>
        </w:rPr>
      </w:pPr>
      <w:r>
        <w:rPr>
          <w:color w:val="000000"/>
          <w:sz w:val="24"/>
          <w:szCs w:val="24"/>
        </w:rPr>
        <w:t xml:space="preserve">Al respecto de la </w:t>
      </w:r>
      <w:r>
        <w:rPr>
          <w:b/>
          <w:color w:val="000000"/>
          <w:sz w:val="24"/>
          <w:szCs w:val="24"/>
        </w:rPr>
        <w:t>deforestación impulsada por las empresas dedicadas a la palma aceitera</w:t>
      </w:r>
      <w:r>
        <w:rPr>
          <w:color w:val="000000"/>
          <w:sz w:val="24"/>
          <w:szCs w:val="24"/>
        </w:rPr>
        <w:t xml:space="preserve"> en el norte de Guatemala, ubicadas especialmente en los departamentos de Petén, Alta </w:t>
      </w:r>
      <w:proofErr w:type="spellStart"/>
      <w:r>
        <w:rPr>
          <w:color w:val="000000"/>
          <w:sz w:val="24"/>
          <w:szCs w:val="24"/>
        </w:rPr>
        <w:t>Verapa</w:t>
      </w:r>
      <w:proofErr w:type="spellEnd"/>
      <w:r>
        <w:rPr>
          <w:color w:val="000000"/>
          <w:sz w:val="24"/>
          <w:szCs w:val="24"/>
        </w:rPr>
        <w:t xml:space="preserve"> e Izabal, ha generado el desplazamiento de comunidades enteras de los pueblos indígenas </w:t>
      </w:r>
      <w:proofErr w:type="spellStart"/>
      <w:r>
        <w:rPr>
          <w:color w:val="000000"/>
          <w:sz w:val="24"/>
          <w:szCs w:val="24"/>
        </w:rPr>
        <w:t>Q’eqchi</w:t>
      </w:r>
      <w:proofErr w:type="spellEnd"/>
      <w:r>
        <w:rPr>
          <w:color w:val="000000"/>
          <w:sz w:val="24"/>
          <w:szCs w:val="24"/>
        </w:rPr>
        <w:t xml:space="preserve">’, </w:t>
      </w:r>
      <w:proofErr w:type="spellStart"/>
      <w:r>
        <w:rPr>
          <w:color w:val="000000"/>
          <w:sz w:val="24"/>
          <w:szCs w:val="24"/>
        </w:rPr>
        <w:t>Poqomchi</w:t>
      </w:r>
      <w:proofErr w:type="spellEnd"/>
      <w:r>
        <w:rPr>
          <w:color w:val="000000"/>
          <w:sz w:val="24"/>
          <w:szCs w:val="24"/>
        </w:rPr>
        <w:t xml:space="preserve">’ y </w:t>
      </w:r>
      <w:proofErr w:type="spellStart"/>
      <w:r>
        <w:rPr>
          <w:color w:val="000000"/>
          <w:sz w:val="24"/>
          <w:szCs w:val="24"/>
        </w:rPr>
        <w:t>Achi</w:t>
      </w:r>
      <w:proofErr w:type="spellEnd"/>
      <w:r>
        <w:rPr>
          <w:color w:val="000000"/>
          <w:sz w:val="24"/>
          <w:szCs w:val="24"/>
          <w:vertAlign w:val="superscript"/>
        </w:rPr>
        <w:footnoteReference w:id="18"/>
      </w:r>
      <w:r>
        <w:rPr>
          <w:color w:val="000000"/>
          <w:sz w:val="24"/>
          <w:szCs w:val="24"/>
        </w:rPr>
        <w:t>. Esta industria ha generado graves afectaciones a los derechos humanos de las comunidades y al medioambiente, causando desalojos violentos de comunidades indígenas para habilitar proyectos empresariales</w:t>
      </w:r>
      <w:r>
        <w:rPr>
          <w:color w:val="000000"/>
          <w:sz w:val="24"/>
          <w:szCs w:val="24"/>
          <w:vertAlign w:val="superscript"/>
        </w:rPr>
        <w:footnoteReference w:id="19"/>
      </w:r>
      <w:r>
        <w:rPr>
          <w:color w:val="000000"/>
          <w:sz w:val="24"/>
          <w:szCs w:val="24"/>
        </w:rPr>
        <w:t>. Estos desalojos constituyen una práctica sistemática del Estado</w:t>
      </w:r>
      <w:r>
        <w:rPr>
          <w:color w:val="000000"/>
          <w:sz w:val="24"/>
          <w:szCs w:val="24"/>
          <w:vertAlign w:val="superscript"/>
        </w:rPr>
        <w:footnoteReference w:id="20"/>
      </w:r>
      <w:r>
        <w:rPr>
          <w:color w:val="000000"/>
          <w:sz w:val="24"/>
          <w:szCs w:val="24"/>
        </w:rPr>
        <w:t>. Entre enero y julio de 2024 más de 15 comunidades fueron desalojadas de sus tierras en los departamentos de Alta y Baja Verapaz, Petén, Escuintla y Jalapa</w:t>
      </w:r>
      <w:r>
        <w:rPr>
          <w:color w:val="000000"/>
          <w:sz w:val="24"/>
          <w:szCs w:val="24"/>
          <w:vertAlign w:val="superscript"/>
        </w:rPr>
        <w:footnoteReference w:id="21"/>
      </w:r>
      <w:r>
        <w:rPr>
          <w:color w:val="000000"/>
          <w:sz w:val="24"/>
          <w:szCs w:val="24"/>
        </w:rPr>
        <w:t xml:space="preserve">, de manera forzada y violenta por fuerzas de seguridad estatales y privadas, sin notificación previa ni acceso a recursos judiciales efectivos para impugnar estos desalojos. Un ejemplo de eso es el desalojo forzado de </w:t>
      </w:r>
      <w:r>
        <w:rPr>
          <w:b/>
          <w:color w:val="000000"/>
          <w:sz w:val="24"/>
          <w:szCs w:val="24"/>
        </w:rPr>
        <w:t xml:space="preserve">48 familias </w:t>
      </w:r>
      <w:proofErr w:type="spellStart"/>
      <w:r>
        <w:rPr>
          <w:b/>
          <w:color w:val="000000"/>
          <w:sz w:val="24"/>
          <w:szCs w:val="24"/>
        </w:rPr>
        <w:t>Q’eqchi</w:t>
      </w:r>
      <w:proofErr w:type="spellEnd"/>
      <w:r>
        <w:rPr>
          <w:b/>
          <w:color w:val="000000"/>
          <w:sz w:val="24"/>
          <w:szCs w:val="24"/>
        </w:rPr>
        <w:t>’ de la comunidad Buena Vista</w:t>
      </w:r>
      <w:r>
        <w:rPr>
          <w:color w:val="000000"/>
          <w:sz w:val="24"/>
          <w:szCs w:val="24"/>
        </w:rPr>
        <w:t>, en El Estor, Izabal, el 22 de mayo de 2024, de las cuales 30 siguen desplazadas</w:t>
      </w:r>
      <w:r>
        <w:rPr>
          <w:color w:val="000000"/>
          <w:sz w:val="24"/>
          <w:szCs w:val="24"/>
          <w:vertAlign w:val="superscript"/>
        </w:rPr>
        <w:footnoteReference w:id="22"/>
      </w:r>
      <w:r>
        <w:rPr>
          <w:color w:val="000000"/>
          <w:sz w:val="24"/>
          <w:szCs w:val="24"/>
        </w:rPr>
        <w:t xml:space="preserve">. Sus viviendas y cultivos fueron destruidos, obligándolas a asentarse a la orilla de la carretera en condiciones de </w:t>
      </w:r>
      <w:r>
        <w:rPr>
          <w:color w:val="000000"/>
          <w:sz w:val="24"/>
          <w:szCs w:val="24"/>
        </w:rPr>
        <w:lastRenderedPageBreak/>
        <w:t xml:space="preserve">extrema vulnerabilidad. </w:t>
      </w:r>
    </w:p>
    <w:p w14:paraId="5E3B995D" w14:textId="77777777" w:rsidR="007D3173" w:rsidRDefault="00000000">
      <w:pPr>
        <w:pBdr>
          <w:top w:val="nil"/>
          <w:left w:val="nil"/>
          <w:bottom w:val="nil"/>
          <w:right w:val="nil"/>
          <w:between w:val="nil"/>
        </w:pBdr>
        <w:spacing w:before="120" w:after="120" w:line="276" w:lineRule="auto"/>
        <w:ind w:right="113"/>
        <w:jc w:val="both"/>
        <w:rPr>
          <w:color w:val="000000"/>
          <w:sz w:val="24"/>
          <w:szCs w:val="24"/>
        </w:rPr>
      </w:pPr>
      <w:r>
        <w:rPr>
          <w:color w:val="000000"/>
          <w:sz w:val="24"/>
          <w:szCs w:val="24"/>
        </w:rPr>
        <w:t>Las comunidades afectadas, denunciaron la quema sistemática de viviendas, destrucción de cultivos, matanza de animales y desplazamientos forzados</w:t>
      </w:r>
      <w:r>
        <w:rPr>
          <w:color w:val="000000"/>
          <w:sz w:val="24"/>
          <w:szCs w:val="24"/>
          <w:vertAlign w:val="superscript"/>
        </w:rPr>
        <w:footnoteReference w:id="23"/>
      </w:r>
      <w:r>
        <w:rPr>
          <w:color w:val="000000"/>
          <w:sz w:val="24"/>
          <w:szCs w:val="24"/>
        </w:rPr>
        <w:t>, todo ello sin que el Estado ofreciera mecanismos de protección ni de reparación. Decenas de comunidades indígenas y campesinas siguen enfrentando un riesgo inminente de desalojo forzoso en el contexto de conflictos no resueltos sobre la tenencia de tierras</w:t>
      </w:r>
      <w:r>
        <w:rPr>
          <w:color w:val="000000"/>
          <w:sz w:val="24"/>
          <w:szCs w:val="24"/>
          <w:vertAlign w:val="superscript"/>
        </w:rPr>
        <w:footnoteReference w:id="24"/>
      </w:r>
      <w:r>
        <w:rPr>
          <w:color w:val="000000"/>
          <w:sz w:val="24"/>
          <w:szCs w:val="24"/>
        </w:rPr>
        <w:t xml:space="preserve">, lo que constituye una forma grave y persistente de violencia estructural y de discriminación racial. </w:t>
      </w:r>
    </w:p>
    <w:p w14:paraId="2F77649F" w14:textId="77777777" w:rsidR="007D3173" w:rsidRDefault="00000000">
      <w:pPr>
        <w:pBdr>
          <w:top w:val="nil"/>
          <w:left w:val="nil"/>
          <w:bottom w:val="nil"/>
          <w:right w:val="nil"/>
          <w:between w:val="nil"/>
        </w:pBdr>
        <w:spacing w:before="120" w:after="120" w:line="276" w:lineRule="auto"/>
        <w:ind w:right="113"/>
        <w:jc w:val="both"/>
        <w:rPr>
          <w:color w:val="000000"/>
          <w:sz w:val="24"/>
          <w:szCs w:val="24"/>
        </w:rPr>
      </w:pPr>
      <w:r>
        <w:rPr>
          <w:color w:val="000000"/>
          <w:sz w:val="24"/>
          <w:szCs w:val="24"/>
        </w:rPr>
        <w:t xml:space="preserve">En el caso de las </w:t>
      </w:r>
      <w:r>
        <w:rPr>
          <w:b/>
          <w:color w:val="000000"/>
          <w:sz w:val="24"/>
          <w:szCs w:val="24"/>
        </w:rPr>
        <w:t>áreas protegidas</w:t>
      </w:r>
      <w:r>
        <w:rPr>
          <w:color w:val="000000"/>
          <w:sz w:val="24"/>
          <w:szCs w:val="24"/>
        </w:rPr>
        <w:t>, múltiples comunidades han denunciado que estas figuras jurídicas son utilizadas para restringir su acceso a territorios y recursos esenciales para su subsistencia, sin reconocer ni respetar sus derechos colectivos, prácticas tradicionales o gobernanza comunitaria</w:t>
      </w:r>
      <w:r>
        <w:rPr>
          <w:color w:val="000000"/>
          <w:sz w:val="24"/>
          <w:szCs w:val="24"/>
          <w:vertAlign w:val="superscript"/>
        </w:rPr>
        <w:footnoteReference w:id="25"/>
      </w:r>
      <w:r>
        <w:rPr>
          <w:color w:val="000000"/>
          <w:sz w:val="24"/>
          <w:szCs w:val="24"/>
        </w:rPr>
        <w:t>. Esta instrumentalización del discurso ambiental resulta en despojo legalizado, sin garantías de participación efectiva ni mecanismos de compensación adecuados</w:t>
      </w:r>
      <w:r>
        <w:rPr>
          <w:color w:val="000000"/>
          <w:sz w:val="24"/>
          <w:szCs w:val="24"/>
          <w:vertAlign w:val="superscript"/>
        </w:rPr>
        <w:footnoteReference w:id="26"/>
      </w:r>
      <w:r>
        <w:rPr>
          <w:color w:val="000000"/>
          <w:sz w:val="24"/>
          <w:szCs w:val="24"/>
        </w:rPr>
        <w:t xml:space="preserve">. Asimismo, destaca el caso de las </w:t>
      </w:r>
      <w:r>
        <w:rPr>
          <w:b/>
          <w:color w:val="000000"/>
          <w:sz w:val="24"/>
          <w:szCs w:val="24"/>
        </w:rPr>
        <w:t>comunidades de Laguna Larga en el norte del departamento de Petén</w:t>
      </w:r>
      <w:r>
        <w:rPr>
          <w:color w:val="000000"/>
          <w:sz w:val="24"/>
          <w:szCs w:val="24"/>
        </w:rPr>
        <w:t>, quienes han atravesado un desplazamiento forzado interno a raíz de la expansión agrícola y producto de la falta de certeza jurídica sobre la tenencia de la tierra</w:t>
      </w:r>
      <w:r>
        <w:rPr>
          <w:color w:val="000000"/>
          <w:sz w:val="24"/>
          <w:szCs w:val="24"/>
          <w:vertAlign w:val="superscript"/>
        </w:rPr>
        <w:footnoteReference w:id="27"/>
      </w:r>
      <w:r>
        <w:rPr>
          <w:color w:val="000000"/>
          <w:sz w:val="24"/>
          <w:szCs w:val="24"/>
        </w:rPr>
        <w:t>. Recientemente, dichas comunidades denunciaron que las tierras ofrecidas por el Estado para su reubicación se encuentran en condiciones precarias e inasequibles por su precio, su ubicación, su ausencia de árboles frutales y de agua, profundizando su situación de pobreza extrema</w:t>
      </w:r>
      <w:r>
        <w:rPr>
          <w:color w:val="000000"/>
          <w:sz w:val="24"/>
          <w:szCs w:val="24"/>
          <w:vertAlign w:val="superscript"/>
        </w:rPr>
        <w:footnoteReference w:id="28"/>
      </w:r>
      <w:r>
        <w:rPr>
          <w:color w:val="000000"/>
          <w:sz w:val="24"/>
          <w:szCs w:val="24"/>
        </w:rPr>
        <w:t xml:space="preserve">. </w:t>
      </w:r>
    </w:p>
    <w:p w14:paraId="125BE774" w14:textId="77777777" w:rsidR="007D3173" w:rsidRDefault="00000000">
      <w:pPr>
        <w:pBdr>
          <w:top w:val="nil"/>
          <w:left w:val="nil"/>
          <w:bottom w:val="nil"/>
          <w:right w:val="nil"/>
          <w:between w:val="nil"/>
        </w:pBdr>
        <w:spacing w:before="120" w:after="120" w:line="276" w:lineRule="auto"/>
        <w:ind w:right="113"/>
        <w:jc w:val="both"/>
        <w:rPr>
          <w:color w:val="000000"/>
          <w:sz w:val="24"/>
          <w:szCs w:val="24"/>
        </w:rPr>
      </w:pPr>
      <w:r>
        <w:rPr>
          <w:color w:val="000000"/>
          <w:sz w:val="24"/>
          <w:szCs w:val="24"/>
        </w:rPr>
        <w:t xml:space="preserve">Las acciones y omisiones del Estado guatemalteco en relación con los desalojos forzosos, la militarización de territorios indígenas y la persistente validación de proyectos extractivos sin consulta adecuada, constituyen una vulneración grave de sus obligaciones en virtud de la ICERD. En particular, incumple el </w:t>
      </w:r>
      <w:r>
        <w:rPr>
          <w:b/>
          <w:color w:val="000000"/>
          <w:sz w:val="24"/>
          <w:szCs w:val="24"/>
        </w:rPr>
        <w:t>artículo 2(1)(c)</w:t>
      </w:r>
      <w:r>
        <w:rPr>
          <w:color w:val="000000"/>
          <w:sz w:val="24"/>
          <w:szCs w:val="24"/>
        </w:rPr>
        <w:t xml:space="preserve"> al no modificar ni suprimir leyes y prácticas que perpetúan la discriminación estructural; el </w:t>
      </w:r>
      <w:r>
        <w:rPr>
          <w:b/>
          <w:color w:val="000000"/>
          <w:sz w:val="24"/>
          <w:szCs w:val="24"/>
        </w:rPr>
        <w:t>artículo 5(d)(v)</w:t>
      </w:r>
      <w:r>
        <w:rPr>
          <w:color w:val="000000"/>
          <w:sz w:val="24"/>
          <w:szCs w:val="24"/>
        </w:rPr>
        <w:t xml:space="preserve">, al vulnerar el derecho a la propiedad y a la herencia sin discriminación; y el </w:t>
      </w:r>
      <w:r>
        <w:rPr>
          <w:b/>
          <w:color w:val="000000"/>
          <w:sz w:val="24"/>
          <w:szCs w:val="24"/>
        </w:rPr>
        <w:lastRenderedPageBreak/>
        <w:t>artículo 5(b)</w:t>
      </w:r>
      <w:r>
        <w:rPr>
          <w:color w:val="000000"/>
          <w:sz w:val="24"/>
          <w:szCs w:val="24"/>
        </w:rPr>
        <w:t xml:space="preserve">, al violar el derecho a la seguridad personal y a la protección del Estado frente a la violencia. Asimismo, al permitir que megaproyectos se impongan sin consulta previa, libre e informada, el Estado desconoce las garantías reconocidas en el </w:t>
      </w:r>
      <w:r>
        <w:rPr>
          <w:b/>
          <w:color w:val="000000"/>
          <w:sz w:val="24"/>
          <w:szCs w:val="24"/>
        </w:rPr>
        <w:t>artículo 5(c)</w:t>
      </w:r>
      <w:r>
        <w:rPr>
          <w:color w:val="000000"/>
          <w:sz w:val="24"/>
          <w:szCs w:val="24"/>
        </w:rPr>
        <w:t xml:space="preserve"> sobre participación política y el </w:t>
      </w:r>
      <w:r>
        <w:rPr>
          <w:b/>
          <w:color w:val="000000"/>
          <w:sz w:val="24"/>
          <w:szCs w:val="24"/>
        </w:rPr>
        <w:t>artículo 6</w:t>
      </w:r>
      <w:r>
        <w:rPr>
          <w:color w:val="000000"/>
          <w:sz w:val="24"/>
          <w:szCs w:val="24"/>
        </w:rPr>
        <w:t xml:space="preserve"> sobre el derecho a una reparación efectiva. Este patrón revela una forma sistemática de discriminación racial basada en el origen étnico.</w:t>
      </w:r>
    </w:p>
    <w:p w14:paraId="6ACB0FC0" w14:textId="77777777" w:rsidR="007D3173" w:rsidRDefault="00000000">
      <w:pPr>
        <w:numPr>
          <w:ilvl w:val="0"/>
          <w:numId w:val="4"/>
        </w:numPr>
        <w:pBdr>
          <w:top w:val="nil"/>
          <w:left w:val="nil"/>
          <w:bottom w:val="nil"/>
          <w:right w:val="nil"/>
          <w:between w:val="nil"/>
        </w:pBdr>
        <w:spacing w:before="120" w:after="120" w:line="276" w:lineRule="auto"/>
        <w:ind w:right="113"/>
        <w:jc w:val="both"/>
        <w:rPr>
          <w:i/>
          <w:color w:val="000000"/>
          <w:sz w:val="24"/>
          <w:szCs w:val="24"/>
        </w:rPr>
      </w:pPr>
      <w:r>
        <w:rPr>
          <w:i/>
          <w:color w:val="000000"/>
          <w:sz w:val="24"/>
          <w:szCs w:val="24"/>
        </w:rPr>
        <w:t>Impunidad antes los asesinatos de lideres y defensores de los derechos indígenas</w:t>
      </w:r>
    </w:p>
    <w:p w14:paraId="1E1E3CD8" w14:textId="41047EB4" w:rsidR="007D3173" w:rsidRDefault="00000000">
      <w:pPr>
        <w:pBdr>
          <w:top w:val="nil"/>
          <w:left w:val="nil"/>
          <w:bottom w:val="nil"/>
          <w:right w:val="nil"/>
          <w:between w:val="nil"/>
        </w:pBdr>
        <w:spacing w:before="120" w:after="120" w:line="276" w:lineRule="auto"/>
        <w:ind w:right="113"/>
        <w:jc w:val="both"/>
        <w:rPr>
          <w:color w:val="000000"/>
          <w:sz w:val="24"/>
          <w:szCs w:val="24"/>
        </w:rPr>
      </w:pPr>
      <w:r>
        <w:rPr>
          <w:color w:val="000000"/>
          <w:sz w:val="24"/>
          <w:szCs w:val="24"/>
        </w:rPr>
        <w:t xml:space="preserve">Fueron asesinados </w:t>
      </w:r>
      <w:r w:rsidR="00B4367F">
        <w:rPr>
          <w:color w:val="000000"/>
          <w:sz w:val="24"/>
          <w:szCs w:val="24"/>
        </w:rPr>
        <w:t xml:space="preserve">numerosos </w:t>
      </w:r>
      <w:r>
        <w:rPr>
          <w:color w:val="000000"/>
          <w:sz w:val="24"/>
          <w:szCs w:val="24"/>
        </w:rPr>
        <w:t>lideres y defensores de los derechos indígenas</w:t>
      </w:r>
      <w:r w:rsidR="00B4367F">
        <w:rPr>
          <w:color w:val="000000"/>
          <w:sz w:val="24"/>
          <w:szCs w:val="24"/>
        </w:rPr>
        <w:t xml:space="preserve">, </w:t>
      </w:r>
      <w:r>
        <w:rPr>
          <w:color w:val="000000"/>
          <w:sz w:val="24"/>
          <w:szCs w:val="24"/>
        </w:rPr>
        <w:t>evidencian</w:t>
      </w:r>
      <w:r w:rsidR="00B4367F">
        <w:rPr>
          <w:color w:val="000000"/>
          <w:sz w:val="24"/>
          <w:szCs w:val="24"/>
        </w:rPr>
        <w:t>do</w:t>
      </w:r>
      <w:r>
        <w:rPr>
          <w:color w:val="000000"/>
          <w:sz w:val="24"/>
          <w:szCs w:val="24"/>
        </w:rPr>
        <w:t xml:space="preserve"> el incumplimiento reiterado del deber del Estado guatemalteco de proteger a las personas defensoras de derechos humanos, de investigar de manera diligente y efectiva las violaciones cometidas, de reparar integralmente a las víctimas y de combatir la impunidad estructural que perpetúa la violencia contra los pueblos indígenas, en clara violación de los </w:t>
      </w:r>
      <w:r>
        <w:rPr>
          <w:b/>
          <w:color w:val="000000"/>
          <w:sz w:val="24"/>
          <w:szCs w:val="24"/>
        </w:rPr>
        <w:t>artículos 2(1)(c), 4(c), 5(b), 5(d)(i) y 6</w:t>
      </w:r>
      <w:r>
        <w:rPr>
          <w:color w:val="000000"/>
          <w:sz w:val="24"/>
          <w:szCs w:val="24"/>
        </w:rPr>
        <w:t xml:space="preserve"> de la ICERD. </w:t>
      </w:r>
    </w:p>
    <w:p w14:paraId="0910F7A6" w14:textId="77777777" w:rsidR="007D3173" w:rsidRDefault="00000000">
      <w:pPr>
        <w:pStyle w:val="Ttulo2"/>
        <w:numPr>
          <w:ilvl w:val="0"/>
          <w:numId w:val="1"/>
        </w:numPr>
        <w:spacing w:line="276" w:lineRule="auto"/>
      </w:pPr>
      <w:r>
        <w:t>Criminalización y estigmatización contra personas defensoras de derechos humanos, periodistas y autoridades indígenas (párr. 12 y 13 de la lista de temas)</w:t>
      </w:r>
    </w:p>
    <w:p w14:paraId="6AF9523A" w14:textId="77777777" w:rsidR="007D3173" w:rsidRDefault="00000000">
      <w:pPr>
        <w:numPr>
          <w:ilvl w:val="0"/>
          <w:numId w:val="3"/>
        </w:numPr>
        <w:pBdr>
          <w:top w:val="nil"/>
          <w:left w:val="nil"/>
          <w:bottom w:val="nil"/>
          <w:right w:val="nil"/>
          <w:between w:val="nil"/>
        </w:pBdr>
        <w:spacing w:before="120" w:after="120" w:line="276" w:lineRule="auto"/>
        <w:ind w:right="113"/>
        <w:jc w:val="both"/>
        <w:rPr>
          <w:i/>
          <w:color w:val="000000"/>
          <w:sz w:val="24"/>
          <w:szCs w:val="24"/>
        </w:rPr>
      </w:pPr>
      <w:r>
        <w:rPr>
          <w:i/>
          <w:color w:val="000000"/>
          <w:sz w:val="24"/>
          <w:szCs w:val="24"/>
        </w:rPr>
        <w:t>Instrumentalización del sistema penal en contra de autoridades indígenas en el marco de conflictos de tierra</w:t>
      </w:r>
    </w:p>
    <w:p w14:paraId="79D45A60" w14:textId="77777777" w:rsidR="007D3173" w:rsidRDefault="00000000">
      <w:pPr>
        <w:pBdr>
          <w:top w:val="nil"/>
          <w:left w:val="nil"/>
          <w:bottom w:val="nil"/>
          <w:right w:val="nil"/>
          <w:between w:val="nil"/>
        </w:pBdr>
        <w:spacing w:before="120" w:after="120" w:line="276" w:lineRule="auto"/>
        <w:ind w:left="119" w:right="113"/>
        <w:jc w:val="both"/>
        <w:rPr>
          <w:color w:val="000000"/>
          <w:sz w:val="24"/>
          <w:szCs w:val="24"/>
        </w:rPr>
      </w:pPr>
      <w:r>
        <w:rPr>
          <w:color w:val="000000"/>
          <w:sz w:val="24"/>
          <w:szCs w:val="24"/>
        </w:rPr>
        <w:t xml:space="preserve">En los últimos años se observó la </w:t>
      </w:r>
      <w:r>
        <w:rPr>
          <w:b/>
          <w:color w:val="000000"/>
          <w:sz w:val="24"/>
          <w:szCs w:val="24"/>
        </w:rPr>
        <w:t>cooptación del Ministerio Público (MP) y del Poder Judicial</w:t>
      </w:r>
      <w:r>
        <w:rPr>
          <w:color w:val="000000"/>
          <w:sz w:val="24"/>
          <w:szCs w:val="24"/>
        </w:rPr>
        <w:t xml:space="preserve">, debido a la erosión del sistema de </w:t>
      </w:r>
      <w:r>
        <w:rPr>
          <w:i/>
          <w:color w:val="000000"/>
          <w:sz w:val="24"/>
          <w:szCs w:val="24"/>
        </w:rPr>
        <w:t>pesos y contrapesos</w:t>
      </w:r>
      <w:r>
        <w:rPr>
          <w:color w:val="000000"/>
          <w:sz w:val="24"/>
          <w:szCs w:val="24"/>
        </w:rPr>
        <w:t>, a la vulneración de la separación de poderes, así como al debilitamiento institucional del Poder Judicial, violando la independencia judicial</w:t>
      </w:r>
      <w:r>
        <w:rPr>
          <w:color w:val="000000"/>
          <w:sz w:val="24"/>
          <w:szCs w:val="24"/>
          <w:vertAlign w:val="superscript"/>
        </w:rPr>
        <w:footnoteReference w:id="29"/>
      </w:r>
      <w:r>
        <w:rPr>
          <w:color w:val="000000"/>
          <w:sz w:val="24"/>
          <w:szCs w:val="24"/>
        </w:rPr>
        <w:t>, en particular desde la toma de posesión del nuevo gobierno, el 15 de enero de 2024</w:t>
      </w:r>
      <w:r>
        <w:rPr>
          <w:color w:val="000000"/>
          <w:sz w:val="24"/>
          <w:szCs w:val="24"/>
          <w:vertAlign w:val="superscript"/>
        </w:rPr>
        <w:footnoteReference w:id="30"/>
      </w:r>
      <w:r>
        <w:rPr>
          <w:color w:val="000000"/>
          <w:sz w:val="24"/>
          <w:szCs w:val="24"/>
        </w:rPr>
        <w:t xml:space="preserve">. En este contexto, se instrumentalizó al derecho penal para criminalizar a personas defensoras de derechos humanos y periodistas </w:t>
      </w:r>
      <w:r>
        <w:rPr>
          <w:b/>
          <w:color w:val="000000"/>
          <w:sz w:val="24"/>
          <w:szCs w:val="24"/>
        </w:rPr>
        <w:t>por su trabajo en casos emblemáticos de corrupción y de graves violaciones a los derechos humanos</w:t>
      </w:r>
      <w:r>
        <w:rPr>
          <w:b/>
          <w:color w:val="000000"/>
          <w:sz w:val="24"/>
          <w:szCs w:val="24"/>
          <w:vertAlign w:val="superscript"/>
        </w:rPr>
        <w:footnoteReference w:id="31"/>
      </w:r>
      <w:r>
        <w:rPr>
          <w:b/>
          <w:color w:val="000000"/>
          <w:sz w:val="24"/>
          <w:szCs w:val="24"/>
        </w:rPr>
        <w:t>, como parte de una estrategia sistemática para silenciarlos y obstaculizar su labor</w:t>
      </w:r>
      <w:r>
        <w:rPr>
          <w:color w:val="000000"/>
          <w:sz w:val="24"/>
          <w:szCs w:val="24"/>
          <w:vertAlign w:val="superscript"/>
        </w:rPr>
        <w:footnoteReference w:id="32"/>
      </w:r>
      <w:r>
        <w:rPr>
          <w:color w:val="000000"/>
          <w:sz w:val="24"/>
          <w:szCs w:val="24"/>
        </w:rPr>
        <w:t>.</w:t>
      </w:r>
    </w:p>
    <w:p w14:paraId="5E66D4EE" w14:textId="3AE9CD09" w:rsidR="00B4367F" w:rsidRDefault="00000000" w:rsidP="00B4367F">
      <w:pPr>
        <w:pBdr>
          <w:top w:val="nil"/>
          <w:left w:val="nil"/>
          <w:bottom w:val="nil"/>
          <w:right w:val="nil"/>
          <w:between w:val="nil"/>
        </w:pBdr>
        <w:spacing w:before="120" w:after="120" w:line="276" w:lineRule="auto"/>
        <w:ind w:right="113"/>
        <w:jc w:val="both"/>
        <w:rPr>
          <w:color w:val="000000"/>
          <w:sz w:val="24"/>
          <w:szCs w:val="24"/>
        </w:rPr>
      </w:pPr>
      <w:r>
        <w:rPr>
          <w:color w:val="000000"/>
          <w:sz w:val="24"/>
          <w:szCs w:val="24"/>
        </w:rPr>
        <w:t xml:space="preserve">En el contexto de conflictos de tierras, integrantes de comunidades indígenas fueron acusados en sus territorios ancestrales de “usurpación”, “usurpación agravada” y “usurpación de áreas protegidas”, negándoles sus derechos a la tierra, al territorio y a los </w:t>
      </w:r>
      <w:r>
        <w:rPr>
          <w:color w:val="000000"/>
          <w:sz w:val="24"/>
          <w:szCs w:val="24"/>
        </w:rPr>
        <w:lastRenderedPageBreak/>
        <w:t>recursos naturales</w:t>
      </w:r>
      <w:r>
        <w:rPr>
          <w:color w:val="000000"/>
          <w:sz w:val="24"/>
          <w:szCs w:val="24"/>
          <w:vertAlign w:val="superscript"/>
        </w:rPr>
        <w:footnoteReference w:id="33"/>
      </w:r>
      <w:r w:rsidR="00B4367F">
        <w:rPr>
          <w:color w:val="000000"/>
          <w:sz w:val="24"/>
          <w:szCs w:val="24"/>
        </w:rPr>
        <w:t xml:space="preserve">, conformándose </w:t>
      </w:r>
      <w:r w:rsidR="00B4367F" w:rsidRPr="00B4367F">
        <w:rPr>
          <w:color w:val="000000"/>
          <w:sz w:val="24"/>
          <w:szCs w:val="24"/>
        </w:rPr>
        <w:t xml:space="preserve">un patrón de criminalización y uso desproporcionado de la prisión preventiva contra autoridades indígenas y defensores del territorio. </w:t>
      </w:r>
      <w:r w:rsidR="00B4367F">
        <w:rPr>
          <w:color w:val="000000"/>
          <w:sz w:val="24"/>
          <w:szCs w:val="24"/>
        </w:rPr>
        <w:t xml:space="preserve">En efecto, </w:t>
      </w:r>
      <w:r w:rsidR="00B4367F" w:rsidRPr="00B4367F">
        <w:rPr>
          <w:color w:val="000000"/>
          <w:sz w:val="24"/>
          <w:szCs w:val="24"/>
        </w:rPr>
        <w:t>autoridades indígenas</w:t>
      </w:r>
      <w:r w:rsidR="00B4367F">
        <w:rPr>
          <w:color w:val="000000"/>
          <w:sz w:val="24"/>
          <w:szCs w:val="24"/>
        </w:rPr>
        <w:t xml:space="preserve"> enfrentan detenciones arbitrarias, al permanecer detenidas desde años sin sentencias firmes, lo que confirmó la CIDH. </w:t>
      </w:r>
    </w:p>
    <w:p w14:paraId="19266EE9" w14:textId="77777777" w:rsidR="007D3173" w:rsidRDefault="00000000">
      <w:pPr>
        <w:pBdr>
          <w:top w:val="nil"/>
          <w:left w:val="nil"/>
          <w:bottom w:val="nil"/>
          <w:right w:val="nil"/>
          <w:between w:val="nil"/>
        </w:pBdr>
        <w:spacing w:before="120" w:after="120" w:line="276" w:lineRule="auto"/>
        <w:ind w:right="113"/>
        <w:jc w:val="both"/>
        <w:rPr>
          <w:color w:val="000000"/>
          <w:sz w:val="24"/>
          <w:szCs w:val="24"/>
        </w:rPr>
      </w:pPr>
      <w:r>
        <w:rPr>
          <w:color w:val="000000"/>
          <w:sz w:val="24"/>
          <w:szCs w:val="24"/>
        </w:rPr>
        <w:t>Esta criminalización mediante la imputación de delitos graves que no gozan de medidas alternativas, la aplicación de cauciones millonarias imposibles de afrontar y el uso abusivo de la prisión preventiva constituye una práctica sistemática y generalizada incompatible con el derecho internacional de los derechos humanos</w:t>
      </w:r>
      <w:r>
        <w:rPr>
          <w:color w:val="000000"/>
          <w:sz w:val="24"/>
          <w:szCs w:val="24"/>
          <w:vertAlign w:val="superscript"/>
        </w:rPr>
        <w:footnoteReference w:id="34"/>
      </w:r>
      <w:r>
        <w:rPr>
          <w:color w:val="000000"/>
          <w:sz w:val="24"/>
          <w:szCs w:val="24"/>
        </w:rPr>
        <w:t xml:space="preserve">, especialmente en contextos de defensa del territorio, en violación de </w:t>
      </w:r>
      <w:r>
        <w:rPr>
          <w:b/>
          <w:color w:val="000000"/>
          <w:sz w:val="24"/>
          <w:szCs w:val="24"/>
        </w:rPr>
        <w:t>los artículos 2(1)(c), 5(a) y (d)(</w:t>
      </w:r>
      <w:proofErr w:type="spellStart"/>
      <w:r>
        <w:rPr>
          <w:b/>
          <w:color w:val="000000"/>
          <w:sz w:val="24"/>
          <w:szCs w:val="24"/>
        </w:rPr>
        <w:t>viii</w:t>
      </w:r>
      <w:proofErr w:type="spellEnd"/>
      <w:r>
        <w:rPr>
          <w:b/>
          <w:color w:val="000000"/>
          <w:sz w:val="24"/>
          <w:szCs w:val="24"/>
        </w:rPr>
        <w:t>)</w:t>
      </w:r>
      <w:r>
        <w:rPr>
          <w:color w:val="000000"/>
          <w:sz w:val="24"/>
          <w:szCs w:val="24"/>
        </w:rPr>
        <w:t xml:space="preserve"> </w:t>
      </w:r>
      <w:r>
        <w:rPr>
          <w:b/>
          <w:color w:val="000000"/>
          <w:sz w:val="24"/>
          <w:szCs w:val="24"/>
        </w:rPr>
        <w:t>y 6</w:t>
      </w:r>
      <w:r>
        <w:rPr>
          <w:color w:val="000000"/>
          <w:sz w:val="24"/>
          <w:szCs w:val="24"/>
        </w:rPr>
        <w:t xml:space="preserve"> de la ICERD. En efecto, el Estado guatemalteco incumple sus deberes de garantizar que ninguna norma o práctica tenga por efecto crear o perpetuar la discriminación racial, de asegurar a toda persona el derecho a un juicio justo y a participar en reuniones públicas sin temor a represalias; evidenciando una estrategia estructural para neutralizar los liderazgos comunitarios y silenciar las voces disidentes.  </w:t>
      </w:r>
    </w:p>
    <w:p w14:paraId="7279AAD2" w14:textId="77777777" w:rsidR="007D3173" w:rsidRDefault="00000000">
      <w:pPr>
        <w:numPr>
          <w:ilvl w:val="0"/>
          <w:numId w:val="3"/>
        </w:numPr>
        <w:pBdr>
          <w:top w:val="nil"/>
          <w:left w:val="nil"/>
          <w:bottom w:val="nil"/>
          <w:right w:val="nil"/>
          <w:between w:val="nil"/>
        </w:pBdr>
        <w:spacing w:before="120" w:after="120" w:line="276" w:lineRule="auto"/>
        <w:ind w:right="113"/>
        <w:jc w:val="both"/>
        <w:rPr>
          <w:i/>
          <w:color w:val="000000"/>
          <w:sz w:val="24"/>
          <w:szCs w:val="24"/>
        </w:rPr>
      </w:pPr>
      <w:r>
        <w:rPr>
          <w:i/>
          <w:color w:val="000000"/>
          <w:sz w:val="24"/>
          <w:szCs w:val="24"/>
        </w:rPr>
        <w:t>Estigmatización y persecución de lideres de la protesta indígena</w:t>
      </w:r>
    </w:p>
    <w:p w14:paraId="409B33C0" w14:textId="36596E56" w:rsidR="007D3173" w:rsidRDefault="00000000">
      <w:pPr>
        <w:pBdr>
          <w:top w:val="nil"/>
          <w:left w:val="nil"/>
          <w:bottom w:val="nil"/>
          <w:right w:val="nil"/>
          <w:between w:val="nil"/>
        </w:pBdr>
        <w:spacing w:before="120" w:after="120" w:line="276" w:lineRule="auto"/>
        <w:ind w:right="113"/>
        <w:jc w:val="both"/>
        <w:rPr>
          <w:color w:val="000000"/>
          <w:sz w:val="24"/>
          <w:szCs w:val="24"/>
        </w:rPr>
      </w:pPr>
      <w:r>
        <w:rPr>
          <w:color w:val="000000"/>
          <w:sz w:val="24"/>
          <w:szCs w:val="24"/>
        </w:rPr>
        <w:t xml:space="preserve">Por otra parte, las declaraciones de altos funcionarios públicos que revisten un carácter discriminatorio y promueven el uso indebido del aparato represivo son preocupantes. Entre ellas, las declaraciones mediante canales oficiales del entonces presidente Alejandro </w:t>
      </w:r>
      <w:proofErr w:type="spellStart"/>
      <w:r>
        <w:rPr>
          <w:color w:val="000000"/>
          <w:sz w:val="24"/>
          <w:szCs w:val="24"/>
        </w:rPr>
        <w:t>Giammattei</w:t>
      </w:r>
      <w:proofErr w:type="spellEnd"/>
      <w:r>
        <w:rPr>
          <w:color w:val="000000"/>
          <w:sz w:val="24"/>
          <w:szCs w:val="24"/>
        </w:rPr>
        <w:t xml:space="preserve"> que afirmó que </w:t>
      </w:r>
      <w:r>
        <w:rPr>
          <w:b/>
          <w:color w:val="000000"/>
          <w:sz w:val="24"/>
          <w:szCs w:val="24"/>
        </w:rPr>
        <w:t>“ya no se tolerarán todos los actos fuera de lo establecido en la ley”</w:t>
      </w:r>
      <w:r>
        <w:rPr>
          <w:color w:val="000000"/>
          <w:sz w:val="24"/>
          <w:szCs w:val="24"/>
        </w:rPr>
        <w:t xml:space="preserve"> y que </w:t>
      </w:r>
      <w:r>
        <w:rPr>
          <w:b/>
          <w:color w:val="000000"/>
          <w:sz w:val="24"/>
          <w:szCs w:val="24"/>
        </w:rPr>
        <w:t>“los bloqueos son ilegales”</w:t>
      </w:r>
      <w:r>
        <w:rPr>
          <w:color w:val="000000"/>
          <w:sz w:val="24"/>
          <w:szCs w:val="24"/>
          <w:vertAlign w:val="superscript"/>
        </w:rPr>
        <w:footnoteReference w:id="35"/>
      </w:r>
      <w:r>
        <w:rPr>
          <w:color w:val="000000"/>
          <w:sz w:val="24"/>
          <w:szCs w:val="24"/>
        </w:rPr>
        <w:t xml:space="preserve">. Estas afirmaciones constituyen una estigmatización directa del derecho a la protesta pacífica, especialmente cuando son dirigidas contra movilizaciones indígenas, desconociendo las garantías de libertad de expresión y reunión, representando una restricción desproporcionada. </w:t>
      </w:r>
    </w:p>
    <w:p w14:paraId="1D1D1129" w14:textId="77777777" w:rsidR="007D3173" w:rsidRDefault="00000000">
      <w:pPr>
        <w:pBdr>
          <w:top w:val="nil"/>
          <w:left w:val="nil"/>
          <w:bottom w:val="nil"/>
          <w:right w:val="nil"/>
          <w:between w:val="nil"/>
        </w:pBdr>
        <w:spacing w:before="120" w:after="120" w:line="276" w:lineRule="auto"/>
        <w:ind w:right="113"/>
        <w:jc w:val="both"/>
        <w:rPr>
          <w:color w:val="000000"/>
          <w:sz w:val="24"/>
          <w:szCs w:val="24"/>
        </w:rPr>
      </w:pPr>
      <w:r>
        <w:rPr>
          <w:color w:val="000000"/>
          <w:sz w:val="24"/>
          <w:szCs w:val="24"/>
        </w:rPr>
        <w:t xml:space="preserve">Estas declaraciones estigmatizantes de altos funcionarios en el marco de protestas pacíficas violan los </w:t>
      </w:r>
      <w:r>
        <w:rPr>
          <w:b/>
          <w:color w:val="000000"/>
          <w:sz w:val="24"/>
          <w:szCs w:val="24"/>
        </w:rPr>
        <w:t>artículos 2(1)(a) y (c), 4(c) y 5(d)(</w:t>
      </w:r>
      <w:proofErr w:type="spellStart"/>
      <w:r>
        <w:rPr>
          <w:b/>
          <w:color w:val="000000"/>
          <w:sz w:val="24"/>
          <w:szCs w:val="24"/>
        </w:rPr>
        <w:t>viii</w:t>
      </w:r>
      <w:proofErr w:type="spellEnd"/>
      <w:r>
        <w:rPr>
          <w:b/>
          <w:color w:val="000000"/>
          <w:sz w:val="24"/>
          <w:szCs w:val="24"/>
        </w:rPr>
        <w:t>)</w:t>
      </w:r>
      <w:r>
        <w:rPr>
          <w:color w:val="000000"/>
          <w:sz w:val="24"/>
          <w:szCs w:val="24"/>
        </w:rPr>
        <w:t xml:space="preserve"> de la ICERD. En efecto, el Estado tiene la obligación de abstenerse de incitar directa o indirectamente al odio racial, y de garantizar la igualdad en el goce de los derechos civiles y políticos, incluidos los derechos a la libertad de expresión, de reunión y de participación política. La utilización del derecho penal y del discurso oficial para silenciar o castigar a las voces disidentes indígenas constituye una forma de discriminación institucional incompatible con el deber de prevenir, prohibir y erradicar toda manifestación de racismo, especialmente cuando </w:t>
      </w:r>
      <w:r>
        <w:rPr>
          <w:color w:val="000000"/>
          <w:sz w:val="24"/>
          <w:szCs w:val="24"/>
        </w:rPr>
        <w:lastRenderedPageBreak/>
        <w:t>proviene del aparato estatal.</w:t>
      </w:r>
    </w:p>
    <w:p w14:paraId="7F282583" w14:textId="77777777" w:rsidR="007D3173" w:rsidRDefault="00000000">
      <w:pPr>
        <w:pStyle w:val="Ttulo2"/>
        <w:numPr>
          <w:ilvl w:val="0"/>
          <w:numId w:val="1"/>
        </w:numPr>
        <w:spacing w:line="276" w:lineRule="auto"/>
        <w:ind w:left="241"/>
      </w:pPr>
      <w:r>
        <w:t xml:space="preserve">Libertad de expresión y derecho a la comunicación indígena (párr. 15 y 23 de la lista de temas) </w:t>
      </w:r>
    </w:p>
    <w:p w14:paraId="423407B4" w14:textId="4B79CFDC" w:rsidR="007D3173" w:rsidRDefault="00000000">
      <w:pPr>
        <w:pBdr>
          <w:top w:val="nil"/>
          <w:left w:val="nil"/>
          <w:bottom w:val="nil"/>
          <w:right w:val="nil"/>
          <w:between w:val="nil"/>
        </w:pBdr>
        <w:spacing w:before="120" w:after="120" w:line="276" w:lineRule="auto"/>
        <w:ind w:right="113"/>
        <w:jc w:val="both"/>
        <w:rPr>
          <w:color w:val="000000"/>
          <w:sz w:val="24"/>
          <w:szCs w:val="24"/>
        </w:rPr>
      </w:pPr>
      <w:r>
        <w:rPr>
          <w:color w:val="000000"/>
          <w:sz w:val="24"/>
          <w:szCs w:val="24"/>
        </w:rPr>
        <w:t>El ejercicio del periodismo comunitario y el derecho a la comunicación indígena continúan siendo restringidos en Guatemala por prácticas estatales de criminalización selectiva de comunicadores indígenas como forma sistemática de represión estatal contra el derecho a la libre expresión y a la comunicación propia de los pueblos indígenas</w:t>
      </w:r>
      <w:r>
        <w:rPr>
          <w:color w:val="000000"/>
          <w:sz w:val="24"/>
          <w:szCs w:val="24"/>
          <w:vertAlign w:val="superscript"/>
        </w:rPr>
        <w:footnoteReference w:id="36"/>
      </w:r>
      <w:r>
        <w:rPr>
          <w:color w:val="000000"/>
          <w:sz w:val="24"/>
          <w:szCs w:val="24"/>
        </w:rPr>
        <w:t>, agravado por el uso de estructuras locales de poder, en colusión con actores estatales, empresas y redes criminales, para reprimir y censurar a quienes informan sobre conflictos territoriales y derechos humanos</w:t>
      </w:r>
      <w:r>
        <w:rPr>
          <w:color w:val="000000"/>
          <w:sz w:val="24"/>
          <w:szCs w:val="24"/>
          <w:vertAlign w:val="superscript"/>
        </w:rPr>
        <w:footnoteReference w:id="37"/>
      </w:r>
      <w:r>
        <w:rPr>
          <w:color w:val="000000"/>
          <w:sz w:val="24"/>
          <w:szCs w:val="24"/>
        </w:rPr>
        <w:t>.</w:t>
      </w:r>
    </w:p>
    <w:p w14:paraId="61185AA2" w14:textId="48DE741D" w:rsidR="007D3173" w:rsidRDefault="00000000">
      <w:pPr>
        <w:pBdr>
          <w:top w:val="nil"/>
          <w:left w:val="nil"/>
          <w:bottom w:val="nil"/>
          <w:right w:val="nil"/>
          <w:between w:val="nil"/>
        </w:pBdr>
        <w:spacing w:before="120" w:after="120" w:line="276" w:lineRule="auto"/>
        <w:ind w:right="113"/>
        <w:jc w:val="both"/>
        <w:rPr>
          <w:color w:val="000000"/>
          <w:sz w:val="24"/>
          <w:szCs w:val="24"/>
        </w:rPr>
      </w:pPr>
      <w:r>
        <w:rPr>
          <w:color w:val="000000"/>
          <w:sz w:val="24"/>
          <w:szCs w:val="24"/>
        </w:rPr>
        <w:t xml:space="preserve">Guatemala consta con un marco normativo discriminatorio que genera un modelo de comunicación concentrado en manos privadas y comerciales, sin garantizar mecanismos que aseguren la diversidad de voces ni la equidad en el acceso al espectro radioeléctrico. Así, la </w:t>
      </w:r>
      <w:hyperlink r:id="rId14">
        <w:r w:rsidR="007D3173">
          <w:rPr>
            <w:color w:val="0000FF"/>
            <w:sz w:val="24"/>
            <w:szCs w:val="24"/>
            <w:u w:val="single"/>
          </w:rPr>
          <w:t>Ley General de Telecomunicaciones</w:t>
        </w:r>
      </w:hyperlink>
      <w:r>
        <w:rPr>
          <w:color w:val="000000"/>
          <w:sz w:val="24"/>
          <w:szCs w:val="24"/>
        </w:rPr>
        <w:t xml:space="preserve"> de 1996 </w:t>
      </w:r>
      <w:r>
        <w:rPr>
          <w:b/>
          <w:color w:val="000000"/>
          <w:sz w:val="24"/>
          <w:szCs w:val="24"/>
        </w:rPr>
        <w:t>mantiene un sistema de subasta y mercantilización del espectro, lo que ha excluido de facto a las radios comunitarias indígenas</w:t>
      </w:r>
      <w:r>
        <w:rPr>
          <w:color w:val="000000"/>
          <w:sz w:val="24"/>
          <w:szCs w:val="24"/>
        </w:rPr>
        <w:t>, vulnerando el principio de pluralismo informativo y negando a los pueblos indígenas su derecho a participar en la vida cultural y comunicacional del país</w:t>
      </w:r>
      <w:r>
        <w:rPr>
          <w:color w:val="000000"/>
          <w:sz w:val="24"/>
          <w:szCs w:val="24"/>
          <w:vertAlign w:val="superscript"/>
        </w:rPr>
        <w:footnoteReference w:id="38"/>
      </w:r>
      <w:r>
        <w:rPr>
          <w:color w:val="000000"/>
          <w:sz w:val="24"/>
          <w:szCs w:val="24"/>
        </w:rPr>
        <w:t xml:space="preserve">. En su sentencia sobre el caso </w:t>
      </w:r>
      <w:r>
        <w:rPr>
          <w:b/>
          <w:i/>
          <w:color w:val="000000"/>
          <w:sz w:val="24"/>
          <w:szCs w:val="24"/>
        </w:rPr>
        <w:t>Pueblos Indígenas Maya Kaqchikel de Sumpango y otros vs. Guatemala</w:t>
      </w:r>
      <w:r>
        <w:rPr>
          <w:color w:val="000000"/>
          <w:sz w:val="24"/>
          <w:szCs w:val="24"/>
        </w:rPr>
        <w:t xml:space="preserve">, la Corte IDH estableció la responsabilidad internacional del Estado por violaciones de la libertad de expresión, de la igualdad ante la ley y de los derechos culturales de los pueblos indígenas. La Corte IDH ordenó como medidas de reparación modificar la legislación nacional, garantizar un procedimiento simple, transparente y económicamente accesible para la obtención de </w:t>
      </w:r>
      <w:r w:rsidR="00221188">
        <w:rPr>
          <w:color w:val="000000"/>
          <w:sz w:val="24"/>
          <w:szCs w:val="24"/>
        </w:rPr>
        <w:t>licencias,</w:t>
      </w:r>
      <w:r>
        <w:rPr>
          <w:color w:val="000000"/>
          <w:sz w:val="24"/>
          <w:szCs w:val="24"/>
        </w:rPr>
        <w:t xml:space="preserve"> así como cesar toda sanción penal contra quienes operan radios comunitarias indígenas</w:t>
      </w:r>
      <w:r>
        <w:rPr>
          <w:color w:val="000000"/>
          <w:sz w:val="24"/>
          <w:szCs w:val="24"/>
          <w:vertAlign w:val="superscript"/>
        </w:rPr>
        <w:footnoteReference w:id="39"/>
      </w:r>
      <w:r>
        <w:rPr>
          <w:color w:val="000000"/>
          <w:sz w:val="24"/>
          <w:szCs w:val="24"/>
        </w:rPr>
        <w:t xml:space="preserve">. </w:t>
      </w:r>
    </w:p>
    <w:p w14:paraId="7E59D54F" w14:textId="77777777" w:rsidR="007D3173" w:rsidRDefault="00000000">
      <w:pPr>
        <w:pBdr>
          <w:top w:val="nil"/>
          <w:left w:val="nil"/>
          <w:bottom w:val="nil"/>
          <w:right w:val="nil"/>
          <w:between w:val="nil"/>
        </w:pBdr>
        <w:spacing w:before="120" w:after="120" w:line="276" w:lineRule="auto"/>
        <w:ind w:right="113"/>
        <w:jc w:val="both"/>
        <w:rPr>
          <w:color w:val="000000"/>
          <w:sz w:val="24"/>
          <w:szCs w:val="24"/>
        </w:rPr>
      </w:pPr>
      <w:r>
        <w:rPr>
          <w:color w:val="000000"/>
          <w:sz w:val="24"/>
          <w:szCs w:val="24"/>
        </w:rPr>
        <w:t xml:space="preserve">Sin embargo, hasta la fecha, el Estado ha incumplido de forma sistemática estas </w:t>
      </w:r>
      <w:r>
        <w:rPr>
          <w:color w:val="000000"/>
          <w:sz w:val="24"/>
          <w:szCs w:val="24"/>
        </w:rPr>
        <w:lastRenderedPageBreak/>
        <w:t>obligaciones</w:t>
      </w:r>
      <w:r>
        <w:rPr>
          <w:color w:val="000000"/>
          <w:sz w:val="24"/>
          <w:szCs w:val="24"/>
          <w:vertAlign w:val="superscript"/>
        </w:rPr>
        <w:footnoteReference w:id="40"/>
      </w:r>
      <w:r>
        <w:rPr>
          <w:color w:val="000000"/>
          <w:sz w:val="24"/>
          <w:szCs w:val="24"/>
        </w:rPr>
        <w:t xml:space="preserve">, </w:t>
      </w:r>
      <w:r>
        <w:rPr>
          <w:b/>
          <w:color w:val="000000"/>
          <w:sz w:val="24"/>
          <w:szCs w:val="24"/>
        </w:rPr>
        <w:t>perpetuando un sistema de exclusión estructural del acceso a los medios de comunicación por parte de los pueblos indígenas</w:t>
      </w:r>
      <w:r>
        <w:rPr>
          <w:color w:val="000000"/>
          <w:sz w:val="24"/>
          <w:szCs w:val="24"/>
        </w:rPr>
        <w:t xml:space="preserve">. Es más, en enero de 2022, se presentó ante el Congreso la </w:t>
      </w:r>
      <w:hyperlink r:id="rId15">
        <w:r w:rsidR="007D3173">
          <w:rPr>
            <w:color w:val="0000FF"/>
            <w:sz w:val="24"/>
            <w:szCs w:val="24"/>
            <w:u w:val="single"/>
          </w:rPr>
          <w:t>Iniciativa de Ley 5965, Ley Reguladora de las Radios Comunitarias</w:t>
        </w:r>
      </w:hyperlink>
      <w:r>
        <w:rPr>
          <w:color w:val="000000"/>
          <w:sz w:val="24"/>
          <w:szCs w:val="24"/>
        </w:rPr>
        <w:t xml:space="preserve"> para reformar dicha Ley General de Telecomunicaciones. Dicha propuesta fue rechazada por el Movimiento de Radios Comunitarias de Guatemala, integrado por más de 60 emisoras, por no cumplir los estándares fijados por la Corte Interamericana</w:t>
      </w:r>
      <w:r>
        <w:rPr>
          <w:color w:val="000000"/>
          <w:sz w:val="24"/>
          <w:szCs w:val="24"/>
          <w:vertAlign w:val="superscript"/>
        </w:rPr>
        <w:footnoteReference w:id="41"/>
      </w:r>
      <w:r>
        <w:rPr>
          <w:color w:val="000000"/>
          <w:sz w:val="24"/>
          <w:szCs w:val="24"/>
        </w:rPr>
        <w:t xml:space="preserve">, subrayando la falta de consulta previa con los pueblos indígenas, la ambigüedad del procedimiento de licenciamiento, la omisión en definir la radio comunitaria indígena y la ausencia de medidas afirmativas que garanticen su acceso al espectro. </w:t>
      </w:r>
    </w:p>
    <w:p w14:paraId="57593D72" w14:textId="77777777" w:rsidR="007D3173" w:rsidRDefault="00000000">
      <w:pPr>
        <w:pBdr>
          <w:top w:val="nil"/>
          <w:left w:val="nil"/>
          <w:bottom w:val="nil"/>
          <w:right w:val="nil"/>
          <w:between w:val="nil"/>
        </w:pBdr>
        <w:spacing w:before="120" w:after="120" w:line="276" w:lineRule="auto"/>
        <w:ind w:right="113"/>
        <w:jc w:val="both"/>
        <w:rPr>
          <w:color w:val="000000"/>
          <w:sz w:val="24"/>
          <w:szCs w:val="24"/>
        </w:rPr>
      </w:pPr>
      <w:r>
        <w:rPr>
          <w:color w:val="000000"/>
          <w:sz w:val="24"/>
          <w:szCs w:val="24"/>
        </w:rPr>
        <w:t xml:space="preserve">Eso constituye una clara violación de los </w:t>
      </w:r>
      <w:r>
        <w:rPr>
          <w:b/>
          <w:color w:val="000000"/>
          <w:sz w:val="24"/>
          <w:szCs w:val="24"/>
        </w:rPr>
        <w:t>artículos 2(1)(a) y (c), 2(2), 5(d)(</w:t>
      </w:r>
      <w:proofErr w:type="spellStart"/>
      <w:r>
        <w:rPr>
          <w:b/>
          <w:color w:val="000000"/>
          <w:sz w:val="24"/>
          <w:szCs w:val="24"/>
        </w:rPr>
        <w:t>viii</w:t>
      </w:r>
      <w:proofErr w:type="spellEnd"/>
      <w:r>
        <w:rPr>
          <w:b/>
          <w:color w:val="000000"/>
          <w:sz w:val="24"/>
          <w:szCs w:val="24"/>
        </w:rPr>
        <w:t>), 5(e)(vi) y 6</w:t>
      </w:r>
      <w:r>
        <w:rPr>
          <w:color w:val="000000"/>
          <w:sz w:val="24"/>
          <w:szCs w:val="24"/>
        </w:rPr>
        <w:t xml:space="preserve"> de la ICERD. El Estado guatemalteco tiene la obligación de adoptar medidas inmediatas y efectivas para eliminar toda forma de discriminación en el acceso a medios de comunicación, así como garantizar a los pueblos indígenas el derecho a la libertad de expresión, a la participación en la vida cultural y a la comunicación en condiciones de igualdad. La persistencia de un marco jurídico que excluye a las radios comunitarias indígenas, junto con prácticas de persecución penal y censura, perpetúa un sistema de exclusión étnica y cultural, contrario a los principios de pluralismo, igualdad y no discriminación consagrados en la Convención.</w:t>
      </w:r>
    </w:p>
    <w:p w14:paraId="15972119" w14:textId="77777777" w:rsidR="007D3173" w:rsidRDefault="00000000">
      <w:pPr>
        <w:pStyle w:val="Ttulo2"/>
        <w:numPr>
          <w:ilvl w:val="0"/>
          <w:numId w:val="1"/>
        </w:numPr>
        <w:spacing w:line="276" w:lineRule="auto"/>
        <w:ind w:left="241"/>
      </w:pPr>
      <w:r>
        <w:t>Participación política y exclusión de actores indígenas (párr. 11 de la lista de temas)</w:t>
      </w:r>
    </w:p>
    <w:p w14:paraId="61DD7806" w14:textId="617EF27C" w:rsidR="007D3173" w:rsidRDefault="00000000">
      <w:pPr>
        <w:pBdr>
          <w:top w:val="nil"/>
          <w:left w:val="nil"/>
          <w:bottom w:val="nil"/>
          <w:right w:val="nil"/>
          <w:between w:val="nil"/>
        </w:pBdr>
        <w:spacing w:before="120" w:after="120" w:line="276" w:lineRule="auto"/>
        <w:ind w:right="113"/>
        <w:jc w:val="both"/>
        <w:rPr>
          <w:color w:val="000000"/>
          <w:sz w:val="24"/>
          <w:szCs w:val="24"/>
        </w:rPr>
      </w:pPr>
      <w:r>
        <w:rPr>
          <w:color w:val="000000"/>
          <w:sz w:val="24"/>
          <w:szCs w:val="24"/>
        </w:rPr>
        <w:t xml:space="preserve">La exclusión sistemática de los pueblos indígenas de los espacios de decisión política en Guatemala constituye una manifestación persistente de discriminación estructural y una negación del principio de igualdad. A pesar de que representan una parte sustancial de la población nacional, los pueblos indígenas carecen de mecanismos efectivos de representación diferenciada en los órganos legislativos, ejecutivos y judiciales del Estado. La </w:t>
      </w:r>
      <w:hyperlink r:id="rId16">
        <w:r w:rsidR="007D3173">
          <w:rPr>
            <w:color w:val="0000FF"/>
            <w:sz w:val="24"/>
            <w:szCs w:val="24"/>
            <w:u w:val="single"/>
          </w:rPr>
          <w:t>Ley Electoral y de Partidos Políticos</w:t>
        </w:r>
      </w:hyperlink>
      <w:r>
        <w:rPr>
          <w:color w:val="000000"/>
          <w:sz w:val="24"/>
          <w:szCs w:val="24"/>
        </w:rPr>
        <w:t xml:space="preserve"> </w:t>
      </w:r>
      <w:r>
        <w:rPr>
          <w:b/>
          <w:color w:val="000000"/>
          <w:sz w:val="24"/>
          <w:szCs w:val="24"/>
        </w:rPr>
        <w:t>no contempla cuotas étnicas, circunscripciones especiales ni medidas de acción afirmativa</w:t>
      </w:r>
      <w:r>
        <w:rPr>
          <w:color w:val="000000"/>
          <w:sz w:val="24"/>
          <w:szCs w:val="24"/>
        </w:rPr>
        <w:t xml:space="preserve"> que garanticen su participación sustantiva en el sistema político. El Estado guatemalteco no reconoce ni otorga personalidad jurídica a las formas propias de organización y de gobierno indígena, como los sistemas de autoridades ancestrales, consejos comunitarios y parlamentos territoriales. Por lo tanto, organizaciones históricas como los </w:t>
      </w:r>
      <w:r>
        <w:rPr>
          <w:b/>
          <w:color w:val="000000"/>
          <w:sz w:val="24"/>
          <w:szCs w:val="24"/>
        </w:rPr>
        <w:t xml:space="preserve">48 Cantones de </w:t>
      </w:r>
      <w:r>
        <w:rPr>
          <w:b/>
          <w:color w:val="000000"/>
          <w:sz w:val="24"/>
          <w:szCs w:val="24"/>
        </w:rPr>
        <w:lastRenderedPageBreak/>
        <w:t>Totonicapán</w:t>
      </w:r>
      <w:r>
        <w:rPr>
          <w:color w:val="000000"/>
          <w:sz w:val="24"/>
          <w:szCs w:val="24"/>
        </w:rPr>
        <w:t xml:space="preserve"> son regularmente excluidas de los procesos de decisión pública, sin vías institucionales para incidir en políticas que impactan sus territorios, lo cual representa un </w:t>
      </w:r>
      <w:r>
        <w:rPr>
          <w:b/>
          <w:color w:val="000000"/>
          <w:sz w:val="24"/>
          <w:szCs w:val="24"/>
        </w:rPr>
        <w:t>obstáculo estructural</w:t>
      </w:r>
      <w:r>
        <w:rPr>
          <w:color w:val="000000"/>
          <w:sz w:val="24"/>
          <w:szCs w:val="24"/>
        </w:rPr>
        <w:t xml:space="preserve"> a la participación efectiva de los pueblos en la vida democrática del país</w:t>
      </w:r>
      <w:r>
        <w:rPr>
          <w:color w:val="000000"/>
          <w:sz w:val="24"/>
          <w:szCs w:val="24"/>
          <w:vertAlign w:val="superscript"/>
        </w:rPr>
        <w:footnoteReference w:id="42"/>
      </w:r>
      <w:r>
        <w:rPr>
          <w:color w:val="000000"/>
          <w:sz w:val="24"/>
          <w:szCs w:val="24"/>
        </w:rPr>
        <w:t xml:space="preserve">. En el caso del </w:t>
      </w:r>
      <w:r>
        <w:rPr>
          <w:b/>
          <w:color w:val="000000"/>
          <w:sz w:val="24"/>
          <w:szCs w:val="24"/>
        </w:rPr>
        <w:t xml:space="preserve">Parlamento </w:t>
      </w:r>
      <w:proofErr w:type="spellStart"/>
      <w:r>
        <w:rPr>
          <w:b/>
          <w:color w:val="000000"/>
          <w:sz w:val="24"/>
          <w:szCs w:val="24"/>
        </w:rPr>
        <w:t>Xinka</w:t>
      </w:r>
      <w:proofErr w:type="spellEnd"/>
      <w:r>
        <w:rPr>
          <w:color w:val="000000"/>
          <w:sz w:val="24"/>
          <w:szCs w:val="24"/>
        </w:rPr>
        <w:t xml:space="preserve">, las presiones estatales y la negativa constante a reconocer su legitimidad como actor de consulta, especialmente en el contexto de proyectos extractivos como El </w:t>
      </w:r>
      <w:proofErr w:type="spellStart"/>
      <w:r>
        <w:rPr>
          <w:color w:val="000000"/>
          <w:sz w:val="24"/>
          <w:szCs w:val="24"/>
        </w:rPr>
        <w:t>Escobal</w:t>
      </w:r>
      <w:proofErr w:type="spellEnd"/>
      <w:r>
        <w:rPr>
          <w:color w:val="000000"/>
          <w:sz w:val="24"/>
          <w:szCs w:val="24"/>
        </w:rPr>
        <w:t xml:space="preserve">, perpetúan un modelo de democracia formal que ignora la pluralidad étnica del país y socava la legitimidad del sistema democrático, profundizando la brecha estructural entre el Estado y los pueblos indígenas, vulnerando el derecho a la libre determinación, impidiendo la autonomía política y debilitando la capacidad de autogobierno territorial; vulnerando directamente los </w:t>
      </w:r>
      <w:r>
        <w:rPr>
          <w:b/>
          <w:color w:val="000000"/>
          <w:sz w:val="24"/>
          <w:szCs w:val="24"/>
        </w:rPr>
        <w:t>artículos 1(4), 2(1)(c), 2(2), 5(c), 5(d)(</w:t>
      </w:r>
      <w:proofErr w:type="spellStart"/>
      <w:r>
        <w:rPr>
          <w:b/>
          <w:color w:val="000000"/>
          <w:sz w:val="24"/>
          <w:szCs w:val="24"/>
        </w:rPr>
        <w:t>viii</w:t>
      </w:r>
      <w:proofErr w:type="spellEnd"/>
      <w:r>
        <w:rPr>
          <w:b/>
          <w:color w:val="000000"/>
          <w:sz w:val="24"/>
          <w:szCs w:val="24"/>
        </w:rPr>
        <w:t>) y 5(e)(vi) de la ICERD.</w:t>
      </w:r>
      <w:r>
        <w:rPr>
          <w:color w:val="000000"/>
          <w:sz w:val="24"/>
          <w:szCs w:val="24"/>
        </w:rPr>
        <w:t xml:space="preserve"> </w:t>
      </w:r>
    </w:p>
    <w:p w14:paraId="08526403" w14:textId="77777777" w:rsidR="007D3173" w:rsidRDefault="00000000">
      <w:pPr>
        <w:pStyle w:val="Ttulo2"/>
        <w:numPr>
          <w:ilvl w:val="0"/>
          <w:numId w:val="1"/>
        </w:numPr>
        <w:spacing w:line="276" w:lineRule="auto"/>
        <w:ind w:left="241"/>
      </w:pPr>
      <w:r>
        <w:t>Discriminación racial en contextos de movilidad humana (párr. 23, 24 y 25 de la lista de temas)</w:t>
      </w:r>
    </w:p>
    <w:p w14:paraId="5BD374CB" w14:textId="77777777" w:rsidR="007D3173" w:rsidRDefault="00000000">
      <w:pPr>
        <w:pBdr>
          <w:top w:val="nil"/>
          <w:left w:val="nil"/>
          <w:bottom w:val="nil"/>
          <w:right w:val="nil"/>
          <w:between w:val="nil"/>
        </w:pBdr>
        <w:spacing w:before="120" w:after="120" w:line="276" w:lineRule="auto"/>
        <w:ind w:right="113"/>
        <w:jc w:val="both"/>
        <w:rPr>
          <w:color w:val="000000"/>
          <w:sz w:val="24"/>
          <w:szCs w:val="24"/>
        </w:rPr>
      </w:pPr>
      <w:r>
        <w:rPr>
          <w:color w:val="000000"/>
          <w:sz w:val="24"/>
          <w:szCs w:val="24"/>
        </w:rPr>
        <w:t>En la última década, Guatemala ha pasado de ser esencialmente un país de origen de personas migrantes, a ser cada vez más un territorio de tránsito y retorno, así como de destino. En 2023, Guatemala experimentó un alto flujo de migrantes, con más de un millón de personas ingresando al país, población principalmente de Venezuela y de Honduras</w:t>
      </w:r>
      <w:r>
        <w:rPr>
          <w:color w:val="000000"/>
          <w:sz w:val="24"/>
          <w:szCs w:val="24"/>
          <w:vertAlign w:val="superscript"/>
        </w:rPr>
        <w:footnoteReference w:id="43"/>
      </w:r>
      <w:r>
        <w:rPr>
          <w:color w:val="000000"/>
          <w:sz w:val="24"/>
          <w:szCs w:val="24"/>
        </w:rPr>
        <w:t>. Sin embargo, la mayoría de la movilidad humana es interna</w:t>
      </w:r>
      <w:r>
        <w:rPr>
          <w:color w:val="000000"/>
          <w:sz w:val="24"/>
          <w:szCs w:val="24"/>
          <w:vertAlign w:val="superscript"/>
        </w:rPr>
        <w:footnoteReference w:id="44"/>
      </w:r>
      <w:r>
        <w:rPr>
          <w:color w:val="000000"/>
          <w:sz w:val="24"/>
          <w:szCs w:val="24"/>
        </w:rPr>
        <w:t xml:space="preserve"> y tiene como causas estructurales la violencia generalizada, el crimen organizado, la violencia de género, el cambio climático</w:t>
      </w:r>
      <w:r>
        <w:rPr>
          <w:color w:val="000000"/>
          <w:sz w:val="24"/>
          <w:szCs w:val="24"/>
          <w:vertAlign w:val="superscript"/>
        </w:rPr>
        <w:footnoteReference w:id="45"/>
      </w:r>
      <w:r>
        <w:rPr>
          <w:color w:val="000000"/>
          <w:sz w:val="24"/>
          <w:szCs w:val="24"/>
        </w:rPr>
        <w:t xml:space="preserve">, el despojo territorial y la movilidad forzada como consecuencias de la reconcentración de la tierra y de la presión extractiva que han </w:t>
      </w:r>
      <w:r>
        <w:rPr>
          <w:b/>
          <w:color w:val="000000"/>
          <w:sz w:val="24"/>
          <w:szCs w:val="24"/>
        </w:rPr>
        <w:t>incrementado la migración en comunidades indígenas</w:t>
      </w:r>
      <w:r>
        <w:rPr>
          <w:color w:val="000000"/>
          <w:sz w:val="24"/>
          <w:szCs w:val="24"/>
        </w:rPr>
        <w:t xml:space="preserve">, especialmente </w:t>
      </w:r>
      <w:proofErr w:type="spellStart"/>
      <w:r>
        <w:rPr>
          <w:color w:val="000000"/>
          <w:sz w:val="24"/>
          <w:szCs w:val="24"/>
        </w:rPr>
        <w:t>Qʼeqchiʼ</w:t>
      </w:r>
      <w:proofErr w:type="spellEnd"/>
      <w:r>
        <w:rPr>
          <w:color w:val="000000"/>
          <w:sz w:val="24"/>
          <w:szCs w:val="24"/>
        </w:rPr>
        <w:t xml:space="preserve"> y </w:t>
      </w:r>
      <w:proofErr w:type="spellStart"/>
      <w:r>
        <w:rPr>
          <w:color w:val="000000"/>
          <w:sz w:val="24"/>
          <w:szCs w:val="24"/>
        </w:rPr>
        <w:t>Poqomchiʼ</w:t>
      </w:r>
      <w:proofErr w:type="spellEnd"/>
      <w:r>
        <w:rPr>
          <w:color w:val="000000"/>
          <w:sz w:val="24"/>
          <w:szCs w:val="24"/>
        </w:rPr>
        <w:t>, en las tierras bajas del norte de Guatemala, departamento de Alta Verapaz, sur de Petén y noreste de Izabal, zonas que forman parte de la Franja Transversal del Norte</w:t>
      </w:r>
      <w:r>
        <w:rPr>
          <w:color w:val="000000"/>
          <w:sz w:val="24"/>
          <w:szCs w:val="24"/>
          <w:vertAlign w:val="superscript"/>
        </w:rPr>
        <w:footnoteReference w:id="46"/>
      </w:r>
      <w:r>
        <w:rPr>
          <w:color w:val="000000"/>
          <w:sz w:val="24"/>
          <w:szCs w:val="24"/>
        </w:rPr>
        <w:t xml:space="preserve">. </w:t>
      </w:r>
    </w:p>
    <w:p w14:paraId="5A34884E" w14:textId="77777777" w:rsidR="007D3173" w:rsidRDefault="00000000">
      <w:pPr>
        <w:pBdr>
          <w:top w:val="nil"/>
          <w:left w:val="nil"/>
          <w:bottom w:val="nil"/>
          <w:right w:val="nil"/>
          <w:between w:val="nil"/>
        </w:pBdr>
        <w:spacing w:before="120" w:after="120" w:line="276" w:lineRule="auto"/>
        <w:ind w:right="113"/>
        <w:jc w:val="both"/>
        <w:rPr>
          <w:color w:val="000000"/>
          <w:sz w:val="24"/>
          <w:szCs w:val="24"/>
        </w:rPr>
      </w:pPr>
      <w:r>
        <w:rPr>
          <w:color w:val="000000"/>
          <w:sz w:val="24"/>
          <w:szCs w:val="24"/>
        </w:rPr>
        <w:t xml:space="preserve">En este contexto, el Fondo de Población de las Naciones Unidas (“UNFPA”) documenta que </w:t>
      </w:r>
      <w:r>
        <w:rPr>
          <w:b/>
          <w:color w:val="000000"/>
          <w:sz w:val="24"/>
          <w:szCs w:val="24"/>
        </w:rPr>
        <w:t xml:space="preserve">6 de cada 10 mujeres y niñas migrantes enfrentan violencia durante su trayectoria, </w:t>
      </w:r>
      <w:r>
        <w:rPr>
          <w:color w:val="000000"/>
          <w:sz w:val="24"/>
          <w:szCs w:val="24"/>
        </w:rPr>
        <w:t>siendo las indígenas y LGBTQIA+ las más expuestas</w:t>
      </w:r>
      <w:r>
        <w:rPr>
          <w:color w:val="000000"/>
          <w:sz w:val="24"/>
          <w:szCs w:val="24"/>
          <w:vertAlign w:val="superscript"/>
        </w:rPr>
        <w:footnoteReference w:id="47"/>
      </w:r>
      <w:r>
        <w:rPr>
          <w:color w:val="000000"/>
          <w:sz w:val="24"/>
          <w:szCs w:val="24"/>
        </w:rPr>
        <w:t xml:space="preserve">. Se documentaron </w:t>
      </w:r>
      <w:r>
        <w:rPr>
          <w:color w:val="000000"/>
          <w:sz w:val="24"/>
          <w:szCs w:val="24"/>
        </w:rPr>
        <w:lastRenderedPageBreak/>
        <w:t>casos de violación sexual contra mujeres indígenas cometidos por integrantes de la Policía Nacional Civil, de desaparición de personas migrantes guatemaltecas y de la ausencia de medidas estatales para su búsqueda y repatriación</w:t>
      </w:r>
      <w:r>
        <w:rPr>
          <w:color w:val="000000"/>
          <w:sz w:val="24"/>
          <w:szCs w:val="24"/>
          <w:vertAlign w:val="superscript"/>
        </w:rPr>
        <w:footnoteReference w:id="48"/>
      </w:r>
      <w:r>
        <w:rPr>
          <w:color w:val="000000"/>
          <w:sz w:val="24"/>
          <w:szCs w:val="24"/>
        </w:rPr>
        <w:t xml:space="preserve">. No obstante, aunque el Estado ha establecido marcos legales como el </w:t>
      </w:r>
      <w:hyperlink r:id="rId17">
        <w:r w:rsidR="007D3173">
          <w:rPr>
            <w:color w:val="0000FF"/>
            <w:sz w:val="24"/>
            <w:szCs w:val="24"/>
            <w:u w:val="single"/>
          </w:rPr>
          <w:t>Código de Migración</w:t>
        </w:r>
      </w:hyperlink>
      <w:r>
        <w:rPr>
          <w:color w:val="000000"/>
          <w:sz w:val="24"/>
          <w:szCs w:val="24"/>
        </w:rPr>
        <w:t xml:space="preserve"> y la </w:t>
      </w:r>
      <w:hyperlink r:id="rId18">
        <w:r w:rsidR="007D3173">
          <w:rPr>
            <w:color w:val="0000FF"/>
            <w:sz w:val="24"/>
            <w:szCs w:val="24"/>
            <w:u w:val="single"/>
          </w:rPr>
          <w:t>Comisión Nacional para Refugiados (CONARE)</w:t>
        </w:r>
      </w:hyperlink>
      <w:r>
        <w:rPr>
          <w:color w:val="000000"/>
          <w:sz w:val="24"/>
          <w:szCs w:val="24"/>
        </w:rPr>
        <w:t xml:space="preserve">, </w:t>
      </w:r>
      <w:r>
        <w:rPr>
          <w:b/>
          <w:color w:val="000000"/>
          <w:sz w:val="24"/>
          <w:szCs w:val="24"/>
        </w:rPr>
        <w:t>la implementación de mecanismos diferenciados e interculturales para la protección integral de personas migrantes y refugiadas sigue siendo insuficiente</w:t>
      </w:r>
      <w:r>
        <w:rPr>
          <w:color w:val="000000"/>
          <w:sz w:val="24"/>
          <w:szCs w:val="24"/>
        </w:rPr>
        <w:t xml:space="preserve">, limitando el acceso real a derechos y servicios, lo que expone dicha población a graves violaciones de derechos humanos a lo largo de su trayectoria migratoria. </w:t>
      </w:r>
    </w:p>
    <w:p w14:paraId="2C5DFC24" w14:textId="77777777" w:rsidR="007D3173" w:rsidRDefault="00000000">
      <w:pPr>
        <w:pBdr>
          <w:top w:val="nil"/>
          <w:left w:val="nil"/>
          <w:bottom w:val="nil"/>
          <w:right w:val="nil"/>
          <w:between w:val="nil"/>
        </w:pBdr>
        <w:spacing w:before="120" w:after="120" w:line="276" w:lineRule="auto"/>
        <w:ind w:right="113"/>
        <w:jc w:val="both"/>
        <w:rPr>
          <w:color w:val="000000"/>
          <w:sz w:val="24"/>
          <w:szCs w:val="24"/>
        </w:rPr>
      </w:pPr>
      <w:r>
        <w:rPr>
          <w:color w:val="000000"/>
          <w:sz w:val="24"/>
          <w:szCs w:val="24"/>
        </w:rPr>
        <w:t xml:space="preserve">A esta situación se suman las deportaciones masivas. Según información del Instituto Guatemalteco de Migración, más de </w:t>
      </w:r>
      <w:hyperlink r:id="rId19">
        <w:r w:rsidR="007D3173">
          <w:rPr>
            <w:color w:val="0000FF"/>
            <w:sz w:val="24"/>
            <w:szCs w:val="24"/>
            <w:u w:val="single"/>
          </w:rPr>
          <w:t>79,000</w:t>
        </w:r>
      </w:hyperlink>
      <w:r>
        <w:rPr>
          <w:color w:val="000000"/>
          <w:sz w:val="24"/>
          <w:szCs w:val="24"/>
        </w:rPr>
        <w:t xml:space="preserve"> guatemaltecos regresaron al país en 2023 y más de </w:t>
      </w:r>
      <w:hyperlink r:id="rId20">
        <w:r w:rsidR="007D3173">
          <w:rPr>
            <w:color w:val="0000FF"/>
            <w:sz w:val="24"/>
            <w:szCs w:val="24"/>
            <w:u w:val="single"/>
          </w:rPr>
          <w:t>76,000</w:t>
        </w:r>
      </w:hyperlink>
      <w:r>
        <w:rPr>
          <w:color w:val="000000"/>
          <w:sz w:val="24"/>
          <w:szCs w:val="24"/>
        </w:rPr>
        <w:t xml:space="preserve"> lo hicieron 2024, representando un</w:t>
      </w:r>
      <w:r>
        <w:rPr>
          <w:b/>
          <w:color w:val="000000"/>
          <w:sz w:val="24"/>
          <w:szCs w:val="24"/>
        </w:rPr>
        <w:t xml:space="preserve"> aumento significativo respecto a los años anteriores</w:t>
      </w:r>
      <w:r>
        <w:rPr>
          <w:color w:val="000000"/>
          <w:sz w:val="24"/>
          <w:szCs w:val="24"/>
        </w:rPr>
        <w:t>. Sin embargo, estas personas se encuentran en condiciones de vulnerabilidad, con acceso limitado a recursos y oportunidades de reintegración, especialmente las personas que cumulan múltiples identidades o características sociales, como las mujeres, los jóvenes, las poblaciones indígenas y las comunidades rurales</w:t>
      </w:r>
      <w:r>
        <w:rPr>
          <w:color w:val="000000"/>
          <w:sz w:val="24"/>
          <w:szCs w:val="24"/>
          <w:vertAlign w:val="superscript"/>
        </w:rPr>
        <w:footnoteReference w:id="49"/>
      </w:r>
      <w:r>
        <w:rPr>
          <w:color w:val="000000"/>
          <w:sz w:val="24"/>
          <w:szCs w:val="24"/>
        </w:rPr>
        <w:t>, enfrentando las mismas condiciones que las obligaron a desplazarse originalmente</w:t>
      </w:r>
      <w:r>
        <w:rPr>
          <w:color w:val="000000"/>
          <w:sz w:val="24"/>
          <w:szCs w:val="24"/>
          <w:vertAlign w:val="superscript"/>
        </w:rPr>
        <w:footnoteReference w:id="50"/>
      </w:r>
      <w:r>
        <w:rPr>
          <w:color w:val="000000"/>
          <w:sz w:val="24"/>
          <w:szCs w:val="24"/>
        </w:rPr>
        <w:t>, sin garantías de reintegración socioeconómica ni servicios básicos de apoyo psicosocial. Además,</w:t>
      </w:r>
      <w:r>
        <w:rPr>
          <w:b/>
          <w:color w:val="000000"/>
          <w:sz w:val="24"/>
          <w:szCs w:val="24"/>
        </w:rPr>
        <w:t xml:space="preserve"> el Estado guatemalteco instrumentaliza las deportaciones con fines políticos</w:t>
      </w:r>
      <w:r>
        <w:rPr>
          <w:color w:val="000000"/>
          <w:sz w:val="24"/>
          <w:szCs w:val="24"/>
        </w:rPr>
        <w:t>, como lo demuestra el anuncio del presidente Arévalo en 2025 de “aumentar en un 40 % los vuelos de deportación” tanto de nacionales retornados como de extranjeros, y de “profundizar la cooperación para el control migratorio” con Estados Unidos</w:t>
      </w:r>
      <w:r>
        <w:rPr>
          <w:color w:val="000000"/>
          <w:sz w:val="24"/>
          <w:szCs w:val="24"/>
          <w:vertAlign w:val="superscript"/>
        </w:rPr>
        <w:footnoteReference w:id="51"/>
      </w:r>
      <w:r>
        <w:rPr>
          <w:color w:val="000000"/>
          <w:sz w:val="24"/>
          <w:szCs w:val="24"/>
        </w:rPr>
        <w:t>. Estas declaraciones refuerzan una narrativa de seguridad y criminalización que invisibiliza las causas estructurales de la migración forzada y desvirtúa la obligación estatal de proteger los derechos humanos de su población migrante, al no acompañarlas con medidas de protección ni protocolos de evaluación de riesgo ni tampoco garantías interculturales.</w:t>
      </w:r>
    </w:p>
    <w:p w14:paraId="2C9EC8D2" w14:textId="77777777" w:rsidR="007D3173" w:rsidRDefault="00000000">
      <w:pPr>
        <w:pBdr>
          <w:top w:val="nil"/>
          <w:left w:val="nil"/>
          <w:bottom w:val="nil"/>
          <w:right w:val="nil"/>
          <w:between w:val="nil"/>
        </w:pBdr>
        <w:spacing w:before="120" w:after="120" w:line="276" w:lineRule="auto"/>
        <w:ind w:right="113"/>
        <w:jc w:val="both"/>
        <w:rPr>
          <w:color w:val="000000"/>
          <w:sz w:val="24"/>
          <w:szCs w:val="24"/>
        </w:rPr>
      </w:pPr>
      <w:r>
        <w:rPr>
          <w:color w:val="000000"/>
          <w:sz w:val="24"/>
          <w:szCs w:val="24"/>
        </w:rPr>
        <w:t xml:space="preserve">Estas omisiones estructurales del Estado guatemalteco en garantizar mecanismos de protección diferenciados e interculturales para personas indígenas en movilidad humana, </w:t>
      </w:r>
      <w:r>
        <w:rPr>
          <w:color w:val="000000"/>
          <w:sz w:val="24"/>
          <w:szCs w:val="24"/>
        </w:rPr>
        <w:lastRenderedPageBreak/>
        <w:t xml:space="preserve">incluyendo migrantes, desplazadas y retornadas, constituyen una violación directa de los </w:t>
      </w:r>
      <w:r>
        <w:rPr>
          <w:b/>
          <w:color w:val="000000"/>
          <w:sz w:val="24"/>
          <w:szCs w:val="24"/>
        </w:rPr>
        <w:t>artículos 2(1)(c), 5(b), 5(d)(i), 5(e)(</w:t>
      </w:r>
      <w:proofErr w:type="spellStart"/>
      <w:r>
        <w:rPr>
          <w:b/>
          <w:color w:val="000000"/>
          <w:sz w:val="24"/>
          <w:szCs w:val="24"/>
        </w:rPr>
        <w:t>iii</w:t>
      </w:r>
      <w:proofErr w:type="spellEnd"/>
      <w:r>
        <w:rPr>
          <w:b/>
          <w:color w:val="000000"/>
          <w:sz w:val="24"/>
          <w:szCs w:val="24"/>
        </w:rPr>
        <w:t>) y (</w:t>
      </w:r>
      <w:proofErr w:type="spellStart"/>
      <w:r>
        <w:rPr>
          <w:b/>
          <w:color w:val="000000"/>
          <w:sz w:val="24"/>
          <w:szCs w:val="24"/>
        </w:rPr>
        <w:t>iv</w:t>
      </w:r>
      <w:proofErr w:type="spellEnd"/>
      <w:r>
        <w:rPr>
          <w:b/>
          <w:color w:val="000000"/>
          <w:sz w:val="24"/>
          <w:szCs w:val="24"/>
        </w:rPr>
        <w:t>)</w:t>
      </w:r>
      <w:r>
        <w:rPr>
          <w:color w:val="000000"/>
          <w:sz w:val="24"/>
          <w:szCs w:val="24"/>
        </w:rPr>
        <w:t xml:space="preserve"> de la ICERD. El Estado tiene la obligación de eliminar toda forma de discriminación racial, incluyendo las medidas que perpetúan la exclusión y la revictimización de personas indígenas migrantes, especialmente mujeres, niñas, personas LGBTQIA+ y comunidades rurales. La ausencia de políticas efectivas de reintegración, la falta de evaluación de riesgos y la criminalización discursiva de la migración forzada refuerzan la discriminación estructural y obstaculizan el acceso igualitario a derechos fundamentales como la seguridad, la salud, el trabajo y la integridad personal.</w:t>
      </w:r>
    </w:p>
    <w:p w14:paraId="628AEEAA" w14:textId="77777777" w:rsidR="007D3173" w:rsidRDefault="00000000">
      <w:pPr>
        <w:pStyle w:val="Ttulo2"/>
        <w:numPr>
          <w:ilvl w:val="0"/>
          <w:numId w:val="1"/>
        </w:numPr>
        <w:spacing w:line="276" w:lineRule="auto"/>
        <w:ind w:left="241"/>
      </w:pPr>
      <w:r>
        <w:t>Lenguas indígenas y educación intercultural bilingüe (párr. 15, 20 y 28 de la lista de temas)</w:t>
      </w:r>
    </w:p>
    <w:p w14:paraId="06F2C973" w14:textId="77777777" w:rsidR="007D3173" w:rsidRDefault="00000000">
      <w:pPr>
        <w:pBdr>
          <w:top w:val="nil"/>
          <w:left w:val="nil"/>
          <w:bottom w:val="nil"/>
          <w:right w:val="nil"/>
          <w:between w:val="nil"/>
        </w:pBdr>
        <w:spacing w:before="120" w:after="120" w:line="276" w:lineRule="auto"/>
        <w:ind w:right="113"/>
        <w:jc w:val="both"/>
        <w:rPr>
          <w:color w:val="000000"/>
          <w:sz w:val="24"/>
          <w:szCs w:val="24"/>
        </w:rPr>
      </w:pPr>
      <w:r>
        <w:rPr>
          <w:color w:val="000000"/>
          <w:sz w:val="24"/>
          <w:szCs w:val="24"/>
        </w:rPr>
        <w:t xml:space="preserve">El marco normativo nacional, como la </w:t>
      </w:r>
      <w:hyperlink r:id="rId21">
        <w:r w:rsidR="007D3173">
          <w:rPr>
            <w:color w:val="0000FF"/>
            <w:sz w:val="24"/>
            <w:szCs w:val="24"/>
            <w:u w:val="single"/>
          </w:rPr>
          <w:t>Ley de Educación Nacional</w:t>
        </w:r>
      </w:hyperlink>
      <w:r>
        <w:rPr>
          <w:color w:val="000000"/>
          <w:sz w:val="24"/>
          <w:szCs w:val="24"/>
        </w:rPr>
        <w:t xml:space="preserve">, la </w:t>
      </w:r>
      <w:hyperlink r:id="rId22">
        <w:r w:rsidR="007D3173">
          <w:rPr>
            <w:color w:val="0000FF"/>
            <w:sz w:val="24"/>
            <w:szCs w:val="24"/>
            <w:u w:val="single"/>
          </w:rPr>
          <w:t>Ley de Idiomas Nacionales</w:t>
        </w:r>
      </w:hyperlink>
      <w:r>
        <w:rPr>
          <w:color w:val="000000"/>
          <w:sz w:val="24"/>
          <w:szCs w:val="24"/>
        </w:rPr>
        <w:t xml:space="preserve"> y el </w:t>
      </w:r>
      <w:hyperlink r:id="rId23">
        <w:r w:rsidR="007D3173">
          <w:rPr>
            <w:color w:val="0000FF"/>
            <w:sz w:val="24"/>
            <w:szCs w:val="24"/>
            <w:u w:val="single"/>
          </w:rPr>
          <w:t>Acuerdo Gubernativo No. 22-2004</w:t>
        </w:r>
      </w:hyperlink>
      <w:r>
        <w:rPr>
          <w:color w:val="000000"/>
          <w:sz w:val="24"/>
          <w:szCs w:val="24"/>
        </w:rPr>
        <w:t xml:space="preserve">, </w:t>
      </w:r>
      <w:r>
        <w:rPr>
          <w:b/>
          <w:color w:val="000000"/>
          <w:sz w:val="24"/>
          <w:szCs w:val="24"/>
        </w:rPr>
        <w:t xml:space="preserve">establece la obligatoriedad de la educación bilingüe intercultural (“EBI”) </w:t>
      </w:r>
      <w:r>
        <w:rPr>
          <w:color w:val="000000"/>
          <w:sz w:val="24"/>
          <w:szCs w:val="24"/>
        </w:rPr>
        <w:t>en todo el país. Sin embargo, la práctica social y pedagógica está fuertemente signada por preconceptos donde predomina la enseñanza monocultural y monolingüe</w:t>
      </w:r>
      <w:r>
        <w:rPr>
          <w:color w:val="000000"/>
          <w:sz w:val="24"/>
          <w:szCs w:val="24"/>
          <w:vertAlign w:val="superscript"/>
        </w:rPr>
        <w:footnoteReference w:id="52"/>
      </w:r>
      <w:r>
        <w:rPr>
          <w:color w:val="000000"/>
          <w:sz w:val="24"/>
          <w:szCs w:val="24"/>
        </w:rPr>
        <w:t xml:space="preserve">. Así, en 2012, un grupo de autoridades y dirigentes mayas de la comunidad Antigua Santa Catarina </w:t>
      </w:r>
      <w:proofErr w:type="spellStart"/>
      <w:r>
        <w:rPr>
          <w:color w:val="000000"/>
          <w:sz w:val="24"/>
          <w:szCs w:val="24"/>
        </w:rPr>
        <w:t>Ixtahuacán</w:t>
      </w:r>
      <w:proofErr w:type="spellEnd"/>
      <w:r>
        <w:rPr>
          <w:color w:val="000000"/>
          <w:sz w:val="24"/>
          <w:szCs w:val="24"/>
        </w:rPr>
        <w:t xml:space="preserve"> presentó un amparo ante la Corte Suprema de Justicia reclamando el derecho de las niñas y niños a recibir una EBI. En 2016, la Corte otorgó un </w:t>
      </w:r>
      <w:hyperlink r:id="rId24">
        <w:r w:rsidR="007D3173">
          <w:rPr>
            <w:color w:val="0000FF"/>
            <w:sz w:val="24"/>
            <w:szCs w:val="24"/>
            <w:u w:val="single"/>
          </w:rPr>
          <w:t>amparo</w:t>
        </w:r>
      </w:hyperlink>
      <w:r>
        <w:rPr>
          <w:color w:val="000000"/>
          <w:sz w:val="24"/>
          <w:szCs w:val="24"/>
        </w:rPr>
        <w:t xml:space="preserve"> de primer grado y le dio un plazo de seis meses al Ministerio de Educación para </w:t>
      </w:r>
      <w:r>
        <w:rPr>
          <w:b/>
          <w:color w:val="000000"/>
          <w:sz w:val="24"/>
          <w:szCs w:val="24"/>
        </w:rPr>
        <w:t>garantizar que la EBI se aplicara conforme a lo establecido</w:t>
      </w:r>
      <w:r>
        <w:rPr>
          <w:color w:val="000000"/>
          <w:sz w:val="24"/>
          <w:szCs w:val="24"/>
        </w:rPr>
        <w:t xml:space="preserve"> por la legislación y los estándares internacionales. </w:t>
      </w:r>
    </w:p>
    <w:p w14:paraId="2B270484" w14:textId="77777777" w:rsidR="007D3173" w:rsidRDefault="00000000">
      <w:pPr>
        <w:pBdr>
          <w:top w:val="nil"/>
          <w:left w:val="nil"/>
          <w:bottom w:val="nil"/>
          <w:right w:val="nil"/>
          <w:between w:val="nil"/>
        </w:pBdr>
        <w:spacing w:before="120" w:after="120" w:line="276" w:lineRule="auto"/>
        <w:ind w:right="113"/>
        <w:jc w:val="both"/>
        <w:rPr>
          <w:color w:val="000000"/>
          <w:sz w:val="24"/>
          <w:szCs w:val="24"/>
        </w:rPr>
      </w:pPr>
      <w:r>
        <w:rPr>
          <w:color w:val="000000"/>
          <w:sz w:val="24"/>
          <w:szCs w:val="24"/>
        </w:rPr>
        <w:t>A pesar de intentos aislados por el actual Gobierno de Guatemala, que preside el Sr. Bernardo Arévalo, por fomentar la EBI, en la praxis la realidad mostraría que no se ha avanzado en cuanto a su implementación</w:t>
      </w:r>
      <w:r>
        <w:rPr>
          <w:color w:val="000000"/>
          <w:sz w:val="24"/>
          <w:szCs w:val="24"/>
          <w:vertAlign w:val="superscript"/>
        </w:rPr>
        <w:footnoteReference w:id="53"/>
      </w:r>
      <w:r>
        <w:rPr>
          <w:color w:val="000000"/>
          <w:sz w:val="24"/>
          <w:szCs w:val="24"/>
        </w:rPr>
        <w:t xml:space="preserve">. Entonces, el sistema educativo guatemalteco continuaría </w:t>
      </w:r>
      <w:r>
        <w:rPr>
          <w:b/>
          <w:color w:val="000000"/>
          <w:sz w:val="24"/>
          <w:szCs w:val="24"/>
        </w:rPr>
        <w:t>incumpliendo de manera sistemática la formación de docentes bilingües, la creación de materiales en lenguas indígenas y la adaptación curricular a contextos sociolingüísticos locales</w:t>
      </w:r>
      <w:r>
        <w:rPr>
          <w:color w:val="000000"/>
          <w:sz w:val="24"/>
          <w:szCs w:val="24"/>
        </w:rPr>
        <w:t>. Los materiales no existen para todos los pueblos ni lenguas indígenas, ni para todos los niveles, además de no llegar a todos los estudiantes, especialmente en zonas rurales de difícil acceso</w:t>
      </w:r>
      <w:r>
        <w:rPr>
          <w:color w:val="000000"/>
          <w:sz w:val="24"/>
          <w:szCs w:val="24"/>
          <w:vertAlign w:val="superscript"/>
        </w:rPr>
        <w:footnoteReference w:id="54"/>
      </w:r>
      <w:r>
        <w:rPr>
          <w:color w:val="000000"/>
          <w:sz w:val="24"/>
          <w:szCs w:val="24"/>
        </w:rPr>
        <w:t xml:space="preserve">. Según la CEPAL, en Guatemala la población indígena rural registra los niveles más bajos de escolaridad y analfabetismo de </w:t>
      </w:r>
      <w:r>
        <w:rPr>
          <w:color w:val="000000"/>
          <w:sz w:val="24"/>
          <w:szCs w:val="24"/>
        </w:rPr>
        <w:lastRenderedPageBreak/>
        <w:t>la región, evidenciando una marcada brecha con la población urbana y no indígena</w:t>
      </w:r>
      <w:r>
        <w:rPr>
          <w:color w:val="000000"/>
          <w:sz w:val="24"/>
          <w:szCs w:val="24"/>
          <w:vertAlign w:val="superscript"/>
        </w:rPr>
        <w:footnoteReference w:id="55"/>
      </w:r>
      <w:r>
        <w:rPr>
          <w:color w:val="000000"/>
          <w:sz w:val="24"/>
          <w:szCs w:val="24"/>
        </w:rPr>
        <w:t>, ubicando al país en la penúltima posición en América Latina y de a la 127</w:t>
      </w:r>
      <w:r>
        <w:rPr>
          <w:color w:val="000000"/>
          <w:sz w:val="24"/>
          <w:szCs w:val="24"/>
          <w:vertAlign w:val="superscript"/>
        </w:rPr>
        <w:t>a</w:t>
      </w:r>
      <w:r>
        <w:rPr>
          <w:color w:val="000000"/>
          <w:sz w:val="24"/>
          <w:szCs w:val="24"/>
        </w:rPr>
        <w:t xml:space="preserve"> sobre 189 a nivel mundial</w:t>
      </w:r>
      <w:r>
        <w:rPr>
          <w:color w:val="000000"/>
          <w:sz w:val="24"/>
          <w:szCs w:val="24"/>
          <w:vertAlign w:val="superscript"/>
        </w:rPr>
        <w:footnoteReference w:id="56"/>
      </w:r>
      <w:r>
        <w:rPr>
          <w:color w:val="000000"/>
          <w:sz w:val="24"/>
          <w:szCs w:val="24"/>
        </w:rPr>
        <w:t>. Las brechas se explican por los problemas de desigualdad estructurales del país</w:t>
      </w:r>
      <w:r>
        <w:rPr>
          <w:color w:val="000000"/>
          <w:sz w:val="24"/>
          <w:szCs w:val="24"/>
          <w:vertAlign w:val="superscript"/>
        </w:rPr>
        <w:footnoteReference w:id="57"/>
      </w:r>
      <w:r>
        <w:rPr>
          <w:color w:val="000000"/>
          <w:sz w:val="24"/>
          <w:szCs w:val="24"/>
        </w:rPr>
        <w:t>, por el racismo atávico, por la discriminación contra los conocimientos, valores y formas de organización social de los pueblos indígenas</w:t>
      </w:r>
      <w:r>
        <w:rPr>
          <w:color w:val="000000"/>
          <w:sz w:val="24"/>
          <w:szCs w:val="24"/>
          <w:vertAlign w:val="superscript"/>
        </w:rPr>
        <w:footnoteReference w:id="58"/>
      </w:r>
      <w:r>
        <w:rPr>
          <w:color w:val="000000"/>
          <w:sz w:val="24"/>
          <w:szCs w:val="24"/>
        </w:rPr>
        <w:t xml:space="preserve">, constituyendo una omisión institucional que </w:t>
      </w:r>
      <w:r>
        <w:rPr>
          <w:b/>
          <w:color w:val="000000"/>
          <w:sz w:val="24"/>
          <w:szCs w:val="24"/>
        </w:rPr>
        <w:t>perpetúa el rezago educativo de los pueblos indígenas, contribuye al abandono escolar temprano y profundiza la pérdida de saberes ancestrales</w:t>
      </w:r>
      <w:r>
        <w:rPr>
          <w:color w:val="000000"/>
          <w:sz w:val="24"/>
          <w:szCs w:val="24"/>
        </w:rPr>
        <w:t>.</w:t>
      </w:r>
    </w:p>
    <w:p w14:paraId="12E4F739" w14:textId="77777777" w:rsidR="007D3173" w:rsidRDefault="00000000">
      <w:pPr>
        <w:pBdr>
          <w:top w:val="nil"/>
          <w:left w:val="nil"/>
          <w:bottom w:val="nil"/>
          <w:right w:val="nil"/>
          <w:between w:val="nil"/>
        </w:pBdr>
        <w:spacing w:before="120" w:after="120" w:line="276" w:lineRule="auto"/>
        <w:ind w:right="113"/>
        <w:jc w:val="both"/>
        <w:rPr>
          <w:color w:val="000000"/>
          <w:sz w:val="24"/>
          <w:szCs w:val="24"/>
        </w:rPr>
      </w:pPr>
      <w:r>
        <w:rPr>
          <w:color w:val="000000"/>
          <w:sz w:val="24"/>
          <w:szCs w:val="24"/>
        </w:rPr>
        <w:t xml:space="preserve">Por otro lado, Guatemala es uno de los países con mayor diversidad lingüística de América Latina ya que se reconoce la existencia de los idiomas </w:t>
      </w:r>
      <w:proofErr w:type="spellStart"/>
      <w:r>
        <w:rPr>
          <w:color w:val="000000"/>
          <w:sz w:val="24"/>
          <w:szCs w:val="24"/>
        </w:rPr>
        <w:t>Xinka</w:t>
      </w:r>
      <w:proofErr w:type="spellEnd"/>
      <w:r>
        <w:rPr>
          <w:color w:val="000000"/>
          <w:sz w:val="24"/>
          <w:szCs w:val="24"/>
        </w:rPr>
        <w:t>, Garífuna, español y 22 idiomas Mayas</w:t>
      </w:r>
      <w:r>
        <w:rPr>
          <w:color w:val="000000"/>
          <w:sz w:val="24"/>
          <w:szCs w:val="24"/>
          <w:vertAlign w:val="superscript"/>
        </w:rPr>
        <w:footnoteReference w:id="59"/>
      </w:r>
      <w:r>
        <w:rPr>
          <w:color w:val="000000"/>
          <w:sz w:val="24"/>
          <w:szCs w:val="24"/>
        </w:rPr>
        <w:t xml:space="preserve">. Sin embargo, </w:t>
      </w:r>
      <w:r>
        <w:rPr>
          <w:b/>
          <w:color w:val="000000"/>
          <w:sz w:val="24"/>
          <w:szCs w:val="24"/>
        </w:rPr>
        <w:t xml:space="preserve">muchas de estas lenguas enfrentan un riesgo grave de desaparición </w:t>
      </w:r>
      <w:r>
        <w:rPr>
          <w:color w:val="000000"/>
          <w:sz w:val="24"/>
          <w:szCs w:val="24"/>
        </w:rPr>
        <w:t>debido a la incapacidad de la EBI en detener el proceso de erosión y pérdida de las lenguas indígenas, el incumplimiento estatal con las normas que dicta a favor de las lenguas, toda vez que se sigue hablando casi exclusivamente en lengua europea, aunque las lenguas indígenas sean oficiales, además del racismo y la discriminación que inciden en la pérdida de valor de las lenguas indígenas</w:t>
      </w:r>
      <w:r>
        <w:rPr>
          <w:color w:val="000000"/>
          <w:sz w:val="24"/>
          <w:szCs w:val="24"/>
          <w:vertAlign w:val="superscript"/>
        </w:rPr>
        <w:footnoteReference w:id="60"/>
      </w:r>
      <w:r>
        <w:rPr>
          <w:color w:val="000000"/>
          <w:sz w:val="24"/>
          <w:szCs w:val="24"/>
        </w:rPr>
        <w:t xml:space="preserve">. Asimismo, los idiomas Mayas como </w:t>
      </w:r>
      <w:r>
        <w:rPr>
          <w:b/>
          <w:color w:val="000000"/>
          <w:sz w:val="24"/>
          <w:szCs w:val="24"/>
        </w:rPr>
        <w:t xml:space="preserve">Itzá, Mopán, </w:t>
      </w:r>
      <w:proofErr w:type="spellStart"/>
      <w:r>
        <w:rPr>
          <w:b/>
          <w:color w:val="000000"/>
          <w:sz w:val="24"/>
          <w:szCs w:val="24"/>
        </w:rPr>
        <w:t>Tektiteko</w:t>
      </w:r>
      <w:proofErr w:type="spellEnd"/>
      <w:r>
        <w:rPr>
          <w:b/>
          <w:color w:val="000000"/>
          <w:sz w:val="24"/>
          <w:szCs w:val="24"/>
        </w:rPr>
        <w:t xml:space="preserve">, </w:t>
      </w:r>
      <w:proofErr w:type="spellStart"/>
      <w:r>
        <w:rPr>
          <w:b/>
          <w:color w:val="000000"/>
          <w:sz w:val="24"/>
          <w:szCs w:val="24"/>
        </w:rPr>
        <w:t>Awakateko</w:t>
      </w:r>
      <w:proofErr w:type="spellEnd"/>
      <w:r>
        <w:rPr>
          <w:b/>
          <w:color w:val="000000"/>
          <w:sz w:val="24"/>
          <w:szCs w:val="24"/>
        </w:rPr>
        <w:t xml:space="preserve"> </w:t>
      </w:r>
      <w:proofErr w:type="spellStart"/>
      <w:r>
        <w:rPr>
          <w:b/>
          <w:color w:val="000000"/>
          <w:sz w:val="24"/>
          <w:szCs w:val="24"/>
        </w:rPr>
        <w:t>Poqoman</w:t>
      </w:r>
      <w:proofErr w:type="spellEnd"/>
      <w:r>
        <w:rPr>
          <w:b/>
          <w:color w:val="000000"/>
          <w:sz w:val="24"/>
          <w:szCs w:val="24"/>
        </w:rPr>
        <w:t xml:space="preserve">, </w:t>
      </w:r>
      <w:proofErr w:type="spellStart"/>
      <w:r>
        <w:rPr>
          <w:b/>
          <w:color w:val="000000"/>
          <w:sz w:val="24"/>
          <w:szCs w:val="24"/>
        </w:rPr>
        <w:t>Sakapulteko</w:t>
      </w:r>
      <w:proofErr w:type="spellEnd"/>
      <w:r>
        <w:rPr>
          <w:b/>
          <w:color w:val="000000"/>
          <w:sz w:val="24"/>
          <w:szCs w:val="24"/>
        </w:rPr>
        <w:t xml:space="preserve">, </w:t>
      </w:r>
      <w:proofErr w:type="spellStart"/>
      <w:r>
        <w:rPr>
          <w:b/>
          <w:color w:val="000000"/>
          <w:sz w:val="24"/>
          <w:szCs w:val="24"/>
        </w:rPr>
        <w:t>Sipakapense</w:t>
      </w:r>
      <w:proofErr w:type="spellEnd"/>
      <w:r>
        <w:rPr>
          <w:b/>
          <w:color w:val="000000"/>
          <w:sz w:val="24"/>
          <w:szCs w:val="24"/>
        </w:rPr>
        <w:t xml:space="preserve"> y </w:t>
      </w:r>
      <w:proofErr w:type="spellStart"/>
      <w:r>
        <w:rPr>
          <w:b/>
          <w:color w:val="000000"/>
          <w:sz w:val="24"/>
          <w:szCs w:val="24"/>
        </w:rPr>
        <w:t>Uspanteko</w:t>
      </w:r>
      <w:proofErr w:type="spellEnd"/>
      <w:r>
        <w:rPr>
          <w:color w:val="000000"/>
          <w:sz w:val="24"/>
          <w:szCs w:val="24"/>
        </w:rPr>
        <w:t xml:space="preserve"> se consideran en grave peligro de desaparición</w:t>
      </w:r>
      <w:r>
        <w:rPr>
          <w:color w:val="000000"/>
          <w:sz w:val="24"/>
          <w:szCs w:val="24"/>
          <w:vertAlign w:val="superscript"/>
        </w:rPr>
        <w:footnoteReference w:id="61"/>
      </w:r>
      <w:r>
        <w:rPr>
          <w:color w:val="000000"/>
          <w:sz w:val="24"/>
          <w:szCs w:val="24"/>
        </w:rPr>
        <w:t xml:space="preserve">. En este contexto, líderes afrodescendientes también expresaron preocupación por los riesgos de extinción de la comunidad y lengua </w:t>
      </w:r>
      <w:r>
        <w:rPr>
          <w:b/>
          <w:color w:val="000000"/>
          <w:sz w:val="24"/>
          <w:szCs w:val="24"/>
        </w:rPr>
        <w:t>Garífuna</w:t>
      </w:r>
      <w:r>
        <w:rPr>
          <w:color w:val="000000"/>
          <w:sz w:val="24"/>
          <w:szCs w:val="24"/>
        </w:rPr>
        <w:t>, por causa de la precarización de los medios de vida y desarrollo que afecta su integridad cultural</w:t>
      </w:r>
      <w:r>
        <w:rPr>
          <w:color w:val="000000"/>
          <w:sz w:val="24"/>
          <w:szCs w:val="24"/>
          <w:vertAlign w:val="superscript"/>
        </w:rPr>
        <w:footnoteReference w:id="62"/>
      </w:r>
      <w:r>
        <w:rPr>
          <w:color w:val="000000"/>
          <w:sz w:val="24"/>
          <w:szCs w:val="24"/>
        </w:rPr>
        <w:t>.</w:t>
      </w:r>
    </w:p>
    <w:p w14:paraId="74ED132E" w14:textId="77777777" w:rsidR="007D3173" w:rsidRDefault="00000000">
      <w:pPr>
        <w:pBdr>
          <w:top w:val="nil"/>
          <w:left w:val="nil"/>
          <w:bottom w:val="nil"/>
          <w:right w:val="nil"/>
          <w:between w:val="nil"/>
        </w:pBdr>
        <w:spacing w:before="120" w:after="120" w:line="276" w:lineRule="auto"/>
        <w:ind w:right="113"/>
        <w:jc w:val="both"/>
        <w:rPr>
          <w:color w:val="000000"/>
          <w:sz w:val="24"/>
          <w:szCs w:val="24"/>
        </w:rPr>
      </w:pPr>
      <w:r>
        <w:rPr>
          <w:color w:val="000000"/>
          <w:sz w:val="24"/>
          <w:szCs w:val="24"/>
        </w:rPr>
        <w:t xml:space="preserve">La omisión sistemática del Estado guatemalteco en garantizar una educación intercultural bilingüe efectiva, pertinente y equitativa para los pueblos indígenas constituye una violación directa a los </w:t>
      </w:r>
      <w:r>
        <w:rPr>
          <w:b/>
          <w:color w:val="000000"/>
          <w:sz w:val="24"/>
          <w:szCs w:val="24"/>
        </w:rPr>
        <w:t>artículos 2(1)(c), 5(e)(v) y 7</w:t>
      </w:r>
      <w:r>
        <w:rPr>
          <w:color w:val="000000"/>
          <w:sz w:val="24"/>
          <w:szCs w:val="24"/>
        </w:rPr>
        <w:t xml:space="preserve"> de la ICERD. Esta </w:t>
      </w:r>
      <w:r>
        <w:rPr>
          <w:color w:val="000000"/>
          <w:sz w:val="24"/>
          <w:szCs w:val="24"/>
        </w:rPr>
        <w:lastRenderedPageBreak/>
        <w:t>situación refleja un incumplimiento del deber de asegurar el ejercicio sin discriminación del derecho a la educación, así como el desarrollo de condiciones apropiadas que favorezcan la preservación de las lenguas, conocimientos y valores culturales de los pueblos indígenas. La falta de docentes bilingües, la escasez de materiales en lenguas originarias y la exclusión curricular de los contextos sociolingüísticos comunitarios perpetúan la desigualdad estructural y la pérdida acelerada de lenguas indígenas, negando a estas poblaciones su derecho colectivo a preservar, desarrollar y transmitir su identidad cultural y lingüística.</w:t>
      </w:r>
    </w:p>
    <w:p w14:paraId="4605C4DF" w14:textId="77777777" w:rsidR="007D3173" w:rsidRDefault="00000000">
      <w:pPr>
        <w:pStyle w:val="Ttulo2"/>
        <w:numPr>
          <w:ilvl w:val="0"/>
          <w:numId w:val="1"/>
        </w:numPr>
        <w:spacing w:line="276" w:lineRule="auto"/>
        <w:ind w:left="241"/>
      </w:pPr>
      <w:r>
        <w:t xml:space="preserve">Conclusión </w:t>
      </w:r>
    </w:p>
    <w:p w14:paraId="665E6DE9" w14:textId="77777777" w:rsidR="007D3173" w:rsidRDefault="00000000">
      <w:pPr>
        <w:pBdr>
          <w:top w:val="nil"/>
          <w:left w:val="nil"/>
          <w:bottom w:val="nil"/>
          <w:right w:val="nil"/>
          <w:between w:val="nil"/>
        </w:pBdr>
        <w:spacing w:before="120" w:after="120" w:line="276" w:lineRule="auto"/>
        <w:ind w:right="113"/>
        <w:jc w:val="both"/>
        <w:rPr>
          <w:color w:val="000000"/>
          <w:sz w:val="24"/>
          <w:szCs w:val="24"/>
        </w:rPr>
      </w:pPr>
      <w:r>
        <w:rPr>
          <w:color w:val="000000"/>
          <w:sz w:val="24"/>
          <w:szCs w:val="24"/>
        </w:rPr>
        <w:t>El presente informe documenta violaciones graves, sistemáticas y estructurales a la Convención Internacional sobre la Eliminación de Todas las Formas de Discriminación Racial en Guatemala, centradas en el trato discriminatorio hacia los pueblos indígenas. A lo largo de las últimas décadas, y con especial agudización entre 2021 y 2025, el Estado guatemalteco ha fallado en garantizar los derechos colectivos al territorio, la participación política, la educación, la libertad de expresión y la protección frente a la violencia estructural. Las omisiones legislativas, la criminalización institucional y la falta de políticas interculturales efectivas consolidan un modelo de exclusión racializada incompatible con los principios de igualdad y no discriminación consagrados en los artículos 1, 2, 5, 6 y 7 de la ICERD.</w:t>
      </w:r>
    </w:p>
    <w:p w14:paraId="4FAB67C0" w14:textId="77777777" w:rsidR="007D3173" w:rsidRDefault="00000000">
      <w:pPr>
        <w:pBdr>
          <w:top w:val="nil"/>
          <w:left w:val="nil"/>
          <w:bottom w:val="nil"/>
          <w:right w:val="nil"/>
          <w:between w:val="nil"/>
        </w:pBdr>
        <w:spacing w:before="120" w:after="120" w:line="276" w:lineRule="auto"/>
        <w:ind w:right="113"/>
        <w:jc w:val="both"/>
        <w:rPr>
          <w:color w:val="000000"/>
          <w:sz w:val="24"/>
          <w:szCs w:val="24"/>
        </w:rPr>
      </w:pPr>
      <w:r>
        <w:rPr>
          <w:color w:val="000000"/>
          <w:sz w:val="24"/>
          <w:szCs w:val="24"/>
        </w:rPr>
        <w:t xml:space="preserve">En este contexto, el IIRESODH, CADDH y el </w:t>
      </w:r>
      <w:proofErr w:type="spellStart"/>
      <w:r>
        <w:rPr>
          <w:color w:val="000000"/>
          <w:sz w:val="24"/>
          <w:szCs w:val="24"/>
        </w:rPr>
        <w:t>Collectif</w:t>
      </w:r>
      <w:proofErr w:type="spellEnd"/>
      <w:r>
        <w:rPr>
          <w:color w:val="000000"/>
          <w:sz w:val="24"/>
          <w:szCs w:val="24"/>
        </w:rPr>
        <w:t xml:space="preserve"> Guatemala formulan las siguientes recomendaciones al Comité para la Eliminación de la Discriminación Racial de las Naciones Unidas, con miras a su inclusión en las observaciones finales dirigidas al Estado de Guatemala:</w:t>
      </w:r>
    </w:p>
    <w:p w14:paraId="7DB7FDFF" w14:textId="77777777" w:rsidR="007D3173" w:rsidRDefault="00000000">
      <w:pPr>
        <w:numPr>
          <w:ilvl w:val="0"/>
          <w:numId w:val="2"/>
        </w:numPr>
        <w:pBdr>
          <w:top w:val="nil"/>
          <w:left w:val="nil"/>
          <w:bottom w:val="nil"/>
          <w:right w:val="nil"/>
          <w:between w:val="nil"/>
        </w:pBdr>
        <w:spacing w:before="120" w:after="120" w:line="276" w:lineRule="auto"/>
        <w:ind w:right="113"/>
        <w:jc w:val="both"/>
        <w:rPr>
          <w:b/>
          <w:color w:val="000000"/>
          <w:sz w:val="24"/>
          <w:szCs w:val="24"/>
        </w:rPr>
      </w:pPr>
      <w:r>
        <w:rPr>
          <w:b/>
          <w:color w:val="000000"/>
          <w:sz w:val="24"/>
          <w:szCs w:val="24"/>
        </w:rPr>
        <w:t>Adoptar un marco normativo específico y vinculante que garantice el reconocimiento jurídico, saneamiento y titulación colectiva de las tierras, territorios y recursos naturales de los pueblos indígenas</w:t>
      </w:r>
      <w:r>
        <w:rPr>
          <w:color w:val="000000"/>
          <w:sz w:val="24"/>
          <w:szCs w:val="24"/>
        </w:rPr>
        <w:t xml:space="preserve">, en conformidad con la sentencia de la Corte Interamericana de Derechos Humanos en el caso </w:t>
      </w:r>
      <w:r>
        <w:rPr>
          <w:i/>
          <w:color w:val="000000"/>
          <w:sz w:val="24"/>
          <w:szCs w:val="24"/>
        </w:rPr>
        <w:t xml:space="preserve">Comunidad Maya </w:t>
      </w:r>
      <w:proofErr w:type="spellStart"/>
      <w:r>
        <w:rPr>
          <w:i/>
          <w:color w:val="000000"/>
          <w:sz w:val="24"/>
          <w:szCs w:val="24"/>
        </w:rPr>
        <w:t>Q’eqchi</w:t>
      </w:r>
      <w:proofErr w:type="spellEnd"/>
      <w:r>
        <w:rPr>
          <w:i/>
          <w:color w:val="000000"/>
          <w:sz w:val="24"/>
          <w:szCs w:val="24"/>
        </w:rPr>
        <w:t>’ de Agua Caliente vs. Guatemala</w:t>
      </w:r>
      <w:r>
        <w:rPr>
          <w:color w:val="000000"/>
          <w:sz w:val="24"/>
          <w:szCs w:val="24"/>
        </w:rPr>
        <w:t>.</w:t>
      </w:r>
    </w:p>
    <w:p w14:paraId="16982A42" w14:textId="77777777" w:rsidR="007D3173" w:rsidRDefault="00000000">
      <w:pPr>
        <w:numPr>
          <w:ilvl w:val="0"/>
          <w:numId w:val="2"/>
        </w:numPr>
        <w:pBdr>
          <w:top w:val="nil"/>
          <w:left w:val="nil"/>
          <w:bottom w:val="nil"/>
          <w:right w:val="nil"/>
          <w:between w:val="nil"/>
        </w:pBdr>
        <w:spacing w:before="120" w:after="120" w:line="276" w:lineRule="auto"/>
        <w:ind w:right="113"/>
        <w:jc w:val="both"/>
        <w:rPr>
          <w:b/>
          <w:color w:val="000000"/>
          <w:sz w:val="24"/>
          <w:szCs w:val="24"/>
        </w:rPr>
      </w:pPr>
      <w:r>
        <w:rPr>
          <w:b/>
          <w:color w:val="000000"/>
          <w:sz w:val="24"/>
          <w:szCs w:val="24"/>
        </w:rPr>
        <w:t xml:space="preserve">Suspender de forma inmediata los desalojos forzosos en territorios indígenas </w:t>
      </w:r>
      <w:r>
        <w:rPr>
          <w:color w:val="000000"/>
          <w:sz w:val="24"/>
          <w:szCs w:val="24"/>
        </w:rPr>
        <w:t>mientras no existan procedimientos administrativos y judiciales culturalmente adecuados, dotados de garantías procesales efectivas y mecanismos de reparación integral.</w:t>
      </w:r>
    </w:p>
    <w:p w14:paraId="6699DACD" w14:textId="77777777" w:rsidR="007D3173" w:rsidRDefault="00000000">
      <w:pPr>
        <w:numPr>
          <w:ilvl w:val="0"/>
          <w:numId w:val="2"/>
        </w:numPr>
        <w:pBdr>
          <w:top w:val="nil"/>
          <w:left w:val="nil"/>
          <w:bottom w:val="nil"/>
          <w:right w:val="nil"/>
          <w:between w:val="nil"/>
        </w:pBdr>
        <w:spacing w:before="120" w:after="120" w:line="276" w:lineRule="auto"/>
        <w:ind w:right="113"/>
        <w:jc w:val="both"/>
        <w:rPr>
          <w:b/>
          <w:color w:val="000000"/>
          <w:sz w:val="24"/>
          <w:szCs w:val="24"/>
        </w:rPr>
      </w:pPr>
      <w:r>
        <w:rPr>
          <w:b/>
          <w:color w:val="000000"/>
          <w:sz w:val="24"/>
          <w:szCs w:val="24"/>
        </w:rPr>
        <w:t xml:space="preserve">Derogar o reformar toda legislación que habilite la criminalización de personas defensoras de derechos humanos y autoridades indígenas; liberar a quienes se encuentran en detención preventiva; y garantizar la revisión </w:t>
      </w:r>
      <w:r>
        <w:rPr>
          <w:b/>
          <w:color w:val="000000"/>
          <w:sz w:val="24"/>
          <w:szCs w:val="24"/>
        </w:rPr>
        <w:lastRenderedPageBreak/>
        <w:t>judicial, por un tribunal independiente, imparcial y competente</w:t>
      </w:r>
      <w:r>
        <w:rPr>
          <w:color w:val="000000"/>
          <w:sz w:val="24"/>
          <w:szCs w:val="24"/>
        </w:rPr>
        <w:t>, conforme a las garantías del debido proceso, de los casos abiertos bajo figuras penales incompatibles con los estándares internacionales en materia de libertad de expresión, reunión, manifestación y protesta pacífica.</w:t>
      </w:r>
    </w:p>
    <w:p w14:paraId="376BC67C" w14:textId="77777777" w:rsidR="007D3173" w:rsidRDefault="00000000">
      <w:pPr>
        <w:numPr>
          <w:ilvl w:val="0"/>
          <w:numId w:val="2"/>
        </w:numPr>
        <w:pBdr>
          <w:top w:val="nil"/>
          <w:left w:val="nil"/>
          <w:bottom w:val="nil"/>
          <w:right w:val="nil"/>
          <w:between w:val="nil"/>
        </w:pBdr>
        <w:spacing w:before="120" w:after="120" w:line="276" w:lineRule="auto"/>
        <w:ind w:right="113"/>
        <w:jc w:val="both"/>
        <w:rPr>
          <w:b/>
          <w:color w:val="000000"/>
          <w:sz w:val="24"/>
          <w:szCs w:val="24"/>
        </w:rPr>
      </w:pPr>
      <w:r>
        <w:rPr>
          <w:b/>
          <w:color w:val="000000"/>
          <w:sz w:val="24"/>
          <w:szCs w:val="24"/>
        </w:rPr>
        <w:t xml:space="preserve">Reconocer legalmente a las autoridades ancestrales y estructuras de gobierno indígena </w:t>
      </w:r>
      <w:r>
        <w:rPr>
          <w:color w:val="000000"/>
          <w:sz w:val="24"/>
          <w:szCs w:val="24"/>
        </w:rPr>
        <w:t>como actores políticos legítimos, e incorporar mecanismos específicos de participación y representación en todos los niveles del Estado.</w:t>
      </w:r>
    </w:p>
    <w:p w14:paraId="3CAA5EFC" w14:textId="77777777" w:rsidR="007D3173" w:rsidRDefault="00000000">
      <w:pPr>
        <w:numPr>
          <w:ilvl w:val="0"/>
          <w:numId w:val="2"/>
        </w:numPr>
        <w:pBdr>
          <w:top w:val="nil"/>
          <w:left w:val="nil"/>
          <w:bottom w:val="nil"/>
          <w:right w:val="nil"/>
          <w:between w:val="nil"/>
        </w:pBdr>
        <w:spacing w:before="120" w:after="120" w:line="276" w:lineRule="auto"/>
        <w:ind w:right="113"/>
        <w:jc w:val="both"/>
        <w:rPr>
          <w:b/>
          <w:color w:val="000000"/>
          <w:sz w:val="24"/>
          <w:szCs w:val="24"/>
        </w:rPr>
      </w:pPr>
      <w:r>
        <w:rPr>
          <w:b/>
          <w:color w:val="000000"/>
          <w:sz w:val="24"/>
          <w:szCs w:val="24"/>
        </w:rPr>
        <w:t xml:space="preserve">Modificar la Ley General de Telecomunicaciones y aprobar una legislación adecuada </w:t>
      </w:r>
      <w:r>
        <w:rPr>
          <w:color w:val="000000"/>
          <w:sz w:val="24"/>
          <w:szCs w:val="24"/>
        </w:rPr>
        <w:t>que reconozca a las radios comunitarias indígenas como medios diferenciados, garantizando su acceso equitativo al espectro radioeléctrico y prohibiendo expresamente su criminalización.</w:t>
      </w:r>
    </w:p>
    <w:p w14:paraId="6F0ABE83" w14:textId="77777777" w:rsidR="007D3173" w:rsidRDefault="00000000">
      <w:pPr>
        <w:numPr>
          <w:ilvl w:val="0"/>
          <w:numId w:val="2"/>
        </w:numPr>
        <w:pBdr>
          <w:top w:val="nil"/>
          <w:left w:val="nil"/>
          <w:bottom w:val="nil"/>
          <w:right w:val="nil"/>
          <w:between w:val="nil"/>
        </w:pBdr>
        <w:spacing w:before="120" w:after="120" w:line="276" w:lineRule="auto"/>
        <w:ind w:right="113"/>
        <w:jc w:val="both"/>
        <w:rPr>
          <w:color w:val="000000"/>
          <w:sz w:val="24"/>
          <w:szCs w:val="24"/>
        </w:rPr>
      </w:pPr>
      <w:r>
        <w:rPr>
          <w:b/>
          <w:color w:val="000000"/>
          <w:sz w:val="24"/>
          <w:szCs w:val="24"/>
        </w:rPr>
        <w:t xml:space="preserve">Adoptar una política migratoria intercultural e interseccional </w:t>
      </w:r>
      <w:r>
        <w:rPr>
          <w:color w:val="000000"/>
          <w:sz w:val="24"/>
          <w:szCs w:val="24"/>
        </w:rPr>
        <w:t>que garantice la protección de los derechos humanos de las personas indígenas en situación de movilidad, incluyendo a personas retornadas, en tránsito y sujetas a deportación, con énfasis en mujeres, niñez y población LGBTQIA+, particularmente expuestas a formas agravadas de discriminación.</w:t>
      </w:r>
    </w:p>
    <w:p w14:paraId="0A3BA70C" w14:textId="77777777" w:rsidR="007D3173" w:rsidRDefault="00000000">
      <w:pPr>
        <w:numPr>
          <w:ilvl w:val="0"/>
          <w:numId w:val="2"/>
        </w:numPr>
        <w:pBdr>
          <w:top w:val="nil"/>
          <w:left w:val="nil"/>
          <w:bottom w:val="nil"/>
          <w:right w:val="nil"/>
          <w:between w:val="nil"/>
        </w:pBdr>
        <w:spacing w:before="120" w:after="120" w:line="276" w:lineRule="auto"/>
        <w:ind w:right="113"/>
        <w:jc w:val="both"/>
        <w:rPr>
          <w:b/>
          <w:color w:val="000000"/>
          <w:sz w:val="24"/>
          <w:szCs w:val="24"/>
        </w:rPr>
      </w:pPr>
      <w:r>
        <w:rPr>
          <w:b/>
          <w:color w:val="000000"/>
          <w:sz w:val="24"/>
          <w:szCs w:val="24"/>
        </w:rPr>
        <w:t>Fortalecer el sistema nacional de educación intercultural bilingüe</w:t>
      </w:r>
      <w:r>
        <w:rPr>
          <w:color w:val="000000"/>
          <w:sz w:val="24"/>
          <w:szCs w:val="24"/>
        </w:rPr>
        <w:t>, con financiamiento adecuado, producción de materiales en lenguas originarias, formación docente especializada y adaptación curricular a las realidades socioculturales de los pueblos indígenas.</w:t>
      </w:r>
    </w:p>
    <w:p w14:paraId="2D8429CA" w14:textId="77777777" w:rsidR="007D3173" w:rsidRDefault="00000000">
      <w:pPr>
        <w:numPr>
          <w:ilvl w:val="0"/>
          <w:numId w:val="2"/>
        </w:numPr>
        <w:pBdr>
          <w:top w:val="nil"/>
          <w:left w:val="nil"/>
          <w:bottom w:val="nil"/>
          <w:right w:val="nil"/>
          <w:between w:val="nil"/>
        </w:pBdr>
        <w:spacing w:before="120" w:after="120" w:line="276" w:lineRule="auto"/>
        <w:ind w:right="113"/>
        <w:jc w:val="both"/>
        <w:rPr>
          <w:b/>
          <w:color w:val="000000"/>
          <w:sz w:val="24"/>
          <w:szCs w:val="24"/>
        </w:rPr>
      </w:pPr>
      <w:r>
        <w:rPr>
          <w:b/>
          <w:color w:val="000000"/>
          <w:sz w:val="24"/>
          <w:szCs w:val="24"/>
        </w:rPr>
        <w:t>Declarar como prioritarias las medidas de protección y revitalización lingüística</w:t>
      </w:r>
      <w:r>
        <w:rPr>
          <w:color w:val="000000"/>
          <w:sz w:val="24"/>
          <w:szCs w:val="24"/>
        </w:rPr>
        <w:t xml:space="preserve">, incluyendo planes nacionales de recuperación del idioma garífuna y la lengua </w:t>
      </w:r>
      <w:proofErr w:type="spellStart"/>
      <w:r>
        <w:rPr>
          <w:color w:val="000000"/>
          <w:sz w:val="24"/>
          <w:szCs w:val="24"/>
        </w:rPr>
        <w:t>xinka</w:t>
      </w:r>
      <w:proofErr w:type="spellEnd"/>
      <w:r>
        <w:rPr>
          <w:color w:val="000000"/>
          <w:sz w:val="24"/>
          <w:szCs w:val="24"/>
        </w:rPr>
        <w:t>, con participación directa de las comunidades, asignación presupuestaria adecuada y acceso a medios de comunicación propios.</w:t>
      </w:r>
    </w:p>
    <w:p w14:paraId="4243E73A" w14:textId="77777777" w:rsidR="007D3173" w:rsidRDefault="00000000">
      <w:pPr>
        <w:numPr>
          <w:ilvl w:val="0"/>
          <w:numId w:val="2"/>
        </w:numPr>
        <w:pBdr>
          <w:top w:val="nil"/>
          <w:left w:val="nil"/>
          <w:bottom w:val="nil"/>
          <w:right w:val="nil"/>
          <w:between w:val="nil"/>
        </w:pBdr>
        <w:spacing w:before="120" w:after="120" w:line="276" w:lineRule="auto"/>
        <w:ind w:right="113"/>
        <w:jc w:val="both"/>
        <w:rPr>
          <w:b/>
          <w:color w:val="000000"/>
          <w:sz w:val="24"/>
          <w:szCs w:val="24"/>
        </w:rPr>
      </w:pPr>
      <w:r>
        <w:rPr>
          <w:b/>
          <w:color w:val="000000"/>
          <w:sz w:val="24"/>
          <w:szCs w:val="24"/>
        </w:rPr>
        <w:t>Establecer un mecanismo nacional de implementación y seguimiento de las recomendaciones del Comité</w:t>
      </w:r>
      <w:r>
        <w:rPr>
          <w:color w:val="000000"/>
          <w:sz w:val="24"/>
          <w:szCs w:val="24"/>
        </w:rPr>
        <w:t>, con participación directa de pueblos indígenas y acompañamiento técnico del ACNUDH y de los órganos del sistema interamericano.</w:t>
      </w:r>
    </w:p>
    <w:p w14:paraId="420A626E" w14:textId="77777777" w:rsidR="007D3173" w:rsidRDefault="00000000">
      <w:pPr>
        <w:pBdr>
          <w:top w:val="nil"/>
          <w:left w:val="nil"/>
          <w:bottom w:val="nil"/>
          <w:right w:val="nil"/>
          <w:between w:val="nil"/>
        </w:pBdr>
        <w:spacing w:before="120" w:after="120" w:line="276" w:lineRule="auto"/>
        <w:ind w:right="113"/>
        <w:jc w:val="both"/>
        <w:rPr>
          <w:color w:val="000000"/>
          <w:sz w:val="24"/>
          <w:szCs w:val="24"/>
        </w:rPr>
      </w:pPr>
      <w:r>
        <w:rPr>
          <w:color w:val="000000"/>
          <w:sz w:val="24"/>
          <w:szCs w:val="24"/>
        </w:rPr>
        <w:t>El Comité está invitado a reconocer la gravedad de las violaciones documentadas y emitir recomendaciones contundentes que aborden la raíz estructural del racismo y la exclusión. Guatemala no podrá avanzar hacia una sociedad democrática e igualitaria sin el pleno respeto de los derechos colectivos, culturales, territoriales y políticos de sus pueblos indígenas.</w:t>
      </w:r>
    </w:p>
    <w:p w14:paraId="4BB60634" w14:textId="77777777" w:rsidR="0062630F" w:rsidRDefault="0062630F">
      <w:pPr>
        <w:pBdr>
          <w:top w:val="nil"/>
          <w:left w:val="nil"/>
          <w:bottom w:val="nil"/>
          <w:right w:val="nil"/>
          <w:between w:val="nil"/>
        </w:pBdr>
        <w:spacing w:before="120" w:after="120" w:line="276" w:lineRule="auto"/>
        <w:ind w:right="113"/>
        <w:jc w:val="both"/>
        <w:rPr>
          <w:color w:val="000000"/>
          <w:sz w:val="24"/>
          <w:szCs w:val="24"/>
        </w:rPr>
      </w:pPr>
    </w:p>
    <w:p w14:paraId="236EDEF1" w14:textId="77777777" w:rsidR="007D3173" w:rsidRDefault="00000000">
      <w:pPr>
        <w:pStyle w:val="Ttulo1"/>
        <w:spacing w:line="276" w:lineRule="auto"/>
        <w:ind w:left="0"/>
      </w:pPr>
      <w:r>
        <w:lastRenderedPageBreak/>
        <w:t>Recomendaciones adicionales</w:t>
      </w:r>
    </w:p>
    <w:p w14:paraId="6F6B9A3E" w14:textId="77777777" w:rsidR="007D3173" w:rsidRDefault="00000000">
      <w:pPr>
        <w:numPr>
          <w:ilvl w:val="0"/>
          <w:numId w:val="7"/>
        </w:numPr>
        <w:pBdr>
          <w:top w:val="nil"/>
          <w:left w:val="nil"/>
          <w:bottom w:val="nil"/>
          <w:right w:val="nil"/>
          <w:between w:val="nil"/>
        </w:pBdr>
        <w:spacing w:before="120" w:after="120" w:line="276" w:lineRule="auto"/>
        <w:ind w:left="839" w:right="113"/>
        <w:jc w:val="both"/>
        <w:rPr>
          <w:color w:val="000000"/>
          <w:sz w:val="24"/>
          <w:szCs w:val="24"/>
        </w:rPr>
      </w:pPr>
      <w:r>
        <w:rPr>
          <w:b/>
          <w:color w:val="000000"/>
          <w:sz w:val="24"/>
          <w:szCs w:val="24"/>
        </w:rPr>
        <w:t>Mecanismos de monitoreo y seguimiento internacional:</w:t>
      </w:r>
      <w:r>
        <w:rPr>
          <w:color w:val="000000"/>
          <w:sz w:val="24"/>
          <w:szCs w:val="24"/>
        </w:rPr>
        <w:t xml:space="preserve"> Se recomienda que el CERD establezca mecanismos especiales de seguimiento para verificar el cumplimiento de las recomendaciones dirigidas a Guatemala, incluyendo la posibilidad de visitas de país, convocatorias a diálogos de seguimiento o la designación de un relator o relatora para casos urgentes de discriminación estructural contra pueblos indígenas.</w:t>
      </w:r>
    </w:p>
    <w:p w14:paraId="0E091C6F" w14:textId="77777777" w:rsidR="007D3173" w:rsidRDefault="00000000">
      <w:pPr>
        <w:numPr>
          <w:ilvl w:val="0"/>
          <w:numId w:val="7"/>
        </w:numPr>
        <w:pBdr>
          <w:top w:val="nil"/>
          <w:left w:val="nil"/>
          <w:bottom w:val="nil"/>
          <w:right w:val="nil"/>
          <w:between w:val="nil"/>
        </w:pBdr>
        <w:spacing w:before="120" w:after="120" w:line="276" w:lineRule="auto"/>
        <w:ind w:left="839" w:right="113"/>
        <w:jc w:val="both"/>
        <w:rPr>
          <w:color w:val="000000"/>
          <w:sz w:val="24"/>
          <w:szCs w:val="24"/>
        </w:rPr>
      </w:pPr>
      <w:r>
        <w:rPr>
          <w:b/>
          <w:color w:val="000000"/>
          <w:sz w:val="24"/>
          <w:szCs w:val="24"/>
        </w:rPr>
        <w:t>Fortalecimiento del rol de las instituciones nacionales de derechos humanos</w:t>
      </w:r>
      <w:r>
        <w:rPr>
          <w:color w:val="000000"/>
          <w:sz w:val="24"/>
          <w:szCs w:val="24"/>
        </w:rPr>
        <w:t>: Se solicita al Comité ordenar el fortalecimiento de la Procuraduría de los Derechos Humanos, asegurando su independencia, capacidad de acción y financiamiento suficiente para monitorear, documentar y acompañar casos de discriminación racial, en particular en territorios indígenas.</w:t>
      </w:r>
    </w:p>
    <w:p w14:paraId="0E9494FC" w14:textId="77777777" w:rsidR="007D3173" w:rsidRDefault="00000000">
      <w:pPr>
        <w:numPr>
          <w:ilvl w:val="0"/>
          <w:numId w:val="7"/>
        </w:numPr>
        <w:pBdr>
          <w:top w:val="nil"/>
          <w:left w:val="nil"/>
          <w:bottom w:val="nil"/>
          <w:right w:val="nil"/>
          <w:between w:val="nil"/>
        </w:pBdr>
        <w:spacing w:before="120" w:after="120" w:line="276" w:lineRule="auto"/>
        <w:ind w:left="839" w:right="113"/>
        <w:jc w:val="both"/>
        <w:rPr>
          <w:color w:val="000000"/>
          <w:sz w:val="24"/>
          <w:szCs w:val="24"/>
        </w:rPr>
      </w:pPr>
      <w:r>
        <w:rPr>
          <w:b/>
          <w:color w:val="000000"/>
          <w:sz w:val="24"/>
          <w:szCs w:val="24"/>
        </w:rPr>
        <w:t>Reforzar la colaboración con organizaciones indígenas y sociedad civil</w:t>
      </w:r>
      <w:r>
        <w:rPr>
          <w:color w:val="000000"/>
          <w:sz w:val="24"/>
          <w:szCs w:val="24"/>
        </w:rPr>
        <w:t>: Es fundamental que el Comité fomente una colaboración activa entre el Estado guatemalteco y las organizaciones representativas de los pueblos indígenas, así como con organizaciones de derechos humanos, para garantizar que la implementación de sus recomendaciones sea participativa, transparente y culturalmente adecuada.</w:t>
      </w:r>
    </w:p>
    <w:p w14:paraId="75244609" w14:textId="77777777" w:rsidR="007D3173" w:rsidRDefault="00000000">
      <w:pPr>
        <w:numPr>
          <w:ilvl w:val="0"/>
          <w:numId w:val="7"/>
        </w:numPr>
        <w:pBdr>
          <w:top w:val="nil"/>
          <w:left w:val="nil"/>
          <w:bottom w:val="nil"/>
          <w:right w:val="nil"/>
          <w:between w:val="nil"/>
        </w:pBdr>
        <w:spacing w:before="120" w:after="120" w:line="276" w:lineRule="auto"/>
        <w:ind w:left="839" w:right="113"/>
        <w:jc w:val="both"/>
        <w:rPr>
          <w:color w:val="000000"/>
          <w:sz w:val="24"/>
          <w:szCs w:val="24"/>
        </w:rPr>
      </w:pPr>
      <w:r>
        <w:rPr>
          <w:b/>
          <w:color w:val="000000"/>
          <w:sz w:val="24"/>
          <w:szCs w:val="24"/>
        </w:rPr>
        <w:t>Medidas de protección y reparación para víctimas de discriminación racial</w:t>
      </w:r>
      <w:r>
        <w:rPr>
          <w:color w:val="000000"/>
          <w:sz w:val="24"/>
          <w:szCs w:val="24"/>
        </w:rPr>
        <w:t xml:space="preserve">: Se recomienda que el Comité inste al Estado guatemalteco a desarrollar mecanismos efectivos de protección para </w:t>
      </w:r>
      <w:proofErr w:type="gramStart"/>
      <w:r>
        <w:rPr>
          <w:color w:val="000000"/>
          <w:sz w:val="24"/>
          <w:szCs w:val="24"/>
        </w:rPr>
        <w:t>defensores y defensoras</w:t>
      </w:r>
      <w:proofErr w:type="gramEnd"/>
      <w:r>
        <w:rPr>
          <w:color w:val="000000"/>
          <w:sz w:val="24"/>
          <w:szCs w:val="24"/>
        </w:rPr>
        <w:t xml:space="preserve"> indígenas criminalizados, así como programas de reparación integral para comunidades afectadas por desalojos forzosos, violencia estatal, desplazamiento y represión estructural.</w:t>
      </w:r>
    </w:p>
    <w:p w14:paraId="0B9FB3D8" w14:textId="77777777" w:rsidR="007D3173" w:rsidRDefault="00000000">
      <w:pPr>
        <w:pBdr>
          <w:top w:val="nil"/>
          <w:left w:val="nil"/>
          <w:bottom w:val="nil"/>
          <w:right w:val="nil"/>
          <w:between w:val="nil"/>
        </w:pBdr>
        <w:spacing w:before="120" w:after="120" w:line="276" w:lineRule="auto"/>
        <w:ind w:right="113"/>
        <w:jc w:val="both"/>
        <w:rPr>
          <w:color w:val="000000"/>
          <w:sz w:val="24"/>
          <w:szCs w:val="24"/>
        </w:rPr>
      </w:pPr>
      <w:r>
        <w:rPr>
          <w:color w:val="000000"/>
          <w:sz w:val="24"/>
          <w:szCs w:val="24"/>
        </w:rPr>
        <w:t>Este informe sombra se presenta con el firme propósito de contribuir a las deliberaciones del CERD de las Naciones Unidas, proporcionando elementos sustantivos para la emisión de recomendaciones contundentes, específicas y orientadas a la transformación estructural de las causas del racismo sistémico en Guatemala. Su implementación es indispensable para garantizar la vigencia de los derechos colectivos, la igualdad sustantiva y el respeto a la dignidad de los pueblos indígenas.</w:t>
      </w:r>
    </w:p>
    <w:sectPr w:rsidR="007D3173">
      <w:headerReference w:type="default" r:id="rId25"/>
      <w:footerReference w:type="default" r:id="rId26"/>
      <w:pgSz w:w="11910" w:h="16840"/>
      <w:pgMar w:top="2740" w:right="1680" w:bottom="1400" w:left="1680" w:header="709" w:footer="12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515C3" w14:textId="77777777" w:rsidR="0034465F" w:rsidRDefault="0034465F">
      <w:r>
        <w:separator/>
      </w:r>
    </w:p>
  </w:endnote>
  <w:endnote w:type="continuationSeparator" w:id="0">
    <w:p w14:paraId="423E0093" w14:textId="77777777" w:rsidR="0034465F" w:rsidRDefault="003446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Balthazar">
    <w:altName w:val="Calibri"/>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C4A0B" w14:textId="6CE4F006" w:rsidR="007D3173" w:rsidRDefault="00000000">
    <w:pPr>
      <w:widowControl/>
      <w:pBdr>
        <w:top w:val="nil"/>
        <w:left w:val="nil"/>
        <w:bottom w:val="nil"/>
        <w:right w:val="nil"/>
        <w:between w:val="nil"/>
      </w:pBdr>
      <w:jc w:val="right"/>
      <w:rPr>
        <w:rFonts w:ascii="Balthazar" w:eastAsia="Balthazar" w:hAnsi="Balthazar" w:cs="Balthazar"/>
        <w:b/>
        <w:color w:val="000000"/>
        <w:sz w:val="21"/>
        <w:szCs w:val="21"/>
      </w:rPr>
    </w:pPr>
    <w:r>
      <w:rPr>
        <w:rFonts w:ascii="Balthazar" w:eastAsia="Balthazar" w:hAnsi="Balthazar" w:cs="Balthazar"/>
        <w:b/>
        <w:smallCaps/>
        <w:color w:val="000000"/>
        <w:sz w:val="21"/>
        <w:szCs w:val="21"/>
      </w:rPr>
      <w:t xml:space="preserve">Page </w:t>
    </w:r>
    <w:r>
      <w:rPr>
        <w:rFonts w:ascii="Balthazar" w:eastAsia="Balthazar" w:hAnsi="Balthazar" w:cs="Balthazar"/>
        <w:b/>
        <w:smallCaps/>
        <w:color w:val="000000"/>
        <w:sz w:val="21"/>
        <w:szCs w:val="21"/>
      </w:rPr>
      <w:fldChar w:fldCharType="begin"/>
    </w:r>
    <w:r>
      <w:rPr>
        <w:rFonts w:ascii="Balthazar" w:eastAsia="Balthazar" w:hAnsi="Balthazar" w:cs="Balthazar"/>
        <w:b/>
        <w:smallCaps/>
        <w:color w:val="000000"/>
        <w:sz w:val="21"/>
        <w:szCs w:val="21"/>
      </w:rPr>
      <w:instrText>PAGE</w:instrText>
    </w:r>
    <w:r>
      <w:rPr>
        <w:rFonts w:ascii="Balthazar" w:eastAsia="Balthazar" w:hAnsi="Balthazar" w:cs="Balthazar"/>
        <w:b/>
        <w:smallCaps/>
        <w:color w:val="000000"/>
        <w:sz w:val="21"/>
        <w:szCs w:val="21"/>
      </w:rPr>
      <w:fldChar w:fldCharType="separate"/>
    </w:r>
    <w:r w:rsidR="00DC6380">
      <w:rPr>
        <w:rFonts w:ascii="Balthazar" w:eastAsia="Balthazar" w:hAnsi="Balthazar" w:cs="Balthazar"/>
        <w:b/>
        <w:smallCaps/>
        <w:noProof/>
        <w:color w:val="000000"/>
        <w:sz w:val="21"/>
        <w:szCs w:val="21"/>
      </w:rPr>
      <w:t>1</w:t>
    </w:r>
    <w:r>
      <w:rPr>
        <w:rFonts w:ascii="Balthazar" w:eastAsia="Balthazar" w:hAnsi="Balthazar" w:cs="Balthazar"/>
        <w:b/>
        <w:smallCaps/>
        <w:color w:val="000000"/>
        <w:sz w:val="21"/>
        <w:szCs w:val="21"/>
      </w:rPr>
      <w:fldChar w:fldCharType="end"/>
    </w:r>
    <w:r>
      <w:rPr>
        <w:rFonts w:ascii="Balthazar" w:eastAsia="Balthazar" w:hAnsi="Balthazar" w:cs="Balthazar"/>
        <w:b/>
        <w:smallCaps/>
        <w:color w:val="000000"/>
        <w:sz w:val="21"/>
        <w:szCs w:val="21"/>
      </w:rPr>
      <w:t xml:space="preserve"> </w:t>
    </w:r>
    <w:proofErr w:type="spellStart"/>
    <w:r>
      <w:rPr>
        <w:rFonts w:ascii="Balthazar" w:eastAsia="Balthazar" w:hAnsi="Balthazar" w:cs="Balthazar"/>
        <w:b/>
        <w:smallCaps/>
        <w:color w:val="000000"/>
        <w:sz w:val="21"/>
        <w:szCs w:val="21"/>
      </w:rPr>
      <w:t>of</w:t>
    </w:r>
    <w:proofErr w:type="spellEnd"/>
    <w:r>
      <w:rPr>
        <w:rFonts w:ascii="Balthazar" w:eastAsia="Balthazar" w:hAnsi="Balthazar" w:cs="Balthazar"/>
        <w:b/>
        <w:smallCaps/>
        <w:color w:val="000000"/>
        <w:sz w:val="21"/>
        <w:szCs w:val="21"/>
      </w:rPr>
      <w:t xml:space="preserve"> 1</w:t>
    </w:r>
    <w:r w:rsidR="0062630F">
      <w:rPr>
        <w:rFonts w:ascii="Balthazar" w:eastAsia="Balthazar" w:hAnsi="Balthazar" w:cs="Balthazar"/>
        <w:b/>
        <w:smallCaps/>
        <w:color w:val="000000"/>
        <w:sz w:val="21"/>
        <w:szCs w:val="21"/>
      </w:rPr>
      <w:t>8</w:t>
    </w:r>
  </w:p>
  <w:p w14:paraId="4981667B" w14:textId="77777777" w:rsidR="007D3173" w:rsidRDefault="00000000">
    <w:pPr>
      <w:pBdr>
        <w:top w:val="nil"/>
        <w:left w:val="nil"/>
        <w:bottom w:val="nil"/>
        <w:right w:val="nil"/>
        <w:between w:val="nil"/>
      </w:pBdr>
      <w:spacing w:before="120" w:after="120"/>
      <w:ind w:left="119" w:right="113"/>
      <w:jc w:val="both"/>
      <w:rPr>
        <w:color w:val="000000"/>
        <w:sz w:val="20"/>
        <w:szCs w:val="20"/>
      </w:rPr>
    </w:pPr>
    <w:r>
      <w:rPr>
        <w:noProof/>
      </w:rPr>
      <mc:AlternateContent>
        <mc:Choice Requires="wpg">
          <w:drawing>
            <wp:anchor distT="0" distB="0" distL="0" distR="0" simplePos="0" relativeHeight="251661312" behindDoc="1" locked="0" layoutInCell="1" hidden="0" allowOverlap="1" wp14:anchorId="0CC0AC15" wp14:editId="56964A3D">
              <wp:simplePos x="0" y="0"/>
              <wp:positionH relativeFrom="column">
                <wp:posOffset>127000</wp:posOffset>
              </wp:positionH>
              <wp:positionV relativeFrom="paragraph">
                <wp:posOffset>9797909</wp:posOffset>
              </wp:positionV>
              <wp:extent cx="5943600" cy="57150"/>
              <wp:effectExtent l="0" t="0" r="0" b="0"/>
              <wp:wrapNone/>
              <wp:docPr id="1690080206" name="Grupo 1690080206"/>
              <wp:cNvGraphicFramePr/>
              <a:graphic xmlns:a="http://schemas.openxmlformats.org/drawingml/2006/main">
                <a:graphicData uri="http://schemas.microsoft.com/office/word/2010/wordprocessingGroup">
                  <wpg:wgp>
                    <wpg:cNvGrpSpPr/>
                    <wpg:grpSpPr>
                      <a:xfrm>
                        <a:off x="0" y="0"/>
                        <a:ext cx="5943600" cy="57150"/>
                        <a:chOff x="2374200" y="3751425"/>
                        <a:chExt cx="5943600" cy="57150"/>
                      </a:xfrm>
                    </wpg:grpSpPr>
                    <wpg:grpSp>
                      <wpg:cNvPr id="1428701525" name="Grupo 1428701525"/>
                      <wpg:cNvGrpSpPr/>
                      <wpg:grpSpPr>
                        <a:xfrm>
                          <a:off x="2374200" y="3751425"/>
                          <a:ext cx="5943600" cy="57150"/>
                          <a:chOff x="0" y="0"/>
                          <a:chExt cx="5943600" cy="57150"/>
                        </a:xfrm>
                      </wpg:grpSpPr>
                      <wps:wsp>
                        <wps:cNvPr id="101376999" name="Rectángulo 101376999"/>
                        <wps:cNvSpPr/>
                        <wps:spPr>
                          <a:xfrm>
                            <a:off x="0" y="0"/>
                            <a:ext cx="5943600" cy="57150"/>
                          </a:xfrm>
                          <a:prstGeom prst="rect">
                            <a:avLst/>
                          </a:prstGeom>
                          <a:noFill/>
                          <a:ln>
                            <a:noFill/>
                          </a:ln>
                        </wps:spPr>
                        <wps:txbx>
                          <w:txbxContent>
                            <w:p w14:paraId="2FEE7E01" w14:textId="77777777" w:rsidR="007D3173" w:rsidRDefault="007D3173">
                              <w:pPr>
                                <w:textDirection w:val="btLr"/>
                              </w:pPr>
                            </w:p>
                          </w:txbxContent>
                        </wps:txbx>
                        <wps:bodyPr spcFirstLastPara="1" wrap="square" lIns="91425" tIns="91425" rIns="91425" bIns="91425" anchor="ctr" anchorCtr="0">
                          <a:noAutofit/>
                        </wps:bodyPr>
                      </wps:wsp>
                      <wps:wsp>
                        <wps:cNvPr id="1661295449" name="Forma libre 1661295449"/>
                        <wps:cNvSpPr/>
                        <wps:spPr>
                          <a:xfrm>
                            <a:off x="0" y="18618"/>
                            <a:ext cx="5943600" cy="38100"/>
                          </a:xfrm>
                          <a:custGeom>
                            <a:avLst/>
                            <a:gdLst/>
                            <a:ahLst/>
                            <a:cxnLst/>
                            <a:rect l="l" t="t" r="r" b="b"/>
                            <a:pathLst>
                              <a:path w="5943600" h="38100" extrusionOk="0">
                                <a:moveTo>
                                  <a:pt x="0" y="38100"/>
                                </a:moveTo>
                                <a:lnTo>
                                  <a:pt x="5943600" y="38100"/>
                                </a:lnTo>
                                <a:lnTo>
                                  <a:pt x="5943600" y="0"/>
                                </a:lnTo>
                                <a:lnTo>
                                  <a:pt x="0" y="0"/>
                                </a:lnTo>
                                <a:lnTo>
                                  <a:pt x="0" y="38100"/>
                                </a:lnTo>
                                <a:close/>
                              </a:path>
                            </a:pathLst>
                          </a:custGeom>
                          <a:solidFill>
                            <a:srgbClr val="2C358B"/>
                          </a:solidFill>
                          <a:ln>
                            <a:noFill/>
                          </a:ln>
                        </wps:spPr>
                        <wps:bodyPr spcFirstLastPara="1" wrap="square" lIns="91425" tIns="91425" rIns="91425" bIns="91425" anchor="ctr" anchorCtr="0">
                          <a:noAutofit/>
                        </wps:bodyPr>
                      </wps:wsp>
                      <wps:wsp>
                        <wps:cNvPr id="1877919713" name="Forma libre 1877919713"/>
                        <wps:cNvSpPr/>
                        <wps:spPr>
                          <a:xfrm>
                            <a:off x="0" y="0"/>
                            <a:ext cx="5943600" cy="19050"/>
                          </a:xfrm>
                          <a:custGeom>
                            <a:avLst/>
                            <a:gdLst/>
                            <a:ahLst/>
                            <a:cxnLst/>
                            <a:rect l="l" t="t" r="r" b="b"/>
                            <a:pathLst>
                              <a:path w="5943600" h="19050" extrusionOk="0">
                                <a:moveTo>
                                  <a:pt x="0" y="19050"/>
                                </a:moveTo>
                                <a:lnTo>
                                  <a:pt x="5943600" y="19050"/>
                                </a:lnTo>
                                <a:lnTo>
                                  <a:pt x="5943600" y="0"/>
                                </a:lnTo>
                                <a:lnTo>
                                  <a:pt x="0" y="0"/>
                                </a:lnTo>
                                <a:lnTo>
                                  <a:pt x="0" y="19050"/>
                                </a:lnTo>
                                <a:close/>
                              </a:path>
                            </a:pathLst>
                          </a:custGeom>
                          <a:solidFill>
                            <a:srgbClr val="BE3028"/>
                          </a:solidFill>
                          <a:ln>
                            <a:noFill/>
                          </a:ln>
                        </wps:spPr>
                        <wps:bodyPr spcFirstLastPara="1" wrap="square" lIns="91425" tIns="91425" rIns="91425" bIns="91425" anchor="ctr" anchorCtr="0">
                          <a:noAutofit/>
                        </wps:bodyPr>
                      </wps:wsp>
                    </wpg:grpSp>
                  </wpg:wg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127000</wp:posOffset>
              </wp:positionH>
              <wp:positionV relativeFrom="paragraph">
                <wp:posOffset>9797909</wp:posOffset>
              </wp:positionV>
              <wp:extent cx="5943600" cy="57150"/>
              <wp:effectExtent b="0" l="0" r="0" t="0"/>
              <wp:wrapNone/>
              <wp:docPr id="1690080206"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5943600" cy="57150"/>
                      </a:xfrm>
                      <a:prstGeom prst="rect"/>
                      <a:ln/>
                    </pic:spPr>
                  </pic:pic>
                </a:graphicData>
              </a:graphic>
            </wp:anchor>
          </w:drawing>
        </mc:Fallback>
      </mc:AlternateContent>
    </w:r>
    <w:r>
      <w:rPr>
        <w:noProof/>
      </w:rPr>
      <mc:AlternateContent>
        <mc:Choice Requires="wpg">
          <w:drawing>
            <wp:anchor distT="0" distB="0" distL="0" distR="0" simplePos="0" relativeHeight="251662336" behindDoc="1" locked="0" layoutInCell="1" hidden="0" allowOverlap="1" wp14:anchorId="5EAAF13B" wp14:editId="5EF553ED">
              <wp:simplePos x="0" y="0"/>
              <wp:positionH relativeFrom="column">
                <wp:posOffset>936814</wp:posOffset>
              </wp:positionH>
              <wp:positionV relativeFrom="paragraph">
                <wp:posOffset>9905525</wp:posOffset>
              </wp:positionV>
              <wp:extent cx="3556635" cy="266700"/>
              <wp:effectExtent l="0" t="0" r="0" b="0"/>
              <wp:wrapNone/>
              <wp:docPr id="1690080208" name="Rectángulo 1690080208"/>
              <wp:cNvGraphicFramePr/>
              <a:graphic xmlns:a="http://schemas.openxmlformats.org/drawingml/2006/main">
                <a:graphicData uri="http://schemas.microsoft.com/office/word/2010/wordprocessingShape">
                  <wps:wsp>
                    <wps:cNvSpPr/>
                    <wps:spPr>
                      <a:xfrm>
                        <a:off x="3572445" y="3651413"/>
                        <a:ext cx="3547110" cy="257175"/>
                      </a:xfrm>
                      <a:prstGeom prst="rect">
                        <a:avLst/>
                      </a:prstGeom>
                      <a:noFill/>
                      <a:ln>
                        <a:noFill/>
                      </a:ln>
                    </wps:spPr>
                    <wps:txbx>
                      <w:txbxContent>
                        <w:p w14:paraId="115FC9BC" w14:textId="77777777" w:rsidR="007D3173" w:rsidRDefault="00000000">
                          <w:pPr>
                            <w:spacing w:before="15"/>
                            <w:ind w:left="746" w:right="17" w:firstLine="18"/>
                            <w:textDirection w:val="btLr"/>
                          </w:pPr>
                          <w:r>
                            <w:rPr>
                              <w:rFonts w:ascii="Arial" w:eastAsia="Arial" w:hAnsi="Arial" w:cs="Arial"/>
                              <w:color w:val="000000"/>
                              <w:sz w:val="16"/>
                            </w:rPr>
                            <w:t xml:space="preserve">Centro Corporativo San Rafael, Oficina 28, San Rafael de Escazú, Costa Rica E-mail: </w:t>
                          </w:r>
                          <w:r>
                            <w:rPr>
                              <w:rFonts w:ascii="Arial" w:eastAsia="Arial" w:hAnsi="Arial" w:cs="Arial"/>
                              <w:color w:val="0000FF"/>
                              <w:sz w:val="16"/>
                              <w:u w:val="single"/>
                            </w:rPr>
                            <w:t>contacto@iiresodh.org</w:t>
                          </w:r>
                          <w:r>
                            <w:rPr>
                              <w:rFonts w:ascii="Arial" w:eastAsia="Arial" w:hAnsi="Arial" w:cs="Arial"/>
                              <w:color w:val="0000FF"/>
                              <w:sz w:val="16"/>
                            </w:rPr>
                            <w:t xml:space="preserve"> </w:t>
                          </w:r>
                          <w:proofErr w:type="spellStart"/>
                          <w:r>
                            <w:rPr>
                              <w:rFonts w:ascii="Arial" w:eastAsia="Arial" w:hAnsi="Arial" w:cs="Arial"/>
                              <w:color w:val="000000"/>
                              <w:sz w:val="16"/>
                            </w:rPr>
                            <w:t>Website</w:t>
                          </w:r>
                          <w:proofErr w:type="spellEnd"/>
                          <w:r>
                            <w:rPr>
                              <w:rFonts w:ascii="Arial" w:eastAsia="Arial" w:hAnsi="Arial" w:cs="Arial"/>
                              <w:color w:val="000000"/>
                              <w:sz w:val="16"/>
                            </w:rPr>
                            <w:t xml:space="preserve">: </w:t>
                          </w:r>
                          <w:r>
                            <w:rPr>
                              <w:rFonts w:ascii="Arial" w:eastAsia="Arial" w:hAnsi="Arial" w:cs="Arial"/>
                              <w:color w:val="0000FF"/>
                              <w:sz w:val="16"/>
                              <w:u w:val="single"/>
                            </w:rPr>
                            <w:t>www.iiresodh.org</w:t>
                          </w:r>
                        </w:p>
                      </w:txbxContent>
                    </wps:txbx>
                    <wps:bodyPr spcFirstLastPara="1" wrap="square" lIns="0" tIns="0" rIns="0" bIns="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936814</wp:posOffset>
              </wp:positionH>
              <wp:positionV relativeFrom="paragraph">
                <wp:posOffset>9905525</wp:posOffset>
              </wp:positionV>
              <wp:extent cx="3556635" cy="266700"/>
              <wp:effectExtent b="0" l="0" r="0" t="0"/>
              <wp:wrapNone/>
              <wp:docPr id="1690080208" name="image7.png"/>
              <a:graphic>
                <a:graphicData uri="http://schemas.openxmlformats.org/drawingml/2006/picture">
                  <pic:pic>
                    <pic:nvPicPr>
                      <pic:cNvPr id="0" name="image7.png"/>
                      <pic:cNvPicPr preferRelativeResize="0"/>
                    </pic:nvPicPr>
                    <pic:blipFill>
                      <a:blip r:embed="rId1"/>
                      <a:srcRect/>
                      <a:stretch>
                        <a:fillRect/>
                      </a:stretch>
                    </pic:blipFill>
                    <pic:spPr>
                      <a:xfrm>
                        <a:off x="0" y="0"/>
                        <a:ext cx="3556635" cy="266700"/>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D460EE" w14:textId="77777777" w:rsidR="0034465F" w:rsidRDefault="0034465F">
      <w:r>
        <w:separator/>
      </w:r>
    </w:p>
  </w:footnote>
  <w:footnote w:type="continuationSeparator" w:id="0">
    <w:p w14:paraId="5A4AA685" w14:textId="77777777" w:rsidR="0034465F" w:rsidRDefault="0034465F">
      <w:r>
        <w:continuationSeparator/>
      </w:r>
    </w:p>
  </w:footnote>
  <w:footnote w:id="1">
    <w:p w14:paraId="04A18FBB" w14:textId="77777777" w:rsidR="007D3173"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hyperlink r:id="rId1">
        <w:r w:rsidR="007D3173">
          <w:rPr>
            <w:color w:val="0000FF"/>
            <w:sz w:val="20"/>
            <w:szCs w:val="20"/>
            <w:u w:val="single"/>
          </w:rPr>
          <w:t>https://iiresodh.org</w:t>
        </w:r>
      </w:hyperlink>
      <w:r>
        <w:rPr>
          <w:color w:val="000000"/>
          <w:sz w:val="20"/>
          <w:szCs w:val="20"/>
        </w:rPr>
        <w:t xml:space="preserve"> </w:t>
      </w:r>
    </w:p>
  </w:footnote>
  <w:footnote w:id="2">
    <w:p w14:paraId="4513AA3D" w14:textId="77777777" w:rsidR="007D3173"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Convención de Viena sobre el Derecho de los Tratados. Art. 26.- </w:t>
      </w:r>
    </w:p>
  </w:footnote>
  <w:footnote w:id="3">
    <w:p w14:paraId="1E76AD92" w14:textId="77777777" w:rsidR="007D3173"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hyperlink r:id="rId2">
        <w:r w:rsidR="007D3173">
          <w:rPr>
            <w:color w:val="0000FF"/>
            <w:sz w:val="20"/>
            <w:szCs w:val="20"/>
            <w:u w:val="single"/>
          </w:rPr>
          <w:t>https://collectifguatemala.org/-Le-Collectif-</w:t>
        </w:r>
      </w:hyperlink>
      <w:r>
        <w:rPr>
          <w:color w:val="000000"/>
          <w:sz w:val="20"/>
          <w:szCs w:val="20"/>
        </w:rPr>
        <w:t xml:space="preserve"> </w:t>
      </w:r>
    </w:p>
  </w:footnote>
  <w:footnote w:id="4">
    <w:p w14:paraId="49ED717C"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CIDH, </w:t>
      </w:r>
      <w:r>
        <w:rPr>
          <w:i/>
          <w:color w:val="000000"/>
          <w:sz w:val="20"/>
          <w:szCs w:val="20"/>
        </w:rPr>
        <w:t>Informe Anual 2023</w:t>
      </w:r>
      <w:r>
        <w:rPr>
          <w:color w:val="000000"/>
          <w:sz w:val="20"/>
          <w:szCs w:val="20"/>
        </w:rPr>
        <w:t>. Capítulo IV.B: Guatemala, OEA/</w:t>
      </w:r>
      <w:proofErr w:type="spellStart"/>
      <w:r>
        <w:rPr>
          <w:color w:val="000000"/>
          <w:sz w:val="20"/>
          <w:szCs w:val="20"/>
        </w:rPr>
        <w:t>Ser.L</w:t>
      </w:r>
      <w:proofErr w:type="spellEnd"/>
      <w:r>
        <w:rPr>
          <w:color w:val="000000"/>
          <w:sz w:val="20"/>
          <w:szCs w:val="20"/>
        </w:rPr>
        <w:t xml:space="preserve">/V/II, 31 de diciembre de 2023. </w:t>
      </w:r>
      <w:hyperlink r:id="rId3">
        <w:r w:rsidR="007D3173">
          <w:rPr>
            <w:color w:val="0000FF"/>
            <w:sz w:val="20"/>
            <w:szCs w:val="20"/>
            <w:u w:val="single"/>
          </w:rPr>
          <w:t>Enlace</w:t>
        </w:r>
      </w:hyperlink>
      <w:r>
        <w:rPr>
          <w:color w:val="000000"/>
          <w:sz w:val="20"/>
          <w:szCs w:val="20"/>
        </w:rPr>
        <w:t xml:space="preserve"> y CIDH, </w:t>
      </w:r>
      <w:r>
        <w:rPr>
          <w:i/>
          <w:color w:val="000000"/>
          <w:sz w:val="20"/>
          <w:szCs w:val="20"/>
        </w:rPr>
        <w:t>Observaciones Preliminares de la Visita in loco a Guatemala</w:t>
      </w:r>
      <w:r>
        <w:rPr>
          <w:color w:val="000000"/>
          <w:sz w:val="20"/>
          <w:szCs w:val="20"/>
        </w:rPr>
        <w:t>, OEA/</w:t>
      </w:r>
      <w:proofErr w:type="spellStart"/>
      <w:r>
        <w:rPr>
          <w:color w:val="000000"/>
          <w:sz w:val="20"/>
          <w:szCs w:val="20"/>
        </w:rPr>
        <w:t>Ser.L</w:t>
      </w:r>
      <w:proofErr w:type="spellEnd"/>
      <w:r>
        <w:rPr>
          <w:color w:val="000000"/>
          <w:sz w:val="20"/>
          <w:szCs w:val="20"/>
        </w:rPr>
        <w:t xml:space="preserve">/V/II. Doc.124/24, aprobado el 15 de agosto de 2024. </w:t>
      </w:r>
      <w:hyperlink r:id="rId4">
        <w:r w:rsidR="007D3173">
          <w:rPr>
            <w:color w:val="0000FF"/>
            <w:sz w:val="20"/>
            <w:szCs w:val="20"/>
            <w:u w:val="single"/>
          </w:rPr>
          <w:t>Enlace</w:t>
        </w:r>
      </w:hyperlink>
      <w:r>
        <w:rPr>
          <w:color w:val="000000"/>
          <w:sz w:val="20"/>
          <w:szCs w:val="20"/>
        </w:rPr>
        <w:t>.</w:t>
      </w:r>
    </w:p>
  </w:footnote>
  <w:footnote w:id="5">
    <w:p w14:paraId="35278BC6" w14:textId="77777777" w:rsidR="007D3173"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Sentencia de 16 de mayo de 2023</w:t>
      </w:r>
    </w:p>
  </w:footnote>
  <w:footnote w:id="6">
    <w:p w14:paraId="4929E9B8"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Corte IDH, </w:t>
      </w:r>
      <w:r>
        <w:rPr>
          <w:i/>
          <w:color w:val="000000"/>
          <w:sz w:val="20"/>
          <w:szCs w:val="20"/>
        </w:rPr>
        <w:t xml:space="preserve">Caso Comunidad Indígena Maya </w:t>
      </w:r>
      <w:proofErr w:type="spellStart"/>
      <w:r>
        <w:rPr>
          <w:i/>
          <w:color w:val="000000"/>
          <w:sz w:val="20"/>
          <w:szCs w:val="20"/>
        </w:rPr>
        <w:t>Q’eqchi</w:t>
      </w:r>
      <w:proofErr w:type="spellEnd"/>
      <w:r>
        <w:rPr>
          <w:i/>
          <w:color w:val="000000"/>
          <w:sz w:val="20"/>
          <w:szCs w:val="20"/>
        </w:rPr>
        <w:t>’ Agua Caliente vs. Guatemala</w:t>
      </w:r>
      <w:r>
        <w:rPr>
          <w:color w:val="000000"/>
          <w:sz w:val="20"/>
          <w:szCs w:val="20"/>
        </w:rPr>
        <w:t xml:space="preserve">, Fondo, Reparaciones y Costas, Sentencia de 16 de mayo de 2023, Serie C No. 488. </w:t>
      </w:r>
      <w:hyperlink r:id="rId5">
        <w:r w:rsidR="007D3173">
          <w:rPr>
            <w:color w:val="0000FF"/>
            <w:sz w:val="20"/>
            <w:szCs w:val="20"/>
            <w:u w:val="single"/>
          </w:rPr>
          <w:t>Enlace</w:t>
        </w:r>
      </w:hyperlink>
      <w:r>
        <w:rPr>
          <w:color w:val="000000"/>
          <w:sz w:val="20"/>
          <w:szCs w:val="20"/>
        </w:rPr>
        <w:t>.</w:t>
      </w:r>
    </w:p>
  </w:footnote>
  <w:footnote w:id="7">
    <w:p w14:paraId="67F819EC"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CIDH, </w:t>
      </w:r>
      <w:r>
        <w:rPr>
          <w:i/>
          <w:color w:val="000000"/>
          <w:sz w:val="20"/>
          <w:szCs w:val="20"/>
        </w:rPr>
        <w:t>Informe Anual 2024</w:t>
      </w:r>
      <w:r>
        <w:rPr>
          <w:color w:val="000000"/>
          <w:sz w:val="20"/>
          <w:szCs w:val="20"/>
        </w:rPr>
        <w:t>, OEA/</w:t>
      </w:r>
      <w:proofErr w:type="spellStart"/>
      <w:r>
        <w:rPr>
          <w:color w:val="000000"/>
          <w:sz w:val="20"/>
          <w:szCs w:val="20"/>
        </w:rPr>
        <w:t>Ser.L</w:t>
      </w:r>
      <w:proofErr w:type="spellEnd"/>
      <w:r>
        <w:rPr>
          <w:color w:val="000000"/>
          <w:sz w:val="20"/>
          <w:szCs w:val="20"/>
        </w:rPr>
        <w:t xml:space="preserve">/V/II, aprobado el 26 de marzo de 2025. </w:t>
      </w:r>
      <w:hyperlink r:id="rId6" w:anchor="page=105">
        <w:r w:rsidR="007D3173">
          <w:rPr>
            <w:color w:val="0000FF"/>
            <w:sz w:val="20"/>
            <w:szCs w:val="20"/>
            <w:u w:val="single"/>
          </w:rPr>
          <w:t>Enlace</w:t>
        </w:r>
      </w:hyperlink>
      <w:r>
        <w:rPr>
          <w:color w:val="000000"/>
          <w:sz w:val="20"/>
          <w:szCs w:val="20"/>
        </w:rPr>
        <w:t xml:space="preserve"> y CIDH, </w:t>
      </w:r>
      <w:r>
        <w:rPr>
          <w:i/>
          <w:color w:val="000000"/>
          <w:sz w:val="20"/>
          <w:szCs w:val="20"/>
        </w:rPr>
        <w:t>Observaciones Preliminares de la Visita in loco a Guatemala</w:t>
      </w:r>
      <w:r>
        <w:rPr>
          <w:color w:val="000000"/>
          <w:sz w:val="20"/>
          <w:szCs w:val="20"/>
        </w:rPr>
        <w:t>, OEA/</w:t>
      </w:r>
      <w:proofErr w:type="spellStart"/>
      <w:r>
        <w:rPr>
          <w:color w:val="000000"/>
          <w:sz w:val="20"/>
          <w:szCs w:val="20"/>
        </w:rPr>
        <w:t>Ser.L</w:t>
      </w:r>
      <w:proofErr w:type="spellEnd"/>
      <w:r>
        <w:rPr>
          <w:color w:val="000000"/>
          <w:sz w:val="20"/>
          <w:szCs w:val="20"/>
        </w:rPr>
        <w:t xml:space="preserve">/V/II. Doc.124/24, aprobado el 15 de agosto de 2024. </w:t>
      </w:r>
      <w:hyperlink r:id="rId7">
        <w:r w:rsidR="007D3173">
          <w:rPr>
            <w:color w:val="0000FF"/>
            <w:sz w:val="20"/>
            <w:szCs w:val="20"/>
            <w:u w:val="single"/>
          </w:rPr>
          <w:t>Enlace</w:t>
        </w:r>
      </w:hyperlink>
      <w:r>
        <w:rPr>
          <w:color w:val="000000"/>
          <w:sz w:val="20"/>
          <w:szCs w:val="20"/>
        </w:rPr>
        <w:t>.</w:t>
      </w:r>
    </w:p>
  </w:footnote>
  <w:footnote w:id="8">
    <w:p w14:paraId="34076A05"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Brigadas Internacionales de Paz (PBI) - Proyecto Guatemala, </w:t>
      </w:r>
      <w:r>
        <w:rPr>
          <w:i/>
          <w:color w:val="000000"/>
          <w:sz w:val="20"/>
          <w:szCs w:val="20"/>
        </w:rPr>
        <w:t>El cierre de las instituciones de la Paz</w:t>
      </w:r>
      <w:r>
        <w:rPr>
          <w:color w:val="000000"/>
          <w:sz w:val="20"/>
          <w:szCs w:val="20"/>
        </w:rPr>
        <w:t xml:space="preserve">, Boletín No. 45, julio de 2021. </w:t>
      </w:r>
      <w:hyperlink r:id="rId8">
        <w:r w:rsidR="007D3173">
          <w:rPr>
            <w:color w:val="0000FF"/>
            <w:sz w:val="20"/>
            <w:szCs w:val="20"/>
            <w:u w:val="single"/>
          </w:rPr>
          <w:t>Enlace</w:t>
        </w:r>
      </w:hyperlink>
      <w:r>
        <w:rPr>
          <w:color w:val="000000"/>
          <w:sz w:val="20"/>
          <w:szCs w:val="20"/>
        </w:rPr>
        <w:t>.</w:t>
      </w:r>
    </w:p>
  </w:footnote>
  <w:footnote w:id="9">
    <w:p w14:paraId="1B7B2240"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La Hora, </w:t>
      </w:r>
      <w:r>
        <w:rPr>
          <w:i/>
          <w:color w:val="000000"/>
          <w:sz w:val="20"/>
          <w:szCs w:val="20"/>
        </w:rPr>
        <w:t>Acuerdo Agrario</w:t>
      </w:r>
      <w:r>
        <w:rPr>
          <w:color w:val="000000"/>
          <w:sz w:val="20"/>
          <w:szCs w:val="20"/>
        </w:rPr>
        <w:t xml:space="preserve">, 14 de febrero de 2024. </w:t>
      </w:r>
      <w:hyperlink r:id="rId9">
        <w:r w:rsidR="007D3173">
          <w:rPr>
            <w:color w:val="0000FF"/>
            <w:sz w:val="20"/>
            <w:szCs w:val="20"/>
            <w:u w:val="single"/>
          </w:rPr>
          <w:t>Enlace</w:t>
        </w:r>
      </w:hyperlink>
      <w:r>
        <w:rPr>
          <w:color w:val="000000"/>
          <w:sz w:val="20"/>
          <w:szCs w:val="20"/>
        </w:rPr>
        <w:t xml:space="preserve">. </w:t>
      </w:r>
    </w:p>
  </w:footnote>
  <w:footnote w:id="10">
    <w:p w14:paraId="5DDDC252"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CIDH - Relatoría Especial sobre Derechos Económicos, Sociales, Culturales y Ambientales (REDESCA), </w:t>
      </w:r>
      <w:r>
        <w:rPr>
          <w:i/>
          <w:color w:val="000000"/>
          <w:sz w:val="20"/>
          <w:szCs w:val="20"/>
        </w:rPr>
        <w:t>VIII informe anual</w:t>
      </w:r>
      <w:r>
        <w:rPr>
          <w:color w:val="000000"/>
          <w:sz w:val="20"/>
          <w:szCs w:val="20"/>
        </w:rPr>
        <w:t xml:space="preserve">, OEA/SER.L/V/III Doc. 39, 13 de marzo de 2025. </w:t>
      </w:r>
      <w:hyperlink r:id="rId10">
        <w:r w:rsidR="007D3173">
          <w:rPr>
            <w:color w:val="0000FF"/>
            <w:sz w:val="20"/>
            <w:szCs w:val="20"/>
            <w:u w:val="single"/>
          </w:rPr>
          <w:t>Enlace</w:t>
        </w:r>
      </w:hyperlink>
      <w:r>
        <w:rPr>
          <w:color w:val="000000"/>
          <w:sz w:val="20"/>
          <w:szCs w:val="20"/>
        </w:rPr>
        <w:t xml:space="preserve"> y CIDH, </w:t>
      </w:r>
      <w:r>
        <w:rPr>
          <w:i/>
          <w:color w:val="000000"/>
          <w:sz w:val="20"/>
          <w:szCs w:val="20"/>
        </w:rPr>
        <w:t>Informe Anual 2024</w:t>
      </w:r>
      <w:r>
        <w:rPr>
          <w:color w:val="000000"/>
          <w:sz w:val="20"/>
          <w:szCs w:val="20"/>
        </w:rPr>
        <w:t>, OEA/</w:t>
      </w:r>
      <w:proofErr w:type="spellStart"/>
      <w:r>
        <w:rPr>
          <w:color w:val="000000"/>
          <w:sz w:val="20"/>
          <w:szCs w:val="20"/>
        </w:rPr>
        <w:t>Ser.L</w:t>
      </w:r>
      <w:proofErr w:type="spellEnd"/>
      <w:r>
        <w:rPr>
          <w:color w:val="000000"/>
          <w:sz w:val="20"/>
          <w:szCs w:val="20"/>
        </w:rPr>
        <w:t xml:space="preserve">/V/II, aprobado el 26 de marzo de 2025. </w:t>
      </w:r>
      <w:hyperlink r:id="rId11" w:anchor="page=105">
        <w:r w:rsidR="007D3173">
          <w:rPr>
            <w:color w:val="0000FF"/>
            <w:sz w:val="20"/>
            <w:szCs w:val="20"/>
            <w:u w:val="single"/>
          </w:rPr>
          <w:t>Enlace</w:t>
        </w:r>
      </w:hyperlink>
      <w:r>
        <w:rPr>
          <w:color w:val="000000"/>
          <w:sz w:val="20"/>
          <w:szCs w:val="20"/>
        </w:rPr>
        <w:t>.</w:t>
      </w:r>
    </w:p>
  </w:footnote>
  <w:footnote w:id="11">
    <w:p w14:paraId="1F74B229"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CIDH, </w:t>
      </w:r>
      <w:r>
        <w:rPr>
          <w:i/>
          <w:color w:val="000000"/>
          <w:sz w:val="20"/>
          <w:szCs w:val="20"/>
        </w:rPr>
        <w:t>Informe Anual 2024</w:t>
      </w:r>
      <w:r>
        <w:rPr>
          <w:color w:val="000000"/>
          <w:sz w:val="20"/>
          <w:szCs w:val="20"/>
        </w:rPr>
        <w:t>, OEA/</w:t>
      </w:r>
      <w:proofErr w:type="spellStart"/>
      <w:r>
        <w:rPr>
          <w:color w:val="000000"/>
          <w:sz w:val="20"/>
          <w:szCs w:val="20"/>
        </w:rPr>
        <w:t>Ser.L</w:t>
      </w:r>
      <w:proofErr w:type="spellEnd"/>
      <w:r>
        <w:rPr>
          <w:color w:val="000000"/>
          <w:sz w:val="20"/>
          <w:szCs w:val="20"/>
        </w:rPr>
        <w:t xml:space="preserve">/V/II, aprobado el 26 de marzo de 2025. </w:t>
      </w:r>
      <w:hyperlink r:id="rId12" w:anchor="page=105">
        <w:r w:rsidR="007D3173">
          <w:rPr>
            <w:color w:val="0000FF"/>
            <w:sz w:val="20"/>
            <w:szCs w:val="20"/>
            <w:u w:val="single"/>
          </w:rPr>
          <w:t>Enlace</w:t>
        </w:r>
      </w:hyperlink>
      <w:r>
        <w:rPr>
          <w:color w:val="000000"/>
          <w:sz w:val="20"/>
          <w:szCs w:val="20"/>
        </w:rPr>
        <w:t>.</w:t>
      </w:r>
    </w:p>
  </w:footnote>
  <w:footnote w:id="12">
    <w:p w14:paraId="5AE397B9"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Congreso de la República, </w:t>
      </w:r>
      <w:r>
        <w:rPr>
          <w:i/>
          <w:color w:val="000000"/>
          <w:sz w:val="20"/>
          <w:szCs w:val="20"/>
        </w:rPr>
        <w:t>Congreso ratifica estado de sitio en El Estor, Izabal</w:t>
      </w:r>
      <w:r>
        <w:rPr>
          <w:color w:val="000000"/>
          <w:sz w:val="20"/>
          <w:szCs w:val="20"/>
        </w:rPr>
        <w:t xml:space="preserve">, 25 de octubre de 2021. También en Plaza Pública. “El Estor: las secuelas de un estado de sitio” 3 de septiembre de 2023. </w:t>
      </w:r>
      <w:hyperlink r:id="rId13">
        <w:r w:rsidR="007D3173">
          <w:rPr>
            <w:color w:val="0000FF"/>
            <w:sz w:val="20"/>
            <w:szCs w:val="20"/>
            <w:u w:val="single"/>
          </w:rPr>
          <w:t>https://www.plazapublica.com.gt/content/el-estor-las-secuelas-de-un-estado-de-sitio</w:t>
        </w:r>
      </w:hyperlink>
      <w:r>
        <w:rPr>
          <w:color w:val="000000"/>
          <w:sz w:val="20"/>
          <w:szCs w:val="20"/>
        </w:rPr>
        <w:t xml:space="preserve"> </w:t>
      </w:r>
    </w:p>
  </w:footnote>
  <w:footnote w:id="13">
    <w:p w14:paraId="68408353"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Relatorías Especiales de la ONU (terrorismo, detención arbitraria, empresa medio ambiente, ejecuciones, libertad de opinión y de expresión, libertad de reunión pacífica y de asociación, defensores de los derechos humanos, pueblos indígenas, migrantes), Carta de Alegaciones, GTM 2/2022, 17 de mayo de 2022. </w:t>
      </w:r>
    </w:p>
  </w:footnote>
  <w:footnote w:id="14">
    <w:p w14:paraId="0DFAEF4E"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CIDH, Comunicado de Prensa - </w:t>
      </w:r>
      <w:r>
        <w:rPr>
          <w:i/>
          <w:color w:val="000000"/>
          <w:sz w:val="20"/>
          <w:szCs w:val="20"/>
        </w:rPr>
        <w:t xml:space="preserve">La CIDH condena el uso excesivo de la fuerza y la represión en contra de pueblos indígenas mayas </w:t>
      </w:r>
      <w:proofErr w:type="spellStart"/>
      <w:r>
        <w:rPr>
          <w:i/>
          <w:color w:val="000000"/>
          <w:sz w:val="20"/>
          <w:szCs w:val="20"/>
        </w:rPr>
        <w:t>q'eqchi</w:t>
      </w:r>
      <w:proofErr w:type="spellEnd"/>
      <w:r>
        <w:rPr>
          <w:i/>
          <w:color w:val="000000"/>
          <w:sz w:val="20"/>
          <w:szCs w:val="20"/>
        </w:rPr>
        <w:t>', periodistas y medios de comunicación en El Estor</w:t>
      </w:r>
      <w:r>
        <w:rPr>
          <w:color w:val="000000"/>
          <w:sz w:val="20"/>
          <w:szCs w:val="20"/>
        </w:rPr>
        <w:t>, Guatemala, 4 de noviembre de 2021.</w:t>
      </w:r>
    </w:p>
  </w:footnote>
  <w:footnote w:id="15">
    <w:p w14:paraId="6EBB493E"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Ministerio de Gobernación, </w:t>
      </w:r>
      <w:r>
        <w:rPr>
          <w:i/>
          <w:color w:val="000000"/>
          <w:sz w:val="20"/>
          <w:szCs w:val="20"/>
        </w:rPr>
        <w:t xml:space="preserve">Consulta al Pueblo </w:t>
      </w:r>
      <w:proofErr w:type="spellStart"/>
      <w:r>
        <w:rPr>
          <w:i/>
          <w:color w:val="000000"/>
          <w:sz w:val="20"/>
          <w:szCs w:val="20"/>
        </w:rPr>
        <w:t>Q'eqchi</w:t>
      </w:r>
      <w:proofErr w:type="spellEnd"/>
      <w:r>
        <w:rPr>
          <w:i/>
          <w:color w:val="000000"/>
          <w:sz w:val="20"/>
          <w:szCs w:val="20"/>
        </w:rPr>
        <w:t xml:space="preserve"> por la Extracción Minera Fénix</w:t>
      </w:r>
      <w:r>
        <w:rPr>
          <w:color w:val="000000"/>
          <w:sz w:val="20"/>
          <w:szCs w:val="20"/>
        </w:rPr>
        <w:t>, 4 de noviembre de 2024.</w:t>
      </w:r>
    </w:p>
  </w:footnote>
  <w:footnote w:id="16">
    <w:p w14:paraId="21F5BB6C"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Prensa Comunitaria, </w:t>
      </w:r>
      <w:r>
        <w:rPr>
          <w:i/>
          <w:color w:val="000000"/>
          <w:sz w:val="20"/>
          <w:szCs w:val="20"/>
        </w:rPr>
        <w:t>Corte de Constitucionalidad vuelve a dejar en suspenso legalidad de consulta sobre la mina de El Estor</w:t>
      </w:r>
      <w:r>
        <w:rPr>
          <w:color w:val="000000"/>
          <w:sz w:val="20"/>
          <w:szCs w:val="20"/>
        </w:rPr>
        <w:t xml:space="preserve">, 27 de abril de 2022. </w:t>
      </w:r>
    </w:p>
  </w:footnote>
  <w:footnote w:id="17">
    <w:p w14:paraId="6B23E74A"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Relatorías Especiales de la ONU (libertad de opinión y de expresión, empresa, medio ambiente, defensores de los derechos humanos, pueblos indígenas, tóxicos y derechos humanos), </w:t>
      </w:r>
      <w:r>
        <w:rPr>
          <w:i/>
          <w:color w:val="000000"/>
          <w:sz w:val="20"/>
          <w:szCs w:val="20"/>
        </w:rPr>
        <w:t>Compañía Procesadora de Níquel de Izabal SA (PRONICO)</w:t>
      </w:r>
      <w:r>
        <w:rPr>
          <w:color w:val="000000"/>
          <w:sz w:val="20"/>
          <w:szCs w:val="20"/>
        </w:rPr>
        <w:t xml:space="preserve">, OTH 126/2023, 7 de noviembre de 2023 y Relatorías Especiales de la ONU (libertad de opinión y de expresión, empresa, medio ambiente, defensores de los derechos humanos, pueblos indígenas, tóxicos y derechos humanos), </w:t>
      </w:r>
      <w:r>
        <w:rPr>
          <w:i/>
          <w:color w:val="000000"/>
          <w:sz w:val="20"/>
          <w:szCs w:val="20"/>
        </w:rPr>
        <w:t>Compañía Guatemalteca de Níquel SA (CGN)</w:t>
      </w:r>
      <w:r>
        <w:rPr>
          <w:color w:val="000000"/>
          <w:sz w:val="20"/>
          <w:szCs w:val="20"/>
        </w:rPr>
        <w:t xml:space="preserve">, OTH 125/2023, 22 de noviembre de 2023. </w:t>
      </w:r>
    </w:p>
  </w:footnote>
  <w:footnote w:id="18">
    <w:p w14:paraId="5B6CDF8B"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MONGABAY, </w:t>
      </w:r>
      <w:r>
        <w:rPr>
          <w:i/>
          <w:color w:val="000000"/>
          <w:sz w:val="20"/>
          <w:szCs w:val="20"/>
        </w:rPr>
        <w:t>Industria del aceite de palma desplaza a los pequeños agricultores en Guatemala</w:t>
      </w:r>
      <w:r>
        <w:rPr>
          <w:color w:val="000000"/>
          <w:sz w:val="20"/>
          <w:szCs w:val="20"/>
        </w:rPr>
        <w:t xml:space="preserve">, 22 de enero de 2024. </w:t>
      </w:r>
    </w:p>
  </w:footnote>
  <w:footnote w:id="19">
    <w:p w14:paraId="7AC8B348"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MONGABAY, </w:t>
      </w:r>
      <w:r>
        <w:rPr>
          <w:i/>
          <w:color w:val="000000"/>
          <w:sz w:val="20"/>
          <w:szCs w:val="20"/>
        </w:rPr>
        <w:t>Estudio expone degradación ambiental y conflictos laborales alrededor de cultivos de palma aceitera en Guatemala y Honduras</w:t>
      </w:r>
      <w:r>
        <w:rPr>
          <w:color w:val="000000"/>
          <w:sz w:val="20"/>
          <w:szCs w:val="20"/>
        </w:rPr>
        <w:t xml:space="preserve">, 9 de mayo de 2024. </w:t>
      </w:r>
    </w:p>
  </w:footnote>
  <w:footnote w:id="20">
    <w:p w14:paraId="0092BE8E"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CIDH, </w:t>
      </w:r>
      <w:r>
        <w:rPr>
          <w:i/>
          <w:color w:val="000000"/>
          <w:sz w:val="20"/>
          <w:szCs w:val="20"/>
        </w:rPr>
        <w:t>Observaciones Preliminares de la Visita in loco a Guatemala</w:t>
      </w:r>
      <w:r>
        <w:rPr>
          <w:color w:val="000000"/>
          <w:sz w:val="20"/>
          <w:szCs w:val="20"/>
        </w:rPr>
        <w:t>, OEA/</w:t>
      </w:r>
      <w:proofErr w:type="spellStart"/>
      <w:r>
        <w:rPr>
          <w:color w:val="000000"/>
          <w:sz w:val="20"/>
          <w:szCs w:val="20"/>
        </w:rPr>
        <w:t>Ser.L</w:t>
      </w:r>
      <w:proofErr w:type="spellEnd"/>
      <w:r>
        <w:rPr>
          <w:color w:val="000000"/>
          <w:sz w:val="20"/>
          <w:szCs w:val="20"/>
        </w:rPr>
        <w:t>/V/II. Doc.124/24, aprobado el 15 de agosto de 2024.</w:t>
      </w:r>
    </w:p>
  </w:footnote>
  <w:footnote w:id="21">
    <w:p w14:paraId="18A5088F"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International </w:t>
      </w:r>
      <w:proofErr w:type="spellStart"/>
      <w:r>
        <w:rPr>
          <w:color w:val="000000"/>
          <w:sz w:val="20"/>
          <w:szCs w:val="20"/>
        </w:rPr>
        <w:t>Land</w:t>
      </w:r>
      <w:proofErr w:type="spellEnd"/>
      <w:r>
        <w:rPr>
          <w:color w:val="000000"/>
          <w:sz w:val="20"/>
          <w:szCs w:val="20"/>
        </w:rPr>
        <w:t xml:space="preserve"> </w:t>
      </w:r>
      <w:proofErr w:type="spellStart"/>
      <w:r>
        <w:rPr>
          <w:color w:val="000000"/>
          <w:sz w:val="20"/>
          <w:szCs w:val="20"/>
        </w:rPr>
        <w:t>Coalition</w:t>
      </w:r>
      <w:proofErr w:type="spellEnd"/>
      <w:r>
        <w:rPr>
          <w:color w:val="000000"/>
          <w:sz w:val="20"/>
          <w:szCs w:val="20"/>
        </w:rPr>
        <w:t xml:space="preserve">, </w:t>
      </w:r>
      <w:r>
        <w:rPr>
          <w:i/>
          <w:color w:val="000000"/>
          <w:sz w:val="20"/>
          <w:szCs w:val="20"/>
        </w:rPr>
        <w:t>Por un cumplimiento efectivo del Acuerdo Agrario</w:t>
      </w:r>
      <w:r>
        <w:rPr>
          <w:color w:val="000000"/>
          <w:sz w:val="20"/>
          <w:szCs w:val="20"/>
        </w:rPr>
        <w:t xml:space="preserve">, 4 de septiembre de 2024. </w:t>
      </w:r>
      <w:hyperlink r:id="rId14">
        <w:r w:rsidR="007D3173">
          <w:rPr>
            <w:color w:val="0000FF"/>
            <w:sz w:val="20"/>
            <w:szCs w:val="20"/>
            <w:u w:val="single"/>
          </w:rPr>
          <w:t>Enlace</w:t>
        </w:r>
      </w:hyperlink>
      <w:r>
        <w:rPr>
          <w:color w:val="000000"/>
          <w:sz w:val="20"/>
          <w:szCs w:val="20"/>
        </w:rPr>
        <w:t>.</w:t>
      </w:r>
    </w:p>
  </w:footnote>
  <w:footnote w:id="22">
    <w:p w14:paraId="0E46078E"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Prensa Comunitaria, </w:t>
      </w:r>
      <w:r>
        <w:rPr>
          <w:i/>
          <w:color w:val="000000"/>
          <w:sz w:val="20"/>
          <w:szCs w:val="20"/>
        </w:rPr>
        <w:t xml:space="preserve">48 familias </w:t>
      </w:r>
      <w:proofErr w:type="spellStart"/>
      <w:r>
        <w:rPr>
          <w:i/>
          <w:color w:val="000000"/>
          <w:sz w:val="20"/>
          <w:szCs w:val="20"/>
        </w:rPr>
        <w:t>Q’eqchi</w:t>
      </w:r>
      <w:proofErr w:type="spellEnd"/>
      <w:r>
        <w:rPr>
          <w:i/>
          <w:color w:val="000000"/>
          <w:sz w:val="20"/>
          <w:szCs w:val="20"/>
        </w:rPr>
        <w:t>’ de la comunidad Buena Vista fueron desalojadas de forma ilegal en El Estor</w:t>
      </w:r>
      <w:r>
        <w:rPr>
          <w:color w:val="000000"/>
          <w:sz w:val="20"/>
          <w:szCs w:val="20"/>
        </w:rPr>
        <w:t xml:space="preserve">, 23 de mayo de 2024. </w:t>
      </w:r>
      <w:hyperlink r:id="rId15">
        <w:r w:rsidR="007D3173">
          <w:rPr>
            <w:color w:val="0000FF"/>
            <w:sz w:val="20"/>
            <w:szCs w:val="20"/>
            <w:u w:val="single"/>
          </w:rPr>
          <w:t>Enlace</w:t>
        </w:r>
      </w:hyperlink>
      <w:r>
        <w:rPr>
          <w:color w:val="000000"/>
          <w:sz w:val="20"/>
          <w:szCs w:val="20"/>
        </w:rPr>
        <w:t>.</w:t>
      </w:r>
    </w:p>
  </w:footnote>
  <w:footnote w:id="23">
    <w:p w14:paraId="2F9C9B01"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Prensa Comunitaria, </w:t>
      </w:r>
      <w:r>
        <w:rPr>
          <w:i/>
          <w:color w:val="000000"/>
          <w:sz w:val="20"/>
          <w:szCs w:val="20"/>
        </w:rPr>
        <w:t>PNC es señalada de quemar viviendas y cultivos en desalojo de comunidad en Cobán</w:t>
      </w:r>
      <w:r>
        <w:rPr>
          <w:color w:val="000000"/>
          <w:sz w:val="20"/>
          <w:szCs w:val="20"/>
        </w:rPr>
        <w:t xml:space="preserve">, 8 de junio de 2024. </w:t>
      </w:r>
      <w:hyperlink r:id="rId16">
        <w:r w:rsidR="007D3173">
          <w:rPr>
            <w:color w:val="0000FF"/>
            <w:sz w:val="20"/>
            <w:szCs w:val="20"/>
            <w:u w:val="single"/>
          </w:rPr>
          <w:t>Enlace</w:t>
        </w:r>
      </w:hyperlink>
      <w:r>
        <w:rPr>
          <w:color w:val="000000"/>
          <w:sz w:val="20"/>
          <w:szCs w:val="20"/>
        </w:rPr>
        <w:t>.</w:t>
      </w:r>
    </w:p>
  </w:footnote>
  <w:footnote w:id="24">
    <w:p w14:paraId="25F35157"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Amnistía Internacional, </w:t>
      </w:r>
      <w:r>
        <w:rPr>
          <w:i/>
          <w:color w:val="000000"/>
          <w:sz w:val="20"/>
          <w:szCs w:val="20"/>
        </w:rPr>
        <w:t>La situación de los derechos humanos en el mundo</w:t>
      </w:r>
      <w:r>
        <w:rPr>
          <w:color w:val="000000"/>
          <w:sz w:val="20"/>
          <w:szCs w:val="20"/>
        </w:rPr>
        <w:t xml:space="preserve">. Abril de 2025, POL 10/8515/2025. </w:t>
      </w:r>
      <w:hyperlink r:id="rId17">
        <w:r w:rsidR="007D3173">
          <w:rPr>
            <w:color w:val="0000FF"/>
            <w:sz w:val="20"/>
            <w:szCs w:val="20"/>
            <w:u w:val="single"/>
          </w:rPr>
          <w:t>Enlace</w:t>
        </w:r>
      </w:hyperlink>
      <w:r>
        <w:rPr>
          <w:color w:val="000000"/>
          <w:sz w:val="20"/>
          <w:szCs w:val="20"/>
        </w:rPr>
        <w:t>.</w:t>
      </w:r>
    </w:p>
  </w:footnote>
  <w:footnote w:id="25">
    <w:p w14:paraId="02843BE1"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CIDH - Relatoría Especial sobre Derechos Económicos, Sociales, Culturales y Ambientales (REDESCA), </w:t>
      </w:r>
      <w:r>
        <w:rPr>
          <w:i/>
          <w:color w:val="000000"/>
          <w:sz w:val="20"/>
          <w:szCs w:val="20"/>
        </w:rPr>
        <w:t>VIII informe anual</w:t>
      </w:r>
      <w:r>
        <w:rPr>
          <w:color w:val="000000"/>
          <w:sz w:val="20"/>
          <w:szCs w:val="20"/>
        </w:rPr>
        <w:t xml:space="preserve">, OEA/SER.L/V/III Doc. 39, 13 de marzo de 2025. </w:t>
      </w:r>
      <w:hyperlink r:id="rId18">
        <w:r w:rsidR="007D3173">
          <w:rPr>
            <w:color w:val="0000FF"/>
            <w:sz w:val="20"/>
            <w:szCs w:val="20"/>
            <w:u w:val="single"/>
          </w:rPr>
          <w:t>Enlace</w:t>
        </w:r>
      </w:hyperlink>
      <w:r>
        <w:rPr>
          <w:color w:val="000000"/>
          <w:sz w:val="20"/>
          <w:szCs w:val="20"/>
        </w:rPr>
        <w:t xml:space="preserve"> , CIDH, </w:t>
      </w:r>
      <w:r>
        <w:rPr>
          <w:i/>
          <w:color w:val="000000"/>
          <w:sz w:val="20"/>
          <w:szCs w:val="20"/>
        </w:rPr>
        <w:t>Observaciones Preliminares de la Visita in loco a Guatemala</w:t>
      </w:r>
      <w:r>
        <w:rPr>
          <w:color w:val="000000"/>
          <w:sz w:val="20"/>
          <w:szCs w:val="20"/>
        </w:rPr>
        <w:t>, OEA/</w:t>
      </w:r>
      <w:proofErr w:type="spellStart"/>
      <w:r>
        <w:rPr>
          <w:color w:val="000000"/>
          <w:sz w:val="20"/>
          <w:szCs w:val="20"/>
        </w:rPr>
        <w:t>Ser.L</w:t>
      </w:r>
      <w:proofErr w:type="spellEnd"/>
      <w:r>
        <w:rPr>
          <w:color w:val="000000"/>
          <w:sz w:val="20"/>
          <w:szCs w:val="20"/>
        </w:rPr>
        <w:t xml:space="preserve">/V/II. Doc.124/24, aprobado el 15 de agosto de 2024. </w:t>
      </w:r>
      <w:hyperlink r:id="rId19">
        <w:r w:rsidR="007D3173">
          <w:rPr>
            <w:color w:val="0000FF"/>
            <w:sz w:val="20"/>
            <w:szCs w:val="20"/>
            <w:u w:val="single"/>
          </w:rPr>
          <w:t>Enlace</w:t>
        </w:r>
      </w:hyperlink>
      <w:r>
        <w:rPr>
          <w:color w:val="000000"/>
          <w:sz w:val="20"/>
          <w:szCs w:val="20"/>
        </w:rPr>
        <w:t xml:space="preserve"> y Relatora Especial sobre los derechos de los pueblos indígenas, </w:t>
      </w:r>
      <w:r>
        <w:rPr>
          <w:i/>
          <w:color w:val="000000"/>
          <w:sz w:val="20"/>
          <w:szCs w:val="20"/>
        </w:rPr>
        <w:t>Informe de misión a Guatemala</w:t>
      </w:r>
      <w:r>
        <w:rPr>
          <w:color w:val="000000"/>
          <w:sz w:val="20"/>
          <w:szCs w:val="20"/>
        </w:rPr>
        <w:t xml:space="preserve">, A/HRC/39/17/Add.3, 2018. </w:t>
      </w:r>
      <w:hyperlink r:id="rId20">
        <w:r w:rsidR="007D3173">
          <w:rPr>
            <w:color w:val="0000FF"/>
            <w:sz w:val="20"/>
            <w:szCs w:val="20"/>
            <w:u w:val="single"/>
          </w:rPr>
          <w:t>Enlace</w:t>
        </w:r>
      </w:hyperlink>
      <w:r>
        <w:rPr>
          <w:color w:val="000000"/>
          <w:sz w:val="20"/>
          <w:szCs w:val="20"/>
        </w:rPr>
        <w:t>.</w:t>
      </w:r>
    </w:p>
  </w:footnote>
  <w:footnote w:id="26">
    <w:p w14:paraId="25F9EA96"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CIDH, </w:t>
      </w:r>
      <w:r>
        <w:rPr>
          <w:i/>
          <w:color w:val="000000"/>
          <w:sz w:val="20"/>
          <w:szCs w:val="20"/>
        </w:rPr>
        <w:t>Informe Anual 2023</w:t>
      </w:r>
      <w:r>
        <w:rPr>
          <w:color w:val="000000"/>
          <w:sz w:val="20"/>
          <w:szCs w:val="20"/>
        </w:rPr>
        <w:t>. Capítulo IV.B: Guatemala, OEA/</w:t>
      </w:r>
      <w:proofErr w:type="spellStart"/>
      <w:r>
        <w:rPr>
          <w:color w:val="000000"/>
          <w:sz w:val="20"/>
          <w:szCs w:val="20"/>
        </w:rPr>
        <w:t>Ser.L</w:t>
      </w:r>
      <w:proofErr w:type="spellEnd"/>
      <w:r>
        <w:rPr>
          <w:color w:val="000000"/>
          <w:sz w:val="20"/>
          <w:szCs w:val="20"/>
        </w:rPr>
        <w:t xml:space="preserve">/V/II, 31 de diciembre de 2023. </w:t>
      </w:r>
      <w:hyperlink r:id="rId21">
        <w:r w:rsidR="007D3173">
          <w:rPr>
            <w:color w:val="0000FF"/>
            <w:sz w:val="20"/>
            <w:szCs w:val="20"/>
            <w:u w:val="single"/>
          </w:rPr>
          <w:t>Enlace</w:t>
        </w:r>
      </w:hyperlink>
      <w:r>
        <w:rPr>
          <w:color w:val="000000"/>
          <w:sz w:val="20"/>
          <w:szCs w:val="20"/>
        </w:rPr>
        <w:t>.</w:t>
      </w:r>
    </w:p>
  </w:footnote>
  <w:footnote w:id="27">
    <w:p w14:paraId="7FA95565"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Plaza Pública, Laguna Larga: un desalojo en nombre de la naturaleza</w:t>
      </w:r>
    </w:p>
  </w:footnote>
  <w:footnote w:id="28">
    <w:p w14:paraId="1E3DF52C"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Prensa Comunitaria, </w:t>
      </w:r>
      <w:r>
        <w:rPr>
          <w:i/>
          <w:color w:val="000000"/>
          <w:sz w:val="20"/>
          <w:szCs w:val="20"/>
        </w:rPr>
        <w:t>Laguna Larga, desplazada y en pobreza extrema, recibió propuestas de tierras en Petén a precios impagables, 28 de noviembre de 2024</w:t>
      </w:r>
      <w:r>
        <w:rPr>
          <w:color w:val="000000"/>
          <w:sz w:val="20"/>
          <w:szCs w:val="20"/>
        </w:rPr>
        <w:t xml:space="preserve">. </w:t>
      </w:r>
      <w:hyperlink r:id="rId22">
        <w:r w:rsidR="007D3173">
          <w:rPr>
            <w:color w:val="0000FF"/>
            <w:sz w:val="20"/>
            <w:szCs w:val="20"/>
            <w:u w:val="single"/>
          </w:rPr>
          <w:t>Enlace</w:t>
        </w:r>
      </w:hyperlink>
      <w:r>
        <w:rPr>
          <w:color w:val="000000"/>
          <w:sz w:val="20"/>
          <w:szCs w:val="20"/>
        </w:rPr>
        <w:t>.</w:t>
      </w:r>
    </w:p>
  </w:footnote>
  <w:footnote w:id="29">
    <w:p w14:paraId="1C78F536" w14:textId="77777777" w:rsidR="007D3173" w:rsidRDefault="00000000">
      <w:pPr>
        <w:pBdr>
          <w:top w:val="nil"/>
          <w:left w:val="nil"/>
          <w:bottom w:val="nil"/>
          <w:right w:val="nil"/>
          <w:between w:val="nil"/>
        </w:pBdr>
        <w:jc w:val="both"/>
        <w:rPr>
          <w:rFonts w:ascii="Cambria" w:eastAsia="Cambria" w:hAnsi="Cambria" w:cs="Cambria"/>
          <w:color w:val="000000"/>
          <w:sz w:val="20"/>
          <w:szCs w:val="20"/>
        </w:rPr>
      </w:pPr>
      <w:r>
        <w:rPr>
          <w:vertAlign w:val="superscript"/>
        </w:rPr>
        <w:footnoteRef/>
      </w:r>
      <w:r>
        <w:rPr>
          <w:rFonts w:ascii="Cambria" w:eastAsia="Cambria" w:hAnsi="Cambria" w:cs="Cambria"/>
          <w:color w:val="000000"/>
          <w:sz w:val="20"/>
          <w:szCs w:val="20"/>
        </w:rPr>
        <w:t xml:space="preserve"> </w:t>
      </w:r>
      <w:r>
        <w:rPr>
          <w:color w:val="000000"/>
          <w:sz w:val="20"/>
          <w:szCs w:val="20"/>
        </w:rPr>
        <w:t xml:space="preserve">CIDH, </w:t>
      </w:r>
      <w:r>
        <w:rPr>
          <w:i/>
          <w:color w:val="000000"/>
          <w:sz w:val="20"/>
          <w:szCs w:val="20"/>
        </w:rPr>
        <w:t>Informe Anual 2023</w:t>
      </w:r>
      <w:r>
        <w:rPr>
          <w:color w:val="000000"/>
          <w:sz w:val="20"/>
          <w:szCs w:val="20"/>
        </w:rPr>
        <w:t>. Capítulo IV.B: Guatemala, OEA/</w:t>
      </w:r>
      <w:proofErr w:type="spellStart"/>
      <w:r>
        <w:rPr>
          <w:color w:val="000000"/>
          <w:sz w:val="20"/>
          <w:szCs w:val="20"/>
        </w:rPr>
        <w:t>Ser.L</w:t>
      </w:r>
      <w:proofErr w:type="spellEnd"/>
      <w:r>
        <w:rPr>
          <w:color w:val="000000"/>
          <w:sz w:val="20"/>
          <w:szCs w:val="20"/>
        </w:rPr>
        <w:t xml:space="preserve">/V/II, 31 de diciembre de 2023. </w:t>
      </w:r>
      <w:hyperlink r:id="rId23">
        <w:r w:rsidR="007D3173">
          <w:rPr>
            <w:color w:val="0000FF"/>
            <w:sz w:val="20"/>
            <w:szCs w:val="20"/>
            <w:u w:val="single"/>
          </w:rPr>
          <w:t>Enlace</w:t>
        </w:r>
      </w:hyperlink>
      <w:r>
        <w:rPr>
          <w:color w:val="000000"/>
          <w:sz w:val="20"/>
          <w:szCs w:val="20"/>
        </w:rPr>
        <w:t>.</w:t>
      </w:r>
    </w:p>
  </w:footnote>
  <w:footnote w:id="30">
    <w:p w14:paraId="6763D9CD"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CIDH, </w:t>
      </w:r>
      <w:r>
        <w:rPr>
          <w:i/>
          <w:color w:val="000000"/>
          <w:sz w:val="20"/>
          <w:szCs w:val="20"/>
        </w:rPr>
        <w:t>Informe Anual 2024</w:t>
      </w:r>
      <w:r>
        <w:rPr>
          <w:color w:val="000000"/>
          <w:sz w:val="20"/>
          <w:szCs w:val="20"/>
        </w:rPr>
        <w:t>, OEA/</w:t>
      </w:r>
      <w:proofErr w:type="spellStart"/>
      <w:r>
        <w:rPr>
          <w:color w:val="000000"/>
          <w:sz w:val="20"/>
          <w:szCs w:val="20"/>
        </w:rPr>
        <w:t>Ser.L</w:t>
      </w:r>
      <w:proofErr w:type="spellEnd"/>
      <w:r>
        <w:rPr>
          <w:color w:val="000000"/>
          <w:sz w:val="20"/>
          <w:szCs w:val="20"/>
        </w:rPr>
        <w:t xml:space="preserve">/V/II, aprobado el 26 de marzo de 2025. </w:t>
      </w:r>
      <w:hyperlink r:id="rId24" w:anchor="page=105">
        <w:r w:rsidR="007D3173">
          <w:rPr>
            <w:color w:val="0000FF"/>
            <w:sz w:val="20"/>
            <w:szCs w:val="20"/>
            <w:u w:val="single"/>
          </w:rPr>
          <w:t>Enlace</w:t>
        </w:r>
      </w:hyperlink>
      <w:r>
        <w:rPr>
          <w:color w:val="000000"/>
          <w:sz w:val="20"/>
          <w:szCs w:val="20"/>
        </w:rPr>
        <w:t>.</w:t>
      </w:r>
    </w:p>
  </w:footnote>
  <w:footnote w:id="31">
    <w:p w14:paraId="7CA78EB8"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w:t>
      </w:r>
      <w:r>
        <w:rPr>
          <w:i/>
          <w:color w:val="000000"/>
          <w:sz w:val="20"/>
          <w:szCs w:val="20"/>
        </w:rPr>
        <w:t>Cf</w:t>
      </w:r>
      <w:r>
        <w:rPr>
          <w:color w:val="000000"/>
          <w:sz w:val="20"/>
          <w:szCs w:val="20"/>
        </w:rPr>
        <w:t xml:space="preserve">. Observaciones Preliminares de la Relatora Especial de Naciones Unidas sobre la independencia de magistrados y abogados durante visita a Guatemala de 12 a 23 de mayo de 2025. </w:t>
      </w:r>
    </w:p>
  </w:footnote>
  <w:footnote w:id="32">
    <w:p w14:paraId="431B35B6" w14:textId="77777777" w:rsidR="007D3173" w:rsidRDefault="00000000">
      <w:pPr>
        <w:pBdr>
          <w:top w:val="nil"/>
          <w:left w:val="nil"/>
          <w:bottom w:val="nil"/>
          <w:right w:val="nil"/>
          <w:between w:val="nil"/>
        </w:pBdr>
        <w:jc w:val="both"/>
        <w:rPr>
          <w:rFonts w:ascii="Cambria" w:eastAsia="Cambria" w:hAnsi="Cambria" w:cs="Cambria"/>
          <w:color w:val="000000"/>
          <w:sz w:val="20"/>
          <w:szCs w:val="20"/>
        </w:rPr>
      </w:pPr>
      <w:r>
        <w:rPr>
          <w:vertAlign w:val="superscript"/>
        </w:rPr>
        <w:footnoteRef/>
      </w:r>
      <w:r>
        <w:rPr>
          <w:rFonts w:ascii="Cambria" w:eastAsia="Cambria" w:hAnsi="Cambria" w:cs="Cambria"/>
          <w:color w:val="000000"/>
          <w:sz w:val="20"/>
          <w:szCs w:val="20"/>
        </w:rPr>
        <w:t xml:space="preserve"> </w:t>
      </w:r>
      <w:r>
        <w:rPr>
          <w:color w:val="000000"/>
          <w:sz w:val="20"/>
          <w:szCs w:val="20"/>
        </w:rPr>
        <w:t xml:space="preserve">CIDH, </w:t>
      </w:r>
      <w:r>
        <w:rPr>
          <w:i/>
          <w:color w:val="000000"/>
          <w:sz w:val="20"/>
          <w:szCs w:val="20"/>
        </w:rPr>
        <w:t>Informe Anual 2023</w:t>
      </w:r>
      <w:r>
        <w:rPr>
          <w:color w:val="000000"/>
          <w:sz w:val="20"/>
          <w:szCs w:val="20"/>
        </w:rPr>
        <w:t>. Capítulo IV.B: Guatemala, OEA/</w:t>
      </w:r>
      <w:proofErr w:type="spellStart"/>
      <w:r>
        <w:rPr>
          <w:color w:val="000000"/>
          <w:sz w:val="20"/>
          <w:szCs w:val="20"/>
        </w:rPr>
        <w:t>Ser.L</w:t>
      </w:r>
      <w:proofErr w:type="spellEnd"/>
      <w:r>
        <w:rPr>
          <w:color w:val="000000"/>
          <w:sz w:val="20"/>
          <w:szCs w:val="20"/>
        </w:rPr>
        <w:t xml:space="preserve">/V/II, 31 de diciembre de 2023. </w:t>
      </w:r>
      <w:proofErr w:type="spellStart"/>
      <w:r>
        <w:rPr>
          <w:rFonts w:ascii="Cambria" w:eastAsia="Cambria" w:hAnsi="Cambria" w:cs="Cambria"/>
          <w:color w:val="000000"/>
          <w:sz w:val="20"/>
          <w:szCs w:val="20"/>
        </w:rPr>
        <w:t>párrs</w:t>
      </w:r>
      <w:proofErr w:type="spellEnd"/>
      <w:r>
        <w:rPr>
          <w:rFonts w:ascii="Cambria" w:eastAsia="Cambria" w:hAnsi="Cambria" w:cs="Cambria"/>
          <w:color w:val="000000"/>
          <w:sz w:val="20"/>
          <w:szCs w:val="20"/>
        </w:rPr>
        <w:t>. 33, 101 y 136.</w:t>
      </w:r>
      <w:r>
        <w:rPr>
          <w:color w:val="000000"/>
          <w:sz w:val="20"/>
          <w:szCs w:val="20"/>
        </w:rPr>
        <w:t xml:space="preserve"> </w:t>
      </w:r>
      <w:hyperlink r:id="rId25">
        <w:r w:rsidR="007D3173">
          <w:rPr>
            <w:color w:val="0000FF"/>
            <w:sz w:val="20"/>
            <w:szCs w:val="20"/>
            <w:u w:val="single"/>
          </w:rPr>
          <w:t>Enlace</w:t>
        </w:r>
      </w:hyperlink>
      <w:r>
        <w:rPr>
          <w:color w:val="000000"/>
          <w:sz w:val="20"/>
          <w:szCs w:val="20"/>
        </w:rPr>
        <w:t>.</w:t>
      </w:r>
    </w:p>
  </w:footnote>
  <w:footnote w:id="33">
    <w:p w14:paraId="05E84D2E"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CIDH, </w:t>
      </w:r>
      <w:r>
        <w:rPr>
          <w:i/>
          <w:color w:val="000000"/>
          <w:sz w:val="20"/>
          <w:szCs w:val="20"/>
        </w:rPr>
        <w:t>Mensaje Conferencia de prensa 26 de julio de 2024 Visita in loco a Guatemala</w:t>
      </w:r>
      <w:r>
        <w:rPr>
          <w:color w:val="000000"/>
          <w:sz w:val="20"/>
          <w:szCs w:val="20"/>
        </w:rPr>
        <w:t xml:space="preserve">, 26 de julio de 2024. </w:t>
      </w:r>
      <w:hyperlink r:id="rId26">
        <w:r w:rsidR="007D3173">
          <w:rPr>
            <w:color w:val="0000FF"/>
            <w:sz w:val="20"/>
            <w:szCs w:val="20"/>
            <w:u w:val="single"/>
          </w:rPr>
          <w:t>Enlace</w:t>
        </w:r>
      </w:hyperlink>
      <w:r>
        <w:rPr>
          <w:color w:val="000000"/>
          <w:sz w:val="20"/>
          <w:szCs w:val="20"/>
        </w:rPr>
        <w:t>.</w:t>
      </w:r>
    </w:p>
  </w:footnote>
  <w:footnote w:id="34">
    <w:p w14:paraId="6EC2A498"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CIDH, </w:t>
      </w:r>
      <w:r>
        <w:rPr>
          <w:i/>
          <w:color w:val="000000"/>
          <w:sz w:val="20"/>
          <w:szCs w:val="20"/>
        </w:rPr>
        <w:t>Observaciones Preliminares de la Visita in loco a Guatemala</w:t>
      </w:r>
      <w:r>
        <w:rPr>
          <w:color w:val="000000"/>
          <w:sz w:val="20"/>
          <w:szCs w:val="20"/>
        </w:rPr>
        <w:t>, OEA/</w:t>
      </w:r>
      <w:proofErr w:type="spellStart"/>
      <w:r>
        <w:rPr>
          <w:color w:val="000000"/>
          <w:sz w:val="20"/>
          <w:szCs w:val="20"/>
        </w:rPr>
        <w:t>Ser.L</w:t>
      </w:r>
      <w:proofErr w:type="spellEnd"/>
      <w:r>
        <w:rPr>
          <w:color w:val="000000"/>
          <w:sz w:val="20"/>
          <w:szCs w:val="20"/>
        </w:rPr>
        <w:t xml:space="preserve">/V/II. Doc.124/24, aprobado el 15 de agosto de 2024. </w:t>
      </w:r>
      <w:hyperlink r:id="rId27">
        <w:r w:rsidR="007D3173">
          <w:rPr>
            <w:color w:val="0000FF"/>
            <w:sz w:val="20"/>
            <w:szCs w:val="20"/>
            <w:u w:val="single"/>
          </w:rPr>
          <w:t>Enlace</w:t>
        </w:r>
      </w:hyperlink>
      <w:r>
        <w:rPr>
          <w:color w:val="000000"/>
          <w:sz w:val="20"/>
          <w:szCs w:val="20"/>
        </w:rPr>
        <w:t>.</w:t>
      </w:r>
    </w:p>
  </w:footnote>
  <w:footnote w:id="35">
    <w:p w14:paraId="3C314744"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Deutsche Welle, </w:t>
      </w:r>
      <w:proofErr w:type="spellStart"/>
      <w:r>
        <w:rPr>
          <w:color w:val="000000"/>
          <w:sz w:val="20"/>
          <w:szCs w:val="20"/>
        </w:rPr>
        <w:t>Giammattei</w:t>
      </w:r>
      <w:proofErr w:type="spellEnd"/>
      <w:r>
        <w:rPr>
          <w:color w:val="000000"/>
          <w:sz w:val="20"/>
          <w:szCs w:val="20"/>
        </w:rPr>
        <w:t xml:space="preserve"> dice que ya no tolerará bloqueos de carreteras, 10 de octubre de 2023. </w:t>
      </w:r>
      <w:hyperlink r:id="rId28">
        <w:r w:rsidR="007D3173">
          <w:rPr>
            <w:color w:val="0000FF"/>
            <w:sz w:val="20"/>
            <w:szCs w:val="20"/>
            <w:u w:val="single"/>
          </w:rPr>
          <w:t>Enlace</w:t>
        </w:r>
      </w:hyperlink>
      <w:r>
        <w:rPr>
          <w:color w:val="000000"/>
          <w:sz w:val="20"/>
          <w:szCs w:val="20"/>
        </w:rPr>
        <w:t>.</w:t>
      </w:r>
    </w:p>
  </w:footnote>
  <w:footnote w:id="36">
    <w:p w14:paraId="05641E2B"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Relatorías Especiales de la ONU (libertad de opinión y de expresión, empresa, medio ambiente, defensores de los derechos humanos, pueblos indígenas, tóxicos y derechos humanos), Compañía Procesadora de Níquel de Izabal SA (PRONICO) OTH 126/2023, 7 de noviembre de 2023.  </w:t>
      </w:r>
      <w:hyperlink r:id="rId29">
        <w:r w:rsidR="007D3173">
          <w:rPr>
            <w:color w:val="0000FF"/>
            <w:sz w:val="20"/>
            <w:szCs w:val="20"/>
            <w:u w:val="single"/>
          </w:rPr>
          <w:t>Enlace</w:t>
        </w:r>
      </w:hyperlink>
      <w:r>
        <w:rPr>
          <w:color w:val="000000"/>
          <w:sz w:val="20"/>
          <w:szCs w:val="20"/>
        </w:rPr>
        <w:t xml:space="preserve"> y Relatorías Especiales de la ONU (religión o creencias, ejecuciones, defensores de los derechos humanos, pueblos indígenas, violencia contra mujeres y niñas), Carta de Alegaciones, GTM 6/2023, 6 de noviembre de 2023. </w:t>
      </w:r>
      <w:hyperlink r:id="rId30">
        <w:r w:rsidR="007D3173">
          <w:rPr>
            <w:color w:val="0000FF"/>
            <w:sz w:val="20"/>
            <w:szCs w:val="20"/>
            <w:u w:val="single"/>
          </w:rPr>
          <w:t>Enlace</w:t>
        </w:r>
      </w:hyperlink>
      <w:r>
        <w:rPr>
          <w:color w:val="000000"/>
          <w:sz w:val="20"/>
          <w:szCs w:val="20"/>
        </w:rPr>
        <w:t>.</w:t>
      </w:r>
    </w:p>
  </w:footnote>
  <w:footnote w:id="37">
    <w:p w14:paraId="4F813622"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ARTICLE 19 México y Centroamérica, </w:t>
      </w:r>
      <w:r>
        <w:rPr>
          <w:i/>
          <w:color w:val="000000"/>
          <w:sz w:val="20"/>
          <w:szCs w:val="20"/>
        </w:rPr>
        <w:t>Reporte de hallazgos preliminares sobre misión de periodismo comunitario en Guatemala</w:t>
      </w:r>
      <w:r>
        <w:rPr>
          <w:color w:val="000000"/>
          <w:sz w:val="20"/>
          <w:szCs w:val="20"/>
        </w:rPr>
        <w:t xml:space="preserve">, marzo de 2025. </w:t>
      </w:r>
      <w:hyperlink r:id="rId31">
        <w:r w:rsidR="007D3173">
          <w:rPr>
            <w:color w:val="0000FF"/>
            <w:sz w:val="20"/>
            <w:szCs w:val="20"/>
            <w:u w:val="single"/>
          </w:rPr>
          <w:t>Enlace</w:t>
        </w:r>
      </w:hyperlink>
    </w:p>
  </w:footnote>
  <w:footnote w:id="38">
    <w:p w14:paraId="2B069D28" w14:textId="78FEC956"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CIDH, </w:t>
      </w:r>
      <w:r>
        <w:rPr>
          <w:i/>
          <w:color w:val="000000"/>
          <w:sz w:val="20"/>
          <w:szCs w:val="20"/>
        </w:rPr>
        <w:t>Informe temático: Medioambiente y derechos humanos en Norte de Centroamérica</w:t>
      </w:r>
      <w:r>
        <w:rPr>
          <w:color w:val="000000"/>
          <w:sz w:val="20"/>
          <w:szCs w:val="20"/>
        </w:rPr>
        <w:t>, OEA/</w:t>
      </w:r>
      <w:proofErr w:type="spellStart"/>
      <w:r>
        <w:rPr>
          <w:color w:val="000000"/>
          <w:sz w:val="20"/>
          <w:szCs w:val="20"/>
        </w:rPr>
        <w:t>Ser.L</w:t>
      </w:r>
      <w:proofErr w:type="spellEnd"/>
      <w:r>
        <w:rPr>
          <w:color w:val="000000"/>
          <w:sz w:val="20"/>
          <w:szCs w:val="20"/>
        </w:rPr>
        <w:t>/V/II, 16 de d</w:t>
      </w:r>
      <w:r w:rsidR="00221188">
        <w:rPr>
          <w:color w:val="000000"/>
          <w:sz w:val="20"/>
          <w:szCs w:val="20"/>
        </w:rPr>
        <w:t>i</w:t>
      </w:r>
      <w:r>
        <w:rPr>
          <w:color w:val="000000"/>
          <w:sz w:val="20"/>
          <w:szCs w:val="20"/>
        </w:rPr>
        <w:t>c</w:t>
      </w:r>
      <w:r w:rsidR="00221188">
        <w:rPr>
          <w:color w:val="000000"/>
          <w:sz w:val="20"/>
          <w:szCs w:val="20"/>
        </w:rPr>
        <w:t>i</w:t>
      </w:r>
      <w:r>
        <w:rPr>
          <w:color w:val="000000"/>
          <w:sz w:val="20"/>
          <w:szCs w:val="20"/>
        </w:rPr>
        <w:t xml:space="preserve">embre de 2022. </w:t>
      </w:r>
      <w:hyperlink r:id="rId32">
        <w:r w:rsidR="007D3173">
          <w:rPr>
            <w:color w:val="0000FF"/>
            <w:sz w:val="20"/>
            <w:szCs w:val="20"/>
            <w:u w:val="single"/>
          </w:rPr>
          <w:t>Enlace</w:t>
        </w:r>
      </w:hyperlink>
      <w:r>
        <w:rPr>
          <w:color w:val="000000"/>
          <w:sz w:val="20"/>
          <w:szCs w:val="20"/>
        </w:rPr>
        <w:t>.</w:t>
      </w:r>
    </w:p>
  </w:footnote>
  <w:footnote w:id="39">
    <w:p w14:paraId="37C7C31A"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Corte IDH, </w:t>
      </w:r>
      <w:r>
        <w:rPr>
          <w:i/>
          <w:color w:val="000000"/>
          <w:sz w:val="20"/>
          <w:szCs w:val="20"/>
        </w:rPr>
        <w:t>Pueblos Indígenas Maya Kaqchikel de Sumpango y otros vs. Guatemala</w:t>
      </w:r>
      <w:r>
        <w:rPr>
          <w:color w:val="000000"/>
          <w:sz w:val="20"/>
          <w:szCs w:val="20"/>
        </w:rPr>
        <w:t xml:space="preserve">, Fondo, Reparaciones y Costas, Sentencia de 6 de octubre de 2021, Serie C No. 440. </w:t>
      </w:r>
      <w:hyperlink r:id="rId33">
        <w:r w:rsidR="007D3173">
          <w:rPr>
            <w:color w:val="0000FF"/>
            <w:sz w:val="20"/>
            <w:szCs w:val="20"/>
            <w:u w:val="single"/>
          </w:rPr>
          <w:t>Enlace</w:t>
        </w:r>
      </w:hyperlink>
      <w:r>
        <w:rPr>
          <w:color w:val="000000"/>
          <w:sz w:val="20"/>
          <w:szCs w:val="20"/>
        </w:rPr>
        <w:t>.</w:t>
      </w:r>
    </w:p>
  </w:footnote>
  <w:footnote w:id="40">
    <w:p w14:paraId="05947F6F"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w:t>
      </w:r>
      <w:proofErr w:type="spellStart"/>
      <w:r>
        <w:rPr>
          <w:color w:val="000000"/>
          <w:sz w:val="20"/>
          <w:szCs w:val="20"/>
        </w:rPr>
        <w:t>LatAm</w:t>
      </w:r>
      <w:proofErr w:type="spellEnd"/>
      <w:r>
        <w:rPr>
          <w:color w:val="000000"/>
          <w:sz w:val="20"/>
          <w:szCs w:val="20"/>
        </w:rPr>
        <w:t xml:space="preserve"> </w:t>
      </w:r>
      <w:proofErr w:type="spellStart"/>
      <w:r>
        <w:rPr>
          <w:color w:val="000000"/>
          <w:sz w:val="20"/>
          <w:szCs w:val="20"/>
        </w:rPr>
        <w:t>Journalism</w:t>
      </w:r>
      <w:proofErr w:type="spellEnd"/>
      <w:r>
        <w:rPr>
          <w:color w:val="000000"/>
          <w:sz w:val="20"/>
          <w:szCs w:val="20"/>
        </w:rPr>
        <w:t xml:space="preserve"> </w:t>
      </w:r>
      <w:proofErr w:type="spellStart"/>
      <w:r>
        <w:rPr>
          <w:color w:val="000000"/>
          <w:sz w:val="20"/>
          <w:szCs w:val="20"/>
        </w:rPr>
        <w:t>Review</w:t>
      </w:r>
      <w:proofErr w:type="spellEnd"/>
      <w:r>
        <w:rPr>
          <w:color w:val="000000"/>
          <w:sz w:val="20"/>
          <w:szCs w:val="20"/>
        </w:rPr>
        <w:t xml:space="preserve">, </w:t>
      </w:r>
      <w:r>
        <w:rPr>
          <w:i/>
          <w:color w:val="000000"/>
          <w:sz w:val="20"/>
          <w:szCs w:val="20"/>
        </w:rPr>
        <w:t>Mientras enfrentan criminalización y persecución, radios comunitarias de Centroamérica luchan por reconocimiento y protección</w:t>
      </w:r>
      <w:r>
        <w:rPr>
          <w:color w:val="000000"/>
          <w:sz w:val="20"/>
          <w:szCs w:val="20"/>
        </w:rPr>
        <w:t xml:space="preserve">, 4 de octubre de 2024. </w:t>
      </w:r>
      <w:hyperlink r:id="rId34">
        <w:r w:rsidR="007D3173">
          <w:rPr>
            <w:color w:val="0000FF"/>
            <w:sz w:val="20"/>
            <w:szCs w:val="20"/>
            <w:u w:val="single"/>
          </w:rPr>
          <w:t>Enlace</w:t>
        </w:r>
      </w:hyperlink>
      <w:r>
        <w:rPr>
          <w:color w:val="000000"/>
          <w:sz w:val="20"/>
          <w:szCs w:val="20"/>
        </w:rPr>
        <w:t>.</w:t>
      </w:r>
    </w:p>
  </w:footnote>
  <w:footnote w:id="41">
    <w:p w14:paraId="2CE987A3"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w:t>
      </w:r>
      <w:proofErr w:type="spellStart"/>
      <w:r>
        <w:rPr>
          <w:color w:val="000000"/>
          <w:sz w:val="20"/>
          <w:szCs w:val="20"/>
        </w:rPr>
        <w:t>LatAm</w:t>
      </w:r>
      <w:proofErr w:type="spellEnd"/>
      <w:r>
        <w:rPr>
          <w:color w:val="000000"/>
          <w:sz w:val="20"/>
          <w:szCs w:val="20"/>
        </w:rPr>
        <w:t xml:space="preserve"> </w:t>
      </w:r>
      <w:proofErr w:type="spellStart"/>
      <w:r>
        <w:rPr>
          <w:color w:val="000000"/>
          <w:sz w:val="20"/>
          <w:szCs w:val="20"/>
        </w:rPr>
        <w:t>Journalism</w:t>
      </w:r>
      <w:proofErr w:type="spellEnd"/>
      <w:r>
        <w:rPr>
          <w:color w:val="000000"/>
          <w:sz w:val="20"/>
          <w:szCs w:val="20"/>
        </w:rPr>
        <w:t xml:space="preserve"> </w:t>
      </w:r>
      <w:proofErr w:type="spellStart"/>
      <w:r>
        <w:rPr>
          <w:color w:val="000000"/>
          <w:sz w:val="20"/>
          <w:szCs w:val="20"/>
        </w:rPr>
        <w:t>Review</w:t>
      </w:r>
      <w:proofErr w:type="spellEnd"/>
      <w:r>
        <w:rPr>
          <w:color w:val="000000"/>
          <w:sz w:val="20"/>
          <w:szCs w:val="20"/>
        </w:rPr>
        <w:t xml:space="preserve">, </w:t>
      </w:r>
      <w:r>
        <w:rPr>
          <w:i/>
          <w:color w:val="000000"/>
          <w:sz w:val="20"/>
          <w:szCs w:val="20"/>
        </w:rPr>
        <w:t>Radios comunitarias indígenas de Guatemala buscan que gobierno acate sentencia emblemática de Corte Interamericana</w:t>
      </w:r>
      <w:r>
        <w:rPr>
          <w:color w:val="000000"/>
          <w:sz w:val="20"/>
          <w:szCs w:val="20"/>
        </w:rPr>
        <w:t xml:space="preserve">, 29 de marzo 2022. </w:t>
      </w:r>
      <w:hyperlink r:id="rId35">
        <w:r w:rsidR="007D3173">
          <w:rPr>
            <w:color w:val="0000FF"/>
            <w:sz w:val="20"/>
            <w:szCs w:val="20"/>
            <w:u w:val="single"/>
          </w:rPr>
          <w:t>Enlace</w:t>
        </w:r>
      </w:hyperlink>
      <w:r>
        <w:rPr>
          <w:color w:val="000000"/>
          <w:sz w:val="20"/>
          <w:szCs w:val="20"/>
        </w:rPr>
        <w:t>.</w:t>
      </w:r>
    </w:p>
  </w:footnote>
  <w:footnote w:id="42">
    <w:p w14:paraId="1605488A"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CIDH, </w:t>
      </w:r>
      <w:r>
        <w:rPr>
          <w:i/>
          <w:color w:val="000000"/>
          <w:sz w:val="20"/>
          <w:szCs w:val="20"/>
        </w:rPr>
        <w:t>Mensaje Conferencia de prensa 26 de julio de 2024 - Visita in loco a Guatemala, 26 de julio de 2024</w:t>
      </w:r>
      <w:r>
        <w:rPr>
          <w:color w:val="000000"/>
          <w:sz w:val="20"/>
          <w:szCs w:val="20"/>
        </w:rPr>
        <w:t xml:space="preserve">. </w:t>
      </w:r>
      <w:hyperlink r:id="rId36">
        <w:r w:rsidR="007D3173">
          <w:rPr>
            <w:color w:val="0000FF"/>
            <w:sz w:val="20"/>
            <w:szCs w:val="20"/>
            <w:u w:val="single"/>
          </w:rPr>
          <w:t>Enlace</w:t>
        </w:r>
      </w:hyperlink>
      <w:r>
        <w:rPr>
          <w:color w:val="000000"/>
          <w:sz w:val="20"/>
          <w:szCs w:val="20"/>
        </w:rPr>
        <w:t>.</w:t>
      </w:r>
    </w:p>
  </w:footnote>
  <w:footnote w:id="43">
    <w:p w14:paraId="63BCA52E"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Alto Comisionado de las Naciones Unidas para los Refugiados (ACNUR) - Guatemala, Comunicado de prensa, 31 de mayo de 2024. </w:t>
      </w:r>
      <w:hyperlink r:id="rId37">
        <w:r w:rsidR="007D3173">
          <w:rPr>
            <w:color w:val="0000FF"/>
            <w:sz w:val="20"/>
            <w:szCs w:val="20"/>
            <w:u w:val="single"/>
          </w:rPr>
          <w:t>Enlace</w:t>
        </w:r>
      </w:hyperlink>
      <w:r>
        <w:rPr>
          <w:color w:val="000000"/>
          <w:sz w:val="20"/>
          <w:szCs w:val="20"/>
        </w:rPr>
        <w:t>.</w:t>
      </w:r>
    </w:p>
  </w:footnote>
  <w:footnote w:id="44">
    <w:p w14:paraId="5719C7C0"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Autoridad Migratoria Nacional, </w:t>
      </w:r>
      <w:r>
        <w:rPr>
          <w:i/>
          <w:color w:val="000000"/>
          <w:sz w:val="20"/>
          <w:szCs w:val="20"/>
        </w:rPr>
        <w:t>Política Migratoria - Guatemala</w:t>
      </w:r>
      <w:r>
        <w:rPr>
          <w:color w:val="000000"/>
          <w:sz w:val="20"/>
          <w:szCs w:val="20"/>
        </w:rPr>
        <w:t xml:space="preserve">, 2023. </w:t>
      </w:r>
      <w:hyperlink r:id="rId38">
        <w:r w:rsidR="007D3173">
          <w:rPr>
            <w:color w:val="0000FF"/>
            <w:sz w:val="20"/>
            <w:szCs w:val="20"/>
            <w:u w:val="single"/>
          </w:rPr>
          <w:t>Enlace</w:t>
        </w:r>
      </w:hyperlink>
      <w:r>
        <w:rPr>
          <w:color w:val="000000"/>
          <w:sz w:val="20"/>
          <w:szCs w:val="20"/>
        </w:rPr>
        <w:t>.</w:t>
      </w:r>
    </w:p>
  </w:footnote>
  <w:footnote w:id="45">
    <w:p w14:paraId="1310FC20"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CIDH, </w:t>
      </w:r>
      <w:r>
        <w:rPr>
          <w:i/>
          <w:color w:val="000000"/>
          <w:sz w:val="20"/>
          <w:szCs w:val="20"/>
        </w:rPr>
        <w:t>Observaciones Preliminares de la Visita in loco a Guatemala</w:t>
      </w:r>
      <w:r>
        <w:rPr>
          <w:color w:val="000000"/>
          <w:sz w:val="20"/>
          <w:szCs w:val="20"/>
        </w:rPr>
        <w:t>, OEA/</w:t>
      </w:r>
      <w:proofErr w:type="spellStart"/>
      <w:r>
        <w:rPr>
          <w:color w:val="000000"/>
          <w:sz w:val="20"/>
          <w:szCs w:val="20"/>
        </w:rPr>
        <w:t>Ser.L</w:t>
      </w:r>
      <w:proofErr w:type="spellEnd"/>
      <w:r>
        <w:rPr>
          <w:color w:val="000000"/>
          <w:sz w:val="20"/>
          <w:szCs w:val="20"/>
        </w:rPr>
        <w:t xml:space="preserve">/V/II. Doc.124/24, aprobado el 15 de agosto de 2024. </w:t>
      </w:r>
      <w:hyperlink r:id="rId39">
        <w:r w:rsidR="007D3173">
          <w:rPr>
            <w:color w:val="0000FF"/>
            <w:sz w:val="20"/>
            <w:szCs w:val="20"/>
            <w:u w:val="single"/>
          </w:rPr>
          <w:t>Enlace</w:t>
        </w:r>
      </w:hyperlink>
      <w:r>
        <w:rPr>
          <w:color w:val="000000"/>
          <w:sz w:val="20"/>
          <w:szCs w:val="20"/>
        </w:rPr>
        <w:t>.</w:t>
      </w:r>
    </w:p>
  </w:footnote>
  <w:footnote w:id="46">
    <w:p w14:paraId="0DA51645"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Consejo Noruego para Refugiados, </w:t>
      </w:r>
      <w:r>
        <w:rPr>
          <w:i/>
          <w:color w:val="000000"/>
          <w:sz w:val="20"/>
          <w:szCs w:val="20"/>
        </w:rPr>
        <w:t>Estudio sobre vivienda, tierra y propiedad de comunidades indígenas desplazadas en Guatemala</w:t>
      </w:r>
      <w:r>
        <w:rPr>
          <w:color w:val="000000"/>
          <w:sz w:val="20"/>
          <w:szCs w:val="20"/>
        </w:rPr>
        <w:t xml:space="preserve">, junio 2024. </w:t>
      </w:r>
      <w:hyperlink r:id="rId40">
        <w:r w:rsidR="007D3173">
          <w:rPr>
            <w:color w:val="0000FF"/>
            <w:sz w:val="20"/>
            <w:szCs w:val="20"/>
            <w:u w:val="single"/>
          </w:rPr>
          <w:t>Enlace</w:t>
        </w:r>
      </w:hyperlink>
      <w:r>
        <w:rPr>
          <w:color w:val="000000"/>
          <w:sz w:val="20"/>
          <w:szCs w:val="20"/>
        </w:rPr>
        <w:t>.</w:t>
      </w:r>
    </w:p>
  </w:footnote>
  <w:footnote w:id="47">
    <w:p w14:paraId="115402DA"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Fondo de Población de las Naciones Unidas (UNFPA) – Guatemala, Normalización y silencio Violencia contra las mujeres en las migraciones, </w:t>
      </w:r>
    </w:p>
  </w:footnote>
  <w:footnote w:id="48">
    <w:p w14:paraId="5EFE17FF"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CIDH, </w:t>
      </w:r>
      <w:r>
        <w:rPr>
          <w:i/>
          <w:color w:val="000000"/>
          <w:sz w:val="20"/>
          <w:szCs w:val="20"/>
        </w:rPr>
        <w:t>Observaciones Preliminares de la Visita in loco a Guatemala</w:t>
      </w:r>
      <w:r>
        <w:rPr>
          <w:color w:val="000000"/>
          <w:sz w:val="20"/>
          <w:szCs w:val="20"/>
        </w:rPr>
        <w:t>, OEA/</w:t>
      </w:r>
      <w:proofErr w:type="spellStart"/>
      <w:r>
        <w:rPr>
          <w:color w:val="000000"/>
          <w:sz w:val="20"/>
          <w:szCs w:val="20"/>
        </w:rPr>
        <w:t>Ser.L</w:t>
      </w:r>
      <w:proofErr w:type="spellEnd"/>
      <w:r>
        <w:rPr>
          <w:color w:val="000000"/>
          <w:sz w:val="20"/>
          <w:szCs w:val="20"/>
        </w:rPr>
        <w:t xml:space="preserve">/V/II. Doc.124/24, aprobado el 15 de agosto de 2024. </w:t>
      </w:r>
      <w:hyperlink r:id="rId41">
        <w:r w:rsidR="007D3173">
          <w:rPr>
            <w:color w:val="0000FF"/>
            <w:sz w:val="20"/>
            <w:szCs w:val="20"/>
            <w:u w:val="single"/>
          </w:rPr>
          <w:t>Enlace</w:t>
        </w:r>
      </w:hyperlink>
      <w:r>
        <w:rPr>
          <w:color w:val="000000"/>
          <w:sz w:val="20"/>
          <w:szCs w:val="20"/>
        </w:rPr>
        <w:t>.</w:t>
      </w:r>
    </w:p>
  </w:footnote>
  <w:footnote w:id="49">
    <w:p w14:paraId="54EB7152" w14:textId="77777777" w:rsidR="007D3173" w:rsidRDefault="00000000">
      <w:pPr>
        <w:pBdr>
          <w:top w:val="nil"/>
          <w:left w:val="nil"/>
          <w:bottom w:val="nil"/>
          <w:right w:val="nil"/>
          <w:between w:val="nil"/>
        </w:pBdr>
        <w:jc w:val="both"/>
        <w:rPr>
          <w:b/>
          <w:color w:val="000000"/>
          <w:sz w:val="20"/>
          <w:szCs w:val="20"/>
        </w:rPr>
      </w:pPr>
      <w:r>
        <w:rPr>
          <w:vertAlign w:val="superscript"/>
        </w:rPr>
        <w:footnoteRef/>
      </w:r>
      <w:r>
        <w:rPr>
          <w:color w:val="000000"/>
          <w:sz w:val="20"/>
          <w:szCs w:val="20"/>
        </w:rPr>
        <w:t xml:space="preserve"> Organización Internacional para las Migraciones de la ONU (OIM), Comunicado, </w:t>
      </w:r>
      <w:r>
        <w:rPr>
          <w:i/>
          <w:color w:val="000000"/>
          <w:sz w:val="20"/>
          <w:szCs w:val="20"/>
        </w:rPr>
        <w:t>OIM Guatemala presenta proyecto para mejorar los servicios de reintegración para retornados guatemaltecos con el apoyo de la República de Corea</w:t>
      </w:r>
      <w:r>
        <w:rPr>
          <w:color w:val="000000"/>
          <w:sz w:val="20"/>
          <w:szCs w:val="20"/>
        </w:rPr>
        <w:t xml:space="preserve">, 28 de enero 2025. </w:t>
      </w:r>
      <w:hyperlink r:id="rId42">
        <w:r w:rsidR="007D3173">
          <w:rPr>
            <w:color w:val="0000FF"/>
            <w:sz w:val="20"/>
            <w:szCs w:val="20"/>
            <w:u w:val="single"/>
          </w:rPr>
          <w:t>Enlace</w:t>
        </w:r>
      </w:hyperlink>
      <w:r>
        <w:rPr>
          <w:color w:val="000000"/>
          <w:sz w:val="20"/>
          <w:szCs w:val="20"/>
        </w:rPr>
        <w:t>.</w:t>
      </w:r>
    </w:p>
  </w:footnote>
  <w:footnote w:id="50">
    <w:p w14:paraId="67672EE7"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CIDH, </w:t>
      </w:r>
      <w:r>
        <w:rPr>
          <w:i/>
          <w:color w:val="000000"/>
          <w:sz w:val="20"/>
          <w:szCs w:val="20"/>
        </w:rPr>
        <w:t>Observaciones Preliminares de la Visita in loco a Guatemala</w:t>
      </w:r>
      <w:r>
        <w:rPr>
          <w:color w:val="000000"/>
          <w:sz w:val="20"/>
          <w:szCs w:val="20"/>
        </w:rPr>
        <w:t>, OEA/</w:t>
      </w:r>
      <w:proofErr w:type="spellStart"/>
      <w:r>
        <w:rPr>
          <w:color w:val="000000"/>
          <w:sz w:val="20"/>
          <w:szCs w:val="20"/>
        </w:rPr>
        <w:t>Ser.L</w:t>
      </w:r>
      <w:proofErr w:type="spellEnd"/>
      <w:r>
        <w:rPr>
          <w:color w:val="000000"/>
          <w:sz w:val="20"/>
          <w:szCs w:val="20"/>
        </w:rPr>
        <w:t xml:space="preserve">/V/II. Doc.124/24, aprobado el 15 de agosto de 2024. </w:t>
      </w:r>
      <w:hyperlink r:id="rId43">
        <w:r w:rsidR="007D3173">
          <w:rPr>
            <w:color w:val="0000FF"/>
            <w:sz w:val="20"/>
            <w:szCs w:val="20"/>
            <w:u w:val="single"/>
          </w:rPr>
          <w:t>Enlace</w:t>
        </w:r>
      </w:hyperlink>
      <w:r>
        <w:rPr>
          <w:color w:val="000000"/>
          <w:sz w:val="20"/>
          <w:szCs w:val="20"/>
        </w:rPr>
        <w:t>.</w:t>
      </w:r>
    </w:p>
  </w:footnote>
  <w:footnote w:id="51">
    <w:p w14:paraId="7C7F4522"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Plaza Pública, </w:t>
      </w:r>
      <w:r>
        <w:rPr>
          <w:i/>
          <w:color w:val="000000"/>
          <w:sz w:val="20"/>
          <w:szCs w:val="20"/>
        </w:rPr>
        <w:t>Traducción de las imposiciones de Trump para Guatemala</w:t>
      </w:r>
      <w:r>
        <w:rPr>
          <w:color w:val="000000"/>
          <w:sz w:val="20"/>
          <w:szCs w:val="20"/>
        </w:rPr>
        <w:t xml:space="preserve">, 17 de febrero de 2025. </w:t>
      </w:r>
      <w:hyperlink r:id="rId44">
        <w:r w:rsidR="007D3173">
          <w:rPr>
            <w:color w:val="0000FF"/>
            <w:sz w:val="20"/>
            <w:szCs w:val="20"/>
            <w:u w:val="single"/>
          </w:rPr>
          <w:t>Enlace</w:t>
        </w:r>
      </w:hyperlink>
      <w:r>
        <w:rPr>
          <w:color w:val="000000"/>
          <w:sz w:val="20"/>
          <w:szCs w:val="20"/>
        </w:rPr>
        <w:t xml:space="preserve">. </w:t>
      </w:r>
    </w:p>
  </w:footnote>
  <w:footnote w:id="52">
    <w:p w14:paraId="398C14CD"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Debates Indígenas, </w:t>
      </w:r>
      <w:r>
        <w:rPr>
          <w:i/>
          <w:color w:val="000000"/>
          <w:sz w:val="20"/>
          <w:szCs w:val="20"/>
        </w:rPr>
        <w:t>En qué está la educación bilingüe e intercultural en Guatemala</w:t>
      </w:r>
      <w:r>
        <w:rPr>
          <w:color w:val="000000"/>
          <w:sz w:val="20"/>
          <w:szCs w:val="20"/>
        </w:rPr>
        <w:t xml:space="preserve">, 1 de marzo de 2025. </w:t>
      </w:r>
      <w:hyperlink r:id="rId45">
        <w:r w:rsidR="007D3173">
          <w:rPr>
            <w:color w:val="0000FF"/>
            <w:sz w:val="20"/>
            <w:szCs w:val="20"/>
            <w:u w:val="single"/>
          </w:rPr>
          <w:t>Enlace</w:t>
        </w:r>
      </w:hyperlink>
      <w:r>
        <w:rPr>
          <w:color w:val="000000"/>
          <w:sz w:val="20"/>
          <w:szCs w:val="20"/>
        </w:rPr>
        <w:t xml:space="preserve">.  </w:t>
      </w:r>
    </w:p>
  </w:footnote>
  <w:footnote w:id="53">
    <w:p w14:paraId="4E06C215"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Debates Indígenas, </w:t>
      </w:r>
      <w:r>
        <w:rPr>
          <w:i/>
          <w:color w:val="000000"/>
          <w:sz w:val="20"/>
          <w:szCs w:val="20"/>
        </w:rPr>
        <w:t>En qué está la educación bilingüe e intercultural en Guatemala</w:t>
      </w:r>
      <w:r>
        <w:rPr>
          <w:color w:val="000000"/>
          <w:sz w:val="20"/>
          <w:szCs w:val="20"/>
        </w:rPr>
        <w:t xml:space="preserve">, 1 de marzo de 2025. </w:t>
      </w:r>
      <w:hyperlink r:id="rId46">
        <w:r w:rsidR="007D3173">
          <w:rPr>
            <w:color w:val="0000FF"/>
            <w:sz w:val="20"/>
            <w:szCs w:val="20"/>
            <w:u w:val="single"/>
          </w:rPr>
          <w:t>Enlace</w:t>
        </w:r>
      </w:hyperlink>
      <w:r>
        <w:rPr>
          <w:color w:val="000000"/>
          <w:sz w:val="20"/>
          <w:szCs w:val="20"/>
        </w:rPr>
        <w:t>.</w:t>
      </w:r>
    </w:p>
  </w:footnote>
  <w:footnote w:id="54">
    <w:p w14:paraId="74506FA6"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Sección de Educación de la Oficina Regional de UNICEF para América Latina y el Caribe, </w:t>
      </w:r>
      <w:r>
        <w:rPr>
          <w:i/>
          <w:color w:val="000000"/>
          <w:sz w:val="20"/>
          <w:szCs w:val="20"/>
        </w:rPr>
        <w:t>Educación intercultural bilingüe en América Latina - Avances y retrocesos en el marco de la pandemia de la COVID-19</w:t>
      </w:r>
      <w:r>
        <w:rPr>
          <w:color w:val="000000"/>
          <w:sz w:val="20"/>
          <w:szCs w:val="20"/>
        </w:rPr>
        <w:t xml:space="preserve">, 2021. </w:t>
      </w:r>
      <w:hyperlink r:id="rId47">
        <w:r w:rsidR="007D3173">
          <w:rPr>
            <w:color w:val="0000FF"/>
            <w:sz w:val="20"/>
            <w:szCs w:val="20"/>
            <w:u w:val="single"/>
          </w:rPr>
          <w:t>Enlace</w:t>
        </w:r>
      </w:hyperlink>
      <w:r>
        <w:rPr>
          <w:color w:val="000000"/>
          <w:sz w:val="20"/>
          <w:szCs w:val="20"/>
        </w:rPr>
        <w:t>.</w:t>
      </w:r>
    </w:p>
  </w:footnote>
  <w:footnote w:id="55">
    <w:p w14:paraId="4CD83335"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Comisión Económica para América Latina y el Caribe (CEPAL), E. </w:t>
      </w:r>
      <w:proofErr w:type="spellStart"/>
      <w:r>
        <w:rPr>
          <w:color w:val="000000"/>
          <w:sz w:val="20"/>
          <w:szCs w:val="20"/>
        </w:rPr>
        <w:t>Jacir</w:t>
      </w:r>
      <w:proofErr w:type="spellEnd"/>
      <w:r>
        <w:rPr>
          <w:color w:val="000000"/>
          <w:sz w:val="20"/>
          <w:szCs w:val="20"/>
        </w:rPr>
        <w:t xml:space="preserve"> de </w:t>
      </w:r>
      <w:proofErr w:type="spellStart"/>
      <w:r>
        <w:rPr>
          <w:color w:val="000000"/>
          <w:sz w:val="20"/>
          <w:szCs w:val="20"/>
        </w:rPr>
        <w:t>Lovo</w:t>
      </w:r>
      <w:proofErr w:type="spellEnd"/>
      <w:r>
        <w:rPr>
          <w:color w:val="000000"/>
          <w:sz w:val="20"/>
          <w:szCs w:val="20"/>
        </w:rPr>
        <w:t xml:space="preserve">, </w:t>
      </w:r>
      <w:r>
        <w:rPr>
          <w:i/>
          <w:color w:val="000000"/>
          <w:sz w:val="20"/>
          <w:szCs w:val="20"/>
        </w:rPr>
        <w:t>Brechas de acceso a la educación en Guatemala: transformación educativa para la igualdad, con énfasis en las poblaciones rurales y los pueblos indígenas,</w:t>
      </w:r>
      <w:r>
        <w:rPr>
          <w:color w:val="000000"/>
          <w:sz w:val="20"/>
          <w:szCs w:val="20"/>
        </w:rPr>
        <w:t xml:space="preserve"> LC/TS.2022/164 -LC/MEX/TS.2022/20, 2022. </w:t>
      </w:r>
      <w:hyperlink r:id="rId48">
        <w:r w:rsidR="007D3173">
          <w:rPr>
            <w:color w:val="0000FF"/>
            <w:sz w:val="20"/>
            <w:szCs w:val="20"/>
            <w:u w:val="single"/>
          </w:rPr>
          <w:t>Enlace</w:t>
        </w:r>
      </w:hyperlink>
    </w:p>
  </w:footnote>
  <w:footnote w:id="56">
    <w:p w14:paraId="1D31547E"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Banco Interamericano de Desarrollo (BID), </w:t>
      </w:r>
      <w:r>
        <w:rPr>
          <w:i/>
          <w:color w:val="000000"/>
          <w:sz w:val="20"/>
          <w:szCs w:val="20"/>
        </w:rPr>
        <w:t xml:space="preserve">Desafíos educativos para la inclusión de los pueblos indígenas: una mirada a Guatemala, </w:t>
      </w:r>
      <w:r>
        <w:rPr>
          <w:color w:val="000000"/>
          <w:sz w:val="20"/>
          <w:szCs w:val="20"/>
        </w:rPr>
        <w:t xml:space="preserve">17 de diciembre de 2024. </w:t>
      </w:r>
      <w:hyperlink r:id="rId49">
        <w:r w:rsidR="007D3173">
          <w:rPr>
            <w:color w:val="0000FF"/>
            <w:sz w:val="20"/>
            <w:szCs w:val="20"/>
            <w:u w:val="single"/>
          </w:rPr>
          <w:t>Enlace</w:t>
        </w:r>
      </w:hyperlink>
      <w:r>
        <w:rPr>
          <w:color w:val="000000"/>
          <w:sz w:val="20"/>
          <w:szCs w:val="20"/>
        </w:rPr>
        <w:t>.</w:t>
      </w:r>
    </w:p>
  </w:footnote>
  <w:footnote w:id="57">
    <w:p w14:paraId="08833042"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w:t>
      </w:r>
      <w:r>
        <w:rPr>
          <w:i/>
          <w:color w:val="000000"/>
          <w:sz w:val="20"/>
          <w:szCs w:val="20"/>
        </w:rPr>
        <w:t>Ibid</w:t>
      </w:r>
      <w:r>
        <w:rPr>
          <w:color w:val="000000"/>
          <w:sz w:val="20"/>
          <w:szCs w:val="20"/>
        </w:rPr>
        <w:t>.</w:t>
      </w:r>
    </w:p>
  </w:footnote>
  <w:footnote w:id="58">
    <w:p w14:paraId="2BDEF638"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Julia Guillermina Herrera Peña, </w:t>
      </w:r>
      <w:r>
        <w:rPr>
          <w:i/>
          <w:color w:val="000000"/>
          <w:sz w:val="20"/>
          <w:szCs w:val="20"/>
        </w:rPr>
        <w:t>Política y planificación lingüísticas en Guatemala: La experiencia de los Acuerdos de Paz Firme y Duradera de Guatemala de 1996</w:t>
      </w:r>
      <w:r>
        <w:rPr>
          <w:color w:val="000000"/>
          <w:sz w:val="20"/>
          <w:szCs w:val="20"/>
        </w:rPr>
        <w:t xml:space="preserve">, Lengua y Sociedad. Revista de Lingüística Teórica y Aplicada, Vol. 23, n.º 1, enero-junio 2024, pp. 397-411 30 de junio de 2024. </w:t>
      </w:r>
      <w:hyperlink r:id="rId50">
        <w:r w:rsidR="007D3173">
          <w:rPr>
            <w:color w:val="0000FF"/>
            <w:sz w:val="20"/>
            <w:szCs w:val="20"/>
            <w:u w:val="single"/>
          </w:rPr>
          <w:t>Enlace</w:t>
        </w:r>
      </w:hyperlink>
      <w:r>
        <w:rPr>
          <w:color w:val="000000"/>
          <w:sz w:val="20"/>
          <w:szCs w:val="20"/>
        </w:rPr>
        <w:t>.</w:t>
      </w:r>
    </w:p>
  </w:footnote>
  <w:footnote w:id="59">
    <w:p w14:paraId="23989C8F"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Banco Interamericano de Desarrollo (BID), </w:t>
      </w:r>
      <w:r>
        <w:rPr>
          <w:i/>
          <w:color w:val="000000"/>
          <w:sz w:val="20"/>
          <w:szCs w:val="20"/>
        </w:rPr>
        <w:t xml:space="preserve">Desafíos educativos para la inclusión de los pueblos indígenas: una mirada a Guatemala, </w:t>
      </w:r>
      <w:r>
        <w:rPr>
          <w:color w:val="000000"/>
          <w:sz w:val="20"/>
          <w:szCs w:val="20"/>
        </w:rPr>
        <w:t xml:space="preserve">17 de diciembre de 2024. </w:t>
      </w:r>
      <w:hyperlink r:id="rId51">
        <w:r w:rsidR="007D3173">
          <w:rPr>
            <w:color w:val="0000FF"/>
            <w:sz w:val="20"/>
            <w:szCs w:val="20"/>
            <w:u w:val="single"/>
          </w:rPr>
          <w:t>Enlace</w:t>
        </w:r>
      </w:hyperlink>
      <w:r>
        <w:rPr>
          <w:color w:val="000000"/>
          <w:sz w:val="20"/>
          <w:szCs w:val="20"/>
        </w:rPr>
        <w:t>.</w:t>
      </w:r>
    </w:p>
  </w:footnote>
  <w:footnote w:id="60">
    <w:p w14:paraId="30BAE81A"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Fondo para el Desarrollo de los. Pueblos </w:t>
      </w:r>
      <w:proofErr w:type="spellStart"/>
      <w:r>
        <w:rPr>
          <w:color w:val="000000"/>
          <w:sz w:val="20"/>
          <w:szCs w:val="20"/>
        </w:rPr>
        <w:t>Indigenas</w:t>
      </w:r>
      <w:proofErr w:type="spellEnd"/>
      <w:r>
        <w:rPr>
          <w:color w:val="000000"/>
          <w:sz w:val="20"/>
          <w:szCs w:val="20"/>
        </w:rPr>
        <w:t xml:space="preserve"> de </w:t>
      </w:r>
      <w:proofErr w:type="spellStart"/>
      <w:r>
        <w:rPr>
          <w:color w:val="000000"/>
          <w:sz w:val="20"/>
          <w:szCs w:val="20"/>
        </w:rPr>
        <w:t>America</w:t>
      </w:r>
      <w:proofErr w:type="spellEnd"/>
      <w:r>
        <w:rPr>
          <w:color w:val="000000"/>
          <w:sz w:val="20"/>
          <w:szCs w:val="20"/>
        </w:rPr>
        <w:t xml:space="preserve"> Latina y el Caribe (FILAC), </w:t>
      </w:r>
      <w:r>
        <w:rPr>
          <w:i/>
          <w:color w:val="000000"/>
          <w:sz w:val="20"/>
          <w:szCs w:val="20"/>
        </w:rPr>
        <w:t>América Latina enfrenta un creciente silenciamiento de las lenguas indígenas</w:t>
      </w:r>
      <w:r>
        <w:rPr>
          <w:color w:val="000000"/>
          <w:sz w:val="20"/>
          <w:szCs w:val="20"/>
        </w:rPr>
        <w:t xml:space="preserve">, 15 de julio de 2021. </w:t>
      </w:r>
      <w:hyperlink r:id="rId52">
        <w:r w:rsidR="007D3173">
          <w:rPr>
            <w:color w:val="0000FF"/>
            <w:sz w:val="20"/>
            <w:szCs w:val="20"/>
            <w:u w:val="single"/>
          </w:rPr>
          <w:t>Enlace</w:t>
        </w:r>
      </w:hyperlink>
      <w:r>
        <w:rPr>
          <w:color w:val="000000"/>
          <w:sz w:val="20"/>
          <w:szCs w:val="20"/>
        </w:rPr>
        <w:t>.</w:t>
      </w:r>
    </w:p>
  </w:footnote>
  <w:footnote w:id="61">
    <w:p w14:paraId="0D66F23C"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Banco Interamericano de Desarrollo (BID), </w:t>
      </w:r>
      <w:r>
        <w:rPr>
          <w:i/>
          <w:color w:val="000000"/>
          <w:sz w:val="20"/>
          <w:szCs w:val="20"/>
        </w:rPr>
        <w:t xml:space="preserve">Desafíos educativos para la inclusión de los pueblos indígenas: una mirada a Guatemala, </w:t>
      </w:r>
      <w:r>
        <w:rPr>
          <w:color w:val="000000"/>
          <w:sz w:val="20"/>
          <w:szCs w:val="20"/>
        </w:rPr>
        <w:t xml:space="preserve">17 de diciembre de 2024. </w:t>
      </w:r>
      <w:hyperlink r:id="rId53">
        <w:r w:rsidR="007D3173">
          <w:rPr>
            <w:color w:val="0000FF"/>
            <w:sz w:val="20"/>
            <w:szCs w:val="20"/>
            <w:u w:val="single"/>
          </w:rPr>
          <w:t>Enlace</w:t>
        </w:r>
      </w:hyperlink>
      <w:r>
        <w:rPr>
          <w:color w:val="000000"/>
          <w:sz w:val="20"/>
          <w:szCs w:val="20"/>
        </w:rPr>
        <w:t xml:space="preserve"> y Canal Antigua, </w:t>
      </w:r>
      <w:r>
        <w:rPr>
          <w:i/>
          <w:color w:val="000000"/>
          <w:sz w:val="20"/>
          <w:szCs w:val="20"/>
        </w:rPr>
        <w:t>8 idiomas mayas se encuentran en peligro de desaparecer</w:t>
      </w:r>
      <w:r>
        <w:rPr>
          <w:color w:val="000000"/>
          <w:sz w:val="20"/>
          <w:szCs w:val="20"/>
        </w:rPr>
        <w:t xml:space="preserve">, 18 de junio de 2024. </w:t>
      </w:r>
      <w:hyperlink r:id="rId54">
        <w:r w:rsidR="007D3173">
          <w:rPr>
            <w:color w:val="0000FF"/>
            <w:sz w:val="20"/>
            <w:szCs w:val="20"/>
            <w:u w:val="single"/>
          </w:rPr>
          <w:t>Enlace</w:t>
        </w:r>
      </w:hyperlink>
      <w:r>
        <w:rPr>
          <w:color w:val="000000"/>
          <w:sz w:val="20"/>
          <w:szCs w:val="20"/>
        </w:rPr>
        <w:t>.</w:t>
      </w:r>
    </w:p>
  </w:footnote>
  <w:footnote w:id="62">
    <w:p w14:paraId="41679188" w14:textId="77777777" w:rsidR="007D3173"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CIDH, </w:t>
      </w:r>
      <w:r>
        <w:rPr>
          <w:i/>
          <w:color w:val="000000"/>
          <w:sz w:val="20"/>
          <w:szCs w:val="20"/>
        </w:rPr>
        <w:t>Observaciones Preliminares de la Visita in loco a Guatemala</w:t>
      </w:r>
      <w:r>
        <w:rPr>
          <w:color w:val="000000"/>
          <w:sz w:val="20"/>
          <w:szCs w:val="20"/>
        </w:rPr>
        <w:t>, OEA/</w:t>
      </w:r>
      <w:proofErr w:type="spellStart"/>
      <w:r>
        <w:rPr>
          <w:color w:val="000000"/>
          <w:sz w:val="20"/>
          <w:szCs w:val="20"/>
        </w:rPr>
        <w:t>Ser.L</w:t>
      </w:r>
      <w:proofErr w:type="spellEnd"/>
      <w:r>
        <w:rPr>
          <w:color w:val="000000"/>
          <w:sz w:val="20"/>
          <w:szCs w:val="20"/>
        </w:rPr>
        <w:t xml:space="preserve">/V/II. Doc.124/24, aprobado el 15 de agosto de 2024. </w:t>
      </w:r>
      <w:hyperlink r:id="rId55">
        <w:r w:rsidR="007D3173">
          <w:rPr>
            <w:color w:val="0000FF"/>
            <w:sz w:val="20"/>
            <w:szCs w:val="20"/>
            <w:u w:val="single"/>
          </w:rPr>
          <w:t>Enlace</w:t>
        </w:r>
      </w:hyperlink>
      <w:r>
        <w:rPr>
          <w:color w:val="000000"/>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8C1E3" w14:textId="77777777" w:rsidR="007D3173" w:rsidRDefault="00000000">
    <w:pPr>
      <w:pBdr>
        <w:top w:val="nil"/>
        <w:left w:val="nil"/>
        <w:bottom w:val="nil"/>
        <w:right w:val="nil"/>
        <w:between w:val="nil"/>
      </w:pBdr>
      <w:spacing w:before="120" w:after="120"/>
      <w:ind w:left="119" w:right="113"/>
      <w:jc w:val="both"/>
      <w:rPr>
        <w:color w:val="000000"/>
        <w:sz w:val="20"/>
        <w:szCs w:val="20"/>
      </w:rPr>
    </w:pPr>
    <w:r>
      <w:rPr>
        <w:noProof/>
        <w:color w:val="000000"/>
        <w:sz w:val="24"/>
        <w:szCs w:val="24"/>
      </w:rPr>
      <w:drawing>
        <wp:anchor distT="0" distB="0" distL="114300" distR="114300" simplePos="0" relativeHeight="251658240" behindDoc="0" locked="0" layoutInCell="1" hidden="0" allowOverlap="1" wp14:anchorId="5200C15A" wp14:editId="0206714A">
          <wp:simplePos x="0" y="0"/>
          <wp:positionH relativeFrom="margin">
            <wp:posOffset>1933731</wp:posOffset>
          </wp:positionH>
          <wp:positionV relativeFrom="margin">
            <wp:posOffset>-1170481</wp:posOffset>
          </wp:positionV>
          <wp:extent cx="1525905" cy="571500"/>
          <wp:effectExtent l="0" t="0" r="0" b="0"/>
          <wp:wrapSquare wrapText="bothSides" distT="0" distB="0" distL="114300" distR="114300"/>
          <wp:docPr id="1690080210" name="image3.png" descr="LOGO FINAL INTERNACIONAL"/>
          <wp:cNvGraphicFramePr/>
          <a:graphic xmlns:a="http://schemas.openxmlformats.org/drawingml/2006/main">
            <a:graphicData uri="http://schemas.openxmlformats.org/drawingml/2006/picture">
              <pic:pic xmlns:pic="http://schemas.openxmlformats.org/drawingml/2006/picture">
                <pic:nvPicPr>
                  <pic:cNvPr id="0" name="image3.png" descr="LOGO FINAL INTERNACIONAL"/>
                  <pic:cNvPicPr preferRelativeResize="0"/>
                </pic:nvPicPr>
                <pic:blipFill>
                  <a:blip r:embed="rId1"/>
                  <a:srcRect/>
                  <a:stretch>
                    <a:fillRect/>
                  </a:stretch>
                </pic:blipFill>
                <pic:spPr>
                  <a:xfrm>
                    <a:off x="0" y="0"/>
                    <a:ext cx="1525905" cy="571500"/>
                  </a:xfrm>
                  <a:prstGeom prst="rect">
                    <a:avLst/>
                  </a:prstGeom>
                  <a:ln/>
                </pic:spPr>
              </pic:pic>
            </a:graphicData>
          </a:graphic>
        </wp:anchor>
      </w:drawing>
    </w:r>
  </w:p>
  <w:p w14:paraId="55C30D83" w14:textId="77777777" w:rsidR="007D3173" w:rsidRDefault="007D3173">
    <w:pPr>
      <w:pBdr>
        <w:top w:val="nil"/>
        <w:left w:val="nil"/>
        <w:bottom w:val="nil"/>
        <w:right w:val="nil"/>
        <w:between w:val="nil"/>
      </w:pBdr>
      <w:spacing w:before="120" w:after="120"/>
      <w:ind w:right="113"/>
      <w:jc w:val="both"/>
      <w:rPr>
        <w:color w:val="000000"/>
        <w:sz w:val="20"/>
        <w:szCs w:val="20"/>
      </w:rPr>
    </w:pPr>
  </w:p>
  <w:p w14:paraId="36EA3195" w14:textId="77777777" w:rsidR="007D3173" w:rsidRDefault="007D3173">
    <w:pPr>
      <w:pBdr>
        <w:top w:val="nil"/>
        <w:left w:val="nil"/>
        <w:bottom w:val="nil"/>
        <w:right w:val="nil"/>
        <w:between w:val="nil"/>
      </w:pBdr>
      <w:spacing w:before="120" w:after="120"/>
      <w:ind w:right="113"/>
      <w:jc w:val="both"/>
      <w:rPr>
        <w:color w:val="000000"/>
        <w:sz w:val="20"/>
        <w:szCs w:val="20"/>
      </w:rPr>
    </w:pPr>
  </w:p>
  <w:p w14:paraId="517CF68C" w14:textId="77777777" w:rsidR="007D3173" w:rsidRDefault="00000000">
    <w:pPr>
      <w:pBdr>
        <w:top w:val="nil"/>
        <w:left w:val="nil"/>
        <w:bottom w:val="nil"/>
        <w:right w:val="nil"/>
        <w:between w:val="nil"/>
      </w:pBdr>
      <w:spacing w:before="120" w:after="120"/>
      <w:ind w:right="113"/>
      <w:jc w:val="both"/>
      <w:rPr>
        <w:color w:val="000000"/>
        <w:sz w:val="20"/>
        <w:szCs w:val="20"/>
      </w:rPr>
    </w:pPr>
    <w:r>
      <w:rPr>
        <w:noProof/>
        <w:color w:val="000000"/>
        <w:sz w:val="24"/>
        <w:szCs w:val="24"/>
      </w:rPr>
      <mc:AlternateContent>
        <mc:Choice Requires="wpg">
          <w:drawing>
            <wp:anchor distT="0" distB="0" distL="0" distR="0" simplePos="0" relativeHeight="251659264" behindDoc="1" locked="0" layoutInCell="1" hidden="0" allowOverlap="1" wp14:anchorId="4C34E452" wp14:editId="2427FFBA">
              <wp:simplePos x="0" y="0"/>
              <wp:positionH relativeFrom="page">
                <wp:posOffset>4577408</wp:posOffset>
              </wp:positionH>
              <wp:positionV relativeFrom="page">
                <wp:posOffset>1347590</wp:posOffset>
              </wp:positionV>
              <wp:extent cx="2354580" cy="164325"/>
              <wp:effectExtent l="0" t="0" r="0" b="0"/>
              <wp:wrapNone/>
              <wp:docPr id="1690080205" name="Rectángulo 1690080205"/>
              <wp:cNvGraphicFramePr/>
              <a:graphic xmlns:a="http://schemas.openxmlformats.org/drawingml/2006/main">
                <a:graphicData uri="http://schemas.microsoft.com/office/word/2010/wordprocessingShape">
                  <wps:wsp>
                    <wps:cNvSpPr/>
                    <wps:spPr>
                      <a:xfrm>
                        <a:off x="4173473" y="3702600"/>
                        <a:ext cx="2345055" cy="154800"/>
                      </a:xfrm>
                      <a:prstGeom prst="rect">
                        <a:avLst/>
                      </a:prstGeom>
                      <a:noFill/>
                      <a:ln>
                        <a:noFill/>
                      </a:ln>
                    </wps:spPr>
                    <wps:txbx>
                      <w:txbxContent>
                        <w:p w14:paraId="65485F0C" w14:textId="77777777" w:rsidR="007D3173" w:rsidRDefault="00000000">
                          <w:pPr>
                            <w:spacing w:before="13"/>
                            <w:ind w:left="20" w:firstLine="20"/>
                            <w:textDirection w:val="btLr"/>
                          </w:pPr>
                          <w:r>
                            <w:rPr>
                              <w:rFonts w:ascii="Arial" w:eastAsia="Arial" w:hAnsi="Arial" w:cs="Arial"/>
                              <w:b/>
                              <w:i/>
                              <w:color w:val="2C358B"/>
                              <w:sz w:val="18"/>
                            </w:rPr>
                            <w:t>Cambiando el presente, cuidando el futuro</w:t>
                          </w:r>
                        </w:p>
                      </w:txbxContent>
                    </wps:txbx>
                    <wps:bodyPr spcFirstLastPara="1" wrap="square" lIns="0" tIns="0" rIns="0" bIns="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page">
                <wp:posOffset>4577408</wp:posOffset>
              </wp:positionH>
              <wp:positionV relativeFrom="page">
                <wp:posOffset>1347590</wp:posOffset>
              </wp:positionV>
              <wp:extent cx="2354580" cy="164325"/>
              <wp:effectExtent b="0" l="0" r="0" t="0"/>
              <wp:wrapNone/>
              <wp:docPr id="1690080205" name="image4.png"/>
              <a:graphic>
                <a:graphicData uri="http://schemas.openxmlformats.org/drawingml/2006/picture">
                  <pic:pic>
                    <pic:nvPicPr>
                      <pic:cNvPr id="0" name="image4.png"/>
                      <pic:cNvPicPr preferRelativeResize="0"/>
                    </pic:nvPicPr>
                    <pic:blipFill>
                      <a:blip r:embed="rId2"/>
                      <a:srcRect/>
                      <a:stretch>
                        <a:fillRect/>
                      </a:stretch>
                    </pic:blipFill>
                    <pic:spPr>
                      <a:xfrm>
                        <a:off x="0" y="0"/>
                        <a:ext cx="2354580" cy="164325"/>
                      </a:xfrm>
                      <a:prstGeom prst="rect"/>
                      <a:ln/>
                    </pic:spPr>
                  </pic:pic>
                </a:graphicData>
              </a:graphic>
            </wp:anchor>
          </w:drawing>
        </mc:Fallback>
      </mc:AlternateContent>
    </w:r>
    <w:r>
      <w:rPr>
        <w:noProof/>
        <w:color w:val="000000"/>
        <w:sz w:val="24"/>
        <w:szCs w:val="24"/>
      </w:rPr>
      <mc:AlternateContent>
        <mc:Choice Requires="wpg">
          <w:drawing>
            <wp:anchor distT="0" distB="0" distL="0" distR="0" simplePos="0" relativeHeight="251660288" behindDoc="1" locked="0" layoutInCell="1" hidden="0" allowOverlap="1" wp14:anchorId="2D8A3633" wp14:editId="2A4DFBC6">
              <wp:simplePos x="0" y="0"/>
              <wp:positionH relativeFrom="page">
                <wp:posOffset>1193800</wp:posOffset>
              </wp:positionH>
              <wp:positionV relativeFrom="page">
                <wp:posOffset>1230932</wp:posOffset>
              </wp:positionV>
              <wp:extent cx="5943600" cy="57150"/>
              <wp:effectExtent l="0" t="0" r="0" b="0"/>
              <wp:wrapNone/>
              <wp:docPr id="1690080207" name="Grupo 1690080207"/>
              <wp:cNvGraphicFramePr/>
              <a:graphic xmlns:a="http://schemas.openxmlformats.org/drawingml/2006/main">
                <a:graphicData uri="http://schemas.microsoft.com/office/word/2010/wordprocessingGroup">
                  <wpg:wgp>
                    <wpg:cNvGrpSpPr/>
                    <wpg:grpSpPr>
                      <a:xfrm>
                        <a:off x="0" y="0"/>
                        <a:ext cx="5943600" cy="57150"/>
                        <a:chOff x="2374200" y="3751425"/>
                        <a:chExt cx="5943600" cy="57150"/>
                      </a:xfrm>
                    </wpg:grpSpPr>
                    <wpg:grpSp>
                      <wpg:cNvPr id="1196183284" name="Grupo 1196183284"/>
                      <wpg:cNvGrpSpPr/>
                      <wpg:grpSpPr>
                        <a:xfrm>
                          <a:off x="2374200" y="3751425"/>
                          <a:ext cx="5943600" cy="57150"/>
                          <a:chOff x="0" y="0"/>
                          <a:chExt cx="5943600" cy="57150"/>
                        </a:xfrm>
                      </wpg:grpSpPr>
                      <wps:wsp>
                        <wps:cNvPr id="591338981" name="Rectángulo 591338981"/>
                        <wps:cNvSpPr/>
                        <wps:spPr>
                          <a:xfrm>
                            <a:off x="0" y="0"/>
                            <a:ext cx="5943600" cy="57150"/>
                          </a:xfrm>
                          <a:prstGeom prst="rect">
                            <a:avLst/>
                          </a:prstGeom>
                          <a:noFill/>
                          <a:ln>
                            <a:noFill/>
                          </a:ln>
                        </wps:spPr>
                        <wps:txbx>
                          <w:txbxContent>
                            <w:p w14:paraId="7375DEE0" w14:textId="77777777" w:rsidR="007D3173" w:rsidRDefault="007D3173">
                              <w:pPr>
                                <w:textDirection w:val="btLr"/>
                              </w:pPr>
                            </w:p>
                          </w:txbxContent>
                        </wps:txbx>
                        <wps:bodyPr spcFirstLastPara="1" wrap="square" lIns="91425" tIns="91425" rIns="91425" bIns="91425" anchor="ctr" anchorCtr="0">
                          <a:noAutofit/>
                        </wps:bodyPr>
                      </wps:wsp>
                      <wps:wsp>
                        <wps:cNvPr id="969827889" name="Forma libre 969827889"/>
                        <wps:cNvSpPr/>
                        <wps:spPr>
                          <a:xfrm>
                            <a:off x="0" y="0"/>
                            <a:ext cx="5943600" cy="38100"/>
                          </a:xfrm>
                          <a:custGeom>
                            <a:avLst/>
                            <a:gdLst/>
                            <a:ahLst/>
                            <a:cxnLst/>
                            <a:rect l="l" t="t" r="r" b="b"/>
                            <a:pathLst>
                              <a:path w="5943600" h="38100" extrusionOk="0">
                                <a:moveTo>
                                  <a:pt x="0" y="38100"/>
                                </a:moveTo>
                                <a:lnTo>
                                  <a:pt x="5943600" y="38100"/>
                                </a:lnTo>
                                <a:lnTo>
                                  <a:pt x="5943600" y="0"/>
                                </a:lnTo>
                                <a:lnTo>
                                  <a:pt x="0" y="0"/>
                                </a:lnTo>
                                <a:lnTo>
                                  <a:pt x="0" y="38100"/>
                                </a:lnTo>
                                <a:close/>
                              </a:path>
                            </a:pathLst>
                          </a:custGeom>
                          <a:solidFill>
                            <a:srgbClr val="2C358B"/>
                          </a:solidFill>
                          <a:ln>
                            <a:noFill/>
                          </a:ln>
                        </wps:spPr>
                        <wps:bodyPr spcFirstLastPara="1" wrap="square" lIns="91425" tIns="91425" rIns="91425" bIns="91425" anchor="ctr" anchorCtr="0">
                          <a:noAutofit/>
                        </wps:bodyPr>
                      </wps:wsp>
                      <wps:wsp>
                        <wps:cNvPr id="758960083" name="Forma libre 758960083"/>
                        <wps:cNvSpPr/>
                        <wps:spPr>
                          <a:xfrm>
                            <a:off x="0" y="37719"/>
                            <a:ext cx="5943600" cy="19050"/>
                          </a:xfrm>
                          <a:custGeom>
                            <a:avLst/>
                            <a:gdLst/>
                            <a:ahLst/>
                            <a:cxnLst/>
                            <a:rect l="l" t="t" r="r" b="b"/>
                            <a:pathLst>
                              <a:path w="5943600" h="19050" extrusionOk="0">
                                <a:moveTo>
                                  <a:pt x="0" y="19050"/>
                                </a:moveTo>
                                <a:lnTo>
                                  <a:pt x="5943600" y="19050"/>
                                </a:lnTo>
                                <a:lnTo>
                                  <a:pt x="5943600" y="0"/>
                                </a:lnTo>
                                <a:lnTo>
                                  <a:pt x="0" y="0"/>
                                </a:lnTo>
                                <a:lnTo>
                                  <a:pt x="0" y="19050"/>
                                </a:lnTo>
                                <a:close/>
                              </a:path>
                            </a:pathLst>
                          </a:custGeom>
                          <a:solidFill>
                            <a:srgbClr val="BE3028"/>
                          </a:solidFill>
                          <a:ln>
                            <a:noFill/>
                          </a:ln>
                        </wps:spPr>
                        <wps:bodyPr spcFirstLastPara="1" wrap="square" lIns="91425" tIns="91425" rIns="91425" bIns="91425" anchor="ctr" anchorCtr="0">
                          <a:noAutofit/>
                        </wps:bodyPr>
                      </wps:wsp>
                    </wpg:grpSp>
                  </wpg:wg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page">
                <wp:posOffset>1193800</wp:posOffset>
              </wp:positionH>
              <wp:positionV relativeFrom="page">
                <wp:posOffset>1230932</wp:posOffset>
              </wp:positionV>
              <wp:extent cx="5943600" cy="57150"/>
              <wp:effectExtent b="0" l="0" r="0" t="0"/>
              <wp:wrapNone/>
              <wp:docPr id="1690080207" name="image6.png"/>
              <a:graphic>
                <a:graphicData uri="http://schemas.openxmlformats.org/drawingml/2006/picture">
                  <pic:pic>
                    <pic:nvPicPr>
                      <pic:cNvPr id="0" name="image6.png"/>
                      <pic:cNvPicPr preferRelativeResize="0"/>
                    </pic:nvPicPr>
                    <pic:blipFill>
                      <a:blip r:embed="rId2"/>
                      <a:srcRect/>
                      <a:stretch>
                        <a:fillRect/>
                      </a:stretch>
                    </pic:blipFill>
                    <pic:spPr>
                      <a:xfrm>
                        <a:off x="0" y="0"/>
                        <a:ext cx="5943600" cy="57150"/>
                      </a:xfrm>
                      <a:prstGeom prst="rect"/>
                      <a:ln/>
                    </pic:spPr>
                  </pic:pic>
                </a:graphicData>
              </a:graphic>
            </wp:anchor>
          </w:drawing>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63E69"/>
    <w:multiLevelType w:val="multilevel"/>
    <w:tmpl w:val="FB1C06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EF71241"/>
    <w:multiLevelType w:val="multilevel"/>
    <w:tmpl w:val="EAFA3008"/>
    <w:lvl w:ilvl="0">
      <w:start w:val="1"/>
      <w:numFmt w:val="lowerLetter"/>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 w15:restartNumberingAfterBreak="0">
    <w:nsid w:val="348D365C"/>
    <w:multiLevelType w:val="multilevel"/>
    <w:tmpl w:val="40C64794"/>
    <w:lvl w:ilvl="0">
      <w:start w:val="1"/>
      <w:numFmt w:val="decimal"/>
      <w:lvlText w:val="%1."/>
      <w:lvlJc w:val="left"/>
      <w:pPr>
        <w:ind w:left="958" w:hanging="360"/>
      </w:pPr>
      <w:rPr>
        <w:b/>
      </w:rPr>
    </w:lvl>
    <w:lvl w:ilvl="1">
      <w:start w:val="1"/>
      <w:numFmt w:val="lowerLetter"/>
      <w:lvlText w:val="%2."/>
      <w:lvlJc w:val="left"/>
      <w:pPr>
        <w:ind w:left="1559" w:hanging="360"/>
      </w:pPr>
    </w:lvl>
    <w:lvl w:ilvl="2">
      <w:start w:val="1"/>
      <w:numFmt w:val="lowerRoman"/>
      <w:lvlText w:val="%3."/>
      <w:lvlJc w:val="right"/>
      <w:pPr>
        <w:ind w:left="2279" w:hanging="180"/>
      </w:pPr>
    </w:lvl>
    <w:lvl w:ilvl="3">
      <w:start w:val="1"/>
      <w:numFmt w:val="decimal"/>
      <w:lvlText w:val="%4."/>
      <w:lvlJc w:val="left"/>
      <w:pPr>
        <w:ind w:left="2999" w:hanging="360"/>
      </w:pPr>
    </w:lvl>
    <w:lvl w:ilvl="4">
      <w:start w:val="1"/>
      <w:numFmt w:val="lowerLetter"/>
      <w:lvlText w:val="%5."/>
      <w:lvlJc w:val="left"/>
      <w:pPr>
        <w:ind w:left="3719" w:hanging="360"/>
      </w:pPr>
    </w:lvl>
    <w:lvl w:ilvl="5">
      <w:start w:val="1"/>
      <w:numFmt w:val="lowerRoman"/>
      <w:lvlText w:val="%6."/>
      <w:lvlJc w:val="right"/>
      <w:pPr>
        <w:ind w:left="4439" w:hanging="180"/>
      </w:pPr>
    </w:lvl>
    <w:lvl w:ilvl="6">
      <w:start w:val="1"/>
      <w:numFmt w:val="decimal"/>
      <w:lvlText w:val="%7."/>
      <w:lvlJc w:val="left"/>
      <w:pPr>
        <w:ind w:left="5159" w:hanging="360"/>
      </w:pPr>
    </w:lvl>
    <w:lvl w:ilvl="7">
      <w:start w:val="1"/>
      <w:numFmt w:val="lowerLetter"/>
      <w:lvlText w:val="%8."/>
      <w:lvlJc w:val="left"/>
      <w:pPr>
        <w:ind w:left="5879" w:hanging="360"/>
      </w:pPr>
    </w:lvl>
    <w:lvl w:ilvl="8">
      <w:start w:val="1"/>
      <w:numFmt w:val="lowerRoman"/>
      <w:lvlText w:val="%9."/>
      <w:lvlJc w:val="right"/>
      <w:pPr>
        <w:ind w:left="6599" w:hanging="180"/>
      </w:pPr>
    </w:lvl>
  </w:abstractNum>
  <w:abstractNum w:abstractNumId="3" w15:restartNumberingAfterBreak="0">
    <w:nsid w:val="4EDF17A7"/>
    <w:multiLevelType w:val="multilevel"/>
    <w:tmpl w:val="255EE8A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57AB0B65"/>
    <w:multiLevelType w:val="multilevel"/>
    <w:tmpl w:val="82EE6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94E182B"/>
    <w:multiLevelType w:val="multilevel"/>
    <w:tmpl w:val="9B5CBB8C"/>
    <w:lvl w:ilvl="0">
      <w:start w:val="1"/>
      <w:numFmt w:val="decimal"/>
      <w:lvlText w:val="%1."/>
      <w:lvlJc w:val="left"/>
      <w:pPr>
        <w:ind w:left="502" w:hanging="360"/>
      </w:pPr>
    </w:lvl>
    <w:lvl w:ilvl="1">
      <w:start w:val="1"/>
      <w:numFmt w:val="decimal"/>
      <w:lvlText w:val="%1.%2."/>
      <w:lvlJc w:val="left"/>
      <w:pPr>
        <w:ind w:left="862" w:hanging="360"/>
      </w:pPr>
    </w:lvl>
    <w:lvl w:ilvl="2">
      <w:start w:val="1"/>
      <w:numFmt w:val="decimal"/>
      <w:lvlText w:val="%1.%2.%3."/>
      <w:lvlJc w:val="left"/>
      <w:pPr>
        <w:ind w:left="1582" w:hanging="720"/>
      </w:pPr>
    </w:lvl>
    <w:lvl w:ilvl="3">
      <w:start w:val="1"/>
      <w:numFmt w:val="decimal"/>
      <w:lvlText w:val="%1.%2.%3.%4."/>
      <w:lvlJc w:val="left"/>
      <w:pPr>
        <w:ind w:left="1942" w:hanging="720"/>
      </w:pPr>
    </w:lvl>
    <w:lvl w:ilvl="4">
      <w:start w:val="1"/>
      <w:numFmt w:val="decimal"/>
      <w:lvlText w:val="%1.%2.%3.%4.%5."/>
      <w:lvlJc w:val="left"/>
      <w:pPr>
        <w:ind w:left="2662" w:hanging="1080"/>
      </w:pPr>
    </w:lvl>
    <w:lvl w:ilvl="5">
      <w:start w:val="1"/>
      <w:numFmt w:val="decimal"/>
      <w:lvlText w:val="%1.%2.%3.%4.%5.%6."/>
      <w:lvlJc w:val="left"/>
      <w:pPr>
        <w:ind w:left="3022" w:hanging="1080"/>
      </w:pPr>
    </w:lvl>
    <w:lvl w:ilvl="6">
      <w:start w:val="1"/>
      <w:numFmt w:val="decimal"/>
      <w:lvlText w:val="%1.%2.%3.%4.%5.%6.%7."/>
      <w:lvlJc w:val="left"/>
      <w:pPr>
        <w:ind w:left="3742" w:hanging="1440"/>
      </w:pPr>
    </w:lvl>
    <w:lvl w:ilvl="7">
      <w:start w:val="1"/>
      <w:numFmt w:val="decimal"/>
      <w:lvlText w:val="%1.%2.%3.%4.%5.%6.%7.%8."/>
      <w:lvlJc w:val="left"/>
      <w:pPr>
        <w:ind w:left="4102" w:hanging="1440"/>
      </w:pPr>
    </w:lvl>
    <w:lvl w:ilvl="8">
      <w:start w:val="1"/>
      <w:numFmt w:val="decimal"/>
      <w:lvlText w:val="%1.%2.%3.%4.%5.%6.%7.%8.%9."/>
      <w:lvlJc w:val="left"/>
      <w:pPr>
        <w:ind w:left="4822" w:hanging="1800"/>
      </w:pPr>
    </w:lvl>
  </w:abstractNum>
  <w:abstractNum w:abstractNumId="6" w15:restartNumberingAfterBreak="0">
    <w:nsid w:val="7EB235AE"/>
    <w:multiLevelType w:val="multilevel"/>
    <w:tmpl w:val="1E04E7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36549545">
    <w:abstractNumId w:val="5"/>
  </w:num>
  <w:num w:numId="2" w16cid:durableId="1815953338">
    <w:abstractNumId w:val="3"/>
  </w:num>
  <w:num w:numId="3" w16cid:durableId="1365712480">
    <w:abstractNumId w:val="4"/>
  </w:num>
  <w:num w:numId="4" w16cid:durableId="1199776798">
    <w:abstractNumId w:val="1"/>
  </w:num>
  <w:num w:numId="5" w16cid:durableId="1375159130">
    <w:abstractNumId w:val="6"/>
  </w:num>
  <w:num w:numId="6" w16cid:durableId="407505843">
    <w:abstractNumId w:val="0"/>
  </w:num>
  <w:num w:numId="7" w16cid:durableId="2752565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3173"/>
    <w:rsid w:val="00221188"/>
    <w:rsid w:val="0032708F"/>
    <w:rsid w:val="0034465F"/>
    <w:rsid w:val="004A4BE6"/>
    <w:rsid w:val="0062630F"/>
    <w:rsid w:val="007D3173"/>
    <w:rsid w:val="00AB3310"/>
    <w:rsid w:val="00B4367F"/>
    <w:rsid w:val="00D609D4"/>
    <w:rsid w:val="00DC6380"/>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decimalSymbol w:val="."/>
  <w:listSeparator w:val=","/>
  <w14:docId w14:val="1194F6E6"/>
  <w15:docId w15:val="{B7D41365-FCBE-CA43-ABAF-A6229082A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s" w:eastAsia="es-MX"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before="240" w:after="160"/>
      <w:ind w:left="119"/>
      <w:outlineLvl w:val="0"/>
    </w:pPr>
    <w:rPr>
      <w:b/>
      <w:sz w:val="24"/>
      <w:szCs w:val="24"/>
    </w:rPr>
  </w:style>
  <w:style w:type="paragraph" w:styleId="Ttulo2">
    <w:name w:val="heading 2"/>
    <w:basedOn w:val="Normal"/>
    <w:next w:val="Normal"/>
    <w:uiPriority w:val="9"/>
    <w:unhideWhenUsed/>
    <w:qFormat/>
    <w:pPr>
      <w:tabs>
        <w:tab w:val="left" w:pos="359"/>
      </w:tabs>
      <w:spacing w:before="240" w:after="120"/>
      <w:ind w:left="360" w:hanging="240"/>
      <w:jc w:val="both"/>
      <w:outlineLvl w:val="1"/>
    </w:pPr>
    <w:rPr>
      <w:b/>
      <w:sz w:val="24"/>
      <w:szCs w:val="24"/>
    </w:rPr>
  </w:style>
  <w:style w:type="paragraph" w:styleId="Ttulo3">
    <w:name w:val="heading 3"/>
    <w:basedOn w:val="Normal"/>
    <w:next w:val="Normal"/>
    <w:uiPriority w:val="9"/>
    <w:semiHidden/>
    <w:unhideWhenUsed/>
    <w:qFormat/>
    <w:pPr>
      <w:keepNext/>
      <w:keepLines/>
      <w:spacing w:before="120" w:after="120"/>
      <w:ind w:left="142"/>
      <w:outlineLvl w:val="2"/>
    </w:pPr>
    <w:rPr>
      <w:b/>
      <w:sz w:val="24"/>
      <w:szCs w:val="24"/>
    </w:rPr>
  </w:style>
  <w:style w:type="paragraph" w:styleId="Ttulo4">
    <w:name w:val="heading 4"/>
    <w:basedOn w:val="Normal"/>
    <w:next w:val="Normal"/>
    <w:uiPriority w:val="9"/>
    <w:semiHidden/>
    <w:unhideWhenUsed/>
    <w:qFormat/>
    <w:pPr>
      <w:keepNext/>
      <w:keepLines/>
      <w:spacing w:before="40"/>
      <w:outlineLvl w:val="3"/>
    </w:pPr>
    <w:rPr>
      <w:rFonts w:ascii="Cambria" w:eastAsia="Cambria" w:hAnsi="Cambria" w:cs="Cambria"/>
      <w:i/>
      <w:color w:val="366091"/>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667789"/>
    <w:pPr>
      <w:spacing w:before="120" w:after="120"/>
      <w:ind w:left="119" w:right="113"/>
      <w:jc w:val="both"/>
    </w:pPr>
    <w:rPr>
      <w:sz w:val="24"/>
      <w:szCs w:val="24"/>
    </w:rPr>
  </w:style>
  <w:style w:type="paragraph" w:styleId="Prrafodelista">
    <w:name w:val="List Paragraph"/>
    <w:aliases w:val="Box Text"/>
    <w:basedOn w:val="Normal"/>
    <w:link w:val="PrrafodelistaCar"/>
    <w:uiPriority w:val="34"/>
    <w:qFormat/>
    <w:pPr>
      <w:ind w:left="840" w:hanging="50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126E2"/>
    <w:pPr>
      <w:tabs>
        <w:tab w:val="center" w:pos="4536"/>
        <w:tab w:val="right" w:pos="9072"/>
      </w:tabs>
    </w:pPr>
  </w:style>
  <w:style w:type="character" w:customStyle="1" w:styleId="EncabezadoCar">
    <w:name w:val="Encabezado Car"/>
    <w:basedOn w:val="Fuentedeprrafopredeter"/>
    <w:link w:val="Encabezado"/>
    <w:uiPriority w:val="99"/>
    <w:rsid w:val="00F126E2"/>
    <w:rPr>
      <w:rFonts w:ascii="Times New Roman" w:eastAsia="Times New Roman" w:hAnsi="Times New Roman" w:cs="Times New Roman"/>
      <w:lang w:val="es-ES"/>
    </w:rPr>
  </w:style>
  <w:style w:type="paragraph" w:styleId="Piedepgina">
    <w:name w:val="footer"/>
    <w:basedOn w:val="Normal"/>
    <w:link w:val="PiedepginaCar"/>
    <w:uiPriority w:val="99"/>
    <w:unhideWhenUsed/>
    <w:rsid w:val="00F126E2"/>
    <w:pPr>
      <w:tabs>
        <w:tab w:val="center" w:pos="4536"/>
        <w:tab w:val="right" w:pos="9072"/>
      </w:tabs>
    </w:pPr>
  </w:style>
  <w:style w:type="character" w:customStyle="1" w:styleId="PiedepginaCar">
    <w:name w:val="Pie de página Car"/>
    <w:basedOn w:val="Fuentedeprrafopredeter"/>
    <w:link w:val="Piedepgina"/>
    <w:uiPriority w:val="99"/>
    <w:rsid w:val="00F126E2"/>
    <w:rPr>
      <w:rFonts w:ascii="Times New Roman" w:eastAsia="Times New Roman" w:hAnsi="Times New Roman" w:cs="Times New Roman"/>
      <w:lang w:val="es-ES"/>
    </w:rPr>
  </w:style>
  <w:style w:type="character" w:customStyle="1" w:styleId="Ttulo3Car">
    <w:name w:val="Título 3 Car"/>
    <w:basedOn w:val="Fuentedeprrafopredeter"/>
    <w:uiPriority w:val="9"/>
    <w:rsid w:val="00667789"/>
    <w:rPr>
      <w:rFonts w:ascii="Times New Roman" w:eastAsiaTheme="majorEastAsia" w:hAnsi="Times New Roman" w:cs="Times New Roman"/>
      <w:b/>
      <w:bCs/>
      <w:sz w:val="24"/>
      <w:szCs w:val="24"/>
      <w:lang w:val="es-419"/>
    </w:rPr>
  </w:style>
  <w:style w:type="character" w:customStyle="1" w:styleId="Ttulo4Car">
    <w:name w:val="Título 4 Car"/>
    <w:basedOn w:val="Fuentedeprrafopredeter"/>
    <w:uiPriority w:val="9"/>
    <w:rsid w:val="00B476CB"/>
    <w:rPr>
      <w:rFonts w:asciiTheme="majorHAnsi" w:eastAsiaTheme="majorEastAsia" w:hAnsiTheme="majorHAnsi" w:cstheme="majorBidi"/>
      <w:i/>
      <w:iCs/>
      <w:color w:val="365F91" w:themeColor="accent1" w:themeShade="BF"/>
      <w:lang w:val="es-ES"/>
    </w:rPr>
  </w:style>
  <w:style w:type="character" w:styleId="Hipervnculo">
    <w:name w:val="Hyperlink"/>
    <w:basedOn w:val="Fuentedeprrafopredeter"/>
    <w:uiPriority w:val="99"/>
    <w:unhideWhenUsed/>
    <w:rsid w:val="00B476CB"/>
    <w:rPr>
      <w:color w:val="0000FF" w:themeColor="hyperlink"/>
      <w:u w:val="single"/>
    </w:rPr>
  </w:style>
  <w:style w:type="character" w:styleId="Mencinsinresolver">
    <w:name w:val="Unresolved Mention"/>
    <w:basedOn w:val="Fuentedeprrafopredeter"/>
    <w:uiPriority w:val="99"/>
    <w:semiHidden/>
    <w:unhideWhenUsed/>
    <w:rsid w:val="00B476CB"/>
    <w:rPr>
      <w:color w:val="605E5C"/>
      <w:shd w:val="clear" w:color="auto" w:fill="E1DFDD"/>
    </w:rPr>
  </w:style>
  <w:style w:type="paragraph" w:styleId="NormalWeb">
    <w:name w:val="Normal (Web)"/>
    <w:basedOn w:val="Normal"/>
    <w:uiPriority w:val="99"/>
    <w:unhideWhenUsed/>
    <w:rsid w:val="00667789"/>
    <w:pPr>
      <w:widowControl/>
      <w:spacing w:before="100" w:beforeAutospacing="1" w:after="100" w:afterAutospacing="1"/>
    </w:pPr>
    <w:rPr>
      <w:sz w:val="24"/>
      <w:szCs w:val="24"/>
      <w:lang w:eastAsia="es-419"/>
    </w:rPr>
  </w:style>
  <w:style w:type="character" w:styleId="Hipervnculovisitado">
    <w:name w:val="FollowedHyperlink"/>
    <w:basedOn w:val="Fuentedeprrafopredeter"/>
    <w:uiPriority w:val="99"/>
    <w:semiHidden/>
    <w:unhideWhenUsed/>
    <w:rsid w:val="00140199"/>
    <w:rPr>
      <w:color w:val="800080" w:themeColor="followedHyperlink"/>
      <w:u w:val="single"/>
    </w:rPr>
  </w:style>
  <w:style w:type="character" w:customStyle="1" w:styleId="TextoindependienteCar">
    <w:name w:val="Texto independiente Car"/>
    <w:basedOn w:val="Fuentedeprrafopredeter"/>
    <w:link w:val="Textoindependiente"/>
    <w:uiPriority w:val="1"/>
    <w:rsid w:val="003A1220"/>
    <w:rPr>
      <w:rFonts w:ascii="Times New Roman" w:eastAsia="Times New Roman" w:hAnsi="Times New Roman" w:cs="Times New Roman"/>
      <w:sz w:val="24"/>
      <w:szCs w:val="24"/>
      <w:lang w:val="es-ES"/>
    </w:rPr>
  </w:style>
  <w:style w:type="paragraph" w:styleId="Revisin">
    <w:name w:val="Revision"/>
    <w:hidden/>
    <w:uiPriority w:val="99"/>
    <w:semiHidden/>
    <w:rsid w:val="005454D5"/>
    <w:pPr>
      <w:widowControl/>
    </w:pPr>
    <w:rPr>
      <w:lang w:val="es-ES"/>
    </w:rPr>
  </w:style>
  <w:style w:type="character" w:styleId="Refdecomentario">
    <w:name w:val="annotation reference"/>
    <w:basedOn w:val="Fuentedeprrafopredeter"/>
    <w:uiPriority w:val="99"/>
    <w:semiHidden/>
    <w:unhideWhenUsed/>
    <w:rsid w:val="00F24921"/>
    <w:rPr>
      <w:sz w:val="16"/>
      <w:szCs w:val="16"/>
    </w:rPr>
  </w:style>
  <w:style w:type="paragraph" w:styleId="Textocomentario">
    <w:name w:val="annotation text"/>
    <w:basedOn w:val="Normal"/>
    <w:link w:val="TextocomentarioCar"/>
    <w:uiPriority w:val="99"/>
    <w:semiHidden/>
    <w:unhideWhenUsed/>
    <w:rsid w:val="00F24921"/>
    <w:rPr>
      <w:sz w:val="20"/>
      <w:szCs w:val="20"/>
    </w:rPr>
  </w:style>
  <w:style w:type="character" w:customStyle="1" w:styleId="TextocomentarioCar">
    <w:name w:val="Texto comentario Car"/>
    <w:basedOn w:val="Fuentedeprrafopredeter"/>
    <w:link w:val="Textocomentario"/>
    <w:uiPriority w:val="99"/>
    <w:semiHidden/>
    <w:rsid w:val="00F24921"/>
    <w:rPr>
      <w:rFonts w:ascii="Times New Roman" w:eastAsia="Times New Roman" w:hAnsi="Times New Roman"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F24921"/>
    <w:rPr>
      <w:b/>
      <w:bCs/>
    </w:rPr>
  </w:style>
  <w:style w:type="character" w:customStyle="1" w:styleId="AsuntodelcomentarioCar">
    <w:name w:val="Asunto del comentario Car"/>
    <w:basedOn w:val="TextocomentarioCar"/>
    <w:link w:val="Asuntodelcomentario"/>
    <w:uiPriority w:val="99"/>
    <w:semiHidden/>
    <w:rsid w:val="00F24921"/>
    <w:rPr>
      <w:rFonts w:ascii="Times New Roman" w:eastAsia="Times New Roman" w:hAnsi="Times New Roman" w:cs="Times New Roman"/>
      <w:b/>
      <w:bCs/>
      <w:sz w:val="20"/>
      <w:szCs w:val="20"/>
      <w:lang w:val="es-ES"/>
    </w:rPr>
  </w:style>
  <w:style w:type="paragraph" w:styleId="Textonotapie">
    <w:name w:val="footnote text"/>
    <w:basedOn w:val="Normal"/>
    <w:link w:val="TextonotapieCar"/>
    <w:uiPriority w:val="99"/>
    <w:unhideWhenUsed/>
    <w:rsid w:val="00EA4385"/>
    <w:rPr>
      <w:sz w:val="20"/>
      <w:szCs w:val="20"/>
    </w:rPr>
  </w:style>
  <w:style w:type="character" w:customStyle="1" w:styleId="TextonotapieCar">
    <w:name w:val="Texto nota pie Car"/>
    <w:basedOn w:val="Fuentedeprrafopredeter"/>
    <w:link w:val="Textonotapie"/>
    <w:uiPriority w:val="99"/>
    <w:rsid w:val="00EA4385"/>
    <w:rPr>
      <w:rFonts w:ascii="Times New Roman" w:eastAsia="Times New Roman" w:hAnsi="Times New Roman" w:cs="Times New Roman"/>
      <w:sz w:val="20"/>
      <w:szCs w:val="20"/>
      <w:lang w:val="es-ES"/>
    </w:rPr>
  </w:style>
  <w:style w:type="character" w:styleId="Refdenotaalpie">
    <w:name w:val="footnote reference"/>
    <w:basedOn w:val="Fuentedeprrafopredeter"/>
    <w:uiPriority w:val="99"/>
    <w:unhideWhenUsed/>
    <w:rsid w:val="00EA4385"/>
    <w:rPr>
      <w:vertAlign w:val="superscript"/>
    </w:rPr>
  </w:style>
  <w:style w:type="character" w:customStyle="1" w:styleId="PrrafodelistaCar">
    <w:name w:val="Párrafo de lista Car"/>
    <w:aliases w:val="Box Text Car"/>
    <w:basedOn w:val="Fuentedeprrafopredeter"/>
    <w:link w:val="Prrafodelista"/>
    <w:uiPriority w:val="34"/>
    <w:rsid w:val="0046279D"/>
    <w:rPr>
      <w:rFonts w:ascii="Times New Roman" w:eastAsia="Times New Roman" w:hAnsi="Times New Roman" w:cs="Times New Roman"/>
      <w:lang w:val="es-419"/>
    </w:rPr>
  </w:style>
  <w:style w:type="character" w:styleId="Textoennegrita">
    <w:name w:val="Strong"/>
    <w:basedOn w:val="Fuentedeprrafopredeter"/>
    <w:uiPriority w:val="22"/>
    <w:qFormat/>
    <w:rsid w:val="00CA268F"/>
    <w:rPr>
      <w:b/>
      <w:bCs/>
    </w:rPr>
  </w:style>
  <w:style w:type="paragraph" w:customStyle="1" w:styleId="Normal0">
    <w:name w:val="@Normal"/>
    <w:link w:val="NormalChar"/>
    <w:rsid w:val="00061C12"/>
    <w:pPr>
      <w:widowControl/>
      <w:suppressAutoHyphens/>
    </w:pPr>
    <w:rPr>
      <w:rFonts w:eastAsia="SimSun"/>
      <w:sz w:val="24"/>
      <w:szCs w:val="20"/>
    </w:rPr>
  </w:style>
  <w:style w:type="character" w:customStyle="1" w:styleId="NormalChar">
    <w:name w:val="@Normal Char"/>
    <w:basedOn w:val="Fuentedeprrafopredeter"/>
    <w:link w:val="Normal0"/>
    <w:rsid w:val="00061C12"/>
    <w:rPr>
      <w:rFonts w:ascii="Times New Roman" w:eastAsia="SimSun" w:hAnsi="Times New Roman" w:cs="Times New Roman"/>
      <w:sz w:val="24"/>
      <w:szCs w:val="20"/>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ongreso.gob.gt/assets/uploads/info_legislativo/decretos/60be1-9-2021.pdf" TargetMode="External"/><Relationship Id="rId18" Type="http://schemas.openxmlformats.org/officeDocument/2006/relationships/hyperlink" Target="https://www.acnur.org/fileadmin/Documentos/BDL/2001/0242.pdf"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acnur.org/fileadmin/Documentos/BDL/2008/6728.pdf" TargetMode="External"/><Relationship Id="rId7" Type="http://schemas.openxmlformats.org/officeDocument/2006/relationships/endnotes" Target="endnotes.xml"/><Relationship Id="rId12" Type="http://schemas.openxmlformats.org/officeDocument/2006/relationships/hyperlink" Target="https://mem.gob.gt/wp-content/uploads/2021/09/4-SENTENCIA-FENIX-SEGUNDA-INSTANCIA.pdf" TargetMode="External"/><Relationship Id="rId17" Type="http://schemas.openxmlformats.org/officeDocument/2006/relationships/hyperlink" Target="https://igm.gob.gt/wp-content/uploads/2021/11/1_Codigo-de-Migracion-Decreto-44-2016-del-Congreso-de-la-Republica.pdf"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tse.org.gt/images/UECFFPP/leyes/lepp.pdf" TargetMode="External"/><Relationship Id="rId20" Type="http://schemas.openxmlformats.org/officeDocument/2006/relationships/hyperlink" Target="https://igm.gob.gt/retornados-2024/" TargetMode="External"/><Relationship Id="rId29"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ecretariaprivada.gob.gt/wp-content/uploads/2024/08/Comunicado-Acuerdo-Agrario-final.pdf" TargetMode="External"/><Relationship Id="rId24" Type="http://schemas.openxmlformats.org/officeDocument/2006/relationships/hyperlink" Target="https://nimajpu.org/sentencias/wp-content/uploads/2019/01/Sentencia-Educacion-Bilingue.pdf" TargetMode="External"/><Relationship Id="rId5" Type="http://schemas.openxmlformats.org/officeDocument/2006/relationships/webSettings" Target="webSettings.xml"/><Relationship Id="rId15" Type="http://schemas.openxmlformats.org/officeDocument/2006/relationships/hyperlink" Target="https://www.congreso.gob.gt/assets/uploads/info_legislativo/iniciativas/4a819-5965.pdf" TargetMode="External"/><Relationship Id="rId23" Type="http://schemas.openxmlformats.org/officeDocument/2006/relationships/hyperlink" Target="https://www.congreso.gob.gt/assets/uploads/info_legislativo/acuerdos/2004/gtagx0222004.pdf"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igm.gob.gt/retornados-2023/" TargetMode="External"/><Relationship Id="rId31"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it.gob.gt/download/10578/ley-general-de-telecomunicaciones-leyes-y-reglamentos/01WRXSS3WJJFXYOUDPV5G2UYPNWIFZNJQF/LEY%20GENERAL%20DE%20TELECOMUNICACIONES" TargetMode="External"/><Relationship Id="rId22" Type="http://schemas.openxmlformats.org/officeDocument/2006/relationships/hyperlink" Target="https://www.acnur.org/fileadmin/Documentos/BDL/2008/6731.pdf" TargetMode="External"/><Relationship Id="rId27" Type="http://schemas.openxmlformats.org/officeDocument/2006/relationships/fontTable" Target="fontTable.xml"/><Relationship Id="rId30"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13" Type="http://schemas.openxmlformats.org/officeDocument/2006/relationships/hyperlink" Target="https://www.plazapublica.com.gt/content/el-estor-las-secuelas-de-un-estado-de-sitio" TargetMode="External"/><Relationship Id="rId18" Type="http://schemas.openxmlformats.org/officeDocument/2006/relationships/hyperlink" Target="https://www.oas.org/es/cidh/docs/anual/2024/anexo/ia2024_redesca_es.pdf?utm_source=chatgpt.com" TargetMode="External"/><Relationship Id="rId26" Type="http://schemas.openxmlformats.org/officeDocument/2006/relationships/hyperlink" Target="http://oas.org/es/cidh/prensa/ConferenciaPrensa/2024/7_26_visita_in_loco_guatemala.pdf" TargetMode="External"/><Relationship Id="rId39" Type="http://schemas.openxmlformats.org/officeDocument/2006/relationships/hyperlink" Target="https://www.oas.org/es/cidh/informes/pdfs/2024/observaciones_preliminares_guatemala.pdf" TargetMode="External"/><Relationship Id="rId21" Type="http://schemas.openxmlformats.org/officeDocument/2006/relationships/hyperlink" Target="https://www.oas.org/es/cidh/docs/anual/2023/capitulos/IA2023_Cap_4B_Guatemala_SPA.PDF" TargetMode="External"/><Relationship Id="rId34" Type="http://schemas.openxmlformats.org/officeDocument/2006/relationships/hyperlink" Target="https://latamjournalismreview.org/es/articles/mientras-enfrentan-criminalizacion-y-persecucion-radios-comunitarias-de-centroamerica-luchan-por-reconocimiento-y-proteccion/" TargetMode="External"/><Relationship Id="rId42" Type="http://schemas.openxmlformats.org/officeDocument/2006/relationships/hyperlink" Target="https://guatemala.iom.int/es/news/oim-guatemala-presenta-proyecto-para-mejorar-los-servicios-de-reintegracion-para-retornados-guatemaltecos-con-el-apoyo-de-la-republica-de-corea" TargetMode="External"/><Relationship Id="rId47" Type="http://schemas.openxmlformats.org/officeDocument/2006/relationships/hyperlink" Target="https://www.unicef.org/lac/media/22251/file/EIB-AMERICA-LATINA-SPA.pdf?utm_source=chatgpt.com" TargetMode="External"/><Relationship Id="rId50" Type="http://schemas.openxmlformats.org/officeDocument/2006/relationships/hyperlink" Target="https://revistasinvestigacion.unmsm.edu.pe/index.php/lenguaysociedad/es/article/view/27507/21183" TargetMode="External"/><Relationship Id="rId55" Type="http://schemas.openxmlformats.org/officeDocument/2006/relationships/hyperlink" Target="https://www.oas.org/es/cidh/informes/pdfs/2024/observaciones_preliminares_guatemala.pdf" TargetMode="External"/><Relationship Id="rId7" Type="http://schemas.openxmlformats.org/officeDocument/2006/relationships/hyperlink" Target="https://www.oas.org/es/cidh/informes/pdfs/2024/observaciones_preliminares_guatemala.pdf" TargetMode="External"/><Relationship Id="rId2" Type="http://schemas.openxmlformats.org/officeDocument/2006/relationships/hyperlink" Target="https://collectifguatemala.org/-Le-Collectif-" TargetMode="External"/><Relationship Id="rId16" Type="http://schemas.openxmlformats.org/officeDocument/2006/relationships/hyperlink" Target="https://prensacomunitaria.org/2024/06/pnc-es-senalada-de-quemar-viviendas-y-cultivos-en-desalojo-de-comunidad-en-coban/?utm_source=chatgpt.com" TargetMode="External"/><Relationship Id="rId29" Type="http://schemas.openxmlformats.org/officeDocument/2006/relationships/hyperlink" Target="https://spcommreports.ohchr.org/TMResultsBase/DownLoadPublicCommunicationFile?gId=28519" TargetMode="External"/><Relationship Id="rId11" Type="http://schemas.openxmlformats.org/officeDocument/2006/relationships/hyperlink" Target="https://oas.org/es/cidh/docs/anual/2024/capitulos/IA2024_4A_ES.PDF" TargetMode="External"/><Relationship Id="rId24" Type="http://schemas.openxmlformats.org/officeDocument/2006/relationships/hyperlink" Target="https://oas.org/es/cidh/docs/anual/2024/capitulos/IA2024_4A_ES.PDF" TargetMode="External"/><Relationship Id="rId32" Type="http://schemas.openxmlformats.org/officeDocument/2006/relationships/hyperlink" Target="https://www.oas.org/es/cidh/informes/pdfs/2023/nortecentroamerica_medioambiente_es.pdf" TargetMode="External"/><Relationship Id="rId37" Type="http://schemas.openxmlformats.org/officeDocument/2006/relationships/hyperlink" Target="https://reliefweb.int/attachments/8aba458c-2d4b-4ddb-9718-f8b8e233591b/UNHCR%20in%20Guatemala%20%2831%20May%202024%29.pdf" TargetMode="External"/><Relationship Id="rId40" Type="http://schemas.openxmlformats.org/officeDocument/2006/relationships/hyperlink" Target="https://www.nrc.no/globalassets/pdf/reports/now-we-have-nothing-left/a-study-on-housing-land-and-property-of-displaced-indigenous-communities-in-guatemala.pdf" TargetMode="External"/><Relationship Id="rId45" Type="http://schemas.openxmlformats.org/officeDocument/2006/relationships/hyperlink" Target="https://debatesindigenas.org/2025/03/01/en-que-esta-la-educacion-bilingue-e-intercultural-en-guatemala/" TargetMode="External"/><Relationship Id="rId53" Type="http://schemas.openxmlformats.org/officeDocument/2006/relationships/hyperlink" Target="https://blogs.iadb.org/educacion/es/desafios-educativos-para-la-inclusion-de-los-pueblos-indigenas-una-mirada-a-guatemala/" TargetMode="External"/><Relationship Id="rId5" Type="http://schemas.openxmlformats.org/officeDocument/2006/relationships/hyperlink" Target="https://www.corteidh.or.cr/docs/casos/articulos/seriec_488_esp.pdf" TargetMode="External"/><Relationship Id="rId10" Type="http://schemas.openxmlformats.org/officeDocument/2006/relationships/hyperlink" Target="https://www.oas.org/es/cidh/docs/anual/2024/anexo/ia2024_redesca_es.pdf?utm_source=chatgpt.com" TargetMode="External"/><Relationship Id="rId19" Type="http://schemas.openxmlformats.org/officeDocument/2006/relationships/hyperlink" Target="https://www.oas.org/es/cidh/informes/pdfs/2024/observaciones_preliminares_guatemala.pdf" TargetMode="External"/><Relationship Id="rId31" Type="http://schemas.openxmlformats.org/officeDocument/2006/relationships/hyperlink" Target="https://articulo19.org/reporte-de-hallazgos-preliminares-sobre-mision-de-periodismo-comunitario-en-guatemala/" TargetMode="External"/><Relationship Id="rId44" Type="http://schemas.openxmlformats.org/officeDocument/2006/relationships/hyperlink" Target="https://www.plazapublica.com.gt/migracion/informacion/traduccion-de-las-imposiciones-de-trump-para-guatemala" TargetMode="External"/><Relationship Id="rId52" Type="http://schemas.openxmlformats.org/officeDocument/2006/relationships/hyperlink" Target="https://www.filac.org/america-latina-enfrenta-un-creciente-silenciamiento-de-las-lenguas-indigenas/" TargetMode="External"/><Relationship Id="rId4" Type="http://schemas.openxmlformats.org/officeDocument/2006/relationships/hyperlink" Target="https://www.oas.org/es/cidh/informes/pdfs/2024/observaciones_preliminares_guatemala.pdf" TargetMode="External"/><Relationship Id="rId9" Type="http://schemas.openxmlformats.org/officeDocument/2006/relationships/hyperlink" Target="https://lahora.gt/opinion/azapata/2024/02/14/acuerdo-agrario/?utm_source=chatgpt.com" TargetMode="External"/><Relationship Id="rId14" Type="http://schemas.openxmlformats.org/officeDocument/2006/relationships/hyperlink" Target="https://lac.landcoalition.org/es/noticias/stop-the-evictions-in-guatemala-for-effective-agrarian-agreement/" TargetMode="External"/><Relationship Id="rId22" Type="http://schemas.openxmlformats.org/officeDocument/2006/relationships/hyperlink" Target="https://prensacomunitaria.org/2024/11/laguna-larga-desplazada-y-en-pobreza-extrema-recibio-propuestas-de-tierras-en-peten-a-precios-impagables/" TargetMode="External"/><Relationship Id="rId27" Type="http://schemas.openxmlformats.org/officeDocument/2006/relationships/hyperlink" Target="https://www.oas.org/es/cidh/informes/pdfs/2024/observaciones_preliminares_guatemala.pdf" TargetMode="External"/><Relationship Id="rId30" Type="http://schemas.openxmlformats.org/officeDocument/2006/relationships/hyperlink" Target="https://spcommreports.ohchr.org/TMResultsBase/DownLoadPublicCommunicationFile?gId=28492" TargetMode="External"/><Relationship Id="rId35" Type="http://schemas.openxmlformats.org/officeDocument/2006/relationships/hyperlink" Target="https://latamjournalismreview.org/es/articles/radios-comunitarias-indigenas-de-guatemala-buscan-que-gobierno-acate-sentencia-emblematica-de-corte-idh/" TargetMode="External"/><Relationship Id="rId43" Type="http://schemas.openxmlformats.org/officeDocument/2006/relationships/hyperlink" Target="https://www.oas.org/es/cidh/informes/pdfs/2024/observaciones_preliminares_guatemala.pdf" TargetMode="External"/><Relationship Id="rId48" Type="http://schemas.openxmlformats.org/officeDocument/2006/relationships/hyperlink" Target="https://repositorio.cepal.org/server/api/core/bitstreams/7524240b-4380-454d-81d4-58d1caf499b8/content" TargetMode="External"/><Relationship Id="rId8" Type="http://schemas.openxmlformats.org/officeDocument/2006/relationships/hyperlink" Target="http://pbi-guatemala.org/sites/default/files/PBI_B45_web.pdf?utm_source=chatgpt.com" TargetMode="External"/><Relationship Id="rId51" Type="http://schemas.openxmlformats.org/officeDocument/2006/relationships/hyperlink" Target="https://blogs.iadb.org/educacion/es/desafios-educativos-para-la-inclusion-de-los-pueblos-indigenas-una-mirada-a-guatemala/" TargetMode="External"/><Relationship Id="rId3" Type="http://schemas.openxmlformats.org/officeDocument/2006/relationships/hyperlink" Target="https://www.oas.org/es/cidh/docs/anual/2023/capitulos/IA2023_Cap_4B_Guatemala_SPA.PDF" TargetMode="External"/><Relationship Id="rId12" Type="http://schemas.openxmlformats.org/officeDocument/2006/relationships/hyperlink" Target="https://oas.org/es/cidh/docs/anual/2024/capitulos/IA2024_4A_ES.PDF" TargetMode="External"/><Relationship Id="rId17" Type="http://schemas.openxmlformats.org/officeDocument/2006/relationships/hyperlink" Target="https://www.amnesty.org/es/documents/pol10/8515/2025/es/" TargetMode="External"/><Relationship Id="rId25" Type="http://schemas.openxmlformats.org/officeDocument/2006/relationships/hyperlink" Target="https://www.oas.org/es/cidh/docs/anual/2023/capitulos/IA2023_Cap_4B_Guatemala_SPA.PDF" TargetMode="External"/><Relationship Id="rId33" Type="http://schemas.openxmlformats.org/officeDocument/2006/relationships/hyperlink" Target="https://www.corteidh.or.cr/docs/casos/articulos/seriec_440_esp.pdf" TargetMode="External"/><Relationship Id="rId38" Type="http://schemas.openxmlformats.org/officeDocument/2006/relationships/hyperlink" Target="http://igm.gob.gt/wp-content/uploads/2023/12/FINAL-Politica-Migratoria-interiores-1_compressed.pdf" TargetMode="External"/><Relationship Id="rId46" Type="http://schemas.openxmlformats.org/officeDocument/2006/relationships/hyperlink" Target="https://debatesindigenas.org/2025/03/01/en-que-esta-la-educacion-bilingue-e-intercultural-en-guatemala/" TargetMode="External"/><Relationship Id="rId20" Type="http://schemas.openxmlformats.org/officeDocument/2006/relationships/hyperlink" Target="https://docs.un.org/es/A/HRC/39/17/Add.3" TargetMode="External"/><Relationship Id="rId41" Type="http://schemas.openxmlformats.org/officeDocument/2006/relationships/hyperlink" Target="https://www.oas.org/es/cidh/informes/pdfs/2024/observaciones_preliminares_guatemala.pdf" TargetMode="External"/><Relationship Id="rId54" Type="http://schemas.openxmlformats.org/officeDocument/2006/relationships/hyperlink" Target="http://canalantigua.tv/2024/01/18/8-idiomas-mayas-se-encuentran-en-peligro-de-desaparecer/" TargetMode="External"/><Relationship Id="rId1" Type="http://schemas.openxmlformats.org/officeDocument/2006/relationships/hyperlink" Target="https://iiresodh.org" TargetMode="External"/><Relationship Id="rId6" Type="http://schemas.openxmlformats.org/officeDocument/2006/relationships/hyperlink" Target="https://oas.org/es/cidh/docs/anual/2024/capitulos/IA2024_4A_ES.PDF" TargetMode="External"/><Relationship Id="rId15" Type="http://schemas.openxmlformats.org/officeDocument/2006/relationships/hyperlink" Target="https://prensacomunitaria.org/2024/05/48-familias-qeqchi-de-la-comunidad-buena-vista-fueron-desalojadas-de-forma-ilegal-en-el-estor/?utm_source=chatgpt.com" TargetMode="External"/><Relationship Id="rId23" Type="http://schemas.openxmlformats.org/officeDocument/2006/relationships/hyperlink" Target="https://www.oas.org/es/cidh/docs/anual/2023/capitulos/IA2023_Cap_4B_Guatemala_SPA.PDF" TargetMode="External"/><Relationship Id="rId28" Type="http://schemas.openxmlformats.org/officeDocument/2006/relationships/hyperlink" Target="https://www.dw.com/es/giammattei-dice-que-ya-no-tolerar%C3%A1-bloqueos-de-carreteras/a-67047736" TargetMode="External"/><Relationship Id="rId36" Type="http://schemas.openxmlformats.org/officeDocument/2006/relationships/hyperlink" Target="http://oas.org/es/cidh/prensa/ConferenciaPrensa/2024/7_26_visita_in_loco_guatemala.pdf" TargetMode="External"/><Relationship Id="rId49" Type="http://schemas.openxmlformats.org/officeDocument/2006/relationships/hyperlink" Target="https://blogs.iadb.org/educacion/es/desafios-educativos-para-la-inclusion-de-los-pueblos-indigenas-una-mirada-a-guatemala/"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3xJfRnc4ZikHYTVcyX3HVuZd/ww==">CgMxLjA4AHIhMTlkcXB1TzcyZW1uQXBvMmJSUTRFVmxoN1RLckNaN3hr</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c8f8178ef0ce6830f31a35732635f934">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0107690c0433c9f04b58edd5c7cf01f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2025-11-07T10:49:51+00:00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661F468-3054-46AC-95ED-39D7BC86C716}"/>
</file>

<file path=customXml/itemProps3.xml><?xml version="1.0" encoding="utf-8"?>
<ds:datastoreItem xmlns:ds="http://schemas.openxmlformats.org/officeDocument/2006/customXml" ds:itemID="{95812774-2BD5-4827-B1A5-E19D2CD6366E}"/>
</file>

<file path=customXml/itemProps4.xml><?xml version="1.0" encoding="utf-8"?>
<ds:datastoreItem xmlns:ds="http://schemas.openxmlformats.org/officeDocument/2006/customXml" ds:itemID="{15406BED-2CD3-414D-928E-74101811240D}"/>
</file>

<file path=docProps/app.xml><?xml version="1.0" encoding="utf-8"?>
<Properties xmlns="http://schemas.openxmlformats.org/officeDocument/2006/extended-properties" xmlns:vt="http://schemas.openxmlformats.org/officeDocument/2006/docPropsVTypes">
  <Template>Normal.dotm</Template>
  <TotalTime>90</TotalTime>
  <Pages>18</Pages>
  <Words>6224</Words>
  <Characters>34233</Characters>
  <Application>Microsoft Office Word</Application>
  <DocSecurity>0</DocSecurity>
  <Lines>285</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Bellanger</dc:creator>
  <cp:lastModifiedBy>Jessica Bellanger</cp:lastModifiedBy>
  <cp:revision>4</cp:revision>
  <dcterms:created xsi:type="dcterms:W3CDTF">2025-11-06T14:46:00Z</dcterms:created>
  <dcterms:modified xsi:type="dcterms:W3CDTF">2025-11-06T20:10:00Z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2024-10-02T00:00:00Z</vt:filetime>
  </property>
  <property fmtid="{D5CDD505-2E9C-101B-9397-08002B2CF9AE}" pid="3" name="Creator">
    <vt:lpwstr>Microsoft® Word pour Microsoft 365</vt:lpwstr>
  </property>
  <property fmtid="{D5CDD505-2E9C-101B-9397-08002B2CF9AE}" pid="4" name="LastSaved">
    <vt:filetime>2025-06-23T00:00:00Z</vt:filetime>
  </property>
  <property fmtid="{D5CDD505-2E9C-101B-9397-08002B2CF9AE}" pid="5" name="MSIP_Label_d5c20be7-c3a5-46e3-9158-fa8a02ce2395_ActionId">
    <vt:lpwstr>284582fc-e658-4b57-87af-e90597ee1ca5</vt:lpwstr>
  </property>
  <property fmtid="{D5CDD505-2E9C-101B-9397-08002B2CF9AE}" pid="6" name="MSIP_Label_d5c20be7-c3a5-46e3-9158-fa8a02ce2395_ContentBits">
    <vt:lpwstr>0</vt:lpwstr>
  </property>
  <property fmtid="{D5CDD505-2E9C-101B-9397-08002B2CF9AE}" pid="7" name="MSIP_Label_d5c20be7-c3a5-46e3-9158-fa8a02ce2395_Enabled">
    <vt:lpwstr>true</vt:lpwstr>
  </property>
  <property fmtid="{D5CDD505-2E9C-101B-9397-08002B2CF9AE}" pid="8" name="MSIP_Label_d5c20be7-c3a5-46e3-9158-fa8a02ce2395_Method">
    <vt:lpwstr>Standard</vt:lpwstr>
  </property>
  <property fmtid="{D5CDD505-2E9C-101B-9397-08002B2CF9AE}" pid="9" name="MSIP_Label_d5c20be7-c3a5-46e3-9158-fa8a02ce2395_Name">
    <vt:lpwstr>defa4170-0d19-0005-0004-bc88714345d2</vt:lpwstr>
  </property>
  <property fmtid="{D5CDD505-2E9C-101B-9397-08002B2CF9AE}" pid="10" name="MSIP_Label_d5c20be7-c3a5-46e3-9158-fa8a02ce2395_SetDate">
    <vt:lpwstr>2024-10-02T15:30:30Z</vt:lpwstr>
  </property>
  <property fmtid="{D5CDD505-2E9C-101B-9397-08002B2CF9AE}" pid="11" name="MSIP_Label_d5c20be7-c3a5-46e3-9158-fa8a02ce2395_SiteId">
    <vt:lpwstr>8c6f9078-037e-4261-a583-52a944e55f7f</vt:lpwstr>
  </property>
  <property fmtid="{D5CDD505-2E9C-101B-9397-08002B2CF9AE}" pid="12" name="Producer">
    <vt:lpwstr>Microsoft® Word pour Microsoft 365</vt:lpwstr>
  </property>
  <property fmtid="{D5CDD505-2E9C-101B-9397-08002B2CF9AE}" pid="13" name="ContentTypeId">
    <vt:lpwstr>0x0101001193CD93B399A24291B7775C5A053C9B</vt:lpwstr>
  </property>
</Properties>
</file>