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7777777" w:rsidR="00C05D9B" w:rsidRPr="004B1E4E" w:rsidRDefault="00C05D9B" w:rsidP="00626C39"/>
    <w:p w14:paraId="5E537D0D" w14:textId="59BD0801" w:rsidR="005403E3" w:rsidRPr="004B1E4E" w:rsidRDefault="005403E3" w:rsidP="002B1275">
      <w:pPr>
        <w:tabs>
          <w:tab w:val="left" w:pos="5370"/>
        </w:tabs>
      </w:pPr>
    </w:p>
    <w:p w14:paraId="5851E4F7" w14:textId="77777777" w:rsidR="00C060D0" w:rsidRDefault="00C060D0" w:rsidP="002B1275">
      <w:pPr>
        <w:pStyle w:val="TitlePageHeading"/>
        <w:spacing w:after="240"/>
      </w:pPr>
    </w:p>
    <w:p w14:paraId="4D1E27F2" w14:textId="56857121" w:rsidR="0083533E" w:rsidRDefault="00420B30" w:rsidP="002B1275">
      <w:pPr>
        <w:pStyle w:val="TitlePageHeading"/>
        <w:spacing w:after="240"/>
      </w:pPr>
      <w:r>
        <w:t>Malaysia’s</w:t>
      </w:r>
      <w:r w:rsidR="004B1E4E">
        <w:t xml:space="preserve"> Compliance with </w:t>
      </w:r>
      <w:r w:rsidR="00143468">
        <w:t>the Convention on the Rights of the Child</w:t>
      </w:r>
    </w:p>
    <w:p w14:paraId="43F13231" w14:textId="50421348" w:rsidR="004B1E4E" w:rsidRPr="003244CB" w:rsidRDefault="0083533E" w:rsidP="002B1275">
      <w:pPr>
        <w:pStyle w:val="TitlePageHeading"/>
        <w:spacing w:after="240"/>
      </w:pPr>
      <w:r>
        <w:t>Suggested List of Issues Relating to</w:t>
      </w:r>
      <w:r w:rsidR="00143468">
        <w:t xml:space="preserve"> 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pPr>
      <w:r w:rsidRPr="004B1E4E">
        <w:t>a non-governmental organization in special consultative status with ECOSOC</w:t>
      </w:r>
      <w:r w:rsidR="00624A10">
        <w:t xml:space="preserve"> since 1996</w:t>
      </w:r>
    </w:p>
    <w:p w14:paraId="4DE7519D" w14:textId="4B4D8ED9" w:rsidR="00C060D0" w:rsidRDefault="00C060D0" w:rsidP="002B1275">
      <w:pPr>
        <w:pStyle w:val="TitlePageSubheading"/>
        <w:spacing w:after="240"/>
      </w:pPr>
      <w:r>
        <w:rPr>
          <w:b/>
          <w:bCs/>
        </w:rPr>
        <w:t>Anti-Death Penalty Asia Network</w:t>
      </w:r>
    </w:p>
    <w:p w14:paraId="3C49B5F6" w14:textId="0FFF8411" w:rsidR="00C060D0" w:rsidRDefault="00C060D0" w:rsidP="002B1275">
      <w:pPr>
        <w:pStyle w:val="TitlePageSubheading"/>
        <w:spacing w:after="240"/>
      </w:pPr>
      <w:r>
        <w:t>and</w:t>
      </w:r>
    </w:p>
    <w:p w14:paraId="661BDCCF" w14:textId="21745D64" w:rsidR="00C060D0" w:rsidRPr="00C060D0" w:rsidRDefault="00C060D0" w:rsidP="002B1275">
      <w:pPr>
        <w:pStyle w:val="TitlePageSubheading"/>
        <w:spacing w:after="240"/>
        <w:rPr>
          <w:b/>
          <w:bCs/>
        </w:rPr>
      </w:pPr>
      <w:r>
        <w:rPr>
          <w:b/>
          <w:bCs/>
        </w:rPr>
        <w:t>The World Coalition Against the Death Penalty</w:t>
      </w:r>
    </w:p>
    <w:p w14:paraId="317EE37A" w14:textId="77777777" w:rsidR="00457425" w:rsidRDefault="004B1E4E" w:rsidP="003244CB">
      <w:pPr>
        <w:pStyle w:val="TitlePageHeading"/>
      </w:pPr>
      <w:r w:rsidRPr="00CA5CC2">
        <w:t xml:space="preserve">for the </w:t>
      </w:r>
      <w:r w:rsidR="00420B30">
        <w:t>100th</w:t>
      </w:r>
      <w:r w:rsidRPr="00CA5CC2">
        <w:t xml:space="preserve"> Session of the </w:t>
      </w:r>
      <w:r w:rsidR="00420B30">
        <w:t>Committee on the Rights of the Child</w:t>
      </w:r>
      <w:r w:rsidR="00457425">
        <w:t xml:space="preserve"> </w:t>
      </w:r>
    </w:p>
    <w:p w14:paraId="24E688AE" w14:textId="04F476D1" w:rsidR="004B1E4E" w:rsidRPr="00CA5CC2" w:rsidRDefault="00457425" w:rsidP="003244CB">
      <w:pPr>
        <w:pStyle w:val="TitlePageHeading"/>
      </w:pPr>
      <w:r>
        <w:t>(Pre-Sessional Working Group)</w:t>
      </w:r>
    </w:p>
    <w:p w14:paraId="3B163C2D" w14:textId="4EC17CBC" w:rsidR="004B1E4E" w:rsidRDefault="00457425" w:rsidP="002B1275">
      <w:pPr>
        <w:pStyle w:val="TitlePageHeading"/>
        <w:spacing w:after="240"/>
      </w:pPr>
      <w:r>
        <w:t>3</w:t>
      </w:r>
      <w:r w:rsidR="004B1E4E" w:rsidRPr="00CA5CC2">
        <w:t>–</w:t>
      </w:r>
      <w:r>
        <w:t>7 February 2025</w:t>
      </w:r>
    </w:p>
    <w:p w14:paraId="3D93E372" w14:textId="1D8A6572" w:rsidR="00C214BA" w:rsidRPr="00CA5CC2" w:rsidRDefault="00C214BA" w:rsidP="002B1275">
      <w:pPr>
        <w:pStyle w:val="TitlePageHeading"/>
        <w:spacing w:after="240"/>
      </w:pPr>
      <w:r>
        <w:t xml:space="preserve">Submitted </w:t>
      </w:r>
      <w:r w:rsidR="00143468">
        <w:t>1 November 2024</w:t>
      </w:r>
    </w:p>
    <w:p w14:paraId="360C507E" w14:textId="0C37D736" w:rsidR="00FB03FB" w:rsidRDefault="00FB03FB" w:rsidP="00A33120">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A30F1CB" w14:textId="77777777" w:rsidR="00D37987" w:rsidRPr="0024008A" w:rsidRDefault="00D37987" w:rsidP="00D37987">
      <w:pPr>
        <w:spacing w:after="240"/>
        <w:jc w:val="both"/>
      </w:pPr>
      <w:r w:rsidRPr="0024008A">
        <w:rPr>
          <w:b/>
          <w:bCs/>
        </w:rPr>
        <w:t>Anti Death Penalty Asia Network</w:t>
      </w:r>
      <w:r w:rsidRPr="0024008A">
        <w:t xml:space="preserve"> (ADPAN) is the peak regional body for organisations committed to the abolition of the death penalty across Asia-Pacific, with members from 20 countries within the region. As such, ADPAN maintains that the death penalty violates the right to life, that it is the ultimate form of cruel, inhuman, and degrading punishment and that the death penalty should be entirely abolished internationally.</w:t>
      </w:r>
    </w:p>
    <w:p w14:paraId="0AC71197" w14:textId="3513E611" w:rsidR="00A33120" w:rsidRDefault="00FA6745" w:rsidP="00D37987">
      <w:pPr>
        <w:pStyle w:val="AuthorDescriptiontext"/>
        <w:rPr>
          <w:b/>
          <w:caps/>
        </w:rPr>
      </w:pPr>
      <w:r w:rsidRPr="00CC5CB8">
        <w:rPr>
          <w:b/>
          <w:bCs/>
        </w:rPr>
        <w:t>The World Coalition Against the Death Penalty (WCADP),</w:t>
      </w:r>
      <w:r w:rsidRPr="00D071EE">
        <w:t xml:space="preserve">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00A33120">
        <w:br w:type="page"/>
      </w:r>
    </w:p>
    <w:p w14:paraId="75B00959" w14:textId="4C2054F2" w:rsidR="008F2F99" w:rsidRDefault="009E2E8E" w:rsidP="00C05D23">
      <w:pPr>
        <w:pStyle w:val="SectionSummary"/>
      </w:pPr>
      <w:r>
        <w:lastRenderedPageBreak/>
        <w:t>Malaysia</w:t>
      </w:r>
      <w:r w:rsidR="008F2F99" w:rsidRPr="008F2F99">
        <w:t xml:space="preserve"> fails to uphold its obligations under the </w:t>
      </w:r>
      <w:r>
        <w:t>Convention on the Rights of the Child</w:t>
      </w:r>
    </w:p>
    <w:p w14:paraId="51BE79E2" w14:textId="475F57A3" w:rsidR="004E150B" w:rsidRPr="008F2F99" w:rsidRDefault="001E1387" w:rsidP="00C05D23">
      <w:pPr>
        <w:pStyle w:val="Paragraph"/>
      </w:pPr>
      <w:r>
        <w:t xml:space="preserve">In 2023, Malaysia abolished </w:t>
      </w:r>
      <w:r w:rsidR="00DD4316">
        <w:t xml:space="preserve">both </w:t>
      </w:r>
      <w:r>
        <w:t>the mandatory death penalty</w:t>
      </w:r>
      <w:r w:rsidR="00DD4316">
        <w:t xml:space="preserve"> a</w:t>
      </w:r>
      <w:r w:rsidR="006066C7">
        <w:t>s well as</w:t>
      </w:r>
      <w:r w:rsidR="00DD4316">
        <w:t xml:space="preserve"> the discretionary death penalty for 21 offenses.</w:t>
      </w:r>
      <w:r w:rsidR="00016883">
        <w:rPr>
          <w:rStyle w:val="FootnoteReference"/>
        </w:rPr>
        <w:footnoteReference w:id="2"/>
      </w:r>
      <w:r>
        <w:t xml:space="preserve"> </w:t>
      </w:r>
      <w:r w:rsidR="004263EF">
        <w:t>The death penalty remains an available but discretionary sentence for 15 offenses, including murder, drug trafficking, terrorism-related offenses, and treason.</w:t>
      </w:r>
      <w:r w:rsidR="00905585">
        <w:rPr>
          <w:rStyle w:val="FootnoteReference"/>
        </w:rPr>
        <w:footnoteReference w:id="3"/>
      </w:r>
      <w:r w:rsidR="001E6F6F">
        <w:t xml:space="preserve"> Although </w:t>
      </w:r>
      <w:r w:rsidR="003E0AAE">
        <w:t xml:space="preserve">the Child Act </w:t>
      </w:r>
      <w:r w:rsidR="001E6F6F">
        <w:t xml:space="preserve">prohibits courts from sentencing </w:t>
      </w:r>
      <w:r w:rsidR="00E927AF">
        <w:t xml:space="preserve">any person </w:t>
      </w:r>
      <w:r w:rsidR="001E6F6F">
        <w:t xml:space="preserve">to death for </w:t>
      </w:r>
      <w:r w:rsidR="00E927AF">
        <w:t xml:space="preserve">an offense committed when the person was a child, </w:t>
      </w:r>
      <w:r w:rsidR="003D52CD">
        <w:t>the law authorizes indefinite detention of such persons at the pleasure of His Majesty</w:t>
      </w:r>
      <w:r w:rsidR="00E9476C">
        <w:t xml:space="preserve"> if a court finds that they have committed what would otherwise be a death-eligible offense</w:t>
      </w:r>
      <w:r w:rsidR="003D52CD">
        <w:t>.</w:t>
      </w:r>
      <w:r w:rsidR="003D52CD">
        <w:rPr>
          <w:rStyle w:val="FootnoteReference"/>
        </w:rPr>
        <w:footnoteReference w:id="4"/>
      </w:r>
      <w:r w:rsidR="00152E2E">
        <w:t xml:space="preserve"> 2023 resentencing laws do not appear to benefit these individuals.</w:t>
      </w:r>
      <w:r w:rsidR="003E0AAE">
        <w:t xml:space="preserve"> Moreover, juvenile offenders and children in conflict with the law who stand trial before the High Court </w:t>
      </w:r>
      <w:r w:rsidR="00172C2C">
        <w:t>may</w:t>
      </w:r>
      <w:r w:rsidR="003E0AAE">
        <w:t xml:space="preserve"> not enjoy the procedural safeguards available </w:t>
      </w:r>
      <w:r w:rsidR="000F0132">
        <w:t xml:space="preserve">in Courts For Children </w:t>
      </w:r>
      <w:r w:rsidR="003E0AAE">
        <w:t xml:space="preserve">under the Child Act. </w:t>
      </w:r>
      <w:r w:rsidR="00172C2C">
        <w:t>There is a possibility that juvenile offenders could still be sentenced to death for certain security-related and terrorism-related offenses.</w:t>
      </w:r>
    </w:p>
    <w:p w14:paraId="71FF20C1" w14:textId="424925EA" w:rsidR="004B1E4E" w:rsidRDefault="00C60201" w:rsidP="00C05D23">
      <w:pPr>
        <w:pStyle w:val="SectionHeading"/>
      </w:pPr>
      <w:r>
        <w:t xml:space="preserve">Children in conflict with the law face indefinite detention. </w:t>
      </w:r>
    </w:p>
    <w:p w14:paraId="639881D3" w14:textId="7EE132DA" w:rsidR="00757A1C" w:rsidRDefault="009E1D21" w:rsidP="00C05D23">
      <w:pPr>
        <w:pStyle w:val="Paragraph"/>
      </w:pPr>
      <w:r>
        <w:t xml:space="preserve">Malaysia’s combined second to fourth periodic report </w:t>
      </w:r>
      <w:r w:rsidR="006864CD">
        <w:t>outlines various laws, policies, and procedures in place for children in conflict with the law.</w:t>
      </w:r>
      <w:r w:rsidR="002B3C98">
        <w:rPr>
          <w:rStyle w:val="FootnoteReference"/>
        </w:rPr>
        <w:footnoteReference w:id="5"/>
      </w:r>
      <w:r>
        <w:t xml:space="preserve"> </w:t>
      </w:r>
      <w:r w:rsidR="00AF79FE">
        <w:t xml:space="preserve">A table in the annex states that in 2018 (the most recent year for which Malaysia has provided data), police arrested </w:t>
      </w:r>
      <w:r w:rsidR="00751E95">
        <w:t>6,</w:t>
      </w:r>
      <w:r w:rsidR="00F62341">
        <w:t>813</w:t>
      </w:r>
      <w:r w:rsidR="00AF79FE">
        <w:t xml:space="preserve"> people under the age of 18 due to an alleged conflict with the law</w:t>
      </w:r>
      <w:r w:rsidR="00F62341">
        <w:t>.</w:t>
      </w:r>
      <w:r w:rsidR="00751E95">
        <w:rPr>
          <w:rStyle w:val="FootnoteReference"/>
        </w:rPr>
        <w:footnoteReference w:id="6"/>
      </w:r>
      <w:r w:rsidR="00F62341">
        <w:t xml:space="preserve"> </w:t>
      </w:r>
      <w:r w:rsidR="0028700A">
        <w:t>Also in 2018, courts had found 1,325 children guilty of an offense and sentenced them to detention.</w:t>
      </w:r>
      <w:r w:rsidR="0028700A">
        <w:rPr>
          <w:rStyle w:val="FootnoteReference"/>
        </w:rPr>
        <w:footnoteReference w:id="7"/>
      </w:r>
      <w:r w:rsidR="00707AD9">
        <w:t xml:space="preserve"> Of those children, courts sentenced 289 to </w:t>
      </w:r>
      <w:r w:rsidR="00C82BA5">
        <w:t xml:space="preserve">prison and </w:t>
      </w:r>
      <w:r w:rsidR="004F727A">
        <w:t xml:space="preserve">336 </w:t>
      </w:r>
      <w:r w:rsidR="00C82BA5">
        <w:t>to “Henry Gurney Schools.”</w:t>
      </w:r>
      <w:r w:rsidR="00C82BA5">
        <w:rPr>
          <w:rStyle w:val="FootnoteReference"/>
        </w:rPr>
        <w:footnoteReference w:id="8"/>
      </w:r>
      <w:r w:rsidR="00C82BA5">
        <w:t xml:space="preserve"> Prison terms ranged from less than one year (</w:t>
      </w:r>
      <w:r w:rsidR="008F7F26">
        <w:t xml:space="preserve">1 child) to 5-6 years (1 child), with the majority </w:t>
      </w:r>
      <w:r w:rsidR="00E81683">
        <w:t xml:space="preserve">(240 children) </w:t>
      </w:r>
      <w:r w:rsidR="008F7F26">
        <w:t>sentenced to prison for 1-2 years</w:t>
      </w:r>
      <w:r w:rsidR="00E81683">
        <w:t>.</w:t>
      </w:r>
      <w:r w:rsidR="00E81683">
        <w:rPr>
          <w:rStyle w:val="FootnoteReference"/>
        </w:rPr>
        <w:footnoteReference w:id="9"/>
      </w:r>
      <w:r w:rsidR="002C328B">
        <w:t xml:space="preserve"> The number of children sentenced to prison in 2018 was the highest</w:t>
      </w:r>
      <w:r w:rsidR="00100F8B">
        <w:t xml:space="preserve"> for any year for which the Ministry of Home Affairs provided information.</w:t>
      </w:r>
      <w:r w:rsidR="00100F8B" w:rsidRPr="00100F8B">
        <w:rPr>
          <w:rStyle w:val="FootnoteReference"/>
        </w:rPr>
        <w:t xml:space="preserve"> </w:t>
      </w:r>
      <w:r w:rsidR="00100F8B">
        <w:rPr>
          <w:rStyle w:val="FootnoteReference"/>
        </w:rPr>
        <w:footnoteReference w:id="10"/>
      </w:r>
      <w:r w:rsidR="0028700A">
        <w:t xml:space="preserve"> </w:t>
      </w:r>
    </w:p>
    <w:p w14:paraId="3F91BFAF" w14:textId="09F8B83D" w:rsidR="00C60201" w:rsidRPr="007A23AF" w:rsidRDefault="00A210DC" w:rsidP="00C05D23">
      <w:pPr>
        <w:pStyle w:val="Paragraph"/>
      </w:pPr>
      <w:r>
        <w:lastRenderedPageBreak/>
        <w:t>This information, in addition to being outdated, ignores provisions authorizing indefinite detention of juvenile offenders as an alternative to the death penalty.</w:t>
      </w:r>
      <w:r w:rsidR="00817B3D">
        <w:rPr>
          <w:rStyle w:val="FootnoteReference"/>
        </w:rPr>
        <w:footnoteReference w:id="11"/>
      </w:r>
      <w:r w:rsidR="009753A7">
        <w:t xml:space="preserve"> </w:t>
      </w:r>
      <w:r w:rsidR="00C948F8">
        <w:t>Section 97(1) of t</w:t>
      </w:r>
      <w:r w:rsidR="009753A7">
        <w:t xml:space="preserve">he Child Act </w:t>
      </w:r>
      <w:r w:rsidR="002D30BB">
        <w:t xml:space="preserve">purports to prohibit </w:t>
      </w:r>
      <w:r w:rsidR="009753A7">
        <w:t>courts from sentencing juvenile offenders to death</w:t>
      </w:r>
      <w:r w:rsidR="00545136">
        <w:t>,</w:t>
      </w:r>
      <w:r w:rsidR="00545136">
        <w:rPr>
          <w:rStyle w:val="FootnoteReference"/>
        </w:rPr>
        <w:footnoteReference w:id="12"/>
      </w:r>
      <w:r w:rsidR="00545136">
        <w:t xml:space="preserve"> </w:t>
      </w:r>
      <w:r w:rsidR="002D30BB">
        <w:t xml:space="preserve">stating that </w:t>
      </w:r>
      <w:r w:rsidR="00825654">
        <w:t>“[a] sentence of death shall not be pronounced or recorded against a person convicted of an offence if it appears to the Court that at the time when the offence was committed he was a child.”</w:t>
      </w:r>
      <w:r w:rsidR="00825654">
        <w:rPr>
          <w:rStyle w:val="FootnoteReference"/>
        </w:rPr>
        <w:footnoteReference w:id="13"/>
      </w:r>
      <w:r w:rsidR="00777B42">
        <w:t xml:space="preserve"> Section 97(2) of  the Child Act</w:t>
      </w:r>
      <w:r w:rsidR="00795B4F">
        <w:t xml:space="preserve"> requires the sentencing court, “[i]n lieu of a sentence of death,” to order that the juvenile offender “be detained in a prison during the pleasure of—(a) the Yang di-Pertuan Agong if the offence was committed in the Federal Territory of Kuala Lumpur or the Federal Territory of Labuan; or (b) the Ruler or the Yang di-Pertua Negeri, if the offence was committed in the State.”</w:t>
      </w:r>
      <w:r w:rsidR="00ED4ABA">
        <w:rPr>
          <w:rStyle w:val="FootnoteReference"/>
        </w:rPr>
        <w:footnoteReference w:id="14"/>
      </w:r>
      <w:r w:rsidR="004A4F8F">
        <w:t xml:space="preserve"> Section 97(3) sets forth </w:t>
      </w:r>
      <w:r w:rsidR="0006353C">
        <w:t xml:space="preserve">that the Yang di-Pertuan Agong, the Ruler, or the Yang di-Pertua Negeri has the authority to direct both </w:t>
      </w:r>
      <w:r w:rsidR="00097DE9">
        <w:t>the specific prison where the juvenile offender is detained as well as the conditions of that detention.</w:t>
      </w:r>
      <w:r w:rsidR="00097DE9">
        <w:rPr>
          <w:rStyle w:val="FootnoteReference"/>
        </w:rPr>
        <w:footnoteReference w:id="15"/>
      </w:r>
      <w:r w:rsidR="00103E75">
        <w:t xml:space="preserve"> The </w:t>
      </w:r>
      <w:r w:rsidR="00D018BC">
        <w:t xml:space="preserve">prison’s </w:t>
      </w:r>
      <w:r w:rsidR="00103E75">
        <w:t>Board of Visiting Justices must review the juvenile offender’s case on an annual basis and m</w:t>
      </w:r>
      <w:r w:rsidR="004E7D5B">
        <w:t>ay recommend the juvenile offender’s “early release or further detention,” but the Yang di-Pertuan Agong, the Ruler, or the Yang di-Pertua Negeri</w:t>
      </w:r>
      <w:r w:rsidR="003B20E1">
        <w:t xml:space="preserve"> has absolute discretion to implement or ignore that recommendation.</w:t>
      </w:r>
      <w:r w:rsidR="003B20E1">
        <w:rPr>
          <w:rStyle w:val="FootnoteReference"/>
        </w:rPr>
        <w:footnoteReference w:id="16"/>
      </w:r>
    </w:p>
    <w:p w14:paraId="53F06C3E" w14:textId="37F88366" w:rsidR="004B1E4E" w:rsidRPr="004B1E4E" w:rsidRDefault="009F28BD" w:rsidP="00646DE9">
      <w:pPr>
        <w:pStyle w:val="SectionHeading"/>
      </w:pPr>
      <w:r>
        <w:t xml:space="preserve">Procedural protections </w:t>
      </w:r>
      <w:r w:rsidR="003F1092">
        <w:t>may</w:t>
      </w:r>
      <w:r>
        <w:t xml:space="preserve"> not apply to children in conflict with the law </w:t>
      </w:r>
      <w:r w:rsidR="008A008D">
        <w:t>charged with offenses that would otherwise be subject to the death penalty</w:t>
      </w:r>
      <w:r w:rsidR="006909FA">
        <w:t>.</w:t>
      </w:r>
    </w:p>
    <w:p w14:paraId="095109B8" w14:textId="6B20971F" w:rsidR="00F70DC2" w:rsidRDefault="006909FA" w:rsidP="006874D7">
      <w:pPr>
        <w:pStyle w:val="Paragraph"/>
      </w:pPr>
      <w:r>
        <w:t xml:space="preserve">The special protections for children in conflict with the law </w:t>
      </w:r>
      <w:r w:rsidR="00FD748F">
        <w:t xml:space="preserve">set out in </w:t>
      </w:r>
      <w:r>
        <w:t xml:space="preserve">Malaysia’s combined second to fourth periodic report </w:t>
      </w:r>
      <w:r w:rsidR="00FD748F">
        <w:t>regarding arrest, detention</w:t>
      </w:r>
      <w:r w:rsidR="00F37EA8">
        <w:t>,</w:t>
      </w:r>
      <w:r w:rsidR="00FD748F">
        <w:t xml:space="preserve"> trial, and sentencing</w:t>
      </w:r>
      <w:r w:rsidR="007A00AF">
        <w:rPr>
          <w:rStyle w:val="FootnoteReference"/>
        </w:rPr>
        <w:footnoteReference w:id="17"/>
      </w:r>
      <w:r w:rsidR="00FD748F">
        <w:t xml:space="preserve"> </w:t>
      </w:r>
      <w:r w:rsidR="00F40053">
        <w:t xml:space="preserve">might </w:t>
      </w:r>
      <w:r w:rsidR="00FD748F">
        <w:t>not apply when the case is before the High Court</w:t>
      </w:r>
      <w:r>
        <w:t>.</w:t>
      </w:r>
      <w:r w:rsidR="007A00AF">
        <w:rPr>
          <w:rStyle w:val="FootnoteReference"/>
        </w:rPr>
        <w:footnoteReference w:id="18"/>
      </w:r>
      <w:r w:rsidR="00955020">
        <w:t xml:space="preserve"> </w:t>
      </w:r>
      <w:r w:rsidR="00F40053">
        <w:t>The Child Act does not exp</w:t>
      </w:r>
      <w:r w:rsidR="00AB3ABB">
        <w:t xml:space="preserve">licitly provide that special protections for children at all stages of the legal process (arrest, detention, trial, and sentencing) </w:t>
      </w:r>
      <w:r w:rsidR="00953CC5">
        <w:t xml:space="preserve">apply regardless of whether a case is before the High Court or the Court For Children. </w:t>
      </w:r>
      <w:r w:rsidR="004F2A17">
        <w:t>Section 11(5)</w:t>
      </w:r>
      <w:r w:rsidR="006346D2">
        <w:t xml:space="preserve"> of the Child Act</w:t>
      </w:r>
      <w:r w:rsidR="004F2A17">
        <w:t xml:space="preserve"> states that “[a] Court For Children shall have jurisdiction to try all offences except offences punishable with death.”</w:t>
      </w:r>
      <w:r w:rsidR="00062296">
        <w:rPr>
          <w:rStyle w:val="FootnoteReference"/>
        </w:rPr>
        <w:footnoteReference w:id="19"/>
      </w:r>
      <w:r w:rsidR="00E71E01">
        <w:t xml:space="preserve"> </w:t>
      </w:r>
      <w:r w:rsidR="00DB732D">
        <w:t xml:space="preserve">The </w:t>
      </w:r>
      <w:r w:rsidR="00DB732D">
        <w:lastRenderedPageBreak/>
        <w:t>High Court hears capital cases.</w:t>
      </w:r>
      <w:r w:rsidR="00DB732D">
        <w:rPr>
          <w:rStyle w:val="FootnoteReference"/>
        </w:rPr>
        <w:footnoteReference w:id="20"/>
      </w:r>
      <w:r w:rsidR="00DB732D">
        <w:t xml:space="preserve"> </w:t>
      </w:r>
      <w:r w:rsidR="002B7625">
        <w:t xml:space="preserve">Moreover, Section </w:t>
      </w:r>
      <w:r w:rsidR="00955020">
        <w:t xml:space="preserve">117 of the Child Act </w:t>
      </w:r>
      <w:r w:rsidR="00C90D0B">
        <w:t>states that nothing in the act other than the above-described provisions in Article 97 and provisio</w:t>
      </w:r>
      <w:r w:rsidR="00311D91">
        <w:t>ns</w:t>
      </w:r>
      <w:r w:rsidR="00C90D0B">
        <w:t xml:space="preserve"> prohibiting </w:t>
      </w:r>
      <w:r w:rsidR="00675BFE">
        <w:t xml:space="preserve">penalties of </w:t>
      </w:r>
      <w:r w:rsidR="00311D91">
        <w:t>fines and imprisonment for any child under the age of 14 years,</w:t>
      </w:r>
      <w:r w:rsidR="00311D91">
        <w:rPr>
          <w:rStyle w:val="FootnoteReference"/>
        </w:rPr>
        <w:footnoteReference w:id="21"/>
      </w:r>
      <w:r w:rsidR="00C90D0B">
        <w:t xml:space="preserve"> “shall affect the powers of the High Court</w:t>
      </w:r>
      <w:r w:rsidR="002B7625">
        <w:t>,</w:t>
      </w:r>
      <w:r w:rsidR="00C90D0B">
        <w:t>”</w:t>
      </w:r>
      <w:r w:rsidR="00C90D0B">
        <w:rPr>
          <w:rStyle w:val="FootnoteReference"/>
        </w:rPr>
        <w:footnoteReference w:id="22"/>
      </w:r>
      <w:r w:rsidR="002B7625">
        <w:t xml:space="preserve"> suggesting that the Child Act does not modify any of the High Court’s procedures.</w:t>
      </w:r>
      <w:r w:rsidR="004B0705">
        <w:t xml:space="preserve"> Moreover, </w:t>
      </w:r>
      <w:r w:rsidR="003F1DA2">
        <w:t xml:space="preserve">if a case originates in </w:t>
      </w:r>
      <w:r w:rsidR="00853FBB">
        <w:t xml:space="preserve">a </w:t>
      </w:r>
      <w:r w:rsidR="003F1DA2">
        <w:t xml:space="preserve">Court </w:t>
      </w:r>
      <w:r w:rsidR="00853FBB">
        <w:t>F</w:t>
      </w:r>
      <w:r w:rsidR="003F1DA2">
        <w:t xml:space="preserve">or Children, </w:t>
      </w:r>
      <w:r w:rsidR="004B0705">
        <w:t xml:space="preserve">the </w:t>
      </w:r>
      <w:r w:rsidR="008F5BAB">
        <w:t xml:space="preserve">Public Prosecutor may appeal any finding or order of </w:t>
      </w:r>
      <w:r w:rsidR="003F1DA2">
        <w:t xml:space="preserve">that court </w:t>
      </w:r>
      <w:r w:rsidR="008F5BAB">
        <w:t>to the High Court</w:t>
      </w:r>
      <w:r w:rsidR="00921829">
        <w:t xml:space="preserve">, where </w:t>
      </w:r>
      <w:r w:rsidR="00853FBB">
        <w:t xml:space="preserve">procedural protections </w:t>
      </w:r>
      <w:r w:rsidR="00EB36DC">
        <w:t xml:space="preserve">for children in conflict with the law and juvenile offenders </w:t>
      </w:r>
      <w:r w:rsidR="00853FBB">
        <w:t xml:space="preserve">do not </w:t>
      </w:r>
      <w:r w:rsidR="006D369B">
        <w:t xml:space="preserve">seem to </w:t>
      </w:r>
      <w:r w:rsidR="00853FBB">
        <w:t>exist.</w:t>
      </w:r>
      <w:r w:rsidR="003F1DA2">
        <w:rPr>
          <w:rStyle w:val="FootnoteReference"/>
        </w:rPr>
        <w:footnoteReference w:id="23"/>
      </w:r>
      <w:r w:rsidR="006874D7">
        <w:t xml:space="preserve"> Similarly, the Child Act does not apply to a child “charged with an adult.”</w:t>
      </w:r>
      <w:r w:rsidR="00B50290">
        <w:rPr>
          <w:rStyle w:val="FootnoteReference"/>
        </w:rPr>
        <w:footnoteReference w:id="24"/>
      </w:r>
    </w:p>
    <w:p w14:paraId="113D41D7" w14:textId="32AD7EF8" w:rsidR="0058065A" w:rsidRDefault="0058065A" w:rsidP="006874D7">
      <w:pPr>
        <w:pStyle w:val="Paragraph"/>
      </w:pPr>
      <w:r>
        <w:t xml:space="preserve">Lawmakers should amend the Child Act to state </w:t>
      </w:r>
      <w:r w:rsidR="003A42C8">
        <w:t xml:space="preserve">explicitly </w:t>
      </w:r>
      <w:r>
        <w:t xml:space="preserve">that </w:t>
      </w:r>
      <w:r w:rsidR="00E877F7">
        <w:t>these safeguards apply to all children and juvenile offenders in conflict with the law, whether in the Court For Children or any other court, including the High Court.</w:t>
      </w:r>
    </w:p>
    <w:p w14:paraId="18080B13" w14:textId="4E92D381" w:rsidR="00866F06" w:rsidRDefault="00866F06" w:rsidP="00262845">
      <w:pPr>
        <w:pStyle w:val="SectionHeading"/>
      </w:pPr>
      <w:r>
        <w:t xml:space="preserve">Children </w:t>
      </w:r>
      <w:r w:rsidR="008B7DA8">
        <w:t xml:space="preserve">tried </w:t>
      </w:r>
      <w:r w:rsidR="0058472A">
        <w:t xml:space="preserve">before the High Court </w:t>
      </w:r>
      <w:r w:rsidR="00EB36DC">
        <w:t xml:space="preserve">under Article 97 of the Child Act </w:t>
      </w:r>
      <w:r w:rsidR="008B7DA8">
        <w:t xml:space="preserve">prior to 2023 amendments restricting </w:t>
      </w:r>
      <w:r w:rsidR="002B7CB2">
        <w:t xml:space="preserve">the scope </w:t>
      </w:r>
      <w:r w:rsidR="008B7DA8">
        <w:t xml:space="preserve">of the death penalty </w:t>
      </w:r>
      <w:r w:rsidR="00F109CB">
        <w:t>seem to be</w:t>
      </w:r>
      <w:r w:rsidR="006175E3">
        <w:t xml:space="preserve"> </w:t>
      </w:r>
      <w:r w:rsidR="002B7CB2">
        <w:t>ineligible for resentencing.</w:t>
      </w:r>
    </w:p>
    <w:p w14:paraId="7F3F1344" w14:textId="033830BB" w:rsidR="007F33C7" w:rsidRDefault="00EF29BE" w:rsidP="007F33C7">
      <w:pPr>
        <w:pStyle w:val="Paragraph"/>
        <w:ind w:left="360"/>
      </w:pPr>
      <w:r>
        <w:t xml:space="preserve">Malaysia’s </w:t>
      </w:r>
      <w:r w:rsidR="00CE7046">
        <w:t xml:space="preserve">2023 </w:t>
      </w:r>
      <w:r w:rsidR="00E92552">
        <w:t xml:space="preserve">Resentencing Act, formally known as the </w:t>
      </w:r>
      <w:r w:rsidR="00371515">
        <w:t>Revision of Sentence of Death and Imprisonment for Natural Life (Tempo</w:t>
      </w:r>
      <w:r w:rsidR="004C5570">
        <w:t>r</w:t>
      </w:r>
      <w:r w:rsidR="00371515">
        <w:t xml:space="preserve">ary Jurisdiction of the Federal Court) </w:t>
      </w:r>
      <w:r w:rsidR="004C5570">
        <w:t>Act</w:t>
      </w:r>
      <w:r w:rsidR="00E92552">
        <w:t>,</w:t>
      </w:r>
      <w:r w:rsidR="00CE7046">
        <w:t xml:space="preserve"> applies to people </w:t>
      </w:r>
      <w:r w:rsidR="00F56B5B">
        <w:t xml:space="preserve">falling within </w:t>
      </w:r>
      <w:r w:rsidR="0058472A">
        <w:t xml:space="preserve">only </w:t>
      </w:r>
      <w:r w:rsidR="00F56B5B">
        <w:t xml:space="preserve">two categories: people </w:t>
      </w:r>
      <w:r w:rsidR="00CE7046">
        <w:t xml:space="preserve">sentenced to death </w:t>
      </w:r>
      <w:r w:rsidR="00F56B5B">
        <w:t xml:space="preserve">and people sentenced </w:t>
      </w:r>
      <w:r w:rsidR="00CE7046">
        <w:t xml:space="preserve">to </w:t>
      </w:r>
      <w:r w:rsidR="00DA6647">
        <w:t>“</w:t>
      </w:r>
      <w:r w:rsidR="00734B53">
        <w:t xml:space="preserve">imprisonment for </w:t>
      </w:r>
      <w:r w:rsidR="00CE7046">
        <w:t>natural life.</w:t>
      </w:r>
      <w:r w:rsidR="00DA6647">
        <w:t>”</w:t>
      </w:r>
      <w:r w:rsidR="00CE7046">
        <w:rPr>
          <w:rStyle w:val="FootnoteReference"/>
        </w:rPr>
        <w:footnoteReference w:id="25"/>
      </w:r>
      <w:r w:rsidR="006370A1">
        <w:t xml:space="preserve"> </w:t>
      </w:r>
      <w:r w:rsidR="00D96A1C">
        <w:t>A</w:t>
      </w:r>
      <w:r w:rsidR="006370A1">
        <w:t xml:space="preserve"> person </w:t>
      </w:r>
      <w:r w:rsidR="00583529">
        <w:t>“detained in a prison during the pleasure of” the Yang di-Pertuan Agong</w:t>
      </w:r>
      <w:r w:rsidR="00632248">
        <w:t xml:space="preserve"> </w:t>
      </w:r>
      <w:r w:rsidR="006370A1">
        <w:t>for an offense</w:t>
      </w:r>
      <w:r w:rsidR="00632248">
        <w:t xml:space="preserve"> the person committed when under the age of 18</w:t>
      </w:r>
      <w:r w:rsidR="00AA4A97">
        <w:t xml:space="preserve"> </w:t>
      </w:r>
      <w:r w:rsidR="00D96A1C">
        <w:t>falls into neither category</w:t>
      </w:r>
      <w:r w:rsidR="00AA4A97">
        <w:t>, even though the</w:t>
      </w:r>
      <w:r w:rsidR="00083287">
        <w:t xml:space="preserve"> penalty </w:t>
      </w:r>
      <w:r w:rsidR="00BC1876">
        <w:t xml:space="preserve">under Article 97(2) of the Child Act </w:t>
      </w:r>
      <w:r w:rsidR="00083287">
        <w:t xml:space="preserve">is a </w:t>
      </w:r>
      <w:r w:rsidR="00083287" w:rsidRPr="00083287">
        <w:rPr>
          <w:i/>
          <w:iCs/>
        </w:rPr>
        <w:t>de facto</w:t>
      </w:r>
      <w:r w:rsidR="00083287">
        <w:t xml:space="preserve"> indefinite natural life sentence.</w:t>
      </w:r>
      <w:r w:rsidR="002A2C9D">
        <w:t xml:space="preserve"> Hence, these juvenile offenders </w:t>
      </w:r>
      <w:r w:rsidR="0060612C">
        <w:t>seem to be</w:t>
      </w:r>
      <w:r w:rsidR="002A2C9D">
        <w:t xml:space="preserve"> precluded from the benefits of </w:t>
      </w:r>
      <w:r w:rsidR="00716BB9">
        <w:t xml:space="preserve">the </w:t>
      </w:r>
      <w:r w:rsidR="006C7136">
        <w:t xml:space="preserve">2023 </w:t>
      </w:r>
      <w:r w:rsidR="00716BB9">
        <w:t>Resentencing Act</w:t>
      </w:r>
      <w:r w:rsidR="00314B97">
        <w:t>,</w:t>
      </w:r>
      <w:r w:rsidR="002A2C9D">
        <w:rPr>
          <w:rStyle w:val="FootnoteReference"/>
        </w:rPr>
        <w:footnoteReference w:id="26"/>
      </w:r>
      <w:r w:rsidR="00314B97">
        <w:t xml:space="preserve"> even though</w:t>
      </w:r>
      <w:r w:rsidR="00DA5706">
        <w:t xml:space="preserve"> they are widely regarded as individuals capable of rehabilitation.</w:t>
      </w:r>
      <w:r w:rsidR="00DA5706">
        <w:rPr>
          <w:rStyle w:val="FootnoteReference"/>
        </w:rPr>
        <w:footnoteReference w:id="27"/>
      </w:r>
    </w:p>
    <w:p w14:paraId="317D9479" w14:textId="4B6EA2D2" w:rsidR="00ED7F6E" w:rsidRDefault="00ED7F6E" w:rsidP="007F33C7">
      <w:pPr>
        <w:pStyle w:val="Paragraph"/>
        <w:ind w:left="360"/>
      </w:pPr>
      <w:r>
        <w:t xml:space="preserve">Even under the resentencing scheme that the 2023 Resentencing Act established, </w:t>
      </w:r>
      <w:r w:rsidR="004A2E08">
        <w:t>judicial discretion is uncabined.</w:t>
      </w:r>
      <w:r w:rsidR="004A2E08">
        <w:rPr>
          <w:rStyle w:val="FootnoteReference"/>
        </w:rPr>
        <w:footnoteReference w:id="28"/>
      </w:r>
      <w:r w:rsidR="00774EFB">
        <w:t xml:space="preserve"> It is unclear whether or how courts would consider applications for resentencing from juvenile offenders who are currently</w:t>
      </w:r>
      <w:r w:rsidR="00940255">
        <w:t xml:space="preserve"> serving indefinite prison terms at the </w:t>
      </w:r>
      <w:r w:rsidR="00940255">
        <w:lastRenderedPageBreak/>
        <w:t>pleasure of the King</w:t>
      </w:r>
      <w:r w:rsidR="00067367">
        <w:t xml:space="preserve"> for crimes that otherwise would have resulted in a mandatory or discretionary death sentence had the offender been age 18 or older at the time of the offense</w:t>
      </w:r>
      <w:r w:rsidR="00940255">
        <w:t>.</w:t>
      </w:r>
      <w:r w:rsidR="00940255">
        <w:rPr>
          <w:rStyle w:val="FootnoteReference"/>
        </w:rPr>
        <w:footnoteReference w:id="29"/>
      </w:r>
    </w:p>
    <w:p w14:paraId="65A73D71" w14:textId="1D21036E" w:rsidR="004A2E0B" w:rsidRDefault="00C85D82" w:rsidP="00262845">
      <w:pPr>
        <w:pStyle w:val="SectionHeading"/>
      </w:pPr>
      <w:r>
        <w:t xml:space="preserve">Notwithstanding provisions in the Child Act prohibiting the death penalty for children in conflict with the law, </w:t>
      </w:r>
      <w:r w:rsidR="004B1126">
        <w:t xml:space="preserve">Malaysian law </w:t>
      </w:r>
      <w:r w:rsidR="005E760D">
        <w:t xml:space="preserve">may </w:t>
      </w:r>
      <w:r w:rsidR="004A2E0B">
        <w:t xml:space="preserve">authorize </w:t>
      </w:r>
      <w:r w:rsidR="0070759D">
        <w:t xml:space="preserve">the </w:t>
      </w:r>
      <w:r w:rsidR="004A2E0B">
        <w:t xml:space="preserve">death penalty for </w:t>
      </w:r>
      <w:r w:rsidR="0070759D">
        <w:t>juvenile offenders</w:t>
      </w:r>
      <w:r w:rsidR="004B1126">
        <w:t xml:space="preserve"> charged </w:t>
      </w:r>
      <w:r w:rsidR="00B573EE">
        <w:t>with certain security-</w:t>
      </w:r>
      <w:r w:rsidR="00E45F2D">
        <w:t xml:space="preserve"> or terrorism-</w:t>
      </w:r>
      <w:r w:rsidR="00B573EE">
        <w:t>related offenses</w:t>
      </w:r>
      <w:r w:rsidR="004A2E0B">
        <w:t>.</w:t>
      </w:r>
    </w:p>
    <w:p w14:paraId="601E8186" w14:textId="46282A67" w:rsidR="00C85D82" w:rsidRDefault="004A2E0B" w:rsidP="004A2E0B">
      <w:pPr>
        <w:pStyle w:val="Paragraph"/>
        <w:ind w:left="360"/>
      </w:pPr>
      <w:r>
        <w:t>According to a 2013 report by the Ministry of Women, Family and Community Development and UNICEF Malaysia,</w:t>
      </w:r>
      <w:r w:rsidR="00496A3B">
        <w:t xml:space="preserve"> under </w:t>
      </w:r>
      <w:r w:rsidR="00A27CF2">
        <w:t xml:space="preserve">Regulation 3(3) of </w:t>
      </w:r>
      <w:r w:rsidR="00496A3B">
        <w:t>the Essential (Security Case) Regulations, 1975 (ESCAR)</w:t>
      </w:r>
      <w:r w:rsidR="00421DA6">
        <w:t xml:space="preserve">, </w:t>
      </w:r>
      <w:r w:rsidR="00496A3B">
        <w:t xml:space="preserve">the Child Act’s special protections do </w:t>
      </w:r>
      <w:r w:rsidR="00421DA6">
        <w:t>not apply to “children charged with offences under the Internal Security Act 1960 and the Firearms (Increased Penalties</w:t>
      </w:r>
      <w:r w:rsidR="00AF6A32">
        <w:t>)</w:t>
      </w:r>
      <w:r w:rsidR="00421DA6">
        <w:t xml:space="preserve"> Act 1971 </w:t>
      </w:r>
      <w:r w:rsidR="00AF6A32">
        <w:t>(FIPA)” and therefore juvenile offenders sentenced under those laws “may be subject to capital punishment.”</w:t>
      </w:r>
      <w:r w:rsidR="000728C8">
        <w:rPr>
          <w:rStyle w:val="FootnoteReference"/>
        </w:rPr>
        <w:footnoteReference w:id="30"/>
      </w:r>
      <w:r w:rsidR="00A50241">
        <w:t xml:space="preserve"> The report notes that the Federal Court in </w:t>
      </w:r>
      <w:r w:rsidR="00A50241">
        <w:rPr>
          <w:i/>
          <w:iCs/>
        </w:rPr>
        <w:t xml:space="preserve">Lim Hang Deoh </w:t>
      </w:r>
      <w:r w:rsidR="00A50241">
        <w:t xml:space="preserve">v. </w:t>
      </w:r>
      <w:r w:rsidR="00A50241">
        <w:rPr>
          <w:i/>
          <w:iCs/>
        </w:rPr>
        <w:t>PP</w:t>
      </w:r>
      <w:r w:rsidR="00A50241">
        <w:t xml:space="preserve">, </w:t>
      </w:r>
      <w:r w:rsidR="0065003C">
        <w:t xml:space="preserve">[1978] 1 MLJ 68, upheld the primacy of </w:t>
      </w:r>
      <w:r w:rsidR="00A27CF2">
        <w:t>ESCAR.</w:t>
      </w:r>
      <w:r w:rsidR="00DC74F2">
        <w:t xml:space="preserve"> While the </w:t>
      </w:r>
      <w:r w:rsidR="004B57ED">
        <w:t xml:space="preserve">Abolition of Mandatory Death Penalty Act 2023 eliminated the death penalty under </w:t>
      </w:r>
      <w:r w:rsidR="00614B03">
        <w:t>FIPA</w:t>
      </w:r>
      <w:r w:rsidR="004B57ED">
        <w:t>,</w:t>
      </w:r>
      <w:r w:rsidR="008127A2">
        <w:rPr>
          <w:rStyle w:val="FootnoteReference"/>
        </w:rPr>
        <w:footnoteReference w:id="31"/>
      </w:r>
      <w:r w:rsidR="004B57ED">
        <w:t xml:space="preserve"> it did not amend</w:t>
      </w:r>
      <w:r w:rsidR="00614B03">
        <w:t xml:space="preserve"> the Internal Security Act.</w:t>
      </w:r>
      <w:r w:rsidR="008127A2">
        <w:rPr>
          <w:rStyle w:val="FootnoteReference"/>
        </w:rPr>
        <w:footnoteReference w:id="32"/>
      </w:r>
      <w:r w:rsidR="00B573EE">
        <w:t xml:space="preserve"> The Internal Security Act 1960 has since been rep</w:t>
      </w:r>
      <w:r w:rsidR="004D54F9">
        <w:t>laced with the Security Offences (Special Measures) Act 2012 (SO</w:t>
      </w:r>
      <w:r w:rsidR="00F24752">
        <w:t>S</w:t>
      </w:r>
      <w:r w:rsidR="004D54F9">
        <w:t xml:space="preserve">MA), but it is unclear whether the </w:t>
      </w:r>
      <w:r w:rsidR="002E55BB">
        <w:t xml:space="preserve">analysis in the </w:t>
      </w:r>
      <w:r w:rsidR="004D54F9">
        <w:t>2013</w:t>
      </w:r>
      <w:r w:rsidR="002E55BB">
        <w:t xml:space="preserve"> report still applies to juvenile offenders charged with security offenses.</w:t>
      </w:r>
      <w:r w:rsidR="002E55BB">
        <w:rPr>
          <w:rStyle w:val="FootnoteReference"/>
        </w:rPr>
        <w:footnoteReference w:id="33"/>
      </w:r>
    </w:p>
    <w:p w14:paraId="54884286" w14:textId="0A0A2A85" w:rsidR="00E70832" w:rsidRDefault="00E70832" w:rsidP="00FA3024">
      <w:pPr>
        <w:pStyle w:val="SectionHeading"/>
        <w:keepNext/>
      </w:pPr>
      <w:r>
        <w:t>Juvenile offenders experience degrading treatment</w:t>
      </w:r>
      <w:r w:rsidR="00E13C4D">
        <w:t xml:space="preserve"> in prison</w:t>
      </w:r>
      <w:r w:rsidR="00E472C1">
        <w:t>.</w:t>
      </w:r>
    </w:p>
    <w:p w14:paraId="063222AE" w14:textId="43CC325B" w:rsidR="00E472C1" w:rsidRDefault="00FB7B37" w:rsidP="00E472C1">
      <w:pPr>
        <w:numPr>
          <w:ilvl w:val="0"/>
          <w:numId w:val="7"/>
        </w:numPr>
        <w:spacing w:after="120"/>
        <w:ind w:left="360"/>
        <w:jc w:val="both"/>
      </w:pPr>
      <w:r>
        <w:t xml:space="preserve">Under Section 97(3) of the Child Act, </w:t>
      </w:r>
      <w:r w:rsidR="00DB0DC2">
        <w:t xml:space="preserve">the Yang di-Pertuan Agong, the Ruler, or the Yang di-Pertua Negeri determines the </w:t>
      </w:r>
      <w:r>
        <w:t>detention conditions for p</w:t>
      </w:r>
      <w:r w:rsidR="00E472C1">
        <w:t xml:space="preserve">eople held </w:t>
      </w:r>
      <w:r w:rsidR="00634528">
        <w:t xml:space="preserve">indefinitely </w:t>
      </w:r>
      <w:r w:rsidR="00E472C1">
        <w:t>in prison for otherwise death-eligible offenses that they committed when under the age of 18</w:t>
      </w:r>
      <w:r>
        <w:t>.</w:t>
      </w:r>
      <w:r>
        <w:rPr>
          <w:rStyle w:val="FootnoteReference"/>
        </w:rPr>
        <w:footnoteReference w:id="34"/>
      </w:r>
      <w:r w:rsidR="00DB0DC2">
        <w:t xml:space="preserve"> In practice, </w:t>
      </w:r>
      <w:r w:rsidR="0060612C">
        <w:t xml:space="preserve">authorities hold </w:t>
      </w:r>
      <w:r w:rsidR="00DB0DC2">
        <w:t xml:space="preserve">these </w:t>
      </w:r>
      <w:r w:rsidR="005F7315">
        <w:t xml:space="preserve">people for decades and </w:t>
      </w:r>
      <w:r w:rsidR="0060612C">
        <w:t xml:space="preserve">they </w:t>
      </w:r>
      <w:r w:rsidR="005F7315">
        <w:t>must wear special-colored jumpsuits labeled “juvenile,” regardless of the person’s actual age</w:t>
      </w:r>
      <w:r w:rsidR="00E13C4D">
        <w:t xml:space="preserve"> in prison.</w:t>
      </w:r>
      <w:r w:rsidR="00E13C4D">
        <w:rPr>
          <w:rStyle w:val="FootnoteReference"/>
        </w:rPr>
        <w:footnoteReference w:id="35"/>
      </w:r>
      <w:r w:rsidR="00035F4C">
        <w:t xml:space="preserve"> The Anti</w:t>
      </w:r>
      <w:r w:rsidR="00064736">
        <w:t>-</w:t>
      </w:r>
      <w:r w:rsidR="00035F4C">
        <w:t>Death Penalty Asia Network reports that at least one such person has been held in detention for more than thirty years.</w:t>
      </w:r>
      <w:r w:rsidR="00035F4C">
        <w:rPr>
          <w:rStyle w:val="FootnoteReference"/>
        </w:rPr>
        <w:footnoteReference w:id="36"/>
      </w:r>
    </w:p>
    <w:p w14:paraId="5BA5FD26" w14:textId="157F6D14" w:rsidR="00085935" w:rsidRPr="00262845" w:rsidRDefault="00111994" w:rsidP="00FA3024">
      <w:pPr>
        <w:pStyle w:val="SectionHeading"/>
        <w:keepNext/>
      </w:pPr>
      <w:r w:rsidRPr="00262845">
        <w:lastRenderedPageBreak/>
        <w:t xml:space="preserve">Suggested </w:t>
      </w:r>
      <w:r w:rsidR="00EA0EEB" w:rsidRPr="00262845">
        <w:t>questions</w:t>
      </w:r>
      <w:r w:rsidR="00255789" w:rsidRPr="00262845">
        <w:t xml:space="preserve"> for</w:t>
      </w:r>
      <w:r w:rsidR="000A66B8" w:rsidRPr="00262845">
        <w:t xml:space="preserve"> the Government of </w:t>
      </w:r>
      <w:r w:rsidR="00C22EF5">
        <w:t>Malaysia</w:t>
      </w:r>
    </w:p>
    <w:p w14:paraId="09ED740C" w14:textId="142850F3" w:rsidR="00111994" w:rsidRDefault="00181B2A" w:rsidP="007B46CD">
      <w:pPr>
        <w:numPr>
          <w:ilvl w:val="0"/>
          <w:numId w:val="7"/>
        </w:numPr>
        <w:spacing w:after="120"/>
        <w:ind w:left="360"/>
        <w:jc w:val="both"/>
      </w:pPr>
      <w:r w:rsidRPr="00A975D1">
        <w:rPr>
          <w:rStyle w:val="ParagraphChar"/>
        </w:rPr>
        <w:t xml:space="preserve">The </w:t>
      </w:r>
      <w:r w:rsidR="00C22EF5">
        <w:rPr>
          <w:rStyle w:val="ParagraphChar"/>
        </w:rPr>
        <w:t xml:space="preserve">coauthors request that </w:t>
      </w:r>
      <w:r w:rsidRPr="00A975D1">
        <w:rPr>
          <w:rStyle w:val="ParagraphChar"/>
        </w:rPr>
        <w:t xml:space="preserve">Committee pose the following questions to the Government of </w:t>
      </w:r>
      <w:r w:rsidR="00C22EF5">
        <w:rPr>
          <w:rStyle w:val="ParagraphChar"/>
        </w:rPr>
        <w:t>Malaysia</w:t>
      </w:r>
      <w:r w:rsidR="00255789">
        <w:t>:</w:t>
      </w:r>
    </w:p>
    <w:p w14:paraId="7631BAC8" w14:textId="7F1C89CA" w:rsidR="004943F7" w:rsidRDefault="004943F7" w:rsidP="00211315">
      <w:pPr>
        <w:pStyle w:val="BulletRecommendationsQuestions"/>
      </w:pPr>
      <w:r>
        <w:t xml:space="preserve">Please provide updated information regarding children in conflict with the law from 2019 to the present, including </w:t>
      </w:r>
      <w:r w:rsidR="00D8477A">
        <w:t xml:space="preserve">people sentenced to prison for offenses committed when under the age of 18, the offenses for which they were sentenced, </w:t>
      </w:r>
      <w:r w:rsidR="005E046A">
        <w:t xml:space="preserve">and </w:t>
      </w:r>
      <w:r w:rsidR="00D8477A">
        <w:t>the terms of their sentences</w:t>
      </w:r>
      <w:r w:rsidR="005E046A">
        <w:t>.</w:t>
      </w:r>
    </w:p>
    <w:p w14:paraId="1B8C0717" w14:textId="77777777" w:rsidR="004231B2" w:rsidRDefault="004231B2" w:rsidP="004231B2">
      <w:pPr>
        <w:pStyle w:val="BulletRecommendationsQuestions"/>
      </w:pPr>
      <w:r>
        <w:t>What information guides a court’s determination under Section 97(1) of the Child Act that “it appears to the Court that at the time when the offence was committed [that the offender] was a child” and therefore cannot be sentenced to death? Who carries the burden of proving an offender’s age?</w:t>
      </w:r>
    </w:p>
    <w:p w14:paraId="7AB1994E" w14:textId="78143440" w:rsidR="005E046A" w:rsidRDefault="005E046A" w:rsidP="00211315">
      <w:pPr>
        <w:pStyle w:val="BulletRecommendationsQuestions"/>
      </w:pPr>
      <w:r>
        <w:t xml:space="preserve">How many people are currently </w:t>
      </w:r>
      <w:r w:rsidR="00C127DB">
        <w:t>serving prison sentences at the pleasure of the Yang di-Pertuan Agong, the Ruler, or the Yang di-Pertua Negeri</w:t>
      </w:r>
      <w:r w:rsidR="00A93452">
        <w:t xml:space="preserve">, under Section 97(2) of the Child Act? Please provide data disaggregated by </w:t>
      </w:r>
      <w:r w:rsidR="00803892">
        <w:t xml:space="preserve">date of birth, date of sentence, </w:t>
      </w:r>
      <w:r w:rsidR="00D27231">
        <w:t xml:space="preserve">sex or </w:t>
      </w:r>
      <w:r w:rsidR="00803892">
        <w:t>gender, nature of offense</w:t>
      </w:r>
      <w:r w:rsidR="00D27231">
        <w:t>, and relationship to any codefendants or victims.</w:t>
      </w:r>
    </w:p>
    <w:p w14:paraId="3DB021AF" w14:textId="2C31D5A7" w:rsidR="00F854D2" w:rsidRDefault="00F854D2" w:rsidP="00211315">
      <w:pPr>
        <w:pStyle w:val="BulletRecommendationsQuestions"/>
      </w:pPr>
      <w:r>
        <w:t>During the reporting period, how many people have been released from prison who had been held under Section 97(2) of the Child Act?</w:t>
      </w:r>
    </w:p>
    <w:p w14:paraId="3E4AA44D" w14:textId="374103A4" w:rsidR="00F51AFD" w:rsidRDefault="00AF428A" w:rsidP="00211315">
      <w:pPr>
        <w:pStyle w:val="BulletRecommendationsQuestions"/>
      </w:pPr>
      <w:r>
        <w:t xml:space="preserve">Please information data about any </w:t>
      </w:r>
      <w:r w:rsidR="00480026">
        <w:t xml:space="preserve">people </w:t>
      </w:r>
      <w:r>
        <w:t xml:space="preserve">who had been </w:t>
      </w:r>
      <w:r w:rsidR="00480026">
        <w:t xml:space="preserve">held in prison under Section 97(2) of the Child Act </w:t>
      </w:r>
      <w:r>
        <w:t xml:space="preserve">who have been </w:t>
      </w:r>
      <w:r w:rsidR="00480026">
        <w:t>resentenc</w:t>
      </w:r>
      <w:r>
        <w:t>ed</w:t>
      </w:r>
      <w:r w:rsidR="00480026">
        <w:t xml:space="preserve"> under the 2023 Resentencing Act</w:t>
      </w:r>
      <w:r>
        <w:t>.</w:t>
      </w:r>
    </w:p>
    <w:p w14:paraId="22B5DF19" w14:textId="71A9E6BE" w:rsidR="00AF428A" w:rsidRDefault="001569D4" w:rsidP="00211315">
      <w:pPr>
        <w:pStyle w:val="BulletRecommendationsQuestions"/>
      </w:pPr>
      <w:r>
        <w:t xml:space="preserve">Please describe any measures taken to ensure that people held in prison under Section 97(2) of the Child Act have access to resentencing </w:t>
      </w:r>
      <w:r w:rsidR="00AF6D98">
        <w:t>in line with resentencing</w:t>
      </w:r>
      <w:r w:rsidR="00323A8A">
        <w:t xml:space="preserve"> procedures available</w:t>
      </w:r>
      <w:r w:rsidR="00AF6D98">
        <w:t xml:space="preserve"> for people sentenced to imprisonment for natural life.</w:t>
      </w:r>
    </w:p>
    <w:p w14:paraId="75B3BB7D" w14:textId="42DC8573" w:rsidR="00EC7C83" w:rsidRDefault="00EC7C83" w:rsidP="00211315">
      <w:pPr>
        <w:pStyle w:val="BulletRecommendationsQuestions"/>
      </w:pPr>
      <w:r>
        <w:t xml:space="preserve">Please clarify whether the Child Act’s special provisions and safeguards for children in conflict with the law apply to </w:t>
      </w:r>
      <w:r w:rsidR="0074765B">
        <w:t xml:space="preserve">persons charged with offenses that would otherwise be capital crimes if the offender were age 18 or older. </w:t>
      </w:r>
      <w:r w:rsidR="006519FD">
        <w:t>What safeguards exist to ensure that High Court proceedings comply with these safeguards?</w:t>
      </w:r>
    </w:p>
    <w:p w14:paraId="68CBA854" w14:textId="6438F223" w:rsidR="00323A8A" w:rsidRDefault="00323A8A" w:rsidP="00211315">
      <w:pPr>
        <w:pStyle w:val="BulletRecommendationsQuestions"/>
      </w:pPr>
      <w:r>
        <w:t xml:space="preserve">Please respond to information from the Ministry of Women, Family and Community Development and UNICEF, published in 2013, stating that </w:t>
      </w:r>
      <w:r w:rsidR="00EC7C83">
        <w:t>juvenile offenders may be sentenced to death for offenses committed under the Internal Security Act 1960</w:t>
      </w:r>
      <w:r w:rsidR="002E55BB">
        <w:t xml:space="preserve">, and please clarify whether this analysis applies to juvenile offenders charged </w:t>
      </w:r>
      <w:r w:rsidR="00E45F2D">
        <w:t xml:space="preserve">with security- or terrorism-related offenses </w:t>
      </w:r>
      <w:r w:rsidR="002E55BB">
        <w:t>under the Security Offences (Special Measures) Act 2012 (SOSMA)</w:t>
      </w:r>
      <w:r w:rsidR="00EC7C83">
        <w:t>.</w:t>
      </w:r>
    </w:p>
    <w:p w14:paraId="7FF67C7E" w14:textId="0182474B" w:rsidR="00CA3032" w:rsidRDefault="00CA3032" w:rsidP="00211315">
      <w:pPr>
        <w:pStyle w:val="BulletRecommendationsQuestions"/>
      </w:pPr>
      <w:r>
        <w:t xml:space="preserve">If a person </w:t>
      </w:r>
      <w:r w:rsidR="00AC0A9C">
        <w:t>is charged with a serious security-related offense under</w:t>
      </w:r>
      <w:r w:rsidR="00F009C0">
        <w:t xml:space="preserve"> </w:t>
      </w:r>
      <w:r w:rsidR="00AC0A9C">
        <w:t xml:space="preserve">the Security Offences (Special Measures) Act 2012 (SOSMA) or </w:t>
      </w:r>
      <w:r w:rsidR="00F009C0">
        <w:t xml:space="preserve">with terrorism-related offences under </w:t>
      </w:r>
      <w:r w:rsidR="00AC0A9C">
        <w:t>Chapter VIA of the Penal Code (Act 574)</w:t>
      </w:r>
      <w:r w:rsidR="00F009C0">
        <w:t xml:space="preserve"> or the Prevention of Terrorism Act (POTA) 2015</w:t>
      </w:r>
      <w:r w:rsidR="00452942">
        <w:t xml:space="preserve">, for alleged conduct committed when under the age of 18, </w:t>
      </w:r>
      <w:r w:rsidR="00FE00CB">
        <w:t xml:space="preserve">can </w:t>
      </w:r>
      <w:r w:rsidR="00452942">
        <w:t xml:space="preserve">that person </w:t>
      </w:r>
      <w:r w:rsidR="00FE00CB">
        <w:t xml:space="preserve">be </w:t>
      </w:r>
      <w:r w:rsidR="00452942">
        <w:t>subject to the provisions of those laws authorizing detention without trial?</w:t>
      </w:r>
    </w:p>
    <w:p w14:paraId="1F5D4C70" w14:textId="43F0A9DB" w:rsidR="003C286A" w:rsidRDefault="003C286A" w:rsidP="00211315">
      <w:pPr>
        <w:pStyle w:val="BulletRecommendationsQuestions"/>
      </w:pPr>
      <w:r>
        <w:t>Please describe the conditions of detention applicable to persons sentenced to indefinite prison terms under Article 97(3) of the Child Act</w:t>
      </w:r>
      <w:r w:rsidR="008A1276">
        <w:t>.</w:t>
      </w:r>
      <w:r w:rsidR="00946AF0">
        <w:t xml:space="preserve"> In what ways do these </w:t>
      </w:r>
      <w:r w:rsidR="00946AF0">
        <w:lastRenderedPageBreak/>
        <w:t xml:space="preserve">people receive treatment that is different from persons serving a life sentence or a term of years? </w:t>
      </w:r>
    </w:p>
    <w:p w14:paraId="06FC5E44" w14:textId="1199EB9D" w:rsidR="00D600D8" w:rsidRPr="00E114C5" w:rsidRDefault="00D600D8" w:rsidP="00211315">
      <w:pPr>
        <w:pStyle w:val="BulletRecommendationsQuestions"/>
      </w:pPr>
      <w:r>
        <w:t>Are persons serving indefinite prison sentences under Article 97(3) of the Child Act eligible for pardons or clemency? Please describe the legal framework of clemency and pardon as it applies to these people</w:t>
      </w:r>
      <w:r w:rsidR="006E795E">
        <w:t xml:space="preserve"> and how it differs from the framework applicable to persons sentenced to death</w:t>
      </w:r>
      <w:r>
        <w:t>.</w:t>
      </w:r>
      <w:r w:rsidR="003F6FAB">
        <w:t xml:space="preserve"> Please provide data for the reporting period about the number of persons </w:t>
      </w:r>
      <w:r w:rsidR="00467493">
        <w:t xml:space="preserve">imprisoned under Article 97(3) </w:t>
      </w:r>
      <w:r w:rsidR="003F6FAB">
        <w:t xml:space="preserve">who have applied for and </w:t>
      </w:r>
      <w:r w:rsidR="00467493">
        <w:t xml:space="preserve">who have </w:t>
      </w:r>
      <w:r w:rsidR="003F6FAB">
        <w:t>received pardons or clemenc</w:t>
      </w:r>
      <w:r w:rsidR="00467493">
        <w:t>y.</w:t>
      </w:r>
    </w:p>
    <w:sectPr w:rsidR="00D600D8"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F91FE" w14:textId="77777777" w:rsidR="00F6244E" w:rsidRDefault="00F6244E">
      <w:r>
        <w:separator/>
      </w:r>
    </w:p>
  </w:endnote>
  <w:endnote w:type="continuationSeparator" w:id="0">
    <w:p w14:paraId="2C36649E" w14:textId="77777777" w:rsidR="00F6244E" w:rsidRDefault="00F6244E">
      <w:r>
        <w:continuationSeparator/>
      </w:r>
    </w:p>
  </w:endnote>
  <w:endnote w:type="continuationNotice" w:id="1">
    <w:p w14:paraId="5D7A8A01" w14:textId="77777777" w:rsidR="00F6244E" w:rsidRDefault="00F624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F1D28"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7CE48C" w14:textId="77777777" w:rsidR="00F6244E" w:rsidRDefault="00F6244E">
      <w:r>
        <w:separator/>
      </w:r>
    </w:p>
  </w:footnote>
  <w:footnote w:type="continuationSeparator" w:id="0">
    <w:p w14:paraId="44B0F127" w14:textId="77777777" w:rsidR="00F6244E" w:rsidRDefault="00F6244E">
      <w:r>
        <w:continuationSeparator/>
      </w:r>
    </w:p>
  </w:footnote>
  <w:footnote w:type="continuationNotice" w:id="1">
    <w:p w14:paraId="17BEFA29" w14:textId="77777777" w:rsidR="00F6244E" w:rsidRDefault="00F6244E"/>
  </w:footnote>
  <w:footnote w:id="2">
    <w:p w14:paraId="67739894" w14:textId="22323358" w:rsidR="00016883" w:rsidRPr="001D25C1" w:rsidRDefault="00016883" w:rsidP="00D9590C">
      <w:pPr>
        <w:pStyle w:val="FootnoteText"/>
        <w:rPr>
          <w:sz w:val="20"/>
          <w:szCs w:val="20"/>
        </w:rPr>
      </w:pPr>
      <w:r w:rsidRPr="001D25C1">
        <w:rPr>
          <w:rStyle w:val="FootnoteReference"/>
          <w:sz w:val="20"/>
          <w:szCs w:val="20"/>
        </w:rPr>
        <w:footnoteRef/>
      </w:r>
      <w:r w:rsidRPr="001D25C1">
        <w:rPr>
          <w:sz w:val="20"/>
          <w:szCs w:val="20"/>
        </w:rPr>
        <w:t xml:space="preserve"> Abolition of Mandatory Death Penalty Bill 2023; Revision of Sentence Death and Imprisonment for Natural Life (Tempo</w:t>
      </w:r>
      <w:r w:rsidR="007E45A3" w:rsidRPr="001D25C1">
        <w:rPr>
          <w:sz w:val="20"/>
          <w:szCs w:val="20"/>
        </w:rPr>
        <w:t>r</w:t>
      </w:r>
      <w:r w:rsidRPr="001D25C1">
        <w:rPr>
          <w:sz w:val="20"/>
          <w:szCs w:val="20"/>
        </w:rPr>
        <w:t>ary Jurisdiction of The Federal Court) Bill 2023.</w:t>
      </w:r>
    </w:p>
  </w:footnote>
  <w:footnote w:id="3">
    <w:p w14:paraId="65651A6C" w14:textId="573DB61C" w:rsidR="00905585" w:rsidRPr="001D25C1" w:rsidRDefault="00905585" w:rsidP="00D9590C">
      <w:pPr>
        <w:pStyle w:val="FootnoteText"/>
        <w:rPr>
          <w:sz w:val="20"/>
          <w:szCs w:val="20"/>
        </w:rPr>
      </w:pPr>
      <w:r w:rsidRPr="001D25C1">
        <w:rPr>
          <w:rStyle w:val="FootnoteReference"/>
          <w:sz w:val="20"/>
          <w:szCs w:val="20"/>
        </w:rPr>
        <w:footnoteRef/>
      </w:r>
      <w:r w:rsidRPr="001D25C1">
        <w:rPr>
          <w:sz w:val="20"/>
          <w:szCs w:val="20"/>
        </w:rPr>
        <w:t xml:space="preserve"> </w:t>
      </w:r>
      <w:r w:rsidR="007F474B" w:rsidRPr="001D25C1">
        <w:rPr>
          <w:sz w:val="20"/>
          <w:szCs w:val="20"/>
        </w:rPr>
        <w:t>Amnesty International, 'Reforms of Mandatory Death Penalty in Malaysia: Wh</w:t>
      </w:r>
      <w:r w:rsidR="004C35A3" w:rsidRPr="001D25C1">
        <w:rPr>
          <w:sz w:val="20"/>
          <w:szCs w:val="20"/>
        </w:rPr>
        <w:t>at</w:t>
      </w:r>
      <w:r w:rsidR="007F474B" w:rsidRPr="001D25C1">
        <w:rPr>
          <w:sz w:val="20"/>
          <w:szCs w:val="20"/>
        </w:rPr>
        <w:t xml:space="preserve"> Do The Bills Say?' (29 March 2023)  </w:t>
      </w:r>
      <w:hyperlink r:id="rId1">
        <w:r w:rsidR="007F474B" w:rsidRPr="001D25C1">
          <w:rPr>
            <w:color w:val="0000FF"/>
            <w:sz w:val="20"/>
            <w:szCs w:val="20"/>
            <w:u w:val="single"/>
          </w:rPr>
          <w:t>https://www.amnesty.my/wp-content/uploads/2023/03/Amnesty-International_Analysis-of-the-Bills-to-Abolish-The-Mandatory-Death-Penalty-in-Malaysia_March-2023-3.pdf</w:t>
        </w:r>
      </w:hyperlink>
      <w:r w:rsidR="007F474B" w:rsidRPr="001D25C1">
        <w:rPr>
          <w:sz w:val="20"/>
          <w:szCs w:val="20"/>
        </w:rPr>
        <w:t>.</w:t>
      </w:r>
    </w:p>
  </w:footnote>
  <w:footnote w:id="4">
    <w:p w14:paraId="062A520F" w14:textId="168D5760" w:rsidR="003D52CD" w:rsidRPr="001D25C1" w:rsidRDefault="003D52CD" w:rsidP="00D9590C">
      <w:pPr>
        <w:pStyle w:val="FootnoteText"/>
        <w:rPr>
          <w:sz w:val="20"/>
          <w:szCs w:val="20"/>
        </w:rPr>
      </w:pPr>
      <w:r w:rsidRPr="001D25C1">
        <w:rPr>
          <w:rStyle w:val="FootnoteReference"/>
          <w:sz w:val="20"/>
          <w:szCs w:val="20"/>
        </w:rPr>
        <w:footnoteRef/>
      </w:r>
      <w:r w:rsidRPr="001D25C1">
        <w:rPr>
          <w:sz w:val="20"/>
          <w:szCs w:val="20"/>
        </w:rPr>
        <w:t xml:space="preserve"> Anti</w:t>
      </w:r>
      <w:r w:rsidR="0030579C" w:rsidRPr="001D25C1">
        <w:rPr>
          <w:sz w:val="20"/>
          <w:szCs w:val="20"/>
        </w:rPr>
        <w:t>-</w:t>
      </w:r>
      <w:r w:rsidRPr="001D25C1">
        <w:rPr>
          <w:sz w:val="20"/>
          <w:szCs w:val="20"/>
        </w:rPr>
        <w:t>Death Penalty Asia Network, email communication dated 25 Oct. 2024, on file with The Advocates for Human Rights.</w:t>
      </w:r>
    </w:p>
  </w:footnote>
  <w:footnote w:id="5">
    <w:p w14:paraId="5526770C" w14:textId="6323C0ED" w:rsidR="002B3C98" w:rsidRPr="001D25C1" w:rsidRDefault="002B3C98" w:rsidP="00D9590C">
      <w:pPr>
        <w:pStyle w:val="FootnoteText"/>
        <w:rPr>
          <w:sz w:val="20"/>
          <w:szCs w:val="20"/>
        </w:rPr>
      </w:pPr>
      <w:r w:rsidRPr="001D25C1">
        <w:rPr>
          <w:rStyle w:val="FootnoteReference"/>
          <w:sz w:val="20"/>
          <w:szCs w:val="20"/>
        </w:rPr>
        <w:footnoteRef/>
      </w:r>
      <w:r w:rsidRPr="001D25C1">
        <w:rPr>
          <w:sz w:val="20"/>
          <w:szCs w:val="20"/>
        </w:rPr>
        <w:t xml:space="preserve"> Committee on the Rights of the Child, </w:t>
      </w:r>
      <w:r w:rsidR="009C7CEA" w:rsidRPr="001D25C1">
        <w:rPr>
          <w:i/>
          <w:iCs/>
          <w:sz w:val="20"/>
          <w:szCs w:val="20"/>
        </w:rPr>
        <w:t>Combined s</w:t>
      </w:r>
      <w:r w:rsidRPr="001D25C1">
        <w:rPr>
          <w:i/>
          <w:iCs/>
          <w:sz w:val="20"/>
          <w:szCs w:val="20"/>
        </w:rPr>
        <w:t xml:space="preserve">econd to fourth periodic reports submitted by Malaysia under </w:t>
      </w:r>
      <w:r w:rsidR="009C7CEA" w:rsidRPr="001D25C1">
        <w:rPr>
          <w:i/>
          <w:iCs/>
          <w:sz w:val="20"/>
          <w:szCs w:val="20"/>
        </w:rPr>
        <w:t>article 44 of the Convention, due in 2012</w:t>
      </w:r>
      <w:r w:rsidR="009C7CEA" w:rsidRPr="001D25C1">
        <w:rPr>
          <w:sz w:val="20"/>
          <w:szCs w:val="20"/>
        </w:rPr>
        <w:t xml:space="preserve"> (16 Apr. 2024), UN Doc. CRC/C/MYS/2-4,</w:t>
      </w:r>
      <w:r w:rsidRPr="001D25C1">
        <w:rPr>
          <w:sz w:val="20"/>
          <w:szCs w:val="20"/>
        </w:rPr>
        <w:t xml:space="preserve"> ¶¶ 169-175.</w:t>
      </w:r>
    </w:p>
  </w:footnote>
  <w:footnote w:id="6">
    <w:p w14:paraId="2F18738B" w14:textId="642FA61C" w:rsidR="00751E95" w:rsidRPr="001D25C1" w:rsidRDefault="00751E95" w:rsidP="00D9590C">
      <w:pPr>
        <w:pStyle w:val="FootnoteText"/>
        <w:rPr>
          <w:sz w:val="20"/>
          <w:szCs w:val="20"/>
        </w:rPr>
      </w:pPr>
      <w:r w:rsidRPr="001D25C1">
        <w:rPr>
          <w:rStyle w:val="FootnoteReference"/>
          <w:sz w:val="20"/>
          <w:szCs w:val="20"/>
        </w:rPr>
        <w:footnoteRef/>
      </w:r>
      <w:r w:rsidRPr="001D25C1">
        <w:rPr>
          <w:sz w:val="20"/>
          <w:szCs w:val="20"/>
        </w:rPr>
        <w:t xml:space="preserve"> Committee on the Rights of the Child, </w:t>
      </w:r>
      <w:r w:rsidRPr="001D25C1">
        <w:rPr>
          <w:i/>
          <w:iCs/>
          <w:sz w:val="20"/>
          <w:szCs w:val="20"/>
        </w:rPr>
        <w:t>Combined second to fourth periodic reports submitted by Malaysia under article 44 of the Convention, due in 2012, Annex</w:t>
      </w:r>
      <w:r w:rsidRPr="001D25C1">
        <w:rPr>
          <w:sz w:val="20"/>
          <w:szCs w:val="20"/>
        </w:rPr>
        <w:t xml:space="preserve"> (16 Apr. 2024), UN Doc. CRC/C/MYS/2-4, </w:t>
      </w:r>
      <w:r w:rsidR="00242547" w:rsidRPr="001D25C1">
        <w:rPr>
          <w:sz w:val="20"/>
          <w:szCs w:val="20"/>
        </w:rPr>
        <w:t xml:space="preserve">at </w:t>
      </w:r>
      <w:r w:rsidR="007F7C93" w:rsidRPr="001D25C1">
        <w:rPr>
          <w:sz w:val="20"/>
          <w:szCs w:val="20"/>
        </w:rPr>
        <w:t>4</w:t>
      </w:r>
      <w:r w:rsidR="00242547" w:rsidRPr="001D25C1">
        <w:rPr>
          <w:sz w:val="20"/>
          <w:szCs w:val="20"/>
        </w:rPr>
        <w:t>1 (Table 61)</w:t>
      </w:r>
      <w:r w:rsidRPr="001D25C1">
        <w:rPr>
          <w:sz w:val="20"/>
          <w:szCs w:val="20"/>
        </w:rPr>
        <w:t>.</w:t>
      </w:r>
    </w:p>
  </w:footnote>
  <w:footnote w:id="7">
    <w:p w14:paraId="3F51DF87" w14:textId="27B5B7F7" w:rsidR="0028700A" w:rsidRPr="001D25C1" w:rsidRDefault="0028700A" w:rsidP="00D9590C">
      <w:pPr>
        <w:pStyle w:val="FootnoteText"/>
        <w:rPr>
          <w:sz w:val="20"/>
          <w:szCs w:val="20"/>
        </w:rPr>
      </w:pPr>
      <w:r w:rsidRPr="001D25C1">
        <w:rPr>
          <w:rStyle w:val="FootnoteReference"/>
          <w:sz w:val="20"/>
          <w:szCs w:val="20"/>
        </w:rPr>
        <w:footnoteRef/>
      </w:r>
      <w:r w:rsidRPr="001D25C1">
        <w:rPr>
          <w:sz w:val="20"/>
          <w:szCs w:val="20"/>
        </w:rPr>
        <w:t xml:space="preserve"> Committee on the Rights of the Child, </w:t>
      </w:r>
      <w:r w:rsidRPr="001D25C1">
        <w:rPr>
          <w:i/>
          <w:iCs/>
          <w:sz w:val="20"/>
          <w:szCs w:val="20"/>
        </w:rPr>
        <w:t>Combined second to fourth periodic reports submitted by Malaysia under article 44 of the Convention, due in 2012, Annex</w:t>
      </w:r>
      <w:r w:rsidRPr="001D25C1">
        <w:rPr>
          <w:sz w:val="20"/>
          <w:szCs w:val="20"/>
        </w:rPr>
        <w:t xml:space="preserve"> (16 Apr. 2024), UN Doc. CRC/C/MYS/2-4, at 4</w:t>
      </w:r>
      <w:r w:rsidR="002F156D" w:rsidRPr="001D25C1">
        <w:rPr>
          <w:sz w:val="20"/>
          <w:szCs w:val="20"/>
        </w:rPr>
        <w:t>3</w:t>
      </w:r>
      <w:r w:rsidRPr="001D25C1">
        <w:rPr>
          <w:sz w:val="20"/>
          <w:szCs w:val="20"/>
        </w:rPr>
        <w:t xml:space="preserve"> (Table 64).</w:t>
      </w:r>
    </w:p>
  </w:footnote>
  <w:footnote w:id="8">
    <w:p w14:paraId="255B7FA6" w14:textId="3C112E5F" w:rsidR="00C82BA5" w:rsidRPr="001D25C1" w:rsidRDefault="00C82BA5" w:rsidP="00D9590C">
      <w:pPr>
        <w:pStyle w:val="FootnoteText"/>
        <w:rPr>
          <w:sz w:val="20"/>
          <w:szCs w:val="20"/>
        </w:rPr>
      </w:pPr>
      <w:r w:rsidRPr="001D25C1">
        <w:rPr>
          <w:rStyle w:val="FootnoteReference"/>
          <w:sz w:val="20"/>
          <w:szCs w:val="20"/>
        </w:rPr>
        <w:footnoteRef/>
      </w:r>
      <w:r w:rsidRPr="001D25C1">
        <w:rPr>
          <w:sz w:val="20"/>
          <w:szCs w:val="20"/>
        </w:rPr>
        <w:t xml:space="preserve"> Committee on the Rights of the Child, </w:t>
      </w:r>
      <w:r w:rsidRPr="001D25C1">
        <w:rPr>
          <w:i/>
          <w:iCs/>
          <w:sz w:val="20"/>
          <w:szCs w:val="20"/>
        </w:rPr>
        <w:t>Combined second to fourth periodic reports submitted by Malaysia under article 44 of the Convention, due in 2012, Annex</w:t>
      </w:r>
      <w:r w:rsidRPr="001D25C1">
        <w:rPr>
          <w:sz w:val="20"/>
          <w:szCs w:val="20"/>
        </w:rPr>
        <w:t xml:space="preserve"> (16 Apr. 2024), UN Doc. CRC/C/MYS/2-4, at 44 (Table 65).</w:t>
      </w:r>
    </w:p>
  </w:footnote>
  <w:footnote w:id="9">
    <w:p w14:paraId="49F91760" w14:textId="485366B2" w:rsidR="00E81683" w:rsidRPr="001D25C1" w:rsidRDefault="00E81683" w:rsidP="00D9590C">
      <w:pPr>
        <w:pStyle w:val="FootnoteText"/>
        <w:rPr>
          <w:sz w:val="20"/>
          <w:szCs w:val="20"/>
        </w:rPr>
      </w:pPr>
      <w:r w:rsidRPr="001D25C1">
        <w:rPr>
          <w:rStyle w:val="FootnoteReference"/>
          <w:sz w:val="20"/>
          <w:szCs w:val="20"/>
        </w:rPr>
        <w:footnoteRef/>
      </w:r>
      <w:r w:rsidRPr="001D25C1">
        <w:rPr>
          <w:sz w:val="20"/>
          <w:szCs w:val="20"/>
        </w:rPr>
        <w:t xml:space="preserve"> Committee on the Rights of the Child, </w:t>
      </w:r>
      <w:r w:rsidRPr="001D25C1">
        <w:rPr>
          <w:i/>
          <w:iCs/>
          <w:sz w:val="20"/>
          <w:szCs w:val="20"/>
        </w:rPr>
        <w:t>Combined second to fourth periodic reports submitted by Malaysia under article 44 of the Convention, due in 2012, Annex</w:t>
      </w:r>
      <w:r w:rsidRPr="001D25C1">
        <w:rPr>
          <w:sz w:val="20"/>
          <w:szCs w:val="20"/>
        </w:rPr>
        <w:t xml:space="preserve"> (16 Apr. 2024), UN Doc. CRC/C/MYS/2-4, at 44 (Table 65).</w:t>
      </w:r>
    </w:p>
  </w:footnote>
  <w:footnote w:id="10">
    <w:p w14:paraId="4B0E0507" w14:textId="77777777" w:rsidR="00100F8B" w:rsidRPr="001D25C1" w:rsidRDefault="00100F8B" w:rsidP="00D9590C">
      <w:pPr>
        <w:pStyle w:val="FootnoteText"/>
        <w:rPr>
          <w:sz w:val="20"/>
          <w:szCs w:val="20"/>
        </w:rPr>
      </w:pPr>
      <w:r w:rsidRPr="001D25C1">
        <w:rPr>
          <w:rStyle w:val="FootnoteReference"/>
          <w:sz w:val="20"/>
          <w:szCs w:val="20"/>
        </w:rPr>
        <w:footnoteRef/>
      </w:r>
      <w:r w:rsidRPr="001D25C1">
        <w:rPr>
          <w:sz w:val="20"/>
          <w:szCs w:val="20"/>
        </w:rPr>
        <w:t xml:space="preserve"> Committee on the Rights of the Child, </w:t>
      </w:r>
      <w:r w:rsidRPr="001D25C1">
        <w:rPr>
          <w:i/>
          <w:iCs/>
          <w:sz w:val="20"/>
          <w:szCs w:val="20"/>
        </w:rPr>
        <w:t>Combined second to fourth periodic reports submitted by Malaysia under article 44 of the Convention, due in 2012, Annex</w:t>
      </w:r>
      <w:r w:rsidRPr="001D25C1">
        <w:rPr>
          <w:sz w:val="20"/>
          <w:szCs w:val="20"/>
        </w:rPr>
        <w:t xml:space="preserve"> (16 Apr. 2024), UN Doc. CRC/C/MYS/2-4, at 44 (Table 65).</w:t>
      </w:r>
    </w:p>
  </w:footnote>
  <w:footnote w:id="11">
    <w:p w14:paraId="515636A5" w14:textId="475DAB22" w:rsidR="00817B3D" w:rsidRPr="001D25C1" w:rsidRDefault="00817B3D" w:rsidP="00D9590C">
      <w:pPr>
        <w:pStyle w:val="FootnoteText"/>
        <w:rPr>
          <w:sz w:val="20"/>
          <w:szCs w:val="20"/>
        </w:rPr>
      </w:pPr>
      <w:r w:rsidRPr="001D25C1">
        <w:rPr>
          <w:rStyle w:val="FootnoteReference"/>
          <w:sz w:val="20"/>
          <w:szCs w:val="20"/>
        </w:rPr>
        <w:footnoteRef/>
      </w:r>
      <w:r w:rsidRPr="001D25C1">
        <w:rPr>
          <w:sz w:val="20"/>
          <w:szCs w:val="20"/>
        </w:rPr>
        <w:t xml:space="preserve"> Anti</w:t>
      </w:r>
      <w:r w:rsidR="0030579C" w:rsidRPr="001D25C1">
        <w:rPr>
          <w:sz w:val="20"/>
          <w:szCs w:val="20"/>
        </w:rPr>
        <w:t>-</w:t>
      </w:r>
      <w:r w:rsidRPr="001D25C1">
        <w:rPr>
          <w:sz w:val="20"/>
          <w:szCs w:val="20"/>
        </w:rPr>
        <w:t>Death Penalty Asia Network, email communication dated 25 Oct. 2024, on file with The Advocates for Human Rights.</w:t>
      </w:r>
    </w:p>
  </w:footnote>
  <w:footnote w:id="12">
    <w:p w14:paraId="7CD1417E" w14:textId="15C4CCC2" w:rsidR="00545136" w:rsidRPr="001D25C1" w:rsidRDefault="00545136" w:rsidP="00D9590C">
      <w:pPr>
        <w:pStyle w:val="FootnoteText"/>
        <w:rPr>
          <w:sz w:val="20"/>
          <w:szCs w:val="20"/>
        </w:rPr>
      </w:pPr>
      <w:r w:rsidRPr="001D25C1">
        <w:rPr>
          <w:rStyle w:val="FootnoteReference"/>
          <w:sz w:val="20"/>
          <w:szCs w:val="20"/>
        </w:rPr>
        <w:footnoteRef/>
      </w:r>
      <w:r w:rsidRPr="001D25C1">
        <w:rPr>
          <w:sz w:val="20"/>
          <w:szCs w:val="20"/>
        </w:rPr>
        <w:t xml:space="preserve"> </w:t>
      </w:r>
      <w:r w:rsidR="00D37BD6" w:rsidRPr="001D25C1">
        <w:rPr>
          <w:sz w:val="20"/>
          <w:szCs w:val="20"/>
        </w:rPr>
        <w:t>Child Act</w:t>
      </w:r>
      <w:r w:rsidR="009F28BD" w:rsidRPr="001D25C1">
        <w:rPr>
          <w:sz w:val="20"/>
          <w:szCs w:val="20"/>
        </w:rPr>
        <w:t xml:space="preserve"> </w:t>
      </w:r>
      <w:r w:rsidR="0001255B" w:rsidRPr="001D25C1">
        <w:rPr>
          <w:sz w:val="20"/>
          <w:szCs w:val="20"/>
        </w:rPr>
        <w:t>2001</w:t>
      </w:r>
      <w:r w:rsidR="00C948F8" w:rsidRPr="001D25C1">
        <w:rPr>
          <w:sz w:val="20"/>
          <w:szCs w:val="20"/>
        </w:rPr>
        <w:t>,</w:t>
      </w:r>
      <w:r w:rsidR="0001255B" w:rsidRPr="001D25C1">
        <w:rPr>
          <w:sz w:val="20"/>
          <w:szCs w:val="20"/>
        </w:rPr>
        <w:t xml:space="preserve"> </w:t>
      </w:r>
      <w:r w:rsidR="009F28BD" w:rsidRPr="001D25C1">
        <w:rPr>
          <w:sz w:val="20"/>
          <w:szCs w:val="20"/>
        </w:rPr>
        <w:t>Section 97(1)</w:t>
      </w:r>
      <w:r w:rsidR="00103E75" w:rsidRPr="001D25C1">
        <w:rPr>
          <w:sz w:val="20"/>
          <w:szCs w:val="20"/>
        </w:rPr>
        <w:t>, available at https://web.archive.org/web/20201028153343/http://www.agc.gov.my/agcportal/uploads/files/Publications/LOM/EN/Act%20611.pdf.</w:t>
      </w:r>
    </w:p>
  </w:footnote>
  <w:footnote w:id="13">
    <w:p w14:paraId="6830DFAA" w14:textId="274BE0C1" w:rsidR="00825654" w:rsidRPr="001D25C1" w:rsidRDefault="00825654" w:rsidP="00D9590C">
      <w:pPr>
        <w:pStyle w:val="FootnoteText"/>
        <w:rPr>
          <w:sz w:val="20"/>
          <w:szCs w:val="20"/>
        </w:rPr>
      </w:pPr>
      <w:r w:rsidRPr="001D25C1">
        <w:rPr>
          <w:rStyle w:val="FootnoteReference"/>
          <w:sz w:val="20"/>
          <w:szCs w:val="20"/>
        </w:rPr>
        <w:footnoteRef/>
      </w:r>
      <w:r w:rsidRPr="001D25C1">
        <w:rPr>
          <w:sz w:val="20"/>
          <w:szCs w:val="20"/>
        </w:rPr>
        <w:t xml:space="preserve"> Child Act 2001, Section 97(1).</w:t>
      </w:r>
    </w:p>
  </w:footnote>
  <w:footnote w:id="14">
    <w:p w14:paraId="3A0268AE" w14:textId="6D271B15" w:rsidR="00ED4ABA" w:rsidRPr="001D25C1" w:rsidRDefault="00ED4ABA" w:rsidP="00D9590C">
      <w:pPr>
        <w:pStyle w:val="FootnoteText"/>
        <w:rPr>
          <w:sz w:val="20"/>
          <w:szCs w:val="20"/>
        </w:rPr>
      </w:pPr>
      <w:r w:rsidRPr="001D25C1">
        <w:rPr>
          <w:rStyle w:val="FootnoteReference"/>
          <w:sz w:val="20"/>
          <w:szCs w:val="20"/>
        </w:rPr>
        <w:footnoteRef/>
      </w:r>
      <w:r w:rsidRPr="001D25C1">
        <w:rPr>
          <w:sz w:val="20"/>
          <w:szCs w:val="20"/>
        </w:rPr>
        <w:t xml:space="preserve"> Child Act 2001, Section 97(2).</w:t>
      </w:r>
    </w:p>
  </w:footnote>
  <w:footnote w:id="15">
    <w:p w14:paraId="2790220B" w14:textId="74166449" w:rsidR="00097DE9" w:rsidRPr="001D25C1" w:rsidRDefault="00097DE9" w:rsidP="00D9590C">
      <w:pPr>
        <w:pStyle w:val="FootnoteText"/>
        <w:rPr>
          <w:sz w:val="20"/>
          <w:szCs w:val="20"/>
        </w:rPr>
      </w:pPr>
      <w:r w:rsidRPr="001D25C1">
        <w:rPr>
          <w:rStyle w:val="FootnoteReference"/>
          <w:sz w:val="20"/>
          <w:szCs w:val="20"/>
        </w:rPr>
        <w:footnoteRef/>
      </w:r>
      <w:r w:rsidRPr="001D25C1">
        <w:rPr>
          <w:sz w:val="20"/>
          <w:szCs w:val="20"/>
        </w:rPr>
        <w:t xml:space="preserve"> Child Act 2001, Section 97(3). </w:t>
      </w:r>
    </w:p>
  </w:footnote>
  <w:footnote w:id="16">
    <w:p w14:paraId="4F2A106E" w14:textId="03EF9872" w:rsidR="003B20E1" w:rsidRPr="001D25C1" w:rsidRDefault="003B20E1" w:rsidP="00D9590C">
      <w:pPr>
        <w:pStyle w:val="FootnoteText"/>
        <w:rPr>
          <w:sz w:val="20"/>
          <w:szCs w:val="20"/>
        </w:rPr>
      </w:pPr>
      <w:r w:rsidRPr="001D25C1">
        <w:rPr>
          <w:rStyle w:val="FootnoteReference"/>
          <w:sz w:val="20"/>
          <w:szCs w:val="20"/>
        </w:rPr>
        <w:footnoteRef/>
      </w:r>
      <w:r w:rsidRPr="001D25C1">
        <w:rPr>
          <w:sz w:val="20"/>
          <w:szCs w:val="20"/>
        </w:rPr>
        <w:t xml:space="preserve"> Child Act 2001, Section </w:t>
      </w:r>
      <w:r w:rsidR="002E5AEC" w:rsidRPr="001D25C1">
        <w:rPr>
          <w:sz w:val="20"/>
          <w:szCs w:val="20"/>
        </w:rPr>
        <w:t>97(4).</w:t>
      </w:r>
    </w:p>
  </w:footnote>
  <w:footnote w:id="17">
    <w:p w14:paraId="1A40B585" w14:textId="77777777" w:rsidR="007A00AF" w:rsidRPr="001D25C1" w:rsidRDefault="007A00AF" w:rsidP="00D9590C">
      <w:pPr>
        <w:pStyle w:val="FootnoteText"/>
        <w:rPr>
          <w:sz w:val="20"/>
          <w:szCs w:val="20"/>
        </w:rPr>
      </w:pPr>
      <w:r w:rsidRPr="001D25C1">
        <w:rPr>
          <w:rStyle w:val="FootnoteReference"/>
          <w:sz w:val="20"/>
          <w:szCs w:val="20"/>
        </w:rPr>
        <w:footnoteRef/>
      </w:r>
      <w:r w:rsidRPr="001D25C1">
        <w:rPr>
          <w:sz w:val="20"/>
          <w:szCs w:val="20"/>
        </w:rPr>
        <w:t xml:space="preserve"> Committee on the Rights of the Child, </w:t>
      </w:r>
      <w:r w:rsidRPr="001D25C1">
        <w:rPr>
          <w:i/>
          <w:iCs/>
          <w:sz w:val="20"/>
          <w:szCs w:val="20"/>
        </w:rPr>
        <w:t>Combined second to fourth periodic reports submitted by Malaysia under article 44 of the Convention, due in 2012</w:t>
      </w:r>
      <w:r w:rsidRPr="001D25C1">
        <w:rPr>
          <w:sz w:val="20"/>
          <w:szCs w:val="20"/>
        </w:rPr>
        <w:t xml:space="preserve"> (16 Apr. 2024), UN Doc. CRC/C/MYS/2-4, ¶¶ 169-175.</w:t>
      </w:r>
    </w:p>
  </w:footnote>
  <w:footnote w:id="18">
    <w:p w14:paraId="24FFF223" w14:textId="6F7B0619" w:rsidR="007A00AF" w:rsidRPr="001D25C1" w:rsidRDefault="007A00AF" w:rsidP="00D9590C">
      <w:pPr>
        <w:pStyle w:val="FootnoteText"/>
        <w:rPr>
          <w:sz w:val="20"/>
          <w:szCs w:val="20"/>
        </w:rPr>
      </w:pPr>
      <w:r w:rsidRPr="001D25C1">
        <w:rPr>
          <w:rStyle w:val="FootnoteReference"/>
          <w:sz w:val="20"/>
          <w:szCs w:val="20"/>
        </w:rPr>
        <w:footnoteRef/>
      </w:r>
      <w:r w:rsidRPr="001D25C1">
        <w:rPr>
          <w:sz w:val="20"/>
          <w:szCs w:val="20"/>
        </w:rPr>
        <w:t xml:space="preserve"> Anti</w:t>
      </w:r>
      <w:r w:rsidR="0030579C" w:rsidRPr="001D25C1">
        <w:rPr>
          <w:sz w:val="20"/>
          <w:szCs w:val="20"/>
        </w:rPr>
        <w:t>-</w:t>
      </w:r>
      <w:r w:rsidRPr="001D25C1">
        <w:rPr>
          <w:sz w:val="20"/>
          <w:szCs w:val="20"/>
        </w:rPr>
        <w:t>Death Penalty Asia Network, email communication dated 25 Oct. 2024, on file with The Advocates for Human Rights</w:t>
      </w:r>
      <w:r w:rsidR="0001255B" w:rsidRPr="001D25C1">
        <w:rPr>
          <w:sz w:val="20"/>
          <w:szCs w:val="20"/>
        </w:rPr>
        <w:t>.</w:t>
      </w:r>
      <w:r w:rsidR="00F37EA8" w:rsidRPr="001D25C1">
        <w:rPr>
          <w:sz w:val="20"/>
          <w:szCs w:val="20"/>
        </w:rPr>
        <w:t xml:space="preserve"> </w:t>
      </w:r>
      <w:r w:rsidR="00F37EA8" w:rsidRPr="001D25C1">
        <w:rPr>
          <w:i/>
          <w:iCs/>
          <w:sz w:val="20"/>
          <w:szCs w:val="20"/>
        </w:rPr>
        <w:t xml:space="preserve">See also </w:t>
      </w:r>
      <w:r w:rsidR="0001255B" w:rsidRPr="001D25C1">
        <w:rPr>
          <w:sz w:val="20"/>
          <w:szCs w:val="20"/>
        </w:rPr>
        <w:t xml:space="preserve"> </w:t>
      </w:r>
      <w:r w:rsidR="004B5DC8" w:rsidRPr="001D25C1">
        <w:rPr>
          <w:sz w:val="20"/>
          <w:szCs w:val="20"/>
        </w:rPr>
        <w:t xml:space="preserve">Government of Malaysia Ministry of Women, Family and Community Development and UNICEF Malaysia, 'The Malaysian Juvenile Justice System: A Study for Handling Children in Conflict with the Law' (2013), at 25 </w:t>
      </w:r>
      <w:hyperlink r:id="rId2">
        <w:r w:rsidR="004B5DC8" w:rsidRPr="001D25C1">
          <w:rPr>
            <w:color w:val="0000FF"/>
            <w:sz w:val="20"/>
            <w:szCs w:val="20"/>
            <w:u w:val="single"/>
          </w:rPr>
          <w:t>http://www.iccwtnispcanarc.org/upload/pdf/1672867150Malaysian%20Juvenile%20Justice%20System.pdf</w:t>
        </w:r>
      </w:hyperlink>
      <w:r w:rsidR="004B5DC8" w:rsidRPr="001D25C1">
        <w:rPr>
          <w:sz w:val="20"/>
          <w:szCs w:val="20"/>
        </w:rPr>
        <w:t xml:space="preserve"> (</w:t>
      </w:r>
      <w:r w:rsidR="001D2B61" w:rsidRPr="001D25C1">
        <w:rPr>
          <w:sz w:val="20"/>
          <w:szCs w:val="20"/>
        </w:rPr>
        <w:t xml:space="preserve">opining that </w:t>
      </w:r>
      <w:r w:rsidR="004B5DC8" w:rsidRPr="001D25C1">
        <w:rPr>
          <w:sz w:val="20"/>
          <w:szCs w:val="20"/>
        </w:rPr>
        <w:t>“</w:t>
      </w:r>
      <w:r w:rsidR="001D2B61" w:rsidRPr="001D25C1">
        <w:rPr>
          <w:sz w:val="20"/>
          <w:szCs w:val="20"/>
        </w:rPr>
        <w:t>w</w:t>
      </w:r>
      <w:r w:rsidR="004B5DC8" w:rsidRPr="001D25C1">
        <w:rPr>
          <w:sz w:val="20"/>
          <w:szCs w:val="20"/>
        </w:rPr>
        <w:t xml:space="preserve">hile the </w:t>
      </w:r>
      <w:r w:rsidR="004250D3" w:rsidRPr="001D25C1">
        <w:rPr>
          <w:sz w:val="20"/>
          <w:szCs w:val="20"/>
        </w:rPr>
        <w:t>Child Act does not state so explicitly, the special protection for children relating to procedures for arrest, detention, trial, and sentencing should still apply equally, regardless of whether the case is before the High Court rather than the Court for Children”)</w:t>
      </w:r>
      <w:r w:rsidR="001D2B61" w:rsidRPr="001D25C1">
        <w:rPr>
          <w:sz w:val="20"/>
          <w:szCs w:val="20"/>
        </w:rPr>
        <w:t>.</w:t>
      </w:r>
    </w:p>
  </w:footnote>
  <w:footnote w:id="19">
    <w:p w14:paraId="3055A890" w14:textId="700AD4D6" w:rsidR="00062296" w:rsidRPr="001D25C1" w:rsidRDefault="00062296" w:rsidP="00D9590C">
      <w:pPr>
        <w:pStyle w:val="FootnoteText"/>
        <w:rPr>
          <w:sz w:val="20"/>
          <w:szCs w:val="20"/>
        </w:rPr>
      </w:pPr>
      <w:r w:rsidRPr="001D25C1">
        <w:rPr>
          <w:rStyle w:val="FootnoteReference"/>
          <w:sz w:val="20"/>
          <w:szCs w:val="20"/>
        </w:rPr>
        <w:footnoteRef/>
      </w:r>
      <w:r w:rsidRPr="001D25C1">
        <w:rPr>
          <w:sz w:val="20"/>
          <w:szCs w:val="20"/>
        </w:rPr>
        <w:t xml:space="preserve"> </w:t>
      </w:r>
      <w:r w:rsidR="006346D2" w:rsidRPr="001D25C1">
        <w:rPr>
          <w:sz w:val="20"/>
          <w:szCs w:val="20"/>
        </w:rPr>
        <w:t xml:space="preserve">Child Act 2001, Section 11(5); </w:t>
      </w:r>
      <w:r w:rsidR="0064441C" w:rsidRPr="001D25C1">
        <w:rPr>
          <w:sz w:val="20"/>
          <w:szCs w:val="20"/>
        </w:rPr>
        <w:t>Government of Malaysia Ministry of Women, Family and Community Development and UNICEF Malaysia, 'The Malaysian Juvenile Justice System: A Study for Handling Children in Conflict with the Law' (2013)</w:t>
      </w:r>
      <w:r w:rsidR="00436BEC" w:rsidRPr="001D25C1">
        <w:rPr>
          <w:sz w:val="20"/>
          <w:szCs w:val="20"/>
        </w:rPr>
        <w:t>, at 24-25</w:t>
      </w:r>
      <w:r w:rsidR="0064441C" w:rsidRPr="001D25C1">
        <w:rPr>
          <w:sz w:val="20"/>
          <w:szCs w:val="20"/>
        </w:rPr>
        <w:t xml:space="preserve"> </w:t>
      </w:r>
      <w:hyperlink r:id="rId3">
        <w:r w:rsidR="0064441C" w:rsidRPr="001D25C1">
          <w:rPr>
            <w:color w:val="0000FF"/>
            <w:sz w:val="20"/>
            <w:szCs w:val="20"/>
            <w:u w:val="single"/>
          </w:rPr>
          <w:t>http://www.iccwtnispcanarc.org/upload/pdf/1672867150Malaysian%20Juvenile%20Justice%20System.pdf</w:t>
        </w:r>
      </w:hyperlink>
      <w:r w:rsidR="00240538" w:rsidRPr="001D25C1">
        <w:rPr>
          <w:sz w:val="20"/>
          <w:szCs w:val="20"/>
        </w:rPr>
        <w:t xml:space="preserve"> (citing Child Act 2001, Section 11(5).</w:t>
      </w:r>
    </w:p>
  </w:footnote>
  <w:footnote w:id="20">
    <w:p w14:paraId="10EF453C" w14:textId="5DA5E99D" w:rsidR="00DB732D" w:rsidRPr="001D25C1" w:rsidRDefault="00DB732D" w:rsidP="00D9590C">
      <w:pPr>
        <w:pStyle w:val="FootnoteText"/>
        <w:rPr>
          <w:sz w:val="20"/>
          <w:szCs w:val="20"/>
        </w:rPr>
      </w:pPr>
      <w:r w:rsidRPr="001D25C1">
        <w:rPr>
          <w:rStyle w:val="FootnoteReference"/>
          <w:sz w:val="20"/>
          <w:szCs w:val="20"/>
        </w:rPr>
        <w:footnoteRef/>
      </w:r>
      <w:r w:rsidRPr="001D25C1">
        <w:rPr>
          <w:sz w:val="20"/>
          <w:szCs w:val="20"/>
        </w:rPr>
        <w:t xml:space="preserve"> </w:t>
      </w:r>
      <w:r w:rsidR="00BA35F5" w:rsidRPr="001D25C1">
        <w:rPr>
          <w:sz w:val="20"/>
          <w:szCs w:val="20"/>
        </w:rPr>
        <w:t xml:space="preserve">Izwan Ikhsan, </w:t>
      </w:r>
      <w:r w:rsidR="00BA35F5" w:rsidRPr="001D25C1">
        <w:rPr>
          <w:i/>
          <w:iCs/>
          <w:sz w:val="20"/>
          <w:szCs w:val="20"/>
        </w:rPr>
        <w:t>Sentencing Child Offenders in Malaysia: When Practice Meets its Purpose</w:t>
      </w:r>
      <w:r w:rsidR="00BA35F5" w:rsidRPr="001D25C1">
        <w:rPr>
          <w:sz w:val="20"/>
          <w:szCs w:val="20"/>
        </w:rPr>
        <w:t xml:space="preserve">, </w:t>
      </w:r>
      <w:r w:rsidR="00FD686A" w:rsidRPr="001D25C1">
        <w:rPr>
          <w:sz w:val="20"/>
          <w:szCs w:val="20"/>
        </w:rPr>
        <w:t xml:space="preserve">International Journal of Academic Research in Business and Social Sciences (July 2022), </w:t>
      </w:r>
      <w:r w:rsidR="00A47F65" w:rsidRPr="001D25C1">
        <w:rPr>
          <w:sz w:val="20"/>
          <w:szCs w:val="20"/>
        </w:rPr>
        <w:t>at 1229</w:t>
      </w:r>
      <w:r w:rsidR="008B3C5D" w:rsidRPr="001D25C1">
        <w:rPr>
          <w:sz w:val="20"/>
          <w:szCs w:val="20"/>
        </w:rPr>
        <w:t>.</w:t>
      </w:r>
    </w:p>
  </w:footnote>
  <w:footnote w:id="21">
    <w:p w14:paraId="51106825" w14:textId="558BE983" w:rsidR="00311D91" w:rsidRPr="001D25C1" w:rsidRDefault="00311D91" w:rsidP="00D9590C">
      <w:pPr>
        <w:pStyle w:val="FootnoteText"/>
        <w:rPr>
          <w:sz w:val="20"/>
          <w:szCs w:val="20"/>
        </w:rPr>
      </w:pPr>
      <w:r w:rsidRPr="001D25C1">
        <w:rPr>
          <w:rStyle w:val="FootnoteReference"/>
          <w:sz w:val="20"/>
          <w:szCs w:val="20"/>
        </w:rPr>
        <w:footnoteRef/>
      </w:r>
      <w:r w:rsidRPr="001D25C1">
        <w:rPr>
          <w:sz w:val="20"/>
          <w:szCs w:val="20"/>
        </w:rPr>
        <w:t xml:space="preserve"> Child Act 2001, Section 9</w:t>
      </w:r>
      <w:r w:rsidR="00945B3A" w:rsidRPr="001D25C1">
        <w:rPr>
          <w:sz w:val="20"/>
          <w:szCs w:val="20"/>
        </w:rPr>
        <w:t>6.</w:t>
      </w:r>
    </w:p>
  </w:footnote>
  <w:footnote w:id="22">
    <w:p w14:paraId="5B21E75B" w14:textId="3E2937C7" w:rsidR="00C90D0B" w:rsidRPr="001D25C1" w:rsidRDefault="00C90D0B" w:rsidP="00D9590C">
      <w:pPr>
        <w:pStyle w:val="FootnoteText"/>
        <w:rPr>
          <w:sz w:val="20"/>
          <w:szCs w:val="20"/>
        </w:rPr>
      </w:pPr>
      <w:r w:rsidRPr="001D25C1">
        <w:rPr>
          <w:rStyle w:val="FootnoteReference"/>
          <w:sz w:val="20"/>
          <w:szCs w:val="20"/>
        </w:rPr>
        <w:footnoteRef/>
      </w:r>
      <w:r w:rsidRPr="001D25C1">
        <w:rPr>
          <w:sz w:val="20"/>
          <w:szCs w:val="20"/>
        </w:rPr>
        <w:t xml:space="preserve"> Child Act 2001, Section 117.</w:t>
      </w:r>
    </w:p>
  </w:footnote>
  <w:footnote w:id="23">
    <w:p w14:paraId="77194BF2" w14:textId="597B09ED" w:rsidR="003F1DA2" w:rsidRPr="001D25C1" w:rsidRDefault="003F1DA2" w:rsidP="00D9590C">
      <w:pPr>
        <w:pStyle w:val="FootnoteText"/>
        <w:rPr>
          <w:sz w:val="20"/>
          <w:szCs w:val="20"/>
        </w:rPr>
      </w:pPr>
      <w:r w:rsidRPr="001D25C1">
        <w:rPr>
          <w:rStyle w:val="FootnoteReference"/>
          <w:sz w:val="20"/>
          <w:szCs w:val="20"/>
        </w:rPr>
        <w:footnoteRef/>
      </w:r>
      <w:r w:rsidRPr="001D25C1">
        <w:rPr>
          <w:sz w:val="20"/>
          <w:szCs w:val="20"/>
        </w:rPr>
        <w:t xml:space="preserve"> Child Act 2001, Section 95(1).</w:t>
      </w:r>
    </w:p>
  </w:footnote>
  <w:footnote w:id="24">
    <w:p w14:paraId="23DD1F13" w14:textId="12799EC5" w:rsidR="00B50290" w:rsidRPr="001D25C1" w:rsidRDefault="00B50290" w:rsidP="00D9590C">
      <w:pPr>
        <w:pStyle w:val="FootnoteText"/>
        <w:rPr>
          <w:sz w:val="20"/>
          <w:szCs w:val="20"/>
        </w:rPr>
      </w:pPr>
      <w:r w:rsidRPr="001D25C1">
        <w:rPr>
          <w:rStyle w:val="FootnoteReference"/>
          <w:sz w:val="20"/>
          <w:szCs w:val="20"/>
        </w:rPr>
        <w:footnoteRef/>
      </w:r>
      <w:r w:rsidRPr="001D25C1">
        <w:rPr>
          <w:sz w:val="20"/>
          <w:szCs w:val="20"/>
        </w:rPr>
        <w:t xml:space="preserve"> </w:t>
      </w:r>
      <w:r w:rsidR="00E13D21" w:rsidRPr="001D25C1">
        <w:rPr>
          <w:sz w:val="20"/>
          <w:szCs w:val="20"/>
        </w:rPr>
        <w:t xml:space="preserve">Convention on the Rights of the Child: Report of the Roundtable Discussion, SUKAHAM, Jan. 2004, </w:t>
      </w:r>
      <w:r w:rsidRPr="001D25C1">
        <w:rPr>
          <w:sz w:val="20"/>
          <w:szCs w:val="20"/>
        </w:rPr>
        <w:t>at 24.</w:t>
      </w:r>
    </w:p>
  </w:footnote>
  <w:footnote w:id="25">
    <w:p w14:paraId="330AD5DE" w14:textId="44B637BF" w:rsidR="00CE7046" w:rsidRPr="001D25C1" w:rsidRDefault="00CE7046" w:rsidP="00D9590C">
      <w:pPr>
        <w:pStyle w:val="FootnoteText"/>
        <w:rPr>
          <w:sz w:val="20"/>
          <w:szCs w:val="20"/>
        </w:rPr>
      </w:pPr>
      <w:r w:rsidRPr="001D25C1">
        <w:rPr>
          <w:rStyle w:val="FootnoteReference"/>
          <w:sz w:val="20"/>
          <w:szCs w:val="20"/>
        </w:rPr>
        <w:footnoteRef/>
      </w:r>
      <w:r w:rsidRPr="001D25C1">
        <w:rPr>
          <w:sz w:val="20"/>
          <w:szCs w:val="20"/>
        </w:rPr>
        <w:t xml:space="preserve"> </w:t>
      </w:r>
      <w:r w:rsidR="004C5570" w:rsidRPr="001D25C1">
        <w:rPr>
          <w:sz w:val="20"/>
          <w:szCs w:val="20"/>
        </w:rPr>
        <w:t xml:space="preserve">Revision of Sentence of Death and Imprisonment for Natural Life (Temporary Jurisdiction of the Federal Court) Bill 2023, </w:t>
      </w:r>
      <w:r w:rsidR="0020459E" w:rsidRPr="001D25C1">
        <w:rPr>
          <w:sz w:val="20"/>
          <w:szCs w:val="20"/>
        </w:rPr>
        <w:t>Sections 2</w:t>
      </w:r>
      <w:r w:rsidR="00ED4519" w:rsidRPr="001D25C1">
        <w:rPr>
          <w:sz w:val="20"/>
          <w:szCs w:val="20"/>
        </w:rPr>
        <w:t>(1)</w:t>
      </w:r>
      <w:r w:rsidR="0020459E" w:rsidRPr="001D25C1">
        <w:rPr>
          <w:sz w:val="20"/>
          <w:szCs w:val="20"/>
        </w:rPr>
        <w:t>, 4</w:t>
      </w:r>
      <w:r w:rsidR="00ED4519" w:rsidRPr="001D25C1">
        <w:rPr>
          <w:sz w:val="20"/>
          <w:szCs w:val="20"/>
        </w:rPr>
        <w:t>(1)</w:t>
      </w:r>
      <w:r w:rsidR="0020459E" w:rsidRPr="001D25C1">
        <w:rPr>
          <w:sz w:val="20"/>
          <w:szCs w:val="20"/>
        </w:rPr>
        <w:t xml:space="preserve">. </w:t>
      </w:r>
    </w:p>
  </w:footnote>
  <w:footnote w:id="26">
    <w:p w14:paraId="15F14FD3" w14:textId="410001AE" w:rsidR="002A2C9D" w:rsidRPr="001D25C1" w:rsidRDefault="002A2C9D" w:rsidP="00D9590C">
      <w:pPr>
        <w:pStyle w:val="FootnoteText"/>
        <w:rPr>
          <w:sz w:val="20"/>
          <w:szCs w:val="20"/>
        </w:rPr>
      </w:pPr>
      <w:r w:rsidRPr="001D25C1">
        <w:rPr>
          <w:rStyle w:val="FootnoteReference"/>
          <w:sz w:val="20"/>
          <w:szCs w:val="20"/>
        </w:rPr>
        <w:footnoteRef/>
      </w:r>
      <w:r w:rsidRPr="001D25C1">
        <w:rPr>
          <w:sz w:val="20"/>
          <w:szCs w:val="20"/>
        </w:rPr>
        <w:t xml:space="preserve"> Anti</w:t>
      </w:r>
      <w:r w:rsidR="00064736" w:rsidRPr="001D25C1">
        <w:rPr>
          <w:sz w:val="20"/>
          <w:szCs w:val="20"/>
        </w:rPr>
        <w:t>-</w:t>
      </w:r>
      <w:r w:rsidRPr="001D25C1">
        <w:rPr>
          <w:sz w:val="20"/>
          <w:szCs w:val="20"/>
        </w:rPr>
        <w:t>Death Penalty Asia Network, email communication dated 25 Oct. 2024, on file with The Advocates for Human Rights.</w:t>
      </w:r>
    </w:p>
  </w:footnote>
  <w:footnote w:id="27">
    <w:p w14:paraId="298FDA86" w14:textId="58A1A14B" w:rsidR="00DA5706" w:rsidRPr="001D25C1" w:rsidRDefault="00DA5706" w:rsidP="00D9590C">
      <w:pPr>
        <w:pStyle w:val="FootnoteText"/>
        <w:rPr>
          <w:sz w:val="20"/>
          <w:szCs w:val="20"/>
        </w:rPr>
      </w:pPr>
      <w:r w:rsidRPr="001D25C1">
        <w:rPr>
          <w:rStyle w:val="FootnoteReference"/>
          <w:sz w:val="20"/>
          <w:szCs w:val="20"/>
        </w:rPr>
        <w:footnoteRef/>
      </w:r>
      <w:r w:rsidRPr="001D25C1">
        <w:rPr>
          <w:sz w:val="20"/>
          <w:szCs w:val="20"/>
        </w:rPr>
        <w:t xml:space="preserve"> </w:t>
      </w:r>
      <w:r w:rsidR="00AC24FE" w:rsidRPr="001D25C1">
        <w:rPr>
          <w:sz w:val="20"/>
          <w:szCs w:val="20"/>
        </w:rPr>
        <w:t xml:space="preserve">Aminuddin Mustaffa, ‘Diversion Under Malaysian Juvenile Justice System: A Case of Too Little Too Late?’ (2016) 11 </w:t>
      </w:r>
      <w:r w:rsidR="00AC24FE" w:rsidRPr="001D25C1">
        <w:rPr>
          <w:i/>
          <w:sz w:val="20"/>
          <w:szCs w:val="20"/>
        </w:rPr>
        <w:t xml:space="preserve">Asian Journal of Criminology </w:t>
      </w:r>
      <w:r w:rsidR="00AC24FE" w:rsidRPr="001D25C1">
        <w:rPr>
          <w:sz w:val="20"/>
          <w:szCs w:val="20"/>
        </w:rPr>
        <w:t>135.</w:t>
      </w:r>
    </w:p>
  </w:footnote>
  <w:footnote w:id="28">
    <w:p w14:paraId="05973853" w14:textId="384D3B4A" w:rsidR="004A2E08" w:rsidRPr="001D25C1" w:rsidRDefault="004A2E08" w:rsidP="00D9590C">
      <w:pPr>
        <w:pStyle w:val="FootnoteText"/>
        <w:rPr>
          <w:sz w:val="20"/>
          <w:szCs w:val="20"/>
        </w:rPr>
      </w:pPr>
      <w:r w:rsidRPr="001D25C1">
        <w:rPr>
          <w:rStyle w:val="FootnoteReference"/>
          <w:sz w:val="20"/>
          <w:szCs w:val="20"/>
        </w:rPr>
        <w:footnoteRef/>
      </w:r>
      <w:r w:rsidRPr="001D25C1">
        <w:rPr>
          <w:sz w:val="20"/>
          <w:szCs w:val="20"/>
        </w:rPr>
        <w:t xml:space="preserve"> Anti</w:t>
      </w:r>
      <w:r w:rsidR="00064736" w:rsidRPr="001D25C1">
        <w:rPr>
          <w:sz w:val="20"/>
          <w:szCs w:val="20"/>
        </w:rPr>
        <w:t>-</w:t>
      </w:r>
      <w:r w:rsidRPr="001D25C1">
        <w:rPr>
          <w:sz w:val="20"/>
          <w:szCs w:val="20"/>
        </w:rPr>
        <w:t>Death Penalty Asia Network, email communication dated 25 Oct. 2024, on file with The Advocates for Human Rights.</w:t>
      </w:r>
    </w:p>
  </w:footnote>
  <w:footnote w:id="29">
    <w:p w14:paraId="0C6AEC1B" w14:textId="05E85FE0" w:rsidR="00940255" w:rsidRPr="001D25C1" w:rsidRDefault="00940255" w:rsidP="00D9590C">
      <w:pPr>
        <w:pStyle w:val="FootnoteText"/>
        <w:rPr>
          <w:sz w:val="20"/>
          <w:szCs w:val="20"/>
        </w:rPr>
      </w:pPr>
      <w:r w:rsidRPr="001D25C1">
        <w:rPr>
          <w:rStyle w:val="FootnoteReference"/>
          <w:sz w:val="20"/>
          <w:szCs w:val="20"/>
        </w:rPr>
        <w:footnoteRef/>
      </w:r>
      <w:r w:rsidRPr="001D25C1">
        <w:rPr>
          <w:sz w:val="20"/>
          <w:szCs w:val="20"/>
        </w:rPr>
        <w:t xml:space="preserve"> Anti</w:t>
      </w:r>
      <w:r w:rsidR="00064736" w:rsidRPr="001D25C1">
        <w:rPr>
          <w:sz w:val="20"/>
          <w:szCs w:val="20"/>
        </w:rPr>
        <w:t>-</w:t>
      </w:r>
      <w:r w:rsidRPr="001D25C1">
        <w:rPr>
          <w:sz w:val="20"/>
          <w:szCs w:val="20"/>
        </w:rPr>
        <w:t>Death Penalty Asia Network, email communication dated 25 Oct. 2024, on file with The Advocates for Human Rights.</w:t>
      </w:r>
    </w:p>
  </w:footnote>
  <w:footnote w:id="30">
    <w:p w14:paraId="0C3CFD2A" w14:textId="30C6BEDE" w:rsidR="000728C8" w:rsidRPr="001D25C1" w:rsidRDefault="000728C8" w:rsidP="00D9590C">
      <w:pPr>
        <w:pStyle w:val="FootnoteText"/>
        <w:rPr>
          <w:sz w:val="20"/>
          <w:szCs w:val="20"/>
        </w:rPr>
      </w:pPr>
      <w:r w:rsidRPr="001D25C1">
        <w:rPr>
          <w:rStyle w:val="FootnoteReference"/>
          <w:sz w:val="20"/>
          <w:szCs w:val="20"/>
        </w:rPr>
        <w:footnoteRef/>
      </w:r>
      <w:r w:rsidRPr="001D25C1">
        <w:rPr>
          <w:sz w:val="20"/>
          <w:szCs w:val="20"/>
        </w:rPr>
        <w:t xml:space="preserve"> Government of Malaysia Ministry of Women, Family and Community Development and UNICEF Malaysia, 'The Malaysian Juvenile Justice System: A Study for Handling Children in Conflict with the Law' (2013), at 25 </w:t>
      </w:r>
      <w:hyperlink r:id="rId4">
        <w:r w:rsidRPr="001D25C1">
          <w:rPr>
            <w:color w:val="0000FF"/>
            <w:sz w:val="20"/>
            <w:szCs w:val="20"/>
            <w:u w:val="single"/>
          </w:rPr>
          <w:t>http://www.iccwtnispcanarc.org/upload/pdf/1672867150Malaysian%20Juvenile%20Justice%20System.pdf</w:t>
        </w:r>
      </w:hyperlink>
    </w:p>
  </w:footnote>
  <w:footnote w:id="31">
    <w:p w14:paraId="79415C18" w14:textId="3EF3E485" w:rsidR="008127A2" w:rsidRPr="001D25C1" w:rsidRDefault="008127A2" w:rsidP="00D9590C">
      <w:pPr>
        <w:pStyle w:val="FootnoteText"/>
        <w:rPr>
          <w:sz w:val="20"/>
          <w:szCs w:val="20"/>
        </w:rPr>
      </w:pPr>
      <w:r w:rsidRPr="001D25C1">
        <w:rPr>
          <w:rStyle w:val="FootnoteReference"/>
          <w:sz w:val="20"/>
          <w:szCs w:val="20"/>
        </w:rPr>
        <w:footnoteRef/>
      </w:r>
      <w:r w:rsidRPr="001D25C1">
        <w:rPr>
          <w:sz w:val="20"/>
          <w:szCs w:val="20"/>
        </w:rPr>
        <w:t xml:space="preserve"> Abolition of Mandatory Death Penalty Act 2023, Sections 40-46.</w:t>
      </w:r>
      <w:r w:rsidR="004C35A3" w:rsidRPr="001D25C1">
        <w:rPr>
          <w:sz w:val="20"/>
          <w:szCs w:val="20"/>
        </w:rPr>
        <w:t xml:space="preserve"> </w:t>
      </w:r>
      <w:r w:rsidR="004C35A3" w:rsidRPr="001D25C1">
        <w:rPr>
          <w:i/>
          <w:iCs/>
          <w:sz w:val="20"/>
          <w:szCs w:val="20"/>
        </w:rPr>
        <w:t xml:space="preserve">See also </w:t>
      </w:r>
      <w:r w:rsidR="002B3F64" w:rsidRPr="001D25C1">
        <w:rPr>
          <w:sz w:val="20"/>
          <w:szCs w:val="20"/>
        </w:rPr>
        <w:t xml:space="preserve">Amnesty International, 'Reforms of Mandatory Death Penalty in Malaysia: What Do The Bills Say?' (29 March 2023), at </w:t>
      </w:r>
      <w:r w:rsidR="00FA3024" w:rsidRPr="001D25C1">
        <w:rPr>
          <w:sz w:val="20"/>
          <w:szCs w:val="20"/>
        </w:rPr>
        <w:t>14-15</w:t>
      </w:r>
      <w:r w:rsidR="002B3F64" w:rsidRPr="001D25C1">
        <w:rPr>
          <w:sz w:val="20"/>
          <w:szCs w:val="20"/>
        </w:rPr>
        <w:t xml:space="preserve">  </w:t>
      </w:r>
      <w:hyperlink r:id="rId5">
        <w:r w:rsidR="002B3F64" w:rsidRPr="001D25C1">
          <w:rPr>
            <w:color w:val="0000FF"/>
            <w:sz w:val="20"/>
            <w:szCs w:val="20"/>
            <w:u w:val="single"/>
          </w:rPr>
          <w:t>https://www.amnesty.my/wp-content/uploads/2023/03/Amnesty-International_Analysis-of-the-Bills-to-Abolish-The-Mandatory-Death-Penalty-in-Malaysia_March-2023-3.pdf</w:t>
        </w:r>
      </w:hyperlink>
      <w:r w:rsidR="002B3F64" w:rsidRPr="001D25C1">
        <w:rPr>
          <w:sz w:val="20"/>
          <w:szCs w:val="20"/>
        </w:rPr>
        <w:t xml:space="preserve">. </w:t>
      </w:r>
    </w:p>
  </w:footnote>
  <w:footnote w:id="32">
    <w:p w14:paraId="3A6936F8" w14:textId="2D92920B" w:rsidR="008127A2" w:rsidRPr="001D25C1" w:rsidRDefault="008127A2" w:rsidP="00D9590C">
      <w:pPr>
        <w:pStyle w:val="FootnoteText"/>
        <w:rPr>
          <w:sz w:val="20"/>
          <w:szCs w:val="20"/>
        </w:rPr>
      </w:pPr>
      <w:r w:rsidRPr="001D25C1">
        <w:rPr>
          <w:rStyle w:val="FootnoteReference"/>
          <w:sz w:val="20"/>
          <w:szCs w:val="20"/>
        </w:rPr>
        <w:footnoteRef/>
      </w:r>
      <w:r w:rsidRPr="001D25C1">
        <w:rPr>
          <w:sz w:val="20"/>
          <w:szCs w:val="20"/>
        </w:rPr>
        <w:t xml:space="preserve"> Abolition of Mandatory Death Penalty Act 2023</w:t>
      </w:r>
      <w:r w:rsidR="001D7600" w:rsidRPr="001D25C1">
        <w:rPr>
          <w:sz w:val="20"/>
          <w:szCs w:val="20"/>
        </w:rPr>
        <w:t xml:space="preserve"> (preface)</w:t>
      </w:r>
      <w:r w:rsidR="004C35A3" w:rsidRPr="001D25C1">
        <w:rPr>
          <w:sz w:val="20"/>
          <w:szCs w:val="20"/>
        </w:rPr>
        <w:t xml:space="preserve">. </w:t>
      </w:r>
      <w:r w:rsidR="004C35A3" w:rsidRPr="001D25C1">
        <w:rPr>
          <w:i/>
          <w:iCs/>
          <w:sz w:val="20"/>
          <w:szCs w:val="20"/>
        </w:rPr>
        <w:t xml:space="preserve">See also </w:t>
      </w:r>
      <w:r w:rsidR="00FA3024" w:rsidRPr="001D25C1">
        <w:rPr>
          <w:sz w:val="20"/>
          <w:szCs w:val="20"/>
        </w:rPr>
        <w:t xml:space="preserve">Amnesty International, 'Reforms of Mandatory Death Penalty in Malaysia: What Do The Bills Say?' (29 March 2023)  </w:t>
      </w:r>
      <w:hyperlink r:id="rId6">
        <w:r w:rsidR="00FA3024" w:rsidRPr="001D25C1">
          <w:rPr>
            <w:color w:val="0000FF"/>
            <w:sz w:val="20"/>
            <w:szCs w:val="20"/>
            <w:u w:val="single"/>
          </w:rPr>
          <w:t>https://www.amnesty.my/wp-content/uploads/2023/03/Amnesty-International_Analysis-of-the-Bills-to-Abolish-The-Mandatory-Death-Penalty-in-Malaysia_March-2023-3.pdf</w:t>
        </w:r>
      </w:hyperlink>
      <w:r w:rsidR="00FA3024" w:rsidRPr="001D25C1">
        <w:rPr>
          <w:sz w:val="20"/>
          <w:szCs w:val="20"/>
        </w:rPr>
        <w:t>.</w:t>
      </w:r>
    </w:p>
  </w:footnote>
  <w:footnote w:id="33">
    <w:p w14:paraId="2ACE6D7F" w14:textId="6F50AE6E" w:rsidR="002E55BB" w:rsidRPr="001D25C1" w:rsidRDefault="002E55BB">
      <w:pPr>
        <w:pStyle w:val="FootnoteText"/>
        <w:rPr>
          <w:sz w:val="20"/>
          <w:szCs w:val="20"/>
        </w:rPr>
      </w:pPr>
      <w:r w:rsidRPr="001D25C1">
        <w:rPr>
          <w:rStyle w:val="FootnoteReference"/>
          <w:sz w:val="20"/>
          <w:szCs w:val="20"/>
        </w:rPr>
        <w:footnoteRef/>
      </w:r>
      <w:r w:rsidRPr="001D25C1">
        <w:rPr>
          <w:sz w:val="20"/>
          <w:szCs w:val="20"/>
        </w:rPr>
        <w:t xml:space="preserve"> Anti</w:t>
      </w:r>
      <w:r w:rsidR="00064736" w:rsidRPr="001D25C1">
        <w:rPr>
          <w:sz w:val="20"/>
          <w:szCs w:val="20"/>
        </w:rPr>
        <w:t>-</w:t>
      </w:r>
      <w:r w:rsidRPr="001D25C1">
        <w:rPr>
          <w:sz w:val="20"/>
          <w:szCs w:val="20"/>
        </w:rPr>
        <w:t>Death Penalty Asia Network, email communication dated 28 Oct. 2024, on file with The Advocates for Human Rights.</w:t>
      </w:r>
    </w:p>
  </w:footnote>
  <w:footnote w:id="34">
    <w:p w14:paraId="6B900C75" w14:textId="77777777" w:rsidR="00FB7B37" w:rsidRPr="001D25C1" w:rsidRDefault="00FB7B37" w:rsidP="00D9590C">
      <w:pPr>
        <w:pStyle w:val="FootnoteText"/>
        <w:rPr>
          <w:sz w:val="20"/>
          <w:szCs w:val="20"/>
        </w:rPr>
      </w:pPr>
      <w:r w:rsidRPr="001D25C1">
        <w:rPr>
          <w:rStyle w:val="FootnoteReference"/>
          <w:sz w:val="20"/>
          <w:szCs w:val="20"/>
        </w:rPr>
        <w:footnoteRef/>
      </w:r>
      <w:r w:rsidRPr="001D25C1">
        <w:rPr>
          <w:sz w:val="20"/>
          <w:szCs w:val="20"/>
        </w:rPr>
        <w:t xml:space="preserve"> Child Act 2001, Section 97(3). </w:t>
      </w:r>
    </w:p>
  </w:footnote>
  <w:footnote w:id="35">
    <w:p w14:paraId="64D1EC43" w14:textId="3EB2CD9F" w:rsidR="00E13C4D" w:rsidRPr="001D25C1" w:rsidRDefault="00E13C4D" w:rsidP="00D9590C">
      <w:pPr>
        <w:pStyle w:val="FootnoteText"/>
        <w:rPr>
          <w:sz w:val="20"/>
          <w:szCs w:val="20"/>
        </w:rPr>
      </w:pPr>
      <w:r w:rsidRPr="001D25C1">
        <w:rPr>
          <w:rStyle w:val="FootnoteReference"/>
          <w:sz w:val="20"/>
          <w:szCs w:val="20"/>
        </w:rPr>
        <w:footnoteRef/>
      </w:r>
      <w:r w:rsidRPr="001D25C1">
        <w:rPr>
          <w:sz w:val="20"/>
          <w:szCs w:val="20"/>
        </w:rPr>
        <w:t xml:space="preserve"> Anti</w:t>
      </w:r>
      <w:r w:rsidR="00064736" w:rsidRPr="001D25C1">
        <w:rPr>
          <w:sz w:val="20"/>
          <w:szCs w:val="20"/>
        </w:rPr>
        <w:t>-</w:t>
      </w:r>
      <w:r w:rsidRPr="001D25C1">
        <w:rPr>
          <w:sz w:val="20"/>
          <w:szCs w:val="20"/>
        </w:rPr>
        <w:t>Death Penalty Asia Network, email communication dated 25 Oct. 2024, on file with The Advocates for Human Rights.</w:t>
      </w:r>
    </w:p>
  </w:footnote>
  <w:footnote w:id="36">
    <w:p w14:paraId="5918414A" w14:textId="2B6D0938" w:rsidR="00035F4C" w:rsidRPr="001D25C1" w:rsidRDefault="00035F4C">
      <w:pPr>
        <w:pStyle w:val="FootnoteText"/>
        <w:rPr>
          <w:sz w:val="20"/>
          <w:szCs w:val="20"/>
        </w:rPr>
      </w:pPr>
      <w:r w:rsidRPr="001D25C1">
        <w:rPr>
          <w:rStyle w:val="FootnoteReference"/>
          <w:sz w:val="20"/>
          <w:szCs w:val="20"/>
        </w:rPr>
        <w:footnoteRef/>
      </w:r>
      <w:r w:rsidRPr="001D25C1">
        <w:rPr>
          <w:sz w:val="20"/>
          <w:szCs w:val="20"/>
        </w:rPr>
        <w:t xml:space="preserve"> Anti</w:t>
      </w:r>
      <w:r w:rsidR="00064736" w:rsidRPr="001D25C1">
        <w:rPr>
          <w:sz w:val="20"/>
          <w:szCs w:val="20"/>
        </w:rPr>
        <w:t>-</w:t>
      </w:r>
      <w:r w:rsidRPr="001D25C1">
        <w:rPr>
          <w:sz w:val="20"/>
          <w:szCs w:val="20"/>
        </w:rPr>
        <w:t>Death Penalty Asia Network, email communication dated 25 Oct. 2024, on file with The Advocates for Human 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33B46163" w:rsidR="00804604" w:rsidRDefault="00C060D0">
    <w:pPr>
      <w:pStyle w:val="Header"/>
    </w:pPr>
    <w:r>
      <w:rPr>
        <w:noProof/>
      </w:rPr>
      <w:drawing>
        <wp:anchor distT="0" distB="0" distL="114300" distR="114300" simplePos="0" relativeHeight="251659265" behindDoc="0" locked="0" layoutInCell="1" allowOverlap="1" wp14:anchorId="6F9FAD8A" wp14:editId="374F5CD2">
          <wp:simplePos x="0" y="0"/>
          <wp:positionH relativeFrom="column">
            <wp:posOffset>2352675</wp:posOffset>
          </wp:positionH>
          <wp:positionV relativeFrom="paragraph">
            <wp:posOffset>-209550</wp:posOffset>
          </wp:positionV>
          <wp:extent cx="1152525" cy="1152525"/>
          <wp:effectExtent l="0" t="0" r="9525" b="9525"/>
          <wp:wrapNone/>
          <wp:docPr id="2024543125" name="Picture 2"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43125" name="Picture 2" descr="A close-up of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525" cy="11525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D691956" wp14:editId="69ACA837">
          <wp:simplePos x="0" y="0"/>
          <wp:positionH relativeFrom="column">
            <wp:posOffset>4056380</wp:posOffset>
          </wp:positionH>
          <wp:positionV relativeFrom="paragraph">
            <wp:posOffset>-304800</wp:posOffset>
          </wp:positionV>
          <wp:extent cx="2137410" cy="819150"/>
          <wp:effectExtent l="0" t="0" r="0" b="0"/>
          <wp:wrapTight wrapText="bothSides">
            <wp:wrapPolygon edited="0">
              <wp:start x="0" y="0"/>
              <wp:lineTo x="0" y="21098"/>
              <wp:lineTo x="21369" y="21098"/>
              <wp:lineTo x="2136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741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9" behindDoc="0" locked="0" layoutInCell="1" allowOverlap="1" wp14:anchorId="2A806A50" wp14:editId="4A0B029D">
          <wp:simplePos x="0" y="0"/>
          <wp:positionH relativeFrom="column">
            <wp:posOffset>-238125</wp:posOffset>
          </wp:positionH>
          <wp:positionV relativeFrom="paragraph">
            <wp:posOffset>-209550</wp:posOffset>
          </wp:positionV>
          <wp:extent cx="1800225" cy="955119"/>
          <wp:effectExtent l="0" t="0" r="0" b="0"/>
          <wp:wrapNone/>
          <wp:docPr id="1197669245" name="Picture 3"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669245" name="Picture 3" descr="A white and grey sign with black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05365" cy="95784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91308430">
    <w:abstractNumId w:val="8"/>
  </w:num>
  <w:num w:numId="11" w16cid:durableId="1898003912">
    <w:abstractNumId w:val="3"/>
  </w:num>
  <w:num w:numId="12" w16cid:durableId="3015445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255B"/>
    <w:rsid w:val="00016883"/>
    <w:rsid w:val="00020381"/>
    <w:rsid w:val="00030F59"/>
    <w:rsid w:val="000342B6"/>
    <w:rsid w:val="00035F4C"/>
    <w:rsid w:val="00046377"/>
    <w:rsid w:val="00056CF5"/>
    <w:rsid w:val="0005791C"/>
    <w:rsid w:val="00062296"/>
    <w:rsid w:val="0006353C"/>
    <w:rsid w:val="00063D75"/>
    <w:rsid w:val="00064736"/>
    <w:rsid w:val="00067367"/>
    <w:rsid w:val="000728C8"/>
    <w:rsid w:val="000734A4"/>
    <w:rsid w:val="0008238F"/>
    <w:rsid w:val="00083287"/>
    <w:rsid w:val="00085935"/>
    <w:rsid w:val="000910FC"/>
    <w:rsid w:val="0009644E"/>
    <w:rsid w:val="00097CF8"/>
    <w:rsid w:val="00097DE9"/>
    <w:rsid w:val="000A1F17"/>
    <w:rsid w:val="000A66B8"/>
    <w:rsid w:val="000B042D"/>
    <w:rsid w:val="000B4DB3"/>
    <w:rsid w:val="000C6340"/>
    <w:rsid w:val="000D0680"/>
    <w:rsid w:val="000E1DDC"/>
    <w:rsid w:val="000F0132"/>
    <w:rsid w:val="000F1E67"/>
    <w:rsid w:val="000F56E0"/>
    <w:rsid w:val="00100649"/>
    <w:rsid w:val="001008D1"/>
    <w:rsid w:val="00100F8B"/>
    <w:rsid w:val="0010127E"/>
    <w:rsid w:val="00103E75"/>
    <w:rsid w:val="00111994"/>
    <w:rsid w:val="00120CB9"/>
    <w:rsid w:val="001215B4"/>
    <w:rsid w:val="00136514"/>
    <w:rsid w:val="00137229"/>
    <w:rsid w:val="00143423"/>
    <w:rsid w:val="00143468"/>
    <w:rsid w:val="00147EA4"/>
    <w:rsid w:val="00152E2E"/>
    <w:rsid w:val="0015406F"/>
    <w:rsid w:val="001565F9"/>
    <w:rsid w:val="001569D4"/>
    <w:rsid w:val="00160BDA"/>
    <w:rsid w:val="001610FF"/>
    <w:rsid w:val="00170D8F"/>
    <w:rsid w:val="00172C2C"/>
    <w:rsid w:val="00176507"/>
    <w:rsid w:val="00181B2A"/>
    <w:rsid w:val="00181EF5"/>
    <w:rsid w:val="0018642B"/>
    <w:rsid w:val="001A34F4"/>
    <w:rsid w:val="001A59C1"/>
    <w:rsid w:val="001A5ED5"/>
    <w:rsid w:val="001A67D0"/>
    <w:rsid w:val="001A7AF4"/>
    <w:rsid w:val="001B1AC4"/>
    <w:rsid w:val="001B27D7"/>
    <w:rsid w:val="001B46C2"/>
    <w:rsid w:val="001B799A"/>
    <w:rsid w:val="001C42EB"/>
    <w:rsid w:val="001D25C1"/>
    <w:rsid w:val="001D2B61"/>
    <w:rsid w:val="001D7600"/>
    <w:rsid w:val="001E1387"/>
    <w:rsid w:val="001E1993"/>
    <w:rsid w:val="001E6F6F"/>
    <w:rsid w:val="001F17A7"/>
    <w:rsid w:val="00200C1B"/>
    <w:rsid w:val="0020459E"/>
    <w:rsid w:val="00204CEF"/>
    <w:rsid w:val="00211315"/>
    <w:rsid w:val="00220D48"/>
    <w:rsid w:val="00221A97"/>
    <w:rsid w:val="00234644"/>
    <w:rsid w:val="00237C8C"/>
    <w:rsid w:val="00240538"/>
    <w:rsid w:val="00242547"/>
    <w:rsid w:val="00242F64"/>
    <w:rsid w:val="002439A3"/>
    <w:rsid w:val="00243E14"/>
    <w:rsid w:val="002468AD"/>
    <w:rsid w:val="00255789"/>
    <w:rsid w:val="00262845"/>
    <w:rsid w:val="00272519"/>
    <w:rsid w:val="002734D9"/>
    <w:rsid w:val="00273933"/>
    <w:rsid w:val="00282223"/>
    <w:rsid w:val="0028700A"/>
    <w:rsid w:val="00291BE8"/>
    <w:rsid w:val="002A0797"/>
    <w:rsid w:val="002A2C9D"/>
    <w:rsid w:val="002A4838"/>
    <w:rsid w:val="002B1275"/>
    <w:rsid w:val="002B3C98"/>
    <w:rsid w:val="002B3F64"/>
    <w:rsid w:val="002B7625"/>
    <w:rsid w:val="002B7CB2"/>
    <w:rsid w:val="002C30A1"/>
    <w:rsid w:val="002C328B"/>
    <w:rsid w:val="002C57BC"/>
    <w:rsid w:val="002D30BB"/>
    <w:rsid w:val="002D36C6"/>
    <w:rsid w:val="002E34EA"/>
    <w:rsid w:val="002E46A1"/>
    <w:rsid w:val="002E55BB"/>
    <w:rsid w:val="002E5AEC"/>
    <w:rsid w:val="002F156D"/>
    <w:rsid w:val="002F7A11"/>
    <w:rsid w:val="0030579C"/>
    <w:rsid w:val="00311D91"/>
    <w:rsid w:val="00314B97"/>
    <w:rsid w:val="00315C53"/>
    <w:rsid w:val="00322CB1"/>
    <w:rsid w:val="00323A8A"/>
    <w:rsid w:val="003244CB"/>
    <w:rsid w:val="00330239"/>
    <w:rsid w:val="003369A6"/>
    <w:rsid w:val="00340484"/>
    <w:rsid w:val="00344140"/>
    <w:rsid w:val="00344556"/>
    <w:rsid w:val="00345B90"/>
    <w:rsid w:val="0035378E"/>
    <w:rsid w:val="0035424D"/>
    <w:rsid w:val="0036202F"/>
    <w:rsid w:val="00371515"/>
    <w:rsid w:val="00374FD8"/>
    <w:rsid w:val="00390AC3"/>
    <w:rsid w:val="003937C6"/>
    <w:rsid w:val="003A0BC2"/>
    <w:rsid w:val="003A1D3E"/>
    <w:rsid w:val="003A42C8"/>
    <w:rsid w:val="003A6F6D"/>
    <w:rsid w:val="003B20E1"/>
    <w:rsid w:val="003C1E49"/>
    <w:rsid w:val="003C286A"/>
    <w:rsid w:val="003C60FE"/>
    <w:rsid w:val="003D52CD"/>
    <w:rsid w:val="003D608F"/>
    <w:rsid w:val="003E0AAE"/>
    <w:rsid w:val="003E6A6D"/>
    <w:rsid w:val="003F1092"/>
    <w:rsid w:val="003F1DA2"/>
    <w:rsid w:val="003F4126"/>
    <w:rsid w:val="003F6FAB"/>
    <w:rsid w:val="004076CD"/>
    <w:rsid w:val="00417CE5"/>
    <w:rsid w:val="00420B30"/>
    <w:rsid w:val="00421DA6"/>
    <w:rsid w:val="004231B2"/>
    <w:rsid w:val="004250D3"/>
    <w:rsid w:val="004263EF"/>
    <w:rsid w:val="00430A63"/>
    <w:rsid w:val="00435107"/>
    <w:rsid w:val="00436BEC"/>
    <w:rsid w:val="004474B2"/>
    <w:rsid w:val="00450118"/>
    <w:rsid w:val="00450405"/>
    <w:rsid w:val="00452942"/>
    <w:rsid w:val="00453314"/>
    <w:rsid w:val="00457425"/>
    <w:rsid w:val="00467493"/>
    <w:rsid w:val="00473CD0"/>
    <w:rsid w:val="00476CC4"/>
    <w:rsid w:val="00480026"/>
    <w:rsid w:val="004866AE"/>
    <w:rsid w:val="00493951"/>
    <w:rsid w:val="004943F7"/>
    <w:rsid w:val="00496A3B"/>
    <w:rsid w:val="004A17D9"/>
    <w:rsid w:val="004A2E08"/>
    <w:rsid w:val="004A2E0B"/>
    <w:rsid w:val="004A4F8F"/>
    <w:rsid w:val="004A5B01"/>
    <w:rsid w:val="004A6AAD"/>
    <w:rsid w:val="004A7D93"/>
    <w:rsid w:val="004A7FF9"/>
    <w:rsid w:val="004B0705"/>
    <w:rsid w:val="004B1126"/>
    <w:rsid w:val="004B1E4E"/>
    <w:rsid w:val="004B4CAF"/>
    <w:rsid w:val="004B57ED"/>
    <w:rsid w:val="004B5DC8"/>
    <w:rsid w:val="004B73AF"/>
    <w:rsid w:val="004C35A3"/>
    <w:rsid w:val="004C5570"/>
    <w:rsid w:val="004C5974"/>
    <w:rsid w:val="004D2568"/>
    <w:rsid w:val="004D3EE9"/>
    <w:rsid w:val="004D51DD"/>
    <w:rsid w:val="004D54F9"/>
    <w:rsid w:val="004E150B"/>
    <w:rsid w:val="004E2CD9"/>
    <w:rsid w:val="004E7176"/>
    <w:rsid w:val="004E783D"/>
    <w:rsid w:val="004E7D5B"/>
    <w:rsid w:val="004F2465"/>
    <w:rsid w:val="004F2845"/>
    <w:rsid w:val="004F2A17"/>
    <w:rsid w:val="004F34E5"/>
    <w:rsid w:val="004F727A"/>
    <w:rsid w:val="005132BB"/>
    <w:rsid w:val="0051494C"/>
    <w:rsid w:val="005151E6"/>
    <w:rsid w:val="00524166"/>
    <w:rsid w:val="00524C18"/>
    <w:rsid w:val="005336C2"/>
    <w:rsid w:val="005403E3"/>
    <w:rsid w:val="00545136"/>
    <w:rsid w:val="00551D59"/>
    <w:rsid w:val="0055461C"/>
    <w:rsid w:val="00563DE1"/>
    <w:rsid w:val="00567571"/>
    <w:rsid w:val="00567887"/>
    <w:rsid w:val="00567FD1"/>
    <w:rsid w:val="00571EF6"/>
    <w:rsid w:val="0058065A"/>
    <w:rsid w:val="00583529"/>
    <w:rsid w:val="0058472A"/>
    <w:rsid w:val="0059754B"/>
    <w:rsid w:val="005B0C1B"/>
    <w:rsid w:val="005B2D86"/>
    <w:rsid w:val="005C183B"/>
    <w:rsid w:val="005C58B6"/>
    <w:rsid w:val="005C5BF7"/>
    <w:rsid w:val="005D4EE6"/>
    <w:rsid w:val="005D5F82"/>
    <w:rsid w:val="005E046A"/>
    <w:rsid w:val="005E760D"/>
    <w:rsid w:val="005F2A19"/>
    <w:rsid w:val="005F7315"/>
    <w:rsid w:val="0060568A"/>
    <w:rsid w:val="0060612C"/>
    <w:rsid w:val="0060622C"/>
    <w:rsid w:val="006066C7"/>
    <w:rsid w:val="00614B03"/>
    <w:rsid w:val="006175E3"/>
    <w:rsid w:val="0061778F"/>
    <w:rsid w:val="00624A10"/>
    <w:rsid w:val="00626C39"/>
    <w:rsid w:val="006272B5"/>
    <w:rsid w:val="00632248"/>
    <w:rsid w:val="00634528"/>
    <w:rsid w:val="006346D2"/>
    <w:rsid w:val="006370A1"/>
    <w:rsid w:val="00643D7A"/>
    <w:rsid w:val="0064441C"/>
    <w:rsid w:val="00646D29"/>
    <w:rsid w:val="00646DE9"/>
    <w:rsid w:val="0065003C"/>
    <w:rsid w:val="006519FD"/>
    <w:rsid w:val="00652094"/>
    <w:rsid w:val="0066318F"/>
    <w:rsid w:val="00675BFE"/>
    <w:rsid w:val="006761A7"/>
    <w:rsid w:val="006864CD"/>
    <w:rsid w:val="006874D7"/>
    <w:rsid w:val="006909FA"/>
    <w:rsid w:val="006927DD"/>
    <w:rsid w:val="006B7B89"/>
    <w:rsid w:val="006C7136"/>
    <w:rsid w:val="006D369B"/>
    <w:rsid w:val="006D39C4"/>
    <w:rsid w:val="006E0467"/>
    <w:rsid w:val="006E795E"/>
    <w:rsid w:val="006E7D5B"/>
    <w:rsid w:val="006F582F"/>
    <w:rsid w:val="00702721"/>
    <w:rsid w:val="007064C2"/>
    <w:rsid w:val="0070759D"/>
    <w:rsid w:val="0070771A"/>
    <w:rsid w:val="00707AD9"/>
    <w:rsid w:val="007143B8"/>
    <w:rsid w:val="00716BB9"/>
    <w:rsid w:val="007174BE"/>
    <w:rsid w:val="0072241B"/>
    <w:rsid w:val="007316AA"/>
    <w:rsid w:val="00734AA5"/>
    <w:rsid w:val="00734B53"/>
    <w:rsid w:val="00741B9C"/>
    <w:rsid w:val="0074765B"/>
    <w:rsid w:val="00751E95"/>
    <w:rsid w:val="00757A1C"/>
    <w:rsid w:val="00762A65"/>
    <w:rsid w:val="007637D8"/>
    <w:rsid w:val="00765EBC"/>
    <w:rsid w:val="0077231B"/>
    <w:rsid w:val="00774643"/>
    <w:rsid w:val="00774EFB"/>
    <w:rsid w:val="00777B42"/>
    <w:rsid w:val="007838DE"/>
    <w:rsid w:val="007920C4"/>
    <w:rsid w:val="00795B4F"/>
    <w:rsid w:val="007A00AF"/>
    <w:rsid w:val="007A23AF"/>
    <w:rsid w:val="007A278F"/>
    <w:rsid w:val="007B46CD"/>
    <w:rsid w:val="007C4387"/>
    <w:rsid w:val="007C7CCE"/>
    <w:rsid w:val="007D18A7"/>
    <w:rsid w:val="007D2FB7"/>
    <w:rsid w:val="007E45A3"/>
    <w:rsid w:val="007E79C4"/>
    <w:rsid w:val="007F23A8"/>
    <w:rsid w:val="007F33C7"/>
    <w:rsid w:val="007F474B"/>
    <w:rsid w:val="007F705D"/>
    <w:rsid w:val="007F7C93"/>
    <w:rsid w:val="00803892"/>
    <w:rsid w:val="00804604"/>
    <w:rsid w:val="0081221D"/>
    <w:rsid w:val="008127A2"/>
    <w:rsid w:val="00815548"/>
    <w:rsid w:val="00817B3D"/>
    <w:rsid w:val="00825654"/>
    <w:rsid w:val="00826961"/>
    <w:rsid w:val="0083533E"/>
    <w:rsid w:val="00836428"/>
    <w:rsid w:val="00847C78"/>
    <w:rsid w:val="008504A9"/>
    <w:rsid w:val="00852B97"/>
    <w:rsid w:val="00853FBB"/>
    <w:rsid w:val="00866F06"/>
    <w:rsid w:val="00870521"/>
    <w:rsid w:val="00874711"/>
    <w:rsid w:val="0087642D"/>
    <w:rsid w:val="008806CE"/>
    <w:rsid w:val="008856D7"/>
    <w:rsid w:val="00890056"/>
    <w:rsid w:val="0089523C"/>
    <w:rsid w:val="008A008D"/>
    <w:rsid w:val="008A1276"/>
    <w:rsid w:val="008B3A3F"/>
    <w:rsid w:val="008B3C5D"/>
    <w:rsid w:val="008B7DA8"/>
    <w:rsid w:val="008C3B9B"/>
    <w:rsid w:val="008C7B1F"/>
    <w:rsid w:val="008C7B63"/>
    <w:rsid w:val="008E0859"/>
    <w:rsid w:val="008F0BDD"/>
    <w:rsid w:val="008F2F99"/>
    <w:rsid w:val="008F5BAB"/>
    <w:rsid w:val="008F6084"/>
    <w:rsid w:val="008F7F26"/>
    <w:rsid w:val="00905585"/>
    <w:rsid w:val="009057C8"/>
    <w:rsid w:val="00921829"/>
    <w:rsid w:val="009302F5"/>
    <w:rsid w:val="0093193B"/>
    <w:rsid w:val="00940255"/>
    <w:rsid w:val="00945B3A"/>
    <w:rsid w:val="00946AF0"/>
    <w:rsid w:val="00947170"/>
    <w:rsid w:val="00947B3D"/>
    <w:rsid w:val="00953CC5"/>
    <w:rsid w:val="00955020"/>
    <w:rsid w:val="00956E94"/>
    <w:rsid w:val="00962312"/>
    <w:rsid w:val="009627A1"/>
    <w:rsid w:val="009702F1"/>
    <w:rsid w:val="009712FE"/>
    <w:rsid w:val="009753A7"/>
    <w:rsid w:val="009778FD"/>
    <w:rsid w:val="009875AD"/>
    <w:rsid w:val="009924AF"/>
    <w:rsid w:val="009A7F71"/>
    <w:rsid w:val="009B51D7"/>
    <w:rsid w:val="009C7CEA"/>
    <w:rsid w:val="009D3BEA"/>
    <w:rsid w:val="009D5161"/>
    <w:rsid w:val="009E1D21"/>
    <w:rsid w:val="009E2E8E"/>
    <w:rsid w:val="009E4D16"/>
    <w:rsid w:val="009F04C6"/>
    <w:rsid w:val="009F12E2"/>
    <w:rsid w:val="009F28BD"/>
    <w:rsid w:val="009F3358"/>
    <w:rsid w:val="009F478B"/>
    <w:rsid w:val="009F69C1"/>
    <w:rsid w:val="00A210DC"/>
    <w:rsid w:val="00A27CF2"/>
    <w:rsid w:val="00A33120"/>
    <w:rsid w:val="00A40EE1"/>
    <w:rsid w:val="00A423ED"/>
    <w:rsid w:val="00A47F65"/>
    <w:rsid w:val="00A50241"/>
    <w:rsid w:val="00A536F3"/>
    <w:rsid w:val="00A55FCD"/>
    <w:rsid w:val="00A60C58"/>
    <w:rsid w:val="00A72103"/>
    <w:rsid w:val="00A75C67"/>
    <w:rsid w:val="00A91D08"/>
    <w:rsid w:val="00A93452"/>
    <w:rsid w:val="00A94972"/>
    <w:rsid w:val="00A95161"/>
    <w:rsid w:val="00A975D1"/>
    <w:rsid w:val="00AA4A97"/>
    <w:rsid w:val="00AA6318"/>
    <w:rsid w:val="00AA7FCB"/>
    <w:rsid w:val="00AB3ABB"/>
    <w:rsid w:val="00AB54F8"/>
    <w:rsid w:val="00AB59AE"/>
    <w:rsid w:val="00AB5BD9"/>
    <w:rsid w:val="00AB795D"/>
    <w:rsid w:val="00AC040C"/>
    <w:rsid w:val="00AC0976"/>
    <w:rsid w:val="00AC0A9C"/>
    <w:rsid w:val="00AC24FE"/>
    <w:rsid w:val="00AD0AA1"/>
    <w:rsid w:val="00AE07A3"/>
    <w:rsid w:val="00AE372A"/>
    <w:rsid w:val="00AF428A"/>
    <w:rsid w:val="00AF6A32"/>
    <w:rsid w:val="00AF6D98"/>
    <w:rsid w:val="00AF7867"/>
    <w:rsid w:val="00AF79FE"/>
    <w:rsid w:val="00B275A9"/>
    <w:rsid w:val="00B40DBF"/>
    <w:rsid w:val="00B44231"/>
    <w:rsid w:val="00B457C4"/>
    <w:rsid w:val="00B47EC4"/>
    <w:rsid w:val="00B50290"/>
    <w:rsid w:val="00B53DFE"/>
    <w:rsid w:val="00B54060"/>
    <w:rsid w:val="00B573EE"/>
    <w:rsid w:val="00B71178"/>
    <w:rsid w:val="00B914A2"/>
    <w:rsid w:val="00B9541E"/>
    <w:rsid w:val="00BA00D4"/>
    <w:rsid w:val="00BA10E0"/>
    <w:rsid w:val="00BA35F5"/>
    <w:rsid w:val="00BA4CDE"/>
    <w:rsid w:val="00BB0488"/>
    <w:rsid w:val="00BB3ED5"/>
    <w:rsid w:val="00BB4AB9"/>
    <w:rsid w:val="00BC07C0"/>
    <w:rsid w:val="00BC1876"/>
    <w:rsid w:val="00BD3CFF"/>
    <w:rsid w:val="00BE0494"/>
    <w:rsid w:val="00BE59BD"/>
    <w:rsid w:val="00C0174A"/>
    <w:rsid w:val="00C04C77"/>
    <w:rsid w:val="00C05D23"/>
    <w:rsid w:val="00C05D9B"/>
    <w:rsid w:val="00C060D0"/>
    <w:rsid w:val="00C127DB"/>
    <w:rsid w:val="00C17550"/>
    <w:rsid w:val="00C214BA"/>
    <w:rsid w:val="00C22EF5"/>
    <w:rsid w:val="00C26130"/>
    <w:rsid w:val="00C26B28"/>
    <w:rsid w:val="00C27120"/>
    <w:rsid w:val="00C315B6"/>
    <w:rsid w:val="00C376F3"/>
    <w:rsid w:val="00C4132F"/>
    <w:rsid w:val="00C463D2"/>
    <w:rsid w:val="00C60201"/>
    <w:rsid w:val="00C62A44"/>
    <w:rsid w:val="00C80A39"/>
    <w:rsid w:val="00C81936"/>
    <w:rsid w:val="00C82BA5"/>
    <w:rsid w:val="00C84C4C"/>
    <w:rsid w:val="00C85D82"/>
    <w:rsid w:val="00C90D0B"/>
    <w:rsid w:val="00C948F8"/>
    <w:rsid w:val="00C967AB"/>
    <w:rsid w:val="00C96C0B"/>
    <w:rsid w:val="00CA1702"/>
    <w:rsid w:val="00CA3032"/>
    <w:rsid w:val="00CA59A5"/>
    <w:rsid w:val="00CA5CC2"/>
    <w:rsid w:val="00CA7D78"/>
    <w:rsid w:val="00CB631F"/>
    <w:rsid w:val="00CC5314"/>
    <w:rsid w:val="00CC765E"/>
    <w:rsid w:val="00CE7046"/>
    <w:rsid w:val="00CF5003"/>
    <w:rsid w:val="00CF5099"/>
    <w:rsid w:val="00D0019C"/>
    <w:rsid w:val="00D018BC"/>
    <w:rsid w:val="00D17F80"/>
    <w:rsid w:val="00D2563C"/>
    <w:rsid w:val="00D27231"/>
    <w:rsid w:val="00D3182B"/>
    <w:rsid w:val="00D37987"/>
    <w:rsid w:val="00D37BD6"/>
    <w:rsid w:val="00D52AD6"/>
    <w:rsid w:val="00D600D8"/>
    <w:rsid w:val="00D8477A"/>
    <w:rsid w:val="00D86181"/>
    <w:rsid w:val="00D861C1"/>
    <w:rsid w:val="00D86901"/>
    <w:rsid w:val="00D8728B"/>
    <w:rsid w:val="00D901AF"/>
    <w:rsid w:val="00D92835"/>
    <w:rsid w:val="00D94424"/>
    <w:rsid w:val="00D9590C"/>
    <w:rsid w:val="00D96A1C"/>
    <w:rsid w:val="00DA4485"/>
    <w:rsid w:val="00DA5706"/>
    <w:rsid w:val="00DA6647"/>
    <w:rsid w:val="00DA6DB6"/>
    <w:rsid w:val="00DB0DC2"/>
    <w:rsid w:val="00DB732D"/>
    <w:rsid w:val="00DC41C9"/>
    <w:rsid w:val="00DC5473"/>
    <w:rsid w:val="00DC6A3F"/>
    <w:rsid w:val="00DC74F2"/>
    <w:rsid w:val="00DD2F76"/>
    <w:rsid w:val="00DD3996"/>
    <w:rsid w:val="00DD4316"/>
    <w:rsid w:val="00DD7111"/>
    <w:rsid w:val="00DE6FE8"/>
    <w:rsid w:val="00E114C5"/>
    <w:rsid w:val="00E13C4D"/>
    <w:rsid w:val="00E13D21"/>
    <w:rsid w:val="00E13D93"/>
    <w:rsid w:val="00E162F5"/>
    <w:rsid w:val="00E1750C"/>
    <w:rsid w:val="00E307F3"/>
    <w:rsid w:val="00E3230E"/>
    <w:rsid w:val="00E35775"/>
    <w:rsid w:val="00E42EAD"/>
    <w:rsid w:val="00E45F2D"/>
    <w:rsid w:val="00E472C1"/>
    <w:rsid w:val="00E5072C"/>
    <w:rsid w:val="00E70114"/>
    <w:rsid w:val="00E70832"/>
    <w:rsid w:val="00E71E01"/>
    <w:rsid w:val="00E75EAB"/>
    <w:rsid w:val="00E81683"/>
    <w:rsid w:val="00E826D1"/>
    <w:rsid w:val="00E877F7"/>
    <w:rsid w:val="00E92552"/>
    <w:rsid w:val="00E927AF"/>
    <w:rsid w:val="00E9476C"/>
    <w:rsid w:val="00E95CF7"/>
    <w:rsid w:val="00EA0EEB"/>
    <w:rsid w:val="00EB20F1"/>
    <w:rsid w:val="00EB36DC"/>
    <w:rsid w:val="00EC7C83"/>
    <w:rsid w:val="00ED2912"/>
    <w:rsid w:val="00ED2DCC"/>
    <w:rsid w:val="00ED4519"/>
    <w:rsid w:val="00ED4ABA"/>
    <w:rsid w:val="00ED7F6E"/>
    <w:rsid w:val="00EF29BE"/>
    <w:rsid w:val="00EF2BE5"/>
    <w:rsid w:val="00EF4293"/>
    <w:rsid w:val="00F009C0"/>
    <w:rsid w:val="00F042FA"/>
    <w:rsid w:val="00F109CB"/>
    <w:rsid w:val="00F16374"/>
    <w:rsid w:val="00F22813"/>
    <w:rsid w:val="00F22F6B"/>
    <w:rsid w:val="00F23CD7"/>
    <w:rsid w:val="00F2442A"/>
    <w:rsid w:val="00F24752"/>
    <w:rsid w:val="00F30926"/>
    <w:rsid w:val="00F37EA8"/>
    <w:rsid w:val="00F40053"/>
    <w:rsid w:val="00F4107A"/>
    <w:rsid w:val="00F44F18"/>
    <w:rsid w:val="00F51AFD"/>
    <w:rsid w:val="00F56B5B"/>
    <w:rsid w:val="00F612FF"/>
    <w:rsid w:val="00F62341"/>
    <w:rsid w:val="00F6244E"/>
    <w:rsid w:val="00F6493F"/>
    <w:rsid w:val="00F66C6A"/>
    <w:rsid w:val="00F70DC2"/>
    <w:rsid w:val="00F75663"/>
    <w:rsid w:val="00F811E7"/>
    <w:rsid w:val="00F854D2"/>
    <w:rsid w:val="00F9056C"/>
    <w:rsid w:val="00F92EF4"/>
    <w:rsid w:val="00FA1799"/>
    <w:rsid w:val="00FA2927"/>
    <w:rsid w:val="00FA3024"/>
    <w:rsid w:val="00FA6745"/>
    <w:rsid w:val="00FB03FB"/>
    <w:rsid w:val="00FB4891"/>
    <w:rsid w:val="00FB7B37"/>
    <w:rsid w:val="00FC686F"/>
    <w:rsid w:val="00FC7FBE"/>
    <w:rsid w:val="00FD0EA2"/>
    <w:rsid w:val="00FD686A"/>
    <w:rsid w:val="00FD748F"/>
    <w:rsid w:val="00FE00CB"/>
    <w:rsid w:val="00FE0378"/>
    <w:rsid w:val="00FE2347"/>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Revision">
    <w:name w:val="Revision"/>
    <w:hidden/>
    <w:uiPriority w:val="99"/>
    <w:semiHidden/>
    <w:rsid w:val="003F1092"/>
  </w:style>
  <w:style w:type="paragraph" w:customStyle="1" w:styleId="AuthorDescriptiontext">
    <w:name w:val="Author Description text"/>
    <w:basedOn w:val="Normal"/>
    <w:link w:val="AuthorDescriptiontextChar"/>
    <w:qFormat/>
    <w:rsid w:val="00FA6745"/>
    <w:pPr>
      <w:widowControl w:val="0"/>
      <w:autoSpaceDE w:val="0"/>
      <w:autoSpaceDN w:val="0"/>
      <w:adjustRightInd w:val="0"/>
      <w:spacing w:after="240"/>
      <w:jc w:val="both"/>
    </w:pPr>
    <w:rPr>
      <w:rFonts w:eastAsia="Arial"/>
      <w:kern w:val="0"/>
      <w:lang w:eastAsia="en-US"/>
    </w:rPr>
  </w:style>
  <w:style w:type="character" w:customStyle="1" w:styleId="AuthorDescriptiontextChar">
    <w:name w:val="Author Description text Char"/>
    <w:basedOn w:val="DefaultParagraphFont"/>
    <w:link w:val="AuthorDescriptiontext"/>
    <w:rsid w:val="00FA6745"/>
    <w:rPr>
      <w:rFonts w:eastAsia="Arial"/>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iccwtnispcanarc.org/upload/pdf/1672867150Malaysian%20Juvenile%20Justice%20System.pdf" TargetMode="External"/><Relationship Id="rId2" Type="http://schemas.openxmlformats.org/officeDocument/2006/relationships/hyperlink" Target="http://www.iccwtnispcanarc.org/upload/pdf/1672867150Malaysian%20Juvenile%20Justice%20System.pdf" TargetMode="External"/><Relationship Id="rId1" Type="http://schemas.openxmlformats.org/officeDocument/2006/relationships/hyperlink" Target="https://www.amnesty.my/wp-content/uploads/2023/03/Amnesty-International_Analysis-of-the-Bills-to-Abolish-The-Mandatory-Death-Penalty-in-Malaysia_March-2023-3.pdf" TargetMode="External"/><Relationship Id="rId6" Type="http://schemas.openxmlformats.org/officeDocument/2006/relationships/hyperlink" Target="https://www.amnesty.my/wp-content/uploads/2023/03/Amnesty-International_Analysis-of-the-Bills-to-Abolish-The-Mandatory-Death-Penalty-in-Malaysia_March-2023-3.pdf" TargetMode="External"/><Relationship Id="rId5" Type="http://schemas.openxmlformats.org/officeDocument/2006/relationships/hyperlink" Target="https://www.amnesty.my/wp-content/uploads/2023/03/Amnesty-International_Analysis-of-the-Bills-to-Abolish-The-Mandatory-Death-Penalty-in-Malaysia_March-2023-3.pdf" TargetMode="External"/><Relationship Id="rId4" Type="http://schemas.openxmlformats.org/officeDocument/2006/relationships/hyperlink" Target="http://www.iccwtnispcanarc.org/upload/pdf/1672867150Malaysian%20Juvenile%20Justice%20System.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955B37-5BC4-49DC-A0C5-9B61652AA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2144</Words>
  <Characters>12225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10</cp:revision>
  <cp:lastPrinted>2011-09-16T18:52:00Z</cp:lastPrinted>
  <dcterms:created xsi:type="dcterms:W3CDTF">2024-10-31T19:48:00Z</dcterms:created>
  <dcterms:modified xsi:type="dcterms:W3CDTF">2024-10-31T19:59:00Z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ContentTypeId">
    <vt:lpwstr>0x010100452BDADA77824941B327CDF72849C9BE</vt:lpwstr>
  </property>
  <property fmtid="{D5CDD505-2E9C-101B-9397-08002B2CF9AE}" pid="7" name="MediaServiceImageTags">
    <vt:lpwstr/>
  </property>
</Properties>
</file>