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CA7" w:rsidRDefault="00802D69" w:rsidP="00EC2D4A">
      <w:pPr>
        <w:spacing w:after="0"/>
        <w:jc w:val="center"/>
        <w:rPr>
          <w:b/>
          <w:color w:val="F79646" w:themeColor="accent6"/>
          <w:sz w:val="28"/>
          <w:szCs w:val="28"/>
        </w:rPr>
      </w:pPr>
      <w:bookmarkStart w:id="0" w:name="_GoBack"/>
      <w:bookmarkEnd w:id="0"/>
      <w:r>
        <w:rPr>
          <w:rFonts w:ascii="Arial" w:hAnsi="Arial" w:cs="Arial"/>
          <w:b/>
          <w:bCs/>
          <w:noProof/>
          <w:color w:val="0000FF"/>
          <w:sz w:val="18"/>
          <w:szCs w:val="18"/>
          <w:lang w:eastAsia="en-GB"/>
        </w:rPr>
        <w:drawing>
          <wp:anchor distT="0" distB="0" distL="114300" distR="114300" simplePos="0" relativeHeight="251659264" behindDoc="0" locked="0" layoutInCell="1" allowOverlap="1" wp14:anchorId="070DF427" wp14:editId="3D5C31BE">
            <wp:simplePos x="0" y="0"/>
            <wp:positionH relativeFrom="margin">
              <wp:posOffset>-81915</wp:posOffset>
            </wp:positionH>
            <wp:positionV relativeFrom="margin">
              <wp:posOffset>-268605</wp:posOffset>
            </wp:positionV>
            <wp:extent cx="1552575" cy="684530"/>
            <wp:effectExtent l="0" t="0" r="9525" b="1270"/>
            <wp:wrapSquare wrapText="bothSides"/>
            <wp:docPr id="3" name="Image 3" descr="C:\Users\Dambach\AppData\Local\Microsoft\Windows\Temporary Internet Files\Content.Outlook\TEBFR8NO\Logo SSI-SG 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mbach\AppData\Local\Microsoft\Windows\Temporary Internet Files\Content.Outlook\TEBFR8NO\Logo SSI-SG bleu.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684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246">
        <w:rPr>
          <w:rFonts w:ascii="Arial" w:hAnsi="Arial" w:cs="Arial"/>
          <w:b/>
          <w:bCs/>
          <w:noProof/>
          <w:color w:val="0000FF"/>
          <w:sz w:val="18"/>
          <w:szCs w:val="18"/>
          <w:lang w:eastAsia="en-GB"/>
        </w:rPr>
        <w:drawing>
          <wp:anchor distT="0" distB="0" distL="114300" distR="114300" simplePos="0" relativeHeight="251661312" behindDoc="0" locked="0" layoutInCell="1" allowOverlap="1" wp14:anchorId="059C779C" wp14:editId="5EA5507F">
            <wp:simplePos x="0" y="0"/>
            <wp:positionH relativeFrom="margin">
              <wp:posOffset>4121150</wp:posOffset>
            </wp:positionH>
            <wp:positionV relativeFrom="margin">
              <wp:posOffset>-106045</wp:posOffset>
            </wp:positionV>
            <wp:extent cx="1981200" cy="523875"/>
            <wp:effectExtent l="0" t="0" r="0" b="9525"/>
            <wp:wrapSquare wrapText="bothSides"/>
            <wp:docPr id="1" name="Image 1" descr="SOS Children's Villages Internationa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S Children's Villages International">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523875"/>
                    </a:xfrm>
                    <a:prstGeom prst="rect">
                      <a:avLst/>
                    </a:prstGeom>
                    <a:noFill/>
                    <a:ln>
                      <a:noFill/>
                    </a:ln>
                  </pic:spPr>
                </pic:pic>
              </a:graphicData>
            </a:graphic>
          </wp:anchor>
        </w:drawing>
      </w:r>
    </w:p>
    <w:p w:rsidR="00773CA7" w:rsidRDefault="00773CA7" w:rsidP="00EC2D4A">
      <w:pPr>
        <w:spacing w:after="0"/>
        <w:jc w:val="center"/>
        <w:rPr>
          <w:b/>
          <w:color w:val="F79646" w:themeColor="accent6"/>
          <w:sz w:val="28"/>
          <w:szCs w:val="28"/>
        </w:rPr>
      </w:pPr>
    </w:p>
    <w:p w:rsidR="00802D69" w:rsidRDefault="00802D69" w:rsidP="00EC2D4A">
      <w:pPr>
        <w:spacing w:after="0"/>
        <w:jc w:val="center"/>
        <w:rPr>
          <w:b/>
          <w:color w:val="F79646" w:themeColor="accent6"/>
          <w:sz w:val="28"/>
          <w:szCs w:val="28"/>
        </w:rPr>
      </w:pPr>
    </w:p>
    <w:p w:rsidR="00EC2D4A" w:rsidRDefault="00FE3A11" w:rsidP="00EC2D4A">
      <w:pPr>
        <w:spacing w:after="0"/>
        <w:jc w:val="center"/>
        <w:rPr>
          <w:b/>
          <w:color w:val="F79646" w:themeColor="accent6"/>
          <w:sz w:val="28"/>
          <w:szCs w:val="28"/>
        </w:rPr>
      </w:pPr>
      <w:r>
        <w:rPr>
          <w:b/>
          <w:color w:val="F79646" w:themeColor="accent6"/>
          <w:sz w:val="28"/>
          <w:szCs w:val="28"/>
        </w:rPr>
        <w:t>ALBANIA</w:t>
      </w:r>
      <w:r w:rsidR="00AB2A92">
        <w:rPr>
          <w:b/>
          <w:color w:val="F79646" w:themeColor="accent6"/>
          <w:sz w:val="28"/>
          <w:szCs w:val="28"/>
        </w:rPr>
        <w:t xml:space="preserve"> </w:t>
      </w:r>
    </w:p>
    <w:p w:rsidR="00F16E7D" w:rsidRDefault="00FE3A11" w:rsidP="00092616">
      <w:pPr>
        <w:spacing w:after="0" w:line="240" w:lineRule="auto"/>
        <w:jc w:val="center"/>
        <w:rPr>
          <w:rFonts w:ascii="Arial Narrow" w:hAnsi="Arial Narrow"/>
          <w:b/>
          <w:color w:val="F79646" w:themeColor="accent6"/>
          <w:sz w:val="24"/>
          <w:szCs w:val="24"/>
        </w:rPr>
      </w:pPr>
      <w:r>
        <w:rPr>
          <w:rFonts w:ascii="Arial Narrow" w:hAnsi="Arial Narrow"/>
          <w:b/>
          <w:color w:val="F79646" w:themeColor="accent6"/>
          <w:sz w:val="24"/>
          <w:szCs w:val="24"/>
        </w:rPr>
        <w:t xml:space="preserve">Children and Young </w:t>
      </w:r>
      <w:r w:rsidR="00802D69">
        <w:rPr>
          <w:rFonts w:ascii="Arial Narrow" w:hAnsi="Arial Narrow"/>
          <w:b/>
          <w:color w:val="F79646" w:themeColor="accent6"/>
          <w:sz w:val="24"/>
          <w:szCs w:val="24"/>
        </w:rPr>
        <w:t>Adults</w:t>
      </w:r>
      <w:r w:rsidR="00550ADF">
        <w:rPr>
          <w:rFonts w:ascii="Arial Narrow" w:hAnsi="Arial Narrow"/>
          <w:b/>
          <w:color w:val="F79646" w:themeColor="accent6"/>
          <w:sz w:val="24"/>
          <w:szCs w:val="24"/>
        </w:rPr>
        <w:t xml:space="preserve"> leaving State care</w:t>
      </w:r>
    </w:p>
    <w:p w:rsidR="00EB126A" w:rsidRPr="00802D69" w:rsidRDefault="00EB126A" w:rsidP="00092616">
      <w:pPr>
        <w:spacing w:after="0" w:line="240" w:lineRule="auto"/>
        <w:jc w:val="center"/>
        <w:rPr>
          <w:rFonts w:ascii="Arial Narrow" w:hAnsi="Arial Narrow"/>
          <w:b/>
          <w:color w:val="F79646" w:themeColor="accent6"/>
          <w:sz w:val="24"/>
          <w:szCs w:val="24"/>
          <w:u w:val="single"/>
        </w:rPr>
      </w:pPr>
      <w:r w:rsidRPr="00802D69">
        <w:rPr>
          <w:rFonts w:ascii="Arial Narrow" w:hAnsi="Arial Narrow"/>
          <w:b/>
          <w:color w:val="F79646" w:themeColor="accent6"/>
          <w:sz w:val="24"/>
          <w:szCs w:val="24"/>
          <w:u w:val="single"/>
        </w:rPr>
        <w:t>Concerns regarding the rights to</w:t>
      </w:r>
      <w:r w:rsidR="00802D69" w:rsidRPr="00802D69">
        <w:rPr>
          <w:rFonts w:ascii="Arial Narrow" w:hAnsi="Arial Narrow"/>
          <w:b/>
          <w:color w:val="F79646" w:themeColor="accent6"/>
          <w:sz w:val="24"/>
          <w:szCs w:val="24"/>
          <w:u w:val="single"/>
        </w:rPr>
        <w:t>, inter alia,</w:t>
      </w:r>
      <w:r w:rsidRPr="00802D69">
        <w:rPr>
          <w:rFonts w:ascii="Arial Narrow" w:hAnsi="Arial Narrow"/>
          <w:b/>
          <w:color w:val="F79646" w:themeColor="accent6"/>
          <w:sz w:val="24"/>
          <w:szCs w:val="24"/>
          <w:u w:val="single"/>
        </w:rPr>
        <w:t xml:space="preserve"> education, housing and employment</w:t>
      </w:r>
    </w:p>
    <w:p w:rsidR="00092616" w:rsidRPr="00092616" w:rsidRDefault="00092616" w:rsidP="003F4BD1">
      <w:pPr>
        <w:jc w:val="both"/>
        <w:rPr>
          <w:rFonts w:ascii="Arial Narrow" w:hAnsi="Arial Narrow"/>
          <w:b/>
          <w:color w:val="F79646" w:themeColor="accent6"/>
          <w:sz w:val="8"/>
          <w:szCs w:val="8"/>
          <w:u w:val="single"/>
        </w:rPr>
      </w:pPr>
    </w:p>
    <w:p w:rsidR="00FE3A11" w:rsidRPr="000700A1" w:rsidRDefault="00FE3A11" w:rsidP="003F4BD1">
      <w:pPr>
        <w:jc w:val="both"/>
        <w:rPr>
          <w:rFonts w:ascii="Arial Narrow" w:hAnsi="Arial Narrow"/>
          <w:b/>
          <w:color w:val="F79646" w:themeColor="accent6"/>
          <w:sz w:val="24"/>
          <w:szCs w:val="24"/>
          <w:u w:val="single"/>
        </w:rPr>
      </w:pPr>
      <w:r w:rsidRPr="000700A1">
        <w:rPr>
          <w:rFonts w:ascii="Arial Narrow" w:hAnsi="Arial Narrow"/>
          <w:b/>
          <w:color w:val="F79646" w:themeColor="accent6"/>
          <w:sz w:val="24"/>
          <w:szCs w:val="24"/>
          <w:u w:val="single"/>
        </w:rPr>
        <w:t>Background</w:t>
      </w:r>
      <w:r w:rsidR="00EB126A" w:rsidRPr="000700A1">
        <w:rPr>
          <w:rFonts w:ascii="Arial Narrow" w:hAnsi="Arial Narrow"/>
          <w:b/>
          <w:color w:val="F79646" w:themeColor="accent6"/>
          <w:sz w:val="24"/>
          <w:szCs w:val="24"/>
          <w:u w:val="single"/>
        </w:rPr>
        <w:t xml:space="preserve">: </w:t>
      </w:r>
      <w:r w:rsidR="00802D69" w:rsidRPr="000700A1">
        <w:rPr>
          <w:rFonts w:ascii="Arial Narrow" w:hAnsi="Arial Narrow"/>
          <w:b/>
          <w:color w:val="F79646" w:themeColor="accent6"/>
          <w:sz w:val="24"/>
          <w:szCs w:val="24"/>
          <w:u w:val="single"/>
        </w:rPr>
        <w:t xml:space="preserve">previous </w:t>
      </w:r>
      <w:r w:rsidR="00EB126A" w:rsidRPr="000700A1">
        <w:rPr>
          <w:rFonts w:ascii="Arial Narrow" w:hAnsi="Arial Narrow"/>
          <w:b/>
          <w:color w:val="F79646" w:themeColor="accent6"/>
          <w:sz w:val="24"/>
          <w:szCs w:val="24"/>
          <w:u w:val="single"/>
        </w:rPr>
        <w:t>NGO reporting to UN mechanisms</w:t>
      </w:r>
      <w:r w:rsidR="00550ADF">
        <w:rPr>
          <w:rStyle w:val="FootnoteReference"/>
          <w:rFonts w:ascii="Arial Narrow" w:hAnsi="Arial Narrow"/>
          <w:b/>
          <w:color w:val="F79646" w:themeColor="accent6"/>
          <w:sz w:val="24"/>
          <w:szCs w:val="24"/>
          <w:u w:val="single"/>
        </w:rPr>
        <w:footnoteReference w:id="1"/>
      </w:r>
    </w:p>
    <w:p w:rsidR="00802D69" w:rsidRDefault="00FE3A11" w:rsidP="006B39B7">
      <w:pPr>
        <w:spacing w:line="240" w:lineRule="auto"/>
        <w:jc w:val="both"/>
        <w:rPr>
          <w:color w:val="1F497D" w:themeColor="text2"/>
        </w:rPr>
      </w:pPr>
      <w:r>
        <w:rPr>
          <w:color w:val="1F497D" w:themeColor="text2"/>
        </w:rPr>
        <w:t xml:space="preserve">In 2009, in two separate Stakeholder Submissions submitted to the </w:t>
      </w:r>
      <w:r w:rsidRPr="00802D69">
        <w:rPr>
          <w:i/>
          <w:color w:val="1F497D" w:themeColor="text2"/>
        </w:rPr>
        <w:t>Universal Periodic Review</w:t>
      </w:r>
      <w:r>
        <w:rPr>
          <w:color w:val="1F497D" w:themeColor="text2"/>
        </w:rPr>
        <w:t xml:space="preserve"> (UPR) of Albania</w:t>
      </w:r>
      <w:r w:rsidR="00802D69">
        <w:rPr>
          <w:color w:val="1F497D" w:themeColor="text2"/>
        </w:rPr>
        <w:t xml:space="preserve">, both the Albanian </w:t>
      </w:r>
      <w:r w:rsidR="00DD6251">
        <w:rPr>
          <w:color w:val="1F497D" w:themeColor="text2"/>
        </w:rPr>
        <w:t>n</w:t>
      </w:r>
      <w:r w:rsidR="00802D69">
        <w:rPr>
          <w:color w:val="1F497D" w:themeColor="text2"/>
        </w:rPr>
        <w:t xml:space="preserve">ational </w:t>
      </w:r>
      <w:r w:rsidR="00DD6251">
        <w:rPr>
          <w:color w:val="1F497D" w:themeColor="text2"/>
        </w:rPr>
        <w:t>c</w:t>
      </w:r>
      <w:r w:rsidR="00802D69">
        <w:rPr>
          <w:color w:val="1F497D" w:themeColor="text2"/>
        </w:rPr>
        <w:t xml:space="preserve">oalition for </w:t>
      </w:r>
      <w:r w:rsidR="00DD6251">
        <w:rPr>
          <w:color w:val="1F497D" w:themeColor="text2"/>
        </w:rPr>
        <w:t>c</w:t>
      </w:r>
      <w:r w:rsidR="00802D69">
        <w:rPr>
          <w:color w:val="1F497D" w:themeColor="text2"/>
        </w:rPr>
        <w:t xml:space="preserve">hild </w:t>
      </w:r>
      <w:r w:rsidR="00DD6251">
        <w:rPr>
          <w:color w:val="1F497D" w:themeColor="text2"/>
        </w:rPr>
        <w:t>rights</w:t>
      </w:r>
      <w:r w:rsidR="00DD6251">
        <w:rPr>
          <w:rStyle w:val="FootnoteReference"/>
          <w:color w:val="1F497D" w:themeColor="text2"/>
        </w:rPr>
        <w:footnoteReference w:id="2"/>
      </w:r>
      <w:r w:rsidR="00802D69">
        <w:rPr>
          <w:color w:val="1F497D" w:themeColor="text2"/>
        </w:rPr>
        <w:t xml:space="preserve"> </w:t>
      </w:r>
      <w:r>
        <w:rPr>
          <w:color w:val="1F497D" w:themeColor="text2"/>
        </w:rPr>
        <w:t xml:space="preserve">and Amnesty International </w:t>
      </w:r>
      <w:r w:rsidR="00802D69">
        <w:rPr>
          <w:color w:val="1F497D" w:themeColor="text2"/>
        </w:rPr>
        <w:t>(AI)</w:t>
      </w:r>
      <w:r w:rsidR="00DD6251">
        <w:rPr>
          <w:rStyle w:val="FootnoteReference"/>
          <w:color w:val="1F497D" w:themeColor="text2"/>
        </w:rPr>
        <w:footnoteReference w:id="3"/>
      </w:r>
      <w:r w:rsidR="00802D69">
        <w:rPr>
          <w:color w:val="1F497D" w:themeColor="text2"/>
        </w:rPr>
        <w:t xml:space="preserve"> </w:t>
      </w:r>
      <w:r>
        <w:rPr>
          <w:color w:val="1F497D" w:themeColor="text2"/>
        </w:rPr>
        <w:t xml:space="preserve">raised issues with respect to young people taken into state care and violations of their rights to </w:t>
      </w:r>
      <w:r w:rsidR="00EB126A">
        <w:rPr>
          <w:color w:val="1F497D" w:themeColor="text2"/>
        </w:rPr>
        <w:t xml:space="preserve">education, housing, and employment, </w:t>
      </w:r>
      <w:r>
        <w:rPr>
          <w:color w:val="1F497D" w:themeColor="text2"/>
        </w:rPr>
        <w:t xml:space="preserve">after leaving state care.  </w:t>
      </w:r>
      <w:r w:rsidR="00802D69">
        <w:rPr>
          <w:color w:val="1F497D" w:themeColor="text2"/>
        </w:rPr>
        <w:t>Recommendations on t</w:t>
      </w:r>
      <w:r>
        <w:rPr>
          <w:color w:val="1F497D" w:themeColor="text2"/>
        </w:rPr>
        <w:t xml:space="preserve">hese issues were </w:t>
      </w:r>
      <w:r w:rsidR="00802D69">
        <w:rPr>
          <w:color w:val="1F497D" w:themeColor="text2"/>
        </w:rPr>
        <w:t>consequently made</w:t>
      </w:r>
      <w:r>
        <w:rPr>
          <w:color w:val="1F497D" w:themeColor="text2"/>
        </w:rPr>
        <w:t xml:space="preserve"> </w:t>
      </w:r>
      <w:r w:rsidR="00802D69">
        <w:rPr>
          <w:color w:val="1F497D" w:themeColor="text2"/>
        </w:rPr>
        <w:t xml:space="preserve">to Albania </w:t>
      </w:r>
      <w:r>
        <w:rPr>
          <w:color w:val="1F497D" w:themeColor="text2"/>
        </w:rPr>
        <w:t xml:space="preserve">by various examining States </w:t>
      </w:r>
      <w:r w:rsidR="00EB126A">
        <w:rPr>
          <w:color w:val="1F497D" w:themeColor="text2"/>
        </w:rPr>
        <w:t>at the UPR working group’s</w:t>
      </w:r>
      <w:r>
        <w:rPr>
          <w:color w:val="1F497D" w:themeColor="text2"/>
        </w:rPr>
        <w:t xml:space="preserve"> 6</w:t>
      </w:r>
      <w:r w:rsidRPr="00FE3A11">
        <w:rPr>
          <w:color w:val="1F497D" w:themeColor="text2"/>
          <w:vertAlign w:val="superscript"/>
        </w:rPr>
        <w:t>th</w:t>
      </w:r>
      <w:r>
        <w:rPr>
          <w:color w:val="1F497D" w:themeColor="text2"/>
        </w:rPr>
        <w:t xml:space="preserve"> session </w:t>
      </w:r>
      <w:r w:rsidR="00EB126A">
        <w:rPr>
          <w:color w:val="1F497D" w:themeColor="text2"/>
        </w:rPr>
        <w:t xml:space="preserve">on </w:t>
      </w:r>
      <w:r>
        <w:rPr>
          <w:color w:val="1F497D" w:themeColor="text2"/>
        </w:rPr>
        <w:t>December 2</w:t>
      </w:r>
      <w:r w:rsidRPr="00FE3A11">
        <w:rPr>
          <w:color w:val="1F497D" w:themeColor="text2"/>
          <w:vertAlign w:val="superscript"/>
        </w:rPr>
        <w:t>nd</w:t>
      </w:r>
      <w:r>
        <w:rPr>
          <w:color w:val="1F497D" w:themeColor="text2"/>
        </w:rPr>
        <w:t xml:space="preserve"> 2009</w:t>
      </w:r>
      <w:r w:rsidR="006C2668">
        <w:rPr>
          <w:color w:val="1F497D" w:themeColor="text2"/>
        </w:rPr>
        <w:t xml:space="preserve"> (see </w:t>
      </w:r>
      <w:proofErr w:type="spellStart"/>
      <w:r w:rsidR="006C2668">
        <w:rPr>
          <w:color w:val="1F497D" w:themeColor="text2"/>
        </w:rPr>
        <w:t>annex.I</w:t>
      </w:r>
      <w:proofErr w:type="spellEnd"/>
      <w:r w:rsidR="006C2668">
        <w:rPr>
          <w:color w:val="1F497D" w:themeColor="text2"/>
        </w:rPr>
        <w:t>)</w:t>
      </w:r>
      <w:r w:rsidR="00EB126A">
        <w:rPr>
          <w:color w:val="1F497D" w:themeColor="text2"/>
        </w:rPr>
        <w:t xml:space="preserve">.  </w:t>
      </w:r>
      <w:r w:rsidR="00802D69">
        <w:rPr>
          <w:color w:val="1F497D" w:themeColor="text2"/>
        </w:rPr>
        <w:t>The</w:t>
      </w:r>
      <w:r w:rsidR="00281A8B">
        <w:rPr>
          <w:color w:val="1F497D" w:themeColor="text2"/>
        </w:rPr>
        <w:t xml:space="preserve"> State did make some commitment to</w:t>
      </w:r>
      <w:r w:rsidR="00802D69">
        <w:rPr>
          <w:color w:val="1F497D" w:themeColor="text2"/>
        </w:rPr>
        <w:t xml:space="preserve"> </w:t>
      </w:r>
      <w:r w:rsidR="00281A8B">
        <w:rPr>
          <w:color w:val="1F497D" w:themeColor="text2"/>
        </w:rPr>
        <w:t xml:space="preserve">these </w:t>
      </w:r>
      <w:r w:rsidR="00802D69">
        <w:rPr>
          <w:color w:val="1F497D" w:themeColor="text2"/>
        </w:rPr>
        <w:t>recommen</w:t>
      </w:r>
      <w:r w:rsidR="00EB126A">
        <w:rPr>
          <w:color w:val="1F497D" w:themeColor="text2"/>
        </w:rPr>
        <w:t>dations</w:t>
      </w:r>
      <w:r w:rsidR="00802D69">
        <w:rPr>
          <w:color w:val="1F497D" w:themeColor="text2"/>
        </w:rPr>
        <w:t>,</w:t>
      </w:r>
      <w:r w:rsidR="00EB126A">
        <w:rPr>
          <w:color w:val="1F497D" w:themeColor="text2"/>
        </w:rPr>
        <w:t xml:space="preserve"> </w:t>
      </w:r>
      <w:r w:rsidR="00281A8B">
        <w:rPr>
          <w:color w:val="1F497D" w:themeColor="text2"/>
        </w:rPr>
        <w:t xml:space="preserve">as </w:t>
      </w:r>
      <w:r w:rsidR="00802D69">
        <w:rPr>
          <w:color w:val="1F497D" w:themeColor="text2"/>
        </w:rPr>
        <w:t>detailed below,</w:t>
      </w:r>
      <w:r w:rsidR="00EB126A">
        <w:rPr>
          <w:color w:val="1F497D" w:themeColor="text2"/>
        </w:rPr>
        <w:t xml:space="preserve"> but it is of concern that </w:t>
      </w:r>
      <w:r w:rsidR="0029145C">
        <w:rPr>
          <w:color w:val="1F497D" w:themeColor="text2"/>
        </w:rPr>
        <w:t xml:space="preserve">to date </w:t>
      </w:r>
      <w:r w:rsidR="00EB126A">
        <w:rPr>
          <w:color w:val="1F497D" w:themeColor="text2"/>
        </w:rPr>
        <w:t xml:space="preserve">there </w:t>
      </w:r>
      <w:r w:rsidR="00281A8B">
        <w:rPr>
          <w:color w:val="1F497D" w:themeColor="text2"/>
        </w:rPr>
        <w:t>is little evidence of</w:t>
      </w:r>
      <w:r w:rsidR="00EB126A">
        <w:rPr>
          <w:color w:val="1F497D" w:themeColor="text2"/>
        </w:rPr>
        <w:t xml:space="preserve"> concrete actions </w:t>
      </w:r>
      <w:r w:rsidR="000700A1">
        <w:rPr>
          <w:color w:val="1F497D" w:themeColor="text2"/>
        </w:rPr>
        <w:t>on these</w:t>
      </w:r>
      <w:r w:rsidR="00EB126A">
        <w:rPr>
          <w:color w:val="1F497D" w:themeColor="text2"/>
        </w:rPr>
        <w:t xml:space="preserve"> UPR </w:t>
      </w:r>
      <w:r w:rsidR="000700A1">
        <w:rPr>
          <w:color w:val="1F497D" w:themeColor="text2"/>
        </w:rPr>
        <w:t>recommendations</w:t>
      </w:r>
      <w:r w:rsidR="00802D69">
        <w:rPr>
          <w:color w:val="1F497D" w:themeColor="text2"/>
        </w:rPr>
        <w:t>.</w:t>
      </w:r>
    </w:p>
    <w:p w:rsidR="0029145C" w:rsidRDefault="006C2668" w:rsidP="006B39B7">
      <w:pPr>
        <w:spacing w:line="240" w:lineRule="auto"/>
        <w:jc w:val="both"/>
        <w:rPr>
          <w:color w:val="1F497D" w:themeColor="text2"/>
        </w:rPr>
      </w:pPr>
      <w:r>
        <w:rPr>
          <w:color w:val="1F497D" w:themeColor="text2"/>
        </w:rPr>
        <w:t>In order to maintain international guidance on these issues the</w:t>
      </w:r>
      <w:r w:rsidR="00DD6251">
        <w:rPr>
          <w:color w:val="1F497D" w:themeColor="text2"/>
        </w:rPr>
        <w:t xml:space="preserve"> </w:t>
      </w:r>
      <w:r w:rsidR="00EB126A">
        <w:rPr>
          <w:color w:val="1F497D" w:themeColor="text2"/>
        </w:rPr>
        <w:t xml:space="preserve">national coalition </w:t>
      </w:r>
      <w:r>
        <w:rPr>
          <w:color w:val="1F497D" w:themeColor="text2"/>
        </w:rPr>
        <w:t xml:space="preserve">also </w:t>
      </w:r>
      <w:r w:rsidR="00EB126A">
        <w:rPr>
          <w:color w:val="1F497D" w:themeColor="text2"/>
        </w:rPr>
        <w:t xml:space="preserve">submitted </w:t>
      </w:r>
      <w:r w:rsidR="0029145C">
        <w:rPr>
          <w:color w:val="1F497D" w:themeColor="text2"/>
        </w:rPr>
        <w:t xml:space="preserve">an </w:t>
      </w:r>
      <w:r w:rsidR="00DD6251">
        <w:rPr>
          <w:color w:val="1F497D" w:themeColor="text2"/>
        </w:rPr>
        <w:t xml:space="preserve">alternative </w:t>
      </w:r>
      <w:r w:rsidR="00EB126A">
        <w:rPr>
          <w:color w:val="1F497D" w:themeColor="text2"/>
        </w:rPr>
        <w:t>report</w:t>
      </w:r>
      <w:r w:rsidR="00DD6251">
        <w:rPr>
          <w:rStyle w:val="FootnoteReference"/>
          <w:color w:val="1F497D" w:themeColor="text2"/>
        </w:rPr>
        <w:footnoteReference w:id="4"/>
      </w:r>
      <w:r w:rsidR="00DD6251">
        <w:rPr>
          <w:color w:val="1F497D" w:themeColor="text2"/>
        </w:rPr>
        <w:t>, and an addendum</w:t>
      </w:r>
      <w:r w:rsidR="00DD6251">
        <w:rPr>
          <w:rStyle w:val="FootnoteReference"/>
          <w:color w:val="1F497D" w:themeColor="text2"/>
        </w:rPr>
        <w:footnoteReference w:id="5"/>
      </w:r>
      <w:r w:rsidR="00DD6251">
        <w:rPr>
          <w:color w:val="1F497D" w:themeColor="text2"/>
        </w:rPr>
        <w:t xml:space="preserve">, </w:t>
      </w:r>
      <w:r w:rsidR="00802D69">
        <w:rPr>
          <w:color w:val="1F497D" w:themeColor="text2"/>
        </w:rPr>
        <w:t>including these</w:t>
      </w:r>
      <w:r w:rsidR="00EB126A">
        <w:rPr>
          <w:color w:val="1F497D" w:themeColor="text2"/>
        </w:rPr>
        <w:t xml:space="preserve"> issues to the </w:t>
      </w:r>
      <w:r w:rsidR="00EB126A" w:rsidRPr="00802D69">
        <w:rPr>
          <w:i/>
          <w:color w:val="1F497D" w:themeColor="text2"/>
        </w:rPr>
        <w:t xml:space="preserve">Committee on the Rights of the Child </w:t>
      </w:r>
      <w:r w:rsidR="00EB126A">
        <w:rPr>
          <w:color w:val="1F497D" w:themeColor="text2"/>
        </w:rPr>
        <w:t>(CRC) for the session with the Albanian government at the CRC’s 61</w:t>
      </w:r>
      <w:r w:rsidR="00EB126A" w:rsidRPr="00EB126A">
        <w:rPr>
          <w:color w:val="1F497D" w:themeColor="text2"/>
          <w:vertAlign w:val="superscript"/>
        </w:rPr>
        <w:t>st</w:t>
      </w:r>
      <w:r w:rsidR="00EB126A">
        <w:rPr>
          <w:color w:val="1F497D" w:themeColor="text2"/>
        </w:rPr>
        <w:t xml:space="preserve"> session on September 25</w:t>
      </w:r>
      <w:r w:rsidR="00EB126A" w:rsidRPr="00EB126A">
        <w:rPr>
          <w:color w:val="1F497D" w:themeColor="text2"/>
          <w:vertAlign w:val="superscript"/>
        </w:rPr>
        <w:t>th</w:t>
      </w:r>
      <w:r w:rsidR="00EB126A">
        <w:rPr>
          <w:color w:val="1F497D" w:themeColor="text2"/>
        </w:rPr>
        <w:t xml:space="preserve"> 2012.  The CRC’s concluding observations in this instance </w:t>
      </w:r>
      <w:r>
        <w:rPr>
          <w:color w:val="1F497D" w:themeColor="text2"/>
        </w:rPr>
        <w:t xml:space="preserve">(see </w:t>
      </w:r>
      <w:proofErr w:type="spellStart"/>
      <w:r>
        <w:rPr>
          <w:color w:val="1F497D" w:themeColor="text2"/>
        </w:rPr>
        <w:t>annex.II</w:t>
      </w:r>
      <w:proofErr w:type="spellEnd"/>
      <w:r>
        <w:rPr>
          <w:color w:val="1F497D" w:themeColor="text2"/>
        </w:rPr>
        <w:t xml:space="preserve">) </w:t>
      </w:r>
      <w:r w:rsidR="00EB126A">
        <w:rPr>
          <w:color w:val="1F497D" w:themeColor="text2"/>
        </w:rPr>
        <w:t>provide strong compl</w:t>
      </w:r>
      <w:r w:rsidR="00A5449B">
        <w:rPr>
          <w:color w:val="1F497D" w:themeColor="text2"/>
        </w:rPr>
        <w:t>e</w:t>
      </w:r>
      <w:r w:rsidR="00EB126A">
        <w:rPr>
          <w:color w:val="1F497D" w:themeColor="text2"/>
        </w:rPr>
        <w:t>mentary support for, and expand on, the original UPR recommendations</w:t>
      </w:r>
      <w:r w:rsidR="00ED57A7">
        <w:rPr>
          <w:rStyle w:val="FootnoteReference"/>
          <w:color w:val="1F497D" w:themeColor="text2"/>
        </w:rPr>
        <w:footnoteReference w:id="6"/>
      </w:r>
      <w:r w:rsidR="00EB126A">
        <w:rPr>
          <w:color w:val="1F497D" w:themeColor="text2"/>
        </w:rPr>
        <w:t xml:space="preserve">.  </w:t>
      </w:r>
    </w:p>
    <w:p w:rsidR="00DD258D" w:rsidRDefault="00E829D7" w:rsidP="006B39B7">
      <w:pPr>
        <w:spacing w:line="240" w:lineRule="auto"/>
        <w:jc w:val="both"/>
        <w:rPr>
          <w:color w:val="1F497D" w:themeColor="text2"/>
        </w:rPr>
      </w:pPr>
      <w:r w:rsidRPr="00352F1E">
        <w:rPr>
          <w:color w:val="E36C0A" w:themeColor="accent6" w:themeShade="BF"/>
        </w:rPr>
        <w:t>T</w:t>
      </w:r>
      <w:r w:rsidR="00EB126A" w:rsidRPr="00352F1E">
        <w:rPr>
          <w:color w:val="E36C0A" w:themeColor="accent6" w:themeShade="BF"/>
        </w:rPr>
        <w:t xml:space="preserve">his current submission to the </w:t>
      </w:r>
      <w:r w:rsidR="00EB126A" w:rsidRPr="00352F1E">
        <w:rPr>
          <w:i/>
          <w:color w:val="E36C0A" w:themeColor="accent6" w:themeShade="BF"/>
        </w:rPr>
        <w:t>Committee on Economic, Social and Cultural Rights</w:t>
      </w:r>
      <w:r w:rsidR="00EB126A" w:rsidRPr="00352F1E">
        <w:rPr>
          <w:color w:val="E36C0A" w:themeColor="accent6" w:themeShade="BF"/>
        </w:rPr>
        <w:t xml:space="preserve"> (CESCR) is </w:t>
      </w:r>
      <w:r w:rsidRPr="00352F1E">
        <w:rPr>
          <w:color w:val="E36C0A" w:themeColor="accent6" w:themeShade="BF"/>
        </w:rPr>
        <w:t xml:space="preserve">intended firstly </w:t>
      </w:r>
      <w:r w:rsidR="00EB126A" w:rsidRPr="00352F1E">
        <w:rPr>
          <w:color w:val="E36C0A" w:themeColor="accent6" w:themeShade="BF"/>
        </w:rPr>
        <w:t xml:space="preserve">to </w:t>
      </w:r>
      <w:r w:rsidR="00802D69" w:rsidRPr="00352F1E">
        <w:rPr>
          <w:color w:val="E36C0A" w:themeColor="accent6" w:themeShade="BF"/>
        </w:rPr>
        <w:t xml:space="preserve">provide sufficient information for the concluding observations of CESCR </w:t>
      </w:r>
      <w:r w:rsidR="001014B8" w:rsidRPr="00352F1E">
        <w:rPr>
          <w:color w:val="E36C0A" w:themeColor="accent6" w:themeShade="BF"/>
        </w:rPr>
        <w:t>to</w:t>
      </w:r>
      <w:r w:rsidR="00802D69" w:rsidRPr="00352F1E">
        <w:rPr>
          <w:color w:val="E36C0A" w:themeColor="accent6" w:themeShade="BF"/>
        </w:rPr>
        <w:t xml:space="preserve"> compl</w:t>
      </w:r>
      <w:r w:rsidR="00A5449B" w:rsidRPr="00352F1E">
        <w:rPr>
          <w:color w:val="E36C0A" w:themeColor="accent6" w:themeShade="BF"/>
        </w:rPr>
        <w:t>e</w:t>
      </w:r>
      <w:r w:rsidR="00802D69" w:rsidRPr="00352F1E">
        <w:rPr>
          <w:color w:val="E36C0A" w:themeColor="accent6" w:themeShade="BF"/>
        </w:rPr>
        <w:t>ment</w:t>
      </w:r>
      <w:r w:rsidRPr="00352F1E">
        <w:rPr>
          <w:color w:val="E36C0A" w:themeColor="accent6" w:themeShade="BF"/>
        </w:rPr>
        <w:t xml:space="preserve"> </w:t>
      </w:r>
      <w:r w:rsidR="00802D69" w:rsidRPr="00352F1E">
        <w:rPr>
          <w:color w:val="E36C0A" w:themeColor="accent6" w:themeShade="BF"/>
        </w:rPr>
        <w:t xml:space="preserve">those made by the UPR Working Group and by </w:t>
      </w:r>
      <w:r w:rsidR="001014B8" w:rsidRPr="00352F1E">
        <w:rPr>
          <w:color w:val="E36C0A" w:themeColor="accent6" w:themeShade="BF"/>
        </w:rPr>
        <w:t xml:space="preserve">the CRC and secondly to note the important guidance on these issues as presented in the </w:t>
      </w:r>
      <w:r w:rsidR="001014B8" w:rsidRPr="00352F1E">
        <w:rPr>
          <w:i/>
          <w:color w:val="E36C0A" w:themeColor="accent6" w:themeShade="BF"/>
        </w:rPr>
        <w:t>UN Guidelines for the Alternative Care of Children</w:t>
      </w:r>
      <w:r w:rsidR="001014B8" w:rsidRPr="00352F1E">
        <w:rPr>
          <w:color w:val="E36C0A" w:themeColor="accent6" w:themeShade="BF"/>
        </w:rPr>
        <w:t xml:space="preserve"> (A/RES/64/142)</w:t>
      </w:r>
      <w:r w:rsidR="0049381B" w:rsidRPr="00352F1E">
        <w:rPr>
          <w:rStyle w:val="FootnoteReference"/>
          <w:color w:val="E36C0A" w:themeColor="accent6" w:themeShade="BF"/>
        </w:rPr>
        <w:footnoteReference w:id="7"/>
      </w:r>
      <w:r w:rsidR="001014B8" w:rsidRPr="00352F1E">
        <w:rPr>
          <w:color w:val="E36C0A" w:themeColor="accent6" w:themeShade="BF"/>
        </w:rPr>
        <w:t>.</w:t>
      </w:r>
    </w:p>
    <w:p w:rsidR="00306FF2" w:rsidRPr="000700A1" w:rsidRDefault="000700A1" w:rsidP="006D2905">
      <w:pPr>
        <w:spacing w:after="120"/>
        <w:rPr>
          <w:color w:val="1F497D" w:themeColor="text2"/>
          <w:u w:val="single"/>
          <w:lang w:val="en-US"/>
        </w:rPr>
      </w:pPr>
      <w:r w:rsidRPr="000700A1">
        <w:rPr>
          <w:rFonts w:ascii="Arial Narrow" w:hAnsi="Arial Narrow"/>
          <w:b/>
          <w:color w:val="F79646" w:themeColor="accent6"/>
          <w:sz w:val="24"/>
          <w:szCs w:val="24"/>
          <w:u w:val="single"/>
        </w:rPr>
        <w:t>Summary of concerns</w:t>
      </w:r>
    </w:p>
    <w:p w:rsidR="005E36C3" w:rsidRDefault="005E36C3" w:rsidP="001014B8">
      <w:pPr>
        <w:autoSpaceDE w:val="0"/>
        <w:autoSpaceDN w:val="0"/>
        <w:adjustRightInd w:val="0"/>
        <w:spacing w:after="0" w:line="240" w:lineRule="auto"/>
        <w:jc w:val="both"/>
        <w:rPr>
          <w:color w:val="1F497D" w:themeColor="text2"/>
        </w:rPr>
      </w:pPr>
      <w:r>
        <w:rPr>
          <w:color w:val="1F497D" w:themeColor="text2"/>
        </w:rPr>
        <w:t xml:space="preserve">The </w:t>
      </w:r>
      <w:r w:rsidR="001014B8" w:rsidRPr="001014B8">
        <w:rPr>
          <w:color w:val="1F497D" w:themeColor="text2"/>
        </w:rPr>
        <w:t xml:space="preserve">situation of children ageing out of care </w:t>
      </w:r>
      <w:r>
        <w:rPr>
          <w:color w:val="1F497D" w:themeColor="text2"/>
        </w:rPr>
        <w:t>is</w:t>
      </w:r>
      <w:r w:rsidR="001014B8" w:rsidRPr="001014B8">
        <w:rPr>
          <w:color w:val="1F497D" w:themeColor="text2"/>
        </w:rPr>
        <w:t xml:space="preserve"> concern</w:t>
      </w:r>
      <w:r>
        <w:rPr>
          <w:color w:val="1F497D" w:themeColor="text2"/>
        </w:rPr>
        <w:t>ing</w:t>
      </w:r>
      <w:r w:rsidR="001014B8" w:rsidRPr="001014B8">
        <w:rPr>
          <w:color w:val="1F497D" w:themeColor="text2"/>
        </w:rPr>
        <w:t xml:space="preserve"> particularly considering the early age of leaving </w:t>
      </w:r>
      <w:r>
        <w:rPr>
          <w:color w:val="1F497D" w:themeColor="text2"/>
        </w:rPr>
        <w:t xml:space="preserve">state </w:t>
      </w:r>
      <w:r w:rsidR="001014B8" w:rsidRPr="001014B8">
        <w:rPr>
          <w:color w:val="1F497D" w:themeColor="text2"/>
        </w:rPr>
        <w:t xml:space="preserve">care, as young as 14-15 years old. </w:t>
      </w:r>
      <w:r>
        <w:rPr>
          <w:color w:val="1F497D" w:themeColor="text2"/>
        </w:rPr>
        <w:t>Whilst the law states that 15 years is the legal age of leaving care both the NGO coalition and Amnesty International not</w:t>
      </w:r>
      <w:r w:rsidR="00F47779">
        <w:rPr>
          <w:color w:val="1F497D" w:themeColor="text2"/>
        </w:rPr>
        <w:t>e</w:t>
      </w:r>
      <w:r>
        <w:rPr>
          <w:color w:val="1F497D" w:themeColor="text2"/>
        </w:rPr>
        <w:t xml:space="preserve"> that this can occur as young as 14 years.</w:t>
      </w:r>
    </w:p>
    <w:p w:rsidR="005E36C3" w:rsidRPr="006B39B7" w:rsidRDefault="005E36C3" w:rsidP="001014B8">
      <w:pPr>
        <w:autoSpaceDE w:val="0"/>
        <w:autoSpaceDN w:val="0"/>
        <w:adjustRightInd w:val="0"/>
        <w:spacing w:after="0" w:line="240" w:lineRule="auto"/>
        <w:jc w:val="both"/>
        <w:rPr>
          <w:color w:val="1F497D" w:themeColor="text2"/>
          <w:sz w:val="16"/>
          <w:szCs w:val="16"/>
        </w:rPr>
      </w:pPr>
    </w:p>
    <w:p w:rsidR="005E36C3" w:rsidRPr="005E36C3" w:rsidRDefault="005E36C3" w:rsidP="005E36C3">
      <w:pPr>
        <w:spacing w:after="0" w:line="240" w:lineRule="auto"/>
        <w:ind w:left="708" w:right="1008"/>
        <w:jc w:val="both"/>
        <w:rPr>
          <w:color w:val="1F497D" w:themeColor="text2"/>
          <w:sz w:val="20"/>
          <w:szCs w:val="20"/>
        </w:rPr>
      </w:pPr>
      <w:r w:rsidRPr="005E36C3">
        <w:rPr>
          <w:i/>
          <w:color w:val="1F497D" w:themeColor="text2"/>
          <w:sz w:val="20"/>
          <w:szCs w:val="20"/>
        </w:rPr>
        <w:t xml:space="preserve">“Although the state’s duty to provide special protection and assistance extends to the age of 18, in practice children in state care generally leave orphanages at the age of 14 or 15 years, and continue to secondary school, usually a vocational school” </w:t>
      </w:r>
      <w:r w:rsidRPr="00F47779">
        <w:rPr>
          <w:color w:val="1F497D" w:themeColor="text2"/>
          <w:sz w:val="20"/>
          <w:szCs w:val="20"/>
        </w:rPr>
        <w:t>(Amnesty p.7)</w:t>
      </w:r>
    </w:p>
    <w:p w:rsidR="005E36C3" w:rsidRPr="006B39B7" w:rsidRDefault="005E36C3" w:rsidP="001014B8">
      <w:pPr>
        <w:autoSpaceDE w:val="0"/>
        <w:autoSpaceDN w:val="0"/>
        <w:adjustRightInd w:val="0"/>
        <w:spacing w:after="0" w:line="240" w:lineRule="auto"/>
        <w:jc w:val="both"/>
        <w:rPr>
          <w:color w:val="1F497D" w:themeColor="text2"/>
          <w:sz w:val="20"/>
          <w:szCs w:val="20"/>
        </w:rPr>
      </w:pPr>
    </w:p>
    <w:p w:rsidR="005E36C3" w:rsidRDefault="001014B8" w:rsidP="001014B8">
      <w:pPr>
        <w:autoSpaceDE w:val="0"/>
        <w:autoSpaceDN w:val="0"/>
        <w:adjustRightInd w:val="0"/>
        <w:spacing w:after="0" w:line="240" w:lineRule="auto"/>
        <w:jc w:val="both"/>
        <w:rPr>
          <w:color w:val="1F497D" w:themeColor="text2"/>
        </w:rPr>
      </w:pPr>
      <w:r w:rsidRPr="001014B8">
        <w:rPr>
          <w:color w:val="1F497D" w:themeColor="text2"/>
        </w:rPr>
        <w:t xml:space="preserve">After children leave </w:t>
      </w:r>
      <w:r w:rsidR="00922668">
        <w:rPr>
          <w:color w:val="1F497D" w:themeColor="text2"/>
        </w:rPr>
        <w:t xml:space="preserve">these </w:t>
      </w:r>
      <w:r w:rsidRPr="001014B8">
        <w:rPr>
          <w:color w:val="1F497D" w:themeColor="text2"/>
        </w:rPr>
        <w:t xml:space="preserve">public residential institutions, </w:t>
      </w:r>
      <w:r w:rsidR="00922668">
        <w:rPr>
          <w:color w:val="1F497D" w:themeColor="text2"/>
        </w:rPr>
        <w:t xml:space="preserve">they </w:t>
      </w:r>
      <w:r w:rsidR="005E36C3">
        <w:rPr>
          <w:color w:val="1F497D" w:themeColor="text2"/>
        </w:rPr>
        <w:t>move</w:t>
      </w:r>
      <w:r w:rsidRPr="001014B8">
        <w:rPr>
          <w:color w:val="1F497D" w:themeColor="text2"/>
        </w:rPr>
        <w:t xml:space="preserve"> to boarding schools </w:t>
      </w:r>
      <w:r w:rsidR="005E36C3">
        <w:rPr>
          <w:color w:val="1F497D" w:themeColor="text2"/>
        </w:rPr>
        <w:t xml:space="preserve">but </w:t>
      </w:r>
      <w:r w:rsidRPr="001014B8">
        <w:rPr>
          <w:color w:val="1F497D" w:themeColor="text2"/>
        </w:rPr>
        <w:t>only if suitable places in school</w:t>
      </w:r>
      <w:r w:rsidR="005E36C3">
        <w:rPr>
          <w:color w:val="1F497D" w:themeColor="text2"/>
        </w:rPr>
        <w:t xml:space="preserve"> dormitories (residence halls known as “</w:t>
      </w:r>
      <w:proofErr w:type="spellStart"/>
      <w:r w:rsidR="005E36C3" w:rsidRPr="005E36C3">
        <w:rPr>
          <w:i/>
          <w:color w:val="1F497D" w:themeColor="text2"/>
        </w:rPr>
        <w:t>konvikts</w:t>
      </w:r>
      <w:proofErr w:type="spellEnd"/>
      <w:r w:rsidR="005E36C3">
        <w:rPr>
          <w:color w:val="1F497D" w:themeColor="text2"/>
        </w:rPr>
        <w:t xml:space="preserve">”) are available.  All the NGO reports to UPR </w:t>
      </w:r>
      <w:r w:rsidR="00922668">
        <w:rPr>
          <w:color w:val="1F497D" w:themeColor="text2"/>
        </w:rPr>
        <w:t xml:space="preserve">and </w:t>
      </w:r>
      <w:r w:rsidR="005E36C3">
        <w:rPr>
          <w:color w:val="1F497D" w:themeColor="text2"/>
        </w:rPr>
        <w:t>CRC note that there are serious questions about both the quality of education in boarding schools received and the living conditions in those “</w:t>
      </w:r>
      <w:proofErr w:type="spellStart"/>
      <w:r w:rsidR="005E36C3" w:rsidRPr="005E36C3">
        <w:rPr>
          <w:i/>
          <w:color w:val="1F497D" w:themeColor="text2"/>
        </w:rPr>
        <w:t>konvikts</w:t>
      </w:r>
      <w:proofErr w:type="spellEnd"/>
      <w:r w:rsidR="005E36C3">
        <w:rPr>
          <w:color w:val="1F497D" w:themeColor="text2"/>
        </w:rPr>
        <w:t>”. For example,</w:t>
      </w:r>
    </w:p>
    <w:p w:rsidR="005E36C3" w:rsidRPr="006B39B7" w:rsidRDefault="005E36C3" w:rsidP="001014B8">
      <w:pPr>
        <w:autoSpaceDE w:val="0"/>
        <w:autoSpaceDN w:val="0"/>
        <w:adjustRightInd w:val="0"/>
        <w:spacing w:after="0" w:line="240" w:lineRule="auto"/>
        <w:jc w:val="both"/>
        <w:rPr>
          <w:color w:val="1F497D" w:themeColor="text2"/>
          <w:sz w:val="16"/>
          <w:szCs w:val="16"/>
        </w:rPr>
      </w:pPr>
    </w:p>
    <w:p w:rsidR="005E36C3" w:rsidRPr="005E36C3" w:rsidRDefault="005E36C3" w:rsidP="005E36C3">
      <w:pPr>
        <w:spacing w:after="0" w:line="240" w:lineRule="auto"/>
        <w:ind w:left="708" w:right="1008"/>
        <w:jc w:val="both"/>
        <w:rPr>
          <w:i/>
          <w:color w:val="1F497D" w:themeColor="text2"/>
          <w:sz w:val="20"/>
          <w:szCs w:val="20"/>
        </w:rPr>
      </w:pPr>
      <w:r w:rsidRPr="005E36C3">
        <w:rPr>
          <w:i/>
          <w:color w:val="1F497D" w:themeColor="text2"/>
          <w:sz w:val="20"/>
          <w:szCs w:val="20"/>
        </w:rPr>
        <w:lastRenderedPageBreak/>
        <w:t xml:space="preserve">“Young people in Albania leave childcare institutions at the age of 15 years, without any further monitoring. Most of them are placed in boarding school, suffering from poor education, lack of financial resources, and lack of mentoring from adults”. </w:t>
      </w:r>
      <w:r w:rsidRPr="00F47779">
        <w:rPr>
          <w:color w:val="1F497D" w:themeColor="text2"/>
          <w:sz w:val="20"/>
          <w:szCs w:val="20"/>
        </w:rPr>
        <w:t>(NGO coalition addendum p.5)</w:t>
      </w:r>
    </w:p>
    <w:p w:rsidR="005E36C3" w:rsidRPr="006B39B7" w:rsidRDefault="005E36C3" w:rsidP="005E36C3">
      <w:pPr>
        <w:spacing w:after="0" w:line="240" w:lineRule="auto"/>
        <w:ind w:left="708" w:right="1008"/>
        <w:jc w:val="both"/>
        <w:rPr>
          <w:i/>
          <w:color w:val="1F497D" w:themeColor="text2"/>
          <w:sz w:val="16"/>
          <w:szCs w:val="16"/>
        </w:rPr>
      </w:pPr>
      <w:r w:rsidRPr="005E36C3">
        <w:rPr>
          <w:i/>
          <w:color w:val="1F497D" w:themeColor="text2"/>
          <w:sz w:val="20"/>
          <w:szCs w:val="20"/>
        </w:rPr>
        <w:t xml:space="preserve"> </w:t>
      </w:r>
    </w:p>
    <w:p w:rsidR="005E36C3" w:rsidRPr="005E36C3" w:rsidRDefault="005E36C3" w:rsidP="005E36C3">
      <w:pPr>
        <w:spacing w:after="0" w:line="240" w:lineRule="auto"/>
        <w:ind w:left="708" w:right="1008"/>
        <w:jc w:val="both"/>
        <w:rPr>
          <w:i/>
          <w:color w:val="1F497D" w:themeColor="text2"/>
          <w:sz w:val="20"/>
          <w:szCs w:val="20"/>
        </w:rPr>
      </w:pPr>
      <w:r w:rsidRPr="005E36C3">
        <w:rPr>
          <w:i/>
          <w:color w:val="1F497D" w:themeColor="text2"/>
          <w:sz w:val="20"/>
          <w:szCs w:val="20"/>
        </w:rPr>
        <w:t>“</w:t>
      </w:r>
      <w:proofErr w:type="gramStart"/>
      <w:r w:rsidRPr="005E36C3">
        <w:rPr>
          <w:i/>
          <w:color w:val="1F497D" w:themeColor="text2"/>
          <w:sz w:val="20"/>
          <w:szCs w:val="20"/>
        </w:rPr>
        <w:t>in</w:t>
      </w:r>
      <w:proofErr w:type="gramEnd"/>
      <w:r w:rsidRPr="005E36C3">
        <w:rPr>
          <w:i/>
          <w:color w:val="1F497D" w:themeColor="text2"/>
          <w:sz w:val="20"/>
          <w:szCs w:val="20"/>
        </w:rPr>
        <w:t xml:space="preserve"> addition to education, receive free accommodation in the school’s residence hall (</w:t>
      </w:r>
      <w:proofErr w:type="spellStart"/>
      <w:r w:rsidRPr="005E36C3">
        <w:rPr>
          <w:i/>
          <w:color w:val="1F497D" w:themeColor="text2"/>
          <w:sz w:val="20"/>
          <w:szCs w:val="20"/>
        </w:rPr>
        <w:t>konvikt</w:t>
      </w:r>
      <w:proofErr w:type="spellEnd"/>
      <w:r w:rsidRPr="005E36C3">
        <w:rPr>
          <w:i/>
          <w:color w:val="1F497D" w:themeColor="text2"/>
          <w:sz w:val="20"/>
          <w:szCs w:val="20"/>
        </w:rPr>
        <w:t xml:space="preserve">), meals, and a small allowance for clothes and personal necessities. For children who do not wish, or are not able, to attend secondary school, the state makes no provision, although legally those who have not yet completed primary education have the right to stay on in orphanages until the age of 17.  Although the state supplies children deprived of parental care with their most essential material needs, life in the </w:t>
      </w:r>
      <w:proofErr w:type="spellStart"/>
      <w:r w:rsidRPr="005E36C3">
        <w:rPr>
          <w:i/>
          <w:color w:val="1F497D" w:themeColor="text2"/>
          <w:sz w:val="20"/>
          <w:szCs w:val="20"/>
        </w:rPr>
        <w:t>konvikt</w:t>
      </w:r>
      <w:proofErr w:type="spellEnd"/>
      <w:r w:rsidRPr="005E36C3">
        <w:rPr>
          <w:i/>
          <w:color w:val="1F497D" w:themeColor="text2"/>
          <w:sz w:val="20"/>
          <w:szCs w:val="20"/>
        </w:rPr>
        <w:t xml:space="preserve"> fails to offer the individual care, support, and supervision of their studies crucial to adolescents. As a result, many children drop out of school, or attend their courses only fitfully, undermining their future chances of employment. The importance of such supervision is underlined in Article 28.1 (e) of the CRC which requires measures to be taken to “…to encourage regular attendance at schools and the reduction of drop‐out rates”.</w:t>
      </w:r>
      <w:r w:rsidRPr="00F47779">
        <w:rPr>
          <w:i/>
          <w:color w:val="1F497D" w:themeColor="text2"/>
          <w:sz w:val="20"/>
          <w:szCs w:val="20"/>
        </w:rPr>
        <w:t xml:space="preserve"> </w:t>
      </w:r>
      <w:r w:rsidRPr="00F47779">
        <w:rPr>
          <w:color w:val="1F497D" w:themeColor="text2"/>
          <w:sz w:val="20"/>
          <w:szCs w:val="20"/>
        </w:rPr>
        <w:t>(Amnesty International - p.7)</w:t>
      </w:r>
    </w:p>
    <w:p w:rsidR="005E36C3" w:rsidRPr="006B39B7" w:rsidRDefault="005E36C3" w:rsidP="001014B8">
      <w:pPr>
        <w:autoSpaceDE w:val="0"/>
        <w:autoSpaceDN w:val="0"/>
        <w:adjustRightInd w:val="0"/>
        <w:spacing w:after="0" w:line="240" w:lineRule="auto"/>
        <w:jc w:val="both"/>
        <w:rPr>
          <w:color w:val="1F497D" w:themeColor="text2"/>
          <w:sz w:val="20"/>
          <w:szCs w:val="20"/>
        </w:rPr>
      </w:pPr>
    </w:p>
    <w:p w:rsidR="00922668" w:rsidRPr="001014B8" w:rsidRDefault="005E36C3" w:rsidP="00922668">
      <w:pPr>
        <w:autoSpaceDE w:val="0"/>
        <w:autoSpaceDN w:val="0"/>
        <w:adjustRightInd w:val="0"/>
        <w:spacing w:after="0" w:line="240" w:lineRule="auto"/>
        <w:jc w:val="both"/>
        <w:rPr>
          <w:color w:val="1F497D" w:themeColor="text2"/>
        </w:rPr>
      </w:pPr>
      <w:r>
        <w:rPr>
          <w:color w:val="1F497D" w:themeColor="text2"/>
        </w:rPr>
        <w:t>Consequently t</w:t>
      </w:r>
      <w:r w:rsidRPr="005E36C3">
        <w:rPr>
          <w:color w:val="1F497D" w:themeColor="text2"/>
        </w:rPr>
        <w:t xml:space="preserve">he </w:t>
      </w:r>
      <w:r w:rsidR="001014B8" w:rsidRPr="001014B8">
        <w:rPr>
          <w:color w:val="1F497D" w:themeColor="text2"/>
        </w:rPr>
        <w:t xml:space="preserve">majority of care leavers have low educational attainment (8th grade education or perhaps one or two years of high school). </w:t>
      </w:r>
      <w:r w:rsidR="00922668">
        <w:rPr>
          <w:color w:val="1F497D" w:themeColor="text2"/>
        </w:rPr>
        <w:t>As noted above, m</w:t>
      </w:r>
      <w:r w:rsidR="001014B8" w:rsidRPr="001014B8">
        <w:rPr>
          <w:color w:val="1F497D" w:themeColor="text2"/>
        </w:rPr>
        <w:t xml:space="preserve">any drop-out of education during their </w:t>
      </w:r>
      <w:r w:rsidR="00922668">
        <w:rPr>
          <w:color w:val="1F497D" w:themeColor="text2"/>
        </w:rPr>
        <w:t xml:space="preserve">time in these boarding schools. It is also noted by the </w:t>
      </w:r>
      <w:r w:rsidR="00922668" w:rsidRPr="001014B8">
        <w:rPr>
          <w:color w:val="1F497D" w:themeColor="text2"/>
        </w:rPr>
        <w:t>children are known to have deliberately failed the school year, in order to repeat the year</w:t>
      </w:r>
      <w:r w:rsidR="00922668">
        <w:rPr>
          <w:color w:val="1F497D" w:themeColor="text2"/>
        </w:rPr>
        <w:t>,</w:t>
      </w:r>
      <w:r w:rsidR="00922668" w:rsidRPr="001014B8">
        <w:rPr>
          <w:color w:val="1F497D" w:themeColor="text2"/>
        </w:rPr>
        <w:t xml:space="preserve"> and therefore postpone their post-graduation departure from the school. </w:t>
      </w:r>
    </w:p>
    <w:p w:rsidR="00D13A91" w:rsidRPr="006B39B7" w:rsidRDefault="00D13A91" w:rsidP="001014B8">
      <w:pPr>
        <w:autoSpaceDE w:val="0"/>
        <w:autoSpaceDN w:val="0"/>
        <w:adjustRightInd w:val="0"/>
        <w:spacing w:after="0" w:line="240" w:lineRule="auto"/>
        <w:jc w:val="both"/>
        <w:rPr>
          <w:color w:val="1F497D" w:themeColor="text2"/>
          <w:sz w:val="20"/>
          <w:szCs w:val="20"/>
        </w:rPr>
      </w:pPr>
    </w:p>
    <w:p w:rsidR="00922668" w:rsidRDefault="00922668" w:rsidP="001014B8">
      <w:pPr>
        <w:autoSpaceDE w:val="0"/>
        <w:autoSpaceDN w:val="0"/>
        <w:adjustRightInd w:val="0"/>
        <w:spacing w:after="0" w:line="240" w:lineRule="auto"/>
        <w:jc w:val="both"/>
        <w:rPr>
          <w:color w:val="1F497D" w:themeColor="text2"/>
        </w:rPr>
      </w:pPr>
      <w:r>
        <w:rPr>
          <w:color w:val="1F497D" w:themeColor="text2"/>
        </w:rPr>
        <w:t>The conseque</w:t>
      </w:r>
      <w:r w:rsidR="00D13A91">
        <w:rPr>
          <w:color w:val="1F497D" w:themeColor="text2"/>
        </w:rPr>
        <w:t>nces of poor education and drop-</w:t>
      </w:r>
      <w:r>
        <w:rPr>
          <w:color w:val="1F497D" w:themeColor="text2"/>
        </w:rPr>
        <w:t xml:space="preserve">out are noted by Amnesty International, </w:t>
      </w:r>
    </w:p>
    <w:p w:rsidR="00922668" w:rsidRPr="006B39B7" w:rsidRDefault="00922668" w:rsidP="001014B8">
      <w:pPr>
        <w:autoSpaceDE w:val="0"/>
        <w:autoSpaceDN w:val="0"/>
        <w:adjustRightInd w:val="0"/>
        <w:spacing w:after="0" w:line="240" w:lineRule="auto"/>
        <w:jc w:val="both"/>
        <w:rPr>
          <w:color w:val="1F497D" w:themeColor="text2"/>
          <w:sz w:val="16"/>
          <w:szCs w:val="16"/>
        </w:rPr>
      </w:pPr>
    </w:p>
    <w:p w:rsidR="00922668" w:rsidRPr="00922668" w:rsidRDefault="00922668" w:rsidP="00922668">
      <w:pPr>
        <w:autoSpaceDE w:val="0"/>
        <w:autoSpaceDN w:val="0"/>
        <w:adjustRightInd w:val="0"/>
        <w:spacing w:after="0" w:line="240" w:lineRule="auto"/>
        <w:ind w:left="708" w:right="1008"/>
        <w:jc w:val="both"/>
        <w:rPr>
          <w:i/>
          <w:color w:val="1F497D" w:themeColor="text2"/>
          <w:sz w:val="20"/>
          <w:szCs w:val="20"/>
        </w:rPr>
      </w:pPr>
      <w:r>
        <w:rPr>
          <w:i/>
          <w:color w:val="1F497D" w:themeColor="text2"/>
          <w:sz w:val="20"/>
          <w:szCs w:val="20"/>
        </w:rPr>
        <w:t>“</w:t>
      </w:r>
      <w:r w:rsidRPr="00922668">
        <w:rPr>
          <w:i/>
          <w:color w:val="1F497D" w:themeColor="text2"/>
          <w:sz w:val="20"/>
          <w:szCs w:val="20"/>
        </w:rPr>
        <w:t xml:space="preserve">By its failure to implement its obligations, the state renders these children vulnerable to exploitation. Young girls, in particular, are targeted by traffickers, who take advantage of the fact that they do not have parents to care for them. Their </w:t>
      </w:r>
      <w:proofErr w:type="gramStart"/>
      <w:r w:rsidRPr="00922668">
        <w:rPr>
          <w:i/>
          <w:color w:val="1F497D" w:themeColor="text2"/>
          <w:sz w:val="20"/>
          <w:szCs w:val="20"/>
        </w:rPr>
        <w:t>immaturity, their need for affection, security and material well‐being, make</w:t>
      </w:r>
      <w:proofErr w:type="gramEnd"/>
      <w:r w:rsidRPr="00922668">
        <w:rPr>
          <w:i/>
          <w:color w:val="1F497D" w:themeColor="text2"/>
          <w:sz w:val="20"/>
          <w:szCs w:val="20"/>
        </w:rPr>
        <w:t xml:space="preserve"> them easy prey. Others may be drawn into crime.</w:t>
      </w:r>
      <w:r>
        <w:rPr>
          <w:i/>
          <w:color w:val="1F497D" w:themeColor="text2"/>
          <w:sz w:val="20"/>
          <w:szCs w:val="20"/>
        </w:rPr>
        <w:t>”</w:t>
      </w:r>
      <w:r w:rsidRPr="00F47779">
        <w:rPr>
          <w:i/>
          <w:color w:val="1F497D" w:themeColor="text2"/>
          <w:sz w:val="20"/>
          <w:szCs w:val="20"/>
        </w:rPr>
        <w:t xml:space="preserve"> </w:t>
      </w:r>
      <w:r w:rsidRPr="00F47779">
        <w:rPr>
          <w:color w:val="1F497D" w:themeColor="text2"/>
          <w:sz w:val="20"/>
          <w:szCs w:val="20"/>
        </w:rPr>
        <w:t>(p.7)</w:t>
      </w:r>
    </w:p>
    <w:p w:rsidR="00922668" w:rsidRPr="006B39B7" w:rsidRDefault="00922668" w:rsidP="001014B8">
      <w:pPr>
        <w:autoSpaceDE w:val="0"/>
        <w:autoSpaceDN w:val="0"/>
        <w:adjustRightInd w:val="0"/>
        <w:spacing w:after="0" w:line="240" w:lineRule="auto"/>
        <w:jc w:val="both"/>
        <w:rPr>
          <w:color w:val="1F497D" w:themeColor="text2"/>
          <w:sz w:val="20"/>
          <w:szCs w:val="20"/>
        </w:rPr>
      </w:pPr>
    </w:p>
    <w:p w:rsidR="00D13A91" w:rsidRDefault="00D13A91" w:rsidP="00922668">
      <w:pPr>
        <w:autoSpaceDE w:val="0"/>
        <w:autoSpaceDN w:val="0"/>
        <w:adjustRightInd w:val="0"/>
        <w:spacing w:after="0" w:line="240" w:lineRule="auto"/>
        <w:jc w:val="both"/>
        <w:rPr>
          <w:color w:val="1F497D" w:themeColor="text2"/>
        </w:rPr>
      </w:pPr>
      <w:r>
        <w:rPr>
          <w:color w:val="1F497D" w:themeColor="text2"/>
        </w:rPr>
        <w:t>Furthermore, c</w:t>
      </w:r>
      <w:r w:rsidR="00922668" w:rsidRPr="001014B8">
        <w:rPr>
          <w:color w:val="1F497D" w:themeColor="text2"/>
        </w:rPr>
        <w:t>hildren in boarding schools repo</w:t>
      </w:r>
      <w:r w:rsidR="00D76075">
        <w:rPr>
          <w:color w:val="1F497D" w:themeColor="text2"/>
        </w:rPr>
        <w:t>rt that they are often stigmatis</w:t>
      </w:r>
      <w:r w:rsidR="00922668" w:rsidRPr="001014B8">
        <w:rPr>
          <w:color w:val="1F497D" w:themeColor="text2"/>
        </w:rPr>
        <w:t>ed, live in poverty, do not have access to free health assistance, and have no housing support after graduation at age 18</w:t>
      </w:r>
      <w:r w:rsidR="00D76075">
        <w:rPr>
          <w:color w:val="1F497D" w:themeColor="text2"/>
        </w:rPr>
        <w:t xml:space="preserve"> and often staying on in these </w:t>
      </w:r>
      <w:proofErr w:type="spellStart"/>
      <w:r w:rsidR="00D76075" w:rsidRPr="00D76075">
        <w:rPr>
          <w:i/>
          <w:color w:val="1F497D" w:themeColor="text2"/>
        </w:rPr>
        <w:t>konvikts</w:t>
      </w:r>
      <w:proofErr w:type="spellEnd"/>
      <w:r w:rsidR="00D76075">
        <w:rPr>
          <w:color w:val="1F497D" w:themeColor="text2"/>
        </w:rPr>
        <w:t xml:space="preserve"> well into adulthood</w:t>
      </w:r>
      <w:r w:rsidR="00922668" w:rsidRPr="001014B8">
        <w:rPr>
          <w:color w:val="1F497D" w:themeColor="text2"/>
        </w:rPr>
        <w:t xml:space="preserve">. Therefore, </w:t>
      </w:r>
      <w:r>
        <w:rPr>
          <w:color w:val="1F497D" w:themeColor="text2"/>
        </w:rPr>
        <w:t>many</w:t>
      </w:r>
      <w:r w:rsidR="00922668" w:rsidRPr="001014B8">
        <w:rPr>
          <w:color w:val="1F497D" w:themeColor="text2"/>
        </w:rPr>
        <w:t xml:space="preserve"> care leavers tend to live throughout their life in </w:t>
      </w:r>
      <w:r>
        <w:rPr>
          <w:color w:val="1F497D" w:themeColor="text2"/>
        </w:rPr>
        <w:t xml:space="preserve">either </w:t>
      </w:r>
      <w:r w:rsidR="00922668" w:rsidRPr="001014B8">
        <w:rPr>
          <w:color w:val="1F497D" w:themeColor="text2"/>
        </w:rPr>
        <w:t>boarding schools</w:t>
      </w:r>
      <w:r>
        <w:rPr>
          <w:color w:val="1F497D" w:themeColor="text2"/>
        </w:rPr>
        <w:t xml:space="preserve"> or on the streets.</w:t>
      </w:r>
    </w:p>
    <w:p w:rsidR="00D13A91" w:rsidRPr="006B39B7" w:rsidRDefault="00D13A91" w:rsidP="00922668">
      <w:pPr>
        <w:autoSpaceDE w:val="0"/>
        <w:autoSpaceDN w:val="0"/>
        <w:adjustRightInd w:val="0"/>
        <w:spacing w:after="0" w:line="240" w:lineRule="auto"/>
        <w:jc w:val="both"/>
        <w:rPr>
          <w:color w:val="1F497D" w:themeColor="text2"/>
          <w:sz w:val="20"/>
          <w:szCs w:val="20"/>
        </w:rPr>
      </w:pPr>
    </w:p>
    <w:p w:rsidR="00D13A91" w:rsidRPr="00E72AC5" w:rsidRDefault="00D13A91" w:rsidP="00D13A91">
      <w:pPr>
        <w:autoSpaceDE w:val="0"/>
        <w:autoSpaceDN w:val="0"/>
        <w:adjustRightInd w:val="0"/>
        <w:spacing w:after="0" w:line="240" w:lineRule="auto"/>
        <w:jc w:val="both"/>
        <w:rPr>
          <w:color w:val="1F497D" w:themeColor="text2"/>
        </w:rPr>
      </w:pPr>
      <w:r>
        <w:rPr>
          <w:color w:val="1F497D" w:themeColor="text2"/>
        </w:rPr>
        <w:t xml:space="preserve">Whilst the national law </w:t>
      </w:r>
      <w:r w:rsidRPr="001014B8">
        <w:rPr>
          <w:color w:val="1F497D" w:themeColor="text2"/>
        </w:rPr>
        <w:t xml:space="preserve">“On status of orphans – Law no.8153 – 31.10.1996”, </w:t>
      </w:r>
      <w:r>
        <w:rPr>
          <w:color w:val="1F497D" w:themeColor="text2"/>
        </w:rPr>
        <w:t xml:space="preserve">entitles </w:t>
      </w:r>
      <w:r w:rsidRPr="001014B8">
        <w:rPr>
          <w:color w:val="1F497D" w:themeColor="text2"/>
        </w:rPr>
        <w:t xml:space="preserve">children granted orphan status supports, such as financial payments, scholarships and free access to other basic services. In reality, the available economic support is insufficient to address levels poverty and there is also poor </w:t>
      </w:r>
      <w:r w:rsidRPr="005E36C3">
        <w:rPr>
          <w:color w:val="1F497D" w:themeColor="text2"/>
        </w:rPr>
        <w:t>implementation regarding prioritizing support services for orphans, such as employment support from age 16, housing and accommodation, health, etc.</w:t>
      </w:r>
      <w:r w:rsidRPr="001014B8">
        <w:rPr>
          <w:rFonts w:ascii="Times New Roman" w:hAnsi="Times New Roman" w:cs="Times New Roman"/>
        </w:rPr>
        <w:t xml:space="preserve"> </w:t>
      </w:r>
    </w:p>
    <w:p w:rsidR="00D13A91" w:rsidRPr="006B39B7" w:rsidRDefault="00D13A91" w:rsidP="00922668">
      <w:pPr>
        <w:autoSpaceDE w:val="0"/>
        <w:autoSpaceDN w:val="0"/>
        <w:adjustRightInd w:val="0"/>
        <w:spacing w:after="0" w:line="240" w:lineRule="auto"/>
        <w:jc w:val="both"/>
        <w:rPr>
          <w:color w:val="1F497D" w:themeColor="text2"/>
          <w:sz w:val="20"/>
          <w:szCs w:val="20"/>
        </w:rPr>
      </w:pPr>
    </w:p>
    <w:p w:rsidR="00E72AC5" w:rsidRDefault="00D13A91" w:rsidP="000700A1">
      <w:pPr>
        <w:spacing w:after="0" w:line="240" w:lineRule="auto"/>
        <w:jc w:val="both"/>
        <w:rPr>
          <w:color w:val="1F497D" w:themeColor="text2"/>
        </w:rPr>
      </w:pPr>
      <w:r>
        <w:rPr>
          <w:color w:val="1F497D" w:themeColor="text2"/>
        </w:rPr>
        <w:t>The concerns regarding adequate housing</w:t>
      </w:r>
      <w:r w:rsidR="00D76075">
        <w:rPr>
          <w:color w:val="1F497D" w:themeColor="text2"/>
        </w:rPr>
        <w:t>, which affect children leaving care</w:t>
      </w:r>
      <w:r>
        <w:rPr>
          <w:color w:val="1F497D" w:themeColor="text2"/>
        </w:rPr>
        <w:t xml:space="preserve"> </w:t>
      </w:r>
      <w:r w:rsidR="00D76075">
        <w:rPr>
          <w:color w:val="1F497D" w:themeColor="text2"/>
        </w:rPr>
        <w:t xml:space="preserve">has further implications with respect to other guarantees under Albanian law which grants extended support into adulthood, </w:t>
      </w:r>
      <w:r>
        <w:rPr>
          <w:color w:val="1F497D" w:themeColor="text2"/>
        </w:rPr>
        <w:t>are summarised by Amnesty International with specific reference to the criteria for adequate housing presented in the CESCR General Comment 4</w:t>
      </w:r>
      <w:r>
        <w:rPr>
          <w:rStyle w:val="FootnoteReference"/>
          <w:color w:val="1F497D" w:themeColor="text2"/>
        </w:rPr>
        <w:footnoteReference w:id="8"/>
      </w:r>
    </w:p>
    <w:p w:rsidR="008A3E99" w:rsidRPr="006B39B7" w:rsidRDefault="008A3E99" w:rsidP="000700A1">
      <w:pPr>
        <w:spacing w:after="0" w:line="240" w:lineRule="auto"/>
        <w:jc w:val="both"/>
        <w:rPr>
          <w:color w:val="1F497D" w:themeColor="text2"/>
          <w:sz w:val="16"/>
          <w:szCs w:val="16"/>
        </w:rPr>
      </w:pPr>
    </w:p>
    <w:p w:rsidR="00D13A91" w:rsidRPr="00D13A91" w:rsidRDefault="00D13A91" w:rsidP="00D76075">
      <w:pPr>
        <w:pStyle w:val="Default"/>
        <w:ind w:left="708" w:right="864"/>
        <w:jc w:val="both"/>
        <w:rPr>
          <w:rFonts w:asciiTheme="minorHAnsi" w:hAnsiTheme="minorHAnsi" w:cstheme="minorBidi"/>
          <w:i/>
          <w:color w:val="1F497D" w:themeColor="text2"/>
          <w:sz w:val="20"/>
          <w:szCs w:val="20"/>
        </w:rPr>
      </w:pPr>
      <w:r>
        <w:rPr>
          <w:rFonts w:asciiTheme="minorHAnsi" w:hAnsiTheme="minorHAnsi" w:cstheme="minorBidi"/>
          <w:i/>
          <w:color w:val="1F497D" w:themeColor="text2"/>
          <w:sz w:val="20"/>
          <w:szCs w:val="20"/>
        </w:rPr>
        <w:t>“</w:t>
      </w:r>
      <w:proofErr w:type="gramStart"/>
      <w:r w:rsidRPr="00D13A91">
        <w:rPr>
          <w:rFonts w:asciiTheme="minorHAnsi" w:hAnsiTheme="minorHAnsi" w:cstheme="minorBidi"/>
          <w:i/>
          <w:color w:val="1F497D" w:themeColor="text2"/>
          <w:sz w:val="20"/>
          <w:szCs w:val="20"/>
        </w:rPr>
        <w:t>specific</w:t>
      </w:r>
      <w:proofErr w:type="gramEnd"/>
      <w:r w:rsidRPr="00D13A91">
        <w:rPr>
          <w:rFonts w:asciiTheme="minorHAnsi" w:hAnsiTheme="minorHAnsi" w:cstheme="minorBidi"/>
          <w:i/>
          <w:color w:val="1F497D" w:themeColor="text2"/>
          <w:sz w:val="20"/>
          <w:szCs w:val="20"/>
        </w:rPr>
        <w:t xml:space="preserve"> responsibilities with regard to the housing of orphans are laid down in the law “On the Status of Orphans” which defines the criteria for being recognized as an orphan, the rights deriving from this status (including at Article 17 the right to priority with housing) and the procedures for obtaining it.</w:t>
      </w:r>
      <w:r w:rsidR="00D76075">
        <w:rPr>
          <w:rFonts w:asciiTheme="minorHAnsi" w:hAnsiTheme="minorHAnsi" w:cstheme="minorBidi"/>
          <w:i/>
          <w:color w:val="1F497D" w:themeColor="text2"/>
          <w:sz w:val="20"/>
          <w:szCs w:val="20"/>
        </w:rPr>
        <w:t xml:space="preserve"> </w:t>
      </w:r>
      <w:r w:rsidRPr="00D13A91">
        <w:rPr>
          <w:rFonts w:asciiTheme="minorHAnsi" w:hAnsiTheme="minorHAnsi" w:cstheme="minorBidi"/>
          <w:i/>
          <w:color w:val="1F497D" w:themeColor="text2"/>
          <w:sz w:val="20"/>
          <w:szCs w:val="20"/>
        </w:rPr>
        <w:t xml:space="preserve">The same law requires the state to assist orphans in obtaining employment. </w:t>
      </w:r>
    </w:p>
    <w:p w:rsidR="00D13A91" w:rsidRPr="006B39B7" w:rsidRDefault="00D13A91" w:rsidP="00D76075">
      <w:pPr>
        <w:pStyle w:val="Default"/>
        <w:ind w:left="708" w:right="864"/>
        <w:jc w:val="both"/>
        <w:rPr>
          <w:rFonts w:asciiTheme="minorHAnsi" w:hAnsiTheme="minorHAnsi" w:cstheme="minorBidi"/>
          <w:i/>
          <w:color w:val="1F497D" w:themeColor="text2"/>
          <w:sz w:val="16"/>
          <w:szCs w:val="16"/>
        </w:rPr>
      </w:pPr>
    </w:p>
    <w:p w:rsidR="00D13A91" w:rsidRPr="00D13A91" w:rsidRDefault="00D13A91" w:rsidP="00D76075">
      <w:pPr>
        <w:pStyle w:val="Default"/>
        <w:ind w:left="708" w:right="864"/>
        <w:jc w:val="both"/>
        <w:rPr>
          <w:rFonts w:asciiTheme="minorHAnsi" w:hAnsiTheme="minorHAnsi" w:cstheme="minorBidi"/>
          <w:i/>
          <w:color w:val="1F497D" w:themeColor="text2"/>
          <w:sz w:val="20"/>
          <w:szCs w:val="20"/>
        </w:rPr>
      </w:pPr>
      <w:r w:rsidRPr="00D13A91">
        <w:rPr>
          <w:rFonts w:asciiTheme="minorHAnsi" w:hAnsiTheme="minorHAnsi" w:cstheme="minorBidi"/>
          <w:i/>
          <w:color w:val="1F497D" w:themeColor="text2"/>
          <w:sz w:val="20"/>
          <w:szCs w:val="20"/>
        </w:rPr>
        <w:t>Under the law “On Social Programmes for the Housing of Inhabitants of Urban Zones”, adopted in 2004, orphans, up to the age of 30, are among the especially vulnerable social groups to be granted priori</w:t>
      </w:r>
      <w:r w:rsidR="00D76075">
        <w:rPr>
          <w:rFonts w:asciiTheme="minorHAnsi" w:hAnsiTheme="minorHAnsi" w:cstheme="minorBidi"/>
          <w:i/>
          <w:color w:val="1F497D" w:themeColor="text2"/>
          <w:sz w:val="20"/>
          <w:szCs w:val="20"/>
        </w:rPr>
        <w:t>ty in access to social housing.</w:t>
      </w:r>
      <w:r w:rsidRPr="00D13A91">
        <w:rPr>
          <w:rFonts w:asciiTheme="minorHAnsi" w:hAnsiTheme="minorHAnsi" w:cstheme="minorBidi"/>
          <w:i/>
          <w:color w:val="1F497D" w:themeColor="text2"/>
          <w:sz w:val="20"/>
          <w:szCs w:val="20"/>
        </w:rPr>
        <w:t xml:space="preserve"> In general there is a great housing shortage, with over 40,000 families registered as homeless, and as yet almost no social rental housing. </w:t>
      </w:r>
    </w:p>
    <w:p w:rsidR="00D76075" w:rsidRDefault="00D76075" w:rsidP="00D76075">
      <w:pPr>
        <w:spacing w:after="0" w:line="240" w:lineRule="auto"/>
        <w:ind w:left="708" w:right="864"/>
        <w:jc w:val="both"/>
        <w:rPr>
          <w:i/>
          <w:color w:val="1F497D" w:themeColor="text2"/>
          <w:sz w:val="20"/>
          <w:szCs w:val="20"/>
        </w:rPr>
      </w:pPr>
    </w:p>
    <w:p w:rsidR="00E829D7" w:rsidRPr="00D13A91" w:rsidRDefault="00D13A91" w:rsidP="00D76075">
      <w:pPr>
        <w:spacing w:after="0" w:line="240" w:lineRule="auto"/>
        <w:ind w:left="708" w:right="864"/>
        <w:jc w:val="both"/>
        <w:rPr>
          <w:i/>
          <w:color w:val="1F497D" w:themeColor="text2"/>
          <w:sz w:val="20"/>
          <w:szCs w:val="20"/>
        </w:rPr>
      </w:pPr>
      <w:r w:rsidRPr="00D13A91">
        <w:rPr>
          <w:i/>
          <w:color w:val="1F497D" w:themeColor="text2"/>
          <w:sz w:val="20"/>
          <w:szCs w:val="20"/>
        </w:rPr>
        <w:t xml:space="preserve">As a result, many orphans are denied access to adequate housing, and failing something better, they cling to what they have – the residence hall, or semi‐derelict areas of these halls. According to </w:t>
      </w:r>
      <w:r w:rsidRPr="00D13A91">
        <w:rPr>
          <w:i/>
          <w:color w:val="1F497D" w:themeColor="text2"/>
          <w:sz w:val="20"/>
          <w:szCs w:val="20"/>
        </w:rPr>
        <w:lastRenderedPageBreak/>
        <w:t>the National Association of Orphans of Albania, there are over 300 people who grew up in state care, mostly aged between 25 and 40 years, living in such residence halls or other inadequate or temporary housing. In residence halls they live two to four to a room, generally in conditions of misery, sharing unhealthy communal shower and toilet areas</w:t>
      </w:r>
      <w:r w:rsidR="00F47779">
        <w:rPr>
          <w:i/>
          <w:color w:val="1F497D" w:themeColor="text2"/>
          <w:sz w:val="20"/>
          <w:szCs w:val="20"/>
        </w:rPr>
        <w:t>.”</w:t>
      </w:r>
      <w:r w:rsidRPr="00F47779">
        <w:rPr>
          <w:color w:val="1F497D" w:themeColor="text2"/>
          <w:sz w:val="20"/>
          <w:szCs w:val="20"/>
        </w:rPr>
        <w:t xml:space="preserve"> (p.7)</w:t>
      </w:r>
    </w:p>
    <w:p w:rsidR="009A4D41" w:rsidRPr="006B39B7" w:rsidRDefault="009A4D41" w:rsidP="009A4D41">
      <w:pPr>
        <w:spacing w:after="0" w:line="240" w:lineRule="auto"/>
        <w:jc w:val="both"/>
        <w:rPr>
          <w:color w:val="1F497D" w:themeColor="text2"/>
          <w:sz w:val="20"/>
          <w:szCs w:val="20"/>
        </w:rPr>
      </w:pPr>
    </w:p>
    <w:p w:rsidR="00980DD4" w:rsidRDefault="00D76075" w:rsidP="000700A1">
      <w:pPr>
        <w:spacing w:after="0" w:line="240" w:lineRule="auto"/>
        <w:jc w:val="both"/>
        <w:rPr>
          <w:color w:val="1F497D" w:themeColor="text2"/>
        </w:rPr>
      </w:pPr>
      <w:r>
        <w:rPr>
          <w:color w:val="1F497D" w:themeColor="text2"/>
        </w:rPr>
        <w:t>In summary, it is of serious concern that the state, having placed a child in state care</w:t>
      </w:r>
      <w:r w:rsidR="005A20DF">
        <w:rPr>
          <w:color w:val="1F497D" w:themeColor="text2"/>
        </w:rPr>
        <w:t>,</w:t>
      </w:r>
      <w:r>
        <w:rPr>
          <w:color w:val="1F497D" w:themeColor="text2"/>
        </w:rPr>
        <w:t xml:space="preserve"> only extends this duty of care to the age of 15 years.  This age limit is out of line with the definition of the child being any “</w:t>
      </w:r>
      <w:r w:rsidRPr="00D76075">
        <w:rPr>
          <w:i/>
          <w:color w:val="1F497D" w:themeColor="text2"/>
        </w:rPr>
        <w:t>every human being below the age of eighteen years</w:t>
      </w:r>
      <w:r>
        <w:rPr>
          <w:color w:val="1F497D" w:themeColor="text2"/>
        </w:rPr>
        <w:t xml:space="preserve">” as stated in CRC (article.1). When children do leave state care institutions, sometimes as young as 14 years, they are poorly prepared for the transition and inadequately </w:t>
      </w:r>
      <w:r w:rsidR="00980DD4">
        <w:rPr>
          <w:color w:val="1F497D" w:themeColor="text2"/>
        </w:rPr>
        <w:t xml:space="preserve">monitored, </w:t>
      </w:r>
      <w:r>
        <w:rPr>
          <w:color w:val="1F497D" w:themeColor="text2"/>
        </w:rPr>
        <w:t xml:space="preserve">supported or protected afterwards.  In the boarding schools </w:t>
      </w:r>
      <w:r w:rsidR="00980DD4">
        <w:rPr>
          <w:color w:val="1F497D" w:themeColor="text2"/>
        </w:rPr>
        <w:t>both the quality of education, and living conditions, have been identified as significant concerns</w:t>
      </w:r>
      <w:r w:rsidR="00383D7C">
        <w:rPr>
          <w:color w:val="1F497D" w:themeColor="text2"/>
        </w:rPr>
        <w:t>, often resulting in drop-out</w:t>
      </w:r>
      <w:r w:rsidR="005A20DF">
        <w:rPr>
          <w:color w:val="1F497D" w:themeColor="text2"/>
        </w:rPr>
        <w:t>. As such</w:t>
      </w:r>
      <w:r w:rsidR="00980DD4">
        <w:rPr>
          <w:color w:val="1F497D" w:themeColor="text2"/>
        </w:rPr>
        <w:t xml:space="preserve"> children and young adults</w:t>
      </w:r>
      <w:r w:rsidR="005A20DF">
        <w:rPr>
          <w:color w:val="1F497D" w:themeColor="text2"/>
        </w:rPr>
        <w:t xml:space="preserve"> who have left state care my find themselves</w:t>
      </w:r>
      <w:r w:rsidR="00980DD4">
        <w:rPr>
          <w:color w:val="1F497D" w:themeColor="text2"/>
        </w:rPr>
        <w:t xml:space="preserve">; residing long-term in </w:t>
      </w:r>
      <w:proofErr w:type="spellStart"/>
      <w:r w:rsidR="00980DD4" w:rsidRPr="00980DD4">
        <w:rPr>
          <w:i/>
          <w:color w:val="1F497D" w:themeColor="text2"/>
        </w:rPr>
        <w:t>konvikts</w:t>
      </w:r>
      <w:proofErr w:type="spellEnd"/>
      <w:r w:rsidR="00980DD4">
        <w:rPr>
          <w:color w:val="1F497D" w:themeColor="text2"/>
        </w:rPr>
        <w:t xml:space="preserve"> due </w:t>
      </w:r>
      <w:r w:rsidR="0049381B">
        <w:rPr>
          <w:color w:val="1F497D" w:themeColor="text2"/>
        </w:rPr>
        <w:t xml:space="preserve">to </w:t>
      </w:r>
      <w:r w:rsidR="00980DD4">
        <w:rPr>
          <w:color w:val="1F497D" w:themeColor="text2"/>
        </w:rPr>
        <w:t>deliberate failure to graduate, homeless and living on the streets, subjected to discrimination, unable to find employment, and vulnerable to exploitation and abuse.</w:t>
      </w:r>
      <w:r w:rsidR="00352F1E">
        <w:rPr>
          <w:rStyle w:val="FootnoteReference"/>
          <w:color w:val="1F497D" w:themeColor="text2"/>
        </w:rPr>
        <w:footnoteReference w:id="9"/>
      </w:r>
    </w:p>
    <w:p w:rsidR="005A20DF" w:rsidRPr="006B39B7" w:rsidRDefault="005A20DF" w:rsidP="000700A1">
      <w:pPr>
        <w:spacing w:after="0" w:line="240" w:lineRule="auto"/>
        <w:jc w:val="both"/>
        <w:rPr>
          <w:color w:val="1F497D" w:themeColor="text2"/>
          <w:sz w:val="20"/>
          <w:szCs w:val="20"/>
        </w:rPr>
      </w:pPr>
    </w:p>
    <w:p w:rsidR="006B03AC" w:rsidRPr="00550ADF" w:rsidRDefault="00F47779" w:rsidP="00306FF2">
      <w:pPr>
        <w:spacing w:after="120"/>
        <w:rPr>
          <w:rFonts w:ascii="Arial Narrow" w:hAnsi="Arial Narrow"/>
          <w:b/>
          <w:color w:val="F79646" w:themeColor="accent6"/>
          <w:sz w:val="24"/>
          <w:szCs w:val="24"/>
          <w:u w:val="single"/>
        </w:rPr>
      </w:pPr>
      <w:r w:rsidRPr="00550ADF">
        <w:rPr>
          <w:rFonts w:ascii="Arial Narrow" w:hAnsi="Arial Narrow"/>
          <w:b/>
          <w:color w:val="F79646" w:themeColor="accent6"/>
          <w:sz w:val="24"/>
          <w:szCs w:val="24"/>
          <w:u w:val="single"/>
        </w:rPr>
        <w:t>Summary of</w:t>
      </w:r>
      <w:r w:rsidR="00352F1E">
        <w:rPr>
          <w:rFonts w:ascii="Arial Narrow" w:hAnsi="Arial Narrow"/>
          <w:b/>
          <w:color w:val="F79646" w:themeColor="accent6"/>
          <w:sz w:val="24"/>
          <w:szCs w:val="24"/>
          <w:u w:val="single"/>
        </w:rPr>
        <w:t xml:space="preserve"> international legal protections </w:t>
      </w:r>
      <w:r w:rsidRPr="00550ADF">
        <w:rPr>
          <w:rFonts w:ascii="Arial Narrow" w:hAnsi="Arial Narrow"/>
          <w:b/>
          <w:color w:val="F79646" w:themeColor="accent6"/>
          <w:sz w:val="24"/>
          <w:szCs w:val="24"/>
          <w:u w:val="single"/>
        </w:rPr>
        <w:t>for leaving care</w:t>
      </w:r>
    </w:p>
    <w:p w:rsidR="00D00E25" w:rsidRDefault="00D00E25" w:rsidP="006B03AC">
      <w:pPr>
        <w:spacing w:after="0" w:line="240" w:lineRule="auto"/>
        <w:jc w:val="both"/>
        <w:rPr>
          <w:color w:val="1F497D" w:themeColor="text2"/>
        </w:rPr>
      </w:pPr>
      <w:r>
        <w:rPr>
          <w:color w:val="1F497D" w:themeColor="text2"/>
        </w:rPr>
        <w:t>The planned preparation for leaving care and entering into life as an independent, educated and empowered adult</w:t>
      </w:r>
      <w:r w:rsidR="006C2668">
        <w:rPr>
          <w:color w:val="1F497D" w:themeColor="text2"/>
        </w:rPr>
        <w:t>,</w:t>
      </w:r>
      <w:r w:rsidRPr="00D00E25">
        <w:rPr>
          <w:color w:val="1F497D" w:themeColor="text2"/>
        </w:rPr>
        <w:t xml:space="preserve"> </w:t>
      </w:r>
      <w:r>
        <w:rPr>
          <w:color w:val="1F497D" w:themeColor="text2"/>
        </w:rPr>
        <w:t>founded on the provision of necessary and appropriate alternative care in the Guidelines</w:t>
      </w:r>
      <w:r w:rsidR="006C2668">
        <w:rPr>
          <w:color w:val="1F497D" w:themeColor="text2"/>
        </w:rPr>
        <w:t>,</w:t>
      </w:r>
      <w:r>
        <w:rPr>
          <w:color w:val="1F497D" w:themeColor="text2"/>
        </w:rPr>
        <w:t xml:space="preserve"> </w:t>
      </w:r>
      <w:r w:rsidR="00550ADF">
        <w:rPr>
          <w:color w:val="1F497D" w:themeColor="text2"/>
        </w:rPr>
        <w:t>is vital to ensuring positive outcomes</w:t>
      </w:r>
      <w:r>
        <w:rPr>
          <w:color w:val="1F497D" w:themeColor="text2"/>
        </w:rPr>
        <w:t xml:space="preserve"> for young people leaving care.</w:t>
      </w:r>
    </w:p>
    <w:p w:rsidR="00D00E25" w:rsidRPr="006C2668" w:rsidRDefault="00D00E25" w:rsidP="006B03AC">
      <w:pPr>
        <w:spacing w:after="0" w:line="240" w:lineRule="auto"/>
        <w:jc w:val="both"/>
        <w:rPr>
          <w:color w:val="1F497D" w:themeColor="text2"/>
          <w:sz w:val="20"/>
          <w:szCs w:val="20"/>
        </w:rPr>
      </w:pPr>
    </w:p>
    <w:p w:rsidR="00383655" w:rsidRDefault="00D00E25" w:rsidP="006B03AC">
      <w:pPr>
        <w:spacing w:after="0" w:line="240" w:lineRule="auto"/>
        <w:jc w:val="both"/>
        <w:rPr>
          <w:color w:val="1F497D" w:themeColor="text2"/>
        </w:rPr>
      </w:pPr>
      <w:r>
        <w:rPr>
          <w:color w:val="1F497D" w:themeColor="text2"/>
        </w:rPr>
        <w:t>Furthermore, such q</w:t>
      </w:r>
      <w:r w:rsidR="006B03AC">
        <w:rPr>
          <w:color w:val="1F497D" w:themeColor="text2"/>
        </w:rPr>
        <w:t xml:space="preserve">uestions around the economic and social rights of children in care, preparing to leave care, and those struggling to live an independent life after care </w:t>
      </w:r>
      <w:r>
        <w:rPr>
          <w:color w:val="1F497D" w:themeColor="text2"/>
        </w:rPr>
        <w:t xml:space="preserve">also </w:t>
      </w:r>
      <w:r w:rsidR="006B03AC">
        <w:rPr>
          <w:color w:val="1F497D" w:themeColor="text2"/>
        </w:rPr>
        <w:t>cut across many rights that are the concern for the monitoring work of both CRC and CESCR.</w:t>
      </w:r>
      <w:r w:rsidR="00383655">
        <w:rPr>
          <w:color w:val="1F497D" w:themeColor="text2"/>
        </w:rPr>
        <w:t xml:space="preserve">  The transition from a childhood in </w:t>
      </w:r>
      <w:r w:rsidR="00A5449B">
        <w:rPr>
          <w:color w:val="1F497D" w:themeColor="text2"/>
        </w:rPr>
        <w:t xml:space="preserve">alternative </w:t>
      </w:r>
      <w:r w:rsidR="00383655">
        <w:rPr>
          <w:color w:val="1F497D" w:themeColor="text2"/>
        </w:rPr>
        <w:t xml:space="preserve">care to </w:t>
      </w:r>
      <w:r w:rsidR="00A5449B">
        <w:rPr>
          <w:color w:val="1F497D" w:themeColor="text2"/>
        </w:rPr>
        <w:t xml:space="preserve">an independent </w:t>
      </w:r>
      <w:r w:rsidR="00383655">
        <w:rPr>
          <w:color w:val="1F497D" w:themeColor="text2"/>
        </w:rPr>
        <w:t>adulthood requires effective implementation of the rights, inter alia to:</w:t>
      </w:r>
    </w:p>
    <w:p w:rsidR="00383655" w:rsidRPr="00383655" w:rsidRDefault="00383655" w:rsidP="006B03AC">
      <w:pPr>
        <w:spacing w:after="0" w:line="240" w:lineRule="auto"/>
        <w:jc w:val="both"/>
        <w:rPr>
          <w:color w:val="1F497D" w:themeColor="text2"/>
          <w:sz w:val="16"/>
          <w:szCs w:val="16"/>
        </w:rPr>
      </w:pPr>
    </w:p>
    <w:p w:rsidR="00A5449B" w:rsidRPr="006C2668" w:rsidRDefault="00383655" w:rsidP="006C2668">
      <w:pPr>
        <w:pStyle w:val="ListParagraph"/>
        <w:numPr>
          <w:ilvl w:val="0"/>
          <w:numId w:val="6"/>
        </w:numPr>
        <w:spacing w:after="0" w:line="240" w:lineRule="auto"/>
        <w:jc w:val="both"/>
        <w:rPr>
          <w:color w:val="1F497D" w:themeColor="text2"/>
        </w:rPr>
      </w:pPr>
      <w:r w:rsidRPr="00383655">
        <w:rPr>
          <w:color w:val="1F497D" w:themeColor="text2"/>
        </w:rPr>
        <w:t>appropriate care (CRC, art.20),</w:t>
      </w:r>
    </w:p>
    <w:p w:rsidR="00A5449B" w:rsidRPr="006C2668" w:rsidRDefault="00383655" w:rsidP="006C2668">
      <w:pPr>
        <w:pStyle w:val="ListParagraph"/>
        <w:numPr>
          <w:ilvl w:val="0"/>
          <w:numId w:val="6"/>
        </w:numPr>
        <w:spacing w:after="0" w:line="240" w:lineRule="auto"/>
        <w:jc w:val="both"/>
        <w:rPr>
          <w:color w:val="1F497D" w:themeColor="text2"/>
        </w:rPr>
      </w:pPr>
      <w:r w:rsidRPr="00383655">
        <w:rPr>
          <w:color w:val="1F497D" w:themeColor="text2"/>
        </w:rPr>
        <w:t>formal and vocational education (CRC, arts.28 &amp;29 &amp; CESCR, art.13),</w:t>
      </w:r>
    </w:p>
    <w:p w:rsidR="00A5449B" w:rsidRPr="006C2668" w:rsidRDefault="00383655" w:rsidP="006C2668">
      <w:pPr>
        <w:pStyle w:val="ListParagraph"/>
        <w:numPr>
          <w:ilvl w:val="0"/>
          <w:numId w:val="6"/>
        </w:numPr>
        <w:spacing w:after="0" w:line="240" w:lineRule="auto"/>
        <w:jc w:val="both"/>
        <w:rPr>
          <w:color w:val="1F497D" w:themeColor="text2"/>
        </w:rPr>
      </w:pPr>
      <w:r w:rsidRPr="00383655">
        <w:rPr>
          <w:color w:val="1F497D" w:themeColor="text2"/>
        </w:rPr>
        <w:t>standard of living (CRC, art.27.1 &amp; CESCR, art.11)</w:t>
      </w:r>
    </w:p>
    <w:p w:rsidR="00A5449B" w:rsidRPr="006C2668" w:rsidRDefault="00383655" w:rsidP="006C2668">
      <w:pPr>
        <w:pStyle w:val="ListParagraph"/>
        <w:numPr>
          <w:ilvl w:val="0"/>
          <w:numId w:val="6"/>
        </w:numPr>
        <w:spacing w:after="0" w:line="240" w:lineRule="auto"/>
        <w:jc w:val="both"/>
        <w:rPr>
          <w:color w:val="1F497D" w:themeColor="text2"/>
        </w:rPr>
      </w:pPr>
      <w:r>
        <w:rPr>
          <w:color w:val="1F497D" w:themeColor="text2"/>
        </w:rPr>
        <w:t>adequate housing (CRC, art.27.3 &amp; CESCR, art.11 &amp; CESCR General Comment 4)</w:t>
      </w:r>
    </w:p>
    <w:p w:rsidR="00A42A02" w:rsidRPr="006C2668" w:rsidRDefault="00F47779" w:rsidP="006C2668">
      <w:pPr>
        <w:pStyle w:val="ListParagraph"/>
        <w:numPr>
          <w:ilvl w:val="0"/>
          <w:numId w:val="6"/>
        </w:numPr>
        <w:spacing w:after="0" w:line="240" w:lineRule="auto"/>
        <w:jc w:val="both"/>
        <w:rPr>
          <w:color w:val="1F497D" w:themeColor="text2"/>
        </w:rPr>
      </w:pPr>
      <w:r>
        <w:rPr>
          <w:color w:val="1F497D" w:themeColor="text2"/>
        </w:rPr>
        <w:t xml:space="preserve">to </w:t>
      </w:r>
      <w:r w:rsidR="00383655">
        <w:rPr>
          <w:color w:val="1F497D" w:themeColor="text2"/>
        </w:rPr>
        <w:t xml:space="preserve">employment </w:t>
      </w:r>
      <w:r>
        <w:rPr>
          <w:color w:val="1F497D" w:themeColor="text2"/>
        </w:rPr>
        <w:t>(CESCR, Art.6)</w:t>
      </w:r>
    </w:p>
    <w:p w:rsidR="006B03AC" w:rsidRPr="006B03AC" w:rsidRDefault="006B03AC" w:rsidP="006B03AC">
      <w:pPr>
        <w:spacing w:after="0" w:line="240" w:lineRule="auto"/>
        <w:jc w:val="both"/>
        <w:rPr>
          <w:color w:val="1F497D" w:themeColor="text2"/>
          <w:sz w:val="20"/>
          <w:szCs w:val="20"/>
        </w:rPr>
      </w:pPr>
    </w:p>
    <w:p w:rsidR="00F47779" w:rsidRDefault="00F47779" w:rsidP="006B03AC">
      <w:pPr>
        <w:spacing w:after="0" w:line="240" w:lineRule="auto"/>
        <w:jc w:val="both"/>
        <w:rPr>
          <w:color w:val="1F497D" w:themeColor="text2"/>
        </w:rPr>
      </w:pPr>
      <w:r>
        <w:rPr>
          <w:color w:val="1F497D" w:themeColor="text2"/>
        </w:rPr>
        <w:t xml:space="preserve">In drawing these issues together we make particular reference </w:t>
      </w:r>
      <w:r w:rsidR="006C2668" w:rsidRPr="006C2668">
        <w:rPr>
          <w:i/>
          <w:color w:val="1F497D" w:themeColor="text2"/>
        </w:rPr>
        <w:t>Support for Aftercare</w:t>
      </w:r>
      <w:r w:rsidR="006C2668">
        <w:rPr>
          <w:color w:val="1F497D" w:themeColor="text2"/>
        </w:rPr>
        <w:t xml:space="preserve"> in paragraphs 131-136 of </w:t>
      </w:r>
      <w:r>
        <w:rPr>
          <w:color w:val="1F497D" w:themeColor="text2"/>
        </w:rPr>
        <w:t xml:space="preserve">the </w:t>
      </w:r>
      <w:r w:rsidRPr="00F47779">
        <w:rPr>
          <w:i/>
          <w:color w:val="1F497D" w:themeColor="text2"/>
        </w:rPr>
        <w:t>UN Guidelines for the Alternative Care of Children</w:t>
      </w:r>
      <w:r w:rsidR="002A5240">
        <w:rPr>
          <w:i/>
          <w:color w:val="1F497D" w:themeColor="text2"/>
        </w:rPr>
        <w:t xml:space="preserve"> </w:t>
      </w:r>
      <w:r w:rsidR="002A5240">
        <w:rPr>
          <w:color w:val="1F497D" w:themeColor="text2"/>
        </w:rPr>
        <w:t>(full text Annex III)</w:t>
      </w:r>
      <w:r w:rsidR="006C2668">
        <w:rPr>
          <w:color w:val="1F497D" w:themeColor="text2"/>
        </w:rPr>
        <w:t xml:space="preserve">. The Guidelines </w:t>
      </w:r>
      <w:r>
        <w:rPr>
          <w:color w:val="1F497D" w:themeColor="text2"/>
        </w:rPr>
        <w:t xml:space="preserve">are </w:t>
      </w:r>
      <w:r w:rsidR="006C2668">
        <w:rPr>
          <w:color w:val="1F497D" w:themeColor="text2"/>
        </w:rPr>
        <w:t xml:space="preserve">therefore </w:t>
      </w:r>
      <w:r>
        <w:rPr>
          <w:color w:val="1F497D" w:themeColor="text2"/>
        </w:rPr>
        <w:t xml:space="preserve">presented as </w:t>
      </w:r>
      <w:r w:rsidR="006C2668">
        <w:rPr>
          <w:color w:val="1F497D" w:themeColor="text2"/>
        </w:rPr>
        <w:t>a vital supportive text</w:t>
      </w:r>
      <w:r w:rsidR="006B03AC" w:rsidRPr="00411D4E">
        <w:rPr>
          <w:color w:val="1F497D" w:themeColor="text2"/>
        </w:rPr>
        <w:t xml:space="preserve"> </w:t>
      </w:r>
      <w:r>
        <w:rPr>
          <w:color w:val="1F497D" w:themeColor="text2"/>
        </w:rPr>
        <w:t>on the implementation of rights for children, and young adults, preparing to leave care and facing the challenges of</w:t>
      </w:r>
      <w:r w:rsidR="00550ADF">
        <w:rPr>
          <w:color w:val="1F497D" w:themeColor="text2"/>
        </w:rPr>
        <w:t xml:space="preserve"> integrating into society and</w:t>
      </w:r>
      <w:r>
        <w:rPr>
          <w:color w:val="1F497D" w:themeColor="text2"/>
        </w:rPr>
        <w:t xml:space="preserve"> building an independent life.</w:t>
      </w:r>
    </w:p>
    <w:p w:rsidR="00F47779" w:rsidRPr="00D00E25" w:rsidRDefault="00F47779" w:rsidP="006B03AC">
      <w:pPr>
        <w:spacing w:after="0" w:line="240" w:lineRule="auto"/>
        <w:jc w:val="both"/>
        <w:rPr>
          <w:color w:val="1F497D" w:themeColor="text2"/>
          <w:sz w:val="20"/>
          <w:szCs w:val="20"/>
        </w:rPr>
      </w:pPr>
    </w:p>
    <w:p w:rsidR="0049381B" w:rsidRDefault="006C2668" w:rsidP="006B03AC">
      <w:pPr>
        <w:spacing w:after="0" w:line="240" w:lineRule="auto"/>
        <w:jc w:val="both"/>
        <w:rPr>
          <w:color w:val="1F497D" w:themeColor="text2"/>
        </w:rPr>
      </w:pPr>
      <w:r>
        <w:rPr>
          <w:color w:val="1F497D" w:themeColor="text2"/>
        </w:rPr>
        <w:t>Noting then paragraphs</w:t>
      </w:r>
      <w:r w:rsidR="006B03AC">
        <w:rPr>
          <w:color w:val="1F497D" w:themeColor="text2"/>
        </w:rPr>
        <w:t xml:space="preserve"> 131</w:t>
      </w:r>
      <w:r w:rsidR="00A42A02">
        <w:rPr>
          <w:color w:val="1F497D" w:themeColor="text2"/>
        </w:rPr>
        <w:t>-136</w:t>
      </w:r>
      <w:r w:rsidR="006B03AC" w:rsidRPr="00411D4E">
        <w:rPr>
          <w:color w:val="1F497D" w:themeColor="text2"/>
        </w:rPr>
        <w:t xml:space="preserve"> </w:t>
      </w:r>
      <w:r w:rsidR="0049381B">
        <w:rPr>
          <w:color w:val="1F497D" w:themeColor="text2"/>
        </w:rPr>
        <w:t xml:space="preserve">of the </w:t>
      </w:r>
      <w:r w:rsidR="006B03AC">
        <w:rPr>
          <w:color w:val="1F497D" w:themeColor="text2"/>
        </w:rPr>
        <w:t xml:space="preserve">Guidelines </w:t>
      </w:r>
      <w:r>
        <w:rPr>
          <w:color w:val="1F497D" w:themeColor="text2"/>
        </w:rPr>
        <w:t>and specifically</w:t>
      </w:r>
      <w:r w:rsidR="0049381B">
        <w:rPr>
          <w:color w:val="1F497D" w:themeColor="text2"/>
        </w:rPr>
        <w:t xml:space="preserve"> paragraph 131 </w:t>
      </w:r>
      <w:r>
        <w:rPr>
          <w:color w:val="1F497D" w:themeColor="text2"/>
        </w:rPr>
        <w:t xml:space="preserve">which firstly </w:t>
      </w:r>
      <w:r w:rsidR="0049381B">
        <w:rPr>
          <w:color w:val="1F497D" w:themeColor="text2"/>
        </w:rPr>
        <w:t xml:space="preserve">provides the general terms and rationale for adequate preparation for leaving </w:t>
      </w:r>
      <w:proofErr w:type="gramStart"/>
      <w:r w:rsidR="0049381B">
        <w:rPr>
          <w:color w:val="1F497D" w:themeColor="text2"/>
        </w:rPr>
        <w:t>care</w:t>
      </w:r>
      <w:proofErr w:type="gramEnd"/>
      <w:r>
        <w:rPr>
          <w:color w:val="1F497D" w:themeColor="text2"/>
        </w:rPr>
        <w:t>,</w:t>
      </w:r>
      <w:r w:rsidR="0049381B">
        <w:rPr>
          <w:color w:val="1F497D" w:themeColor="text2"/>
        </w:rPr>
        <w:t xml:space="preserve"> </w:t>
      </w:r>
    </w:p>
    <w:p w:rsidR="006B03AC" w:rsidRDefault="006B03AC" w:rsidP="006B03AC">
      <w:pPr>
        <w:spacing w:after="0" w:line="240" w:lineRule="auto"/>
        <w:jc w:val="both"/>
        <w:rPr>
          <w:color w:val="1F497D" w:themeColor="text2"/>
        </w:rPr>
      </w:pPr>
      <w:r w:rsidRPr="00411D4E">
        <w:rPr>
          <w:color w:val="1F497D" w:themeColor="text2"/>
        </w:rPr>
        <w:t xml:space="preserve"> </w:t>
      </w:r>
    </w:p>
    <w:p w:rsidR="00B42AA7" w:rsidRPr="0049381B" w:rsidRDefault="0049381B" w:rsidP="006C2668">
      <w:pPr>
        <w:spacing w:after="0" w:line="240" w:lineRule="auto"/>
        <w:ind w:left="706" w:right="864"/>
        <w:jc w:val="both"/>
        <w:rPr>
          <w:i/>
          <w:color w:val="1F497D" w:themeColor="text2"/>
          <w:sz w:val="20"/>
          <w:szCs w:val="20"/>
        </w:rPr>
      </w:pPr>
      <w:r w:rsidRPr="0049381B">
        <w:rPr>
          <w:i/>
          <w:color w:val="1F497D" w:themeColor="text2"/>
          <w:sz w:val="20"/>
          <w:szCs w:val="20"/>
        </w:rPr>
        <w:t>131. Agencies and facilities should have a clear policy and should carry out agreed procedures relating to the planned and unplanned conclusion of their work with children to ensure appropriate aftercare and/or follow-up. Throughout the period of care, they should systematically aim at preparing children to assume self-reliance and to integrate fully in the community, notably through the acquisition of social and life skills, which are fostered by participation in the life of the local community.</w:t>
      </w:r>
    </w:p>
    <w:p w:rsidR="0049381B" w:rsidRDefault="0049381B" w:rsidP="0049381B">
      <w:pPr>
        <w:spacing w:after="0" w:line="240" w:lineRule="auto"/>
        <w:rPr>
          <w:color w:val="1F497D" w:themeColor="text2"/>
        </w:rPr>
      </w:pPr>
    </w:p>
    <w:p w:rsidR="00A42A02" w:rsidRDefault="00550ADF" w:rsidP="0049381B">
      <w:pPr>
        <w:spacing w:line="240" w:lineRule="auto"/>
        <w:jc w:val="both"/>
        <w:rPr>
          <w:color w:val="1F497D" w:themeColor="text2"/>
        </w:rPr>
      </w:pPr>
      <w:r>
        <w:rPr>
          <w:color w:val="1F497D" w:themeColor="text2"/>
        </w:rPr>
        <w:t xml:space="preserve">We highlight some </w:t>
      </w:r>
      <w:r w:rsidR="006C2668">
        <w:rPr>
          <w:color w:val="1F497D" w:themeColor="text2"/>
        </w:rPr>
        <w:t xml:space="preserve">specific measures presented in the </w:t>
      </w:r>
      <w:r w:rsidR="0049381B" w:rsidRPr="0049381B">
        <w:rPr>
          <w:color w:val="1F497D" w:themeColor="text2"/>
        </w:rPr>
        <w:t>Guidelines not</w:t>
      </w:r>
      <w:r w:rsidR="00A42A02">
        <w:rPr>
          <w:color w:val="1F497D" w:themeColor="text2"/>
        </w:rPr>
        <w:t>e the need to</w:t>
      </w:r>
      <w:r w:rsidR="006C2668">
        <w:rPr>
          <w:color w:val="1F497D" w:themeColor="text2"/>
        </w:rPr>
        <w:t xml:space="preserve"> (full text Annex III)</w:t>
      </w:r>
      <w:r w:rsidR="00A42A02">
        <w:rPr>
          <w:color w:val="1F497D" w:themeColor="text2"/>
        </w:rPr>
        <w:t>,</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 xml:space="preserve">Ensure </w:t>
      </w:r>
      <w:r w:rsidR="0049381B" w:rsidRPr="00352F1E">
        <w:rPr>
          <w:color w:val="E36C0A" w:themeColor="accent6" w:themeShade="BF"/>
        </w:rPr>
        <w:t>a timely planning process</w:t>
      </w:r>
      <w:r w:rsidRPr="00352F1E">
        <w:rPr>
          <w:color w:val="E36C0A" w:themeColor="accent6" w:themeShade="BF"/>
        </w:rPr>
        <w:t xml:space="preserve"> (para.134);</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A</w:t>
      </w:r>
      <w:r w:rsidR="0049381B" w:rsidRPr="00352F1E">
        <w:rPr>
          <w:color w:val="E36C0A" w:themeColor="accent6" w:themeShade="BF"/>
        </w:rPr>
        <w:t>llocat</w:t>
      </w:r>
      <w:r w:rsidRPr="00352F1E">
        <w:rPr>
          <w:color w:val="E36C0A" w:themeColor="accent6" w:themeShade="BF"/>
        </w:rPr>
        <w:t>e a specialised support person (para.133);</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lastRenderedPageBreak/>
        <w:t xml:space="preserve">Encourage </w:t>
      </w:r>
      <w:r w:rsidR="0049381B" w:rsidRPr="00352F1E">
        <w:rPr>
          <w:color w:val="E36C0A" w:themeColor="accent6" w:themeShade="BF"/>
        </w:rPr>
        <w:t>ch</w:t>
      </w:r>
      <w:r w:rsidRPr="00352F1E">
        <w:rPr>
          <w:color w:val="E36C0A" w:themeColor="accent6" w:themeShade="BF"/>
        </w:rPr>
        <w:t>ild participation in planning (para.132);</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 xml:space="preserve">Make </w:t>
      </w:r>
      <w:r w:rsidR="0049381B" w:rsidRPr="00352F1E">
        <w:rPr>
          <w:color w:val="E36C0A" w:themeColor="accent6" w:themeShade="BF"/>
        </w:rPr>
        <w:t>plan</w:t>
      </w:r>
      <w:r w:rsidRPr="00352F1E">
        <w:rPr>
          <w:color w:val="E36C0A" w:themeColor="accent6" w:themeShade="BF"/>
        </w:rPr>
        <w:t>s</w:t>
      </w:r>
      <w:r w:rsidR="0049381B" w:rsidRPr="00352F1E">
        <w:rPr>
          <w:color w:val="E36C0A" w:themeColor="accent6" w:themeShade="BF"/>
        </w:rPr>
        <w:t xml:space="preserve"> specific to the child’s particular cha</w:t>
      </w:r>
      <w:r w:rsidRPr="00352F1E">
        <w:rPr>
          <w:color w:val="E36C0A" w:themeColor="accent6" w:themeShade="BF"/>
        </w:rPr>
        <w:t>racteristics and circumstances (para.132);</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 xml:space="preserve">Guarantee </w:t>
      </w:r>
      <w:r w:rsidR="0049381B" w:rsidRPr="00352F1E">
        <w:rPr>
          <w:color w:val="E36C0A" w:themeColor="accent6" w:themeShade="BF"/>
        </w:rPr>
        <w:t xml:space="preserve">access to </w:t>
      </w:r>
      <w:proofErr w:type="spellStart"/>
      <w:r w:rsidRPr="00352F1E">
        <w:rPr>
          <w:color w:val="E36C0A" w:themeColor="accent6" w:themeShade="BF"/>
        </w:rPr>
        <w:t>ongoing</w:t>
      </w:r>
      <w:proofErr w:type="spellEnd"/>
      <w:r w:rsidRPr="00352F1E">
        <w:rPr>
          <w:color w:val="E36C0A" w:themeColor="accent6" w:themeShade="BF"/>
        </w:rPr>
        <w:t xml:space="preserve"> </w:t>
      </w:r>
      <w:r w:rsidR="0049381B" w:rsidRPr="00352F1E">
        <w:rPr>
          <w:color w:val="E36C0A" w:themeColor="accent6" w:themeShade="BF"/>
        </w:rPr>
        <w:t>v</w:t>
      </w:r>
      <w:r w:rsidRPr="00352F1E">
        <w:rPr>
          <w:color w:val="E36C0A" w:themeColor="accent6" w:themeShade="BF"/>
        </w:rPr>
        <w:t>ocational and formal education (para.135);</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 xml:space="preserve">Support </w:t>
      </w:r>
      <w:r w:rsidR="0049381B" w:rsidRPr="00352F1E">
        <w:rPr>
          <w:color w:val="E36C0A" w:themeColor="accent6" w:themeShade="BF"/>
        </w:rPr>
        <w:t>access to employment opportunitie</w:t>
      </w:r>
      <w:r w:rsidRPr="00352F1E">
        <w:rPr>
          <w:color w:val="E36C0A" w:themeColor="accent6" w:themeShade="BF"/>
        </w:rPr>
        <w:t>s (para.132)</w:t>
      </w:r>
    </w:p>
    <w:p w:rsidR="00A42A02" w:rsidRPr="00352F1E" w:rsidRDefault="00A42A02" w:rsidP="00A42A02">
      <w:pPr>
        <w:pStyle w:val="ListParagraph"/>
        <w:numPr>
          <w:ilvl w:val="0"/>
          <w:numId w:val="7"/>
        </w:numPr>
        <w:spacing w:line="240" w:lineRule="auto"/>
        <w:jc w:val="both"/>
        <w:rPr>
          <w:color w:val="E36C0A" w:themeColor="accent6" w:themeShade="BF"/>
        </w:rPr>
      </w:pPr>
      <w:r w:rsidRPr="00352F1E">
        <w:rPr>
          <w:color w:val="E36C0A" w:themeColor="accent6" w:themeShade="BF"/>
        </w:rPr>
        <w:t xml:space="preserve">Ensure other supportive services </w:t>
      </w:r>
      <w:r w:rsidR="0049381B" w:rsidRPr="00352F1E">
        <w:rPr>
          <w:color w:val="E36C0A" w:themeColor="accent6" w:themeShade="BF"/>
        </w:rPr>
        <w:t>- social, legal, health and financial</w:t>
      </w:r>
      <w:r w:rsidRPr="00352F1E">
        <w:rPr>
          <w:color w:val="E36C0A" w:themeColor="accent6" w:themeShade="BF"/>
        </w:rPr>
        <w:t xml:space="preserve"> (para.136)</w:t>
      </w:r>
      <w:r w:rsidR="0049381B" w:rsidRPr="00352F1E">
        <w:rPr>
          <w:color w:val="E36C0A" w:themeColor="accent6" w:themeShade="BF"/>
        </w:rPr>
        <w:t>.</w:t>
      </w:r>
    </w:p>
    <w:p w:rsidR="00092616" w:rsidRPr="00A42A02" w:rsidRDefault="00092616" w:rsidP="00A42A02">
      <w:pPr>
        <w:spacing w:line="240" w:lineRule="auto"/>
        <w:jc w:val="both"/>
        <w:rPr>
          <w:color w:val="1F497D" w:themeColor="text2"/>
        </w:rPr>
      </w:pPr>
      <w:r w:rsidRPr="00A42A02">
        <w:rPr>
          <w:color w:val="1F497D" w:themeColor="text2"/>
        </w:rPr>
        <w:t xml:space="preserve">All of </w:t>
      </w:r>
      <w:r w:rsidR="00A42A02" w:rsidRPr="00A42A02">
        <w:rPr>
          <w:color w:val="1F497D" w:themeColor="text2"/>
        </w:rPr>
        <w:t>these issues</w:t>
      </w:r>
      <w:r w:rsidRPr="00A42A02">
        <w:rPr>
          <w:color w:val="1F497D" w:themeColor="text2"/>
        </w:rPr>
        <w:t xml:space="preserve"> are concerns in the discussion above and, on which basis we suggest the following questions and recommendations to the state party.</w:t>
      </w:r>
    </w:p>
    <w:p w:rsidR="0049381B" w:rsidRPr="00550ADF" w:rsidRDefault="0034538F" w:rsidP="001900CD">
      <w:pPr>
        <w:spacing w:after="120"/>
        <w:rPr>
          <w:rFonts w:ascii="Arial Narrow" w:hAnsi="Arial Narrow"/>
          <w:b/>
          <w:color w:val="F79646" w:themeColor="accent6"/>
          <w:sz w:val="24"/>
          <w:szCs w:val="24"/>
          <w:u w:val="single"/>
        </w:rPr>
      </w:pPr>
      <w:r w:rsidRPr="00550ADF">
        <w:rPr>
          <w:rFonts w:ascii="Arial Narrow" w:hAnsi="Arial Narrow"/>
          <w:b/>
          <w:color w:val="F79646" w:themeColor="accent6"/>
          <w:sz w:val="24"/>
          <w:szCs w:val="24"/>
          <w:u w:val="single"/>
        </w:rPr>
        <w:t xml:space="preserve">Suggested </w:t>
      </w:r>
      <w:r w:rsidR="00471BD1" w:rsidRPr="00550ADF">
        <w:rPr>
          <w:rFonts w:ascii="Arial Narrow" w:hAnsi="Arial Narrow"/>
          <w:b/>
          <w:color w:val="F79646" w:themeColor="accent6"/>
          <w:sz w:val="24"/>
          <w:szCs w:val="24"/>
          <w:u w:val="single"/>
        </w:rPr>
        <w:t>Questions</w:t>
      </w:r>
      <w:r w:rsidR="00D7662D" w:rsidRPr="00550ADF">
        <w:rPr>
          <w:rFonts w:ascii="Arial Narrow" w:hAnsi="Arial Narrow"/>
          <w:b/>
          <w:color w:val="F79646" w:themeColor="accent6"/>
          <w:sz w:val="24"/>
          <w:szCs w:val="24"/>
          <w:u w:val="single"/>
        </w:rPr>
        <w:t xml:space="preserve"> &amp; Recommendations</w:t>
      </w:r>
    </w:p>
    <w:p w:rsidR="00890DC2" w:rsidRDefault="00471BD1" w:rsidP="00471BD1">
      <w:pPr>
        <w:pStyle w:val="ListParagraph"/>
        <w:numPr>
          <w:ilvl w:val="0"/>
          <w:numId w:val="4"/>
        </w:numPr>
        <w:spacing w:after="0" w:line="240" w:lineRule="auto"/>
        <w:jc w:val="both"/>
        <w:rPr>
          <w:color w:val="1F497D" w:themeColor="text2"/>
        </w:rPr>
      </w:pPr>
      <w:r>
        <w:rPr>
          <w:color w:val="1F497D" w:themeColor="text2"/>
        </w:rPr>
        <w:t>What concrete actions</w:t>
      </w:r>
      <w:r w:rsidR="0034538F">
        <w:rPr>
          <w:color w:val="1F497D" w:themeColor="text2"/>
        </w:rPr>
        <w:t>, resource</w:t>
      </w:r>
      <w:r w:rsidR="00890DC2">
        <w:rPr>
          <w:color w:val="1F497D" w:themeColor="text2"/>
        </w:rPr>
        <w:t xml:space="preserve"> allocation</w:t>
      </w:r>
      <w:r w:rsidR="0034538F">
        <w:rPr>
          <w:color w:val="1F497D" w:themeColor="text2"/>
        </w:rPr>
        <w:t>s</w:t>
      </w:r>
      <w:r w:rsidR="00890DC2">
        <w:rPr>
          <w:color w:val="1F497D" w:themeColor="text2"/>
        </w:rPr>
        <w:t>,</w:t>
      </w:r>
      <w:r>
        <w:rPr>
          <w:color w:val="1F497D" w:themeColor="text2"/>
        </w:rPr>
        <w:t xml:space="preserve"> </w:t>
      </w:r>
      <w:r w:rsidR="00890DC2">
        <w:rPr>
          <w:color w:val="1F497D" w:themeColor="text2"/>
        </w:rPr>
        <w:t xml:space="preserve">programmes </w:t>
      </w:r>
      <w:r w:rsidR="0034538F">
        <w:rPr>
          <w:color w:val="1F497D" w:themeColor="text2"/>
        </w:rPr>
        <w:t xml:space="preserve">etc. </w:t>
      </w:r>
      <w:r>
        <w:rPr>
          <w:color w:val="1F497D" w:themeColor="text2"/>
        </w:rPr>
        <w:t xml:space="preserve">has the State undertaken to implement existing laws or enact new legislation to </w:t>
      </w:r>
      <w:r w:rsidR="00890DC2">
        <w:rPr>
          <w:color w:val="1F497D" w:themeColor="text2"/>
        </w:rPr>
        <w:t>guarantee appropriate and adequate support for children and young people during the transition from state care to an independent adulthood?</w:t>
      </w:r>
    </w:p>
    <w:p w:rsidR="00890DC2" w:rsidRPr="00890DC2" w:rsidRDefault="00890DC2" w:rsidP="00890DC2">
      <w:pPr>
        <w:pStyle w:val="ListParagraph"/>
        <w:spacing w:after="0" w:line="240" w:lineRule="auto"/>
        <w:jc w:val="both"/>
        <w:rPr>
          <w:color w:val="1F497D" w:themeColor="text2"/>
          <w:sz w:val="16"/>
          <w:szCs w:val="16"/>
        </w:rPr>
      </w:pPr>
    </w:p>
    <w:p w:rsidR="00471BD1" w:rsidRDefault="00890DC2" w:rsidP="00471BD1">
      <w:pPr>
        <w:pStyle w:val="ListParagraph"/>
        <w:numPr>
          <w:ilvl w:val="0"/>
          <w:numId w:val="4"/>
        </w:numPr>
        <w:spacing w:after="0" w:line="240" w:lineRule="auto"/>
        <w:jc w:val="both"/>
        <w:rPr>
          <w:color w:val="1F497D" w:themeColor="text2"/>
        </w:rPr>
      </w:pPr>
      <w:r>
        <w:rPr>
          <w:color w:val="1F497D" w:themeColor="text2"/>
        </w:rPr>
        <w:t>Wha</w:t>
      </w:r>
      <w:r w:rsidR="00A42A02">
        <w:rPr>
          <w:color w:val="1F497D" w:themeColor="text2"/>
        </w:rPr>
        <w:t xml:space="preserve">t steps have been taken </w:t>
      </w:r>
      <w:r>
        <w:rPr>
          <w:color w:val="1F497D" w:themeColor="text2"/>
        </w:rPr>
        <w:t>w</w:t>
      </w:r>
      <w:r w:rsidR="00471BD1">
        <w:rPr>
          <w:color w:val="1F497D" w:themeColor="text2"/>
        </w:rPr>
        <w:t>ith reference in particular to;</w:t>
      </w:r>
    </w:p>
    <w:p w:rsidR="00471BD1" w:rsidRDefault="00A42A02" w:rsidP="00471BD1">
      <w:pPr>
        <w:pStyle w:val="ListParagraph"/>
        <w:numPr>
          <w:ilvl w:val="1"/>
          <w:numId w:val="4"/>
        </w:numPr>
        <w:spacing w:after="0" w:line="240" w:lineRule="auto"/>
        <w:jc w:val="both"/>
        <w:rPr>
          <w:color w:val="1F497D" w:themeColor="text2"/>
        </w:rPr>
      </w:pPr>
      <w:r>
        <w:rPr>
          <w:color w:val="1F497D" w:themeColor="text2"/>
        </w:rPr>
        <w:t>Guarantee</w:t>
      </w:r>
      <w:r w:rsidR="00471BD1">
        <w:rPr>
          <w:color w:val="1F497D" w:themeColor="text2"/>
        </w:rPr>
        <w:t xml:space="preserve"> quality education, encompassing both formal and vocational opportunities</w:t>
      </w:r>
      <w:r>
        <w:rPr>
          <w:color w:val="1F497D" w:themeColor="text2"/>
        </w:rPr>
        <w:t>, and life skills training</w:t>
      </w:r>
      <w:r w:rsidR="00890DC2">
        <w:rPr>
          <w:color w:val="1F497D" w:themeColor="text2"/>
        </w:rPr>
        <w:t>?</w:t>
      </w:r>
    </w:p>
    <w:p w:rsidR="00890DC2" w:rsidRDefault="00A42A02" w:rsidP="00890DC2">
      <w:pPr>
        <w:pStyle w:val="ListParagraph"/>
        <w:numPr>
          <w:ilvl w:val="1"/>
          <w:numId w:val="4"/>
        </w:numPr>
        <w:spacing w:after="0" w:line="240" w:lineRule="auto"/>
        <w:jc w:val="both"/>
        <w:rPr>
          <w:color w:val="1F497D" w:themeColor="text2"/>
        </w:rPr>
      </w:pPr>
      <w:r>
        <w:rPr>
          <w:color w:val="1F497D" w:themeColor="text2"/>
        </w:rPr>
        <w:t>Ensure</w:t>
      </w:r>
      <w:r w:rsidR="00890DC2">
        <w:rPr>
          <w:color w:val="1F497D" w:themeColor="text2"/>
        </w:rPr>
        <w:t xml:space="preserve"> appropriate living conditions, care and support for children living in “</w:t>
      </w:r>
      <w:proofErr w:type="spellStart"/>
      <w:r w:rsidR="00890DC2">
        <w:rPr>
          <w:color w:val="1F497D" w:themeColor="text2"/>
        </w:rPr>
        <w:t>konvikts</w:t>
      </w:r>
      <w:proofErr w:type="spellEnd"/>
      <w:r w:rsidR="00890DC2">
        <w:rPr>
          <w:color w:val="1F497D" w:themeColor="text2"/>
        </w:rPr>
        <w:t>”?</w:t>
      </w:r>
    </w:p>
    <w:p w:rsidR="00890DC2" w:rsidRDefault="00890DC2" w:rsidP="00471BD1">
      <w:pPr>
        <w:pStyle w:val="ListParagraph"/>
        <w:numPr>
          <w:ilvl w:val="1"/>
          <w:numId w:val="4"/>
        </w:numPr>
        <w:spacing w:after="0" w:line="240" w:lineRule="auto"/>
        <w:jc w:val="both"/>
        <w:rPr>
          <w:color w:val="1F497D" w:themeColor="text2"/>
        </w:rPr>
      </w:pPr>
      <w:r>
        <w:rPr>
          <w:color w:val="1F497D" w:themeColor="text2"/>
        </w:rPr>
        <w:t>Prevent drop-out from boarding schools and when drop-out occurs to secure the care and protection of vulnerable children.</w:t>
      </w:r>
    </w:p>
    <w:p w:rsidR="00890DC2" w:rsidRDefault="00A42A02" w:rsidP="00471BD1">
      <w:pPr>
        <w:pStyle w:val="ListParagraph"/>
        <w:numPr>
          <w:ilvl w:val="1"/>
          <w:numId w:val="4"/>
        </w:numPr>
        <w:spacing w:after="0" w:line="240" w:lineRule="auto"/>
        <w:jc w:val="both"/>
        <w:rPr>
          <w:color w:val="1F497D" w:themeColor="text2"/>
        </w:rPr>
      </w:pPr>
      <w:r>
        <w:rPr>
          <w:color w:val="1F497D" w:themeColor="text2"/>
        </w:rPr>
        <w:t>Guarantee</w:t>
      </w:r>
      <w:r w:rsidR="00890DC2">
        <w:rPr>
          <w:color w:val="1F497D" w:themeColor="text2"/>
        </w:rPr>
        <w:t xml:space="preserve"> access to adequate housing after leaving care and into adulthood in line with current legislation?</w:t>
      </w:r>
    </w:p>
    <w:p w:rsidR="00D7662D" w:rsidRDefault="00A42A02" w:rsidP="00471BD1">
      <w:pPr>
        <w:pStyle w:val="ListParagraph"/>
        <w:numPr>
          <w:ilvl w:val="1"/>
          <w:numId w:val="4"/>
        </w:numPr>
        <w:spacing w:after="0" w:line="240" w:lineRule="auto"/>
        <w:jc w:val="both"/>
        <w:rPr>
          <w:color w:val="1F497D" w:themeColor="text2"/>
        </w:rPr>
      </w:pPr>
      <w:r>
        <w:rPr>
          <w:color w:val="1F497D" w:themeColor="text2"/>
        </w:rPr>
        <w:t>E</w:t>
      </w:r>
      <w:r w:rsidR="00D7662D">
        <w:rPr>
          <w:color w:val="1F497D" w:themeColor="text2"/>
        </w:rPr>
        <w:t>nsure care leavers have the necessary education, skills to seek employment and also have access to support and advice regarding job seeking?</w:t>
      </w:r>
    </w:p>
    <w:p w:rsidR="00471BD1" w:rsidRPr="00D7662D" w:rsidRDefault="00471BD1" w:rsidP="00890DC2">
      <w:pPr>
        <w:pStyle w:val="ListParagraph"/>
        <w:spacing w:after="0" w:line="240" w:lineRule="auto"/>
        <w:ind w:left="1440"/>
        <w:jc w:val="both"/>
        <w:rPr>
          <w:color w:val="1F497D" w:themeColor="text2"/>
          <w:sz w:val="16"/>
          <w:szCs w:val="16"/>
        </w:rPr>
      </w:pPr>
    </w:p>
    <w:p w:rsidR="00D7662D" w:rsidRDefault="0034538F" w:rsidP="00471BD1">
      <w:pPr>
        <w:pStyle w:val="ListParagraph"/>
        <w:numPr>
          <w:ilvl w:val="0"/>
          <w:numId w:val="4"/>
        </w:numPr>
        <w:spacing w:after="0" w:line="240" w:lineRule="auto"/>
        <w:jc w:val="both"/>
        <w:rPr>
          <w:color w:val="1F497D" w:themeColor="text2"/>
        </w:rPr>
      </w:pPr>
      <w:r>
        <w:rPr>
          <w:color w:val="1F497D" w:themeColor="text2"/>
        </w:rPr>
        <w:t>W</w:t>
      </w:r>
      <w:r w:rsidR="00890DC2">
        <w:rPr>
          <w:color w:val="1F497D" w:themeColor="text2"/>
        </w:rPr>
        <w:t xml:space="preserve">e recommend that Albania review both </w:t>
      </w:r>
      <w:r w:rsidR="00D7662D">
        <w:rPr>
          <w:color w:val="1F497D" w:themeColor="text2"/>
        </w:rPr>
        <w:t xml:space="preserve">existing </w:t>
      </w:r>
      <w:r w:rsidR="00890DC2">
        <w:rPr>
          <w:color w:val="1F497D" w:themeColor="text2"/>
        </w:rPr>
        <w:t xml:space="preserve">legislation and current practice on leaving care preparation and after care support </w:t>
      </w:r>
      <w:r w:rsidR="00D7662D">
        <w:rPr>
          <w:color w:val="1F497D" w:themeColor="text2"/>
        </w:rPr>
        <w:t xml:space="preserve">and implement necessary reform </w:t>
      </w:r>
      <w:r w:rsidR="00890DC2">
        <w:rPr>
          <w:color w:val="1F497D" w:themeColor="text2"/>
        </w:rPr>
        <w:t>with respect to the standards set in the UN Guidelines for the Alternative Care of Children</w:t>
      </w:r>
      <w:r w:rsidR="00D7662D">
        <w:rPr>
          <w:color w:val="1F497D" w:themeColor="text2"/>
        </w:rPr>
        <w:t>, notably paras.131-135</w:t>
      </w:r>
      <w:r w:rsidR="00890DC2">
        <w:rPr>
          <w:color w:val="1F497D" w:themeColor="text2"/>
        </w:rPr>
        <w:t>.</w:t>
      </w:r>
    </w:p>
    <w:p w:rsidR="00471BD1" w:rsidRPr="00D7662D" w:rsidRDefault="00890DC2" w:rsidP="00D7662D">
      <w:pPr>
        <w:pStyle w:val="ListParagraph"/>
        <w:spacing w:after="0" w:line="240" w:lineRule="auto"/>
        <w:jc w:val="both"/>
        <w:rPr>
          <w:color w:val="1F497D" w:themeColor="text2"/>
          <w:sz w:val="16"/>
          <w:szCs w:val="16"/>
        </w:rPr>
      </w:pPr>
      <w:r>
        <w:rPr>
          <w:color w:val="1F497D" w:themeColor="text2"/>
        </w:rPr>
        <w:t xml:space="preserve"> </w:t>
      </w:r>
    </w:p>
    <w:p w:rsidR="00353A75" w:rsidRDefault="00890DC2" w:rsidP="00471BD1">
      <w:pPr>
        <w:pStyle w:val="ListParagraph"/>
        <w:numPr>
          <w:ilvl w:val="0"/>
          <w:numId w:val="4"/>
        </w:numPr>
        <w:spacing w:after="0" w:line="240" w:lineRule="auto"/>
        <w:jc w:val="both"/>
        <w:rPr>
          <w:color w:val="1F497D" w:themeColor="text2"/>
        </w:rPr>
      </w:pPr>
      <w:r>
        <w:rPr>
          <w:color w:val="1F497D" w:themeColor="text2"/>
        </w:rPr>
        <w:t>Specifically, and noting existing recommendations in UPR and CRC</w:t>
      </w:r>
      <w:r w:rsidR="00D7662D">
        <w:rPr>
          <w:color w:val="1F497D" w:themeColor="text2"/>
        </w:rPr>
        <w:t>,</w:t>
      </w:r>
      <w:r>
        <w:rPr>
          <w:color w:val="1F497D" w:themeColor="text2"/>
        </w:rPr>
        <w:t xml:space="preserve"> we recommend that Albania</w:t>
      </w:r>
      <w:r w:rsidR="00D7662D">
        <w:rPr>
          <w:color w:val="1F497D" w:themeColor="text2"/>
        </w:rPr>
        <w:t xml:space="preserve"> </w:t>
      </w:r>
      <w:r w:rsidR="00A42A02">
        <w:rPr>
          <w:color w:val="1F497D" w:themeColor="text2"/>
        </w:rPr>
        <w:t xml:space="preserve">ensure </w:t>
      </w:r>
      <w:r w:rsidR="00D7662D">
        <w:rPr>
          <w:color w:val="1F497D" w:themeColor="text2"/>
        </w:rPr>
        <w:t xml:space="preserve">respect </w:t>
      </w:r>
      <w:r w:rsidR="00A42A02">
        <w:rPr>
          <w:color w:val="1F497D" w:themeColor="text2"/>
        </w:rPr>
        <w:t xml:space="preserve">for the definition of the child </w:t>
      </w:r>
      <w:r w:rsidR="00D7662D">
        <w:rPr>
          <w:color w:val="1F497D" w:themeColor="text2"/>
        </w:rPr>
        <w:t>as noted in th</w:t>
      </w:r>
      <w:r w:rsidR="00A42A02">
        <w:rPr>
          <w:color w:val="1F497D" w:themeColor="text2"/>
        </w:rPr>
        <w:t>e UNCRC with respect</w:t>
      </w:r>
      <w:r w:rsidR="00D7662D">
        <w:rPr>
          <w:color w:val="1F497D" w:themeColor="text2"/>
        </w:rPr>
        <w:t xml:space="preserve"> to the provision of state care and</w:t>
      </w:r>
      <w:r w:rsidR="00A42A02">
        <w:rPr>
          <w:color w:val="1F497D" w:themeColor="text2"/>
        </w:rPr>
        <w:t>, specifically, to</w:t>
      </w:r>
      <w:r w:rsidR="00D7662D">
        <w:rPr>
          <w:color w:val="1F497D" w:themeColor="text2"/>
        </w:rPr>
        <w:t xml:space="preserve"> </w:t>
      </w:r>
      <w:r w:rsidR="00471BD1">
        <w:rPr>
          <w:color w:val="1F497D" w:themeColor="text2"/>
        </w:rPr>
        <w:t xml:space="preserve">raise the age of leaving </w:t>
      </w:r>
      <w:r w:rsidR="00A42A02">
        <w:rPr>
          <w:color w:val="1F497D" w:themeColor="text2"/>
        </w:rPr>
        <w:t xml:space="preserve">state </w:t>
      </w:r>
      <w:r w:rsidR="00471BD1">
        <w:rPr>
          <w:color w:val="1F497D" w:themeColor="text2"/>
        </w:rPr>
        <w:t>care from 15 years to 18 years</w:t>
      </w:r>
      <w:r w:rsidR="00D7662D">
        <w:rPr>
          <w:color w:val="1F497D" w:themeColor="text2"/>
        </w:rPr>
        <w:t>.</w:t>
      </w:r>
      <w:r w:rsidR="00471BD1">
        <w:rPr>
          <w:color w:val="1F497D" w:themeColor="text2"/>
        </w:rPr>
        <w:t xml:space="preserve"> </w:t>
      </w:r>
    </w:p>
    <w:p w:rsidR="00A5449B" w:rsidRPr="00A5449B" w:rsidRDefault="00A5449B" w:rsidP="00A5449B">
      <w:pPr>
        <w:pStyle w:val="ListParagraph"/>
        <w:rPr>
          <w:color w:val="1F497D" w:themeColor="text2"/>
        </w:rPr>
      </w:pPr>
    </w:p>
    <w:p w:rsidR="00A5449B" w:rsidRDefault="00A5449B">
      <w:pPr>
        <w:rPr>
          <w:rFonts w:ascii="Arial Narrow" w:hAnsi="Arial Narrow"/>
          <w:b/>
          <w:color w:val="F79646" w:themeColor="accent6"/>
          <w:sz w:val="24"/>
          <w:szCs w:val="24"/>
          <w:u w:val="single"/>
        </w:rPr>
      </w:pPr>
      <w:r>
        <w:rPr>
          <w:rFonts w:ascii="Arial Narrow" w:hAnsi="Arial Narrow"/>
          <w:b/>
          <w:color w:val="F79646" w:themeColor="accent6"/>
          <w:sz w:val="24"/>
          <w:szCs w:val="24"/>
          <w:u w:val="single"/>
        </w:rPr>
        <w:br w:type="page"/>
      </w:r>
    </w:p>
    <w:p w:rsidR="00A5449B" w:rsidRPr="005A20DF" w:rsidRDefault="00A5449B" w:rsidP="00A5449B">
      <w:pPr>
        <w:spacing w:after="120"/>
        <w:rPr>
          <w:rFonts w:ascii="Arial Narrow" w:hAnsi="Arial Narrow"/>
          <w:b/>
          <w:color w:val="F79646" w:themeColor="accent6"/>
          <w:sz w:val="24"/>
          <w:szCs w:val="24"/>
          <w:u w:val="single"/>
        </w:rPr>
      </w:pPr>
      <w:proofErr w:type="spellStart"/>
      <w:r>
        <w:rPr>
          <w:rFonts w:ascii="Arial Narrow" w:hAnsi="Arial Narrow"/>
          <w:b/>
          <w:color w:val="F79646" w:themeColor="accent6"/>
          <w:sz w:val="24"/>
          <w:szCs w:val="24"/>
          <w:u w:val="single"/>
        </w:rPr>
        <w:lastRenderedPageBreak/>
        <w:t>Annex</w:t>
      </w:r>
      <w:r w:rsidR="006C2668">
        <w:rPr>
          <w:rFonts w:ascii="Arial Narrow" w:hAnsi="Arial Narrow"/>
          <w:b/>
          <w:color w:val="F79646" w:themeColor="accent6"/>
          <w:sz w:val="24"/>
          <w:szCs w:val="24"/>
          <w:u w:val="single"/>
        </w:rPr>
        <w:t>.</w:t>
      </w:r>
      <w:r>
        <w:rPr>
          <w:rFonts w:ascii="Arial Narrow" w:hAnsi="Arial Narrow"/>
          <w:b/>
          <w:color w:val="F79646" w:themeColor="accent6"/>
          <w:sz w:val="24"/>
          <w:szCs w:val="24"/>
          <w:u w:val="single"/>
        </w:rPr>
        <w:t>I</w:t>
      </w:r>
      <w:proofErr w:type="spellEnd"/>
      <w:r>
        <w:rPr>
          <w:rFonts w:ascii="Arial Narrow" w:hAnsi="Arial Narrow"/>
          <w:b/>
          <w:color w:val="F79646" w:themeColor="accent6"/>
          <w:sz w:val="24"/>
          <w:szCs w:val="24"/>
          <w:u w:val="single"/>
        </w:rPr>
        <w:t xml:space="preserve"> - </w:t>
      </w:r>
      <w:r w:rsidRPr="005A20DF">
        <w:rPr>
          <w:rFonts w:ascii="Arial Narrow" w:hAnsi="Arial Narrow"/>
          <w:b/>
          <w:color w:val="F79646" w:themeColor="accent6"/>
          <w:sz w:val="24"/>
          <w:szCs w:val="24"/>
          <w:u w:val="single"/>
        </w:rPr>
        <w:t xml:space="preserve">Summary of relevant UPR recommendations </w:t>
      </w:r>
    </w:p>
    <w:p w:rsidR="00A5449B" w:rsidRPr="00383D7C" w:rsidRDefault="00A5449B" w:rsidP="00A5449B">
      <w:pPr>
        <w:spacing w:after="0" w:line="240" w:lineRule="auto"/>
        <w:jc w:val="both"/>
        <w:rPr>
          <w:rFonts w:ascii="Arial Narrow" w:hAnsi="Arial Narrow"/>
          <w:b/>
          <w:color w:val="F79646" w:themeColor="accent6"/>
          <w:sz w:val="18"/>
          <w:szCs w:val="18"/>
        </w:rPr>
      </w:pPr>
      <w:r w:rsidRPr="00383D7C">
        <w:rPr>
          <w:color w:val="1F497D" w:themeColor="text2"/>
          <w:sz w:val="18"/>
          <w:szCs w:val="18"/>
        </w:rPr>
        <w:t>In December 2009 the Albanian State received three recommendations around the age of leaving care and the lack of implementation of existing national laws to deliver support to children and young people after leaving care in the Universal Periodic Review. The following is taken from the final report of the UPR working group on Albania</w:t>
      </w:r>
      <w:r w:rsidRPr="00383D7C">
        <w:rPr>
          <w:rStyle w:val="FootnoteReference"/>
          <w:color w:val="1F497D" w:themeColor="text2"/>
          <w:sz w:val="18"/>
          <w:szCs w:val="18"/>
        </w:rPr>
        <w:footnoteReference w:id="10"/>
      </w:r>
    </w:p>
    <w:p w:rsidR="00A5449B" w:rsidRPr="00383D7C" w:rsidRDefault="00A5449B" w:rsidP="00A5449B">
      <w:pPr>
        <w:spacing w:after="0" w:line="240" w:lineRule="auto"/>
        <w:jc w:val="both"/>
        <w:rPr>
          <w:color w:val="1F497D" w:themeColor="text2"/>
          <w:sz w:val="18"/>
          <w:szCs w:val="18"/>
        </w:rPr>
      </w:pPr>
    </w:p>
    <w:p w:rsidR="00A5449B" w:rsidRPr="00383D7C" w:rsidRDefault="00A5449B" w:rsidP="00A5449B">
      <w:pPr>
        <w:autoSpaceDE w:val="0"/>
        <w:autoSpaceDN w:val="0"/>
        <w:adjustRightInd w:val="0"/>
        <w:spacing w:after="0" w:line="240" w:lineRule="auto"/>
        <w:rPr>
          <w:color w:val="1F497D" w:themeColor="text2"/>
          <w:sz w:val="18"/>
          <w:szCs w:val="18"/>
        </w:rPr>
      </w:pPr>
      <w:r w:rsidRPr="00383D7C">
        <w:rPr>
          <w:color w:val="1F497D" w:themeColor="text2"/>
          <w:sz w:val="18"/>
          <w:szCs w:val="18"/>
        </w:rPr>
        <w:t>Firstly, Austria noted its concern that most children in institutional care came from a poor and rural family background, and that children in institutional care typically left at the age of 14 to 15 and faced social stigmatisation, poverty and inadequate access to quality education.  Austria specifically recommended Albania to:</w:t>
      </w:r>
    </w:p>
    <w:p w:rsidR="00A5449B" w:rsidRPr="00383D7C" w:rsidRDefault="00A5449B" w:rsidP="00A5449B">
      <w:pPr>
        <w:autoSpaceDE w:val="0"/>
        <w:autoSpaceDN w:val="0"/>
        <w:adjustRightInd w:val="0"/>
        <w:spacing w:after="0" w:line="240" w:lineRule="auto"/>
        <w:rPr>
          <w:rFonts w:ascii="Arial" w:hAnsi="Arial" w:cs="Arial"/>
          <w:bCs/>
          <w:sz w:val="18"/>
          <w:szCs w:val="18"/>
        </w:rPr>
      </w:pPr>
    </w:p>
    <w:p w:rsidR="00A5449B" w:rsidRPr="00383D7C" w:rsidRDefault="00A5449B" w:rsidP="00A5449B">
      <w:pPr>
        <w:autoSpaceDE w:val="0"/>
        <w:autoSpaceDN w:val="0"/>
        <w:adjustRightInd w:val="0"/>
        <w:spacing w:after="0" w:line="240" w:lineRule="auto"/>
        <w:ind w:left="708" w:right="864"/>
        <w:jc w:val="both"/>
        <w:rPr>
          <w:color w:val="1F497D" w:themeColor="text2"/>
          <w:sz w:val="18"/>
          <w:szCs w:val="18"/>
        </w:rPr>
      </w:pPr>
      <w:r w:rsidRPr="00383D7C">
        <w:rPr>
          <w:i/>
          <w:color w:val="1F497D" w:themeColor="text2"/>
          <w:sz w:val="18"/>
          <w:szCs w:val="18"/>
        </w:rPr>
        <w:t>“Increase the age of leaving care to 18 years and enact and implement legislation aimed at improving support for children in care as well as after leaving care, in particular with regard to access to education and vocational training”</w:t>
      </w:r>
      <w:r w:rsidRPr="00383D7C">
        <w:rPr>
          <w:color w:val="1F497D" w:themeColor="text2"/>
          <w:sz w:val="18"/>
          <w:szCs w:val="18"/>
        </w:rPr>
        <w:t>. (A/HRC/13/6, p.19, para.2)</w:t>
      </w:r>
    </w:p>
    <w:p w:rsidR="00A5449B" w:rsidRPr="00383D7C" w:rsidRDefault="00A5449B" w:rsidP="00A5449B">
      <w:pPr>
        <w:spacing w:after="0" w:line="240" w:lineRule="auto"/>
        <w:jc w:val="both"/>
        <w:rPr>
          <w:color w:val="1F497D" w:themeColor="text2"/>
          <w:sz w:val="18"/>
          <w:szCs w:val="18"/>
        </w:rPr>
      </w:pPr>
      <w:r w:rsidRPr="00383D7C">
        <w:rPr>
          <w:color w:val="1F497D" w:themeColor="text2"/>
          <w:sz w:val="18"/>
          <w:szCs w:val="18"/>
        </w:rPr>
        <w:t xml:space="preserve"> </w:t>
      </w:r>
    </w:p>
    <w:p w:rsidR="00A5449B" w:rsidRPr="00383D7C" w:rsidRDefault="00A5449B" w:rsidP="00A5449B">
      <w:pPr>
        <w:autoSpaceDE w:val="0"/>
        <w:autoSpaceDN w:val="0"/>
        <w:adjustRightInd w:val="0"/>
        <w:spacing w:after="0" w:line="240" w:lineRule="auto"/>
        <w:rPr>
          <w:color w:val="1F497D" w:themeColor="text2"/>
          <w:sz w:val="18"/>
          <w:szCs w:val="18"/>
        </w:rPr>
      </w:pPr>
      <w:r w:rsidRPr="00383D7C">
        <w:rPr>
          <w:color w:val="1F497D" w:themeColor="text2"/>
          <w:sz w:val="18"/>
          <w:szCs w:val="18"/>
        </w:rPr>
        <w:t>Secondly, the Czech Republic welcomed particularly the adoption of the National Strategy on Children’s rights but recommended Albania to:</w:t>
      </w:r>
    </w:p>
    <w:p w:rsidR="00A5449B" w:rsidRPr="00383D7C" w:rsidRDefault="00A5449B" w:rsidP="00A5449B">
      <w:pPr>
        <w:autoSpaceDE w:val="0"/>
        <w:autoSpaceDN w:val="0"/>
        <w:adjustRightInd w:val="0"/>
        <w:spacing w:after="0" w:line="240" w:lineRule="auto"/>
        <w:jc w:val="both"/>
        <w:rPr>
          <w:color w:val="1F497D" w:themeColor="text2"/>
          <w:sz w:val="18"/>
          <w:szCs w:val="18"/>
        </w:rPr>
      </w:pPr>
    </w:p>
    <w:p w:rsidR="00A5449B" w:rsidRPr="00383D7C" w:rsidRDefault="00A5449B" w:rsidP="00A5449B">
      <w:pPr>
        <w:autoSpaceDE w:val="0"/>
        <w:autoSpaceDN w:val="0"/>
        <w:adjustRightInd w:val="0"/>
        <w:spacing w:after="0" w:line="240" w:lineRule="auto"/>
        <w:ind w:left="708"/>
        <w:jc w:val="both"/>
        <w:rPr>
          <w:color w:val="1F497D" w:themeColor="text2"/>
          <w:sz w:val="18"/>
          <w:szCs w:val="18"/>
        </w:rPr>
      </w:pPr>
      <w:r w:rsidRPr="00383D7C">
        <w:rPr>
          <w:i/>
          <w:color w:val="1F497D" w:themeColor="text2"/>
          <w:sz w:val="18"/>
          <w:szCs w:val="18"/>
        </w:rPr>
        <w:t>“Adopt further measures to ensure protection of the human rights of children leaving care in particular through the provision of education, health and psycho-social support”</w:t>
      </w:r>
      <w:r w:rsidRPr="00383D7C">
        <w:rPr>
          <w:color w:val="1F497D" w:themeColor="text2"/>
          <w:sz w:val="18"/>
          <w:szCs w:val="18"/>
        </w:rPr>
        <w:t>. (A/HRC/13/6, p.18, para.79)</w:t>
      </w:r>
    </w:p>
    <w:p w:rsidR="00A5449B" w:rsidRPr="00383D7C" w:rsidRDefault="00A5449B" w:rsidP="00A5449B">
      <w:pPr>
        <w:spacing w:after="0" w:line="240" w:lineRule="auto"/>
        <w:jc w:val="both"/>
        <w:rPr>
          <w:color w:val="1F497D" w:themeColor="text2"/>
          <w:sz w:val="18"/>
          <w:szCs w:val="18"/>
        </w:rPr>
      </w:pPr>
    </w:p>
    <w:p w:rsidR="00A5449B" w:rsidRPr="00383D7C" w:rsidRDefault="00A5449B" w:rsidP="00A5449B">
      <w:pPr>
        <w:autoSpaceDE w:val="0"/>
        <w:autoSpaceDN w:val="0"/>
        <w:adjustRightInd w:val="0"/>
        <w:spacing w:after="0" w:line="240" w:lineRule="auto"/>
        <w:rPr>
          <w:color w:val="1F497D" w:themeColor="text2"/>
          <w:sz w:val="18"/>
          <w:szCs w:val="18"/>
        </w:rPr>
      </w:pPr>
      <w:r w:rsidRPr="00383D7C">
        <w:rPr>
          <w:color w:val="1F497D" w:themeColor="text2"/>
          <w:sz w:val="18"/>
          <w:szCs w:val="18"/>
        </w:rPr>
        <w:t>Lastly, Uruguay noted the law “</w:t>
      </w:r>
      <w:r w:rsidRPr="00383D7C">
        <w:rPr>
          <w:i/>
          <w:color w:val="1F497D" w:themeColor="text2"/>
          <w:sz w:val="18"/>
          <w:szCs w:val="18"/>
        </w:rPr>
        <w:t>On status of orphans – Law no.8153</w:t>
      </w:r>
      <w:r w:rsidRPr="00383D7C">
        <w:rPr>
          <w:color w:val="1F497D" w:themeColor="text2"/>
          <w:sz w:val="18"/>
          <w:szCs w:val="18"/>
        </w:rPr>
        <w:t>” and the rights to support of various types asked about the allocation of resources</w:t>
      </w:r>
      <w:r w:rsidRPr="00383D7C">
        <w:rPr>
          <w:rFonts w:ascii="Arial" w:hAnsi="Arial" w:cs="Arial"/>
          <w:sz w:val="18"/>
          <w:szCs w:val="18"/>
        </w:rPr>
        <w:t xml:space="preserve"> </w:t>
      </w:r>
      <w:r w:rsidRPr="00383D7C">
        <w:rPr>
          <w:color w:val="1F497D" w:themeColor="text2"/>
          <w:sz w:val="18"/>
          <w:szCs w:val="18"/>
        </w:rPr>
        <w:t>to implement these types of support and to carry forward effective policies of public care for these children until the age of 18 years, and recommended Albania to:</w:t>
      </w:r>
    </w:p>
    <w:p w:rsidR="00A5449B" w:rsidRPr="00383D7C" w:rsidRDefault="00A5449B" w:rsidP="00A5449B">
      <w:pPr>
        <w:autoSpaceDE w:val="0"/>
        <w:autoSpaceDN w:val="0"/>
        <w:adjustRightInd w:val="0"/>
        <w:spacing w:after="0" w:line="240" w:lineRule="auto"/>
        <w:ind w:left="708"/>
        <w:rPr>
          <w:i/>
          <w:color w:val="1F497D" w:themeColor="text2"/>
          <w:sz w:val="18"/>
          <w:szCs w:val="18"/>
        </w:rPr>
      </w:pPr>
    </w:p>
    <w:p w:rsidR="00A5449B" w:rsidRPr="00383D7C" w:rsidRDefault="00A5449B" w:rsidP="00A5449B">
      <w:pPr>
        <w:autoSpaceDE w:val="0"/>
        <w:autoSpaceDN w:val="0"/>
        <w:adjustRightInd w:val="0"/>
        <w:spacing w:after="0" w:line="240" w:lineRule="auto"/>
        <w:ind w:left="708"/>
        <w:rPr>
          <w:i/>
          <w:color w:val="1F497D" w:themeColor="text2"/>
          <w:sz w:val="18"/>
          <w:szCs w:val="18"/>
        </w:rPr>
      </w:pPr>
      <w:r w:rsidRPr="00383D7C">
        <w:rPr>
          <w:i/>
          <w:color w:val="1F497D" w:themeColor="text2"/>
          <w:sz w:val="18"/>
          <w:szCs w:val="18"/>
        </w:rPr>
        <w:t xml:space="preserve">“Take measures to create and strengthen the system of public care for boys, girls and adolescents who need such care, to ensure that they stay in the system until the age of 18 years as needed and that they are prepared for successful reintegration into society” </w:t>
      </w:r>
      <w:r w:rsidRPr="00383D7C">
        <w:rPr>
          <w:color w:val="1F497D" w:themeColor="text2"/>
          <w:sz w:val="18"/>
          <w:szCs w:val="18"/>
        </w:rPr>
        <w:t>(A/HRC/13/6, p.20, para.16)</w:t>
      </w:r>
    </w:p>
    <w:p w:rsidR="00A5449B" w:rsidRPr="00383D7C" w:rsidRDefault="00A5449B" w:rsidP="00A5449B">
      <w:pPr>
        <w:autoSpaceDE w:val="0"/>
        <w:autoSpaceDN w:val="0"/>
        <w:adjustRightInd w:val="0"/>
        <w:spacing w:after="0" w:line="240" w:lineRule="auto"/>
        <w:ind w:left="708"/>
        <w:rPr>
          <w:color w:val="1F497D" w:themeColor="text2"/>
          <w:sz w:val="18"/>
          <w:szCs w:val="18"/>
        </w:rPr>
      </w:pPr>
    </w:p>
    <w:p w:rsidR="00A5449B" w:rsidRPr="00383D7C" w:rsidRDefault="00A5449B" w:rsidP="00A5449B">
      <w:pPr>
        <w:spacing w:after="0" w:line="240" w:lineRule="auto"/>
        <w:jc w:val="both"/>
        <w:rPr>
          <w:color w:val="1F497D" w:themeColor="text2"/>
          <w:sz w:val="18"/>
          <w:szCs w:val="18"/>
        </w:rPr>
      </w:pPr>
      <w:r w:rsidRPr="00383D7C">
        <w:rPr>
          <w:color w:val="1F497D" w:themeColor="text2"/>
          <w:sz w:val="18"/>
          <w:szCs w:val="18"/>
        </w:rPr>
        <w:t>The Albanian government made no specific response to the Austrian recommendation neither accepting nor rejecting. Albania accepted the Czech Republic recommendation. Albania made no initial response to Uruguay but in the final plenary they did indicate that this recommendation “</w:t>
      </w:r>
      <w:r w:rsidRPr="00383D7C">
        <w:rPr>
          <w:i/>
          <w:color w:val="1F497D" w:themeColor="text2"/>
          <w:sz w:val="18"/>
          <w:szCs w:val="18"/>
        </w:rPr>
        <w:t>would soon be implemented</w:t>
      </w:r>
      <w:r w:rsidRPr="00383D7C">
        <w:rPr>
          <w:color w:val="1F497D" w:themeColor="text2"/>
          <w:sz w:val="18"/>
          <w:szCs w:val="18"/>
        </w:rPr>
        <w:t>”</w:t>
      </w:r>
      <w:r w:rsidRPr="00383D7C">
        <w:rPr>
          <w:rStyle w:val="FootnoteReference"/>
          <w:color w:val="1F497D" w:themeColor="text2"/>
          <w:sz w:val="18"/>
          <w:szCs w:val="18"/>
        </w:rPr>
        <w:footnoteReference w:id="11"/>
      </w:r>
      <w:r w:rsidRPr="00383D7C">
        <w:rPr>
          <w:color w:val="1F497D" w:themeColor="text2"/>
          <w:sz w:val="18"/>
          <w:szCs w:val="18"/>
        </w:rPr>
        <w:t xml:space="preserve">  </w:t>
      </w:r>
    </w:p>
    <w:p w:rsidR="00A5449B" w:rsidRDefault="00A5449B" w:rsidP="00A5449B">
      <w:pPr>
        <w:spacing w:after="0" w:line="240" w:lineRule="auto"/>
        <w:jc w:val="both"/>
        <w:rPr>
          <w:rFonts w:ascii="Arial Narrow" w:hAnsi="Arial Narrow"/>
          <w:b/>
          <w:color w:val="F79646" w:themeColor="accent6"/>
          <w:sz w:val="24"/>
          <w:szCs w:val="24"/>
          <w:u w:val="single"/>
        </w:rPr>
      </w:pPr>
    </w:p>
    <w:p w:rsidR="00A5449B" w:rsidRPr="006C2668" w:rsidRDefault="006C2668" w:rsidP="002A5240">
      <w:pPr>
        <w:rPr>
          <w:rFonts w:ascii="Arial Narrow" w:hAnsi="Arial Narrow"/>
          <w:b/>
          <w:color w:val="F79646" w:themeColor="accent6"/>
          <w:sz w:val="24"/>
          <w:szCs w:val="24"/>
          <w:u w:val="single"/>
        </w:rPr>
      </w:pPr>
      <w:proofErr w:type="spellStart"/>
      <w:r>
        <w:rPr>
          <w:rFonts w:ascii="Arial Narrow" w:hAnsi="Arial Narrow"/>
          <w:b/>
          <w:color w:val="F79646" w:themeColor="accent6"/>
          <w:sz w:val="24"/>
          <w:szCs w:val="24"/>
          <w:u w:val="single"/>
        </w:rPr>
        <w:t>Annex.</w:t>
      </w:r>
      <w:r w:rsidR="00A5449B">
        <w:rPr>
          <w:rFonts w:ascii="Arial Narrow" w:hAnsi="Arial Narrow"/>
          <w:b/>
          <w:color w:val="F79646" w:themeColor="accent6"/>
          <w:sz w:val="24"/>
          <w:szCs w:val="24"/>
          <w:u w:val="single"/>
        </w:rPr>
        <w:t>II</w:t>
      </w:r>
      <w:proofErr w:type="spellEnd"/>
      <w:r w:rsidR="00A5449B">
        <w:rPr>
          <w:rFonts w:ascii="Arial Narrow" w:hAnsi="Arial Narrow"/>
          <w:b/>
          <w:color w:val="F79646" w:themeColor="accent6"/>
          <w:sz w:val="24"/>
          <w:szCs w:val="24"/>
          <w:u w:val="single"/>
        </w:rPr>
        <w:t xml:space="preserve"> - </w:t>
      </w:r>
      <w:r w:rsidR="00A5449B" w:rsidRPr="005A20DF">
        <w:rPr>
          <w:rFonts w:ascii="Arial Narrow" w:hAnsi="Arial Narrow"/>
          <w:b/>
          <w:color w:val="F79646" w:themeColor="accent6"/>
          <w:sz w:val="24"/>
          <w:szCs w:val="24"/>
          <w:u w:val="single"/>
        </w:rPr>
        <w:t>Summary of relevant and CRC concluding observations</w:t>
      </w:r>
      <w:r w:rsidR="00A5449B">
        <w:rPr>
          <w:color w:val="1F497D" w:themeColor="text2"/>
        </w:rPr>
        <w:t xml:space="preserve"> </w:t>
      </w:r>
    </w:p>
    <w:p w:rsidR="00A5449B" w:rsidRPr="00383D7C" w:rsidRDefault="00A5449B" w:rsidP="00A5449B">
      <w:pPr>
        <w:spacing w:after="0" w:line="240" w:lineRule="auto"/>
        <w:jc w:val="both"/>
        <w:rPr>
          <w:rFonts w:ascii="Arial Narrow" w:hAnsi="Arial Narrow"/>
          <w:b/>
          <w:color w:val="F79646" w:themeColor="accent6"/>
          <w:sz w:val="18"/>
          <w:szCs w:val="18"/>
        </w:rPr>
      </w:pPr>
      <w:r w:rsidRPr="00383D7C">
        <w:rPr>
          <w:color w:val="1F497D" w:themeColor="text2"/>
          <w:sz w:val="18"/>
          <w:szCs w:val="18"/>
        </w:rPr>
        <w:t>In September 2012 concerns with respect to the definition of a child and the situation of children leaving care were raised again and presented in the Concluding Observations of the Committee on the Rights of the Child.</w:t>
      </w:r>
      <w:r w:rsidRPr="00383D7C">
        <w:rPr>
          <w:rFonts w:ascii="Arial Narrow" w:hAnsi="Arial Narrow"/>
          <w:b/>
          <w:color w:val="F79646" w:themeColor="accent6"/>
          <w:sz w:val="18"/>
          <w:szCs w:val="18"/>
        </w:rPr>
        <w:t xml:space="preserve"> </w:t>
      </w:r>
      <w:r w:rsidRPr="00383D7C">
        <w:rPr>
          <w:color w:val="1F497D" w:themeColor="text2"/>
          <w:sz w:val="18"/>
          <w:szCs w:val="18"/>
        </w:rPr>
        <w:t>The CRC noted its specific concern regarding the fact that “</w:t>
      </w:r>
      <w:r w:rsidRPr="00383D7C">
        <w:rPr>
          <w:i/>
          <w:color w:val="1F497D" w:themeColor="text2"/>
          <w:sz w:val="18"/>
          <w:szCs w:val="18"/>
        </w:rPr>
        <w:t>children deprived of a family environment have to leave care institutions at the age of 15 and are left without any protection and financial support by the State party</w:t>
      </w:r>
      <w:r w:rsidRPr="00383D7C">
        <w:rPr>
          <w:color w:val="1F497D" w:themeColor="text2"/>
          <w:sz w:val="18"/>
          <w:szCs w:val="18"/>
        </w:rPr>
        <w:t>” (para.25) and urged the state party to:</w:t>
      </w:r>
    </w:p>
    <w:p w:rsidR="00A5449B" w:rsidRPr="00383D7C" w:rsidRDefault="00A5449B" w:rsidP="00A5449B">
      <w:pPr>
        <w:spacing w:after="0" w:line="240" w:lineRule="auto"/>
        <w:jc w:val="both"/>
        <w:rPr>
          <w:color w:val="1F497D" w:themeColor="text2"/>
          <w:sz w:val="18"/>
          <w:szCs w:val="18"/>
        </w:rPr>
      </w:pPr>
    </w:p>
    <w:p w:rsidR="00A5449B" w:rsidRPr="00383D7C" w:rsidRDefault="00A5449B" w:rsidP="00A5449B">
      <w:pPr>
        <w:pStyle w:val="Default"/>
        <w:ind w:left="708" w:right="864"/>
        <w:jc w:val="both"/>
        <w:rPr>
          <w:rFonts w:asciiTheme="minorHAnsi" w:hAnsiTheme="minorHAnsi" w:cstheme="minorBidi"/>
          <w:color w:val="1F497D" w:themeColor="text2"/>
          <w:sz w:val="18"/>
          <w:szCs w:val="18"/>
        </w:rPr>
      </w:pPr>
      <w:r w:rsidRPr="00383D7C">
        <w:rPr>
          <w:rFonts w:asciiTheme="minorHAnsi" w:hAnsiTheme="minorHAnsi" w:cstheme="minorBidi"/>
          <w:i/>
          <w:color w:val="1F497D" w:themeColor="text2"/>
          <w:sz w:val="18"/>
          <w:szCs w:val="18"/>
        </w:rPr>
        <w:t>“</w:t>
      </w:r>
      <w:proofErr w:type="gramStart"/>
      <w:r w:rsidRPr="00383D7C">
        <w:rPr>
          <w:rFonts w:asciiTheme="minorHAnsi" w:hAnsiTheme="minorHAnsi" w:cstheme="minorBidi"/>
          <w:i/>
          <w:color w:val="1F497D" w:themeColor="text2"/>
          <w:sz w:val="18"/>
          <w:szCs w:val="18"/>
        </w:rPr>
        <w:t>take</w:t>
      </w:r>
      <w:proofErr w:type="gramEnd"/>
      <w:r w:rsidRPr="00383D7C">
        <w:rPr>
          <w:rFonts w:asciiTheme="minorHAnsi" w:hAnsiTheme="minorHAnsi" w:cstheme="minorBidi"/>
          <w:i/>
          <w:color w:val="1F497D" w:themeColor="text2"/>
          <w:sz w:val="18"/>
          <w:szCs w:val="18"/>
        </w:rPr>
        <w:t xml:space="preserve"> all necessary measures to clarify the definition of the child in Albania and to review existing legislation to ensure that all children up to the age of 18 years of age receive the protection they need as provided for in the Convention. In that regard the Committee urges the State party to modify articles 100 and 101 of its Criminal Code. The Committee also urges the State party to take urgent measures to ensure that children above 15 years who are deprived of a family environment fully enjoy their rights under the Convention and are provided with necessary care, protection, housing and support, including financial support.”</w:t>
      </w:r>
      <w:r w:rsidRPr="00383D7C">
        <w:rPr>
          <w:rFonts w:asciiTheme="minorHAnsi" w:hAnsiTheme="minorHAnsi" w:cstheme="minorBidi"/>
          <w:color w:val="1F497D" w:themeColor="text2"/>
          <w:sz w:val="18"/>
          <w:szCs w:val="18"/>
        </w:rPr>
        <w:t xml:space="preserve"> (para.26)</w:t>
      </w:r>
    </w:p>
    <w:p w:rsidR="00A5449B" w:rsidRPr="00383D7C" w:rsidRDefault="00A5449B" w:rsidP="00A5449B">
      <w:pPr>
        <w:pStyle w:val="Default"/>
        <w:ind w:right="864"/>
        <w:jc w:val="both"/>
        <w:rPr>
          <w:rFonts w:asciiTheme="minorHAnsi" w:hAnsiTheme="minorHAnsi" w:cstheme="minorBidi"/>
          <w:color w:val="1F497D" w:themeColor="text2"/>
          <w:sz w:val="18"/>
          <w:szCs w:val="18"/>
        </w:rPr>
      </w:pPr>
    </w:p>
    <w:p w:rsidR="00A5449B" w:rsidRPr="00383D7C" w:rsidRDefault="00A5449B" w:rsidP="00A5449B">
      <w:pPr>
        <w:pStyle w:val="Default"/>
        <w:jc w:val="both"/>
        <w:rPr>
          <w:rFonts w:asciiTheme="minorHAnsi" w:hAnsiTheme="minorHAnsi" w:cstheme="minorBidi"/>
          <w:color w:val="1F497D" w:themeColor="text2"/>
          <w:sz w:val="18"/>
          <w:szCs w:val="18"/>
        </w:rPr>
      </w:pPr>
      <w:r w:rsidRPr="00383D7C">
        <w:rPr>
          <w:rFonts w:asciiTheme="minorHAnsi" w:hAnsiTheme="minorHAnsi" w:cstheme="minorBidi"/>
          <w:color w:val="1F497D" w:themeColor="text2"/>
          <w:sz w:val="18"/>
          <w:szCs w:val="18"/>
        </w:rPr>
        <w:t>Furthermore, CRC noted the need for appropriate social services and the need to abide by commitments made in the UPR and specifically, with respect to comments made about the “lack of clarity” in various areas regarding various age limits with respect to the definition of the child (para.25), noted the need to extend the age of leaving care from 15 to 18 years of age. (para.55e)</w:t>
      </w:r>
    </w:p>
    <w:p w:rsidR="00A5449B" w:rsidRPr="00383D7C" w:rsidRDefault="00A5449B" w:rsidP="00A5449B">
      <w:pPr>
        <w:spacing w:after="0" w:line="240" w:lineRule="auto"/>
        <w:jc w:val="both"/>
        <w:rPr>
          <w:color w:val="1F497D" w:themeColor="text2"/>
          <w:sz w:val="18"/>
          <w:szCs w:val="18"/>
        </w:rPr>
      </w:pPr>
    </w:p>
    <w:p w:rsidR="00471BD1" w:rsidRDefault="006C2668" w:rsidP="006C2668">
      <w:pPr>
        <w:spacing w:after="0" w:line="240" w:lineRule="auto"/>
        <w:jc w:val="both"/>
        <w:rPr>
          <w:rFonts w:ascii="Arial Narrow" w:hAnsi="Arial Narrow"/>
          <w:b/>
          <w:color w:val="F79646" w:themeColor="accent6"/>
          <w:sz w:val="24"/>
          <w:szCs w:val="24"/>
          <w:u w:val="single"/>
        </w:rPr>
      </w:pPr>
      <w:proofErr w:type="spellStart"/>
      <w:r>
        <w:rPr>
          <w:rFonts w:ascii="Arial Narrow" w:hAnsi="Arial Narrow"/>
          <w:b/>
          <w:color w:val="F79646" w:themeColor="accent6"/>
          <w:sz w:val="24"/>
          <w:szCs w:val="24"/>
          <w:u w:val="single"/>
        </w:rPr>
        <w:t>Annex.III</w:t>
      </w:r>
      <w:proofErr w:type="spellEnd"/>
      <w:r>
        <w:rPr>
          <w:rFonts w:ascii="Arial Narrow" w:hAnsi="Arial Narrow"/>
          <w:b/>
          <w:color w:val="F79646" w:themeColor="accent6"/>
          <w:sz w:val="24"/>
          <w:szCs w:val="24"/>
          <w:u w:val="single"/>
        </w:rPr>
        <w:t xml:space="preserve"> – UN Guidelines for the Alternative Care of Children (paras.131-136</w:t>
      </w:r>
      <w:r w:rsidR="00550ADF">
        <w:rPr>
          <w:rFonts w:ascii="Arial Narrow" w:hAnsi="Arial Narrow"/>
          <w:b/>
          <w:color w:val="F79646" w:themeColor="accent6"/>
          <w:sz w:val="24"/>
          <w:szCs w:val="24"/>
          <w:u w:val="single"/>
        </w:rPr>
        <w:t xml:space="preserve"> – full text</w:t>
      </w:r>
      <w:r>
        <w:rPr>
          <w:rFonts w:ascii="Arial Narrow" w:hAnsi="Arial Narrow"/>
          <w:b/>
          <w:color w:val="F79646" w:themeColor="accent6"/>
          <w:sz w:val="24"/>
          <w:szCs w:val="24"/>
          <w:u w:val="single"/>
        </w:rPr>
        <w:t>)</w:t>
      </w:r>
    </w:p>
    <w:p w:rsidR="00550ADF" w:rsidRDefault="00550ADF" w:rsidP="006C2668">
      <w:pPr>
        <w:spacing w:after="0" w:line="240" w:lineRule="auto"/>
        <w:jc w:val="both"/>
        <w:rPr>
          <w:rFonts w:ascii="Arial Narrow" w:hAnsi="Arial Narrow"/>
          <w:b/>
          <w:color w:val="F79646" w:themeColor="accent6"/>
          <w:sz w:val="24"/>
          <w:szCs w:val="24"/>
          <w:u w:val="single"/>
        </w:rPr>
      </w:pPr>
    </w:p>
    <w:p w:rsidR="00550ADF" w:rsidRPr="00383D7C" w:rsidRDefault="00550ADF" w:rsidP="00550ADF">
      <w:pPr>
        <w:spacing w:after="0" w:line="240" w:lineRule="auto"/>
        <w:jc w:val="both"/>
        <w:rPr>
          <w:b/>
          <w:bCs/>
          <w:color w:val="1F497D" w:themeColor="text2"/>
          <w:sz w:val="18"/>
          <w:szCs w:val="18"/>
        </w:rPr>
      </w:pPr>
      <w:r w:rsidRPr="00383D7C">
        <w:rPr>
          <w:b/>
          <w:bCs/>
          <w:color w:val="1F497D" w:themeColor="text2"/>
          <w:sz w:val="18"/>
          <w:szCs w:val="18"/>
        </w:rPr>
        <w:t>VII. Provision of alternative care</w:t>
      </w:r>
    </w:p>
    <w:p w:rsidR="00550ADF" w:rsidRPr="00383D7C" w:rsidRDefault="00550ADF" w:rsidP="00550ADF">
      <w:pPr>
        <w:spacing w:after="0" w:line="240" w:lineRule="auto"/>
        <w:jc w:val="both"/>
        <w:rPr>
          <w:b/>
          <w:bCs/>
          <w:color w:val="1F497D" w:themeColor="text2"/>
          <w:sz w:val="18"/>
          <w:szCs w:val="18"/>
        </w:rPr>
      </w:pPr>
      <w:r w:rsidRPr="00383D7C">
        <w:rPr>
          <w:b/>
          <w:bCs/>
          <w:color w:val="1F497D" w:themeColor="text2"/>
          <w:sz w:val="18"/>
          <w:szCs w:val="18"/>
        </w:rPr>
        <w:t>E. Support for aftercare</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131. Agencies and facilities should have a clear policy and should carry out agreed procedures relating to the planned and unplanned conclusion of their work with children to ensure appropriate aftercare and/or follow-up. Throughout the period of care, they should systematically aim at preparing children to assume self-reliance and to integrate fully in the community, notably through the acquisition of social and life skills, which are fostered by participation in the life of the local community.</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132. The process of transition from care to aftercare should take into consideration children’s gender, age, maturity and particular circumstances and include counselling and support, notably to avoid exploitation. Children leaving care should be encouraged to take part in the planning of aftercare life. Children with special needs, such as disabilities, should benefit from an appropriate support system, ensuring, inter alia, avoidance of unnecessary institutionalization. Both the public and the private sectors should be encouraged, including through incentives, to employ children from different care services, particularly children with special needs.</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133. Special efforts should be made to allocate to each child, whenever possible, a specialized person who can facilitate his/her independence when leaving care.</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134. Aftercare should be prepared as early as possible in the placement and, in any case, well before the child leaves the care setting.</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 xml:space="preserve">135. </w:t>
      </w:r>
      <w:proofErr w:type="spellStart"/>
      <w:r w:rsidRPr="00383D7C">
        <w:rPr>
          <w:color w:val="1F497D" w:themeColor="text2"/>
          <w:sz w:val="18"/>
          <w:szCs w:val="18"/>
        </w:rPr>
        <w:t>Ongoing</w:t>
      </w:r>
      <w:proofErr w:type="spellEnd"/>
      <w:r w:rsidRPr="00383D7C">
        <w:rPr>
          <w:color w:val="1F497D" w:themeColor="text2"/>
          <w:sz w:val="18"/>
          <w:szCs w:val="18"/>
        </w:rPr>
        <w:t xml:space="preserve"> educational and vocational training opportunities should be imparted as part of life skills education to young people leaving care in order to help them to become financially independent and generate their own income.</w:t>
      </w:r>
    </w:p>
    <w:p w:rsidR="00550ADF" w:rsidRPr="00383D7C" w:rsidRDefault="00550ADF" w:rsidP="00550ADF">
      <w:pPr>
        <w:spacing w:after="0" w:line="240" w:lineRule="auto"/>
        <w:jc w:val="both"/>
        <w:rPr>
          <w:color w:val="1F497D" w:themeColor="text2"/>
          <w:sz w:val="18"/>
          <w:szCs w:val="18"/>
        </w:rPr>
      </w:pPr>
    </w:p>
    <w:p w:rsidR="00550ADF" w:rsidRPr="00383D7C" w:rsidRDefault="00550ADF" w:rsidP="00550ADF">
      <w:pPr>
        <w:spacing w:after="0" w:line="240" w:lineRule="auto"/>
        <w:jc w:val="both"/>
        <w:rPr>
          <w:color w:val="1F497D" w:themeColor="text2"/>
          <w:sz w:val="18"/>
          <w:szCs w:val="18"/>
        </w:rPr>
      </w:pPr>
      <w:r w:rsidRPr="00383D7C">
        <w:rPr>
          <w:color w:val="1F497D" w:themeColor="text2"/>
          <w:sz w:val="18"/>
          <w:szCs w:val="18"/>
        </w:rPr>
        <w:t>136. Access to social, legal and health services, together with appropriate financial support, should also be provided to young people leaving care and during aftercare.</w:t>
      </w:r>
    </w:p>
    <w:sectPr w:rsidR="00550ADF" w:rsidRPr="00383D7C" w:rsidSect="00383655">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D45" w:rsidRDefault="00AB3D45" w:rsidP="001F38AF">
      <w:pPr>
        <w:spacing w:after="0" w:line="240" w:lineRule="auto"/>
      </w:pPr>
      <w:r>
        <w:separator/>
      </w:r>
    </w:p>
  </w:endnote>
  <w:endnote w:type="continuationSeparator" w:id="0">
    <w:p w:rsidR="00AB3D45" w:rsidRDefault="00AB3D45" w:rsidP="001F3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0950523"/>
      <w:docPartObj>
        <w:docPartGallery w:val="Page Numbers (Bottom of Page)"/>
        <w:docPartUnique/>
      </w:docPartObj>
    </w:sdtPr>
    <w:sdtEndPr/>
    <w:sdtContent>
      <w:p w:rsidR="00383655" w:rsidRDefault="00383655">
        <w:pPr>
          <w:pStyle w:val="Footer"/>
          <w:jc w:val="right"/>
        </w:pPr>
        <w:r>
          <w:fldChar w:fldCharType="begin"/>
        </w:r>
        <w:r>
          <w:instrText>PAGE   \* MERGEFORMAT</w:instrText>
        </w:r>
        <w:r>
          <w:fldChar w:fldCharType="separate"/>
        </w:r>
        <w:r w:rsidR="003D6371" w:rsidRPr="003D6371">
          <w:rPr>
            <w:noProof/>
            <w:lang w:val="fr-FR"/>
          </w:rPr>
          <w:t>1</w:t>
        </w:r>
        <w:r>
          <w:fldChar w:fldCharType="end"/>
        </w:r>
      </w:p>
    </w:sdtContent>
  </w:sdt>
  <w:p w:rsidR="00383655" w:rsidRDefault="003836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D45" w:rsidRDefault="00AB3D45" w:rsidP="001F38AF">
      <w:pPr>
        <w:spacing w:after="0" w:line="240" w:lineRule="auto"/>
      </w:pPr>
      <w:r>
        <w:separator/>
      </w:r>
    </w:p>
  </w:footnote>
  <w:footnote w:type="continuationSeparator" w:id="0">
    <w:p w:rsidR="00AB3D45" w:rsidRDefault="00AB3D45" w:rsidP="001F38AF">
      <w:pPr>
        <w:spacing w:after="0" w:line="240" w:lineRule="auto"/>
      </w:pPr>
      <w:r>
        <w:continuationSeparator/>
      </w:r>
    </w:p>
  </w:footnote>
  <w:footnote w:id="1">
    <w:p w:rsidR="00550ADF" w:rsidRPr="00550ADF" w:rsidRDefault="00550ADF">
      <w:pPr>
        <w:pStyle w:val="FootnoteText"/>
        <w:rPr>
          <w:sz w:val="16"/>
          <w:szCs w:val="16"/>
        </w:rPr>
      </w:pPr>
      <w:r w:rsidRPr="00550ADF">
        <w:rPr>
          <w:rStyle w:val="FootnoteReference"/>
          <w:sz w:val="16"/>
          <w:szCs w:val="16"/>
        </w:rPr>
        <w:footnoteRef/>
      </w:r>
      <w:r w:rsidRPr="00550ADF">
        <w:rPr>
          <w:sz w:val="16"/>
          <w:szCs w:val="16"/>
        </w:rPr>
        <w:t xml:space="preserve"> </w:t>
      </w:r>
      <w:r>
        <w:rPr>
          <w:sz w:val="16"/>
          <w:szCs w:val="16"/>
        </w:rPr>
        <w:t xml:space="preserve">  </w:t>
      </w:r>
      <w:r w:rsidRPr="00550ADF">
        <w:rPr>
          <w:sz w:val="16"/>
          <w:szCs w:val="16"/>
        </w:rPr>
        <w:t>This country briefing should be read in conjunction with the general briefing note on the Guidelines presented to CESCR</w:t>
      </w:r>
      <w:r>
        <w:rPr>
          <w:sz w:val="16"/>
          <w:szCs w:val="16"/>
        </w:rPr>
        <w:t>.</w:t>
      </w:r>
    </w:p>
  </w:footnote>
  <w:footnote w:id="2">
    <w:p w:rsidR="00383655" w:rsidRPr="001E7495" w:rsidRDefault="00383655">
      <w:pPr>
        <w:pStyle w:val="FootnoteText"/>
        <w:rPr>
          <w:sz w:val="16"/>
          <w:szCs w:val="16"/>
        </w:rPr>
      </w:pPr>
      <w:r w:rsidRPr="001E7495">
        <w:rPr>
          <w:rStyle w:val="FootnoteReference"/>
          <w:sz w:val="16"/>
          <w:szCs w:val="16"/>
          <w:lang w:val="fr-CH"/>
        </w:rPr>
        <w:footnoteRef/>
      </w:r>
      <w:r w:rsidRPr="001E7495">
        <w:rPr>
          <w:sz w:val="16"/>
          <w:szCs w:val="16"/>
        </w:rPr>
        <w:t xml:space="preserve">   Albanian NGO coalition stakeholder submission to UPR of Albania</w:t>
      </w:r>
    </w:p>
    <w:p w:rsidR="00383655" w:rsidRPr="001E7495" w:rsidRDefault="00383655">
      <w:pPr>
        <w:pStyle w:val="FootnoteText"/>
        <w:rPr>
          <w:sz w:val="16"/>
          <w:szCs w:val="16"/>
        </w:rPr>
      </w:pPr>
      <w:r w:rsidRPr="00DF1CE3">
        <w:rPr>
          <w:rStyle w:val="Hyperlink"/>
          <w:sz w:val="16"/>
          <w:szCs w:val="16"/>
        </w:rPr>
        <w:t>http://lib.ohchr.org/HRBodies/UPR/Documents/Session6/AL/ATACT_ALB_UPR_S06_2009.pdf</w:t>
      </w:r>
    </w:p>
  </w:footnote>
  <w:footnote w:id="3">
    <w:p w:rsidR="00383655" w:rsidRPr="001E7495" w:rsidRDefault="00383655">
      <w:pPr>
        <w:pStyle w:val="FootnoteText"/>
        <w:rPr>
          <w:sz w:val="16"/>
          <w:szCs w:val="16"/>
        </w:rPr>
      </w:pPr>
      <w:r w:rsidRPr="001E7495">
        <w:rPr>
          <w:rStyle w:val="FootnoteReference"/>
          <w:sz w:val="16"/>
          <w:szCs w:val="16"/>
          <w:lang w:val="fr-CH"/>
        </w:rPr>
        <w:footnoteRef/>
      </w:r>
      <w:r w:rsidRPr="00DF1CE3">
        <w:rPr>
          <w:rStyle w:val="FootnoteReference"/>
          <w:sz w:val="16"/>
          <w:szCs w:val="16"/>
        </w:rPr>
        <w:t xml:space="preserve"> </w:t>
      </w:r>
      <w:r w:rsidRPr="001E7495">
        <w:rPr>
          <w:sz w:val="16"/>
          <w:szCs w:val="16"/>
        </w:rPr>
        <w:t>Amnesty International stakeholder submission to UPR of Albania</w:t>
      </w:r>
    </w:p>
    <w:p w:rsidR="00383655" w:rsidRPr="001E7495" w:rsidRDefault="00383655">
      <w:pPr>
        <w:pStyle w:val="FootnoteText"/>
        <w:rPr>
          <w:sz w:val="16"/>
          <w:szCs w:val="16"/>
        </w:rPr>
      </w:pPr>
      <w:r w:rsidRPr="00DF1CE3">
        <w:rPr>
          <w:rStyle w:val="Hyperlink"/>
          <w:sz w:val="16"/>
          <w:szCs w:val="16"/>
        </w:rPr>
        <w:t>http://lib.ohchr.org/HRBodies/UPR/Documents/Session6/AL/AI_ALB_UPR_S06_2009.pdf</w:t>
      </w:r>
    </w:p>
  </w:footnote>
  <w:footnote w:id="4">
    <w:p w:rsidR="00383655" w:rsidRPr="001E7495" w:rsidRDefault="00383655">
      <w:pPr>
        <w:pStyle w:val="FootnoteText"/>
        <w:rPr>
          <w:sz w:val="16"/>
          <w:szCs w:val="16"/>
        </w:rPr>
      </w:pPr>
      <w:r w:rsidRPr="001E7495">
        <w:rPr>
          <w:rStyle w:val="FootnoteReference"/>
          <w:sz w:val="16"/>
          <w:szCs w:val="16"/>
        </w:rPr>
        <w:footnoteRef/>
      </w:r>
      <w:r w:rsidRPr="001E7495">
        <w:rPr>
          <w:sz w:val="16"/>
          <w:szCs w:val="16"/>
        </w:rPr>
        <w:t xml:space="preserve"> Albanian Children’s Alliance submission to UNCRC available at</w:t>
      </w:r>
    </w:p>
    <w:p w:rsidR="00383655" w:rsidRPr="00DF1CE3" w:rsidRDefault="00383655">
      <w:pPr>
        <w:pStyle w:val="FootnoteText"/>
        <w:rPr>
          <w:color w:val="0000FF" w:themeColor="hyperlink"/>
          <w:sz w:val="16"/>
          <w:szCs w:val="16"/>
          <w:u w:val="single"/>
        </w:rPr>
      </w:pPr>
      <w:r w:rsidRPr="00DF1CE3">
        <w:rPr>
          <w:rStyle w:val="Hyperlink"/>
          <w:sz w:val="16"/>
          <w:szCs w:val="16"/>
        </w:rPr>
        <w:t>http://www2.ohchr.org/english/bodies/crc/crcs61.htm</w:t>
      </w:r>
    </w:p>
  </w:footnote>
  <w:footnote w:id="5">
    <w:p w:rsidR="00383655" w:rsidRPr="001E7495" w:rsidRDefault="00383655">
      <w:pPr>
        <w:pStyle w:val="FootnoteText"/>
        <w:rPr>
          <w:sz w:val="16"/>
          <w:szCs w:val="16"/>
        </w:rPr>
      </w:pPr>
      <w:r w:rsidRPr="001E7495">
        <w:rPr>
          <w:rStyle w:val="FootnoteReference"/>
          <w:sz w:val="16"/>
          <w:szCs w:val="16"/>
        </w:rPr>
        <w:footnoteRef/>
      </w:r>
      <w:r w:rsidRPr="001E7495">
        <w:rPr>
          <w:sz w:val="16"/>
          <w:szCs w:val="16"/>
        </w:rPr>
        <w:t xml:space="preserve"> addendum to Albanian Children’s Alliance submission to UNCRC</w:t>
      </w:r>
    </w:p>
    <w:p w:rsidR="00383655" w:rsidRPr="001E7495" w:rsidRDefault="00383655">
      <w:pPr>
        <w:pStyle w:val="FootnoteText"/>
        <w:rPr>
          <w:sz w:val="16"/>
          <w:szCs w:val="16"/>
        </w:rPr>
      </w:pPr>
      <w:r w:rsidRPr="00DF1CE3">
        <w:rPr>
          <w:rStyle w:val="Hyperlink"/>
          <w:sz w:val="16"/>
          <w:szCs w:val="16"/>
        </w:rPr>
        <w:t>http://www2.ohchr.org/english/bodies/crc/docs/ngos/Albania_AlbaniaChildrensAlliance_AddendumCRC61.pdf</w:t>
      </w:r>
    </w:p>
  </w:footnote>
  <w:footnote w:id="6">
    <w:p w:rsidR="00383655" w:rsidRPr="001E7495" w:rsidRDefault="00383655" w:rsidP="00ED57A7">
      <w:pPr>
        <w:pStyle w:val="FootnoteText"/>
        <w:rPr>
          <w:sz w:val="16"/>
          <w:szCs w:val="16"/>
        </w:rPr>
      </w:pPr>
      <w:r w:rsidRPr="001E7495">
        <w:rPr>
          <w:rStyle w:val="FootnoteReference"/>
          <w:sz w:val="16"/>
          <w:szCs w:val="16"/>
        </w:rPr>
        <w:footnoteRef/>
      </w:r>
      <w:r w:rsidRPr="001E7495">
        <w:rPr>
          <w:sz w:val="16"/>
          <w:szCs w:val="16"/>
        </w:rPr>
        <w:t xml:space="preserve"> CRC Concluding Observations to Albania 61st Session – September-October 2012</w:t>
      </w:r>
    </w:p>
    <w:p w:rsidR="00383655" w:rsidRPr="0049381B" w:rsidRDefault="003D6371" w:rsidP="00ED57A7">
      <w:pPr>
        <w:pStyle w:val="FootnoteText"/>
        <w:rPr>
          <w:sz w:val="16"/>
          <w:szCs w:val="16"/>
        </w:rPr>
      </w:pPr>
      <w:hyperlink r:id="rId1" w:history="1">
        <w:r w:rsidR="00383655" w:rsidRPr="001E7495">
          <w:rPr>
            <w:rStyle w:val="Hyperlink"/>
            <w:sz w:val="16"/>
            <w:szCs w:val="16"/>
          </w:rPr>
          <w:t>http://www2.ohchr.org/english/bodies/crc/docs/co/CRC-C-ALB-CO-2-4_en.pdf</w:t>
        </w:r>
      </w:hyperlink>
      <w:r w:rsidR="00383655" w:rsidRPr="001E7495">
        <w:rPr>
          <w:sz w:val="16"/>
          <w:szCs w:val="16"/>
        </w:rPr>
        <w:t xml:space="preserve"> </w:t>
      </w:r>
    </w:p>
  </w:footnote>
  <w:footnote w:id="7">
    <w:p w:rsidR="0049381B" w:rsidRPr="0049381B" w:rsidRDefault="0049381B">
      <w:pPr>
        <w:pStyle w:val="FootnoteText"/>
        <w:rPr>
          <w:sz w:val="16"/>
          <w:szCs w:val="16"/>
        </w:rPr>
      </w:pPr>
      <w:r w:rsidRPr="0049381B">
        <w:rPr>
          <w:rStyle w:val="FootnoteReference"/>
          <w:sz w:val="16"/>
          <w:szCs w:val="16"/>
        </w:rPr>
        <w:footnoteRef/>
      </w:r>
      <w:r w:rsidRPr="0049381B">
        <w:rPr>
          <w:rStyle w:val="FootnoteReference"/>
          <w:sz w:val="16"/>
          <w:szCs w:val="16"/>
        </w:rPr>
        <w:t xml:space="preserve"> </w:t>
      </w:r>
      <w:r w:rsidRPr="0049381B">
        <w:rPr>
          <w:sz w:val="16"/>
          <w:szCs w:val="16"/>
        </w:rPr>
        <w:t>Guidelines for the Alternative Care of Children (A/RES/64/142)</w:t>
      </w:r>
    </w:p>
    <w:p w:rsidR="0049381B" w:rsidRDefault="0049381B">
      <w:pPr>
        <w:pStyle w:val="FootnoteText"/>
      </w:pPr>
      <w:r w:rsidRPr="0049381B">
        <w:rPr>
          <w:rStyle w:val="Hyperlink"/>
          <w:sz w:val="16"/>
          <w:szCs w:val="16"/>
        </w:rPr>
        <w:t>http://daccess-dds-ny.un.org/doc/UNDOC/GEN/N09/470/35/PDF/N0947035.pdf?OpenElement</w:t>
      </w:r>
    </w:p>
  </w:footnote>
  <w:footnote w:id="8">
    <w:p w:rsidR="00383655" w:rsidRPr="001E7495" w:rsidRDefault="00383655">
      <w:pPr>
        <w:pStyle w:val="FootnoteText"/>
        <w:rPr>
          <w:rStyle w:val="Hyperlink"/>
          <w:sz w:val="16"/>
          <w:szCs w:val="16"/>
        </w:rPr>
      </w:pPr>
      <w:r w:rsidRPr="001E7495">
        <w:rPr>
          <w:rStyle w:val="FootnoteReference"/>
          <w:sz w:val="16"/>
          <w:szCs w:val="16"/>
        </w:rPr>
        <w:footnoteRef/>
      </w:r>
      <w:r w:rsidRPr="001E7495">
        <w:rPr>
          <w:rStyle w:val="FootnoteReference"/>
          <w:sz w:val="16"/>
          <w:szCs w:val="16"/>
        </w:rPr>
        <w:t xml:space="preserve"> CESCR GC4 at</w:t>
      </w:r>
      <w:r w:rsidRPr="001E7495">
        <w:rPr>
          <w:sz w:val="16"/>
          <w:szCs w:val="16"/>
        </w:rPr>
        <w:t xml:space="preserve"> </w:t>
      </w:r>
      <w:r w:rsidRPr="001E7495">
        <w:rPr>
          <w:rStyle w:val="Hyperlink"/>
          <w:sz w:val="16"/>
          <w:szCs w:val="16"/>
        </w:rPr>
        <w:t>http://www.unhchr.ch/tbs/doc.nsf/(Symbol)/469f4d91a9378221c12563ed0053547e?Opendocument</w:t>
      </w:r>
    </w:p>
  </w:footnote>
  <w:footnote w:id="9">
    <w:p w:rsidR="00383D7C" w:rsidRPr="00383D7C" w:rsidRDefault="00352F1E">
      <w:pPr>
        <w:pStyle w:val="FootnoteText"/>
        <w:rPr>
          <w:sz w:val="16"/>
          <w:szCs w:val="16"/>
        </w:rPr>
      </w:pPr>
      <w:r w:rsidRPr="00383D7C">
        <w:rPr>
          <w:rStyle w:val="FootnoteReference"/>
          <w:sz w:val="16"/>
          <w:szCs w:val="16"/>
        </w:rPr>
        <w:footnoteRef/>
      </w:r>
      <w:r w:rsidRPr="00383D7C">
        <w:rPr>
          <w:sz w:val="16"/>
          <w:szCs w:val="16"/>
        </w:rPr>
        <w:t xml:space="preserve"> It is noted in the SOS Children’s Village International publication “Ageing out of Care” that reliable data on this population is an issue. Estimates in this publication indicate that of the almost 700 children in care at the end of 2009 approximately 100 were between 16-25 years (p.10) – downloadable </w:t>
      </w:r>
      <w:r w:rsidR="00383D7C" w:rsidRPr="00383D7C">
        <w:rPr>
          <w:sz w:val="16"/>
          <w:szCs w:val="16"/>
        </w:rPr>
        <w:t xml:space="preserve">- </w:t>
      </w:r>
      <w:hyperlink r:id="rId2" w:history="1">
        <w:r w:rsidR="00383D7C" w:rsidRPr="00AE657F">
          <w:rPr>
            <w:rStyle w:val="Hyperlink"/>
            <w:sz w:val="16"/>
            <w:szCs w:val="16"/>
          </w:rPr>
          <w:t>http://www.sos-childrensvillages.org/about-us/publications/pages/ageing-out-of-care-international-analysis.aspx</w:t>
        </w:r>
      </w:hyperlink>
    </w:p>
  </w:footnote>
  <w:footnote w:id="10">
    <w:p w:rsidR="00A5449B" w:rsidRPr="001E7495" w:rsidRDefault="00A5449B" w:rsidP="00A5449B">
      <w:pPr>
        <w:pStyle w:val="FootnoteText"/>
        <w:rPr>
          <w:sz w:val="16"/>
          <w:szCs w:val="16"/>
        </w:rPr>
      </w:pPr>
      <w:r w:rsidRPr="001E7495">
        <w:rPr>
          <w:rStyle w:val="FootnoteReference"/>
          <w:sz w:val="16"/>
          <w:szCs w:val="16"/>
        </w:rPr>
        <w:footnoteRef/>
      </w:r>
      <w:r w:rsidRPr="001E7495">
        <w:rPr>
          <w:sz w:val="16"/>
          <w:szCs w:val="16"/>
        </w:rPr>
        <w:t xml:space="preserve"> Report of the Working Group on the Universal Periodic Review of Albania (A/HRC/13/6)</w:t>
      </w:r>
    </w:p>
    <w:p w:rsidR="00A5449B" w:rsidRPr="001E7495" w:rsidRDefault="00A5449B" w:rsidP="00A5449B">
      <w:pPr>
        <w:pStyle w:val="FootnoteText"/>
        <w:rPr>
          <w:sz w:val="16"/>
          <w:szCs w:val="16"/>
        </w:rPr>
      </w:pPr>
      <w:r w:rsidRPr="001E7495">
        <w:rPr>
          <w:rStyle w:val="Hyperlink"/>
          <w:sz w:val="16"/>
          <w:szCs w:val="16"/>
        </w:rPr>
        <w:t>http://daccess-dds-ny.un.org/doc/UNDOC/GEN/G10/100/84/PDF/G1010084.pdf?OpenElement</w:t>
      </w:r>
    </w:p>
  </w:footnote>
  <w:footnote w:id="11">
    <w:p w:rsidR="00A5449B" w:rsidRPr="001E7495" w:rsidRDefault="00A5449B" w:rsidP="00A5449B">
      <w:pPr>
        <w:pStyle w:val="FootnoteText"/>
        <w:rPr>
          <w:sz w:val="16"/>
          <w:szCs w:val="16"/>
        </w:rPr>
      </w:pPr>
      <w:r w:rsidRPr="001E7495">
        <w:rPr>
          <w:rStyle w:val="FootnoteReference"/>
          <w:sz w:val="16"/>
          <w:szCs w:val="16"/>
        </w:rPr>
        <w:footnoteRef/>
      </w:r>
      <w:r w:rsidRPr="001E7495">
        <w:rPr>
          <w:sz w:val="16"/>
          <w:szCs w:val="16"/>
        </w:rPr>
        <w:t xml:space="preserve"> Report of Human Rights Council 13 (A/HRC/13/56) – paragraph 439</w:t>
      </w:r>
    </w:p>
    <w:p w:rsidR="00A5449B" w:rsidRDefault="00A5449B" w:rsidP="00A5449B">
      <w:pPr>
        <w:pStyle w:val="FootnoteText"/>
      </w:pPr>
      <w:r w:rsidRPr="001E7495">
        <w:rPr>
          <w:rStyle w:val="Hyperlink"/>
          <w:sz w:val="16"/>
          <w:szCs w:val="16"/>
        </w:rPr>
        <w:t>http://daccess-dds-ny.un.org/doc/UNDOC/GEN/G11/117/56/PDF/G1111756.pdf?OpenElement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407C9"/>
    <w:multiLevelType w:val="hybridMultilevel"/>
    <w:tmpl w:val="CDEECD26"/>
    <w:lvl w:ilvl="0" w:tplc="9AF05B52">
      <w:start w:val="1"/>
      <w:numFmt w:val="bullet"/>
      <w:lvlText w:val="-"/>
      <w:lvlJc w:val="left"/>
      <w:pPr>
        <w:ind w:left="1077" w:hanging="360"/>
      </w:pPr>
      <w:rPr>
        <w:rFonts w:ascii="Calibri" w:eastAsiaTheme="minorHAnsi" w:hAnsi="Calibri" w:cs="Calibri" w:hint="default"/>
      </w:rPr>
    </w:lvl>
    <w:lvl w:ilvl="1" w:tplc="100C0003">
      <w:start w:val="1"/>
      <w:numFmt w:val="bullet"/>
      <w:lvlText w:val="o"/>
      <w:lvlJc w:val="left"/>
      <w:pPr>
        <w:ind w:left="1797" w:hanging="360"/>
      </w:pPr>
      <w:rPr>
        <w:rFonts w:ascii="Courier New" w:hAnsi="Courier New" w:cs="Courier New" w:hint="default"/>
      </w:rPr>
    </w:lvl>
    <w:lvl w:ilvl="2" w:tplc="100C0005" w:tentative="1">
      <w:start w:val="1"/>
      <w:numFmt w:val="bullet"/>
      <w:lvlText w:val=""/>
      <w:lvlJc w:val="left"/>
      <w:pPr>
        <w:ind w:left="2517" w:hanging="360"/>
      </w:pPr>
      <w:rPr>
        <w:rFonts w:ascii="Wingdings" w:hAnsi="Wingdings" w:hint="default"/>
      </w:rPr>
    </w:lvl>
    <w:lvl w:ilvl="3" w:tplc="100C0001" w:tentative="1">
      <w:start w:val="1"/>
      <w:numFmt w:val="bullet"/>
      <w:lvlText w:val=""/>
      <w:lvlJc w:val="left"/>
      <w:pPr>
        <w:ind w:left="3237" w:hanging="360"/>
      </w:pPr>
      <w:rPr>
        <w:rFonts w:ascii="Symbol" w:hAnsi="Symbol" w:hint="default"/>
      </w:rPr>
    </w:lvl>
    <w:lvl w:ilvl="4" w:tplc="100C0003" w:tentative="1">
      <w:start w:val="1"/>
      <w:numFmt w:val="bullet"/>
      <w:lvlText w:val="o"/>
      <w:lvlJc w:val="left"/>
      <w:pPr>
        <w:ind w:left="3957" w:hanging="360"/>
      </w:pPr>
      <w:rPr>
        <w:rFonts w:ascii="Courier New" w:hAnsi="Courier New" w:cs="Courier New" w:hint="default"/>
      </w:rPr>
    </w:lvl>
    <w:lvl w:ilvl="5" w:tplc="100C0005" w:tentative="1">
      <w:start w:val="1"/>
      <w:numFmt w:val="bullet"/>
      <w:lvlText w:val=""/>
      <w:lvlJc w:val="left"/>
      <w:pPr>
        <w:ind w:left="4677" w:hanging="360"/>
      </w:pPr>
      <w:rPr>
        <w:rFonts w:ascii="Wingdings" w:hAnsi="Wingdings" w:hint="default"/>
      </w:rPr>
    </w:lvl>
    <w:lvl w:ilvl="6" w:tplc="100C0001" w:tentative="1">
      <w:start w:val="1"/>
      <w:numFmt w:val="bullet"/>
      <w:lvlText w:val=""/>
      <w:lvlJc w:val="left"/>
      <w:pPr>
        <w:ind w:left="5397" w:hanging="360"/>
      </w:pPr>
      <w:rPr>
        <w:rFonts w:ascii="Symbol" w:hAnsi="Symbol" w:hint="default"/>
      </w:rPr>
    </w:lvl>
    <w:lvl w:ilvl="7" w:tplc="100C0003" w:tentative="1">
      <w:start w:val="1"/>
      <w:numFmt w:val="bullet"/>
      <w:lvlText w:val="o"/>
      <w:lvlJc w:val="left"/>
      <w:pPr>
        <w:ind w:left="6117" w:hanging="360"/>
      </w:pPr>
      <w:rPr>
        <w:rFonts w:ascii="Courier New" w:hAnsi="Courier New" w:cs="Courier New" w:hint="default"/>
      </w:rPr>
    </w:lvl>
    <w:lvl w:ilvl="8" w:tplc="100C0005" w:tentative="1">
      <w:start w:val="1"/>
      <w:numFmt w:val="bullet"/>
      <w:lvlText w:val=""/>
      <w:lvlJc w:val="left"/>
      <w:pPr>
        <w:ind w:left="6837" w:hanging="360"/>
      </w:pPr>
      <w:rPr>
        <w:rFonts w:ascii="Wingdings" w:hAnsi="Wingdings" w:hint="default"/>
      </w:rPr>
    </w:lvl>
  </w:abstractNum>
  <w:abstractNum w:abstractNumId="1">
    <w:nsid w:val="39750F13"/>
    <w:multiLevelType w:val="hybridMultilevel"/>
    <w:tmpl w:val="0F048A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3C037A18"/>
    <w:multiLevelType w:val="hybridMultilevel"/>
    <w:tmpl w:val="954851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5BA78D2"/>
    <w:multiLevelType w:val="hybridMultilevel"/>
    <w:tmpl w:val="E62E36D4"/>
    <w:lvl w:ilvl="0" w:tplc="9AF05B52">
      <w:start w:val="1"/>
      <w:numFmt w:val="bullet"/>
      <w:lvlText w:val="-"/>
      <w:lvlJc w:val="left"/>
      <w:pPr>
        <w:ind w:left="720" w:hanging="360"/>
      </w:pPr>
      <w:rPr>
        <w:rFonts w:ascii="Calibri" w:eastAsiaTheme="minorHAnsi" w:hAnsi="Calibri" w:cs="Calibri"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6BA021EF"/>
    <w:multiLevelType w:val="hybridMultilevel"/>
    <w:tmpl w:val="1718761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5">
    <w:nsid w:val="702044D9"/>
    <w:multiLevelType w:val="hybridMultilevel"/>
    <w:tmpl w:val="D0922710"/>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7A5D02F5"/>
    <w:multiLevelType w:val="hybridMultilevel"/>
    <w:tmpl w:val="66FADB2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5A6"/>
    <w:rsid w:val="00060323"/>
    <w:rsid w:val="000700A1"/>
    <w:rsid w:val="00092616"/>
    <w:rsid w:val="000C1EE3"/>
    <w:rsid w:val="000E7FFE"/>
    <w:rsid w:val="000F35F0"/>
    <w:rsid w:val="001014B8"/>
    <w:rsid w:val="0011281D"/>
    <w:rsid w:val="00124B6C"/>
    <w:rsid w:val="001308CA"/>
    <w:rsid w:val="00147569"/>
    <w:rsid w:val="001900CD"/>
    <w:rsid w:val="001E7495"/>
    <w:rsid w:val="001F38AF"/>
    <w:rsid w:val="00281A8B"/>
    <w:rsid w:val="0028663A"/>
    <w:rsid w:val="0029145C"/>
    <w:rsid w:val="002A5240"/>
    <w:rsid w:val="002D16CC"/>
    <w:rsid w:val="002D50E1"/>
    <w:rsid w:val="002F3596"/>
    <w:rsid w:val="003054CD"/>
    <w:rsid w:val="00306FF2"/>
    <w:rsid w:val="0031759D"/>
    <w:rsid w:val="00330E27"/>
    <w:rsid w:val="0034538F"/>
    <w:rsid w:val="00352F1E"/>
    <w:rsid w:val="00353A75"/>
    <w:rsid w:val="00383655"/>
    <w:rsid w:val="00383D7C"/>
    <w:rsid w:val="003D6371"/>
    <w:rsid w:val="003F4BD1"/>
    <w:rsid w:val="00411D4E"/>
    <w:rsid w:val="004260E4"/>
    <w:rsid w:val="00443565"/>
    <w:rsid w:val="00466B4D"/>
    <w:rsid w:val="00471BD1"/>
    <w:rsid w:val="0049381B"/>
    <w:rsid w:val="004F1E14"/>
    <w:rsid w:val="00502A1F"/>
    <w:rsid w:val="00550ADF"/>
    <w:rsid w:val="0056773C"/>
    <w:rsid w:val="00573DF4"/>
    <w:rsid w:val="005A20DF"/>
    <w:rsid w:val="005E36C3"/>
    <w:rsid w:val="00653052"/>
    <w:rsid w:val="00655823"/>
    <w:rsid w:val="00677535"/>
    <w:rsid w:val="006B03AC"/>
    <w:rsid w:val="006B39B7"/>
    <w:rsid w:val="006C2668"/>
    <w:rsid w:val="006D2905"/>
    <w:rsid w:val="007715A6"/>
    <w:rsid w:val="00773CA7"/>
    <w:rsid w:val="007B57F6"/>
    <w:rsid w:val="00802D69"/>
    <w:rsid w:val="00890DC2"/>
    <w:rsid w:val="00895E63"/>
    <w:rsid w:val="008A3E99"/>
    <w:rsid w:val="008B60C7"/>
    <w:rsid w:val="00922668"/>
    <w:rsid w:val="00927729"/>
    <w:rsid w:val="009522FD"/>
    <w:rsid w:val="0097279E"/>
    <w:rsid w:val="00980DD4"/>
    <w:rsid w:val="009A4D41"/>
    <w:rsid w:val="009B5D5D"/>
    <w:rsid w:val="009C3CDF"/>
    <w:rsid w:val="00A1144E"/>
    <w:rsid w:val="00A15808"/>
    <w:rsid w:val="00A42A02"/>
    <w:rsid w:val="00A5449B"/>
    <w:rsid w:val="00AB07E4"/>
    <w:rsid w:val="00AB2A92"/>
    <w:rsid w:val="00AB3D45"/>
    <w:rsid w:val="00B42AA7"/>
    <w:rsid w:val="00B80246"/>
    <w:rsid w:val="00BE073A"/>
    <w:rsid w:val="00BF7BAF"/>
    <w:rsid w:val="00C4393A"/>
    <w:rsid w:val="00C44018"/>
    <w:rsid w:val="00C50B9C"/>
    <w:rsid w:val="00C6599E"/>
    <w:rsid w:val="00C803D8"/>
    <w:rsid w:val="00D00E25"/>
    <w:rsid w:val="00D13A91"/>
    <w:rsid w:val="00D231D5"/>
    <w:rsid w:val="00D33239"/>
    <w:rsid w:val="00D41DA1"/>
    <w:rsid w:val="00D76075"/>
    <w:rsid w:val="00D7662D"/>
    <w:rsid w:val="00DB12FF"/>
    <w:rsid w:val="00DB4DF4"/>
    <w:rsid w:val="00DC43C2"/>
    <w:rsid w:val="00DD258D"/>
    <w:rsid w:val="00DD6251"/>
    <w:rsid w:val="00DF1CE3"/>
    <w:rsid w:val="00E5373D"/>
    <w:rsid w:val="00E705DF"/>
    <w:rsid w:val="00E72AC5"/>
    <w:rsid w:val="00E829D7"/>
    <w:rsid w:val="00EB126A"/>
    <w:rsid w:val="00EC2D4A"/>
    <w:rsid w:val="00EC6FAB"/>
    <w:rsid w:val="00ED3852"/>
    <w:rsid w:val="00ED57A7"/>
    <w:rsid w:val="00EF4D3B"/>
    <w:rsid w:val="00F06A9D"/>
    <w:rsid w:val="00F16E7D"/>
    <w:rsid w:val="00F47779"/>
    <w:rsid w:val="00F86AB9"/>
    <w:rsid w:val="00FB6729"/>
    <w:rsid w:val="00FC7F41"/>
    <w:rsid w:val="00FE3A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AF"/>
    <w:rPr>
      <w:lang w:val="en-GB"/>
    </w:rPr>
  </w:style>
  <w:style w:type="paragraph" w:styleId="Heading3">
    <w:name w:val="heading 3"/>
    <w:basedOn w:val="Normal"/>
    <w:link w:val="Heading3Char"/>
    <w:uiPriority w:val="9"/>
    <w:qFormat/>
    <w:rsid w:val="00AB2A92"/>
    <w:pPr>
      <w:spacing w:before="60" w:after="30" w:line="300" w:lineRule="atLeast"/>
      <w:outlineLvl w:val="2"/>
    </w:pPr>
    <w:rPr>
      <w:rFonts w:ascii="Arial" w:eastAsia="Times New Roman" w:hAnsi="Arial" w:cs="Arial"/>
      <w:b/>
      <w:bCs/>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8AF"/>
    <w:pPr>
      <w:ind w:left="720"/>
      <w:contextualSpacing/>
    </w:pPr>
  </w:style>
  <w:style w:type="paragraph" w:styleId="EndnoteText">
    <w:name w:val="endnote text"/>
    <w:basedOn w:val="Normal"/>
    <w:link w:val="EndnoteTextChar"/>
    <w:uiPriority w:val="99"/>
    <w:unhideWhenUsed/>
    <w:rsid w:val="001F38AF"/>
    <w:pPr>
      <w:spacing w:after="0" w:line="240" w:lineRule="auto"/>
    </w:pPr>
    <w:rPr>
      <w:sz w:val="20"/>
      <w:szCs w:val="20"/>
    </w:rPr>
  </w:style>
  <w:style w:type="character" w:customStyle="1" w:styleId="EndnoteTextChar">
    <w:name w:val="Endnote Text Char"/>
    <w:basedOn w:val="DefaultParagraphFont"/>
    <w:link w:val="EndnoteText"/>
    <w:uiPriority w:val="99"/>
    <w:rsid w:val="001F38AF"/>
    <w:rPr>
      <w:sz w:val="20"/>
      <w:szCs w:val="20"/>
    </w:rPr>
  </w:style>
  <w:style w:type="character" w:styleId="EndnoteReference">
    <w:name w:val="endnote reference"/>
    <w:basedOn w:val="DefaultParagraphFont"/>
    <w:uiPriority w:val="99"/>
    <w:semiHidden/>
    <w:unhideWhenUsed/>
    <w:rsid w:val="001F38AF"/>
    <w:rPr>
      <w:vertAlign w:val="superscript"/>
    </w:rPr>
  </w:style>
  <w:style w:type="character" w:styleId="Hyperlink">
    <w:name w:val="Hyperlink"/>
    <w:basedOn w:val="DefaultParagraphFont"/>
    <w:uiPriority w:val="99"/>
    <w:unhideWhenUsed/>
    <w:rsid w:val="001F38AF"/>
    <w:rPr>
      <w:color w:val="0000FF" w:themeColor="hyperlink"/>
      <w:u w:val="single"/>
    </w:rPr>
  </w:style>
  <w:style w:type="paragraph" w:styleId="Footer">
    <w:name w:val="footer"/>
    <w:basedOn w:val="Normal"/>
    <w:link w:val="FooterChar"/>
    <w:uiPriority w:val="99"/>
    <w:unhideWhenUsed/>
    <w:rsid w:val="001F38A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F38AF"/>
  </w:style>
  <w:style w:type="paragraph" w:styleId="NormalWeb">
    <w:name w:val="Normal (Web)"/>
    <w:basedOn w:val="Normal"/>
    <w:uiPriority w:val="99"/>
    <w:semiHidden/>
    <w:unhideWhenUsed/>
    <w:rsid w:val="00DD258D"/>
    <w:pPr>
      <w:spacing w:before="100" w:beforeAutospacing="1" w:after="100" w:afterAutospacing="1" w:line="240" w:lineRule="auto"/>
    </w:pPr>
    <w:rPr>
      <w:rFonts w:ascii="Times New Roman" w:eastAsia="Times New Roman" w:hAnsi="Times New Roman" w:cs="Times New Roman"/>
      <w:color w:val="000000"/>
      <w:sz w:val="24"/>
      <w:szCs w:val="24"/>
      <w:lang w:eastAsia="fr-CH"/>
    </w:rPr>
  </w:style>
  <w:style w:type="character" w:customStyle="1" w:styleId="Heading3Char">
    <w:name w:val="Heading 3 Char"/>
    <w:basedOn w:val="DefaultParagraphFont"/>
    <w:link w:val="Heading3"/>
    <w:uiPriority w:val="9"/>
    <w:rsid w:val="00AB2A92"/>
    <w:rPr>
      <w:rFonts w:ascii="Arial" w:eastAsia="Times New Roman" w:hAnsi="Arial" w:cs="Arial"/>
      <w:b/>
      <w:bCs/>
      <w:sz w:val="20"/>
      <w:szCs w:val="20"/>
      <w:lang w:eastAsia="fr-CH"/>
    </w:rPr>
  </w:style>
  <w:style w:type="paragraph" w:styleId="FootnoteText">
    <w:name w:val="footnote text"/>
    <w:basedOn w:val="Normal"/>
    <w:link w:val="FootnoteTextChar"/>
    <w:uiPriority w:val="99"/>
    <w:semiHidden/>
    <w:unhideWhenUsed/>
    <w:rsid w:val="00ED57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7A7"/>
    <w:rPr>
      <w:sz w:val="20"/>
      <w:szCs w:val="20"/>
    </w:rPr>
  </w:style>
  <w:style w:type="character" w:styleId="FootnoteReference">
    <w:name w:val="footnote reference"/>
    <w:basedOn w:val="DefaultParagraphFont"/>
    <w:uiPriority w:val="99"/>
    <w:semiHidden/>
    <w:unhideWhenUsed/>
    <w:rsid w:val="00ED57A7"/>
    <w:rPr>
      <w:vertAlign w:val="superscript"/>
    </w:rPr>
  </w:style>
  <w:style w:type="paragraph" w:customStyle="1" w:styleId="Default">
    <w:name w:val="Default"/>
    <w:rsid w:val="00E829D7"/>
    <w:pPr>
      <w:autoSpaceDE w:val="0"/>
      <w:autoSpaceDN w:val="0"/>
      <w:adjustRightInd w:val="0"/>
      <w:spacing w:after="0" w:line="240" w:lineRule="auto"/>
    </w:pPr>
    <w:rPr>
      <w:rFonts w:ascii="Corbel" w:hAnsi="Corbel" w:cs="Corbel"/>
      <w:color w:val="000000"/>
      <w:sz w:val="24"/>
      <w:szCs w:val="24"/>
      <w:lang w:val="en-GB"/>
    </w:rPr>
  </w:style>
  <w:style w:type="character" w:styleId="CommentReference">
    <w:name w:val="annotation reference"/>
    <w:basedOn w:val="DefaultParagraphFont"/>
    <w:uiPriority w:val="99"/>
    <w:semiHidden/>
    <w:unhideWhenUsed/>
    <w:rsid w:val="0029145C"/>
    <w:rPr>
      <w:sz w:val="16"/>
      <w:szCs w:val="16"/>
    </w:rPr>
  </w:style>
  <w:style w:type="paragraph" w:styleId="CommentText">
    <w:name w:val="annotation text"/>
    <w:basedOn w:val="Normal"/>
    <w:link w:val="CommentTextChar"/>
    <w:uiPriority w:val="99"/>
    <w:semiHidden/>
    <w:unhideWhenUsed/>
    <w:rsid w:val="0029145C"/>
    <w:pPr>
      <w:spacing w:line="240" w:lineRule="auto"/>
    </w:pPr>
    <w:rPr>
      <w:sz w:val="20"/>
      <w:szCs w:val="20"/>
    </w:rPr>
  </w:style>
  <w:style w:type="character" w:customStyle="1" w:styleId="CommentTextChar">
    <w:name w:val="Comment Text Char"/>
    <w:basedOn w:val="DefaultParagraphFont"/>
    <w:link w:val="CommentText"/>
    <w:uiPriority w:val="99"/>
    <w:semiHidden/>
    <w:rsid w:val="0029145C"/>
    <w:rPr>
      <w:sz w:val="20"/>
      <w:szCs w:val="20"/>
      <w:lang w:val="en-GB"/>
    </w:rPr>
  </w:style>
  <w:style w:type="paragraph" w:styleId="CommentSubject">
    <w:name w:val="annotation subject"/>
    <w:basedOn w:val="CommentText"/>
    <w:next w:val="CommentText"/>
    <w:link w:val="CommentSubjectChar"/>
    <w:uiPriority w:val="99"/>
    <w:semiHidden/>
    <w:unhideWhenUsed/>
    <w:rsid w:val="0029145C"/>
    <w:rPr>
      <w:b/>
      <w:bCs/>
    </w:rPr>
  </w:style>
  <w:style w:type="character" w:customStyle="1" w:styleId="CommentSubjectChar">
    <w:name w:val="Comment Subject Char"/>
    <w:basedOn w:val="CommentTextChar"/>
    <w:link w:val="CommentSubject"/>
    <w:uiPriority w:val="99"/>
    <w:semiHidden/>
    <w:rsid w:val="0029145C"/>
    <w:rPr>
      <w:b/>
      <w:bCs/>
      <w:sz w:val="20"/>
      <w:szCs w:val="20"/>
      <w:lang w:val="en-GB"/>
    </w:rPr>
  </w:style>
  <w:style w:type="paragraph" w:styleId="BalloonText">
    <w:name w:val="Balloon Text"/>
    <w:basedOn w:val="Normal"/>
    <w:link w:val="BalloonTextChar"/>
    <w:uiPriority w:val="99"/>
    <w:semiHidden/>
    <w:unhideWhenUsed/>
    <w:rsid w:val="00291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45C"/>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AF"/>
    <w:rPr>
      <w:lang w:val="en-GB"/>
    </w:rPr>
  </w:style>
  <w:style w:type="paragraph" w:styleId="Heading3">
    <w:name w:val="heading 3"/>
    <w:basedOn w:val="Normal"/>
    <w:link w:val="Heading3Char"/>
    <w:uiPriority w:val="9"/>
    <w:qFormat/>
    <w:rsid w:val="00AB2A92"/>
    <w:pPr>
      <w:spacing w:before="60" w:after="30" w:line="300" w:lineRule="atLeast"/>
      <w:outlineLvl w:val="2"/>
    </w:pPr>
    <w:rPr>
      <w:rFonts w:ascii="Arial" w:eastAsia="Times New Roman" w:hAnsi="Arial" w:cs="Arial"/>
      <w:b/>
      <w:bCs/>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8AF"/>
    <w:pPr>
      <w:ind w:left="720"/>
      <w:contextualSpacing/>
    </w:pPr>
  </w:style>
  <w:style w:type="paragraph" w:styleId="EndnoteText">
    <w:name w:val="endnote text"/>
    <w:basedOn w:val="Normal"/>
    <w:link w:val="EndnoteTextChar"/>
    <w:uiPriority w:val="99"/>
    <w:unhideWhenUsed/>
    <w:rsid w:val="001F38AF"/>
    <w:pPr>
      <w:spacing w:after="0" w:line="240" w:lineRule="auto"/>
    </w:pPr>
    <w:rPr>
      <w:sz w:val="20"/>
      <w:szCs w:val="20"/>
    </w:rPr>
  </w:style>
  <w:style w:type="character" w:customStyle="1" w:styleId="EndnoteTextChar">
    <w:name w:val="Endnote Text Char"/>
    <w:basedOn w:val="DefaultParagraphFont"/>
    <w:link w:val="EndnoteText"/>
    <w:uiPriority w:val="99"/>
    <w:rsid w:val="001F38AF"/>
    <w:rPr>
      <w:sz w:val="20"/>
      <w:szCs w:val="20"/>
    </w:rPr>
  </w:style>
  <w:style w:type="character" w:styleId="EndnoteReference">
    <w:name w:val="endnote reference"/>
    <w:basedOn w:val="DefaultParagraphFont"/>
    <w:uiPriority w:val="99"/>
    <w:semiHidden/>
    <w:unhideWhenUsed/>
    <w:rsid w:val="001F38AF"/>
    <w:rPr>
      <w:vertAlign w:val="superscript"/>
    </w:rPr>
  </w:style>
  <w:style w:type="character" w:styleId="Hyperlink">
    <w:name w:val="Hyperlink"/>
    <w:basedOn w:val="DefaultParagraphFont"/>
    <w:uiPriority w:val="99"/>
    <w:unhideWhenUsed/>
    <w:rsid w:val="001F38AF"/>
    <w:rPr>
      <w:color w:val="0000FF" w:themeColor="hyperlink"/>
      <w:u w:val="single"/>
    </w:rPr>
  </w:style>
  <w:style w:type="paragraph" w:styleId="Footer">
    <w:name w:val="footer"/>
    <w:basedOn w:val="Normal"/>
    <w:link w:val="FooterChar"/>
    <w:uiPriority w:val="99"/>
    <w:unhideWhenUsed/>
    <w:rsid w:val="001F38A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F38AF"/>
  </w:style>
  <w:style w:type="paragraph" w:styleId="NormalWeb">
    <w:name w:val="Normal (Web)"/>
    <w:basedOn w:val="Normal"/>
    <w:uiPriority w:val="99"/>
    <w:semiHidden/>
    <w:unhideWhenUsed/>
    <w:rsid w:val="00DD258D"/>
    <w:pPr>
      <w:spacing w:before="100" w:beforeAutospacing="1" w:after="100" w:afterAutospacing="1" w:line="240" w:lineRule="auto"/>
    </w:pPr>
    <w:rPr>
      <w:rFonts w:ascii="Times New Roman" w:eastAsia="Times New Roman" w:hAnsi="Times New Roman" w:cs="Times New Roman"/>
      <w:color w:val="000000"/>
      <w:sz w:val="24"/>
      <w:szCs w:val="24"/>
      <w:lang w:eastAsia="fr-CH"/>
    </w:rPr>
  </w:style>
  <w:style w:type="character" w:customStyle="1" w:styleId="Heading3Char">
    <w:name w:val="Heading 3 Char"/>
    <w:basedOn w:val="DefaultParagraphFont"/>
    <w:link w:val="Heading3"/>
    <w:uiPriority w:val="9"/>
    <w:rsid w:val="00AB2A92"/>
    <w:rPr>
      <w:rFonts w:ascii="Arial" w:eastAsia="Times New Roman" w:hAnsi="Arial" w:cs="Arial"/>
      <w:b/>
      <w:bCs/>
      <w:sz w:val="20"/>
      <w:szCs w:val="20"/>
      <w:lang w:eastAsia="fr-CH"/>
    </w:rPr>
  </w:style>
  <w:style w:type="paragraph" w:styleId="FootnoteText">
    <w:name w:val="footnote text"/>
    <w:basedOn w:val="Normal"/>
    <w:link w:val="FootnoteTextChar"/>
    <w:uiPriority w:val="99"/>
    <w:semiHidden/>
    <w:unhideWhenUsed/>
    <w:rsid w:val="00ED57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57A7"/>
    <w:rPr>
      <w:sz w:val="20"/>
      <w:szCs w:val="20"/>
    </w:rPr>
  </w:style>
  <w:style w:type="character" w:styleId="FootnoteReference">
    <w:name w:val="footnote reference"/>
    <w:basedOn w:val="DefaultParagraphFont"/>
    <w:uiPriority w:val="99"/>
    <w:semiHidden/>
    <w:unhideWhenUsed/>
    <w:rsid w:val="00ED57A7"/>
    <w:rPr>
      <w:vertAlign w:val="superscript"/>
    </w:rPr>
  </w:style>
  <w:style w:type="paragraph" w:customStyle="1" w:styleId="Default">
    <w:name w:val="Default"/>
    <w:rsid w:val="00E829D7"/>
    <w:pPr>
      <w:autoSpaceDE w:val="0"/>
      <w:autoSpaceDN w:val="0"/>
      <w:adjustRightInd w:val="0"/>
      <w:spacing w:after="0" w:line="240" w:lineRule="auto"/>
    </w:pPr>
    <w:rPr>
      <w:rFonts w:ascii="Corbel" w:hAnsi="Corbel" w:cs="Corbel"/>
      <w:color w:val="000000"/>
      <w:sz w:val="24"/>
      <w:szCs w:val="24"/>
      <w:lang w:val="en-GB"/>
    </w:rPr>
  </w:style>
  <w:style w:type="character" w:styleId="CommentReference">
    <w:name w:val="annotation reference"/>
    <w:basedOn w:val="DefaultParagraphFont"/>
    <w:uiPriority w:val="99"/>
    <w:semiHidden/>
    <w:unhideWhenUsed/>
    <w:rsid w:val="0029145C"/>
    <w:rPr>
      <w:sz w:val="16"/>
      <w:szCs w:val="16"/>
    </w:rPr>
  </w:style>
  <w:style w:type="paragraph" w:styleId="CommentText">
    <w:name w:val="annotation text"/>
    <w:basedOn w:val="Normal"/>
    <w:link w:val="CommentTextChar"/>
    <w:uiPriority w:val="99"/>
    <w:semiHidden/>
    <w:unhideWhenUsed/>
    <w:rsid w:val="0029145C"/>
    <w:pPr>
      <w:spacing w:line="240" w:lineRule="auto"/>
    </w:pPr>
    <w:rPr>
      <w:sz w:val="20"/>
      <w:szCs w:val="20"/>
    </w:rPr>
  </w:style>
  <w:style w:type="character" w:customStyle="1" w:styleId="CommentTextChar">
    <w:name w:val="Comment Text Char"/>
    <w:basedOn w:val="DefaultParagraphFont"/>
    <w:link w:val="CommentText"/>
    <w:uiPriority w:val="99"/>
    <w:semiHidden/>
    <w:rsid w:val="0029145C"/>
    <w:rPr>
      <w:sz w:val="20"/>
      <w:szCs w:val="20"/>
      <w:lang w:val="en-GB"/>
    </w:rPr>
  </w:style>
  <w:style w:type="paragraph" w:styleId="CommentSubject">
    <w:name w:val="annotation subject"/>
    <w:basedOn w:val="CommentText"/>
    <w:next w:val="CommentText"/>
    <w:link w:val="CommentSubjectChar"/>
    <w:uiPriority w:val="99"/>
    <w:semiHidden/>
    <w:unhideWhenUsed/>
    <w:rsid w:val="0029145C"/>
    <w:rPr>
      <w:b/>
      <w:bCs/>
    </w:rPr>
  </w:style>
  <w:style w:type="character" w:customStyle="1" w:styleId="CommentSubjectChar">
    <w:name w:val="Comment Subject Char"/>
    <w:basedOn w:val="CommentTextChar"/>
    <w:link w:val="CommentSubject"/>
    <w:uiPriority w:val="99"/>
    <w:semiHidden/>
    <w:rsid w:val="0029145C"/>
    <w:rPr>
      <w:b/>
      <w:bCs/>
      <w:sz w:val="20"/>
      <w:szCs w:val="20"/>
      <w:lang w:val="en-GB"/>
    </w:rPr>
  </w:style>
  <w:style w:type="paragraph" w:styleId="BalloonText">
    <w:name w:val="Balloon Text"/>
    <w:basedOn w:val="Normal"/>
    <w:link w:val="BalloonTextChar"/>
    <w:uiPriority w:val="99"/>
    <w:semiHidden/>
    <w:unhideWhenUsed/>
    <w:rsid w:val="00291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45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287790">
      <w:bodyDiv w:val="1"/>
      <w:marLeft w:val="75"/>
      <w:marRight w:val="0"/>
      <w:marTop w:val="0"/>
      <w:marBottom w:val="0"/>
      <w:divBdr>
        <w:top w:val="none" w:sz="0" w:space="0" w:color="auto"/>
        <w:left w:val="none" w:sz="0" w:space="0" w:color="auto"/>
        <w:bottom w:val="none" w:sz="0" w:space="0" w:color="auto"/>
        <w:right w:val="none" w:sz="0" w:space="0" w:color="auto"/>
      </w:divBdr>
      <w:divsChild>
        <w:div w:id="100613907">
          <w:marLeft w:val="0"/>
          <w:marRight w:val="0"/>
          <w:marTop w:val="0"/>
          <w:marBottom w:val="0"/>
          <w:divBdr>
            <w:top w:val="none" w:sz="0" w:space="0" w:color="auto"/>
            <w:left w:val="none" w:sz="0" w:space="0" w:color="auto"/>
            <w:bottom w:val="none" w:sz="0" w:space="0" w:color="auto"/>
            <w:right w:val="none" w:sz="0" w:space="0" w:color="auto"/>
          </w:divBdr>
          <w:divsChild>
            <w:div w:id="1279605407">
              <w:marLeft w:val="3000"/>
              <w:marRight w:val="0"/>
              <w:marTop w:val="150"/>
              <w:marBottom w:val="0"/>
              <w:divBdr>
                <w:top w:val="none" w:sz="0" w:space="0" w:color="auto"/>
                <w:left w:val="none" w:sz="0" w:space="0" w:color="auto"/>
                <w:bottom w:val="none" w:sz="0" w:space="0" w:color="auto"/>
                <w:right w:val="none" w:sz="0" w:space="0" w:color="auto"/>
              </w:divBdr>
            </w:div>
          </w:divsChild>
        </w:div>
      </w:divsChild>
    </w:div>
    <w:div w:id="1547372231">
      <w:bodyDiv w:val="1"/>
      <w:marLeft w:val="0"/>
      <w:marRight w:val="0"/>
      <w:marTop w:val="0"/>
      <w:marBottom w:val="150"/>
      <w:divBdr>
        <w:top w:val="none" w:sz="0" w:space="0" w:color="auto"/>
        <w:left w:val="none" w:sz="0" w:space="0" w:color="auto"/>
        <w:bottom w:val="none" w:sz="0" w:space="0" w:color="auto"/>
        <w:right w:val="none" w:sz="0" w:space="0" w:color="auto"/>
      </w:divBdr>
      <w:divsChild>
        <w:div w:id="943347976">
          <w:marLeft w:val="0"/>
          <w:marRight w:val="0"/>
          <w:marTop w:val="0"/>
          <w:marBottom w:val="0"/>
          <w:divBdr>
            <w:top w:val="single" w:sz="6" w:space="4" w:color="B9B9FF"/>
            <w:left w:val="single" w:sz="6" w:space="11" w:color="B9B9FF"/>
            <w:bottom w:val="single" w:sz="6" w:space="4" w:color="B9B9FF"/>
            <w:right w:val="single" w:sz="6" w:space="11" w:color="B9B9FF"/>
          </w:divBdr>
        </w:div>
      </w:divsChild>
    </w:div>
    <w:div w:id="1993099109">
      <w:bodyDiv w:val="1"/>
      <w:marLeft w:val="0"/>
      <w:marRight w:val="0"/>
      <w:marTop w:val="0"/>
      <w:marBottom w:val="0"/>
      <w:divBdr>
        <w:top w:val="none" w:sz="0" w:space="0" w:color="auto"/>
        <w:left w:val="none" w:sz="0" w:space="0" w:color="auto"/>
        <w:bottom w:val="none" w:sz="0" w:space="0" w:color="auto"/>
        <w:right w:val="none" w:sz="0" w:space="0" w:color="auto"/>
      </w:divBdr>
      <w:divsChild>
        <w:div w:id="1737824477">
          <w:marLeft w:val="0"/>
          <w:marRight w:val="0"/>
          <w:marTop w:val="0"/>
          <w:marBottom w:val="0"/>
          <w:divBdr>
            <w:top w:val="none" w:sz="0" w:space="0" w:color="auto"/>
            <w:left w:val="none" w:sz="0" w:space="0" w:color="auto"/>
            <w:bottom w:val="none" w:sz="0" w:space="0" w:color="auto"/>
            <w:right w:val="none" w:sz="0" w:space="0" w:color="auto"/>
          </w:divBdr>
          <w:divsChild>
            <w:div w:id="504901404">
              <w:marLeft w:val="0"/>
              <w:marRight w:val="0"/>
              <w:marTop w:val="0"/>
              <w:marBottom w:val="0"/>
              <w:divBdr>
                <w:top w:val="none" w:sz="0" w:space="0" w:color="auto"/>
                <w:left w:val="none" w:sz="0" w:space="0" w:color="auto"/>
                <w:bottom w:val="none" w:sz="0" w:space="0" w:color="auto"/>
                <w:right w:val="none" w:sz="0" w:space="0" w:color="auto"/>
              </w:divBdr>
              <w:divsChild>
                <w:div w:id="1469317778">
                  <w:marLeft w:val="0"/>
                  <w:marRight w:val="0"/>
                  <w:marTop w:val="0"/>
                  <w:marBottom w:val="0"/>
                  <w:divBdr>
                    <w:top w:val="none" w:sz="0" w:space="0" w:color="auto"/>
                    <w:left w:val="none" w:sz="0" w:space="0" w:color="auto"/>
                    <w:bottom w:val="none" w:sz="0" w:space="0" w:color="auto"/>
                    <w:right w:val="none" w:sz="0" w:space="0" w:color="auto"/>
                  </w:divBdr>
                  <w:divsChild>
                    <w:div w:id="1197087094">
                      <w:marLeft w:val="0"/>
                      <w:marRight w:val="0"/>
                      <w:marTop w:val="0"/>
                      <w:marBottom w:val="0"/>
                      <w:divBdr>
                        <w:top w:val="none" w:sz="0" w:space="0" w:color="auto"/>
                        <w:left w:val="none" w:sz="0" w:space="0" w:color="auto"/>
                        <w:bottom w:val="none" w:sz="0" w:space="0" w:color="auto"/>
                        <w:right w:val="none" w:sz="0" w:space="0" w:color="auto"/>
                      </w:divBdr>
                      <w:divsChild>
                        <w:div w:id="209427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gif"/><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sos-childrensvillages.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sos-childrensvillages.org/about-us/publications/pages/ageing-out-of-care-international-analysis.aspx" TargetMode="External"/><Relationship Id="rId1" Type="http://schemas.openxmlformats.org/officeDocument/2006/relationships/hyperlink" Target="http://www2.ohchr.org/english/bodies/crc/docs/co/CRC-C-ALB-CO-2-4_en.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4DC73A-FD7C-40BC-8C5C-0B802A985970}"/>
</file>

<file path=customXml/itemProps2.xml><?xml version="1.0" encoding="utf-8"?>
<ds:datastoreItem xmlns:ds="http://schemas.openxmlformats.org/officeDocument/2006/customXml" ds:itemID="{F97B673C-D41E-4BC9-996E-7CF1DD7C032F}"/>
</file>

<file path=customXml/itemProps3.xml><?xml version="1.0" encoding="utf-8"?>
<ds:datastoreItem xmlns:ds="http://schemas.openxmlformats.org/officeDocument/2006/customXml" ds:itemID="{8D5511EE-3CF3-4EEE-9EFD-B4D6E0D53DBD}"/>
</file>

<file path=customXml/itemProps4.xml><?xml version="1.0" encoding="utf-8"?>
<ds:datastoreItem xmlns:ds="http://schemas.openxmlformats.org/officeDocument/2006/customXml" ds:itemID="{B543B796-7251-4274-B14B-27ED3D281510}"/>
</file>

<file path=docProps/app.xml><?xml version="1.0" encoding="utf-8"?>
<Properties xmlns="http://schemas.openxmlformats.org/officeDocument/2006/extended-properties" xmlns:vt="http://schemas.openxmlformats.org/officeDocument/2006/docPropsVTypes">
  <Template>Normal</Template>
  <TotalTime>0</TotalTime>
  <Pages>6</Pages>
  <Words>2771</Words>
  <Characters>15798</Characters>
  <Application>Microsoft Office Word</Application>
  <DocSecurity>4</DocSecurity>
  <Lines>131</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Dambach</dc:creator>
  <cp:lastModifiedBy>Denis D'aniello</cp:lastModifiedBy>
  <cp:revision>2</cp:revision>
  <dcterms:created xsi:type="dcterms:W3CDTF">2013-06-28T13:47:00Z</dcterms:created>
  <dcterms:modified xsi:type="dcterms:W3CDTF">2013-06-28T13:47:00Z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