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DBD7E" w14:textId="760D1D2A" w:rsidR="00C20624" w:rsidRPr="00B8555A" w:rsidRDefault="00C20624" w:rsidP="00C20624">
      <w:pPr>
        <w:spacing w:after="200" w:line="276" w:lineRule="auto"/>
        <w:jc w:val="center"/>
        <w:rPr>
          <w:b/>
          <w:color w:val="000000"/>
          <w:sz w:val="20"/>
          <w:szCs w:val="20"/>
          <w:lang w:val="en-GB"/>
        </w:rPr>
      </w:pPr>
      <w:bookmarkStart w:id="0" w:name="_Toc16340037"/>
      <w:bookmarkStart w:id="1" w:name="_Toc16514095"/>
      <w:bookmarkStart w:id="2" w:name="_Toc16544625"/>
      <w:bookmarkStart w:id="3" w:name="_Toc16550283"/>
      <w:bookmarkStart w:id="4" w:name="_Toc16558796"/>
      <w:bookmarkStart w:id="5" w:name="_Toc16564276"/>
      <w:bookmarkStart w:id="6" w:name="_Toc16565333"/>
      <w:bookmarkStart w:id="7" w:name="_Toc16575676"/>
      <w:bookmarkStart w:id="8" w:name="_Toc16581063"/>
      <w:bookmarkStart w:id="9" w:name="_Toc18363993"/>
      <w:bookmarkStart w:id="10" w:name="_Toc18529223"/>
      <w:bookmarkStart w:id="11" w:name="_Toc18529305"/>
      <w:bookmarkStart w:id="12" w:name="_Toc18530912"/>
      <w:bookmarkStart w:id="13" w:name="_Toc18570659"/>
      <w:bookmarkStart w:id="14" w:name="_Toc18590790"/>
      <w:bookmarkStart w:id="15" w:name="_Toc496043572"/>
      <w:r w:rsidRPr="00B8555A">
        <w:rPr>
          <w:bCs/>
          <w:noProof/>
          <w:color w:val="000000"/>
        </w:rPr>
        <w:drawing>
          <wp:inline distT="0" distB="0" distL="0" distR="0" wp14:anchorId="57D5D32D" wp14:editId="41134A6D">
            <wp:extent cx="1202526" cy="1425148"/>
            <wp:effectExtent l="0" t="0" r="0" b="0"/>
            <wp:docPr id="3" name="Picture 3" descr="../../Documents/Rania/190617/Al-Haq%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Rania/190617/Al-Haq%20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3230" cy="1520792"/>
                    </a:xfrm>
                    <a:prstGeom prst="rect">
                      <a:avLst/>
                    </a:prstGeom>
                    <a:noFill/>
                    <a:ln>
                      <a:noFill/>
                    </a:ln>
                  </pic:spPr>
                </pic:pic>
              </a:graphicData>
            </a:graphic>
          </wp:inline>
        </w:drawing>
      </w:r>
      <w:r>
        <w:rPr>
          <w:bCs/>
          <w:color w:val="000000"/>
          <w:lang w:val="en-GB"/>
        </w:rPr>
        <w:t xml:space="preserve">  </w:t>
      </w:r>
      <w:r w:rsidRPr="00687A43">
        <w:rPr>
          <w:rFonts w:ascii="Calibri Light" w:hAnsi="Calibri Light"/>
          <w:noProof/>
        </w:rPr>
        <w:drawing>
          <wp:inline distT="0" distB="0" distL="0" distR="0" wp14:anchorId="1C1B12B7" wp14:editId="55A9A529">
            <wp:extent cx="1257076" cy="1494684"/>
            <wp:effectExtent l="0" t="0" r="0" b="4445"/>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cstate="print">
                      <a:extLst>
                        <a:ext uri="{28A0092B-C50C-407E-A947-70E740481C1C}">
                          <a14:useLocalDpi xmlns:a14="http://schemas.microsoft.com/office/drawing/2010/main" val="0"/>
                        </a:ext>
                      </a:extLst>
                    </a:blip>
                    <a:srcRect l="17687" r="16327"/>
                    <a:stretch>
                      <a:fillRect/>
                    </a:stretch>
                  </pic:blipFill>
                  <pic:spPr>
                    <a:xfrm>
                      <a:off x="0" y="0"/>
                      <a:ext cx="1354520" cy="1610547"/>
                    </a:xfrm>
                    <a:prstGeom prst="rect">
                      <a:avLst/>
                    </a:prstGeom>
                    <a:ln/>
                  </pic:spPr>
                </pic:pic>
              </a:graphicData>
            </a:graphic>
          </wp:inline>
        </w:drawing>
      </w:r>
      <w:r>
        <w:rPr>
          <w:bCs/>
          <w:color w:val="000000"/>
          <w:lang w:val="en-GB"/>
        </w:rPr>
        <w:t xml:space="preserve"> </w:t>
      </w:r>
      <w:r w:rsidRPr="00034DE7">
        <w:rPr>
          <w:bCs/>
          <w:noProof/>
          <w:color w:val="000000"/>
        </w:rPr>
        <w:drawing>
          <wp:inline distT="0" distB="0" distL="0" distR="0" wp14:anchorId="6831F5F3" wp14:editId="5FB5663C">
            <wp:extent cx="1313911" cy="148463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757" t="2412" r="3726"/>
                    <a:stretch/>
                  </pic:blipFill>
                  <pic:spPr bwMode="auto">
                    <a:xfrm>
                      <a:off x="0" y="0"/>
                      <a:ext cx="1348719" cy="1523960"/>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Pr>
          <w:b/>
          <w:color w:val="000000"/>
          <w:sz w:val="20"/>
          <w:szCs w:val="20"/>
          <w:lang w:val="en-GB"/>
        </w:rPr>
        <w:t xml:space="preserve">  </w:t>
      </w:r>
      <w:r w:rsidRPr="00B8555A">
        <w:rPr>
          <w:noProof/>
        </w:rPr>
        <w:drawing>
          <wp:inline distT="0" distB="0" distL="0" distR="0" wp14:anchorId="4D1FE868" wp14:editId="5C23CB1A">
            <wp:extent cx="1336746" cy="1477818"/>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92851" cy="1539844"/>
                    </a:xfrm>
                    <a:prstGeom prst="rect">
                      <a:avLst/>
                    </a:prstGeom>
                  </pic:spPr>
                </pic:pic>
              </a:graphicData>
            </a:graphic>
          </wp:inline>
        </w:drawing>
      </w:r>
    </w:p>
    <w:p w14:paraId="57DB1F75" w14:textId="77777777" w:rsidR="002E4E7C" w:rsidRPr="005B60BB" w:rsidRDefault="002E4E7C" w:rsidP="002E4E7C">
      <w:pPr>
        <w:spacing w:before="400" w:after="400" w:line="276" w:lineRule="auto"/>
        <w:jc w:val="center"/>
        <w:rPr>
          <w:b/>
          <w:color w:val="000000"/>
          <w:sz w:val="25"/>
          <w:szCs w:val="25"/>
          <w:lang w:val="en-GB"/>
        </w:rPr>
      </w:pPr>
      <w:r w:rsidRPr="005B60BB">
        <w:rPr>
          <w:b/>
          <w:color w:val="000000"/>
          <w:sz w:val="25"/>
          <w:szCs w:val="25"/>
          <w:lang w:val="en-GB"/>
        </w:rPr>
        <w:t>Al-Haq</w:t>
      </w:r>
      <w:r>
        <w:rPr>
          <w:b/>
          <w:color w:val="000000"/>
          <w:sz w:val="25"/>
          <w:szCs w:val="25"/>
          <w:lang w:val="en-GB"/>
        </w:rPr>
        <w:t xml:space="preserve"> – Law in the Service of Man</w:t>
      </w:r>
      <w:r w:rsidRPr="005B60BB">
        <w:rPr>
          <w:b/>
          <w:color w:val="000000"/>
          <w:sz w:val="25"/>
          <w:szCs w:val="25"/>
          <w:lang w:val="en-GB"/>
        </w:rPr>
        <w:t xml:space="preserve">, </w:t>
      </w:r>
      <w:r>
        <w:rPr>
          <w:b/>
          <w:color w:val="000000"/>
          <w:sz w:val="25"/>
          <w:szCs w:val="25"/>
          <w:lang w:val="en-GB"/>
        </w:rPr>
        <w:t>BADIL</w:t>
      </w:r>
      <w:r w:rsidRPr="000515E1">
        <w:t xml:space="preserve"> </w:t>
      </w:r>
      <w:r w:rsidRPr="000515E1">
        <w:rPr>
          <w:b/>
          <w:color w:val="000000"/>
          <w:sz w:val="25"/>
          <w:szCs w:val="25"/>
          <w:lang w:val="en-GB"/>
        </w:rPr>
        <w:t>Resource Center for Palestinian Residency and Refugee Rights</w:t>
      </w:r>
      <w:r>
        <w:rPr>
          <w:b/>
          <w:color w:val="000000"/>
          <w:sz w:val="25"/>
          <w:szCs w:val="25"/>
          <w:lang w:val="en-GB"/>
        </w:rPr>
        <w:t xml:space="preserve">, </w:t>
      </w:r>
      <w:r w:rsidRPr="005B60BB">
        <w:rPr>
          <w:b/>
          <w:color w:val="000000"/>
          <w:sz w:val="25"/>
          <w:szCs w:val="25"/>
          <w:lang w:val="en-GB"/>
        </w:rPr>
        <w:t>Cairo Institute for Human Rights Studies</w:t>
      </w:r>
      <w:r>
        <w:rPr>
          <w:b/>
          <w:color w:val="000000"/>
          <w:sz w:val="25"/>
          <w:szCs w:val="25"/>
          <w:lang w:val="en-GB"/>
        </w:rPr>
        <w:t xml:space="preserve"> (CIHRS)</w:t>
      </w:r>
      <w:r w:rsidRPr="005B60BB">
        <w:rPr>
          <w:b/>
          <w:color w:val="000000"/>
          <w:sz w:val="25"/>
          <w:szCs w:val="25"/>
          <w:lang w:val="en-GB"/>
        </w:rPr>
        <w:t>, and Habitat International Coalition</w:t>
      </w:r>
      <w:r>
        <w:rPr>
          <w:b/>
          <w:color w:val="000000"/>
          <w:sz w:val="25"/>
          <w:szCs w:val="25"/>
          <w:lang w:val="en-GB"/>
        </w:rPr>
        <w:t xml:space="preserve"> (HIC) – Housing and Land Rights Network (HLRN)</w:t>
      </w:r>
    </w:p>
    <w:p w14:paraId="61A75DF6" w14:textId="77777777" w:rsidR="00C20624" w:rsidRPr="00B8555A" w:rsidRDefault="00C20624" w:rsidP="00C20624">
      <w:pPr>
        <w:spacing w:after="200" w:line="276" w:lineRule="auto"/>
        <w:ind w:left="720" w:right="720"/>
        <w:jc w:val="center"/>
        <w:rPr>
          <w:b/>
          <w:color w:val="000000"/>
          <w:sz w:val="28"/>
          <w:szCs w:val="28"/>
          <w:lang w:val="en-GB"/>
        </w:rPr>
      </w:pPr>
      <w:r w:rsidRPr="00B8555A">
        <w:rPr>
          <w:b/>
          <w:color w:val="000000"/>
          <w:sz w:val="28"/>
          <w:szCs w:val="28"/>
          <w:lang w:val="en-GB"/>
        </w:rPr>
        <w:t>JOINT SUBMISSION TO THE COMMITTEE ON THE ELIMINATION OF RACIAL DISCRIMINATION FOR THE LIST OF THEMES ON ISRAEL’S SEVENTEENTH TO NINETEENTH PERIODIC REPORTS</w:t>
      </w:r>
    </w:p>
    <w:p w14:paraId="6CCC9CAD" w14:textId="77777777" w:rsidR="00C20624" w:rsidRPr="00B8555A" w:rsidRDefault="00C20624" w:rsidP="00C20624">
      <w:pPr>
        <w:spacing w:line="276" w:lineRule="auto"/>
        <w:jc w:val="center"/>
        <w:rPr>
          <w:b/>
          <w:color w:val="000000"/>
          <w:sz w:val="28"/>
          <w:szCs w:val="28"/>
          <w:lang w:val="en-GB"/>
        </w:rPr>
      </w:pPr>
    </w:p>
    <w:p w14:paraId="00A391C9" w14:textId="77777777" w:rsidR="00C20624" w:rsidRPr="00B8555A" w:rsidRDefault="00C20624" w:rsidP="00C20624">
      <w:pPr>
        <w:spacing w:line="276" w:lineRule="auto"/>
        <w:jc w:val="center"/>
        <w:rPr>
          <w:b/>
          <w:color w:val="000000"/>
          <w:sz w:val="32"/>
          <w:szCs w:val="32"/>
          <w:lang w:val="en-GB"/>
        </w:rPr>
      </w:pPr>
      <w:r w:rsidRPr="00B8555A">
        <w:rPr>
          <w:b/>
          <w:color w:val="000000"/>
          <w:sz w:val="32"/>
          <w:szCs w:val="32"/>
          <w:lang w:val="en-GB"/>
        </w:rPr>
        <w:t>100</w:t>
      </w:r>
      <w:r w:rsidRPr="00B8555A">
        <w:rPr>
          <w:b/>
          <w:color w:val="000000"/>
          <w:sz w:val="32"/>
          <w:szCs w:val="32"/>
          <w:vertAlign w:val="superscript"/>
          <w:lang w:val="en-GB"/>
        </w:rPr>
        <w:t xml:space="preserve">th </w:t>
      </w:r>
      <w:r w:rsidRPr="00B8555A">
        <w:rPr>
          <w:b/>
          <w:color w:val="000000"/>
          <w:sz w:val="32"/>
          <w:szCs w:val="32"/>
          <w:lang w:val="en-GB"/>
        </w:rPr>
        <w:t>SESSION</w:t>
      </w:r>
    </w:p>
    <w:p w14:paraId="1E1C8617" w14:textId="77777777" w:rsidR="00C20624" w:rsidRDefault="00C20624" w:rsidP="00C20624">
      <w:pPr>
        <w:spacing w:after="200"/>
        <w:rPr>
          <w:color w:val="000000"/>
          <w:sz w:val="28"/>
          <w:szCs w:val="28"/>
          <w:lang w:val="en-GB"/>
        </w:rPr>
      </w:pPr>
    </w:p>
    <w:p w14:paraId="4750F16E" w14:textId="77777777" w:rsidR="00C20624" w:rsidRPr="006C1EA6" w:rsidRDefault="00C20624" w:rsidP="00C20624">
      <w:pPr>
        <w:spacing w:after="200"/>
        <w:jc w:val="center"/>
        <w:rPr>
          <w:color w:val="000000"/>
          <w:sz w:val="28"/>
          <w:szCs w:val="28"/>
          <w:lang w:val="en-GB"/>
        </w:rPr>
      </w:pPr>
      <w:r w:rsidRPr="006C1EA6">
        <w:rPr>
          <w:color w:val="000000"/>
          <w:sz w:val="28"/>
          <w:szCs w:val="28"/>
          <w:lang w:val="en-GB"/>
        </w:rPr>
        <w:t>Submitted: 5 September 2019</w:t>
      </w:r>
    </w:p>
    <w:p w14:paraId="074ADC79" w14:textId="77777777" w:rsidR="00C20624" w:rsidRPr="00A40F12" w:rsidRDefault="00C20624" w:rsidP="00C20624">
      <w:pPr>
        <w:spacing w:after="200"/>
        <w:jc w:val="center"/>
        <w:rPr>
          <w:b/>
          <w:bCs/>
          <w:color w:val="000000"/>
          <w:sz w:val="28"/>
          <w:szCs w:val="28"/>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70"/>
      </w:tblGrid>
      <w:tr w:rsidR="00C20624" w14:paraId="069C2AF6" w14:textId="77777777" w:rsidTr="004904A5">
        <w:trPr>
          <w:trHeight w:val="2448"/>
        </w:trPr>
        <w:tc>
          <w:tcPr>
            <w:tcW w:w="4680" w:type="dxa"/>
          </w:tcPr>
          <w:p w14:paraId="5DF8BF1C" w14:textId="77777777" w:rsidR="00C20624" w:rsidRPr="00A40F12" w:rsidRDefault="00C20624" w:rsidP="004904A5">
            <w:pPr>
              <w:tabs>
                <w:tab w:val="left" w:pos="2844"/>
                <w:tab w:val="center" w:pos="4680"/>
              </w:tabs>
              <w:spacing w:after="200" w:line="276" w:lineRule="auto"/>
              <w:contextualSpacing/>
              <w:jc w:val="center"/>
              <w:rPr>
                <w:b/>
                <w:bCs/>
                <w:color w:val="000000"/>
                <w:lang w:val="en-GB"/>
              </w:rPr>
            </w:pPr>
            <w:r w:rsidRPr="00A40F12">
              <w:rPr>
                <w:b/>
                <w:bCs/>
                <w:color w:val="000000"/>
                <w:lang w:val="en-GB"/>
              </w:rPr>
              <w:t>Al-Haq – Law in the Service of Man</w:t>
            </w:r>
          </w:p>
          <w:p w14:paraId="2AC87502" w14:textId="6717A01C" w:rsidR="00C20624" w:rsidRPr="00B8555A" w:rsidRDefault="00C20624" w:rsidP="004904A5">
            <w:pPr>
              <w:spacing w:after="200" w:line="276" w:lineRule="auto"/>
              <w:contextualSpacing/>
              <w:jc w:val="center"/>
              <w:rPr>
                <w:color w:val="000000"/>
                <w:lang w:val="en-GB"/>
              </w:rPr>
            </w:pPr>
            <w:r w:rsidRPr="00B8555A">
              <w:rPr>
                <w:color w:val="000000"/>
                <w:lang w:val="en-GB"/>
              </w:rPr>
              <w:t>P.O. Box: 1413,</w:t>
            </w:r>
            <w:r>
              <w:rPr>
                <w:color w:val="000000"/>
                <w:lang w:val="en-GB"/>
              </w:rPr>
              <w:t xml:space="preserve"> 54 Main Street,</w:t>
            </w:r>
            <w:r>
              <w:rPr>
                <w:color w:val="000000"/>
                <w:lang w:val="en-GB"/>
              </w:rPr>
              <w:br/>
              <w:t>2</w:t>
            </w:r>
            <w:r w:rsidRPr="003C61A0">
              <w:rPr>
                <w:color w:val="000000"/>
                <w:vertAlign w:val="superscript"/>
                <w:lang w:val="en-GB"/>
              </w:rPr>
              <w:t>nd</w:t>
            </w:r>
            <w:r>
              <w:rPr>
                <w:color w:val="000000"/>
                <w:lang w:val="en-GB"/>
              </w:rPr>
              <w:t xml:space="preserve"> and 3</w:t>
            </w:r>
            <w:r w:rsidRPr="003C61A0">
              <w:rPr>
                <w:color w:val="000000"/>
                <w:vertAlign w:val="superscript"/>
                <w:lang w:val="en-GB"/>
              </w:rPr>
              <w:t>rd</w:t>
            </w:r>
            <w:r>
              <w:rPr>
                <w:color w:val="000000"/>
                <w:lang w:val="en-GB"/>
              </w:rPr>
              <w:t xml:space="preserve"> Floors</w:t>
            </w:r>
          </w:p>
          <w:p w14:paraId="673D8D6A" w14:textId="77777777" w:rsidR="00C20624" w:rsidRPr="00B8555A" w:rsidRDefault="00C20624" w:rsidP="004904A5">
            <w:pPr>
              <w:spacing w:after="200" w:line="276" w:lineRule="auto"/>
              <w:contextualSpacing/>
              <w:jc w:val="center"/>
              <w:rPr>
                <w:color w:val="000000"/>
                <w:lang w:val="en-GB"/>
              </w:rPr>
            </w:pPr>
            <w:r>
              <w:rPr>
                <w:color w:val="000000"/>
                <w:lang w:val="en-GB"/>
              </w:rPr>
              <w:t xml:space="preserve">Ramallah, </w:t>
            </w:r>
            <w:r w:rsidRPr="00B8555A">
              <w:rPr>
                <w:color w:val="000000"/>
                <w:lang w:val="en-GB"/>
              </w:rPr>
              <w:t>Palestine</w:t>
            </w:r>
          </w:p>
          <w:p w14:paraId="3F67047C" w14:textId="77777777" w:rsidR="00C20624" w:rsidRPr="00B8555A" w:rsidRDefault="00C20624" w:rsidP="004904A5">
            <w:pPr>
              <w:spacing w:after="200" w:line="276" w:lineRule="auto"/>
              <w:contextualSpacing/>
              <w:jc w:val="center"/>
              <w:rPr>
                <w:color w:val="000000"/>
                <w:lang w:val="en-GB"/>
              </w:rPr>
            </w:pPr>
            <w:r w:rsidRPr="00B8555A">
              <w:rPr>
                <w:color w:val="000000"/>
                <w:lang w:val="en-GB"/>
              </w:rPr>
              <w:t>Tel: +970 2 2954646/7/9</w:t>
            </w:r>
          </w:p>
          <w:p w14:paraId="6E23CEE1" w14:textId="77777777" w:rsidR="00C20624" w:rsidRDefault="006B217B" w:rsidP="004904A5">
            <w:pPr>
              <w:spacing w:after="200" w:line="276" w:lineRule="auto"/>
              <w:contextualSpacing/>
              <w:jc w:val="center"/>
              <w:rPr>
                <w:b/>
                <w:bCs/>
                <w:color w:val="000000"/>
                <w:lang w:val="en-GB"/>
              </w:rPr>
            </w:pPr>
            <w:hyperlink r:id="rId13" w:history="1">
              <w:r w:rsidR="00C20624" w:rsidRPr="00B8555A">
                <w:rPr>
                  <w:rStyle w:val="Hyperlink"/>
                  <w:lang w:val="en-GB"/>
                </w:rPr>
                <w:t>www.alhaq.org</w:t>
              </w:r>
            </w:hyperlink>
          </w:p>
        </w:tc>
        <w:tc>
          <w:tcPr>
            <w:tcW w:w="4670" w:type="dxa"/>
          </w:tcPr>
          <w:p w14:paraId="6EC472AA" w14:textId="77777777" w:rsidR="00C20624" w:rsidRDefault="00C20624" w:rsidP="004904A5">
            <w:pPr>
              <w:tabs>
                <w:tab w:val="left" w:pos="2844"/>
                <w:tab w:val="center" w:pos="4680"/>
              </w:tabs>
              <w:spacing w:after="200" w:line="276" w:lineRule="auto"/>
              <w:contextualSpacing/>
              <w:jc w:val="center"/>
              <w:rPr>
                <w:b/>
                <w:bCs/>
                <w:color w:val="000000"/>
                <w:lang w:val="en-GB"/>
              </w:rPr>
            </w:pPr>
            <w:r>
              <w:rPr>
                <w:b/>
                <w:bCs/>
                <w:color w:val="000000"/>
                <w:lang w:val="en-GB"/>
              </w:rPr>
              <w:t>BADIL Resource Center for Palestinian Residency and Refugee Rights</w:t>
            </w:r>
          </w:p>
          <w:p w14:paraId="016FD760" w14:textId="77777777" w:rsidR="00C20624" w:rsidRPr="007A2ACA" w:rsidRDefault="00C20624" w:rsidP="004904A5">
            <w:pPr>
              <w:tabs>
                <w:tab w:val="left" w:pos="2844"/>
                <w:tab w:val="center" w:pos="4680"/>
              </w:tabs>
              <w:spacing w:after="200" w:line="276" w:lineRule="auto"/>
              <w:contextualSpacing/>
              <w:jc w:val="center"/>
              <w:rPr>
                <w:color w:val="000000"/>
              </w:rPr>
            </w:pPr>
            <w:r w:rsidRPr="007A2ACA">
              <w:rPr>
                <w:color w:val="000000"/>
              </w:rPr>
              <w:t>P</w:t>
            </w:r>
            <w:r>
              <w:rPr>
                <w:color w:val="000000"/>
              </w:rPr>
              <w:t>.</w:t>
            </w:r>
            <w:r w:rsidRPr="007A2ACA">
              <w:rPr>
                <w:color w:val="000000"/>
              </w:rPr>
              <w:t>O</w:t>
            </w:r>
            <w:r>
              <w:rPr>
                <w:color w:val="000000"/>
              </w:rPr>
              <w:t>.</w:t>
            </w:r>
            <w:r w:rsidRPr="007A2ACA">
              <w:rPr>
                <w:color w:val="000000"/>
              </w:rPr>
              <w:t xml:space="preserve"> Box</w:t>
            </w:r>
            <w:r>
              <w:rPr>
                <w:color w:val="000000"/>
              </w:rPr>
              <w:t>:</w:t>
            </w:r>
            <w:r w:rsidRPr="007A2ACA">
              <w:rPr>
                <w:color w:val="000000"/>
              </w:rPr>
              <w:t xml:space="preserve"> 728</w:t>
            </w:r>
            <w:r>
              <w:rPr>
                <w:color w:val="000000"/>
              </w:rPr>
              <w:t xml:space="preserve">, </w:t>
            </w:r>
            <w:r w:rsidRPr="007A2ACA">
              <w:rPr>
                <w:color w:val="000000"/>
              </w:rPr>
              <w:t>Kark</w:t>
            </w:r>
            <w:r>
              <w:rPr>
                <w:color w:val="000000"/>
              </w:rPr>
              <w:t>afa Street</w:t>
            </w:r>
          </w:p>
          <w:p w14:paraId="3AA63BD7" w14:textId="77777777" w:rsidR="00C20624" w:rsidRPr="007A2ACA" w:rsidRDefault="00C20624" w:rsidP="004904A5">
            <w:pPr>
              <w:tabs>
                <w:tab w:val="left" w:pos="2844"/>
                <w:tab w:val="center" w:pos="4680"/>
              </w:tabs>
              <w:spacing w:after="200" w:line="276" w:lineRule="auto"/>
              <w:contextualSpacing/>
              <w:jc w:val="center"/>
              <w:rPr>
                <w:color w:val="000000"/>
              </w:rPr>
            </w:pPr>
            <w:r w:rsidRPr="007A2ACA">
              <w:rPr>
                <w:color w:val="000000"/>
              </w:rPr>
              <w:t>Bethlehem, Palestine</w:t>
            </w:r>
          </w:p>
          <w:p w14:paraId="16528944" w14:textId="77777777" w:rsidR="00C20624" w:rsidRPr="007A2ACA" w:rsidRDefault="00C20624" w:rsidP="004904A5">
            <w:pPr>
              <w:tabs>
                <w:tab w:val="left" w:pos="2844"/>
                <w:tab w:val="center" w:pos="4680"/>
              </w:tabs>
              <w:spacing w:after="200" w:line="276" w:lineRule="auto"/>
              <w:contextualSpacing/>
              <w:jc w:val="center"/>
              <w:rPr>
                <w:color w:val="000000"/>
              </w:rPr>
            </w:pPr>
            <w:r w:rsidRPr="007A2ACA">
              <w:rPr>
                <w:color w:val="000000"/>
              </w:rPr>
              <w:t>Tel: +970-2-277-7086</w:t>
            </w:r>
          </w:p>
          <w:p w14:paraId="7768B2B1" w14:textId="77777777" w:rsidR="00C20624" w:rsidRPr="007A2ACA" w:rsidRDefault="006B217B" w:rsidP="004904A5">
            <w:pPr>
              <w:tabs>
                <w:tab w:val="left" w:pos="2844"/>
                <w:tab w:val="center" w:pos="4680"/>
              </w:tabs>
              <w:spacing w:after="200" w:line="276" w:lineRule="auto"/>
              <w:contextualSpacing/>
              <w:jc w:val="center"/>
              <w:rPr>
                <w:color w:val="000000"/>
              </w:rPr>
            </w:pPr>
            <w:hyperlink r:id="rId14" w:history="1">
              <w:r w:rsidR="00C20624" w:rsidRPr="00F054CB">
                <w:rPr>
                  <w:rStyle w:val="Hyperlink"/>
                </w:rPr>
                <w:t>www.badil.org</w:t>
              </w:r>
            </w:hyperlink>
          </w:p>
        </w:tc>
      </w:tr>
      <w:tr w:rsidR="00C20624" w14:paraId="459A9F15" w14:textId="77777777" w:rsidTr="004904A5">
        <w:trPr>
          <w:trHeight w:val="2187"/>
        </w:trPr>
        <w:tc>
          <w:tcPr>
            <w:tcW w:w="4680" w:type="dxa"/>
          </w:tcPr>
          <w:p w14:paraId="3028E02E" w14:textId="77777777" w:rsidR="00C20624" w:rsidRPr="00A40F12" w:rsidRDefault="00C20624" w:rsidP="004904A5">
            <w:pPr>
              <w:spacing w:line="276" w:lineRule="auto"/>
              <w:jc w:val="center"/>
              <w:rPr>
                <w:b/>
                <w:bCs/>
                <w:color w:val="000000"/>
                <w:lang w:val="en-GB"/>
              </w:rPr>
            </w:pPr>
            <w:r w:rsidRPr="00A40F12">
              <w:rPr>
                <w:b/>
                <w:bCs/>
                <w:color w:val="000000"/>
                <w:lang w:val="en-GB"/>
              </w:rPr>
              <w:t>Cairo Institute for Human Rights Studies</w:t>
            </w:r>
          </w:p>
          <w:p w14:paraId="2B2D231F" w14:textId="77777777" w:rsidR="00C20624" w:rsidRPr="00B8555A" w:rsidRDefault="00C20624" w:rsidP="004904A5">
            <w:pPr>
              <w:spacing w:line="276" w:lineRule="auto"/>
              <w:jc w:val="center"/>
              <w:rPr>
                <w:color w:val="000000"/>
                <w:lang w:val="en-GB"/>
              </w:rPr>
            </w:pPr>
            <w:r w:rsidRPr="00B8555A">
              <w:rPr>
                <w:color w:val="000000"/>
                <w:lang w:val="en-GB"/>
              </w:rPr>
              <w:t>21 Rue El Hijaz – 1002</w:t>
            </w:r>
          </w:p>
          <w:p w14:paraId="7DA93101" w14:textId="77777777" w:rsidR="00C20624" w:rsidRPr="00B8555A" w:rsidRDefault="00C20624" w:rsidP="004904A5">
            <w:pPr>
              <w:spacing w:line="276" w:lineRule="auto"/>
              <w:jc w:val="center"/>
              <w:rPr>
                <w:color w:val="000000"/>
                <w:lang w:val="en-GB"/>
              </w:rPr>
            </w:pPr>
            <w:r w:rsidRPr="00B8555A">
              <w:rPr>
                <w:color w:val="000000"/>
                <w:lang w:val="en-GB"/>
              </w:rPr>
              <w:t>Tunis Belvedere, Tunisia</w:t>
            </w:r>
          </w:p>
          <w:p w14:paraId="5EC9DDE9" w14:textId="77777777" w:rsidR="00C20624" w:rsidRPr="00B8555A" w:rsidRDefault="00C20624" w:rsidP="004904A5">
            <w:pPr>
              <w:spacing w:line="276" w:lineRule="auto"/>
              <w:jc w:val="center"/>
              <w:rPr>
                <w:color w:val="000000"/>
                <w:lang w:val="en-GB"/>
              </w:rPr>
            </w:pPr>
            <w:r w:rsidRPr="00B8555A">
              <w:rPr>
                <w:color w:val="000000"/>
                <w:lang w:val="en-GB"/>
              </w:rPr>
              <w:t>Tel: +216 719 010 43</w:t>
            </w:r>
          </w:p>
          <w:p w14:paraId="015318E0" w14:textId="77777777" w:rsidR="00C20624" w:rsidRPr="00034DE7" w:rsidRDefault="006B217B" w:rsidP="004904A5">
            <w:pPr>
              <w:tabs>
                <w:tab w:val="left" w:pos="2844"/>
                <w:tab w:val="center" w:pos="4680"/>
              </w:tabs>
              <w:spacing w:after="200" w:line="276" w:lineRule="auto"/>
              <w:contextualSpacing/>
              <w:jc w:val="center"/>
              <w:rPr>
                <w:color w:val="000000"/>
              </w:rPr>
            </w:pPr>
            <w:hyperlink r:id="rId15" w:history="1">
              <w:r w:rsidR="00C20624" w:rsidRPr="00B8555A">
                <w:rPr>
                  <w:rStyle w:val="Hyperlink"/>
                  <w:lang w:val="en-GB"/>
                </w:rPr>
                <w:t>www.cihrs.org</w:t>
              </w:r>
            </w:hyperlink>
          </w:p>
        </w:tc>
        <w:tc>
          <w:tcPr>
            <w:tcW w:w="4670" w:type="dxa"/>
          </w:tcPr>
          <w:p w14:paraId="6BEE0C0F" w14:textId="77777777" w:rsidR="00C20624" w:rsidRDefault="00C20624" w:rsidP="004904A5">
            <w:pPr>
              <w:tabs>
                <w:tab w:val="left" w:pos="2844"/>
                <w:tab w:val="center" w:pos="4680"/>
              </w:tabs>
              <w:spacing w:after="200" w:line="276" w:lineRule="auto"/>
              <w:contextualSpacing/>
              <w:jc w:val="center"/>
              <w:rPr>
                <w:b/>
                <w:bCs/>
                <w:color w:val="000000"/>
              </w:rPr>
            </w:pPr>
            <w:r>
              <w:rPr>
                <w:b/>
                <w:bCs/>
                <w:color w:val="000000"/>
              </w:rPr>
              <w:t>Habitat International Coalition – Housing and Land Rights Network</w:t>
            </w:r>
          </w:p>
          <w:p w14:paraId="7866EC53" w14:textId="51966127" w:rsidR="00B03864" w:rsidRPr="00034DE7" w:rsidRDefault="00B03864" w:rsidP="00B03864">
            <w:pPr>
              <w:tabs>
                <w:tab w:val="left" w:pos="2844"/>
                <w:tab w:val="center" w:pos="4680"/>
              </w:tabs>
              <w:spacing w:after="200" w:line="276" w:lineRule="auto"/>
              <w:contextualSpacing/>
              <w:jc w:val="center"/>
              <w:rPr>
                <w:color w:val="000000"/>
              </w:rPr>
            </w:pPr>
            <w:r>
              <w:rPr>
                <w:color w:val="000000"/>
              </w:rPr>
              <w:t>4 Sulaiman Abaza Street</w:t>
            </w:r>
            <w:r w:rsidRPr="00034DE7">
              <w:rPr>
                <w:color w:val="000000"/>
              </w:rPr>
              <w:t xml:space="preserve">, </w:t>
            </w:r>
            <w:r>
              <w:rPr>
                <w:color w:val="000000"/>
              </w:rPr>
              <w:t>3</w:t>
            </w:r>
            <w:r w:rsidRPr="00807066">
              <w:rPr>
                <w:color w:val="000000"/>
                <w:vertAlign w:val="superscript"/>
              </w:rPr>
              <w:t>rd</w:t>
            </w:r>
            <w:r w:rsidRPr="00034DE7">
              <w:rPr>
                <w:color w:val="000000"/>
              </w:rPr>
              <w:t xml:space="preserve"> Floor</w:t>
            </w:r>
          </w:p>
          <w:p w14:paraId="21D90975" w14:textId="6C1691CB" w:rsidR="00C20624" w:rsidRPr="00034DE7" w:rsidRDefault="00F16AFC" w:rsidP="004904A5">
            <w:pPr>
              <w:tabs>
                <w:tab w:val="left" w:pos="2844"/>
                <w:tab w:val="center" w:pos="4680"/>
              </w:tabs>
              <w:spacing w:after="200" w:line="276" w:lineRule="auto"/>
              <w:contextualSpacing/>
              <w:jc w:val="center"/>
              <w:rPr>
                <w:color w:val="000000"/>
              </w:rPr>
            </w:pPr>
            <w:r>
              <w:rPr>
                <w:color w:val="000000"/>
              </w:rPr>
              <w:t>Muhandisin, Cairo,</w:t>
            </w:r>
            <w:r w:rsidR="00C20624" w:rsidRPr="00034DE7">
              <w:rPr>
                <w:color w:val="000000"/>
              </w:rPr>
              <w:t xml:space="preserve"> Egypt </w:t>
            </w:r>
          </w:p>
          <w:p w14:paraId="1E4CA0FA" w14:textId="335054C4" w:rsidR="00C20624" w:rsidRDefault="00C20624" w:rsidP="004904A5">
            <w:pPr>
              <w:tabs>
                <w:tab w:val="left" w:pos="2844"/>
                <w:tab w:val="center" w:pos="4680"/>
              </w:tabs>
              <w:spacing w:after="200" w:line="276" w:lineRule="auto"/>
              <w:contextualSpacing/>
              <w:jc w:val="center"/>
              <w:rPr>
                <w:color w:val="000000"/>
              </w:rPr>
            </w:pPr>
            <w:r w:rsidRPr="00E703D6">
              <w:rPr>
                <w:color w:val="000000"/>
              </w:rPr>
              <w:t>Tel/Fax: +20 2 3748</w:t>
            </w:r>
            <w:r w:rsidR="00F16AFC">
              <w:rPr>
                <w:color w:val="000000"/>
              </w:rPr>
              <w:t>–</w:t>
            </w:r>
            <w:r w:rsidRPr="00034DE7">
              <w:rPr>
                <w:color w:val="000000"/>
              </w:rPr>
              <w:t>6379</w:t>
            </w:r>
          </w:p>
          <w:p w14:paraId="7CC857A1" w14:textId="77777777" w:rsidR="00C20624" w:rsidRDefault="006B217B" w:rsidP="004904A5">
            <w:pPr>
              <w:tabs>
                <w:tab w:val="left" w:pos="2844"/>
                <w:tab w:val="center" w:pos="4680"/>
              </w:tabs>
              <w:spacing w:after="200" w:line="276" w:lineRule="auto"/>
              <w:contextualSpacing/>
              <w:jc w:val="center"/>
              <w:rPr>
                <w:color w:val="000000"/>
              </w:rPr>
            </w:pPr>
            <w:hyperlink r:id="rId16" w:history="1">
              <w:r w:rsidR="00C20624" w:rsidRPr="006F1DB8">
                <w:rPr>
                  <w:rStyle w:val="Hyperlink"/>
                </w:rPr>
                <w:t>www.hlrn.org</w:t>
              </w:r>
            </w:hyperlink>
          </w:p>
          <w:p w14:paraId="2CD6C043" w14:textId="77777777" w:rsidR="00C20624" w:rsidRDefault="006B217B" w:rsidP="004904A5">
            <w:pPr>
              <w:tabs>
                <w:tab w:val="left" w:pos="2844"/>
                <w:tab w:val="center" w:pos="4680"/>
              </w:tabs>
              <w:spacing w:after="200" w:line="276" w:lineRule="auto"/>
              <w:contextualSpacing/>
              <w:jc w:val="center"/>
              <w:rPr>
                <w:b/>
                <w:bCs/>
                <w:color w:val="000000"/>
                <w:lang w:val="en-GB"/>
              </w:rPr>
            </w:pPr>
            <w:hyperlink r:id="rId17" w:history="1">
              <w:r w:rsidR="00C20624" w:rsidRPr="006F1DB8">
                <w:rPr>
                  <w:rStyle w:val="Hyperlink"/>
                </w:rPr>
                <w:t>www.hic-mena.org</w:t>
              </w:r>
            </w:hyperlink>
          </w:p>
        </w:tc>
      </w:tr>
    </w:tbl>
    <w:p w14:paraId="24A13A76" w14:textId="584C7FA8" w:rsidR="00E41DDF" w:rsidRPr="00E32B4E" w:rsidRDefault="00E671CF" w:rsidP="007A6CA7">
      <w:pPr>
        <w:pStyle w:val="Heading1"/>
        <w:numPr>
          <w:ilvl w:val="0"/>
          <w:numId w:val="0"/>
        </w:numPr>
        <w:ind w:left="540" w:hanging="540"/>
        <w:rPr>
          <w:sz w:val="28"/>
          <w:szCs w:val="28"/>
        </w:rPr>
      </w:pPr>
      <w:bookmarkStart w:id="16" w:name="_Toc18598925"/>
      <w:bookmarkStart w:id="17" w:name="_Toc18615797"/>
      <w:r w:rsidRPr="00E32B4E">
        <w:rPr>
          <w:sz w:val="28"/>
          <w:szCs w:val="28"/>
        </w:rPr>
        <w:lastRenderedPageBreak/>
        <w:t>Table of Contents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6"/>
      <w:bookmarkEnd w:id="17"/>
    </w:p>
    <w:sdt>
      <w:sdtPr>
        <w:rPr>
          <w:highlight w:val="yellow"/>
        </w:rPr>
        <w:id w:val="-1108743667"/>
        <w:docPartObj>
          <w:docPartGallery w:val="Table of Contents"/>
          <w:docPartUnique/>
        </w:docPartObj>
      </w:sdtPr>
      <w:sdtEndPr>
        <w:rPr>
          <w:rFonts w:ascii="Times New Roman" w:hAnsi="Times New Roman"/>
          <w:noProof/>
          <w:highlight w:val="none"/>
        </w:rPr>
      </w:sdtEndPr>
      <w:sdtContent>
        <w:p w14:paraId="2FF123CB" w14:textId="73564FFB" w:rsidR="00685CB4" w:rsidRPr="00685CB4" w:rsidRDefault="00E41DDF" w:rsidP="00685CB4">
          <w:pPr>
            <w:pStyle w:val="TOC1"/>
            <w:rPr>
              <w:rFonts w:ascii="Times New Roman" w:eastAsiaTheme="minorEastAsia" w:hAnsi="Times New Roman"/>
              <w:b w:val="0"/>
              <w:bCs w:val="0"/>
              <w:noProof/>
            </w:rPr>
          </w:pPr>
          <w:r w:rsidRPr="00C20624">
            <w:rPr>
              <w:rFonts w:ascii="Times New Roman" w:hAnsi="Times New Roman"/>
            </w:rPr>
            <w:fldChar w:fldCharType="begin"/>
          </w:r>
          <w:r w:rsidRPr="00E32B4E">
            <w:rPr>
              <w:rFonts w:ascii="Times New Roman" w:hAnsi="Times New Roman"/>
            </w:rPr>
            <w:instrText xml:space="preserve"> TOC \o "1-3" \h \z \u </w:instrText>
          </w:r>
          <w:r w:rsidRPr="00C20624">
            <w:rPr>
              <w:rFonts w:ascii="Times New Roman" w:hAnsi="Times New Roman"/>
            </w:rPr>
            <w:fldChar w:fldCharType="separate"/>
          </w:r>
        </w:p>
        <w:p w14:paraId="50F6EC7A" w14:textId="77777777" w:rsidR="00685CB4" w:rsidRPr="00685CB4" w:rsidRDefault="006B217B">
          <w:pPr>
            <w:pStyle w:val="TOC1"/>
            <w:rPr>
              <w:rFonts w:ascii="Times New Roman" w:eastAsiaTheme="minorEastAsia" w:hAnsi="Times New Roman"/>
              <w:b w:val="0"/>
              <w:bCs w:val="0"/>
              <w:noProof/>
            </w:rPr>
          </w:pPr>
          <w:hyperlink w:anchor="_Toc18615798" w:history="1">
            <w:r w:rsidR="00685CB4" w:rsidRPr="00685CB4">
              <w:rPr>
                <w:rStyle w:val="Hyperlink"/>
                <w:rFonts w:ascii="Times New Roman" w:hAnsi="Times New Roman"/>
                <w:noProof/>
              </w:rPr>
              <w:t>1.</w:t>
            </w:r>
            <w:r w:rsidR="00685CB4" w:rsidRPr="00685CB4">
              <w:rPr>
                <w:rFonts w:ascii="Times New Roman" w:eastAsiaTheme="minorEastAsia" w:hAnsi="Times New Roman"/>
                <w:b w:val="0"/>
                <w:bCs w:val="0"/>
                <w:noProof/>
              </w:rPr>
              <w:tab/>
            </w:r>
            <w:r w:rsidR="00685CB4" w:rsidRPr="00685CB4">
              <w:rPr>
                <w:rStyle w:val="Hyperlink"/>
                <w:rFonts w:ascii="Times New Roman" w:hAnsi="Times New Roman"/>
                <w:noProof/>
              </w:rPr>
              <w:t>Introduction</w:t>
            </w:r>
            <w:r w:rsidR="00685CB4" w:rsidRPr="00685CB4">
              <w:rPr>
                <w:rFonts w:ascii="Times New Roman" w:hAnsi="Times New Roman"/>
                <w:noProof/>
                <w:webHidden/>
              </w:rPr>
              <w:tab/>
            </w:r>
            <w:r w:rsidR="00685CB4" w:rsidRPr="00685CB4">
              <w:rPr>
                <w:rFonts w:ascii="Times New Roman" w:hAnsi="Times New Roman"/>
                <w:noProof/>
                <w:webHidden/>
              </w:rPr>
              <w:fldChar w:fldCharType="begin"/>
            </w:r>
            <w:r w:rsidR="00685CB4" w:rsidRPr="00685CB4">
              <w:rPr>
                <w:rFonts w:ascii="Times New Roman" w:hAnsi="Times New Roman"/>
                <w:noProof/>
                <w:webHidden/>
              </w:rPr>
              <w:instrText xml:space="preserve"> PAGEREF _Toc18615798 \h </w:instrText>
            </w:r>
            <w:r w:rsidR="00685CB4" w:rsidRPr="00685CB4">
              <w:rPr>
                <w:rFonts w:ascii="Times New Roman" w:hAnsi="Times New Roman"/>
                <w:noProof/>
                <w:webHidden/>
              </w:rPr>
            </w:r>
            <w:r w:rsidR="00685CB4" w:rsidRPr="00685CB4">
              <w:rPr>
                <w:rFonts w:ascii="Times New Roman" w:hAnsi="Times New Roman"/>
                <w:noProof/>
                <w:webHidden/>
              </w:rPr>
              <w:fldChar w:fldCharType="separate"/>
            </w:r>
            <w:r w:rsidR="004141E3">
              <w:rPr>
                <w:rFonts w:ascii="Times New Roman" w:hAnsi="Times New Roman"/>
                <w:noProof/>
                <w:webHidden/>
              </w:rPr>
              <w:t>1</w:t>
            </w:r>
            <w:r w:rsidR="00685CB4" w:rsidRPr="00685CB4">
              <w:rPr>
                <w:rFonts w:ascii="Times New Roman" w:hAnsi="Times New Roman"/>
                <w:noProof/>
                <w:webHidden/>
              </w:rPr>
              <w:fldChar w:fldCharType="end"/>
            </w:r>
          </w:hyperlink>
        </w:p>
        <w:p w14:paraId="2BDAD3F8" w14:textId="77777777" w:rsidR="00685CB4" w:rsidRPr="00685CB4" w:rsidRDefault="006B217B">
          <w:pPr>
            <w:pStyle w:val="TOC1"/>
            <w:rPr>
              <w:rFonts w:ascii="Times New Roman" w:eastAsiaTheme="minorEastAsia" w:hAnsi="Times New Roman"/>
              <w:b w:val="0"/>
              <w:bCs w:val="0"/>
              <w:noProof/>
            </w:rPr>
          </w:pPr>
          <w:hyperlink w:anchor="_Toc18615799" w:history="1">
            <w:r w:rsidR="00685CB4" w:rsidRPr="00685CB4">
              <w:rPr>
                <w:rStyle w:val="Hyperlink"/>
                <w:rFonts w:ascii="Times New Roman" w:hAnsi="Times New Roman"/>
                <w:noProof/>
              </w:rPr>
              <w:t>2.</w:t>
            </w:r>
            <w:r w:rsidR="00685CB4" w:rsidRPr="00685CB4">
              <w:rPr>
                <w:rFonts w:ascii="Times New Roman" w:eastAsiaTheme="minorEastAsia" w:hAnsi="Times New Roman"/>
                <w:b w:val="0"/>
                <w:bCs w:val="0"/>
                <w:noProof/>
              </w:rPr>
              <w:tab/>
            </w:r>
            <w:r w:rsidR="00685CB4" w:rsidRPr="00685CB4">
              <w:rPr>
                <w:rStyle w:val="Hyperlink"/>
                <w:rFonts w:ascii="Times New Roman" w:hAnsi="Times New Roman"/>
                <w:noProof/>
              </w:rPr>
              <w:t>Institutionalised Racial Discrimination against the Palestinian People</w:t>
            </w:r>
            <w:r w:rsidR="00685CB4" w:rsidRPr="00685CB4">
              <w:rPr>
                <w:rFonts w:ascii="Times New Roman" w:hAnsi="Times New Roman"/>
                <w:noProof/>
                <w:webHidden/>
              </w:rPr>
              <w:tab/>
            </w:r>
            <w:r w:rsidR="00685CB4" w:rsidRPr="00685CB4">
              <w:rPr>
                <w:rFonts w:ascii="Times New Roman" w:hAnsi="Times New Roman"/>
                <w:noProof/>
                <w:webHidden/>
              </w:rPr>
              <w:fldChar w:fldCharType="begin"/>
            </w:r>
            <w:r w:rsidR="00685CB4" w:rsidRPr="00685CB4">
              <w:rPr>
                <w:rFonts w:ascii="Times New Roman" w:hAnsi="Times New Roman"/>
                <w:noProof/>
                <w:webHidden/>
              </w:rPr>
              <w:instrText xml:space="preserve"> PAGEREF _Toc18615799 \h </w:instrText>
            </w:r>
            <w:r w:rsidR="00685CB4" w:rsidRPr="00685CB4">
              <w:rPr>
                <w:rFonts w:ascii="Times New Roman" w:hAnsi="Times New Roman"/>
                <w:noProof/>
                <w:webHidden/>
              </w:rPr>
            </w:r>
            <w:r w:rsidR="00685CB4" w:rsidRPr="00685CB4">
              <w:rPr>
                <w:rFonts w:ascii="Times New Roman" w:hAnsi="Times New Roman"/>
                <w:noProof/>
                <w:webHidden/>
              </w:rPr>
              <w:fldChar w:fldCharType="separate"/>
            </w:r>
            <w:r w:rsidR="004141E3">
              <w:rPr>
                <w:rFonts w:ascii="Times New Roman" w:hAnsi="Times New Roman"/>
                <w:noProof/>
                <w:webHidden/>
              </w:rPr>
              <w:t>2</w:t>
            </w:r>
            <w:r w:rsidR="00685CB4" w:rsidRPr="00685CB4">
              <w:rPr>
                <w:rFonts w:ascii="Times New Roman" w:hAnsi="Times New Roman"/>
                <w:noProof/>
                <w:webHidden/>
              </w:rPr>
              <w:fldChar w:fldCharType="end"/>
            </w:r>
          </w:hyperlink>
        </w:p>
        <w:p w14:paraId="0502AE29" w14:textId="77777777" w:rsidR="00685CB4" w:rsidRPr="00685CB4" w:rsidRDefault="006B217B">
          <w:pPr>
            <w:pStyle w:val="TOC1"/>
            <w:rPr>
              <w:rFonts w:ascii="Times New Roman" w:eastAsiaTheme="minorEastAsia" w:hAnsi="Times New Roman"/>
              <w:b w:val="0"/>
              <w:bCs w:val="0"/>
              <w:noProof/>
            </w:rPr>
          </w:pPr>
          <w:hyperlink w:anchor="_Toc18615800" w:history="1">
            <w:r w:rsidR="00685CB4" w:rsidRPr="00685CB4">
              <w:rPr>
                <w:rStyle w:val="Hyperlink"/>
                <w:rFonts w:ascii="Times New Roman" w:hAnsi="Times New Roman"/>
                <w:noProof/>
              </w:rPr>
              <w:t>3.</w:t>
            </w:r>
            <w:r w:rsidR="00685CB4" w:rsidRPr="00685CB4">
              <w:rPr>
                <w:rFonts w:ascii="Times New Roman" w:eastAsiaTheme="minorEastAsia" w:hAnsi="Times New Roman"/>
                <w:b w:val="0"/>
                <w:bCs w:val="0"/>
                <w:noProof/>
              </w:rPr>
              <w:tab/>
            </w:r>
            <w:r w:rsidR="00685CB4" w:rsidRPr="00685CB4">
              <w:rPr>
                <w:rStyle w:val="Hyperlink"/>
                <w:rFonts w:ascii="Times New Roman" w:hAnsi="Times New Roman"/>
                <w:noProof/>
              </w:rPr>
              <w:t>Failure to Report on the Rights of Palestinians</w:t>
            </w:r>
            <w:r w:rsidR="00685CB4" w:rsidRPr="00685CB4">
              <w:rPr>
                <w:rFonts w:ascii="Times New Roman" w:hAnsi="Times New Roman"/>
                <w:noProof/>
                <w:webHidden/>
              </w:rPr>
              <w:tab/>
            </w:r>
            <w:r w:rsidR="00685CB4" w:rsidRPr="00685CB4">
              <w:rPr>
                <w:rFonts w:ascii="Times New Roman" w:hAnsi="Times New Roman"/>
                <w:noProof/>
                <w:webHidden/>
              </w:rPr>
              <w:fldChar w:fldCharType="begin"/>
            </w:r>
            <w:r w:rsidR="00685CB4" w:rsidRPr="00685CB4">
              <w:rPr>
                <w:rFonts w:ascii="Times New Roman" w:hAnsi="Times New Roman"/>
                <w:noProof/>
                <w:webHidden/>
              </w:rPr>
              <w:instrText xml:space="preserve"> PAGEREF _Toc18615800 \h </w:instrText>
            </w:r>
            <w:r w:rsidR="00685CB4" w:rsidRPr="00685CB4">
              <w:rPr>
                <w:rFonts w:ascii="Times New Roman" w:hAnsi="Times New Roman"/>
                <w:noProof/>
                <w:webHidden/>
              </w:rPr>
            </w:r>
            <w:r w:rsidR="00685CB4" w:rsidRPr="00685CB4">
              <w:rPr>
                <w:rFonts w:ascii="Times New Roman" w:hAnsi="Times New Roman"/>
                <w:noProof/>
                <w:webHidden/>
              </w:rPr>
              <w:fldChar w:fldCharType="separate"/>
            </w:r>
            <w:r w:rsidR="004141E3">
              <w:rPr>
                <w:rFonts w:ascii="Times New Roman" w:hAnsi="Times New Roman"/>
                <w:noProof/>
                <w:webHidden/>
              </w:rPr>
              <w:t>6</w:t>
            </w:r>
            <w:r w:rsidR="00685CB4" w:rsidRPr="00685CB4">
              <w:rPr>
                <w:rFonts w:ascii="Times New Roman" w:hAnsi="Times New Roman"/>
                <w:noProof/>
                <w:webHidden/>
              </w:rPr>
              <w:fldChar w:fldCharType="end"/>
            </w:r>
          </w:hyperlink>
        </w:p>
        <w:p w14:paraId="52DFFEEF" w14:textId="77777777" w:rsidR="00685CB4" w:rsidRPr="00685CB4" w:rsidRDefault="006B217B">
          <w:pPr>
            <w:pStyle w:val="TOC1"/>
            <w:rPr>
              <w:rFonts w:ascii="Times New Roman" w:eastAsiaTheme="minorEastAsia" w:hAnsi="Times New Roman"/>
              <w:b w:val="0"/>
              <w:bCs w:val="0"/>
              <w:noProof/>
            </w:rPr>
          </w:pPr>
          <w:hyperlink w:anchor="_Toc18615801" w:history="1">
            <w:r w:rsidR="00685CB4" w:rsidRPr="00685CB4">
              <w:rPr>
                <w:rStyle w:val="Hyperlink"/>
                <w:rFonts w:ascii="Times New Roman" w:hAnsi="Times New Roman"/>
                <w:noProof/>
              </w:rPr>
              <w:t>4.</w:t>
            </w:r>
            <w:r w:rsidR="00685CB4" w:rsidRPr="00685CB4">
              <w:rPr>
                <w:rFonts w:ascii="Times New Roman" w:eastAsiaTheme="minorEastAsia" w:hAnsi="Times New Roman"/>
                <w:b w:val="0"/>
                <w:bCs w:val="0"/>
                <w:noProof/>
              </w:rPr>
              <w:tab/>
            </w:r>
            <w:r w:rsidR="00685CB4" w:rsidRPr="00685CB4">
              <w:rPr>
                <w:rStyle w:val="Hyperlink"/>
                <w:rFonts w:ascii="Times New Roman" w:hAnsi="Times New Roman"/>
                <w:noProof/>
              </w:rPr>
              <w:t>Policies and Practices of Racial Segregation and Apartheid</w:t>
            </w:r>
            <w:r w:rsidR="00685CB4" w:rsidRPr="00685CB4">
              <w:rPr>
                <w:rFonts w:ascii="Times New Roman" w:hAnsi="Times New Roman"/>
                <w:noProof/>
                <w:webHidden/>
              </w:rPr>
              <w:tab/>
            </w:r>
            <w:r w:rsidR="00685CB4" w:rsidRPr="00685CB4">
              <w:rPr>
                <w:rFonts w:ascii="Times New Roman" w:hAnsi="Times New Roman"/>
                <w:noProof/>
                <w:webHidden/>
              </w:rPr>
              <w:fldChar w:fldCharType="begin"/>
            </w:r>
            <w:r w:rsidR="00685CB4" w:rsidRPr="00685CB4">
              <w:rPr>
                <w:rFonts w:ascii="Times New Roman" w:hAnsi="Times New Roman"/>
                <w:noProof/>
                <w:webHidden/>
              </w:rPr>
              <w:instrText xml:space="preserve"> PAGEREF _Toc18615801 \h </w:instrText>
            </w:r>
            <w:r w:rsidR="00685CB4" w:rsidRPr="00685CB4">
              <w:rPr>
                <w:rFonts w:ascii="Times New Roman" w:hAnsi="Times New Roman"/>
                <w:noProof/>
                <w:webHidden/>
              </w:rPr>
            </w:r>
            <w:r w:rsidR="00685CB4" w:rsidRPr="00685CB4">
              <w:rPr>
                <w:rFonts w:ascii="Times New Roman" w:hAnsi="Times New Roman"/>
                <w:noProof/>
                <w:webHidden/>
              </w:rPr>
              <w:fldChar w:fldCharType="separate"/>
            </w:r>
            <w:r w:rsidR="004141E3">
              <w:rPr>
                <w:rFonts w:ascii="Times New Roman" w:hAnsi="Times New Roman"/>
                <w:noProof/>
                <w:webHidden/>
              </w:rPr>
              <w:t>7</w:t>
            </w:r>
            <w:r w:rsidR="00685CB4" w:rsidRPr="00685CB4">
              <w:rPr>
                <w:rFonts w:ascii="Times New Roman" w:hAnsi="Times New Roman"/>
                <w:noProof/>
                <w:webHidden/>
              </w:rPr>
              <w:fldChar w:fldCharType="end"/>
            </w:r>
          </w:hyperlink>
        </w:p>
        <w:p w14:paraId="7643FED2" w14:textId="77777777" w:rsidR="00685CB4" w:rsidRPr="00685CB4" w:rsidRDefault="006B217B">
          <w:pPr>
            <w:pStyle w:val="TOC1"/>
            <w:rPr>
              <w:rFonts w:ascii="Times New Roman" w:eastAsiaTheme="minorEastAsia" w:hAnsi="Times New Roman"/>
              <w:b w:val="0"/>
              <w:bCs w:val="0"/>
              <w:noProof/>
            </w:rPr>
          </w:pPr>
          <w:hyperlink w:anchor="_Toc18615802" w:history="1">
            <w:r w:rsidR="00685CB4" w:rsidRPr="00685CB4">
              <w:rPr>
                <w:rStyle w:val="Hyperlink"/>
                <w:rFonts w:ascii="Times New Roman" w:hAnsi="Times New Roman"/>
                <w:noProof/>
              </w:rPr>
              <w:t>5.</w:t>
            </w:r>
            <w:r w:rsidR="00685CB4" w:rsidRPr="00685CB4">
              <w:rPr>
                <w:rFonts w:ascii="Times New Roman" w:eastAsiaTheme="minorEastAsia" w:hAnsi="Times New Roman"/>
                <w:b w:val="0"/>
                <w:bCs w:val="0"/>
                <w:noProof/>
              </w:rPr>
              <w:tab/>
            </w:r>
            <w:r w:rsidR="00685CB4" w:rsidRPr="00685CB4">
              <w:rPr>
                <w:rStyle w:val="Hyperlink"/>
                <w:rFonts w:ascii="Times New Roman" w:hAnsi="Times New Roman"/>
                <w:noProof/>
              </w:rPr>
              <w:t>Rights to Property, Adequate Housing, and Access to Land and Natural Resources</w:t>
            </w:r>
            <w:r w:rsidR="00685CB4" w:rsidRPr="00685CB4">
              <w:rPr>
                <w:rFonts w:ascii="Times New Roman" w:hAnsi="Times New Roman"/>
                <w:noProof/>
                <w:webHidden/>
              </w:rPr>
              <w:tab/>
            </w:r>
            <w:r w:rsidR="00685CB4" w:rsidRPr="00685CB4">
              <w:rPr>
                <w:rFonts w:ascii="Times New Roman" w:hAnsi="Times New Roman"/>
                <w:noProof/>
                <w:webHidden/>
              </w:rPr>
              <w:fldChar w:fldCharType="begin"/>
            </w:r>
            <w:r w:rsidR="00685CB4" w:rsidRPr="00685CB4">
              <w:rPr>
                <w:rFonts w:ascii="Times New Roman" w:hAnsi="Times New Roman"/>
                <w:noProof/>
                <w:webHidden/>
              </w:rPr>
              <w:instrText xml:space="preserve"> PAGEREF _Toc18615802 \h </w:instrText>
            </w:r>
            <w:r w:rsidR="00685CB4" w:rsidRPr="00685CB4">
              <w:rPr>
                <w:rFonts w:ascii="Times New Roman" w:hAnsi="Times New Roman"/>
                <w:noProof/>
                <w:webHidden/>
              </w:rPr>
            </w:r>
            <w:r w:rsidR="00685CB4" w:rsidRPr="00685CB4">
              <w:rPr>
                <w:rFonts w:ascii="Times New Roman" w:hAnsi="Times New Roman"/>
                <w:noProof/>
                <w:webHidden/>
              </w:rPr>
              <w:fldChar w:fldCharType="separate"/>
            </w:r>
            <w:r w:rsidR="004141E3">
              <w:rPr>
                <w:rFonts w:ascii="Times New Roman" w:hAnsi="Times New Roman"/>
                <w:noProof/>
                <w:webHidden/>
              </w:rPr>
              <w:t>10</w:t>
            </w:r>
            <w:r w:rsidR="00685CB4" w:rsidRPr="00685CB4">
              <w:rPr>
                <w:rFonts w:ascii="Times New Roman" w:hAnsi="Times New Roman"/>
                <w:noProof/>
                <w:webHidden/>
              </w:rPr>
              <w:fldChar w:fldCharType="end"/>
            </w:r>
          </w:hyperlink>
        </w:p>
        <w:p w14:paraId="2993C2FD" w14:textId="77777777" w:rsidR="00685CB4" w:rsidRPr="00685CB4" w:rsidRDefault="006B217B">
          <w:pPr>
            <w:pStyle w:val="TOC1"/>
            <w:rPr>
              <w:rFonts w:ascii="Times New Roman" w:eastAsiaTheme="minorEastAsia" w:hAnsi="Times New Roman"/>
              <w:b w:val="0"/>
              <w:bCs w:val="0"/>
              <w:noProof/>
            </w:rPr>
          </w:pPr>
          <w:hyperlink w:anchor="_Toc18615803" w:history="1">
            <w:r w:rsidR="00685CB4" w:rsidRPr="00685CB4">
              <w:rPr>
                <w:rStyle w:val="Hyperlink"/>
                <w:rFonts w:ascii="Times New Roman" w:hAnsi="Times New Roman"/>
                <w:noProof/>
              </w:rPr>
              <w:t>6.</w:t>
            </w:r>
            <w:r w:rsidR="00685CB4" w:rsidRPr="00685CB4">
              <w:rPr>
                <w:rFonts w:ascii="Times New Roman" w:eastAsiaTheme="minorEastAsia" w:hAnsi="Times New Roman"/>
                <w:b w:val="0"/>
                <w:bCs w:val="0"/>
                <w:noProof/>
              </w:rPr>
              <w:tab/>
            </w:r>
            <w:r w:rsidR="00685CB4" w:rsidRPr="00685CB4">
              <w:rPr>
                <w:rStyle w:val="Hyperlink"/>
                <w:rFonts w:ascii="Times New Roman" w:hAnsi="Times New Roman"/>
                <w:noProof/>
              </w:rPr>
              <w:t>Denial of Residency Rights in Jerusalem and Demographic Manipulation</w:t>
            </w:r>
            <w:r w:rsidR="00685CB4" w:rsidRPr="00685CB4">
              <w:rPr>
                <w:rFonts w:ascii="Times New Roman" w:hAnsi="Times New Roman"/>
                <w:noProof/>
                <w:webHidden/>
              </w:rPr>
              <w:tab/>
            </w:r>
            <w:r w:rsidR="00685CB4" w:rsidRPr="00685CB4">
              <w:rPr>
                <w:rFonts w:ascii="Times New Roman" w:hAnsi="Times New Roman"/>
                <w:noProof/>
                <w:webHidden/>
              </w:rPr>
              <w:fldChar w:fldCharType="begin"/>
            </w:r>
            <w:r w:rsidR="00685CB4" w:rsidRPr="00685CB4">
              <w:rPr>
                <w:rFonts w:ascii="Times New Roman" w:hAnsi="Times New Roman"/>
                <w:noProof/>
                <w:webHidden/>
              </w:rPr>
              <w:instrText xml:space="preserve"> PAGEREF _Toc18615803 \h </w:instrText>
            </w:r>
            <w:r w:rsidR="00685CB4" w:rsidRPr="00685CB4">
              <w:rPr>
                <w:rFonts w:ascii="Times New Roman" w:hAnsi="Times New Roman"/>
                <w:noProof/>
                <w:webHidden/>
              </w:rPr>
            </w:r>
            <w:r w:rsidR="00685CB4" w:rsidRPr="00685CB4">
              <w:rPr>
                <w:rFonts w:ascii="Times New Roman" w:hAnsi="Times New Roman"/>
                <w:noProof/>
                <w:webHidden/>
              </w:rPr>
              <w:fldChar w:fldCharType="separate"/>
            </w:r>
            <w:r w:rsidR="004141E3">
              <w:rPr>
                <w:rFonts w:ascii="Times New Roman" w:hAnsi="Times New Roman"/>
                <w:noProof/>
                <w:webHidden/>
              </w:rPr>
              <w:t>13</w:t>
            </w:r>
            <w:r w:rsidR="00685CB4" w:rsidRPr="00685CB4">
              <w:rPr>
                <w:rFonts w:ascii="Times New Roman" w:hAnsi="Times New Roman"/>
                <w:noProof/>
                <w:webHidden/>
              </w:rPr>
              <w:fldChar w:fldCharType="end"/>
            </w:r>
          </w:hyperlink>
        </w:p>
        <w:p w14:paraId="24AC31C3" w14:textId="77777777" w:rsidR="00685CB4" w:rsidRDefault="006B217B">
          <w:pPr>
            <w:pStyle w:val="TOC1"/>
            <w:rPr>
              <w:rFonts w:eastAsiaTheme="minorEastAsia" w:cstheme="minorBidi"/>
              <w:b w:val="0"/>
              <w:bCs w:val="0"/>
              <w:noProof/>
            </w:rPr>
          </w:pPr>
          <w:hyperlink w:anchor="_Toc18615804" w:history="1">
            <w:r w:rsidR="00685CB4" w:rsidRPr="00685CB4">
              <w:rPr>
                <w:rStyle w:val="Hyperlink"/>
                <w:rFonts w:ascii="Times New Roman" w:hAnsi="Times New Roman"/>
                <w:noProof/>
              </w:rPr>
              <w:t>7.</w:t>
            </w:r>
            <w:r w:rsidR="00685CB4" w:rsidRPr="00685CB4">
              <w:rPr>
                <w:rFonts w:ascii="Times New Roman" w:eastAsiaTheme="minorEastAsia" w:hAnsi="Times New Roman"/>
                <w:b w:val="0"/>
                <w:bCs w:val="0"/>
                <w:noProof/>
              </w:rPr>
              <w:tab/>
            </w:r>
            <w:r w:rsidR="00685CB4" w:rsidRPr="00685CB4">
              <w:rPr>
                <w:rStyle w:val="Hyperlink"/>
                <w:rFonts w:ascii="Times New Roman" w:hAnsi="Times New Roman"/>
                <w:noProof/>
              </w:rPr>
              <w:t>Failure to Rescind the Gaza Closure Policy</w:t>
            </w:r>
            <w:r w:rsidR="00685CB4" w:rsidRPr="00685CB4">
              <w:rPr>
                <w:rFonts w:ascii="Times New Roman" w:hAnsi="Times New Roman"/>
                <w:noProof/>
                <w:webHidden/>
              </w:rPr>
              <w:tab/>
            </w:r>
            <w:r w:rsidR="00685CB4" w:rsidRPr="00685CB4">
              <w:rPr>
                <w:rFonts w:ascii="Times New Roman" w:hAnsi="Times New Roman"/>
                <w:noProof/>
                <w:webHidden/>
              </w:rPr>
              <w:fldChar w:fldCharType="begin"/>
            </w:r>
            <w:r w:rsidR="00685CB4" w:rsidRPr="00685CB4">
              <w:rPr>
                <w:rFonts w:ascii="Times New Roman" w:hAnsi="Times New Roman"/>
                <w:noProof/>
                <w:webHidden/>
              </w:rPr>
              <w:instrText xml:space="preserve"> PAGEREF _Toc18615804 \h </w:instrText>
            </w:r>
            <w:r w:rsidR="00685CB4" w:rsidRPr="00685CB4">
              <w:rPr>
                <w:rFonts w:ascii="Times New Roman" w:hAnsi="Times New Roman"/>
                <w:noProof/>
                <w:webHidden/>
              </w:rPr>
            </w:r>
            <w:r w:rsidR="00685CB4" w:rsidRPr="00685CB4">
              <w:rPr>
                <w:rFonts w:ascii="Times New Roman" w:hAnsi="Times New Roman"/>
                <w:noProof/>
                <w:webHidden/>
              </w:rPr>
              <w:fldChar w:fldCharType="separate"/>
            </w:r>
            <w:r w:rsidR="004141E3">
              <w:rPr>
                <w:rFonts w:ascii="Times New Roman" w:hAnsi="Times New Roman"/>
                <w:noProof/>
                <w:webHidden/>
              </w:rPr>
              <w:t>16</w:t>
            </w:r>
            <w:r w:rsidR="00685CB4" w:rsidRPr="00685CB4">
              <w:rPr>
                <w:rFonts w:ascii="Times New Roman" w:hAnsi="Times New Roman"/>
                <w:noProof/>
                <w:webHidden/>
              </w:rPr>
              <w:fldChar w:fldCharType="end"/>
            </w:r>
          </w:hyperlink>
        </w:p>
        <w:p w14:paraId="386BC4D5" w14:textId="51F9A9DE" w:rsidR="00E41DDF" w:rsidRPr="00C20624" w:rsidRDefault="00E41DDF" w:rsidP="004904A5">
          <w:pPr>
            <w:pStyle w:val="TOC1"/>
            <w:rPr>
              <w:rFonts w:ascii="Times New Roman" w:hAnsi="Times New Roman"/>
              <w:noProof/>
              <w:lang w:val="en-GB"/>
            </w:rPr>
          </w:pPr>
          <w:r w:rsidRPr="00C20624">
            <w:rPr>
              <w:rFonts w:ascii="Times New Roman" w:hAnsi="Times New Roman"/>
              <w:noProof/>
              <w:lang w:val="en-GB"/>
            </w:rPr>
            <w:fldChar w:fldCharType="end"/>
          </w:r>
        </w:p>
      </w:sdtContent>
    </w:sdt>
    <w:p w14:paraId="7DF072C5" w14:textId="0EBC80A6" w:rsidR="00266633" w:rsidRPr="00B8555A" w:rsidRDefault="000A5A8C" w:rsidP="007A6CA7">
      <w:pPr>
        <w:pStyle w:val="Heading1"/>
        <w:numPr>
          <w:ilvl w:val="0"/>
          <w:numId w:val="0"/>
        </w:numPr>
        <w:ind w:left="540" w:hanging="540"/>
      </w:pPr>
      <w:r w:rsidRPr="00B8555A">
        <w:tab/>
      </w:r>
    </w:p>
    <w:p w14:paraId="64FC3478" w14:textId="01806FE6" w:rsidR="00935E47" w:rsidRPr="00B8555A" w:rsidRDefault="00935E47" w:rsidP="007A6CA7">
      <w:pPr>
        <w:pStyle w:val="Heading1"/>
        <w:sectPr w:rsidR="00935E47" w:rsidRPr="00B8555A" w:rsidSect="00E671CF">
          <w:headerReference w:type="default" r:id="rId18"/>
          <w:footerReference w:type="default" r:id="rId19"/>
          <w:footerReference w:type="first" r:id="rId20"/>
          <w:pgSz w:w="12240" w:h="15840"/>
          <w:pgMar w:top="1440" w:right="1440" w:bottom="1440" w:left="1440" w:header="708" w:footer="708" w:gutter="0"/>
          <w:pgNumType w:fmt="lowerRoman"/>
          <w:cols w:space="708"/>
          <w:titlePg/>
          <w:docGrid w:linePitch="360"/>
        </w:sectPr>
      </w:pPr>
    </w:p>
    <w:p w14:paraId="44F67432" w14:textId="722D4422" w:rsidR="003D4EC9" w:rsidRPr="007A6CA7" w:rsidRDefault="00B87F39" w:rsidP="007A6CA7">
      <w:pPr>
        <w:pStyle w:val="Heading1"/>
      </w:pPr>
      <w:bookmarkStart w:id="18" w:name="_Toc18615798"/>
      <w:r w:rsidRPr="007A6CA7">
        <w:lastRenderedPageBreak/>
        <w:t>Introduction</w:t>
      </w:r>
      <w:bookmarkEnd w:id="15"/>
      <w:bookmarkEnd w:id="18"/>
    </w:p>
    <w:p w14:paraId="36232FCD" w14:textId="00DCB673" w:rsidR="00F367A8" w:rsidRPr="007A6CA7" w:rsidRDefault="002E4E7C" w:rsidP="00BB6AB0">
      <w:pPr>
        <w:pStyle w:val="Numberedpara"/>
        <w:ind w:left="540" w:hanging="540"/>
      </w:pPr>
      <w:bookmarkStart w:id="19" w:name="_Toc496043576"/>
      <w:r w:rsidRPr="007A6CA7">
        <w:t>Al-Haq</w:t>
      </w:r>
      <w:r>
        <w:t xml:space="preserve"> – Law in the Service of Man, BADIL </w:t>
      </w:r>
      <w:r w:rsidRPr="000515E1">
        <w:t>Resource Center for Palestinian Residency and Refugee Rights</w:t>
      </w:r>
      <w:r>
        <w:t xml:space="preserve">, </w:t>
      </w:r>
      <w:r w:rsidRPr="007A6CA7">
        <w:t>Cairo Institute for Human Rights Studies</w:t>
      </w:r>
      <w:r>
        <w:t>, and Habitat International Coalition</w:t>
      </w:r>
      <w:r w:rsidRPr="007A6CA7">
        <w:t xml:space="preserve"> </w:t>
      </w:r>
      <w:r>
        <w:t xml:space="preserve">– Housing and Land Rights Network </w:t>
      </w:r>
      <w:r w:rsidR="009272C7" w:rsidRPr="007A6CA7">
        <w:t xml:space="preserve">(hereinafter ‘our organisations’) </w:t>
      </w:r>
      <w:r w:rsidR="00122351" w:rsidRPr="007A6CA7">
        <w:t>present</w:t>
      </w:r>
      <w:r w:rsidR="00F4135A" w:rsidRPr="007A6CA7">
        <w:t xml:space="preserve"> this </w:t>
      </w:r>
      <w:r w:rsidR="00122351" w:rsidRPr="007A6CA7">
        <w:t>submission</w:t>
      </w:r>
      <w:r w:rsidR="008419AD" w:rsidRPr="007A6CA7">
        <w:t xml:space="preserve"> to the </w:t>
      </w:r>
      <w:r w:rsidR="006D38DB" w:rsidRPr="007A6CA7">
        <w:t>100</w:t>
      </w:r>
      <w:r w:rsidR="006D38DB" w:rsidRPr="003C61A0">
        <w:rPr>
          <w:vertAlign w:val="superscript"/>
        </w:rPr>
        <w:t>th</w:t>
      </w:r>
      <w:r w:rsidR="00F4135A" w:rsidRPr="007A6CA7">
        <w:t xml:space="preserve"> session of </w:t>
      </w:r>
      <w:r w:rsidR="00E675C7" w:rsidRPr="007A6CA7">
        <w:t>the Committee on the Elimination of Racial Discrimination (CERD or ‘the Committee’)</w:t>
      </w:r>
      <w:r w:rsidR="00F4135A" w:rsidRPr="007A6CA7">
        <w:t xml:space="preserve">, </w:t>
      </w:r>
      <w:r w:rsidR="00122351" w:rsidRPr="007A6CA7">
        <w:t>highlighting</w:t>
      </w:r>
      <w:r w:rsidR="00F4135A" w:rsidRPr="007A6CA7">
        <w:t xml:space="preserve"> </w:t>
      </w:r>
      <w:r w:rsidR="00C278BF" w:rsidRPr="007A6CA7">
        <w:t>our</w:t>
      </w:r>
      <w:r w:rsidR="00F4135A" w:rsidRPr="007A6CA7">
        <w:t xml:space="preserve"> </w:t>
      </w:r>
      <w:r w:rsidR="008422EC" w:rsidRPr="007A6CA7">
        <w:t>recommendations for the Committee’s list of themes</w:t>
      </w:r>
      <w:r w:rsidR="00F4135A" w:rsidRPr="007A6CA7">
        <w:t xml:space="preserve"> </w:t>
      </w:r>
      <w:r w:rsidR="00122351" w:rsidRPr="007A6CA7">
        <w:t>on</w:t>
      </w:r>
      <w:r w:rsidR="00F4135A" w:rsidRPr="007A6CA7">
        <w:t xml:space="preserve"> the </w:t>
      </w:r>
      <w:r w:rsidR="00E675C7" w:rsidRPr="007A6CA7">
        <w:t>seventeenth</w:t>
      </w:r>
      <w:r w:rsidR="00F4135A" w:rsidRPr="007A6CA7">
        <w:t xml:space="preserve"> </w:t>
      </w:r>
      <w:r w:rsidR="00916F81" w:rsidRPr="007A6CA7">
        <w:t>to</w:t>
      </w:r>
      <w:r w:rsidR="00F4135A" w:rsidRPr="007A6CA7">
        <w:t xml:space="preserve"> </w:t>
      </w:r>
      <w:r w:rsidR="00DE60C6" w:rsidRPr="007A6CA7">
        <w:t>nineteenth</w:t>
      </w:r>
      <w:r w:rsidR="00F4135A" w:rsidRPr="007A6CA7">
        <w:t xml:space="preserve"> periodic reports submitted by </w:t>
      </w:r>
      <w:r w:rsidR="00C278BF" w:rsidRPr="007A6CA7">
        <w:t>Israel</w:t>
      </w:r>
      <w:r w:rsidR="00D1410D" w:rsidRPr="007A6CA7">
        <w:t xml:space="preserve"> (hereinafter ‘State report’</w:t>
      </w:r>
      <w:r w:rsidR="00B403FC" w:rsidRPr="007A6CA7">
        <w:t xml:space="preserve"> or ‘the report’</w:t>
      </w:r>
      <w:r w:rsidR="00D1410D" w:rsidRPr="007A6CA7">
        <w:t>)</w:t>
      </w:r>
      <w:r w:rsidR="00F4135A" w:rsidRPr="007A6CA7">
        <w:t>,</w:t>
      </w:r>
      <w:bookmarkStart w:id="20" w:name="_Ref18077111"/>
      <w:r w:rsidR="00803959">
        <w:rPr>
          <w:rStyle w:val="FootnoteReference"/>
        </w:rPr>
        <w:footnoteReference w:id="2"/>
      </w:r>
      <w:bookmarkEnd w:id="20"/>
      <w:r w:rsidR="00F4135A" w:rsidRPr="007A6CA7">
        <w:t xml:space="preserve"> </w:t>
      </w:r>
      <w:r w:rsidR="00177192" w:rsidRPr="007A6CA7">
        <w:t>on</w:t>
      </w:r>
      <w:r w:rsidR="007C73B8" w:rsidRPr="007A6CA7">
        <w:t xml:space="preserve"> Israel’s</w:t>
      </w:r>
      <w:r w:rsidR="00F4135A" w:rsidRPr="007A6CA7">
        <w:t xml:space="preserve"> implementation of </w:t>
      </w:r>
      <w:r w:rsidR="00D1410D" w:rsidRPr="007A6CA7">
        <w:t>the International Convention on the Elimination of All Forms of Racial Discrimination (ICERD or ‘the Convention’),</w:t>
      </w:r>
      <w:r w:rsidR="00803959">
        <w:rPr>
          <w:rStyle w:val="FootnoteReference"/>
        </w:rPr>
        <w:footnoteReference w:id="3"/>
      </w:r>
      <w:r w:rsidR="00F4135A" w:rsidRPr="007A6CA7">
        <w:t xml:space="preserve"> which </w:t>
      </w:r>
      <w:r w:rsidR="007C73B8" w:rsidRPr="007A6CA7">
        <w:t>it</w:t>
      </w:r>
      <w:r w:rsidR="00D23387" w:rsidRPr="007A6CA7">
        <w:t xml:space="preserve"> </w:t>
      </w:r>
      <w:r w:rsidR="00916F81" w:rsidRPr="007A6CA7">
        <w:t>ratified</w:t>
      </w:r>
      <w:r w:rsidR="00D23387" w:rsidRPr="007A6CA7">
        <w:t xml:space="preserve"> on </w:t>
      </w:r>
      <w:r w:rsidR="00916F81" w:rsidRPr="007A6CA7">
        <w:t>3 January 1979</w:t>
      </w:r>
      <w:r w:rsidR="008419AD" w:rsidRPr="007A6CA7">
        <w:t>.</w:t>
      </w:r>
    </w:p>
    <w:p w14:paraId="23E81762" w14:textId="1ED98477" w:rsidR="00B403FC" w:rsidRPr="00B8555A" w:rsidRDefault="00803959" w:rsidP="00936C34">
      <w:pPr>
        <w:pStyle w:val="Numberedpara"/>
        <w:ind w:left="540" w:hanging="540"/>
      </w:pPr>
      <w:r>
        <w:t>F</w:t>
      </w:r>
      <w:r w:rsidR="008422EC" w:rsidRPr="00B8555A">
        <w:t xml:space="preserve">or the Committee’s list of themes on Israel’s report, our organisations highlight </w:t>
      </w:r>
      <w:r w:rsidR="007C73B8" w:rsidRPr="00B8555A">
        <w:t xml:space="preserve">Israel’s </w:t>
      </w:r>
      <w:r w:rsidR="00872027">
        <w:t>institutionalised</w:t>
      </w:r>
      <w:r w:rsidR="00DA0013">
        <w:t xml:space="preserve"> material</w:t>
      </w:r>
      <w:r w:rsidR="00872027">
        <w:t xml:space="preserve"> discrimination against the indigenous Palestinian people</w:t>
      </w:r>
      <w:r w:rsidR="00DA0013">
        <w:t xml:space="preserve">, resulting in Israel’s </w:t>
      </w:r>
      <w:r w:rsidR="007C73B8" w:rsidRPr="00B8555A">
        <w:t>continued failure</w:t>
      </w:r>
      <w:r w:rsidR="008422EC" w:rsidRPr="00B8555A">
        <w:t xml:space="preserve"> to respect, protect, and fulfil the </w:t>
      </w:r>
      <w:r w:rsidR="00DA0013">
        <w:t xml:space="preserve">human </w:t>
      </w:r>
      <w:r w:rsidR="008422EC" w:rsidRPr="00B8555A">
        <w:t xml:space="preserve">rights of </w:t>
      </w:r>
      <w:r w:rsidR="001C2D53" w:rsidRPr="00B8555A">
        <w:t xml:space="preserve">all </w:t>
      </w:r>
      <w:r w:rsidR="008422EC" w:rsidRPr="00B8555A">
        <w:t>Palestinians throughout its territory and subject to its jurisdiction, including</w:t>
      </w:r>
      <w:r w:rsidR="00051FFD">
        <w:t xml:space="preserve"> </w:t>
      </w:r>
      <w:r w:rsidR="00C03087">
        <w:t xml:space="preserve">Palestinian citizens of Israel and </w:t>
      </w:r>
      <w:r w:rsidR="00B403FC" w:rsidRPr="00B8555A">
        <w:t xml:space="preserve">Palestinians </w:t>
      </w:r>
      <w:r w:rsidR="00C03087">
        <w:t xml:space="preserve">subject to Israel’s </w:t>
      </w:r>
      <w:r w:rsidR="008422EC" w:rsidRPr="00B8555A">
        <w:t>effective control</w:t>
      </w:r>
      <w:r w:rsidR="00B403FC" w:rsidRPr="00B8555A">
        <w:t>,</w:t>
      </w:r>
      <w:r w:rsidR="008422EC" w:rsidRPr="00B8555A">
        <w:t xml:space="preserve"> </w:t>
      </w:r>
      <w:r w:rsidR="00B403FC" w:rsidRPr="00B8555A">
        <w:t>as</w:t>
      </w:r>
      <w:r w:rsidR="008422EC" w:rsidRPr="00B8555A">
        <w:t xml:space="preserve"> Occupying Power, in the West Bank, including East Jerusalem, and the Gaza Strip</w:t>
      </w:r>
      <w:r w:rsidR="00872027">
        <w:t>, constituting the o</w:t>
      </w:r>
      <w:r w:rsidR="00872027" w:rsidRPr="00B8555A">
        <w:t xml:space="preserve">ccupied Palestinian </w:t>
      </w:r>
      <w:r w:rsidR="00872027">
        <w:t>t</w:t>
      </w:r>
      <w:r w:rsidR="00872027" w:rsidRPr="00B8555A">
        <w:t>erritory</w:t>
      </w:r>
      <w:r w:rsidR="008422EC" w:rsidRPr="00B8555A">
        <w:t>.</w:t>
      </w:r>
      <w:r w:rsidR="00B403FC" w:rsidRPr="00B8555A">
        <w:t xml:space="preserve"> In this submission, our organisations </w:t>
      </w:r>
      <w:r w:rsidR="002E4E7C">
        <w:t>examine</w:t>
      </w:r>
      <w:r w:rsidR="002E4E7C" w:rsidRPr="00B8555A">
        <w:t xml:space="preserve"> </w:t>
      </w:r>
      <w:r w:rsidR="00B403FC" w:rsidRPr="00B8555A">
        <w:t xml:space="preserve">the </w:t>
      </w:r>
      <w:r w:rsidR="00872027">
        <w:t>severe denial of</w:t>
      </w:r>
      <w:r w:rsidR="00B403FC" w:rsidRPr="00B8555A">
        <w:t xml:space="preserve"> Palestinians</w:t>
      </w:r>
      <w:r w:rsidR="00872027">
        <w:t>’ fundamental rights</w:t>
      </w:r>
      <w:r w:rsidR="00B403FC" w:rsidRPr="00B8555A">
        <w:t xml:space="preserve">, </w:t>
      </w:r>
      <w:r w:rsidR="00DA0013">
        <w:t xml:space="preserve">and the continued deterioration in the human rights situation, </w:t>
      </w:r>
      <w:r w:rsidR="001718FE" w:rsidRPr="00B8555A">
        <w:t>reaffirming</w:t>
      </w:r>
      <w:r w:rsidR="008422EC" w:rsidRPr="00B8555A">
        <w:t xml:space="preserve"> Israel’s obligation to fully implement the Convention </w:t>
      </w:r>
      <w:r w:rsidR="00B403FC" w:rsidRPr="00B8555A">
        <w:t>in good faith.</w:t>
      </w:r>
      <w:r w:rsidR="001718FE" w:rsidRPr="00B8555A">
        <w:t xml:space="preserve"> In particular,</w:t>
      </w:r>
      <w:r w:rsidR="00FB7F49" w:rsidRPr="00B8555A">
        <w:t xml:space="preserve"> our organisations argue that Israel has entrenched policies and practices of </w:t>
      </w:r>
      <w:r w:rsidR="00DA0013">
        <w:t xml:space="preserve">racial discrimination, </w:t>
      </w:r>
      <w:r w:rsidR="00FB7F49" w:rsidRPr="00B8555A">
        <w:t>racial segregation</w:t>
      </w:r>
      <w:r w:rsidR="00DA0013">
        <w:t>,</w:t>
      </w:r>
      <w:r w:rsidR="00FB7F49" w:rsidRPr="00B8555A">
        <w:t xml:space="preserve"> and apartheid with respect </w:t>
      </w:r>
      <w:r w:rsidR="00936C34">
        <w:t>of</w:t>
      </w:r>
      <w:r w:rsidR="00936C34" w:rsidRPr="00B8555A">
        <w:t xml:space="preserve"> </w:t>
      </w:r>
      <w:r w:rsidR="00FB7F49" w:rsidRPr="00B8555A">
        <w:t>the Palestinian people</w:t>
      </w:r>
      <w:r w:rsidR="00872027">
        <w:t xml:space="preserve"> as a whole</w:t>
      </w:r>
      <w:r w:rsidR="00FB7F49" w:rsidRPr="00B8555A">
        <w:t>, in violation of Article 3 of the Convention</w:t>
      </w:r>
      <w:r w:rsidR="00DA0013">
        <w:t xml:space="preserve">, giving rise to both State </w:t>
      </w:r>
      <w:r w:rsidR="00BB7F8B">
        <w:t xml:space="preserve">responsibility </w:t>
      </w:r>
      <w:r w:rsidR="00DA0013">
        <w:t xml:space="preserve">and individual criminal </w:t>
      </w:r>
      <w:r w:rsidR="00BD53AD">
        <w:t>liability</w:t>
      </w:r>
      <w:r w:rsidR="00FB7F49" w:rsidRPr="00B8555A">
        <w:t>.</w:t>
      </w:r>
      <w:r w:rsidR="000D1987">
        <w:rPr>
          <w:rStyle w:val="FootnoteReference"/>
        </w:rPr>
        <w:footnoteReference w:id="4"/>
      </w:r>
    </w:p>
    <w:p w14:paraId="1E32F9C2" w14:textId="15D52DC5" w:rsidR="00FB7F49" w:rsidRPr="00B8555A" w:rsidRDefault="00DA0013" w:rsidP="00395765">
      <w:pPr>
        <w:pStyle w:val="Numberedpara"/>
        <w:ind w:left="540" w:hanging="540"/>
      </w:pPr>
      <w:r>
        <w:t>T</w:t>
      </w:r>
      <w:r w:rsidR="00FB7F49" w:rsidRPr="00B8555A">
        <w:t>his</w:t>
      </w:r>
      <w:r w:rsidR="00B403FC" w:rsidRPr="00B8555A">
        <w:t xml:space="preserve"> submission </w:t>
      </w:r>
      <w:r>
        <w:t>examines</w:t>
      </w:r>
      <w:r w:rsidRPr="00B8555A">
        <w:t xml:space="preserve"> </w:t>
      </w:r>
      <w:r w:rsidR="00B403FC" w:rsidRPr="00B8555A">
        <w:t xml:space="preserve">a number of </w:t>
      </w:r>
      <w:r>
        <w:t>violations</w:t>
      </w:r>
      <w:r w:rsidR="00B403FC" w:rsidRPr="00B8555A">
        <w:t xml:space="preserve"> raise</w:t>
      </w:r>
      <w:r w:rsidR="000310DE">
        <w:t>d by the Committee in its 2012 Concluding O</w:t>
      </w:r>
      <w:r w:rsidR="00B403FC" w:rsidRPr="00B8555A">
        <w:t>bservations on Israel,</w:t>
      </w:r>
      <w:r w:rsidR="00B403FC" w:rsidRPr="00B8555A">
        <w:rPr>
          <w:rStyle w:val="FootnoteReference"/>
        </w:rPr>
        <w:footnoteReference w:id="5"/>
      </w:r>
      <w:r w:rsidR="00B403FC" w:rsidRPr="00B8555A">
        <w:t xml:space="preserve"> which have </w:t>
      </w:r>
      <w:r w:rsidR="00A66448">
        <w:t>neither</w:t>
      </w:r>
      <w:r w:rsidR="00A66448" w:rsidRPr="00B8555A">
        <w:t xml:space="preserve"> </w:t>
      </w:r>
      <w:r w:rsidR="00B403FC" w:rsidRPr="00B8555A">
        <w:t xml:space="preserve">been addressed </w:t>
      </w:r>
      <w:r w:rsidR="00A66448">
        <w:t>n</w:t>
      </w:r>
      <w:r>
        <w:t xml:space="preserve">or effectively remedied </w:t>
      </w:r>
      <w:r w:rsidR="00B403FC" w:rsidRPr="00B8555A">
        <w:t xml:space="preserve">by </w:t>
      </w:r>
      <w:r w:rsidR="00E810AA" w:rsidRPr="00B8555A">
        <w:t>the</w:t>
      </w:r>
      <w:r w:rsidR="007334A2" w:rsidRPr="00B8555A">
        <w:t xml:space="preserve"> State Party</w:t>
      </w:r>
      <w:r w:rsidR="00B403FC" w:rsidRPr="00B8555A">
        <w:t xml:space="preserve">. </w:t>
      </w:r>
      <w:r w:rsidR="00A66448">
        <w:t>Notably, despite</w:t>
      </w:r>
      <w:r w:rsidR="000310DE">
        <w:t xml:space="preserve"> CERD’s 2012 Concluding O</w:t>
      </w:r>
      <w:r w:rsidR="00A66448" w:rsidRPr="00B8555A">
        <w:t>bservations</w:t>
      </w:r>
      <w:r w:rsidR="00B403FC" w:rsidRPr="00B8555A">
        <w:t xml:space="preserve">, our organisations stress that </w:t>
      </w:r>
      <w:r w:rsidR="008422EC" w:rsidRPr="00B8555A">
        <w:t>Israel</w:t>
      </w:r>
      <w:r w:rsidR="007334A2" w:rsidRPr="00B8555A">
        <w:t xml:space="preserve"> </w:t>
      </w:r>
      <w:r w:rsidR="00B403FC" w:rsidRPr="00B8555A">
        <w:t>has not reconsidered its</w:t>
      </w:r>
      <w:r w:rsidR="008422EC" w:rsidRPr="00B8555A">
        <w:t xml:space="preserve"> planning</w:t>
      </w:r>
      <w:r w:rsidR="00A66448">
        <w:t>, construction,</w:t>
      </w:r>
      <w:r w:rsidR="008422EC" w:rsidRPr="00B8555A">
        <w:t xml:space="preserve"> and zoning polic</w:t>
      </w:r>
      <w:r w:rsidR="00803959">
        <w:t>ies</w:t>
      </w:r>
      <w:r>
        <w:t>, which discriminate</w:t>
      </w:r>
      <w:r w:rsidR="008422EC" w:rsidRPr="00B8555A">
        <w:t xml:space="preserve"> </w:t>
      </w:r>
      <w:r w:rsidR="00A66448">
        <w:t>against the indigenous Palestinian people</w:t>
      </w:r>
      <w:r w:rsidR="00A66448" w:rsidRPr="00A66448">
        <w:t xml:space="preserve"> </w:t>
      </w:r>
      <w:r w:rsidR="00A66448">
        <w:t>on both sides of the Green Line</w:t>
      </w:r>
      <w:r w:rsidR="00BD53AD">
        <w:t>,</w:t>
      </w:r>
      <w:r w:rsidR="00A66448" w:rsidRPr="00A66448">
        <w:t xml:space="preserve"> </w:t>
      </w:r>
      <w:r w:rsidR="00A66448">
        <w:t>in</w:t>
      </w:r>
      <w:r w:rsidR="002E4E7C">
        <w:t xml:space="preserve">cluding </w:t>
      </w:r>
      <w:r w:rsidR="00A66448">
        <w:t xml:space="preserve">in relation to their </w:t>
      </w:r>
      <w:r w:rsidR="00A66448" w:rsidRPr="00B8555A">
        <w:t xml:space="preserve">rights to </w:t>
      </w:r>
      <w:r w:rsidR="00A66448">
        <w:t xml:space="preserve">adequate </w:t>
      </w:r>
      <w:r w:rsidR="00A66448" w:rsidRPr="00B8555A">
        <w:t>housing</w:t>
      </w:r>
      <w:r w:rsidR="00A66448">
        <w:t>,</w:t>
      </w:r>
      <w:r w:rsidR="00A66448" w:rsidRPr="00B8555A">
        <w:t xml:space="preserve"> property</w:t>
      </w:r>
      <w:r w:rsidR="00A66448">
        <w:t>,</w:t>
      </w:r>
      <w:r w:rsidR="00A66448" w:rsidRPr="00B8555A">
        <w:t xml:space="preserve"> and</w:t>
      </w:r>
      <w:r w:rsidR="00A66448">
        <w:t xml:space="preserve"> access to </w:t>
      </w:r>
      <w:r w:rsidR="00A66448">
        <w:lastRenderedPageBreak/>
        <w:t>land</w:t>
      </w:r>
      <w:r w:rsidR="00A66448" w:rsidRPr="00B8555A">
        <w:t xml:space="preserve"> and natural resources,</w:t>
      </w:r>
      <w:r w:rsidR="00A66448">
        <w:t xml:space="preserve"> particularly affecting Palestinian Bedouin communities </w:t>
      </w:r>
      <w:r w:rsidR="00395765">
        <w:t xml:space="preserve">of the Palestinian people in the southern Naqab </w:t>
      </w:r>
      <w:r w:rsidR="00A66448">
        <w:t xml:space="preserve">and </w:t>
      </w:r>
      <w:r w:rsidR="008422EC" w:rsidRPr="00B8555A">
        <w:t>in the West Bank</w:t>
      </w:r>
      <w:r w:rsidR="00B403FC" w:rsidRPr="00B8555A">
        <w:t>.</w:t>
      </w:r>
      <w:r w:rsidR="00B403FC" w:rsidRPr="00B8555A">
        <w:rPr>
          <w:rStyle w:val="FootnoteReference"/>
        </w:rPr>
        <w:footnoteReference w:id="6"/>
      </w:r>
      <w:r w:rsidR="00B35BE6">
        <w:t xml:space="preserve"> </w:t>
      </w:r>
      <w:r w:rsidR="007334A2" w:rsidRPr="00B8555A">
        <w:t>Israel</w:t>
      </w:r>
      <w:r w:rsidR="00803959">
        <w:t xml:space="preserve"> has also failed to</w:t>
      </w:r>
      <w:r w:rsidR="007334A2" w:rsidRPr="00B8555A">
        <w:t xml:space="preserve"> eliminate its </w:t>
      </w:r>
      <w:r w:rsidR="00A66448">
        <w:t xml:space="preserve">policy of </w:t>
      </w:r>
      <w:r w:rsidR="007334A2" w:rsidRPr="00B8555A">
        <w:t xml:space="preserve">demographic </w:t>
      </w:r>
      <w:r w:rsidR="00A66448">
        <w:t xml:space="preserve">manipulation and population transfer </w:t>
      </w:r>
      <w:r w:rsidR="00BD53AD">
        <w:t>against Palestinian permanent residents</w:t>
      </w:r>
      <w:r w:rsidR="00A66448">
        <w:t xml:space="preserve"> </w:t>
      </w:r>
      <w:r w:rsidR="007334A2" w:rsidRPr="00B8555A">
        <w:t xml:space="preserve">in </w:t>
      </w:r>
      <w:r w:rsidR="00A66448">
        <w:t xml:space="preserve">the city of </w:t>
      </w:r>
      <w:r w:rsidR="007334A2" w:rsidRPr="00B8555A">
        <w:t>Jerusalem</w:t>
      </w:r>
      <w:r w:rsidR="00815310">
        <w:t>,</w:t>
      </w:r>
      <w:r w:rsidR="007334A2" w:rsidRPr="00B8555A">
        <w:rPr>
          <w:rStyle w:val="FootnoteReference"/>
        </w:rPr>
        <w:footnoteReference w:id="7"/>
      </w:r>
      <w:r w:rsidR="00815310">
        <w:t xml:space="preserve"> while it has created coercive environments through house demolitions</w:t>
      </w:r>
      <w:r w:rsidR="00E92065">
        <w:t>, denial of family unification,</w:t>
      </w:r>
      <w:r w:rsidR="00815310">
        <w:t xml:space="preserve"> and the construction of the Annexation Wall, </w:t>
      </w:r>
      <w:r w:rsidR="00E92065">
        <w:t xml:space="preserve">amongst other measures </w:t>
      </w:r>
      <w:r w:rsidR="00815310">
        <w:t>designed to drive Palestinian displacement.</w:t>
      </w:r>
      <w:r w:rsidR="00A66448">
        <w:t xml:space="preserve"> </w:t>
      </w:r>
      <w:r w:rsidR="007334A2" w:rsidRPr="00B8555A">
        <w:t xml:space="preserve">Finally, this submission highlights </w:t>
      </w:r>
      <w:r w:rsidR="00FA7821" w:rsidRPr="00B8555A">
        <w:t>Israel’s</w:t>
      </w:r>
      <w:r w:rsidR="007334A2" w:rsidRPr="00B8555A">
        <w:t xml:space="preserve"> unlawful </w:t>
      </w:r>
      <w:r w:rsidR="00A66448">
        <w:t xml:space="preserve">12-year </w:t>
      </w:r>
      <w:r w:rsidR="007334A2" w:rsidRPr="00B8555A">
        <w:t>closure</w:t>
      </w:r>
      <w:r w:rsidR="003106BB">
        <w:t xml:space="preserve"> of the Gaza Strip</w:t>
      </w:r>
      <w:r w:rsidR="007334A2" w:rsidRPr="00B8555A">
        <w:t xml:space="preserve">, </w:t>
      </w:r>
      <w:r w:rsidR="00FA7821" w:rsidRPr="00B8555A">
        <w:t>which</w:t>
      </w:r>
      <w:r w:rsidR="00122351" w:rsidRPr="00B8555A">
        <w:t xml:space="preserve"> has made Gaza uninhabitable</w:t>
      </w:r>
      <w:r w:rsidR="00A66448">
        <w:t xml:space="preserve"> according to United Nations (UN) reports</w:t>
      </w:r>
      <w:r w:rsidR="007334A2" w:rsidRPr="00B8555A">
        <w:t xml:space="preserve">, in violation of </w:t>
      </w:r>
      <w:r w:rsidR="00A66448">
        <w:t>Israel’s obligations, as Occupying Power, under international human rights law, including the Convention</w:t>
      </w:r>
      <w:r w:rsidR="007334A2" w:rsidRPr="00B8555A">
        <w:t>.</w:t>
      </w:r>
      <w:r w:rsidR="007334A2" w:rsidRPr="00B8555A">
        <w:rPr>
          <w:rStyle w:val="FootnoteReference"/>
        </w:rPr>
        <w:footnoteReference w:id="8"/>
      </w:r>
      <w:r w:rsidR="00FB7F49" w:rsidRPr="00B8555A">
        <w:t xml:space="preserve"> Accordingly, our organisations offer a number of recommendations for</w:t>
      </w:r>
      <w:r w:rsidR="00A66448">
        <w:t xml:space="preserve"> inclusion in</w:t>
      </w:r>
      <w:r w:rsidR="00FB7F49" w:rsidRPr="00B8555A">
        <w:t xml:space="preserve"> the Committee’s list of themes ahead of its review of Israel’s seventeenth to nineteenth periodic reports at its </w:t>
      </w:r>
      <w:r w:rsidR="00E810AA" w:rsidRPr="00B8555A">
        <w:t xml:space="preserve">upcoming </w:t>
      </w:r>
      <w:r w:rsidR="00255899">
        <w:t>100</w:t>
      </w:r>
      <w:r w:rsidR="00F346B7" w:rsidRPr="003C61A0">
        <w:rPr>
          <w:vertAlign w:val="superscript"/>
        </w:rPr>
        <w:t>th</w:t>
      </w:r>
      <w:r w:rsidR="00FB7F49" w:rsidRPr="00B8555A">
        <w:t xml:space="preserve"> session.</w:t>
      </w:r>
    </w:p>
    <w:p w14:paraId="57107C6C" w14:textId="5D166C3D" w:rsidR="00B403FC" w:rsidRPr="00B8555A" w:rsidRDefault="00E154F2" w:rsidP="00E154F2">
      <w:pPr>
        <w:pStyle w:val="Heading1"/>
      </w:pPr>
      <w:bookmarkStart w:id="21" w:name="_Toc18615799"/>
      <w:r>
        <w:t>Institutionalised Racial Discrimination against the Palestinian People</w:t>
      </w:r>
      <w:bookmarkEnd w:id="21"/>
    </w:p>
    <w:p w14:paraId="14CAF8AF" w14:textId="3CAD90C7" w:rsidR="00E94ADE" w:rsidRDefault="000310DE" w:rsidP="00BB6AB0">
      <w:pPr>
        <w:pStyle w:val="Numberedpara"/>
        <w:ind w:left="540" w:hanging="540"/>
      </w:pPr>
      <w:r>
        <w:t>Since the Committee’s Concluding O</w:t>
      </w:r>
      <w:r w:rsidR="00E810AA" w:rsidRPr="00B8555A">
        <w:t>bservations</w:t>
      </w:r>
      <w:r w:rsidR="00791E41" w:rsidRPr="00B8555A">
        <w:t xml:space="preserve"> on Israel in 2012</w:t>
      </w:r>
      <w:r w:rsidR="00E810AA" w:rsidRPr="00B8555A">
        <w:t xml:space="preserve">, the human rights situation </w:t>
      </w:r>
      <w:r w:rsidR="00791E41" w:rsidRPr="00B8555A">
        <w:t>for Palestinians</w:t>
      </w:r>
      <w:r w:rsidR="00E810AA" w:rsidRPr="00B8555A">
        <w:t xml:space="preserve"> has continued to </w:t>
      </w:r>
      <w:r w:rsidR="00DD5CD0" w:rsidRPr="00B8555A">
        <w:t xml:space="preserve">significantly </w:t>
      </w:r>
      <w:r w:rsidR="00E810AA" w:rsidRPr="00B8555A">
        <w:t xml:space="preserve">deteriorate, </w:t>
      </w:r>
      <w:r w:rsidR="004F4F5F">
        <w:t>as a</w:t>
      </w:r>
      <w:r w:rsidR="00E810AA" w:rsidRPr="00B8555A">
        <w:t xml:space="preserve"> result of </w:t>
      </w:r>
      <w:r w:rsidR="00A412A6">
        <w:t>sustained</w:t>
      </w:r>
      <w:r w:rsidR="00E810AA" w:rsidRPr="00B8555A">
        <w:t xml:space="preserve"> efforts by Israel to fragment the </w:t>
      </w:r>
      <w:r w:rsidR="00BD53AD">
        <w:t xml:space="preserve">indigenous </w:t>
      </w:r>
      <w:r w:rsidR="00E810AA" w:rsidRPr="00B8555A">
        <w:t xml:space="preserve">Palestinian people, </w:t>
      </w:r>
      <w:r w:rsidR="00734B23">
        <w:t xml:space="preserve">to displace and dispossess </w:t>
      </w:r>
      <w:r w:rsidR="00BD53AD">
        <w:t>Palestinians</w:t>
      </w:r>
      <w:r w:rsidR="00734B23">
        <w:t xml:space="preserve"> on both sides of the Green Line</w:t>
      </w:r>
      <w:r w:rsidR="00734B23" w:rsidRPr="00B8555A">
        <w:t xml:space="preserve">, </w:t>
      </w:r>
      <w:r w:rsidR="00E810AA" w:rsidRPr="00B8555A">
        <w:t xml:space="preserve">to deepen its colonisation of the </w:t>
      </w:r>
      <w:r w:rsidR="00C03087">
        <w:t>o</w:t>
      </w:r>
      <w:r w:rsidR="00C03087" w:rsidRPr="00B8555A">
        <w:t xml:space="preserve">ccupied Palestinian </w:t>
      </w:r>
      <w:r w:rsidR="00C03087">
        <w:t>t</w:t>
      </w:r>
      <w:r w:rsidR="00C03087" w:rsidRPr="00B8555A">
        <w:t>erritory</w:t>
      </w:r>
      <w:r w:rsidR="00E810AA" w:rsidRPr="00B8555A">
        <w:t>, and</w:t>
      </w:r>
      <w:r w:rsidR="00B009D8" w:rsidRPr="00B8555A">
        <w:t xml:space="preserve"> </w:t>
      </w:r>
      <w:r w:rsidR="00734B23">
        <w:t xml:space="preserve">to </w:t>
      </w:r>
      <w:r w:rsidR="00E810AA" w:rsidRPr="00B8555A">
        <w:t xml:space="preserve">entrench its </w:t>
      </w:r>
      <w:r w:rsidR="00734B23">
        <w:t>institutionalised regime</w:t>
      </w:r>
      <w:r w:rsidR="00E810AA" w:rsidRPr="00B8555A">
        <w:t xml:space="preserve"> of racial segregation, </w:t>
      </w:r>
      <w:r w:rsidR="00734B23">
        <w:t xml:space="preserve">domination, and oppression, amounting to the crimes of </w:t>
      </w:r>
      <w:r w:rsidR="006D1903">
        <w:t xml:space="preserve">forcible </w:t>
      </w:r>
      <w:r w:rsidR="00734B23">
        <w:t>transfer and</w:t>
      </w:r>
      <w:r w:rsidR="00734B23" w:rsidRPr="00B8555A">
        <w:t xml:space="preserve"> </w:t>
      </w:r>
      <w:r w:rsidR="00E810AA" w:rsidRPr="00B8555A">
        <w:t>apartheid</w:t>
      </w:r>
      <w:r w:rsidR="00EF13C0" w:rsidRPr="00B8555A">
        <w:t>.</w:t>
      </w:r>
      <w:r w:rsidR="007C4EFA">
        <w:t xml:space="preserve"> </w:t>
      </w:r>
      <w:r w:rsidR="00734B23">
        <w:t>Since the foundation of the State of Israel</w:t>
      </w:r>
      <w:r w:rsidR="007C4EFA">
        <w:t>, Israeli policies</w:t>
      </w:r>
      <w:r w:rsidR="00734B23">
        <w:t xml:space="preserve"> and practice</w:t>
      </w:r>
      <w:r w:rsidR="007C4EFA">
        <w:t>s</w:t>
      </w:r>
      <w:r w:rsidR="00734B23">
        <w:t xml:space="preserve"> have systematically sought the erasure of th</w:t>
      </w:r>
      <w:r w:rsidR="008B43BC">
        <w:t>e indigenous Palestinian people</w:t>
      </w:r>
      <w:r w:rsidR="007C4EFA">
        <w:t>, including through the demographic manipulation of Palestin</w:t>
      </w:r>
      <w:r w:rsidR="007C4EFA" w:rsidRPr="009062DF">
        <w:t>e,</w:t>
      </w:r>
      <w:r w:rsidR="008B43BC" w:rsidRPr="009062DF">
        <w:t xml:space="preserve"> </w:t>
      </w:r>
      <w:r w:rsidR="007C4EFA" w:rsidRPr="009062DF">
        <w:t>Judaizing</w:t>
      </w:r>
      <w:r w:rsidR="008B43BC" w:rsidRPr="009062DF">
        <w:t xml:space="preserve"> the names of </w:t>
      </w:r>
      <w:r w:rsidR="006D7D3E">
        <w:t xml:space="preserve">indigenous </w:t>
      </w:r>
      <w:r w:rsidR="007C4EFA" w:rsidRPr="009062DF">
        <w:t>Palestinian villages</w:t>
      </w:r>
      <w:r w:rsidR="006328C6">
        <w:t>, cities,</w:t>
      </w:r>
      <w:r w:rsidR="007C4EFA" w:rsidRPr="009062DF">
        <w:t xml:space="preserve"> and towns</w:t>
      </w:r>
      <w:r w:rsidR="007C4EFA">
        <w:t>, downgrading the status of the Arabic language</w:t>
      </w:r>
      <w:r w:rsidR="006D7D3E">
        <w:t xml:space="preserve"> in practice</w:t>
      </w:r>
      <w:r w:rsidR="007C4EFA">
        <w:t>,</w:t>
      </w:r>
      <w:r w:rsidR="002F0A0A" w:rsidRPr="00B8555A">
        <w:rPr>
          <w:rStyle w:val="FootnoteReference"/>
        </w:rPr>
        <w:footnoteReference w:id="9"/>
      </w:r>
      <w:r w:rsidR="007C4EFA">
        <w:t xml:space="preserve"> and imposing a second-class status on Palestinian citizens of Israel in their ancestral lands.</w:t>
      </w:r>
      <w:r w:rsidR="001B3746" w:rsidRPr="00B8555A">
        <w:rPr>
          <w:rStyle w:val="FootnoteReference"/>
        </w:rPr>
        <w:footnoteReference w:id="10"/>
      </w:r>
    </w:p>
    <w:p w14:paraId="69E24C9E" w14:textId="0C9836B8" w:rsidR="00947CDA" w:rsidRPr="00034DE7" w:rsidRDefault="009062DF" w:rsidP="000310DE">
      <w:pPr>
        <w:pStyle w:val="Numberedpara"/>
        <w:ind w:left="540" w:hanging="540"/>
        <w:rPr>
          <w:rFonts w:hAnsi="Garamond" w:cs="Garamond"/>
        </w:rPr>
      </w:pPr>
      <w:r>
        <w:t xml:space="preserve">Critically, Israel’s parastatal institutions, including </w:t>
      </w:r>
      <w:r w:rsidR="00E94ADE">
        <w:t xml:space="preserve">the World Zionist Organization and </w:t>
      </w:r>
      <w:r w:rsidR="00CD466D">
        <w:t>Jewish Agency</w:t>
      </w:r>
      <w:r w:rsidR="00E94ADE">
        <w:t xml:space="preserve">, </w:t>
      </w:r>
      <w:r w:rsidR="00E94ADE">
        <w:rPr>
          <w:rFonts w:hAnsi="Garamond" w:cs="Garamond"/>
        </w:rPr>
        <w:t xml:space="preserve">and its subsidiaries, </w:t>
      </w:r>
      <w:r w:rsidR="00395765">
        <w:rPr>
          <w:rFonts w:hAnsi="Garamond" w:cs="Garamond"/>
        </w:rPr>
        <w:t>as well as</w:t>
      </w:r>
      <w:r w:rsidR="00E94ADE">
        <w:rPr>
          <w:rFonts w:hAnsi="Garamond" w:cs="Garamond"/>
        </w:rPr>
        <w:t xml:space="preserve"> the Jewish National Fund</w:t>
      </w:r>
      <w:r w:rsidR="00E94ADE">
        <w:t xml:space="preserve">, which are </w:t>
      </w:r>
      <w:r w:rsidR="00E94ADE">
        <w:rPr>
          <w:rFonts w:eastAsia="Times New Roman"/>
        </w:rPr>
        <w:t xml:space="preserve">chartered to carry out material discrimination against </w:t>
      </w:r>
      <w:r w:rsidR="00395765">
        <w:rPr>
          <w:rFonts w:eastAsia="Times New Roman"/>
        </w:rPr>
        <w:t>persons not of Jewish faith</w:t>
      </w:r>
      <w:r w:rsidR="00E94ADE">
        <w:rPr>
          <w:rFonts w:eastAsia="Times New Roman"/>
        </w:rPr>
        <w:t>, have historically prevented</w:t>
      </w:r>
      <w:r w:rsidR="00E94ADE" w:rsidRPr="00E94ADE">
        <w:rPr>
          <w:rFonts w:eastAsia="Times New Roman"/>
        </w:rPr>
        <w:t xml:space="preserve"> </w:t>
      </w:r>
      <w:r w:rsidR="00947CDA">
        <w:rPr>
          <w:rFonts w:eastAsia="Times New Roman"/>
        </w:rPr>
        <w:t xml:space="preserve">the </w:t>
      </w:r>
      <w:r w:rsidR="00E94ADE">
        <w:rPr>
          <w:rFonts w:eastAsia="Times New Roman"/>
        </w:rPr>
        <w:t xml:space="preserve">indigenous </w:t>
      </w:r>
      <w:r w:rsidR="00947CDA">
        <w:rPr>
          <w:rFonts w:eastAsia="Times New Roman"/>
        </w:rPr>
        <w:t>Palestinian people on both sides of the Green Line</w:t>
      </w:r>
      <w:r w:rsidR="00E94ADE" w:rsidRPr="00E94ADE">
        <w:rPr>
          <w:rFonts w:eastAsia="Times New Roman"/>
        </w:rPr>
        <w:t xml:space="preserve"> </w:t>
      </w:r>
      <w:r w:rsidR="00017954">
        <w:rPr>
          <w:rFonts w:eastAsia="Times New Roman"/>
        </w:rPr>
        <w:t>(1949 Armistice Agreement</w:t>
      </w:r>
      <w:r w:rsidR="000310DE">
        <w:rPr>
          <w:rFonts w:eastAsia="Times New Roman"/>
        </w:rPr>
        <w:t xml:space="preserve"> Line) </w:t>
      </w:r>
      <w:r w:rsidR="00E94ADE" w:rsidRPr="00E94ADE">
        <w:rPr>
          <w:rFonts w:eastAsia="Times New Roman"/>
        </w:rPr>
        <w:t xml:space="preserve">access to, and control over their </w:t>
      </w:r>
      <w:r w:rsidR="000310DE">
        <w:rPr>
          <w:rFonts w:eastAsia="Times New Roman"/>
        </w:rPr>
        <w:t>means of subsistence</w:t>
      </w:r>
      <w:r w:rsidR="00E94ADE" w:rsidRPr="00E94ADE">
        <w:rPr>
          <w:rFonts w:eastAsia="Times New Roman"/>
        </w:rPr>
        <w:t xml:space="preserve">, </w:t>
      </w:r>
      <w:r w:rsidR="000310DE">
        <w:rPr>
          <w:rFonts w:eastAsia="Times New Roman"/>
        </w:rPr>
        <w:lastRenderedPageBreak/>
        <w:t xml:space="preserve">including their natural wealth and resources, </w:t>
      </w:r>
      <w:r w:rsidR="00E94ADE" w:rsidRPr="00E94ADE">
        <w:rPr>
          <w:rFonts w:eastAsia="Times New Roman"/>
        </w:rPr>
        <w:t xml:space="preserve">exploiting and diverting Palestinian natural </w:t>
      </w:r>
      <w:r w:rsidR="00947CDA">
        <w:rPr>
          <w:rFonts w:eastAsia="Times New Roman"/>
        </w:rPr>
        <w:t>resources</w:t>
      </w:r>
      <w:r w:rsidR="00E94ADE">
        <w:rPr>
          <w:rFonts w:eastAsia="Times New Roman"/>
        </w:rPr>
        <w:t xml:space="preserve"> to the benefit of colonis</w:t>
      </w:r>
      <w:r w:rsidR="00E94ADE" w:rsidRPr="00E94ADE">
        <w:rPr>
          <w:rFonts w:eastAsia="Times New Roman"/>
        </w:rPr>
        <w:t>ing settlers</w:t>
      </w:r>
      <w:r w:rsidR="00E94ADE">
        <w:rPr>
          <w:rFonts w:eastAsia="Times New Roman"/>
        </w:rPr>
        <w:t xml:space="preserve">. Our organisations recall the </w:t>
      </w:r>
      <w:r w:rsidR="00C20624">
        <w:rPr>
          <w:rFonts w:eastAsia="Times New Roman"/>
        </w:rPr>
        <w:t xml:space="preserve">1998 </w:t>
      </w:r>
      <w:r w:rsidR="000310DE">
        <w:rPr>
          <w:rFonts w:eastAsia="Times New Roman"/>
        </w:rPr>
        <w:t>Concluding O</w:t>
      </w:r>
      <w:r w:rsidR="00E94ADE">
        <w:rPr>
          <w:rFonts w:eastAsia="Times New Roman"/>
        </w:rPr>
        <w:t xml:space="preserve">bservations of the UN Committee on Economic, Social and Cultural Rights (CESCR) </w:t>
      </w:r>
      <w:r w:rsidR="00947CDA">
        <w:rPr>
          <w:rFonts w:eastAsia="Times New Roman"/>
        </w:rPr>
        <w:t>to the effect that:</w:t>
      </w:r>
    </w:p>
    <w:p w14:paraId="4074C544" w14:textId="2364E4F8" w:rsidR="007C4EFA" w:rsidRPr="002F0A0A" w:rsidRDefault="00947CDA" w:rsidP="00034DE7">
      <w:pPr>
        <w:pStyle w:val="Numberedpara"/>
        <w:numPr>
          <w:ilvl w:val="0"/>
          <w:numId w:val="0"/>
        </w:numPr>
        <w:ind w:left="1440"/>
      </w:pPr>
      <w:r>
        <w:rPr>
          <w:rFonts w:eastAsia="Times New Roman"/>
        </w:rPr>
        <w:t>“</w:t>
      </w:r>
      <w:r>
        <w:t>[d]</w:t>
      </w:r>
      <w:proofErr w:type="spellStart"/>
      <w:r>
        <w:t>espite</w:t>
      </w:r>
      <w:proofErr w:type="spellEnd"/>
      <w:r>
        <w:t xml:space="preserve"> the fact that the institutions are chartered under private law, the State of Israel nevertheless has a decisive influence on their policies and thus remains responsible for their activities. A State party cannot divest itself of its obligations under the Covenant by privatizing governmental functions. The Committee takes the view that large-scale and systematic confiscation of Palestinian land and property by the State and the transfer of that property to these agencies constitute an institutionalized form of discrimination because these agencies by definition would deny the use of these properties to non-Jews.</w:t>
      </w:r>
      <w:r w:rsidRPr="00947CDA">
        <w:rPr>
          <w:rFonts w:eastAsia="Times New Roman"/>
        </w:rPr>
        <w:t>”</w:t>
      </w:r>
      <w:r w:rsidR="00EB6392" w:rsidRPr="00B8555A">
        <w:rPr>
          <w:rStyle w:val="FootnoteReference"/>
        </w:rPr>
        <w:footnoteReference w:id="11"/>
      </w:r>
    </w:p>
    <w:p w14:paraId="5E173B1B" w14:textId="548A71E8" w:rsidR="00B009D8" w:rsidRPr="00B8555A" w:rsidRDefault="009062DF" w:rsidP="00400FD7">
      <w:pPr>
        <w:pStyle w:val="Numberedpara"/>
        <w:ind w:left="540" w:hanging="630"/>
      </w:pPr>
      <w:r>
        <w:t>In 2018</w:t>
      </w:r>
      <w:r w:rsidR="00734B23">
        <w:t>,</w:t>
      </w:r>
      <w:r>
        <w:t xml:space="preserve"> as the Palestinian people</w:t>
      </w:r>
      <w:r w:rsidR="00BD53AD">
        <w:t xml:space="preserve"> marked 70 years since the mass </w:t>
      </w:r>
      <w:r w:rsidR="00E06015">
        <w:t xml:space="preserve">population </w:t>
      </w:r>
      <w:r w:rsidR="00BD53AD">
        <w:t xml:space="preserve">transfer of Palestinian refugees during the </w:t>
      </w:r>
      <w:r>
        <w:t>Nakba,</w:t>
      </w:r>
      <w:r w:rsidR="00734B23">
        <w:t xml:space="preserve"> </w:t>
      </w:r>
      <w:r w:rsidR="00734B23" w:rsidRPr="00B8555A">
        <w:t xml:space="preserve">Israel </w:t>
      </w:r>
      <w:r w:rsidR="00734B23">
        <w:t xml:space="preserve">entrenched its </w:t>
      </w:r>
      <w:r w:rsidR="00734B23" w:rsidRPr="00B8555A">
        <w:t xml:space="preserve">institutionalised </w:t>
      </w:r>
      <w:r w:rsidR="00734B23">
        <w:t xml:space="preserve">regime of </w:t>
      </w:r>
      <w:r w:rsidR="00734B23" w:rsidRPr="00B8555A">
        <w:t xml:space="preserve">racial discrimination against Palestinians </w:t>
      </w:r>
      <w:r w:rsidR="007C4EFA">
        <w:t xml:space="preserve">in law </w:t>
      </w:r>
      <w:r w:rsidR="00734B23" w:rsidRPr="00B8555A">
        <w:t>with the adoption of the</w:t>
      </w:r>
      <w:r w:rsidR="00734B23">
        <w:t xml:space="preserve"> Basic Law: Israel as the </w:t>
      </w:r>
      <w:r w:rsidR="00734B23" w:rsidRPr="00B8555A">
        <w:t xml:space="preserve">Nation-State </w:t>
      </w:r>
      <w:r w:rsidR="00734B23">
        <w:t>of the Jewish People</w:t>
      </w:r>
      <w:r w:rsidR="0004709C">
        <w:t xml:space="preserve"> (2018)</w:t>
      </w:r>
      <w:r w:rsidR="00734B23">
        <w:t xml:space="preserve">. </w:t>
      </w:r>
      <w:r w:rsidR="007C4EFA">
        <w:t>T</w:t>
      </w:r>
      <w:r w:rsidR="00734B23">
        <w:t xml:space="preserve">he </w:t>
      </w:r>
      <w:r w:rsidR="007C4EFA">
        <w:t xml:space="preserve">‘basic </w:t>
      </w:r>
      <w:r w:rsidR="00734B23">
        <w:t>law</w:t>
      </w:r>
      <w:r w:rsidR="007C4EFA">
        <w:t>’</w:t>
      </w:r>
      <w:r w:rsidR="00734B23">
        <w:t xml:space="preserve"> declares that “[</w:t>
      </w:r>
      <w:proofErr w:type="spellStart"/>
      <w:r w:rsidR="00734B23">
        <w:t>t]he</w:t>
      </w:r>
      <w:proofErr w:type="spellEnd"/>
      <w:r w:rsidR="00734B23">
        <w:t xml:space="preserve"> right of national self-determination in the State of Israel is</w:t>
      </w:r>
      <w:r w:rsidR="007C4EFA">
        <w:t xml:space="preserve"> unique to the Jewish people,”</w:t>
      </w:r>
      <w:r w:rsidR="00734B23">
        <w:t xml:space="preserve"> and</w:t>
      </w:r>
      <w:r w:rsidR="007C4EFA">
        <w:t xml:space="preserve"> provides</w:t>
      </w:r>
      <w:r w:rsidR="00734B23">
        <w:t xml:space="preserve"> that the State of Israel is “open to Jewish immigration and to the gathering of the exiled.”</w:t>
      </w:r>
      <w:r w:rsidR="00734B23" w:rsidRPr="00B8555A">
        <w:rPr>
          <w:rStyle w:val="FootnoteReference"/>
        </w:rPr>
        <w:footnoteReference w:id="12"/>
      </w:r>
      <w:r w:rsidR="00734B23" w:rsidRPr="00B8555A">
        <w:t xml:space="preserve"> </w:t>
      </w:r>
      <w:r w:rsidR="00734B23">
        <w:t xml:space="preserve">As such, the Jewish-Nation State Law entirely </w:t>
      </w:r>
      <w:r w:rsidR="00734B23" w:rsidRPr="00B8555A">
        <w:t>disregard</w:t>
      </w:r>
      <w:r w:rsidR="00734B23">
        <w:t>s</w:t>
      </w:r>
      <w:r w:rsidR="00734B23" w:rsidRPr="00B8555A">
        <w:t xml:space="preserve"> the rights of </w:t>
      </w:r>
      <w:r w:rsidR="007C4EFA">
        <w:t xml:space="preserve">the </w:t>
      </w:r>
      <w:r w:rsidR="00734B23" w:rsidRPr="00B8555A">
        <w:t xml:space="preserve">indigenous Palestinian </w:t>
      </w:r>
      <w:r w:rsidR="007C4EFA">
        <w:t>people</w:t>
      </w:r>
      <w:r w:rsidR="00734B23" w:rsidRPr="00B8555A">
        <w:t xml:space="preserve"> and cement</w:t>
      </w:r>
      <w:r w:rsidR="00734B23">
        <w:t>s</w:t>
      </w:r>
      <w:r w:rsidR="00734B23" w:rsidRPr="00B8555A">
        <w:t xml:space="preserve"> </w:t>
      </w:r>
      <w:r w:rsidR="007C4EFA">
        <w:t xml:space="preserve">Israel’s regime of systematic racial domination and oppression </w:t>
      </w:r>
      <w:r w:rsidR="00237093">
        <w:t>over</w:t>
      </w:r>
      <w:r w:rsidR="007C4EFA">
        <w:t xml:space="preserve"> Palestinians</w:t>
      </w:r>
      <w:r w:rsidR="00BD53AD">
        <w:t>. Instead, the ‘basic law’</w:t>
      </w:r>
      <w:r w:rsidR="00734B23" w:rsidRPr="00B8555A">
        <w:t xml:space="preserve"> </w:t>
      </w:r>
      <w:r w:rsidR="00BD53AD">
        <w:rPr>
          <w:rFonts w:eastAsia="Times New Roman"/>
        </w:rPr>
        <w:t>reveals</w:t>
      </w:r>
      <w:r w:rsidR="002D3300" w:rsidRPr="008D3D7D">
        <w:rPr>
          <w:rFonts w:eastAsia="Times New Roman"/>
        </w:rPr>
        <w:t xml:space="preserve"> Israel’s exclusionary </w:t>
      </w:r>
      <w:r w:rsidR="002D3300" w:rsidRPr="008D3D7D">
        <w:rPr>
          <w:rFonts w:eastAsia="Times New Roman"/>
          <w:i/>
          <w:iCs/>
        </w:rPr>
        <w:t xml:space="preserve">raison d’état </w:t>
      </w:r>
      <w:r w:rsidR="002D3300" w:rsidRPr="008D3D7D">
        <w:rPr>
          <w:rFonts w:eastAsia="Times New Roman"/>
        </w:rPr>
        <w:t>to exclude and replace the indigen</w:t>
      </w:r>
      <w:r w:rsidR="00073364">
        <w:rPr>
          <w:rFonts w:eastAsia="Times New Roman"/>
        </w:rPr>
        <w:t>ous Palestinian people, having for decades sought to deprive Palestinians of their means of subsistence</w:t>
      </w:r>
      <w:r w:rsidR="002D3300" w:rsidRPr="008D3D7D">
        <w:rPr>
          <w:rFonts w:eastAsia="Times New Roman"/>
        </w:rPr>
        <w:t>.</w:t>
      </w:r>
      <w:r w:rsidR="00073364" w:rsidRPr="00B8555A">
        <w:rPr>
          <w:rStyle w:val="FootnoteReference"/>
        </w:rPr>
        <w:footnoteReference w:id="13"/>
      </w:r>
      <w:r w:rsidR="002D3300" w:rsidRPr="008D3D7D">
        <w:rPr>
          <w:rFonts w:eastAsia="Times New Roman"/>
        </w:rPr>
        <w:t xml:space="preserve"> </w:t>
      </w:r>
      <w:r w:rsidR="00734B23" w:rsidRPr="00B8555A">
        <w:t xml:space="preserve">In addition, the </w:t>
      </w:r>
      <w:r w:rsidR="007C4EFA">
        <w:t>‘basic l</w:t>
      </w:r>
      <w:r w:rsidR="00734B23">
        <w:t>aw</w:t>
      </w:r>
      <w:r w:rsidR="007C4EFA">
        <w:t>’</w:t>
      </w:r>
      <w:r w:rsidR="00734B23">
        <w:t xml:space="preserve"> extends</w:t>
      </w:r>
      <w:r w:rsidR="00734B23" w:rsidRPr="00B8555A">
        <w:t xml:space="preserve"> Israel’s </w:t>
      </w:r>
      <w:r w:rsidR="007C4EFA">
        <w:t xml:space="preserve">racist </w:t>
      </w:r>
      <w:r w:rsidR="00734B23" w:rsidRPr="00B8555A">
        <w:t xml:space="preserve">policies and objectives to its administration of the </w:t>
      </w:r>
      <w:r w:rsidR="00734B23">
        <w:t>o</w:t>
      </w:r>
      <w:r w:rsidR="00734B23" w:rsidRPr="00B8555A">
        <w:t xml:space="preserve">ccupied Palestinian </w:t>
      </w:r>
      <w:r w:rsidR="00734B23">
        <w:t>t</w:t>
      </w:r>
      <w:r w:rsidR="00734B23" w:rsidRPr="00B8555A">
        <w:t>erritory, in violation of Israel’s obligation, as Occupying Power, not to extend its own domestic legislation to the territory it occupies.</w:t>
      </w:r>
      <w:r w:rsidR="00734B23" w:rsidRPr="00B8555A">
        <w:rPr>
          <w:rStyle w:val="FootnoteReference"/>
        </w:rPr>
        <w:footnoteReference w:id="14"/>
      </w:r>
    </w:p>
    <w:p w14:paraId="050F9742" w14:textId="1D6430A1" w:rsidR="00324577" w:rsidRDefault="00324577" w:rsidP="00AD6540">
      <w:pPr>
        <w:pStyle w:val="Numberedpara"/>
        <w:ind w:left="540" w:hanging="630"/>
      </w:pPr>
      <w:r w:rsidRPr="00B8555A">
        <w:t xml:space="preserve">In the </w:t>
      </w:r>
      <w:r w:rsidR="00C03087">
        <w:t>o</w:t>
      </w:r>
      <w:r w:rsidR="00C03087" w:rsidRPr="00B8555A">
        <w:t xml:space="preserve">ccupied Palestinian </w:t>
      </w:r>
      <w:r w:rsidR="00C03087">
        <w:t>t</w:t>
      </w:r>
      <w:r w:rsidR="00C03087" w:rsidRPr="00B8555A">
        <w:t>erritory</w:t>
      </w:r>
      <w:r w:rsidRPr="00B8555A">
        <w:t xml:space="preserve">, </w:t>
      </w:r>
      <w:r w:rsidR="00B37A13" w:rsidRPr="00B8555A">
        <w:t>Israel’s prolonged occupation has entered its 52</w:t>
      </w:r>
      <w:r w:rsidR="00F346B7" w:rsidRPr="003C61A0">
        <w:rPr>
          <w:vertAlign w:val="superscript"/>
        </w:rPr>
        <w:t>nd</w:t>
      </w:r>
      <w:r w:rsidR="00B37A13" w:rsidRPr="00B8555A">
        <w:t xml:space="preserve"> year</w:t>
      </w:r>
      <w:r w:rsidRPr="00B8555A">
        <w:t xml:space="preserve"> </w:t>
      </w:r>
      <w:r w:rsidR="00504C8E" w:rsidRPr="00B8555A">
        <w:t xml:space="preserve">with no end in sight. Throughout five decades of brutal </w:t>
      </w:r>
      <w:r w:rsidR="004D7F59">
        <w:t xml:space="preserve">Israeli </w:t>
      </w:r>
      <w:r w:rsidR="00504C8E" w:rsidRPr="00B8555A">
        <w:t>military occupation of the West Bank,</w:t>
      </w:r>
      <w:r w:rsidR="00F346B7">
        <w:t xml:space="preserve"> including </w:t>
      </w:r>
      <w:r w:rsidR="00504C8E" w:rsidRPr="00B8555A">
        <w:t xml:space="preserve">East Jerusalem, and the Gaza Strip, the Israeli occupying forces have </w:t>
      </w:r>
      <w:r w:rsidR="00504C8E" w:rsidRPr="00B8555A">
        <w:lastRenderedPageBreak/>
        <w:t xml:space="preserve">systematically oppressed </w:t>
      </w:r>
      <w:r w:rsidR="005243F2">
        <w:t xml:space="preserve">the </w:t>
      </w:r>
      <w:r w:rsidR="00B40E77">
        <w:t xml:space="preserve">protected </w:t>
      </w:r>
      <w:r w:rsidR="00504C8E" w:rsidRPr="00B8555A">
        <w:t>Palestinian</w:t>
      </w:r>
      <w:r w:rsidR="005243F2">
        <w:t xml:space="preserve"> population</w:t>
      </w:r>
      <w:r w:rsidR="00B17987">
        <w:t>,</w:t>
      </w:r>
      <w:r w:rsidR="004F4F5F">
        <w:t xml:space="preserve"> </w:t>
      </w:r>
      <w:r w:rsidR="00A412A6">
        <w:t>denying</w:t>
      </w:r>
      <w:r w:rsidR="00504C8E" w:rsidRPr="00B8555A">
        <w:t xml:space="preserve"> them the enjoyment </w:t>
      </w:r>
      <w:r w:rsidR="004D7F59">
        <w:t xml:space="preserve">on an equal footing </w:t>
      </w:r>
      <w:r w:rsidR="00504C8E" w:rsidRPr="00B8555A">
        <w:t xml:space="preserve">of the full spectrum of social, </w:t>
      </w:r>
      <w:r w:rsidR="004D7F59">
        <w:t>cultural</w:t>
      </w:r>
      <w:r w:rsidR="00504C8E" w:rsidRPr="00B8555A">
        <w:t xml:space="preserve">, </w:t>
      </w:r>
      <w:r w:rsidR="004D7F59">
        <w:t>political</w:t>
      </w:r>
      <w:r w:rsidR="00504C8E" w:rsidRPr="00B8555A">
        <w:t xml:space="preserve">, </w:t>
      </w:r>
      <w:r w:rsidR="004D7F59" w:rsidRPr="00B8555A">
        <w:t xml:space="preserve">economic, </w:t>
      </w:r>
      <w:r w:rsidR="00504C8E" w:rsidRPr="00B8555A">
        <w:t xml:space="preserve">and civil rights to which they are entitled. </w:t>
      </w:r>
      <w:r w:rsidR="00A412A6">
        <w:t>In violation of international law</w:t>
      </w:r>
      <w:r w:rsidR="00504C8E" w:rsidRPr="00B8555A">
        <w:t xml:space="preserve">, Israel, the Occupying Power, has </w:t>
      </w:r>
      <w:r w:rsidR="00B40E77">
        <w:t xml:space="preserve">continued to </w:t>
      </w:r>
      <w:r w:rsidR="00504C8E" w:rsidRPr="00B8555A">
        <w:t>pursue the</w:t>
      </w:r>
      <w:r w:rsidR="00FA7821" w:rsidRPr="00B8555A">
        <w:t xml:space="preserve"> active</w:t>
      </w:r>
      <w:r w:rsidR="00504C8E" w:rsidRPr="00B8555A">
        <w:t xml:space="preserve"> colonisation of</w:t>
      </w:r>
      <w:r w:rsidR="00471584">
        <w:t xml:space="preserve"> </w:t>
      </w:r>
      <w:r w:rsidR="00B40E77">
        <w:t xml:space="preserve">the occupied </w:t>
      </w:r>
      <w:r w:rsidR="00504C8E" w:rsidRPr="00B8555A">
        <w:t xml:space="preserve">Palestinian territory through illegal </w:t>
      </w:r>
      <w:r w:rsidR="004D7F59">
        <w:t xml:space="preserve">Israeli </w:t>
      </w:r>
      <w:r w:rsidR="00504C8E" w:rsidRPr="00B8555A">
        <w:t>settlement construction and expansion</w:t>
      </w:r>
      <w:r w:rsidR="00FA7821" w:rsidRPr="00B8555A">
        <w:t>, the exploitation of Palestinians’ natural resources,</w:t>
      </w:r>
      <w:r w:rsidR="00504C8E" w:rsidRPr="00B8555A">
        <w:t xml:space="preserve"> and the </w:t>
      </w:r>
      <w:r w:rsidR="000310DE">
        <w:t>serious crime of population</w:t>
      </w:r>
      <w:r w:rsidR="000310DE" w:rsidRPr="00B8555A">
        <w:t xml:space="preserve"> transfer </w:t>
      </w:r>
      <w:r w:rsidR="000310DE">
        <w:t>against</w:t>
      </w:r>
      <w:r w:rsidR="000310DE" w:rsidRPr="00B8555A">
        <w:t xml:space="preserve"> </w:t>
      </w:r>
      <w:r w:rsidR="00504C8E" w:rsidRPr="00B8555A">
        <w:t xml:space="preserve">protected </w:t>
      </w:r>
      <w:r w:rsidR="00B40E77">
        <w:t xml:space="preserve">persons </w:t>
      </w:r>
      <w:r w:rsidR="005243F2">
        <w:t>under the</w:t>
      </w:r>
      <w:r w:rsidR="00B17987">
        <w:t xml:space="preserve"> </w:t>
      </w:r>
      <w:r w:rsidR="005243F2">
        <w:t>Geneva Convention</w:t>
      </w:r>
      <w:r w:rsidR="000310DE">
        <w:t>s</w:t>
      </w:r>
      <w:r w:rsidR="00B17987">
        <w:t xml:space="preserve"> of 1949</w:t>
      </w:r>
      <w:r w:rsidR="005243F2">
        <w:t xml:space="preserve">, </w:t>
      </w:r>
      <w:r w:rsidR="004D7F59">
        <w:t>from and within the occupied territory</w:t>
      </w:r>
      <w:r w:rsidR="00B40E77">
        <w:t xml:space="preserve">, in violation of international </w:t>
      </w:r>
      <w:r w:rsidR="000310DE">
        <w:t xml:space="preserve">human rights </w:t>
      </w:r>
      <w:r w:rsidR="00B40E77">
        <w:t>law</w:t>
      </w:r>
      <w:r w:rsidR="000310DE">
        <w:t>, international criminal law, and peremptory norms</w:t>
      </w:r>
      <w:r w:rsidR="00FA7821" w:rsidRPr="00B8555A">
        <w:t>.</w:t>
      </w:r>
      <w:r w:rsidR="00B40E77" w:rsidRPr="00B8555A">
        <w:rPr>
          <w:rStyle w:val="FootnoteReference"/>
        </w:rPr>
        <w:footnoteReference w:id="15"/>
      </w:r>
      <w:r w:rsidR="00FA7821" w:rsidRPr="00B8555A">
        <w:t xml:space="preserve"> In the Gaza Strip, Israel’s prolonged closure has entered its 12</w:t>
      </w:r>
      <w:r w:rsidR="00F346B7" w:rsidRPr="003C61A0">
        <w:rPr>
          <w:vertAlign w:val="superscript"/>
        </w:rPr>
        <w:t>th</w:t>
      </w:r>
      <w:r w:rsidR="00FA7821" w:rsidRPr="00B8555A">
        <w:t xml:space="preserve"> year, amounting to unlawful collective punishment</w:t>
      </w:r>
      <w:r w:rsidR="004D7F59">
        <w:t>,</w:t>
      </w:r>
      <w:r w:rsidR="00FA7821" w:rsidRPr="00B8555A">
        <w:rPr>
          <w:rStyle w:val="FootnoteReference"/>
        </w:rPr>
        <w:footnoteReference w:id="16"/>
      </w:r>
      <w:r w:rsidR="00FA7821" w:rsidRPr="00B8555A">
        <w:t xml:space="preserve"> and </w:t>
      </w:r>
      <w:r w:rsidR="006A7BB9">
        <w:t xml:space="preserve">has </w:t>
      </w:r>
      <w:r w:rsidR="00FA7821" w:rsidRPr="00B8555A">
        <w:t>result</w:t>
      </w:r>
      <w:r w:rsidR="006A7BB9">
        <w:t>ed</w:t>
      </w:r>
      <w:r w:rsidR="00FA7821" w:rsidRPr="00B8555A">
        <w:t xml:space="preserve"> in </w:t>
      </w:r>
      <w:r w:rsidR="004D7F59">
        <w:t xml:space="preserve">the </w:t>
      </w:r>
      <w:r w:rsidR="00FA7821" w:rsidRPr="00B8555A">
        <w:t xml:space="preserve">severe </w:t>
      </w:r>
      <w:r w:rsidR="004D7F59">
        <w:t>denial</w:t>
      </w:r>
      <w:r w:rsidR="004D7F59" w:rsidRPr="00B8555A">
        <w:t xml:space="preserve"> </w:t>
      </w:r>
      <w:r w:rsidR="004D7F59">
        <w:t>of</w:t>
      </w:r>
      <w:r w:rsidR="004D7F59" w:rsidRPr="00B8555A">
        <w:t xml:space="preserve"> </w:t>
      </w:r>
      <w:r w:rsidR="00F346B7">
        <w:t xml:space="preserve">Palestinians’ rights to </w:t>
      </w:r>
      <w:r w:rsidR="00FA7821" w:rsidRPr="00B8555A">
        <w:t>freedom of movement</w:t>
      </w:r>
      <w:r w:rsidR="00F346B7">
        <w:t xml:space="preserve">, </w:t>
      </w:r>
      <w:r w:rsidR="006A7BB9">
        <w:t xml:space="preserve">adequate housing, </w:t>
      </w:r>
      <w:r w:rsidR="00F346B7">
        <w:t xml:space="preserve">life, health, </w:t>
      </w:r>
      <w:r w:rsidR="00D84238">
        <w:t xml:space="preserve">human dignity, and </w:t>
      </w:r>
      <w:r w:rsidR="004D7F59">
        <w:t xml:space="preserve">an adequate standard of living, </w:t>
      </w:r>
      <w:r w:rsidR="00A54D0E">
        <w:t xml:space="preserve">amongst other fundamental rights, </w:t>
      </w:r>
      <w:r w:rsidR="004D7F59">
        <w:t>in violation of Article 5 of the Convention</w:t>
      </w:r>
      <w:r w:rsidR="006A7BB9">
        <w:t xml:space="preserve"> and international human rights law</w:t>
      </w:r>
      <w:r w:rsidR="0031534B">
        <w:t>.</w:t>
      </w:r>
      <w:r w:rsidR="008151DE" w:rsidRPr="00B8555A">
        <w:rPr>
          <w:rStyle w:val="FootnoteReference"/>
        </w:rPr>
        <w:footnoteReference w:id="17"/>
      </w:r>
      <w:r w:rsidR="00B17987">
        <w:t xml:space="preserve"> </w:t>
      </w:r>
      <w:r w:rsidR="00FA7821" w:rsidRPr="00B8555A">
        <w:t>Overall, Israel</w:t>
      </w:r>
      <w:r w:rsidR="00DF4AEF" w:rsidRPr="00B8555A">
        <w:t xml:space="preserve"> continues to deny the Palestinian people their inalienable right to self-determination</w:t>
      </w:r>
      <w:r w:rsidR="00D84238">
        <w:t>, including</w:t>
      </w:r>
      <w:r w:rsidR="005813A8">
        <w:t xml:space="preserve"> </w:t>
      </w:r>
      <w:r w:rsidR="00DF4AEF" w:rsidRPr="00B8555A">
        <w:t xml:space="preserve">permanent sovereignty over </w:t>
      </w:r>
      <w:r w:rsidR="007E5E63" w:rsidRPr="00B8555A">
        <w:t>their natural wealth and resources in violation of</w:t>
      </w:r>
      <w:r w:rsidR="005243F2">
        <w:t xml:space="preserve"> </w:t>
      </w:r>
      <w:r w:rsidR="005243F2" w:rsidRPr="003C61A0">
        <w:rPr>
          <w:i/>
          <w:iCs/>
        </w:rPr>
        <w:t>jus cogens</w:t>
      </w:r>
      <w:r w:rsidR="005243F2">
        <w:t xml:space="preserve"> principles of</w:t>
      </w:r>
      <w:r w:rsidR="007E5E63" w:rsidRPr="00B8555A">
        <w:t xml:space="preserve"> international law.</w:t>
      </w:r>
      <w:r w:rsidR="007E5E63" w:rsidRPr="00B8555A">
        <w:rPr>
          <w:rStyle w:val="FootnoteReference"/>
        </w:rPr>
        <w:footnoteReference w:id="18"/>
      </w:r>
      <w:r w:rsidR="0031534B">
        <w:t xml:space="preserve"> </w:t>
      </w:r>
      <w:r w:rsidR="00D84238">
        <w:t>A</w:t>
      </w:r>
      <w:r w:rsidR="001F03C7">
        <w:t xml:space="preserve">t the same time, </w:t>
      </w:r>
      <w:r w:rsidR="0031534B">
        <w:t>Israel has continued construction of the Annexation Wall in the West Bank</w:t>
      </w:r>
      <w:r w:rsidR="001F03C7">
        <w:t>, including</w:t>
      </w:r>
      <w:r w:rsidR="005A614D">
        <w:t xml:space="preserve"> </w:t>
      </w:r>
      <w:r w:rsidR="0031534B">
        <w:t xml:space="preserve">in and around East Jerusalem, which the International Court of Justice (ICJ) </w:t>
      </w:r>
      <w:r w:rsidR="001F03C7">
        <w:t xml:space="preserve">deemed illegal in 2004 and </w:t>
      </w:r>
      <w:r w:rsidR="0031534B">
        <w:t>called on Israel to dismantle.</w:t>
      </w:r>
      <w:r w:rsidR="0031534B" w:rsidRPr="00B8555A">
        <w:rPr>
          <w:rStyle w:val="FootnoteReference"/>
        </w:rPr>
        <w:footnoteReference w:id="19"/>
      </w:r>
      <w:r w:rsidR="0031534B">
        <w:t xml:space="preserve"> Fifteen years since the ICJ’s authoritative Advisory Opinion, the Annexation Wall</w:t>
      </w:r>
      <w:r w:rsidR="00D84238">
        <w:t xml:space="preserve"> remains</w:t>
      </w:r>
      <w:r w:rsidR="0031534B">
        <w:t xml:space="preserve"> </w:t>
      </w:r>
      <w:r w:rsidR="00D84238">
        <w:t>standing, depriving</w:t>
      </w:r>
      <w:r w:rsidR="001F03C7">
        <w:t xml:space="preserve"> Palestinian communities</w:t>
      </w:r>
      <w:r w:rsidR="00D84238">
        <w:t xml:space="preserve"> of their rights to adequate housing and access to land</w:t>
      </w:r>
      <w:r w:rsidR="001F03C7">
        <w:t xml:space="preserve"> and resources</w:t>
      </w:r>
      <w:r w:rsidR="00D84238">
        <w:t>,</w:t>
      </w:r>
      <w:r w:rsidR="001F03C7">
        <w:t xml:space="preserve"> in denial of the Palestinian people’s right to self-determination</w:t>
      </w:r>
      <w:r w:rsidR="00D84238">
        <w:t>. Thus, the Annexation Wall continues to</w:t>
      </w:r>
      <w:r w:rsidR="004F0688">
        <w:t xml:space="preserve"> </w:t>
      </w:r>
      <w:r w:rsidR="00D84238">
        <w:t xml:space="preserve">contribute </w:t>
      </w:r>
      <w:r w:rsidR="004F0688">
        <w:t xml:space="preserve">to </w:t>
      </w:r>
      <w:r w:rsidR="00D84238">
        <w:t xml:space="preserve">Israel’s policies of </w:t>
      </w:r>
      <w:r w:rsidR="004F0688">
        <w:t>racial segregation</w:t>
      </w:r>
      <w:r w:rsidR="00D84238">
        <w:t>, resulting in</w:t>
      </w:r>
      <w:r w:rsidR="004F0688">
        <w:t xml:space="preserve"> material discrimination against Palestinians</w:t>
      </w:r>
      <w:r w:rsidR="00B17987">
        <w:t>, while it has led to the annexation of parts of the occupied territory and the appropriation of land for illegal settlement construction and expansion</w:t>
      </w:r>
      <w:r w:rsidR="00D84238">
        <w:t>.</w:t>
      </w:r>
    </w:p>
    <w:p w14:paraId="3F16E560" w14:textId="7CBD4E7E" w:rsidR="0035044B" w:rsidRPr="00034DE7" w:rsidRDefault="00E87873" w:rsidP="007A3650">
      <w:pPr>
        <w:pStyle w:val="Numberedpara"/>
        <w:ind w:left="540" w:hanging="630"/>
        <w:rPr>
          <w:rStyle w:val="CommentReference"/>
          <w:sz w:val="24"/>
          <w:szCs w:val="24"/>
        </w:rPr>
      </w:pPr>
      <w:r w:rsidRPr="00034DE7">
        <w:t xml:space="preserve">In addition to the deterioration of the </w:t>
      </w:r>
      <w:r w:rsidR="00D84238">
        <w:t xml:space="preserve">overall </w:t>
      </w:r>
      <w:r w:rsidRPr="00034DE7">
        <w:t>human rights situation</w:t>
      </w:r>
      <w:r w:rsidR="00D84238">
        <w:t xml:space="preserve"> and the prolonged denial of Palestinians’ rights</w:t>
      </w:r>
      <w:r w:rsidRPr="00034DE7">
        <w:t xml:space="preserve">, the Israeli </w:t>
      </w:r>
      <w:r w:rsidR="00F346B7" w:rsidRPr="00034DE7">
        <w:t>G</w:t>
      </w:r>
      <w:r w:rsidRPr="00034DE7">
        <w:t>overnment</w:t>
      </w:r>
      <w:r w:rsidR="008904C2" w:rsidRPr="00034DE7">
        <w:t xml:space="preserve"> </w:t>
      </w:r>
      <w:r w:rsidRPr="00034DE7">
        <w:t>also promot</w:t>
      </w:r>
      <w:r w:rsidR="00F346B7" w:rsidRPr="00034DE7">
        <w:t>es</w:t>
      </w:r>
      <w:r w:rsidRPr="00034DE7">
        <w:t xml:space="preserve"> repressive policies against </w:t>
      </w:r>
      <w:r w:rsidR="00F346B7" w:rsidRPr="00034DE7">
        <w:t xml:space="preserve">human rights defenders, activists, </w:t>
      </w:r>
      <w:r w:rsidRPr="00034DE7">
        <w:t>and advocates for Palestinian rights. One of the most notable examples of these measures is the</w:t>
      </w:r>
      <w:r w:rsidR="00F4546A">
        <w:t xml:space="preserve"> </w:t>
      </w:r>
      <w:r w:rsidR="00132336">
        <w:t xml:space="preserve">expansive interpretation of the Working Definition of Antisemitism of </w:t>
      </w:r>
      <w:r w:rsidR="00F4546A">
        <w:t>the</w:t>
      </w:r>
      <w:r w:rsidRPr="00034DE7">
        <w:t xml:space="preserve"> International Holocaust Remembrance Alliance </w:t>
      </w:r>
      <w:r w:rsidRPr="00034DE7">
        <w:lastRenderedPageBreak/>
        <w:t>(IHRA)</w:t>
      </w:r>
      <w:r w:rsidR="00132336">
        <w:t>.</w:t>
      </w:r>
      <w:r w:rsidRPr="00034DE7">
        <w:rPr>
          <w:rStyle w:val="FootnoteReference"/>
          <w:color w:val="000000" w:themeColor="text1"/>
        </w:rPr>
        <w:footnoteReference w:id="20"/>
      </w:r>
      <w:r w:rsidR="008904C2" w:rsidRPr="00034DE7">
        <w:t xml:space="preserve"> </w:t>
      </w:r>
      <w:r w:rsidR="00F4546A">
        <w:t>While</w:t>
      </w:r>
      <w:r w:rsidRPr="00034DE7">
        <w:t xml:space="preserve"> support</w:t>
      </w:r>
      <w:r w:rsidR="00F4546A">
        <w:t>ing</w:t>
      </w:r>
      <w:r w:rsidRPr="00034DE7">
        <w:t xml:space="preserve"> </w:t>
      </w:r>
      <w:r w:rsidR="008904C2" w:rsidRPr="00034DE7">
        <w:t xml:space="preserve">efforts </w:t>
      </w:r>
      <w:r w:rsidRPr="00034DE7">
        <w:t>to counter growing racism around the globe,</w:t>
      </w:r>
      <w:r w:rsidR="008904C2" w:rsidRPr="00034DE7">
        <w:t xml:space="preserve"> </w:t>
      </w:r>
      <w:r w:rsidR="00F4546A">
        <w:t>our organisations note that</w:t>
      </w:r>
      <w:r w:rsidRPr="00034DE7">
        <w:t xml:space="preserve"> the </w:t>
      </w:r>
      <w:r w:rsidR="00132336">
        <w:t xml:space="preserve">interpretation of the </w:t>
      </w:r>
      <w:r w:rsidRPr="00034DE7">
        <w:t>IHRA definition</w:t>
      </w:r>
      <w:r w:rsidR="007A3650">
        <w:t>,</w:t>
      </w:r>
      <w:r w:rsidRPr="00034DE7">
        <w:t xml:space="preserve"> </w:t>
      </w:r>
      <w:r w:rsidR="007A3650">
        <w:t>actively promoted</w:t>
      </w:r>
      <w:r w:rsidR="00132336" w:rsidRPr="00034DE7">
        <w:t xml:space="preserve"> the public outreach mechanism of the Israeli Ministry of Strategic Affairs, 4IL,</w:t>
      </w:r>
      <w:r w:rsidR="00132336" w:rsidRPr="00034DE7">
        <w:rPr>
          <w:rStyle w:val="FootnoteReference"/>
          <w:color w:val="000000" w:themeColor="text1"/>
        </w:rPr>
        <w:footnoteReference w:id="21"/>
      </w:r>
      <w:r w:rsidR="00132336" w:rsidRPr="00034DE7">
        <w:t xml:space="preserve"> </w:t>
      </w:r>
      <w:r w:rsidRPr="00034DE7">
        <w:t>dangerously conflate</w:t>
      </w:r>
      <w:r w:rsidR="00DD3AA8" w:rsidRPr="00034DE7">
        <w:t>s</w:t>
      </w:r>
      <w:r w:rsidRPr="00034DE7">
        <w:t xml:space="preserve"> legitimate criticism of the</w:t>
      </w:r>
      <w:r w:rsidR="00F4546A">
        <w:t xml:space="preserve"> </w:t>
      </w:r>
      <w:r w:rsidR="00B37F4E" w:rsidRPr="00034DE7">
        <w:t>S</w:t>
      </w:r>
      <w:r w:rsidRPr="00034DE7">
        <w:t>tate of Israel</w:t>
      </w:r>
      <w:r w:rsidR="00F4546A">
        <w:t xml:space="preserve">, including </w:t>
      </w:r>
      <w:r w:rsidR="00A56A33">
        <w:t xml:space="preserve">policies and practices of </w:t>
      </w:r>
      <w:r w:rsidR="00F4546A">
        <w:t>racial discrimination,</w:t>
      </w:r>
      <w:r w:rsidRPr="00034DE7">
        <w:t xml:space="preserve"> </w:t>
      </w:r>
      <w:r w:rsidR="001C7AE1" w:rsidRPr="00034DE7">
        <w:t>with</w:t>
      </w:r>
      <w:r w:rsidRPr="00034DE7">
        <w:t xml:space="preserve"> </w:t>
      </w:r>
      <w:r w:rsidR="0037212B">
        <w:t>antis</w:t>
      </w:r>
      <w:r w:rsidR="00DD3AA8" w:rsidRPr="00034DE7">
        <w:t>emitism</w:t>
      </w:r>
      <w:r w:rsidRPr="00034DE7">
        <w:t xml:space="preserve">. </w:t>
      </w:r>
      <w:r w:rsidR="00FA4EB4">
        <w:t xml:space="preserve">This </w:t>
      </w:r>
      <w:r w:rsidRPr="00034DE7">
        <w:t xml:space="preserve">has been used as part of a </w:t>
      </w:r>
      <w:r w:rsidR="00DD3AA8" w:rsidRPr="00034DE7">
        <w:t xml:space="preserve">widespread </w:t>
      </w:r>
      <w:r w:rsidRPr="00034DE7">
        <w:t xml:space="preserve">campaign </w:t>
      </w:r>
      <w:r w:rsidR="0035044B">
        <w:t>to silence</w:t>
      </w:r>
      <w:r w:rsidR="0035044B" w:rsidRPr="00034DE7">
        <w:t xml:space="preserve"> </w:t>
      </w:r>
      <w:r w:rsidR="00350A2B" w:rsidRPr="00034DE7">
        <w:t>organi</w:t>
      </w:r>
      <w:r w:rsidR="00DD3AA8" w:rsidRPr="00034DE7">
        <w:t>s</w:t>
      </w:r>
      <w:r w:rsidR="00350A2B" w:rsidRPr="00034DE7">
        <w:t xml:space="preserve">ations and individuals </w:t>
      </w:r>
      <w:r w:rsidR="00350A2B" w:rsidRPr="00034DE7">
        <w:rPr>
          <w:rFonts w:eastAsia="Times New Roman" w:cstheme="minorHAnsi"/>
        </w:rPr>
        <w:t>working</w:t>
      </w:r>
      <w:r w:rsidR="008904C2" w:rsidRPr="00034DE7">
        <w:rPr>
          <w:rFonts w:eastAsia="Times New Roman" w:cstheme="minorHAnsi"/>
        </w:rPr>
        <w:t xml:space="preserve"> </w:t>
      </w:r>
      <w:r w:rsidRPr="00034DE7">
        <w:t xml:space="preserve">to protect the rights of the Palestinian people, </w:t>
      </w:r>
      <w:r w:rsidR="0035044B">
        <w:t>while it has also served as a tool to stifle criticism of Israel’s policies and practices</w:t>
      </w:r>
      <w:r w:rsidRPr="00034DE7">
        <w:t>.</w:t>
      </w:r>
    </w:p>
    <w:p w14:paraId="2D45EC89" w14:textId="31BEA2E2" w:rsidR="00E87873" w:rsidRPr="00034DE7" w:rsidRDefault="00FA4EB4" w:rsidP="007A3650">
      <w:pPr>
        <w:pStyle w:val="Numberedpara"/>
        <w:ind w:left="540" w:hanging="630"/>
      </w:pPr>
      <w:r>
        <w:t>T</w:t>
      </w:r>
      <w:r w:rsidR="00E87873" w:rsidRPr="00034DE7">
        <w:t xml:space="preserve">he Israeli Government, along </w:t>
      </w:r>
      <w:r w:rsidR="00DD3AA8" w:rsidRPr="00034DE7">
        <w:t xml:space="preserve">with </w:t>
      </w:r>
      <w:r w:rsidR="00E87873" w:rsidRPr="00034DE7">
        <w:t>other groups, has led</w:t>
      </w:r>
      <w:r w:rsidR="008904C2" w:rsidRPr="00034DE7">
        <w:t xml:space="preserve"> </w:t>
      </w:r>
      <w:r w:rsidR="009F0A21">
        <w:t xml:space="preserve">a </w:t>
      </w:r>
      <w:r w:rsidR="000F5871">
        <w:t xml:space="preserve">widespread </w:t>
      </w:r>
      <w:r w:rsidR="00E87873" w:rsidRPr="00034DE7">
        <w:t xml:space="preserve">lobbying </w:t>
      </w:r>
      <w:r w:rsidR="009F0A21">
        <w:t>and silencing campaign</w:t>
      </w:r>
      <w:r w:rsidR="009F0A21" w:rsidRPr="00034DE7">
        <w:t xml:space="preserve"> </w:t>
      </w:r>
      <w:r w:rsidR="00E87873" w:rsidRPr="00034DE7">
        <w:t>targeting civil society</w:t>
      </w:r>
      <w:r w:rsidR="00A56A33">
        <w:t xml:space="preserve"> </w:t>
      </w:r>
      <w:r w:rsidR="000F5871">
        <w:t xml:space="preserve">seeking </w:t>
      </w:r>
      <w:r w:rsidR="009F0A21">
        <w:t>to challenge</w:t>
      </w:r>
      <w:r w:rsidR="00A56A33">
        <w:t xml:space="preserve"> Israel’s policies and practices</w:t>
      </w:r>
      <w:r w:rsidR="00DD3AA8" w:rsidRPr="00034DE7">
        <w:t xml:space="preserve">, </w:t>
      </w:r>
      <w:r>
        <w:t>such as</w:t>
      </w:r>
      <w:r w:rsidR="000F5871">
        <w:t xml:space="preserve"> the B</w:t>
      </w:r>
      <w:r>
        <w:t xml:space="preserve">oycott, </w:t>
      </w:r>
      <w:r w:rsidR="000F5871">
        <w:t>D</w:t>
      </w:r>
      <w:r>
        <w:t xml:space="preserve">ivestment, and </w:t>
      </w:r>
      <w:r w:rsidR="000F5871">
        <w:t>S</w:t>
      </w:r>
      <w:r>
        <w:t>anctions</w:t>
      </w:r>
      <w:r w:rsidR="000F5871">
        <w:t xml:space="preserve"> </w:t>
      </w:r>
      <w:r w:rsidR="00CA0118">
        <w:t xml:space="preserve">(BDS) </w:t>
      </w:r>
      <w:r w:rsidR="000F5871">
        <w:t>Movement</w:t>
      </w:r>
      <w:r w:rsidR="009312AF">
        <w:t>,</w:t>
      </w:r>
      <w:r w:rsidRPr="00034DE7">
        <w:rPr>
          <w:rStyle w:val="FootnoteReference"/>
          <w:color w:val="000000" w:themeColor="text1"/>
        </w:rPr>
        <w:footnoteReference w:id="22"/>
      </w:r>
      <w:r w:rsidR="000F5871">
        <w:t xml:space="preserve"> </w:t>
      </w:r>
      <w:r w:rsidR="000310DE">
        <w:t xml:space="preserve">which aligns with the peremptory norm of non-recognition of the illegal situation, </w:t>
      </w:r>
      <w:r w:rsidR="000F5871">
        <w:t xml:space="preserve">by </w:t>
      </w:r>
      <w:r w:rsidR="00A56A33">
        <w:t>using</w:t>
      </w:r>
      <w:r w:rsidR="00DD3AA8" w:rsidRPr="00034DE7">
        <w:t xml:space="preserve"> the mandate of</w:t>
      </w:r>
      <w:r w:rsidR="00E87873" w:rsidRPr="00034DE7">
        <w:t xml:space="preserve"> </w:t>
      </w:r>
      <w:r w:rsidR="00DD3AA8" w:rsidRPr="00034DE7">
        <w:t>t</w:t>
      </w:r>
      <w:r w:rsidR="00E87873" w:rsidRPr="00034DE7">
        <w:t>he Ministry of Strategic Affairs and Public Diplomacy “to act against the delegitimization and boycott campaigns against the state of Israel</w:t>
      </w:r>
      <w:r w:rsidR="000310DE">
        <w:t>.</w:t>
      </w:r>
      <w:r w:rsidR="00E87873" w:rsidRPr="00034DE7">
        <w:t>”</w:t>
      </w:r>
      <w:r w:rsidR="00E87873" w:rsidRPr="00034DE7">
        <w:rPr>
          <w:rStyle w:val="FootnoteReference"/>
          <w:color w:val="000000" w:themeColor="text1"/>
        </w:rPr>
        <w:footnoteReference w:id="23"/>
      </w:r>
      <w:r w:rsidR="00E87873" w:rsidRPr="00034DE7">
        <w:t xml:space="preserve"> Israel has also </w:t>
      </w:r>
      <w:r w:rsidR="00A56A33">
        <w:t>adopted</w:t>
      </w:r>
      <w:r w:rsidR="00A56A33" w:rsidRPr="00034DE7">
        <w:t xml:space="preserve"> </w:t>
      </w:r>
      <w:r w:rsidR="00E87873" w:rsidRPr="00034DE7">
        <w:t xml:space="preserve">laws prohibiting entry </w:t>
      </w:r>
      <w:r w:rsidR="00DD3AA8" w:rsidRPr="00034DE7">
        <w:t xml:space="preserve">into </w:t>
      </w:r>
      <w:r w:rsidR="00E87873" w:rsidRPr="00034DE7">
        <w:t>and residenc</w:t>
      </w:r>
      <w:r w:rsidR="00D05E00">
        <w:t>e</w:t>
      </w:r>
      <w:r w:rsidR="00E87873" w:rsidRPr="00034DE7">
        <w:t xml:space="preserve"> in Israel to persons who have participated in BDS activities</w:t>
      </w:r>
      <w:r w:rsidR="00DD3AA8" w:rsidRPr="00034DE7">
        <w:t xml:space="preserve">, in violation of their </w:t>
      </w:r>
      <w:r w:rsidR="00A56A33">
        <w:t xml:space="preserve">fundamental </w:t>
      </w:r>
      <w:r w:rsidR="00DD3AA8" w:rsidRPr="00034DE7">
        <w:t>right</w:t>
      </w:r>
      <w:r w:rsidR="00A56A33">
        <w:t>s</w:t>
      </w:r>
      <w:r w:rsidR="00A56A33" w:rsidRPr="00A56A33">
        <w:t xml:space="preserve"> to</w:t>
      </w:r>
      <w:r w:rsidR="009312AF">
        <w:t xml:space="preserve"> freedom of movement and residency, to</w:t>
      </w:r>
      <w:r w:rsidR="00A56A33" w:rsidRPr="00A56A33">
        <w:t xml:space="preserve"> freedom</w:t>
      </w:r>
      <w:r w:rsidR="00DD3AA8" w:rsidRPr="00034DE7">
        <w:t xml:space="preserve"> of opinion</w:t>
      </w:r>
      <w:r w:rsidR="009312AF">
        <w:t xml:space="preserve"> and</w:t>
      </w:r>
      <w:r w:rsidR="00DD3AA8" w:rsidRPr="00034DE7">
        <w:t xml:space="preserve"> expression, </w:t>
      </w:r>
      <w:r w:rsidR="009312AF">
        <w:t xml:space="preserve">and to freedom of </w:t>
      </w:r>
      <w:r w:rsidR="00DD3AA8" w:rsidRPr="00034DE7">
        <w:t>peaceful assembly</w:t>
      </w:r>
      <w:r w:rsidR="0071532A" w:rsidRPr="00034DE7">
        <w:t xml:space="preserve"> and association</w:t>
      </w:r>
      <w:r w:rsidR="00E87873" w:rsidRPr="00034DE7">
        <w:t>.</w:t>
      </w:r>
      <w:r w:rsidR="00A56A33" w:rsidRPr="00A177A1">
        <w:rPr>
          <w:rStyle w:val="FootnoteReference"/>
          <w:color w:val="000000" w:themeColor="text1"/>
        </w:rPr>
        <w:footnoteReference w:id="24"/>
      </w:r>
      <w:r w:rsidR="00E87873" w:rsidRPr="00034DE7">
        <w:t xml:space="preserve"> The </w:t>
      </w:r>
      <w:r w:rsidR="00A56A33">
        <w:t xml:space="preserve">Israeli </w:t>
      </w:r>
      <w:r w:rsidR="00E87873" w:rsidRPr="00034DE7">
        <w:t xml:space="preserve">Ministry </w:t>
      </w:r>
      <w:r w:rsidR="00A56A33" w:rsidRPr="00A177A1">
        <w:t xml:space="preserve">of Strategic Affairs </w:t>
      </w:r>
      <w:r w:rsidR="00E87873" w:rsidRPr="00034DE7">
        <w:t xml:space="preserve">has also carried out </w:t>
      </w:r>
      <w:r w:rsidR="00A56A33">
        <w:t xml:space="preserve">targeted </w:t>
      </w:r>
      <w:r w:rsidR="00E87873" w:rsidRPr="00034DE7">
        <w:t>campaigns to smear Palestinian human rights organisations</w:t>
      </w:r>
      <w:r w:rsidR="00D8748F" w:rsidRPr="00034DE7">
        <w:t xml:space="preserve"> </w:t>
      </w:r>
      <w:r w:rsidR="00A56A33">
        <w:t xml:space="preserve">and defenders </w:t>
      </w:r>
      <w:r w:rsidR="00D8748F" w:rsidRPr="00034DE7">
        <w:t>by</w:t>
      </w:r>
      <w:r w:rsidR="00E87873" w:rsidRPr="00034DE7">
        <w:t xml:space="preserve"> framing the</w:t>
      </w:r>
      <w:r w:rsidR="00A56A33">
        <w:t>ir legitimate criticism</w:t>
      </w:r>
      <w:r w:rsidR="00E87873" w:rsidRPr="00034DE7">
        <w:t xml:space="preserve"> as anti</w:t>
      </w:r>
      <w:r w:rsidR="007A3650">
        <w:t>s</w:t>
      </w:r>
      <w:r w:rsidR="00E87873" w:rsidRPr="00034DE7">
        <w:t>emitic</w:t>
      </w:r>
      <w:r w:rsidR="003E6165">
        <w:t xml:space="preserve"> or</w:t>
      </w:r>
      <w:r w:rsidR="00E87873" w:rsidRPr="00034DE7">
        <w:t xml:space="preserve"> </w:t>
      </w:r>
      <w:r w:rsidR="00A56A33">
        <w:t xml:space="preserve">through </w:t>
      </w:r>
      <w:r w:rsidR="007A3650">
        <w:t xml:space="preserve">allegations of </w:t>
      </w:r>
      <w:r w:rsidR="00A56A33">
        <w:t>terrorism</w:t>
      </w:r>
      <w:r w:rsidR="00E87873" w:rsidRPr="00034DE7">
        <w:t>.</w:t>
      </w:r>
      <w:r w:rsidR="00E87873" w:rsidRPr="00034DE7">
        <w:rPr>
          <w:rStyle w:val="FootnoteReference"/>
          <w:color w:val="000000" w:themeColor="text1"/>
        </w:rPr>
        <w:footnoteReference w:id="25"/>
      </w:r>
      <w:r w:rsidR="00E87873" w:rsidRPr="00034DE7">
        <w:t xml:space="preserve"> </w:t>
      </w:r>
      <w:r w:rsidR="0071532A">
        <w:t>Our organisations submit that the widespread and systematic attempts to si</w:t>
      </w:r>
      <w:r w:rsidR="009F0A21">
        <w:t xml:space="preserve">lence Palestinian civil society, </w:t>
      </w:r>
      <w:r w:rsidR="0071532A">
        <w:t>human rights defenders</w:t>
      </w:r>
      <w:r w:rsidR="009F0A21">
        <w:t>,</w:t>
      </w:r>
      <w:r w:rsidR="0071532A">
        <w:t xml:space="preserve"> </w:t>
      </w:r>
      <w:r w:rsidR="00A56A33">
        <w:t xml:space="preserve">and groups </w:t>
      </w:r>
      <w:r w:rsidR="0071532A">
        <w:t xml:space="preserve">advocating for </w:t>
      </w:r>
      <w:r w:rsidR="00645AB1">
        <w:t xml:space="preserve">the rights of </w:t>
      </w:r>
      <w:r w:rsidR="0071532A">
        <w:t>Palestinian</w:t>
      </w:r>
      <w:r w:rsidR="00645AB1">
        <w:t>s</w:t>
      </w:r>
      <w:r w:rsidR="0071532A">
        <w:t xml:space="preserve"> forms </w:t>
      </w:r>
      <w:r>
        <w:t xml:space="preserve">an integral </w:t>
      </w:r>
      <w:r w:rsidR="0071532A">
        <w:t>part of Israel’s institutionalised regime of racial domination and oppression over the Palestinian people, and is committed with the intention of maintaining this regime.</w:t>
      </w:r>
    </w:p>
    <w:p w14:paraId="118598F3" w14:textId="77777777" w:rsidR="00052DB0" w:rsidRDefault="00052DB0">
      <w:pPr>
        <w:rPr>
          <w:b/>
          <w:bCs/>
          <w:kern w:val="36"/>
          <w:lang w:val="en-GB"/>
        </w:rPr>
      </w:pPr>
      <w:bookmarkStart w:id="22" w:name="_Toc18615800"/>
      <w:r>
        <w:br w:type="page"/>
      </w:r>
    </w:p>
    <w:p w14:paraId="5362CFC7" w14:textId="72325F79" w:rsidR="00D73153" w:rsidRPr="00B8555A" w:rsidRDefault="00D73153" w:rsidP="00D73153">
      <w:pPr>
        <w:pStyle w:val="Heading1"/>
      </w:pPr>
      <w:r>
        <w:lastRenderedPageBreak/>
        <w:t>Failure to Report on the Rights of Palestinians</w:t>
      </w:r>
      <w:bookmarkEnd w:id="22"/>
    </w:p>
    <w:p w14:paraId="10C9D9BE" w14:textId="6C8F1D65" w:rsidR="00D73153" w:rsidRPr="00563C85" w:rsidRDefault="00D73153" w:rsidP="006C65C7">
      <w:pPr>
        <w:pStyle w:val="Numberedpara"/>
        <w:ind w:left="540" w:hanging="540"/>
      </w:pPr>
      <w:r w:rsidRPr="00563C85">
        <w:t xml:space="preserve">Israel has </w:t>
      </w:r>
      <w:r w:rsidR="00A56A33" w:rsidRPr="00563C85">
        <w:t xml:space="preserve">once again failed to report on the rights of all Palestinians subject to its jurisdiction and effective control to CERD, </w:t>
      </w:r>
      <w:r w:rsidRPr="00563C85">
        <w:t xml:space="preserve">systematically </w:t>
      </w:r>
      <w:r w:rsidR="00A56A33" w:rsidRPr="00563C85">
        <w:t>denying</w:t>
      </w:r>
      <w:r w:rsidRPr="00563C85">
        <w:t xml:space="preserve"> the applicability of the international human rights treaties, which it has ratified, to the occupied Palestinian territory. Our organisations recall </w:t>
      </w:r>
      <w:r w:rsidR="00A56A33" w:rsidRPr="00563C85">
        <w:t xml:space="preserve">the Committee’s </w:t>
      </w:r>
      <w:r w:rsidR="000310DE">
        <w:t>Concluding O</w:t>
      </w:r>
      <w:r w:rsidRPr="00563C85">
        <w:t>bservations of 2012, in which the Committee was “deeply concerned at the position of the State party that the Convention does not apply to all the territories under its effective control, which not only includes Israel proper but also the West Bank, including East Jerusalem</w:t>
      </w:r>
      <w:r w:rsidR="00EE29AE" w:rsidRPr="00563C85">
        <w:t>,</w:t>
      </w:r>
      <w:r w:rsidRPr="00563C85">
        <w:t xml:space="preserve"> the Gaza Strip and the Occupied Syrian Golan.”</w:t>
      </w:r>
      <w:r w:rsidRPr="00034DE7">
        <w:rPr>
          <w:rStyle w:val="FootnoteReference"/>
          <w:color w:val="000000" w:themeColor="text1"/>
        </w:rPr>
        <w:footnoteReference w:id="26"/>
      </w:r>
      <w:r w:rsidRPr="00563C85">
        <w:t xml:space="preserve"> At the time, the Committee called on Israel, the Occupying Power, to report on its implementation of the Convention in the occupied Palestinian territory</w:t>
      </w:r>
      <w:r w:rsidRPr="00563C85" w:rsidDel="00C03087">
        <w:t xml:space="preserve"> </w:t>
      </w:r>
      <w:r w:rsidRPr="00563C85">
        <w:t>and urged Israel to “interpret its obligations under the Convention in good faith and in accordance with international law.”</w:t>
      </w:r>
      <w:r w:rsidRPr="00034DE7">
        <w:rPr>
          <w:rStyle w:val="FootnoteReference"/>
          <w:color w:val="000000" w:themeColor="text1"/>
        </w:rPr>
        <w:footnoteReference w:id="27"/>
      </w:r>
      <w:r w:rsidRPr="00034DE7">
        <w:t xml:space="preserve"> </w:t>
      </w:r>
      <w:r w:rsidRPr="009942CB">
        <w:rPr>
          <w:b/>
          <w:bCs/>
        </w:rPr>
        <w:t xml:space="preserve">Our organisations </w:t>
      </w:r>
      <w:r w:rsidR="00EE29AE" w:rsidRPr="009942CB">
        <w:rPr>
          <w:b/>
          <w:bCs/>
        </w:rPr>
        <w:t xml:space="preserve">stress </w:t>
      </w:r>
      <w:r w:rsidRPr="009942CB">
        <w:rPr>
          <w:b/>
          <w:bCs/>
        </w:rPr>
        <w:t>that Israel has once again failed to report on the human rights situation in the occupied Palestinian territory</w:t>
      </w:r>
      <w:r w:rsidRPr="009942CB" w:rsidDel="00C03087">
        <w:rPr>
          <w:b/>
          <w:bCs/>
        </w:rPr>
        <w:t xml:space="preserve"> </w:t>
      </w:r>
      <w:r w:rsidRPr="009942CB">
        <w:rPr>
          <w:b/>
          <w:bCs/>
        </w:rPr>
        <w:t xml:space="preserve">in its State report under ICERD and call on the Committee to request information from Israel on its implementation of the Convention with </w:t>
      </w:r>
      <w:r w:rsidR="00044023" w:rsidRPr="009942CB">
        <w:rPr>
          <w:b/>
          <w:bCs/>
        </w:rPr>
        <w:t>respect of</w:t>
      </w:r>
      <w:r w:rsidRPr="009942CB">
        <w:rPr>
          <w:b/>
          <w:bCs/>
        </w:rPr>
        <w:t xml:space="preserve"> </w:t>
      </w:r>
      <w:r w:rsidR="00EE29AE" w:rsidRPr="009942CB">
        <w:rPr>
          <w:b/>
          <w:bCs/>
        </w:rPr>
        <w:t>all</w:t>
      </w:r>
      <w:r w:rsidRPr="009942CB">
        <w:rPr>
          <w:b/>
          <w:bCs/>
        </w:rPr>
        <w:t xml:space="preserve"> Palestinians, </w:t>
      </w:r>
      <w:r w:rsidR="00EE29AE" w:rsidRPr="009942CB">
        <w:rPr>
          <w:b/>
          <w:bCs/>
        </w:rPr>
        <w:t xml:space="preserve">including </w:t>
      </w:r>
      <w:r w:rsidRPr="009942CB">
        <w:rPr>
          <w:b/>
          <w:bCs/>
        </w:rPr>
        <w:t>in the occupied Palestinian territory.</w:t>
      </w:r>
    </w:p>
    <w:p w14:paraId="2AB2F656" w14:textId="2DDBDF47" w:rsidR="00D73153" w:rsidRDefault="00D73153" w:rsidP="00BB6AB0">
      <w:pPr>
        <w:pStyle w:val="Numberedpara"/>
        <w:ind w:left="540" w:hanging="540"/>
      </w:pPr>
      <w:r>
        <w:t>W</w:t>
      </w:r>
      <w:r w:rsidRPr="00B8555A">
        <w:t>e stress that Israel</w:t>
      </w:r>
      <w:r>
        <w:t>, the Occupying Power,</w:t>
      </w:r>
      <w:r w:rsidRPr="00B8555A">
        <w:t xml:space="preserve"> retains effective control throughout the</w:t>
      </w:r>
      <w:r>
        <w:t xml:space="preserve"> o</w:t>
      </w:r>
      <w:r w:rsidRPr="00B8555A">
        <w:t xml:space="preserve">ccupied Palestinian </w:t>
      </w:r>
      <w:r>
        <w:t>t</w:t>
      </w:r>
      <w:r w:rsidRPr="00B8555A">
        <w:t>erritory</w:t>
      </w:r>
      <w:r w:rsidDel="00C03087">
        <w:t xml:space="preserve"> </w:t>
      </w:r>
      <w:r>
        <w:t>by virtue of its prolonged occupation</w:t>
      </w:r>
      <w:r w:rsidR="006C65C7">
        <w:t xml:space="preserve"> since 1967</w:t>
      </w:r>
      <w:r>
        <w:t>, as recognised by CERD,</w:t>
      </w:r>
      <w:r w:rsidRPr="00B8555A">
        <w:rPr>
          <w:rStyle w:val="FootnoteReference"/>
        </w:rPr>
        <w:footnoteReference w:id="28"/>
      </w:r>
      <w:r>
        <w:t xml:space="preserve"> regardless of the recognition of the State of Palestine as a non-member observer State in the UN in 2012,</w:t>
      </w:r>
      <w:r w:rsidRPr="00B8555A">
        <w:rPr>
          <w:rStyle w:val="FootnoteReference"/>
        </w:rPr>
        <w:footnoteReference w:id="29"/>
      </w:r>
      <w:r>
        <w:t xml:space="preserve"> and its subsequent accession to international human rights treaties, including the Convention.</w:t>
      </w:r>
      <w:r w:rsidRPr="00B8555A">
        <w:rPr>
          <w:rStyle w:val="FootnoteReference"/>
        </w:rPr>
        <w:footnoteReference w:id="30"/>
      </w:r>
      <w:r>
        <w:t xml:space="preserve"> In particular, CERD recogni</w:t>
      </w:r>
      <w:r w:rsidR="006C65C7">
        <w:t>s</w:t>
      </w:r>
      <w:r w:rsidR="000310DE">
        <w:t>ed in its first Concluding O</w:t>
      </w:r>
      <w:r>
        <w:t>bservations on the State of Palestine in August 2019 that “the Israeli occupation of the territory of the State party, the expansion of the settlements and the continued blockade of the Gaza Strip, which are considered unlawful under international law, pose severe challenges for the State party in fully implementing its obligations under the Convention.”</w:t>
      </w:r>
      <w:r w:rsidRPr="00B8555A">
        <w:rPr>
          <w:rStyle w:val="FootnoteReference"/>
        </w:rPr>
        <w:footnoteReference w:id="31"/>
      </w:r>
      <w:r>
        <w:t xml:space="preserve"> Accordingly, Israel must respect, protect, and fulfil the rights of all individuals in its territory and subject to its jurisdiction, including in the o</w:t>
      </w:r>
      <w:r w:rsidRPr="00B8555A">
        <w:t xml:space="preserve">ccupied Palestinian </w:t>
      </w:r>
      <w:r>
        <w:t>t</w:t>
      </w:r>
      <w:r w:rsidRPr="00B8555A">
        <w:t>erritory</w:t>
      </w:r>
      <w:r w:rsidDel="00C03087">
        <w:t xml:space="preserve"> </w:t>
      </w:r>
      <w:r>
        <w:t xml:space="preserve">as falling under Israel’s effective control, as Occupying Power. Israel </w:t>
      </w:r>
      <w:r>
        <w:lastRenderedPageBreak/>
        <w:t xml:space="preserve">therefore remains bound to observe </w:t>
      </w:r>
      <w:r w:rsidR="00EE29AE">
        <w:t>the rights of Palestinians under</w:t>
      </w:r>
      <w:r w:rsidR="004F0688">
        <w:t xml:space="preserve"> </w:t>
      </w:r>
      <w:r>
        <w:t>international human rights law and international humanitarian law in the o</w:t>
      </w:r>
      <w:r w:rsidRPr="00B8555A">
        <w:t xml:space="preserve">ccupied Palestinian </w:t>
      </w:r>
      <w:r>
        <w:t>t</w:t>
      </w:r>
      <w:r w:rsidRPr="00B8555A">
        <w:t>erritory</w:t>
      </w:r>
      <w:r>
        <w:t>.</w:t>
      </w:r>
    </w:p>
    <w:p w14:paraId="2EA11071" w14:textId="2A27C5F1" w:rsidR="00D73153" w:rsidRDefault="00D73153" w:rsidP="006F11B5">
      <w:pPr>
        <w:pStyle w:val="Numberedpara"/>
        <w:ind w:left="540" w:hanging="540"/>
      </w:pPr>
      <w:r>
        <w:t xml:space="preserve">In addition, </w:t>
      </w:r>
      <w:r w:rsidR="00EE29AE">
        <w:t>o</w:t>
      </w:r>
      <w:r>
        <w:t>ur organisations note that the State of Palestine acceded to the Rome Statute of the International Criminal Court (hereinafter ‘Rome Statute’)</w:t>
      </w:r>
      <w:r w:rsidRPr="00B8555A">
        <w:rPr>
          <w:rStyle w:val="FootnoteReference"/>
        </w:rPr>
        <w:footnoteReference w:id="32"/>
      </w:r>
      <w:r>
        <w:t xml:space="preserve"> on 2 January 2015, </w:t>
      </w:r>
      <w:r w:rsidR="004F0688">
        <w:t xml:space="preserve">thus </w:t>
      </w:r>
      <w:r>
        <w:t>activat</w:t>
      </w:r>
      <w:r w:rsidR="004F0688">
        <w:t>ing</w:t>
      </w:r>
      <w:r>
        <w:t xml:space="preserve"> the Court’s jurisdiction over all suspected crimes, including </w:t>
      </w:r>
      <w:r w:rsidR="004F0688">
        <w:t xml:space="preserve">the crimes of </w:t>
      </w:r>
      <w:r w:rsidR="006F11B5">
        <w:t>forcible</w:t>
      </w:r>
      <w:r w:rsidR="004F0F26">
        <w:t xml:space="preserve"> </w:t>
      </w:r>
      <w:r w:rsidR="006F11B5">
        <w:t>transfer</w:t>
      </w:r>
      <w:r w:rsidR="004F0688">
        <w:t xml:space="preserve"> and </w:t>
      </w:r>
      <w:r>
        <w:t>apartheid, committed in the o</w:t>
      </w:r>
      <w:r w:rsidRPr="00B8555A">
        <w:t xml:space="preserve">ccupied Palestinian </w:t>
      </w:r>
      <w:r>
        <w:t>t</w:t>
      </w:r>
      <w:r w:rsidRPr="00B8555A">
        <w:t>erritory</w:t>
      </w:r>
      <w:r w:rsidDel="00C03087">
        <w:t xml:space="preserve"> </w:t>
      </w:r>
      <w:r>
        <w:t>since 13 June 2014</w:t>
      </w:r>
      <w:r w:rsidR="00EE29AE">
        <w:t xml:space="preserve">, which give rise to individual criminal responsibility </w:t>
      </w:r>
      <w:r w:rsidR="00F60A39">
        <w:t xml:space="preserve">for </w:t>
      </w:r>
      <w:r w:rsidR="00EE29AE">
        <w:t>perpetrator</w:t>
      </w:r>
      <w:r w:rsidR="00F60A39">
        <w:t>s</w:t>
      </w:r>
      <w:r>
        <w:t xml:space="preserve">. </w:t>
      </w:r>
      <w:r w:rsidR="00EE29AE">
        <w:t>T</w:t>
      </w:r>
      <w:r>
        <w:t xml:space="preserve">he State of Palestine </w:t>
      </w:r>
      <w:r w:rsidR="00EE29AE">
        <w:t xml:space="preserve">further </w:t>
      </w:r>
      <w:r>
        <w:t>acceded to the International Convention on the Suppression and Punishment of the Crime of Apartheid (hereinafter ‘Apartheid Convention’)</w:t>
      </w:r>
      <w:r w:rsidRPr="00B8555A">
        <w:rPr>
          <w:rStyle w:val="FootnoteReference"/>
        </w:rPr>
        <w:footnoteReference w:id="33"/>
      </w:r>
      <w:r>
        <w:t xml:space="preserve"> on 2 April 2014, which has been in force in the o</w:t>
      </w:r>
      <w:r w:rsidRPr="00B8555A">
        <w:t xml:space="preserve">ccupied Palestinian </w:t>
      </w:r>
      <w:r>
        <w:t>t</w:t>
      </w:r>
      <w:r w:rsidRPr="00B8555A">
        <w:t>erritory</w:t>
      </w:r>
      <w:r w:rsidDel="00C03087">
        <w:t xml:space="preserve"> </w:t>
      </w:r>
      <w:r>
        <w:t>since 2 May 2014.</w:t>
      </w:r>
    </w:p>
    <w:p w14:paraId="60034224" w14:textId="02F7A9C6" w:rsidR="00AA77A4" w:rsidRPr="00B8555A" w:rsidRDefault="006D41F0" w:rsidP="00563C85">
      <w:pPr>
        <w:pStyle w:val="Heading1"/>
      </w:pPr>
      <w:bookmarkStart w:id="23" w:name="_Toc18529228"/>
      <w:bookmarkStart w:id="24" w:name="_Toc18529310"/>
      <w:bookmarkStart w:id="25" w:name="_Toc18530917"/>
      <w:bookmarkStart w:id="26" w:name="_Toc18570664"/>
      <w:bookmarkStart w:id="27" w:name="_Toc18529229"/>
      <w:bookmarkStart w:id="28" w:name="_Toc18529311"/>
      <w:bookmarkStart w:id="29" w:name="_Toc18530918"/>
      <w:bookmarkStart w:id="30" w:name="_Toc18570665"/>
      <w:bookmarkStart w:id="31" w:name="_Toc18529230"/>
      <w:bookmarkStart w:id="32" w:name="_Toc18529312"/>
      <w:bookmarkStart w:id="33" w:name="_Toc18530919"/>
      <w:bookmarkStart w:id="34" w:name="_Toc18570666"/>
      <w:bookmarkStart w:id="35" w:name="_Toc18529231"/>
      <w:bookmarkStart w:id="36" w:name="_Toc18529313"/>
      <w:bookmarkStart w:id="37" w:name="_Toc18530920"/>
      <w:bookmarkStart w:id="38" w:name="_Toc18570667"/>
      <w:bookmarkStart w:id="39" w:name="_Toc18529232"/>
      <w:bookmarkStart w:id="40" w:name="_Toc18529314"/>
      <w:bookmarkStart w:id="41" w:name="_Toc18530921"/>
      <w:bookmarkStart w:id="42" w:name="_Toc18570668"/>
      <w:bookmarkStart w:id="43" w:name="_Toc1861580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t>Policies and Practices of Racial Segregation and Apartheid</w:t>
      </w:r>
      <w:bookmarkEnd w:id="43"/>
    </w:p>
    <w:p w14:paraId="783F077B" w14:textId="703B1E7B" w:rsidR="007A6CA7" w:rsidRDefault="000310DE" w:rsidP="00206E9D">
      <w:pPr>
        <w:pStyle w:val="Numberedpara"/>
        <w:ind w:left="540" w:hanging="540"/>
      </w:pPr>
      <w:r>
        <w:t>In its 2012 Concluding O</w:t>
      </w:r>
      <w:r w:rsidR="00663475">
        <w:t xml:space="preserve">bservations, the Committee </w:t>
      </w:r>
      <w:r w:rsidR="007D22CF">
        <w:t>urged Israel “</w:t>
      </w:r>
      <w:r w:rsidR="007D22CF" w:rsidRPr="007D22CF">
        <w:t>to give full effect to article 3 and to make every effort to eradicate all forms of segregation between Jew</w:t>
      </w:r>
      <w:r w:rsidR="00921B13">
        <w:t>ish and non-Jewish communities</w:t>
      </w:r>
      <w:r w:rsidR="008536AA">
        <w:t>,</w:t>
      </w:r>
      <w:r w:rsidR="00921B13">
        <w:t>”</w:t>
      </w:r>
      <w:r w:rsidR="00EE29AE">
        <w:t xml:space="preserve"> </w:t>
      </w:r>
      <w:r w:rsidR="00921B13">
        <w:t>request</w:t>
      </w:r>
      <w:r w:rsidR="00EE29AE">
        <w:t>ing</w:t>
      </w:r>
      <w:r w:rsidR="00921B13">
        <w:t xml:space="preserve"> that Israel</w:t>
      </w:r>
      <w:r w:rsidR="007D22CF" w:rsidRPr="007D22CF">
        <w:t xml:space="preserve"> </w:t>
      </w:r>
      <w:r w:rsidR="00921B13">
        <w:t>“</w:t>
      </w:r>
      <w:r w:rsidR="007D22CF" w:rsidRPr="007D22CF">
        <w:t>provide information on action taken in this regard in its next periodic report.</w:t>
      </w:r>
      <w:r w:rsidR="007D22CF">
        <w:t>”</w:t>
      </w:r>
      <w:r w:rsidR="00921B13" w:rsidRPr="00B8555A">
        <w:rPr>
          <w:rStyle w:val="FootnoteReference"/>
        </w:rPr>
        <w:footnoteReference w:id="34"/>
      </w:r>
      <w:r w:rsidR="000579E6">
        <w:t xml:space="preserve"> </w:t>
      </w:r>
      <w:r w:rsidR="00CB50EE">
        <w:t>In particular,</w:t>
      </w:r>
      <w:r w:rsidR="00D52966">
        <w:t xml:space="preserve"> the Committee was “extremely concerned at the consequences of policies and practices which amount to de facto segregation, such as the implementation by the State party in the Occupied Palestinian Territory of two entirely separate legal systems and sets of institutions for Jewish communities grouped in illegal settlements on the one hand and Palestinian populations living in Palestinian towns and villages on the other hand.”</w:t>
      </w:r>
      <w:r w:rsidR="00D52966" w:rsidRPr="00B8555A">
        <w:rPr>
          <w:rStyle w:val="FootnoteReference"/>
        </w:rPr>
        <w:footnoteReference w:id="35"/>
      </w:r>
      <w:r w:rsidR="00996348">
        <w:t xml:space="preserve"> </w:t>
      </w:r>
      <w:r w:rsidR="00066495">
        <w:t xml:space="preserve">Accordingly, the </w:t>
      </w:r>
      <w:r w:rsidR="000579E6">
        <w:t>Committee urged</w:t>
      </w:r>
      <w:r w:rsidR="000579E6" w:rsidRPr="000579E6">
        <w:t xml:space="preserve"> </w:t>
      </w:r>
      <w:r w:rsidR="000579E6">
        <w:t>Israel</w:t>
      </w:r>
      <w:r w:rsidR="000579E6" w:rsidRPr="000579E6">
        <w:t xml:space="preserve"> </w:t>
      </w:r>
      <w:r w:rsidR="000579E6">
        <w:t>“</w:t>
      </w:r>
      <w:r w:rsidR="000579E6" w:rsidRPr="000579E6">
        <w:t>to take immediate mea</w:t>
      </w:r>
      <w:r w:rsidR="000579E6">
        <w:t>sures to prohibit and eradicate…</w:t>
      </w:r>
      <w:r w:rsidR="000579E6" w:rsidRPr="000579E6">
        <w:t xml:space="preserve"> policies or practices</w:t>
      </w:r>
      <w:r w:rsidR="000579E6">
        <w:t xml:space="preserve">” of </w:t>
      </w:r>
      <w:r w:rsidR="000579E6" w:rsidRPr="000579E6">
        <w:t>racial segregation and apartheid</w:t>
      </w:r>
      <w:r w:rsidR="000579E6">
        <w:t>,</w:t>
      </w:r>
      <w:r w:rsidR="000579E6" w:rsidRPr="000579E6">
        <w:t xml:space="preserve"> severely and disproportionately affect</w:t>
      </w:r>
      <w:r w:rsidR="000579E6">
        <w:t>ing</w:t>
      </w:r>
      <w:r w:rsidR="000579E6" w:rsidRPr="000579E6">
        <w:t xml:space="preserve"> the </w:t>
      </w:r>
      <w:r w:rsidR="008609C7">
        <w:t>indigenous</w:t>
      </w:r>
      <w:r w:rsidR="000579E6" w:rsidRPr="000579E6">
        <w:t xml:space="preserve"> Palestinian </w:t>
      </w:r>
      <w:r w:rsidR="008609C7">
        <w:t>people</w:t>
      </w:r>
      <w:r w:rsidR="000579E6">
        <w:t>, in violation of Article 3 of</w:t>
      </w:r>
      <w:r w:rsidR="000579E6" w:rsidRPr="000579E6">
        <w:t xml:space="preserve"> the Convention.</w:t>
      </w:r>
      <w:r w:rsidR="000579E6" w:rsidRPr="00B8555A">
        <w:rPr>
          <w:rStyle w:val="FootnoteReference"/>
        </w:rPr>
        <w:footnoteReference w:id="36"/>
      </w:r>
      <w:r w:rsidR="00563C85">
        <w:t xml:space="preserve"> </w:t>
      </w:r>
      <w:r w:rsidR="00227EBA">
        <w:t xml:space="preserve">Despite the Committee’s calls, Israel’s State report failed </w:t>
      </w:r>
      <w:r w:rsidR="00EE29AE">
        <w:t xml:space="preserve">once again </w:t>
      </w:r>
      <w:r w:rsidR="00227EBA">
        <w:t xml:space="preserve">to </w:t>
      </w:r>
      <w:r w:rsidR="006C65C7">
        <w:t xml:space="preserve">include information </w:t>
      </w:r>
      <w:r w:rsidR="00227EBA">
        <w:t xml:space="preserve">on policies and practices of racial segregation and apartheid or on measures </w:t>
      </w:r>
      <w:r w:rsidR="00737E91">
        <w:t xml:space="preserve">taken </w:t>
      </w:r>
      <w:r w:rsidR="00227EBA">
        <w:t xml:space="preserve">to eradicate </w:t>
      </w:r>
      <w:r w:rsidR="008C1250">
        <w:t>such practices</w:t>
      </w:r>
      <w:r w:rsidR="00227EBA">
        <w:t xml:space="preserve">. In fact, Israel’s report only includes one paragraph </w:t>
      </w:r>
      <w:r w:rsidR="00737E91">
        <w:t>on</w:t>
      </w:r>
      <w:r w:rsidR="00227EBA">
        <w:t xml:space="preserve"> </w:t>
      </w:r>
      <w:r w:rsidR="00737E91">
        <w:t xml:space="preserve">Israel’s implementation of </w:t>
      </w:r>
      <w:r w:rsidR="00227EBA">
        <w:t>Article 3 of the Convention, which reads:</w:t>
      </w:r>
    </w:p>
    <w:p w14:paraId="71B2C9A5" w14:textId="513E6370" w:rsidR="00737E91" w:rsidRDefault="00227EBA" w:rsidP="00034DE7">
      <w:pPr>
        <w:pStyle w:val="Numberedpara"/>
        <w:numPr>
          <w:ilvl w:val="0"/>
          <w:numId w:val="0"/>
        </w:numPr>
        <w:ind w:left="1440"/>
      </w:pPr>
      <w:r>
        <w:t>“</w:t>
      </w:r>
      <w:r w:rsidR="005E66D5">
        <w:t>[a]</w:t>
      </w:r>
      <w:proofErr w:type="spellStart"/>
      <w:r w:rsidRPr="00227EBA">
        <w:t>partheid</w:t>
      </w:r>
      <w:proofErr w:type="spellEnd"/>
      <w:r w:rsidRPr="00227EBA">
        <w:t xml:space="preserve"> has always been regarded as abhorrent by the </w:t>
      </w:r>
      <w:r w:rsidR="008C1250">
        <w:t>[Government of Israel]</w:t>
      </w:r>
      <w:r w:rsidRPr="00227EBA">
        <w:t xml:space="preserve"> and society, and continues to be so regarded. Apartheid has never been practiced </w:t>
      </w:r>
      <w:r w:rsidRPr="00227EBA">
        <w:lastRenderedPageBreak/>
        <w:t>in Israel. There exists in Israel no restrictions of any kind as to place of residence nor is there any segregation of any kind.</w:t>
      </w:r>
      <w:r>
        <w:t>”</w:t>
      </w:r>
      <w:r w:rsidRPr="00B8555A">
        <w:rPr>
          <w:rStyle w:val="FootnoteReference"/>
        </w:rPr>
        <w:footnoteReference w:id="37"/>
      </w:r>
    </w:p>
    <w:p w14:paraId="6E90C753" w14:textId="5A7CEF4B" w:rsidR="002F0A0A" w:rsidRPr="002F0A0A" w:rsidRDefault="00F60A39" w:rsidP="00BB6AB0">
      <w:pPr>
        <w:pStyle w:val="Numberedpara"/>
        <w:numPr>
          <w:ilvl w:val="0"/>
          <w:numId w:val="0"/>
        </w:numPr>
        <w:ind w:left="540"/>
      </w:pPr>
      <w:r>
        <w:t xml:space="preserve">This paragraph exposes not only </w:t>
      </w:r>
      <w:r w:rsidR="008C1250" w:rsidRPr="002F0A0A">
        <w:t>Israel</w:t>
      </w:r>
      <w:r>
        <w:t>’s failure</w:t>
      </w:r>
      <w:r w:rsidR="008C1250" w:rsidRPr="002F0A0A">
        <w:t xml:space="preserve"> to comply with the Committee’s request for information on policies and practices of racial segregation and apartheid </w:t>
      </w:r>
      <w:r w:rsidR="00EC7245" w:rsidRPr="002F0A0A">
        <w:t xml:space="preserve">in violation of Article 3 of the Convention, </w:t>
      </w:r>
      <w:r w:rsidR="00C31982" w:rsidRPr="002F0A0A">
        <w:t>but</w:t>
      </w:r>
      <w:r w:rsidR="008C1250" w:rsidRPr="002F0A0A">
        <w:t xml:space="preserve"> </w:t>
      </w:r>
      <w:r>
        <w:t xml:space="preserve">it </w:t>
      </w:r>
      <w:r w:rsidR="008C1250" w:rsidRPr="002F0A0A">
        <w:t>has denied the existence of such practices altogether, des</w:t>
      </w:r>
      <w:r w:rsidR="000310DE">
        <w:t>pite the Committee’s Concluding O</w:t>
      </w:r>
      <w:r w:rsidR="008C1250" w:rsidRPr="002F0A0A">
        <w:t>bservations in this regard.</w:t>
      </w:r>
      <w:r w:rsidR="002F0A0A" w:rsidRPr="002F0A0A">
        <w:t xml:space="preserve"> In particular, Israel’s policies and practices of racial segregation have been highlighted in previous reviews under the international human rights treaties, including by CESCR, which observed </w:t>
      </w:r>
      <w:r w:rsidR="002F0A0A">
        <w:t>over two decades ago in 1998, that Israel does not accord equal rights to Palestinians, while the “</w:t>
      </w:r>
      <w:r w:rsidR="002F0A0A">
        <w:rPr>
          <w:rFonts w:hAnsi="Garamond" w:cs="Garamond"/>
        </w:rPr>
        <w:t xml:space="preserve">excessive emphasis upon the State as a </w:t>
      </w:r>
      <w:r w:rsidR="002F0A0A">
        <w:rPr>
          <w:rFonts w:hAnsi="Garamond" w:cs="Garamond"/>
        </w:rPr>
        <w:t>“</w:t>
      </w:r>
      <w:r w:rsidR="002F0A0A">
        <w:rPr>
          <w:rFonts w:hAnsi="Garamond" w:cs="Garamond"/>
        </w:rPr>
        <w:t>Jewish State</w:t>
      </w:r>
      <w:r w:rsidR="002F0A0A">
        <w:rPr>
          <w:rFonts w:hAnsi="Garamond" w:cs="Garamond"/>
        </w:rPr>
        <w:t>”</w:t>
      </w:r>
      <w:r w:rsidR="002F0A0A">
        <w:rPr>
          <w:rFonts w:hAnsi="Garamond" w:cs="Garamond"/>
        </w:rPr>
        <w:t xml:space="preserve"> encourages discrimination and accords a second-class status to its non-Jewish citizens.</w:t>
      </w:r>
      <w:r w:rsidR="002F0A0A">
        <w:t>”</w:t>
      </w:r>
      <w:r w:rsidR="002F0A0A" w:rsidRPr="00B8555A">
        <w:rPr>
          <w:rStyle w:val="FootnoteReference"/>
        </w:rPr>
        <w:footnoteReference w:id="38"/>
      </w:r>
    </w:p>
    <w:p w14:paraId="5E29888E" w14:textId="32112F7C" w:rsidR="00D430F1" w:rsidRDefault="00B135EB" w:rsidP="00BF722D">
      <w:pPr>
        <w:pStyle w:val="Numberedpara"/>
        <w:ind w:left="540" w:hanging="540"/>
      </w:pPr>
      <w:r>
        <w:t>Our organisations stress that since 2012, Israel’s policies and practices of racial segregation and apartheid</w:t>
      </w:r>
      <w:r w:rsidRPr="008C1250">
        <w:t xml:space="preserve"> </w:t>
      </w:r>
      <w:r>
        <w:t xml:space="preserve">against Palestinians have only been further entrenched, resulting in </w:t>
      </w:r>
      <w:r w:rsidR="00ED6C55">
        <w:t>the</w:t>
      </w:r>
      <w:r>
        <w:t xml:space="preserve"> severe denial of Palestinians’ fundamental rights. The most significant escalation in Israel’s discriminatory policies and practices against Palestinians </w:t>
      </w:r>
      <w:r w:rsidR="00972DD0">
        <w:t xml:space="preserve">in recent years </w:t>
      </w:r>
      <w:r>
        <w:t xml:space="preserve">was the adoption, </w:t>
      </w:r>
      <w:r w:rsidR="00BF722D">
        <w:t>on 18 July 2018</w:t>
      </w:r>
      <w:r w:rsidR="00BF722D">
        <w:t xml:space="preserve">, </w:t>
      </w:r>
      <w:r>
        <w:t xml:space="preserve">by the Israeli Parliament (the Knesset) of the </w:t>
      </w:r>
      <w:r w:rsidR="00884634">
        <w:t>Basic Law: Israel as the</w:t>
      </w:r>
      <w:r>
        <w:t xml:space="preserve"> Nation-State </w:t>
      </w:r>
      <w:r w:rsidR="00884634">
        <w:t>of the Jewish People</w:t>
      </w:r>
      <w:r w:rsidR="0004709C">
        <w:t xml:space="preserve"> (2018)</w:t>
      </w:r>
      <w:r w:rsidR="00972DD0">
        <w:t>.</w:t>
      </w:r>
      <w:r w:rsidRPr="00B8555A">
        <w:rPr>
          <w:rStyle w:val="FootnoteReference"/>
        </w:rPr>
        <w:footnoteReference w:id="39"/>
      </w:r>
      <w:r w:rsidRPr="00DB1027">
        <w:t xml:space="preserve"> </w:t>
      </w:r>
      <w:r w:rsidR="00972DD0">
        <w:t xml:space="preserve">The ‘basic law’ entrenches racial discrimination against the indigenous Palestinian people, denying them </w:t>
      </w:r>
      <w:r>
        <w:t xml:space="preserve">their inalienable right to self-determination, </w:t>
      </w:r>
      <w:r w:rsidR="00972DD0">
        <w:t xml:space="preserve">by declaring that “[t]he </w:t>
      </w:r>
      <w:r w:rsidR="00972DD0" w:rsidRPr="00034DE7">
        <w:rPr>
          <w:lang w:val="en-US"/>
        </w:rPr>
        <w:t>fulfillment</w:t>
      </w:r>
      <w:r w:rsidR="00972DD0">
        <w:t xml:space="preserve"> of the right of national self-determination in the State of Israel is unique to the Jewish people.”</w:t>
      </w:r>
      <w:r>
        <w:t xml:space="preserve"> At the same time, the law </w:t>
      </w:r>
      <w:r w:rsidR="00972DD0">
        <w:t>provides that “[</w:t>
      </w:r>
      <w:proofErr w:type="spellStart"/>
      <w:r w:rsidR="00972DD0">
        <w:t>t</w:t>
      </w:r>
      <w:proofErr w:type="spellEnd"/>
      <w:r w:rsidR="00972DD0">
        <w:t>]</w:t>
      </w:r>
      <w:proofErr w:type="spellStart"/>
      <w:r w:rsidR="00972DD0" w:rsidRPr="00972DD0">
        <w:t>he</w:t>
      </w:r>
      <w:proofErr w:type="spellEnd"/>
      <w:r w:rsidR="00972DD0" w:rsidRPr="00972DD0">
        <w:t xml:space="preserve"> State will be open to Jewish immigration and</w:t>
      </w:r>
      <w:r w:rsidR="00972DD0">
        <w:t xml:space="preserve"> to the gathering of the exiled</w:t>
      </w:r>
      <w:r w:rsidR="00972DD0" w:rsidRPr="00972DD0">
        <w:t>”</w:t>
      </w:r>
      <w:r w:rsidR="00972DD0">
        <w:t xml:space="preserve"> and determines “Jewish </w:t>
      </w:r>
      <w:r w:rsidR="008536AA">
        <w:t>settlement as a national value,”</w:t>
      </w:r>
      <w:r w:rsidR="00972DD0">
        <w:t xml:space="preserve"> stating it will seek to encourage and promote the establishment and development of illegal Israeli settlements</w:t>
      </w:r>
      <w:r>
        <w:t>, in violation of international law</w:t>
      </w:r>
      <w:r w:rsidR="00972DD0">
        <w:t>.</w:t>
      </w:r>
      <w:r w:rsidRPr="00B8555A">
        <w:rPr>
          <w:rStyle w:val="FootnoteReference"/>
        </w:rPr>
        <w:footnoteReference w:id="40"/>
      </w:r>
      <w:r>
        <w:t xml:space="preserve"> </w:t>
      </w:r>
      <w:r w:rsidR="00972DD0">
        <w:t>The Jewish Nation-State Law further enshrines that “[</w:t>
      </w:r>
      <w:proofErr w:type="spellStart"/>
      <w:r w:rsidR="00972DD0">
        <w:t>t]</w:t>
      </w:r>
      <w:r w:rsidR="00972DD0" w:rsidRPr="00972DD0">
        <w:t>he</w:t>
      </w:r>
      <w:proofErr w:type="spellEnd"/>
      <w:r w:rsidR="00972DD0" w:rsidRPr="00972DD0">
        <w:t xml:space="preserve"> unified and complete [city of] Jerusalem is</w:t>
      </w:r>
      <w:r w:rsidR="00972DD0">
        <w:t xml:space="preserve"> the capital of Israel</w:t>
      </w:r>
      <w:r w:rsidR="008536AA">
        <w:t>,</w:t>
      </w:r>
      <w:r w:rsidR="00972DD0" w:rsidRPr="00972DD0">
        <w:t>”</w:t>
      </w:r>
      <w:r>
        <w:t xml:space="preserve"> in violation of the city’s status under international law</w:t>
      </w:r>
      <w:r w:rsidR="00972DD0">
        <w:t>,</w:t>
      </w:r>
      <w:r w:rsidRPr="00B8555A">
        <w:rPr>
          <w:rStyle w:val="FootnoteReference"/>
        </w:rPr>
        <w:footnoteReference w:id="41"/>
      </w:r>
      <w:r w:rsidR="00972DD0">
        <w:t xml:space="preserve"> while it entrenches Israel’s </w:t>
      </w:r>
      <w:r w:rsidR="00972DD0" w:rsidRPr="008D3D7D">
        <w:rPr>
          <w:rFonts w:eastAsia="Times New Roman"/>
        </w:rPr>
        <w:t xml:space="preserve">exclusionary </w:t>
      </w:r>
      <w:r w:rsidR="00972DD0" w:rsidRPr="008D3D7D">
        <w:rPr>
          <w:rFonts w:eastAsia="Times New Roman"/>
          <w:i/>
          <w:iCs/>
        </w:rPr>
        <w:t xml:space="preserve">raison d’état </w:t>
      </w:r>
      <w:r w:rsidR="00972DD0" w:rsidRPr="008D3D7D">
        <w:rPr>
          <w:rFonts w:eastAsia="Times New Roman"/>
        </w:rPr>
        <w:t xml:space="preserve">to </w:t>
      </w:r>
      <w:r w:rsidR="00972DD0" w:rsidRPr="008D3D7D">
        <w:rPr>
          <w:rFonts w:eastAsia="Times New Roman"/>
        </w:rPr>
        <w:lastRenderedPageBreak/>
        <w:t>exclude and replace the indigen</w:t>
      </w:r>
      <w:r w:rsidR="00972DD0">
        <w:rPr>
          <w:rFonts w:eastAsia="Times New Roman"/>
        </w:rPr>
        <w:t>ous Palestinian people</w:t>
      </w:r>
      <w:r w:rsidR="00972DD0">
        <w:t xml:space="preserve"> by stipulating that </w:t>
      </w:r>
      <w:r w:rsidR="00972DD0" w:rsidRPr="00972DD0">
        <w:t>“Israel is the historic homeland of the Jewish people in which the State of Israel was established.”</w:t>
      </w:r>
      <w:r w:rsidR="00972DD0" w:rsidRPr="00B8555A">
        <w:rPr>
          <w:rStyle w:val="FootnoteReference"/>
        </w:rPr>
        <w:footnoteReference w:id="42"/>
      </w:r>
    </w:p>
    <w:p w14:paraId="7BC1540B" w14:textId="69DC12DB" w:rsidR="00B135EB" w:rsidRPr="00034DE7" w:rsidRDefault="00972DD0" w:rsidP="00ED6C55">
      <w:pPr>
        <w:pStyle w:val="Numberedpara"/>
        <w:ind w:left="540" w:hanging="540"/>
        <w:rPr>
          <w:b/>
          <w:bCs/>
        </w:rPr>
      </w:pPr>
      <w:r>
        <w:t xml:space="preserve">As such, </w:t>
      </w:r>
      <w:r w:rsidR="00B135EB" w:rsidRPr="00F5617E">
        <w:t xml:space="preserve">the Jewish Nation-State Law </w:t>
      </w:r>
      <w:r w:rsidR="00D430F1">
        <w:t>amounts to a</w:t>
      </w:r>
      <w:r w:rsidR="00B135EB" w:rsidRPr="00F5617E">
        <w:t xml:space="preserve"> clear violation of </w:t>
      </w:r>
      <w:r w:rsidR="00D430F1">
        <w:t xml:space="preserve">Israel’s obligation under Article 3 of the Convention to </w:t>
      </w:r>
      <w:r w:rsidR="00D430F1" w:rsidRPr="00F5617E">
        <w:t xml:space="preserve">prohibit and eradicate all </w:t>
      </w:r>
      <w:r w:rsidR="00B032B1">
        <w:t xml:space="preserve">policies and </w:t>
      </w:r>
      <w:r w:rsidR="00D430F1" w:rsidRPr="00F5617E">
        <w:t xml:space="preserve">practices of racial segregation and apartheid in territories under </w:t>
      </w:r>
      <w:r w:rsidR="00B032B1">
        <w:t>its</w:t>
      </w:r>
      <w:r w:rsidR="00D430F1" w:rsidRPr="00F5617E">
        <w:t xml:space="preserve"> effective control</w:t>
      </w:r>
      <w:r w:rsidR="00D430F1">
        <w:t xml:space="preserve">, by enshrining </w:t>
      </w:r>
      <w:r w:rsidR="00ED6C55">
        <w:t xml:space="preserve">as a constitutional principle </w:t>
      </w:r>
      <w:r w:rsidR="00D430F1">
        <w:t>Israel’s institutionalised racial discrimination against the</w:t>
      </w:r>
      <w:r w:rsidR="00B032B1">
        <w:t xml:space="preserve"> indigenous</w:t>
      </w:r>
      <w:r w:rsidR="00D430F1">
        <w:t xml:space="preserve"> Palestinian people</w:t>
      </w:r>
      <w:r w:rsidR="00B135EB" w:rsidRPr="00F5617E">
        <w:t>.</w:t>
      </w:r>
      <w:r w:rsidR="00B135EB">
        <w:t xml:space="preserve"> </w:t>
      </w:r>
      <w:r w:rsidR="00B135EB" w:rsidRPr="00034DE7">
        <w:rPr>
          <w:b/>
          <w:bCs/>
        </w:rPr>
        <w:t xml:space="preserve">Our organisations call on the Committee to </w:t>
      </w:r>
      <w:r w:rsidR="00B032B1" w:rsidRPr="00034DE7">
        <w:rPr>
          <w:b/>
          <w:bCs/>
        </w:rPr>
        <w:t xml:space="preserve">include </w:t>
      </w:r>
      <w:r w:rsidR="00B135EB" w:rsidRPr="00034DE7">
        <w:rPr>
          <w:b/>
          <w:bCs/>
        </w:rPr>
        <w:t xml:space="preserve">the </w:t>
      </w:r>
      <w:r w:rsidR="00B032B1" w:rsidRPr="00034DE7">
        <w:rPr>
          <w:b/>
          <w:bCs/>
        </w:rPr>
        <w:t xml:space="preserve">Basic Law: Israel as the Nation-State of the Jewish People (2018) </w:t>
      </w:r>
      <w:r w:rsidR="00B135EB" w:rsidRPr="00034DE7">
        <w:rPr>
          <w:b/>
          <w:bCs/>
        </w:rPr>
        <w:t>in its list of themes for Israel’s review,</w:t>
      </w:r>
      <w:r w:rsidR="00372DA2" w:rsidRPr="00034DE7">
        <w:rPr>
          <w:b/>
          <w:bCs/>
        </w:rPr>
        <w:t xml:space="preserve"> </w:t>
      </w:r>
      <w:r w:rsidR="0034551D" w:rsidRPr="00034DE7">
        <w:rPr>
          <w:b/>
          <w:bCs/>
        </w:rPr>
        <w:t>and to</w:t>
      </w:r>
      <w:r w:rsidR="00B135EB" w:rsidRPr="00034DE7">
        <w:rPr>
          <w:b/>
          <w:bCs/>
        </w:rPr>
        <w:t xml:space="preserve"> ask Israel, the State Party, how it intends to eradicate all policies and practices of racial segregation and apartheid in its territory and subject to its effective control in the </w:t>
      </w:r>
      <w:r w:rsidR="00C03087" w:rsidRPr="00034DE7">
        <w:rPr>
          <w:b/>
          <w:bCs/>
        </w:rPr>
        <w:t>occupied Palestinian territory</w:t>
      </w:r>
      <w:r w:rsidR="00B135EB" w:rsidRPr="00034DE7">
        <w:rPr>
          <w:b/>
          <w:bCs/>
        </w:rPr>
        <w:t xml:space="preserve">. In particular, we urge the Committee to call on Israel to repeal the </w:t>
      </w:r>
      <w:r w:rsidR="00B032B1" w:rsidRPr="00034DE7">
        <w:rPr>
          <w:b/>
          <w:bCs/>
        </w:rPr>
        <w:t>Basic Law: Israel as the Nation-State of the Jewish People (2018)</w:t>
      </w:r>
      <w:r w:rsidR="00B135EB" w:rsidRPr="00034DE7">
        <w:rPr>
          <w:b/>
          <w:bCs/>
        </w:rPr>
        <w:t xml:space="preserve">, which </w:t>
      </w:r>
      <w:r w:rsidR="00F60A39">
        <w:rPr>
          <w:b/>
          <w:bCs/>
        </w:rPr>
        <w:t>is antithetical to</w:t>
      </w:r>
      <w:r w:rsidR="00F60A39" w:rsidRPr="00034DE7">
        <w:rPr>
          <w:b/>
          <w:bCs/>
        </w:rPr>
        <w:t xml:space="preserve"> </w:t>
      </w:r>
      <w:r w:rsidR="00B135EB" w:rsidRPr="00034DE7">
        <w:rPr>
          <w:b/>
          <w:bCs/>
        </w:rPr>
        <w:t>the object and purpose of the Convention as it has the purpose of nullifying the recognition, enjoyment, and exercise, on an equal footing, of all human rights and fundamental freedoms in the State Party.</w:t>
      </w:r>
    </w:p>
    <w:p w14:paraId="21612527" w14:textId="42D67D52" w:rsidR="00237093" w:rsidRDefault="00B135EB" w:rsidP="004904A5">
      <w:pPr>
        <w:pStyle w:val="Numberedpara"/>
        <w:ind w:left="540" w:hanging="540"/>
      </w:pPr>
      <w:r>
        <w:t xml:space="preserve">Moreover, </w:t>
      </w:r>
      <w:r w:rsidR="00B032B1">
        <w:t xml:space="preserve">our organisations submit that Israel has </w:t>
      </w:r>
      <w:r>
        <w:t>creat</w:t>
      </w:r>
      <w:r w:rsidR="00190394">
        <w:t>ed</w:t>
      </w:r>
      <w:r>
        <w:t xml:space="preserve"> an institutionalised regime of racial domination and oppression over the Palestinian people</w:t>
      </w:r>
      <w:r w:rsidR="00B032B1">
        <w:t xml:space="preserve"> as a whole</w:t>
      </w:r>
      <w:r>
        <w:t>, as part of a widespread and systematic State policy</w:t>
      </w:r>
      <w:r w:rsidR="00B032B1">
        <w:t xml:space="preserve"> amounting to the crime of apartheid</w:t>
      </w:r>
      <w:r>
        <w:t>.</w:t>
      </w:r>
      <w:r w:rsidRPr="00A40F12">
        <w:t xml:space="preserve"> </w:t>
      </w:r>
      <w:r>
        <w:t xml:space="preserve">Notably, the Office of the Prosecutor of the International Criminal Court (ICC) reported in December </w:t>
      </w:r>
      <w:r w:rsidR="00B032B1">
        <w:t xml:space="preserve">2017 </w:t>
      </w:r>
      <w:r>
        <w:t>that, in the context of its ongoing preliminary examination into the situation in Palestine</w:t>
      </w:r>
      <w:r w:rsidR="00B032B1">
        <w:t xml:space="preserve"> since 13 June 2014</w:t>
      </w:r>
      <w:r>
        <w:t>, it has “received information regarding the purported establishment of an institutionalised regime of systematic discrimination that allegedly deprives Palestinians of a number of their fundamental human rights.”</w:t>
      </w:r>
      <w:r w:rsidRPr="00B8555A">
        <w:rPr>
          <w:rStyle w:val="FootnoteReference"/>
        </w:rPr>
        <w:footnoteReference w:id="43"/>
      </w:r>
      <w:r>
        <w:t xml:space="preserve"> The report by the </w:t>
      </w:r>
      <w:r w:rsidR="00B032B1">
        <w:t xml:space="preserve">ICC’s </w:t>
      </w:r>
      <w:r>
        <w:t>Office of the Prosecutor followed a landmark report published in March 2017 by the UN Economic and Social Commission for Western Asia (ESCWA)</w:t>
      </w:r>
      <w:r w:rsidR="00B032B1">
        <w:t>,</w:t>
      </w:r>
      <w:r>
        <w:t xml:space="preserve"> </w:t>
      </w:r>
      <w:r w:rsidR="00190394">
        <w:t>examining</w:t>
      </w:r>
      <w:r>
        <w:t xml:space="preserve"> Israeli practices towards the Palestinian people and the question of apartheid</w:t>
      </w:r>
      <w:r w:rsidR="00190394">
        <w:t xml:space="preserve">. The </w:t>
      </w:r>
      <w:r w:rsidR="00B032B1">
        <w:t xml:space="preserve">2017 </w:t>
      </w:r>
      <w:r w:rsidR="00190394">
        <w:t>ESCWA report</w:t>
      </w:r>
      <w:r>
        <w:t xml:space="preserve"> concluded that Israel has established a regime of apartheid that dominates the Palestinian people as a whole.</w:t>
      </w:r>
      <w:r w:rsidRPr="00B8555A">
        <w:rPr>
          <w:rStyle w:val="FootnoteReference"/>
        </w:rPr>
        <w:footnoteReference w:id="44"/>
      </w:r>
      <w:r>
        <w:t xml:space="preserve"> Critically, </w:t>
      </w:r>
      <w:r w:rsidR="00B032B1">
        <w:t>it</w:t>
      </w:r>
      <w:r>
        <w:t xml:space="preserve"> highlighted the strategic fragmentation of the </w:t>
      </w:r>
      <w:r>
        <w:lastRenderedPageBreak/>
        <w:t xml:space="preserve">Palestinian people into four domains since 1967, </w:t>
      </w:r>
      <w:r w:rsidR="004904A5">
        <w:t xml:space="preserve">including </w:t>
      </w:r>
      <w:r>
        <w:t xml:space="preserve">Palestinian citizens of Israel subject to Israeli civil law; Palestinians with permanent residency status in occupied East Jerusalem; Palestinians subject to Israeli military law in the West Bank and the Gaza Strip; and Palestinian refugees and exiles living outside of territory under Israel’s </w:t>
      </w:r>
      <w:r w:rsidR="00190394">
        <w:t xml:space="preserve">control </w:t>
      </w:r>
      <w:r w:rsidR="00B032B1">
        <w:t xml:space="preserve">but </w:t>
      </w:r>
      <w:r w:rsidR="00190394">
        <w:t>whose</w:t>
      </w:r>
      <w:r>
        <w:t xml:space="preserve"> </w:t>
      </w:r>
      <w:r w:rsidR="00190394">
        <w:t xml:space="preserve">right </w:t>
      </w:r>
      <w:r w:rsidR="00B032B1">
        <w:t xml:space="preserve">of </w:t>
      </w:r>
      <w:r>
        <w:t xml:space="preserve">return to their homes and property </w:t>
      </w:r>
      <w:r w:rsidR="00B032B1">
        <w:t xml:space="preserve">Israel </w:t>
      </w:r>
      <w:r>
        <w:t xml:space="preserve">continues to </w:t>
      </w:r>
      <w:r w:rsidR="00B032B1">
        <w:t>deny</w:t>
      </w:r>
      <w:r>
        <w:t>.</w:t>
      </w:r>
      <w:r w:rsidRPr="00B8555A">
        <w:rPr>
          <w:rStyle w:val="FootnoteReference"/>
        </w:rPr>
        <w:footnoteReference w:id="45"/>
      </w:r>
    </w:p>
    <w:p w14:paraId="2F427815" w14:textId="1601681C" w:rsidR="00B135EB" w:rsidRPr="00034DE7" w:rsidRDefault="00B135EB" w:rsidP="004904A5">
      <w:pPr>
        <w:pStyle w:val="Numberedpara"/>
        <w:ind w:left="540" w:hanging="540"/>
        <w:rPr>
          <w:b/>
          <w:bCs/>
        </w:rPr>
      </w:pPr>
      <w:r>
        <w:t xml:space="preserve">The ESCWA report provides a compelling analysis of Israeli apartheid over the entirety of the Palestinian people and proposes key recommendations on Israel and third </w:t>
      </w:r>
      <w:r w:rsidR="00596D4E">
        <w:t xml:space="preserve">party </w:t>
      </w:r>
      <w:r>
        <w:t xml:space="preserve">States to comply with their obligations </w:t>
      </w:r>
      <w:r w:rsidR="00596D4E">
        <w:t xml:space="preserve">in order </w:t>
      </w:r>
      <w:r>
        <w:t xml:space="preserve">to bring the </w:t>
      </w:r>
      <w:r w:rsidR="004904A5">
        <w:t xml:space="preserve">illegal </w:t>
      </w:r>
      <w:r>
        <w:t>situation to an end</w:t>
      </w:r>
      <w:r w:rsidR="00B032B1">
        <w:t xml:space="preserve"> and </w:t>
      </w:r>
      <w:r w:rsidR="00237093">
        <w:t xml:space="preserve">to </w:t>
      </w:r>
      <w:r w:rsidR="00B032B1">
        <w:t>ensure international justice and accountability</w:t>
      </w:r>
      <w:r w:rsidR="00237093">
        <w:t>, including effective remedies for Palestinian victims</w:t>
      </w:r>
      <w:r w:rsidR="00B032B1">
        <w:t>.</w:t>
      </w:r>
      <w:r w:rsidR="00237093">
        <w:rPr>
          <w:b/>
          <w:bCs/>
        </w:rPr>
        <w:t xml:space="preserve"> </w:t>
      </w:r>
      <w:r w:rsidRPr="00034DE7">
        <w:rPr>
          <w:b/>
          <w:bCs/>
        </w:rPr>
        <w:t xml:space="preserve">Our organisations urge the Committee to adopt the findings of the </w:t>
      </w:r>
      <w:r w:rsidR="00237093" w:rsidRPr="00034DE7">
        <w:rPr>
          <w:b/>
          <w:bCs/>
        </w:rPr>
        <w:t xml:space="preserve">2017 </w:t>
      </w:r>
      <w:r w:rsidRPr="00034DE7">
        <w:rPr>
          <w:b/>
          <w:bCs/>
        </w:rPr>
        <w:t xml:space="preserve">ESCWA report and to </w:t>
      </w:r>
      <w:r w:rsidR="004D7CD8" w:rsidRPr="00034DE7">
        <w:rPr>
          <w:b/>
          <w:bCs/>
        </w:rPr>
        <w:t>recogni</w:t>
      </w:r>
      <w:r w:rsidR="004904A5">
        <w:rPr>
          <w:b/>
          <w:bCs/>
        </w:rPr>
        <w:t>s</w:t>
      </w:r>
      <w:r w:rsidR="004D7CD8" w:rsidRPr="00034DE7">
        <w:rPr>
          <w:b/>
          <w:bCs/>
        </w:rPr>
        <w:t>e</w:t>
      </w:r>
      <w:r w:rsidRPr="00034DE7">
        <w:rPr>
          <w:b/>
          <w:bCs/>
        </w:rPr>
        <w:t xml:space="preserve"> Israel’s institutionalised regime of racial oppression and domination </w:t>
      </w:r>
      <w:r w:rsidR="00237093" w:rsidRPr="00034DE7">
        <w:rPr>
          <w:b/>
          <w:bCs/>
        </w:rPr>
        <w:t xml:space="preserve">over </w:t>
      </w:r>
      <w:r w:rsidR="008609C7" w:rsidRPr="00034DE7">
        <w:rPr>
          <w:b/>
          <w:bCs/>
        </w:rPr>
        <w:t>the Palestinian people</w:t>
      </w:r>
      <w:r w:rsidRPr="00034DE7">
        <w:rPr>
          <w:b/>
          <w:bCs/>
        </w:rPr>
        <w:t xml:space="preserve"> as amounting to the crime</w:t>
      </w:r>
      <w:r w:rsidR="008609C7" w:rsidRPr="00034DE7">
        <w:rPr>
          <w:b/>
          <w:bCs/>
        </w:rPr>
        <w:t>s of population transfer and</w:t>
      </w:r>
      <w:r w:rsidRPr="00034DE7">
        <w:rPr>
          <w:b/>
          <w:bCs/>
        </w:rPr>
        <w:t xml:space="preserve"> apartheid, </w:t>
      </w:r>
      <w:r w:rsidR="00F22E41" w:rsidRPr="00034DE7">
        <w:rPr>
          <w:b/>
          <w:bCs/>
        </w:rPr>
        <w:t xml:space="preserve">giving </w:t>
      </w:r>
      <w:r w:rsidRPr="00034DE7">
        <w:rPr>
          <w:b/>
          <w:bCs/>
        </w:rPr>
        <w:t>rise to individual criminal responsibility at the ICC, and entail</w:t>
      </w:r>
      <w:r w:rsidR="00F22E41" w:rsidRPr="00034DE7">
        <w:rPr>
          <w:b/>
          <w:bCs/>
        </w:rPr>
        <w:t>ing</w:t>
      </w:r>
      <w:r w:rsidRPr="00034DE7">
        <w:rPr>
          <w:b/>
          <w:bCs/>
        </w:rPr>
        <w:t xml:space="preserve"> State responsibility for Israel and third States to bring the </w:t>
      </w:r>
      <w:r w:rsidR="004904A5">
        <w:rPr>
          <w:b/>
          <w:bCs/>
        </w:rPr>
        <w:t>illegal</w:t>
      </w:r>
      <w:r w:rsidR="004904A5" w:rsidRPr="00034DE7">
        <w:rPr>
          <w:b/>
          <w:bCs/>
        </w:rPr>
        <w:t xml:space="preserve"> </w:t>
      </w:r>
      <w:r w:rsidRPr="00034DE7">
        <w:rPr>
          <w:b/>
          <w:bCs/>
        </w:rPr>
        <w:t>situation to an end.</w:t>
      </w:r>
    </w:p>
    <w:p w14:paraId="09B14908" w14:textId="42EAC90F" w:rsidR="00935722" w:rsidRPr="00B8555A" w:rsidRDefault="00E40CFF" w:rsidP="00B92668">
      <w:pPr>
        <w:pStyle w:val="Heading1"/>
      </w:pPr>
      <w:bookmarkStart w:id="44" w:name="_Toc18615802"/>
      <w:r>
        <w:t>Right</w:t>
      </w:r>
      <w:r w:rsidR="00B92668">
        <w:t>s to Property,</w:t>
      </w:r>
      <w:r>
        <w:t xml:space="preserve"> Adequate Housing</w:t>
      </w:r>
      <w:r w:rsidR="00B92668">
        <w:t>,</w:t>
      </w:r>
      <w:r w:rsidR="00B9198E">
        <w:t xml:space="preserve"> </w:t>
      </w:r>
      <w:r>
        <w:t>and</w:t>
      </w:r>
      <w:r w:rsidR="009C3409">
        <w:t xml:space="preserve"> </w:t>
      </w:r>
      <w:r w:rsidR="00EB4E26" w:rsidRPr="00B8555A">
        <w:t>A</w:t>
      </w:r>
      <w:r w:rsidR="00935722" w:rsidRPr="00B8555A">
        <w:t>ccess to Land</w:t>
      </w:r>
      <w:r>
        <w:t xml:space="preserve"> and</w:t>
      </w:r>
      <w:r w:rsidR="009C3409">
        <w:t xml:space="preserve"> </w:t>
      </w:r>
      <w:r>
        <w:t xml:space="preserve">Natural </w:t>
      </w:r>
      <w:r w:rsidR="009C3409">
        <w:t>Resources</w:t>
      </w:r>
      <w:bookmarkEnd w:id="44"/>
    </w:p>
    <w:p w14:paraId="56814FCE" w14:textId="51513A90" w:rsidR="00A76ECE" w:rsidRDefault="0036752B" w:rsidP="00034DE7">
      <w:pPr>
        <w:pStyle w:val="Numberedpara"/>
        <w:ind w:left="540" w:hanging="540"/>
      </w:pPr>
      <w:r w:rsidRPr="00B8555A">
        <w:t xml:space="preserve">In </w:t>
      </w:r>
      <w:r w:rsidR="00F274ED" w:rsidRPr="00B8555A">
        <w:t>its</w:t>
      </w:r>
      <w:r w:rsidRPr="00B8555A">
        <w:t xml:space="preserve"> previou</w:t>
      </w:r>
      <w:r w:rsidR="000310DE">
        <w:t>s Concluding O</w:t>
      </w:r>
      <w:r w:rsidR="009857E9" w:rsidRPr="00B8555A">
        <w:t>bservations, the C</w:t>
      </w:r>
      <w:r w:rsidRPr="00B8555A">
        <w:t xml:space="preserve">ommittee urged Israel to </w:t>
      </w:r>
      <w:r w:rsidR="00926234">
        <w:t>“</w:t>
      </w:r>
      <w:r w:rsidR="00926234" w:rsidRPr="00926234">
        <w:t>step up its efforts to ensure equal access to education, work, housing and public health in all territories under the State party’s effective control</w:t>
      </w:r>
      <w:r w:rsidR="008536AA">
        <w:t>,</w:t>
      </w:r>
      <w:r w:rsidR="00926234">
        <w:t>”</w:t>
      </w:r>
      <w:r w:rsidR="00B92668">
        <w:t xml:space="preserve"> highlighting the “</w:t>
      </w:r>
      <w:r w:rsidR="00B92668" w:rsidRPr="00B92668">
        <w:t>ongoing policy of home demolitions and forced displacement of the indigenous Bedouin communities</w:t>
      </w:r>
      <w:r w:rsidR="008536AA">
        <w:t>.</w:t>
      </w:r>
      <w:r w:rsidR="00B92668">
        <w:t>”</w:t>
      </w:r>
      <w:r w:rsidR="00966934">
        <w:rPr>
          <w:rStyle w:val="FootnoteReference"/>
        </w:rPr>
        <w:footnoteReference w:id="46"/>
      </w:r>
      <w:r w:rsidR="00926234">
        <w:t xml:space="preserve"> </w:t>
      </w:r>
      <w:r w:rsidR="00B92668">
        <w:t>The Committee further expressed concerns as to “</w:t>
      </w:r>
      <w:r w:rsidR="00B92668" w:rsidRPr="00B92668">
        <w:t xml:space="preserve">the adverse tendency of preferential treatment for the expansion of Israeli settlements, through the use of “state land” allocated for settlements, the provision of infrastructure such as roads and water systems, </w:t>
      </w:r>
      <w:r w:rsidR="00A76ECE">
        <w:t xml:space="preserve">[and] </w:t>
      </w:r>
      <w:r w:rsidR="00B92668" w:rsidRPr="00B92668">
        <w:t>high approval rates for planning permits</w:t>
      </w:r>
      <w:r w:rsidR="008536AA">
        <w:t>,</w:t>
      </w:r>
      <w:r w:rsidR="00B92668">
        <w:t>”</w:t>
      </w:r>
      <w:r w:rsidR="00A76ECE">
        <w:t xml:space="preserve"> concluding that “</w:t>
      </w:r>
      <w:r w:rsidR="00A76ECE" w:rsidRPr="00A76ECE">
        <w:t>the current Israeli planning and zoning policy in the West</w:t>
      </w:r>
      <w:r w:rsidR="00A76ECE">
        <w:t xml:space="preserve"> Bank, including East Jerusalem</w:t>
      </w:r>
      <w:r w:rsidR="00A76ECE" w:rsidRPr="00A76ECE">
        <w:t>, seriously breaches a range of fundamen</w:t>
      </w:r>
      <w:r w:rsidR="00A76ECE">
        <w:t>tal rights under the Convention</w:t>
      </w:r>
      <w:r w:rsidR="008536AA">
        <w:t>.</w:t>
      </w:r>
      <w:r w:rsidR="00A76ECE">
        <w:t>”</w:t>
      </w:r>
      <w:r w:rsidR="00A76ECE">
        <w:rPr>
          <w:rStyle w:val="FootnoteReference"/>
        </w:rPr>
        <w:footnoteReference w:id="47"/>
      </w:r>
      <w:r w:rsidR="00A76ECE">
        <w:t xml:space="preserve"> Accordingly, the Committee urged</w:t>
      </w:r>
      <w:r w:rsidR="00A76ECE" w:rsidRPr="00A76ECE">
        <w:t xml:space="preserve"> </w:t>
      </w:r>
      <w:r w:rsidR="00AD5071">
        <w:t>Israel</w:t>
      </w:r>
      <w:r w:rsidR="00A76ECE" w:rsidRPr="00A76ECE">
        <w:t xml:space="preserve"> to </w:t>
      </w:r>
      <w:r w:rsidRPr="00B8555A">
        <w:t>reconsider its entire planning and zoning policy in order to guarantee Palestinian</w:t>
      </w:r>
      <w:r w:rsidR="00A76ECE">
        <w:t>s their</w:t>
      </w:r>
      <w:r w:rsidRPr="00B8555A">
        <w:t xml:space="preserve"> rights to </w:t>
      </w:r>
      <w:r w:rsidR="00DC6E24" w:rsidRPr="00B8555A">
        <w:t xml:space="preserve">property, </w:t>
      </w:r>
      <w:r w:rsidR="00DC6E24">
        <w:t xml:space="preserve">adequate housing, </w:t>
      </w:r>
      <w:r w:rsidR="00A76ECE">
        <w:t xml:space="preserve">and </w:t>
      </w:r>
      <w:r w:rsidRPr="00B8555A">
        <w:t xml:space="preserve">access to land </w:t>
      </w:r>
      <w:r w:rsidR="009857E9" w:rsidRPr="00B8555A">
        <w:t>and natural resources</w:t>
      </w:r>
      <w:r w:rsidR="00A76ECE">
        <w:t>, also recommending that the State do so “</w:t>
      </w:r>
      <w:r w:rsidR="00A76ECE" w:rsidRPr="00A76ECE">
        <w:t>in consultation with the populations directly affected by those measures</w:t>
      </w:r>
      <w:r w:rsidR="00A76ECE">
        <w:t>.”</w:t>
      </w:r>
      <w:r w:rsidR="00A76ECE">
        <w:rPr>
          <w:rStyle w:val="FootnoteReference"/>
        </w:rPr>
        <w:footnoteReference w:id="48"/>
      </w:r>
    </w:p>
    <w:p w14:paraId="41CFBCD1" w14:textId="4E2C2DA0" w:rsidR="00720423" w:rsidRDefault="00BF42A2" w:rsidP="00BB6AB0">
      <w:pPr>
        <w:pStyle w:val="Numberedpara"/>
        <w:ind w:left="540" w:hanging="540"/>
      </w:pPr>
      <w:r>
        <w:t xml:space="preserve">Since 2012, </w:t>
      </w:r>
      <w:r w:rsidR="0061281B">
        <w:t xml:space="preserve">Israel has failed to end its discriminatory </w:t>
      </w:r>
      <w:r>
        <w:t xml:space="preserve">planning and </w:t>
      </w:r>
      <w:r w:rsidR="0061281B">
        <w:t xml:space="preserve">zoning </w:t>
      </w:r>
      <w:r w:rsidR="002805D4">
        <w:t xml:space="preserve">policies </w:t>
      </w:r>
      <w:r>
        <w:t xml:space="preserve">in the occupied West Bank, including East Jerusalem. Instead, the Israeli occupying authorities have continued to </w:t>
      </w:r>
      <w:r w:rsidR="007C63B3">
        <w:t>systematically</w:t>
      </w:r>
      <w:r w:rsidR="0061281B">
        <w:t xml:space="preserve"> </w:t>
      </w:r>
      <w:r>
        <w:t xml:space="preserve">discriminate against protected </w:t>
      </w:r>
      <w:r w:rsidR="0061281B">
        <w:t>Palestinian</w:t>
      </w:r>
      <w:r w:rsidR="004924A8">
        <w:t>s</w:t>
      </w:r>
      <w:r>
        <w:t xml:space="preserve">, creating </w:t>
      </w:r>
      <w:r>
        <w:lastRenderedPageBreak/>
        <w:t xml:space="preserve">coercive environments designed to drive their </w:t>
      </w:r>
      <w:r w:rsidR="004924A8">
        <w:t>forced displacement</w:t>
      </w:r>
      <w:r>
        <w:t xml:space="preserve"> </w:t>
      </w:r>
      <w:r w:rsidR="007C63B3">
        <w:t xml:space="preserve">to the benefit of </w:t>
      </w:r>
      <w:r w:rsidR="00DC6E24">
        <w:t xml:space="preserve">colonising </w:t>
      </w:r>
      <w:r w:rsidR="007C63B3">
        <w:t>Israel</w:t>
      </w:r>
      <w:r w:rsidR="00DC6E24">
        <w:t>i</w:t>
      </w:r>
      <w:r w:rsidR="007C63B3">
        <w:t xml:space="preserve"> settler</w:t>
      </w:r>
      <w:r w:rsidR="00DC6E24">
        <w:t>s, whose mere presence in the occupied Palestinian territory is illegal under international humanitarian law</w:t>
      </w:r>
      <w:r w:rsidR="00E01742">
        <w:t>.</w:t>
      </w:r>
      <w:r w:rsidR="00DC6E24">
        <w:rPr>
          <w:rStyle w:val="FootnoteReference"/>
        </w:rPr>
        <w:footnoteReference w:id="49"/>
      </w:r>
      <w:r w:rsidR="000865C0">
        <w:t xml:space="preserve"> </w:t>
      </w:r>
      <w:r w:rsidR="00720423">
        <w:t>Through</w:t>
      </w:r>
      <w:r w:rsidR="00FB5FC8">
        <w:t xml:space="preserve"> </w:t>
      </w:r>
      <w:r w:rsidR="00720423">
        <w:t>its</w:t>
      </w:r>
      <w:r w:rsidR="00FB5FC8" w:rsidRPr="00B8555A">
        <w:t xml:space="preserve"> restrictive </w:t>
      </w:r>
      <w:r w:rsidR="00720423">
        <w:t xml:space="preserve">and discriminatory </w:t>
      </w:r>
      <w:r w:rsidR="00FB5FC8" w:rsidRPr="00B8555A">
        <w:t xml:space="preserve">planning regime, </w:t>
      </w:r>
      <w:r w:rsidR="00720423">
        <w:t>Israel</w:t>
      </w:r>
      <w:r w:rsidR="00FB5FC8" w:rsidRPr="00B8555A">
        <w:t xml:space="preserve"> prevents Pale</w:t>
      </w:r>
      <w:r w:rsidR="00FB5FC8">
        <w:t xml:space="preserve">stinians from constructing even the simplest of </w:t>
      </w:r>
      <w:r w:rsidR="00FB5FC8" w:rsidRPr="00B8555A">
        <w:t>structure</w:t>
      </w:r>
      <w:r w:rsidR="00FB5FC8">
        <w:t>s</w:t>
      </w:r>
      <w:r w:rsidR="00C45E55">
        <w:t>,</w:t>
      </w:r>
      <w:r w:rsidR="00FB5FC8">
        <w:t xml:space="preserve"> in particular in Area C of the West Bank</w:t>
      </w:r>
      <w:r w:rsidR="006F11B5">
        <w:t xml:space="preserve"> and in East Jerusalem</w:t>
      </w:r>
      <w:r w:rsidR="00FB5FC8">
        <w:t>,</w:t>
      </w:r>
      <w:r w:rsidR="006F11B5" w:rsidRPr="00B8555A">
        <w:rPr>
          <w:rStyle w:val="FootnoteReference"/>
        </w:rPr>
        <w:footnoteReference w:id="50"/>
      </w:r>
      <w:r w:rsidR="00FB5FC8">
        <w:t xml:space="preserve"> placing </w:t>
      </w:r>
      <w:r w:rsidR="00720423">
        <w:t>Palestinian communities</w:t>
      </w:r>
      <w:r w:rsidR="00FB5FC8">
        <w:t xml:space="preserve"> at risk of house demolitions, in violation of their right to adequate housing</w:t>
      </w:r>
      <w:r w:rsidR="006625E1">
        <w:t>, and the prohibition o</w:t>
      </w:r>
      <w:r w:rsidR="00B94D1F">
        <w:t>n destruction of pro</w:t>
      </w:r>
      <w:r w:rsidR="006625E1">
        <w:t>perty not justified by military necessity.</w:t>
      </w:r>
      <w:r w:rsidR="006625E1" w:rsidRPr="00B8555A">
        <w:rPr>
          <w:rStyle w:val="FootnoteReference"/>
        </w:rPr>
        <w:footnoteReference w:id="51"/>
      </w:r>
      <w:r w:rsidR="00FB5FC8">
        <w:t xml:space="preserve"> </w:t>
      </w:r>
      <w:r w:rsidR="00575684">
        <w:t xml:space="preserve">According to </w:t>
      </w:r>
      <w:r w:rsidRPr="005166A1">
        <w:t>Al</w:t>
      </w:r>
      <w:r>
        <w:t>-</w:t>
      </w:r>
      <w:r w:rsidRPr="005166A1">
        <w:t>Haq</w:t>
      </w:r>
      <w:r w:rsidR="00575684">
        <w:t xml:space="preserve">’s Monitoring and Documentation Department, </w:t>
      </w:r>
      <w:r w:rsidR="00E55F5D">
        <w:t xml:space="preserve">from </w:t>
      </w:r>
      <w:r w:rsidR="00575684">
        <w:t>2012 to 2018,</w:t>
      </w:r>
      <w:r w:rsidR="00575684" w:rsidRPr="005166A1">
        <w:t xml:space="preserve"> </w:t>
      </w:r>
      <w:r w:rsidR="00575684">
        <w:t xml:space="preserve">the Israeli </w:t>
      </w:r>
      <w:r w:rsidR="004904A5">
        <w:t xml:space="preserve">occupying </w:t>
      </w:r>
      <w:r w:rsidR="00575684">
        <w:t>authorities carried out</w:t>
      </w:r>
      <w:r>
        <w:t xml:space="preserve"> 2,451 </w:t>
      </w:r>
      <w:r w:rsidR="00575684">
        <w:t>‘administrative’ house demolitions</w:t>
      </w:r>
      <w:r>
        <w:t xml:space="preserve"> </w:t>
      </w:r>
      <w:r w:rsidR="00575684">
        <w:t>in the occupied</w:t>
      </w:r>
      <w:r w:rsidR="00AA5EC4">
        <w:t xml:space="preserve"> West Bank, including East Jerusalem, resulting in the</w:t>
      </w:r>
      <w:r>
        <w:t xml:space="preserve"> </w:t>
      </w:r>
      <w:r w:rsidR="00AA5EC4">
        <w:t>displacem</w:t>
      </w:r>
      <w:r w:rsidR="0089383F">
        <w:t>ent of</w:t>
      </w:r>
      <w:r>
        <w:t xml:space="preserve"> 6,473 Palestini</w:t>
      </w:r>
      <w:r w:rsidR="00C45E55">
        <w:t xml:space="preserve">ans, including 3,348 children. </w:t>
      </w:r>
      <w:r>
        <w:t xml:space="preserve">Additionally, during the same period, the Israeli </w:t>
      </w:r>
      <w:r w:rsidR="0089383F">
        <w:t xml:space="preserve">occupying </w:t>
      </w:r>
      <w:r>
        <w:t>authorities conducted a total of 85 punitive</w:t>
      </w:r>
      <w:r w:rsidR="0089383F">
        <w:t xml:space="preserve"> house</w:t>
      </w:r>
      <w:r>
        <w:t xml:space="preserve"> demolitions</w:t>
      </w:r>
      <w:r w:rsidR="0089383F">
        <w:t>,</w:t>
      </w:r>
      <w:r>
        <w:t xml:space="preserve"> </w:t>
      </w:r>
      <w:r w:rsidR="0089383F">
        <w:t>amounting to unlawful collective punishment,</w:t>
      </w:r>
      <w:r w:rsidR="00F41743">
        <w:rPr>
          <w:rStyle w:val="FootnoteReference"/>
        </w:rPr>
        <w:footnoteReference w:id="52"/>
      </w:r>
      <w:r w:rsidR="0089383F">
        <w:t xml:space="preserve"> which </w:t>
      </w:r>
      <w:r w:rsidR="00F41743">
        <w:t xml:space="preserve">resulted in the </w:t>
      </w:r>
      <w:r w:rsidR="0089383F">
        <w:t>displac</w:t>
      </w:r>
      <w:r w:rsidR="00F41743">
        <w:t>ement of</w:t>
      </w:r>
      <w:r w:rsidR="00C45E55">
        <w:t xml:space="preserve"> 320 Palestinians.</w:t>
      </w:r>
    </w:p>
    <w:p w14:paraId="613557CB" w14:textId="762A3465" w:rsidR="00F17425" w:rsidRDefault="00720423" w:rsidP="0073613E">
      <w:pPr>
        <w:pStyle w:val="Numberedpara"/>
        <w:ind w:left="540" w:hanging="540"/>
      </w:pPr>
      <w:r>
        <w:t>Accordingly, Israel has instituted increasingly aggressive planning and zoning policies throughout the o</w:t>
      </w:r>
      <w:r w:rsidRPr="00B8555A">
        <w:t xml:space="preserve">ccupied </w:t>
      </w:r>
      <w:r>
        <w:t>West Bank</w:t>
      </w:r>
      <w:r w:rsidDel="00C03087">
        <w:t xml:space="preserve"> </w:t>
      </w:r>
      <w:r>
        <w:t>that deprive P</w:t>
      </w:r>
      <w:r w:rsidR="00BB3B59">
        <w:t xml:space="preserve">alestinians of their rights to freedom of movement and </w:t>
      </w:r>
      <w:r>
        <w:t xml:space="preserve">residence, their rights to adequate housing, and access to land and natural resources, </w:t>
      </w:r>
      <w:r w:rsidR="00BB3B59">
        <w:t>which</w:t>
      </w:r>
      <w:r>
        <w:t xml:space="preserve"> are owed to the Palestinian people.</w:t>
      </w:r>
      <w:r w:rsidRPr="00B8555A">
        <w:rPr>
          <w:rStyle w:val="FootnoteReference"/>
        </w:rPr>
        <w:footnoteReference w:id="53"/>
      </w:r>
      <w:r>
        <w:t xml:space="preserve"> </w:t>
      </w:r>
      <w:r w:rsidR="00DD1670" w:rsidRPr="00B8555A">
        <w:t>Through its discriminatory planning</w:t>
      </w:r>
      <w:r w:rsidR="00CC730D">
        <w:t xml:space="preserve"> and</w:t>
      </w:r>
      <w:r w:rsidR="00DD1670" w:rsidRPr="00B8555A">
        <w:t xml:space="preserve"> zoning</w:t>
      </w:r>
      <w:r w:rsidR="00CC730D">
        <w:t xml:space="preserve"> policies</w:t>
      </w:r>
      <w:r w:rsidR="00DD1670" w:rsidRPr="00B8555A">
        <w:t xml:space="preserve">, and </w:t>
      </w:r>
      <w:r w:rsidR="00CC730D">
        <w:t xml:space="preserve">house </w:t>
      </w:r>
      <w:r w:rsidR="00DD1670" w:rsidRPr="00B8555A">
        <w:t xml:space="preserve">demolition </w:t>
      </w:r>
      <w:r w:rsidR="00CC730D">
        <w:t>practices</w:t>
      </w:r>
      <w:r w:rsidR="00DD1670" w:rsidRPr="00B8555A">
        <w:t xml:space="preserve">, Israel has </w:t>
      </w:r>
      <w:r w:rsidR="00F274ED" w:rsidRPr="00B8555A">
        <w:t>created an increasingly unliveable and coercive environment</w:t>
      </w:r>
      <w:r w:rsidR="00DD1670" w:rsidRPr="00B8555A">
        <w:t xml:space="preserve"> for </w:t>
      </w:r>
      <w:r>
        <w:t xml:space="preserve">the </w:t>
      </w:r>
      <w:r w:rsidR="00C45E55">
        <w:t xml:space="preserve">indigenous </w:t>
      </w:r>
      <w:r w:rsidR="00DD1670" w:rsidRPr="00B8555A">
        <w:t>Palestinian</w:t>
      </w:r>
      <w:r>
        <w:t xml:space="preserve"> people</w:t>
      </w:r>
      <w:r w:rsidR="00CC730D">
        <w:t>.</w:t>
      </w:r>
      <w:r w:rsidR="00C45E55" w:rsidRPr="00C45E55">
        <w:t xml:space="preserve"> </w:t>
      </w:r>
      <w:r w:rsidR="00F17425">
        <w:t xml:space="preserve">This has had significant </w:t>
      </w:r>
      <w:r w:rsidR="00C45E55" w:rsidRPr="00B8555A">
        <w:t xml:space="preserve">impacts on </w:t>
      </w:r>
      <w:r w:rsidR="00F17425">
        <w:t>Palestinian</w:t>
      </w:r>
      <w:r w:rsidR="00C45E55" w:rsidRPr="00B8555A">
        <w:t xml:space="preserve"> Bedouin</w:t>
      </w:r>
      <w:r w:rsidR="00F17425">
        <w:t>, pastoralist,</w:t>
      </w:r>
      <w:r w:rsidR="00C45E55" w:rsidRPr="00B8555A">
        <w:t xml:space="preserve"> and </w:t>
      </w:r>
      <w:r w:rsidR="00F17425">
        <w:t>other herding</w:t>
      </w:r>
      <w:r w:rsidR="00C45E55" w:rsidRPr="00B8555A">
        <w:t xml:space="preserve"> communities, </w:t>
      </w:r>
      <w:r w:rsidR="005A4131">
        <w:t>which comprise</w:t>
      </w:r>
      <w:r w:rsidR="00F17425">
        <w:t xml:space="preserve"> </w:t>
      </w:r>
      <w:r w:rsidR="00C45E55" w:rsidRPr="00B8555A">
        <w:t>40 per cent of the Palestinian population in the Jord</w:t>
      </w:r>
      <w:r w:rsidR="00F17425">
        <w:t>an Valley</w:t>
      </w:r>
      <w:r w:rsidR="0073613E">
        <w:t>, who</w:t>
      </w:r>
      <w:r w:rsidR="00F17425">
        <w:t xml:space="preserve"> </w:t>
      </w:r>
      <w:r w:rsidR="0073613E">
        <w:t>traditionally make</w:t>
      </w:r>
      <w:r w:rsidR="00C45E55" w:rsidRPr="00B8555A">
        <w:t xml:space="preserve"> use of the open areas of the West Bank </w:t>
      </w:r>
      <w:r w:rsidR="00F17425">
        <w:t xml:space="preserve">and the territory’s water resources </w:t>
      </w:r>
      <w:r w:rsidR="00C45E55" w:rsidRPr="00B8555A">
        <w:t xml:space="preserve">for </w:t>
      </w:r>
      <w:r w:rsidR="00F17425">
        <w:t xml:space="preserve">livestock </w:t>
      </w:r>
      <w:r w:rsidR="00C45E55" w:rsidRPr="00B8555A">
        <w:t>grazing.</w:t>
      </w:r>
      <w:r w:rsidR="00F17425" w:rsidRPr="00B8555A">
        <w:rPr>
          <w:rStyle w:val="FootnoteReference"/>
        </w:rPr>
        <w:footnoteReference w:id="54"/>
      </w:r>
      <w:r w:rsidR="00652C8E">
        <w:t xml:space="preserve"> In addition to the increased restrictions on their traditions of life</w:t>
      </w:r>
      <w:r w:rsidR="00953A81">
        <w:t xml:space="preserve"> due to the inability to access land and resources</w:t>
      </w:r>
      <w:r w:rsidR="00652C8E">
        <w:t>, Palestinian Bedouin and herding communities</w:t>
      </w:r>
      <w:r w:rsidR="00953A81">
        <w:t xml:space="preserve"> on both sides of the Green Line</w:t>
      </w:r>
      <w:r w:rsidR="00652C8E">
        <w:t xml:space="preserve">, in particular in the </w:t>
      </w:r>
      <w:r w:rsidR="008970D5">
        <w:t>Naqab</w:t>
      </w:r>
      <w:r w:rsidR="008970D5" w:rsidRPr="00B8555A">
        <w:rPr>
          <w:rStyle w:val="FootnoteReference"/>
        </w:rPr>
        <w:footnoteReference w:id="55"/>
      </w:r>
      <w:r w:rsidR="008970D5">
        <w:t xml:space="preserve"> and </w:t>
      </w:r>
      <w:r w:rsidR="00953A81">
        <w:t xml:space="preserve">in </w:t>
      </w:r>
      <w:r w:rsidR="008970D5">
        <w:t xml:space="preserve">the </w:t>
      </w:r>
      <w:r w:rsidR="00652C8E">
        <w:t xml:space="preserve">eastern </w:t>
      </w:r>
      <w:r w:rsidR="00652C8E">
        <w:lastRenderedPageBreak/>
        <w:t>Jerusalem periphery,</w:t>
      </w:r>
      <w:r w:rsidR="00953A81" w:rsidRPr="00B8555A">
        <w:rPr>
          <w:rStyle w:val="FootnoteReference"/>
        </w:rPr>
        <w:footnoteReference w:id="56"/>
      </w:r>
      <w:r w:rsidR="00652C8E">
        <w:t xml:space="preserve"> continue to </w:t>
      </w:r>
      <w:r w:rsidR="00953A81">
        <w:t>be presented with ‘relocation’ plans by the Israeli authorities, which amount to the creation of a coercive environment precluding any free, genuine, informed, and prior consent to be given by Palestinian communities.</w:t>
      </w:r>
    </w:p>
    <w:p w14:paraId="1D40CA98" w14:textId="01D27C19" w:rsidR="008536AA" w:rsidRPr="00713484" w:rsidRDefault="008536AA" w:rsidP="00713484">
      <w:pPr>
        <w:pStyle w:val="Numberedpara"/>
        <w:ind w:left="540" w:hanging="540"/>
        <w:rPr>
          <w:color w:val="000000" w:themeColor="text1"/>
        </w:rPr>
      </w:pPr>
      <w:r w:rsidRPr="00713484">
        <w:rPr>
          <w:color w:val="000000" w:themeColor="text1"/>
        </w:rPr>
        <w:t xml:space="preserve">Particularly egregious is the withholding of recognition to some 49 villages where the Bedouin Palestinian communities have been forced to reside since the ethnic cleansing of the Naqab region </w:t>
      </w:r>
      <w:r w:rsidR="00713484" w:rsidRPr="00713484">
        <w:rPr>
          <w:color w:val="000000" w:themeColor="text1"/>
        </w:rPr>
        <w:t xml:space="preserve">between 1951 and </w:t>
      </w:r>
      <w:r w:rsidRPr="00713484">
        <w:rPr>
          <w:color w:val="000000" w:themeColor="text1"/>
        </w:rPr>
        <w:t xml:space="preserve">1953. This practice denies those </w:t>
      </w:r>
      <w:r w:rsidR="00713484" w:rsidRPr="00713484">
        <w:rPr>
          <w:color w:val="000000" w:themeColor="text1"/>
        </w:rPr>
        <w:t>Palestinian citizens of Israel</w:t>
      </w:r>
      <w:r w:rsidRPr="00713484">
        <w:rPr>
          <w:color w:val="000000" w:themeColor="text1"/>
        </w:rPr>
        <w:t xml:space="preserve"> security of tenure and access to vital services</w:t>
      </w:r>
      <w:r w:rsidR="00713484" w:rsidRPr="00713484">
        <w:rPr>
          <w:color w:val="000000" w:themeColor="text1"/>
        </w:rPr>
        <w:t>,</w:t>
      </w:r>
      <w:r w:rsidRPr="00713484">
        <w:rPr>
          <w:color w:val="000000" w:themeColor="text1"/>
        </w:rPr>
        <w:t xml:space="preserve"> such as water and sanitation, threatening them with further displacement and resettlement, stripping them of any relationship with their ancestral lands. This practice has revealed that the State Party applies arbitrary criteria to the recognition of human settlements in th</w:t>
      </w:r>
      <w:r w:rsidR="00713484" w:rsidRPr="00713484">
        <w:rPr>
          <w:color w:val="000000" w:themeColor="text1"/>
        </w:rPr>
        <w:t>e region based solely on the “</w:t>
      </w:r>
      <w:r w:rsidRPr="00713484">
        <w:rPr>
          <w:color w:val="000000" w:themeColor="text1"/>
        </w:rPr>
        <w:t>Jewish nationa</w:t>
      </w:r>
      <w:r w:rsidR="00713484" w:rsidRPr="00713484">
        <w:rPr>
          <w:color w:val="000000" w:themeColor="text1"/>
        </w:rPr>
        <w:t xml:space="preserve">lity” status, </w:t>
      </w:r>
      <w:r w:rsidRPr="00713484">
        <w:rPr>
          <w:color w:val="000000" w:themeColor="text1"/>
        </w:rPr>
        <w:t>as distinct from, and superior to Israeli citizenship</w:t>
      </w:r>
      <w:r w:rsidR="00713484" w:rsidRPr="00713484">
        <w:rPr>
          <w:color w:val="000000" w:themeColor="text1"/>
        </w:rPr>
        <w:t>,</w:t>
      </w:r>
      <w:r w:rsidRPr="00713484">
        <w:rPr>
          <w:rStyle w:val="FootnoteReference"/>
          <w:color w:val="000000" w:themeColor="text1"/>
        </w:rPr>
        <w:footnoteReference w:id="57"/>
      </w:r>
      <w:r w:rsidRPr="00713484">
        <w:rPr>
          <w:color w:val="000000" w:themeColor="text1"/>
        </w:rPr>
        <w:t xml:space="preserve"> provided in the </w:t>
      </w:r>
      <w:r w:rsidR="00713484" w:rsidRPr="00713484">
        <w:rPr>
          <w:color w:val="000000" w:themeColor="text1"/>
        </w:rPr>
        <w:t>discriminatory</w:t>
      </w:r>
      <w:r w:rsidRPr="00713484">
        <w:rPr>
          <w:color w:val="000000" w:themeColor="text1"/>
        </w:rPr>
        <w:t xml:space="preserve"> charters of the Jewish Agency and Jewish National Fund, which dominate the spatial planning regime within the St</w:t>
      </w:r>
      <w:r w:rsidR="00713484" w:rsidRPr="00713484">
        <w:rPr>
          <w:color w:val="000000" w:themeColor="text1"/>
        </w:rPr>
        <w:t xml:space="preserve">ate of Israel. </w:t>
      </w:r>
      <w:r w:rsidRPr="00713484">
        <w:rPr>
          <w:color w:val="000000" w:themeColor="text1"/>
        </w:rPr>
        <w:t xml:space="preserve">The World Zionist Organization and Jewish National Fund operate similarly in the </w:t>
      </w:r>
      <w:r w:rsidR="00713484" w:rsidRPr="00713484">
        <w:rPr>
          <w:color w:val="000000" w:themeColor="text1"/>
        </w:rPr>
        <w:t>occupied Palestinian territory</w:t>
      </w:r>
      <w:r w:rsidRPr="00713484">
        <w:rPr>
          <w:color w:val="000000" w:themeColor="text1"/>
        </w:rPr>
        <w:t>, effectively conducting population transfer as parastatal institutions.</w:t>
      </w:r>
      <w:r w:rsidRPr="00713484">
        <w:rPr>
          <w:rStyle w:val="FootnoteReference"/>
          <w:color w:val="000000" w:themeColor="text1"/>
        </w:rPr>
        <w:footnoteReference w:id="58"/>
      </w:r>
    </w:p>
    <w:p w14:paraId="5902A6A1" w14:textId="52AB6735" w:rsidR="00281178" w:rsidRPr="00B8555A" w:rsidRDefault="00E75EE9" w:rsidP="00B63BBB">
      <w:pPr>
        <w:pStyle w:val="Numberedpara"/>
        <w:ind w:left="540" w:hanging="540"/>
      </w:pPr>
      <w:r>
        <w:t xml:space="preserve">At the same time, </w:t>
      </w:r>
      <w:r w:rsidR="000865C0">
        <w:t>I</w:t>
      </w:r>
      <w:r w:rsidR="00281178" w:rsidRPr="00B8555A">
        <w:t>srael has</w:t>
      </w:r>
      <w:r w:rsidR="003874D1">
        <w:t xml:space="preserve"> </w:t>
      </w:r>
      <w:r w:rsidR="00281178" w:rsidRPr="00B8555A">
        <w:t xml:space="preserve">continued to aggressively expand its illegal settlement enterprise in the </w:t>
      </w:r>
      <w:r w:rsidR="00B63BBB">
        <w:t>occupied Palestinian territory</w:t>
      </w:r>
      <w:r w:rsidR="00281178" w:rsidRPr="00B8555A">
        <w:t xml:space="preserve"> and to expropriate Palestinian land</w:t>
      </w:r>
      <w:r w:rsidR="00CC730D">
        <w:t xml:space="preserve"> and exploit natural resources</w:t>
      </w:r>
      <w:r w:rsidR="00391843">
        <w:t>, including water</w:t>
      </w:r>
      <w:r w:rsidR="00DF7F5D">
        <w:t xml:space="preserve"> copiously extracted by the Israeli water company </w:t>
      </w:r>
      <w:r w:rsidR="00443BF7">
        <w:t>‘</w:t>
      </w:r>
      <w:r w:rsidR="00DF7F5D">
        <w:t>Mekorot</w:t>
      </w:r>
      <w:r w:rsidR="00443BF7">
        <w:t>’</w:t>
      </w:r>
      <w:r w:rsidR="00391843">
        <w:t>,</w:t>
      </w:r>
      <w:r w:rsidR="00CC730D">
        <w:t xml:space="preserve"> for the benefit of its settler population</w:t>
      </w:r>
      <w:r w:rsidR="00281178" w:rsidRPr="00B8555A">
        <w:t>.</w:t>
      </w:r>
      <w:r w:rsidR="00391843" w:rsidRPr="00B8555A">
        <w:rPr>
          <w:rStyle w:val="FootnoteReference"/>
        </w:rPr>
        <w:footnoteReference w:id="59"/>
      </w:r>
      <w:r w:rsidR="00281178" w:rsidRPr="00B8555A">
        <w:t xml:space="preserve"> In February 2017, the </w:t>
      </w:r>
      <w:r w:rsidR="000865C0">
        <w:t xml:space="preserve">Israeli Parliament </w:t>
      </w:r>
      <w:r w:rsidR="00281178" w:rsidRPr="00B8555A">
        <w:t xml:space="preserve">passed the </w:t>
      </w:r>
      <w:r w:rsidR="004904A5">
        <w:t>so-called ‘</w:t>
      </w:r>
      <w:r w:rsidR="00281178" w:rsidRPr="00B8555A">
        <w:t>Regularization Law</w:t>
      </w:r>
      <w:r w:rsidR="0065740E">
        <w:t>’</w:t>
      </w:r>
      <w:r w:rsidR="00281178" w:rsidRPr="00B8555A">
        <w:t>, legali</w:t>
      </w:r>
      <w:r w:rsidR="0065740E">
        <w:t>sing</w:t>
      </w:r>
      <w:r w:rsidR="00281178" w:rsidRPr="00B8555A">
        <w:t xml:space="preserve"> 4,000 </w:t>
      </w:r>
      <w:r w:rsidR="00EF2272">
        <w:t xml:space="preserve">settlement </w:t>
      </w:r>
      <w:r w:rsidR="00281178" w:rsidRPr="00B8555A">
        <w:t xml:space="preserve">housing units in 55 colonial outposts </w:t>
      </w:r>
      <w:r w:rsidR="000865C0">
        <w:t xml:space="preserve">illegally </w:t>
      </w:r>
      <w:r w:rsidR="00281178" w:rsidRPr="00B8555A">
        <w:t>buil</w:t>
      </w:r>
      <w:r w:rsidR="000865C0">
        <w:t>t</w:t>
      </w:r>
      <w:r w:rsidR="00281178" w:rsidRPr="00B8555A">
        <w:t xml:space="preserve"> on private Palestinian </w:t>
      </w:r>
      <w:r w:rsidR="00EF2272">
        <w:t>l</w:t>
      </w:r>
      <w:r w:rsidR="00281178" w:rsidRPr="00B8555A">
        <w:t>and.</w:t>
      </w:r>
      <w:r w:rsidR="00281178" w:rsidRPr="00B8555A">
        <w:rPr>
          <w:rStyle w:val="FootnoteReference"/>
        </w:rPr>
        <w:footnoteReference w:id="60"/>
      </w:r>
      <w:r w:rsidR="00281178" w:rsidRPr="00B8555A">
        <w:t xml:space="preserve"> </w:t>
      </w:r>
      <w:r w:rsidR="00EF2272">
        <w:t>In</w:t>
      </w:r>
      <w:r w:rsidR="00EF2272" w:rsidRPr="00B8555A">
        <w:t xml:space="preserve"> </w:t>
      </w:r>
      <w:r w:rsidR="00281178" w:rsidRPr="00B8555A">
        <w:t>December</w:t>
      </w:r>
      <w:r w:rsidR="00EF2272">
        <w:t xml:space="preserve"> 2018</w:t>
      </w:r>
      <w:r w:rsidR="00281178" w:rsidRPr="00B8555A">
        <w:t xml:space="preserve">, the </w:t>
      </w:r>
      <w:r w:rsidR="000865C0">
        <w:t xml:space="preserve">Knesset’s </w:t>
      </w:r>
      <w:r w:rsidR="00281178" w:rsidRPr="00B8555A">
        <w:t>Ministerial Committee for Legislation approved the advancement of a bill that would legali</w:t>
      </w:r>
      <w:r w:rsidR="000865C0">
        <w:t>s</w:t>
      </w:r>
      <w:r w:rsidR="00281178" w:rsidRPr="00B8555A">
        <w:t>e an additional 60 Israel</w:t>
      </w:r>
      <w:r w:rsidR="00D7526A">
        <w:t>i</w:t>
      </w:r>
      <w:r w:rsidR="00281178" w:rsidRPr="00B8555A">
        <w:t xml:space="preserve"> settlement outposts in the </w:t>
      </w:r>
      <w:r w:rsidR="00EF2272">
        <w:t xml:space="preserve">occupied </w:t>
      </w:r>
      <w:r w:rsidR="00281178" w:rsidRPr="00B8555A">
        <w:t>West Bank.</w:t>
      </w:r>
      <w:r w:rsidR="00281178" w:rsidRPr="00B8555A">
        <w:rPr>
          <w:rStyle w:val="FootnoteReference"/>
        </w:rPr>
        <w:footnoteReference w:id="61"/>
      </w:r>
      <w:r w:rsidR="000865C0">
        <w:t xml:space="preserve"> The construction of illegal Israeli settlements in the occupied Palestinian territory amounts to a grave breach of the Fourth Geneva Convention of 1949 and constitutes the crime of population transfer, for which there is individual criminal </w:t>
      </w:r>
      <w:r w:rsidR="00EF2272">
        <w:t>responsibility</w:t>
      </w:r>
      <w:r w:rsidR="000865C0">
        <w:t xml:space="preserve"> at the </w:t>
      </w:r>
      <w:r w:rsidR="000865C0">
        <w:lastRenderedPageBreak/>
        <w:t>ICC.</w:t>
      </w:r>
      <w:r w:rsidR="000865C0" w:rsidRPr="00B8555A">
        <w:rPr>
          <w:rStyle w:val="FootnoteReference"/>
        </w:rPr>
        <w:footnoteReference w:id="62"/>
      </w:r>
      <w:r w:rsidR="000865C0">
        <w:t xml:space="preserve"> Moreover, Israel’s illegal settlement enterprise unlawfully exploits the natural resources of the occupied territory</w:t>
      </w:r>
      <w:r w:rsidR="004008F6">
        <w:t>, which under international humanitar</w:t>
      </w:r>
      <w:r w:rsidR="0005423B">
        <w:t xml:space="preserve">ian law are </w:t>
      </w:r>
      <w:r w:rsidR="000E7FC8">
        <w:t xml:space="preserve">protected by </w:t>
      </w:r>
      <w:r w:rsidR="0005423B">
        <w:t>the rule</w:t>
      </w:r>
      <w:r w:rsidR="004008F6">
        <w:t xml:space="preserve"> of </w:t>
      </w:r>
      <w:r w:rsidR="004008F6">
        <w:rPr>
          <w:i/>
          <w:iCs/>
        </w:rPr>
        <w:t>usufruct</w:t>
      </w:r>
      <w:r w:rsidR="004008F6">
        <w:t>,</w:t>
      </w:r>
      <w:r w:rsidR="004008F6" w:rsidRPr="00B8555A">
        <w:rPr>
          <w:rStyle w:val="FootnoteReference"/>
        </w:rPr>
        <w:footnoteReference w:id="63"/>
      </w:r>
      <w:r w:rsidR="000865C0">
        <w:t xml:space="preserve"> </w:t>
      </w:r>
      <w:r w:rsidR="004008F6">
        <w:t>resulting</w:t>
      </w:r>
      <w:r w:rsidR="000865C0">
        <w:t xml:space="preserve"> in </w:t>
      </w:r>
      <w:r w:rsidR="004008F6">
        <w:t xml:space="preserve">severe </w:t>
      </w:r>
      <w:r w:rsidR="000865C0">
        <w:t xml:space="preserve">racial segregation and material discrimination against the indigenous Palestinian people, in </w:t>
      </w:r>
      <w:r w:rsidR="000865C0" w:rsidRPr="00034DE7">
        <w:rPr>
          <w:color w:val="000000" w:themeColor="text1"/>
        </w:rPr>
        <w:t xml:space="preserve">violation of Article 3 </w:t>
      </w:r>
      <w:r w:rsidR="000865C0">
        <w:t xml:space="preserve">of the </w:t>
      </w:r>
      <w:r w:rsidR="00167338">
        <w:t>Convention</w:t>
      </w:r>
      <w:r w:rsidR="000865C0">
        <w:t>.</w:t>
      </w:r>
    </w:p>
    <w:p w14:paraId="5AF0C2BA" w14:textId="292B3CC6" w:rsidR="000719FF" w:rsidRPr="00034DE7" w:rsidRDefault="00A756E6" w:rsidP="00432931">
      <w:pPr>
        <w:pStyle w:val="Numberedpara"/>
        <w:ind w:left="540" w:hanging="540"/>
        <w:rPr>
          <w:b/>
          <w:bCs/>
        </w:rPr>
      </w:pPr>
      <w:r w:rsidRPr="00034DE7">
        <w:rPr>
          <w:b/>
          <w:bCs/>
        </w:rPr>
        <w:t>In light of the above, our organisations</w:t>
      </w:r>
      <w:r w:rsidR="000719FF" w:rsidRPr="00034DE7">
        <w:rPr>
          <w:b/>
          <w:bCs/>
        </w:rPr>
        <w:t xml:space="preserve"> urge the Committee to</w:t>
      </w:r>
      <w:r w:rsidR="009A4D2E" w:rsidRPr="00034DE7">
        <w:rPr>
          <w:b/>
          <w:bCs/>
        </w:rPr>
        <w:t xml:space="preserve"> </w:t>
      </w:r>
      <w:r w:rsidRPr="00762958">
        <w:rPr>
          <w:b/>
          <w:bCs/>
        </w:rPr>
        <w:t>call</w:t>
      </w:r>
      <w:r w:rsidRPr="00CC7C0E">
        <w:rPr>
          <w:b/>
          <w:bCs/>
        </w:rPr>
        <w:t xml:space="preserve"> on Israel to </w:t>
      </w:r>
      <w:r w:rsidRPr="00034DE7">
        <w:rPr>
          <w:b/>
          <w:bCs/>
        </w:rPr>
        <w:t xml:space="preserve">reconsider its entire planning and zoning policy in consultation with the Palestinian people directly affected by </w:t>
      </w:r>
      <w:r w:rsidR="009A4D2E" w:rsidRPr="00034DE7">
        <w:rPr>
          <w:b/>
          <w:bCs/>
        </w:rPr>
        <w:t xml:space="preserve">Israel’s </w:t>
      </w:r>
      <w:r w:rsidR="000719FF" w:rsidRPr="00034DE7">
        <w:rPr>
          <w:b/>
          <w:bCs/>
        </w:rPr>
        <w:t xml:space="preserve">discriminatory </w:t>
      </w:r>
      <w:r w:rsidRPr="00762958">
        <w:rPr>
          <w:b/>
          <w:bCs/>
        </w:rPr>
        <w:t>measures</w:t>
      </w:r>
      <w:r w:rsidR="000719FF" w:rsidRPr="00034DE7">
        <w:rPr>
          <w:b/>
          <w:bCs/>
        </w:rPr>
        <w:t xml:space="preserve">, </w:t>
      </w:r>
      <w:r w:rsidRPr="00762958">
        <w:rPr>
          <w:b/>
          <w:bCs/>
        </w:rPr>
        <w:t xml:space="preserve">including </w:t>
      </w:r>
      <w:r w:rsidRPr="00CC7C0E">
        <w:rPr>
          <w:b/>
          <w:bCs/>
        </w:rPr>
        <w:t>illegal house</w:t>
      </w:r>
      <w:r w:rsidRPr="00A6662C">
        <w:rPr>
          <w:b/>
          <w:bCs/>
        </w:rPr>
        <w:t xml:space="preserve"> </w:t>
      </w:r>
      <w:r w:rsidR="000719FF" w:rsidRPr="00034DE7">
        <w:rPr>
          <w:b/>
          <w:bCs/>
        </w:rPr>
        <w:t>demolitions</w:t>
      </w:r>
      <w:r w:rsidRPr="00762958">
        <w:rPr>
          <w:b/>
          <w:bCs/>
        </w:rPr>
        <w:t xml:space="preserve"> and destruction of property</w:t>
      </w:r>
      <w:r w:rsidR="000719FF" w:rsidRPr="00034DE7">
        <w:rPr>
          <w:b/>
          <w:bCs/>
        </w:rPr>
        <w:t xml:space="preserve">, </w:t>
      </w:r>
      <w:r w:rsidRPr="00762958">
        <w:rPr>
          <w:b/>
          <w:bCs/>
        </w:rPr>
        <w:t>denial of access to land and natural resources, including water, and</w:t>
      </w:r>
      <w:r w:rsidRPr="00A756E6">
        <w:rPr>
          <w:b/>
          <w:bCs/>
        </w:rPr>
        <w:t xml:space="preserve"> the creation of coercive environments designed to drive Palestinian displacement</w:t>
      </w:r>
      <w:r>
        <w:rPr>
          <w:b/>
          <w:bCs/>
        </w:rPr>
        <w:t xml:space="preserve"> from the area</w:t>
      </w:r>
      <w:r w:rsidRPr="00762958">
        <w:rPr>
          <w:b/>
          <w:bCs/>
        </w:rPr>
        <w:t xml:space="preserve">. </w:t>
      </w:r>
      <w:r>
        <w:rPr>
          <w:b/>
          <w:bCs/>
        </w:rPr>
        <w:t>W</w:t>
      </w:r>
      <w:r w:rsidRPr="00762958">
        <w:rPr>
          <w:b/>
          <w:bCs/>
        </w:rPr>
        <w:t>e</w:t>
      </w:r>
      <w:r>
        <w:rPr>
          <w:b/>
          <w:bCs/>
        </w:rPr>
        <w:t xml:space="preserve"> further recommend that the Committee consider Israel’s discriminatory planning and zoning regime </w:t>
      </w:r>
      <w:r w:rsidR="000719FF" w:rsidRPr="00034DE7">
        <w:rPr>
          <w:b/>
          <w:bCs/>
        </w:rPr>
        <w:t>as</w:t>
      </w:r>
      <w:r w:rsidR="00DF7F5D">
        <w:rPr>
          <w:b/>
          <w:bCs/>
        </w:rPr>
        <w:t xml:space="preserve"> part of a wider State policy </w:t>
      </w:r>
      <w:r w:rsidR="00432931">
        <w:rPr>
          <w:b/>
          <w:bCs/>
        </w:rPr>
        <w:t>contributing</w:t>
      </w:r>
      <w:r w:rsidR="00DF7F5D">
        <w:rPr>
          <w:b/>
          <w:bCs/>
        </w:rPr>
        <w:t xml:space="preserve"> to the commission of </w:t>
      </w:r>
      <w:r>
        <w:rPr>
          <w:b/>
          <w:bCs/>
        </w:rPr>
        <w:t xml:space="preserve">the crimes of population transfer and </w:t>
      </w:r>
      <w:r w:rsidR="000719FF" w:rsidRPr="00034DE7">
        <w:rPr>
          <w:b/>
          <w:bCs/>
        </w:rPr>
        <w:t>apartheid</w:t>
      </w:r>
      <w:r>
        <w:rPr>
          <w:b/>
          <w:bCs/>
        </w:rPr>
        <w:t>, in violation of Article 3 of the Convention.</w:t>
      </w:r>
    </w:p>
    <w:p w14:paraId="48622CE8" w14:textId="3338359C" w:rsidR="00394B55" w:rsidRPr="00B8555A" w:rsidRDefault="003400FD" w:rsidP="008A630E">
      <w:pPr>
        <w:pStyle w:val="Heading1"/>
      </w:pPr>
      <w:bookmarkStart w:id="45" w:name="_Toc18615803"/>
      <w:r>
        <w:t xml:space="preserve">Denial of </w:t>
      </w:r>
      <w:r w:rsidR="004C6BEE" w:rsidRPr="00B8555A">
        <w:t xml:space="preserve">Residency </w:t>
      </w:r>
      <w:r w:rsidR="008A630E">
        <w:t xml:space="preserve">Rights </w:t>
      </w:r>
      <w:r w:rsidR="004C6BEE" w:rsidRPr="00B8555A">
        <w:t>in Jerusa</w:t>
      </w:r>
      <w:r w:rsidR="00A10153" w:rsidRPr="00B8555A">
        <w:t xml:space="preserve">lem and Demographic </w:t>
      </w:r>
      <w:r w:rsidR="006D0DBE">
        <w:t>Manipulation</w:t>
      </w:r>
      <w:bookmarkEnd w:id="45"/>
    </w:p>
    <w:p w14:paraId="328699BD" w14:textId="29AF27C6" w:rsidR="004C6BEE" w:rsidRPr="00B8555A" w:rsidRDefault="0072124B" w:rsidP="00034DE7">
      <w:pPr>
        <w:pStyle w:val="Numberedpara"/>
        <w:ind w:left="540" w:hanging="540"/>
      </w:pPr>
      <w:r>
        <w:t xml:space="preserve">In </w:t>
      </w:r>
      <w:r w:rsidR="00AB123A">
        <w:t>addition to its discriminatory planning and zoning regime</w:t>
      </w:r>
      <w:r>
        <w:t>, t</w:t>
      </w:r>
      <w:r w:rsidR="00AD5071" w:rsidRPr="00B8555A">
        <w:t xml:space="preserve">he Committee </w:t>
      </w:r>
      <w:r>
        <w:t>further</w:t>
      </w:r>
      <w:r w:rsidR="00AD5071" w:rsidRPr="00B8555A">
        <w:t xml:space="preserve"> called </w:t>
      </w:r>
      <w:r w:rsidR="00AD5071">
        <w:t>on</w:t>
      </w:r>
      <w:r w:rsidR="00AD5071" w:rsidRPr="00B8555A">
        <w:t xml:space="preserve"> Israel </w:t>
      </w:r>
      <w:r w:rsidR="00AB123A">
        <w:t xml:space="preserve">in 2012 </w:t>
      </w:r>
      <w:r w:rsidR="00AD5071" w:rsidRPr="00B8555A">
        <w:t>to eliminate the goal of “demographic balance” from</w:t>
      </w:r>
      <w:r>
        <w:t xml:space="preserve"> its Jerusalem master plans</w:t>
      </w:r>
      <w:r w:rsidR="007E43D4">
        <w:t>,</w:t>
      </w:r>
      <w:r w:rsidR="00AD5071">
        <w:rPr>
          <w:rStyle w:val="FootnoteReference"/>
        </w:rPr>
        <w:footnoteReference w:id="64"/>
      </w:r>
      <w:r w:rsidR="00AD5071">
        <w:t xml:space="preserve"> </w:t>
      </w:r>
      <w:r w:rsidR="007E43D4">
        <w:t>urging Israel</w:t>
      </w:r>
      <w:r w:rsidR="00DD2D28" w:rsidRPr="00B8555A">
        <w:t xml:space="preserve"> </w:t>
      </w:r>
      <w:r w:rsidR="007E43D4">
        <w:t xml:space="preserve">“to </w:t>
      </w:r>
      <w:r w:rsidR="007E43D4" w:rsidRPr="007E43D4">
        <w:t xml:space="preserve">revoke the </w:t>
      </w:r>
      <w:r w:rsidR="007E43D4" w:rsidRPr="00034DE7">
        <w:rPr>
          <w:i/>
          <w:iCs/>
        </w:rPr>
        <w:t>Citizenship and Entry into Israel Law (Temporary provision)</w:t>
      </w:r>
      <w:r w:rsidR="007E43D4" w:rsidRPr="007E43D4">
        <w:t xml:space="preserve"> and to facilitate family reunification of all citizens irrespective of their ethnicity or national or other origin.</w:t>
      </w:r>
      <w:r w:rsidR="007E43D4">
        <w:t>”</w:t>
      </w:r>
      <w:r w:rsidR="007E43D4">
        <w:rPr>
          <w:rStyle w:val="FootnoteReference"/>
        </w:rPr>
        <w:footnoteReference w:id="65"/>
      </w:r>
      <w:r w:rsidR="0049074D" w:rsidRPr="00B8555A">
        <w:t xml:space="preserve"> </w:t>
      </w:r>
      <w:r w:rsidR="00FF139A">
        <w:t>Israel</w:t>
      </w:r>
      <w:r w:rsidR="0049074D" w:rsidRPr="00B8555A">
        <w:t xml:space="preserve"> has </w:t>
      </w:r>
      <w:r w:rsidR="00FF139A">
        <w:t xml:space="preserve">not only </w:t>
      </w:r>
      <w:r w:rsidR="0049074D" w:rsidRPr="00B8555A">
        <w:t xml:space="preserve">failed to </w:t>
      </w:r>
      <w:r w:rsidR="006441F3">
        <w:t>implement</w:t>
      </w:r>
      <w:r w:rsidR="006441F3" w:rsidRPr="00B8555A">
        <w:t xml:space="preserve"> </w:t>
      </w:r>
      <w:r w:rsidR="0049074D" w:rsidRPr="00B8555A">
        <w:t>the Committee’</w:t>
      </w:r>
      <w:r w:rsidR="000A18AD" w:rsidRPr="00B8555A">
        <w:t>s recommendations</w:t>
      </w:r>
      <w:r w:rsidR="00FF139A">
        <w:t xml:space="preserve"> in this regard, but</w:t>
      </w:r>
      <w:r w:rsidR="000A18AD" w:rsidRPr="00B8555A">
        <w:t xml:space="preserve"> continues to </w:t>
      </w:r>
      <w:r w:rsidR="00FF139A">
        <w:t xml:space="preserve">carry out </w:t>
      </w:r>
      <w:r w:rsidR="000A18AD" w:rsidRPr="00B8555A">
        <w:t>demographic</w:t>
      </w:r>
      <w:r w:rsidR="00FF139A">
        <w:t xml:space="preserve"> manipulations to</w:t>
      </w:r>
      <w:r w:rsidR="000A18AD" w:rsidRPr="00B8555A">
        <w:t xml:space="preserve"> </w:t>
      </w:r>
      <w:r w:rsidR="007E43D4">
        <w:t>achieve and maintain</w:t>
      </w:r>
      <w:r w:rsidR="007E43D4" w:rsidRPr="00B8555A">
        <w:t xml:space="preserve"> </w:t>
      </w:r>
      <w:r w:rsidR="000A18AD" w:rsidRPr="00B8555A">
        <w:t>a</w:t>
      </w:r>
      <w:r w:rsidR="00FF139A">
        <w:t>n Israeli-</w:t>
      </w:r>
      <w:r w:rsidR="000A18AD" w:rsidRPr="00B8555A">
        <w:t>Jewish</w:t>
      </w:r>
      <w:r w:rsidR="007E43D4">
        <w:t xml:space="preserve"> demographic</w:t>
      </w:r>
      <w:r w:rsidR="000A18AD" w:rsidRPr="00B8555A">
        <w:t xml:space="preserve"> majority in Jerusalem </w:t>
      </w:r>
      <w:r w:rsidR="00FF139A">
        <w:t>through the forcible transfer of Palestinians</w:t>
      </w:r>
      <w:r w:rsidR="007E43D4">
        <w:t>,</w:t>
      </w:r>
      <w:r w:rsidR="00FF139A">
        <w:t xml:space="preserve"> </w:t>
      </w:r>
      <w:r w:rsidR="007E43D4">
        <w:t>as part of a wider master plan for the city</w:t>
      </w:r>
      <w:r w:rsidR="00FF139A">
        <w:t xml:space="preserve">, </w:t>
      </w:r>
      <w:r w:rsidR="007E43D4">
        <w:t xml:space="preserve">including through </w:t>
      </w:r>
      <w:r w:rsidR="00FF139A">
        <w:t xml:space="preserve">the revocation of Palestinians’ residency rights, </w:t>
      </w:r>
      <w:r w:rsidR="007E43D4">
        <w:t>the persistent denial of</w:t>
      </w:r>
      <w:r w:rsidR="00751A55" w:rsidRPr="00B8555A">
        <w:t xml:space="preserve"> </w:t>
      </w:r>
      <w:r w:rsidR="000A18AD" w:rsidRPr="00B8555A">
        <w:t>family unification</w:t>
      </w:r>
      <w:r w:rsidR="007E43D4">
        <w:t xml:space="preserve">, and attempts to alter </w:t>
      </w:r>
      <w:r w:rsidR="007E43D4" w:rsidRPr="00B8555A">
        <w:t xml:space="preserve">the city’s </w:t>
      </w:r>
      <w:r w:rsidR="007E43D4">
        <w:t xml:space="preserve">municipal </w:t>
      </w:r>
      <w:r w:rsidR="007E43D4" w:rsidRPr="00B8555A">
        <w:t>boundaries</w:t>
      </w:r>
      <w:r w:rsidR="007E43D4">
        <w:t>, in violation of the status of Jerusalem under international law</w:t>
      </w:r>
      <w:r w:rsidR="00AD26DF">
        <w:t>.</w:t>
      </w:r>
      <w:r w:rsidR="007E43D4">
        <w:t xml:space="preserve"> In particular, our organisations recall the position by the UN Security Council</w:t>
      </w:r>
      <w:r w:rsidR="008A36DB">
        <w:t>, as adopted in Resolution 478 of 1980,</w:t>
      </w:r>
      <w:r w:rsidR="007E43D4">
        <w:t xml:space="preserve"> to the effect that “</w:t>
      </w:r>
      <w:r w:rsidR="007E43D4" w:rsidRPr="007E43D4">
        <w:t>all legislative and administrative measures and actions taken by Israel, the occupying Power, which have altered or purport to alter the character and status</w:t>
      </w:r>
      <w:r w:rsidR="007E43D4">
        <w:t xml:space="preserve"> of the Holy City of Jerusalem…</w:t>
      </w:r>
      <w:r w:rsidR="007E43D4" w:rsidRPr="007E43D4">
        <w:t xml:space="preserve"> are null and void and must be rescinded forthwith</w:t>
      </w:r>
      <w:r w:rsidR="008536AA">
        <w:t>.</w:t>
      </w:r>
      <w:r w:rsidR="007E43D4">
        <w:t>”</w:t>
      </w:r>
      <w:r w:rsidR="00E213EA" w:rsidRPr="00B8555A">
        <w:rPr>
          <w:rStyle w:val="FootnoteReference"/>
        </w:rPr>
        <w:footnoteReference w:id="66"/>
      </w:r>
    </w:p>
    <w:p w14:paraId="0A241159" w14:textId="63A2C451" w:rsidR="000833F1" w:rsidRDefault="00FF139A" w:rsidP="000E7FC8">
      <w:pPr>
        <w:pStyle w:val="Numberedpara"/>
        <w:ind w:left="540" w:hanging="540"/>
      </w:pPr>
      <w:r>
        <w:lastRenderedPageBreak/>
        <w:t xml:space="preserve">Since 1948, </w:t>
      </w:r>
      <w:r w:rsidR="000D5C7A" w:rsidRPr="00B8555A">
        <w:t xml:space="preserve">Israel has </w:t>
      </w:r>
      <w:r w:rsidR="005A4131">
        <w:t xml:space="preserve">instituted </w:t>
      </w:r>
      <w:r>
        <w:t>a series of demographic manipulations and repeatedly altered the boundaries</w:t>
      </w:r>
      <w:r w:rsidRPr="00B8555A">
        <w:t xml:space="preserve"> </w:t>
      </w:r>
      <w:r>
        <w:t xml:space="preserve">of the city </w:t>
      </w:r>
      <w:r w:rsidR="000D5C7A" w:rsidRPr="00B8555A">
        <w:t>of Jerusalem</w:t>
      </w:r>
      <w:r>
        <w:t xml:space="preserve">, </w:t>
      </w:r>
      <w:r w:rsidR="000D5C7A" w:rsidRPr="00B8555A">
        <w:t>seek</w:t>
      </w:r>
      <w:r>
        <w:t xml:space="preserve">ing to force the transfer of Palestinians from the city </w:t>
      </w:r>
      <w:r w:rsidR="00C11F05">
        <w:t>by incorporating</w:t>
      </w:r>
      <w:r>
        <w:t xml:space="preserve"> </w:t>
      </w:r>
      <w:r w:rsidR="000D5C7A" w:rsidRPr="00B8555A">
        <w:t>the maximum amount of land with the minimum number of Palestinians through coloni</w:t>
      </w:r>
      <w:r w:rsidR="000E7FC8">
        <w:t>s</w:t>
      </w:r>
      <w:r w:rsidR="000D5C7A" w:rsidRPr="00B8555A">
        <w:t xml:space="preserve">ation, </w:t>
      </w:r>
      <w:r>
        <w:t xml:space="preserve">forced </w:t>
      </w:r>
      <w:r w:rsidR="000D5C7A" w:rsidRPr="00B8555A">
        <w:t xml:space="preserve">displacement, and dispossession. </w:t>
      </w:r>
      <w:r w:rsidR="000310DE">
        <w:t>Despite the Committee’s Concluding O</w:t>
      </w:r>
      <w:r>
        <w:t xml:space="preserve">bservations, a series of bills seeking to establish a </w:t>
      </w:r>
      <w:r w:rsidR="000D5C7A" w:rsidRPr="00B8555A">
        <w:t xml:space="preserve">so-called </w:t>
      </w:r>
      <w:r w:rsidR="00905CF4">
        <w:t>‘</w:t>
      </w:r>
      <w:r w:rsidR="007F3FE5">
        <w:t>G</w:t>
      </w:r>
      <w:r w:rsidR="000D5C7A" w:rsidRPr="00B8555A">
        <w:t>reater Jerusalem</w:t>
      </w:r>
      <w:r w:rsidR="00905CF4">
        <w:t>’</w:t>
      </w:r>
      <w:r w:rsidR="000D5C7A" w:rsidRPr="00B8555A">
        <w:rPr>
          <w:rStyle w:val="FootnoteReference"/>
        </w:rPr>
        <w:footnoteReference w:id="67"/>
      </w:r>
      <w:r w:rsidR="000D5C7A" w:rsidRPr="00B8555A">
        <w:t xml:space="preserve"> plan</w:t>
      </w:r>
      <w:r w:rsidR="000A18AD" w:rsidRPr="00B8555A">
        <w:t xml:space="preserve"> </w:t>
      </w:r>
      <w:r>
        <w:t xml:space="preserve">remain </w:t>
      </w:r>
      <w:r w:rsidR="00615EFE" w:rsidRPr="00B8555A">
        <w:t xml:space="preserve">tabled before the </w:t>
      </w:r>
      <w:r>
        <w:t xml:space="preserve">Israeli Parliament (the </w:t>
      </w:r>
      <w:r w:rsidR="00615EFE" w:rsidRPr="00B8555A">
        <w:t>Knesset</w:t>
      </w:r>
      <w:r>
        <w:t>).</w:t>
      </w:r>
      <w:r w:rsidRPr="00B8555A">
        <w:rPr>
          <w:rStyle w:val="FootnoteReference"/>
        </w:rPr>
        <w:footnoteReference w:id="68"/>
      </w:r>
      <w:r>
        <w:t xml:space="preserve"> These bills</w:t>
      </w:r>
      <w:r w:rsidR="00615EFE" w:rsidRPr="00B8555A">
        <w:t xml:space="preserve"> </w:t>
      </w:r>
      <w:r w:rsidR="000D5C7A" w:rsidRPr="00B8555A">
        <w:t xml:space="preserve">seek to illegally annex </w:t>
      </w:r>
      <w:r w:rsidR="00905CF4">
        <w:t xml:space="preserve">Israeli </w:t>
      </w:r>
      <w:r w:rsidR="000D5C7A" w:rsidRPr="00B8555A">
        <w:t>settlements</w:t>
      </w:r>
      <w:r w:rsidR="00905CF4">
        <w:t xml:space="preserve"> in the</w:t>
      </w:r>
      <w:r w:rsidR="000D5C7A" w:rsidRPr="00B8555A">
        <w:t xml:space="preserve"> </w:t>
      </w:r>
      <w:r w:rsidR="00905CF4">
        <w:t>e</w:t>
      </w:r>
      <w:r w:rsidR="000D5C7A" w:rsidRPr="00B8555A">
        <w:t>ast</w:t>
      </w:r>
      <w:r w:rsidR="00905CF4">
        <w:t>ern</w:t>
      </w:r>
      <w:r w:rsidR="000D5C7A" w:rsidRPr="00B8555A">
        <w:t xml:space="preserve"> Jerusalem </w:t>
      </w:r>
      <w:r w:rsidR="00905CF4">
        <w:t xml:space="preserve">periphery </w:t>
      </w:r>
      <w:r w:rsidR="000A18AD" w:rsidRPr="00B8555A">
        <w:t xml:space="preserve">to increase the </w:t>
      </w:r>
      <w:r w:rsidR="00905CF4">
        <w:t>Israeli-</w:t>
      </w:r>
      <w:r w:rsidR="000A18AD" w:rsidRPr="00B8555A">
        <w:t xml:space="preserve">Jewish </w:t>
      </w:r>
      <w:r w:rsidR="00905CF4">
        <w:t xml:space="preserve">demographic composition of the city of Jerusalem. At the same time, </w:t>
      </w:r>
      <w:r w:rsidR="00905CF4" w:rsidRPr="00B8555A">
        <w:t xml:space="preserve">some 130,000 Palestinians </w:t>
      </w:r>
      <w:r w:rsidR="00905CF4">
        <w:t>reside in Palestinian Jerusalem neighbourhoods located behind the Annexation Wall, including in Shu’fat refugee camp, ‘Anata, and Kufr ‘Aqab, making up about a third of the city’s Palestinian population.</w:t>
      </w:r>
      <w:r w:rsidR="0075504D" w:rsidRPr="00B8555A">
        <w:rPr>
          <w:rStyle w:val="FootnoteReference"/>
          <w:color w:val="auto"/>
        </w:rPr>
        <w:footnoteReference w:id="69"/>
      </w:r>
      <w:r w:rsidR="0075504D">
        <w:t xml:space="preserve"> </w:t>
      </w:r>
      <w:r w:rsidR="00905CF4">
        <w:t>The so-called ‘</w:t>
      </w:r>
      <w:r w:rsidR="0060703B">
        <w:t>G</w:t>
      </w:r>
      <w:r w:rsidR="00905CF4">
        <w:t>reater Jerusalem’ bills seek the</w:t>
      </w:r>
      <w:r w:rsidR="000D5C7A" w:rsidRPr="00B8555A">
        <w:t xml:space="preserve"> remov</w:t>
      </w:r>
      <w:r w:rsidR="00905CF4">
        <w:t>al of these</w:t>
      </w:r>
      <w:r w:rsidR="000D5C7A" w:rsidRPr="00B8555A">
        <w:t xml:space="preserve"> </w:t>
      </w:r>
      <w:r w:rsidR="00C11F05" w:rsidRPr="00B8555A">
        <w:t>densely populated</w:t>
      </w:r>
      <w:r w:rsidR="000D5C7A" w:rsidRPr="00B8555A">
        <w:t xml:space="preserve"> Palestinian neighbourhoods from </w:t>
      </w:r>
      <w:r w:rsidR="00905CF4">
        <w:t>Jerusalem to ensure the demographic manipulation of the city</w:t>
      </w:r>
      <w:r w:rsidR="000D5C7A" w:rsidRPr="00B8555A">
        <w:t>.</w:t>
      </w:r>
      <w:r w:rsidR="00B653ED" w:rsidRPr="00B8555A">
        <w:rPr>
          <w:rStyle w:val="FootnoteReference"/>
        </w:rPr>
        <w:footnoteReference w:id="70"/>
      </w:r>
    </w:p>
    <w:p w14:paraId="50001EA6" w14:textId="30A9020E" w:rsidR="00C7654A" w:rsidRPr="00B8555A" w:rsidRDefault="009C3215" w:rsidP="000E7FC8">
      <w:pPr>
        <w:pStyle w:val="Numberedpara"/>
        <w:ind w:left="540" w:hanging="540"/>
      </w:pPr>
      <w:r>
        <w:t xml:space="preserve">Since 1967, </w:t>
      </w:r>
      <w:r w:rsidR="0075504D">
        <w:t>the Israeli occupying authorities have revoked some</w:t>
      </w:r>
      <w:r w:rsidR="00FE22B4" w:rsidRPr="00B8555A">
        <w:t xml:space="preserve"> 14,500 </w:t>
      </w:r>
      <w:r w:rsidR="0075504D">
        <w:t xml:space="preserve">permanent </w:t>
      </w:r>
      <w:r w:rsidR="00FE22B4" w:rsidRPr="00B8555A">
        <w:t>residenc</w:t>
      </w:r>
      <w:r w:rsidR="000E7FC8">
        <w:t>ies</w:t>
      </w:r>
      <w:r w:rsidR="0075504D">
        <w:t xml:space="preserve"> </w:t>
      </w:r>
      <w:r w:rsidR="000E7FC8">
        <w:t>of</w:t>
      </w:r>
      <w:r w:rsidR="0075504D">
        <w:t xml:space="preserve"> Palestinians </w:t>
      </w:r>
      <w:r w:rsidR="000E7FC8">
        <w:t xml:space="preserve">in </w:t>
      </w:r>
      <w:r w:rsidR="00FE22B4" w:rsidRPr="00B8555A">
        <w:t>Jerusalem</w:t>
      </w:r>
      <w:r w:rsidR="0075504D">
        <w:t xml:space="preserve">, resulting in the </w:t>
      </w:r>
      <w:r w:rsidR="000E7FC8">
        <w:t>forcible</w:t>
      </w:r>
      <w:r w:rsidR="00FE22B4" w:rsidRPr="00B8555A">
        <w:t xml:space="preserve"> transfer of Palestinians and their families from </w:t>
      </w:r>
      <w:r w:rsidR="0075504D">
        <w:t>the city</w:t>
      </w:r>
      <w:r w:rsidR="00FE22B4" w:rsidRPr="00B8555A">
        <w:t>.</w:t>
      </w:r>
      <w:r w:rsidR="00FE22B4" w:rsidRPr="00B8555A">
        <w:rPr>
          <w:rStyle w:val="FootnoteReference"/>
        </w:rPr>
        <w:footnoteReference w:id="71"/>
      </w:r>
      <w:r w:rsidR="00FE22B4" w:rsidRPr="00B8555A">
        <w:t xml:space="preserve"> </w:t>
      </w:r>
      <w:r w:rsidR="00C7654A" w:rsidRPr="00B8555A">
        <w:t xml:space="preserve">Over time, Israel has continued to expand its </w:t>
      </w:r>
      <w:r w:rsidR="0075504D">
        <w:t xml:space="preserve">onerous </w:t>
      </w:r>
      <w:r w:rsidR="00C7654A" w:rsidRPr="00B8555A">
        <w:t>criteria in order to revoke the residency status of more</w:t>
      </w:r>
      <w:r w:rsidR="0075504D">
        <w:t xml:space="preserve"> indigenous</w:t>
      </w:r>
      <w:r w:rsidR="00C7654A" w:rsidRPr="00B8555A">
        <w:t xml:space="preserve"> Palestinians</w:t>
      </w:r>
      <w:r w:rsidR="0075504D">
        <w:t xml:space="preserve"> from Jerusalem</w:t>
      </w:r>
      <w:r w:rsidR="00C7654A" w:rsidRPr="00B8555A">
        <w:t>.</w:t>
      </w:r>
      <w:r w:rsidR="00FE22B4" w:rsidRPr="00B8555A">
        <w:t xml:space="preserve"> </w:t>
      </w:r>
      <w:r w:rsidR="0075504D">
        <w:t>Between</w:t>
      </w:r>
      <w:r w:rsidR="0075504D" w:rsidRPr="00B8555A">
        <w:t xml:space="preserve"> </w:t>
      </w:r>
      <w:r w:rsidR="00FE22B4" w:rsidRPr="00B8555A">
        <w:t>1967</w:t>
      </w:r>
      <w:r w:rsidR="0075504D">
        <w:t xml:space="preserve"> and </w:t>
      </w:r>
      <w:r w:rsidR="00FE22B4" w:rsidRPr="00B8555A">
        <w:t>1995, 3,150 residencies were revoked for “settling outside Israel</w:t>
      </w:r>
      <w:r w:rsidR="00751A55" w:rsidRPr="00B8555A">
        <w:t>”</w:t>
      </w:r>
      <w:r w:rsidR="00FE22B4" w:rsidRPr="00B8555A">
        <w:t xml:space="preserve"> for seven years or receiving the status of resident or citizen in another country.</w:t>
      </w:r>
      <w:r w:rsidR="00FE22B4" w:rsidRPr="00B8555A">
        <w:rPr>
          <w:rStyle w:val="FootnoteReference"/>
        </w:rPr>
        <w:footnoteReference w:id="72"/>
      </w:r>
      <w:r w:rsidR="00FE22B4" w:rsidRPr="00B8555A">
        <w:t xml:space="preserve"> </w:t>
      </w:r>
      <w:r w:rsidR="00D370DE" w:rsidRPr="00B8555A">
        <w:t>Beginning in 1995</w:t>
      </w:r>
      <w:r w:rsidR="00FE22B4" w:rsidRPr="00B8555A">
        <w:t xml:space="preserve">, </w:t>
      </w:r>
      <w:r w:rsidR="00D370DE" w:rsidRPr="00B8555A">
        <w:t xml:space="preserve">the criteria was expanded to revoke residency </w:t>
      </w:r>
      <w:r w:rsidR="00122566">
        <w:t>o</w:t>
      </w:r>
      <w:r w:rsidR="00D370DE" w:rsidRPr="00B8555A">
        <w:t xml:space="preserve">f East Jerusalem Palestinians </w:t>
      </w:r>
      <w:r w:rsidR="00122566">
        <w:t xml:space="preserve">if they </w:t>
      </w:r>
      <w:r w:rsidR="00D370DE" w:rsidRPr="00B8555A">
        <w:t xml:space="preserve">are unable to prove their </w:t>
      </w:r>
      <w:r w:rsidR="0075504D">
        <w:t>so-called ‘</w:t>
      </w:r>
      <w:r w:rsidR="00D370DE" w:rsidRPr="00B8555A">
        <w:t>centre of life</w:t>
      </w:r>
      <w:r w:rsidR="0075504D">
        <w:t>’</w:t>
      </w:r>
      <w:r w:rsidR="00D370DE" w:rsidRPr="00B8555A">
        <w:t xml:space="preserve"> is in Jerusalem even if the duration </w:t>
      </w:r>
      <w:r w:rsidR="00B873FF">
        <w:t xml:space="preserve">of the stay </w:t>
      </w:r>
      <w:r w:rsidR="00D370DE" w:rsidRPr="00B8555A">
        <w:t xml:space="preserve">outside </w:t>
      </w:r>
      <w:r w:rsidR="00B873FF">
        <w:t>the city,</w:t>
      </w:r>
      <w:r w:rsidR="00D370DE" w:rsidRPr="00B8555A">
        <w:t xml:space="preserve"> including </w:t>
      </w:r>
      <w:r w:rsidR="00B873FF">
        <w:t xml:space="preserve">in </w:t>
      </w:r>
      <w:r w:rsidR="00D370DE" w:rsidRPr="00B8555A">
        <w:t xml:space="preserve">the </w:t>
      </w:r>
      <w:r w:rsidR="00B873FF">
        <w:t xml:space="preserve">rest of the </w:t>
      </w:r>
      <w:r w:rsidR="00C03087">
        <w:t>o</w:t>
      </w:r>
      <w:r w:rsidR="00C03087" w:rsidRPr="00B8555A">
        <w:t xml:space="preserve">ccupied Palestinian </w:t>
      </w:r>
      <w:r w:rsidR="00C03087">
        <w:t>t</w:t>
      </w:r>
      <w:r w:rsidR="00C03087" w:rsidRPr="00B8555A">
        <w:t>erritory</w:t>
      </w:r>
      <w:r w:rsidR="00B873FF">
        <w:t>,</w:t>
      </w:r>
      <w:r w:rsidR="00D370DE" w:rsidRPr="00B8555A">
        <w:t xml:space="preserve"> was less than seven years or if foreign residency or citizenship was</w:t>
      </w:r>
      <w:r w:rsidR="00B873FF">
        <w:t xml:space="preserve"> no</w:t>
      </w:r>
      <w:r w:rsidR="00D370DE" w:rsidRPr="00B8555A">
        <w:t xml:space="preserve">t obtained. </w:t>
      </w:r>
      <w:r>
        <w:t xml:space="preserve">Under this expanded </w:t>
      </w:r>
      <w:r w:rsidR="00631686">
        <w:t>criteri</w:t>
      </w:r>
      <w:r w:rsidR="00471C4C">
        <w:t>on</w:t>
      </w:r>
      <w:r>
        <w:t>,</w:t>
      </w:r>
      <w:r w:rsidR="00D370DE" w:rsidRPr="00B8555A">
        <w:t xml:space="preserve"> more </w:t>
      </w:r>
      <w:r w:rsidR="00631686">
        <w:t xml:space="preserve">than </w:t>
      </w:r>
      <w:r w:rsidR="00D370DE" w:rsidRPr="00B8555A">
        <w:t>11,300 residenc</w:t>
      </w:r>
      <w:r w:rsidR="00B873FF">
        <w:t>y rights of Palestinians form Jerusalem</w:t>
      </w:r>
      <w:r w:rsidR="00D370DE" w:rsidRPr="00B8555A">
        <w:t xml:space="preserve"> have been revoked to date.</w:t>
      </w:r>
      <w:r w:rsidR="00D370DE" w:rsidRPr="00B8555A">
        <w:rPr>
          <w:rStyle w:val="FootnoteReference"/>
        </w:rPr>
        <w:footnoteReference w:id="73"/>
      </w:r>
      <w:r w:rsidR="00B873FF">
        <w:t xml:space="preserve"> When Israel designed </w:t>
      </w:r>
      <w:r w:rsidR="000E7FC8">
        <w:t>the</w:t>
      </w:r>
      <w:r w:rsidR="00B873FF">
        <w:t xml:space="preserve"> precarious ‘permanent residency’ status for Palestinians in Jerusalem in 1967, it did so with the ultimate goal of </w:t>
      </w:r>
      <w:r w:rsidR="00B873FF">
        <w:lastRenderedPageBreak/>
        <w:t>forced population transfer and demographic manipulation of the city of Jerusalem, in violation of its status under international law</w:t>
      </w:r>
      <w:r w:rsidR="000E7FC8">
        <w:t xml:space="preserve"> and the inalienable rights of Palestinians</w:t>
      </w:r>
      <w:r w:rsidR="00B873FF">
        <w:t>.</w:t>
      </w:r>
    </w:p>
    <w:p w14:paraId="2D4BEAEA" w14:textId="3C14BB92" w:rsidR="00A10153" w:rsidRPr="00B8555A" w:rsidRDefault="00D52D2C" w:rsidP="003D232F">
      <w:pPr>
        <w:pStyle w:val="Numberedpara"/>
        <w:ind w:left="540" w:hanging="540"/>
      </w:pPr>
      <w:r>
        <w:t>While Israel’s State report maintains that</w:t>
      </w:r>
      <w:r w:rsidRPr="00D52D2C">
        <w:t xml:space="preserve"> </w:t>
      </w:r>
      <w:r>
        <w:t>“[</w:t>
      </w:r>
      <w:proofErr w:type="spellStart"/>
      <w:r>
        <w:t>t]</w:t>
      </w:r>
      <w:r w:rsidRPr="00227EBA">
        <w:t>here</w:t>
      </w:r>
      <w:proofErr w:type="spellEnd"/>
      <w:r w:rsidRPr="00227EBA">
        <w:t xml:space="preserve"> exists in Israel no restrictions of any kind as to place of residence nor is th</w:t>
      </w:r>
      <w:r>
        <w:t>ere any segregation of any kind</w:t>
      </w:r>
      <w:r w:rsidR="008536AA">
        <w:t>,</w:t>
      </w:r>
      <w:r>
        <w:t>”</w:t>
      </w:r>
      <w:r w:rsidRPr="00B8555A">
        <w:rPr>
          <w:rStyle w:val="FootnoteReference"/>
        </w:rPr>
        <w:footnoteReference w:id="74"/>
      </w:r>
      <w:r>
        <w:t xml:space="preserve"> o</w:t>
      </w:r>
      <w:r w:rsidR="001223EF" w:rsidRPr="00B8555A">
        <w:t xml:space="preserve">n 7 March 2018, the Israeli </w:t>
      </w:r>
      <w:r w:rsidR="001413C3">
        <w:t>Knesset</w:t>
      </w:r>
      <w:r w:rsidR="001413C3" w:rsidRPr="00B8555A">
        <w:t xml:space="preserve"> </w:t>
      </w:r>
      <w:r w:rsidR="001223EF" w:rsidRPr="00B8555A">
        <w:t xml:space="preserve">passed Amendment </w:t>
      </w:r>
      <w:r>
        <w:t xml:space="preserve">No. </w:t>
      </w:r>
      <w:r w:rsidR="001223EF" w:rsidRPr="00B8555A">
        <w:t xml:space="preserve">30 to the </w:t>
      </w:r>
      <w:r w:rsidR="00573CAD">
        <w:t xml:space="preserve">Citizenship and </w:t>
      </w:r>
      <w:r w:rsidR="001223EF" w:rsidRPr="00B8555A">
        <w:t xml:space="preserve">Entry into Israel Law </w:t>
      </w:r>
      <w:r w:rsidR="00573CAD">
        <w:t xml:space="preserve">(Temporary </w:t>
      </w:r>
      <w:r w:rsidR="00EB387C">
        <w:t>provision</w:t>
      </w:r>
      <w:r w:rsidR="00573CAD">
        <w:t xml:space="preserve">) 5763 – 2003, </w:t>
      </w:r>
      <w:r w:rsidR="001223EF" w:rsidRPr="00B8555A">
        <w:t xml:space="preserve">codifying into law its punitive </w:t>
      </w:r>
      <w:r w:rsidR="00573CAD">
        <w:t xml:space="preserve">residency </w:t>
      </w:r>
      <w:r w:rsidR="001223EF" w:rsidRPr="00B8555A">
        <w:t>revocation</w:t>
      </w:r>
      <w:r w:rsidR="00EB387C">
        <w:t xml:space="preserve"> practice</w:t>
      </w:r>
      <w:r w:rsidR="00573CAD">
        <w:t xml:space="preserve">, </w:t>
      </w:r>
      <w:r w:rsidR="00EB387C">
        <w:t>which amounts to</w:t>
      </w:r>
      <w:r w:rsidR="00573CAD">
        <w:t xml:space="preserve"> unlawful collective punishment,</w:t>
      </w:r>
      <w:r w:rsidR="00573CAD" w:rsidRPr="00B8555A">
        <w:rPr>
          <w:rStyle w:val="FootnoteReference"/>
        </w:rPr>
        <w:footnoteReference w:id="75"/>
      </w:r>
      <w:r w:rsidR="001223EF" w:rsidRPr="00B8555A">
        <w:t xml:space="preserve"> based on the vague and illegal </w:t>
      </w:r>
      <w:r w:rsidR="00884E28">
        <w:t>ground</w:t>
      </w:r>
      <w:r w:rsidR="00884E28" w:rsidRPr="00B8555A">
        <w:t xml:space="preserve"> </w:t>
      </w:r>
      <w:r w:rsidR="001223EF" w:rsidRPr="00B8555A">
        <w:t xml:space="preserve">of </w:t>
      </w:r>
      <w:r>
        <w:t>‘</w:t>
      </w:r>
      <w:r w:rsidR="001223EF" w:rsidRPr="00B8555A">
        <w:t>br</w:t>
      </w:r>
      <w:r w:rsidR="00DC1B22">
        <w:t>each of allegiance</w:t>
      </w:r>
      <w:r>
        <w:t>’</w:t>
      </w:r>
      <w:r w:rsidR="00DC1B22">
        <w:t xml:space="preserve"> to</w:t>
      </w:r>
      <w:r>
        <w:t xml:space="preserve"> the State of</w:t>
      </w:r>
      <w:r w:rsidR="00DC1B22">
        <w:t xml:space="preserve"> Israel. </w:t>
      </w:r>
      <w:r w:rsidR="00884E28">
        <w:t>Based on s</w:t>
      </w:r>
      <w:r w:rsidR="001223EF" w:rsidRPr="00B8555A">
        <w:t>uch vague criteria</w:t>
      </w:r>
      <w:r w:rsidR="00884E28">
        <w:t>,</w:t>
      </w:r>
      <w:r w:rsidR="001223EF" w:rsidRPr="00B8555A">
        <w:t xml:space="preserve"> </w:t>
      </w:r>
      <w:r w:rsidR="00884E28">
        <w:t xml:space="preserve">the Israeli Minister of Interior </w:t>
      </w:r>
      <w:r w:rsidR="003D232F">
        <w:t xml:space="preserve">has been </w:t>
      </w:r>
      <w:r w:rsidR="00884E28">
        <w:t xml:space="preserve">granted a broad discretion to revoke Palestinians’ residencies, thereby further threatening </w:t>
      </w:r>
      <w:r w:rsidR="001223EF" w:rsidRPr="00B8555A">
        <w:t>Palestinian</w:t>
      </w:r>
      <w:r w:rsidR="00884E28">
        <w:t xml:space="preserve"> </w:t>
      </w:r>
      <w:r w:rsidR="003D232F">
        <w:t>transfer</w:t>
      </w:r>
      <w:r w:rsidR="001223EF" w:rsidRPr="00B8555A">
        <w:t xml:space="preserve"> </w:t>
      </w:r>
      <w:r w:rsidR="003D232F">
        <w:t>from</w:t>
      </w:r>
      <w:r w:rsidR="001223EF" w:rsidRPr="00B8555A">
        <w:t xml:space="preserve"> Jerusalem. </w:t>
      </w:r>
      <w:r w:rsidR="003D232F">
        <w:t>T</w:t>
      </w:r>
      <w:r w:rsidR="00A10153" w:rsidRPr="00B8555A">
        <w:t xml:space="preserve">he Israeli Ministry of Interior has </w:t>
      </w:r>
      <w:r w:rsidR="00884E28">
        <w:t xml:space="preserve">already </w:t>
      </w:r>
      <w:r w:rsidR="00A10153" w:rsidRPr="00B8555A">
        <w:t xml:space="preserve">revoked </w:t>
      </w:r>
      <w:r w:rsidR="00884E28">
        <w:t xml:space="preserve">permanent </w:t>
      </w:r>
      <w:r w:rsidR="00A10153" w:rsidRPr="00B8555A">
        <w:t xml:space="preserve">residency </w:t>
      </w:r>
      <w:r w:rsidR="003D232F">
        <w:t>rights and</w:t>
      </w:r>
      <w:r w:rsidR="00884E28">
        <w:t xml:space="preserve"> family unification permits </w:t>
      </w:r>
      <w:r w:rsidR="00A10153" w:rsidRPr="00B8555A">
        <w:t xml:space="preserve">from family members of alleged </w:t>
      </w:r>
      <w:r w:rsidR="00884E28">
        <w:t xml:space="preserve">Palestinian </w:t>
      </w:r>
      <w:r w:rsidR="00A10153" w:rsidRPr="00B8555A">
        <w:t xml:space="preserve">attackers. According to the Ministry of Interior, there have been 13 cases </w:t>
      </w:r>
      <w:r w:rsidR="00C11F05">
        <w:t xml:space="preserve">of residency revocation due </w:t>
      </w:r>
      <w:r w:rsidR="00FD08A0">
        <w:t xml:space="preserve">to </w:t>
      </w:r>
      <w:r w:rsidR="00884E28">
        <w:t>‘</w:t>
      </w:r>
      <w:r w:rsidR="00A10153" w:rsidRPr="00B8555A">
        <w:t>breach of allegiance</w:t>
      </w:r>
      <w:r w:rsidR="00884E28">
        <w:t>’</w:t>
      </w:r>
      <w:r w:rsidR="00A10153" w:rsidRPr="00B8555A">
        <w:t xml:space="preserve"> since 1967.</w:t>
      </w:r>
      <w:r w:rsidR="00A10153" w:rsidRPr="00B8555A">
        <w:rPr>
          <w:rStyle w:val="FootnoteReference"/>
        </w:rPr>
        <w:footnoteReference w:id="76"/>
      </w:r>
      <w:r w:rsidR="00A10153" w:rsidRPr="00B8555A">
        <w:t xml:space="preserve"> In accordance with Article 45 of </w:t>
      </w:r>
      <w:proofErr w:type="gramStart"/>
      <w:r w:rsidR="00884E28">
        <w:t>t</w:t>
      </w:r>
      <w:r w:rsidR="00A10153" w:rsidRPr="00B8555A">
        <w:t>he Hague</w:t>
      </w:r>
      <w:proofErr w:type="gramEnd"/>
      <w:r w:rsidR="00A10153" w:rsidRPr="00B8555A">
        <w:t xml:space="preserve"> Regulations</w:t>
      </w:r>
      <w:r w:rsidR="00884E28">
        <w:t xml:space="preserve"> of 1907,</w:t>
      </w:r>
      <w:r w:rsidR="00A10153" w:rsidRPr="00B8555A">
        <w:t xml:space="preserve"> </w:t>
      </w:r>
      <w:r w:rsidR="00262B54">
        <w:t xml:space="preserve">international humanitarian law prohibits the Occupying Power from compelling </w:t>
      </w:r>
      <w:r w:rsidR="00A10153" w:rsidRPr="00B8555A">
        <w:t xml:space="preserve">the </w:t>
      </w:r>
      <w:r w:rsidR="00055693">
        <w:t>civilian</w:t>
      </w:r>
      <w:r w:rsidR="00055693" w:rsidRPr="00B8555A">
        <w:t xml:space="preserve"> </w:t>
      </w:r>
      <w:r w:rsidR="00A10153" w:rsidRPr="00B8555A">
        <w:t xml:space="preserve">population in occupied territory </w:t>
      </w:r>
      <w:r w:rsidR="00262B54">
        <w:t>to swear</w:t>
      </w:r>
      <w:r w:rsidR="00A10153" w:rsidRPr="00B8555A">
        <w:t xml:space="preserve"> allegiance to the Occupying Power.</w:t>
      </w:r>
    </w:p>
    <w:p w14:paraId="1688A115" w14:textId="1D8C79B6" w:rsidR="001B201E" w:rsidRPr="00B8555A" w:rsidRDefault="00443DEA" w:rsidP="00443BF7">
      <w:pPr>
        <w:pStyle w:val="Numberedpara"/>
        <w:ind w:left="540" w:hanging="540"/>
      </w:pPr>
      <w:r>
        <w:t>In addition to the revocation of permanent residency status of Palestinians in Jerusalem, Israel has further</w:t>
      </w:r>
      <w:r w:rsidR="00DD2D28" w:rsidRPr="00B8555A">
        <w:t xml:space="preserve"> prevent</w:t>
      </w:r>
      <w:r w:rsidR="00751A55" w:rsidRPr="00B8555A">
        <w:t>ed</w:t>
      </w:r>
      <w:r w:rsidR="00DD2D28" w:rsidRPr="00B8555A">
        <w:t xml:space="preserve"> </w:t>
      </w:r>
      <w:r w:rsidR="00DA6A8D" w:rsidRPr="00B8555A">
        <w:t>family unification</w:t>
      </w:r>
      <w:r w:rsidR="00751A55" w:rsidRPr="00B8555A">
        <w:t xml:space="preserve"> for Palestinians </w:t>
      </w:r>
      <w:r>
        <w:t xml:space="preserve">throughout the occupied Palestinian territory, </w:t>
      </w:r>
      <w:r w:rsidRPr="00034DE7">
        <w:t>as recognised by the Committee</w:t>
      </w:r>
      <w:r>
        <w:t>.</w:t>
      </w:r>
      <w:r w:rsidR="00EB387C">
        <w:rPr>
          <w:rStyle w:val="FootnoteReference"/>
        </w:rPr>
        <w:footnoteReference w:id="77"/>
      </w:r>
      <w:r w:rsidR="00DA6A8D" w:rsidRPr="00B8555A">
        <w:t xml:space="preserve"> Palestinians from the West Bank and Gaza Strip face significant </w:t>
      </w:r>
      <w:r>
        <w:t>challenges</w:t>
      </w:r>
      <w:r w:rsidRPr="00B8555A">
        <w:t xml:space="preserve"> </w:t>
      </w:r>
      <w:r w:rsidR="00DA6A8D" w:rsidRPr="00B8555A">
        <w:t xml:space="preserve">in </w:t>
      </w:r>
      <w:r>
        <w:t xml:space="preserve">receiving </w:t>
      </w:r>
      <w:r w:rsidR="00DA6A8D" w:rsidRPr="00B8555A">
        <w:t xml:space="preserve">family unification </w:t>
      </w:r>
      <w:r>
        <w:t xml:space="preserve">permits </w:t>
      </w:r>
      <w:r w:rsidR="00DA6A8D" w:rsidRPr="00B8555A">
        <w:t xml:space="preserve">when they marry a Palestinian </w:t>
      </w:r>
      <w:r>
        <w:t>resident of</w:t>
      </w:r>
      <w:r w:rsidRPr="00B8555A">
        <w:t xml:space="preserve"> </w:t>
      </w:r>
      <w:r w:rsidR="00DA6A8D" w:rsidRPr="00B8555A">
        <w:t>Jerusalem</w:t>
      </w:r>
      <w:r w:rsidR="00751A55" w:rsidRPr="00B8555A">
        <w:t>.</w:t>
      </w:r>
      <w:r w:rsidR="00DA6A8D" w:rsidRPr="00B8555A">
        <w:t xml:space="preserve"> </w:t>
      </w:r>
      <w:r w:rsidR="00751A55" w:rsidRPr="00B8555A">
        <w:t>This is</w:t>
      </w:r>
      <w:r w:rsidR="00DA6A8D" w:rsidRPr="00B8555A">
        <w:t xml:space="preserve"> </w:t>
      </w:r>
      <w:r>
        <w:t>the</w:t>
      </w:r>
      <w:r w:rsidR="00DA6A8D" w:rsidRPr="00B8555A">
        <w:t xml:space="preserve"> result of Israel’s unlawful annexation </w:t>
      </w:r>
      <w:r w:rsidR="00751A55" w:rsidRPr="00B8555A">
        <w:t xml:space="preserve">of </w:t>
      </w:r>
      <w:r w:rsidR="00DA6A8D" w:rsidRPr="00B8555A">
        <w:t>and implementation of its domestic legislation</w:t>
      </w:r>
      <w:r>
        <w:t xml:space="preserve"> in occupied East Jerusalem, in violation of international law</w:t>
      </w:r>
      <w:r w:rsidR="00DA6A8D" w:rsidRPr="00B8555A">
        <w:t xml:space="preserve">, </w:t>
      </w:r>
      <w:r w:rsidR="003D232F">
        <w:t xml:space="preserve">in addition to </w:t>
      </w:r>
      <w:r w:rsidR="00DA6A8D" w:rsidRPr="00B8555A">
        <w:t>the physical isolation of Jerusalem</w:t>
      </w:r>
      <w:r>
        <w:t xml:space="preserve"> through a system of road closures</w:t>
      </w:r>
      <w:r w:rsidR="003D232F">
        <w:t>,</w:t>
      </w:r>
      <w:r>
        <w:t xml:space="preserve"> checkpoints</w:t>
      </w:r>
      <w:r w:rsidR="003D232F">
        <w:t>,</w:t>
      </w:r>
      <w:r>
        <w:t xml:space="preserve"> and the Annex</w:t>
      </w:r>
      <w:r w:rsidR="00D4469D">
        <w:t xml:space="preserve">ation Wall and its associated </w:t>
      </w:r>
      <w:r w:rsidR="00D4469D" w:rsidRPr="00034DE7">
        <w:rPr>
          <w:lang w:val="en-US"/>
        </w:rPr>
        <w:t>r</w:t>
      </w:r>
      <w:r w:rsidR="00D25E67">
        <w:rPr>
          <w:lang w:val="en-US"/>
        </w:rPr>
        <w:t>e</w:t>
      </w:r>
      <w:r w:rsidRPr="00034DE7">
        <w:rPr>
          <w:lang w:val="en-US"/>
        </w:rPr>
        <w:t>gime</w:t>
      </w:r>
      <w:r w:rsidR="00DA6A8D" w:rsidRPr="00B8555A">
        <w:t xml:space="preserve">, and </w:t>
      </w:r>
      <w:r>
        <w:t>the</w:t>
      </w:r>
      <w:r w:rsidRPr="00B8555A">
        <w:t xml:space="preserve"> </w:t>
      </w:r>
      <w:r w:rsidR="00751A55" w:rsidRPr="00B8555A">
        <w:t>imposition of</w:t>
      </w:r>
      <w:r w:rsidR="00DA6A8D" w:rsidRPr="00B8555A">
        <w:t xml:space="preserve"> </w:t>
      </w:r>
      <w:r>
        <w:t xml:space="preserve">a precarious </w:t>
      </w:r>
      <w:r w:rsidR="003D232F">
        <w:t>‘</w:t>
      </w:r>
      <w:r w:rsidR="00DA6A8D" w:rsidRPr="00B8555A">
        <w:t>permanent residen</w:t>
      </w:r>
      <w:r w:rsidR="003D232F">
        <w:t>cy’</w:t>
      </w:r>
      <w:r w:rsidR="00DA6A8D" w:rsidRPr="00B8555A">
        <w:t xml:space="preserve"> status</w:t>
      </w:r>
      <w:r>
        <w:t xml:space="preserve"> on Palestinians in the city, subject to revocation at any time by the Israeli occupying authorities</w:t>
      </w:r>
      <w:r w:rsidR="00DA6A8D" w:rsidRPr="00B8555A">
        <w:t>.</w:t>
      </w:r>
      <w:r w:rsidR="00DA6A8D" w:rsidRPr="00B8555A">
        <w:rPr>
          <w:rStyle w:val="FootnoteReference"/>
        </w:rPr>
        <w:footnoteReference w:id="78"/>
      </w:r>
      <w:r w:rsidR="00FF2FB9" w:rsidRPr="00B8555A">
        <w:t xml:space="preserve"> Over one</w:t>
      </w:r>
      <w:r w:rsidR="00D25E67">
        <w:t>-</w:t>
      </w:r>
      <w:r w:rsidR="00FF2FB9" w:rsidRPr="00B8555A">
        <w:t xml:space="preserve">third of family unification applications coming from East Jerusalem residents were denied between </w:t>
      </w:r>
      <w:r w:rsidR="00FF2FB9" w:rsidRPr="00B8555A">
        <w:lastRenderedPageBreak/>
        <w:t>2000 and 2013.</w:t>
      </w:r>
      <w:r w:rsidR="00FF2FB9" w:rsidRPr="00B8555A">
        <w:rPr>
          <w:rStyle w:val="FootnoteReference"/>
        </w:rPr>
        <w:footnoteReference w:id="79"/>
      </w:r>
      <w:r w:rsidR="00E703D6">
        <w:t xml:space="preserve"> </w:t>
      </w:r>
      <w:r w:rsidR="00DD6A5A" w:rsidRPr="00B8555A">
        <w:t xml:space="preserve">This year, the Israeli Ministry’s Population and Immigration Authority has </w:t>
      </w:r>
      <w:r w:rsidR="00D25E67">
        <w:t>begun</w:t>
      </w:r>
      <w:r w:rsidR="00D25E67" w:rsidRPr="00B8555A">
        <w:t xml:space="preserve"> </w:t>
      </w:r>
      <w:r w:rsidR="00DD6A5A" w:rsidRPr="00B8555A">
        <w:t>reject</w:t>
      </w:r>
      <w:r w:rsidR="00D25E67">
        <w:t>ing</w:t>
      </w:r>
      <w:r w:rsidR="00DD6A5A" w:rsidRPr="00B8555A">
        <w:t xml:space="preserve"> </w:t>
      </w:r>
      <w:r>
        <w:t xml:space="preserve">family </w:t>
      </w:r>
      <w:r w:rsidR="00DD6A5A" w:rsidRPr="00B8555A">
        <w:t xml:space="preserve">unification requests based on “intolerable workload” </w:t>
      </w:r>
      <w:r>
        <w:t>rather than</w:t>
      </w:r>
      <w:r w:rsidR="00DD6A5A" w:rsidRPr="00B8555A">
        <w:t xml:space="preserve"> the merits of the request itself.</w:t>
      </w:r>
      <w:r w:rsidR="00DD6A5A" w:rsidRPr="00B8555A">
        <w:rPr>
          <w:rStyle w:val="FootnoteReference"/>
        </w:rPr>
        <w:footnoteReference w:id="80"/>
      </w:r>
      <w:r w:rsidR="00B46554">
        <w:t xml:space="preserve"> </w:t>
      </w:r>
      <w:r w:rsidR="00B46554" w:rsidRPr="00B8555A">
        <w:t>This creates a</w:t>
      </w:r>
      <w:r>
        <w:t xml:space="preserve"> coercive</w:t>
      </w:r>
      <w:r w:rsidR="00B46554" w:rsidRPr="00B8555A">
        <w:t xml:space="preserve"> environment of instability and fear for Palestinians in Jerusalem and serves Israel’s demographic </w:t>
      </w:r>
      <w:r w:rsidR="008675DE">
        <w:t>manipulation aims</w:t>
      </w:r>
      <w:r w:rsidRPr="00B8555A">
        <w:t xml:space="preserve"> </w:t>
      </w:r>
      <w:r w:rsidR="00B46554" w:rsidRPr="00B8555A">
        <w:t xml:space="preserve">for </w:t>
      </w:r>
      <w:r w:rsidR="008D5D79">
        <w:t>the city</w:t>
      </w:r>
      <w:r w:rsidR="00B46554" w:rsidRPr="00B8555A">
        <w:t>.</w:t>
      </w:r>
      <w:r w:rsidR="00443BF7">
        <w:t xml:space="preserve"> In particular, Israel’s 2050 master plan for Jerusalem intends to radically alter the character, status, and demographic composition of the city as a matter of State policy.</w:t>
      </w:r>
      <w:r w:rsidR="00443BF7" w:rsidRPr="00B8555A">
        <w:rPr>
          <w:rStyle w:val="FootnoteReference"/>
        </w:rPr>
        <w:footnoteReference w:id="81"/>
      </w:r>
    </w:p>
    <w:p w14:paraId="043BB414" w14:textId="6BC51AAB" w:rsidR="00430A43" w:rsidRPr="00034DE7" w:rsidRDefault="009909A8" w:rsidP="00034DE7">
      <w:pPr>
        <w:pStyle w:val="Numberedpara"/>
        <w:ind w:left="540" w:hanging="540"/>
        <w:rPr>
          <w:b/>
          <w:bCs/>
        </w:rPr>
      </w:pPr>
      <w:r>
        <w:rPr>
          <w:b/>
          <w:bCs/>
        </w:rPr>
        <w:t xml:space="preserve">In light of the above, our organisations </w:t>
      </w:r>
      <w:r w:rsidR="00C20E76" w:rsidRPr="00034DE7">
        <w:rPr>
          <w:b/>
          <w:bCs/>
        </w:rPr>
        <w:t xml:space="preserve">recommend the Committee further examine Israel’s policies with regards to demographic </w:t>
      </w:r>
      <w:r>
        <w:rPr>
          <w:b/>
          <w:bCs/>
        </w:rPr>
        <w:t>manipulation</w:t>
      </w:r>
      <w:r w:rsidRPr="00034DE7">
        <w:rPr>
          <w:b/>
          <w:bCs/>
        </w:rPr>
        <w:t xml:space="preserve"> </w:t>
      </w:r>
      <w:r w:rsidR="00C20E76" w:rsidRPr="00034DE7">
        <w:rPr>
          <w:b/>
          <w:bCs/>
        </w:rPr>
        <w:t xml:space="preserve">as a manifestation of </w:t>
      </w:r>
      <w:r>
        <w:rPr>
          <w:b/>
          <w:bCs/>
        </w:rPr>
        <w:t xml:space="preserve">the crimes of population transfer and </w:t>
      </w:r>
      <w:r w:rsidR="00C20E76" w:rsidRPr="00034DE7">
        <w:rPr>
          <w:b/>
          <w:bCs/>
        </w:rPr>
        <w:t>apartheid</w:t>
      </w:r>
      <w:r>
        <w:rPr>
          <w:b/>
          <w:bCs/>
        </w:rPr>
        <w:t>, in violation of Article 3 of the Convention,</w:t>
      </w:r>
      <w:r w:rsidR="00C20E76" w:rsidRPr="00034DE7">
        <w:rPr>
          <w:b/>
          <w:bCs/>
        </w:rPr>
        <w:t xml:space="preserve"> through its </w:t>
      </w:r>
      <w:r>
        <w:rPr>
          <w:b/>
          <w:bCs/>
        </w:rPr>
        <w:t xml:space="preserve">precarious permanent </w:t>
      </w:r>
      <w:r w:rsidR="00C20E76" w:rsidRPr="00034DE7">
        <w:rPr>
          <w:b/>
          <w:bCs/>
        </w:rPr>
        <w:t xml:space="preserve">residency regime and </w:t>
      </w:r>
      <w:r>
        <w:rPr>
          <w:b/>
          <w:bCs/>
        </w:rPr>
        <w:t xml:space="preserve">the </w:t>
      </w:r>
      <w:r w:rsidR="00C20E76" w:rsidRPr="00034DE7">
        <w:rPr>
          <w:b/>
          <w:bCs/>
        </w:rPr>
        <w:t xml:space="preserve">denial of family unification </w:t>
      </w:r>
      <w:r>
        <w:rPr>
          <w:b/>
          <w:bCs/>
        </w:rPr>
        <w:t xml:space="preserve">for Palestinians </w:t>
      </w:r>
      <w:r w:rsidR="00C20E76" w:rsidRPr="00034DE7">
        <w:rPr>
          <w:b/>
          <w:bCs/>
        </w:rPr>
        <w:t>in Jerusalem</w:t>
      </w:r>
      <w:r>
        <w:rPr>
          <w:b/>
          <w:bCs/>
        </w:rPr>
        <w:t>, in violation of the right of Palestinians to freedom of movement and residence, as enshrined in Article 5(d)(</w:t>
      </w:r>
      <w:proofErr w:type="spellStart"/>
      <w:r>
        <w:rPr>
          <w:b/>
          <w:bCs/>
        </w:rPr>
        <w:t>i</w:t>
      </w:r>
      <w:proofErr w:type="spellEnd"/>
      <w:r>
        <w:rPr>
          <w:b/>
          <w:bCs/>
        </w:rPr>
        <w:t>) of the Convention</w:t>
      </w:r>
      <w:r w:rsidR="00C20E76" w:rsidRPr="00034DE7">
        <w:rPr>
          <w:b/>
          <w:bCs/>
        </w:rPr>
        <w:t>.</w:t>
      </w:r>
    </w:p>
    <w:p w14:paraId="53DE67AF" w14:textId="055E7DE9" w:rsidR="008359C3" w:rsidRPr="00D93540" w:rsidRDefault="004D7FD3">
      <w:pPr>
        <w:pStyle w:val="Heading1"/>
      </w:pPr>
      <w:bookmarkStart w:id="46" w:name="_Toc18615804"/>
      <w:r w:rsidRPr="00D93540">
        <w:t xml:space="preserve">Failure to </w:t>
      </w:r>
      <w:r w:rsidR="0078100A">
        <w:t>Rescind the Gaza Closure Policy</w:t>
      </w:r>
      <w:bookmarkEnd w:id="46"/>
    </w:p>
    <w:p w14:paraId="68DFE693" w14:textId="6C5381EE" w:rsidR="00CB0E7F" w:rsidRDefault="00463A91" w:rsidP="00344041">
      <w:pPr>
        <w:pStyle w:val="Numberedpara"/>
        <w:ind w:left="540" w:hanging="540"/>
      </w:pPr>
      <w:r>
        <w:t xml:space="preserve">In 2012, the Committee called on Israel to rescind its Gaza </w:t>
      </w:r>
      <w:r w:rsidR="00A35F27">
        <w:t>blockade</w:t>
      </w:r>
      <w:r w:rsidR="00B54EB6">
        <w:t xml:space="preserve"> policy</w:t>
      </w:r>
      <w:r w:rsidR="002368EA">
        <w:t xml:space="preserve">, </w:t>
      </w:r>
      <w:r w:rsidR="00CE18D1">
        <w:t xml:space="preserve">which has isolated the Gaza Strip and fragmented </w:t>
      </w:r>
      <w:r w:rsidR="00344041">
        <w:t xml:space="preserve">the </w:t>
      </w:r>
      <w:r w:rsidR="00CE18D1">
        <w:t>occupied Palestinian territory</w:t>
      </w:r>
      <w:r w:rsidR="00344041">
        <w:t xml:space="preserve"> and its people</w:t>
      </w:r>
      <w:r w:rsidR="002368EA">
        <w:t>.</w:t>
      </w:r>
      <w:r w:rsidR="002368EA" w:rsidRPr="00B8555A">
        <w:rPr>
          <w:rStyle w:val="FootnoteReference"/>
        </w:rPr>
        <w:footnoteReference w:id="82"/>
      </w:r>
      <w:r w:rsidR="002368EA">
        <w:t xml:space="preserve"> Our organisations </w:t>
      </w:r>
      <w:r w:rsidR="00D25E67">
        <w:t xml:space="preserve">note </w:t>
      </w:r>
      <w:r w:rsidR="002368EA">
        <w:t>that Israel’s failure</w:t>
      </w:r>
      <w:r w:rsidR="00D50426">
        <w:t xml:space="preserve"> to end its </w:t>
      </w:r>
      <w:r w:rsidR="009373AE">
        <w:t xml:space="preserve">prolonged 12-year </w:t>
      </w:r>
      <w:r w:rsidR="00D50426">
        <w:t>closure</w:t>
      </w:r>
      <w:r w:rsidR="009301C5">
        <w:t xml:space="preserve"> of the Gaza Strip</w:t>
      </w:r>
      <w:r w:rsidR="00D50426">
        <w:t>,</w:t>
      </w:r>
      <w:r w:rsidR="009373AE" w:rsidRPr="00B8555A">
        <w:rPr>
          <w:rStyle w:val="FootnoteReference"/>
        </w:rPr>
        <w:footnoteReference w:id="83"/>
      </w:r>
      <w:r w:rsidR="00D50426">
        <w:t xml:space="preserve"> which amounts to </w:t>
      </w:r>
      <w:r w:rsidR="009373AE">
        <w:t xml:space="preserve">unlawful </w:t>
      </w:r>
      <w:r w:rsidR="00D50426">
        <w:t>collective punishment in violation of international humanitarian law</w:t>
      </w:r>
      <w:r w:rsidR="009301C5">
        <w:t>,</w:t>
      </w:r>
      <w:r w:rsidR="00D50426" w:rsidRPr="00B8555A">
        <w:rPr>
          <w:rStyle w:val="FootnoteReference"/>
        </w:rPr>
        <w:footnoteReference w:id="84"/>
      </w:r>
      <w:r w:rsidR="009301C5">
        <w:t xml:space="preserve"> </w:t>
      </w:r>
      <w:r w:rsidR="007255AD">
        <w:t>has resulted in profound and unparalleled levels of poverty</w:t>
      </w:r>
      <w:r w:rsidR="009373AE">
        <w:t xml:space="preserve">, unemployment, aid-dependency, and food insecurity in the occupied Gaza Strip, constituting severe </w:t>
      </w:r>
      <w:r w:rsidR="00B760CC">
        <w:t>denials of the rights enshrined under</w:t>
      </w:r>
      <w:r w:rsidR="009373AE">
        <w:t xml:space="preserve"> Article 5 of the Convention, spanning the full spectrum of social, political, cultural, economic, and civil rights owed to the Palestinian people under international law. Since 2012, UN reports have repeatedly warned that Gaza </w:t>
      </w:r>
      <w:r w:rsidR="00B760CC">
        <w:t xml:space="preserve">will </w:t>
      </w:r>
      <w:r w:rsidR="009373AE">
        <w:t xml:space="preserve">become unfit for human inhabitancy by the year 2020 should Israel </w:t>
      </w:r>
      <w:r w:rsidR="009373AE">
        <w:lastRenderedPageBreak/>
        <w:t xml:space="preserve">fail to reverse </w:t>
      </w:r>
      <w:r w:rsidR="00B760CC">
        <w:t xml:space="preserve">its discriminatory </w:t>
      </w:r>
      <w:r w:rsidR="00C56CDC">
        <w:t>policies and practices</w:t>
      </w:r>
      <w:r w:rsidR="009373AE">
        <w:t>.</w:t>
      </w:r>
      <w:r w:rsidR="009373AE">
        <w:rPr>
          <w:rStyle w:val="FootnoteReference"/>
        </w:rPr>
        <w:footnoteReference w:id="85"/>
      </w:r>
      <w:r w:rsidR="009373AE">
        <w:t xml:space="preserve"> </w:t>
      </w:r>
      <w:r w:rsidR="00642C9E">
        <w:t>In July 2018,</w:t>
      </w:r>
      <w:r w:rsidR="009373AE">
        <w:t xml:space="preserve"> the UN Conference on Trade and Development (UNCTAD) reported that </w:t>
      </w:r>
      <w:r w:rsidR="00642C9E">
        <w:t>Israel’s</w:t>
      </w:r>
      <w:r w:rsidR="009632BA">
        <w:t xml:space="preserve"> prolonged blockade has </w:t>
      </w:r>
      <w:r w:rsidR="009373AE">
        <w:t>“eviscerated Gaza’s economy and</w:t>
      </w:r>
      <w:r w:rsidR="009632BA">
        <w:t xml:space="preserve"> </w:t>
      </w:r>
      <w:r w:rsidR="009373AE">
        <w:t xml:space="preserve">productive base and reduced the Strip to a humanitarian </w:t>
      </w:r>
      <w:r w:rsidR="00642C9E">
        <w:t>c</w:t>
      </w:r>
      <w:r w:rsidR="008536AA">
        <w:t>ase of profound aid-dependency,”</w:t>
      </w:r>
      <w:r w:rsidR="00642C9E">
        <w:t xml:space="preserve"> adding that “[</w:t>
      </w:r>
      <w:proofErr w:type="spellStart"/>
      <w:r w:rsidR="00642C9E">
        <w:t>t]</w:t>
      </w:r>
      <w:r w:rsidR="009373AE">
        <w:t>he</w:t>
      </w:r>
      <w:proofErr w:type="spellEnd"/>
      <w:r w:rsidR="009373AE">
        <w:t xml:space="preserve"> past quarter of a century was not only lost but has been one of ongoing</w:t>
      </w:r>
      <w:r w:rsidR="009632BA">
        <w:t xml:space="preserve"> de-development.”</w:t>
      </w:r>
      <w:r w:rsidR="009632BA">
        <w:rPr>
          <w:rStyle w:val="FootnoteReference"/>
        </w:rPr>
        <w:footnoteReference w:id="86"/>
      </w:r>
    </w:p>
    <w:p w14:paraId="0328F8D1" w14:textId="6BCB8AAD" w:rsidR="00C56CDC" w:rsidRPr="00034DE7" w:rsidRDefault="00642C9E" w:rsidP="00034DE7">
      <w:pPr>
        <w:pStyle w:val="Numberedpara"/>
        <w:ind w:left="540" w:hanging="540"/>
      </w:pPr>
      <w:r>
        <w:t xml:space="preserve">According to UNCTAD, over two million Palestinians in Gaza </w:t>
      </w:r>
      <w:r w:rsidR="00C56CDC">
        <w:t>living</w:t>
      </w:r>
      <w:r>
        <w:t xml:space="preserve"> under full blockade, </w:t>
      </w:r>
      <w:r w:rsidR="00C56CDC">
        <w:t xml:space="preserve">are </w:t>
      </w:r>
      <w:r>
        <w:t>confined to a territory with the third-highest population density in the world.</w:t>
      </w:r>
      <w:r>
        <w:rPr>
          <w:rStyle w:val="FootnoteReference"/>
        </w:rPr>
        <w:footnoteReference w:id="87"/>
      </w:r>
      <w:r w:rsidR="00CB0E7F">
        <w:t xml:space="preserve"> In 2017, poverty </w:t>
      </w:r>
      <w:r w:rsidR="004D7F64">
        <w:t>affect</w:t>
      </w:r>
      <w:r w:rsidR="00CB0E7F">
        <w:t xml:space="preserve">ed an </w:t>
      </w:r>
      <w:r w:rsidR="00CB0E7F" w:rsidRPr="0090459D">
        <w:t xml:space="preserve">equivalent </w:t>
      </w:r>
      <w:r w:rsidR="00CB0E7F">
        <w:t>of about</w:t>
      </w:r>
      <w:r w:rsidR="00CB0E7F" w:rsidRPr="0090459D">
        <w:t xml:space="preserve"> 1.01 million </w:t>
      </w:r>
      <w:r w:rsidR="00CB0E7F">
        <w:t>Palestinians in Gaza</w:t>
      </w:r>
      <w:r w:rsidR="00CB0E7F" w:rsidRPr="0090459D">
        <w:t xml:space="preserve">, </w:t>
      </w:r>
      <w:r w:rsidR="00CB0E7F">
        <w:t>some</w:t>
      </w:r>
      <w:r w:rsidR="0090459D">
        <w:t xml:space="preserve"> 53 per cent</w:t>
      </w:r>
      <w:r w:rsidR="004D7F64">
        <w:t xml:space="preserve"> of </w:t>
      </w:r>
      <w:r w:rsidR="00CB0E7F">
        <w:t>the population</w:t>
      </w:r>
      <w:r w:rsidR="007255AD">
        <w:t>,</w:t>
      </w:r>
      <w:r w:rsidR="0090459D">
        <w:t xml:space="preserve"> </w:t>
      </w:r>
      <w:r w:rsidR="0090459D" w:rsidRPr="0090459D">
        <w:t>including over 400,000 children</w:t>
      </w:r>
      <w:r w:rsidR="0090459D">
        <w:t>.</w:t>
      </w:r>
      <w:r w:rsidR="0021712C" w:rsidRPr="00B8555A">
        <w:rPr>
          <w:rStyle w:val="FootnoteReference"/>
        </w:rPr>
        <w:footnoteReference w:id="88"/>
      </w:r>
      <w:r w:rsidR="00DD51DC">
        <w:t xml:space="preserve"> Food insecurity, primarily the result of poverty and </w:t>
      </w:r>
      <w:r w:rsidR="00DD51DC" w:rsidRPr="00DD51DC">
        <w:t>a lack of economic access to food</w:t>
      </w:r>
      <w:r w:rsidR="00DD51DC">
        <w:t xml:space="preserve">, affects some 70 per cent of Gaza’s Palestinian refugee population, who make up </w:t>
      </w:r>
      <w:r w:rsidR="007A1EA9">
        <w:t>1.4 million Palestinians in the Gaza Strip</w:t>
      </w:r>
      <w:r w:rsidR="00DD51DC">
        <w:t xml:space="preserve">, about </w:t>
      </w:r>
      <w:r w:rsidR="00DD51DC" w:rsidRPr="00DD51DC">
        <w:t>996,000</w:t>
      </w:r>
      <w:r w:rsidR="00DD51DC">
        <w:t xml:space="preserve"> of whom receive </w:t>
      </w:r>
      <w:r w:rsidR="00AA449F">
        <w:t>food assistance from the UN Relief and Works Agency for Palestine Refugees in the Near East (UNRWA).</w:t>
      </w:r>
      <w:r w:rsidR="00DA656B" w:rsidRPr="00B8555A">
        <w:rPr>
          <w:rStyle w:val="FootnoteReference"/>
        </w:rPr>
        <w:footnoteReference w:id="89"/>
      </w:r>
      <w:r w:rsidR="00C00354">
        <w:t xml:space="preserve"> </w:t>
      </w:r>
      <w:r w:rsidR="00943D21">
        <w:t>In May 2019, UNRWA warned that more than a million Palestinians in Gaza would not have enough food by June</w:t>
      </w:r>
      <w:r w:rsidR="00943D21" w:rsidRPr="00034DE7">
        <w:t>.</w:t>
      </w:r>
      <w:r w:rsidR="00943D21" w:rsidRPr="00034DE7">
        <w:rPr>
          <w:rStyle w:val="FootnoteReference"/>
        </w:rPr>
        <w:footnoteReference w:id="90"/>
      </w:r>
      <w:r w:rsidR="003B5520" w:rsidRPr="00034DE7">
        <w:t xml:space="preserve"> Over the past </w:t>
      </w:r>
      <w:r w:rsidR="00631670">
        <w:t>12 years of Israel’s unlawful closure</w:t>
      </w:r>
      <w:r w:rsidR="003B5520" w:rsidRPr="00034DE7">
        <w:t xml:space="preserve">, the </w:t>
      </w:r>
      <w:r w:rsidR="003B5520" w:rsidRPr="00034DE7">
        <w:rPr>
          <w:lang w:val="en-US"/>
        </w:rPr>
        <w:t xml:space="preserve">Israeli occupying authorities have </w:t>
      </w:r>
      <w:r w:rsidR="00631670">
        <w:rPr>
          <w:lang w:val="en-US"/>
        </w:rPr>
        <w:t>further</w:t>
      </w:r>
      <w:r w:rsidR="003B5520" w:rsidRPr="00034DE7">
        <w:rPr>
          <w:lang w:val="en-US"/>
        </w:rPr>
        <w:t xml:space="preserve"> controlled the quantity of food allowed to reach </w:t>
      </w:r>
      <w:r w:rsidR="00631670">
        <w:rPr>
          <w:lang w:val="en-US"/>
        </w:rPr>
        <w:t xml:space="preserve">Palestinians in </w:t>
      </w:r>
      <w:r w:rsidR="003B5520" w:rsidRPr="00034DE7">
        <w:rPr>
          <w:lang w:val="en-US"/>
        </w:rPr>
        <w:t xml:space="preserve">the Gaza </w:t>
      </w:r>
      <w:r w:rsidR="00631670">
        <w:rPr>
          <w:lang w:val="en-US"/>
        </w:rPr>
        <w:t>Strip</w:t>
      </w:r>
      <w:r w:rsidR="003B5520" w:rsidRPr="00034DE7">
        <w:rPr>
          <w:lang w:val="en-US"/>
        </w:rPr>
        <w:t>, even calculating their</w:t>
      </w:r>
      <w:r w:rsidR="00631670">
        <w:rPr>
          <w:lang w:val="en-US"/>
        </w:rPr>
        <w:t xml:space="preserve"> </w:t>
      </w:r>
      <w:r w:rsidR="003B5520" w:rsidRPr="00034DE7">
        <w:rPr>
          <w:lang w:val="en-US"/>
        </w:rPr>
        <w:t>per-capita calorie intake.</w:t>
      </w:r>
      <w:r w:rsidR="003B5520" w:rsidRPr="00034DE7">
        <w:rPr>
          <w:vertAlign w:val="superscript"/>
          <w:lang w:val="en-US"/>
        </w:rPr>
        <w:footnoteReference w:id="91"/>
      </w:r>
      <w:r w:rsidR="003B5520" w:rsidRPr="00034DE7">
        <w:rPr>
          <w:lang w:val="en-US"/>
        </w:rPr>
        <w:t xml:space="preserve"> </w:t>
      </w:r>
      <w:r w:rsidR="00D367BC" w:rsidRPr="00034DE7">
        <w:t xml:space="preserve">At the same time, unemployment has continued to rise </w:t>
      </w:r>
      <w:r w:rsidR="0038210F" w:rsidRPr="00034DE7">
        <w:t>from</w:t>
      </w:r>
      <w:r w:rsidR="00C00354" w:rsidRPr="00034DE7">
        <w:t xml:space="preserve"> </w:t>
      </w:r>
      <w:r w:rsidR="00D367BC" w:rsidRPr="00034DE7">
        <w:t>4</w:t>
      </w:r>
      <w:r w:rsidR="003E07E6" w:rsidRPr="00034DE7">
        <w:t>4</w:t>
      </w:r>
      <w:r w:rsidR="00D367BC" w:rsidRPr="00034DE7">
        <w:t xml:space="preserve"> per cent</w:t>
      </w:r>
      <w:r w:rsidR="0038210F" w:rsidRPr="00034DE7">
        <w:t xml:space="preserve"> in 2017 </w:t>
      </w:r>
      <w:r w:rsidR="00D367BC" w:rsidRPr="00034DE7">
        <w:t xml:space="preserve">to </w:t>
      </w:r>
      <w:r w:rsidR="00E66327" w:rsidRPr="00034DE7">
        <w:t>52</w:t>
      </w:r>
      <w:r w:rsidR="00D367BC" w:rsidRPr="00034DE7">
        <w:t xml:space="preserve"> per cent in 201</w:t>
      </w:r>
      <w:r w:rsidR="00E66327" w:rsidRPr="00034DE7">
        <w:t>8</w:t>
      </w:r>
      <w:r w:rsidR="0038210F" w:rsidRPr="00034DE7">
        <w:t>, especially affecting Gaza’s youth</w:t>
      </w:r>
      <w:r w:rsidR="00D367BC" w:rsidRPr="00034DE7">
        <w:t>.</w:t>
      </w:r>
      <w:r w:rsidR="00D367BC" w:rsidRPr="00034DE7">
        <w:rPr>
          <w:rStyle w:val="FootnoteReference"/>
        </w:rPr>
        <w:footnoteReference w:id="92"/>
      </w:r>
      <w:r w:rsidR="00D367BC" w:rsidRPr="00034DE7">
        <w:t xml:space="preserve"> </w:t>
      </w:r>
      <w:r w:rsidR="00C56CDC" w:rsidRPr="00034DE7">
        <w:t>Overall</w:t>
      </w:r>
      <w:r w:rsidR="00C56CDC">
        <w:t xml:space="preserve">, </w:t>
      </w:r>
      <w:r w:rsidR="00C56CDC">
        <w:rPr>
          <w:color w:val="000000" w:themeColor="text1"/>
        </w:rPr>
        <w:t>UNCTAD reported in 2018 that:</w:t>
      </w:r>
    </w:p>
    <w:p w14:paraId="310CB40E" w14:textId="41D8D2D9" w:rsidR="00EB1B1A" w:rsidRDefault="005A376A" w:rsidP="00034DE7">
      <w:pPr>
        <w:pStyle w:val="Numberedpara"/>
        <w:numPr>
          <w:ilvl w:val="0"/>
          <w:numId w:val="0"/>
        </w:numPr>
        <w:ind w:left="1440"/>
      </w:pPr>
      <w:r>
        <w:t>“[</w:t>
      </w:r>
      <w:proofErr w:type="spellStart"/>
      <w:r>
        <w:t>t]</w:t>
      </w:r>
      <w:r w:rsidR="00C56CDC">
        <w:t>he</w:t>
      </w:r>
      <w:proofErr w:type="spellEnd"/>
      <w:r w:rsidR="00C56CDC">
        <w:t xml:space="preserve"> destruction of the productive base relegated Gaza to poverty and leaves half the population food-insecure, even though 80 per cent of the populace receive social assistance. The enduring pressure and deprivation of basic human, social </w:t>
      </w:r>
      <w:r w:rsidR="00C56CDC">
        <w:lastRenderedPageBreak/>
        <w:t>and economic rights inflict heavy toll on Gaza’s psychological, social and cultural fabric as manifested by widespread psychological trauma, post-traumatic stress disorder, desperation, high suicide rates and drug addiction. In 2017, 225,000 children (more than 10 per cent of the population) required psychosocial support (Office for the Coordination of Humanitarian Affairs, 2017).”</w:t>
      </w:r>
      <w:r w:rsidR="00C56CDC">
        <w:rPr>
          <w:rStyle w:val="FootnoteReference"/>
        </w:rPr>
        <w:footnoteReference w:id="93"/>
      </w:r>
    </w:p>
    <w:p w14:paraId="10CA07B5" w14:textId="2C6D8CFC" w:rsidR="00F311EE" w:rsidRPr="00034DE7" w:rsidRDefault="00631670" w:rsidP="00034DE7">
      <w:pPr>
        <w:pStyle w:val="Numberedpara"/>
        <w:ind w:left="540" w:hanging="540"/>
        <w:rPr>
          <w:color w:val="000000" w:themeColor="text1"/>
        </w:rPr>
      </w:pPr>
      <w:r>
        <w:t>The Gaza Strip also faces a severe water and sanitation crisis. According to the World Health Organization (WHO), 97 per cent of water from Gaza’s single coastal aquifer is contaminated and unfit for human consumption.</w:t>
      </w:r>
      <w:r>
        <w:rPr>
          <w:rStyle w:val="FootnoteReference"/>
        </w:rPr>
        <w:footnoteReference w:id="94"/>
      </w:r>
      <w:r>
        <w:t xml:space="preserve"> </w:t>
      </w:r>
      <w:r w:rsidRPr="00210F6F">
        <w:rPr>
          <w:lang w:val="en-US"/>
        </w:rPr>
        <w:t xml:space="preserve">Israel’s water administration </w:t>
      </w:r>
      <w:r w:rsidR="00F311EE">
        <w:rPr>
          <w:lang w:val="en-US"/>
        </w:rPr>
        <w:t>continues to unlawfully exploit Palestinians’ natural resources, massively over-pumping and pre-empting</w:t>
      </w:r>
      <w:r w:rsidRPr="00210F6F">
        <w:rPr>
          <w:lang w:val="en-US"/>
        </w:rPr>
        <w:t xml:space="preserve"> the mountain aquifer flowing to the coastal Strip.</w:t>
      </w:r>
      <w:r w:rsidRPr="00210F6F">
        <w:rPr>
          <w:vertAlign w:val="superscript"/>
          <w:lang w:val="en-US"/>
        </w:rPr>
        <w:footnoteReference w:id="95"/>
      </w:r>
      <w:r w:rsidR="00F311EE">
        <w:rPr>
          <w:lang w:val="en-US"/>
        </w:rPr>
        <w:t xml:space="preserve"> According to UNCTAD:</w:t>
      </w:r>
    </w:p>
    <w:p w14:paraId="2ACE507D" w14:textId="4F6DF342" w:rsidR="00512086" w:rsidRPr="00034DE7" w:rsidRDefault="00512086" w:rsidP="00034DE7">
      <w:pPr>
        <w:pStyle w:val="Numberedpara"/>
        <w:numPr>
          <w:ilvl w:val="0"/>
          <w:numId w:val="0"/>
        </w:numPr>
        <w:ind w:left="1440"/>
        <w:rPr>
          <w:color w:val="000000" w:themeColor="text1"/>
        </w:rPr>
      </w:pPr>
      <w:r w:rsidRPr="00034DE7">
        <w:rPr>
          <w:color w:val="000000" w:themeColor="text1"/>
        </w:rPr>
        <w:t xml:space="preserve">“Gaza’s coastal aquifer, its sole water source, has been virtually depleted by </w:t>
      </w:r>
      <w:r w:rsidR="00D25E67" w:rsidRPr="00034DE7">
        <w:rPr>
          <w:color w:val="000000" w:themeColor="text1"/>
        </w:rPr>
        <w:t>over extraction</w:t>
      </w:r>
      <w:r w:rsidRPr="00034DE7">
        <w:rPr>
          <w:color w:val="000000" w:themeColor="text1"/>
        </w:rPr>
        <w:t xml:space="preserve"> and the intrusion of seawater. This leaves only 4 per cent of the groundwater in Gaza fit for human consumption. In 2000, 98 per cent of the people had access to safe drinking water through the public water network, but this dropped to less than 10 per cent by 2014, and the situation has been getting worse since. This forced the population to rely on costlier alternatives such as water containers and bottled water, which now account for 90 per cent of consumption of potabl</w:t>
      </w:r>
      <w:r w:rsidR="00F311EE" w:rsidRPr="00034DE7">
        <w:rPr>
          <w:color w:val="000000" w:themeColor="text1"/>
        </w:rPr>
        <w:t>e water (United Nations, 2017b)</w:t>
      </w:r>
      <w:r w:rsidRPr="00034DE7">
        <w:rPr>
          <w:color w:val="000000" w:themeColor="text1"/>
        </w:rPr>
        <w:t>.”</w:t>
      </w:r>
      <w:r w:rsidRPr="00034DE7">
        <w:rPr>
          <w:rStyle w:val="FootnoteReference"/>
          <w:color w:val="000000" w:themeColor="text1"/>
        </w:rPr>
        <w:footnoteReference w:id="96"/>
      </w:r>
    </w:p>
    <w:p w14:paraId="49669E79" w14:textId="599E3E27" w:rsidR="0078100A" w:rsidRPr="00034DE7" w:rsidRDefault="00C56CDC" w:rsidP="00206E9D">
      <w:pPr>
        <w:pStyle w:val="Numberedpara"/>
        <w:ind w:left="540" w:hanging="540"/>
        <w:rPr>
          <w:color w:val="000000" w:themeColor="text1"/>
        </w:rPr>
      </w:pPr>
      <w:r>
        <w:rPr>
          <w:color w:val="000000" w:themeColor="text1"/>
        </w:rPr>
        <w:t>In addition, Israel’s prolonged closure has</w:t>
      </w:r>
      <w:r w:rsidRPr="00034DE7">
        <w:rPr>
          <w:color w:val="000000" w:themeColor="text1"/>
        </w:rPr>
        <w:t xml:space="preserve"> </w:t>
      </w:r>
      <w:r w:rsidR="007255AD" w:rsidRPr="00034DE7">
        <w:rPr>
          <w:color w:val="000000" w:themeColor="text1"/>
        </w:rPr>
        <w:t xml:space="preserve">led to an acute electricity crisis </w:t>
      </w:r>
      <w:r>
        <w:rPr>
          <w:color w:val="000000" w:themeColor="text1"/>
        </w:rPr>
        <w:t>in the Gaza Strip, particular</w:t>
      </w:r>
      <w:r w:rsidR="00583133">
        <w:rPr>
          <w:color w:val="000000" w:themeColor="text1"/>
        </w:rPr>
        <w:t>ly</w:t>
      </w:r>
      <w:r>
        <w:rPr>
          <w:color w:val="000000" w:themeColor="text1"/>
        </w:rPr>
        <w:t xml:space="preserve"> affecting Gaza’s hospitals</w:t>
      </w:r>
      <w:r w:rsidR="00966F5C">
        <w:rPr>
          <w:color w:val="000000" w:themeColor="text1"/>
        </w:rPr>
        <w:t>.</w:t>
      </w:r>
      <w:r w:rsidR="004F49D4" w:rsidRPr="00210F6F">
        <w:rPr>
          <w:rStyle w:val="FootnoteReference"/>
          <w:color w:val="000000" w:themeColor="text1"/>
        </w:rPr>
        <w:footnoteReference w:id="97"/>
      </w:r>
      <w:r w:rsidR="00804E59" w:rsidRPr="00034DE7">
        <w:rPr>
          <w:color w:val="000000" w:themeColor="text1"/>
        </w:rPr>
        <w:t xml:space="preserve"> </w:t>
      </w:r>
      <w:r w:rsidR="00B66384">
        <w:rPr>
          <w:color w:val="000000" w:themeColor="text1"/>
        </w:rPr>
        <w:t>In August 2019, Gaza only had ten hours of electricity on average, according</w:t>
      </w:r>
      <w:r w:rsidR="00F311EE">
        <w:rPr>
          <w:color w:val="000000" w:themeColor="text1"/>
        </w:rPr>
        <w:t xml:space="preserve"> to the UN Office for the Coordination </w:t>
      </w:r>
      <w:r w:rsidR="00B66384">
        <w:rPr>
          <w:color w:val="000000" w:themeColor="text1"/>
        </w:rPr>
        <w:t>of Humanitarian Affairs (OCHA).</w:t>
      </w:r>
      <w:r w:rsidR="00B66384" w:rsidRPr="00210F6F">
        <w:rPr>
          <w:rStyle w:val="FootnoteReference"/>
          <w:color w:val="000000" w:themeColor="text1"/>
        </w:rPr>
        <w:footnoteReference w:id="98"/>
      </w:r>
      <w:r w:rsidR="00FA67D6">
        <w:rPr>
          <w:color w:val="000000" w:themeColor="text1"/>
        </w:rPr>
        <w:t xml:space="preserve"> UNCTAD reported that </w:t>
      </w:r>
      <w:r w:rsidR="00804E59" w:rsidRPr="00034DE7">
        <w:rPr>
          <w:color w:val="000000" w:themeColor="text1"/>
        </w:rPr>
        <w:t>“</w:t>
      </w:r>
      <w:r w:rsidR="00FA67D6" w:rsidRPr="00034DE7">
        <w:rPr>
          <w:color w:val="000000" w:themeColor="text1"/>
        </w:rPr>
        <w:t>[d]</w:t>
      </w:r>
      <w:proofErr w:type="spellStart"/>
      <w:r w:rsidR="00804E59" w:rsidRPr="00034DE7">
        <w:rPr>
          <w:color w:val="000000" w:themeColor="text1"/>
        </w:rPr>
        <w:t>espite</w:t>
      </w:r>
      <w:proofErr w:type="spellEnd"/>
      <w:r w:rsidR="00804E59" w:rsidRPr="00034DE7">
        <w:rPr>
          <w:color w:val="000000" w:themeColor="text1"/>
        </w:rPr>
        <w:t xml:space="preserve"> increasing demand, fuelled by the need for reconstruction, in early 2018, the Gaza power plant covered just 6 per cent of demand as it operated at less than one fifth of its 140-megawatt capacity, given the fuel </w:t>
      </w:r>
      <w:r w:rsidR="00804E59" w:rsidRPr="00034DE7">
        <w:rPr>
          <w:color w:val="000000" w:themeColor="text1"/>
        </w:rPr>
        <w:lastRenderedPageBreak/>
        <w:t>shortage and lack of imported parts.”</w:t>
      </w:r>
      <w:r w:rsidR="00FA67D6" w:rsidRPr="00034DE7">
        <w:rPr>
          <w:rStyle w:val="FootnoteReference"/>
          <w:color w:val="000000" w:themeColor="text1"/>
        </w:rPr>
        <w:footnoteReference w:id="99"/>
      </w:r>
      <w:r w:rsidR="000D78EA">
        <w:rPr>
          <w:color w:val="000000" w:themeColor="text1"/>
        </w:rPr>
        <w:t xml:space="preserve"> </w:t>
      </w:r>
      <w:r w:rsidR="000D78EA" w:rsidRPr="003C61A0">
        <w:t>Meanwhile,</w:t>
      </w:r>
      <w:r w:rsidR="006A6FC6" w:rsidRPr="003C61A0">
        <w:t xml:space="preserve"> Israel has </w:t>
      </w:r>
      <w:r w:rsidR="000D78EA" w:rsidRPr="003C61A0">
        <w:t xml:space="preserve">mostly closed off </w:t>
      </w:r>
      <w:r w:rsidR="006A6FC6" w:rsidRPr="003C61A0">
        <w:t>Gaza’s Maritime Zone, allowing Gaza’s 35,000 fishermen a mere three to six nautical mile fishing zone, rather than the 20 nautical miles stipulated in the Oslo Accords</w:t>
      </w:r>
      <w:r w:rsidR="000D78EA" w:rsidRPr="003C61A0">
        <w:t xml:space="preserve">, </w:t>
      </w:r>
      <w:r w:rsidR="006A6FC6" w:rsidRPr="003C61A0">
        <w:t xml:space="preserve">thereby </w:t>
      </w:r>
      <w:r w:rsidR="000D78EA" w:rsidRPr="003C61A0">
        <w:t xml:space="preserve">severely undermining the employment and </w:t>
      </w:r>
      <w:r w:rsidR="006A6FC6" w:rsidRPr="003C61A0">
        <w:t>livelihood</w:t>
      </w:r>
      <w:r w:rsidR="000D78EA" w:rsidRPr="003C61A0">
        <w:t xml:space="preserve"> of</w:t>
      </w:r>
      <w:r w:rsidR="006A6FC6" w:rsidRPr="00206E9D">
        <w:t xml:space="preserve"> Palestinian fishermen in Gaza</w:t>
      </w:r>
      <w:r w:rsidR="006A6FC6" w:rsidRPr="001E14C6">
        <w:t>, and denyin</w:t>
      </w:r>
      <w:r w:rsidR="006A6FC6" w:rsidRPr="003C61A0">
        <w:t>g Palestinians in the Gaza Strip a much-needed source of nutrition.</w:t>
      </w:r>
      <w:r w:rsidR="006A6FC6" w:rsidRPr="00034DE7">
        <w:rPr>
          <w:rStyle w:val="FootnoteReference"/>
          <w:color w:val="000000" w:themeColor="text1"/>
        </w:rPr>
        <w:footnoteReference w:id="100"/>
      </w:r>
    </w:p>
    <w:p w14:paraId="1B971264" w14:textId="1C8B3E5B" w:rsidR="00205E16" w:rsidRPr="00034DE7" w:rsidRDefault="00934202" w:rsidP="00344041">
      <w:pPr>
        <w:pStyle w:val="Numberedpara"/>
        <w:ind w:left="540" w:hanging="540"/>
      </w:pPr>
      <w:r>
        <w:t xml:space="preserve">Since 30 March 2018, </w:t>
      </w:r>
      <w:r w:rsidR="0035689A">
        <w:t>due to the</w:t>
      </w:r>
      <w:r w:rsidR="007255AD">
        <w:t xml:space="preserve"> unliveable situation</w:t>
      </w:r>
      <w:r w:rsidR="00E63BAA">
        <w:t xml:space="preserve"> created </w:t>
      </w:r>
      <w:r>
        <w:t xml:space="preserve">in the occupied Gaza Strip </w:t>
      </w:r>
      <w:r w:rsidR="0035689A">
        <w:t>as a result of</w:t>
      </w:r>
      <w:r>
        <w:t xml:space="preserve"> </w:t>
      </w:r>
      <w:r w:rsidR="00E63BAA">
        <w:t>Israel’s 12-year closure</w:t>
      </w:r>
      <w:r w:rsidR="007255AD">
        <w:t xml:space="preserve">, </w:t>
      </w:r>
      <w:r>
        <w:t>Palestinians have peacefully demonstrated on a weekly basis by the Gaza fence, calling on Israel, the Occupying Power, to bring its unlawful closure to an end, and demanding the realisation of their inalienable rights, in particular the right of Palestinian refugees to return to their homes and property, as mandated by international law.</w:t>
      </w:r>
      <w:r w:rsidRPr="00B8555A">
        <w:rPr>
          <w:rStyle w:val="FootnoteReference"/>
        </w:rPr>
        <w:footnoteReference w:id="101"/>
      </w:r>
      <w:r w:rsidR="00AD3AF2">
        <w:t xml:space="preserve"> Despite the rights-based root causes of the Great Return March demonstrations,</w:t>
      </w:r>
      <w:r w:rsidR="00AD3AF2" w:rsidRPr="00B8555A">
        <w:rPr>
          <w:rStyle w:val="FootnoteReference"/>
        </w:rPr>
        <w:footnoteReference w:id="102"/>
      </w:r>
      <w:r w:rsidR="00AD3AF2">
        <w:t xml:space="preserve"> ongoing since 30 March 2018,</w:t>
      </w:r>
      <w:r w:rsidR="00205E16">
        <w:t xml:space="preserve"> the Israeli occupying forces have systematically suppressed the peaceful assemblies, resorting to excessive use of force, including live ammunition, against unarmed Palestinian civilians. </w:t>
      </w:r>
      <w:r w:rsidR="00205E16">
        <w:rPr>
          <w:rFonts w:eastAsia="Calibri"/>
          <w:iCs/>
        </w:rPr>
        <w:t xml:space="preserve">Between 30 March 2019 and </w:t>
      </w:r>
      <w:r w:rsidR="00205E16" w:rsidRPr="000D3273">
        <w:rPr>
          <w:rFonts w:eastAsia="Calibri"/>
          <w:iCs/>
        </w:rPr>
        <w:t>1 August 2019, Al-Haq documented the killing of 208 Palestinians during the Great Return March demonstrations, including seven persons with disabilities, four paramedics, a</w:t>
      </w:r>
      <w:r w:rsidR="00205E16">
        <w:rPr>
          <w:rFonts w:eastAsia="Calibri"/>
          <w:iCs/>
        </w:rPr>
        <w:t>nd two journalists, amounting to serious violations of international human rights and humanitarian law, which may amount to war crimes and crimes against humanity.</w:t>
      </w:r>
      <w:r w:rsidR="00205E16" w:rsidRPr="00B8555A">
        <w:rPr>
          <w:rStyle w:val="FootnoteReference"/>
        </w:rPr>
        <w:footnoteReference w:id="103"/>
      </w:r>
      <w:r w:rsidR="00344041">
        <w:rPr>
          <w:rFonts w:eastAsia="Calibri"/>
          <w:iCs/>
        </w:rPr>
        <w:t xml:space="preserve"> In particular, our organisations recall that denial of the right to life and liberty of person to members of a racial group through acts of murder forms part of the definition of the crime of apartheid under Article II(a)(</w:t>
      </w:r>
      <w:proofErr w:type="spellStart"/>
      <w:r w:rsidR="00344041">
        <w:rPr>
          <w:rFonts w:eastAsia="Calibri"/>
          <w:iCs/>
        </w:rPr>
        <w:t>i</w:t>
      </w:r>
      <w:proofErr w:type="spellEnd"/>
      <w:r w:rsidR="00344041">
        <w:rPr>
          <w:rFonts w:eastAsia="Calibri"/>
          <w:iCs/>
        </w:rPr>
        <w:t>) of the Apartheid Convention, applicable in the occupied Palestinian territory.</w:t>
      </w:r>
    </w:p>
    <w:p w14:paraId="0F39020B" w14:textId="12938AD1" w:rsidR="008B1B95" w:rsidRPr="00034DE7" w:rsidRDefault="00E72D64" w:rsidP="00034DE7">
      <w:pPr>
        <w:pStyle w:val="Numberedpara"/>
        <w:ind w:left="540" w:hanging="540"/>
        <w:rPr>
          <w:rFonts w:eastAsia="Calibri"/>
          <w:iCs/>
        </w:rPr>
      </w:pPr>
      <w:r>
        <w:rPr>
          <w:rFonts w:eastAsia="Calibri"/>
          <w:iCs/>
        </w:rPr>
        <w:t xml:space="preserve">After Israeli forces killed </w:t>
      </w:r>
      <w:r w:rsidRPr="00034DE7">
        <w:rPr>
          <w:rFonts w:eastAsia="Calibri"/>
          <w:iCs/>
        </w:rPr>
        <w:t>59</w:t>
      </w:r>
      <w:r w:rsidR="00B03CE3">
        <w:rPr>
          <w:rFonts w:eastAsia="Calibri"/>
          <w:iCs/>
        </w:rPr>
        <w:t xml:space="preserve"> </w:t>
      </w:r>
      <w:r w:rsidR="00EB5F57">
        <w:rPr>
          <w:rFonts w:eastAsia="Calibri"/>
          <w:iCs/>
        </w:rPr>
        <w:t xml:space="preserve">Palestinian </w:t>
      </w:r>
      <w:r w:rsidR="00B03CE3">
        <w:rPr>
          <w:rFonts w:eastAsia="Calibri"/>
          <w:iCs/>
        </w:rPr>
        <w:t>protesters</w:t>
      </w:r>
      <w:r>
        <w:rPr>
          <w:rFonts w:eastAsia="Calibri"/>
          <w:iCs/>
        </w:rPr>
        <w:t xml:space="preserve"> on 14 May 2018</w:t>
      </w:r>
      <w:r w:rsidR="00851C19">
        <w:rPr>
          <w:rFonts w:eastAsia="Calibri"/>
          <w:iCs/>
        </w:rPr>
        <w:t>,</w:t>
      </w:r>
      <w:r w:rsidRPr="00B8555A">
        <w:rPr>
          <w:rStyle w:val="FootnoteReference"/>
        </w:rPr>
        <w:footnoteReference w:id="104"/>
      </w:r>
      <w:r w:rsidR="00851C19">
        <w:rPr>
          <w:rFonts w:eastAsia="Calibri"/>
          <w:iCs/>
        </w:rPr>
        <w:t xml:space="preserve"> the UN Human Rights Council </w:t>
      </w:r>
      <w:r w:rsidR="00B03CE3">
        <w:rPr>
          <w:rFonts w:eastAsia="Calibri"/>
          <w:iCs/>
        </w:rPr>
        <w:t>m</w:t>
      </w:r>
      <w:r w:rsidR="00851C19">
        <w:rPr>
          <w:rFonts w:eastAsia="Calibri"/>
          <w:iCs/>
        </w:rPr>
        <w:t>e</w:t>
      </w:r>
      <w:r w:rsidR="00851C19" w:rsidRPr="00851C19">
        <w:rPr>
          <w:rFonts w:eastAsia="Calibri"/>
          <w:iCs/>
        </w:rPr>
        <w:t xml:space="preserve">t in its </w:t>
      </w:r>
      <w:r w:rsidR="00625A17">
        <w:rPr>
          <w:rFonts w:eastAsia="Calibri"/>
          <w:iCs/>
        </w:rPr>
        <w:t xml:space="preserve">28th </w:t>
      </w:r>
      <w:r w:rsidR="00851C19" w:rsidRPr="00851C19">
        <w:rPr>
          <w:rFonts w:eastAsia="Calibri"/>
          <w:iCs/>
        </w:rPr>
        <w:t>special session</w:t>
      </w:r>
      <w:r w:rsidR="00B03CE3">
        <w:rPr>
          <w:rFonts w:eastAsia="Calibri"/>
          <w:iCs/>
        </w:rPr>
        <w:t xml:space="preserve"> </w:t>
      </w:r>
      <w:r w:rsidR="00B03CE3" w:rsidRPr="00B03CE3">
        <w:rPr>
          <w:rFonts w:eastAsia="Calibri"/>
          <w:iCs/>
        </w:rPr>
        <w:t xml:space="preserve">on </w:t>
      </w:r>
      <w:r w:rsidR="00B03CE3">
        <w:rPr>
          <w:rFonts w:eastAsia="Calibri"/>
          <w:iCs/>
        </w:rPr>
        <w:t xml:space="preserve">Friday, 18 May 2018, to address </w:t>
      </w:r>
      <w:r w:rsidR="00B03CE3" w:rsidRPr="00B03CE3">
        <w:rPr>
          <w:rFonts w:eastAsia="Calibri"/>
          <w:iCs/>
        </w:rPr>
        <w:t>the deteriorating human rights situation in the occupied Palestinian territory</w:t>
      </w:r>
      <w:r w:rsidR="00851C19">
        <w:rPr>
          <w:rFonts w:eastAsia="Calibri"/>
          <w:iCs/>
        </w:rPr>
        <w:t>,</w:t>
      </w:r>
      <w:r w:rsidR="00B03CE3">
        <w:rPr>
          <w:rFonts w:eastAsia="Calibri"/>
          <w:iCs/>
        </w:rPr>
        <w:t xml:space="preserve"> in particular within the context of the Great Return </w:t>
      </w:r>
      <w:r w:rsidR="00185370">
        <w:rPr>
          <w:rFonts w:eastAsia="Calibri"/>
          <w:iCs/>
        </w:rPr>
        <w:t>March.</w:t>
      </w:r>
      <w:r w:rsidR="00185370" w:rsidRPr="00B8555A">
        <w:rPr>
          <w:rStyle w:val="FootnoteReference"/>
        </w:rPr>
        <w:footnoteReference w:id="105"/>
      </w:r>
      <w:r w:rsidR="008B1B95">
        <w:rPr>
          <w:rFonts w:eastAsia="Calibri"/>
          <w:iCs/>
        </w:rPr>
        <w:t xml:space="preserve"> Addressing</w:t>
      </w:r>
      <w:r w:rsidR="00B03CE3" w:rsidRPr="00034DE7">
        <w:rPr>
          <w:rFonts w:eastAsia="Calibri"/>
          <w:iCs/>
        </w:rPr>
        <w:t xml:space="preserve"> the Human Rights Council, </w:t>
      </w:r>
      <w:r w:rsidR="00B03CE3" w:rsidRPr="00034DE7">
        <w:rPr>
          <w:rFonts w:eastAsia="Calibri"/>
          <w:iCs/>
        </w:rPr>
        <w:lastRenderedPageBreak/>
        <w:t>UN Special Rapporteur on the situation of human rights in the Palestinian territory occupied since 1967, Mr. Michael Lynk, referred to Gaza’s peaceful protesters as “armed with the oldest and most human of aspirations: to live free in one’s own land.” In his statement to the Council, he stressed: “[</w:t>
      </w:r>
      <w:proofErr w:type="spellStart"/>
      <w:r w:rsidR="00B03CE3" w:rsidRPr="00034DE7">
        <w:rPr>
          <w:rFonts w:eastAsia="Calibri"/>
          <w:iCs/>
        </w:rPr>
        <w:t>t]his</w:t>
      </w:r>
      <w:proofErr w:type="spellEnd"/>
      <w:r w:rsidR="00B03CE3" w:rsidRPr="00034DE7">
        <w:rPr>
          <w:rFonts w:eastAsia="Calibri"/>
          <w:iCs/>
        </w:rPr>
        <w:t xml:space="preserve"> is a profoundly asymmetrical situation. Thousands of unarmed demonstrators, shorn of hope, but marching with dignity, living in one of the poorest societies of the region, up against the most powerful military and economically advance</w:t>
      </w:r>
      <w:r w:rsidR="004C4F22">
        <w:rPr>
          <w:rFonts w:eastAsia="Calibri"/>
          <w:iCs/>
        </w:rPr>
        <w:t>d</w:t>
      </w:r>
      <w:r w:rsidR="00B03CE3" w:rsidRPr="00034DE7">
        <w:rPr>
          <w:rFonts w:eastAsia="Calibri"/>
          <w:iCs/>
        </w:rPr>
        <w:t xml:space="preserve"> society in the region. Israel has been exacting an eye for an eyelash, because it can. Any condemnation of these recent events would be empty unless it is accompanied by the pursuit of justice and accountability.”</w:t>
      </w:r>
      <w:r w:rsidR="008B1B95" w:rsidRPr="00B8555A">
        <w:rPr>
          <w:rStyle w:val="FootnoteReference"/>
        </w:rPr>
        <w:footnoteReference w:id="106"/>
      </w:r>
      <w:r w:rsidR="00361202">
        <w:rPr>
          <w:rFonts w:eastAsia="Calibri"/>
          <w:iCs/>
        </w:rPr>
        <w:t xml:space="preserve"> </w:t>
      </w:r>
      <w:r w:rsidR="00361202" w:rsidRPr="00034DE7">
        <w:rPr>
          <w:rFonts w:eastAsia="Calibri"/>
          <w:iCs/>
        </w:rPr>
        <w:t>At the close of the</w:t>
      </w:r>
      <w:r w:rsidR="00361202">
        <w:rPr>
          <w:rFonts w:eastAsia="Calibri"/>
          <w:iCs/>
        </w:rPr>
        <w:t xml:space="preserve"> </w:t>
      </w:r>
      <w:r w:rsidR="00625A17">
        <w:rPr>
          <w:rFonts w:eastAsia="Calibri"/>
          <w:iCs/>
        </w:rPr>
        <w:t xml:space="preserve">28th special session, the Human Rights Council adopted </w:t>
      </w:r>
      <w:r w:rsidR="00625A17" w:rsidRPr="00625A17">
        <w:rPr>
          <w:rFonts w:eastAsia="Calibri"/>
          <w:iCs/>
        </w:rPr>
        <w:t>Resolution S-28/1</w:t>
      </w:r>
      <w:r w:rsidR="00625A17">
        <w:rPr>
          <w:rFonts w:eastAsia="Calibri"/>
          <w:iCs/>
        </w:rPr>
        <w:t xml:space="preserve">, deciding to </w:t>
      </w:r>
      <w:r w:rsidR="008B1B95" w:rsidRPr="00034DE7">
        <w:rPr>
          <w:rFonts w:eastAsia="Calibri"/>
          <w:iCs/>
        </w:rPr>
        <w:t xml:space="preserve">urgently dispatch an independent, international commission of inquiry to investigate all violations of international humanitarian law and international human rights committed in the occupied Palestinian territory, </w:t>
      </w:r>
      <w:r w:rsidR="002E45B3">
        <w:rPr>
          <w:rFonts w:eastAsia="Calibri"/>
          <w:iCs/>
        </w:rPr>
        <w:t>particularly</w:t>
      </w:r>
      <w:r w:rsidR="008B1B95" w:rsidRPr="00034DE7">
        <w:rPr>
          <w:rFonts w:eastAsia="Calibri"/>
          <w:iCs/>
        </w:rPr>
        <w:t xml:space="preserve"> “in the context of the military assaults on the large-scale civilian protests that began on 30 March 2018</w:t>
      </w:r>
      <w:r w:rsidR="008536AA">
        <w:rPr>
          <w:rFonts w:eastAsia="Calibri"/>
          <w:iCs/>
        </w:rPr>
        <w:t>.</w:t>
      </w:r>
      <w:r w:rsidR="008B1B95" w:rsidRPr="00034DE7">
        <w:rPr>
          <w:rFonts w:eastAsia="Calibri"/>
          <w:iCs/>
        </w:rPr>
        <w:t>”</w:t>
      </w:r>
      <w:r w:rsidR="008B1B95" w:rsidRPr="00B8555A">
        <w:rPr>
          <w:rStyle w:val="FootnoteReference"/>
        </w:rPr>
        <w:footnoteReference w:id="107"/>
      </w:r>
    </w:p>
    <w:p w14:paraId="2A5CA7AC" w14:textId="1324D3F4" w:rsidR="00012381" w:rsidRDefault="00797F3D" w:rsidP="00034DE7">
      <w:pPr>
        <w:pStyle w:val="Numberedpara"/>
        <w:ind w:left="540" w:hanging="540"/>
      </w:pPr>
      <w:r>
        <w:t xml:space="preserve">On 18 March 2019, the UN Commission of Inquiry on the 2018 protests in the occupied Palestinian territory submitted its findings and recommendations to the Human Rights Council, which were adopted </w:t>
      </w:r>
      <w:r w:rsidR="001A424D">
        <w:t xml:space="preserve">by Member States </w:t>
      </w:r>
      <w:r>
        <w:t>on 22 March 2019</w:t>
      </w:r>
      <w:r w:rsidR="001A424D">
        <w:t>.</w:t>
      </w:r>
      <w:r w:rsidR="001A424D" w:rsidRPr="00B8555A">
        <w:rPr>
          <w:rStyle w:val="FootnoteReference"/>
        </w:rPr>
        <w:footnoteReference w:id="108"/>
      </w:r>
      <w:r w:rsidR="001A424D">
        <w:t xml:space="preserve"> In parti</w:t>
      </w:r>
      <w:r w:rsidR="00923135">
        <w:t>cular, the Commission of Inquiry’s</w:t>
      </w:r>
      <w:r w:rsidR="001A424D">
        <w:t xml:space="preserve"> </w:t>
      </w:r>
      <w:r w:rsidR="00923135" w:rsidRPr="00923135">
        <w:t xml:space="preserve">findings confirm that </w:t>
      </w:r>
      <w:r w:rsidR="00923135">
        <w:t xml:space="preserve">the </w:t>
      </w:r>
      <w:r w:rsidR="00923135" w:rsidRPr="00923135">
        <w:t xml:space="preserve">Israeli </w:t>
      </w:r>
      <w:r w:rsidR="00923135">
        <w:t xml:space="preserve">occupying </w:t>
      </w:r>
      <w:r w:rsidR="00923135" w:rsidRPr="00923135">
        <w:t>forces “killed and maimed Palestinian demonstrators who did not pose an imminent threat of death or serious injury</w:t>
      </w:r>
      <w:r w:rsidR="008536AA">
        <w:t xml:space="preserve"> to others when they were shot,”</w:t>
      </w:r>
      <w:r w:rsidR="00923135" w:rsidRPr="00923135">
        <w:t xml:space="preserve"> violating </w:t>
      </w:r>
      <w:r w:rsidR="00923135">
        <w:t>their inherent right to life.</w:t>
      </w:r>
      <w:r w:rsidR="00923135" w:rsidRPr="00B8555A">
        <w:rPr>
          <w:rStyle w:val="FootnoteReference"/>
        </w:rPr>
        <w:footnoteReference w:id="109"/>
      </w:r>
      <w:r w:rsidR="00923135">
        <w:t xml:space="preserve"> As such, the Commission </w:t>
      </w:r>
      <w:r w:rsidR="004F37EF">
        <w:t>found “</w:t>
      </w:r>
      <w:r w:rsidR="004F37EF" w:rsidRPr="004F37EF">
        <w:t>reasonable grounds to believe that during the Great March of Return, Israeli soldiers committed violations of international hu</w:t>
      </w:r>
      <w:r w:rsidR="00923135">
        <w:t>m</w:t>
      </w:r>
      <w:r w:rsidR="008536AA">
        <w:t>an rights and humanitarian law,”</w:t>
      </w:r>
      <w:r w:rsidR="00923135">
        <w:t xml:space="preserve"> stating “[s]</w:t>
      </w:r>
      <w:proofErr w:type="spellStart"/>
      <w:r w:rsidR="004F37EF" w:rsidRPr="004F37EF">
        <w:t>ome</w:t>
      </w:r>
      <w:proofErr w:type="spellEnd"/>
      <w:r w:rsidR="004F37EF" w:rsidRPr="004F37EF">
        <w:t xml:space="preserve"> of those violations may constitute war crimes or crimes against humanity, and must be immedia</w:t>
      </w:r>
      <w:r w:rsidR="004F37EF">
        <w:t>tely investigated by Israel</w:t>
      </w:r>
      <w:r w:rsidR="008536AA">
        <w:t>.</w:t>
      </w:r>
      <w:r w:rsidR="004F37EF">
        <w:t>”</w:t>
      </w:r>
      <w:r w:rsidR="004F37EF" w:rsidRPr="00B8555A">
        <w:rPr>
          <w:rStyle w:val="FootnoteReference"/>
        </w:rPr>
        <w:footnoteReference w:id="110"/>
      </w:r>
      <w:r w:rsidR="00923135">
        <w:t xml:space="preserve"> In addition, the Commission of Inquiry highlighted the urgent need to bring Israel’s prolonged closure to an end</w:t>
      </w:r>
      <w:r w:rsidR="004B3999">
        <w:t>,</w:t>
      </w:r>
      <w:r w:rsidR="007449ED">
        <w:t xml:space="preserve"> calling on Israel, the</w:t>
      </w:r>
      <w:r w:rsidR="00923135">
        <w:t xml:space="preserve"> Occupying Power, to </w:t>
      </w:r>
      <w:r w:rsidR="004D0B09">
        <w:t>lift its blockade of</w:t>
      </w:r>
      <w:r w:rsidR="00F66DEE">
        <w:t xml:space="preserve"> the Gaza Strip</w:t>
      </w:r>
      <w:r w:rsidR="00A35F27">
        <w:t xml:space="preserve"> </w:t>
      </w:r>
      <w:r w:rsidR="00F66DEE">
        <w:t>with immediate effect.</w:t>
      </w:r>
      <w:r w:rsidR="00F66DEE" w:rsidRPr="00B8555A">
        <w:rPr>
          <w:rStyle w:val="FootnoteReference"/>
        </w:rPr>
        <w:footnoteReference w:id="111"/>
      </w:r>
      <w:r w:rsidR="00923135">
        <w:t xml:space="preserve"> In particular, the Commission highlighted Israel’s obligation to </w:t>
      </w:r>
      <w:r w:rsidR="009E3016">
        <w:t xml:space="preserve">“[e]nsure that all those injured </w:t>
      </w:r>
      <w:r w:rsidR="009E3016">
        <w:lastRenderedPageBreak/>
        <w:t xml:space="preserve">at demonstrations are permitted prompt access to hospitals elsewhere in the Occupied Palestinian </w:t>
      </w:r>
      <w:r w:rsidR="008536AA">
        <w:t>Territory, in Israel or abroad,”</w:t>
      </w:r>
      <w:r w:rsidR="009E3016">
        <w:t xml:space="preserve"> to “[e]nsure timely access of medical and all other humanitarian workers to Gaza, including to provide treatment to those injured in</w:t>
      </w:r>
      <w:r w:rsidR="008536AA">
        <w:t xml:space="preserve"> the context of demonstrations,”</w:t>
      </w:r>
      <w:r w:rsidR="009E3016">
        <w:t xml:space="preserve"> and to “[e]nsure efficient coordination for entry of medical items and equipment into Gaza, and remove the prohibition of entry applied to items with legitimate protective and medical uses, including carbon fibre components for the treatment of limb injuries.”</w:t>
      </w:r>
      <w:r w:rsidR="009E3016" w:rsidRPr="00B8555A">
        <w:rPr>
          <w:rStyle w:val="FootnoteReference"/>
        </w:rPr>
        <w:footnoteReference w:id="112"/>
      </w:r>
    </w:p>
    <w:p w14:paraId="3AA1E0E6" w14:textId="0BB47830" w:rsidR="00B71955" w:rsidRPr="00B8555A" w:rsidRDefault="00012381" w:rsidP="007275A5">
      <w:pPr>
        <w:pStyle w:val="Numberedpara"/>
        <w:ind w:left="540" w:hanging="540"/>
      </w:pPr>
      <w:r>
        <w:t xml:space="preserve">Our organisations stress the dire need for justice and accountability for widespread and systematic human rights violations committed in the occupied Palestinian territory, including in the occupied Gaza Strip, </w:t>
      </w:r>
      <w:r w:rsidR="009F20A5">
        <w:t xml:space="preserve">in order </w:t>
      </w:r>
      <w:r>
        <w:t xml:space="preserve">to </w:t>
      </w:r>
      <w:r w:rsidR="009F20A5">
        <w:t>hold</w:t>
      </w:r>
      <w:r>
        <w:t xml:space="preserve"> perpetrators to account and </w:t>
      </w:r>
      <w:r w:rsidR="009F20A5">
        <w:t xml:space="preserve">ensure </w:t>
      </w:r>
      <w:r>
        <w:t>victims</w:t>
      </w:r>
      <w:r w:rsidR="009F20A5">
        <w:t xml:space="preserve"> can exercise</w:t>
      </w:r>
      <w:r>
        <w:t xml:space="preserve"> their right to an effective remedy. </w:t>
      </w:r>
      <w:r w:rsidR="007119A0">
        <w:rPr>
          <w:b/>
          <w:bCs/>
        </w:rPr>
        <w:t>Accordingly</w:t>
      </w:r>
      <w:r>
        <w:rPr>
          <w:b/>
          <w:bCs/>
        </w:rPr>
        <w:t xml:space="preserve">, we urge the Committee to request information from Israel, </w:t>
      </w:r>
      <w:r w:rsidR="00B452CE">
        <w:rPr>
          <w:b/>
          <w:bCs/>
        </w:rPr>
        <w:t xml:space="preserve">the </w:t>
      </w:r>
      <w:r>
        <w:rPr>
          <w:b/>
          <w:bCs/>
        </w:rPr>
        <w:t>Occupying Power, on measures taken to implement the recommendations of the UN Commission of Inquiry on the 2018 protests in the occupied Palestinian territory, and in particular in relation to the Committee’s recommendations on fulfilling the right of Palestinians to the highest attainable standard of physical and mental health, and with regard to lifting the Gaza blockade with immediate effect. We stress that Israel’s policies and practices</w:t>
      </w:r>
      <w:r w:rsidR="00FF44FA">
        <w:rPr>
          <w:b/>
          <w:bCs/>
        </w:rPr>
        <w:t xml:space="preserve"> </w:t>
      </w:r>
      <w:r>
        <w:rPr>
          <w:b/>
          <w:bCs/>
        </w:rPr>
        <w:t xml:space="preserve">amount </w:t>
      </w:r>
      <w:r w:rsidR="001F4E4B">
        <w:rPr>
          <w:b/>
          <w:bCs/>
        </w:rPr>
        <w:t xml:space="preserve">to </w:t>
      </w:r>
      <w:r>
        <w:rPr>
          <w:b/>
          <w:bCs/>
        </w:rPr>
        <w:t xml:space="preserve">the crime of apartheid, </w:t>
      </w:r>
      <w:r w:rsidR="00FF44FA">
        <w:rPr>
          <w:b/>
          <w:bCs/>
        </w:rPr>
        <w:t xml:space="preserve">have already made the Gaza Strip uninhabitable, and </w:t>
      </w:r>
      <w:r>
        <w:rPr>
          <w:b/>
          <w:bCs/>
        </w:rPr>
        <w:t xml:space="preserve">violate the full spectrum of rights owed to </w:t>
      </w:r>
      <w:bookmarkStart w:id="47" w:name="_GoBack"/>
      <w:bookmarkEnd w:id="47"/>
      <w:r>
        <w:rPr>
          <w:b/>
          <w:bCs/>
        </w:rPr>
        <w:t>Palestinians in the Gaza Strip, deny</w:t>
      </w:r>
      <w:r w:rsidR="007275A5">
        <w:rPr>
          <w:b/>
          <w:bCs/>
        </w:rPr>
        <w:t>ing</w:t>
      </w:r>
      <w:r>
        <w:rPr>
          <w:b/>
          <w:bCs/>
        </w:rPr>
        <w:t xml:space="preserve"> them the enjoyment on an equal footing of fundamental rights and freedoms, in </w:t>
      </w:r>
      <w:r w:rsidR="00D85F65">
        <w:rPr>
          <w:b/>
          <w:bCs/>
        </w:rPr>
        <w:t>violation of</w:t>
      </w:r>
      <w:r>
        <w:rPr>
          <w:b/>
          <w:bCs/>
        </w:rPr>
        <w:t xml:space="preserve"> Article</w:t>
      </w:r>
      <w:r w:rsidR="00B452CE">
        <w:rPr>
          <w:b/>
          <w:bCs/>
        </w:rPr>
        <w:t>s 3 and</w:t>
      </w:r>
      <w:r>
        <w:rPr>
          <w:b/>
          <w:bCs/>
        </w:rPr>
        <w:t xml:space="preserve"> 5 of the Convention.</w:t>
      </w:r>
      <w:bookmarkEnd w:id="19"/>
    </w:p>
    <w:sectPr w:rsidR="00B71955" w:rsidRPr="00B8555A" w:rsidSect="00E671CF">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9F5152" w14:textId="77777777" w:rsidR="006B217B" w:rsidRDefault="006B217B" w:rsidP="00C443BE">
      <w:r>
        <w:separator/>
      </w:r>
    </w:p>
  </w:endnote>
  <w:endnote w:type="continuationSeparator" w:id="0">
    <w:p w14:paraId="565BEB24" w14:textId="77777777" w:rsidR="006B217B" w:rsidRDefault="006B217B" w:rsidP="00C443BE">
      <w:r>
        <w:continuationSeparator/>
      </w:r>
    </w:p>
  </w:endnote>
  <w:endnote w:type="continuationNotice" w:id="1">
    <w:p w14:paraId="24EB9AD7" w14:textId="77777777" w:rsidR="006B217B" w:rsidRDefault="006B21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Segoe UI">
    <w:altName w:val="Calibr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Garamond">
    <w:panose1 w:val="020204040303010108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1313986458"/>
      <w:docPartObj>
        <w:docPartGallery w:val="Page Numbers (Bottom of Page)"/>
        <w:docPartUnique/>
      </w:docPartObj>
    </w:sdtPr>
    <w:sdtEndPr>
      <w:rPr>
        <w:noProof/>
      </w:rPr>
    </w:sdtEndPr>
    <w:sdtContent>
      <w:p w14:paraId="18209221" w14:textId="594560DD" w:rsidR="00CE18D1" w:rsidRPr="001F21C6" w:rsidRDefault="00CE18D1" w:rsidP="00E671CF">
        <w:pPr>
          <w:pStyle w:val="Footer"/>
          <w:spacing w:line="276" w:lineRule="auto"/>
          <w:jc w:val="right"/>
          <w:rPr>
            <w:rFonts w:ascii="Times New Roman" w:hAnsi="Times New Roman" w:cs="Times New Roman"/>
            <w:sz w:val="22"/>
            <w:szCs w:val="22"/>
          </w:rPr>
        </w:pPr>
        <w:r w:rsidRPr="001F21C6">
          <w:rPr>
            <w:rFonts w:ascii="Times New Roman" w:hAnsi="Times New Roman" w:cs="Times New Roman"/>
            <w:sz w:val="22"/>
            <w:szCs w:val="22"/>
          </w:rPr>
          <w:fldChar w:fldCharType="begin"/>
        </w:r>
        <w:r w:rsidRPr="001F21C6">
          <w:rPr>
            <w:rFonts w:ascii="Times New Roman" w:hAnsi="Times New Roman" w:cs="Times New Roman"/>
            <w:sz w:val="22"/>
            <w:szCs w:val="22"/>
          </w:rPr>
          <w:instrText xml:space="preserve"> PAGE   \* MERGEFORMAT </w:instrText>
        </w:r>
        <w:r w:rsidRPr="001F21C6">
          <w:rPr>
            <w:rFonts w:ascii="Times New Roman" w:hAnsi="Times New Roman" w:cs="Times New Roman"/>
            <w:sz w:val="22"/>
            <w:szCs w:val="22"/>
          </w:rPr>
          <w:fldChar w:fldCharType="separate"/>
        </w:r>
        <w:r w:rsidR="007275A5">
          <w:rPr>
            <w:rFonts w:ascii="Times New Roman" w:hAnsi="Times New Roman" w:cs="Times New Roman"/>
            <w:noProof/>
            <w:sz w:val="22"/>
            <w:szCs w:val="22"/>
          </w:rPr>
          <w:t>20</w:t>
        </w:r>
        <w:r w:rsidRPr="001F21C6">
          <w:rPr>
            <w:rFonts w:ascii="Times New Roman" w:hAnsi="Times New Roman" w:cs="Times New Roman"/>
            <w:noProof/>
            <w:sz w:val="22"/>
            <w:szCs w:val="22"/>
          </w:rPr>
          <w:fldChar w:fldCharType="end"/>
        </w:r>
      </w:p>
    </w:sdtContent>
  </w:sdt>
  <w:p w14:paraId="3492C5B8" w14:textId="6D4C410A" w:rsidR="00CE18D1" w:rsidRPr="001F21C6" w:rsidRDefault="00CE18D1" w:rsidP="00E671CF">
    <w:pPr>
      <w:pStyle w:val="Footer"/>
      <w:spacing w:line="276" w:lineRule="auto"/>
      <w:rPr>
        <w:rFonts w:ascii="Times New Roman" w:hAnsi="Times New Roman" w:cs="Times New Roman"/>
        <w:sz w:val="22"/>
        <w:szCs w:val="22"/>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9CC5F" w14:textId="77777777" w:rsidR="00CE18D1" w:rsidRPr="00E671CF" w:rsidRDefault="00CE18D1" w:rsidP="00E671CF">
    <w:pPr>
      <w:pStyle w:val="Footer"/>
      <w:spacing w:after="80" w:line="276" w:lineRule="auto"/>
      <w:ind w:right="360"/>
      <w:rPr>
        <w:rFonts w:ascii="Times New Roman" w:hAnsi="Times New Roman" w:cs="Times New Roman"/>
        <w:sz w:val="22"/>
        <w:szCs w:val="2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7DBBB8" w14:textId="77777777" w:rsidR="006B217B" w:rsidRDefault="006B217B" w:rsidP="00C443BE">
      <w:r>
        <w:separator/>
      </w:r>
    </w:p>
  </w:footnote>
  <w:footnote w:type="continuationSeparator" w:id="0">
    <w:p w14:paraId="19AF554E" w14:textId="77777777" w:rsidR="006B217B" w:rsidRDefault="006B217B" w:rsidP="00C443BE">
      <w:r>
        <w:continuationSeparator/>
      </w:r>
    </w:p>
  </w:footnote>
  <w:footnote w:type="continuationNotice" w:id="1">
    <w:p w14:paraId="1D02F4AF" w14:textId="77777777" w:rsidR="006B217B" w:rsidRDefault="006B217B"/>
  </w:footnote>
  <w:footnote w:id="2">
    <w:p w14:paraId="6D6B3A5D" w14:textId="5EB4BF4F"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Seventeenth to nineteenth periodic reports of States parties due in 2016, Israel, 2 March 2017, UN Doc. CERD/C/ISR/17-19.</w:t>
      </w:r>
    </w:p>
  </w:footnote>
  <w:footnote w:id="3">
    <w:p w14:paraId="67AF482E" w14:textId="48B9B2AC"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 xml:space="preserve">International Convention on the Elimination of All Forms of Racial Discrimination </w:t>
      </w:r>
      <w:r w:rsidRPr="009468DD">
        <w:rPr>
          <w:rFonts w:ascii="Times New Roman" w:hAnsi="Times New Roman" w:cs="Times New Roman"/>
          <w:sz w:val="20"/>
          <w:szCs w:val="20"/>
          <w:lang w:val="en-GB"/>
        </w:rPr>
        <w:t>(adopted 7 March 1966, entry into force 4 January 1969) 660 UNTS 195 (hereinafter ICERD).</w:t>
      </w:r>
    </w:p>
  </w:footnote>
  <w:footnote w:id="4">
    <w:p w14:paraId="2B3FC4CF" w14:textId="4612B264"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The International Criminal Court (ICC) has jurisdiction in the occupied Palestinian territory with the ICC’s Office of the Prosecutor currently conducting a preliminary examination into the situation in Palestine since 13 June 2014. </w:t>
      </w:r>
      <w:r w:rsidRPr="009468DD">
        <w:rPr>
          <w:rFonts w:ascii="Times New Roman" w:hAnsi="Times New Roman" w:cs="Times New Roman"/>
          <w:i/>
          <w:iCs/>
          <w:sz w:val="20"/>
          <w:szCs w:val="20"/>
          <w:lang w:val="en-GB"/>
        </w:rPr>
        <w:t xml:space="preserve">See </w:t>
      </w:r>
      <w:r w:rsidRPr="009468DD">
        <w:rPr>
          <w:rFonts w:ascii="Times New Roman" w:hAnsi="Times New Roman" w:cs="Times New Roman"/>
          <w:sz w:val="20"/>
          <w:szCs w:val="20"/>
          <w:lang w:val="en-GB"/>
        </w:rPr>
        <w:t>further below at paragraph 13.</w:t>
      </w:r>
    </w:p>
  </w:footnote>
  <w:footnote w:id="5">
    <w:p w14:paraId="670F7360" w14:textId="2FC2BDF2"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Concluding observations of the Committee on the Elimination of Racial Discrimination on the fourteenth to sixteenth periodic reports of Israel, 3 April 2012, UN Doc. CERD/C/ISR/CO/14-16.</w:t>
      </w:r>
    </w:p>
  </w:footnote>
  <w:footnote w:id="6">
    <w:p w14:paraId="3353DCFE" w14:textId="53EE7844"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Concluding observations of the Committee on the Elimination of Racial Discrimination on the fourteenth to sixteenth periodic reports of Israel, 3 April 2012, UN Doc. CERD/C/ISR/CO/14-16, para. 25.</w:t>
      </w:r>
    </w:p>
  </w:footnote>
  <w:footnote w:id="7">
    <w:p w14:paraId="5A7E396C" w14:textId="37CE2CB5" w:rsidR="00CE18D1" w:rsidRPr="008D06C2" w:rsidRDefault="00CE18D1" w:rsidP="008D06C2">
      <w:pPr>
        <w:pStyle w:val="FootnoteText"/>
        <w:spacing w:before="80" w:after="80" w:line="20" w:lineRule="atLeast"/>
        <w:rPr>
          <w:rFonts w:ascii="Times New Roman" w:hAnsi="Times New Roman" w:cs="Times New Roman"/>
          <w:i/>
          <w:iCs/>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008D06C2">
        <w:rPr>
          <w:rFonts w:ascii="Times New Roman" w:hAnsi="Times New Roman" w:cs="Times New Roman"/>
          <w:i/>
          <w:iCs/>
          <w:sz w:val="20"/>
          <w:szCs w:val="20"/>
          <w:lang w:val="en-GB"/>
        </w:rPr>
        <w:t>Ibid.</w:t>
      </w:r>
    </w:p>
  </w:footnote>
  <w:footnote w:id="8">
    <w:p w14:paraId="11540AAB" w14:textId="2498630A" w:rsidR="00CE18D1" w:rsidRPr="009468DD" w:rsidRDefault="00CE18D1" w:rsidP="008D06C2">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008D06C2">
        <w:rPr>
          <w:rFonts w:ascii="Times New Roman" w:hAnsi="Times New Roman" w:cs="Times New Roman"/>
          <w:i/>
          <w:iCs/>
          <w:sz w:val="20"/>
          <w:szCs w:val="20"/>
          <w:lang w:val="en-GB"/>
        </w:rPr>
        <w:t xml:space="preserve"> Ibid.</w:t>
      </w:r>
      <w:r w:rsidRPr="009468DD">
        <w:rPr>
          <w:rFonts w:ascii="Times New Roman" w:hAnsi="Times New Roman" w:cs="Times New Roman"/>
          <w:sz w:val="20"/>
          <w:szCs w:val="20"/>
          <w:lang w:val="en-GB"/>
        </w:rPr>
        <w:t>, para. 26.</w:t>
      </w:r>
    </w:p>
  </w:footnote>
  <w:footnote w:id="9">
    <w:p w14:paraId="31A3D607" w14:textId="5FF362A9" w:rsidR="00CE18D1" w:rsidRPr="009468DD" w:rsidRDefault="00CE18D1" w:rsidP="009468DD">
      <w:pPr>
        <w:pStyle w:val="FootnoteText"/>
        <w:spacing w:before="80" w:after="80" w:line="20" w:lineRule="atLeast"/>
        <w:rPr>
          <w:rFonts w:ascii="Times New Roman" w:hAnsi="Times New Roman" w:cs="Times New Roman"/>
          <w:color w:val="000000" w:themeColor="text1"/>
          <w:sz w:val="20"/>
          <w:szCs w:val="20"/>
          <w:lang w:val="en-GB"/>
        </w:rPr>
      </w:pPr>
      <w:r w:rsidRPr="009468DD">
        <w:rPr>
          <w:rStyle w:val="FootnoteReference"/>
          <w:rFonts w:ascii="Times New Roman" w:hAnsi="Times New Roman" w:cs="Times New Roman"/>
          <w:color w:val="000000" w:themeColor="text1"/>
          <w:sz w:val="20"/>
          <w:szCs w:val="20"/>
          <w:lang w:val="en-GB"/>
        </w:rPr>
        <w:footnoteRef/>
      </w:r>
      <w:r w:rsidRPr="009468DD">
        <w:rPr>
          <w:rFonts w:ascii="Times New Roman" w:hAnsi="Times New Roman" w:cs="Times New Roman"/>
          <w:color w:val="000000" w:themeColor="text1"/>
          <w:sz w:val="20"/>
          <w:szCs w:val="20"/>
          <w:lang w:val="en-GB"/>
        </w:rPr>
        <w:t xml:space="preserve"> CESCR, </w:t>
      </w:r>
      <w:proofErr w:type="gramStart"/>
      <w:r w:rsidRPr="009468DD">
        <w:rPr>
          <w:rFonts w:ascii="Times New Roman" w:hAnsi="Times New Roman" w:cs="Times New Roman"/>
          <w:color w:val="000000" w:themeColor="text1"/>
          <w:sz w:val="20"/>
          <w:szCs w:val="20"/>
          <w:lang w:val="en-GB"/>
        </w:rPr>
        <w:t>Concluding</w:t>
      </w:r>
      <w:proofErr w:type="gramEnd"/>
      <w:r w:rsidRPr="009468DD">
        <w:rPr>
          <w:rFonts w:ascii="Times New Roman" w:hAnsi="Times New Roman" w:cs="Times New Roman"/>
          <w:color w:val="000000" w:themeColor="text1"/>
          <w:sz w:val="20"/>
          <w:szCs w:val="20"/>
          <w:lang w:val="en-GB"/>
        </w:rPr>
        <w:t xml:space="preserve"> observations of the Committee on Economic, Social and Cultural Rights on Israel’s initial report, 4 December 1998, UN Doc. E/C.12/1/Add.27, para. 10.</w:t>
      </w:r>
    </w:p>
  </w:footnote>
  <w:footnote w:id="10">
    <w:p w14:paraId="7952E6A0" w14:textId="2CD6D6E5"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See</w:t>
      </w:r>
      <w:r w:rsidRPr="009468DD">
        <w:rPr>
          <w:rFonts w:ascii="Times New Roman" w:hAnsi="Times New Roman" w:cs="Times New Roman"/>
          <w:sz w:val="20"/>
          <w:szCs w:val="20"/>
          <w:lang w:val="en-GB"/>
        </w:rPr>
        <w:t xml:space="preserve">, more recently, the adoption of the Basic Law: Israel as the Nation-State of the Jewish People (2018); Al-Haq, “Factsheet: Israel’s “Jewish Nation-State Law” and the Occupied Palestinian Territory,” 23 January 2019, available at: </w:t>
      </w:r>
      <w:hyperlink r:id="rId1" w:history="1">
        <w:r w:rsidRPr="009468DD">
          <w:rPr>
            <w:rStyle w:val="Hyperlink"/>
            <w:rFonts w:ascii="Times New Roman" w:hAnsi="Times New Roman" w:cs="Times New Roman"/>
            <w:sz w:val="20"/>
            <w:szCs w:val="20"/>
            <w:lang w:val="en-GB"/>
          </w:rPr>
          <w:t>https://www.alhaq.org/advocacy/6115.html</w:t>
        </w:r>
      </w:hyperlink>
      <w:r w:rsidRPr="009468DD">
        <w:rPr>
          <w:rFonts w:ascii="Times New Roman" w:hAnsi="Times New Roman" w:cs="Times New Roman"/>
          <w:sz w:val="20"/>
          <w:szCs w:val="20"/>
          <w:lang w:val="en-GB"/>
        </w:rPr>
        <w:t>.</w:t>
      </w:r>
    </w:p>
  </w:footnote>
  <w:footnote w:id="11">
    <w:p w14:paraId="4F26BC0D" w14:textId="50A52129"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color w:val="000000" w:themeColor="text1"/>
          <w:sz w:val="20"/>
          <w:szCs w:val="20"/>
          <w:lang w:val="en-GB"/>
        </w:rPr>
        <w:t xml:space="preserve">CESCR, </w:t>
      </w:r>
      <w:proofErr w:type="gramStart"/>
      <w:r w:rsidRPr="009468DD">
        <w:rPr>
          <w:rFonts w:ascii="Times New Roman" w:hAnsi="Times New Roman" w:cs="Times New Roman"/>
          <w:color w:val="000000" w:themeColor="text1"/>
          <w:sz w:val="20"/>
          <w:szCs w:val="20"/>
          <w:lang w:val="en-GB"/>
        </w:rPr>
        <w:t>Concluding</w:t>
      </w:r>
      <w:proofErr w:type="gramEnd"/>
      <w:r w:rsidRPr="009468DD">
        <w:rPr>
          <w:rFonts w:ascii="Times New Roman" w:hAnsi="Times New Roman" w:cs="Times New Roman"/>
          <w:color w:val="000000" w:themeColor="text1"/>
          <w:sz w:val="20"/>
          <w:szCs w:val="20"/>
          <w:lang w:val="en-GB"/>
        </w:rPr>
        <w:t xml:space="preserve"> observations of the Committee on Economic, Social and Cultural Rights on Israel’s initial report, 4 December 1998, UN Doc. E/C.12/1/Add.27, para. 11.</w:t>
      </w:r>
    </w:p>
  </w:footnote>
  <w:footnote w:id="12">
    <w:p w14:paraId="2C5E97A1" w14:textId="44C1D910"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“Factsheet: Israel’s “Jewish Nation-State Law” and the Occupied Palestinian Territory,” 23 January 2019, available at: </w:t>
      </w:r>
      <w:hyperlink r:id="rId2" w:history="1">
        <w:r w:rsidRPr="009468DD">
          <w:rPr>
            <w:rStyle w:val="Hyperlink"/>
            <w:rFonts w:ascii="Times New Roman" w:hAnsi="Times New Roman" w:cs="Times New Roman"/>
            <w:sz w:val="20"/>
            <w:szCs w:val="20"/>
            <w:lang w:val="en-GB"/>
          </w:rPr>
          <w:t>https://www.alhaq.org/advocacy/6115.html</w:t>
        </w:r>
      </w:hyperlink>
      <w:r w:rsidRPr="009468DD">
        <w:rPr>
          <w:rFonts w:ascii="Times New Roman" w:hAnsi="Times New Roman" w:cs="Times New Roman"/>
          <w:sz w:val="20"/>
          <w:szCs w:val="20"/>
          <w:lang w:val="en-GB"/>
        </w:rPr>
        <w:t>.</w:t>
      </w:r>
    </w:p>
  </w:footnote>
  <w:footnote w:id="13">
    <w:p w14:paraId="05C9AEB3" w14:textId="6B3017B3" w:rsidR="00CE18D1" w:rsidRPr="009468DD" w:rsidRDefault="00CE18D1" w:rsidP="009468DD">
      <w:pPr>
        <w:spacing w:before="80" w:after="80" w:line="20" w:lineRule="atLeast"/>
        <w:rPr>
          <w:color w:val="000000" w:themeColor="text1"/>
          <w:sz w:val="20"/>
          <w:szCs w:val="20"/>
          <w:lang w:val="en-GB"/>
        </w:rPr>
      </w:pPr>
      <w:r w:rsidRPr="009468DD">
        <w:rPr>
          <w:rStyle w:val="FootnoteReference"/>
          <w:sz w:val="20"/>
          <w:szCs w:val="20"/>
          <w:lang w:val="en-GB"/>
        </w:rPr>
        <w:footnoteRef/>
      </w:r>
      <w:r w:rsidRPr="009468DD">
        <w:rPr>
          <w:sz w:val="20"/>
          <w:szCs w:val="20"/>
          <w:lang w:val="en-GB"/>
        </w:rPr>
        <w:t xml:space="preserve"> Article 1(2) of the </w:t>
      </w:r>
      <w:r w:rsidRPr="009468DD">
        <w:rPr>
          <w:i/>
          <w:iCs/>
          <w:sz w:val="20"/>
          <w:szCs w:val="20"/>
          <w:lang w:val="en-GB"/>
        </w:rPr>
        <w:t>International Covenant on Economic, Social and Cultural Rights</w:t>
      </w:r>
      <w:r w:rsidRPr="009468DD">
        <w:rPr>
          <w:sz w:val="20"/>
          <w:szCs w:val="20"/>
          <w:lang w:val="en-GB"/>
        </w:rPr>
        <w:t xml:space="preserve"> (adopted 16 December 1966, entry into force 3 January 1976) 993 UNTS 3 (hereinafter </w:t>
      </w:r>
      <w:r w:rsidRPr="009468DD">
        <w:rPr>
          <w:color w:val="000000" w:themeColor="text1"/>
          <w:sz w:val="20"/>
          <w:szCs w:val="20"/>
          <w:lang w:val="en-GB"/>
        </w:rPr>
        <w:t xml:space="preserve">ICESCR) and the </w:t>
      </w:r>
      <w:r w:rsidRPr="009468DD">
        <w:rPr>
          <w:i/>
          <w:iCs/>
          <w:color w:val="000000" w:themeColor="text1"/>
          <w:sz w:val="20"/>
          <w:szCs w:val="20"/>
          <w:lang w:val="en-GB"/>
        </w:rPr>
        <w:t>International Covenant on Civil and Political Rights</w:t>
      </w:r>
      <w:r w:rsidRPr="009468DD">
        <w:rPr>
          <w:color w:val="000000" w:themeColor="text1"/>
          <w:sz w:val="20"/>
          <w:szCs w:val="20"/>
          <w:lang w:val="en-GB"/>
        </w:rPr>
        <w:t xml:space="preserve"> (adopted 16 December 1966, entry into force 23 March 1976) 999 UNTS 171 (hereinafter ICCPR).</w:t>
      </w:r>
    </w:p>
  </w:footnote>
  <w:footnote w:id="14">
    <w:p w14:paraId="43EBC8E4" w14:textId="2267FDAD"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“Factsheet: Israel’s “Jewish Nation-State Law” and the Occupied Palestinian Territory,” 23 January 2019, available at: </w:t>
      </w:r>
      <w:hyperlink r:id="rId3" w:history="1">
        <w:r w:rsidRPr="009468DD">
          <w:rPr>
            <w:rStyle w:val="Hyperlink"/>
            <w:rFonts w:ascii="Times New Roman" w:hAnsi="Times New Roman" w:cs="Times New Roman"/>
            <w:sz w:val="20"/>
            <w:szCs w:val="20"/>
            <w:lang w:val="en-GB"/>
          </w:rPr>
          <w:t>https://www.alhaq.org/advocacy/6115.html</w:t>
        </w:r>
      </w:hyperlink>
      <w:r w:rsidRPr="009468DD">
        <w:rPr>
          <w:rFonts w:ascii="Times New Roman" w:hAnsi="Times New Roman" w:cs="Times New Roman"/>
          <w:sz w:val="20"/>
          <w:szCs w:val="20"/>
          <w:lang w:val="en-GB"/>
        </w:rPr>
        <w:t>.</w:t>
      </w:r>
    </w:p>
  </w:footnote>
  <w:footnote w:id="15">
    <w:p w14:paraId="12B7BAE4" w14:textId="6DC2CE9C"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Article 49, </w:t>
      </w:r>
      <w:r w:rsidRPr="009468DD">
        <w:rPr>
          <w:rFonts w:ascii="Times New Roman" w:hAnsi="Times New Roman" w:cs="Times New Roman"/>
          <w:i/>
          <w:iCs/>
          <w:sz w:val="20"/>
          <w:szCs w:val="20"/>
          <w:lang w:val="en-GB"/>
        </w:rPr>
        <w:t>Geneva Convention Relative to the Protection of Civilian Persons in Time of War</w:t>
      </w:r>
      <w:r w:rsidRPr="009468DD">
        <w:rPr>
          <w:rFonts w:ascii="Times New Roman" w:hAnsi="Times New Roman" w:cs="Times New Roman"/>
          <w:sz w:val="20"/>
          <w:szCs w:val="20"/>
          <w:lang w:val="en-GB"/>
        </w:rPr>
        <w:t xml:space="preserve"> (adopted 12 August 1949) 75 UNTS 287 (hereinafter ‘Fourth Geneva Convention’).</w:t>
      </w:r>
    </w:p>
  </w:footnote>
  <w:footnote w:id="16">
    <w:p w14:paraId="538F070D" w14:textId="0B9664E4"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Article 33, Fourth Geneva Convention.</w:t>
      </w:r>
    </w:p>
  </w:footnote>
  <w:footnote w:id="17">
    <w:p w14:paraId="63736450" w14:textId="783CF0B2"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See</w:t>
      </w:r>
      <w:r w:rsidRPr="009468DD">
        <w:rPr>
          <w:rFonts w:ascii="Times New Roman" w:hAnsi="Times New Roman" w:cs="Times New Roman"/>
          <w:sz w:val="20"/>
          <w:szCs w:val="20"/>
          <w:lang w:val="en-GB"/>
        </w:rPr>
        <w:t>, in particular, Articles 5(d)(</w:t>
      </w:r>
      <w:proofErr w:type="spellStart"/>
      <w:r w:rsidRPr="009468DD">
        <w:rPr>
          <w:rFonts w:ascii="Times New Roman" w:hAnsi="Times New Roman" w:cs="Times New Roman"/>
          <w:sz w:val="20"/>
          <w:szCs w:val="20"/>
          <w:lang w:val="en-GB"/>
        </w:rPr>
        <w:t>i</w:t>
      </w:r>
      <w:proofErr w:type="spellEnd"/>
      <w:r w:rsidRPr="009468DD">
        <w:rPr>
          <w:rFonts w:ascii="Times New Roman" w:hAnsi="Times New Roman" w:cs="Times New Roman"/>
          <w:sz w:val="20"/>
          <w:szCs w:val="20"/>
          <w:lang w:val="en-GB"/>
        </w:rPr>
        <w:t>) and 5(e)(iii), ICERD; Article 6, ICCPR; and Articles 11(1) and 12(1), ICCESCR.</w:t>
      </w:r>
    </w:p>
  </w:footnote>
  <w:footnote w:id="18">
    <w:p w14:paraId="29A38341" w14:textId="0B0359F1"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Articles 1(1) and 1(2), ICCPR and ICESCR.</w:t>
      </w:r>
    </w:p>
  </w:footnote>
  <w:footnote w:id="19">
    <w:p w14:paraId="517813CD" w14:textId="23A92D23"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Legal Consequences of the Construction of a Wall in the Occupied Palestinian Territory</w:t>
      </w:r>
      <w:r w:rsidRPr="009468DD">
        <w:rPr>
          <w:rFonts w:ascii="Times New Roman" w:hAnsi="Times New Roman" w:cs="Times New Roman"/>
          <w:sz w:val="20"/>
          <w:szCs w:val="20"/>
          <w:lang w:val="en-GB"/>
        </w:rPr>
        <w:t>, Advisory Opinion, ICJ Reports 2004, p. 136, paras. 122 and 151.</w:t>
      </w:r>
    </w:p>
  </w:footnote>
  <w:footnote w:id="20">
    <w:p w14:paraId="27FB104C" w14:textId="282E3957" w:rsidR="00CE18D1" w:rsidRPr="009468DD" w:rsidRDefault="00CE18D1" w:rsidP="009468DD">
      <w:pPr>
        <w:spacing w:before="80" w:after="80" w:line="20" w:lineRule="atLeast"/>
        <w:rPr>
          <w:sz w:val="20"/>
          <w:szCs w:val="20"/>
          <w:lang w:val="en-GB"/>
        </w:rPr>
      </w:pPr>
      <w:r w:rsidRPr="009468DD">
        <w:rPr>
          <w:rStyle w:val="FootnoteReference"/>
          <w:sz w:val="20"/>
          <w:szCs w:val="20"/>
          <w:lang w:val="en-GB"/>
        </w:rPr>
        <w:footnoteRef/>
      </w:r>
      <w:r w:rsidRPr="009468DD">
        <w:rPr>
          <w:sz w:val="20"/>
          <w:szCs w:val="20"/>
          <w:lang w:val="en-GB"/>
        </w:rPr>
        <w:t xml:space="preserve"> IHRA, “Working Definition of Antisemitism,” available at: </w:t>
      </w:r>
      <w:hyperlink r:id="rId4" w:history="1">
        <w:r w:rsidRPr="009468DD">
          <w:rPr>
            <w:rStyle w:val="Hyperlink"/>
            <w:sz w:val="20"/>
            <w:szCs w:val="20"/>
            <w:lang w:val="en-GB"/>
          </w:rPr>
          <w:t>https://www.holocaustremembrance.com/working-definition-antisemitism</w:t>
        </w:r>
      </w:hyperlink>
      <w:r w:rsidRPr="009468DD">
        <w:rPr>
          <w:sz w:val="20"/>
          <w:szCs w:val="20"/>
          <w:lang w:val="en-GB"/>
        </w:rPr>
        <w:t>, accessed 5 September 2019.</w:t>
      </w:r>
    </w:p>
  </w:footnote>
  <w:footnote w:id="21">
    <w:p w14:paraId="78F8295F"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See</w:t>
      </w:r>
      <w:r w:rsidRPr="009468DD">
        <w:rPr>
          <w:rFonts w:ascii="Times New Roman" w:hAnsi="Times New Roman" w:cs="Times New Roman"/>
          <w:sz w:val="20"/>
          <w:szCs w:val="20"/>
          <w:lang w:val="en-GB"/>
        </w:rPr>
        <w:t xml:space="preserve">, e.g., the following social media posts by the public outreach mechanism of the Israeli Ministry of Strategic Affairs, 4IL: </w:t>
      </w:r>
      <w:hyperlink r:id="rId5" w:history="1">
        <w:r w:rsidRPr="009468DD">
          <w:rPr>
            <w:rStyle w:val="Hyperlink"/>
            <w:rFonts w:ascii="Times New Roman" w:hAnsi="Times New Roman" w:cs="Times New Roman"/>
            <w:sz w:val="20"/>
            <w:szCs w:val="20"/>
            <w:lang w:val="en-GB"/>
          </w:rPr>
          <w:t>https://www.facebook.com/4IL.org/photos/a.1781386778839148/2221696358141519/?type=3</w:t>
        </w:r>
      </w:hyperlink>
      <w:r w:rsidRPr="009468DD">
        <w:rPr>
          <w:rFonts w:ascii="Times New Roman" w:hAnsi="Times New Roman" w:cs="Times New Roman"/>
          <w:sz w:val="20"/>
          <w:szCs w:val="20"/>
          <w:lang w:val="en-GB"/>
        </w:rPr>
        <w:t xml:space="preserve"> (dated 26 June 2019); and </w:t>
      </w:r>
      <w:hyperlink r:id="rId6" w:history="1">
        <w:r w:rsidRPr="009468DD">
          <w:rPr>
            <w:rStyle w:val="Hyperlink"/>
            <w:rFonts w:ascii="Times New Roman" w:hAnsi="Times New Roman" w:cs="Times New Roman"/>
            <w:sz w:val="20"/>
            <w:szCs w:val="20"/>
            <w:lang w:val="en-GB"/>
          </w:rPr>
          <w:t>https://twitter.com/4ILorg/status/1158953158149910529</w:t>
        </w:r>
      </w:hyperlink>
      <w:r w:rsidRPr="009468DD">
        <w:rPr>
          <w:rFonts w:ascii="Times New Roman" w:hAnsi="Times New Roman" w:cs="Times New Roman"/>
          <w:sz w:val="20"/>
          <w:szCs w:val="20"/>
          <w:lang w:val="en-GB"/>
        </w:rPr>
        <w:t xml:space="preserve"> (dated 7 August 2019).</w:t>
      </w:r>
    </w:p>
  </w:footnote>
  <w:footnote w:id="22">
    <w:p w14:paraId="34141B26"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BDS, “What is BDS?” </w:t>
      </w:r>
      <w:hyperlink r:id="rId7" w:history="1">
        <w:r w:rsidRPr="009468DD">
          <w:rPr>
            <w:rStyle w:val="Hyperlink"/>
            <w:rFonts w:ascii="Times New Roman" w:hAnsi="Times New Roman" w:cs="Times New Roman"/>
            <w:sz w:val="20"/>
            <w:szCs w:val="20"/>
            <w:lang w:val="en-GB"/>
          </w:rPr>
          <w:t>https://bdsmovement.net/what-is-bds</w:t>
        </w:r>
      </w:hyperlink>
      <w:r w:rsidRPr="009468DD">
        <w:rPr>
          <w:rFonts w:ascii="Times New Roman" w:hAnsi="Times New Roman" w:cs="Times New Roman"/>
          <w:sz w:val="20"/>
          <w:szCs w:val="20"/>
          <w:lang w:val="en-GB"/>
        </w:rPr>
        <w:t>, accessed 5 September 2019.</w:t>
      </w:r>
    </w:p>
  </w:footnote>
  <w:footnote w:id="23">
    <w:p w14:paraId="79D79794" w14:textId="047BA78C"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See</w:t>
      </w:r>
      <w:r w:rsidRPr="009468DD">
        <w:rPr>
          <w:rFonts w:ascii="Times New Roman" w:hAnsi="Times New Roman" w:cs="Times New Roman"/>
          <w:sz w:val="20"/>
          <w:szCs w:val="20"/>
          <w:lang w:val="en-GB"/>
        </w:rPr>
        <w:t xml:space="preserve"> </w:t>
      </w:r>
      <w:r w:rsidRPr="009468DD">
        <w:rPr>
          <w:rFonts w:ascii="Times New Roman" w:hAnsi="Times New Roman" w:cs="Times New Roman"/>
          <w:iCs/>
          <w:sz w:val="20"/>
          <w:szCs w:val="20"/>
          <w:lang w:val="en-GB"/>
        </w:rPr>
        <w:t>Israeli Government Services,</w:t>
      </w:r>
      <w:r w:rsidR="006B1A60">
        <w:rPr>
          <w:rFonts w:ascii="Times New Roman" w:hAnsi="Times New Roman" w:cs="Times New Roman"/>
          <w:sz w:val="20"/>
          <w:szCs w:val="20"/>
          <w:lang w:val="en-GB"/>
        </w:rPr>
        <w:t xml:space="preserve"> “Prime Minister’</w:t>
      </w:r>
      <w:r w:rsidRPr="009468DD">
        <w:rPr>
          <w:rFonts w:ascii="Times New Roman" w:hAnsi="Times New Roman" w:cs="Times New Roman"/>
          <w:sz w:val="20"/>
          <w:szCs w:val="20"/>
          <w:lang w:val="en-GB"/>
        </w:rPr>
        <w:t xml:space="preserve">s Office: Ministry of Strategic Affairs and Public Diplomacy,” available at: </w:t>
      </w:r>
      <w:hyperlink r:id="rId8" w:history="1">
        <w:r w:rsidRPr="009468DD">
          <w:rPr>
            <w:rStyle w:val="Hyperlink"/>
            <w:rFonts w:ascii="Times New Roman" w:hAnsi="Times New Roman" w:cs="Times New Roman"/>
            <w:sz w:val="20"/>
            <w:szCs w:val="20"/>
            <w:lang w:val="en-GB"/>
          </w:rPr>
          <w:t>https://www.gov.il/en/departments/units/ministry_of_strategic_affairs_and_information</w:t>
        </w:r>
      </w:hyperlink>
      <w:r w:rsidRPr="009468DD">
        <w:rPr>
          <w:rFonts w:ascii="Times New Roman" w:hAnsi="Times New Roman" w:cs="Times New Roman"/>
          <w:sz w:val="20"/>
          <w:szCs w:val="20"/>
          <w:lang w:val="en-GB"/>
        </w:rPr>
        <w:t xml:space="preserve">, accessed 5 September 2019. </w:t>
      </w:r>
      <w:r w:rsidRPr="009468DD">
        <w:rPr>
          <w:rFonts w:ascii="Times New Roman" w:hAnsi="Times New Roman" w:cs="Times New Roman"/>
          <w:i/>
          <w:iCs/>
          <w:sz w:val="20"/>
          <w:szCs w:val="20"/>
          <w:lang w:val="en-GB"/>
        </w:rPr>
        <w:t>See also</w:t>
      </w:r>
      <w:r w:rsidRPr="009468DD">
        <w:rPr>
          <w:rFonts w:ascii="Times New Roman" w:hAnsi="Times New Roman" w:cs="Times New Roman"/>
          <w:sz w:val="20"/>
          <w:szCs w:val="20"/>
          <w:lang w:val="en-GB"/>
        </w:rPr>
        <w:t xml:space="preserve"> Uri Blau “Inside the Clandestine World of Israel’s ‘BDS-busting’ Ministry,” Haaretz, 26 March 2017, available at: </w:t>
      </w:r>
      <w:hyperlink r:id="rId9" w:history="1">
        <w:r w:rsidRPr="009468DD">
          <w:rPr>
            <w:rStyle w:val="Hyperlink"/>
            <w:rFonts w:ascii="Times New Roman" w:hAnsi="Times New Roman" w:cs="Times New Roman"/>
            <w:sz w:val="20"/>
            <w:szCs w:val="20"/>
            <w:lang w:val="en-GB"/>
          </w:rPr>
          <w:t>https://www.haaretz.com/israel-news/MAGAZINE-inside-the-clandestine-world-of-israels-bds-busting-ministry-1.5453212</w:t>
        </w:r>
      </w:hyperlink>
      <w:r w:rsidRPr="009468DD">
        <w:rPr>
          <w:rFonts w:ascii="Times New Roman" w:hAnsi="Times New Roman" w:cs="Times New Roman"/>
          <w:sz w:val="20"/>
          <w:szCs w:val="20"/>
          <w:lang w:val="en-GB"/>
        </w:rPr>
        <w:t>.</w:t>
      </w:r>
    </w:p>
  </w:footnote>
  <w:footnote w:id="24">
    <w:p w14:paraId="7C8BFFCB" w14:textId="00E4180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Articles 12(1), 19, 21 and 22, ICCPR; Articles 5(d)(</w:t>
      </w:r>
      <w:proofErr w:type="spellStart"/>
      <w:r w:rsidRPr="009468DD">
        <w:rPr>
          <w:rFonts w:ascii="Times New Roman" w:hAnsi="Times New Roman" w:cs="Times New Roman"/>
          <w:sz w:val="20"/>
          <w:szCs w:val="20"/>
          <w:lang w:val="en-GB"/>
        </w:rPr>
        <w:t>i</w:t>
      </w:r>
      <w:proofErr w:type="spellEnd"/>
      <w:r w:rsidRPr="009468DD">
        <w:rPr>
          <w:rFonts w:ascii="Times New Roman" w:hAnsi="Times New Roman" w:cs="Times New Roman"/>
          <w:sz w:val="20"/>
          <w:szCs w:val="20"/>
          <w:lang w:val="en-GB"/>
        </w:rPr>
        <w:t>), 5(d)(viii), 5(d)(ix)</w:t>
      </w:r>
      <w:r w:rsidR="0009600C">
        <w:rPr>
          <w:rFonts w:ascii="Times New Roman" w:hAnsi="Times New Roman" w:cs="Times New Roman"/>
          <w:sz w:val="20"/>
          <w:szCs w:val="20"/>
          <w:lang w:val="en-GB"/>
        </w:rPr>
        <w:t>, ICERD.</w:t>
      </w:r>
    </w:p>
  </w:footnote>
  <w:footnote w:id="25">
    <w:p w14:paraId="2EFA51BC" w14:textId="04DA4FB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“Israeli Ministry of Strategic Affairs Campaign of Institutionalised Harassment Continues with the Alleged Closure of Palestinian NGOs’ Financial Accounts,” 19 June 2019, available at: </w:t>
      </w:r>
      <w:hyperlink r:id="rId10" w:history="1">
        <w:r w:rsidRPr="009468DD">
          <w:rPr>
            <w:rStyle w:val="Hyperlink"/>
            <w:rFonts w:ascii="Times New Roman" w:hAnsi="Times New Roman" w:cs="Times New Roman"/>
            <w:sz w:val="20"/>
            <w:szCs w:val="20"/>
            <w:lang w:val="en-GB"/>
          </w:rPr>
          <w:t>https://www.alhaq.org/advocacy/6039.html</w:t>
        </w:r>
      </w:hyperlink>
      <w:r w:rsidRPr="009468DD">
        <w:rPr>
          <w:rFonts w:ascii="Times New Roman" w:hAnsi="Times New Roman" w:cs="Times New Roman"/>
          <w:sz w:val="20"/>
          <w:szCs w:val="20"/>
          <w:lang w:val="en-GB"/>
        </w:rPr>
        <w:t>.</w:t>
      </w:r>
    </w:p>
  </w:footnote>
  <w:footnote w:id="26">
    <w:p w14:paraId="740098AA"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Concluding observations of the Committee on the Elimination of Racial Discrimination on the fourteenth to sixteenth periodic reports of Israel, 3 April 2012, UN Doc. CERD/C/ISR/CO/14-16, para. 10.</w:t>
      </w:r>
    </w:p>
  </w:footnote>
  <w:footnote w:id="27">
    <w:p w14:paraId="55ED94E3" w14:textId="57B42887" w:rsidR="00CE18D1" w:rsidRPr="009468DD" w:rsidRDefault="00CE18D1" w:rsidP="009468DD">
      <w:pPr>
        <w:pStyle w:val="FootnoteText"/>
        <w:spacing w:before="80" w:after="80" w:line="20" w:lineRule="atLeast"/>
        <w:rPr>
          <w:rFonts w:ascii="Times New Roman" w:hAnsi="Times New Roman" w:cs="Times New Roman"/>
          <w:i/>
          <w:iCs/>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000310DE" w:rsidRPr="009468DD">
        <w:rPr>
          <w:rFonts w:ascii="Times New Roman" w:hAnsi="Times New Roman" w:cs="Times New Roman"/>
          <w:i/>
          <w:iCs/>
          <w:sz w:val="20"/>
          <w:szCs w:val="20"/>
          <w:lang w:val="en-GB"/>
        </w:rPr>
        <w:t>Ibid.</w:t>
      </w:r>
    </w:p>
  </w:footnote>
  <w:footnote w:id="28">
    <w:p w14:paraId="1675AE4C" w14:textId="0239A46C" w:rsidR="00CE18D1" w:rsidRPr="009468DD" w:rsidRDefault="00CE18D1" w:rsidP="009468DD">
      <w:pPr>
        <w:pStyle w:val="FootnoteText"/>
        <w:spacing w:before="80" w:after="80" w:line="20" w:lineRule="atLeast"/>
        <w:rPr>
          <w:rFonts w:ascii="Times New Roman" w:hAnsi="Times New Roman" w:cs="Times New Roman"/>
          <w:i/>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000310DE" w:rsidRPr="009468DD">
        <w:rPr>
          <w:rFonts w:ascii="Times New Roman" w:hAnsi="Times New Roman" w:cs="Times New Roman"/>
          <w:i/>
          <w:sz w:val="20"/>
          <w:szCs w:val="20"/>
          <w:lang w:val="en-GB"/>
        </w:rPr>
        <w:t>Ibid.</w:t>
      </w:r>
    </w:p>
  </w:footnote>
  <w:footnote w:id="29">
    <w:p w14:paraId="3BAC4751"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UN General Assembly, Resolution 67/19, 4 December 2012, UN Doc. A/RES/67/19, para. 2.</w:t>
      </w:r>
    </w:p>
  </w:footnote>
  <w:footnote w:id="30">
    <w:p w14:paraId="5B38C09F" w14:textId="4B480F65"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The State of Palestine acceded to ICERD on 2 April 2014. The Convention entered into force for Palestine on 2 May 2014.</w:t>
      </w:r>
    </w:p>
  </w:footnote>
  <w:footnote w:id="31">
    <w:p w14:paraId="2B427791"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Concluding observations of the Committee on the Elimination of Racial Discrimination on the combined initial and second periodic reports of the State of Palestine, 29 August 2019, UN Doc. CERD/C/PSE/CO/1-2.</w:t>
      </w:r>
    </w:p>
  </w:footnote>
  <w:footnote w:id="32">
    <w:p w14:paraId="6A62503E" w14:textId="0B8E352A"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Rome Statute of the International Criminal Court</w:t>
      </w:r>
      <w:r w:rsidRPr="009468DD">
        <w:rPr>
          <w:rFonts w:ascii="Times New Roman" w:hAnsi="Times New Roman" w:cs="Times New Roman"/>
          <w:sz w:val="20"/>
          <w:szCs w:val="20"/>
          <w:lang w:val="en-GB"/>
        </w:rPr>
        <w:t xml:space="preserve"> (adopted 17 July 1998, entry into force 1 July 2002) 2187 UNTS 3 (hereinafter ‘Rome Statute’).</w:t>
      </w:r>
    </w:p>
  </w:footnote>
  <w:footnote w:id="33">
    <w:p w14:paraId="58AD5A93" w14:textId="6A5766A8"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International Convention on the Suppression and Punishment of the Crime of Apartheid</w:t>
      </w:r>
      <w:r w:rsidRPr="009468DD">
        <w:rPr>
          <w:rFonts w:ascii="Times New Roman" w:hAnsi="Times New Roman" w:cs="Times New Roman"/>
          <w:sz w:val="20"/>
          <w:szCs w:val="20"/>
          <w:lang w:val="en-GB"/>
        </w:rPr>
        <w:t xml:space="preserve"> (adopted 30 November 1973, entry into force 18 July 1976) 1015 UNTS 243 (hereinafter ‘Apartheid Convention’).</w:t>
      </w:r>
    </w:p>
  </w:footnote>
  <w:footnote w:id="34">
    <w:p w14:paraId="73F677A5" w14:textId="04D01655"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Concluding observations of the Committee on the Elimination of Racial Discrimination on the fourteenth to sixteenth periodic reports of Israel, 3 April 2012, UN Doc. CERD/C/ISR/CO/14-16, para. 11.</w:t>
      </w:r>
    </w:p>
  </w:footnote>
  <w:footnote w:id="35">
    <w:p w14:paraId="013634B2" w14:textId="09A66D99" w:rsidR="00D52966" w:rsidRPr="009468DD" w:rsidRDefault="00D52966" w:rsidP="005837F0">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005837F0">
        <w:rPr>
          <w:rFonts w:ascii="Times New Roman" w:hAnsi="Times New Roman" w:cs="Times New Roman"/>
          <w:sz w:val="20"/>
          <w:szCs w:val="20"/>
          <w:lang w:val="en-GB"/>
        </w:rPr>
        <w:t xml:space="preserve"> </w:t>
      </w:r>
      <w:r w:rsidR="005837F0">
        <w:rPr>
          <w:rFonts w:ascii="Times New Roman" w:hAnsi="Times New Roman" w:cs="Times New Roman"/>
          <w:i/>
          <w:iCs/>
          <w:sz w:val="20"/>
          <w:szCs w:val="20"/>
          <w:lang w:val="en-GB"/>
        </w:rPr>
        <w:t>Ibid.</w:t>
      </w:r>
      <w:r w:rsidRPr="009468DD">
        <w:rPr>
          <w:rFonts w:ascii="Times New Roman" w:hAnsi="Times New Roman" w:cs="Times New Roman"/>
          <w:sz w:val="20"/>
          <w:szCs w:val="20"/>
          <w:lang w:val="en-GB"/>
        </w:rPr>
        <w:t>, para. 24.</w:t>
      </w:r>
    </w:p>
  </w:footnote>
  <w:footnote w:id="36">
    <w:p w14:paraId="46F8247A" w14:textId="061CE575"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00996348" w:rsidRPr="009468DD">
        <w:rPr>
          <w:rFonts w:ascii="Times New Roman" w:hAnsi="Times New Roman" w:cs="Times New Roman"/>
          <w:i/>
          <w:iCs/>
          <w:sz w:val="20"/>
          <w:szCs w:val="20"/>
          <w:lang w:val="en-GB"/>
        </w:rPr>
        <w:t>Ibid.</w:t>
      </w:r>
    </w:p>
  </w:footnote>
  <w:footnote w:id="37">
    <w:p w14:paraId="4B0C1050" w14:textId="441AD844"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Seventeenth to nineteenth periodic reports of States parties due in 2016, Israel, 2 March 2017, UN Doc. CERD/C/ISR/17-19, para. 54.</w:t>
      </w:r>
    </w:p>
  </w:footnote>
  <w:footnote w:id="38">
    <w:p w14:paraId="493A216C" w14:textId="2488018F"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color w:val="000000" w:themeColor="text1"/>
          <w:sz w:val="20"/>
          <w:szCs w:val="20"/>
          <w:lang w:val="en-GB"/>
        </w:rPr>
        <w:t xml:space="preserve">CESCR, </w:t>
      </w:r>
      <w:proofErr w:type="gramStart"/>
      <w:r w:rsidRPr="009468DD">
        <w:rPr>
          <w:rFonts w:ascii="Times New Roman" w:hAnsi="Times New Roman" w:cs="Times New Roman"/>
          <w:color w:val="000000" w:themeColor="text1"/>
          <w:sz w:val="20"/>
          <w:szCs w:val="20"/>
          <w:lang w:val="en-GB"/>
        </w:rPr>
        <w:t>Concluding</w:t>
      </w:r>
      <w:proofErr w:type="gramEnd"/>
      <w:r w:rsidRPr="009468DD">
        <w:rPr>
          <w:rFonts w:ascii="Times New Roman" w:hAnsi="Times New Roman" w:cs="Times New Roman"/>
          <w:color w:val="000000" w:themeColor="text1"/>
          <w:sz w:val="20"/>
          <w:szCs w:val="20"/>
          <w:lang w:val="en-GB"/>
        </w:rPr>
        <w:t xml:space="preserve"> observations of the Committee on Economic, Social and Cultural Rights on Israel’s initial report, 4 December 1998, UN Doc. E/C.12/1/Add.27, para. 10.</w:t>
      </w:r>
    </w:p>
  </w:footnote>
  <w:footnote w:id="39">
    <w:p w14:paraId="24058F01" w14:textId="221C775F"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“Factsheet: Israel’s “Jewish Nation-State Law” and the Occupied Palestinian Territory,” 23 January 2019, available at: </w:t>
      </w:r>
      <w:hyperlink r:id="rId11" w:history="1">
        <w:r w:rsidRPr="009468DD">
          <w:rPr>
            <w:rStyle w:val="Hyperlink"/>
            <w:rFonts w:ascii="Times New Roman" w:hAnsi="Times New Roman" w:cs="Times New Roman"/>
            <w:sz w:val="20"/>
            <w:szCs w:val="20"/>
            <w:lang w:val="en-GB"/>
          </w:rPr>
          <w:t>https://www.alhaq.org/advocacy/6115.html</w:t>
        </w:r>
      </w:hyperlink>
      <w:r w:rsidRPr="009468DD">
        <w:rPr>
          <w:rFonts w:ascii="Times New Roman" w:hAnsi="Times New Roman" w:cs="Times New Roman"/>
          <w:sz w:val="20"/>
          <w:szCs w:val="20"/>
          <w:lang w:val="en-GB"/>
        </w:rPr>
        <w:t>.</w:t>
      </w:r>
    </w:p>
  </w:footnote>
  <w:footnote w:id="40">
    <w:p w14:paraId="044BD6E2" w14:textId="4630BFA0"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Israeli settlements in the occupied Palestinian territory are illegal under international law, as recognised by the ICJ and the UN Security Council. </w:t>
      </w:r>
      <w:r w:rsidRPr="009468DD">
        <w:rPr>
          <w:rFonts w:ascii="Times New Roman" w:hAnsi="Times New Roman" w:cs="Times New Roman"/>
          <w:i/>
          <w:iCs/>
          <w:sz w:val="20"/>
          <w:szCs w:val="20"/>
          <w:lang w:val="en-GB"/>
        </w:rPr>
        <w:t>See</w:t>
      </w:r>
      <w:r w:rsidRPr="009468DD">
        <w:rPr>
          <w:rFonts w:ascii="Times New Roman" w:hAnsi="Times New Roman" w:cs="Times New Roman"/>
          <w:sz w:val="20"/>
          <w:szCs w:val="20"/>
          <w:lang w:val="en-GB"/>
        </w:rPr>
        <w:t xml:space="preserve">, notably, </w:t>
      </w:r>
      <w:r w:rsidRPr="009468DD">
        <w:rPr>
          <w:rFonts w:ascii="Times New Roman" w:hAnsi="Times New Roman" w:cs="Times New Roman"/>
          <w:i/>
          <w:iCs/>
          <w:sz w:val="20"/>
          <w:szCs w:val="20"/>
          <w:lang w:val="en-GB"/>
        </w:rPr>
        <w:t>Legal Consequences of the Construction of a Wall in the Occupied Palestinian Territory</w:t>
      </w:r>
      <w:r w:rsidRPr="009468DD">
        <w:rPr>
          <w:rFonts w:ascii="Times New Roman" w:hAnsi="Times New Roman" w:cs="Times New Roman"/>
          <w:sz w:val="20"/>
          <w:szCs w:val="20"/>
          <w:lang w:val="en-GB"/>
        </w:rPr>
        <w:t xml:space="preserve">, Advisory Opinion, ICJ Reports 2004, p. 136, para. 120. </w:t>
      </w:r>
      <w:r w:rsidRPr="009468DD">
        <w:rPr>
          <w:rFonts w:ascii="Times New Roman" w:hAnsi="Times New Roman" w:cs="Times New Roman"/>
          <w:i/>
          <w:iCs/>
          <w:sz w:val="20"/>
          <w:szCs w:val="20"/>
          <w:lang w:val="en-GB"/>
        </w:rPr>
        <w:t>See also</w:t>
      </w:r>
      <w:r w:rsidRPr="009468DD">
        <w:rPr>
          <w:rFonts w:ascii="Times New Roman" w:hAnsi="Times New Roman" w:cs="Times New Roman"/>
          <w:sz w:val="20"/>
          <w:szCs w:val="20"/>
          <w:lang w:val="en-GB"/>
        </w:rPr>
        <w:t xml:space="preserve"> UN Security Council, Resolution 2334 (2016), 23 December 2016, UN Doc. S/RES/2334 (2016), para. 1.</w:t>
      </w:r>
    </w:p>
  </w:footnote>
  <w:footnote w:id="41">
    <w:p w14:paraId="6C7F5472" w14:textId="701A6FEE"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In particular, when Israel adopted its Basic Law: Jerusalem, Capital of Israel in 1980, the UN Security Council adopted Resolution 478 (1980), censuring the enactment in the strongest terms and determining that “all legislative and administrative measures and actions taken by Israel, the occupying Power, which have altered or purport to alter the character and status of the Holy City of Jerusalem, and in particular the recent "basic law" on Jerusalem, are null and void a</w:t>
      </w:r>
      <w:r w:rsidR="008536AA" w:rsidRPr="009468DD">
        <w:rPr>
          <w:rFonts w:ascii="Times New Roman" w:hAnsi="Times New Roman" w:cs="Times New Roman"/>
          <w:sz w:val="20"/>
          <w:szCs w:val="20"/>
          <w:lang w:val="en-GB"/>
        </w:rPr>
        <w:t>nd must be rescinded forthwith.”</w:t>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 xml:space="preserve">See </w:t>
      </w:r>
      <w:r w:rsidRPr="009468DD">
        <w:rPr>
          <w:rFonts w:ascii="Times New Roman" w:hAnsi="Times New Roman" w:cs="Times New Roman"/>
          <w:sz w:val="20"/>
          <w:szCs w:val="20"/>
          <w:lang w:val="en-GB"/>
        </w:rPr>
        <w:t xml:space="preserve">UN Security Council, Resolution 478 (1980), 20 August 1980, UN Doc. S/RES/478 (1980), paras. 1-3. </w:t>
      </w:r>
      <w:r w:rsidRPr="009468DD">
        <w:rPr>
          <w:rFonts w:ascii="Times New Roman" w:hAnsi="Times New Roman" w:cs="Times New Roman"/>
          <w:i/>
          <w:iCs/>
          <w:sz w:val="20"/>
          <w:szCs w:val="20"/>
          <w:lang w:val="en-GB"/>
        </w:rPr>
        <w:t>See</w:t>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also</w:t>
      </w:r>
      <w:r w:rsidRPr="009468DD">
        <w:rPr>
          <w:rFonts w:ascii="Times New Roman" w:hAnsi="Times New Roman" w:cs="Times New Roman"/>
          <w:sz w:val="20"/>
          <w:szCs w:val="20"/>
          <w:lang w:val="en-GB"/>
        </w:rPr>
        <w:t xml:space="preserve"> Al-Haq, “Al-Haq Condemns United States Recognition of Jerusalem, in the occupied State of Palestine, as Israel’s Capital,” 6 December 2017, available at: </w:t>
      </w:r>
      <w:hyperlink r:id="rId12" w:history="1">
        <w:r w:rsidRPr="009468DD">
          <w:rPr>
            <w:rStyle w:val="Hyperlink"/>
            <w:rFonts w:ascii="Times New Roman" w:hAnsi="Times New Roman" w:cs="Times New Roman"/>
            <w:sz w:val="20"/>
            <w:szCs w:val="20"/>
            <w:lang w:val="en-GB"/>
          </w:rPr>
          <w:t>https://www.alhaq.org/advocacy/6302.html</w:t>
        </w:r>
      </w:hyperlink>
      <w:r w:rsidRPr="009468DD">
        <w:rPr>
          <w:rFonts w:ascii="Times New Roman" w:hAnsi="Times New Roman" w:cs="Times New Roman"/>
          <w:sz w:val="20"/>
          <w:szCs w:val="20"/>
          <w:lang w:val="en-GB"/>
        </w:rPr>
        <w:t xml:space="preserve">; and Al-Haq, “Al-Haq Condemns Australia’s Recognition of West Jerusalem as Israel’s Capital,” 15 December 2018, available at: </w:t>
      </w:r>
      <w:hyperlink r:id="rId13" w:history="1">
        <w:r w:rsidRPr="009468DD">
          <w:rPr>
            <w:rStyle w:val="Hyperlink"/>
            <w:rFonts w:ascii="Times New Roman" w:hAnsi="Times New Roman" w:cs="Times New Roman"/>
            <w:sz w:val="20"/>
            <w:szCs w:val="20"/>
            <w:lang w:val="en-GB"/>
          </w:rPr>
          <w:t>https://www.alhaq.org/advocacy/6121.html</w:t>
        </w:r>
      </w:hyperlink>
      <w:r w:rsidRPr="009468DD">
        <w:rPr>
          <w:rFonts w:ascii="Times New Roman" w:hAnsi="Times New Roman" w:cs="Times New Roman"/>
          <w:sz w:val="20"/>
          <w:szCs w:val="20"/>
          <w:lang w:val="en-GB"/>
        </w:rPr>
        <w:t>.</w:t>
      </w:r>
    </w:p>
  </w:footnote>
  <w:footnote w:id="42">
    <w:p w14:paraId="1003EC2C" w14:textId="2DDBBA6E"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“Factsheet: Israel’s “Jewish Nation-State Law” and the Occupied Palestinian Territory,” 23 January 2019, available at: </w:t>
      </w:r>
      <w:hyperlink r:id="rId14" w:history="1">
        <w:r w:rsidRPr="009468DD">
          <w:rPr>
            <w:rStyle w:val="Hyperlink"/>
            <w:rFonts w:ascii="Times New Roman" w:hAnsi="Times New Roman" w:cs="Times New Roman"/>
            <w:sz w:val="20"/>
            <w:szCs w:val="20"/>
            <w:lang w:val="en-GB"/>
          </w:rPr>
          <w:t>https://www.alhaq.org/advocacy/6115.html</w:t>
        </w:r>
      </w:hyperlink>
      <w:r w:rsidRPr="009468DD">
        <w:rPr>
          <w:rFonts w:ascii="Times New Roman" w:hAnsi="Times New Roman" w:cs="Times New Roman"/>
          <w:sz w:val="20"/>
          <w:szCs w:val="20"/>
          <w:lang w:val="en-GB"/>
        </w:rPr>
        <w:t>.</w:t>
      </w:r>
    </w:p>
  </w:footnote>
  <w:footnote w:id="43">
    <w:p w14:paraId="6BD78A07" w14:textId="62F6EE12"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ICC, Report on Preliminary Examination Activities 2017, 4 December 2017, para. 63.</w:t>
      </w:r>
    </w:p>
  </w:footnote>
  <w:footnote w:id="44">
    <w:p w14:paraId="46D72F0B" w14:textId="36180E84"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ESCWA,</w:t>
      </w:r>
      <w:r w:rsidRPr="009468DD">
        <w:rPr>
          <w:rFonts w:ascii="Times New Roman" w:hAnsi="Times New Roman" w:cs="Times New Roman"/>
          <w:sz w:val="20"/>
          <w:szCs w:val="20"/>
        </w:rPr>
        <w:t xml:space="preserve"> </w:t>
      </w:r>
      <w:r w:rsidRPr="009468DD">
        <w:rPr>
          <w:rFonts w:ascii="Times New Roman" w:hAnsi="Times New Roman" w:cs="Times New Roman"/>
          <w:sz w:val="20"/>
          <w:szCs w:val="20"/>
          <w:lang w:val="en-GB"/>
        </w:rPr>
        <w:t>Israeli Practices towards the Palestinian People and the Question of Apartheid Palestine and the Israeli Occupation, Issue No. 1, 2017, UN Doc. E/ESCWA/ECRI/2017/1.</w:t>
      </w:r>
    </w:p>
  </w:footnote>
  <w:footnote w:id="45">
    <w:p w14:paraId="4834A69E" w14:textId="3AFC4EAA" w:rsidR="00CE18D1" w:rsidRPr="009468DD" w:rsidRDefault="00CE18D1" w:rsidP="00C93056">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00C93056">
        <w:rPr>
          <w:rFonts w:ascii="Times New Roman" w:hAnsi="Times New Roman" w:cs="Times New Roman"/>
          <w:i/>
          <w:iCs/>
          <w:sz w:val="20"/>
          <w:szCs w:val="20"/>
          <w:lang w:val="en-GB"/>
        </w:rPr>
        <w:t xml:space="preserve"> </w:t>
      </w:r>
      <w:r w:rsidR="00C93056" w:rsidRPr="00C93056">
        <w:rPr>
          <w:rFonts w:ascii="Times New Roman" w:hAnsi="Times New Roman" w:cs="Times New Roman"/>
          <w:i/>
          <w:iCs/>
          <w:sz w:val="20"/>
          <w:szCs w:val="20"/>
          <w:lang w:val="en-GB"/>
        </w:rPr>
        <w:t>Ibid</w:t>
      </w:r>
      <w:r w:rsidR="00C93056">
        <w:rPr>
          <w:rFonts w:ascii="Times New Roman" w:hAnsi="Times New Roman" w:cs="Times New Roman"/>
          <w:sz w:val="20"/>
          <w:szCs w:val="20"/>
          <w:lang w:val="en-GB"/>
        </w:rPr>
        <w:t>.</w:t>
      </w:r>
      <w:r w:rsidRPr="009468DD">
        <w:rPr>
          <w:rFonts w:ascii="Times New Roman" w:hAnsi="Times New Roman" w:cs="Times New Roman"/>
          <w:sz w:val="20"/>
          <w:szCs w:val="20"/>
          <w:lang w:val="en-GB"/>
        </w:rPr>
        <w:t>, p. 4.</w:t>
      </w:r>
    </w:p>
  </w:footnote>
  <w:footnote w:id="46">
    <w:p w14:paraId="52907C6E" w14:textId="0A67060A"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Concluding observations of the Committee on the Elimination of Racial Discrimination on the fourteenth to sixteenth periodic reports of Israel, 3 April 2012, UN Doc. CERD/C/ISR/CO/14-16, para. 20.</w:t>
      </w:r>
    </w:p>
  </w:footnote>
  <w:footnote w:id="47">
    <w:p w14:paraId="26304B4C" w14:textId="37ABF21E" w:rsidR="00CE18D1" w:rsidRPr="009468DD" w:rsidRDefault="00CE18D1" w:rsidP="00C93056">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00C93056">
        <w:rPr>
          <w:rFonts w:ascii="Times New Roman" w:hAnsi="Times New Roman" w:cs="Times New Roman"/>
          <w:i/>
          <w:iCs/>
          <w:sz w:val="20"/>
          <w:szCs w:val="20"/>
          <w:lang w:val="en-GB"/>
        </w:rPr>
        <w:t xml:space="preserve"> Ibid</w:t>
      </w:r>
      <w:r w:rsidRPr="009468DD">
        <w:rPr>
          <w:rFonts w:ascii="Times New Roman" w:hAnsi="Times New Roman" w:cs="Times New Roman"/>
          <w:sz w:val="20"/>
          <w:szCs w:val="20"/>
          <w:lang w:val="en-GB"/>
        </w:rPr>
        <w:t>, para. 25.</w:t>
      </w:r>
    </w:p>
  </w:footnote>
  <w:footnote w:id="48">
    <w:p w14:paraId="2CE0A1E0" w14:textId="0D292860"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Ibid</w:t>
      </w:r>
      <w:r w:rsidRPr="009468DD">
        <w:rPr>
          <w:rFonts w:ascii="Times New Roman" w:hAnsi="Times New Roman" w:cs="Times New Roman"/>
          <w:sz w:val="20"/>
          <w:szCs w:val="20"/>
          <w:lang w:val="en-GB"/>
        </w:rPr>
        <w:t>.</w:t>
      </w:r>
    </w:p>
  </w:footnote>
  <w:footnote w:id="49">
    <w:p w14:paraId="3FBEFB84" w14:textId="1BE57961"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color w:val="000000" w:themeColor="text1"/>
          <w:sz w:val="20"/>
          <w:szCs w:val="20"/>
          <w:lang w:val="en-GB"/>
        </w:rPr>
        <w:t>Article 49, Fourth Geneva Convention.</w:t>
      </w:r>
    </w:p>
  </w:footnote>
  <w:footnote w:id="50">
    <w:p w14:paraId="15C0F9AF" w14:textId="667442BF"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See also</w:t>
      </w:r>
      <w:r w:rsidRPr="009468DD">
        <w:rPr>
          <w:rFonts w:ascii="Times New Roman" w:hAnsi="Times New Roman" w:cs="Times New Roman"/>
          <w:sz w:val="20"/>
          <w:szCs w:val="20"/>
          <w:lang w:val="en-GB"/>
        </w:rPr>
        <w:t xml:space="preserve"> the recent mass demolitions in Silwan’s Wadi Al-Hummus neighbourhood of Jerusalem, where demolitions were carried out not only on land categorised as East Jerusalem but also in Area A of the West Bank, which falls under full Palestinian civil and security control, according to the Oslo Accords. </w:t>
      </w:r>
      <w:r w:rsidRPr="009468DD">
        <w:rPr>
          <w:rFonts w:ascii="Times New Roman" w:hAnsi="Times New Roman" w:cs="Times New Roman"/>
          <w:i/>
          <w:iCs/>
          <w:sz w:val="20"/>
          <w:szCs w:val="20"/>
          <w:lang w:val="en-GB"/>
        </w:rPr>
        <w:t>See</w:t>
      </w:r>
      <w:r w:rsidRPr="009468DD">
        <w:rPr>
          <w:rFonts w:ascii="Times New Roman" w:hAnsi="Times New Roman" w:cs="Times New Roman"/>
          <w:sz w:val="20"/>
          <w:szCs w:val="20"/>
          <w:lang w:val="en-GB"/>
        </w:rPr>
        <w:t xml:space="preserve"> Al-Haq, “Al-Haq Sends Urgent Appeal to UN Special Procedures and Calls for Immediate Halt to Demolitions in Wadi Al-Hummus,” 22 July 2019, available at: </w:t>
      </w:r>
      <w:hyperlink r:id="rId15" w:history="1">
        <w:r w:rsidRPr="009468DD">
          <w:rPr>
            <w:rStyle w:val="Hyperlink"/>
            <w:rFonts w:ascii="Times New Roman" w:hAnsi="Times New Roman" w:cs="Times New Roman"/>
            <w:sz w:val="20"/>
            <w:szCs w:val="20"/>
            <w:lang w:val="en-GB"/>
          </w:rPr>
          <w:t>https://www.alhaq.org/advocacy/14686.html</w:t>
        </w:r>
      </w:hyperlink>
      <w:r w:rsidRPr="009468DD">
        <w:rPr>
          <w:rFonts w:ascii="Times New Roman" w:hAnsi="Times New Roman" w:cs="Times New Roman"/>
          <w:sz w:val="20"/>
          <w:szCs w:val="20"/>
          <w:lang w:val="en-GB"/>
        </w:rPr>
        <w:t>.</w:t>
      </w:r>
    </w:p>
  </w:footnote>
  <w:footnote w:id="51">
    <w:p w14:paraId="0F406259" w14:textId="405E2CB2" w:rsidR="00CE18D1" w:rsidRPr="009468DD" w:rsidRDefault="00CE18D1" w:rsidP="009468DD">
      <w:pPr>
        <w:pStyle w:val="FootnoteText"/>
        <w:spacing w:before="80" w:after="80" w:line="20" w:lineRule="atLeast"/>
        <w:rPr>
          <w:rFonts w:ascii="Times New Roman" w:hAnsi="Times New Roman" w:cs="Times New Roman"/>
          <w:sz w:val="20"/>
          <w:szCs w:val="20"/>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rPr>
        <w:t xml:space="preserve"> Article 5(e)(iii), ICERD; Article 11(1), ICESCR; and Article 53, Fourth Geneva Convention. </w:t>
      </w:r>
      <w:r w:rsidRPr="009468DD">
        <w:rPr>
          <w:rFonts w:ascii="Times New Roman" w:hAnsi="Times New Roman" w:cs="Times New Roman"/>
          <w:i/>
          <w:iCs/>
          <w:sz w:val="20"/>
          <w:szCs w:val="20"/>
          <w:lang w:val="en-GB"/>
        </w:rPr>
        <w:t>See also</w:t>
      </w:r>
      <w:r w:rsidRPr="009468DD">
        <w:rPr>
          <w:rFonts w:ascii="Times New Roman" w:hAnsi="Times New Roman" w:cs="Times New Roman"/>
          <w:sz w:val="20"/>
          <w:szCs w:val="20"/>
          <w:lang w:val="en-GB"/>
        </w:rPr>
        <w:t xml:space="preserve"> CESCR, General Comment No. 7: The right to adequate housing (Art.11.1): forced evictions, 20 May 1997, UN Doc. E/1998/22, para. 12.</w:t>
      </w:r>
    </w:p>
  </w:footnote>
  <w:footnote w:id="52">
    <w:p w14:paraId="1AD3EEDF" w14:textId="5C528B04" w:rsidR="00CE18D1" w:rsidRPr="009468DD" w:rsidRDefault="00CE18D1" w:rsidP="009468DD">
      <w:pPr>
        <w:pStyle w:val="FootnoteText"/>
        <w:tabs>
          <w:tab w:val="left" w:pos="5635"/>
        </w:tabs>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color w:val="000000" w:themeColor="text1"/>
          <w:sz w:val="20"/>
          <w:szCs w:val="20"/>
          <w:lang w:val="en-GB"/>
        </w:rPr>
        <w:t>Article 33, Fourth Geneva Convention.</w:t>
      </w:r>
      <w:r w:rsidRPr="009468DD">
        <w:rPr>
          <w:rFonts w:ascii="Times New Roman" w:hAnsi="Times New Roman" w:cs="Times New Roman"/>
          <w:color w:val="FF0000"/>
          <w:sz w:val="20"/>
          <w:szCs w:val="20"/>
          <w:lang w:val="en-GB"/>
        </w:rPr>
        <w:tab/>
      </w:r>
    </w:p>
  </w:footnote>
  <w:footnote w:id="53">
    <w:p w14:paraId="39078CF7" w14:textId="0448D4A9" w:rsidR="00CE18D1" w:rsidRPr="009468DD" w:rsidRDefault="00CE18D1" w:rsidP="009468DD">
      <w:pPr>
        <w:pStyle w:val="FootnoteText"/>
        <w:spacing w:before="80" w:after="80" w:line="20" w:lineRule="atLeast"/>
        <w:rPr>
          <w:rFonts w:ascii="Times New Roman" w:hAnsi="Times New Roman" w:cs="Times New Roman"/>
          <w:iCs/>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Cs/>
          <w:color w:val="000000" w:themeColor="text1"/>
          <w:sz w:val="20"/>
          <w:szCs w:val="20"/>
          <w:lang w:val="en-GB"/>
        </w:rPr>
        <w:t>Articles 5(d)(</w:t>
      </w:r>
      <w:proofErr w:type="spellStart"/>
      <w:r w:rsidRPr="009468DD">
        <w:rPr>
          <w:rFonts w:ascii="Times New Roman" w:hAnsi="Times New Roman" w:cs="Times New Roman"/>
          <w:iCs/>
          <w:color w:val="000000" w:themeColor="text1"/>
          <w:sz w:val="20"/>
          <w:szCs w:val="20"/>
          <w:lang w:val="en-GB"/>
        </w:rPr>
        <w:t>i</w:t>
      </w:r>
      <w:proofErr w:type="spellEnd"/>
      <w:r w:rsidRPr="009468DD">
        <w:rPr>
          <w:rFonts w:ascii="Times New Roman" w:hAnsi="Times New Roman" w:cs="Times New Roman"/>
          <w:iCs/>
          <w:color w:val="000000" w:themeColor="text1"/>
          <w:sz w:val="20"/>
          <w:szCs w:val="20"/>
          <w:lang w:val="en-GB"/>
        </w:rPr>
        <w:t>) and 5(e)(iii), ICERD; Article 1(2), ICESCR and ICCPR.</w:t>
      </w:r>
    </w:p>
  </w:footnote>
  <w:footnote w:id="54">
    <w:p w14:paraId="19C4C2F2" w14:textId="77777777" w:rsidR="00CE18D1" w:rsidRPr="009468DD" w:rsidRDefault="00CE18D1" w:rsidP="009468DD">
      <w:pPr>
        <w:spacing w:before="80" w:after="80" w:line="20" w:lineRule="atLeast"/>
        <w:rPr>
          <w:iCs/>
          <w:sz w:val="20"/>
          <w:szCs w:val="20"/>
          <w:lang w:val="en-GB"/>
        </w:rPr>
      </w:pPr>
      <w:r w:rsidRPr="009468DD">
        <w:rPr>
          <w:rStyle w:val="FootnoteReference"/>
          <w:sz w:val="20"/>
          <w:szCs w:val="20"/>
          <w:lang w:val="en-GB"/>
        </w:rPr>
        <w:footnoteRef/>
      </w:r>
      <w:r w:rsidRPr="009468DD">
        <w:rPr>
          <w:sz w:val="20"/>
          <w:szCs w:val="20"/>
          <w:lang w:val="en-GB"/>
        </w:rPr>
        <w:t xml:space="preserve"> </w:t>
      </w:r>
      <w:r w:rsidRPr="009468DD">
        <w:rPr>
          <w:iCs/>
          <w:sz w:val="20"/>
          <w:szCs w:val="20"/>
          <w:lang w:val="en-GB"/>
        </w:rPr>
        <w:t xml:space="preserve">Al-Haq, </w:t>
      </w:r>
      <w:r w:rsidRPr="009468DD">
        <w:rPr>
          <w:i/>
          <w:sz w:val="20"/>
          <w:szCs w:val="20"/>
          <w:lang w:val="en-GB"/>
        </w:rPr>
        <w:t>Settling Area C: The Jordan Valley Exposed</w:t>
      </w:r>
      <w:r w:rsidRPr="009468DD">
        <w:rPr>
          <w:iCs/>
          <w:sz w:val="20"/>
          <w:szCs w:val="20"/>
          <w:lang w:val="en-GB"/>
        </w:rPr>
        <w:t xml:space="preserve"> (2018)</w:t>
      </w:r>
      <w:r w:rsidRPr="009468DD">
        <w:rPr>
          <w:sz w:val="20"/>
          <w:szCs w:val="20"/>
          <w:lang w:val="en-GB"/>
        </w:rPr>
        <w:t>, p. 39.</w:t>
      </w:r>
    </w:p>
  </w:footnote>
  <w:footnote w:id="55">
    <w:p w14:paraId="527D0818" w14:textId="37DD7B3D" w:rsidR="00CE18D1" w:rsidRPr="009468DD" w:rsidRDefault="00CE18D1" w:rsidP="009468DD">
      <w:pPr>
        <w:spacing w:before="80" w:after="80" w:line="20" w:lineRule="atLeast"/>
        <w:rPr>
          <w:iCs/>
          <w:sz w:val="20"/>
          <w:szCs w:val="20"/>
          <w:lang w:val="en-GB"/>
        </w:rPr>
      </w:pPr>
      <w:r w:rsidRPr="009468DD">
        <w:rPr>
          <w:rStyle w:val="FootnoteReference"/>
          <w:sz w:val="20"/>
          <w:szCs w:val="20"/>
          <w:lang w:val="en-GB"/>
        </w:rPr>
        <w:footnoteRef/>
      </w:r>
      <w:r w:rsidRPr="009468DD">
        <w:rPr>
          <w:sz w:val="20"/>
          <w:szCs w:val="20"/>
          <w:lang w:val="en-GB"/>
        </w:rPr>
        <w:t xml:space="preserve"> </w:t>
      </w:r>
      <w:r w:rsidRPr="009468DD">
        <w:rPr>
          <w:i/>
          <w:sz w:val="20"/>
          <w:szCs w:val="20"/>
          <w:lang w:val="en-GB"/>
        </w:rPr>
        <w:t>See</w:t>
      </w:r>
      <w:r w:rsidRPr="009468DD">
        <w:rPr>
          <w:iCs/>
          <w:sz w:val="20"/>
          <w:szCs w:val="20"/>
          <w:lang w:val="en-GB"/>
        </w:rPr>
        <w:t xml:space="preserve">, e.g., Middle East Monitor, “Bedouin citizens of Israel fight plan for relocation in new Negev town,” 16 May 2019, available at: </w:t>
      </w:r>
      <w:hyperlink r:id="rId16" w:history="1">
        <w:r w:rsidRPr="009468DD">
          <w:rPr>
            <w:rStyle w:val="Hyperlink"/>
            <w:iCs/>
            <w:sz w:val="20"/>
            <w:szCs w:val="20"/>
            <w:lang w:val="en-GB"/>
          </w:rPr>
          <w:t>https://www.middleeastmonitor.com/20190516-bedouin-citizens-of-israel-fight-plan-for-relocation-in-new-negev-town/</w:t>
        </w:r>
      </w:hyperlink>
      <w:r w:rsidRPr="009468DD">
        <w:rPr>
          <w:iCs/>
          <w:sz w:val="20"/>
          <w:szCs w:val="20"/>
          <w:lang w:val="en-GB"/>
        </w:rPr>
        <w:t>.</w:t>
      </w:r>
    </w:p>
  </w:footnote>
  <w:footnote w:id="56">
    <w:p w14:paraId="308FED75" w14:textId="5C1B9987" w:rsidR="00CE18D1" w:rsidRPr="009468DD" w:rsidRDefault="00CE18D1" w:rsidP="009468DD">
      <w:pPr>
        <w:spacing w:before="80" w:after="80" w:line="20" w:lineRule="atLeast"/>
        <w:rPr>
          <w:iCs/>
          <w:sz w:val="20"/>
          <w:szCs w:val="20"/>
          <w:lang w:val="en-GB"/>
        </w:rPr>
      </w:pPr>
      <w:r w:rsidRPr="009468DD">
        <w:rPr>
          <w:rStyle w:val="FootnoteReference"/>
          <w:sz w:val="20"/>
          <w:szCs w:val="20"/>
          <w:lang w:val="en-GB"/>
        </w:rPr>
        <w:footnoteRef/>
      </w:r>
      <w:r w:rsidRPr="009468DD">
        <w:rPr>
          <w:sz w:val="20"/>
          <w:szCs w:val="20"/>
          <w:lang w:val="en-GB"/>
        </w:rPr>
        <w:t xml:space="preserve"> </w:t>
      </w:r>
      <w:r w:rsidRPr="009468DD">
        <w:rPr>
          <w:i/>
          <w:sz w:val="20"/>
          <w:szCs w:val="20"/>
          <w:lang w:val="en-GB"/>
        </w:rPr>
        <w:t>See</w:t>
      </w:r>
      <w:r w:rsidRPr="009468DD">
        <w:rPr>
          <w:iCs/>
          <w:sz w:val="20"/>
          <w:szCs w:val="20"/>
          <w:lang w:val="en-GB"/>
        </w:rPr>
        <w:t xml:space="preserve">, e.g., Tovah Lazaroff, “Khan Al-Ahmar Rejects Relocation Plan to Jericho Site,” The Jerusalem Post, 8 August 2018, available at: </w:t>
      </w:r>
      <w:hyperlink r:id="rId17" w:history="1">
        <w:r w:rsidRPr="009468DD">
          <w:rPr>
            <w:rStyle w:val="Hyperlink"/>
            <w:iCs/>
            <w:sz w:val="20"/>
            <w:szCs w:val="20"/>
            <w:lang w:val="en-GB"/>
          </w:rPr>
          <w:t>https://www.jpost.com/Arab-Israeli-Conflict/Khan-al-Ahmar-rejects-relocation-plan-to-Jericho-site-564353</w:t>
        </w:r>
      </w:hyperlink>
      <w:r w:rsidRPr="009468DD">
        <w:rPr>
          <w:iCs/>
          <w:sz w:val="20"/>
          <w:szCs w:val="20"/>
          <w:lang w:val="en-GB"/>
        </w:rPr>
        <w:t>.</w:t>
      </w:r>
    </w:p>
  </w:footnote>
  <w:footnote w:id="57">
    <w:p w14:paraId="2F90878E" w14:textId="0BE89856" w:rsidR="008536AA" w:rsidRPr="009468DD" w:rsidRDefault="008536AA" w:rsidP="009468DD">
      <w:pPr>
        <w:spacing w:before="80" w:after="80" w:line="20" w:lineRule="atLeast"/>
        <w:rPr>
          <w:iCs/>
          <w:color w:val="FF0000"/>
          <w:sz w:val="20"/>
          <w:szCs w:val="20"/>
          <w:lang w:val="en-GB"/>
        </w:rPr>
      </w:pPr>
      <w:r w:rsidRPr="009468DD">
        <w:rPr>
          <w:rStyle w:val="FootnoteReference"/>
          <w:color w:val="000000" w:themeColor="text1"/>
          <w:sz w:val="20"/>
          <w:szCs w:val="20"/>
          <w:lang w:val="en-GB"/>
        </w:rPr>
        <w:footnoteRef/>
      </w:r>
      <w:r w:rsidRPr="009468DD">
        <w:rPr>
          <w:color w:val="000000" w:themeColor="text1"/>
          <w:sz w:val="20"/>
          <w:szCs w:val="20"/>
          <w:lang w:val="en-GB"/>
        </w:rPr>
        <w:t xml:space="preserve"> </w:t>
      </w:r>
      <w:r w:rsidR="00A639F9" w:rsidRPr="009468DD">
        <w:rPr>
          <w:color w:val="000000" w:themeColor="text1"/>
          <w:sz w:val="20"/>
          <w:szCs w:val="20"/>
          <w:lang w:val="en-GB"/>
        </w:rPr>
        <w:t>Roselle Tekiner, “</w:t>
      </w:r>
      <w:r w:rsidRPr="009468DD">
        <w:rPr>
          <w:color w:val="000000" w:themeColor="text1"/>
          <w:sz w:val="20"/>
          <w:szCs w:val="20"/>
          <w:lang w:val="en-GB"/>
        </w:rPr>
        <w:t>R</w:t>
      </w:r>
      <w:r w:rsidR="00BF1AC5" w:rsidRPr="009468DD">
        <w:rPr>
          <w:color w:val="000000" w:themeColor="text1"/>
          <w:sz w:val="20"/>
          <w:szCs w:val="20"/>
          <w:lang w:val="en-GB"/>
        </w:rPr>
        <w:t>ace and the Issue of National I</w:t>
      </w:r>
      <w:r w:rsidR="00A639F9" w:rsidRPr="009468DD">
        <w:rPr>
          <w:color w:val="000000" w:themeColor="text1"/>
          <w:sz w:val="20"/>
          <w:szCs w:val="20"/>
          <w:lang w:val="en-GB"/>
        </w:rPr>
        <w:t>dentity in Israel,”</w:t>
      </w:r>
      <w:r w:rsidRPr="009468DD">
        <w:rPr>
          <w:color w:val="000000" w:themeColor="text1"/>
          <w:sz w:val="20"/>
          <w:szCs w:val="20"/>
          <w:lang w:val="en-GB"/>
        </w:rPr>
        <w:t xml:space="preserve"> </w:t>
      </w:r>
      <w:r w:rsidRPr="009468DD">
        <w:rPr>
          <w:i/>
          <w:iCs/>
          <w:color w:val="000000" w:themeColor="text1"/>
          <w:sz w:val="20"/>
          <w:szCs w:val="20"/>
          <w:lang w:val="en-GB"/>
        </w:rPr>
        <w:t>International Journal of Middle Eastern Studies</w:t>
      </w:r>
      <w:r w:rsidRPr="009468DD">
        <w:rPr>
          <w:color w:val="000000" w:themeColor="text1"/>
          <w:sz w:val="20"/>
          <w:szCs w:val="20"/>
          <w:lang w:val="en-GB"/>
        </w:rPr>
        <w:t>, Volume 23, Issue 1 (February 1991), pp. 39–55.</w:t>
      </w:r>
    </w:p>
  </w:footnote>
  <w:footnote w:id="58">
    <w:p w14:paraId="71CEDC77" w14:textId="73299B54" w:rsidR="008536AA" w:rsidRPr="009468DD" w:rsidRDefault="008536AA" w:rsidP="009468DD">
      <w:pPr>
        <w:spacing w:before="80" w:after="80" w:line="20" w:lineRule="atLeast"/>
        <w:rPr>
          <w:sz w:val="20"/>
          <w:szCs w:val="20"/>
          <w:lang w:val="en-GB"/>
        </w:rPr>
      </w:pPr>
      <w:r w:rsidRPr="009468DD">
        <w:rPr>
          <w:rStyle w:val="FootnoteReference"/>
          <w:color w:val="000000" w:themeColor="text1"/>
          <w:sz w:val="20"/>
          <w:szCs w:val="20"/>
          <w:lang w:val="en-GB"/>
        </w:rPr>
        <w:footnoteRef/>
      </w:r>
      <w:r w:rsidRPr="009468DD">
        <w:rPr>
          <w:color w:val="000000" w:themeColor="text1"/>
          <w:sz w:val="20"/>
          <w:szCs w:val="20"/>
          <w:lang w:val="en-GB"/>
        </w:rPr>
        <w:t xml:space="preserve"> </w:t>
      </w:r>
      <w:r w:rsidR="00A639F9" w:rsidRPr="009468DD">
        <w:rPr>
          <w:color w:val="000000" w:themeColor="text1"/>
          <w:sz w:val="20"/>
          <w:szCs w:val="20"/>
          <w:lang w:val="en-GB"/>
        </w:rPr>
        <w:t xml:space="preserve">HIC-HLRN, </w:t>
      </w:r>
      <w:r w:rsidRPr="009468DD">
        <w:rPr>
          <w:color w:val="000000" w:themeColor="text1"/>
          <w:sz w:val="20"/>
          <w:szCs w:val="20"/>
          <w:lang w:val="en-GB"/>
        </w:rPr>
        <w:t>The Goldberg Opportunity: A Chance for Human Rights-ba</w:t>
      </w:r>
      <w:r w:rsidR="00A639F9" w:rsidRPr="009468DD">
        <w:rPr>
          <w:color w:val="000000" w:themeColor="text1"/>
          <w:sz w:val="20"/>
          <w:szCs w:val="20"/>
          <w:lang w:val="en-GB"/>
        </w:rPr>
        <w:t xml:space="preserve">sed Statecraft in Israel (Cairo, </w:t>
      </w:r>
      <w:r w:rsidRPr="009468DD">
        <w:rPr>
          <w:color w:val="000000" w:themeColor="text1"/>
          <w:sz w:val="20"/>
          <w:szCs w:val="20"/>
          <w:lang w:val="en-GB"/>
        </w:rPr>
        <w:t xml:space="preserve">HIC-HLRN, 2010), available at: </w:t>
      </w:r>
      <w:hyperlink r:id="rId18" w:history="1">
        <w:r w:rsidR="00A639F9" w:rsidRPr="009468DD">
          <w:rPr>
            <w:rStyle w:val="Hyperlink"/>
            <w:sz w:val="20"/>
            <w:szCs w:val="20"/>
            <w:lang w:val="en-GB"/>
          </w:rPr>
          <w:t>http://www.hlrn.org/img/publications/Naqab%20FFM%20report%202010.zip</w:t>
        </w:r>
      </w:hyperlink>
      <w:r w:rsidRPr="009468DD">
        <w:rPr>
          <w:color w:val="000000" w:themeColor="text1"/>
          <w:sz w:val="20"/>
          <w:szCs w:val="20"/>
          <w:lang w:val="en-GB"/>
        </w:rPr>
        <w:t>.</w:t>
      </w:r>
    </w:p>
  </w:footnote>
  <w:footnote w:id="59">
    <w:p w14:paraId="32F1D791" w14:textId="4604A8FB" w:rsidR="00CE18D1" w:rsidRPr="009468DD" w:rsidRDefault="00CE18D1" w:rsidP="009468DD">
      <w:pPr>
        <w:spacing w:before="80" w:after="80" w:line="20" w:lineRule="atLeast"/>
        <w:rPr>
          <w:iCs/>
          <w:sz w:val="20"/>
          <w:szCs w:val="20"/>
          <w:lang w:val="en-GB"/>
        </w:rPr>
      </w:pPr>
      <w:r w:rsidRPr="009468DD">
        <w:rPr>
          <w:rStyle w:val="FootnoteReference"/>
          <w:sz w:val="20"/>
          <w:szCs w:val="20"/>
          <w:lang w:val="en-GB"/>
        </w:rPr>
        <w:footnoteRef/>
      </w:r>
      <w:r w:rsidRPr="009468DD">
        <w:rPr>
          <w:sz w:val="20"/>
          <w:szCs w:val="20"/>
          <w:lang w:val="en-GB"/>
        </w:rPr>
        <w:t xml:space="preserve"> </w:t>
      </w:r>
      <w:r w:rsidRPr="009468DD">
        <w:rPr>
          <w:i/>
          <w:iCs/>
          <w:sz w:val="20"/>
          <w:szCs w:val="20"/>
          <w:lang w:val="en-GB"/>
        </w:rPr>
        <w:t>See</w:t>
      </w:r>
      <w:r w:rsidRPr="009468DD">
        <w:rPr>
          <w:sz w:val="20"/>
          <w:szCs w:val="20"/>
          <w:lang w:val="en-GB"/>
        </w:rPr>
        <w:t xml:space="preserve">, e.g., </w:t>
      </w:r>
      <w:r w:rsidRPr="009468DD">
        <w:rPr>
          <w:iCs/>
          <w:sz w:val="20"/>
          <w:szCs w:val="20"/>
          <w:lang w:val="en-GB"/>
        </w:rPr>
        <w:t xml:space="preserve">Al-Haq, </w:t>
      </w:r>
      <w:r w:rsidRPr="009468DD">
        <w:rPr>
          <w:i/>
          <w:sz w:val="20"/>
          <w:szCs w:val="20"/>
          <w:lang w:val="en-GB"/>
        </w:rPr>
        <w:t>Settling Area C: The Jordan Valley Exposed</w:t>
      </w:r>
      <w:r w:rsidRPr="009468DD">
        <w:rPr>
          <w:iCs/>
          <w:sz w:val="20"/>
          <w:szCs w:val="20"/>
          <w:lang w:val="en-GB"/>
        </w:rPr>
        <w:t xml:space="preserve"> (2018)</w:t>
      </w:r>
      <w:r w:rsidRPr="009468DD">
        <w:rPr>
          <w:sz w:val="20"/>
          <w:szCs w:val="20"/>
          <w:lang w:val="en-GB"/>
        </w:rPr>
        <w:t>, pp. 35-36.</w:t>
      </w:r>
    </w:p>
  </w:footnote>
  <w:footnote w:id="60">
    <w:p w14:paraId="55BF63AD" w14:textId="3FEA356A"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“PHROC Calls for Immediate Action by International Community on Israel’s “Regularization” Law,” 9 February 2017, available at: </w:t>
      </w:r>
      <w:hyperlink r:id="rId19" w:history="1">
        <w:r w:rsidRPr="009468DD">
          <w:rPr>
            <w:rStyle w:val="Hyperlink"/>
            <w:rFonts w:ascii="Times New Roman" w:hAnsi="Times New Roman" w:cs="Times New Roman"/>
            <w:sz w:val="20"/>
            <w:szCs w:val="20"/>
            <w:lang w:val="en-GB"/>
          </w:rPr>
          <w:t>https://www.alhaq.org/palestinian-human-rights-organizations-council/6355.html</w:t>
        </w:r>
      </w:hyperlink>
      <w:r w:rsidRPr="009468DD">
        <w:rPr>
          <w:rFonts w:ascii="Times New Roman" w:hAnsi="Times New Roman" w:cs="Times New Roman"/>
          <w:sz w:val="20"/>
          <w:szCs w:val="20"/>
          <w:lang w:val="en-GB"/>
        </w:rPr>
        <w:t>.</w:t>
      </w:r>
    </w:p>
  </w:footnote>
  <w:footnote w:id="61">
    <w:p w14:paraId="2A5FC0FC" w14:textId="171000F2"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Jonathan Lis and Yotam Berger, “Israeli Ministers Approve Bill That Would Legalize 66 West Bank Outposts,” Haaretz, 16 December 2018, available at: </w:t>
      </w:r>
      <w:hyperlink r:id="rId20" w:history="1">
        <w:r w:rsidRPr="009468DD">
          <w:rPr>
            <w:rStyle w:val="Hyperlink"/>
            <w:rFonts w:ascii="Times New Roman" w:hAnsi="Times New Roman" w:cs="Times New Roman"/>
            <w:sz w:val="20"/>
            <w:szCs w:val="20"/>
            <w:lang w:val="en-GB"/>
          </w:rPr>
          <w:t>https://www.haaretz.com/israel-news/.premium-israeli-ministers-approve-bill-that-would-legalize-66-west-bank-outposts-1.6747792</w:t>
        </w:r>
      </w:hyperlink>
      <w:r w:rsidRPr="009468DD">
        <w:rPr>
          <w:rFonts w:ascii="Times New Roman" w:hAnsi="Times New Roman" w:cs="Times New Roman"/>
          <w:sz w:val="20"/>
          <w:szCs w:val="20"/>
          <w:lang w:val="en-GB"/>
        </w:rPr>
        <w:t>.</w:t>
      </w:r>
    </w:p>
  </w:footnote>
  <w:footnote w:id="62">
    <w:p w14:paraId="0831581B" w14:textId="1C21E9FD"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color w:val="000000" w:themeColor="text1"/>
          <w:sz w:val="20"/>
          <w:szCs w:val="20"/>
          <w:lang w:val="en-GB"/>
        </w:rPr>
        <w:t xml:space="preserve">Articles 7(1)(d) and 8(2)(a)(vii), Rome Statute. </w:t>
      </w:r>
    </w:p>
  </w:footnote>
  <w:footnote w:id="63">
    <w:p w14:paraId="3BD231B9" w14:textId="2531C04F"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Article 55, </w:t>
      </w:r>
      <w:r w:rsidRPr="009468DD">
        <w:rPr>
          <w:rFonts w:ascii="Times New Roman" w:hAnsi="Times New Roman" w:cs="Times New Roman"/>
          <w:i/>
          <w:iCs/>
          <w:sz w:val="20"/>
          <w:szCs w:val="20"/>
          <w:lang w:val="en-GB"/>
        </w:rPr>
        <w:t>Hague Convention (IV) Respecting the Laws and Customs of War on Land and Its Annex: Regulations Concerning the Laws and Customs of War on Land</w:t>
      </w:r>
      <w:r w:rsidRPr="009468DD">
        <w:rPr>
          <w:rFonts w:ascii="Times New Roman" w:hAnsi="Times New Roman" w:cs="Times New Roman"/>
          <w:sz w:val="20"/>
          <w:szCs w:val="20"/>
          <w:lang w:val="en-GB"/>
        </w:rPr>
        <w:t>, 18 October 1907 (hereinafter ‘Hague Regulations’).</w:t>
      </w:r>
    </w:p>
  </w:footnote>
  <w:footnote w:id="64">
    <w:p w14:paraId="7BE79C32"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Concluding observations of the Committee on the Elimination of Racial Discrimination on the fourteenth to sixteenth periodic reports of Israel, 3 April 2012, UN Doc. CERD/C/ISR/CO/14-16, para. 25.</w:t>
      </w:r>
    </w:p>
  </w:footnote>
  <w:footnote w:id="65">
    <w:p w14:paraId="18733466" w14:textId="062706B1" w:rsidR="00CE18D1" w:rsidRPr="009468DD" w:rsidRDefault="00CE18D1" w:rsidP="009D6362">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009D6362">
        <w:rPr>
          <w:rFonts w:ascii="Times New Roman" w:hAnsi="Times New Roman" w:cs="Times New Roman"/>
          <w:sz w:val="20"/>
          <w:szCs w:val="20"/>
          <w:lang w:val="en-GB"/>
        </w:rPr>
        <w:t xml:space="preserve"> </w:t>
      </w:r>
      <w:r w:rsidR="009D6362">
        <w:rPr>
          <w:rFonts w:ascii="Times New Roman" w:hAnsi="Times New Roman" w:cs="Times New Roman"/>
          <w:i/>
          <w:iCs/>
          <w:sz w:val="20"/>
          <w:szCs w:val="20"/>
          <w:lang w:val="en-GB"/>
        </w:rPr>
        <w:t>Ibid.</w:t>
      </w:r>
      <w:r w:rsidRPr="009468DD">
        <w:rPr>
          <w:rFonts w:ascii="Times New Roman" w:hAnsi="Times New Roman" w:cs="Times New Roman"/>
          <w:sz w:val="20"/>
          <w:szCs w:val="20"/>
          <w:lang w:val="en-GB"/>
        </w:rPr>
        <w:t>, para. 18.</w:t>
      </w:r>
    </w:p>
  </w:footnote>
  <w:footnote w:id="66">
    <w:p w14:paraId="4BAAFA62" w14:textId="483318C3"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UN Security Council, Resolution 478 (1980), 20 August 1980, UN Doc. S/RES/478 (1980), para. 3.</w:t>
      </w:r>
    </w:p>
  </w:footnote>
  <w:footnote w:id="67">
    <w:p w14:paraId="3376D021" w14:textId="2F080782"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Jeffrey Heller, “U.S. Pressure Delays Israel’s ‘Greater Jerusalem’ Bill: legislator,” Reuters, 29 October 2017, available at: </w:t>
      </w:r>
      <w:hyperlink r:id="rId21" w:history="1">
        <w:r w:rsidRPr="009468DD">
          <w:rPr>
            <w:rStyle w:val="Hyperlink"/>
            <w:rFonts w:ascii="Times New Roman" w:hAnsi="Times New Roman" w:cs="Times New Roman"/>
            <w:sz w:val="20"/>
            <w:szCs w:val="20"/>
            <w:lang w:val="en-GB"/>
          </w:rPr>
          <w:t>https://www.reuters.com/article/us-israel-palestinians-settlement/u-s-pressure-delays-israels-greater-jerusalem-bill-legislator-idUSKBN1CY0CB</w:t>
        </w:r>
      </w:hyperlink>
      <w:r w:rsidRPr="009468DD">
        <w:rPr>
          <w:rFonts w:ascii="Times New Roman" w:hAnsi="Times New Roman" w:cs="Times New Roman"/>
          <w:sz w:val="20"/>
          <w:szCs w:val="20"/>
          <w:lang w:val="en-GB"/>
        </w:rPr>
        <w:t>.</w:t>
      </w:r>
    </w:p>
  </w:footnote>
  <w:footnote w:id="68">
    <w:p w14:paraId="71F89F5F" w14:textId="34150B6C" w:rsidR="00CE18D1" w:rsidRPr="009468DD" w:rsidRDefault="00CE18D1" w:rsidP="009468DD">
      <w:pPr>
        <w:pStyle w:val="FootnoteText"/>
        <w:spacing w:before="80" w:after="80" w:line="20" w:lineRule="atLeast"/>
        <w:rPr>
          <w:rFonts w:ascii="Times New Roman" w:hAnsi="Times New Roman" w:cs="Times New Roman"/>
          <w:i/>
          <w:iCs/>
          <w:sz w:val="20"/>
          <w:szCs w:val="20"/>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“The Occupation and Annexation of Jerusalem through Israeli Bills and Laws,” 5 March 2018, available at: </w:t>
      </w:r>
      <w:hyperlink r:id="rId22" w:history="1">
        <w:r w:rsidRPr="009468DD">
          <w:rPr>
            <w:rStyle w:val="Hyperlink"/>
            <w:rFonts w:ascii="Times New Roman" w:hAnsi="Times New Roman" w:cs="Times New Roman"/>
            <w:sz w:val="20"/>
            <w:szCs w:val="20"/>
            <w:lang w:val="en-GB"/>
          </w:rPr>
          <w:t>https://www.alhaq.org/advocacy/6263.html</w:t>
        </w:r>
      </w:hyperlink>
      <w:r w:rsidRPr="009468DD">
        <w:rPr>
          <w:rFonts w:ascii="Times New Roman" w:hAnsi="Times New Roman" w:cs="Times New Roman"/>
          <w:sz w:val="20"/>
          <w:szCs w:val="20"/>
          <w:lang w:val="en-GB"/>
        </w:rPr>
        <w:t>.</w:t>
      </w:r>
    </w:p>
  </w:footnote>
  <w:footnote w:id="69">
    <w:p w14:paraId="28AB3748" w14:textId="1E73003A"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“15 Years Since the ICJ Wall Opinion: Israel’s Impunity Prevails Due to the Third States’ Failure to Act,” 9 July 2019, available at: </w:t>
      </w:r>
      <w:hyperlink r:id="rId23" w:history="1">
        <w:r w:rsidRPr="009468DD">
          <w:rPr>
            <w:rStyle w:val="Hyperlink"/>
            <w:rFonts w:ascii="Times New Roman" w:hAnsi="Times New Roman" w:cs="Times New Roman"/>
            <w:sz w:val="20"/>
            <w:szCs w:val="20"/>
            <w:lang w:val="en-GB"/>
          </w:rPr>
          <w:t>https://www.alhaq.org/advocacy/14616.html</w:t>
        </w:r>
      </w:hyperlink>
      <w:r w:rsidRPr="009468DD">
        <w:rPr>
          <w:rFonts w:ascii="Times New Roman" w:hAnsi="Times New Roman" w:cs="Times New Roman"/>
          <w:sz w:val="20"/>
          <w:szCs w:val="20"/>
          <w:lang w:val="en-GB"/>
        </w:rPr>
        <w:t>.</w:t>
      </w:r>
    </w:p>
  </w:footnote>
  <w:footnote w:id="70">
    <w:p w14:paraId="0BEF7389" w14:textId="3A6CCE3A" w:rsidR="00CE18D1" w:rsidRPr="009468DD" w:rsidRDefault="00CE18D1" w:rsidP="009468DD">
      <w:pPr>
        <w:pStyle w:val="FootnoteText"/>
        <w:spacing w:before="80" w:after="80" w:line="20" w:lineRule="atLeast"/>
        <w:rPr>
          <w:rFonts w:ascii="Times New Roman" w:hAnsi="Times New Roman" w:cs="Times New Roman"/>
          <w:i/>
          <w:iCs/>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“Documents from Diplomatic Briefing ‘Emboldening Full Annexation: Three Months Since the Trump Declaration on Jerusalem,” 19 March 2018, available at: </w:t>
      </w:r>
      <w:hyperlink r:id="rId24" w:history="1">
        <w:r w:rsidRPr="009468DD">
          <w:rPr>
            <w:rStyle w:val="Hyperlink"/>
            <w:rFonts w:ascii="Times New Roman" w:hAnsi="Times New Roman" w:cs="Times New Roman"/>
            <w:sz w:val="20"/>
            <w:szCs w:val="20"/>
            <w:lang w:val="en-GB"/>
          </w:rPr>
          <w:t>https://www.alhaq.org/advocacy/6255.html</w:t>
        </w:r>
      </w:hyperlink>
      <w:r w:rsidRPr="009468DD">
        <w:rPr>
          <w:rFonts w:ascii="Times New Roman" w:hAnsi="Times New Roman" w:cs="Times New Roman"/>
          <w:sz w:val="20"/>
          <w:szCs w:val="20"/>
          <w:lang w:val="en-GB"/>
        </w:rPr>
        <w:t>.</w:t>
      </w:r>
    </w:p>
  </w:footnote>
  <w:footnote w:id="71">
    <w:p w14:paraId="0CF0E32D" w14:textId="6214C012"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color w:val="000000"/>
          <w:sz w:val="20"/>
          <w:szCs w:val="20"/>
          <w:lang w:val="en-GB"/>
        </w:rPr>
        <w:t xml:space="preserve">Al-Haq, “Punitive Residency Revocation: The Most Recent Tool of Forcible Transfer,” 17 March 2018, available at: </w:t>
      </w:r>
      <w:hyperlink r:id="rId25" w:history="1">
        <w:r w:rsidRPr="009468DD">
          <w:rPr>
            <w:rStyle w:val="Hyperlink"/>
            <w:rFonts w:ascii="Times New Roman" w:hAnsi="Times New Roman" w:cs="Times New Roman"/>
            <w:sz w:val="20"/>
            <w:szCs w:val="20"/>
            <w:lang w:val="en-GB"/>
          </w:rPr>
          <w:t>https://www.alhaq.org/advocacy/6257.html</w:t>
        </w:r>
      </w:hyperlink>
      <w:r w:rsidRPr="009468DD">
        <w:rPr>
          <w:rFonts w:ascii="Times New Roman" w:hAnsi="Times New Roman" w:cs="Times New Roman"/>
          <w:color w:val="000000"/>
          <w:sz w:val="20"/>
          <w:szCs w:val="20"/>
          <w:lang w:val="en-GB"/>
        </w:rPr>
        <w:t>.</w:t>
      </w:r>
    </w:p>
  </w:footnote>
  <w:footnote w:id="72">
    <w:p w14:paraId="2C3A6889" w14:textId="6553D5E1"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Ibid</w:t>
      </w:r>
      <w:r w:rsidRPr="009468DD">
        <w:rPr>
          <w:rFonts w:ascii="Times New Roman" w:hAnsi="Times New Roman" w:cs="Times New Roman"/>
          <w:sz w:val="20"/>
          <w:szCs w:val="20"/>
          <w:lang w:val="en-GB"/>
        </w:rPr>
        <w:t>.</w:t>
      </w:r>
    </w:p>
  </w:footnote>
  <w:footnote w:id="73">
    <w:p w14:paraId="421B44DB" w14:textId="670AB48E"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sz w:val="20"/>
          <w:szCs w:val="20"/>
          <w:lang w:val="en-GB"/>
        </w:rPr>
        <w:t>Ibid</w:t>
      </w:r>
      <w:r w:rsidRPr="009468DD">
        <w:rPr>
          <w:rFonts w:ascii="Times New Roman" w:hAnsi="Times New Roman" w:cs="Times New Roman"/>
          <w:sz w:val="20"/>
          <w:szCs w:val="20"/>
          <w:lang w:val="en-GB"/>
        </w:rPr>
        <w:t>.</w:t>
      </w:r>
    </w:p>
  </w:footnote>
  <w:footnote w:id="74">
    <w:p w14:paraId="42BCBE17"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Seventeenth to nineteenth periodic reports of States parties due in 2016, Israel, 2 March 2017, UN Doc. CERD/C/ISR/17-19, para. 54.</w:t>
      </w:r>
    </w:p>
  </w:footnote>
  <w:footnote w:id="75">
    <w:p w14:paraId="5BE07953" w14:textId="69F66FFB"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Article 33, Fourth Geneva Convention.</w:t>
      </w:r>
    </w:p>
  </w:footnote>
  <w:footnote w:id="76">
    <w:p w14:paraId="632530E4" w14:textId="095C1D5B" w:rsidR="00CE18D1" w:rsidRPr="009468DD" w:rsidRDefault="00CE18D1" w:rsidP="009468DD">
      <w:pPr>
        <w:pStyle w:val="FootnoteText"/>
        <w:spacing w:before="80" w:after="80" w:line="20" w:lineRule="atLeast"/>
        <w:rPr>
          <w:rFonts w:ascii="Times New Roman" w:hAnsi="Times New Roman" w:cs="Times New Roman"/>
          <w:sz w:val="20"/>
          <w:szCs w:val="20"/>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 xml:space="preserve">See </w:t>
      </w:r>
      <w:r w:rsidRPr="009468DD">
        <w:rPr>
          <w:rFonts w:ascii="Times New Roman" w:hAnsi="Times New Roman" w:cs="Times New Roman"/>
          <w:sz w:val="20"/>
          <w:szCs w:val="20"/>
          <w:lang w:val="en-GB"/>
        </w:rPr>
        <w:t xml:space="preserve">Al-Haq, “The Occupation and Annexation of Jerusalem through Israeli Bills and Laws,” 5 March 2018, available at: </w:t>
      </w:r>
      <w:hyperlink r:id="rId26" w:history="1">
        <w:r w:rsidRPr="009468DD">
          <w:rPr>
            <w:rStyle w:val="Hyperlink"/>
            <w:rFonts w:ascii="Times New Roman" w:hAnsi="Times New Roman" w:cs="Times New Roman"/>
            <w:sz w:val="20"/>
            <w:szCs w:val="20"/>
            <w:lang w:val="en-GB"/>
          </w:rPr>
          <w:t>https://www.alhaq.org/advocacy/6263.html</w:t>
        </w:r>
      </w:hyperlink>
      <w:r w:rsidRPr="009468DD">
        <w:rPr>
          <w:rFonts w:ascii="Times New Roman" w:hAnsi="Times New Roman" w:cs="Times New Roman"/>
          <w:sz w:val="20"/>
          <w:szCs w:val="20"/>
          <w:lang w:val="en-GB"/>
        </w:rPr>
        <w:t xml:space="preserve">. </w:t>
      </w:r>
      <w:r w:rsidRPr="009468DD">
        <w:rPr>
          <w:rFonts w:ascii="Times New Roman" w:hAnsi="Times New Roman" w:cs="Times New Roman"/>
          <w:color w:val="000000"/>
          <w:sz w:val="20"/>
          <w:szCs w:val="20"/>
          <w:lang w:val="en-GB"/>
        </w:rPr>
        <w:t xml:space="preserve">Al-Haq, “Urgent Appeal: Israel Must Suspend and Repeal Recent Legislation Allowing for the Revocation of Permanent Residency Status from Palestinians in Jerusalem for ‘Breach of Allegiance’,” 8 March 2018, available at: </w:t>
      </w:r>
      <w:hyperlink r:id="rId27" w:history="1">
        <w:r w:rsidRPr="009468DD">
          <w:rPr>
            <w:rStyle w:val="Hyperlink"/>
            <w:rFonts w:ascii="Times New Roman" w:hAnsi="Times New Roman" w:cs="Times New Roman"/>
            <w:sz w:val="20"/>
            <w:szCs w:val="20"/>
            <w:lang w:val="en-GB"/>
          </w:rPr>
          <w:t>https://www.alhaq.org/advocacy/6262.html</w:t>
        </w:r>
      </w:hyperlink>
      <w:r w:rsidRPr="009468DD">
        <w:rPr>
          <w:rFonts w:ascii="Times New Roman" w:hAnsi="Times New Roman" w:cs="Times New Roman"/>
          <w:color w:val="000000"/>
          <w:sz w:val="20"/>
          <w:szCs w:val="20"/>
          <w:lang w:val="en-GB"/>
        </w:rPr>
        <w:t>.</w:t>
      </w:r>
    </w:p>
  </w:footnote>
  <w:footnote w:id="77">
    <w:p w14:paraId="6F0A6A20"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Concluding observations of the Committee on the Elimination of Racial Discrimination on the fourteenth to sixteenth periodic reports of Israel, 3 April 2012, UN Doc. CERD/C/ISR/CO/14-16, para. 18.</w:t>
      </w:r>
    </w:p>
  </w:footnote>
  <w:footnote w:id="78">
    <w:p w14:paraId="577150E5" w14:textId="593847B1"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“Engineering Community: Family Unification, Entry Restrictions and other Israeli Policies of Fragmenting Palestinians,” 13 February 2019, p. 8, available at: </w:t>
      </w:r>
      <w:hyperlink r:id="rId28" w:history="1">
        <w:r w:rsidRPr="009468DD">
          <w:rPr>
            <w:rStyle w:val="Hyperlink"/>
            <w:rFonts w:ascii="Times New Roman" w:hAnsi="Times New Roman" w:cs="Times New Roman"/>
            <w:sz w:val="20"/>
            <w:szCs w:val="20"/>
            <w:lang w:val="en-GB"/>
          </w:rPr>
          <w:t>https://www.alhaq.org/advocacy/6106.html</w:t>
        </w:r>
      </w:hyperlink>
      <w:r w:rsidRPr="009468DD">
        <w:rPr>
          <w:rFonts w:ascii="Times New Roman" w:hAnsi="Times New Roman" w:cs="Times New Roman"/>
          <w:sz w:val="20"/>
          <w:szCs w:val="20"/>
          <w:lang w:val="en-GB"/>
        </w:rPr>
        <w:t>.</w:t>
      </w:r>
    </w:p>
  </w:footnote>
  <w:footnote w:id="79">
    <w:p w14:paraId="5947BDD7" w14:textId="59DFD92C"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Al-Haq, “Living Under Israeli Policies of Colonization in Jerusalem,” 4 February 2017, available at</w:t>
      </w:r>
      <w:r w:rsidRPr="009468DD">
        <w:rPr>
          <w:rFonts w:ascii="Times New Roman" w:hAnsi="Times New Roman" w:cs="Times New Roman"/>
          <w:sz w:val="20"/>
          <w:szCs w:val="20"/>
        </w:rPr>
        <w:t xml:space="preserve"> </w:t>
      </w:r>
      <w:hyperlink r:id="rId29" w:history="1">
        <w:r w:rsidRPr="009468DD">
          <w:rPr>
            <w:rStyle w:val="Hyperlink"/>
            <w:rFonts w:ascii="Times New Roman" w:hAnsi="Times New Roman" w:cs="Times New Roman"/>
            <w:sz w:val="20"/>
            <w:szCs w:val="20"/>
            <w:lang w:val="en-GB"/>
          </w:rPr>
          <w:t>https://www.alhaq.org/advocacy/6359.html</w:t>
        </w:r>
      </w:hyperlink>
      <w:r w:rsidRPr="009468DD">
        <w:rPr>
          <w:rFonts w:ascii="Times New Roman" w:hAnsi="Times New Roman" w:cs="Times New Roman"/>
          <w:sz w:val="20"/>
          <w:szCs w:val="20"/>
          <w:lang w:val="en-GB"/>
        </w:rPr>
        <w:t>; Official Israeli papers specifically relate to the “demographic balance” in Jerusalem (</w:t>
      </w:r>
      <w:r w:rsidRPr="009468DD">
        <w:rPr>
          <w:rFonts w:ascii="Times New Roman" w:hAnsi="Times New Roman" w:cs="Times New Roman"/>
          <w:i/>
          <w:iCs/>
          <w:sz w:val="20"/>
          <w:szCs w:val="20"/>
          <w:lang w:val="en-GB"/>
        </w:rPr>
        <w:t>see</w:t>
      </w:r>
      <w:r w:rsidRPr="009468DD">
        <w:rPr>
          <w:rFonts w:ascii="Times New Roman" w:hAnsi="Times New Roman" w:cs="Times New Roman"/>
          <w:sz w:val="20"/>
          <w:szCs w:val="20"/>
          <w:lang w:val="en-GB"/>
        </w:rPr>
        <w:t xml:space="preserve"> for instance: Jerusalem Local Outline Plan 2000, Report No. 4 – The Suggested Plan and the Planning Policy, August 2004, p. 202).</w:t>
      </w:r>
    </w:p>
  </w:footnote>
  <w:footnote w:id="80">
    <w:p w14:paraId="02560B4E" w14:textId="7B9B5535"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Nir Hasson, “Israel Seeks to Block All East Jerusalem Family Reunification Hearings Over ‘Workload’,” Haaretz, 1 May 2019, available at: </w:t>
      </w:r>
      <w:hyperlink r:id="rId30" w:history="1">
        <w:r w:rsidRPr="009468DD">
          <w:rPr>
            <w:rStyle w:val="Hyperlink"/>
            <w:rFonts w:ascii="Times New Roman" w:hAnsi="Times New Roman" w:cs="Times New Roman"/>
            <w:sz w:val="20"/>
            <w:szCs w:val="20"/>
            <w:lang w:val="en-GB"/>
          </w:rPr>
          <w:t>https://www.haaretz.com/israel-news/.premium-israel-seeks-to-block-all-e-jerusalem-family-reunification-hearings-over-workload-1.7188984</w:t>
        </w:r>
      </w:hyperlink>
      <w:r w:rsidRPr="009468DD">
        <w:rPr>
          <w:rFonts w:ascii="Times New Roman" w:hAnsi="Times New Roman" w:cs="Times New Roman"/>
          <w:sz w:val="20"/>
          <w:szCs w:val="20"/>
          <w:lang w:val="en-GB"/>
        </w:rPr>
        <w:t>.</w:t>
      </w:r>
    </w:p>
  </w:footnote>
  <w:footnote w:id="81">
    <w:p w14:paraId="1F473F8B" w14:textId="60CFFD39" w:rsidR="00CE18D1" w:rsidRPr="009468DD" w:rsidRDefault="00CE18D1" w:rsidP="009468DD">
      <w:pPr>
        <w:pStyle w:val="FootnoteText"/>
        <w:spacing w:before="80" w:after="80" w:line="20" w:lineRule="atLeast"/>
        <w:rPr>
          <w:rFonts w:ascii="Times New Roman" w:hAnsi="Times New Roman" w:cs="Times New Roman"/>
          <w:sz w:val="20"/>
          <w:szCs w:val="20"/>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 xml:space="preserve">See </w:t>
      </w:r>
      <w:r w:rsidRPr="009468DD">
        <w:rPr>
          <w:rFonts w:ascii="Times New Roman" w:hAnsi="Times New Roman" w:cs="Times New Roman"/>
          <w:sz w:val="20"/>
          <w:szCs w:val="20"/>
          <w:lang w:val="en-GB"/>
        </w:rPr>
        <w:t xml:space="preserve">Al-Haq, “The Occupation and Annexation of Jerusalem through Israeli Bills and Laws,” 5 March 2018, available at: </w:t>
      </w:r>
      <w:hyperlink r:id="rId31" w:history="1">
        <w:r w:rsidRPr="009468DD">
          <w:rPr>
            <w:rStyle w:val="Hyperlink"/>
            <w:rFonts w:ascii="Times New Roman" w:hAnsi="Times New Roman" w:cs="Times New Roman"/>
            <w:sz w:val="20"/>
            <w:szCs w:val="20"/>
            <w:lang w:val="en-GB"/>
          </w:rPr>
          <w:t>https://www.alhaq.org/advocacy/6263.html</w:t>
        </w:r>
      </w:hyperlink>
      <w:r w:rsidRPr="009468DD">
        <w:rPr>
          <w:rFonts w:ascii="Times New Roman" w:hAnsi="Times New Roman" w:cs="Times New Roman"/>
          <w:sz w:val="20"/>
          <w:szCs w:val="20"/>
          <w:lang w:val="en-GB"/>
        </w:rPr>
        <w:t>.</w:t>
      </w:r>
    </w:p>
  </w:footnote>
  <w:footnote w:id="82">
    <w:p w14:paraId="34323259"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Concluding observations of the Committee on the Elimination of Racial Discrimination on the fourteenth to sixteenth periodic reports of Israel, 3 April 2012, UN Doc. CERD/C/ISR/CO/14-16, para. 26.</w:t>
      </w:r>
    </w:p>
  </w:footnote>
  <w:footnote w:id="83">
    <w:p w14:paraId="610D888D"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CERD, Concluding observations of the Committee on the Elimination of Racial Discrimination on the combined initial and second periodic reports of the State of Palestine, 29 August 2019, UN Doc. CERD/C/PSE/CO/1-2.</w:t>
      </w:r>
    </w:p>
  </w:footnote>
  <w:footnote w:id="84">
    <w:p w14:paraId="4A83DD6B"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Article 33, Fourth Geneva Convention.</w:t>
      </w:r>
    </w:p>
  </w:footnote>
  <w:footnote w:id="85">
    <w:p w14:paraId="5D4C6009" w14:textId="3E34C452" w:rsidR="00CE18D1" w:rsidRPr="009468DD" w:rsidRDefault="00CE18D1" w:rsidP="009468DD">
      <w:pPr>
        <w:pStyle w:val="FootnoteText"/>
        <w:spacing w:before="80" w:after="80" w:line="20" w:lineRule="atLeast"/>
        <w:rPr>
          <w:rFonts w:ascii="Times New Roman" w:hAnsi="Times New Roman" w:cs="Times New Roman"/>
          <w:color w:val="000000" w:themeColor="text1"/>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UNCTAD, Report on UNCTAD Assistance to the Palestinian Developments in the Economy of the Occupied Palestinian Territory, 23 July 2018, 23 July 2018, UN Doc. TD/B/65(2)/3, para. 27.</w:t>
      </w:r>
    </w:p>
  </w:footnote>
  <w:footnote w:id="86">
    <w:p w14:paraId="4D76B066" w14:textId="4824CA7A" w:rsidR="00CE18D1" w:rsidRPr="009468DD" w:rsidRDefault="00CE18D1" w:rsidP="009468DD">
      <w:pPr>
        <w:pStyle w:val="FootnoteText"/>
        <w:spacing w:before="80" w:after="80" w:line="20" w:lineRule="atLeast"/>
        <w:rPr>
          <w:rFonts w:ascii="Times New Roman" w:hAnsi="Times New Roman" w:cs="Times New Roman"/>
          <w:i/>
          <w:iCs/>
          <w:color w:val="000000" w:themeColor="text1"/>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Ibid.</w:t>
      </w:r>
    </w:p>
  </w:footnote>
  <w:footnote w:id="87">
    <w:p w14:paraId="49942548" w14:textId="46F048A1" w:rsidR="00CE18D1" w:rsidRPr="009468DD" w:rsidRDefault="00CE18D1" w:rsidP="009468DD">
      <w:pPr>
        <w:pStyle w:val="FootnoteText"/>
        <w:spacing w:before="80" w:after="80" w:line="20" w:lineRule="atLeast"/>
        <w:rPr>
          <w:rFonts w:ascii="Times New Roman" w:hAnsi="Times New Roman" w:cs="Times New Roman"/>
          <w:color w:val="000000" w:themeColor="text1"/>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Ibid.</w:t>
      </w:r>
      <w:r w:rsidRPr="009468DD">
        <w:rPr>
          <w:rFonts w:ascii="Times New Roman" w:hAnsi="Times New Roman" w:cs="Times New Roman"/>
          <w:sz w:val="20"/>
          <w:szCs w:val="20"/>
          <w:lang w:val="en-GB"/>
        </w:rPr>
        <w:t xml:space="preserve"> para. 26.</w:t>
      </w:r>
    </w:p>
  </w:footnote>
  <w:footnote w:id="88">
    <w:p w14:paraId="1A6E7E12" w14:textId="65DAA2DD"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OCHA, “53 per cent of Palestinians in Gaza live in poverty, despite humanitarian assistance,” 5 June 2018, available at: </w:t>
      </w:r>
      <w:hyperlink r:id="rId32" w:history="1">
        <w:r w:rsidRPr="009468DD">
          <w:rPr>
            <w:rStyle w:val="Hyperlink"/>
            <w:rFonts w:ascii="Times New Roman" w:hAnsi="Times New Roman" w:cs="Times New Roman"/>
            <w:sz w:val="20"/>
            <w:szCs w:val="20"/>
            <w:lang w:val="en-GB"/>
          </w:rPr>
          <w:t>https://www.ochaopt.org/content/53-cent-palestinians-gaza-live-poverty-despite-humanitarian-assistance</w:t>
        </w:r>
      </w:hyperlink>
      <w:r w:rsidRPr="009468DD">
        <w:rPr>
          <w:rFonts w:ascii="Times New Roman" w:hAnsi="Times New Roman" w:cs="Times New Roman"/>
          <w:sz w:val="20"/>
          <w:szCs w:val="20"/>
          <w:lang w:val="en-GB"/>
        </w:rPr>
        <w:t>.</w:t>
      </w:r>
    </w:p>
  </w:footnote>
  <w:footnote w:id="89">
    <w:p w14:paraId="5C18D6E9" w14:textId="64A66096"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Ibid.</w:t>
      </w:r>
    </w:p>
  </w:footnote>
  <w:footnote w:id="90">
    <w:p w14:paraId="6EAAC48D" w14:textId="1759AAB1"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UNRWA, “More than One Million People in Gaza – Half of the Population of the Territory – May Not Have Enough Food by June,” 13 May 2019, available at: </w:t>
      </w:r>
      <w:hyperlink r:id="rId33" w:history="1">
        <w:r w:rsidRPr="009468DD">
          <w:rPr>
            <w:rStyle w:val="Hyperlink"/>
            <w:rFonts w:ascii="Times New Roman" w:hAnsi="Times New Roman" w:cs="Times New Roman"/>
            <w:sz w:val="20"/>
            <w:szCs w:val="20"/>
            <w:lang w:val="en-GB"/>
          </w:rPr>
          <w:t>https://www.unrwa.org/newsroom/press-releases/more-one-million-people-gaza-–-half-population-territory-–-may-not-have</w:t>
        </w:r>
      </w:hyperlink>
      <w:r w:rsidRPr="009468DD">
        <w:rPr>
          <w:rFonts w:ascii="Times New Roman" w:hAnsi="Times New Roman" w:cs="Times New Roman"/>
          <w:sz w:val="20"/>
          <w:szCs w:val="20"/>
          <w:lang w:val="en-GB"/>
        </w:rPr>
        <w:t>.</w:t>
      </w:r>
    </w:p>
  </w:footnote>
  <w:footnote w:id="91">
    <w:p w14:paraId="40A850A6" w14:textId="3CBA6017" w:rsidR="00CE18D1" w:rsidRPr="009468DD" w:rsidRDefault="00CE18D1" w:rsidP="009468DD">
      <w:pPr>
        <w:pStyle w:val="FootnoteText"/>
        <w:spacing w:before="80" w:after="80" w:line="20" w:lineRule="atLeast"/>
        <w:rPr>
          <w:rFonts w:ascii="Times New Roman" w:hAnsi="Times New Roman" w:cs="Times New Roman"/>
          <w:sz w:val="20"/>
          <w:szCs w:val="20"/>
        </w:rPr>
      </w:pPr>
      <w:r w:rsidRPr="009468DD">
        <w:rPr>
          <w:rStyle w:val="FootnoteReference"/>
          <w:rFonts w:ascii="Times New Roman" w:hAnsi="Times New Roman" w:cs="Times New Roman"/>
          <w:sz w:val="20"/>
          <w:szCs w:val="20"/>
        </w:rPr>
        <w:footnoteRef/>
      </w:r>
      <w:r w:rsidRPr="009468DD">
        <w:rPr>
          <w:rFonts w:ascii="Times New Roman" w:hAnsi="Times New Roman" w:cs="Times New Roman"/>
          <w:sz w:val="20"/>
          <w:szCs w:val="20"/>
          <w:lang w:val="en-GB"/>
        </w:rPr>
        <w:t xml:space="preserve"> BBC News, “Israel forced to release study on Gaza blockade,” 17 October 2012, available at: </w:t>
      </w:r>
      <w:hyperlink r:id="rId34" w:history="1">
        <w:r w:rsidRPr="009468DD">
          <w:rPr>
            <w:rStyle w:val="Hyperlink"/>
            <w:rFonts w:ascii="Times New Roman" w:hAnsi="Times New Roman" w:cs="Times New Roman"/>
            <w:sz w:val="20"/>
            <w:szCs w:val="20"/>
            <w:lang w:val="en-GB"/>
          </w:rPr>
          <w:t>https://www.bbc.com/news/world-middle-east-19975211</w:t>
        </w:r>
      </w:hyperlink>
      <w:r w:rsidRPr="009468DD">
        <w:rPr>
          <w:rFonts w:ascii="Times New Roman" w:hAnsi="Times New Roman" w:cs="Times New Roman"/>
          <w:sz w:val="20"/>
          <w:szCs w:val="20"/>
          <w:lang w:val="en-GB"/>
        </w:rPr>
        <w:t xml:space="preserve">; Amira Hass, “Haaretz Exclusive – 2,279 Calories per Person: How Israel Made Sure Gaza Didn’t Starve,” Haaretz, 17 October 2002, available at: </w:t>
      </w:r>
      <w:hyperlink r:id="rId35" w:history="1">
        <w:r w:rsidRPr="009468DD">
          <w:rPr>
            <w:rStyle w:val="Hyperlink"/>
            <w:rFonts w:ascii="Times New Roman" w:hAnsi="Times New Roman" w:cs="Times New Roman"/>
            <w:sz w:val="20"/>
            <w:szCs w:val="20"/>
            <w:lang w:val="en-GB"/>
          </w:rPr>
          <w:t>https://www.haaretz.com/.premium-israel-s-gaza-quota-2-279-calories-a-day-1.5193157</w:t>
        </w:r>
      </w:hyperlink>
      <w:r w:rsidRPr="009468DD">
        <w:rPr>
          <w:rFonts w:ascii="Times New Roman" w:hAnsi="Times New Roman" w:cs="Times New Roman"/>
          <w:sz w:val="20"/>
          <w:szCs w:val="20"/>
          <w:lang w:val="en-GB"/>
        </w:rPr>
        <w:t>; Coordination of Government Activities in the Territories, “Food Consumption in the Gaza Strip – Red Lines,” 1 January 2008, at.</w:t>
      </w:r>
    </w:p>
  </w:footnote>
  <w:footnote w:id="92">
    <w:p w14:paraId="0F3205CE" w14:textId="5E4714C3"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ESCWA, Economic and social repercussions of the Israeli occupation on the living conditions of the Palestinian people in the Occupied Palestinian Territory, including East Jerusalem, and of the Arab population in the occupied Syrian Golan, 13 May 2019, UN Doc. A/74/88–E/2019/72, para. 95.</w:t>
      </w:r>
    </w:p>
  </w:footnote>
  <w:footnote w:id="93">
    <w:p w14:paraId="3ADB828A" w14:textId="77DEE531" w:rsidR="00CE18D1" w:rsidRPr="009468DD" w:rsidRDefault="00CE18D1" w:rsidP="009468DD">
      <w:pPr>
        <w:pStyle w:val="FootnoteText"/>
        <w:spacing w:before="80" w:after="80" w:line="20" w:lineRule="atLeast"/>
        <w:rPr>
          <w:rFonts w:ascii="Times New Roman" w:hAnsi="Times New Roman" w:cs="Times New Roman"/>
          <w:i/>
          <w:iCs/>
          <w:color w:val="000000" w:themeColor="text1"/>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UNCTAD, Report on UNCTAD Assistance to the Palestinian Developments in the Economy of the Occupied Palestinian Territory, 23 July 2018, 23 July 2018, UN Doc. TD/B/65(2)/3, para. 32.</w:t>
      </w:r>
    </w:p>
  </w:footnote>
  <w:footnote w:id="94">
    <w:p w14:paraId="1C87AB44"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OCHA, “Study Warns Water Sanitation Crisis in Gaza May Cause Disease Outbreak and Possible Epidemic,” 16 November 2018, available at: </w:t>
      </w:r>
      <w:hyperlink r:id="rId36" w:history="1">
        <w:r w:rsidRPr="009468DD">
          <w:rPr>
            <w:rStyle w:val="Hyperlink"/>
            <w:rFonts w:ascii="Times New Roman" w:hAnsi="Times New Roman" w:cs="Times New Roman"/>
            <w:sz w:val="20"/>
            <w:szCs w:val="20"/>
            <w:lang w:val="en-GB"/>
          </w:rPr>
          <w:t>https://www.ochaopt.org/content/study-warns-water-sanitation-crisis-gaza-may-cause-disease-outbreak-and-possible-epidemic</w:t>
        </w:r>
      </w:hyperlink>
      <w:r w:rsidRPr="009468DD">
        <w:rPr>
          <w:rFonts w:ascii="Times New Roman" w:hAnsi="Times New Roman" w:cs="Times New Roman"/>
          <w:sz w:val="20"/>
          <w:szCs w:val="20"/>
          <w:lang w:val="en-GB"/>
        </w:rPr>
        <w:t>.</w:t>
      </w:r>
    </w:p>
  </w:footnote>
  <w:footnote w:id="95">
    <w:p w14:paraId="5B03F137" w14:textId="632C766C"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Fonts w:ascii="Times New Roman" w:hAnsi="Times New Roman" w:cs="Times New Roman"/>
          <w:sz w:val="20"/>
          <w:szCs w:val="20"/>
          <w:vertAlign w:val="superscript"/>
          <w:lang w:val="en-GB"/>
        </w:rPr>
        <w:footnoteRef/>
      </w:r>
      <w:r w:rsidRPr="009468DD">
        <w:rPr>
          <w:rFonts w:ascii="Times New Roman" w:hAnsi="Times New Roman" w:cs="Times New Roman"/>
          <w:sz w:val="20"/>
          <w:szCs w:val="20"/>
          <w:lang w:val="en-GB"/>
        </w:rPr>
        <w:t xml:space="preserve"> UNDP, Human Development Report 2006: Beyond Scarcity: Power, poverty and the global water crisis (New York, 2006), Chapter 6 “Managing transboundary waters,” p. 217, available at: </w:t>
      </w:r>
      <w:hyperlink r:id="rId37" w:history="1">
        <w:r w:rsidRPr="009468DD">
          <w:rPr>
            <w:rStyle w:val="Hyperlink"/>
            <w:rFonts w:ascii="Times New Roman" w:hAnsi="Times New Roman" w:cs="Times New Roman"/>
            <w:sz w:val="20"/>
            <w:szCs w:val="20"/>
            <w:lang w:val="en-GB"/>
          </w:rPr>
          <w:t>http://hdr.undp.org/sites/default/files/reports/267/hdr06-complete.pdf</w:t>
        </w:r>
      </w:hyperlink>
      <w:r w:rsidRPr="009468DD">
        <w:rPr>
          <w:rFonts w:ascii="Times New Roman" w:hAnsi="Times New Roman" w:cs="Times New Roman"/>
          <w:sz w:val="20"/>
          <w:szCs w:val="20"/>
          <w:lang w:val="en-GB"/>
        </w:rPr>
        <w:t>.</w:t>
      </w:r>
    </w:p>
  </w:footnote>
  <w:footnote w:id="96">
    <w:p w14:paraId="24160935" w14:textId="77777777"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color w:val="FF0000"/>
          <w:sz w:val="20"/>
          <w:szCs w:val="20"/>
          <w:lang w:val="en-GB"/>
        </w:rPr>
        <w:t xml:space="preserve"> </w:t>
      </w:r>
      <w:r w:rsidRPr="009468DD">
        <w:rPr>
          <w:rFonts w:ascii="Times New Roman" w:hAnsi="Times New Roman" w:cs="Times New Roman"/>
          <w:color w:val="000000" w:themeColor="text1"/>
          <w:sz w:val="20"/>
          <w:szCs w:val="20"/>
        </w:rPr>
        <w:t xml:space="preserve">UNCTAD, Report on UNCTAD Assistance to the Palestinian Developments in the Economy of the Occupied Palestinian Territory, 23 July 2018, 23 July 2018, UN Doc. TD/B/65(2)/3, para. </w:t>
      </w:r>
      <w:r w:rsidRPr="009468DD">
        <w:rPr>
          <w:rFonts w:ascii="Times New Roman" w:hAnsi="Times New Roman" w:cs="Times New Roman"/>
          <w:color w:val="000000" w:themeColor="text1"/>
          <w:sz w:val="20"/>
          <w:szCs w:val="20"/>
          <w:lang w:val="en-GB"/>
        </w:rPr>
        <w:t>35.</w:t>
      </w:r>
    </w:p>
  </w:footnote>
  <w:footnote w:id="97">
    <w:p w14:paraId="77B5B95C" w14:textId="066437CC" w:rsidR="00CE18D1" w:rsidRPr="009468DD" w:rsidRDefault="00CE18D1" w:rsidP="009468DD">
      <w:pPr>
        <w:pStyle w:val="FootnoteText"/>
        <w:spacing w:before="80" w:after="80" w:line="20" w:lineRule="atLeast"/>
        <w:rPr>
          <w:rFonts w:ascii="Times New Roman" w:hAnsi="Times New Roman" w:cs="Times New Roman"/>
          <w:sz w:val="20"/>
          <w:szCs w:val="20"/>
          <w:highlight w:val="yellow"/>
        </w:rPr>
      </w:pPr>
      <w:r w:rsidRPr="009468DD">
        <w:rPr>
          <w:rStyle w:val="FootnoteReference"/>
          <w:rFonts w:ascii="Times New Roman" w:hAnsi="Times New Roman" w:cs="Times New Roman"/>
          <w:color w:val="000000" w:themeColor="text1"/>
          <w:sz w:val="20"/>
          <w:szCs w:val="20"/>
          <w:lang w:val="en-GB"/>
        </w:rPr>
        <w:footnoteRef/>
      </w:r>
      <w:r w:rsidRPr="009468DD">
        <w:rPr>
          <w:rFonts w:ascii="Times New Roman" w:hAnsi="Times New Roman" w:cs="Times New Roman"/>
          <w:color w:val="000000" w:themeColor="text1"/>
          <w:sz w:val="20"/>
          <w:szCs w:val="20"/>
        </w:rPr>
        <w:t xml:space="preserve"> </w:t>
      </w:r>
      <w:r w:rsidRPr="009468DD">
        <w:rPr>
          <w:rFonts w:ascii="Times New Roman" w:hAnsi="Times New Roman" w:cs="Times New Roman"/>
          <w:i/>
          <w:iCs/>
          <w:color w:val="000000" w:themeColor="text1"/>
          <w:sz w:val="20"/>
          <w:szCs w:val="20"/>
        </w:rPr>
        <w:t>See</w:t>
      </w:r>
      <w:r w:rsidRPr="009468DD">
        <w:rPr>
          <w:rFonts w:ascii="Times New Roman" w:hAnsi="Times New Roman" w:cs="Times New Roman"/>
          <w:color w:val="000000" w:themeColor="text1"/>
          <w:sz w:val="20"/>
          <w:szCs w:val="20"/>
        </w:rPr>
        <w:t>, for example,</w:t>
      </w:r>
      <w:r w:rsidRPr="009468DD">
        <w:rPr>
          <w:rFonts w:ascii="Times New Roman" w:hAnsi="Times New Roman" w:cs="Times New Roman"/>
          <w:sz w:val="20"/>
          <w:szCs w:val="20"/>
        </w:rPr>
        <w:t xml:space="preserve"> </w:t>
      </w:r>
      <w:r w:rsidRPr="009468DD">
        <w:rPr>
          <w:rFonts w:ascii="Times New Roman" w:hAnsi="Times New Roman" w:cs="Times New Roman"/>
          <w:color w:val="000000" w:themeColor="text1"/>
          <w:sz w:val="20"/>
          <w:szCs w:val="20"/>
        </w:rPr>
        <w:t xml:space="preserve">Maureen Clare Murphy, “Gaza hospitals about to run out of fuel,” 18 January 2019, available at: </w:t>
      </w:r>
      <w:hyperlink r:id="rId38" w:history="1">
        <w:r w:rsidRPr="009468DD">
          <w:rPr>
            <w:rStyle w:val="Hyperlink"/>
            <w:rFonts w:ascii="Times New Roman" w:hAnsi="Times New Roman" w:cs="Times New Roman"/>
            <w:sz w:val="20"/>
            <w:szCs w:val="20"/>
          </w:rPr>
          <w:t>https://electronicintifada.net/blogs/maureen-clare-murphy/gaza-hospitals-about-run-out-fuel</w:t>
        </w:r>
      </w:hyperlink>
      <w:r w:rsidRPr="009468DD">
        <w:rPr>
          <w:rFonts w:ascii="Times New Roman" w:hAnsi="Times New Roman" w:cs="Times New Roman"/>
          <w:color w:val="000000" w:themeColor="text1"/>
          <w:sz w:val="20"/>
          <w:szCs w:val="20"/>
        </w:rPr>
        <w:t>.</w:t>
      </w:r>
    </w:p>
  </w:footnote>
  <w:footnote w:id="98">
    <w:p w14:paraId="5CE36500" w14:textId="5F9EE35C" w:rsidR="00CE18D1" w:rsidRPr="009468DD" w:rsidRDefault="00CE18D1" w:rsidP="009468DD">
      <w:pPr>
        <w:pStyle w:val="FootnoteText"/>
        <w:spacing w:before="80" w:after="80" w:line="20" w:lineRule="atLeast"/>
        <w:rPr>
          <w:rFonts w:ascii="Times New Roman" w:hAnsi="Times New Roman" w:cs="Times New Roman"/>
          <w:sz w:val="20"/>
          <w:szCs w:val="20"/>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color w:val="FF0000"/>
          <w:sz w:val="20"/>
          <w:szCs w:val="20"/>
          <w:lang w:val="en-GB"/>
        </w:rPr>
        <w:t xml:space="preserve"> </w:t>
      </w:r>
      <w:r w:rsidRPr="009468DD">
        <w:rPr>
          <w:rFonts w:ascii="Times New Roman" w:hAnsi="Times New Roman" w:cs="Times New Roman"/>
          <w:color w:val="000000" w:themeColor="text1"/>
          <w:sz w:val="20"/>
          <w:szCs w:val="20"/>
        </w:rPr>
        <w:t xml:space="preserve">OCHA, “Gaza Strip electricity supply,” August 2019, available at: </w:t>
      </w:r>
      <w:hyperlink r:id="rId39" w:history="1">
        <w:r w:rsidRPr="009468DD">
          <w:rPr>
            <w:rStyle w:val="Hyperlink"/>
            <w:rFonts w:ascii="Times New Roman" w:hAnsi="Times New Roman" w:cs="Times New Roman"/>
            <w:sz w:val="20"/>
            <w:szCs w:val="20"/>
          </w:rPr>
          <w:t>https://www.ochaopt.org/page/gaza-strip-electricity-supply</w:t>
        </w:r>
      </w:hyperlink>
      <w:r w:rsidRPr="009468DD">
        <w:rPr>
          <w:rFonts w:ascii="Times New Roman" w:hAnsi="Times New Roman" w:cs="Times New Roman"/>
          <w:color w:val="000000" w:themeColor="text1"/>
          <w:sz w:val="20"/>
          <w:szCs w:val="20"/>
        </w:rPr>
        <w:t>, accessed 5 September 2019.</w:t>
      </w:r>
    </w:p>
  </w:footnote>
  <w:footnote w:id="99">
    <w:p w14:paraId="1A02418D" w14:textId="77777777" w:rsidR="00CE18D1" w:rsidRPr="009468DD" w:rsidRDefault="00CE18D1" w:rsidP="009468DD">
      <w:pPr>
        <w:pStyle w:val="FootnoteText"/>
        <w:spacing w:before="80" w:after="80" w:line="20" w:lineRule="atLeast"/>
        <w:rPr>
          <w:rFonts w:ascii="Times New Roman" w:hAnsi="Times New Roman" w:cs="Times New Roman"/>
          <w:sz w:val="20"/>
          <w:szCs w:val="20"/>
          <w:highlight w:val="yellow"/>
        </w:rPr>
      </w:pPr>
      <w:r w:rsidRPr="009468DD">
        <w:rPr>
          <w:rStyle w:val="FootnoteReference"/>
          <w:rFonts w:ascii="Times New Roman" w:hAnsi="Times New Roman" w:cs="Times New Roman"/>
          <w:color w:val="000000" w:themeColor="text1"/>
          <w:sz w:val="20"/>
          <w:szCs w:val="20"/>
          <w:lang w:val="en-GB"/>
        </w:rPr>
        <w:footnoteRef/>
      </w:r>
      <w:r w:rsidRPr="009468DD">
        <w:rPr>
          <w:rFonts w:ascii="Times New Roman" w:hAnsi="Times New Roman" w:cs="Times New Roman"/>
          <w:color w:val="000000" w:themeColor="text1"/>
          <w:sz w:val="20"/>
          <w:szCs w:val="20"/>
        </w:rPr>
        <w:t xml:space="preserve"> UNCTAD, Report on UNCTAD Assistance to the Palestinian Developments in the Economy of the Occupied Palestinian Territory, 23 July 2018, 23 July 2018, UN Doc. TD/B/65(2)/3, para. 33.</w:t>
      </w:r>
    </w:p>
  </w:footnote>
  <w:footnote w:id="100">
    <w:p w14:paraId="3348833B" w14:textId="2AB86914" w:rsidR="006A6FC6" w:rsidRPr="009468DD" w:rsidRDefault="006A6FC6" w:rsidP="00C81166">
      <w:pPr>
        <w:pStyle w:val="FootnoteText"/>
        <w:spacing w:before="80" w:after="80" w:line="20" w:lineRule="atLeast"/>
        <w:rPr>
          <w:rFonts w:ascii="Times New Roman" w:hAnsi="Times New Roman" w:cs="Times New Roman"/>
          <w:sz w:val="20"/>
          <w:szCs w:val="20"/>
          <w:highlight w:val="yellow"/>
        </w:rPr>
      </w:pPr>
      <w:r w:rsidRPr="009468DD">
        <w:rPr>
          <w:rStyle w:val="FootnoteReference"/>
          <w:rFonts w:ascii="Times New Roman" w:hAnsi="Times New Roman" w:cs="Times New Roman"/>
          <w:color w:val="000000" w:themeColor="text1"/>
          <w:sz w:val="20"/>
          <w:szCs w:val="20"/>
          <w:lang w:val="en-GB"/>
        </w:rPr>
        <w:footnoteRef/>
      </w:r>
      <w:r w:rsidRPr="009468DD">
        <w:rPr>
          <w:rFonts w:ascii="Times New Roman" w:hAnsi="Times New Roman" w:cs="Times New Roman"/>
          <w:color w:val="000000" w:themeColor="text1"/>
          <w:sz w:val="20"/>
          <w:szCs w:val="20"/>
        </w:rPr>
        <w:t xml:space="preserve"> </w:t>
      </w:r>
      <w:r w:rsidR="00C81166">
        <w:rPr>
          <w:rFonts w:ascii="Times New Roman" w:hAnsi="Times New Roman" w:cs="Times New Roman"/>
          <w:i/>
          <w:iCs/>
          <w:color w:val="000000" w:themeColor="text1"/>
          <w:sz w:val="20"/>
          <w:szCs w:val="20"/>
        </w:rPr>
        <w:t>Ibid.</w:t>
      </w:r>
      <w:r w:rsidRPr="009468DD">
        <w:rPr>
          <w:rFonts w:ascii="Times New Roman" w:hAnsi="Times New Roman" w:cs="Times New Roman"/>
          <w:color w:val="000000" w:themeColor="text1"/>
          <w:sz w:val="20"/>
          <w:szCs w:val="20"/>
        </w:rPr>
        <w:t>, para. 30.</w:t>
      </w:r>
    </w:p>
  </w:footnote>
  <w:footnote w:id="101">
    <w:p w14:paraId="257943ED" w14:textId="6C8A4705" w:rsidR="00CE18D1" w:rsidRPr="009468DD" w:rsidRDefault="00CE18D1" w:rsidP="009468DD">
      <w:pPr>
        <w:pStyle w:val="FootnoteText"/>
        <w:spacing w:before="80" w:after="80" w:line="20" w:lineRule="atLeast"/>
        <w:rPr>
          <w:rFonts w:ascii="Times New Roman" w:hAnsi="Times New Roman" w:cs="Times New Roman"/>
          <w:sz w:val="20"/>
          <w:szCs w:val="20"/>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See</w:t>
      </w:r>
      <w:r w:rsidRPr="009468DD">
        <w:rPr>
          <w:rFonts w:ascii="Times New Roman" w:hAnsi="Times New Roman" w:cs="Times New Roman"/>
          <w:sz w:val="20"/>
          <w:szCs w:val="20"/>
          <w:lang w:val="en-GB"/>
        </w:rPr>
        <w:t xml:space="preserve">, e.g., Al-Haq, “30 March: 15 Palestinians Killed, </w:t>
      </w:r>
      <w:proofErr w:type="gramStart"/>
      <w:r w:rsidRPr="009468DD">
        <w:rPr>
          <w:rFonts w:ascii="Times New Roman" w:hAnsi="Times New Roman" w:cs="Times New Roman"/>
          <w:sz w:val="20"/>
          <w:szCs w:val="20"/>
          <w:lang w:val="en-GB"/>
        </w:rPr>
        <w:t>More</w:t>
      </w:r>
      <w:proofErr w:type="gramEnd"/>
      <w:r w:rsidRPr="009468DD">
        <w:rPr>
          <w:rFonts w:ascii="Times New Roman" w:hAnsi="Times New Roman" w:cs="Times New Roman"/>
          <w:sz w:val="20"/>
          <w:szCs w:val="20"/>
          <w:lang w:val="en-GB"/>
        </w:rPr>
        <w:t xml:space="preserve"> than a Thousand Injured, as IOF Violently Suppress Palestinian Protestors in the Gaza Strip,” 31 March 2018, available at: </w:t>
      </w:r>
      <w:hyperlink r:id="rId40" w:history="1">
        <w:r w:rsidRPr="009468DD">
          <w:rPr>
            <w:rStyle w:val="Hyperlink"/>
            <w:rFonts w:ascii="Times New Roman" w:hAnsi="Times New Roman" w:cs="Times New Roman"/>
            <w:sz w:val="20"/>
            <w:szCs w:val="20"/>
            <w:lang w:val="en-GB"/>
          </w:rPr>
          <w:t>https://www.alhaq.org/advocacy/6252.html</w:t>
        </w:r>
      </w:hyperlink>
      <w:r w:rsidRPr="009468DD">
        <w:rPr>
          <w:rFonts w:ascii="Times New Roman" w:hAnsi="Times New Roman" w:cs="Times New Roman"/>
          <w:sz w:val="20"/>
          <w:szCs w:val="20"/>
          <w:lang w:val="en-GB"/>
        </w:rPr>
        <w:t>.</w:t>
      </w:r>
    </w:p>
  </w:footnote>
  <w:footnote w:id="102">
    <w:p w14:paraId="60764A44" w14:textId="22B97524" w:rsidR="00CE18D1" w:rsidRPr="009468DD" w:rsidRDefault="00CE18D1" w:rsidP="009468DD">
      <w:pPr>
        <w:pStyle w:val="FootnoteText"/>
        <w:spacing w:before="80" w:after="80" w:line="20" w:lineRule="atLeast"/>
        <w:rPr>
          <w:rFonts w:ascii="Times New Roman" w:hAnsi="Times New Roman" w:cs="Times New Roman"/>
          <w:sz w:val="20"/>
          <w:szCs w:val="20"/>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w:t>
      </w:r>
      <w:r w:rsidRPr="009468DD">
        <w:rPr>
          <w:rFonts w:ascii="Times New Roman" w:hAnsi="Times New Roman" w:cs="Times New Roman"/>
          <w:i/>
          <w:iCs/>
          <w:sz w:val="20"/>
          <w:szCs w:val="20"/>
          <w:lang w:val="en-GB"/>
        </w:rPr>
        <w:t>See</w:t>
      </w:r>
      <w:r w:rsidRPr="009468DD">
        <w:rPr>
          <w:rFonts w:ascii="Times New Roman" w:hAnsi="Times New Roman" w:cs="Times New Roman"/>
          <w:sz w:val="20"/>
          <w:szCs w:val="20"/>
          <w:lang w:val="en-GB"/>
        </w:rPr>
        <w:t xml:space="preserve"> Al-Haq, “Al-Haq Reaffirms Rights-Based Root Causes of Great Return March at its One-Year Commemoration in the Gaza Strip,” 30 March 2019, available at: </w:t>
      </w:r>
      <w:hyperlink r:id="rId41" w:history="1">
        <w:r w:rsidRPr="009468DD">
          <w:rPr>
            <w:rStyle w:val="Hyperlink"/>
            <w:rFonts w:ascii="Times New Roman" w:hAnsi="Times New Roman" w:cs="Times New Roman"/>
            <w:sz w:val="20"/>
            <w:szCs w:val="20"/>
            <w:lang w:val="en-GB"/>
          </w:rPr>
          <w:t>https://www.alhaq.org/advocacy/6078.html</w:t>
        </w:r>
      </w:hyperlink>
      <w:r w:rsidRPr="009468DD">
        <w:rPr>
          <w:rFonts w:ascii="Times New Roman" w:hAnsi="Times New Roman" w:cs="Times New Roman"/>
          <w:sz w:val="20"/>
          <w:szCs w:val="20"/>
          <w:lang w:val="en-GB"/>
        </w:rPr>
        <w:t>.</w:t>
      </w:r>
    </w:p>
  </w:footnote>
  <w:footnote w:id="103">
    <w:p w14:paraId="4DDD652D" w14:textId="1D431E2B" w:rsidR="00CE18D1" w:rsidRPr="009468DD" w:rsidRDefault="00CE18D1" w:rsidP="009468DD">
      <w:pPr>
        <w:spacing w:before="80" w:after="80" w:line="20" w:lineRule="atLeast"/>
        <w:rPr>
          <w:sz w:val="20"/>
          <w:szCs w:val="20"/>
        </w:rPr>
      </w:pPr>
      <w:r w:rsidRPr="009468DD">
        <w:rPr>
          <w:rStyle w:val="FootnoteReference"/>
          <w:sz w:val="20"/>
          <w:szCs w:val="20"/>
          <w:lang w:val="en-GB"/>
        </w:rPr>
        <w:footnoteRef/>
      </w:r>
      <w:r w:rsidRPr="009468DD">
        <w:rPr>
          <w:sz w:val="20"/>
          <w:szCs w:val="20"/>
          <w:lang w:val="en-GB"/>
        </w:rPr>
        <w:t xml:space="preserve"> </w:t>
      </w:r>
      <w:r w:rsidRPr="009468DD">
        <w:rPr>
          <w:i/>
          <w:iCs/>
          <w:sz w:val="20"/>
          <w:szCs w:val="20"/>
          <w:lang w:val="en-GB"/>
        </w:rPr>
        <w:t>See</w:t>
      </w:r>
      <w:r w:rsidRPr="009468DD">
        <w:rPr>
          <w:sz w:val="20"/>
          <w:szCs w:val="20"/>
          <w:lang w:val="en-GB"/>
        </w:rPr>
        <w:t xml:space="preserve">, e.g., Al-Haq, “Diplomatic Briefing: ‘The Great Return March: One Year On’,” 15 March 2019, available at: </w:t>
      </w:r>
      <w:hyperlink r:id="rId42" w:history="1">
        <w:r w:rsidRPr="009468DD">
          <w:rPr>
            <w:rStyle w:val="Hyperlink"/>
            <w:sz w:val="20"/>
            <w:szCs w:val="20"/>
            <w:lang w:val="en-GB"/>
          </w:rPr>
          <w:t>https://www.alhaq.org/advocacy/6090.html</w:t>
        </w:r>
      </w:hyperlink>
      <w:r w:rsidRPr="009468DD">
        <w:rPr>
          <w:sz w:val="20"/>
          <w:szCs w:val="20"/>
          <w:lang w:val="en-GB"/>
        </w:rPr>
        <w:t>.</w:t>
      </w:r>
    </w:p>
  </w:footnote>
  <w:footnote w:id="104">
    <w:p w14:paraId="21E54A52" w14:textId="325FBEDB" w:rsidR="00CE18D1" w:rsidRPr="009468DD" w:rsidRDefault="00CE18D1" w:rsidP="009468DD">
      <w:pPr>
        <w:spacing w:before="80" w:after="80" w:line="20" w:lineRule="atLeast"/>
        <w:rPr>
          <w:sz w:val="20"/>
          <w:szCs w:val="20"/>
        </w:rPr>
      </w:pPr>
      <w:r w:rsidRPr="009468DD">
        <w:rPr>
          <w:rStyle w:val="FootnoteReference"/>
          <w:sz w:val="20"/>
          <w:szCs w:val="20"/>
          <w:lang w:val="en-GB"/>
        </w:rPr>
        <w:footnoteRef/>
      </w:r>
      <w:r w:rsidRPr="009468DD">
        <w:rPr>
          <w:sz w:val="20"/>
          <w:szCs w:val="20"/>
          <w:lang w:val="en-GB"/>
        </w:rPr>
        <w:t xml:space="preserve"> Al-Haq, “Great Return March: 101 Palestinians Killed by IOF Since 30 March 2018, 59 Killed on 14 May, including Seven Children, One Disabled Man, and 1,861 Injured,” 14 May 2018, available at: </w:t>
      </w:r>
      <w:hyperlink r:id="rId43" w:history="1">
        <w:r w:rsidRPr="009468DD">
          <w:rPr>
            <w:rStyle w:val="Hyperlink"/>
            <w:sz w:val="20"/>
            <w:szCs w:val="20"/>
            <w:lang w:val="en-GB"/>
          </w:rPr>
          <w:t>https://www.alhaq.org/advocacy/6216.html</w:t>
        </w:r>
      </w:hyperlink>
      <w:r w:rsidRPr="009468DD">
        <w:rPr>
          <w:sz w:val="20"/>
          <w:szCs w:val="20"/>
          <w:lang w:val="en-GB"/>
        </w:rPr>
        <w:t>.</w:t>
      </w:r>
    </w:p>
  </w:footnote>
  <w:footnote w:id="105">
    <w:p w14:paraId="6919F914" w14:textId="04F16335" w:rsidR="00CE18D1" w:rsidRPr="009468DD" w:rsidRDefault="00CE18D1" w:rsidP="009468DD">
      <w:pPr>
        <w:spacing w:before="80" w:after="80" w:line="20" w:lineRule="atLeast"/>
        <w:rPr>
          <w:sz w:val="20"/>
          <w:szCs w:val="20"/>
        </w:rPr>
      </w:pPr>
      <w:r w:rsidRPr="009468DD">
        <w:rPr>
          <w:rStyle w:val="FootnoteReference"/>
          <w:sz w:val="20"/>
          <w:szCs w:val="20"/>
          <w:lang w:val="en-GB"/>
        </w:rPr>
        <w:footnoteRef/>
      </w:r>
      <w:r w:rsidRPr="009468DD">
        <w:rPr>
          <w:sz w:val="20"/>
          <w:szCs w:val="20"/>
          <w:lang w:val="en-GB"/>
        </w:rPr>
        <w:t xml:space="preserve"> Al-Haq, “</w:t>
      </w:r>
      <w:r w:rsidRPr="009468DD">
        <w:rPr>
          <w:sz w:val="20"/>
          <w:szCs w:val="20"/>
        </w:rPr>
        <w:t xml:space="preserve">Al-Haq Attends 28th Special Session of the UN Human Rights Council on the Situation in Palestine, Calls for Accountability,” 21 May 2018, available at: </w:t>
      </w:r>
      <w:hyperlink r:id="rId44" w:history="1">
        <w:r w:rsidRPr="009468DD">
          <w:rPr>
            <w:rStyle w:val="Hyperlink"/>
            <w:sz w:val="20"/>
            <w:szCs w:val="20"/>
          </w:rPr>
          <w:t>https://www.alhaq.org/advocacy/6203.html</w:t>
        </w:r>
      </w:hyperlink>
      <w:r w:rsidRPr="009468DD">
        <w:rPr>
          <w:sz w:val="20"/>
          <w:szCs w:val="20"/>
        </w:rPr>
        <w:t>.</w:t>
      </w:r>
    </w:p>
  </w:footnote>
  <w:footnote w:id="106">
    <w:p w14:paraId="75E57D4B" w14:textId="2B4BEBCD" w:rsidR="00CE18D1" w:rsidRPr="009468DD" w:rsidRDefault="00CE18D1" w:rsidP="009468DD">
      <w:pPr>
        <w:spacing w:before="80" w:after="80" w:line="20" w:lineRule="atLeast"/>
        <w:rPr>
          <w:i/>
          <w:iCs/>
          <w:sz w:val="20"/>
          <w:szCs w:val="20"/>
        </w:rPr>
      </w:pPr>
      <w:r w:rsidRPr="009468DD">
        <w:rPr>
          <w:rStyle w:val="FootnoteReference"/>
          <w:sz w:val="20"/>
          <w:szCs w:val="20"/>
          <w:lang w:val="en-GB"/>
        </w:rPr>
        <w:footnoteRef/>
      </w:r>
      <w:r w:rsidRPr="009468DD">
        <w:rPr>
          <w:sz w:val="20"/>
          <w:szCs w:val="20"/>
          <w:lang w:val="en-GB"/>
        </w:rPr>
        <w:t xml:space="preserve"> </w:t>
      </w:r>
      <w:r w:rsidRPr="009468DD">
        <w:rPr>
          <w:i/>
          <w:iCs/>
          <w:sz w:val="20"/>
          <w:szCs w:val="20"/>
          <w:lang w:val="en-GB"/>
        </w:rPr>
        <w:t>Ibid.</w:t>
      </w:r>
    </w:p>
  </w:footnote>
  <w:footnote w:id="107">
    <w:p w14:paraId="179CE815" w14:textId="0693013A" w:rsidR="00CE18D1" w:rsidRPr="009468DD" w:rsidRDefault="00CE18D1" w:rsidP="009468DD">
      <w:pPr>
        <w:spacing w:before="80" w:after="80" w:line="20" w:lineRule="atLeast"/>
        <w:rPr>
          <w:sz w:val="20"/>
          <w:szCs w:val="20"/>
          <w:lang w:val="en-GB"/>
        </w:rPr>
      </w:pPr>
      <w:r w:rsidRPr="009468DD">
        <w:rPr>
          <w:rStyle w:val="FootnoteReference"/>
          <w:sz w:val="20"/>
          <w:szCs w:val="20"/>
          <w:lang w:val="en-GB"/>
        </w:rPr>
        <w:footnoteRef/>
      </w:r>
      <w:r w:rsidRPr="009468DD">
        <w:rPr>
          <w:sz w:val="20"/>
          <w:szCs w:val="20"/>
          <w:lang w:val="en-GB"/>
        </w:rPr>
        <w:t xml:space="preserve"> Human Rights Council, Resolution S-28/1, Violations of international law in the context of large-scale civilian protests in the Occupied Palestinian Territory, including East Jerusalem, 18 May 2018, UN Doc. A/HRC/RES/S-28/1, para. 5.</w:t>
      </w:r>
    </w:p>
  </w:footnote>
  <w:footnote w:id="108">
    <w:p w14:paraId="4F99BB0B" w14:textId="7C947C59" w:rsidR="00CE18D1" w:rsidRPr="009468DD" w:rsidRDefault="00CE18D1" w:rsidP="009468DD">
      <w:pPr>
        <w:spacing w:before="80" w:after="80" w:line="20" w:lineRule="atLeast"/>
        <w:rPr>
          <w:sz w:val="20"/>
          <w:szCs w:val="20"/>
        </w:rPr>
      </w:pPr>
      <w:r w:rsidRPr="009468DD">
        <w:rPr>
          <w:rStyle w:val="FootnoteReference"/>
          <w:sz w:val="20"/>
          <w:szCs w:val="20"/>
          <w:lang w:val="en-GB"/>
        </w:rPr>
        <w:footnoteRef/>
      </w:r>
      <w:r w:rsidRPr="009468DD">
        <w:rPr>
          <w:sz w:val="20"/>
          <w:szCs w:val="20"/>
          <w:lang w:val="en-GB"/>
        </w:rPr>
        <w:t xml:space="preserve"> </w:t>
      </w:r>
      <w:r w:rsidRPr="009468DD">
        <w:rPr>
          <w:i/>
          <w:iCs/>
          <w:sz w:val="20"/>
          <w:szCs w:val="20"/>
          <w:lang w:val="en-GB"/>
        </w:rPr>
        <w:t xml:space="preserve">See </w:t>
      </w:r>
      <w:r w:rsidRPr="009468DD">
        <w:rPr>
          <w:sz w:val="20"/>
          <w:szCs w:val="20"/>
          <w:lang w:val="en-GB"/>
        </w:rPr>
        <w:t>Al-Haq, “Al-Haq Welcomes Adoption of UN Commission of Inquiry Recommendations on the Great Return March,” 23 March 2019, available at:</w:t>
      </w:r>
      <w:r w:rsidRPr="009468DD">
        <w:rPr>
          <w:sz w:val="20"/>
          <w:szCs w:val="20"/>
        </w:rPr>
        <w:t xml:space="preserve"> </w:t>
      </w:r>
      <w:hyperlink r:id="rId45" w:history="1">
        <w:r w:rsidRPr="009468DD">
          <w:rPr>
            <w:rStyle w:val="Hyperlink"/>
            <w:sz w:val="20"/>
            <w:szCs w:val="20"/>
            <w:lang w:val="en-GB"/>
          </w:rPr>
          <w:t>https://www.alhaq.org/advocacy/6085.html</w:t>
        </w:r>
      </w:hyperlink>
      <w:r w:rsidRPr="009468DD">
        <w:rPr>
          <w:sz w:val="20"/>
          <w:szCs w:val="20"/>
          <w:lang w:val="en-GB"/>
        </w:rPr>
        <w:t>.</w:t>
      </w:r>
    </w:p>
  </w:footnote>
  <w:footnote w:id="109">
    <w:p w14:paraId="263BFB4F" w14:textId="77777777" w:rsidR="00CE18D1" w:rsidRPr="009468DD" w:rsidRDefault="00CE18D1" w:rsidP="009468DD">
      <w:pPr>
        <w:spacing w:before="80" w:after="80" w:line="20" w:lineRule="atLeast"/>
        <w:rPr>
          <w:sz w:val="20"/>
          <w:szCs w:val="20"/>
        </w:rPr>
      </w:pPr>
      <w:r w:rsidRPr="009468DD">
        <w:rPr>
          <w:rStyle w:val="FootnoteReference"/>
          <w:sz w:val="20"/>
          <w:szCs w:val="20"/>
          <w:lang w:val="en-GB"/>
        </w:rPr>
        <w:footnoteRef/>
      </w:r>
      <w:r w:rsidRPr="009468DD">
        <w:rPr>
          <w:sz w:val="20"/>
          <w:szCs w:val="20"/>
          <w:lang w:val="en-GB"/>
        </w:rPr>
        <w:t xml:space="preserve"> UN Human Rights Council, Report of the independent international commission of inquiry on the protests in the Occupied Palestinian Territory, 25 February 2019, UN Doc. A/HRC/40/74, paras. 96-97.</w:t>
      </w:r>
    </w:p>
  </w:footnote>
  <w:footnote w:id="110">
    <w:p w14:paraId="5E53D34C" w14:textId="4C065E04" w:rsidR="00CE18D1" w:rsidRPr="009468DD" w:rsidRDefault="00CE18D1" w:rsidP="009468DD">
      <w:pPr>
        <w:spacing w:before="80" w:after="80" w:line="20" w:lineRule="atLeast"/>
        <w:rPr>
          <w:sz w:val="20"/>
          <w:szCs w:val="20"/>
        </w:rPr>
      </w:pPr>
      <w:r w:rsidRPr="009468DD">
        <w:rPr>
          <w:rStyle w:val="FootnoteReference"/>
          <w:sz w:val="20"/>
          <w:szCs w:val="20"/>
          <w:lang w:val="en-GB"/>
        </w:rPr>
        <w:footnoteRef/>
      </w:r>
      <w:r w:rsidRPr="009468DD">
        <w:rPr>
          <w:sz w:val="20"/>
          <w:szCs w:val="20"/>
          <w:lang w:val="en-GB"/>
        </w:rPr>
        <w:t xml:space="preserve"> OHCHR, “No Justification for Israel to Shoot Protesters wi</w:t>
      </w:r>
      <w:r w:rsidR="008536AA" w:rsidRPr="009468DD">
        <w:rPr>
          <w:sz w:val="20"/>
          <w:szCs w:val="20"/>
          <w:lang w:val="en-GB"/>
        </w:rPr>
        <w:t>th Live Ammunition,”</w:t>
      </w:r>
      <w:r w:rsidRPr="009468DD">
        <w:rPr>
          <w:sz w:val="20"/>
          <w:szCs w:val="20"/>
          <w:lang w:val="en-GB"/>
        </w:rPr>
        <w:t xml:space="preserve"> Press release by the UN Independent Commission of Inquiry on the 2018 Gaza protests, 28 February 2019, available at: </w:t>
      </w:r>
      <w:hyperlink r:id="rId46" w:history="1">
        <w:r w:rsidRPr="009468DD">
          <w:rPr>
            <w:rStyle w:val="Hyperlink"/>
            <w:sz w:val="20"/>
            <w:szCs w:val="20"/>
            <w:lang w:val="en-GB"/>
          </w:rPr>
          <w:t>https://www.ohchr.org/EN/HRBodies/HRC/Pages/NewsDetail.aspx?NewsID=24226&amp;LangID=E</w:t>
        </w:r>
      </w:hyperlink>
      <w:r w:rsidRPr="009468DD">
        <w:rPr>
          <w:sz w:val="20"/>
          <w:szCs w:val="20"/>
          <w:lang w:val="en-GB"/>
        </w:rPr>
        <w:t>.</w:t>
      </w:r>
    </w:p>
  </w:footnote>
  <w:footnote w:id="111">
    <w:p w14:paraId="18CC6CE5" w14:textId="1D89A0E5" w:rsidR="00CE18D1" w:rsidRPr="009468DD" w:rsidRDefault="00CE18D1" w:rsidP="009468DD">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Pr="009468DD">
        <w:rPr>
          <w:rFonts w:ascii="Times New Roman" w:hAnsi="Times New Roman" w:cs="Times New Roman"/>
          <w:sz w:val="20"/>
          <w:szCs w:val="20"/>
          <w:lang w:val="en-GB"/>
        </w:rPr>
        <w:t xml:space="preserve"> Human Rights Council, Report of the independent international commission of inquiry on the protests in the Occupied Palestinian Territory, 25 February 2019, UN Doc. A/HRC/40/74, para. 122(a).</w:t>
      </w:r>
    </w:p>
  </w:footnote>
  <w:footnote w:id="112">
    <w:p w14:paraId="27FD13CD" w14:textId="06884BE9" w:rsidR="00CE18D1" w:rsidRPr="009468DD" w:rsidRDefault="00CE18D1" w:rsidP="001333EA">
      <w:pPr>
        <w:pStyle w:val="FootnoteText"/>
        <w:spacing w:before="80" w:after="80" w:line="20" w:lineRule="atLeast"/>
        <w:rPr>
          <w:rFonts w:ascii="Times New Roman" w:hAnsi="Times New Roman" w:cs="Times New Roman"/>
          <w:sz w:val="20"/>
          <w:szCs w:val="20"/>
          <w:lang w:val="en-GB"/>
        </w:rPr>
      </w:pPr>
      <w:r w:rsidRPr="009468DD">
        <w:rPr>
          <w:rStyle w:val="FootnoteReference"/>
          <w:rFonts w:ascii="Times New Roman" w:hAnsi="Times New Roman" w:cs="Times New Roman"/>
          <w:sz w:val="20"/>
          <w:szCs w:val="20"/>
          <w:lang w:val="en-GB"/>
        </w:rPr>
        <w:footnoteRef/>
      </w:r>
      <w:r w:rsidR="001333EA">
        <w:rPr>
          <w:rFonts w:ascii="Times New Roman" w:hAnsi="Times New Roman" w:cs="Times New Roman"/>
          <w:i/>
          <w:iCs/>
          <w:sz w:val="20"/>
          <w:szCs w:val="20"/>
          <w:lang w:val="en-GB"/>
        </w:rPr>
        <w:t xml:space="preserve"> Ibid.</w:t>
      </w:r>
      <w:r w:rsidRPr="009468DD">
        <w:rPr>
          <w:rFonts w:ascii="Times New Roman" w:hAnsi="Times New Roman" w:cs="Times New Roman"/>
          <w:sz w:val="20"/>
          <w:szCs w:val="20"/>
          <w:lang w:val="en-GB"/>
        </w:rPr>
        <w:t>, paras. 122(b), 122(c), and 122(d).</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A9844D" w14:textId="43B526EF" w:rsidR="00CE18D1" w:rsidRPr="00BB5409" w:rsidRDefault="00CE18D1" w:rsidP="00F16AFC">
    <w:pPr>
      <w:pStyle w:val="Header"/>
      <w:spacing w:after="120" w:line="276" w:lineRule="auto"/>
      <w:rPr>
        <w:rFonts w:ascii="Times New Roman" w:hAnsi="Times New Roman" w:cs="Times New Roman"/>
        <w:i/>
        <w:iCs/>
        <w:sz w:val="20"/>
        <w:szCs w:val="20"/>
      </w:rPr>
    </w:pPr>
    <w:r w:rsidRPr="00BB5409">
      <w:rPr>
        <w:rFonts w:ascii="Times New Roman" w:hAnsi="Times New Roman" w:cs="Times New Roman"/>
        <w:i/>
        <w:iCs/>
        <w:sz w:val="20"/>
        <w:szCs w:val="20"/>
      </w:rPr>
      <w:t>Joint Submission to CERD for its List of Themes on Israel’s 17</w:t>
    </w:r>
    <w:r w:rsidRPr="00BB5409">
      <w:rPr>
        <w:rFonts w:ascii="Times New Roman" w:hAnsi="Times New Roman" w:cs="Times New Roman"/>
        <w:i/>
        <w:iCs/>
        <w:sz w:val="20"/>
        <w:szCs w:val="20"/>
        <w:vertAlign w:val="superscript"/>
      </w:rPr>
      <w:t>th</w:t>
    </w:r>
    <w:r w:rsidR="00F16AFC">
      <w:rPr>
        <w:rFonts w:ascii="Times New Roman" w:hAnsi="Times New Roman" w:cs="Times New Roman"/>
        <w:i/>
        <w:iCs/>
        <w:sz w:val="20"/>
        <w:szCs w:val="20"/>
      </w:rPr>
      <w:t>–</w:t>
    </w:r>
    <w:r w:rsidRPr="00BB5409">
      <w:rPr>
        <w:rFonts w:ascii="Times New Roman" w:hAnsi="Times New Roman" w:cs="Times New Roman"/>
        <w:i/>
        <w:iCs/>
        <w:sz w:val="20"/>
        <w:szCs w:val="20"/>
      </w:rPr>
      <w:t>19</w:t>
    </w:r>
    <w:r w:rsidRPr="00BB5409">
      <w:rPr>
        <w:rFonts w:ascii="Times New Roman" w:hAnsi="Times New Roman" w:cs="Times New Roman"/>
        <w:i/>
        <w:iCs/>
        <w:sz w:val="20"/>
        <w:szCs w:val="20"/>
        <w:vertAlign w:val="superscript"/>
      </w:rPr>
      <w:t>th</w:t>
    </w:r>
    <w:r w:rsidRPr="00BB5409">
      <w:rPr>
        <w:rFonts w:ascii="Times New Roman" w:hAnsi="Times New Roman" w:cs="Times New Roman"/>
        <w:i/>
        <w:iCs/>
        <w:sz w:val="20"/>
        <w:szCs w:val="20"/>
      </w:rPr>
      <w:t xml:space="preserve"> Periodic Reports – 5 September 2019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83DF2"/>
    <w:multiLevelType w:val="hybridMultilevel"/>
    <w:tmpl w:val="5144FB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D375A5A"/>
    <w:multiLevelType w:val="hybridMultilevel"/>
    <w:tmpl w:val="C2C8EF42"/>
    <w:lvl w:ilvl="0" w:tplc="43C8C1A4">
      <w:start w:val="1"/>
      <w:numFmt w:val="decimal"/>
      <w:pStyle w:val="Heading1"/>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3C7AF0"/>
    <w:multiLevelType w:val="hybridMultilevel"/>
    <w:tmpl w:val="615A373A"/>
    <w:lvl w:ilvl="0" w:tplc="B65216A0">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D139F8"/>
    <w:multiLevelType w:val="hybridMultilevel"/>
    <w:tmpl w:val="DA2ED134"/>
    <w:lvl w:ilvl="0" w:tplc="723ABFC0">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AA7E8E"/>
    <w:multiLevelType w:val="hybridMultilevel"/>
    <w:tmpl w:val="0A166F96"/>
    <w:lvl w:ilvl="0" w:tplc="40BA9490">
      <w:start w:val="1"/>
      <w:numFmt w:val="decimal"/>
      <w:pStyle w:val="Numberedpara"/>
      <w:lvlText w:val="%1."/>
      <w:lvlJc w:val="left"/>
      <w:pPr>
        <w:ind w:left="720" w:hanging="360"/>
      </w:pPr>
      <w:rPr>
        <w:rFonts w:ascii="Times New Roman" w:hAnsi="Times New Roman" w:cs="Times New Roman" w:hint="default"/>
        <w:b w:val="0"/>
        <w:bCs w:val="0"/>
        <w:sz w:val="24"/>
        <w:szCs w:val="24"/>
      </w:rPr>
    </w:lvl>
    <w:lvl w:ilvl="1" w:tplc="663C8C66">
      <w:start w:val="1"/>
      <w:numFmt w:val="lowerLetter"/>
      <w:lvlText w:val="(%2)"/>
      <w:lvlJc w:val="left"/>
      <w:pPr>
        <w:ind w:left="1520" w:hanging="44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1"/>
  </w:num>
  <w:num w:numId="4">
    <w:abstractNumId w:val="1"/>
  </w:num>
  <w:num w:numId="5">
    <w:abstractNumId w:val="4"/>
  </w:num>
  <w:num w:numId="6">
    <w:abstractNumId w:val="2"/>
  </w:num>
  <w:num w:numId="7">
    <w:abstractNumId w:val="3"/>
  </w:num>
  <w:num w:numId="8">
    <w:abstractNumId w:val="4"/>
  </w:num>
  <w:num w:numId="9">
    <w:abstractNumId w:val="0"/>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2"/>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3BE"/>
    <w:rsid w:val="00001A39"/>
    <w:rsid w:val="0000605A"/>
    <w:rsid w:val="000060FE"/>
    <w:rsid w:val="00007DD1"/>
    <w:rsid w:val="00007ED4"/>
    <w:rsid w:val="00010C1C"/>
    <w:rsid w:val="00012381"/>
    <w:rsid w:val="00012A72"/>
    <w:rsid w:val="00013657"/>
    <w:rsid w:val="00013818"/>
    <w:rsid w:val="000140D5"/>
    <w:rsid w:val="000148FC"/>
    <w:rsid w:val="00016932"/>
    <w:rsid w:val="00017916"/>
    <w:rsid w:val="00017954"/>
    <w:rsid w:val="00020370"/>
    <w:rsid w:val="00021092"/>
    <w:rsid w:val="000213C7"/>
    <w:rsid w:val="00022CCD"/>
    <w:rsid w:val="00023F56"/>
    <w:rsid w:val="000249E9"/>
    <w:rsid w:val="00025CEC"/>
    <w:rsid w:val="00026C92"/>
    <w:rsid w:val="00030B20"/>
    <w:rsid w:val="000310DE"/>
    <w:rsid w:val="00031606"/>
    <w:rsid w:val="00031E19"/>
    <w:rsid w:val="00032233"/>
    <w:rsid w:val="00034DE7"/>
    <w:rsid w:val="00035AC0"/>
    <w:rsid w:val="00035C45"/>
    <w:rsid w:val="0003687E"/>
    <w:rsid w:val="00037292"/>
    <w:rsid w:val="00040553"/>
    <w:rsid w:val="00041A5B"/>
    <w:rsid w:val="000439E3"/>
    <w:rsid w:val="00044023"/>
    <w:rsid w:val="00044E43"/>
    <w:rsid w:val="000469ED"/>
    <w:rsid w:val="0004709C"/>
    <w:rsid w:val="00051FFD"/>
    <w:rsid w:val="00052DB0"/>
    <w:rsid w:val="000540D8"/>
    <w:rsid w:val="0005423B"/>
    <w:rsid w:val="00054E03"/>
    <w:rsid w:val="00055693"/>
    <w:rsid w:val="00056D48"/>
    <w:rsid w:val="000579E6"/>
    <w:rsid w:val="000639A4"/>
    <w:rsid w:val="00065A67"/>
    <w:rsid w:val="00066495"/>
    <w:rsid w:val="00067A46"/>
    <w:rsid w:val="00067A9E"/>
    <w:rsid w:val="00070804"/>
    <w:rsid w:val="0007185F"/>
    <w:rsid w:val="000719E9"/>
    <w:rsid w:val="000719FF"/>
    <w:rsid w:val="000722F3"/>
    <w:rsid w:val="00072F0A"/>
    <w:rsid w:val="00073364"/>
    <w:rsid w:val="00075055"/>
    <w:rsid w:val="000758D2"/>
    <w:rsid w:val="0007794A"/>
    <w:rsid w:val="000833F1"/>
    <w:rsid w:val="000865C0"/>
    <w:rsid w:val="00087AB2"/>
    <w:rsid w:val="0009109B"/>
    <w:rsid w:val="000917D1"/>
    <w:rsid w:val="00091968"/>
    <w:rsid w:val="00092077"/>
    <w:rsid w:val="00095B95"/>
    <w:rsid w:val="0009600C"/>
    <w:rsid w:val="000968B8"/>
    <w:rsid w:val="000A18AD"/>
    <w:rsid w:val="000A37F1"/>
    <w:rsid w:val="000A5A8C"/>
    <w:rsid w:val="000A6D14"/>
    <w:rsid w:val="000A743C"/>
    <w:rsid w:val="000B3015"/>
    <w:rsid w:val="000B4253"/>
    <w:rsid w:val="000B709E"/>
    <w:rsid w:val="000C1AE0"/>
    <w:rsid w:val="000C48AA"/>
    <w:rsid w:val="000C63BF"/>
    <w:rsid w:val="000C640E"/>
    <w:rsid w:val="000D1987"/>
    <w:rsid w:val="000D5C7A"/>
    <w:rsid w:val="000D5E8A"/>
    <w:rsid w:val="000D78EA"/>
    <w:rsid w:val="000E00D7"/>
    <w:rsid w:val="000E2D7C"/>
    <w:rsid w:val="000E411B"/>
    <w:rsid w:val="000E42B9"/>
    <w:rsid w:val="000E4C0C"/>
    <w:rsid w:val="000E5FA3"/>
    <w:rsid w:val="000E6EB7"/>
    <w:rsid w:val="000E7FC8"/>
    <w:rsid w:val="000F1C6E"/>
    <w:rsid w:val="000F3FF3"/>
    <w:rsid w:val="000F40B1"/>
    <w:rsid w:val="000F4322"/>
    <w:rsid w:val="000F43F3"/>
    <w:rsid w:val="000F5871"/>
    <w:rsid w:val="00100F60"/>
    <w:rsid w:val="001018E6"/>
    <w:rsid w:val="001065FE"/>
    <w:rsid w:val="00106FB5"/>
    <w:rsid w:val="001070F7"/>
    <w:rsid w:val="00111798"/>
    <w:rsid w:val="001121AA"/>
    <w:rsid w:val="00113D5A"/>
    <w:rsid w:val="001140A4"/>
    <w:rsid w:val="00115A30"/>
    <w:rsid w:val="0011650B"/>
    <w:rsid w:val="00120006"/>
    <w:rsid w:val="00121CA0"/>
    <w:rsid w:val="00122351"/>
    <w:rsid w:val="001223EF"/>
    <w:rsid w:val="00122566"/>
    <w:rsid w:val="001254F3"/>
    <w:rsid w:val="00125DBB"/>
    <w:rsid w:val="0012609F"/>
    <w:rsid w:val="0012622E"/>
    <w:rsid w:val="00130304"/>
    <w:rsid w:val="001312FD"/>
    <w:rsid w:val="00132066"/>
    <w:rsid w:val="00132336"/>
    <w:rsid w:val="00132CBF"/>
    <w:rsid w:val="001333EA"/>
    <w:rsid w:val="0013387F"/>
    <w:rsid w:val="00133F43"/>
    <w:rsid w:val="001345EF"/>
    <w:rsid w:val="00134798"/>
    <w:rsid w:val="00136841"/>
    <w:rsid w:val="00136FFE"/>
    <w:rsid w:val="001379F4"/>
    <w:rsid w:val="001413C3"/>
    <w:rsid w:val="0014148F"/>
    <w:rsid w:val="00142004"/>
    <w:rsid w:val="00143D4D"/>
    <w:rsid w:val="0014492B"/>
    <w:rsid w:val="00144BFA"/>
    <w:rsid w:val="0014589C"/>
    <w:rsid w:val="00146069"/>
    <w:rsid w:val="00147973"/>
    <w:rsid w:val="001622B1"/>
    <w:rsid w:val="0016346C"/>
    <w:rsid w:val="00163CB7"/>
    <w:rsid w:val="001642D2"/>
    <w:rsid w:val="0016540A"/>
    <w:rsid w:val="00167338"/>
    <w:rsid w:val="00167A08"/>
    <w:rsid w:val="00170D24"/>
    <w:rsid w:val="001718FE"/>
    <w:rsid w:val="00172002"/>
    <w:rsid w:val="00172803"/>
    <w:rsid w:val="00172C92"/>
    <w:rsid w:val="00177192"/>
    <w:rsid w:val="001773B6"/>
    <w:rsid w:val="0018076E"/>
    <w:rsid w:val="00185370"/>
    <w:rsid w:val="00187BC0"/>
    <w:rsid w:val="00190394"/>
    <w:rsid w:val="001934A0"/>
    <w:rsid w:val="00193F66"/>
    <w:rsid w:val="0019738F"/>
    <w:rsid w:val="00197D70"/>
    <w:rsid w:val="001A2530"/>
    <w:rsid w:val="001A260C"/>
    <w:rsid w:val="001A4082"/>
    <w:rsid w:val="001A424D"/>
    <w:rsid w:val="001A659A"/>
    <w:rsid w:val="001A701C"/>
    <w:rsid w:val="001B185E"/>
    <w:rsid w:val="001B201E"/>
    <w:rsid w:val="001B3746"/>
    <w:rsid w:val="001B3EA8"/>
    <w:rsid w:val="001B5F42"/>
    <w:rsid w:val="001C2D53"/>
    <w:rsid w:val="001C2F7B"/>
    <w:rsid w:val="001C3B55"/>
    <w:rsid w:val="001C656A"/>
    <w:rsid w:val="001C66D0"/>
    <w:rsid w:val="001C6BC9"/>
    <w:rsid w:val="001C7AE1"/>
    <w:rsid w:val="001D1C1F"/>
    <w:rsid w:val="001D6618"/>
    <w:rsid w:val="001E12EC"/>
    <w:rsid w:val="001E14C6"/>
    <w:rsid w:val="001E44DC"/>
    <w:rsid w:val="001E6318"/>
    <w:rsid w:val="001E6E76"/>
    <w:rsid w:val="001E7DC7"/>
    <w:rsid w:val="001F03C7"/>
    <w:rsid w:val="001F0EE0"/>
    <w:rsid w:val="001F21C6"/>
    <w:rsid w:val="001F29AB"/>
    <w:rsid w:val="001F2EDA"/>
    <w:rsid w:val="001F3B3D"/>
    <w:rsid w:val="001F3EB6"/>
    <w:rsid w:val="001F4E4B"/>
    <w:rsid w:val="001F4EB9"/>
    <w:rsid w:val="001F5975"/>
    <w:rsid w:val="00200800"/>
    <w:rsid w:val="00202BA5"/>
    <w:rsid w:val="0020387D"/>
    <w:rsid w:val="00203DC8"/>
    <w:rsid w:val="002052F1"/>
    <w:rsid w:val="00205E16"/>
    <w:rsid w:val="00206E9D"/>
    <w:rsid w:val="0020750E"/>
    <w:rsid w:val="00207663"/>
    <w:rsid w:val="00211457"/>
    <w:rsid w:val="00215245"/>
    <w:rsid w:val="0021712C"/>
    <w:rsid w:val="00220674"/>
    <w:rsid w:val="00220E96"/>
    <w:rsid w:val="00226415"/>
    <w:rsid w:val="0022728E"/>
    <w:rsid w:val="00227591"/>
    <w:rsid w:val="00227EBA"/>
    <w:rsid w:val="00227F19"/>
    <w:rsid w:val="0023325A"/>
    <w:rsid w:val="002334B2"/>
    <w:rsid w:val="00234122"/>
    <w:rsid w:val="00234A29"/>
    <w:rsid w:val="002368EA"/>
    <w:rsid w:val="00236EA3"/>
    <w:rsid w:val="00237093"/>
    <w:rsid w:val="002418AB"/>
    <w:rsid w:val="0024207C"/>
    <w:rsid w:val="00243BEE"/>
    <w:rsid w:val="00244950"/>
    <w:rsid w:val="00245658"/>
    <w:rsid w:val="00246CD4"/>
    <w:rsid w:val="00247DAD"/>
    <w:rsid w:val="00247EC0"/>
    <w:rsid w:val="00255899"/>
    <w:rsid w:val="0026103A"/>
    <w:rsid w:val="00262B54"/>
    <w:rsid w:val="0026312F"/>
    <w:rsid w:val="00265C63"/>
    <w:rsid w:val="00266633"/>
    <w:rsid w:val="00266E5F"/>
    <w:rsid w:val="00267832"/>
    <w:rsid w:val="00271799"/>
    <w:rsid w:val="002739C9"/>
    <w:rsid w:val="00275B67"/>
    <w:rsid w:val="00276DDF"/>
    <w:rsid w:val="002805D4"/>
    <w:rsid w:val="00280778"/>
    <w:rsid w:val="00281178"/>
    <w:rsid w:val="002817EB"/>
    <w:rsid w:val="00284581"/>
    <w:rsid w:val="002879FE"/>
    <w:rsid w:val="002918DE"/>
    <w:rsid w:val="002933F0"/>
    <w:rsid w:val="0029340A"/>
    <w:rsid w:val="00293C9F"/>
    <w:rsid w:val="002949B3"/>
    <w:rsid w:val="002949F2"/>
    <w:rsid w:val="00295401"/>
    <w:rsid w:val="00295554"/>
    <w:rsid w:val="00296B19"/>
    <w:rsid w:val="002A2CAB"/>
    <w:rsid w:val="002A3398"/>
    <w:rsid w:val="002A5074"/>
    <w:rsid w:val="002B2A08"/>
    <w:rsid w:val="002B499A"/>
    <w:rsid w:val="002B653F"/>
    <w:rsid w:val="002B655D"/>
    <w:rsid w:val="002B67E7"/>
    <w:rsid w:val="002B7C2A"/>
    <w:rsid w:val="002C1AC9"/>
    <w:rsid w:val="002C3AE3"/>
    <w:rsid w:val="002C53A8"/>
    <w:rsid w:val="002D22ED"/>
    <w:rsid w:val="002D24D9"/>
    <w:rsid w:val="002D3092"/>
    <w:rsid w:val="002D315E"/>
    <w:rsid w:val="002D3300"/>
    <w:rsid w:val="002D33EB"/>
    <w:rsid w:val="002D41BC"/>
    <w:rsid w:val="002D4534"/>
    <w:rsid w:val="002E03D8"/>
    <w:rsid w:val="002E3838"/>
    <w:rsid w:val="002E45B3"/>
    <w:rsid w:val="002E4E7C"/>
    <w:rsid w:val="002E614C"/>
    <w:rsid w:val="002E6C43"/>
    <w:rsid w:val="002E7941"/>
    <w:rsid w:val="002E7F17"/>
    <w:rsid w:val="002F0A0A"/>
    <w:rsid w:val="002F0D26"/>
    <w:rsid w:val="002F130B"/>
    <w:rsid w:val="002F23F2"/>
    <w:rsid w:val="002F3CBF"/>
    <w:rsid w:val="002F3ED6"/>
    <w:rsid w:val="002F3F30"/>
    <w:rsid w:val="002F5AB4"/>
    <w:rsid w:val="002F6DBD"/>
    <w:rsid w:val="002F7514"/>
    <w:rsid w:val="00301F3C"/>
    <w:rsid w:val="003073A2"/>
    <w:rsid w:val="00307F01"/>
    <w:rsid w:val="003106BB"/>
    <w:rsid w:val="00310A31"/>
    <w:rsid w:val="00310A99"/>
    <w:rsid w:val="003121FE"/>
    <w:rsid w:val="00313816"/>
    <w:rsid w:val="00314994"/>
    <w:rsid w:val="0031534B"/>
    <w:rsid w:val="00321E79"/>
    <w:rsid w:val="00323F81"/>
    <w:rsid w:val="00324577"/>
    <w:rsid w:val="00330BB3"/>
    <w:rsid w:val="003316D5"/>
    <w:rsid w:val="00332373"/>
    <w:rsid w:val="0033274C"/>
    <w:rsid w:val="003328D8"/>
    <w:rsid w:val="00332BF2"/>
    <w:rsid w:val="0033313D"/>
    <w:rsid w:val="00334BEE"/>
    <w:rsid w:val="003362C8"/>
    <w:rsid w:val="003400FD"/>
    <w:rsid w:val="00343553"/>
    <w:rsid w:val="00343C03"/>
    <w:rsid w:val="00344041"/>
    <w:rsid w:val="00344680"/>
    <w:rsid w:val="003453A3"/>
    <w:rsid w:val="0034551D"/>
    <w:rsid w:val="00346865"/>
    <w:rsid w:val="0035044B"/>
    <w:rsid w:val="00350A2B"/>
    <w:rsid w:val="003544CF"/>
    <w:rsid w:val="0035689A"/>
    <w:rsid w:val="00361202"/>
    <w:rsid w:val="00361F47"/>
    <w:rsid w:val="0036596F"/>
    <w:rsid w:val="0036752B"/>
    <w:rsid w:val="00367B4E"/>
    <w:rsid w:val="00367D16"/>
    <w:rsid w:val="0037212B"/>
    <w:rsid w:val="00372DA2"/>
    <w:rsid w:val="00373130"/>
    <w:rsid w:val="00381846"/>
    <w:rsid w:val="0038210F"/>
    <w:rsid w:val="00383E1A"/>
    <w:rsid w:val="003874D1"/>
    <w:rsid w:val="00390C98"/>
    <w:rsid w:val="0039132B"/>
    <w:rsid w:val="00391843"/>
    <w:rsid w:val="00392E93"/>
    <w:rsid w:val="00393990"/>
    <w:rsid w:val="00394B55"/>
    <w:rsid w:val="00395765"/>
    <w:rsid w:val="00397383"/>
    <w:rsid w:val="003A0949"/>
    <w:rsid w:val="003A0B69"/>
    <w:rsid w:val="003A25CB"/>
    <w:rsid w:val="003A3B16"/>
    <w:rsid w:val="003A5C1B"/>
    <w:rsid w:val="003B1977"/>
    <w:rsid w:val="003B2B7F"/>
    <w:rsid w:val="003B3AA0"/>
    <w:rsid w:val="003B4C93"/>
    <w:rsid w:val="003B5520"/>
    <w:rsid w:val="003B5F12"/>
    <w:rsid w:val="003B74A3"/>
    <w:rsid w:val="003B7A94"/>
    <w:rsid w:val="003B7E98"/>
    <w:rsid w:val="003C296D"/>
    <w:rsid w:val="003C2BAD"/>
    <w:rsid w:val="003C4A2F"/>
    <w:rsid w:val="003C4D32"/>
    <w:rsid w:val="003C548A"/>
    <w:rsid w:val="003C61A0"/>
    <w:rsid w:val="003C76E4"/>
    <w:rsid w:val="003D232F"/>
    <w:rsid w:val="003D372E"/>
    <w:rsid w:val="003D37E5"/>
    <w:rsid w:val="003D3D24"/>
    <w:rsid w:val="003D41D3"/>
    <w:rsid w:val="003D4EC9"/>
    <w:rsid w:val="003D588C"/>
    <w:rsid w:val="003D5EF8"/>
    <w:rsid w:val="003E07E6"/>
    <w:rsid w:val="003E0FFD"/>
    <w:rsid w:val="003E35A8"/>
    <w:rsid w:val="003E4A0E"/>
    <w:rsid w:val="003E6165"/>
    <w:rsid w:val="003E792E"/>
    <w:rsid w:val="003E7E17"/>
    <w:rsid w:val="003F045E"/>
    <w:rsid w:val="003F0A2F"/>
    <w:rsid w:val="004001AA"/>
    <w:rsid w:val="004008F6"/>
    <w:rsid w:val="00400D4D"/>
    <w:rsid w:val="00400FD7"/>
    <w:rsid w:val="004021BF"/>
    <w:rsid w:val="00402D53"/>
    <w:rsid w:val="004048A2"/>
    <w:rsid w:val="0040544D"/>
    <w:rsid w:val="00407A82"/>
    <w:rsid w:val="00411C5A"/>
    <w:rsid w:val="004121D3"/>
    <w:rsid w:val="00413DF8"/>
    <w:rsid w:val="004141E3"/>
    <w:rsid w:val="0041522A"/>
    <w:rsid w:val="00415EFB"/>
    <w:rsid w:val="00417308"/>
    <w:rsid w:val="00417A80"/>
    <w:rsid w:val="00421746"/>
    <w:rsid w:val="00424D88"/>
    <w:rsid w:val="00424E2A"/>
    <w:rsid w:val="00425B95"/>
    <w:rsid w:val="004277CE"/>
    <w:rsid w:val="0043099A"/>
    <w:rsid w:val="00430A43"/>
    <w:rsid w:val="00431547"/>
    <w:rsid w:val="00432931"/>
    <w:rsid w:val="00435675"/>
    <w:rsid w:val="00435EE4"/>
    <w:rsid w:val="004419ED"/>
    <w:rsid w:val="00442291"/>
    <w:rsid w:val="00443BF7"/>
    <w:rsid w:val="00443DEA"/>
    <w:rsid w:val="00445AD0"/>
    <w:rsid w:val="00446348"/>
    <w:rsid w:val="0044671D"/>
    <w:rsid w:val="0044764E"/>
    <w:rsid w:val="00447AF4"/>
    <w:rsid w:val="004508D1"/>
    <w:rsid w:val="004525EF"/>
    <w:rsid w:val="004530CC"/>
    <w:rsid w:val="00456625"/>
    <w:rsid w:val="004573F9"/>
    <w:rsid w:val="004624ED"/>
    <w:rsid w:val="00463A91"/>
    <w:rsid w:val="004669E4"/>
    <w:rsid w:val="00466B70"/>
    <w:rsid w:val="0046722A"/>
    <w:rsid w:val="00467F25"/>
    <w:rsid w:val="004705BE"/>
    <w:rsid w:val="00471584"/>
    <w:rsid w:val="00471975"/>
    <w:rsid w:val="00471C4C"/>
    <w:rsid w:val="00473DAA"/>
    <w:rsid w:val="00475216"/>
    <w:rsid w:val="00477A55"/>
    <w:rsid w:val="004806EA"/>
    <w:rsid w:val="00481418"/>
    <w:rsid w:val="00485085"/>
    <w:rsid w:val="0048511E"/>
    <w:rsid w:val="00486E0F"/>
    <w:rsid w:val="004904A5"/>
    <w:rsid w:val="0049074D"/>
    <w:rsid w:val="004915C5"/>
    <w:rsid w:val="00491A2E"/>
    <w:rsid w:val="0049212F"/>
    <w:rsid w:val="004924A8"/>
    <w:rsid w:val="004933F0"/>
    <w:rsid w:val="00493F71"/>
    <w:rsid w:val="004955CF"/>
    <w:rsid w:val="0049590E"/>
    <w:rsid w:val="00495C14"/>
    <w:rsid w:val="004970C1"/>
    <w:rsid w:val="004A5F72"/>
    <w:rsid w:val="004B0AF5"/>
    <w:rsid w:val="004B16E8"/>
    <w:rsid w:val="004B1B20"/>
    <w:rsid w:val="004B3999"/>
    <w:rsid w:val="004B569E"/>
    <w:rsid w:val="004B591C"/>
    <w:rsid w:val="004B7237"/>
    <w:rsid w:val="004C062F"/>
    <w:rsid w:val="004C0CD4"/>
    <w:rsid w:val="004C1B47"/>
    <w:rsid w:val="004C4B4D"/>
    <w:rsid w:val="004C4F22"/>
    <w:rsid w:val="004C5DF0"/>
    <w:rsid w:val="004C6BEE"/>
    <w:rsid w:val="004C6D76"/>
    <w:rsid w:val="004C7561"/>
    <w:rsid w:val="004D0B09"/>
    <w:rsid w:val="004D3849"/>
    <w:rsid w:val="004D3CD2"/>
    <w:rsid w:val="004D4A4E"/>
    <w:rsid w:val="004D5ADB"/>
    <w:rsid w:val="004D7CD8"/>
    <w:rsid w:val="004D7F59"/>
    <w:rsid w:val="004D7F64"/>
    <w:rsid w:val="004D7FD3"/>
    <w:rsid w:val="004E08A8"/>
    <w:rsid w:val="004E09B1"/>
    <w:rsid w:val="004E1614"/>
    <w:rsid w:val="004E2672"/>
    <w:rsid w:val="004E4B5E"/>
    <w:rsid w:val="004E50A1"/>
    <w:rsid w:val="004E5BFA"/>
    <w:rsid w:val="004F0688"/>
    <w:rsid w:val="004F0F26"/>
    <w:rsid w:val="004F274E"/>
    <w:rsid w:val="004F37EF"/>
    <w:rsid w:val="004F386F"/>
    <w:rsid w:val="004F46E9"/>
    <w:rsid w:val="004F49D4"/>
    <w:rsid w:val="004F4F5F"/>
    <w:rsid w:val="004F7E8A"/>
    <w:rsid w:val="0050096E"/>
    <w:rsid w:val="00500A45"/>
    <w:rsid w:val="00503498"/>
    <w:rsid w:val="00504C8E"/>
    <w:rsid w:val="00512086"/>
    <w:rsid w:val="00512393"/>
    <w:rsid w:val="005166A1"/>
    <w:rsid w:val="005243F2"/>
    <w:rsid w:val="005248A7"/>
    <w:rsid w:val="00525ED3"/>
    <w:rsid w:val="00527E45"/>
    <w:rsid w:val="005327DB"/>
    <w:rsid w:val="0053352D"/>
    <w:rsid w:val="00533A77"/>
    <w:rsid w:val="00533C4E"/>
    <w:rsid w:val="00536529"/>
    <w:rsid w:val="00537247"/>
    <w:rsid w:val="00540B0B"/>
    <w:rsid w:val="005412C1"/>
    <w:rsid w:val="005414A0"/>
    <w:rsid w:val="00544D8B"/>
    <w:rsid w:val="005530FA"/>
    <w:rsid w:val="005544FC"/>
    <w:rsid w:val="0055563A"/>
    <w:rsid w:val="00555DCE"/>
    <w:rsid w:val="00563C85"/>
    <w:rsid w:val="00566838"/>
    <w:rsid w:val="005668C0"/>
    <w:rsid w:val="00567E73"/>
    <w:rsid w:val="005732B0"/>
    <w:rsid w:val="00573CAD"/>
    <w:rsid w:val="00575684"/>
    <w:rsid w:val="00577A10"/>
    <w:rsid w:val="005813A8"/>
    <w:rsid w:val="00581804"/>
    <w:rsid w:val="00583133"/>
    <w:rsid w:val="005831D8"/>
    <w:rsid w:val="005837F0"/>
    <w:rsid w:val="005905A1"/>
    <w:rsid w:val="00591A04"/>
    <w:rsid w:val="005932E9"/>
    <w:rsid w:val="00593479"/>
    <w:rsid w:val="00594B96"/>
    <w:rsid w:val="00596D4E"/>
    <w:rsid w:val="005A05FE"/>
    <w:rsid w:val="005A0A80"/>
    <w:rsid w:val="005A187E"/>
    <w:rsid w:val="005A220B"/>
    <w:rsid w:val="005A2459"/>
    <w:rsid w:val="005A2833"/>
    <w:rsid w:val="005A376A"/>
    <w:rsid w:val="005A3C37"/>
    <w:rsid w:val="005A4131"/>
    <w:rsid w:val="005A5209"/>
    <w:rsid w:val="005A573B"/>
    <w:rsid w:val="005A5E1B"/>
    <w:rsid w:val="005A614D"/>
    <w:rsid w:val="005A6B2C"/>
    <w:rsid w:val="005A732C"/>
    <w:rsid w:val="005A753B"/>
    <w:rsid w:val="005B18EF"/>
    <w:rsid w:val="005B1AB1"/>
    <w:rsid w:val="005B60BB"/>
    <w:rsid w:val="005B7BE7"/>
    <w:rsid w:val="005C102C"/>
    <w:rsid w:val="005C3024"/>
    <w:rsid w:val="005C3BBE"/>
    <w:rsid w:val="005C4057"/>
    <w:rsid w:val="005C4FF8"/>
    <w:rsid w:val="005C5426"/>
    <w:rsid w:val="005C5B3E"/>
    <w:rsid w:val="005C61B8"/>
    <w:rsid w:val="005C7FDA"/>
    <w:rsid w:val="005D204B"/>
    <w:rsid w:val="005D2209"/>
    <w:rsid w:val="005D2827"/>
    <w:rsid w:val="005D2A47"/>
    <w:rsid w:val="005D55D2"/>
    <w:rsid w:val="005D56A0"/>
    <w:rsid w:val="005E66D5"/>
    <w:rsid w:val="005E722E"/>
    <w:rsid w:val="005F0FFC"/>
    <w:rsid w:val="005F2033"/>
    <w:rsid w:val="005F2190"/>
    <w:rsid w:val="005F7DAD"/>
    <w:rsid w:val="005F7FA5"/>
    <w:rsid w:val="00600CA1"/>
    <w:rsid w:val="00601453"/>
    <w:rsid w:val="00601D44"/>
    <w:rsid w:val="00601DAC"/>
    <w:rsid w:val="0060446F"/>
    <w:rsid w:val="00604F31"/>
    <w:rsid w:val="00606EE3"/>
    <w:rsid w:val="0060703B"/>
    <w:rsid w:val="00610A9A"/>
    <w:rsid w:val="0061203F"/>
    <w:rsid w:val="0061281B"/>
    <w:rsid w:val="00614928"/>
    <w:rsid w:val="00615EFE"/>
    <w:rsid w:val="006169E3"/>
    <w:rsid w:val="0061788D"/>
    <w:rsid w:val="00621304"/>
    <w:rsid w:val="006216EF"/>
    <w:rsid w:val="00621D1D"/>
    <w:rsid w:val="00622A24"/>
    <w:rsid w:val="00625A17"/>
    <w:rsid w:val="00631327"/>
    <w:rsid w:val="00631670"/>
    <w:rsid w:val="00631686"/>
    <w:rsid w:val="006328C6"/>
    <w:rsid w:val="00632FAF"/>
    <w:rsid w:val="006368B5"/>
    <w:rsid w:val="00642C9E"/>
    <w:rsid w:val="00643302"/>
    <w:rsid w:val="006441F3"/>
    <w:rsid w:val="006444D6"/>
    <w:rsid w:val="006455D3"/>
    <w:rsid w:val="00645AB1"/>
    <w:rsid w:val="00645C4B"/>
    <w:rsid w:val="00646185"/>
    <w:rsid w:val="00646554"/>
    <w:rsid w:val="00646927"/>
    <w:rsid w:val="00647E28"/>
    <w:rsid w:val="0065269B"/>
    <w:rsid w:val="00652C8E"/>
    <w:rsid w:val="00654EEF"/>
    <w:rsid w:val="00655B5B"/>
    <w:rsid w:val="00657243"/>
    <w:rsid w:val="0065740E"/>
    <w:rsid w:val="0065770A"/>
    <w:rsid w:val="00657AFC"/>
    <w:rsid w:val="00657D7B"/>
    <w:rsid w:val="00660301"/>
    <w:rsid w:val="006625E1"/>
    <w:rsid w:val="00663475"/>
    <w:rsid w:val="0066560A"/>
    <w:rsid w:val="006669C0"/>
    <w:rsid w:val="00666C8C"/>
    <w:rsid w:val="00667D8A"/>
    <w:rsid w:val="0067047B"/>
    <w:rsid w:val="00670B60"/>
    <w:rsid w:val="00671EBD"/>
    <w:rsid w:val="00672408"/>
    <w:rsid w:val="006729D3"/>
    <w:rsid w:val="006742C0"/>
    <w:rsid w:val="00675189"/>
    <w:rsid w:val="0067525E"/>
    <w:rsid w:val="00675CC2"/>
    <w:rsid w:val="0067673A"/>
    <w:rsid w:val="00676862"/>
    <w:rsid w:val="00677A1D"/>
    <w:rsid w:val="006805AE"/>
    <w:rsid w:val="00681C7C"/>
    <w:rsid w:val="00681DA7"/>
    <w:rsid w:val="006833D3"/>
    <w:rsid w:val="00683FBE"/>
    <w:rsid w:val="006852D9"/>
    <w:rsid w:val="00685CB4"/>
    <w:rsid w:val="00686C4A"/>
    <w:rsid w:val="006908D9"/>
    <w:rsid w:val="00690EB0"/>
    <w:rsid w:val="00691251"/>
    <w:rsid w:val="00691747"/>
    <w:rsid w:val="006918E0"/>
    <w:rsid w:val="00691B5F"/>
    <w:rsid w:val="00692D86"/>
    <w:rsid w:val="00693BA5"/>
    <w:rsid w:val="0069549F"/>
    <w:rsid w:val="00697368"/>
    <w:rsid w:val="00697AAB"/>
    <w:rsid w:val="006A07AA"/>
    <w:rsid w:val="006A1B99"/>
    <w:rsid w:val="006A49D0"/>
    <w:rsid w:val="006A4C72"/>
    <w:rsid w:val="006A5DD6"/>
    <w:rsid w:val="006A6FC6"/>
    <w:rsid w:val="006A7BB9"/>
    <w:rsid w:val="006B0150"/>
    <w:rsid w:val="006B07C8"/>
    <w:rsid w:val="006B1A60"/>
    <w:rsid w:val="006B1F24"/>
    <w:rsid w:val="006B217B"/>
    <w:rsid w:val="006B2CC2"/>
    <w:rsid w:val="006B7CF5"/>
    <w:rsid w:val="006C12CF"/>
    <w:rsid w:val="006C4900"/>
    <w:rsid w:val="006C65C7"/>
    <w:rsid w:val="006C7ED3"/>
    <w:rsid w:val="006D0DBE"/>
    <w:rsid w:val="006D0E26"/>
    <w:rsid w:val="006D1903"/>
    <w:rsid w:val="006D38DB"/>
    <w:rsid w:val="006D41F0"/>
    <w:rsid w:val="006D498E"/>
    <w:rsid w:val="006D7325"/>
    <w:rsid w:val="006D7D3E"/>
    <w:rsid w:val="006E02DC"/>
    <w:rsid w:val="006E5F31"/>
    <w:rsid w:val="006E5FC3"/>
    <w:rsid w:val="006F11B5"/>
    <w:rsid w:val="006F18CF"/>
    <w:rsid w:val="006F64A0"/>
    <w:rsid w:val="006F73AC"/>
    <w:rsid w:val="006F7F8C"/>
    <w:rsid w:val="00701CB2"/>
    <w:rsid w:val="00702D90"/>
    <w:rsid w:val="00703E66"/>
    <w:rsid w:val="007044A8"/>
    <w:rsid w:val="00704881"/>
    <w:rsid w:val="00706028"/>
    <w:rsid w:val="00707BBC"/>
    <w:rsid w:val="007119A0"/>
    <w:rsid w:val="00713484"/>
    <w:rsid w:val="0071399D"/>
    <w:rsid w:val="00713FFC"/>
    <w:rsid w:val="0071532A"/>
    <w:rsid w:val="00720248"/>
    <w:rsid w:val="00720423"/>
    <w:rsid w:val="00720E4E"/>
    <w:rsid w:val="0072124B"/>
    <w:rsid w:val="007255AD"/>
    <w:rsid w:val="007275A5"/>
    <w:rsid w:val="007279A1"/>
    <w:rsid w:val="00727FFB"/>
    <w:rsid w:val="007310D3"/>
    <w:rsid w:val="007328E4"/>
    <w:rsid w:val="007334A2"/>
    <w:rsid w:val="00734B23"/>
    <w:rsid w:val="0073613E"/>
    <w:rsid w:val="00736D85"/>
    <w:rsid w:val="00737E91"/>
    <w:rsid w:val="007420B1"/>
    <w:rsid w:val="007447F7"/>
    <w:rsid w:val="007449ED"/>
    <w:rsid w:val="007465A6"/>
    <w:rsid w:val="007475F5"/>
    <w:rsid w:val="00750312"/>
    <w:rsid w:val="00751A55"/>
    <w:rsid w:val="007520F0"/>
    <w:rsid w:val="00754DDB"/>
    <w:rsid w:val="0075504D"/>
    <w:rsid w:val="00755CA7"/>
    <w:rsid w:val="00757ABC"/>
    <w:rsid w:val="00757C3F"/>
    <w:rsid w:val="007611B0"/>
    <w:rsid w:val="007611BA"/>
    <w:rsid w:val="007628DC"/>
    <w:rsid w:val="00762958"/>
    <w:rsid w:val="00763495"/>
    <w:rsid w:val="00764D06"/>
    <w:rsid w:val="0076568A"/>
    <w:rsid w:val="00767EC0"/>
    <w:rsid w:val="00770EB5"/>
    <w:rsid w:val="00771A10"/>
    <w:rsid w:val="0078100A"/>
    <w:rsid w:val="007828AC"/>
    <w:rsid w:val="00783867"/>
    <w:rsid w:val="00784E35"/>
    <w:rsid w:val="00786EF6"/>
    <w:rsid w:val="00787D9F"/>
    <w:rsid w:val="00791E41"/>
    <w:rsid w:val="00797F3D"/>
    <w:rsid w:val="007A1A26"/>
    <w:rsid w:val="007A1EA9"/>
    <w:rsid w:val="007A3366"/>
    <w:rsid w:val="007A3650"/>
    <w:rsid w:val="007A4448"/>
    <w:rsid w:val="007A57C8"/>
    <w:rsid w:val="007A6506"/>
    <w:rsid w:val="007A691D"/>
    <w:rsid w:val="007A6CA7"/>
    <w:rsid w:val="007A7A50"/>
    <w:rsid w:val="007A7D6F"/>
    <w:rsid w:val="007B219E"/>
    <w:rsid w:val="007B43A3"/>
    <w:rsid w:val="007B5547"/>
    <w:rsid w:val="007B5FF5"/>
    <w:rsid w:val="007B72EC"/>
    <w:rsid w:val="007C1C45"/>
    <w:rsid w:val="007C2058"/>
    <w:rsid w:val="007C2F48"/>
    <w:rsid w:val="007C4EBB"/>
    <w:rsid w:val="007C4EFA"/>
    <w:rsid w:val="007C63B3"/>
    <w:rsid w:val="007C73B8"/>
    <w:rsid w:val="007C794D"/>
    <w:rsid w:val="007D21FE"/>
    <w:rsid w:val="007D22CF"/>
    <w:rsid w:val="007D3057"/>
    <w:rsid w:val="007D32A0"/>
    <w:rsid w:val="007D61AC"/>
    <w:rsid w:val="007D6EDD"/>
    <w:rsid w:val="007E0A13"/>
    <w:rsid w:val="007E2A66"/>
    <w:rsid w:val="007E43D4"/>
    <w:rsid w:val="007E4CFD"/>
    <w:rsid w:val="007E5E63"/>
    <w:rsid w:val="007E6279"/>
    <w:rsid w:val="007F2329"/>
    <w:rsid w:val="007F2511"/>
    <w:rsid w:val="007F3FE5"/>
    <w:rsid w:val="007F599C"/>
    <w:rsid w:val="007F7CC9"/>
    <w:rsid w:val="0080032C"/>
    <w:rsid w:val="00801B1A"/>
    <w:rsid w:val="0080319D"/>
    <w:rsid w:val="00803959"/>
    <w:rsid w:val="008046B8"/>
    <w:rsid w:val="00804E59"/>
    <w:rsid w:val="00807057"/>
    <w:rsid w:val="00807231"/>
    <w:rsid w:val="008077F3"/>
    <w:rsid w:val="0081148C"/>
    <w:rsid w:val="00811F92"/>
    <w:rsid w:val="00812D15"/>
    <w:rsid w:val="00814A66"/>
    <w:rsid w:val="008151DE"/>
    <w:rsid w:val="00815310"/>
    <w:rsid w:val="00816A52"/>
    <w:rsid w:val="00820775"/>
    <w:rsid w:val="00821152"/>
    <w:rsid w:val="00822F36"/>
    <w:rsid w:val="00823A68"/>
    <w:rsid w:val="008312CF"/>
    <w:rsid w:val="0083533E"/>
    <w:rsid w:val="008359C3"/>
    <w:rsid w:val="00837B24"/>
    <w:rsid w:val="008403C1"/>
    <w:rsid w:val="008405D5"/>
    <w:rsid w:val="008419AD"/>
    <w:rsid w:val="008421B0"/>
    <w:rsid w:val="008422EC"/>
    <w:rsid w:val="00843879"/>
    <w:rsid w:val="008470D6"/>
    <w:rsid w:val="00851C19"/>
    <w:rsid w:val="00852AD2"/>
    <w:rsid w:val="0085339A"/>
    <w:rsid w:val="008536AA"/>
    <w:rsid w:val="00855BF1"/>
    <w:rsid w:val="00855FC6"/>
    <w:rsid w:val="00856F2D"/>
    <w:rsid w:val="00857F7E"/>
    <w:rsid w:val="0086013D"/>
    <w:rsid w:val="008609C7"/>
    <w:rsid w:val="00862984"/>
    <w:rsid w:val="008636C8"/>
    <w:rsid w:val="00866270"/>
    <w:rsid w:val="008675DE"/>
    <w:rsid w:val="00870050"/>
    <w:rsid w:val="00871A75"/>
    <w:rsid w:val="00871EEF"/>
    <w:rsid w:val="00872027"/>
    <w:rsid w:val="00872DA0"/>
    <w:rsid w:val="008732B2"/>
    <w:rsid w:val="00873393"/>
    <w:rsid w:val="00873AED"/>
    <w:rsid w:val="008748C7"/>
    <w:rsid w:val="0087555D"/>
    <w:rsid w:val="00876092"/>
    <w:rsid w:val="0087672D"/>
    <w:rsid w:val="008778B9"/>
    <w:rsid w:val="00877904"/>
    <w:rsid w:val="00883AE8"/>
    <w:rsid w:val="00883B25"/>
    <w:rsid w:val="00884634"/>
    <w:rsid w:val="00884E28"/>
    <w:rsid w:val="008855A8"/>
    <w:rsid w:val="0088629C"/>
    <w:rsid w:val="0088641B"/>
    <w:rsid w:val="008904C2"/>
    <w:rsid w:val="00892BB1"/>
    <w:rsid w:val="0089383F"/>
    <w:rsid w:val="008970D5"/>
    <w:rsid w:val="008A072C"/>
    <w:rsid w:val="008A0E92"/>
    <w:rsid w:val="008A1F18"/>
    <w:rsid w:val="008A277E"/>
    <w:rsid w:val="008A2ABC"/>
    <w:rsid w:val="008A2EDB"/>
    <w:rsid w:val="008A36DB"/>
    <w:rsid w:val="008A44EC"/>
    <w:rsid w:val="008A5205"/>
    <w:rsid w:val="008A630E"/>
    <w:rsid w:val="008A733D"/>
    <w:rsid w:val="008B1B95"/>
    <w:rsid w:val="008B2F10"/>
    <w:rsid w:val="008B4244"/>
    <w:rsid w:val="008B43BC"/>
    <w:rsid w:val="008B495D"/>
    <w:rsid w:val="008B4B70"/>
    <w:rsid w:val="008B59C2"/>
    <w:rsid w:val="008B65A1"/>
    <w:rsid w:val="008B7999"/>
    <w:rsid w:val="008B7C9D"/>
    <w:rsid w:val="008C1250"/>
    <w:rsid w:val="008C232C"/>
    <w:rsid w:val="008C33B9"/>
    <w:rsid w:val="008C6076"/>
    <w:rsid w:val="008C6768"/>
    <w:rsid w:val="008C7A80"/>
    <w:rsid w:val="008C7DD9"/>
    <w:rsid w:val="008D0211"/>
    <w:rsid w:val="008D0608"/>
    <w:rsid w:val="008D06C2"/>
    <w:rsid w:val="008D075B"/>
    <w:rsid w:val="008D26BA"/>
    <w:rsid w:val="008D34FD"/>
    <w:rsid w:val="008D3E66"/>
    <w:rsid w:val="008D40DD"/>
    <w:rsid w:val="008D4F1D"/>
    <w:rsid w:val="008D5D79"/>
    <w:rsid w:val="008E17A3"/>
    <w:rsid w:val="008E31AD"/>
    <w:rsid w:val="008E47E5"/>
    <w:rsid w:val="008E502A"/>
    <w:rsid w:val="008E5915"/>
    <w:rsid w:val="008E652C"/>
    <w:rsid w:val="008E761E"/>
    <w:rsid w:val="008E773A"/>
    <w:rsid w:val="008E7F07"/>
    <w:rsid w:val="008F09D4"/>
    <w:rsid w:val="008F0F5A"/>
    <w:rsid w:val="008F1A9C"/>
    <w:rsid w:val="008F37A9"/>
    <w:rsid w:val="008F4C4B"/>
    <w:rsid w:val="008F76B3"/>
    <w:rsid w:val="008F7EA5"/>
    <w:rsid w:val="00900CF2"/>
    <w:rsid w:val="00900E33"/>
    <w:rsid w:val="009013ED"/>
    <w:rsid w:val="009021B0"/>
    <w:rsid w:val="00903C25"/>
    <w:rsid w:val="0090459D"/>
    <w:rsid w:val="00904D4F"/>
    <w:rsid w:val="00905CF4"/>
    <w:rsid w:val="009062DF"/>
    <w:rsid w:val="00910FF6"/>
    <w:rsid w:val="009130EE"/>
    <w:rsid w:val="00913BEB"/>
    <w:rsid w:val="00914648"/>
    <w:rsid w:val="00916F81"/>
    <w:rsid w:val="00917192"/>
    <w:rsid w:val="009177A9"/>
    <w:rsid w:val="009179B5"/>
    <w:rsid w:val="00921B13"/>
    <w:rsid w:val="00923135"/>
    <w:rsid w:val="009236D3"/>
    <w:rsid w:val="00923F98"/>
    <w:rsid w:val="009242FC"/>
    <w:rsid w:val="00926234"/>
    <w:rsid w:val="00926DCE"/>
    <w:rsid w:val="009272C7"/>
    <w:rsid w:val="009300D8"/>
    <w:rsid w:val="009301C5"/>
    <w:rsid w:val="009312AF"/>
    <w:rsid w:val="0093301B"/>
    <w:rsid w:val="00934202"/>
    <w:rsid w:val="00934406"/>
    <w:rsid w:val="00935722"/>
    <w:rsid w:val="00935E47"/>
    <w:rsid w:val="00936C34"/>
    <w:rsid w:val="00937009"/>
    <w:rsid w:val="009373AE"/>
    <w:rsid w:val="00943D21"/>
    <w:rsid w:val="009457C2"/>
    <w:rsid w:val="009468DD"/>
    <w:rsid w:val="00946C72"/>
    <w:rsid w:val="00947264"/>
    <w:rsid w:val="00947BD8"/>
    <w:rsid w:val="00947CDA"/>
    <w:rsid w:val="009521C7"/>
    <w:rsid w:val="00953A81"/>
    <w:rsid w:val="00953AA1"/>
    <w:rsid w:val="00956718"/>
    <w:rsid w:val="00957FDA"/>
    <w:rsid w:val="00960721"/>
    <w:rsid w:val="0096080C"/>
    <w:rsid w:val="00960A86"/>
    <w:rsid w:val="009632BA"/>
    <w:rsid w:val="00963D3B"/>
    <w:rsid w:val="00964379"/>
    <w:rsid w:val="00965693"/>
    <w:rsid w:val="0096638E"/>
    <w:rsid w:val="0096652C"/>
    <w:rsid w:val="00966934"/>
    <w:rsid w:val="00966F5C"/>
    <w:rsid w:val="00970277"/>
    <w:rsid w:val="00970728"/>
    <w:rsid w:val="009726AA"/>
    <w:rsid w:val="00972DD0"/>
    <w:rsid w:val="009736FA"/>
    <w:rsid w:val="00980691"/>
    <w:rsid w:val="0098084E"/>
    <w:rsid w:val="009857E9"/>
    <w:rsid w:val="009909A8"/>
    <w:rsid w:val="00991330"/>
    <w:rsid w:val="00991780"/>
    <w:rsid w:val="00993C21"/>
    <w:rsid w:val="009942CB"/>
    <w:rsid w:val="009942D1"/>
    <w:rsid w:val="009946AC"/>
    <w:rsid w:val="0099473B"/>
    <w:rsid w:val="00994B4F"/>
    <w:rsid w:val="00994DDC"/>
    <w:rsid w:val="00996348"/>
    <w:rsid w:val="00996F96"/>
    <w:rsid w:val="00997A10"/>
    <w:rsid w:val="00997D75"/>
    <w:rsid w:val="009A19A8"/>
    <w:rsid w:val="009A4D2E"/>
    <w:rsid w:val="009A4EAD"/>
    <w:rsid w:val="009A5763"/>
    <w:rsid w:val="009A6334"/>
    <w:rsid w:val="009A7FC6"/>
    <w:rsid w:val="009B1BF8"/>
    <w:rsid w:val="009B3DCF"/>
    <w:rsid w:val="009B4BDB"/>
    <w:rsid w:val="009B69F4"/>
    <w:rsid w:val="009C3215"/>
    <w:rsid w:val="009C3409"/>
    <w:rsid w:val="009C4899"/>
    <w:rsid w:val="009D05A3"/>
    <w:rsid w:val="009D0788"/>
    <w:rsid w:val="009D1EFF"/>
    <w:rsid w:val="009D6362"/>
    <w:rsid w:val="009D7432"/>
    <w:rsid w:val="009E1B84"/>
    <w:rsid w:val="009E3016"/>
    <w:rsid w:val="009E443B"/>
    <w:rsid w:val="009E4F6F"/>
    <w:rsid w:val="009E54C3"/>
    <w:rsid w:val="009F0549"/>
    <w:rsid w:val="009F0A21"/>
    <w:rsid w:val="009F1095"/>
    <w:rsid w:val="009F138D"/>
    <w:rsid w:val="009F1ADB"/>
    <w:rsid w:val="009F20A5"/>
    <w:rsid w:val="009F4131"/>
    <w:rsid w:val="00A05AAA"/>
    <w:rsid w:val="00A06001"/>
    <w:rsid w:val="00A063E0"/>
    <w:rsid w:val="00A06D97"/>
    <w:rsid w:val="00A10153"/>
    <w:rsid w:val="00A110D3"/>
    <w:rsid w:val="00A11C83"/>
    <w:rsid w:val="00A11FD3"/>
    <w:rsid w:val="00A12480"/>
    <w:rsid w:val="00A2005F"/>
    <w:rsid w:val="00A20D3E"/>
    <w:rsid w:val="00A223FE"/>
    <w:rsid w:val="00A25187"/>
    <w:rsid w:val="00A26F38"/>
    <w:rsid w:val="00A30780"/>
    <w:rsid w:val="00A3108E"/>
    <w:rsid w:val="00A32B8C"/>
    <w:rsid w:val="00A338BF"/>
    <w:rsid w:val="00A33E6D"/>
    <w:rsid w:val="00A35F27"/>
    <w:rsid w:val="00A36957"/>
    <w:rsid w:val="00A40F12"/>
    <w:rsid w:val="00A412A6"/>
    <w:rsid w:val="00A42CA3"/>
    <w:rsid w:val="00A448DA"/>
    <w:rsid w:val="00A45631"/>
    <w:rsid w:val="00A45637"/>
    <w:rsid w:val="00A51CC9"/>
    <w:rsid w:val="00A538A0"/>
    <w:rsid w:val="00A53B44"/>
    <w:rsid w:val="00A54020"/>
    <w:rsid w:val="00A5497A"/>
    <w:rsid w:val="00A54D0E"/>
    <w:rsid w:val="00A564CE"/>
    <w:rsid w:val="00A56A33"/>
    <w:rsid w:val="00A571C2"/>
    <w:rsid w:val="00A606BC"/>
    <w:rsid w:val="00A60B06"/>
    <w:rsid w:val="00A619F0"/>
    <w:rsid w:val="00A6241A"/>
    <w:rsid w:val="00A63505"/>
    <w:rsid w:val="00A639F9"/>
    <w:rsid w:val="00A66448"/>
    <w:rsid w:val="00A6662C"/>
    <w:rsid w:val="00A679D8"/>
    <w:rsid w:val="00A67BAA"/>
    <w:rsid w:val="00A7018A"/>
    <w:rsid w:val="00A7170A"/>
    <w:rsid w:val="00A75102"/>
    <w:rsid w:val="00A756E6"/>
    <w:rsid w:val="00A76ECE"/>
    <w:rsid w:val="00A77B94"/>
    <w:rsid w:val="00A80B19"/>
    <w:rsid w:val="00A82F77"/>
    <w:rsid w:val="00A85A2B"/>
    <w:rsid w:val="00A87AC1"/>
    <w:rsid w:val="00A87D03"/>
    <w:rsid w:val="00AA167C"/>
    <w:rsid w:val="00AA25F0"/>
    <w:rsid w:val="00AA2FE1"/>
    <w:rsid w:val="00AA449F"/>
    <w:rsid w:val="00AA52A4"/>
    <w:rsid w:val="00AA52EE"/>
    <w:rsid w:val="00AA5A0E"/>
    <w:rsid w:val="00AA5EC4"/>
    <w:rsid w:val="00AA77A4"/>
    <w:rsid w:val="00AA7BD7"/>
    <w:rsid w:val="00AB1070"/>
    <w:rsid w:val="00AB123A"/>
    <w:rsid w:val="00AB5EBB"/>
    <w:rsid w:val="00AC1193"/>
    <w:rsid w:val="00AC390C"/>
    <w:rsid w:val="00AC4D73"/>
    <w:rsid w:val="00AC50E2"/>
    <w:rsid w:val="00AC5159"/>
    <w:rsid w:val="00AC7334"/>
    <w:rsid w:val="00AD07E6"/>
    <w:rsid w:val="00AD1D73"/>
    <w:rsid w:val="00AD26DF"/>
    <w:rsid w:val="00AD3974"/>
    <w:rsid w:val="00AD3AF2"/>
    <w:rsid w:val="00AD5071"/>
    <w:rsid w:val="00AD6540"/>
    <w:rsid w:val="00AD73C4"/>
    <w:rsid w:val="00AE0C8B"/>
    <w:rsid w:val="00AE4C1F"/>
    <w:rsid w:val="00AE4D6E"/>
    <w:rsid w:val="00AE573D"/>
    <w:rsid w:val="00AE6ECB"/>
    <w:rsid w:val="00AE71FA"/>
    <w:rsid w:val="00AE76A9"/>
    <w:rsid w:val="00AF12A3"/>
    <w:rsid w:val="00AF1954"/>
    <w:rsid w:val="00AF3D35"/>
    <w:rsid w:val="00AF74F9"/>
    <w:rsid w:val="00B009D8"/>
    <w:rsid w:val="00B010FC"/>
    <w:rsid w:val="00B01679"/>
    <w:rsid w:val="00B032B1"/>
    <w:rsid w:val="00B03864"/>
    <w:rsid w:val="00B03CE3"/>
    <w:rsid w:val="00B03E96"/>
    <w:rsid w:val="00B0486F"/>
    <w:rsid w:val="00B04EAC"/>
    <w:rsid w:val="00B06447"/>
    <w:rsid w:val="00B06FF6"/>
    <w:rsid w:val="00B10DE1"/>
    <w:rsid w:val="00B115C5"/>
    <w:rsid w:val="00B127AD"/>
    <w:rsid w:val="00B12AA1"/>
    <w:rsid w:val="00B135EB"/>
    <w:rsid w:val="00B13877"/>
    <w:rsid w:val="00B139E2"/>
    <w:rsid w:val="00B141EB"/>
    <w:rsid w:val="00B15A98"/>
    <w:rsid w:val="00B160D1"/>
    <w:rsid w:val="00B16216"/>
    <w:rsid w:val="00B1793B"/>
    <w:rsid w:val="00B17987"/>
    <w:rsid w:val="00B200B1"/>
    <w:rsid w:val="00B20D0D"/>
    <w:rsid w:val="00B20F06"/>
    <w:rsid w:val="00B2162A"/>
    <w:rsid w:val="00B22002"/>
    <w:rsid w:val="00B24FB8"/>
    <w:rsid w:val="00B272DD"/>
    <w:rsid w:val="00B3051E"/>
    <w:rsid w:val="00B31B1D"/>
    <w:rsid w:val="00B31E6B"/>
    <w:rsid w:val="00B32A76"/>
    <w:rsid w:val="00B33E2C"/>
    <w:rsid w:val="00B35BE6"/>
    <w:rsid w:val="00B365A0"/>
    <w:rsid w:val="00B374A1"/>
    <w:rsid w:val="00B37A13"/>
    <w:rsid w:val="00B37F4E"/>
    <w:rsid w:val="00B403FC"/>
    <w:rsid w:val="00B40E77"/>
    <w:rsid w:val="00B422C8"/>
    <w:rsid w:val="00B4373D"/>
    <w:rsid w:val="00B44BA8"/>
    <w:rsid w:val="00B451A6"/>
    <w:rsid w:val="00B452CE"/>
    <w:rsid w:val="00B45C1A"/>
    <w:rsid w:val="00B46554"/>
    <w:rsid w:val="00B47CE2"/>
    <w:rsid w:val="00B504F4"/>
    <w:rsid w:val="00B5162E"/>
    <w:rsid w:val="00B516A9"/>
    <w:rsid w:val="00B54EB6"/>
    <w:rsid w:val="00B57C6B"/>
    <w:rsid w:val="00B6075E"/>
    <w:rsid w:val="00B60920"/>
    <w:rsid w:val="00B619AF"/>
    <w:rsid w:val="00B62491"/>
    <w:rsid w:val="00B638AE"/>
    <w:rsid w:val="00B63BBB"/>
    <w:rsid w:val="00B653ED"/>
    <w:rsid w:val="00B66384"/>
    <w:rsid w:val="00B664A7"/>
    <w:rsid w:val="00B71955"/>
    <w:rsid w:val="00B7440E"/>
    <w:rsid w:val="00B749A3"/>
    <w:rsid w:val="00B760CC"/>
    <w:rsid w:val="00B76C00"/>
    <w:rsid w:val="00B77478"/>
    <w:rsid w:val="00B8037F"/>
    <w:rsid w:val="00B81454"/>
    <w:rsid w:val="00B81652"/>
    <w:rsid w:val="00B84381"/>
    <w:rsid w:val="00B85246"/>
    <w:rsid w:val="00B8555A"/>
    <w:rsid w:val="00B86536"/>
    <w:rsid w:val="00B8702E"/>
    <w:rsid w:val="00B873FF"/>
    <w:rsid w:val="00B87F39"/>
    <w:rsid w:val="00B9198E"/>
    <w:rsid w:val="00B92668"/>
    <w:rsid w:val="00B94D1F"/>
    <w:rsid w:val="00B95FEA"/>
    <w:rsid w:val="00BA17D7"/>
    <w:rsid w:val="00BA391A"/>
    <w:rsid w:val="00BA49B6"/>
    <w:rsid w:val="00BA5CAB"/>
    <w:rsid w:val="00BB1D05"/>
    <w:rsid w:val="00BB3B59"/>
    <w:rsid w:val="00BB4004"/>
    <w:rsid w:val="00BB5409"/>
    <w:rsid w:val="00BB666B"/>
    <w:rsid w:val="00BB67E5"/>
    <w:rsid w:val="00BB6AB0"/>
    <w:rsid w:val="00BB7F8B"/>
    <w:rsid w:val="00BC2A6D"/>
    <w:rsid w:val="00BC6E6B"/>
    <w:rsid w:val="00BD07BC"/>
    <w:rsid w:val="00BD0995"/>
    <w:rsid w:val="00BD53AD"/>
    <w:rsid w:val="00BD6A50"/>
    <w:rsid w:val="00BD754B"/>
    <w:rsid w:val="00BE1C39"/>
    <w:rsid w:val="00BE2D9D"/>
    <w:rsid w:val="00BE70F2"/>
    <w:rsid w:val="00BE71F4"/>
    <w:rsid w:val="00BE731E"/>
    <w:rsid w:val="00BE7424"/>
    <w:rsid w:val="00BE78A3"/>
    <w:rsid w:val="00BF1AC5"/>
    <w:rsid w:val="00BF1BD5"/>
    <w:rsid w:val="00BF2C5C"/>
    <w:rsid w:val="00BF3861"/>
    <w:rsid w:val="00BF42A2"/>
    <w:rsid w:val="00BF470E"/>
    <w:rsid w:val="00BF5E0B"/>
    <w:rsid w:val="00BF722D"/>
    <w:rsid w:val="00BF7FB5"/>
    <w:rsid w:val="00C00354"/>
    <w:rsid w:val="00C02F46"/>
    <w:rsid w:val="00C03087"/>
    <w:rsid w:val="00C079BC"/>
    <w:rsid w:val="00C11233"/>
    <w:rsid w:val="00C11F05"/>
    <w:rsid w:val="00C128EE"/>
    <w:rsid w:val="00C1424B"/>
    <w:rsid w:val="00C16CBB"/>
    <w:rsid w:val="00C17AF2"/>
    <w:rsid w:val="00C20624"/>
    <w:rsid w:val="00C20E76"/>
    <w:rsid w:val="00C20ECA"/>
    <w:rsid w:val="00C242DF"/>
    <w:rsid w:val="00C278BF"/>
    <w:rsid w:val="00C30040"/>
    <w:rsid w:val="00C30335"/>
    <w:rsid w:val="00C30786"/>
    <w:rsid w:val="00C30AB7"/>
    <w:rsid w:val="00C31982"/>
    <w:rsid w:val="00C36B51"/>
    <w:rsid w:val="00C36F42"/>
    <w:rsid w:val="00C40EB7"/>
    <w:rsid w:val="00C427ED"/>
    <w:rsid w:val="00C42ABC"/>
    <w:rsid w:val="00C43DDC"/>
    <w:rsid w:val="00C443BE"/>
    <w:rsid w:val="00C45E55"/>
    <w:rsid w:val="00C46C27"/>
    <w:rsid w:val="00C471FD"/>
    <w:rsid w:val="00C51192"/>
    <w:rsid w:val="00C549B0"/>
    <w:rsid w:val="00C552A6"/>
    <w:rsid w:val="00C5644D"/>
    <w:rsid w:val="00C56670"/>
    <w:rsid w:val="00C56CDC"/>
    <w:rsid w:val="00C67EDE"/>
    <w:rsid w:val="00C738D5"/>
    <w:rsid w:val="00C75206"/>
    <w:rsid w:val="00C7654A"/>
    <w:rsid w:val="00C77958"/>
    <w:rsid w:val="00C81166"/>
    <w:rsid w:val="00C83792"/>
    <w:rsid w:val="00C837B8"/>
    <w:rsid w:val="00C915A3"/>
    <w:rsid w:val="00C93056"/>
    <w:rsid w:val="00C939FA"/>
    <w:rsid w:val="00C94EC5"/>
    <w:rsid w:val="00C96D91"/>
    <w:rsid w:val="00C96FC0"/>
    <w:rsid w:val="00C97AC6"/>
    <w:rsid w:val="00CA0118"/>
    <w:rsid w:val="00CA0ABF"/>
    <w:rsid w:val="00CA3E66"/>
    <w:rsid w:val="00CA5366"/>
    <w:rsid w:val="00CA541B"/>
    <w:rsid w:val="00CB076F"/>
    <w:rsid w:val="00CB0E7F"/>
    <w:rsid w:val="00CB41A1"/>
    <w:rsid w:val="00CB4AEB"/>
    <w:rsid w:val="00CB50EE"/>
    <w:rsid w:val="00CB7A4C"/>
    <w:rsid w:val="00CC3078"/>
    <w:rsid w:val="00CC3D88"/>
    <w:rsid w:val="00CC43D9"/>
    <w:rsid w:val="00CC447B"/>
    <w:rsid w:val="00CC44D7"/>
    <w:rsid w:val="00CC4CD8"/>
    <w:rsid w:val="00CC63E8"/>
    <w:rsid w:val="00CC730D"/>
    <w:rsid w:val="00CC7C0E"/>
    <w:rsid w:val="00CC7E13"/>
    <w:rsid w:val="00CD0572"/>
    <w:rsid w:val="00CD19C9"/>
    <w:rsid w:val="00CD1ED3"/>
    <w:rsid w:val="00CD466D"/>
    <w:rsid w:val="00CD4E27"/>
    <w:rsid w:val="00CE0B23"/>
    <w:rsid w:val="00CE18D1"/>
    <w:rsid w:val="00CE46CE"/>
    <w:rsid w:val="00CE5265"/>
    <w:rsid w:val="00CE5DB3"/>
    <w:rsid w:val="00CF0470"/>
    <w:rsid w:val="00CF1496"/>
    <w:rsid w:val="00CF1628"/>
    <w:rsid w:val="00CF76E6"/>
    <w:rsid w:val="00D00505"/>
    <w:rsid w:val="00D019F6"/>
    <w:rsid w:val="00D05E00"/>
    <w:rsid w:val="00D109F6"/>
    <w:rsid w:val="00D1279F"/>
    <w:rsid w:val="00D12AA7"/>
    <w:rsid w:val="00D1330D"/>
    <w:rsid w:val="00D1410D"/>
    <w:rsid w:val="00D15EAB"/>
    <w:rsid w:val="00D16D38"/>
    <w:rsid w:val="00D17B3D"/>
    <w:rsid w:val="00D2115A"/>
    <w:rsid w:val="00D23387"/>
    <w:rsid w:val="00D2492D"/>
    <w:rsid w:val="00D25E67"/>
    <w:rsid w:val="00D26541"/>
    <w:rsid w:val="00D2730D"/>
    <w:rsid w:val="00D2763A"/>
    <w:rsid w:val="00D30539"/>
    <w:rsid w:val="00D32548"/>
    <w:rsid w:val="00D35B94"/>
    <w:rsid w:val="00D367BC"/>
    <w:rsid w:val="00D36CE4"/>
    <w:rsid w:val="00D370DE"/>
    <w:rsid w:val="00D37567"/>
    <w:rsid w:val="00D413C9"/>
    <w:rsid w:val="00D430F1"/>
    <w:rsid w:val="00D43D19"/>
    <w:rsid w:val="00D44491"/>
    <w:rsid w:val="00D4469D"/>
    <w:rsid w:val="00D46CC6"/>
    <w:rsid w:val="00D50426"/>
    <w:rsid w:val="00D52966"/>
    <w:rsid w:val="00D52D2C"/>
    <w:rsid w:val="00D600CF"/>
    <w:rsid w:val="00D6057A"/>
    <w:rsid w:val="00D60A87"/>
    <w:rsid w:val="00D6159F"/>
    <w:rsid w:val="00D625D6"/>
    <w:rsid w:val="00D631FD"/>
    <w:rsid w:val="00D63422"/>
    <w:rsid w:val="00D64319"/>
    <w:rsid w:val="00D64DA9"/>
    <w:rsid w:val="00D66336"/>
    <w:rsid w:val="00D667D2"/>
    <w:rsid w:val="00D67B2E"/>
    <w:rsid w:val="00D7137F"/>
    <w:rsid w:val="00D73153"/>
    <w:rsid w:val="00D7473B"/>
    <w:rsid w:val="00D75182"/>
    <w:rsid w:val="00D75189"/>
    <w:rsid w:val="00D7526A"/>
    <w:rsid w:val="00D755A8"/>
    <w:rsid w:val="00D7675D"/>
    <w:rsid w:val="00D7693A"/>
    <w:rsid w:val="00D816BC"/>
    <w:rsid w:val="00D82289"/>
    <w:rsid w:val="00D83148"/>
    <w:rsid w:val="00D84238"/>
    <w:rsid w:val="00D85881"/>
    <w:rsid w:val="00D85F65"/>
    <w:rsid w:val="00D86881"/>
    <w:rsid w:val="00D8748F"/>
    <w:rsid w:val="00D93540"/>
    <w:rsid w:val="00D942AE"/>
    <w:rsid w:val="00D95BC6"/>
    <w:rsid w:val="00DA0013"/>
    <w:rsid w:val="00DA0134"/>
    <w:rsid w:val="00DA1004"/>
    <w:rsid w:val="00DA3060"/>
    <w:rsid w:val="00DA3C20"/>
    <w:rsid w:val="00DA4B80"/>
    <w:rsid w:val="00DA4EB8"/>
    <w:rsid w:val="00DA656B"/>
    <w:rsid w:val="00DA663B"/>
    <w:rsid w:val="00DA6A8D"/>
    <w:rsid w:val="00DB168E"/>
    <w:rsid w:val="00DB47B5"/>
    <w:rsid w:val="00DB7444"/>
    <w:rsid w:val="00DC031D"/>
    <w:rsid w:val="00DC1B22"/>
    <w:rsid w:val="00DC330D"/>
    <w:rsid w:val="00DC3723"/>
    <w:rsid w:val="00DC53B9"/>
    <w:rsid w:val="00DC6E24"/>
    <w:rsid w:val="00DC7297"/>
    <w:rsid w:val="00DD0A4E"/>
    <w:rsid w:val="00DD1670"/>
    <w:rsid w:val="00DD2D28"/>
    <w:rsid w:val="00DD3AA8"/>
    <w:rsid w:val="00DD51DC"/>
    <w:rsid w:val="00DD5CD0"/>
    <w:rsid w:val="00DD67FB"/>
    <w:rsid w:val="00DD6A5A"/>
    <w:rsid w:val="00DD7849"/>
    <w:rsid w:val="00DE0CD2"/>
    <w:rsid w:val="00DE156F"/>
    <w:rsid w:val="00DE3783"/>
    <w:rsid w:val="00DE5BD6"/>
    <w:rsid w:val="00DE60C6"/>
    <w:rsid w:val="00DE647F"/>
    <w:rsid w:val="00DE6643"/>
    <w:rsid w:val="00DE6761"/>
    <w:rsid w:val="00DF0BC3"/>
    <w:rsid w:val="00DF254C"/>
    <w:rsid w:val="00DF4AEF"/>
    <w:rsid w:val="00DF60C7"/>
    <w:rsid w:val="00DF6113"/>
    <w:rsid w:val="00DF7D35"/>
    <w:rsid w:val="00DF7F5D"/>
    <w:rsid w:val="00E01742"/>
    <w:rsid w:val="00E024A5"/>
    <w:rsid w:val="00E02B78"/>
    <w:rsid w:val="00E03C88"/>
    <w:rsid w:val="00E06015"/>
    <w:rsid w:val="00E078F3"/>
    <w:rsid w:val="00E11A79"/>
    <w:rsid w:val="00E12553"/>
    <w:rsid w:val="00E154F2"/>
    <w:rsid w:val="00E154F3"/>
    <w:rsid w:val="00E15BA7"/>
    <w:rsid w:val="00E210C9"/>
    <w:rsid w:val="00E213EA"/>
    <w:rsid w:val="00E22661"/>
    <w:rsid w:val="00E22D37"/>
    <w:rsid w:val="00E2423F"/>
    <w:rsid w:val="00E27113"/>
    <w:rsid w:val="00E27273"/>
    <w:rsid w:val="00E31EEA"/>
    <w:rsid w:val="00E32B4E"/>
    <w:rsid w:val="00E33D09"/>
    <w:rsid w:val="00E35E42"/>
    <w:rsid w:val="00E37322"/>
    <w:rsid w:val="00E40CFF"/>
    <w:rsid w:val="00E411A2"/>
    <w:rsid w:val="00E41DDF"/>
    <w:rsid w:val="00E42347"/>
    <w:rsid w:val="00E4247D"/>
    <w:rsid w:val="00E442A0"/>
    <w:rsid w:val="00E530EA"/>
    <w:rsid w:val="00E539B3"/>
    <w:rsid w:val="00E54D66"/>
    <w:rsid w:val="00E55F5D"/>
    <w:rsid w:val="00E57735"/>
    <w:rsid w:val="00E57FB9"/>
    <w:rsid w:val="00E60018"/>
    <w:rsid w:val="00E60749"/>
    <w:rsid w:val="00E63119"/>
    <w:rsid w:val="00E63BAA"/>
    <w:rsid w:val="00E64020"/>
    <w:rsid w:val="00E6479A"/>
    <w:rsid w:val="00E647F3"/>
    <w:rsid w:val="00E66327"/>
    <w:rsid w:val="00E671CF"/>
    <w:rsid w:val="00E675C7"/>
    <w:rsid w:val="00E703D6"/>
    <w:rsid w:val="00E70BEF"/>
    <w:rsid w:val="00E720BF"/>
    <w:rsid w:val="00E72D64"/>
    <w:rsid w:val="00E72D84"/>
    <w:rsid w:val="00E75766"/>
    <w:rsid w:val="00E7589C"/>
    <w:rsid w:val="00E75D6F"/>
    <w:rsid w:val="00E75EE9"/>
    <w:rsid w:val="00E8036D"/>
    <w:rsid w:val="00E810AA"/>
    <w:rsid w:val="00E83F92"/>
    <w:rsid w:val="00E87873"/>
    <w:rsid w:val="00E87960"/>
    <w:rsid w:val="00E87D31"/>
    <w:rsid w:val="00E91877"/>
    <w:rsid w:val="00E91DC5"/>
    <w:rsid w:val="00E92065"/>
    <w:rsid w:val="00E94ADE"/>
    <w:rsid w:val="00E96108"/>
    <w:rsid w:val="00E96D2C"/>
    <w:rsid w:val="00EA01D4"/>
    <w:rsid w:val="00EA39B4"/>
    <w:rsid w:val="00EA6FF6"/>
    <w:rsid w:val="00EA7B72"/>
    <w:rsid w:val="00EB1B1A"/>
    <w:rsid w:val="00EB1CB5"/>
    <w:rsid w:val="00EB239C"/>
    <w:rsid w:val="00EB2DC6"/>
    <w:rsid w:val="00EB387C"/>
    <w:rsid w:val="00EB3B2D"/>
    <w:rsid w:val="00EB3CB6"/>
    <w:rsid w:val="00EB4D06"/>
    <w:rsid w:val="00EB4E26"/>
    <w:rsid w:val="00EB5110"/>
    <w:rsid w:val="00EB5F57"/>
    <w:rsid w:val="00EB6392"/>
    <w:rsid w:val="00EB7570"/>
    <w:rsid w:val="00EB7A08"/>
    <w:rsid w:val="00EC54F6"/>
    <w:rsid w:val="00EC7245"/>
    <w:rsid w:val="00ED0C3A"/>
    <w:rsid w:val="00ED2E7F"/>
    <w:rsid w:val="00ED3765"/>
    <w:rsid w:val="00ED39E6"/>
    <w:rsid w:val="00ED4774"/>
    <w:rsid w:val="00ED6473"/>
    <w:rsid w:val="00ED6C55"/>
    <w:rsid w:val="00ED7679"/>
    <w:rsid w:val="00EE1F7D"/>
    <w:rsid w:val="00EE29AE"/>
    <w:rsid w:val="00EF0D16"/>
    <w:rsid w:val="00EF13C0"/>
    <w:rsid w:val="00EF2272"/>
    <w:rsid w:val="00EF358B"/>
    <w:rsid w:val="00EF3D20"/>
    <w:rsid w:val="00EF44CE"/>
    <w:rsid w:val="00EF49E6"/>
    <w:rsid w:val="00EF6193"/>
    <w:rsid w:val="00EF6DE6"/>
    <w:rsid w:val="00F00D61"/>
    <w:rsid w:val="00F01519"/>
    <w:rsid w:val="00F015D6"/>
    <w:rsid w:val="00F017A7"/>
    <w:rsid w:val="00F02220"/>
    <w:rsid w:val="00F02AA5"/>
    <w:rsid w:val="00F04099"/>
    <w:rsid w:val="00F05F0B"/>
    <w:rsid w:val="00F0666F"/>
    <w:rsid w:val="00F153FF"/>
    <w:rsid w:val="00F1575D"/>
    <w:rsid w:val="00F15D50"/>
    <w:rsid w:val="00F16AFC"/>
    <w:rsid w:val="00F17425"/>
    <w:rsid w:val="00F20191"/>
    <w:rsid w:val="00F21ADD"/>
    <w:rsid w:val="00F22E41"/>
    <w:rsid w:val="00F241A5"/>
    <w:rsid w:val="00F241C7"/>
    <w:rsid w:val="00F24A8B"/>
    <w:rsid w:val="00F2741E"/>
    <w:rsid w:val="00F274ED"/>
    <w:rsid w:val="00F27594"/>
    <w:rsid w:val="00F311EE"/>
    <w:rsid w:val="00F31953"/>
    <w:rsid w:val="00F3439A"/>
    <w:rsid w:val="00F346B7"/>
    <w:rsid w:val="00F34D4A"/>
    <w:rsid w:val="00F367A8"/>
    <w:rsid w:val="00F40270"/>
    <w:rsid w:val="00F4135A"/>
    <w:rsid w:val="00F41743"/>
    <w:rsid w:val="00F42608"/>
    <w:rsid w:val="00F4546A"/>
    <w:rsid w:val="00F507E5"/>
    <w:rsid w:val="00F51264"/>
    <w:rsid w:val="00F544CA"/>
    <w:rsid w:val="00F547DB"/>
    <w:rsid w:val="00F60A39"/>
    <w:rsid w:val="00F62845"/>
    <w:rsid w:val="00F630A0"/>
    <w:rsid w:val="00F6492C"/>
    <w:rsid w:val="00F64DDC"/>
    <w:rsid w:val="00F64EB0"/>
    <w:rsid w:val="00F66DEE"/>
    <w:rsid w:val="00F670EC"/>
    <w:rsid w:val="00F70F07"/>
    <w:rsid w:val="00F7170F"/>
    <w:rsid w:val="00F72DDF"/>
    <w:rsid w:val="00F75A48"/>
    <w:rsid w:val="00F82C69"/>
    <w:rsid w:val="00F83CE5"/>
    <w:rsid w:val="00F83F55"/>
    <w:rsid w:val="00F85976"/>
    <w:rsid w:val="00F85CE0"/>
    <w:rsid w:val="00F951E2"/>
    <w:rsid w:val="00F954F3"/>
    <w:rsid w:val="00F95D73"/>
    <w:rsid w:val="00F9777C"/>
    <w:rsid w:val="00FA3798"/>
    <w:rsid w:val="00FA3946"/>
    <w:rsid w:val="00FA4318"/>
    <w:rsid w:val="00FA4EB4"/>
    <w:rsid w:val="00FA648E"/>
    <w:rsid w:val="00FA67D6"/>
    <w:rsid w:val="00FA7821"/>
    <w:rsid w:val="00FB156B"/>
    <w:rsid w:val="00FB19DD"/>
    <w:rsid w:val="00FB401D"/>
    <w:rsid w:val="00FB5FC8"/>
    <w:rsid w:val="00FB638C"/>
    <w:rsid w:val="00FB7B73"/>
    <w:rsid w:val="00FB7F49"/>
    <w:rsid w:val="00FC00FB"/>
    <w:rsid w:val="00FC05ED"/>
    <w:rsid w:val="00FC29E0"/>
    <w:rsid w:val="00FC3D48"/>
    <w:rsid w:val="00FC40CD"/>
    <w:rsid w:val="00FC459B"/>
    <w:rsid w:val="00FC5AFC"/>
    <w:rsid w:val="00FC5D62"/>
    <w:rsid w:val="00FC6952"/>
    <w:rsid w:val="00FC7943"/>
    <w:rsid w:val="00FD0823"/>
    <w:rsid w:val="00FD08A0"/>
    <w:rsid w:val="00FD1471"/>
    <w:rsid w:val="00FD17AD"/>
    <w:rsid w:val="00FD1972"/>
    <w:rsid w:val="00FD3665"/>
    <w:rsid w:val="00FD7A6F"/>
    <w:rsid w:val="00FE22B4"/>
    <w:rsid w:val="00FE2B3F"/>
    <w:rsid w:val="00FE429B"/>
    <w:rsid w:val="00FE7C2E"/>
    <w:rsid w:val="00FF139A"/>
    <w:rsid w:val="00FF1F76"/>
    <w:rsid w:val="00FF298E"/>
    <w:rsid w:val="00FF2FB9"/>
    <w:rsid w:val="00FF3D03"/>
    <w:rsid w:val="00FF44FA"/>
    <w:rsid w:val="00FF50A2"/>
    <w:rsid w:val="00FF5568"/>
    <w:rsid w:val="00FF58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046E4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E1C39"/>
    <w:rPr>
      <w:rFonts w:ascii="Times New Roman" w:hAnsi="Times New Roman" w:cs="Times New Roman"/>
    </w:rPr>
  </w:style>
  <w:style w:type="paragraph" w:styleId="Heading1">
    <w:name w:val="heading 1"/>
    <w:basedOn w:val="Normal"/>
    <w:link w:val="Heading1Char"/>
    <w:uiPriority w:val="9"/>
    <w:qFormat/>
    <w:rsid w:val="007A6CA7"/>
    <w:pPr>
      <w:numPr>
        <w:numId w:val="2"/>
      </w:numPr>
      <w:spacing w:before="200" w:after="200" w:line="276" w:lineRule="auto"/>
      <w:ind w:left="540" w:hanging="540"/>
      <w:outlineLvl w:val="0"/>
    </w:pPr>
    <w:rPr>
      <w:b/>
      <w:bCs/>
      <w:kern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3BE"/>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C443BE"/>
  </w:style>
  <w:style w:type="paragraph" w:styleId="Footer">
    <w:name w:val="footer"/>
    <w:basedOn w:val="Normal"/>
    <w:link w:val="FooterChar"/>
    <w:uiPriority w:val="99"/>
    <w:unhideWhenUsed/>
    <w:rsid w:val="00C443BE"/>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C443BE"/>
  </w:style>
  <w:style w:type="paragraph" w:styleId="NormalWeb">
    <w:name w:val="Normal (Web)"/>
    <w:basedOn w:val="Normal"/>
    <w:uiPriority w:val="99"/>
    <w:unhideWhenUsed/>
    <w:rsid w:val="00C443BE"/>
    <w:pPr>
      <w:spacing w:before="100" w:beforeAutospacing="1" w:after="100" w:afterAutospacing="1"/>
    </w:pPr>
  </w:style>
  <w:style w:type="paragraph" w:styleId="FootnoteText">
    <w:name w:val="footnote text"/>
    <w:aliases w:val="Footnote Text Char Char Char Char Char,Footnote Text Char Char Char Char,Footnote reference,FA Fu,Char,Sharp - Footnote Text,Footnote Text - Sharp,Sharp - Footnote Text1 Char,Footnote Text Char Char Char, Char,5_G"/>
    <w:basedOn w:val="Normal"/>
    <w:link w:val="FootnoteTextChar"/>
    <w:uiPriority w:val="99"/>
    <w:unhideWhenUsed/>
    <w:rsid w:val="00997D75"/>
    <w:rPr>
      <w:rFonts w:asciiTheme="minorHAnsi" w:hAnsiTheme="minorHAnsi" w:cstheme="minorBidi"/>
    </w:rPr>
  </w:style>
  <w:style w:type="character" w:customStyle="1" w:styleId="FootnoteTextChar">
    <w:name w:val="Footnote Text Char"/>
    <w:aliases w:val="Footnote Text Char Char Char Char Char Char,Footnote Text Char Char Char Char Char1,Footnote reference Char,FA Fu Char,Char Char,Sharp - Footnote Text Char,Footnote Text - Sharp Char,Sharp - Footnote Text1 Char Char, Char Char"/>
    <w:basedOn w:val="DefaultParagraphFont"/>
    <w:link w:val="FootnoteText"/>
    <w:uiPriority w:val="99"/>
    <w:rsid w:val="00997D75"/>
  </w:style>
  <w:style w:type="character" w:styleId="FootnoteReference">
    <w:name w:val="footnote reference"/>
    <w:aliases w:val="4_G,Footnote number,Footnotes refss,Footnote Ref,16 Point,Superscript 6 Point,ftref,callout,Ref,de nota al pie,Appel note de bas de p.,Footnote,4_G Char Char,a Footnote Reference,FZ,Appel note de bas de page,Footnote Refernece,["/>
    <w:basedOn w:val="DefaultParagraphFont"/>
    <w:link w:val="CharChar1CharCharCharChar1CharCharCharCharCharCharCharCharCharCharCharCharCharCharCharChar"/>
    <w:uiPriority w:val="99"/>
    <w:unhideWhenUsed/>
    <w:qFormat/>
    <w:rsid w:val="00997D75"/>
    <w:rPr>
      <w:vertAlign w:val="superscript"/>
    </w:rPr>
  </w:style>
  <w:style w:type="character" w:styleId="Hyperlink">
    <w:name w:val="Hyperlink"/>
    <w:basedOn w:val="DefaultParagraphFont"/>
    <w:uiPriority w:val="99"/>
    <w:unhideWhenUsed/>
    <w:rsid w:val="004C062F"/>
    <w:rPr>
      <w:color w:val="0563C1" w:themeColor="hyperlink"/>
      <w:u w:val="single"/>
    </w:rPr>
  </w:style>
  <w:style w:type="character" w:styleId="FollowedHyperlink">
    <w:name w:val="FollowedHyperlink"/>
    <w:basedOn w:val="DefaultParagraphFont"/>
    <w:uiPriority w:val="99"/>
    <w:semiHidden/>
    <w:unhideWhenUsed/>
    <w:rsid w:val="00D30539"/>
    <w:rPr>
      <w:color w:val="954F72" w:themeColor="followedHyperlink"/>
      <w:u w:val="single"/>
    </w:rPr>
  </w:style>
  <w:style w:type="character" w:customStyle="1" w:styleId="Heading1Char">
    <w:name w:val="Heading 1 Char"/>
    <w:basedOn w:val="DefaultParagraphFont"/>
    <w:link w:val="Heading1"/>
    <w:uiPriority w:val="9"/>
    <w:rsid w:val="007A6CA7"/>
    <w:rPr>
      <w:rFonts w:ascii="Times New Roman" w:hAnsi="Times New Roman" w:cs="Times New Roman"/>
      <w:b/>
      <w:bCs/>
      <w:kern w:val="36"/>
      <w:lang w:val="en-GB"/>
    </w:rPr>
  </w:style>
  <w:style w:type="character" w:customStyle="1" w:styleId="subcontenttextm">
    <w:name w:val="subcontenttextm"/>
    <w:basedOn w:val="DefaultParagraphFont"/>
    <w:rsid w:val="001C3B55"/>
  </w:style>
  <w:style w:type="paragraph" w:styleId="ListParagraph">
    <w:name w:val="List Paragraph"/>
    <w:basedOn w:val="Normal"/>
    <w:uiPriority w:val="34"/>
    <w:qFormat/>
    <w:rsid w:val="007611BA"/>
    <w:pPr>
      <w:ind w:left="720"/>
      <w:contextualSpacing/>
    </w:pPr>
  </w:style>
  <w:style w:type="character" w:styleId="CommentReference">
    <w:name w:val="annotation reference"/>
    <w:basedOn w:val="DefaultParagraphFont"/>
    <w:uiPriority w:val="99"/>
    <w:semiHidden/>
    <w:unhideWhenUsed/>
    <w:rsid w:val="00E11A79"/>
    <w:rPr>
      <w:sz w:val="16"/>
      <w:szCs w:val="16"/>
    </w:rPr>
  </w:style>
  <w:style w:type="paragraph" w:styleId="CommentText">
    <w:name w:val="annotation text"/>
    <w:basedOn w:val="Normal"/>
    <w:link w:val="CommentTextChar"/>
    <w:uiPriority w:val="99"/>
    <w:semiHidden/>
    <w:unhideWhenUsed/>
    <w:rsid w:val="00E11A79"/>
    <w:rPr>
      <w:sz w:val="20"/>
      <w:szCs w:val="20"/>
    </w:rPr>
  </w:style>
  <w:style w:type="character" w:customStyle="1" w:styleId="CommentTextChar">
    <w:name w:val="Comment Text Char"/>
    <w:basedOn w:val="DefaultParagraphFont"/>
    <w:link w:val="CommentText"/>
    <w:uiPriority w:val="99"/>
    <w:semiHidden/>
    <w:rsid w:val="00E11A7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11A79"/>
    <w:rPr>
      <w:b/>
      <w:bCs/>
    </w:rPr>
  </w:style>
  <w:style w:type="character" w:customStyle="1" w:styleId="CommentSubjectChar">
    <w:name w:val="Comment Subject Char"/>
    <w:basedOn w:val="CommentTextChar"/>
    <w:link w:val="CommentSubject"/>
    <w:uiPriority w:val="99"/>
    <w:semiHidden/>
    <w:rsid w:val="00E11A79"/>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E11A7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A79"/>
    <w:rPr>
      <w:rFonts w:ascii="Segoe UI" w:hAnsi="Segoe UI" w:cs="Segoe UI"/>
      <w:sz w:val="18"/>
      <w:szCs w:val="18"/>
    </w:rPr>
  </w:style>
  <w:style w:type="paragraph" w:styleId="TOCHeading">
    <w:name w:val="TOC Heading"/>
    <w:basedOn w:val="Heading1"/>
    <w:next w:val="Normal"/>
    <w:uiPriority w:val="39"/>
    <w:unhideWhenUsed/>
    <w:qFormat/>
    <w:rsid w:val="00FF5847"/>
    <w:pPr>
      <w:keepNext/>
      <w:keepLines/>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3400FD"/>
    <w:pPr>
      <w:tabs>
        <w:tab w:val="left" w:pos="480"/>
        <w:tab w:val="right" w:leader="dot" w:pos="9350"/>
      </w:tabs>
      <w:spacing w:before="120" w:line="480" w:lineRule="auto"/>
    </w:pPr>
    <w:rPr>
      <w:rFonts w:asciiTheme="minorHAnsi" w:hAnsiTheme="minorHAnsi"/>
      <w:b/>
      <w:bCs/>
    </w:rPr>
  </w:style>
  <w:style w:type="paragraph" w:styleId="Revision">
    <w:name w:val="Revision"/>
    <w:hidden/>
    <w:uiPriority w:val="99"/>
    <w:semiHidden/>
    <w:rsid w:val="006729D3"/>
    <w:rPr>
      <w:rFonts w:ascii="Times New Roman" w:hAnsi="Times New Roman" w:cs="Times New Roman"/>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600CA1"/>
    <w:pPr>
      <w:spacing w:after="200" w:line="240" w:lineRule="exact"/>
    </w:pPr>
    <w:rPr>
      <w:rFonts w:asciiTheme="minorHAnsi" w:hAnsiTheme="minorHAnsi" w:cstheme="minorBidi"/>
      <w:vertAlign w:val="superscript"/>
    </w:rPr>
  </w:style>
  <w:style w:type="character" w:styleId="PageNumber">
    <w:name w:val="page number"/>
    <w:basedOn w:val="DefaultParagraphFont"/>
    <w:uiPriority w:val="99"/>
    <w:semiHidden/>
    <w:unhideWhenUsed/>
    <w:rsid w:val="00E671CF"/>
  </w:style>
  <w:style w:type="paragraph" w:styleId="TOC2">
    <w:name w:val="toc 2"/>
    <w:basedOn w:val="Normal"/>
    <w:next w:val="Normal"/>
    <w:autoRedefine/>
    <w:uiPriority w:val="39"/>
    <w:semiHidden/>
    <w:unhideWhenUsed/>
    <w:rsid w:val="00E41DDF"/>
    <w:pPr>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E41DDF"/>
    <w:pPr>
      <w:ind w:left="480"/>
    </w:pPr>
    <w:rPr>
      <w:rFonts w:asciiTheme="minorHAnsi" w:hAnsiTheme="minorHAnsi"/>
      <w:sz w:val="22"/>
      <w:szCs w:val="22"/>
    </w:rPr>
  </w:style>
  <w:style w:type="paragraph" w:styleId="TOC4">
    <w:name w:val="toc 4"/>
    <w:basedOn w:val="Normal"/>
    <w:next w:val="Normal"/>
    <w:autoRedefine/>
    <w:uiPriority w:val="39"/>
    <w:semiHidden/>
    <w:unhideWhenUsed/>
    <w:rsid w:val="00E41DD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41DD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41DD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41DD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41DD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41DDF"/>
    <w:pPr>
      <w:ind w:left="1920"/>
    </w:pPr>
    <w:rPr>
      <w:rFonts w:asciiTheme="minorHAnsi" w:hAnsiTheme="minorHAnsi"/>
      <w:sz w:val="20"/>
      <w:szCs w:val="20"/>
    </w:rPr>
  </w:style>
  <w:style w:type="paragraph" w:customStyle="1" w:styleId="Numberedpara">
    <w:name w:val="Numbered para."/>
    <w:basedOn w:val="ListParagraph"/>
    <w:qFormat/>
    <w:rsid w:val="00563C85"/>
    <w:pPr>
      <w:numPr>
        <w:numId w:val="1"/>
      </w:numPr>
      <w:spacing w:before="200" w:after="200" w:line="276" w:lineRule="auto"/>
      <w:contextualSpacing w:val="0"/>
      <w:jc w:val="both"/>
    </w:pPr>
    <w:rPr>
      <w:color w:val="000000"/>
      <w:lang w:val="en-GB"/>
    </w:rPr>
  </w:style>
  <w:style w:type="paragraph" w:styleId="DocumentMap">
    <w:name w:val="Document Map"/>
    <w:basedOn w:val="Normal"/>
    <w:link w:val="DocumentMapChar"/>
    <w:uiPriority w:val="99"/>
    <w:semiHidden/>
    <w:unhideWhenUsed/>
    <w:rsid w:val="007D3057"/>
  </w:style>
  <w:style w:type="character" w:customStyle="1" w:styleId="DocumentMapChar">
    <w:name w:val="Document Map Char"/>
    <w:basedOn w:val="DefaultParagraphFont"/>
    <w:link w:val="DocumentMap"/>
    <w:uiPriority w:val="99"/>
    <w:semiHidden/>
    <w:rsid w:val="007D3057"/>
    <w:rPr>
      <w:rFonts w:ascii="Times New Roman" w:hAnsi="Times New Roman" w:cs="Times New Roman"/>
    </w:rPr>
  </w:style>
  <w:style w:type="paragraph" w:styleId="NoSpacing">
    <w:name w:val="No Spacing"/>
    <w:uiPriority w:val="1"/>
    <w:qFormat/>
    <w:rsid w:val="00E87873"/>
    <w:rPr>
      <w:sz w:val="22"/>
      <w:szCs w:val="22"/>
    </w:rPr>
  </w:style>
  <w:style w:type="table" w:styleId="TableGrid">
    <w:name w:val="Table Grid"/>
    <w:basedOn w:val="TableNormal"/>
    <w:uiPriority w:val="39"/>
    <w:rsid w:val="00026C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e1">
    <w:name w:val="Date1"/>
    <w:basedOn w:val="DefaultParagraphFont"/>
    <w:rsid w:val="008536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7202">
      <w:bodyDiv w:val="1"/>
      <w:marLeft w:val="0"/>
      <w:marRight w:val="0"/>
      <w:marTop w:val="0"/>
      <w:marBottom w:val="0"/>
      <w:divBdr>
        <w:top w:val="none" w:sz="0" w:space="0" w:color="auto"/>
        <w:left w:val="none" w:sz="0" w:space="0" w:color="auto"/>
        <w:bottom w:val="none" w:sz="0" w:space="0" w:color="auto"/>
        <w:right w:val="none" w:sz="0" w:space="0" w:color="auto"/>
      </w:divBdr>
    </w:div>
    <w:div w:id="40133154">
      <w:bodyDiv w:val="1"/>
      <w:marLeft w:val="0"/>
      <w:marRight w:val="0"/>
      <w:marTop w:val="0"/>
      <w:marBottom w:val="0"/>
      <w:divBdr>
        <w:top w:val="none" w:sz="0" w:space="0" w:color="auto"/>
        <w:left w:val="none" w:sz="0" w:space="0" w:color="auto"/>
        <w:bottom w:val="none" w:sz="0" w:space="0" w:color="auto"/>
        <w:right w:val="none" w:sz="0" w:space="0" w:color="auto"/>
      </w:divBdr>
    </w:div>
    <w:div w:id="42212916">
      <w:bodyDiv w:val="1"/>
      <w:marLeft w:val="0"/>
      <w:marRight w:val="0"/>
      <w:marTop w:val="0"/>
      <w:marBottom w:val="0"/>
      <w:divBdr>
        <w:top w:val="none" w:sz="0" w:space="0" w:color="auto"/>
        <w:left w:val="none" w:sz="0" w:space="0" w:color="auto"/>
        <w:bottom w:val="none" w:sz="0" w:space="0" w:color="auto"/>
        <w:right w:val="none" w:sz="0" w:space="0" w:color="auto"/>
      </w:divBdr>
    </w:div>
    <w:div w:id="53893438">
      <w:bodyDiv w:val="1"/>
      <w:marLeft w:val="0"/>
      <w:marRight w:val="0"/>
      <w:marTop w:val="0"/>
      <w:marBottom w:val="0"/>
      <w:divBdr>
        <w:top w:val="none" w:sz="0" w:space="0" w:color="auto"/>
        <w:left w:val="none" w:sz="0" w:space="0" w:color="auto"/>
        <w:bottom w:val="none" w:sz="0" w:space="0" w:color="auto"/>
        <w:right w:val="none" w:sz="0" w:space="0" w:color="auto"/>
      </w:divBdr>
    </w:div>
    <w:div w:id="69355778">
      <w:bodyDiv w:val="1"/>
      <w:marLeft w:val="0"/>
      <w:marRight w:val="0"/>
      <w:marTop w:val="0"/>
      <w:marBottom w:val="0"/>
      <w:divBdr>
        <w:top w:val="none" w:sz="0" w:space="0" w:color="auto"/>
        <w:left w:val="none" w:sz="0" w:space="0" w:color="auto"/>
        <w:bottom w:val="none" w:sz="0" w:space="0" w:color="auto"/>
        <w:right w:val="none" w:sz="0" w:space="0" w:color="auto"/>
      </w:divBdr>
    </w:div>
    <w:div w:id="78186217">
      <w:bodyDiv w:val="1"/>
      <w:marLeft w:val="0"/>
      <w:marRight w:val="0"/>
      <w:marTop w:val="0"/>
      <w:marBottom w:val="0"/>
      <w:divBdr>
        <w:top w:val="none" w:sz="0" w:space="0" w:color="auto"/>
        <w:left w:val="none" w:sz="0" w:space="0" w:color="auto"/>
        <w:bottom w:val="none" w:sz="0" w:space="0" w:color="auto"/>
        <w:right w:val="none" w:sz="0" w:space="0" w:color="auto"/>
      </w:divBdr>
    </w:div>
    <w:div w:id="83308449">
      <w:bodyDiv w:val="1"/>
      <w:marLeft w:val="0"/>
      <w:marRight w:val="0"/>
      <w:marTop w:val="0"/>
      <w:marBottom w:val="0"/>
      <w:divBdr>
        <w:top w:val="none" w:sz="0" w:space="0" w:color="auto"/>
        <w:left w:val="none" w:sz="0" w:space="0" w:color="auto"/>
        <w:bottom w:val="none" w:sz="0" w:space="0" w:color="auto"/>
        <w:right w:val="none" w:sz="0" w:space="0" w:color="auto"/>
      </w:divBdr>
    </w:div>
    <w:div w:id="88934602">
      <w:bodyDiv w:val="1"/>
      <w:marLeft w:val="0"/>
      <w:marRight w:val="0"/>
      <w:marTop w:val="0"/>
      <w:marBottom w:val="0"/>
      <w:divBdr>
        <w:top w:val="none" w:sz="0" w:space="0" w:color="auto"/>
        <w:left w:val="none" w:sz="0" w:space="0" w:color="auto"/>
        <w:bottom w:val="none" w:sz="0" w:space="0" w:color="auto"/>
        <w:right w:val="none" w:sz="0" w:space="0" w:color="auto"/>
      </w:divBdr>
    </w:div>
    <w:div w:id="89133131">
      <w:bodyDiv w:val="1"/>
      <w:marLeft w:val="0"/>
      <w:marRight w:val="0"/>
      <w:marTop w:val="0"/>
      <w:marBottom w:val="0"/>
      <w:divBdr>
        <w:top w:val="none" w:sz="0" w:space="0" w:color="auto"/>
        <w:left w:val="none" w:sz="0" w:space="0" w:color="auto"/>
        <w:bottom w:val="none" w:sz="0" w:space="0" w:color="auto"/>
        <w:right w:val="none" w:sz="0" w:space="0" w:color="auto"/>
      </w:divBdr>
    </w:div>
    <w:div w:id="90468011">
      <w:bodyDiv w:val="1"/>
      <w:marLeft w:val="0"/>
      <w:marRight w:val="0"/>
      <w:marTop w:val="0"/>
      <w:marBottom w:val="0"/>
      <w:divBdr>
        <w:top w:val="none" w:sz="0" w:space="0" w:color="auto"/>
        <w:left w:val="none" w:sz="0" w:space="0" w:color="auto"/>
        <w:bottom w:val="none" w:sz="0" w:space="0" w:color="auto"/>
        <w:right w:val="none" w:sz="0" w:space="0" w:color="auto"/>
      </w:divBdr>
    </w:div>
    <w:div w:id="98571445">
      <w:bodyDiv w:val="1"/>
      <w:marLeft w:val="0"/>
      <w:marRight w:val="0"/>
      <w:marTop w:val="0"/>
      <w:marBottom w:val="0"/>
      <w:divBdr>
        <w:top w:val="none" w:sz="0" w:space="0" w:color="auto"/>
        <w:left w:val="none" w:sz="0" w:space="0" w:color="auto"/>
        <w:bottom w:val="none" w:sz="0" w:space="0" w:color="auto"/>
        <w:right w:val="none" w:sz="0" w:space="0" w:color="auto"/>
      </w:divBdr>
    </w:div>
    <w:div w:id="109714209">
      <w:bodyDiv w:val="1"/>
      <w:marLeft w:val="0"/>
      <w:marRight w:val="0"/>
      <w:marTop w:val="0"/>
      <w:marBottom w:val="0"/>
      <w:divBdr>
        <w:top w:val="none" w:sz="0" w:space="0" w:color="auto"/>
        <w:left w:val="none" w:sz="0" w:space="0" w:color="auto"/>
        <w:bottom w:val="none" w:sz="0" w:space="0" w:color="auto"/>
        <w:right w:val="none" w:sz="0" w:space="0" w:color="auto"/>
      </w:divBdr>
    </w:div>
    <w:div w:id="111244038">
      <w:bodyDiv w:val="1"/>
      <w:marLeft w:val="0"/>
      <w:marRight w:val="0"/>
      <w:marTop w:val="0"/>
      <w:marBottom w:val="0"/>
      <w:divBdr>
        <w:top w:val="none" w:sz="0" w:space="0" w:color="auto"/>
        <w:left w:val="none" w:sz="0" w:space="0" w:color="auto"/>
        <w:bottom w:val="none" w:sz="0" w:space="0" w:color="auto"/>
        <w:right w:val="none" w:sz="0" w:space="0" w:color="auto"/>
      </w:divBdr>
    </w:div>
    <w:div w:id="119611711">
      <w:bodyDiv w:val="1"/>
      <w:marLeft w:val="0"/>
      <w:marRight w:val="0"/>
      <w:marTop w:val="0"/>
      <w:marBottom w:val="0"/>
      <w:divBdr>
        <w:top w:val="none" w:sz="0" w:space="0" w:color="auto"/>
        <w:left w:val="none" w:sz="0" w:space="0" w:color="auto"/>
        <w:bottom w:val="none" w:sz="0" w:space="0" w:color="auto"/>
        <w:right w:val="none" w:sz="0" w:space="0" w:color="auto"/>
      </w:divBdr>
    </w:div>
    <w:div w:id="122236219">
      <w:bodyDiv w:val="1"/>
      <w:marLeft w:val="0"/>
      <w:marRight w:val="0"/>
      <w:marTop w:val="0"/>
      <w:marBottom w:val="0"/>
      <w:divBdr>
        <w:top w:val="none" w:sz="0" w:space="0" w:color="auto"/>
        <w:left w:val="none" w:sz="0" w:space="0" w:color="auto"/>
        <w:bottom w:val="none" w:sz="0" w:space="0" w:color="auto"/>
        <w:right w:val="none" w:sz="0" w:space="0" w:color="auto"/>
      </w:divBdr>
    </w:div>
    <w:div w:id="126317891">
      <w:bodyDiv w:val="1"/>
      <w:marLeft w:val="0"/>
      <w:marRight w:val="0"/>
      <w:marTop w:val="0"/>
      <w:marBottom w:val="0"/>
      <w:divBdr>
        <w:top w:val="none" w:sz="0" w:space="0" w:color="auto"/>
        <w:left w:val="none" w:sz="0" w:space="0" w:color="auto"/>
        <w:bottom w:val="none" w:sz="0" w:space="0" w:color="auto"/>
        <w:right w:val="none" w:sz="0" w:space="0" w:color="auto"/>
      </w:divBdr>
    </w:div>
    <w:div w:id="136145093">
      <w:bodyDiv w:val="1"/>
      <w:marLeft w:val="0"/>
      <w:marRight w:val="0"/>
      <w:marTop w:val="0"/>
      <w:marBottom w:val="0"/>
      <w:divBdr>
        <w:top w:val="none" w:sz="0" w:space="0" w:color="auto"/>
        <w:left w:val="none" w:sz="0" w:space="0" w:color="auto"/>
        <w:bottom w:val="none" w:sz="0" w:space="0" w:color="auto"/>
        <w:right w:val="none" w:sz="0" w:space="0" w:color="auto"/>
      </w:divBdr>
    </w:div>
    <w:div w:id="145324906">
      <w:bodyDiv w:val="1"/>
      <w:marLeft w:val="0"/>
      <w:marRight w:val="0"/>
      <w:marTop w:val="0"/>
      <w:marBottom w:val="0"/>
      <w:divBdr>
        <w:top w:val="none" w:sz="0" w:space="0" w:color="auto"/>
        <w:left w:val="none" w:sz="0" w:space="0" w:color="auto"/>
        <w:bottom w:val="none" w:sz="0" w:space="0" w:color="auto"/>
        <w:right w:val="none" w:sz="0" w:space="0" w:color="auto"/>
      </w:divBdr>
    </w:div>
    <w:div w:id="151605280">
      <w:bodyDiv w:val="1"/>
      <w:marLeft w:val="0"/>
      <w:marRight w:val="0"/>
      <w:marTop w:val="0"/>
      <w:marBottom w:val="0"/>
      <w:divBdr>
        <w:top w:val="none" w:sz="0" w:space="0" w:color="auto"/>
        <w:left w:val="none" w:sz="0" w:space="0" w:color="auto"/>
        <w:bottom w:val="none" w:sz="0" w:space="0" w:color="auto"/>
        <w:right w:val="none" w:sz="0" w:space="0" w:color="auto"/>
      </w:divBdr>
    </w:div>
    <w:div w:id="156187838">
      <w:bodyDiv w:val="1"/>
      <w:marLeft w:val="0"/>
      <w:marRight w:val="0"/>
      <w:marTop w:val="0"/>
      <w:marBottom w:val="0"/>
      <w:divBdr>
        <w:top w:val="none" w:sz="0" w:space="0" w:color="auto"/>
        <w:left w:val="none" w:sz="0" w:space="0" w:color="auto"/>
        <w:bottom w:val="none" w:sz="0" w:space="0" w:color="auto"/>
        <w:right w:val="none" w:sz="0" w:space="0" w:color="auto"/>
      </w:divBdr>
    </w:div>
    <w:div w:id="157043797">
      <w:bodyDiv w:val="1"/>
      <w:marLeft w:val="0"/>
      <w:marRight w:val="0"/>
      <w:marTop w:val="0"/>
      <w:marBottom w:val="0"/>
      <w:divBdr>
        <w:top w:val="none" w:sz="0" w:space="0" w:color="auto"/>
        <w:left w:val="none" w:sz="0" w:space="0" w:color="auto"/>
        <w:bottom w:val="none" w:sz="0" w:space="0" w:color="auto"/>
        <w:right w:val="none" w:sz="0" w:space="0" w:color="auto"/>
      </w:divBdr>
    </w:div>
    <w:div w:id="163058143">
      <w:bodyDiv w:val="1"/>
      <w:marLeft w:val="0"/>
      <w:marRight w:val="0"/>
      <w:marTop w:val="0"/>
      <w:marBottom w:val="0"/>
      <w:divBdr>
        <w:top w:val="none" w:sz="0" w:space="0" w:color="auto"/>
        <w:left w:val="none" w:sz="0" w:space="0" w:color="auto"/>
        <w:bottom w:val="none" w:sz="0" w:space="0" w:color="auto"/>
        <w:right w:val="none" w:sz="0" w:space="0" w:color="auto"/>
      </w:divBdr>
    </w:div>
    <w:div w:id="163479198">
      <w:bodyDiv w:val="1"/>
      <w:marLeft w:val="0"/>
      <w:marRight w:val="0"/>
      <w:marTop w:val="0"/>
      <w:marBottom w:val="0"/>
      <w:divBdr>
        <w:top w:val="none" w:sz="0" w:space="0" w:color="auto"/>
        <w:left w:val="none" w:sz="0" w:space="0" w:color="auto"/>
        <w:bottom w:val="none" w:sz="0" w:space="0" w:color="auto"/>
        <w:right w:val="none" w:sz="0" w:space="0" w:color="auto"/>
      </w:divBdr>
    </w:div>
    <w:div w:id="167333582">
      <w:bodyDiv w:val="1"/>
      <w:marLeft w:val="0"/>
      <w:marRight w:val="0"/>
      <w:marTop w:val="0"/>
      <w:marBottom w:val="0"/>
      <w:divBdr>
        <w:top w:val="none" w:sz="0" w:space="0" w:color="auto"/>
        <w:left w:val="none" w:sz="0" w:space="0" w:color="auto"/>
        <w:bottom w:val="none" w:sz="0" w:space="0" w:color="auto"/>
        <w:right w:val="none" w:sz="0" w:space="0" w:color="auto"/>
      </w:divBdr>
    </w:div>
    <w:div w:id="168839924">
      <w:bodyDiv w:val="1"/>
      <w:marLeft w:val="0"/>
      <w:marRight w:val="0"/>
      <w:marTop w:val="0"/>
      <w:marBottom w:val="0"/>
      <w:divBdr>
        <w:top w:val="none" w:sz="0" w:space="0" w:color="auto"/>
        <w:left w:val="none" w:sz="0" w:space="0" w:color="auto"/>
        <w:bottom w:val="none" w:sz="0" w:space="0" w:color="auto"/>
        <w:right w:val="none" w:sz="0" w:space="0" w:color="auto"/>
      </w:divBdr>
    </w:div>
    <w:div w:id="173233143">
      <w:bodyDiv w:val="1"/>
      <w:marLeft w:val="0"/>
      <w:marRight w:val="0"/>
      <w:marTop w:val="0"/>
      <w:marBottom w:val="0"/>
      <w:divBdr>
        <w:top w:val="none" w:sz="0" w:space="0" w:color="auto"/>
        <w:left w:val="none" w:sz="0" w:space="0" w:color="auto"/>
        <w:bottom w:val="none" w:sz="0" w:space="0" w:color="auto"/>
        <w:right w:val="none" w:sz="0" w:space="0" w:color="auto"/>
      </w:divBdr>
    </w:div>
    <w:div w:id="176238243">
      <w:bodyDiv w:val="1"/>
      <w:marLeft w:val="0"/>
      <w:marRight w:val="0"/>
      <w:marTop w:val="0"/>
      <w:marBottom w:val="0"/>
      <w:divBdr>
        <w:top w:val="none" w:sz="0" w:space="0" w:color="auto"/>
        <w:left w:val="none" w:sz="0" w:space="0" w:color="auto"/>
        <w:bottom w:val="none" w:sz="0" w:space="0" w:color="auto"/>
        <w:right w:val="none" w:sz="0" w:space="0" w:color="auto"/>
      </w:divBdr>
    </w:div>
    <w:div w:id="202138433">
      <w:bodyDiv w:val="1"/>
      <w:marLeft w:val="0"/>
      <w:marRight w:val="0"/>
      <w:marTop w:val="0"/>
      <w:marBottom w:val="0"/>
      <w:divBdr>
        <w:top w:val="none" w:sz="0" w:space="0" w:color="auto"/>
        <w:left w:val="none" w:sz="0" w:space="0" w:color="auto"/>
        <w:bottom w:val="none" w:sz="0" w:space="0" w:color="auto"/>
        <w:right w:val="none" w:sz="0" w:space="0" w:color="auto"/>
      </w:divBdr>
    </w:div>
    <w:div w:id="210000102">
      <w:bodyDiv w:val="1"/>
      <w:marLeft w:val="0"/>
      <w:marRight w:val="0"/>
      <w:marTop w:val="0"/>
      <w:marBottom w:val="0"/>
      <w:divBdr>
        <w:top w:val="none" w:sz="0" w:space="0" w:color="auto"/>
        <w:left w:val="none" w:sz="0" w:space="0" w:color="auto"/>
        <w:bottom w:val="none" w:sz="0" w:space="0" w:color="auto"/>
        <w:right w:val="none" w:sz="0" w:space="0" w:color="auto"/>
      </w:divBdr>
    </w:div>
    <w:div w:id="210269140">
      <w:bodyDiv w:val="1"/>
      <w:marLeft w:val="0"/>
      <w:marRight w:val="0"/>
      <w:marTop w:val="0"/>
      <w:marBottom w:val="0"/>
      <w:divBdr>
        <w:top w:val="none" w:sz="0" w:space="0" w:color="auto"/>
        <w:left w:val="none" w:sz="0" w:space="0" w:color="auto"/>
        <w:bottom w:val="none" w:sz="0" w:space="0" w:color="auto"/>
        <w:right w:val="none" w:sz="0" w:space="0" w:color="auto"/>
      </w:divBdr>
    </w:div>
    <w:div w:id="222446153">
      <w:bodyDiv w:val="1"/>
      <w:marLeft w:val="0"/>
      <w:marRight w:val="0"/>
      <w:marTop w:val="0"/>
      <w:marBottom w:val="0"/>
      <w:divBdr>
        <w:top w:val="none" w:sz="0" w:space="0" w:color="auto"/>
        <w:left w:val="none" w:sz="0" w:space="0" w:color="auto"/>
        <w:bottom w:val="none" w:sz="0" w:space="0" w:color="auto"/>
        <w:right w:val="none" w:sz="0" w:space="0" w:color="auto"/>
      </w:divBdr>
    </w:div>
    <w:div w:id="232203860">
      <w:bodyDiv w:val="1"/>
      <w:marLeft w:val="0"/>
      <w:marRight w:val="0"/>
      <w:marTop w:val="0"/>
      <w:marBottom w:val="0"/>
      <w:divBdr>
        <w:top w:val="none" w:sz="0" w:space="0" w:color="auto"/>
        <w:left w:val="none" w:sz="0" w:space="0" w:color="auto"/>
        <w:bottom w:val="none" w:sz="0" w:space="0" w:color="auto"/>
        <w:right w:val="none" w:sz="0" w:space="0" w:color="auto"/>
      </w:divBdr>
    </w:div>
    <w:div w:id="244806539">
      <w:bodyDiv w:val="1"/>
      <w:marLeft w:val="0"/>
      <w:marRight w:val="0"/>
      <w:marTop w:val="0"/>
      <w:marBottom w:val="0"/>
      <w:divBdr>
        <w:top w:val="none" w:sz="0" w:space="0" w:color="auto"/>
        <w:left w:val="none" w:sz="0" w:space="0" w:color="auto"/>
        <w:bottom w:val="none" w:sz="0" w:space="0" w:color="auto"/>
        <w:right w:val="none" w:sz="0" w:space="0" w:color="auto"/>
      </w:divBdr>
    </w:div>
    <w:div w:id="259680233">
      <w:bodyDiv w:val="1"/>
      <w:marLeft w:val="0"/>
      <w:marRight w:val="0"/>
      <w:marTop w:val="0"/>
      <w:marBottom w:val="0"/>
      <w:divBdr>
        <w:top w:val="none" w:sz="0" w:space="0" w:color="auto"/>
        <w:left w:val="none" w:sz="0" w:space="0" w:color="auto"/>
        <w:bottom w:val="none" w:sz="0" w:space="0" w:color="auto"/>
        <w:right w:val="none" w:sz="0" w:space="0" w:color="auto"/>
      </w:divBdr>
    </w:div>
    <w:div w:id="285356315">
      <w:bodyDiv w:val="1"/>
      <w:marLeft w:val="0"/>
      <w:marRight w:val="0"/>
      <w:marTop w:val="0"/>
      <w:marBottom w:val="0"/>
      <w:divBdr>
        <w:top w:val="none" w:sz="0" w:space="0" w:color="auto"/>
        <w:left w:val="none" w:sz="0" w:space="0" w:color="auto"/>
        <w:bottom w:val="none" w:sz="0" w:space="0" w:color="auto"/>
        <w:right w:val="none" w:sz="0" w:space="0" w:color="auto"/>
      </w:divBdr>
    </w:div>
    <w:div w:id="287049860">
      <w:bodyDiv w:val="1"/>
      <w:marLeft w:val="0"/>
      <w:marRight w:val="0"/>
      <w:marTop w:val="0"/>
      <w:marBottom w:val="0"/>
      <w:divBdr>
        <w:top w:val="none" w:sz="0" w:space="0" w:color="auto"/>
        <w:left w:val="none" w:sz="0" w:space="0" w:color="auto"/>
        <w:bottom w:val="none" w:sz="0" w:space="0" w:color="auto"/>
        <w:right w:val="none" w:sz="0" w:space="0" w:color="auto"/>
      </w:divBdr>
    </w:div>
    <w:div w:id="291711737">
      <w:bodyDiv w:val="1"/>
      <w:marLeft w:val="0"/>
      <w:marRight w:val="0"/>
      <w:marTop w:val="0"/>
      <w:marBottom w:val="0"/>
      <w:divBdr>
        <w:top w:val="none" w:sz="0" w:space="0" w:color="auto"/>
        <w:left w:val="none" w:sz="0" w:space="0" w:color="auto"/>
        <w:bottom w:val="none" w:sz="0" w:space="0" w:color="auto"/>
        <w:right w:val="none" w:sz="0" w:space="0" w:color="auto"/>
      </w:divBdr>
    </w:div>
    <w:div w:id="295913879">
      <w:bodyDiv w:val="1"/>
      <w:marLeft w:val="0"/>
      <w:marRight w:val="0"/>
      <w:marTop w:val="0"/>
      <w:marBottom w:val="0"/>
      <w:divBdr>
        <w:top w:val="none" w:sz="0" w:space="0" w:color="auto"/>
        <w:left w:val="none" w:sz="0" w:space="0" w:color="auto"/>
        <w:bottom w:val="none" w:sz="0" w:space="0" w:color="auto"/>
        <w:right w:val="none" w:sz="0" w:space="0" w:color="auto"/>
      </w:divBdr>
    </w:div>
    <w:div w:id="299002384">
      <w:bodyDiv w:val="1"/>
      <w:marLeft w:val="0"/>
      <w:marRight w:val="0"/>
      <w:marTop w:val="0"/>
      <w:marBottom w:val="0"/>
      <w:divBdr>
        <w:top w:val="none" w:sz="0" w:space="0" w:color="auto"/>
        <w:left w:val="none" w:sz="0" w:space="0" w:color="auto"/>
        <w:bottom w:val="none" w:sz="0" w:space="0" w:color="auto"/>
        <w:right w:val="none" w:sz="0" w:space="0" w:color="auto"/>
      </w:divBdr>
    </w:div>
    <w:div w:id="302270209">
      <w:bodyDiv w:val="1"/>
      <w:marLeft w:val="0"/>
      <w:marRight w:val="0"/>
      <w:marTop w:val="0"/>
      <w:marBottom w:val="0"/>
      <w:divBdr>
        <w:top w:val="none" w:sz="0" w:space="0" w:color="auto"/>
        <w:left w:val="none" w:sz="0" w:space="0" w:color="auto"/>
        <w:bottom w:val="none" w:sz="0" w:space="0" w:color="auto"/>
        <w:right w:val="none" w:sz="0" w:space="0" w:color="auto"/>
      </w:divBdr>
    </w:div>
    <w:div w:id="307172662">
      <w:bodyDiv w:val="1"/>
      <w:marLeft w:val="0"/>
      <w:marRight w:val="0"/>
      <w:marTop w:val="0"/>
      <w:marBottom w:val="0"/>
      <w:divBdr>
        <w:top w:val="none" w:sz="0" w:space="0" w:color="auto"/>
        <w:left w:val="none" w:sz="0" w:space="0" w:color="auto"/>
        <w:bottom w:val="none" w:sz="0" w:space="0" w:color="auto"/>
        <w:right w:val="none" w:sz="0" w:space="0" w:color="auto"/>
      </w:divBdr>
    </w:div>
    <w:div w:id="323163973">
      <w:bodyDiv w:val="1"/>
      <w:marLeft w:val="0"/>
      <w:marRight w:val="0"/>
      <w:marTop w:val="0"/>
      <w:marBottom w:val="0"/>
      <w:divBdr>
        <w:top w:val="none" w:sz="0" w:space="0" w:color="auto"/>
        <w:left w:val="none" w:sz="0" w:space="0" w:color="auto"/>
        <w:bottom w:val="none" w:sz="0" w:space="0" w:color="auto"/>
        <w:right w:val="none" w:sz="0" w:space="0" w:color="auto"/>
      </w:divBdr>
    </w:div>
    <w:div w:id="335815070">
      <w:bodyDiv w:val="1"/>
      <w:marLeft w:val="0"/>
      <w:marRight w:val="0"/>
      <w:marTop w:val="0"/>
      <w:marBottom w:val="0"/>
      <w:divBdr>
        <w:top w:val="none" w:sz="0" w:space="0" w:color="auto"/>
        <w:left w:val="none" w:sz="0" w:space="0" w:color="auto"/>
        <w:bottom w:val="none" w:sz="0" w:space="0" w:color="auto"/>
        <w:right w:val="none" w:sz="0" w:space="0" w:color="auto"/>
      </w:divBdr>
    </w:div>
    <w:div w:id="337083222">
      <w:bodyDiv w:val="1"/>
      <w:marLeft w:val="0"/>
      <w:marRight w:val="0"/>
      <w:marTop w:val="0"/>
      <w:marBottom w:val="0"/>
      <w:divBdr>
        <w:top w:val="none" w:sz="0" w:space="0" w:color="auto"/>
        <w:left w:val="none" w:sz="0" w:space="0" w:color="auto"/>
        <w:bottom w:val="none" w:sz="0" w:space="0" w:color="auto"/>
        <w:right w:val="none" w:sz="0" w:space="0" w:color="auto"/>
      </w:divBdr>
    </w:div>
    <w:div w:id="343751064">
      <w:bodyDiv w:val="1"/>
      <w:marLeft w:val="0"/>
      <w:marRight w:val="0"/>
      <w:marTop w:val="0"/>
      <w:marBottom w:val="0"/>
      <w:divBdr>
        <w:top w:val="none" w:sz="0" w:space="0" w:color="auto"/>
        <w:left w:val="none" w:sz="0" w:space="0" w:color="auto"/>
        <w:bottom w:val="none" w:sz="0" w:space="0" w:color="auto"/>
        <w:right w:val="none" w:sz="0" w:space="0" w:color="auto"/>
      </w:divBdr>
    </w:div>
    <w:div w:id="370152225">
      <w:bodyDiv w:val="1"/>
      <w:marLeft w:val="0"/>
      <w:marRight w:val="0"/>
      <w:marTop w:val="0"/>
      <w:marBottom w:val="0"/>
      <w:divBdr>
        <w:top w:val="none" w:sz="0" w:space="0" w:color="auto"/>
        <w:left w:val="none" w:sz="0" w:space="0" w:color="auto"/>
        <w:bottom w:val="none" w:sz="0" w:space="0" w:color="auto"/>
        <w:right w:val="none" w:sz="0" w:space="0" w:color="auto"/>
      </w:divBdr>
    </w:div>
    <w:div w:id="381563421">
      <w:bodyDiv w:val="1"/>
      <w:marLeft w:val="0"/>
      <w:marRight w:val="0"/>
      <w:marTop w:val="0"/>
      <w:marBottom w:val="0"/>
      <w:divBdr>
        <w:top w:val="none" w:sz="0" w:space="0" w:color="auto"/>
        <w:left w:val="none" w:sz="0" w:space="0" w:color="auto"/>
        <w:bottom w:val="none" w:sz="0" w:space="0" w:color="auto"/>
        <w:right w:val="none" w:sz="0" w:space="0" w:color="auto"/>
      </w:divBdr>
    </w:div>
    <w:div w:id="405810272">
      <w:bodyDiv w:val="1"/>
      <w:marLeft w:val="0"/>
      <w:marRight w:val="0"/>
      <w:marTop w:val="0"/>
      <w:marBottom w:val="0"/>
      <w:divBdr>
        <w:top w:val="none" w:sz="0" w:space="0" w:color="auto"/>
        <w:left w:val="none" w:sz="0" w:space="0" w:color="auto"/>
        <w:bottom w:val="none" w:sz="0" w:space="0" w:color="auto"/>
        <w:right w:val="none" w:sz="0" w:space="0" w:color="auto"/>
      </w:divBdr>
    </w:div>
    <w:div w:id="409499193">
      <w:bodyDiv w:val="1"/>
      <w:marLeft w:val="0"/>
      <w:marRight w:val="0"/>
      <w:marTop w:val="0"/>
      <w:marBottom w:val="0"/>
      <w:divBdr>
        <w:top w:val="none" w:sz="0" w:space="0" w:color="auto"/>
        <w:left w:val="none" w:sz="0" w:space="0" w:color="auto"/>
        <w:bottom w:val="none" w:sz="0" w:space="0" w:color="auto"/>
        <w:right w:val="none" w:sz="0" w:space="0" w:color="auto"/>
      </w:divBdr>
    </w:div>
    <w:div w:id="434911276">
      <w:bodyDiv w:val="1"/>
      <w:marLeft w:val="0"/>
      <w:marRight w:val="0"/>
      <w:marTop w:val="0"/>
      <w:marBottom w:val="0"/>
      <w:divBdr>
        <w:top w:val="none" w:sz="0" w:space="0" w:color="auto"/>
        <w:left w:val="none" w:sz="0" w:space="0" w:color="auto"/>
        <w:bottom w:val="none" w:sz="0" w:space="0" w:color="auto"/>
        <w:right w:val="none" w:sz="0" w:space="0" w:color="auto"/>
      </w:divBdr>
    </w:div>
    <w:div w:id="440685017">
      <w:bodyDiv w:val="1"/>
      <w:marLeft w:val="0"/>
      <w:marRight w:val="0"/>
      <w:marTop w:val="0"/>
      <w:marBottom w:val="0"/>
      <w:divBdr>
        <w:top w:val="none" w:sz="0" w:space="0" w:color="auto"/>
        <w:left w:val="none" w:sz="0" w:space="0" w:color="auto"/>
        <w:bottom w:val="none" w:sz="0" w:space="0" w:color="auto"/>
        <w:right w:val="none" w:sz="0" w:space="0" w:color="auto"/>
      </w:divBdr>
    </w:div>
    <w:div w:id="443771095">
      <w:bodyDiv w:val="1"/>
      <w:marLeft w:val="0"/>
      <w:marRight w:val="0"/>
      <w:marTop w:val="0"/>
      <w:marBottom w:val="0"/>
      <w:divBdr>
        <w:top w:val="none" w:sz="0" w:space="0" w:color="auto"/>
        <w:left w:val="none" w:sz="0" w:space="0" w:color="auto"/>
        <w:bottom w:val="none" w:sz="0" w:space="0" w:color="auto"/>
        <w:right w:val="none" w:sz="0" w:space="0" w:color="auto"/>
      </w:divBdr>
    </w:div>
    <w:div w:id="446437704">
      <w:bodyDiv w:val="1"/>
      <w:marLeft w:val="0"/>
      <w:marRight w:val="0"/>
      <w:marTop w:val="0"/>
      <w:marBottom w:val="0"/>
      <w:divBdr>
        <w:top w:val="none" w:sz="0" w:space="0" w:color="auto"/>
        <w:left w:val="none" w:sz="0" w:space="0" w:color="auto"/>
        <w:bottom w:val="none" w:sz="0" w:space="0" w:color="auto"/>
        <w:right w:val="none" w:sz="0" w:space="0" w:color="auto"/>
      </w:divBdr>
    </w:div>
    <w:div w:id="451870906">
      <w:bodyDiv w:val="1"/>
      <w:marLeft w:val="0"/>
      <w:marRight w:val="0"/>
      <w:marTop w:val="0"/>
      <w:marBottom w:val="0"/>
      <w:divBdr>
        <w:top w:val="none" w:sz="0" w:space="0" w:color="auto"/>
        <w:left w:val="none" w:sz="0" w:space="0" w:color="auto"/>
        <w:bottom w:val="none" w:sz="0" w:space="0" w:color="auto"/>
        <w:right w:val="none" w:sz="0" w:space="0" w:color="auto"/>
      </w:divBdr>
      <w:divsChild>
        <w:div w:id="262884311">
          <w:marLeft w:val="0"/>
          <w:marRight w:val="0"/>
          <w:marTop w:val="0"/>
          <w:marBottom w:val="0"/>
          <w:divBdr>
            <w:top w:val="none" w:sz="0" w:space="0" w:color="auto"/>
            <w:left w:val="none" w:sz="0" w:space="0" w:color="auto"/>
            <w:bottom w:val="none" w:sz="0" w:space="0" w:color="auto"/>
            <w:right w:val="none" w:sz="0" w:space="0" w:color="auto"/>
          </w:divBdr>
          <w:divsChild>
            <w:div w:id="2025207305">
              <w:marLeft w:val="0"/>
              <w:marRight w:val="0"/>
              <w:marTop w:val="0"/>
              <w:marBottom w:val="0"/>
              <w:divBdr>
                <w:top w:val="none" w:sz="0" w:space="0" w:color="auto"/>
                <w:left w:val="none" w:sz="0" w:space="0" w:color="auto"/>
                <w:bottom w:val="none" w:sz="0" w:space="0" w:color="auto"/>
                <w:right w:val="none" w:sz="0" w:space="0" w:color="auto"/>
              </w:divBdr>
              <w:divsChild>
                <w:div w:id="73979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802991">
      <w:bodyDiv w:val="1"/>
      <w:marLeft w:val="0"/>
      <w:marRight w:val="0"/>
      <w:marTop w:val="0"/>
      <w:marBottom w:val="0"/>
      <w:divBdr>
        <w:top w:val="none" w:sz="0" w:space="0" w:color="auto"/>
        <w:left w:val="none" w:sz="0" w:space="0" w:color="auto"/>
        <w:bottom w:val="none" w:sz="0" w:space="0" w:color="auto"/>
        <w:right w:val="none" w:sz="0" w:space="0" w:color="auto"/>
      </w:divBdr>
    </w:div>
    <w:div w:id="479419122">
      <w:bodyDiv w:val="1"/>
      <w:marLeft w:val="0"/>
      <w:marRight w:val="0"/>
      <w:marTop w:val="0"/>
      <w:marBottom w:val="0"/>
      <w:divBdr>
        <w:top w:val="none" w:sz="0" w:space="0" w:color="auto"/>
        <w:left w:val="none" w:sz="0" w:space="0" w:color="auto"/>
        <w:bottom w:val="none" w:sz="0" w:space="0" w:color="auto"/>
        <w:right w:val="none" w:sz="0" w:space="0" w:color="auto"/>
      </w:divBdr>
    </w:div>
    <w:div w:id="502816499">
      <w:bodyDiv w:val="1"/>
      <w:marLeft w:val="0"/>
      <w:marRight w:val="0"/>
      <w:marTop w:val="0"/>
      <w:marBottom w:val="0"/>
      <w:divBdr>
        <w:top w:val="none" w:sz="0" w:space="0" w:color="auto"/>
        <w:left w:val="none" w:sz="0" w:space="0" w:color="auto"/>
        <w:bottom w:val="none" w:sz="0" w:space="0" w:color="auto"/>
        <w:right w:val="none" w:sz="0" w:space="0" w:color="auto"/>
      </w:divBdr>
    </w:div>
    <w:div w:id="510335720">
      <w:bodyDiv w:val="1"/>
      <w:marLeft w:val="0"/>
      <w:marRight w:val="0"/>
      <w:marTop w:val="0"/>
      <w:marBottom w:val="0"/>
      <w:divBdr>
        <w:top w:val="none" w:sz="0" w:space="0" w:color="auto"/>
        <w:left w:val="none" w:sz="0" w:space="0" w:color="auto"/>
        <w:bottom w:val="none" w:sz="0" w:space="0" w:color="auto"/>
        <w:right w:val="none" w:sz="0" w:space="0" w:color="auto"/>
      </w:divBdr>
    </w:div>
    <w:div w:id="514658203">
      <w:bodyDiv w:val="1"/>
      <w:marLeft w:val="0"/>
      <w:marRight w:val="0"/>
      <w:marTop w:val="0"/>
      <w:marBottom w:val="0"/>
      <w:divBdr>
        <w:top w:val="none" w:sz="0" w:space="0" w:color="auto"/>
        <w:left w:val="none" w:sz="0" w:space="0" w:color="auto"/>
        <w:bottom w:val="none" w:sz="0" w:space="0" w:color="auto"/>
        <w:right w:val="none" w:sz="0" w:space="0" w:color="auto"/>
      </w:divBdr>
    </w:div>
    <w:div w:id="518737483">
      <w:bodyDiv w:val="1"/>
      <w:marLeft w:val="0"/>
      <w:marRight w:val="0"/>
      <w:marTop w:val="0"/>
      <w:marBottom w:val="0"/>
      <w:divBdr>
        <w:top w:val="none" w:sz="0" w:space="0" w:color="auto"/>
        <w:left w:val="none" w:sz="0" w:space="0" w:color="auto"/>
        <w:bottom w:val="none" w:sz="0" w:space="0" w:color="auto"/>
        <w:right w:val="none" w:sz="0" w:space="0" w:color="auto"/>
      </w:divBdr>
    </w:div>
    <w:div w:id="522936737">
      <w:bodyDiv w:val="1"/>
      <w:marLeft w:val="0"/>
      <w:marRight w:val="0"/>
      <w:marTop w:val="0"/>
      <w:marBottom w:val="0"/>
      <w:divBdr>
        <w:top w:val="none" w:sz="0" w:space="0" w:color="auto"/>
        <w:left w:val="none" w:sz="0" w:space="0" w:color="auto"/>
        <w:bottom w:val="none" w:sz="0" w:space="0" w:color="auto"/>
        <w:right w:val="none" w:sz="0" w:space="0" w:color="auto"/>
      </w:divBdr>
    </w:div>
    <w:div w:id="548499453">
      <w:bodyDiv w:val="1"/>
      <w:marLeft w:val="0"/>
      <w:marRight w:val="0"/>
      <w:marTop w:val="0"/>
      <w:marBottom w:val="0"/>
      <w:divBdr>
        <w:top w:val="none" w:sz="0" w:space="0" w:color="auto"/>
        <w:left w:val="none" w:sz="0" w:space="0" w:color="auto"/>
        <w:bottom w:val="none" w:sz="0" w:space="0" w:color="auto"/>
        <w:right w:val="none" w:sz="0" w:space="0" w:color="auto"/>
      </w:divBdr>
    </w:div>
    <w:div w:id="552665481">
      <w:bodyDiv w:val="1"/>
      <w:marLeft w:val="0"/>
      <w:marRight w:val="0"/>
      <w:marTop w:val="0"/>
      <w:marBottom w:val="0"/>
      <w:divBdr>
        <w:top w:val="none" w:sz="0" w:space="0" w:color="auto"/>
        <w:left w:val="none" w:sz="0" w:space="0" w:color="auto"/>
        <w:bottom w:val="none" w:sz="0" w:space="0" w:color="auto"/>
        <w:right w:val="none" w:sz="0" w:space="0" w:color="auto"/>
      </w:divBdr>
    </w:div>
    <w:div w:id="560287376">
      <w:bodyDiv w:val="1"/>
      <w:marLeft w:val="0"/>
      <w:marRight w:val="0"/>
      <w:marTop w:val="0"/>
      <w:marBottom w:val="0"/>
      <w:divBdr>
        <w:top w:val="none" w:sz="0" w:space="0" w:color="auto"/>
        <w:left w:val="none" w:sz="0" w:space="0" w:color="auto"/>
        <w:bottom w:val="none" w:sz="0" w:space="0" w:color="auto"/>
        <w:right w:val="none" w:sz="0" w:space="0" w:color="auto"/>
      </w:divBdr>
    </w:div>
    <w:div w:id="562982170">
      <w:bodyDiv w:val="1"/>
      <w:marLeft w:val="0"/>
      <w:marRight w:val="0"/>
      <w:marTop w:val="0"/>
      <w:marBottom w:val="0"/>
      <w:divBdr>
        <w:top w:val="none" w:sz="0" w:space="0" w:color="auto"/>
        <w:left w:val="none" w:sz="0" w:space="0" w:color="auto"/>
        <w:bottom w:val="none" w:sz="0" w:space="0" w:color="auto"/>
        <w:right w:val="none" w:sz="0" w:space="0" w:color="auto"/>
      </w:divBdr>
    </w:div>
    <w:div w:id="563029229">
      <w:bodyDiv w:val="1"/>
      <w:marLeft w:val="0"/>
      <w:marRight w:val="0"/>
      <w:marTop w:val="0"/>
      <w:marBottom w:val="0"/>
      <w:divBdr>
        <w:top w:val="none" w:sz="0" w:space="0" w:color="auto"/>
        <w:left w:val="none" w:sz="0" w:space="0" w:color="auto"/>
        <w:bottom w:val="none" w:sz="0" w:space="0" w:color="auto"/>
        <w:right w:val="none" w:sz="0" w:space="0" w:color="auto"/>
      </w:divBdr>
    </w:div>
    <w:div w:id="567108265">
      <w:bodyDiv w:val="1"/>
      <w:marLeft w:val="0"/>
      <w:marRight w:val="0"/>
      <w:marTop w:val="0"/>
      <w:marBottom w:val="0"/>
      <w:divBdr>
        <w:top w:val="none" w:sz="0" w:space="0" w:color="auto"/>
        <w:left w:val="none" w:sz="0" w:space="0" w:color="auto"/>
        <w:bottom w:val="none" w:sz="0" w:space="0" w:color="auto"/>
        <w:right w:val="none" w:sz="0" w:space="0" w:color="auto"/>
      </w:divBdr>
    </w:div>
    <w:div w:id="569920620">
      <w:bodyDiv w:val="1"/>
      <w:marLeft w:val="0"/>
      <w:marRight w:val="0"/>
      <w:marTop w:val="0"/>
      <w:marBottom w:val="0"/>
      <w:divBdr>
        <w:top w:val="none" w:sz="0" w:space="0" w:color="auto"/>
        <w:left w:val="none" w:sz="0" w:space="0" w:color="auto"/>
        <w:bottom w:val="none" w:sz="0" w:space="0" w:color="auto"/>
        <w:right w:val="none" w:sz="0" w:space="0" w:color="auto"/>
      </w:divBdr>
    </w:div>
    <w:div w:id="573121587">
      <w:bodyDiv w:val="1"/>
      <w:marLeft w:val="0"/>
      <w:marRight w:val="0"/>
      <w:marTop w:val="0"/>
      <w:marBottom w:val="0"/>
      <w:divBdr>
        <w:top w:val="none" w:sz="0" w:space="0" w:color="auto"/>
        <w:left w:val="none" w:sz="0" w:space="0" w:color="auto"/>
        <w:bottom w:val="none" w:sz="0" w:space="0" w:color="auto"/>
        <w:right w:val="none" w:sz="0" w:space="0" w:color="auto"/>
      </w:divBdr>
    </w:div>
    <w:div w:id="580454862">
      <w:bodyDiv w:val="1"/>
      <w:marLeft w:val="0"/>
      <w:marRight w:val="0"/>
      <w:marTop w:val="0"/>
      <w:marBottom w:val="0"/>
      <w:divBdr>
        <w:top w:val="none" w:sz="0" w:space="0" w:color="auto"/>
        <w:left w:val="none" w:sz="0" w:space="0" w:color="auto"/>
        <w:bottom w:val="none" w:sz="0" w:space="0" w:color="auto"/>
        <w:right w:val="none" w:sz="0" w:space="0" w:color="auto"/>
      </w:divBdr>
    </w:div>
    <w:div w:id="582834596">
      <w:bodyDiv w:val="1"/>
      <w:marLeft w:val="0"/>
      <w:marRight w:val="0"/>
      <w:marTop w:val="0"/>
      <w:marBottom w:val="0"/>
      <w:divBdr>
        <w:top w:val="none" w:sz="0" w:space="0" w:color="auto"/>
        <w:left w:val="none" w:sz="0" w:space="0" w:color="auto"/>
        <w:bottom w:val="none" w:sz="0" w:space="0" w:color="auto"/>
        <w:right w:val="none" w:sz="0" w:space="0" w:color="auto"/>
      </w:divBdr>
    </w:div>
    <w:div w:id="583799709">
      <w:bodyDiv w:val="1"/>
      <w:marLeft w:val="0"/>
      <w:marRight w:val="0"/>
      <w:marTop w:val="0"/>
      <w:marBottom w:val="0"/>
      <w:divBdr>
        <w:top w:val="none" w:sz="0" w:space="0" w:color="auto"/>
        <w:left w:val="none" w:sz="0" w:space="0" w:color="auto"/>
        <w:bottom w:val="none" w:sz="0" w:space="0" w:color="auto"/>
        <w:right w:val="none" w:sz="0" w:space="0" w:color="auto"/>
      </w:divBdr>
    </w:div>
    <w:div w:id="584799069">
      <w:bodyDiv w:val="1"/>
      <w:marLeft w:val="0"/>
      <w:marRight w:val="0"/>
      <w:marTop w:val="0"/>
      <w:marBottom w:val="0"/>
      <w:divBdr>
        <w:top w:val="none" w:sz="0" w:space="0" w:color="auto"/>
        <w:left w:val="none" w:sz="0" w:space="0" w:color="auto"/>
        <w:bottom w:val="none" w:sz="0" w:space="0" w:color="auto"/>
        <w:right w:val="none" w:sz="0" w:space="0" w:color="auto"/>
      </w:divBdr>
    </w:div>
    <w:div w:id="587690741">
      <w:bodyDiv w:val="1"/>
      <w:marLeft w:val="0"/>
      <w:marRight w:val="0"/>
      <w:marTop w:val="0"/>
      <w:marBottom w:val="0"/>
      <w:divBdr>
        <w:top w:val="none" w:sz="0" w:space="0" w:color="auto"/>
        <w:left w:val="none" w:sz="0" w:space="0" w:color="auto"/>
        <w:bottom w:val="none" w:sz="0" w:space="0" w:color="auto"/>
        <w:right w:val="none" w:sz="0" w:space="0" w:color="auto"/>
      </w:divBdr>
    </w:div>
    <w:div w:id="596183420">
      <w:bodyDiv w:val="1"/>
      <w:marLeft w:val="0"/>
      <w:marRight w:val="0"/>
      <w:marTop w:val="0"/>
      <w:marBottom w:val="0"/>
      <w:divBdr>
        <w:top w:val="none" w:sz="0" w:space="0" w:color="auto"/>
        <w:left w:val="none" w:sz="0" w:space="0" w:color="auto"/>
        <w:bottom w:val="none" w:sz="0" w:space="0" w:color="auto"/>
        <w:right w:val="none" w:sz="0" w:space="0" w:color="auto"/>
      </w:divBdr>
    </w:div>
    <w:div w:id="598834268">
      <w:bodyDiv w:val="1"/>
      <w:marLeft w:val="0"/>
      <w:marRight w:val="0"/>
      <w:marTop w:val="0"/>
      <w:marBottom w:val="0"/>
      <w:divBdr>
        <w:top w:val="none" w:sz="0" w:space="0" w:color="auto"/>
        <w:left w:val="none" w:sz="0" w:space="0" w:color="auto"/>
        <w:bottom w:val="none" w:sz="0" w:space="0" w:color="auto"/>
        <w:right w:val="none" w:sz="0" w:space="0" w:color="auto"/>
      </w:divBdr>
    </w:div>
    <w:div w:id="602341707">
      <w:bodyDiv w:val="1"/>
      <w:marLeft w:val="0"/>
      <w:marRight w:val="0"/>
      <w:marTop w:val="0"/>
      <w:marBottom w:val="0"/>
      <w:divBdr>
        <w:top w:val="none" w:sz="0" w:space="0" w:color="auto"/>
        <w:left w:val="none" w:sz="0" w:space="0" w:color="auto"/>
        <w:bottom w:val="none" w:sz="0" w:space="0" w:color="auto"/>
        <w:right w:val="none" w:sz="0" w:space="0" w:color="auto"/>
      </w:divBdr>
    </w:div>
    <w:div w:id="644312048">
      <w:bodyDiv w:val="1"/>
      <w:marLeft w:val="0"/>
      <w:marRight w:val="0"/>
      <w:marTop w:val="0"/>
      <w:marBottom w:val="0"/>
      <w:divBdr>
        <w:top w:val="none" w:sz="0" w:space="0" w:color="auto"/>
        <w:left w:val="none" w:sz="0" w:space="0" w:color="auto"/>
        <w:bottom w:val="none" w:sz="0" w:space="0" w:color="auto"/>
        <w:right w:val="none" w:sz="0" w:space="0" w:color="auto"/>
      </w:divBdr>
    </w:div>
    <w:div w:id="646016386">
      <w:bodyDiv w:val="1"/>
      <w:marLeft w:val="0"/>
      <w:marRight w:val="0"/>
      <w:marTop w:val="0"/>
      <w:marBottom w:val="0"/>
      <w:divBdr>
        <w:top w:val="none" w:sz="0" w:space="0" w:color="auto"/>
        <w:left w:val="none" w:sz="0" w:space="0" w:color="auto"/>
        <w:bottom w:val="none" w:sz="0" w:space="0" w:color="auto"/>
        <w:right w:val="none" w:sz="0" w:space="0" w:color="auto"/>
      </w:divBdr>
      <w:divsChild>
        <w:div w:id="784538433">
          <w:marLeft w:val="225"/>
          <w:marRight w:val="225"/>
          <w:marTop w:val="0"/>
          <w:marBottom w:val="300"/>
          <w:divBdr>
            <w:top w:val="none" w:sz="0" w:space="0" w:color="auto"/>
            <w:left w:val="none" w:sz="0" w:space="0" w:color="auto"/>
            <w:bottom w:val="none" w:sz="0" w:space="0" w:color="auto"/>
            <w:right w:val="none" w:sz="0" w:space="0" w:color="auto"/>
          </w:divBdr>
          <w:divsChild>
            <w:div w:id="1535776988">
              <w:marLeft w:val="0"/>
              <w:marRight w:val="0"/>
              <w:marTop w:val="0"/>
              <w:marBottom w:val="450"/>
              <w:divBdr>
                <w:top w:val="none" w:sz="0" w:space="0" w:color="auto"/>
                <w:left w:val="none" w:sz="0" w:space="0" w:color="auto"/>
                <w:bottom w:val="none" w:sz="0" w:space="0" w:color="auto"/>
                <w:right w:val="none" w:sz="0" w:space="0" w:color="auto"/>
              </w:divBdr>
            </w:div>
          </w:divsChild>
        </w:div>
        <w:div w:id="1399136254">
          <w:marLeft w:val="225"/>
          <w:marRight w:val="225"/>
          <w:marTop w:val="0"/>
          <w:marBottom w:val="225"/>
          <w:divBdr>
            <w:top w:val="none" w:sz="0" w:space="0" w:color="auto"/>
            <w:left w:val="none" w:sz="0" w:space="0" w:color="auto"/>
            <w:bottom w:val="none" w:sz="0" w:space="0" w:color="auto"/>
            <w:right w:val="none" w:sz="0" w:space="0" w:color="auto"/>
          </w:divBdr>
          <w:divsChild>
            <w:div w:id="179170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336624">
      <w:bodyDiv w:val="1"/>
      <w:marLeft w:val="0"/>
      <w:marRight w:val="0"/>
      <w:marTop w:val="0"/>
      <w:marBottom w:val="0"/>
      <w:divBdr>
        <w:top w:val="none" w:sz="0" w:space="0" w:color="auto"/>
        <w:left w:val="none" w:sz="0" w:space="0" w:color="auto"/>
        <w:bottom w:val="none" w:sz="0" w:space="0" w:color="auto"/>
        <w:right w:val="none" w:sz="0" w:space="0" w:color="auto"/>
      </w:divBdr>
    </w:div>
    <w:div w:id="656039004">
      <w:bodyDiv w:val="1"/>
      <w:marLeft w:val="0"/>
      <w:marRight w:val="0"/>
      <w:marTop w:val="0"/>
      <w:marBottom w:val="0"/>
      <w:divBdr>
        <w:top w:val="none" w:sz="0" w:space="0" w:color="auto"/>
        <w:left w:val="none" w:sz="0" w:space="0" w:color="auto"/>
        <w:bottom w:val="none" w:sz="0" w:space="0" w:color="auto"/>
        <w:right w:val="none" w:sz="0" w:space="0" w:color="auto"/>
      </w:divBdr>
    </w:div>
    <w:div w:id="657420500">
      <w:bodyDiv w:val="1"/>
      <w:marLeft w:val="0"/>
      <w:marRight w:val="0"/>
      <w:marTop w:val="0"/>
      <w:marBottom w:val="0"/>
      <w:divBdr>
        <w:top w:val="none" w:sz="0" w:space="0" w:color="auto"/>
        <w:left w:val="none" w:sz="0" w:space="0" w:color="auto"/>
        <w:bottom w:val="none" w:sz="0" w:space="0" w:color="auto"/>
        <w:right w:val="none" w:sz="0" w:space="0" w:color="auto"/>
      </w:divBdr>
    </w:div>
    <w:div w:id="664865383">
      <w:bodyDiv w:val="1"/>
      <w:marLeft w:val="0"/>
      <w:marRight w:val="0"/>
      <w:marTop w:val="0"/>
      <w:marBottom w:val="0"/>
      <w:divBdr>
        <w:top w:val="none" w:sz="0" w:space="0" w:color="auto"/>
        <w:left w:val="none" w:sz="0" w:space="0" w:color="auto"/>
        <w:bottom w:val="none" w:sz="0" w:space="0" w:color="auto"/>
        <w:right w:val="none" w:sz="0" w:space="0" w:color="auto"/>
      </w:divBdr>
    </w:div>
    <w:div w:id="666636225">
      <w:bodyDiv w:val="1"/>
      <w:marLeft w:val="0"/>
      <w:marRight w:val="0"/>
      <w:marTop w:val="0"/>
      <w:marBottom w:val="0"/>
      <w:divBdr>
        <w:top w:val="none" w:sz="0" w:space="0" w:color="auto"/>
        <w:left w:val="none" w:sz="0" w:space="0" w:color="auto"/>
        <w:bottom w:val="none" w:sz="0" w:space="0" w:color="auto"/>
        <w:right w:val="none" w:sz="0" w:space="0" w:color="auto"/>
      </w:divBdr>
    </w:div>
    <w:div w:id="668748949">
      <w:bodyDiv w:val="1"/>
      <w:marLeft w:val="0"/>
      <w:marRight w:val="0"/>
      <w:marTop w:val="0"/>
      <w:marBottom w:val="0"/>
      <w:divBdr>
        <w:top w:val="none" w:sz="0" w:space="0" w:color="auto"/>
        <w:left w:val="none" w:sz="0" w:space="0" w:color="auto"/>
        <w:bottom w:val="none" w:sz="0" w:space="0" w:color="auto"/>
        <w:right w:val="none" w:sz="0" w:space="0" w:color="auto"/>
      </w:divBdr>
    </w:div>
    <w:div w:id="673460735">
      <w:bodyDiv w:val="1"/>
      <w:marLeft w:val="0"/>
      <w:marRight w:val="0"/>
      <w:marTop w:val="0"/>
      <w:marBottom w:val="0"/>
      <w:divBdr>
        <w:top w:val="none" w:sz="0" w:space="0" w:color="auto"/>
        <w:left w:val="none" w:sz="0" w:space="0" w:color="auto"/>
        <w:bottom w:val="none" w:sz="0" w:space="0" w:color="auto"/>
        <w:right w:val="none" w:sz="0" w:space="0" w:color="auto"/>
      </w:divBdr>
    </w:div>
    <w:div w:id="676999610">
      <w:bodyDiv w:val="1"/>
      <w:marLeft w:val="0"/>
      <w:marRight w:val="0"/>
      <w:marTop w:val="0"/>
      <w:marBottom w:val="0"/>
      <w:divBdr>
        <w:top w:val="none" w:sz="0" w:space="0" w:color="auto"/>
        <w:left w:val="none" w:sz="0" w:space="0" w:color="auto"/>
        <w:bottom w:val="none" w:sz="0" w:space="0" w:color="auto"/>
        <w:right w:val="none" w:sz="0" w:space="0" w:color="auto"/>
      </w:divBdr>
    </w:div>
    <w:div w:id="680163231">
      <w:bodyDiv w:val="1"/>
      <w:marLeft w:val="0"/>
      <w:marRight w:val="0"/>
      <w:marTop w:val="0"/>
      <w:marBottom w:val="0"/>
      <w:divBdr>
        <w:top w:val="none" w:sz="0" w:space="0" w:color="auto"/>
        <w:left w:val="none" w:sz="0" w:space="0" w:color="auto"/>
        <w:bottom w:val="none" w:sz="0" w:space="0" w:color="auto"/>
        <w:right w:val="none" w:sz="0" w:space="0" w:color="auto"/>
      </w:divBdr>
    </w:div>
    <w:div w:id="680860533">
      <w:bodyDiv w:val="1"/>
      <w:marLeft w:val="0"/>
      <w:marRight w:val="0"/>
      <w:marTop w:val="0"/>
      <w:marBottom w:val="0"/>
      <w:divBdr>
        <w:top w:val="none" w:sz="0" w:space="0" w:color="auto"/>
        <w:left w:val="none" w:sz="0" w:space="0" w:color="auto"/>
        <w:bottom w:val="none" w:sz="0" w:space="0" w:color="auto"/>
        <w:right w:val="none" w:sz="0" w:space="0" w:color="auto"/>
      </w:divBdr>
    </w:div>
    <w:div w:id="686831637">
      <w:bodyDiv w:val="1"/>
      <w:marLeft w:val="0"/>
      <w:marRight w:val="0"/>
      <w:marTop w:val="0"/>
      <w:marBottom w:val="0"/>
      <w:divBdr>
        <w:top w:val="none" w:sz="0" w:space="0" w:color="auto"/>
        <w:left w:val="none" w:sz="0" w:space="0" w:color="auto"/>
        <w:bottom w:val="none" w:sz="0" w:space="0" w:color="auto"/>
        <w:right w:val="none" w:sz="0" w:space="0" w:color="auto"/>
      </w:divBdr>
    </w:div>
    <w:div w:id="692803699">
      <w:bodyDiv w:val="1"/>
      <w:marLeft w:val="0"/>
      <w:marRight w:val="0"/>
      <w:marTop w:val="0"/>
      <w:marBottom w:val="0"/>
      <w:divBdr>
        <w:top w:val="none" w:sz="0" w:space="0" w:color="auto"/>
        <w:left w:val="none" w:sz="0" w:space="0" w:color="auto"/>
        <w:bottom w:val="none" w:sz="0" w:space="0" w:color="auto"/>
        <w:right w:val="none" w:sz="0" w:space="0" w:color="auto"/>
      </w:divBdr>
      <w:divsChild>
        <w:div w:id="863833444">
          <w:marLeft w:val="225"/>
          <w:marRight w:val="225"/>
          <w:marTop w:val="225"/>
          <w:marBottom w:val="225"/>
          <w:divBdr>
            <w:top w:val="none" w:sz="0" w:space="0" w:color="auto"/>
            <w:left w:val="none" w:sz="0" w:space="0" w:color="auto"/>
            <w:bottom w:val="none" w:sz="0" w:space="0" w:color="auto"/>
            <w:right w:val="none" w:sz="0" w:space="0" w:color="auto"/>
          </w:divBdr>
        </w:div>
      </w:divsChild>
    </w:div>
    <w:div w:id="698553987">
      <w:bodyDiv w:val="1"/>
      <w:marLeft w:val="0"/>
      <w:marRight w:val="0"/>
      <w:marTop w:val="0"/>
      <w:marBottom w:val="0"/>
      <w:divBdr>
        <w:top w:val="none" w:sz="0" w:space="0" w:color="auto"/>
        <w:left w:val="none" w:sz="0" w:space="0" w:color="auto"/>
        <w:bottom w:val="none" w:sz="0" w:space="0" w:color="auto"/>
        <w:right w:val="none" w:sz="0" w:space="0" w:color="auto"/>
      </w:divBdr>
    </w:div>
    <w:div w:id="699816421">
      <w:bodyDiv w:val="1"/>
      <w:marLeft w:val="0"/>
      <w:marRight w:val="0"/>
      <w:marTop w:val="0"/>
      <w:marBottom w:val="0"/>
      <w:divBdr>
        <w:top w:val="none" w:sz="0" w:space="0" w:color="auto"/>
        <w:left w:val="none" w:sz="0" w:space="0" w:color="auto"/>
        <w:bottom w:val="none" w:sz="0" w:space="0" w:color="auto"/>
        <w:right w:val="none" w:sz="0" w:space="0" w:color="auto"/>
      </w:divBdr>
    </w:div>
    <w:div w:id="711921160">
      <w:bodyDiv w:val="1"/>
      <w:marLeft w:val="0"/>
      <w:marRight w:val="0"/>
      <w:marTop w:val="0"/>
      <w:marBottom w:val="0"/>
      <w:divBdr>
        <w:top w:val="none" w:sz="0" w:space="0" w:color="auto"/>
        <w:left w:val="none" w:sz="0" w:space="0" w:color="auto"/>
        <w:bottom w:val="none" w:sz="0" w:space="0" w:color="auto"/>
        <w:right w:val="none" w:sz="0" w:space="0" w:color="auto"/>
      </w:divBdr>
    </w:div>
    <w:div w:id="713192398">
      <w:bodyDiv w:val="1"/>
      <w:marLeft w:val="0"/>
      <w:marRight w:val="0"/>
      <w:marTop w:val="0"/>
      <w:marBottom w:val="0"/>
      <w:divBdr>
        <w:top w:val="none" w:sz="0" w:space="0" w:color="auto"/>
        <w:left w:val="none" w:sz="0" w:space="0" w:color="auto"/>
        <w:bottom w:val="none" w:sz="0" w:space="0" w:color="auto"/>
        <w:right w:val="none" w:sz="0" w:space="0" w:color="auto"/>
      </w:divBdr>
    </w:div>
    <w:div w:id="713194670">
      <w:bodyDiv w:val="1"/>
      <w:marLeft w:val="0"/>
      <w:marRight w:val="0"/>
      <w:marTop w:val="0"/>
      <w:marBottom w:val="0"/>
      <w:divBdr>
        <w:top w:val="none" w:sz="0" w:space="0" w:color="auto"/>
        <w:left w:val="none" w:sz="0" w:space="0" w:color="auto"/>
        <w:bottom w:val="none" w:sz="0" w:space="0" w:color="auto"/>
        <w:right w:val="none" w:sz="0" w:space="0" w:color="auto"/>
      </w:divBdr>
    </w:div>
    <w:div w:id="715355485">
      <w:bodyDiv w:val="1"/>
      <w:marLeft w:val="0"/>
      <w:marRight w:val="0"/>
      <w:marTop w:val="0"/>
      <w:marBottom w:val="0"/>
      <w:divBdr>
        <w:top w:val="none" w:sz="0" w:space="0" w:color="auto"/>
        <w:left w:val="none" w:sz="0" w:space="0" w:color="auto"/>
        <w:bottom w:val="none" w:sz="0" w:space="0" w:color="auto"/>
        <w:right w:val="none" w:sz="0" w:space="0" w:color="auto"/>
      </w:divBdr>
      <w:divsChild>
        <w:div w:id="855844361">
          <w:marLeft w:val="0"/>
          <w:marRight w:val="0"/>
          <w:marTop w:val="0"/>
          <w:marBottom w:val="0"/>
          <w:divBdr>
            <w:top w:val="none" w:sz="0" w:space="0" w:color="auto"/>
            <w:left w:val="none" w:sz="0" w:space="0" w:color="auto"/>
            <w:bottom w:val="none" w:sz="0" w:space="0" w:color="auto"/>
            <w:right w:val="none" w:sz="0" w:space="0" w:color="auto"/>
          </w:divBdr>
          <w:divsChild>
            <w:div w:id="891381094">
              <w:marLeft w:val="0"/>
              <w:marRight w:val="0"/>
              <w:marTop w:val="0"/>
              <w:marBottom w:val="0"/>
              <w:divBdr>
                <w:top w:val="none" w:sz="0" w:space="0" w:color="auto"/>
                <w:left w:val="none" w:sz="0" w:space="0" w:color="auto"/>
                <w:bottom w:val="none" w:sz="0" w:space="0" w:color="auto"/>
                <w:right w:val="none" w:sz="0" w:space="0" w:color="auto"/>
              </w:divBdr>
              <w:divsChild>
                <w:div w:id="156926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317868">
      <w:bodyDiv w:val="1"/>
      <w:marLeft w:val="0"/>
      <w:marRight w:val="0"/>
      <w:marTop w:val="0"/>
      <w:marBottom w:val="0"/>
      <w:divBdr>
        <w:top w:val="none" w:sz="0" w:space="0" w:color="auto"/>
        <w:left w:val="none" w:sz="0" w:space="0" w:color="auto"/>
        <w:bottom w:val="none" w:sz="0" w:space="0" w:color="auto"/>
        <w:right w:val="none" w:sz="0" w:space="0" w:color="auto"/>
      </w:divBdr>
    </w:div>
    <w:div w:id="718936845">
      <w:bodyDiv w:val="1"/>
      <w:marLeft w:val="0"/>
      <w:marRight w:val="0"/>
      <w:marTop w:val="0"/>
      <w:marBottom w:val="0"/>
      <w:divBdr>
        <w:top w:val="none" w:sz="0" w:space="0" w:color="auto"/>
        <w:left w:val="none" w:sz="0" w:space="0" w:color="auto"/>
        <w:bottom w:val="none" w:sz="0" w:space="0" w:color="auto"/>
        <w:right w:val="none" w:sz="0" w:space="0" w:color="auto"/>
      </w:divBdr>
    </w:div>
    <w:div w:id="719790323">
      <w:bodyDiv w:val="1"/>
      <w:marLeft w:val="0"/>
      <w:marRight w:val="0"/>
      <w:marTop w:val="0"/>
      <w:marBottom w:val="0"/>
      <w:divBdr>
        <w:top w:val="none" w:sz="0" w:space="0" w:color="auto"/>
        <w:left w:val="none" w:sz="0" w:space="0" w:color="auto"/>
        <w:bottom w:val="none" w:sz="0" w:space="0" w:color="auto"/>
        <w:right w:val="none" w:sz="0" w:space="0" w:color="auto"/>
      </w:divBdr>
    </w:div>
    <w:div w:id="748428795">
      <w:bodyDiv w:val="1"/>
      <w:marLeft w:val="0"/>
      <w:marRight w:val="0"/>
      <w:marTop w:val="0"/>
      <w:marBottom w:val="0"/>
      <w:divBdr>
        <w:top w:val="none" w:sz="0" w:space="0" w:color="auto"/>
        <w:left w:val="none" w:sz="0" w:space="0" w:color="auto"/>
        <w:bottom w:val="none" w:sz="0" w:space="0" w:color="auto"/>
        <w:right w:val="none" w:sz="0" w:space="0" w:color="auto"/>
      </w:divBdr>
    </w:div>
    <w:div w:id="750588381">
      <w:bodyDiv w:val="1"/>
      <w:marLeft w:val="0"/>
      <w:marRight w:val="0"/>
      <w:marTop w:val="0"/>
      <w:marBottom w:val="0"/>
      <w:divBdr>
        <w:top w:val="none" w:sz="0" w:space="0" w:color="auto"/>
        <w:left w:val="none" w:sz="0" w:space="0" w:color="auto"/>
        <w:bottom w:val="none" w:sz="0" w:space="0" w:color="auto"/>
        <w:right w:val="none" w:sz="0" w:space="0" w:color="auto"/>
      </w:divBdr>
    </w:div>
    <w:div w:id="751045198">
      <w:bodyDiv w:val="1"/>
      <w:marLeft w:val="0"/>
      <w:marRight w:val="0"/>
      <w:marTop w:val="0"/>
      <w:marBottom w:val="0"/>
      <w:divBdr>
        <w:top w:val="none" w:sz="0" w:space="0" w:color="auto"/>
        <w:left w:val="none" w:sz="0" w:space="0" w:color="auto"/>
        <w:bottom w:val="none" w:sz="0" w:space="0" w:color="auto"/>
        <w:right w:val="none" w:sz="0" w:space="0" w:color="auto"/>
      </w:divBdr>
    </w:div>
    <w:div w:id="769542425">
      <w:bodyDiv w:val="1"/>
      <w:marLeft w:val="0"/>
      <w:marRight w:val="0"/>
      <w:marTop w:val="0"/>
      <w:marBottom w:val="0"/>
      <w:divBdr>
        <w:top w:val="none" w:sz="0" w:space="0" w:color="auto"/>
        <w:left w:val="none" w:sz="0" w:space="0" w:color="auto"/>
        <w:bottom w:val="none" w:sz="0" w:space="0" w:color="auto"/>
        <w:right w:val="none" w:sz="0" w:space="0" w:color="auto"/>
      </w:divBdr>
    </w:div>
    <w:div w:id="770122646">
      <w:bodyDiv w:val="1"/>
      <w:marLeft w:val="0"/>
      <w:marRight w:val="0"/>
      <w:marTop w:val="0"/>
      <w:marBottom w:val="0"/>
      <w:divBdr>
        <w:top w:val="none" w:sz="0" w:space="0" w:color="auto"/>
        <w:left w:val="none" w:sz="0" w:space="0" w:color="auto"/>
        <w:bottom w:val="none" w:sz="0" w:space="0" w:color="auto"/>
        <w:right w:val="none" w:sz="0" w:space="0" w:color="auto"/>
      </w:divBdr>
    </w:div>
    <w:div w:id="770705332">
      <w:bodyDiv w:val="1"/>
      <w:marLeft w:val="0"/>
      <w:marRight w:val="0"/>
      <w:marTop w:val="0"/>
      <w:marBottom w:val="0"/>
      <w:divBdr>
        <w:top w:val="none" w:sz="0" w:space="0" w:color="auto"/>
        <w:left w:val="none" w:sz="0" w:space="0" w:color="auto"/>
        <w:bottom w:val="none" w:sz="0" w:space="0" w:color="auto"/>
        <w:right w:val="none" w:sz="0" w:space="0" w:color="auto"/>
      </w:divBdr>
    </w:div>
    <w:div w:id="795952233">
      <w:bodyDiv w:val="1"/>
      <w:marLeft w:val="0"/>
      <w:marRight w:val="0"/>
      <w:marTop w:val="0"/>
      <w:marBottom w:val="0"/>
      <w:divBdr>
        <w:top w:val="none" w:sz="0" w:space="0" w:color="auto"/>
        <w:left w:val="none" w:sz="0" w:space="0" w:color="auto"/>
        <w:bottom w:val="none" w:sz="0" w:space="0" w:color="auto"/>
        <w:right w:val="none" w:sz="0" w:space="0" w:color="auto"/>
      </w:divBdr>
    </w:div>
    <w:div w:id="800225319">
      <w:bodyDiv w:val="1"/>
      <w:marLeft w:val="0"/>
      <w:marRight w:val="0"/>
      <w:marTop w:val="0"/>
      <w:marBottom w:val="0"/>
      <w:divBdr>
        <w:top w:val="none" w:sz="0" w:space="0" w:color="auto"/>
        <w:left w:val="none" w:sz="0" w:space="0" w:color="auto"/>
        <w:bottom w:val="none" w:sz="0" w:space="0" w:color="auto"/>
        <w:right w:val="none" w:sz="0" w:space="0" w:color="auto"/>
      </w:divBdr>
    </w:div>
    <w:div w:id="812285713">
      <w:bodyDiv w:val="1"/>
      <w:marLeft w:val="0"/>
      <w:marRight w:val="0"/>
      <w:marTop w:val="0"/>
      <w:marBottom w:val="0"/>
      <w:divBdr>
        <w:top w:val="none" w:sz="0" w:space="0" w:color="auto"/>
        <w:left w:val="none" w:sz="0" w:space="0" w:color="auto"/>
        <w:bottom w:val="none" w:sz="0" w:space="0" w:color="auto"/>
        <w:right w:val="none" w:sz="0" w:space="0" w:color="auto"/>
      </w:divBdr>
    </w:div>
    <w:div w:id="812600067">
      <w:bodyDiv w:val="1"/>
      <w:marLeft w:val="0"/>
      <w:marRight w:val="0"/>
      <w:marTop w:val="0"/>
      <w:marBottom w:val="0"/>
      <w:divBdr>
        <w:top w:val="none" w:sz="0" w:space="0" w:color="auto"/>
        <w:left w:val="none" w:sz="0" w:space="0" w:color="auto"/>
        <w:bottom w:val="none" w:sz="0" w:space="0" w:color="auto"/>
        <w:right w:val="none" w:sz="0" w:space="0" w:color="auto"/>
      </w:divBdr>
    </w:div>
    <w:div w:id="816655372">
      <w:bodyDiv w:val="1"/>
      <w:marLeft w:val="0"/>
      <w:marRight w:val="0"/>
      <w:marTop w:val="0"/>
      <w:marBottom w:val="0"/>
      <w:divBdr>
        <w:top w:val="none" w:sz="0" w:space="0" w:color="auto"/>
        <w:left w:val="none" w:sz="0" w:space="0" w:color="auto"/>
        <w:bottom w:val="none" w:sz="0" w:space="0" w:color="auto"/>
        <w:right w:val="none" w:sz="0" w:space="0" w:color="auto"/>
      </w:divBdr>
    </w:div>
    <w:div w:id="832138450">
      <w:bodyDiv w:val="1"/>
      <w:marLeft w:val="0"/>
      <w:marRight w:val="0"/>
      <w:marTop w:val="0"/>
      <w:marBottom w:val="0"/>
      <w:divBdr>
        <w:top w:val="none" w:sz="0" w:space="0" w:color="auto"/>
        <w:left w:val="none" w:sz="0" w:space="0" w:color="auto"/>
        <w:bottom w:val="none" w:sz="0" w:space="0" w:color="auto"/>
        <w:right w:val="none" w:sz="0" w:space="0" w:color="auto"/>
      </w:divBdr>
    </w:div>
    <w:div w:id="857546395">
      <w:bodyDiv w:val="1"/>
      <w:marLeft w:val="0"/>
      <w:marRight w:val="0"/>
      <w:marTop w:val="0"/>
      <w:marBottom w:val="0"/>
      <w:divBdr>
        <w:top w:val="none" w:sz="0" w:space="0" w:color="auto"/>
        <w:left w:val="none" w:sz="0" w:space="0" w:color="auto"/>
        <w:bottom w:val="none" w:sz="0" w:space="0" w:color="auto"/>
        <w:right w:val="none" w:sz="0" w:space="0" w:color="auto"/>
      </w:divBdr>
    </w:div>
    <w:div w:id="904412205">
      <w:bodyDiv w:val="1"/>
      <w:marLeft w:val="0"/>
      <w:marRight w:val="0"/>
      <w:marTop w:val="0"/>
      <w:marBottom w:val="0"/>
      <w:divBdr>
        <w:top w:val="none" w:sz="0" w:space="0" w:color="auto"/>
        <w:left w:val="none" w:sz="0" w:space="0" w:color="auto"/>
        <w:bottom w:val="none" w:sz="0" w:space="0" w:color="auto"/>
        <w:right w:val="none" w:sz="0" w:space="0" w:color="auto"/>
      </w:divBdr>
    </w:div>
    <w:div w:id="922880828">
      <w:bodyDiv w:val="1"/>
      <w:marLeft w:val="0"/>
      <w:marRight w:val="0"/>
      <w:marTop w:val="0"/>
      <w:marBottom w:val="0"/>
      <w:divBdr>
        <w:top w:val="none" w:sz="0" w:space="0" w:color="auto"/>
        <w:left w:val="none" w:sz="0" w:space="0" w:color="auto"/>
        <w:bottom w:val="none" w:sz="0" w:space="0" w:color="auto"/>
        <w:right w:val="none" w:sz="0" w:space="0" w:color="auto"/>
      </w:divBdr>
    </w:div>
    <w:div w:id="930624464">
      <w:bodyDiv w:val="1"/>
      <w:marLeft w:val="0"/>
      <w:marRight w:val="0"/>
      <w:marTop w:val="0"/>
      <w:marBottom w:val="0"/>
      <w:divBdr>
        <w:top w:val="none" w:sz="0" w:space="0" w:color="auto"/>
        <w:left w:val="none" w:sz="0" w:space="0" w:color="auto"/>
        <w:bottom w:val="none" w:sz="0" w:space="0" w:color="auto"/>
        <w:right w:val="none" w:sz="0" w:space="0" w:color="auto"/>
      </w:divBdr>
    </w:div>
    <w:div w:id="931013070">
      <w:bodyDiv w:val="1"/>
      <w:marLeft w:val="0"/>
      <w:marRight w:val="0"/>
      <w:marTop w:val="0"/>
      <w:marBottom w:val="0"/>
      <w:divBdr>
        <w:top w:val="none" w:sz="0" w:space="0" w:color="auto"/>
        <w:left w:val="none" w:sz="0" w:space="0" w:color="auto"/>
        <w:bottom w:val="none" w:sz="0" w:space="0" w:color="auto"/>
        <w:right w:val="none" w:sz="0" w:space="0" w:color="auto"/>
      </w:divBdr>
    </w:div>
    <w:div w:id="939534471">
      <w:bodyDiv w:val="1"/>
      <w:marLeft w:val="0"/>
      <w:marRight w:val="0"/>
      <w:marTop w:val="0"/>
      <w:marBottom w:val="0"/>
      <w:divBdr>
        <w:top w:val="none" w:sz="0" w:space="0" w:color="auto"/>
        <w:left w:val="none" w:sz="0" w:space="0" w:color="auto"/>
        <w:bottom w:val="none" w:sz="0" w:space="0" w:color="auto"/>
        <w:right w:val="none" w:sz="0" w:space="0" w:color="auto"/>
      </w:divBdr>
    </w:div>
    <w:div w:id="946422679">
      <w:bodyDiv w:val="1"/>
      <w:marLeft w:val="0"/>
      <w:marRight w:val="0"/>
      <w:marTop w:val="0"/>
      <w:marBottom w:val="0"/>
      <w:divBdr>
        <w:top w:val="none" w:sz="0" w:space="0" w:color="auto"/>
        <w:left w:val="none" w:sz="0" w:space="0" w:color="auto"/>
        <w:bottom w:val="none" w:sz="0" w:space="0" w:color="auto"/>
        <w:right w:val="none" w:sz="0" w:space="0" w:color="auto"/>
      </w:divBdr>
    </w:div>
    <w:div w:id="958991808">
      <w:bodyDiv w:val="1"/>
      <w:marLeft w:val="0"/>
      <w:marRight w:val="0"/>
      <w:marTop w:val="0"/>
      <w:marBottom w:val="0"/>
      <w:divBdr>
        <w:top w:val="none" w:sz="0" w:space="0" w:color="auto"/>
        <w:left w:val="none" w:sz="0" w:space="0" w:color="auto"/>
        <w:bottom w:val="none" w:sz="0" w:space="0" w:color="auto"/>
        <w:right w:val="none" w:sz="0" w:space="0" w:color="auto"/>
      </w:divBdr>
    </w:div>
    <w:div w:id="959067402">
      <w:bodyDiv w:val="1"/>
      <w:marLeft w:val="0"/>
      <w:marRight w:val="0"/>
      <w:marTop w:val="0"/>
      <w:marBottom w:val="0"/>
      <w:divBdr>
        <w:top w:val="none" w:sz="0" w:space="0" w:color="auto"/>
        <w:left w:val="none" w:sz="0" w:space="0" w:color="auto"/>
        <w:bottom w:val="none" w:sz="0" w:space="0" w:color="auto"/>
        <w:right w:val="none" w:sz="0" w:space="0" w:color="auto"/>
      </w:divBdr>
    </w:div>
    <w:div w:id="972173049">
      <w:bodyDiv w:val="1"/>
      <w:marLeft w:val="0"/>
      <w:marRight w:val="0"/>
      <w:marTop w:val="0"/>
      <w:marBottom w:val="0"/>
      <w:divBdr>
        <w:top w:val="none" w:sz="0" w:space="0" w:color="auto"/>
        <w:left w:val="none" w:sz="0" w:space="0" w:color="auto"/>
        <w:bottom w:val="none" w:sz="0" w:space="0" w:color="auto"/>
        <w:right w:val="none" w:sz="0" w:space="0" w:color="auto"/>
      </w:divBdr>
    </w:div>
    <w:div w:id="974913671">
      <w:bodyDiv w:val="1"/>
      <w:marLeft w:val="0"/>
      <w:marRight w:val="0"/>
      <w:marTop w:val="0"/>
      <w:marBottom w:val="0"/>
      <w:divBdr>
        <w:top w:val="none" w:sz="0" w:space="0" w:color="auto"/>
        <w:left w:val="none" w:sz="0" w:space="0" w:color="auto"/>
        <w:bottom w:val="none" w:sz="0" w:space="0" w:color="auto"/>
        <w:right w:val="none" w:sz="0" w:space="0" w:color="auto"/>
      </w:divBdr>
      <w:divsChild>
        <w:div w:id="30494940">
          <w:marLeft w:val="0"/>
          <w:marRight w:val="0"/>
          <w:marTop w:val="0"/>
          <w:marBottom w:val="300"/>
          <w:divBdr>
            <w:top w:val="none" w:sz="0" w:space="0" w:color="auto"/>
            <w:left w:val="none" w:sz="0" w:space="0" w:color="auto"/>
            <w:bottom w:val="none" w:sz="0" w:space="0" w:color="auto"/>
            <w:right w:val="none" w:sz="0" w:space="0" w:color="auto"/>
          </w:divBdr>
        </w:div>
      </w:divsChild>
    </w:div>
    <w:div w:id="980112873">
      <w:bodyDiv w:val="1"/>
      <w:marLeft w:val="0"/>
      <w:marRight w:val="0"/>
      <w:marTop w:val="0"/>
      <w:marBottom w:val="0"/>
      <w:divBdr>
        <w:top w:val="none" w:sz="0" w:space="0" w:color="auto"/>
        <w:left w:val="none" w:sz="0" w:space="0" w:color="auto"/>
        <w:bottom w:val="none" w:sz="0" w:space="0" w:color="auto"/>
        <w:right w:val="none" w:sz="0" w:space="0" w:color="auto"/>
      </w:divBdr>
    </w:div>
    <w:div w:id="983970003">
      <w:bodyDiv w:val="1"/>
      <w:marLeft w:val="0"/>
      <w:marRight w:val="0"/>
      <w:marTop w:val="0"/>
      <w:marBottom w:val="0"/>
      <w:divBdr>
        <w:top w:val="none" w:sz="0" w:space="0" w:color="auto"/>
        <w:left w:val="none" w:sz="0" w:space="0" w:color="auto"/>
        <w:bottom w:val="none" w:sz="0" w:space="0" w:color="auto"/>
        <w:right w:val="none" w:sz="0" w:space="0" w:color="auto"/>
      </w:divBdr>
    </w:div>
    <w:div w:id="994338553">
      <w:bodyDiv w:val="1"/>
      <w:marLeft w:val="0"/>
      <w:marRight w:val="0"/>
      <w:marTop w:val="0"/>
      <w:marBottom w:val="0"/>
      <w:divBdr>
        <w:top w:val="none" w:sz="0" w:space="0" w:color="auto"/>
        <w:left w:val="none" w:sz="0" w:space="0" w:color="auto"/>
        <w:bottom w:val="none" w:sz="0" w:space="0" w:color="auto"/>
        <w:right w:val="none" w:sz="0" w:space="0" w:color="auto"/>
      </w:divBdr>
    </w:div>
    <w:div w:id="1000161480">
      <w:bodyDiv w:val="1"/>
      <w:marLeft w:val="0"/>
      <w:marRight w:val="0"/>
      <w:marTop w:val="0"/>
      <w:marBottom w:val="0"/>
      <w:divBdr>
        <w:top w:val="none" w:sz="0" w:space="0" w:color="auto"/>
        <w:left w:val="none" w:sz="0" w:space="0" w:color="auto"/>
        <w:bottom w:val="none" w:sz="0" w:space="0" w:color="auto"/>
        <w:right w:val="none" w:sz="0" w:space="0" w:color="auto"/>
      </w:divBdr>
    </w:div>
    <w:div w:id="1001470890">
      <w:bodyDiv w:val="1"/>
      <w:marLeft w:val="0"/>
      <w:marRight w:val="0"/>
      <w:marTop w:val="0"/>
      <w:marBottom w:val="0"/>
      <w:divBdr>
        <w:top w:val="none" w:sz="0" w:space="0" w:color="auto"/>
        <w:left w:val="none" w:sz="0" w:space="0" w:color="auto"/>
        <w:bottom w:val="none" w:sz="0" w:space="0" w:color="auto"/>
        <w:right w:val="none" w:sz="0" w:space="0" w:color="auto"/>
      </w:divBdr>
    </w:div>
    <w:div w:id="1010452736">
      <w:bodyDiv w:val="1"/>
      <w:marLeft w:val="0"/>
      <w:marRight w:val="0"/>
      <w:marTop w:val="0"/>
      <w:marBottom w:val="0"/>
      <w:divBdr>
        <w:top w:val="none" w:sz="0" w:space="0" w:color="auto"/>
        <w:left w:val="none" w:sz="0" w:space="0" w:color="auto"/>
        <w:bottom w:val="none" w:sz="0" w:space="0" w:color="auto"/>
        <w:right w:val="none" w:sz="0" w:space="0" w:color="auto"/>
      </w:divBdr>
    </w:div>
    <w:div w:id="1021662246">
      <w:bodyDiv w:val="1"/>
      <w:marLeft w:val="0"/>
      <w:marRight w:val="0"/>
      <w:marTop w:val="0"/>
      <w:marBottom w:val="0"/>
      <w:divBdr>
        <w:top w:val="none" w:sz="0" w:space="0" w:color="auto"/>
        <w:left w:val="none" w:sz="0" w:space="0" w:color="auto"/>
        <w:bottom w:val="none" w:sz="0" w:space="0" w:color="auto"/>
        <w:right w:val="none" w:sz="0" w:space="0" w:color="auto"/>
      </w:divBdr>
    </w:div>
    <w:div w:id="1028410927">
      <w:bodyDiv w:val="1"/>
      <w:marLeft w:val="0"/>
      <w:marRight w:val="0"/>
      <w:marTop w:val="0"/>
      <w:marBottom w:val="0"/>
      <w:divBdr>
        <w:top w:val="none" w:sz="0" w:space="0" w:color="auto"/>
        <w:left w:val="none" w:sz="0" w:space="0" w:color="auto"/>
        <w:bottom w:val="none" w:sz="0" w:space="0" w:color="auto"/>
        <w:right w:val="none" w:sz="0" w:space="0" w:color="auto"/>
      </w:divBdr>
    </w:div>
    <w:div w:id="1036462453">
      <w:bodyDiv w:val="1"/>
      <w:marLeft w:val="0"/>
      <w:marRight w:val="0"/>
      <w:marTop w:val="0"/>
      <w:marBottom w:val="0"/>
      <w:divBdr>
        <w:top w:val="none" w:sz="0" w:space="0" w:color="auto"/>
        <w:left w:val="none" w:sz="0" w:space="0" w:color="auto"/>
        <w:bottom w:val="none" w:sz="0" w:space="0" w:color="auto"/>
        <w:right w:val="none" w:sz="0" w:space="0" w:color="auto"/>
      </w:divBdr>
    </w:div>
    <w:div w:id="1076438554">
      <w:bodyDiv w:val="1"/>
      <w:marLeft w:val="0"/>
      <w:marRight w:val="0"/>
      <w:marTop w:val="0"/>
      <w:marBottom w:val="0"/>
      <w:divBdr>
        <w:top w:val="none" w:sz="0" w:space="0" w:color="auto"/>
        <w:left w:val="none" w:sz="0" w:space="0" w:color="auto"/>
        <w:bottom w:val="none" w:sz="0" w:space="0" w:color="auto"/>
        <w:right w:val="none" w:sz="0" w:space="0" w:color="auto"/>
      </w:divBdr>
    </w:div>
    <w:div w:id="1086145527">
      <w:bodyDiv w:val="1"/>
      <w:marLeft w:val="0"/>
      <w:marRight w:val="0"/>
      <w:marTop w:val="0"/>
      <w:marBottom w:val="0"/>
      <w:divBdr>
        <w:top w:val="none" w:sz="0" w:space="0" w:color="auto"/>
        <w:left w:val="none" w:sz="0" w:space="0" w:color="auto"/>
        <w:bottom w:val="none" w:sz="0" w:space="0" w:color="auto"/>
        <w:right w:val="none" w:sz="0" w:space="0" w:color="auto"/>
      </w:divBdr>
    </w:div>
    <w:div w:id="1097364463">
      <w:bodyDiv w:val="1"/>
      <w:marLeft w:val="0"/>
      <w:marRight w:val="0"/>
      <w:marTop w:val="0"/>
      <w:marBottom w:val="0"/>
      <w:divBdr>
        <w:top w:val="none" w:sz="0" w:space="0" w:color="auto"/>
        <w:left w:val="none" w:sz="0" w:space="0" w:color="auto"/>
        <w:bottom w:val="none" w:sz="0" w:space="0" w:color="auto"/>
        <w:right w:val="none" w:sz="0" w:space="0" w:color="auto"/>
      </w:divBdr>
    </w:div>
    <w:div w:id="1101753432">
      <w:bodyDiv w:val="1"/>
      <w:marLeft w:val="0"/>
      <w:marRight w:val="0"/>
      <w:marTop w:val="0"/>
      <w:marBottom w:val="0"/>
      <w:divBdr>
        <w:top w:val="none" w:sz="0" w:space="0" w:color="auto"/>
        <w:left w:val="none" w:sz="0" w:space="0" w:color="auto"/>
        <w:bottom w:val="none" w:sz="0" w:space="0" w:color="auto"/>
        <w:right w:val="none" w:sz="0" w:space="0" w:color="auto"/>
      </w:divBdr>
    </w:div>
    <w:div w:id="1103038202">
      <w:bodyDiv w:val="1"/>
      <w:marLeft w:val="0"/>
      <w:marRight w:val="0"/>
      <w:marTop w:val="0"/>
      <w:marBottom w:val="0"/>
      <w:divBdr>
        <w:top w:val="none" w:sz="0" w:space="0" w:color="auto"/>
        <w:left w:val="none" w:sz="0" w:space="0" w:color="auto"/>
        <w:bottom w:val="none" w:sz="0" w:space="0" w:color="auto"/>
        <w:right w:val="none" w:sz="0" w:space="0" w:color="auto"/>
      </w:divBdr>
    </w:div>
    <w:div w:id="1104574627">
      <w:bodyDiv w:val="1"/>
      <w:marLeft w:val="0"/>
      <w:marRight w:val="0"/>
      <w:marTop w:val="0"/>
      <w:marBottom w:val="0"/>
      <w:divBdr>
        <w:top w:val="none" w:sz="0" w:space="0" w:color="auto"/>
        <w:left w:val="none" w:sz="0" w:space="0" w:color="auto"/>
        <w:bottom w:val="none" w:sz="0" w:space="0" w:color="auto"/>
        <w:right w:val="none" w:sz="0" w:space="0" w:color="auto"/>
      </w:divBdr>
    </w:div>
    <w:div w:id="1124693156">
      <w:bodyDiv w:val="1"/>
      <w:marLeft w:val="0"/>
      <w:marRight w:val="0"/>
      <w:marTop w:val="0"/>
      <w:marBottom w:val="0"/>
      <w:divBdr>
        <w:top w:val="none" w:sz="0" w:space="0" w:color="auto"/>
        <w:left w:val="none" w:sz="0" w:space="0" w:color="auto"/>
        <w:bottom w:val="none" w:sz="0" w:space="0" w:color="auto"/>
        <w:right w:val="none" w:sz="0" w:space="0" w:color="auto"/>
      </w:divBdr>
    </w:div>
    <w:div w:id="1127046157">
      <w:bodyDiv w:val="1"/>
      <w:marLeft w:val="0"/>
      <w:marRight w:val="0"/>
      <w:marTop w:val="0"/>
      <w:marBottom w:val="0"/>
      <w:divBdr>
        <w:top w:val="none" w:sz="0" w:space="0" w:color="auto"/>
        <w:left w:val="none" w:sz="0" w:space="0" w:color="auto"/>
        <w:bottom w:val="none" w:sz="0" w:space="0" w:color="auto"/>
        <w:right w:val="none" w:sz="0" w:space="0" w:color="auto"/>
      </w:divBdr>
    </w:div>
    <w:div w:id="1127046206">
      <w:bodyDiv w:val="1"/>
      <w:marLeft w:val="0"/>
      <w:marRight w:val="0"/>
      <w:marTop w:val="0"/>
      <w:marBottom w:val="0"/>
      <w:divBdr>
        <w:top w:val="none" w:sz="0" w:space="0" w:color="auto"/>
        <w:left w:val="none" w:sz="0" w:space="0" w:color="auto"/>
        <w:bottom w:val="none" w:sz="0" w:space="0" w:color="auto"/>
        <w:right w:val="none" w:sz="0" w:space="0" w:color="auto"/>
      </w:divBdr>
    </w:div>
    <w:div w:id="1131510332">
      <w:bodyDiv w:val="1"/>
      <w:marLeft w:val="0"/>
      <w:marRight w:val="0"/>
      <w:marTop w:val="0"/>
      <w:marBottom w:val="0"/>
      <w:divBdr>
        <w:top w:val="none" w:sz="0" w:space="0" w:color="auto"/>
        <w:left w:val="none" w:sz="0" w:space="0" w:color="auto"/>
        <w:bottom w:val="none" w:sz="0" w:space="0" w:color="auto"/>
        <w:right w:val="none" w:sz="0" w:space="0" w:color="auto"/>
      </w:divBdr>
    </w:div>
    <w:div w:id="1147477609">
      <w:bodyDiv w:val="1"/>
      <w:marLeft w:val="0"/>
      <w:marRight w:val="0"/>
      <w:marTop w:val="0"/>
      <w:marBottom w:val="0"/>
      <w:divBdr>
        <w:top w:val="none" w:sz="0" w:space="0" w:color="auto"/>
        <w:left w:val="none" w:sz="0" w:space="0" w:color="auto"/>
        <w:bottom w:val="none" w:sz="0" w:space="0" w:color="auto"/>
        <w:right w:val="none" w:sz="0" w:space="0" w:color="auto"/>
      </w:divBdr>
    </w:div>
    <w:div w:id="1150319842">
      <w:bodyDiv w:val="1"/>
      <w:marLeft w:val="0"/>
      <w:marRight w:val="0"/>
      <w:marTop w:val="0"/>
      <w:marBottom w:val="0"/>
      <w:divBdr>
        <w:top w:val="none" w:sz="0" w:space="0" w:color="auto"/>
        <w:left w:val="none" w:sz="0" w:space="0" w:color="auto"/>
        <w:bottom w:val="none" w:sz="0" w:space="0" w:color="auto"/>
        <w:right w:val="none" w:sz="0" w:space="0" w:color="auto"/>
      </w:divBdr>
    </w:div>
    <w:div w:id="1160581351">
      <w:bodyDiv w:val="1"/>
      <w:marLeft w:val="0"/>
      <w:marRight w:val="0"/>
      <w:marTop w:val="0"/>
      <w:marBottom w:val="0"/>
      <w:divBdr>
        <w:top w:val="none" w:sz="0" w:space="0" w:color="auto"/>
        <w:left w:val="none" w:sz="0" w:space="0" w:color="auto"/>
        <w:bottom w:val="none" w:sz="0" w:space="0" w:color="auto"/>
        <w:right w:val="none" w:sz="0" w:space="0" w:color="auto"/>
      </w:divBdr>
    </w:div>
    <w:div w:id="1173684431">
      <w:bodyDiv w:val="1"/>
      <w:marLeft w:val="0"/>
      <w:marRight w:val="0"/>
      <w:marTop w:val="0"/>
      <w:marBottom w:val="0"/>
      <w:divBdr>
        <w:top w:val="none" w:sz="0" w:space="0" w:color="auto"/>
        <w:left w:val="none" w:sz="0" w:space="0" w:color="auto"/>
        <w:bottom w:val="none" w:sz="0" w:space="0" w:color="auto"/>
        <w:right w:val="none" w:sz="0" w:space="0" w:color="auto"/>
      </w:divBdr>
    </w:div>
    <w:div w:id="1179657362">
      <w:bodyDiv w:val="1"/>
      <w:marLeft w:val="0"/>
      <w:marRight w:val="0"/>
      <w:marTop w:val="0"/>
      <w:marBottom w:val="0"/>
      <w:divBdr>
        <w:top w:val="none" w:sz="0" w:space="0" w:color="auto"/>
        <w:left w:val="none" w:sz="0" w:space="0" w:color="auto"/>
        <w:bottom w:val="none" w:sz="0" w:space="0" w:color="auto"/>
        <w:right w:val="none" w:sz="0" w:space="0" w:color="auto"/>
      </w:divBdr>
    </w:div>
    <w:div w:id="1181893385">
      <w:bodyDiv w:val="1"/>
      <w:marLeft w:val="0"/>
      <w:marRight w:val="0"/>
      <w:marTop w:val="0"/>
      <w:marBottom w:val="0"/>
      <w:divBdr>
        <w:top w:val="none" w:sz="0" w:space="0" w:color="auto"/>
        <w:left w:val="none" w:sz="0" w:space="0" w:color="auto"/>
        <w:bottom w:val="none" w:sz="0" w:space="0" w:color="auto"/>
        <w:right w:val="none" w:sz="0" w:space="0" w:color="auto"/>
      </w:divBdr>
    </w:div>
    <w:div w:id="1182933636">
      <w:bodyDiv w:val="1"/>
      <w:marLeft w:val="0"/>
      <w:marRight w:val="0"/>
      <w:marTop w:val="0"/>
      <w:marBottom w:val="0"/>
      <w:divBdr>
        <w:top w:val="none" w:sz="0" w:space="0" w:color="auto"/>
        <w:left w:val="none" w:sz="0" w:space="0" w:color="auto"/>
        <w:bottom w:val="none" w:sz="0" w:space="0" w:color="auto"/>
        <w:right w:val="none" w:sz="0" w:space="0" w:color="auto"/>
      </w:divBdr>
    </w:div>
    <w:div w:id="1195385818">
      <w:bodyDiv w:val="1"/>
      <w:marLeft w:val="0"/>
      <w:marRight w:val="0"/>
      <w:marTop w:val="0"/>
      <w:marBottom w:val="0"/>
      <w:divBdr>
        <w:top w:val="none" w:sz="0" w:space="0" w:color="auto"/>
        <w:left w:val="none" w:sz="0" w:space="0" w:color="auto"/>
        <w:bottom w:val="none" w:sz="0" w:space="0" w:color="auto"/>
        <w:right w:val="none" w:sz="0" w:space="0" w:color="auto"/>
      </w:divBdr>
    </w:div>
    <w:div w:id="1202861890">
      <w:bodyDiv w:val="1"/>
      <w:marLeft w:val="0"/>
      <w:marRight w:val="0"/>
      <w:marTop w:val="0"/>
      <w:marBottom w:val="0"/>
      <w:divBdr>
        <w:top w:val="none" w:sz="0" w:space="0" w:color="auto"/>
        <w:left w:val="none" w:sz="0" w:space="0" w:color="auto"/>
        <w:bottom w:val="none" w:sz="0" w:space="0" w:color="auto"/>
        <w:right w:val="none" w:sz="0" w:space="0" w:color="auto"/>
      </w:divBdr>
    </w:div>
    <w:div w:id="1206412431">
      <w:bodyDiv w:val="1"/>
      <w:marLeft w:val="0"/>
      <w:marRight w:val="0"/>
      <w:marTop w:val="0"/>
      <w:marBottom w:val="0"/>
      <w:divBdr>
        <w:top w:val="none" w:sz="0" w:space="0" w:color="auto"/>
        <w:left w:val="none" w:sz="0" w:space="0" w:color="auto"/>
        <w:bottom w:val="none" w:sz="0" w:space="0" w:color="auto"/>
        <w:right w:val="none" w:sz="0" w:space="0" w:color="auto"/>
      </w:divBdr>
    </w:div>
    <w:div w:id="1208877549">
      <w:bodyDiv w:val="1"/>
      <w:marLeft w:val="0"/>
      <w:marRight w:val="0"/>
      <w:marTop w:val="0"/>
      <w:marBottom w:val="0"/>
      <w:divBdr>
        <w:top w:val="none" w:sz="0" w:space="0" w:color="auto"/>
        <w:left w:val="none" w:sz="0" w:space="0" w:color="auto"/>
        <w:bottom w:val="none" w:sz="0" w:space="0" w:color="auto"/>
        <w:right w:val="none" w:sz="0" w:space="0" w:color="auto"/>
      </w:divBdr>
    </w:div>
    <w:div w:id="1210608278">
      <w:bodyDiv w:val="1"/>
      <w:marLeft w:val="0"/>
      <w:marRight w:val="0"/>
      <w:marTop w:val="0"/>
      <w:marBottom w:val="0"/>
      <w:divBdr>
        <w:top w:val="none" w:sz="0" w:space="0" w:color="auto"/>
        <w:left w:val="none" w:sz="0" w:space="0" w:color="auto"/>
        <w:bottom w:val="none" w:sz="0" w:space="0" w:color="auto"/>
        <w:right w:val="none" w:sz="0" w:space="0" w:color="auto"/>
      </w:divBdr>
    </w:div>
    <w:div w:id="1212572200">
      <w:bodyDiv w:val="1"/>
      <w:marLeft w:val="0"/>
      <w:marRight w:val="0"/>
      <w:marTop w:val="0"/>
      <w:marBottom w:val="0"/>
      <w:divBdr>
        <w:top w:val="none" w:sz="0" w:space="0" w:color="auto"/>
        <w:left w:val="none" w:sz="0" w:space="0" w:color="auto"/>
        <w:bottom w:val="none" w:sz="0" w:space="0" w:color="auto"/>
        <w:right w:val="none" w:sz="0" w:space="0" w:color="auto"/>
      </w:divBdr>
    </w:div>
    <w:div w:id="1216284028">
      <w:bodyDiv w:val="1"/>
      <w:marLeft w:val="0"/>
      <w:marRight w:val="0"/>
      <w:marTop w:val="0"/>
      <w:marBottom w:val="0"/>
      <w:divBdr>
        <w:top w:val="none" w:sz="0" w:space="0" w:color="auto"/>
        <w:left w:val="none" w:sz="0" w:space="0" w:color="auto"/>
        <w:bottom w:val="none" w:sz="0" w:space="0" w:color="auto"/>
        <w:right w:val="none" w:sz="0" w:space="0" w:color="auto"/>
      </w:divBdr>
    </w:div>
    <w:div w:id="1233781252">
      <w:bodyDiv w:val="1"/>
      <w:marLeft w:val="0"/>
      <w:marRight w:val="0"/>
      <w:marTop w:val="0"/>
      <w:marBottom w:val="0"/>
      <w:divBdr>
        <w:top w:val="none" w:sz="0" w:space="0" w:color="auto"/>
        <w:left w:val="none" w:sz="0" w:space="0" w:color="auto"/>
        <w:bottom w:val="none" w:sz="0" w:space="0" w:color="auto"/>
        <w:right w:val="none" w:sz="0" w:space="0" w:color="auto"/>
      </w:divBdr>
    </w:div>
    <w:div w:id="1239513511">
      <w:bodyDiv w:val="1"/>
      <w:marLeft w:val="0"/>
      <w:marRight w:val="0"/>
      <w:marTop w:val="0"/>
      <w:marBottom w:val="0"/>
      <w:divBdr>
        <w:top w:val="none" w:sz="0" w:space="0" w:color="auto"/>
        <w:left w:val="none" w:sz="0" w:space="0" w:color="auto"/>
        <w:bottom w:val="none" w:sz="0" w:space="0" w:color="auto"/>
        <w:right w:val="none" w:sz="0" w:space="0" w:color="auto"/>
      </w:divBdr>
    </w:div>
    <w:div w:id="1243753565">
      <w:bodyDiv w:val="1"/>
      <w:marLeft w:val="0"/>
      <w:marRight w:val="0"/>
      <w:marTop w:val="0"/>
      <w:marBottom w:val="0"/>
      <w:divBdr>
        <w:top w:val="none" w:sz="0" w:space="0" w:color="auto"/>
        <w:left w:val="none" w:sz="0" w:space="0" w:color="auto"/>
        <w:bottom w:val="none" w:sz="0" w:space="0" w:color="auto"/>
        <w:right w:val="none" w:sz="0" w:space="0" w:color="auto"/>
      </w:divBdr>
    </w:div>
    <w:div w:id="1271740182">
      <w:bodyDiv w:val="1"/>
      <w:marLeft w:val="0"/>
      <w:marRight w:val="0"/>
      <w:marTop w:val="0"/>
      <w:marBottom w:val="0"/>
      <w:divBdr>
        <w:top w:val="none" w:sz="0" w:space="0" w:color="auto"/>
        <w:left w:val="none" w:sz="0" w:space="0" w:color="auto"/>
        <w:bottom w:val="none" w:sz="0" w:space="0" w:color="auto"/>
        <w:right w:val="none" w:sz="0" w:space="0" w:color="auto"/>
      </w:divBdr>
    </w:div>
    <w:div w:id="1273050201">
      <w:bodyDiv w:val="1"/>
      <w:marLeft w:val="0"/>
      <w:marRight w:val="0"/>
      <w:marTop w:val="0"/>
      <w:marBottom w:val="0"/>
      <w:divBdr>
        <w:top w:val="none" w:sz="0" w:space="0" w:color="auto"/>
        <w:left w:val="none" w:sz="0" w:space="0" w:color="auto"/>
        <w:bottom w:val="none" w:sz="0" w:space="0" w:color="auto"/>
        <w:right w:val="none" w:sz="0" w:space="0" w:color="auto"/>
      </w:divBdr>
    </w:div>
    <w:div w:id="1273708066">
      <w:bodyDiv w:val="1"/>
      <w:marLeft w:val="0"/>
      <w:marRight w:val="0"/>
      <w:marTop w:val="0"/>
      <w:marBottom w:val="0"/>
      <w:divBdr>
        <w:top w:val="none" w:sz="0" w:space="0" w:color="auto"/>
        <w:left w:val="none" w:sz="0" w:space="0" w:color="auto"/>
        <w:bottom w:val="none" w:sz="0" w:space="0" w:color="auto"/>
        <w:right w:val="none" w:sz="0" w:space="0" w:color="auto"/>
      </w:divBdr>
    </w:div>
    <w:div w:id="1282151831">
      <w:bodyDiv w:val="1"/>
      <w:marLeft w:val="0"/>
      <w:marRight w:val="0"/>
      <w:marTop w:val="0"/>
      <w:marBottom w:val="0"/>
      <w:divBdr>
        <w:top w:val="none" w:sz="0" w:space="0" w:color="auto"/>
        <w:left w:val="none" w:sz="0" w:space="0" w:color="auto"/>
        <w:bottom w:val="none" w:sz="0" w:space="0" w:color="auto"/>
        <w:right w:val="none" w:sz="0" w:space="0" w:color="auto"/>
      </w:divBdr>
    </w:div>
    <w:div w:id="1285312355">
      <w:bodyDiv w:val="1"/>
      <w:marLeft w:val="0"/>
      <w:marRight w:val="0"/>
      <w:marTop w:val="0"/>
      <w:marBottom w:val="0"/>
      <w:divBdr>
        <w:top w:val="none" w:sz="0" w:space="0" w:color="auto"/>
        <w:left w:val="none" w:sz="0" w:space="0" w:color="auto"/>
        <w:bottom w:val="none" w:sz="0" w:space="0" w:color="auto"/>
        <w:right w:val="none" w:sz="0" w:space="0" w:color="auto"/>
      </w:divBdr>
    </w:div>
    <w:div w:id="1294869347">
      <w:bodyDiv w:val="1"/>
      <w:marLeft w:val="0"/>
      <w:marRight w:val="0"/>
      <w:marTop w:val="0"/>
      <w:marBottom w:val="0"/>
      <w:divBdr>
        <w:top w:val="none" w:sz="0" w:space="0" w:color="auto"/>
        <w:left w:val="none" w:sz="0" w:space="0" w:color="auto"/>
        <w:bottom w:val="none" w:sz="0" w:space="0" w:color="auto"/>
        <w:right w:val="none" w:sz="0" w:space="0" w:color="auto"/>
      </w:divBdr>
    </w:div>
    <w:div w:id="1307658985">
      <w:bodyDiv w:val="1"/>
      <w:marLeft w:val="0"/>
      <w:marRight w:val="0"/>
      <w:marTop w:val="0"/>
      <w:marBottom w:val="0"/>
      <w:divBdr>
        <w:top w:val="none" w:sz="0" w:space="0" w:color="auto"/>
        <w:left w:val="none" w:sz="0" w:space="0" w:color="auto"/>
        <w:bottom w:val="none" w:sz="0" w:space="0" w:color="auto"/>
        <w:right w:val="none" w:sz="0" w:space="0" w:color="auto"/>
      </w:divBdr>
    </w:div>
    <w:div w:id="1308436764">
      <w:bodyDiv w:val="1"/>
      <w:marLeft w:val="0"/>
      <w:marRight w:val="0"/>
      <w:marTop w:val="0"/>
      <w:marBottom w:val="0"/>
      <w:divBdr>
        <w:top w:val="none" w:sz="0" w:space="0" w:color="auto"/>
        <w:left w:val="none" w:sz="0" w:space="0" w:color="auto"/>
        <w:bottom w:val="none" w:sz="0" w:space="0" w:color="auto"/>
        <w:right w:val="none" w:sz="0" w:space="0" w:color="auto"/>
      </w:divBdr>
    </w:div>
    <w:div w:id="1326126725">
      <w:bodyDiv w:val="1"/>
      <w:marLeft w:val="0"/>
      <w:marRight w:val="0"/>
      <w:marTop w:val="0"/>
      <w:marBottom w:val="0"/>
      <w:divBdr>
        <w:top w:val="none" w:sz="0" w:space="0" w:color="auto"/>
        <w:left w:val="none" w:sz="0" w:space="0" w:color="auto"/>
        <w:bottom w:val="none" w:sz="0" w:space="0" w:color="auto"/>
        <w:right w:val="none" w:sz="0" w:space="0" w:color="auto"/>
      </w:divBdr>
    </w:div>
    <w:div w:id="1331442084">
      <w:bodyDiv w:val="1"/>
      <w:marLeft w:val="0"/>
      <w:marRight w:val="0"/>
      <w:marTop w:val="0"/>
      <w:marBottom w:val="0"/>
      <w:divBdr>
        <w:top w:val="none" w:sz="0" w:space="0" w:color="auto"/>
        <w:left w:val="none" w:sz="0" w:space="0" w:color="auto"/>
        <w:bottom w:val="none" w:sz="0" w:space="0" w:color="auto"/>
        <w:right w:val="none" w:sz="0" w:space="0" w:color="auto"/>
      </w:divBdr>
    </w:div>
    <w:div w:id="1338534510">
      <w:bodyDiv w:val="1"/>
      <w:marLeft w:val="0"/>
      <w:marRight w:val="0"/>
      <w:marTop w:val="0"/>
      <w:marBottom w:val="0"/>
      <w:divBdr>
        <w:top w:val="none" w:sz="0" w:space="0" w:color="auto"/>
        <w:left w:val="none" w:sz="0" w:space="0" w:color="auto"/>
        <w:bottom w:val="none" w:sz="0" w:space="0" w:color="auto"/>
        <w:right w:val="none" w:sz="0" w:space="0" w:color="auto"/>
      </w:divBdr>
    </w:div>
    <w:div w:id="1368024431">
      <w:bodyDiv w:val="1"/>
      <w:marLeft w:val="0"/>
      <w:marRight w:val="0"/>
      <w:marTop w:val="0"/>
      <w:marBottom w:val="0"/>
      <w:divBdr>
        <w:top w:val="none" w:sz="0" w:space="0" w:color="auto"/>
        <w:left w:val="none" w:sz="0" w:space="0" w:color="auto"/>
        <w:bottom w:val="none" w:sz="0" w:space="0" w:color="auto"/>
        <w:right w:val="none" w:sz="0" w:space="0" w:color="auto"/>
      </w:divBdr>
    </w:div>
    <w:div w:id="1368413651">
      <w:bodyDiv w:val="1"/>
      <w:marLeft w:val="0"/>
      <w:marRight w:val="0"/>
      <w:marTop w:val="0"/>
      <w:marBottom w:val="0"/>
      <w:divBdr>
        <w:top w:val="none" w:sz="0" w:space="0" w:color="auto"/>
        <w:left w:val="none" w:sz="0" w:space="0" w:color="auto"/>
        <w:bottom w:val="none" w:sz="0" w:space="0" w:color="auto"/>
        <w:right w:val="none" w:sz="0" w:space="0" w:color="auto"/>
      </w:divBdr>
    </w:div>
    <w:div w:id="1380207549">
      <w:bodyDiv w:val="1"/>
      <w:marLeft w:val="0"/>
      <w:marRight w:val="0"/>
      <w:marTop w:val="0"/>
      <w:marBottom w:val="0"/>
      <w:divBdr>
        <w:top w:val="none" w:sz="0" w:space="0" w:color="auto"/>
        <w:left w:val="none" w:sz="0" w:space="0" w:color="auto"/>
        <w:bottom w:val="none" w:sz="0" w:space="0" w:color="auto"/>
        <w:right w:val="none" w:sz="0" w:space="0" w:color="auto"/>
      </w:divBdr>
    </w:div>
    <w:div w:id="1381703967">
      <w:bodyDiv w:val="1"/>
      <w:marLeft w:val="0"/>
      <w:marRight w:val="0"/>
      <w:marTop w:val="0"/>
      <w:marBottom w:val="0"/>
      <w:divBdr>
        <w:top w:val="none" w:sz="0" w:space="0" w:color="auto"/>
        <w:left w:val="none" w:sz="0" w:space="0" w:color="auto"/>
        <w:bottom w:val="none" w:sz="0" w:space="0" w:color="auto"/>
        <w:right w:val="none" w:sz="0" w:space="0" w:color="auto"/>
      </w:divBdr>
    </w:div>
    <w:div w:id="1391657583">
      <w:bodyDiv w:val="1"/>
      <w:marLeft w:val="0"/>
      <w:marRight w:val="0"/>
      <w:marTop w:val="0"/>
      <w:marBottom w:val="0"/>
      <w:divBdr>
        <w:top w:val="none" w:sz="0" w:space="0" w:color="auto"/>
        <w:left w:val="none" w:sz="0" w:space="0" w:color="auto"/>
        <w:bottom w:val="none" w:sz="0" w:space="0" w:color="auto"/>
        <w:right w:val="none" w:sz="0" w:space="0" w:color="auto"/>
      </w:divBdr>
    </w:div>
    <w:div w:id="1391997592">
      <w:bodyDiv w:val="1"/>
      <w:marLeft w:val="0"/>
      <w:marRight w:val="0"/>
      <w:marTop w:val="0"/>
      <w:marBottom w:val="0"/>
      <w:divBdr>
        <w:top w:val="none" w:sz="0" w:space="0" w:color="auto"/>
        <w:left w:val="none" w:sz="0" w:space="0" w:color="auto"/>
        <w:bottom w:val="none" w:sz="0" w:space="0" w:color="auto"/>
        <w:right w:val="none" w:sz="0" w:space="0" w:color="auto"/>
      </w:divBdr>
    </w:div>
    <w:div w:id="1399479221">
      <w:bodyDiv w:val="1"/>
      <w:marLeft w:val="0"/>
      <w:marRight w:val="0"/>
      <w:marTop w:val="0"/>
      <w:marBottom w:val="0"/>
      <w:divBdr>
        <w:top w:val="none" w:sz="0" w:space="0" w:color="auto"/>
        <w:left w:val="none" w:sz="0" w:space="0" w:color="auto"/>
        <w:bottom w:val="none" w:sz="0" w:space="0" w:color="auto"/>
        <w:right w:val="none" w:sz="0" w:space="0" w:color="auto"/>
      </w:divBdr>
    </w:div>
    <w:div w:id="1415202473">
      <w:bodyDiv w:val="1"/>
      <w:marLeft w:val="0"/>
      <w:marRight w:val="0"/>
      <w:marTop w:val="0"/>
      <w:marBottom w:val="0"/>
      <w:divBdr>
        <w:top w:val="none" w:sz="0" w:space="0" w:color="auto"/>
        <w:left w:val="none" w:sz="0" w:space="0" w:color="auto"/>
        <w:bottom w:val="none" w:sz="0" w:space="0" w:color="auto"/>
        <w:right w:val="none" w:sz="0" w:space="0" w:color="auto"/>
      </w:divBdr>
    </w:div>
    <w:div w:id="1419013439">
      <w:bodyDiv w:val="1"/>
      <w:marLeft w:val="0"/>
      <w:marRight w:val="0"/>
      <w:marTop w:val="0"/>
      <w:marBottom w:val="0"/>
      <w:divBdr>
        <w:top w:val="none" w:sz="0" w:space="0" w:color="auto"/>
        <w:left w:val="none" w:sz="0" w:space="0" w:color="auto"/>
        <w:bottom w:val="none" w:sz="0" w:space="0" w:color="auto"/>
        <w:right w:val="none" w:sz="0" w:space="0" w:color="auto"/>
      </w:divBdr>
    </w:div>
    <w:div w:id="1430077427">
      <w:bodyDiv w:val="1"/>
      <w:marLeft w:val="0"/>
      <w:marRight w:val="0"/>
      <w:marTop w:val="0"/>
      <w:marBottom w:val="0"/>
      <w:divBdr>
        <w:top w:val="none" w:sz="0" w:space="0" w:color="auto"/>
        <w:left w:val="none" w:sz="0" w:space="0" w:color="auto"/>
        <w:bottom w:val="none" w:sz="0" w:space="0" w:color="auto"/>
        <w:right w:val="none" w:sz="0" w:space="0" w:color="auto"/>
      </w:divBdr>
    </w:div>
    <w:div w:id="1430589964">
      <w:bodyDiv w:val="1"/>
      <w:marLeft w:val="0"/>
      <w:marRight w:val="0"/>
      <w:marTop w:val="0"/>
      <w:marBottom w:val="0"/>
      <w:divBdr>
        <w:top w:val="none" w:sz="0" w:space="0" w:color="auto"/>
        <w:left w:val="none" w:sz="0" w:space="0" w:color="auto"/>
        <w:bottom w:val="none" w:sz="0" w:space="0" w:color="auto"/>
        <w:right w:val="none" w:sz="0" w:space="0" w:color="auto"/>
      </w:divBdr>
    </w:div>
    <w:div w:id="1434328152">
      <w:bodyDiv w:val="1"/>
      <w:marLeft w:val="0"/>
      <w:marRight w:val="0"/>
      <w:marTop w:val="0"/>
      <w:marBottom w:val="0"/>
      <w:divBdr>
        <w:top w:val="none" w:sz="0" w:space="0" w:color="auto"/>
        <w:left w:val="none" w:sz="0" w:space="0" w:color="auto"/>
        <w:bottom w:val="none" w:sz="0" w:space="0" w:color="auto"/>
        <w:right w:val="none" w:sz="0" w:space="0" w:color="auto"/>
      </w:divBdr>
    </w:div>
    <w:div w:id="1435981820">
      <w:bodyDiv w:val="1"/>
      <w:marLeft w:val="0"/>
      <w:marRight w:val="0"/>
      <w:marTop w:val="0"/>
      <w:marBottom w:val="0"/>
      <w:divBdr>
        <w:top w:val="none" w:sz="0" w:space="0" w:color="auto"/>
        <w:left w:val="none" w:sz="0" w:space="0" w:color="auto"/>
        <w:bottom w:val="none" w:sz="0" w:space="0" w:color="auto"/>
        <w:right w:val="none" w:sz="0" w:space="0" w:color="auto"/>
      </w:divBdr>
    </w:div>
    <w:div w:id="1440250028">
      <w:bodyDiv w:val="1"/>
      <w:marLeft w:val="0"/>
      <w:marRight w:val="0"/>
      <w:marTop w:val="0"/>
      <w:marBottom w:val="0"/>
      <w:divBdr>
        <w:top w:val="none" w:sz="0" w:space="0" w:color="auto"/>
        <w:left w:val="none" w:sz="0" w:space="0" w:color="auto"/>
        <w:bottom w:val="none" w:sz="0" w:space="0" w:color="auto"/>
        <w:right w:val="none" w:sz="0" w:space="0" w:color="auto"/>
      </w:divBdr>
    </w:div>
    <w:div w:id="1493988462">
      <w:bodyDiv w:val="1"/>
      <w:marLeft w:val="0"/>
      <w:marRight w:val="0"/>
      <w:marTop w:val="0"/>
      <w:marBottom w:val="0"/>
      <w:divBdr>
        <w:top w:val="none" w:sz="0" w:space="0" w:color="auto"/>
        <w:left w:val="none" w:sz="0" w:space="0" w:color="auto"/>
        <w:bottom w:val="none" w:sz="0" w:space="0" w:color="auto"/>
        <w:right w:val="none" w:sz="0" w:space="0" w:color="auto"/>
      </w:divBdr>
    </w:div>
    <w:div w:id="1502621487">
      <w:bodyDiv w:val="1"/>
      <w:marLeft w:val="0"/>
      <w:marRight w:val="0"/>
      <w:marTop w:val="0"/>
      <w:marBottom w:val="0"/>
      <w:divBdr>
        <w:top w:val="none" w:sz="0" w:space="0" w:color="auto"/>
        <w:left w:val="none" w:sz="0" w:space="0" w:color="auto"/>
        <w:bottom w:val="none" w:sz="0" w:space="0" w:color="auto"/>
        <w:right w:val="none" w:sz="0" w:space="0" w:color="auto"/>
      </w:divBdr>
    </w:div>
    <w:div w:id="1509054591">
      <w:bodyDiv w:val="1"/>
      <w:marLeft w:val="0"/>
      <w:marRight w:val="0"/>
      <w:marTop w:val="0"/>
      <w:marBottom w:val="0"/>
      <w:divBdr>
        <w:top w:val="none" w:sz="0" w:space="0" w:color="auto"/>
        <w:left w:val="none" w:sz="0" w:space="0" w:color="auto"/>
        <w:bottom w:val="none" w:sz="0" w:space="0" w:color="auto"/>
        <w:right w:val="none" w:sz="0" w:space="0" w:color="auto"/>
      </w:divBdr>
    </w:div>
    <w:div w:id="1520504454">
      <w:bodyDiv w:val="1"/>
      <w:marLeft w:val="0"/>
      <w:marRight w:val="0"/>
      <w:marTop w:val="0"/>
      <w:marBottom w:val="0"/>
      <w:divBdr>
        <w:top w:val="none" w:sz="0" w:space="0" w:color="auto"/>
        <w:left w:val="none" w:sz="0" w:space="0" w:color="auto"/>
        <w:bottom w:val="none" w:sz="0" w:space="0" w:color="auto"/>
        <w:right w:val="none" w:sz="0" w:space="0" w:color="auto"/>
      </w:divBdr>
    </w:div>
    <w:div w:id="1544636363">
      <w:bodyDiv w:val="1"/>
      <w:marLeft w:val="0"/>
      <w:marRight w:val="0"/>
      <w:marTop w:val="0"/>
      <w:marBottom w:val="0"/>
      <w:divBdr>
        <w:top w:val="none" w:sz="0" w:space="0" w:color="auto"/>
        <w:left w:val="none" w:sz="0" w:space="0" w:color="auto"/>
        <w:bottom w:val="none" w:sz="0" w:space="0" w:color="auto"/>
        <w:right w:val="none" w:sz="0" w:space="0" w:color="auto"/>
      </w:divBdr>
    </w:div>
    <w:div w:id="1552308411">
      <w:bodyDiv w:val="1"/>
      <w:marLeft w:val="0"/>
      <w:marRight w:val="0"/>
      <w:marTop w:val="0"/>
      <w:marBottom w:val="0"/>
      <w:divBdr>
        <w:top w:val="none" w:sz="0" w:space="0" w:color="auto"/>
        <w:left w:val="none" w:sz="0" w:space="0" w:color="auto"/>
        <w:bottom w:val="none" w:sz="0" w:space="0" w:color="auto"/>
        <w:right w:val="none" w:sz="0" w:space="0" w:color="auto"/>
      </w:divBdr>
    </w:div>
    <w:div w:id="1555385231">
      <w:bodyDiv w:val="1"/>
      <w:marLeft w:val="0"/>
      <w:marRight w:val="0"/>
      <w:marTop w:val="0"/>
      <w:marBottom w:val="0"/>
      <w:divBdr>
        <w:top w:val="none" w:sz="0" w:space="0" w:color="auto"/>
        <w:left w:val="none" w:sz="0" w:space="0" w:color="auto"/>
        <w:bottom w:val="none" w:sz="0" w:space="0" w:color="auto"/>
        <w:right w:val="none" w:sz="0" w:space="0" w:color="auto"/>
      </w:divBdr>
    </w:div>
    <w:div w:id="1556354289">
      <w:bodyDiv w:val="1"/>
      <w:marLeft w:val="0"/>
      <w:marRight w:val="0"/>
      <w:marTop w:val="0"/>
      <w:marBottom w:val="0"/>
      <w:divBdr>
        <w:top w:val="none" w:sz="0" w:space="0" w:color="auto"/>
        <w:left w:val="none" w:sz="0" w:space="0" w:color="auto"/>
        <w:bottom w:val="none" w:sz="0" w:space="0" w:color="auto"/>
        <w:right w:val="none" w:sz="0" w:space="0" w:color="auto"/>
      </w:divBdr>
    </w:div>
    <w:div w:id="1561598678">
      <w:bodyDiv w:val="1"/>
      <w:marLeft w:val="0"/>
      <w:marRight w:val="0"/>
      <w:marTop w:val="0"/>
      <w:marBottom w:val="0"/>
      <w:divBdr>
        <w:top w:val="none" w:sz="0" w:space="0" w:color="auto"/>
        <w:left w:val="none" w:sz="0" w:space="0" w:color="auto"/>
        <w:bottom w:val="none" w:sz="0" w:space="0" w:color="auto"/>
        <w:right w:val="none" w:sz="0" w:space="0" w:color="auto"/>
      </w:divBdr>
    </w:div>
    <w:div w:id="1563909138">
      <w:bodyDiv w:val="1"/>
      <w:marLeft w:val="0"/>
      <w:marRight w:val="0"/>
      <w:marTop w:val="0"/>
      <w:marBottom w:val="0"/>
      <w:divBdr>
        <w:top w:val="none" w:sz="0" w:space="0" w:color="auto"/>
        <w:left w:val="none" w:sz="0" w:space="0" w:color="auto"/>
        <w:bottom w:val="none" w:sz="0" w:space="0" w:color="auto"/>
        <w:right w:val="none" w:sz="0" w:space="0" w:color="auto"/>
      </w:divBdr>
    </w:div>
    <w:div w:id="1583107321">
      <w:bodyDiv w:val="1"/>
      <w:marLeft w:val="0"/>
      <w:marRight w:val="0"/>
      <w:marTop w:val="0"/>
      <w:marBottom w:val="0"/>
      <w:divBdr>
        <w:top w:val="none" w:sz="0" w:space="0" w:color="auto"/>
        <w:left w:val="none" w:sz="0" w:space="0" w:color="auto"/>
        <w:bottom w:val="none" w:sz="0" w:space="0" w:color="auto"/>
        <w:right w:val="none" w:sz="0" w:space="0" w:color="auto"/>
      </w:divBdr>
    </w:div>
    <w:div w:id="1620062242">
      <w:bodyDiv w:val="1"/>
      <w:marLeft w:val="0"/>
      <w:marRight w:val="0"/>
      <w:marTop w:val="0"/>
      <w:marBottom w:val="0"/>
      <w:divBdr>
        <w:top w:val="none" w:sz="0" w:space="0" w:color="auto"/>
        <w:left w:val="none" w:sz="0" w:space="0" w:color="auto"/>
        <w:bottom w:val="none" w:sz="0" w:space="0" w:color="auto"/>
        <w:right w:val="none" w:sz="0" w:space="0" w:color="auto"/>
      </w:divBdr>
    </w:div>
    <w:div w:id="1620602624">
      <w:bodyDiv w:val="1"/>
      <w:marLeft w:val="0"/>
      <w:marRight w:val="0"/>
      <w:marTop w:val="0"/>
      <w:marBottom w:val="0"/>
      <w:divBdr>
        <w:top w:val="none" w:sz="0" w:space="0" w:color="auto"/>
        <w:left w:val="none" w:sz="0" w:space="0" w:color="auto"/>
        <w:bottom w:val="none" w:sz="0" w:space="0" w:color="auto"/>
        <w:right w:val="none" w:sz="0" w:space="0" w:color="auto"/>
      </w:divBdr>
    </w:div>
    <w:div w:id="1623732484">
      <w:bodyDiv w:val="1"/>
      <w:marLeft w:val="0"/>
      <w:marRight w:val="0"/>
      <w:marTop w:val="0"/>
      <w:marBottom w:val="0"/>
      <w:divBdr>
        <w:top w:val="none" w:sz="0" w:space="0" w:color="auto"/>
        <w:left w:val="none" w:sz="0" w:space="0" w:color="auto"/>
        <w:bottom w:val="none" w:sz="0" w:space="0" w:color="auto"/>
        <w:right w:val="none" w:sz="0" w:space="0" w:color="auto"/>
      </w:divBdr>
    </w:div>
    <w:div w:id="1632783465">
      <w:bodyDiv w:val="1"/>
      <w:marLeft w:val="0"/>
      <w:marRight w:val="0"/>
      <w:marTop w:val="0"/>
      <w:marBottom w:val="0"/>
      <w:divBdr>
        <w:top w:val="none" w:sz="0" w:space="0" w:color="auto"/>
        <w:left w:val="none" w:sz="0" w:space="0" w:color="auto"/>
        <w:bottom w:val="none" w:sz="0" w:space="0" w:color="auto"/>
        <w:right w:val="none" w:sz="0" w:space="0" w:color="auto"/>
      </w:divBdr>
    </w:div>
    <w:div w:id="1634091723">
      <w:bodyDiv w:val="1"/>
      <w:marLeft w:val="0"/>
      <w:marRight w:val="0"/>
      <w:marTop w:val="0"/>
      <w:marBottom w:val="0"/>
      <w:divBdr>
        <w:top w:val="none" w:sz="0" w:space="0" w:color="auto"/>
        <w:left w:val="none" w:sz="0" w:space="0" w:color="auto"/>
        <w:bottom w:val="none" w:sz="0" w:space="0" w:color="auto"/>
        <w:right w:val="none" w:sz="0" w:space="0" w:color="auto"/>
      </w:divBdr>
    </w:div>
    <w:div w:id="1638295882">
      <w:bodyDiv w:val="1"/>
      <w:marLeft w:val="0"/>
      <w:marRight w:val="0"/>
      <w:marTop w:val="0"/>
      <w:marBottom w:val="0"/>
      <w:divBdr>
        <w:top w:val="none" w:sz="0" w:space="0" w:color="auto"/>
        <w:left w:val="none" w:sz="0" w:space="0" w:color="auto"/>
        <w:bottom w:val="none" w:sz="0" w:space="0" w:color="auto"/>
        <w:right w:val="none" w:sz="0" w:space="0" w:color="auto"/>
      </w:divBdr>
    </w:div>
    <w:div w:id="1642076209">
      <w:bodyDiv w:val="1"/>
      <w:marLeft w:val="0"/>
      <w:marRight w:val="0"/>
      <w:marTop w:val="0"/>
      <w:marBottom w:val="0"/>
      <w:divBdr>
        <w:top w:val="none" w:sz="0" w:space="0" w:color="auto"/>
        <w:left w:val="none" w:sz="0" w:space="0" w:color="auto"/>
        <w:bottom w:val="none" w:sz="0" w:space="0" w:color="auto"/>
        <w:right w:val="none" w:sz="0" w:space="0" w:color="auto"/>
      </w:divBdr>
    </w:div>
    <w:div w:id="1643315478">
      <w:bodyDiv w:val="1"/>
      <w:marLeft w:val="0"/>
      <w:marRight w:val="0"/>
      <w:marTop w:val="0"/>
      <w:marBottom w:val="0"/>
      <w:divBdr>
        <w:top w:val="none" w:sz="0" w:space="0" w:color="auto"/>
        <w:left w:val="none" w:sz="0" w:space="0" w:color="auto"/>
        <w:bottom w:val="none" w:sz="0" w:space="0" w:color="auto"/>
        <w:right w:val="none" w:sz="0" w:space="0" w:color="auto"/>
      </w:divBdr>
    </w:div>
    <w:div w:id="1643391766">
      <w:bodyDiv w:val="1"/>
      <w:marLeft w:val="0"/>
      <w:marRight w:val="0"/>
      <w:marTop w:val="0"/>
      <w:marBottom w:val="0"/>
      <w:divBdr>
        <w:top w:val="none" w:sz="0" w:space="0" w:color="auto"/>
        <w:left w:val="none" w:sz="0" w:space="0" w:color="auto"/>
        <w:bottom w:val="none" w:sz="0" w:space="0" w:color="auto"/>
        <w:right w:val="none" w:sz="0" w:space="0" w:color="auto"/>
      </w:divBdr>
    </w:div>
    <w:div w:id="1655404597">
      <w:bodyDiv w:val="1"/>
      <w:marLeft w:val="0"/>
      <w:marRight w:val="0"/>
      <w:marTop w:val="0"/>
      <w:marBottom w:val="0"/>
      <w:divBdr>
        <w:top w:val="none" w:sz="0" w:space="0" w:color="auto"/>
        <w:left w:val="none" w:sz="0" w:space="0" w:color="auto"/>
        <w:bottom w:val="none" w:sz="0" w:space="0" w:color="auto"/>
        <w:right w:val="none" w:sz="0" w:space="0" w:color="auto"/>
      </w:divBdr>
    </w:div>
    <w:div w:id="1662152197">
      <w:bodyDiv w:val="1"/>
      <w:marLeft w:val="0"/>
      <w:marRight w:val="0"/>
      <w:marTop w:val="0"/>
      <w:marBottom w:val="0"/>
      <w:divBdr>
        <w:top w:val="none" w:sz="0" w:space="0" w:color="auto"/>
        <w:left w:val="none" w:sz="0" w:space="0" w:color="auto"/>
        <w:bottom w:val="none" w:sz="0" w:space="0" w:color="auto"/>
        <w:right w:val="none" w:sz="0" w:space="0" w:color="auto"/>
      </w:divBdr>
    </w:div>
    <w:div w:id="1669215253">
      <w:bodyDiv w:val="1"/>
      <w:marLeft w:val="0"/>
      <w:marRight w:val="0"/>
      <w:marTop w:val="0"/>
      <w:marBottom w:val="0"/>
      <w:divBdr>
        <w:top w:val="none" w:sz="0" w:space="0" w:color="auto"/>
        <w:left w:val="none" w:sz="0" w:space="0" w:color="auto"/>
        <w:bottom w:val="none" w:sz="0" w:space="0" w:color="auto"/>
        <w:right w:val="none" w:sz="0" w:space="0" w:color="auto"/>
      </w:divBdr>
    </w:div>
    <w:div w:id="1684746723">
      <w:bodyDiv w:val="1"/>
      <w:marLeft w:val="0"/>
      <w:marRight w:val="0"/>
      <w:marTop w:val="0"/>
      <w:marBottom w:val="0"/>
      <w:divBdr>
        <w:top w:val="none" w:sz="0" w:space="0" w:color="auto"/>
        <w:left w:val="none" w:sz="0" w:space="0" w:color="auto"/>
        <w:bottom w:val="none" w:sz="0" w:space="0" w:color="auto"/>
        <w:right w:val="none" w:sz="0" w:space="0" w:color="auto"/>
      </w:divBdr>
    </w:div>
    <w:div w:id="1689256947">
      <w:bodyDiv w:val="1"/>
      <w:marLeft w:val="0"/>
      <w:marRight w:val="0"/>
      <w:marTop w:val="0"/>
      <w:marBottom w:val="0"/>
      <w:divBdr>
        <w:top w:val="none" w:sz="0" w:space="0" w:color="auto"/>
        <w:left w:val="none" w:sz="0" w:space="0" w:color="auto"/>
        <w:bottom w:val="none" w:sz="0" w:space="0" w:color="auto"/>
        <w:right w:val="none" w:sz="0" w:space="0" w:color="auto"/>
      </w:divBdr>
    </w:div>
    <w:div w:id="1698197636">
      <w:bodyDiv w:val="1"/>
      <w:marLeft w:val="0"/>
      <w:marRight w:val="0"/>
      <w:marTop w:val="0"/>
      <w:marBottom w:val="0"/>
      <w:divBdr>
        <w:top w:val="none" w:sz="0" w:space="0" w:color="auto"/>
        <w:left w:val="none" w:sz="0" w:space="0" w:color="auto"/>
        <w:bottom w:val="none" w:sz="0" w:space="0" w:color="auto"/>
        <w:right w:val="none" w:sz="0" w:space="0" w:color="auto"/>
      </w:divBdr>
    </w:div>
    <w:div w:id="1702244281">
      <w:bodyDiv w:val="1"/>
      <w:marLeft w:val="0"/>
      <w:marRight w:val="0"/>
      <w:marTop w:val="0"/>
      <w:marBottom w:val="0"/>
      <w:divBdr>
        <w:top w:val="none" w:sz="0" w:space="0" w:color="auto"/>
        <w:left w:val="none" w:sz="0" w:space="0" w:color="auto"/>
        <w:bottom w:val="none" w:sz="0" w:space="0" w:color="auto"/>
        <w:right w:val="none" w:sz="0" w:space="0" w:color="auto"/>
      </w:divBdr>
    </w:div>
    <w:div w:id="1703089096">
      <w:bodyDiv w:val="1"/>
      <w:marLeft w:val="0"/>
      <w:marRight w:val="0"/>
      <w:marTop w:val="0"/>
      <w:marBottom w:val="0"/>
      <w:divBdr>
        <w:top w:val="none" w:sz="0" w:space="0" w:color="auto"/>
        <w:left w:val="none" w:sz="0" w:space="0" w:color="auto"/>
        <w:bottom w:val="none" w:sz="0" w:space="0" w:color="auto"/>
        <w:right w:val="none" w:sz="0" w:space="0" w:color="auto"/>
      </w:divBdr>
    </w:div>
    <w:div w:id="1731734213">
      <w:bodyDiv w:val="1"/>
      <w:marLeft w:val="0"/>
      <w:marRight w:val="0"/>
      <w:marTop w:val="0"/>
      <w:marBottom w:val="0"/>
      <w:divBdr>
        <w:top w:val="none" w:sz="0" w:space="0" w:color="auto"/>
        <w:left w:val="none" w:sz="0" w:space="0" w:color="auto"/>
        <w:bottom w:val="none" w:sz="0" w:space="0" w:color="auto"/>
        <w:right w:val="none" w:sz="0" w:space="0" w:color="auto"/>
      </w:divBdr>
    </w:div>
    <w:div w:id="1748726046">
      <w:bodyDiv w:val="1"/>
      <w:marLeft w:val="0"/>
      <w:marRight w:val="0"/>
      <w:marTop w:val="0"/>
      <w:marBottom w:val="0"/>
      <w:divBdr>
        <w:top w:val="none" w:sz="0" w:space="0" w:color="auto"/>
        <w:left w:val="none" w:sz="0" w:space="0" w:color="auto"/>
        <w:bottom w:val="none" w:sz="0" w:space="0" w:color="auto"/>
        <w:right w:val="none" w:sz="0" w:space="0" w:color="auto"/>
      </w:divBdr>
    </w:div>
    <w:div w:id="1764835399">
      <w:bodyDiv w:val="1"/>
      <w:marLeft w:val="0"/>
      <w:marRight w:val="0"/>
      <w:marTop w:val="0"/>
      <w:marBottom w:val="0"/>
      <w:divBdr>
        <w:top w:val="none" w:sz="0" w:space="0" w:color="auto"/>
        <w:left w:val="none" w:sz="0" w:space="0" w:color="auto"/>
        <w:bottom w:val="none" w:sz="0" w:space="0" w:color="auto"/>
        <w:right w:val="none" w:sz="0" w:space="0" w:color="auto"/>
      </w:divBdr>
    </w:div>
    <w:div w:id="1766807550">
      <w:bodyDiv w:val="1"/>
      <w:marLeft w:val="0"/>
      <w:marRight w:val="0"/>
      <w:marTop w:val="0"/>
      <w:marBottom w:val="0"/>
      <w:divBdr>
        <w:top w:val="none" w:sz="0" w:space="0" w:color="auto"/>
        <w:left w:val="none" w:sz="0" w:space="0" w:color="auto"/>
        <w:bottom w:val="none" w:sz="0" w:space="0" w:color="auto"/>
        <w:right w:val="none" w:sz="0" w:space="0" w:color="auto"/>
      </w:divBdr>
    </w:div>
    <w:div w:id="1769814745">
      <w:bodyDiv w:val="1"/>
      <w:marLeft w:val="0"/>
      <w:marRight w:val="0"/>
      <w:marTop w:val="0"/>
      <w:marBottom w:val="0"/>
      <w:divBdr>
        <w:top w:val="none" w:sz="0" w:space="0" w:color="auto"/>
        <w:left w:val="none" w:sz="0" w:space="0" w:color="auto"/>
        <w:bottom w:val="none" w:sz="0" w:space="0" w:color="auto"/>
        <w:right w:val="none" w:sz="0" w:space="0" w:color="auto"/>
      </w:divBdr>
    </w:div>
    <w:div w:id="1788238839">
      <w:bodyDiv w:val="1"/>
      <w:marLeft w:val="0"/>
      <w:marRight w:val="0"/>
      <w:marTop w:val="0"/>
      <w:marBottom w:val="0"/>
      <w:divBdr>
        <w:top w:val="none" w:sz="0" w:space="0" w:color="auto"/>
        <w:left w:val="none" w:sz="0" w:space="0" w:color="auto"/>
        <w:bottom w:val="none" w:sz="0" w:space="0" w:color="auto"/>
        <w:right w:val="none" w:sz="0" w:space="0" w:color="auto"/>
      </w:divBdr>
    </w:div>
    <w:div w:id="1814908834">
      <w:bodyDiv w:val="1"/>
      <w:marLeft w:val="0"/>
      <w:marRight w:val="0"/>
      <w:marTop w:val="0"/>
      <w:marBottom w:val="0"/>
      <w:divBdr>
        <w:top w:val="none" w:sz="0" w:space="0" w:color="auto"/>
        <w:left w:val="none" w:sz="0" w:space="0" w:color="auto"/>
        <w:bottom w:val="none" w:sz="0" w:space="0" w:color="auto"/>
        <w:right w:val="none" w:sz="0" w:space="0" w:color="auto"/>
      </w:divBdr>
    </w:div>
    <w:div w:id="1816214232">
      <w:bodyDiv w:val="1"/>
      <w:marLeft w:val="0"/>
      <w:marRight w:val="0"/>
      <w:marTop w:val="0"/>
      <w:marBottom w:val="0"/>
      <w:divBdr>
        <w:top w:val="none" w:sz="0" w:space="0" w:color="auto"/>
        <w:left w:val="none" w:sz="0" w:space="0" w:color="auto"/>
        <w:bottom w:val="none" w:sz="0" w:space="0" w:color="auto"/>
        <w:right w:val="none" w:sz="0" w:space="0" w:color="auto"/>
      </w:divBdr>
    </w:div>
    <w:div w:id="1834837543">
      <w:bodyDiv w:val="1"/>
      <w:marLeft w:val="0"/>
      <w:marRight w:val="0"/>
      <w:marTop w:val="0"/>
      <w:marBottom w:val="0"/>
      <w:divBdr>
        <w:top w:val="none" w:sz="0" w:space="0" w:color="auto"/>
        <w:left w:val="none" w:sz="0" w:space="0" w:color="auto"/>
        <w:bottom w:val="none" w:sz="0" w:space="0" w:color="auto"/>
        <w:right w:val="none" w:sz="0" w:space="0" w:color="auto"/>
      </w:divBdr>
    </w:div>
    <w:div w:id="1861117077">
      <w:bodyDiv w:val="1"/>
      <w:marLeft w:val="0"/>
      <w:marRight w:val="0"/>
      <w:marTop w:val="0"/>
      <w:marBottom w:val="0"/>
      <w:divBdr>
        <w:top w:val="none" w:sz="0" w:space="0" w:color="auto"/>
        <w:left w:val="none" w:sz="0" w:space="0" w:color="auto"/>
        <w:bottom w:val="none" w:sz="0" w:space="0" w:color="auto"/>
        <w:right w:val="none" w:sz="0" w:space="0" w:color="auto"/>
      </w:divBdr>
    </w:div>
    <w:div w:id="1877543370">
      <w:bodyDiv w:val="1"/>
      <w:marLeft w:val="0"/>
      <w:marRight w:val="0"/>
      <w:marTop w:val="0"/>
      <w:marBottom w:val="0"/>
      <w:divBdr>
        <w:top w:val="none" w:sz="0" w:space="0" w:color="auto"/>
        <w:left w:val="none" w:sz="0" w:space="0" w:color="auto"/>
        <w:bottom w:val="none" w:sz="0" w:space="0" w:color="auto"/>
        <w:right w:val="none" w:sz="0" w:space="0" w:color="auto"/>
      </w:divBdr>
    </w:div>
    <w:div w:id="1896890236">
      <w:bodyDiv w:val="1"/>
      <w:marLeft w:val="0"/>
      <w:marRight w:val="0"/>
      <w:marTop w:val="0"/>
      <w:marBottom w:val="0"/>
      <w:divBdr>
        <w:top w:val="none" w:sz="0" w:space="0" w:color="auto"/>
        <w:left w:val="none" w:sz="0" w:space="0" w:color="auto"/>
        <w:bottom w:val="none" w:sz="0" w:space="0" w:color="auto"/>
        <w:right w:val="none" w:sz="0" w:space="0" w:color="auto"/>
      </w:divBdr>
    </w:div>
    <w:div w:id="1898124251">
      <w:bodyDiv w:val="1"/>
      <w:marLeft w:val="0"/>
      <w:marRight w:val="0"/>
      <w:marTop w:val="0"/>
      <w:marBottom w:val="0"/>
      <w:divBdr>
        <w:top w:val="none" w:sz="0" w:space="0" w:color="auto"/>
        <w:left w:val="none" w:sz="0" w:space="0" w:color="auto"/>
        <w:bottom w:val="none" w:sz="0" w:space="0" w:color="auto"/>
        <w:right w:val="none" w:sz="0" w:space="0" w:color="auto"/>
      </w:divBdr>
    </w:div>
    <w:div w:id="1910339066">
      <w:bodyDiv w:val="1"/>
      <w:marLeft w:val="0"/>
      <w:marRight w:val="0"/>
      <w:marTop w:val="0"/>
      <w:marBottom w:val="0"/>
      <w:divBdr>
        <w:top w:val="none" w:sz="0" w:space="0" w:color="auto"/>
        <w:left w:val="none" w:sz="0" w:space="0" w:color="auto"/>
        <w:bottom w:val="none" w:sz="0" w:space="0" w:color="auto"/>
        <w:right w:val="none" w:sz="0" w:space="0" w:color="auto"/>
      </w:divBdr>
    </w:div>
    <w:div w:id="1914967093">
      <w:bodyDiv w:val="1"/>
      <w:marLeft w:val="0"/>
      <w:marRight w:val="0"/>
      <w:marTop w:val="0"/>
      <w:marBottom w:val="0"/>
      <w:divBdr>
        <w:top w:val="none" w:sz="0" w:space="0" w:color="auto"/>
        <w:left w:val="none" w:sz="0" w:space="0" w:color="auto"/>
        <w:bottom w:val="none" w:sz="0" w:space="0" w:color="auto"/>
        <w:right w:val="none" w:sz="0" w:space="0" w:color="auto"/>
      </w:divBdr>
    </w:div>
    <w:div w:id="1920823001">
      <w:bodyDiv w:val="1"/>
      <w:marLeft w:val="0"/>
      <w:marRight w:val="0"/>
      <w:marTop w:val="0"/>
      <w:marBottom w:val="0"/>
      <w:divBdr>
        <w:top w:val="none" w:sz="0" w:space="0" w:color="auto"/>
        <w:left w:val="none" w:sz="0" w:space="0" w:color="auto"/>
        <w:bottom w:val="none" w:sz="0" w:space="0" w:color="auto"/>
        <w:right w:val="none" w:sz="0" w:space="0" w:color="auto"/>
      </w:divBdr>
    </w:div>
    <w:div w:id="1936785756">
      <w:bodyDiv w:val="1"/>
      <w:marLeft w:val="0"/>
      <w:marRight w:val="0"/>
      <w:marTop w:val="0"/>
      <w:marBottom w:val="0"/>
      <w:divBdr>
        <w:top w:val="none" w:sz="0" w:space="0" w:color="auto"/>
        <w:left w:val="none" w:sz="0" w:space="0" w:color="auto"/>
        <w:bottom w:val="none" w:sz="0" w:space="0" w:color="auto"/>
        <w:right w:val="none" w:sz="0" w:space="0" w:color="auto"/>
      </w:divBdr>
    </w:div>
    <w:div w:id="1939822990">
      <w:bodyDiv w:val="1"/>
      <w:marLeft w:val="0"/>
      <w:marRight w:val="0"/>
      <w:marTop w:val="0"/>
      <w:marBottom w:val="0"/>
      <w:divBdr>
        <w:top w:val="none" w:sz="0" w:space="0" w:color="auto"/>
        <w:left w:val="none" w:sz="0" w:space="0" w:color="auto"/>
        <w:bottom w:val="none" w:sz="0" w:space="0" w:color="auto"/>
        <w:right w:val="none" w:sz="0" w:space="0" w:color="auto"/>
      </w:divBdr>
    </w:div>
    <w:div w:id="1940336097">
      <w:bodyDiv w:val="1"/>
      <w:marLeft w:val="0"/>
      <w:marRight w:val="0"/>
      <w:marTop w:val="0"/>
      <w:marBottom w:val="0"/>
      <w:divBdr>
        <w:top w:val="none" w:sz="0" w:space="0" w:color="auto"/>
        <w:left w:val="none" w:sz="0" w:space="0" w:color="auto"/>
        <w:bottom w:val="none" w:sz="0" w:space="0" w:color="auto"/>
        <w:right w:val="none" w:sz="0" w:space="0" w:color="auto"/>
      </w:divBdr>
    </w:div>
    <w:div w:id="1945109874">
      <w:bodyDiv w:val="1"/>
      <w:marLeft w:val="0"/>
      <w:marRight w:val="0"/>
      <w:marTop w:val="0"/>
      <w:marBottom w:val="0"/>
      <w:divBdr>
        <w:top w:val="none" w:sz="0" w:space="0" w:color="auto"/>
        <w:left w:val="none" w:sz="0" w:space="0" w:color="auto"/>
        <w:bottom w:val="none" w:sz="0" w:space="0" w:color="auto"/>
        <w:right w:val="none" w:sz="0" w:space="0" w:color="auto"/>
      </w:divBdr>
    </w:div>
    <w:div w:id="1953395608">
      <w:bodyDiv w:val="1"/>
      <w:marLeft w:val="0"/>
      <w:marRight w:val="0"/>
      <w:marTop w:val="0"/>
      <w:marBottom w:val="0"/>
      <w:divBdr>
        <w:top w:val="none" w:sz="0" w:space="0" w:color="auto"/>
        <w:left w:val="none" w:sz="0" w:space="0" w:color="auto"/>
        <w:bottom w:val="none" w:sz="0" w:space="0" w:color="auto"/>
        <w:right w:val="none" w:sz="0" w:space="0" w:color="auto"/>
      </w:divBdr>
    </w:div>
    <w:div w:id="1961496602">
      <w:bodyDiv w:val="1"/>
      <w:marLeft w:val="0"/>
      <w:marRight w:val="0"/>
      <w:marTop w:val="0"/>
      <w:marBottom w:val="0"/>
      <w:divBdr>
        <w:top w:val="none" w:sz="0" w:space="0" w:color="auto"/>
        <w:left w:val="none" w:sz="0" w:space="0" w:color="auto"/>
        <w:bottom w:val="none" w:sz="0" w:space="0" w:color="auto"/>
        <w:right w:val="none" w:sz="0" w:space="0" w:color="auto"/>
      </w:divBdr>
    </w:div>
    <w:div w:id="1967277708">
      <w:bodyDiv w:val="1"/>
      <w:marLeft w:val="0"/>
      <w:marRight w:val="0"/>
      <w:marTop w:val="0"/>
      <w:marBottom w:val="0"/>
      <w:divBdr>
        <w:top w:val="none" w:sz="0" w:space="0" w:color="auto"/>
        <w:left w:val="none" w:sz="0" w:space="0" w:color="auto"/>
        <w:bottom w:val="none" w:sz="0" w:space="0" w:color="auto"/>
        <w:right w:val="none" w:sz="0" w:space="0" w:color="auto"/>
      </w:divBdr>
    </w:div>
    <w:div w:id="1971469888">
      <w:bodyDiv w:val="1"/>
      <w:marLeft w:val="0"/>
      <w:marRight w:val="0"/>
      <w:marTop w:val="0"/>
      <w:marBottom w:val="0"/>
      <w:divBdr>
        <w:top w:val="none" w:sz="0" w:space="0" w:color="auto"/>
        <w:left w:val="none" w:sz="0" w:space="0" w:color="auto"/>
        <w:bottom w:val="none" w:sz="0" w:space="0" w:color="auto"/>
        <w:right w:val="none" w:sz="0" w:space="0" w:color="auto"/>
      </w:divBdr>
    </w:div>
    <w:div w:id="1982464481">
      <w:bodyDiv w:val="1"/>
      <w:marLeft w:val="0"/>
      <w:marRight w:val="0"/>
      <w:marTop w:val="0"/>
      <w:marBottom w:val="0"/>
      <w:divBdr>
        <w:top w:val="none" w:sz="0" w:space="0" w:color="auto"/>
        <w:left w:val="none" w:sz="0" w:space="0" w:color="auto"/>
        <w:bottom w:val="none" w:sz="0" w:space="0" w:color="auto"/>
        <w:right w:val="none" w:sz="0" w:space="0" w:color="auto"/>
      </w:divBdr>
    </w:div>
    <w:div w:id="1994211189">
      <w:bodyDiv w:val="1"/>
      <w:marLeft w:val="0"/>
      <w:marRight w:val="0"/>
      <w:marTop w:val="0"/>
      <w:marBottom w:val="0"/>
      <w:divBdr>
        <w:top w:val="none" w:sz="0" w:space="0" w:color="auto"/>
        <w:left w:val="none" w:sz="0" w:space="0" w:color="auto"/>
        <w:bottom w:val="none" w:sz="0" w:space="0" w:color="auto"/>
        <w:right w:val="none" w:sz="0" w:space="0" w:color="auto"/>
      </w:divBdr>
    </w:div>
    <w:div w:id="1996034749">
      <w:bodyDiv w:val="1"/>
      <w:marLeft w:val="0"/>
      <w:marRight w:val="0"/>
      <w:marTop w:val="0"/>
      <w:marBottom w:val="0"/>
      <w:divBdr>
        <w:top w:val="none" w:sz="0" w:space="0" w:color="auto"/>
        <w:left w:val="none" w:sz="0" w:space="0" w:color="auto"/>
        <w:bottom w:val="none" w:sz="0" w:space="0" w:color="auto"/>
        <w:right w:val="none" w:sz="0" w:space="0" w:color="auto"/>
      </w:divBdr>
    </w:div>
    <w:div w:id="2007053105">
      <w:bodyDiv w:val="1"/>
      <w:marLeft w:val="0"/>
      <w:marRight w:val="0"/>
      <w:marTop w:val="0"/>
      <w:marBottom w:val="0"/>
      <w:divBdr>
        <w:top w:val="none" w:sz="0" w:space="0" w:color="auto"/>
        <w:left w:val="none" w:sz="0" w:space="0" w:color="auto"/>
        <w:bottom w:val="none" w:sz="0" w:space="0" w:color="auto"/>
        <w:right w:val="none" w:sz="0" w:space="0" w:color="auto"/>
      </w:divBdr>
    </w:div>
    <w:div w:id="2051877671">
      <w:bodyDiv w:val="1"/>
      <w:marLeft w:val="0"/>
      <w:marRight w:val="0"/>
      <w:marTop w:val="0"/>
      <w:marBottom w:val="0"/>
      <w:divBdr>
        <w:top w:val="none" w:sz="0" w:space="0" w:color="auto"/>
        <w:left w:val="none" w:sz="0" w:space="0" w:color="auto"/>
        <w:bottom w:val="none" w:sz="0" w:space="0" w:color="auto"/>
        <w:right w:val="none" w:sz="0" w:space="0" w:color="auto"/>
      </w:divBdr>
    </w:div>
    <w:div w:id="2078935017">
      <w:bodyDiv w:val="1"/>
      <w:marLeft w:val="0"/>
      <w:marRight w:val="0"/>
      <w:marTop w:val="0"/>
      <w:marBottom w:val="0"/>
      <w:divBdr>
        <w:top w:val="none" w:sz="0" w:space="0" w:color="auto"/>
        <w:left w:val="none" w:sz="0" w:space="0" w:color="auto"/>
        <w:bottom w:val="none" w:sz="0" w:space="0" w:color="auto"/>
        <w:right w:val="none" w:sz="0" w:space="0" w:color="auto"/>
      </w:divBdr>
    </w:div>
    <w:div w:id="2078938993">
      <w:bodyDiv w:val="1"/>
      <w:marLeft w:val="0"/>
      <w:marRight w:val="0"/>
      <w:marTop w:val="0"/>
      <w:marBottom w:val="0"/>
      <w:divBdr>
        <w:top w:val="none" w:sz="0" w:space="0" w:color="auto"/>
        <w:left w:val="none" w:sz="0" w:space="0" w:color="auto"/>
        <w:bottom w:val="none" w:sz="0" w:space="0" w:color="auto"/>
        <w:right w:val="none" w:sz="0" w:space="0" w:color="auto"/>
      </w:divBdr>
    </w:div>
    <w:div w:id="2089111067">
      <w:bodyDiv w:val="1"/>
      <w:marLeft w:val="0"/>
      <w:marRight w:val="0"/>
      <w:marTop w:val="0"/>
      <w:marBottom w:val="0"/>
      <w:divBdr>
        <w:top w:val="none" w:sz="0" w:space="0" w:color="auto"/>
        <w:left w:val="none" w:sz="0" w:space="0" w:color="auto"/>
        <w:bottom w:val="none" w:sz="0" w:space="0" w:color="auto"/>
        <w:right w:val="none" w:sz="0" w:space="0" w:color="auto"/>
      </w:divBdr>
    </w:div>
    <w:div w:id="2115009243">
      <w:bodyDiv w:val="1"/>
      <w:marLeft w:val="0"/>
      <w:marRight w:val="0"/>
      <w:marTop w:val="0"/>
      <w:marBottom w:val="0"/>
      <w:divBdr>
        <w:top w:val="none" w:sz="0" w:space="0" w:color="auto"/>
        <w:left w:val="none" w:sz="0" w:space="0" w:color="auto"/>
        <w:bottom w:val="none" w:sz="0" w:space="0" w:color="auto"/>
        <w:right w:val="none" w:sz="0" w:space="0" w:color="auto"/>
      </w:divBdr>
    </w:div>
    <w:div w:id="21430371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alhaq.org" TargetMode="External"/><Relationship Id="rId18" Type="http://schemas.openxmlformats.org/officeDocument/2006/relationships/header" Target="header1.xml"/><Relationship Id="rId8" Type="http://schemas.openxmlformats.org/officeDocument/2006/relationships/endnotes" Target="endnotes.xml"/><Relationship Id="rId2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tiff"/><Relationship Id="rId17" Type="http://schemas.openxmlformats.org/officeDocument/2006/relationships/hyperlink" Target="http://www.hic-mena.org" TargetMode="External"/><Relationship Id="rId7" Type="http://schemas.openxmlformats.org/officeDocument/2006/relationships/footnotes" Target="footnotes.xml"/><Relationship Id="rId25" Type="http://schemas.openxmlformats.org/officeDocument/2006/relationships/customXml" Target="../customXml/item5.xml"/><Relationship Id="rId20" Type="http://schemas.openxmlformats.org/officeDocument/2006/relationships/footer" Target="footer2.xml"/><Relationship Id="rId16" Type="http://schemas.openxmlformats.org/officeDocument/2006/relationships/hyperlink" Target="http://www.hlrn.org" TargetMode="External"/><Relationship Id="rId2" Type="http://schemas.openxmlformats.org/officeDocument/2006/relationships/customXml" Target="../customXml/item2.xml"/><Relationship Id="rId11" Type="http://schemas.openxmlformats.org/officeDocument/2006/relationships/image" Target="media/image3.tiff"/><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customXml" Target="../customXml/item4.xml"/><Relationship Id="rId15" Type="http://schemas.openxmlformats.org/officeDocument/2006/relationships/hyperlink" Target="file:///C:\Users\N1\Downloads\www.cihrs.org" TargetMode="External"/><Relationship Id="rId5" Type="http://schemas.openxmlformats.org/officeDocument/2006/relationships/settings" Target="settings.xml"/><Relationship Id="rId23" Type="http://schemas.openxmlformats.org/officeDocument/2006/relationships/customXml" Target="../customXml/item3.xml"/><Relationship Id="rId10" Type="http://schemas.openxmlformats.org/officeDocument/2006/relationships/image" Target="media/image2.png"/><Relationship Id="rId19" Type="http://schemas.openxmlformats.org/officeDocument/2006/relationships/footer" Target="footer1.xml"/><Relationship Id="rId9" Type="http://schemas.openxmlformats.org/officeDocument/2006/relationships/image" Target="media/image1.png"/><Relationship Id="rId22" Type="http://schemas.openxmlformats.org/officeDocument/2006/relationships/theme" Target="theme/theme1.xml"/><Relationship Id="rId14" Type="http://schemas.openxmlformats.org/officeDocument/2006/relationships/hyperlink" Target="http://www.badil.org" TargetMode="External"/><Relationship Id="rId4" Type="http://schemas.openxmlformats.org/officeDocument/2006/relationships/styles" Target="styles.xml"/></Relationships>
</file>

<file path=word/_rels/footnotes.xml.rels><?xml version="1.0" encoding="UTF-8" standalone="yes"?>
<Relationships xmlns="http://schemas.openxmlformats.org/package/2006/relationships"><Relationship Id="rId46" Type="http://schemas.openxmlformats.org/officeDocument/2006/relationships/hyperlink" Target="https://www.ohchr.org/EN/HRBodies/HRC/Pages/NewsDetail.aspx?NewsID=24226&amp;LangID=E" TargetMode="External"/><Relationship Id="rId20" Type="http://schemas.openxmlformats.org/officeDocument/2006/relationships/hyperlink" Target="https://www.haaretz.com/israel-news/.premium-israeli-ministers-approve-bill-that-would-legalize-66-west-bank-outposts-1.6747792" TargetMode="External"/><Relationship Id="rId21" Type="http://schemas.openxmlformats.org/officeDocument/2006/relationships/hyperlink" Target="https://www.reuters.com/article/us-israel-palestinians-settlement/u-s-pressure-delays-israels-greater-jerusalem-bill-legislator-idUSKBN1CY0CB" TargetMode="External"/><Relationship Id="rId22" Type="http://schemas.openxmlformats.org/officeDocument/2006/relationships/hyperlink" Target="https://www.alhaq.org/advocacy/6263.html" TargetMode="External"/><Relationship Id="rId23" Type="http://schemas.openxmlformats.org/officeDocument/2006/relationships/hyperlink" Target="https://www.alhaq.org/advocacy/14616.html" TargetMode="External"/><Relationship Id="rId24" Type="http://schemas.openxmlformats.org/officeDocument/2006/relationships/hyperlink" Target="https://www.alhaq.org/advocacy/6255.html" TargetMode="External"/><Relationship Id="rId25" Type="http://schemas.openxmlformats.org/officeDocument/2006/relationships/hyperlink" Target="https://www.alhaq.org/advocacy/6257.html" TargetMode="External"/><Relationship Id="rId26" Type="http://schemas.openxmlformats.org/officeDocument/2006/relationships/hyperlink" Target="https://www.alhaq.org/advocacy/6263.html" TargetMode="External"/><Relationship Id="rId27" Type="http://schemas.openxmlformats.org/officeDocument/2006/relationships/hyperlink" Target="https://www.alhaq.org/advocacy/6262.html" TargetMode="External"/><Relationship Id="rId28" Type="http://schemas.openxmlformats.org/officeDocument/2006/relationships/hyperlink" Target="https://www.alhaq.org/advocacy/6106.html" TargetMode="External"/><Relationship Id="rId29" Type="http://schemas.openxmlformats.org/officeDocument/2006/relationships/hyperlink" Target="https://www.alhaq.org/advocacy/6359.html" TargetMode="External"/><Relationship Id="rId1" Type="http://schemas.openxmlformats.org/officeDocument/2006/relationships/hyperlink" Target="https://www.alhaq.org/advocacy/6115.html" TargetMode="External"/><Relationship Id="rId2" Type="http://schemas.openxmlformats.org/officeDocument/2006/relationships/hyperlink" Target="https://www.alhaq.org/advocacy/6115.html" TargetMode="External"/><Relationship Id="rId3" Type="http://schemas.openxmlformats.org/officeDocument/2006/relationships/hyperlink" Target="https://www.alhaq.org/advocacy/6115.html" TargetMode="External"/><Relationship Id="rId4" Type="http://schemas.openxmlformats.org/officeDocument/2006/relationships/hyperlink" Target="https://www.holocaustremembrance.com/working-definition-antisemitism" TargetMode="External"/><Relationship Id="rId5" Type="http://schemas.openxmlformats.org/officeDocument/2006/relationships/hyperlink" Target="https://www.facebook.com/4IL.org/photos/a.1781386778839148/2221696358141519/?type=3" TargetMode="External"/><Relationship Id="rId30" Type="http://schemas.openxmlformats.org/officeDocument/2006/relationships/hyperlink" Target="https://www.haaretz.com/israel-news/.premium-israel-seeks-to-block-all-e-jerusalem-family-reunification-hearings-over-workload-1.7188984" TargetMode="External"/><Relationship Id="rId31" Type="http://schemas.openxmlformats.org/officeDocument/2006/relationships/hyperlink" Target="https://www.alhaq.org/advocacy/6263.html" TargetMode="External"/><Relationship Id="rId32" Type="http://schemas.openxmlformats.org/officeDocument/2006/relationships/hyperlink" Target="https://www.ochaopt.org/content/53-cent-palestinians-gaza-live-poverty-despite-humanitarian-assistance" TargetMode="External"/><Relationship Id="rId9" Type="http://schemas.openxmlformats.org/officeDocument/2006/relationships/hyperlink" Target="https://www.haaretz.com/israel-news/MAGAZINE-inside-the-clandestine-world-of-israels-bds-busting-ministry-1.5453212" TargetMode="External"/><Relationship Id="rId6" Type="http://schemas.openxmlformats.org/officeDocument/2006/relationships/hyperlink" Target="https://twitter.com/4ILorg/status/1158953158149910529" TargetMode="External"/><Relationship Id="rId7" Type="http://schemas.openxmlformats.org/officeDocument/2006/relationships/hyperlink" Target="https://bdsmovement.net/what-is-bds" TargetMode="External"/><Relationship Id="rId8" Type="http://schemas.openxmlformats.org/officeDocument/2006/relationships/hyperlink" Target="https://www.gov.il/en/departments/units/ministry_of_strategic_affairs_and_information" TargetMode="External"/><Relationship Id="rId33" Type="http://schemas.openxmlformats.org/officeDocument/2006/relationships/hyperlink" Target="https://www.unrwa.org/newsroom/press-releases/more-one-million-people-gaza-&#8211;-half-population-territory-&#8211;-may-not-have" TargetMode="External"/><Relationship Id="rId34" Type="http://schemas.openxmlformats.org/officeDocument/2006/relationships/hyperlink" Target="https://www.bbc.com/news/world-middle-east-19975211" TargetMode="External"/><Relationship Id="rId35" Type="http://schemas.openxmlformats.org/officeDocument/2006/relationships/hyperlink" Target="https://www.haaretz.com/.premium-israel-s-gaza-quota-2-279-calories-a-day-1.5193157" TargetMode="External"/><Relationship Id="rId36" Type="http://schemas.openxmlformats.org/officeDocument/2006/relationships/hyperlink" Target="https://www.ochaopt.org/content/study-warns-water-sanitation-crisis-gaza-may-cause-disease-outbreak-and-possible-epidemic" TargetMode="External"/><Relationship Id="rId10" Type="http://schemas.openxmlformats.org/officeDocument/2006/relationships/hyperlink" Target="https://www.alhaq.org/advocacy/6039.html" TargetMode="External"/><Relationship Id="rId11" Type="http://schemas.openxmlformats.org/officeDocument/2006/relationships/hyperlink" Target="https://www.alhaq.org/advocacy/6115.html" TargetMode="External"/><Relationship Id="rId12" Type="http://schemas.openxmlformats.org/officeDocument/2006/relationships/hyperlink" Target="https://www.alhaq.org/advocacy/6302.html" TargetMode="External"/><Relationship Id="rId13" Type="http://schemas.openxmlformats.org/officeDocument/2006/relationships/hyperlink" Target="https://www.alhaq.org/advocacy/6121.html" TargetMode="External"/><Relationship Id="rId14" Type="http://schemas.openxmlformats.org/officeDocument/2006/relationships/hyperlink" Target="https://www.alhaq.org/advocacy/6115.html" TargetMode="External"/><Relationship Id="rId15" Type="http://schemas.openxmlformats.org/officeDocument/2006/relationships/hyperlink" Target="https://www.alhaq.org/advocacy/14686.html" TargetMode="External"/><Relationship Id="rId16" Type="http://schemas.openxmlformats.org/officeDocument/2006/relationships/hyperlink" Target="https://www.middleeastmonitor.com/20190516-bedouin-citizens-of-israel-fight-plan-for-relocation-in-new-negev-town/" TargetMode="External"/><Relationship Id="rId17" Type="http://schemas.openxmlformats.org/officeDocument/2006/relationships/hyperlink" Target="https://www.jpost.com/Arab-Israeli-Conflict/Khan-al-Ahmar-rejects-relocation-plan-to-Jericho-site-564353" TargetMode="External"/><Relationship Id="rId18" Type="http://schemas.openxmlformats.org/officeDocument/2006/relationships/hyperlink" Target="http://www.hlrn.org/img/publications/Naqab%20FFM%20report%202010.zip" TargetMode="External"/><Relationship Id="rId19" Type="http://schemas.openxmlformats.org/officeDocument/2006/relationships/hyperlink" Target="https://www.alhaq.org/palestinian-human-rights-organizations-council/6355.html" TargetMode="External"/><Relationship Id="rId37" Type="http://schemas.openxmlformats.org/officeDocument/2006/relationships/hyperlink" Target="http://hdr.undp.org/sites/default/files/reports/267/hdr06-complete.pdf" TargetMode="External"/><Relationship Id="rId38" Type="http://schemas.openxmlformats.org/officeDocument/2006/relationships/hyperlink" Target="https://electronicintifada.net/blogs/maureen-clare-murphy/gaza-hospitals-about-run-out-fuel" TargetMode="External"/><Relationship Id="rId39" Type="http://schemas.openxmlformats.org/officeDocument/2006/relationships/hyperlink" Target="https://www.ochaopt.org/page/gaza-strip-electricity-supply" TargetMode="External"/><Relationship Id="rId40" Type="http://schemas.openxmlformats.org/officeDocument/2006/relationships/hyperlink" Target="https://www.alhaq.org/advocacy/6252.html" TargetMode="External"/><Relationship Id="rId41" Type="http://schemas.openxmlformats.org/officeDocument/2006/relationships/hyperlink" Target="https://www.alhaq.org/advocacy/6078.html" TargetMode="External"/><Relationship Id="rId42" Type="http://schemas.openxmlformats.org/officeDocument/2006/relationships/hyperlink" Target="https://www.alhaq.org/advocacy/6090.html" TargetMode="External"/><Relationship Id="rId43" Type="http://schemas.openxmlformats.org/officeDocument/2006/relationships/hyperlink" Target="https://www.alhaq.org/advocacy/6216.html" TargetMode="External"/><Relationship Id="rId44" Type="http://schemas.openxmlformats.org/officeDocument/2006/relationships/hyperlink" Target="https://www.alhaq.org/advocacy/6203.html" TargetMode="External"/><Relationship Id="rId45" Type="http://schemas.openxmlformats.org/officeDocument/2006/relationships/hyperlink" Target="https://www.alhaq.org/advocacy/608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18945A-C8C1-704C-95CB-85C5F32ED304}">
  <ds:schemaRefs>
    <ds:schemaRef ds:uri="http://schemas.openxmlformats.org/officeDocument/2006/bibliography"/>
  </ds:schemaRefs>
</ds:datastoreItem>
</file>

<file path=customXml/itemProps2.xml><?xml version="1.0" encoding="utf-8"?>
<ds:datastoreItem xmlns:ds="http://schemas.openxmlformats.org/officeDocument/2006/customXml" ds:itemID="{976D5C73-F1CD-D84D-8B67-796FA0BAE283}">
  <ds:schemaRefs>
    <ds:schemaRef ds:uri="http://schemas.openxmlformats.org/officeDocument/2006/bibliography"/>
  </ds:schemaRefs>
</ds:datastoreItem>
</file>

<file path=customXml/itemProps3.xml><?xml version="1.0" encoding="utf-8"?>
<ds:datastoreItem xmlns:ds="http://schemas.openxmlformats.org/officeDocument/2006/customXml" ds:itemID="{E84B4E46-17D2-4557-A6AD-F219FE49B26C}"/>
</file>

<file path=customXml/itemProps4.xml><?xml version="1.0" encoding="utf-8"?>
<ds:datastoreItem xmlns:ds="http://schemas.openxmlformats.org/officeDocument/2006/customXml" ds:itemID="{D4816B89-569C-4393-A1C4-BDF49B7878CB}"/>
</file>

<file path=customXml/itemProps5.xml><?xml version="1.0" encoding="utf-8"?>
<ds:datastoreItem xmlns:ds="http://schemas.openxmlformats.org/officeDocument/2006/customXml" ds:itemID="{0BEF82A6-9AC6-46A6-95D5-FF6D052681EB}"/>
</file>

<file path=docProps/app.xml><?xml version="1.0" encoding="utf-8"?>
<Properties xmlns="http://schemas.openxmlformats.org/officeDocument/2006/extended-properties" xmlns:vt="http://schemas.openxmlformats.org/officeDocument/2006/docPropsVTypes">
  <Template>Normal.dotm</Template>
  <TotalTime>1</TotalTime>
  <Pages>23</Pages>
  <Words>7496</Words>
  <Characters>42733</Characters>
  <Application>Microsoft Macintosh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2019-09-05T20:54:00Z</cp:lastPrinted>
  <dcterms:created xsi:type="dcterms:W3CDTF">2019-09-05T20:54:00Z</dcterms:created>
  <dcterms:modified xsi:type="dcterms:W3CDTF">2019-09-05T20:55:00Z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