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A635EB" w14:textId="77777777" w:rsidR="0077092A" w:rsidRDefault="0077092A">
      <w:pPr>
        <w:pStyle w:val="CenteredBold"/>
      </w:pPr>
    </w:p>
    <w:p w14:paraId="241564DC" w14:textId="478CB91C" w:rsidR="00B60372" w:rsidRDefault="00CF0615">
      <w:pPr>
        <w:pStyle w:val="CenteredBold"/>
        <w:rPr>
          <w:b w:val="0"/>
        </w:rPr>
      </w:pPr>
      <w:r>
        <w:t xml:space="preserve">The Maldives’ Compliance with the International Covenant on Civil and Political Rights: </w:t>
      </w:r>
      <w:r w:rsidR="00573EF7">
        <w:t xml:space="preserve">The </w:t>
      </w:r>
      <w:r>
        <w:t>Death Penalty</w:t>
      </w:r>
    </w:p>
    <w:p w14:paraId="63CB05C4" w14:textId="77777777" w:rsidR="00B60372" w:rsidRDefault="00CF0615">
      <w:pPr>
        <w:pStyle w:val="CenteredBold"/>
        <w:rPr>
          <w:b w:val="0"/>
        </w:rPr>
      </w:pPr>
      <w:r>
        <w:t>Submitted by The Advocates for Human Rights</w:t>
      </w:r>
    </w:p>
    <w:p w14:paraId="7EA912BB" w14:textId="77777777" w:rsidR="00B60372" w:rsidRDefault="00CF0615">
      <w:pPr>
        <w:pStyle w:val="Centered"/>
      </w:pPr>
      <w:r>
        <w:t>a non-governmental organization in special consultative status with ECOSOC since 1996</w:t>
      </w:r>
    </w:p>
    <w:p w14:paraId="1DD519AF" w14:textId="5A9F7EA7" w:rsidR="00883050" w:rsidRPr="00883050" w:rsidRDefault="00883050">
      <w:pPr>
        <w:pStyle w:val="Centered"/>
        <w:rPr>
          <w:b/>
          <w:bCs/>
        </w:rPr>
      </w:pPr>
      <w:r>
        <w:rPr>
          <w:b/>
          <w:bCs/>
        </w:rPr>
        <w:t>The World Coalition Against the Death Penalty</w:t>
      </w:r>
    </w:p>
    <w:p w14:paraId="37408AAB" w14:textId="6E53BF0C" w:rsidR="00B60372" w:rsidRDefault="00CF0615">
      <w:pPr>
        <w:pStyle w:val="Centered"/>
      </w:pPr>
      <w:r>
        <w:t>and</w:t>
      </w:r>
    </w:p>
    <w:p w14:paraId="421489FA" w14:textId="77777777" w:rsidR="00B60372" w:rsidRDefault="00CF0615">
      <w:pPr>
        <w:pStyle w:val="CenteredBold"/>
      </w:pPr>
      <w:r>
        <w:t>The Maldivian Democracy Network</w:t>
      </w:r>
    </w:p>
    <w:p w14:paraId="28FE1D14" w14:textId="77777777" w:rsidR="00B60372" w:rsidRDefault="00CF0615">
      <w:pPr>
        <w:pStyle w:val="CenteredBold"/>
        <w:rPr>
          <w:b w:val="0"/>
        </w:rPr>
      </w:pPr>
      <w:r>
        <w:t>for the 141st Session of the Human Rights Committee</w:t>
      </w:r>
    </w:p>
    <w:p w14:paraId="37AE5944" w14:textId="438A2562" w:rsidR="00B60372" w:rsidRDefault="00CF0615">
      <w:pPr>
        <w:pStyle w:val="CenteredBold"/>
        <w:rPr>
          <w:b w:val="0"/>
        </w:rPr>
      </w:pPr>
      <w:r>
        <w:t>1–</w:t>
      </w:r>
      <w:r w:rsidR="00883050">
        <w:t>2</w:t>
      </w:r>
      <w:r>
        <w:t xml:space="preserve">2 </w:t>
      </w:r>
      <w:r w:rsidR="00883050">
        <w:t xml:space="preserve">July </w:t>
      </w:r>
      <w:r>
        <w:t>2024</w:t>
      </w:r>
    </w:p>
    <w:p w14:paraId="36A346BE" w14:textId="3A33BFD9" w:rsidR="00B60372" w:rsidRDefault="00CF0615">
      <w:pPr>
        <w:pStyle w:val="CenteredBold"/>
      </w:pPr>
      <w:r>
        <w:t xml:space="preserve">Submitted </w:t>
      </w:r>
      <w:r w:rsidR="00883050">
        <w:t>3 June 2024</w:t>
      </w:r>
    </w:p>
    <w:p w14:paraId="30DDB3FA" w14:textId="7D3189F8" w:rsidR="00B60372" w:rsidRDefault="00CF0615" w:rsidP="001021A7">
      <w:pPr>
        <w:pStyle w:val="BodyTextcontinued"/>
      </w:pPr>
      <w:r>
        <w:rPr>
          <w:b/>
        </w:rPr>
        <w:t>The Advocates for Human Rights</w:t>
      </w:r>
      <w: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C0B5258" w14:textId="77777777" w:rsidR="001021A7" w:rsidRPr="0030232D" w:rsidRDefault="001021A7" w:rsidP="001021A7">
      <w:pPr>
        <w:pStyle w:val="BodyTextcontinued"/>
      </w:pPr>
      <w:r w:rsidRPr="0030232D">
        <w:rPr>
          <w:b/>
          <w:bCs/>
        </w:rPr>
        <w:t>The World Coalition Against the Death Penalty</w:t>
      </w:r>
      <w:r w:rsidRPr="0030232D">
        <w:t xml:space="preserve">, an alliance of more than 150 NGOs, bar associations, local </w:t>
      </w:r>
      <w:proofErr w:type="gramStart"/>
      <w:r w:rsidRPr="0030232D">
        <w:t>authorities</w:t>
      </w:r>
      <w:proofErr w:type="gramEnd"/>
      <w:r w:rsidRPr="0030232D">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444E4633" w14:textId="1C1D93BB" w:rsidR="00B60372" w:rsidRDefault="00CF0615" w:rsidP="001021A7">
      <w:pPr>
        <w:pStyle w:val="BodyTextcontinued"/>
        <w:rPr>
          <w:bCs/>
        </w:rPr>
      </w:pPr>
      <w:r>
        <w:rPr>
          <w:b/>
        </w:rPr>
        <w:t xml:space="preserve">The Maldivian Democracy Network </w:t>
      </w:r>
      <w:r>
        <w:rPr>
          <w:bCs/>
        </w:rPr>
        <w:t xml:space="preserve">(MDN) is a non-governmental, non-profit </w:t>
      </w:r>
      <w:proofErr w:type="spellStart"/>
      <w:r>
        <w:rPr>
          <w:bCs/>
        </w:rPr>
        <w:t>organisation</w:t>
      </w:r>
      <w:proofErr w:type="spellEnd"/>
      <w:r>
        <w:rPr>
          <w:bCs/>
        </w:rPr>
        <w:t xml:space="preserve"> advocating for human rights and democracy in the Maldives. MDN was formed in 2004, allowed to register in the Maldives in 2006, and arbitrarily shut down </w:t>
      </w:r>
      <w:r w:rsidRPr="001021A7">
        <w:t>following</w:t>
      </w:r>
      <w:r>
        <w:rPr>
          <w:bCs/>
        </w:rPr>
        <w:t xml:space="preserve"> blasphemy allegations by the Government of Maldives in 2019. MDN currently works </w:t>
      </w:r>
      <w:r w:rsidR="00947446">
        <w:rPr>
          <w:bCs/>
        </w:rPr>
        <w:t>in exile</w:t>
      </w:r>
      <w:r>
        <w:rPr>
          <w:bCs/>
        </w:rPr>
        <w:t>.</w:t>
      </w:r>
    </w:p>
    <w:p w14:paraId="233EFFE4" w14:textId="77777777" w:rsidR="0077092A" w:rsidRDefault="0077092A">
      <w:pPr>
        <w:spacing w:line="276" w:lineRule="auto"/>
        <w:rPr>
          <w:b/>
          <w:szCs w:val="52"/>
        </w:rPr>
      </w:pPr>
      <w:r>
        <w:br w:type="page"/>
      </w:r>
    </w:p>
    <w:p w14:paraId="09E7FE34" w14:textId="227FFDF9" w:rsidR="00B60372" w:rsidRDefault="00CF0615">
      <w:pPr>
        <w:pStyle w:val="Title"/>
        <w:rPr>
          <w:b w:val="0"/>
        </w:rPr>
      </w:pPr>
      <w:r>
        <w:lastRenderedPageBreak/>
        <w:t>EXECUTIVE SUMMARY</w:t>
      </w:r>
    </w:p>
    <w:p w14:paraId="240FC50B" w14:textId="5A543FFE" w:rsidR="00B60372" w:rsidRDefault="00CF0615" w:rsidP="002608D1">
      <w:pPr>
        <w:pStyle w:val="ListNumber"/>
        <w:numPr>
          <w:ilvl w:val="0"/>
          <w:numId w:val="5"/>
        </w:numPr>
        <w:spacing w:after="240" w:line="240" w:lineRule="auto"/>
      </w:pPr>
      <w:r>
        <w:t xml:space="preserve">This </w:t>
      </w:r>
      <w:r w:rsidR="001E18D8">
        <w:t>report</w:t>
      </w:r>
      <w:r>
        <w:t xml:space="preserve"> addresses the Maldives’ compliance with its international human rights obligations regarding the death penalty. The Maldives retains the death penalty and has not ratified the Second Optional Protocol to the International Covenant on Civil and Political Rights (ICCPR). The Maldives’ continued use of the death penalty undermines government efforts and commitments to end gender-based discrimination. The death penalty invites discriminatory sentences against women for adultery and other crimes of sexual immorality, as well as for acting as accomplices to murder committed by male counterparts.</w:t>
      </w:r>
    </w:p>
    <w:p w14:paraId="0C06FAA9" w14:textId="77777777" w:rsidR="00B60372" w:rsidRDefault="00CF0615">
      <w:pPr>
        <w:pStyle w:val="CenteredBold"/>
      </w:pPr>
      <w:r>
        <w:t>The Maldives fails to uphold its obligations under the International Covenant on Civil and Political Rights</w:t>
      </w:r>
    </w:p>
    <w:p w14:paraId="02CAD9B3" w14:textId="44213900" w:rsidR="00B60372" w:rsidRDefault="00CF0615">
      <w:pPr>
        <w:pStyle w:val="SectionHeading"/>
        <w:rPr>
          <w:b w:val="0"/>
        </w:rPr>
      </w:pPr>
      <w:r>
        <w:t>The Maldives has not yet ratified the Second Optional Protocol to the International Covenant on Civil and Political Rights aimed at the abolition of the death penalty and maintains the death penalty as a legal form of punishment</w:t>
      </w:r>
      <w:r w:rsidR="00C81B93">
        <w:t xml:space="preserve"> (List of Issues </w:t>
      </w:r>
      <w:r w:rsidR="008E4A15">
        <w:t xml:space="preserve">Prior to Reporting </w:t>
      </w:r>
      <w:r w:rsidR="00C81B93">
        <w:t>paragraph 13)</w:t>
      </w:r>
      <w:r>
        <w:t>.</w:t>
      </w:r>
    </w:p>
    <w:p w14:paraId="3B0E5343" w14:textId="31046AE4" w:rsidR="00B60372" w:rsidRDefault="00CF0615" w:rsidP="002608D1">
      <w:pPr>
        <w:pStyle w:val="ListNumber"/>
        <w:numPr>
          <w:ilvl w:val="0"/>
          <w:numId w:val="5"/>
        </w:numPr>
        <w:spacing w:after="240" w:line="240" w:lineRule="auto"/>
        <w:rPr>
          <w:rFonts w:eastAsia="Times New Roman" w:cs="Times New Roman"/>
        </w:rPr>
      </w:pPr>
      <w:r>
        <w:rPr>
          <w:rFonts w:eastAsia="Times New Roman" w:cs="Times New Roman"/>
        </w:rPr>
        <w:t xml:space="preserve">The Committee requested information from the Maldivian </w:t>
      </w:r>
      <w:r w:rsidR="00216810">
        <w:rPr>
          <w:rFonts w:eastAsia="Times New Roman" w:cs="Times New Roman"/>
        </w:rPr>
        <w:t>G</w:t>
      </w:r>
      <w:r>
        <w:rPr>
          <w:rFonts w:eastAsia="Times New Roman" w:cs="Times New Roman"/>
        </w:rPr>
        <w:t xml:space="preserve">overnment about the safeguards in place to ensure that the use of the death penalty complies with the requirements of the </w:t>
      </w:r>
      <w:r>
        <w:t>Covenant</w:t>
      </w:r>
      <w:r>
        <w:rPr>
          <w:rFonts w:eastAsia="Times New Roman" w:cs="Times New Roman"/>
        </w:rPr>
        <w:t xml:space="preserve">. The Committee also requested clarification regarding </w:t>
      </w:r>
      <w:r w:rsidR="003A08D0">
        <w:rPr>
          <w:rFonts w:eastAsia="Times New Roman" w:cs="Times New Roman"/>
        </w:rPr>
        <w:t xml:space="preserve">the </w:t>
      </w:r>
      <w:r>
        <w:rPr>
          <w:rFonts w:eastAsia="Times New Roman" w:cs="Times New Roman"/>
        </w:rPr>
        <w:t xml:space="preserve">crimes </w:t>
      </w:r>
      <w:r w:rsidR="00DF6762">
        <w:rPr>
          <w:rFonts w:eastAsia="Times New Roman" w:cs="Times New Roman"/>
        </w:rPr>
        <w:t xml:space="preserve">that are eligible for </w:t>
      </w:r>
      <w:r>
        <w:rPr>
          <w:rFonts w:eastAsia="Times New Roman" w:cs="Times New Roman"/>
        </w:rPr>
        <w:t xml:space="preserve">the death penalty, as well as information on the status of the moratorium on the death penalty. The Committee additionally requested a response to reports that </w:t>
      </w:r>
      <w:r w:rsidR="00DF6762">
        <w:rPr>
          <w:rFonts w:eastAsia="Times New Roman" w:cs="Times New Roman"/>
        </w:rPr>
        <w:t xml:space="preserve">authorities have constructed </w:t>
      </w:r>
      <w:r>
        <w:rPr>
          <w:rFonts w:eastAsia="Times New Roman" w:cs="Times New Roman"/>
        </w:rPr>
        <w:t xml:space="preserve">facilities at </w:t>
      </w:r>
      <w:proofErr w:type="spellStart"/>
      <w:r>
        <w:rPr>
          <w:rFonts w:eastAsia="Times New Roman" w:cs="Times New Roman"/>
        </w:rPr>
        <w:t>Maafushi</w:t>
      </w:r>
      <w:proofErr w:type="spellEnd"/>
      <w:r>
        <w:rPr>
          <w:rFonts w:eastAsia="Times New Roman" w:cs="Times New Roman"/>
        </w:rPr>
        <w:t xml:space="preserve"> prison for the purpose of carrying out hangings.</w:t>
      </w:r>
      <w:r>
        <w:rPr>
          <w:rStyle w:val="FootnoteReference"/>
          <w:rFonts w:eastAsia="Times New Roman" w:cs="Times New Roman"/>
        </w:rPr>
        <w:footnoteReference w:id="1"/>
      </w:r>
    </w:p>
    <w:p w14:paraId="2F9D03C4" w14:textId="01D56F8B" w:rsidR="00B60372" w:rsidRDefault="00CF0615" w:rsidP="002608D1">
      <w:pPr>
        <w:pStyle w:val="ListNumber"/>
        <w:numPr>
          <w:ilvl w:val="0"/>
          <w:numId w:val="5"/>
        </w:numPr>
        <w:spacing w:after="240" w:line="240" w:lineRule="auto"/>
        <w:rPr>
          <w:rFonts w:eastAsia="Times New Roman" w:cs="Times New Roman"/>
        </w:rPr>
      </w:pPr>
      <w:r>
        <w:rPr>
          <w:rFonts w:eastAsia="Times New Roman" w:cs="Times New Roman"/>
        </w:rPr>
        <w:t xml:space="preserve">The State Party in its </w:t>
      </w:r>
      <w:proofErr w:type="gramStart"/>
      <w:r>
        <w:rPr>
          <w:rFonts w:eastAsia="Times New Roman" w:cs="Times New Roman"/>
        </w:rPr>
        <w:t>reply</w:t>
      </w:r>
      <w:proofErr w:type="gramEnd"/>
      <w:r>
        <w:rPr>
          <w:rFonts w:eastAsia="Times New Roman" w:cs="Times New Roman"/>
        </w:rPr>
        <w:t xml:space="preserve"> outlines that Section 1205 of the Penal Code provides that if a hudood or </w:t>
      </w:r>
      <w:proofErr w:type="spellStart"/>
      <w:r>
        <w:rPr>
          <w:rFonts w:eastAsia="Times New Roman" w:cs="Times New Roman"/>
        </w:rPr>
        <w:t>qisas</w:t>
      </w:r>
      <w:proofErr w:type="spellEnd"/>
      <w:r>
        <w:rPr>
          <w:rFonts w:eastAsia="Times New Roman" w:cs="Times New Roman"/>
        </w:rPr>
        <w:t xml:space="preserve"> offense under Islamic Shariah has been proven beyond all doubt, the penalty afforded to such a crime under Islamic Shariah must be imposed. The State Party specifie</w:t>
      </w:r>
      <w:r w:rsidR="00485D6F">
        <w:rPr>
          <w:rFonts w:eastAsia="Times New Roman" w:cs="Times New Roman"/>
        </w:rPr>
        <w:t>s</w:t>
      </w:r>
      <w:r>
        <w:rPr>
          <w:rFonts w:eastAsia="Times New Roman" w:cs="Times New Roman"/>
        </w:rPr>
        <w:t xml:space="preserve"> that in the Maldives, however, </w:t>
      </w:r>
      <w:r w:rsidR="00182A00">
        <w:rPr>
          <w:rFonts w:eastAsia="Times New Roman" w:cs="Times New Roman"/>
        </w:rPr>
        <w:t xml:space="preserve">courts impose </w:t>
      </w:r>
      <w:r>
        <w:rPr>
          <w:rFonts w:eastAsia="Times New Roman" w:cs="Times New Roman"/>
        </w:rPr>
        <w:t xml:space="preserve">the </w:t>
      </w:r>
      <w:r>
        <w:t>death</w:t>
      </w:r>
      <w:r>
        <w:rPr>
          <w:rFonts w:eastAsia="Times New Roman" w:cs="Times New Roman"/>
        </w:rPr>
        <w:t xml:space="preserve"> penalty only for murder.</w:t>
      </w:r>
      <w:r>
        <w:rPr>
          <w:rStyle w:val="FootnoteReference"/>
          <w:rFonts w:eastAsia="Times New Roman" w:cs="Times New Roman"/>
        </w:rPr>
        <w:footnoteReference w:id="2"/>
      </w:r>
    </w:p>
    <w:p w14:paraId="35A63931" w14:textId="13D4C8E8" w:rsidR="00B60372" w:rsidRDefault="00CF0615" w:rsidP="002608D1">
      <w:pPr>
        <w:pStyle w:val="ListNumber"/>
        <w:numPr>
          <w:ilvl w:val="0"/>
          <w:numId w:val="5"/>
        </w:numPr>
        <w:spacing w:after="240" w:line="240" w:lineRule="auto"/>
        <w:rPr>
          <w:rFonts w:eastAsia="Times New Roman" w:cs="Times New Roman"/>
        </w:rPr>
      </w:pPr>
      <w:r>
        <w:rPr>
          <w:rFonts w:eastAsia="Times New Roman" w:cs="Times New Roman"/>
        </w:rPr>
        <w:t xml:space="preserve">The State Party </w:t>
      </w:r>
      <w:r w:rsidR="006C60F9">
        <w:rPr>
          <w:rFonts w:eastAsia="Times New Roman" w:cs="Times New Roman"/>
        </w:rPr>
        <w:t xml:space="preserve">states </w:t>
      </w:r>
      <w:r>
        <w:rPr>
          <w:rFonts w:eastAsia="Times New Roman" w:cs="Times New Roman"/>
        </w:rPr>
        <w:t xml:space="preserve">that the death penalty is subject to automatic appeal and must be confirmed by the Supreme Court, </w:t>
      </w:r>
      <w:r w:rsidR="00F117ED">
        <w:rPr>
          <w:rFonts w:eastAsia="Times New Roman" w:cs="Times New Roman"/>
        </w:rPr>
        <w:t xml:space="preserve">adding </w:t>
      </w:r>
      <w:r>
        <w:rPr>
          <w:rFonts w:eastAsia="Times New Roman" w:cs="Times New Roman"/>
        </w:rPr>
        <w:t xml:space="preserve">that the President </w:t>
      </w:r>
      <w:r w:rsidR="00F117ED">
        <w:rPr>
          <w:rFonts w:eastAsia="Times New Roman" w:cs="Times New Roman"/>
        </w:rPr>
        <w:t xml:space="preserve">has </w:t>
      </w:r>
      <w:r>
        <w:rPr>
          <w:rFonts w:eastAsia="Times New Roman" w:cs="Times New Roman"/>
        </w:rPr>
        <w:t xml:space="preserve">the discretion to pardon death sentences. </w:t>
      </w:r>
      <w:r w:rsidR="008F1CB1">
        <w:rPr>
          <w:rFonts w:eastAsia="Times New Roman" w:cs="Times New Roman"/>
        </w:rPr>
        <w:t xml:space="preserve">Despite assertions that </w:t>
      </w:r>
      <w:r>
        <w:rPr>
          <w:rFonts w:eastAsia="Times New Roman" w:cs="Times New Roman"/>
        </w:rPr>
        <w:t xml:space="preserve">the death penalty is </w:t>
      </w:r>
      <w:r w:rsidR="008658D1">
        <w:rPr>
          <w:rFonts w:eastAsia="Times New Roman" w:cs="Times New Roman"/>
        </w:rPr>
        <w:t xml:space="preserve">available </w:t>
      </w:r>
      <w:r w:rsidR="008F1CB1">
        <w:rPr>
          <w:rFonts w:eastAsia="Times New Roman" w:cs="Times New Roman"/>
        </w:rPr>
        <w:t xml:space="preserve">only </w:t>
      </w:r>
      <w:r>
        <w:rPr>
          <w:rFonts w:eastAsia="Times New Roman" w:cs="Times New Roman"/>
        </w:rPr>
        <w:t xml:space="preserve">upon a conviction </w:t>
      </w:r>
      <w:r w:rsidR="006C60F9">
        <w:rPr>
          <w:rFonts w:eastAsia="Times New Roman" w:cs="Times New Roman"/>
        </w:rPr>
        <w:t xml:space="preserve">for </w:t>
      </w:r>
      <w:r>
        <w:rPr>
          <w:rFonts w:eastAsia="Times New Roman" w:cs="Times New Roman"/>
        </w:rPr>
        <w:t xml:space="preserve">murder, Section 5(a)(1) of the Clemency Act </w:t>
      </w:r>
      <w:r w:rsidR="001D6115">
        <w:rPr>
          <w:rFonts w:eastAsia="Times New Roman" w:cs="Times New Roman"/>
        </w:rPr>
        <w:t xml:space="preserve">renders </w:t>
      </w:r>
      <w:r>
        <w:rPr>
          <w:rFonts w:eastAsia="Times New Roman" w:cs="Times New Roman"/>
        </w:rPr>
        <w:t>murder a non-pardonable offense.</w:t>
      </w:r>
      <w:r>
        <w:rPr>
          <w:rStyle w:val="FootnoteReference"/>
          <w:rFonts w:eastAsia="Times New Roman" w:cs="Times New Roman"/>
        </w:rPr>
        <w:footnoteReference w:id="3"/>
      </w:r>
    </w:p>
    <w:p w14:paraId="44ECCF1D" w14:textId="3549555C" w:rsidR="00B60372" w:rsidRDefault="00CF0615" w:rsidP="002608D1">
      <w:pPr>
        <w:pStyle w:val="ListNumber"/>
        <w:numPr>
          <w:ilvl w:val="0"/>
          <w:numId w:val="5"/>
        </w:numPr>
        <w:spacing w:after="240" w:line="240" w:lineRule="auto"/>
        <w:rPr>
          <w:rFonts w:eastAsia="Times New Roman" w:cs="Times New Roman"/>
          <w:i/>
        </w:rPr>
      </w:pPr>
      <w:r>
        <w:rPr>
          <w:rFonts w:eastAsia="Times New Roman" w:cs="Times New Roman"/>
        </w:rPr>
        <w:t>The State Party outline</w:t>
      </w:r>
      <w:r w:rsidR="001D6115">
        <w:rPr>
          <w:rFonts w:eastAsia="Times New Roman" w:cs="Times New Roman"/>
        </w:rPr>
        <w:t>s</w:t>
      </w:r>
      <w:r>
        <w:rPr>
          <w:rFonts w:eastAsia="Times New Roman" w:cs="Times New Roman"/>
        </w:rPr>
        <w:t xml:space="preserve"> a commitment to upholding the informal moratorium on the application of the death penalty.</w:t>
      </w:r>
      <w:r w:rsidR="006F0A94">
        <w:rPr>
          <w:rStyle w:val="FootnoteReference"/>
          <w:rFonts w:eastAsia="Times New Roman" w:cs="Times New Roman"/>
        </w:rPr>
        <w:footnoteReference w:id="4"/>
      </w:r>
      <w:r>
        <w:rPr>
          <w:rFonts w:eastAsia="Times New Roman" w:cs="Times New Roman"/>
        </w:rPr>
        <w:t xml:space="preserve"> </w:t>
      </w:r>
      <w:r w:rsidR="00601512">
        <w:rPr>
          <w:rFonts w:eastAsia="Times New Roman" w:cs="Times New Roman"/>
        </w:rPr>
        <w:t>I</w:t>
      </w:r>
      <w:r>
        <w:rPr>
          <w:rFonts w:eastAsia="Times New Roman" w:cs="Times New Roman"/>
        </w:rPr>
        <w:t xml:space="preserve">n December 2023, </w:t>
      </w:r>
      <w:r w:rsidR="00601512">
        <w:rPr>
          <w:rFonts w:eastAsia="Times New Roman" w:cs="Times New Roman"/>
        </w:rPr>
        <w:t xml:space="preserve">however, less than one month into the new governmental administration, </w:t>
      </w:r>
      <w:r>
        <w:rPr>
          <w:rFonts w:eastAsia="Times New Roman" w:cs="Times New Roman"/>
        </w:rPr>
        <w:t xml:space="preserve">the </w:t>
      </w:r>
      <w:r w:rsidR="00601512">
        <w:rPr>
          <w:rFonts w:eastAsia="Times New Roman" w:cs="Times New Roman"/>
        </w:rPr>
        <w:t>G</w:t>
      </w:r>
      <w:r>
        <w:rPr>
          <w:rFonts w:eastAsia="Times New Roman" w:cs="Times New Roman"/>
        </w:rPr>
        <w:t xml:space="preserve">overnment of the Maldives announced plans to reinstate the death penalty, thus </w:t>
      </w:r>
      <w:r w:rsidR="00601512">
        <w:rPr>
          <w:rFonts w:eastAsia="Times New Roman" w:cs="Times New Roman"/>
        </w:rPr>
        <w:t xml:space="preserve">suggesting an imminent end to </w:t>
      </w:r>
      <w:r>
        <w:rPr>
          <w:rFonts w:eastAsia="Times New Roman" w:cs="Times New Roman"/>
        </w:rPr>
        <w:t xml:space="preserve">the </w:t>
      </w:r>
      <w:r w:rsidR="00601512">
        <w:rPr>
          <w:rFonts w:eastAsia="Times New Roman" w:cs="Times New Roman"/>
        </w:rPr>
        <w:t xml:space="preserve">country’s longstanding </w:t>
      </w:r>
      <w:r>
        <w:rPr>
          <w:rFonts w:eastAsia="Times New Roman" w:cs="Times New Roman"/>
        </w:rPr>
        <w:t xml:space="preserve">de </w:t>
      </w:r>
      <w:r>
        <w:rPr>
          <w:rFonts w:eastAsia="Times New Roman" w:cs="Times New Roman"/>
        </w:rPr>
        <w:lastRenderedPageBreak/>
        <w:t>facto moratorium on the use of the death penalty.</w:t>
      </w:r>
      <w:r>
        <w:rPr>
          <w:rStyle w:val="FootnoteReference"/>
          <w:rFonts w:eastAsia="Times New Roman" w:cs="Times New Roman"/>
        </w:rPr>
        <w:footnoteReference w:id="5"/>
      </w:r>
      <w:r>
        <w:rPr>
          <w:rFonts w:eastAsia="Times New Roman" w:cs="Times New Roman"/>
        </w:rPr>
        <w:t xml:space="preserve"> </w:t>
      </w:r>
      <w:r w:rsidR="000F629E">
        <w:rPr>
          <w:rFonts w:eastAsia="Times New Roman" w:cs="Times New Roman"/>
          <w:iCs/>
        </w:rPr>
        <w:t>Authorities have expressed intentions to carry out executions by lethal injection</w:t>
      </w:r>
      <w:r w:rsidR="000F629E">
        <w:rPr>
          <w:rStyle w:val="FootnoteReference"/>
          <w:rFonts w:eastAsia="Times New Roman" w:cs="Times New Roman"/>
          <w:iCs/>
        </w:rPr>
        <w:footnoteReference w:id="6"/>
      </w:r>
      <w:r w:rsidR="000F629E">
        <w:rPr>
          <w:rFonts w:eastAsia="Times New Roman" w:cs="Times New Roman"/>
          <w:iCs/>
        </w:rPr>
        <w:t xml:space="preserve"> or hanging.</w:t>
      </w:r>
      <w:r w:rsidR="000F629E">
        <w:rPr>
          <w:rStyle w:val="FootnoteReference"/>
          <w:rFonts w:eastAsia="Times New Roman" w:cs="Times New Roman"/>
          <w:iCs/>
        </w:rPr>
        <w:footnoteReference w:id="7"/>
      </w:r>
    </w:p>
    <w:p w14:paraId="601AD5F8" w14:textId="778E1F96" w:rsidR="00B60372" w:rsidRDefault="00CF0615" w:rsidP="002608D1">
      <w:pPr>
        <w:pStyle w:val="ListNumber"/>
        <w:numPr>
          <w:ilvl w:val="0"/>
          <w:numId w:val="5"/>
        </w:numPr>
        <w:spacing w:after="240" w:line="240" w:lineRule="auto"/>
        <w:rPr>
          <w:rFonts w:eastAsia="Times New Roman" w:cs="Times New Roman"/>
          <w:iCs/>
        </w:rPr>
      </w:pPr>
      <w:r>
        <w:rPr>
          <w:rFonts w:eastAsia="Times New Roman" w:cs="Times New Roman"/>
          <w:iCs/>
        </w:rPr>
        <w:t>Amnesty International reports</w:t>
      </w:r>
      <w:r w:rsidR="00BE1915">
        <w:rPr>
          <w:rFonts w:eastAsia="Times New Roman" w:cs="Times New Roman"/>
          <w:iCs/>
        </w:rPr>
        <w:t xml:space="preserve"> that courts </w:t>
      </w:r>
      <w:r>
        <w:rPr>
          <w:rFonts w:eastAsia="Times New Roman" w:cs="Times New Roman"/>
          <w:iCs/>
        </w:rPr>
        <w:t xml:space="preserve">finalized </w:t>
      </w:r>
      <w:r w:rsidR="00BE1915">
        <w:rPr>
          <w:rFonts w:eastAsia="Times New Roman" w:cs="Times New Roman"/>
          <w:iCs/>
        </w:rPr>
        <w:t xml:space="preserve">at least two </w:t>
      </w:r>
      <w:r>
        <w:rPr>
          <w:rFonts w:eastAsia="Times New Roman" w:cs="Times New Roman"/>
          <w:iCs/>
        </w:rPr>
        <w:t xml:space="preserve">death sentences </w:t>
      </w:r>
      <w:r w:rsidR="00BE1915">
        <w:rPr>
          <w:rFonts w:eastAsia="Times New Roman" w:cs="Times New Roman"/>
          <w:iCs/>
        </w:rPr>
        <w:t xml:space="preserve">in </w:t>
      </w:r>
      <w:r>
        <w:rPr>
          <w:rFonts w:eastAsia="Times New Roman" w:cs="Times New Roman"/>
          <w:iCs/>
        </w:rPr>
        <w:t>2021 and 2022, and</w:t>
      </w:r>
      <w:r w:rsidR="00A95E70">
        <w:rPr>
          <w:rFonts w:eastAsia="Times New Roman" w:cs="Times New Roman"/>
          <w:iCs/>
        </w:rPr>
        <w:t xml:space="preserve"> that as of the end of 2022, </w:t>
      </w:r>
      <w:r>
        <w:rPr>
          <w:rFonts w:eastAsia="Times New Roman" w:cs="Times New Roman"/>
          <w:iCs/>
        </w:rPr>
        <w:t xml:space="preserve">20 individuals </w:t>
      </w:r>
      <w:r w:rsidR="00A95E70">
        <w:rPr>
          <w:rFonts w:eastAsia="Times New Roman" w:cs="Times New Roman"/>
          <w:iCs/>
        </w:rPr>
        <w:t xml:space="preserve">were </w:t>
      </w:r>
      <w:r>
        <w:rPr>
          <w:rFonts w:eastAsia="Times New Roman" w:cs="Times New Roman"/>
          <w:iCs/>
        </w:rPr>
        <w:t>known to be on death row.</w:t>
      </w:r>
      <w:r>
        <w:rPr>
          <w:rStyle w:val="FootnoteReference"/>
          <w:rFonts w:eastAsia="Times New Roman" w:cs="Times New Roman"/>
          <w:iCs/>
        </w:rPr>
        <w:footnoteReference w:id="8"/>
      </w:r>
      <w:r w:rsidR="00193A8E">
        <w:rPr>
          <w:rFonts w:eastAsia="Times New Roman" w:cs="Times New Roman"/>
          <w:iCs/>
        </w:rPr>
        <w:t xml:space="preserve"> Amnesty International reported one new death sentence in 2023, bringing the total numbe</w:t>
      </w:r>
      <w:r w:rsidR="00BD45CD">
        <w:rPr>
          <w:rFonts w:eastAsia="Times New Roman" w:cs="Times New Roman"/>
          <w:iCs/>
        </w:rPr>
        <w:t>r</w:t>
      </w:r>
      <w:r w:rsidR="00193A8E">
        <w:rPr>
          <w:rFonts w:eastAsia="Times New Roman" w:cs="Times New Roman"/>
          <w:iCs/>
        </w:rPr>
        <w:t xml:space="preserve"> of people known to be under sentence of death at the end of 2023 to 21.</w:t>
      </w:r>
      <w:r w:rsidR="00193A8E">
        <w:rPr>
          <w:rStyle w:val="FootnoteReference"/>
          <w:rFonts w:eastAsia="Times New Roman" w:cs="Times New Roman"/>
          <w:iCs/>
        </w:rPr>
        <w:footnoteReference w:id="9"/>
      </w:r>
    </w:p>
    <w:p w14:paraId="3125ED8E" w14:textId="0641697A" w:rsidR="00C32FC2" w:rsidRDefault="00C32FC2" w:rsidP="002608D1">
      <w:pPr>
        <w:pStyle w:val="ListNumber"/>
        <w:numPr>
          <w:ilvl w:val="0"/>
          <w:numId w:val="5"/>
        </w:numPr>
        <w:spacing w:after="240" w:line="240" w:lineRule="auto"/>
        <w:rPr>
          <w:rFonts w:eastAsia="Times New Roman" w:cs="Times New Roman"/>
          <w:iCs/>
        </w:rPr>
      </w:pPr>
      <w:r>
        <w:rPr>
          <w:rFonts w:eastAsia="Times New Roman" w:cs="Times New Roman"/>
          <w:iCs/>
        </w:rPr>
        <w:t>Amnesty International also report</w:t>
      </w:r>
      <w:r w:rsidR="00CF017E">
        <w:rPr>
          <w:rFonts w:eastAsia="Times New Roman" w:cs="Times New Roman"/>
          <w:iCs/>
        </w:rPr>
        <w:t>ed</w:t>
      </w:r>
      <w:r>
        <w:rPr>
          <w:rFonts w:eastAsia="Times New Roman" w:cs="Times New Roman"/>
          <w:iCs/>
        </w:rPr>
        <w:t xml:space="preserve"> that </w:t>
      </w:r>
      <w:r w:rsidR="00CF017E">
        <w:rPr>
          <w:rFonts w:eastAsia="Times New Roman" w:cs="Times New Roman"/>
          <w:iCs/>
        </w:rPr>
        <w:t xml:space="preserve">as of the end of 2023, </w:t>
      </w:r>
      <w:r>
        <w:rPr>
          <w:rFonts w:eastAsia="Times New Roman" w:cs="Times New Roman"/>
          <w:iCs/>
        </w:rPr>
        <w:t>“[p]</w:t>
      </w:r>
      <w:proofErr w:type="spellStart"/>
      <w:r>
        <w:rPr>
          <w:rFonts w:eastAsia="Times New Roman" w:cs="Times New Roman"/>
          <w:iCs/>
        </w:rPr>
        <w:t>eople</w:t>
      </w:r>
      <w:proofErr w:type="spellEnd"/>
      <w:r>
        <w:rPr>
          <w:rFonts w:eastAsia="Times New Roman" w:cs="Times New Roman"/>
          <w:iCs/>
        </w:rPr>
        <w:t xml:space="preserve"> </w:t>
      </w:r>
      <w:r w:rsidR="004C6245">
        <w:rPr>
          <w:rFonts w:eastAsia="Times New Roman" w:cs="Times New Roman"/>
          <w:iCs/>
        </w:rPr>
        <w:t>who were below 18 years of age at the time of the offence for which they had been convicted remained under sentence of death in Maldives.”</w:t>
      </w:r>
      <w:r w:rsidR="004C6245">
        <w:rPr>
          <w:rStyle w:val="FootnoteReference"/>
          <w:rFonts w:eastAsia="Times New Roman" w:cs="Times New Roman"/>
          <w:iCs/>
        </w:rPr>
        <w:footnoteReference w:id="10"/>
      </w:r>
      <w:r w:rsidR="00A07E5E">
        <w:rPr>
          <w:rFonts w:eastAsia="Times New Roman" w:cs="Times New Roman"/>
          <w:iCs/>
        </w:rPr>
        <w:t xml:space="preserve"> Amnesty also reported that in the Maldives “[p]</w:t>
      </w:r>
      <w:proofErr w:type="spellStart"/>
      <w:r w:rsidR="00A07E5E">
        <w:rPr>
          <w:rFonts w:eastAsia="Times New Roman" w:cs="Times New Roman"/>
          <w:iCs/>
        </w:rPr>
        <w:t>eople</w:t>
      </w:r>
      <w:proofErr w:type="spellEnd"/>
      <w:r w:rsidR="00A07E5E">
        <w:rPr>
          <w:rFonts w:eastAsia="Times New Roman" w:cs="Times New Roman"/>
          <w:iCs/>
        </w:rPr>
        <w:t xml:space="preserve"> with mental or intellectual disabilities were under sentence of death.”</w:t>
      </w:r>
      <w:r w:rsidR="00A07E5E">
        <w:rPr>
          <w:rStyle w:val="FootnoteReference"/>
          <w:rFonts w:eastAsia="Times New Roman" w:cs="Times New Roman"/>
          <w:iCs/>
        </w:rPr>
        <w:footnoteReference w:id="11"/>
      </w:r>
    </w:p>
    <w:p w14:paraId="008F7D24" w14:textId="7EA3831C" w:rsidR="00B60372" w:rsidRDefault="00941288">
      <w:pPr>
        <w:pStyle w:val="SectionHeading"/>
        <w:keepNext/>
      </w:pPr>
      <w:r>
        <w:t>Women in conflict with the law face gender-based discrimination, particularly when charged with capital crimes</w:t>
      </w:r>
      <w:r w:rsidR="00C81B93">
        <w:t xml:space="preserve"> (List of Issues </w:t>
      </w:r>
      <w:r w:rsidR="00DD5B50">
        <w:t xml:space="preserve">Prior to Reporting </w:t>
      </w:r>
      <w:r w:rsidR="00C81B93">
        <w:t>paragraph 13)</w:t>
      </w:r>
      <w:r w:rsidR="00CF0615">
        <w:t xml:space="preserve">. </w:t>
      </w:r>
    </w:p>
    <w:p w14:paraId="7921ABFD" w14:textId="7980F5FE" w:rsidR="002C58C2" w:rsidRPr="00E33509" w:rsidRDefault="00374AD4" w:rsidP="00374AD4">
      <w:pPr>
        <w:pStyle w:val="ListNumber"/>
        <w:numPr>
          <w:ilvl w:val="0"/>
          <w:numId w:val="5"/>
        </w:numPr>
        <w:spacing w:after="240" w:line="240" w:lineRule="auto"/>
        <w:rPr>
          <w:shd w:val="clear" w:color="auto" w:fill="FFFFFF"/>
          <w:lang w:val="en-US"/>
        </w:rPr>
      </w:pPr>
      <w:r>
        <w:rPr>
          <w:shd w:val="clear" w:color="auto" w:fill="FFFFFF"/>
          <w:lang w:val="en-US"/>
        </w:rPr>
        <w:t xml:space="preserve">Women experience gender-based discrimination in the criminal legal system when they are sentenced to death for murder. </w:t>
      </w:r>
      <w:r w:rsidR="009F6F35">
        <w:rPr>
          <w:rFonts w:eastAsia="Times New Roman" w:cs="Times New Roman"/>
          <w:color w:val="201F1E"/>
          <w:shd w:val="clear" w:color="auto" w:fill="FFFFFF"/>
          <w:lang w:val="en-US"/>
        </w:rPr>
        <w:t>On a global scale, w</w:t>
      </w:r>
      <w:r w:rsidR="002C58C2">
        <w:rPr>
          <w:rFonts w:eastAsia="Times New Roman" w:cs="Times New Roman"/>
          <w:color w:val="201F1E"/>
          <w:shd w:val="clear" w:color="auto" w:fill="FFFFFF"/>
          <w:lang w:val="en-US"/>
        </w:rPr>
        <w:t xml:space="preserve">omen on death row for murder typically </w:t>
      </w:r>
      <w:r w:rsidR="002C58C2" w:rsidRPr="002608D1">
        <w:rPr>
          <w:rFonts w:eastAsia="Times New Roman" w:cs="Times New Roman"/>
          <w:color w:val="000000"/>
          <w:kern w:val="28"/>
          <w:lang w:val="en-US"/>
        </w:rPr>
        <w:t>have</w:t>
      </w:r>
      <w:r w:rsidR="002C58C2">
        <w:rPr>
          <w:rFonts w:eastAsia="Times New Roman" w:cs="Times New Roman"/>
          <w:color w:val="201F1E"/>
          <w:shd w:val="clear" w:color="auto" w:fill="FFFFFF"/>
          <w:lang w:val="en-US"/>
        </w:rPr>
        <w:t xml:space="preserve"> not themselves committed an intentional killing, yet they are often sentenced as accomplices to their </w:t>
      </w:r>
      <w:r w:rsidR="009F6F35">
        <w:rPr>
          <w:rFonts w:eastAsia="Times New Roman" w:cs="Times New Roman"/>
          <w:color w:val="201F1E"/>
          <w:shd w:val="clear" w:color="auto" w:fill="FFFFFF"/>
          <w:lang w:val="en-US"/>
        </w:rPr>
        <w:t>male intimate partners</w:t>
      </w:r>
      <w:r w:rsidR="002C58C2">
        <w:rPr>
          <w:rFonts w:eastAsia="Times New Roman" w:cs="Times New Roman"/>
          <w:color w:val="201F1E"/>
          <w:shd w:val="clear" w:color="auto" w:fill="FFFFFF"/>
          <w:lang w:val="en-US"/>
        </w:rPr>
        <w:t xml:space="preserve"> or other male figures.</w:t>
      </w:r>
      <w:r w:rsidR="002C58C2">
        <w:rPr>
          <w:rFonts w:eastAsia="Times New Roman" w:cs="Times New Roman"/>
          <w:color w:val="201F1E"/>
          <w:shd w:val="clear" w:color="auto" w:fill="FFFFFF"/>
          <w:vertAlign w:val="superscript"/>
          <w:lang w:val="en-US"/>
        </w:rPr>
        <w:footnoteReference w:id="12"/>
      </w:r>
      <w:r w:rsidR="002C58C2">
        <w:rPr>
          <w:rFonts w:eastAsia="Times New Roman" w:cs="Times New Roman"/>
          <w:color w:val="201F1E"/>
          <w:shd w:val="clear" w:color="auto" w:fill="FFFFFF"/>
          <w:lang w:val="en-US"/>
        </w:rPr>
        <w:t xml:space="preserve"> This tendency to perceive women’s actions as extensions of their male partners’ wills reinforces gender roles and stereotypes. Sentencing women based on their association with male co-defendants jeopardizes women’s right to an individualized judicial process. </w:t>
      </w:r>
    </w:p>
    <w:p w14:paraId="4C6C2639" w14:textId="09F89E41" w:rsidR="00374AD4" w:rsidRDefault="00D063BF" w:rsidP="00374AD4">
      <w:pPr>
        <w:pStyle w:val="ListNumber"/>
        <w:numPr>
          <w:ilvl w:val="0"/>
          <w:numId w:val="5"/>
        </w:numPr>
        <w:spacing w:after="240" w:line="240" w:lineRule="auto"/>
        <w:rPr>
          <w:shd w:val="clear" w:color="auto" w:fill="FFFFFF"/>
          <w:lang w:val="en-US"/>
        </w:rPr>
      </w:pPr>
      <w:r>
        <w:rPr>
          <w:shd w:val="clear" w:color="auto" w:fill="FFFFFF"/>
          <w:lang w:val="en-US"/>
        </w:rPr>
        <w:t>For example, i</w:t>
      </w:r>
      <w:r w:rsidR="00374AD4">
        <w:rPr>
          <w:shd w:val="clear" w:color="auto" w:fill="FFFFFF"/>
          <w:lang w:val="en-US"/>
        </w:rPr>
        <w:t xml:space="preserve">n July 2015, a court </w:t>
      </w:r>
      <w:r w:rsidR="00374AD4">
        <w:t>sentenced</w:t>
      </w:r>
      <w:r w:rsidR="00374AD4">
        <w:rPr>
          <w:shd w:val="clear" w:color="auto" w:fill="FFFFFF"/>
          <w:lang w:val="en-US"/>
        </w:rPr>
        <w:t xml:space="preserve"> Fathimath Hana to death for murder. Hana’s boyfriend killed a lawyer, claiming that the lawyer had threatened to assault Hana. At the time of the murder, Hana was asleep. Hana’s lawyer argued that a death sentence would be disproportionate to her involvement in the murder. </w:t>
      </w:r>
      <w:r w:rsidR="00374AD4" w:rsidRPr="002608D1">
        <w:rPr>
          <w:rFonts w:eastAsia="Times New Roman" w:cs="Times New Roman"/>
          <w:iCs/>
        </w:rPr>
        <w:t>The</w:t>
      </w:r>
      <w:r w:rsidR="00374AD4">
        <w:rPr>
          <w:shd w:val="clear" w:color="auto" w:fill="FFFFFF"/>
          <w:lang w:val="en-US"/>
        </w:rPr>
        <w:t xml:space="preserve"> High Court in 2016 upheld the </w:t>
      </w:r>
      <w:r w:rsidR="00374AD4">
        <w:rPr>
          <w:shd w:val="clear" w:color="auto" w:fill="FFFFFF"/>
          <w:lang w:val="en-US"/>
        </w:rPr>
        <w:lastRenderedPageBreak/>
        <w:t>sentence, asserting that while Hana may have been asleep at the time of murder, she planned the murder with her boyfriend, and thus, a death sentence was appropriate.</w:t>
      </w:r>
      <w:r w:rsidR="00374AD4">
        <w:rPr>
          <w:shd w:val="clear" w:color="auto" w:fill="FFFFFF"/>
          <w:vertAlign w:val="superscript"/>
          <w:lang w:val="en-US"/>
        </w:rPr>
        <w:footnoteReference w:id="13"/>
      </w:r>
      <w:r w:rsidR="00374AD4">
        <w:rPr>
          <w:shd w:val="clear" w:color="auto" w:fill="FFFFFF"/>
          <w:lang w:val="en-US"/>
        </w:rPr>
        <w:t xml:space="preserve"> </w:t>
      </w:r>
    </w:p>
    <w:p w14:paraId="6C033B89" w14:textId="612EFA8D" w:rsidR="00374AD4" w:rsidRDefault="00374AD4" w:rsidP="00374AD4">
      <w:pPr>
        <w:pStyle w:val="ListNumber"/>
        <w:numPr>
          <w:ilvl w:val="0"/>
          <w:numId w:val="5"/>
        </w:numPr>
        <w:spacing w:after="240" w:line="240" w:lineRule="auto"/>
        <w:rPr>
          <w:rFonts w:eastAsia="Times New Roman" w:cs="Times New Roman"/>
          <w:color w:val="201F1E"/>
          <w:shd w:val="clear" w:color="auto" w:fill="FFFFFF"/>
          <w:lang w:val="en-US"/>
        </w:rPr>
      </w:pPr>
      <w:r>
        <w:rPr>
          <w:rFonts w:eastAsia="Times New Roman" w:cs="Times New Roman"/>
          <w:color w:val="000000"/>
          <w:kern w:val="28"/>
          <w:lang w:val="en-US"/>
        </w:rPr>
        <w:t>Maldivian courts, when exercising their discretion to impose the death penalty, often make decisions influenced by gender stereotypes. The imposition of death penalty in the Maldives is not mandatory. Although Sharia law may require the death penalty for murder,</w:t>
      </w:r>
      <w:r>
        <w:rPr>
          <w:rFonts w:eastAsia="Times New Roman" w:cs="Times New Roman"/>
          <w:color w:val="000000"/>
          <w:kern w:val="28"/>
          <w:vertAlign w:val="superscript"/>
          <w:lang w:val="en-US"/>
        </w:rPr>
        <w:footnoteReference w:id="14"/>
      </w:r>
      <w:r>
        <w:rPr>
          <w:rFonts w:eastAsia="Times New Roman" w:cs="Times New Roman"/>
          <w:color w:val="000000"/>
          <w:kern w:val="28"/>
          <w:lang w:val="en-US"/>
        </w:rPr>
        <w:t xml:space="preserve"> courts otherwise have discretion to impose a </w:t>
      </w:r>
      <w:r>
        <w:t>sentence</w:t>
      </w:r>
      <w:r w:rsidR="00451DFC">
        <w:t xml:space="preserve"> other than death</w:t>
      </w:r>
      <w:r>
        <w:rPr>
          <w:rFonts w:eastAsia="Times New Roman" w:cs="Times New Roman"/>
          <w:color w:val="000000"/>
          <w:kern w:val="28"/>
          <w:lang w:val="en-US"/>
        </w:rPr>
        <w:t>.</w:t>
      </w:r>
      <w:r>
        <w:rPr>
          <w:rFonts w:eastAsia="Times New Roman" w:cs="Times New Roman"/>
          <w:color w:val="000000"/>
          <w:kern w:val="28"/>
          <w:vertAlign w:val="superscript"/>
          <w:lang w:val="en-US"/>
        </w:rPr>
        <w:footnoteReference w:id="15"/>
      </w:r>
      <w:r>
        <w:rPr>
          <w:rFonts w:eastAsia="Times New Roman" w:cs="Times New Roman"/>
          <w:color w:val="000000"/>
          <w:kern w:val="28"/>
          <w:lang w:val="en-US"/>
        </w:rPr>
        <w:t xml:space="preserve"> The </w:t>
      </w:r>
      <w:r w:rsidR="00D043F5">
        <w:rPr>
          <w:rFonts w:eastAsia="Times New Roman" w:cs="Times New Roman"/>
          <w:color w:val="000000"/>
          <w:kern w:val="28"/>
          <w:lang w:val="en-US"/>
        </w:rPr>
        <w:t xml:space="preserve">court may ask </w:t>
      </w:r>
      <w:r>
        <w:rPr>
          <w:rFonts w:eastAsia="Times New Roman" w:cs="Times New Roman"/>
          <w:color w:val="000000"/>
          <w:kern w:val="28"/>
          <w:lang w:val="en-US"/>
        </w:rPr>
        <w:t>the victim</w:t>
      </w:r>
      <w:r w:rsidR="00D043F5">
        <w:rPr>
          <w:rFonts w:eastAsia="Times New Roman" w:cs="Times New Roman"/>
          <w:color w:val="000000"/>
          <w:kern w:val="28"/>
          <w:lang w:val="en-US"/>
        </w:rPr>
        <w:t xml:space="preserve">’s surviving relatives </w:t>
      </w:r>
      <w:r>
        <w:rPr>
          <w:rFonts w:eastAsia="Times New Roman" w:cs="Times New Roman"/>
          <w:color w:val="000000"/>
          <w:kern w:val="28"/>
          <w:lang w:val="en-US"/>
        </w:rPr>
        <w:t>whether they wish for a retributive death penalty or pardon, but the Supreme Court has the final authority on issuing (or affirming) the sentence.</w:t>
      </w:r>
      <w:r>
        <w:rPr>
          <w:rFonts w:eastAsia="Times New Roman" w:cs="Times New Roman"/>
          <w:color w:val="000000"/>
          <w:kern w:val="28"/>
          <w:vertAlign w:val="superscript"/>
          <w:lang w:val="en-US"/>
        </w:rPr>
        <w:footnoteReference w:id="16"/>
      </w:r>
    </w:p>
    <w:p w14:paraId="241E3BD4" w14:textId="7893A7D4" w:rsidR="00374AD4" w:rsidRPr="00433F96" w:rsidRDefault="00374AD4" w:rsidP="00433F96">
      <w:pPr>
        <w:pStyle w:val="ListNumber"/>
        <w:numPr>
          <w:ilvl w:val="0"/>
          <w:numId w:val="5"/>
        </w:numPr>
        <w:spacing w:after="240" w:line="240" w:lineRule="auto"/>
        <w:rPr>
          <w:rFonts w:eastAsia="Times New Roman" w:cs="Times New Roman"/>
          <w:color w:val="201F1E"/>
          <w:shd w:val="clear" w:color="auto" w:fill="FFFFFF"/>
          <w:lang w:val="en-US"/>
        </w:rPr>
      </w:pPr>
      <w:r w:rsidRPr="00433F96">
        <w:rPr>
          <w:rFonts w:eastAsia="Times New Roman" w:cs="Times New Roman"/>
          <w:color w:val="201F1E"/>
          <w:shd w:val="clear" w:color="auto" w:fill="FFFFFF"/>
          <w:lang w:val="en-US"/>
        </w:rPr>
        <w:t xml:space="preserve">Gender stereotypes can play a significant role in </w:t>
      </w:r>
      <w:proofErr w:type="gramStart"/>
      <w:r w:rsidRPr="00433F96">
        <w:rPr>
          <w:rFonts w:eastAsia="Times New Roman" w:cs="Times New Roman"/>
          <w:color w:val="201F1E"/>
          <w:shd w:val="clear" w:color="auto" w:fill="FFFFFF"/>
          <w:lang w:val="en-US"/>
        </w:rPr>
        <w:t>sentencing for</w:t>
      </w:r>
      <w:proofErr w:type="gramEnd"/>
      <w:r w:rsidRPr="00433F96">
        <w:rPr>
          <w:rFonts w:eastAsia="Times New Roman" w:cs="Times New Roman"/>
          <w:color w:val="201F1E"/>
          <w:shd w:val="clear" w:color="auto" w:fill="FFFFFF"/>
          <w:lang w:val="en-US"/>
        </w:rPr>
        <w:t xml:space="preserve"> violent crimes. Courts generally impose lesser </w:t>
      </w:r>
      <w:r>
        <w:t>sentences</w:t>
      </w:r>
      <w:r w:rsidRPr="00433F96">
        <w:rPr>
          <w:rFonts w:eastAsia="Times New Roman" w:cs="Times New Roman"/>
          <w:color w:val="201F1E"/>
          <w:shd w:val="clear" w:color="auto" w:fill="FFFFFF"/>
          <w:lang w:val="en-US"/>
        </w:rPr>
        <w:t xml:space="preserve"> upon women when the courts perceive them as conforming to their societal gender roles, such as </w:t>
      </w:r>
      <w:r w:rsidRPr="00433F96">
        <w:rPr>
          <w:rFonts w:eastAsia="Times New Roman" w:cs="Times New Roman"/>
          <w:color w:val="000000"/>
          <w:kern w:val="28"/>
          <w:lang w:val="en-US"/>
        </w:rPr>
        <w:t>being</w:t>
      </w:r>
      <w:r w:rsidRPr="00433F96">
        <w:rPr>
          <w:rFonts w:eastAsia="Times New Roman" w:cs="Times New Roman"/>
          <w:color w:val="201F1E"/>
          <w:shd w:val="clear" w:color="auto" w:fill="FFFFFF"/>
          <w:lang w:val="en-US"/>
        </w:rPr>
        <w:t xml:space="preserve"> a caring mother or innocent victim. Courts tend to impose harsher sentences on women when courts view them as having deviated from these roles.</w:t>
      </w:r>
      <w:r>
        <w:rPr>
          <w:rFonts w:eastAsia="Times New Roman" w:cs="Times New Roman"/>
          <w:color w:val="201F1E"/>
          <w:shd w:val="clear" w:color="auto" w:fill="FFFFFF"/>
          <w:vertAlign w:val="superscript"/>
          <w:lang w:val="en-US"/>
        </w:rPr>
        <w:footnoteReference w:id="17"/>
      </w:r>
      <w:r w:rsidRPr="00433F96">
        <w:rPr>
          <w:rFonts w:eastAsia="Times New Roman" w:cs="Times New Roman"/>
          <w:color w:val="201F1E"/>
          <w:shd w:val="clear" w:color="auto" w:fill="FFFFFF"/>
          <w:lang w:val="en-US"/>
        </w:rPr>
        <w:t xml:space="preserve"> The fact that Hana and her boyfriend were unmarried and that she had consumed alcohol before falling asleep at the time of the murder may have influenced the court’s decision to sentence her to death. </w:t>
      </w:r>
    </w:p>
    <w:p w14:paraId="1BC06CBA" w14:textId="42B81ED9" w:rsidR="00B60372" w:rsidRPr="00433F96" w:rsidRDefault="00B26740" w:rsidP="00433F96">
      <w:pPr>
        <w:pStyle w:val="ListNumber"/>
        <w:numPr>
          <w:ilvl w:val="0"/>
          <w:numId w:val="5"/>
        </w:numPr>
        <w:spacing w:after="240" w:line="240" w:lineRule="auto"/>
        <w:rPr>
          <w:rFonts w:eastAsia="Times New Roman" w:cs="Times New Roman"/>
          <w:iCs/>
        </w:rPr>
      </w:pPr>
      <w:r w:rsidRPr="00433F96">
        <w:rPr>
          <w:rFonts w:eastAsia="Times New Roman" w:cs="Times New Roman"/>
          <w:iCs/>
        </w:rPr>
        <w:t>As mentioned above, t</w:t>
      </w:r>
      <w:r w:rsidR="00CF0615" w:rsidRPr="00433F96">
        <w:rPr>
          <w:rFonts w:eastAsia="Times New Roman" w:cs="Times New Roman"/>
          <w:iCs/>
        </w:rPr>
        <w:t xml:space="preserve">he Committee requested information </w:t>
      </w:r>
      <w:r w:rsidR="006F0A94" w:rsidRPr="00433F96">
        <w:rPr>
          <w:rFonts w:eastAsia="Times New Roman" w:cs="Times New Roman"/>
          <w:iCs/>
        </w:rPr>
        <w:t xml:space="preserve">regarding </w:t>
      </w:r>
      <w:r w:rsidR="00F44BBE" w:rsidRPr="00433F96">
        <w:rPr>
          <w:rFonts w:eastAsia="Times New Roman" w:cs="Times New Roman"/>
          <w:iCs/>
        </w:rPr>
        <w:t xml:space="preserve">which crimes </w:t>
      </w:r>
      <w:r w:rsidRPr="00433F96">
        <w:rPr>
          <w:rFonts w:eastAsia="Times New Roman" w:cs="Times New Roman"/>
          <w:iCs/>
        </w:rPr>
        <w:t xml:space="preserve">are eligible for </w:t>
      </w:r>
      <w:r w:rsidR="00F44BBE" w:rsidRPr="00433F96">
        <w:rPr>
          <w:rFonts w:eastAsia="Times New Roman" w:cs="Times New Roman"/>
          <w:iCs/>
        </w:rPr>
        <w:t>the death penalty</w:t>
      </w:r>
      <w:r w:rsidR="00CF0615" w:rsidRPr="00433F96">
        <w:rPr>
          <w:rFonts w:eastAsia="Times New Roman" w:cs="Times New Roman"/>
          <w:iCs/>
        </w:rPr>
        <w:t>.</w:t>
      </w:r>
      <w:r w:rsidR="00CF0615">
        <w:rPr>
          <w:rStyle w:val="FootnoteReference"/>
          <w:rFonts w:eastAsia="Times New Roman" w:cs="Times New Roman"/>
          <w:iCs/>
        </w:rPr>
        <w:footnoteReference w:id="18"/>
      </w:r>
      <w:r w:rsidR="00CF0615" w:rsidRPr="00433F96">
        <w:rPr>
          <w:rFonts w:eastAsia="Times New Roman" w:cs="Times New Roman"/>
          <w:iCs/>
        </w:rPr>
        <w:t xml:space="preserve"> </w:t>
      </w:r>
      <w:r w:rsidR="00E40C3D" w:rsidRPr="00433F96">
        <w:rPr>
          <w:rFonts w:eastAsia="Times New Roman" w:cs="Times New Roman"/>
          <w:iCs/>
        </w:rPr>
        <w:t xml:space="preserve">The State </w:t>
      </w:r>
      <w:r w:rsidR="00471B6A" w:rsidRPr="00433F96">
        <w:rPr>
          <w:rFonts w:eastAsia="Times New Roman" w:cs="Times New Roman"/>
          <w:iCs/>
        </w:rPr>
        <w:t>Party Report asserts</w:t>
      </w:r>
      <w:r w:rsidR="00E40C3D" w:rsidRPr="00433F96">
        <w:rPr>
          <w:rFonts w:eastAsia="Times New Roman" w:cs="Times New Roman"/>
          <w:iCs/>
        </w:rPr>
        <w:t xml:space="preserve"> that </w:t>
      </w:r>
      <w:r w:rsidR="00471B6A" w:rsidRPr="00433F96">
        <w:rPr>
          <w:rFonts w:eastAsia="Times New Roman" w:cs="Times New Roman"/>
          <w:iCs/>
        </w:rPr>
        <w:t xml:space="preserve">courts impose </w:t>
      </w:r>
      <w:r w:rsidR="00E40C3D" w:rsidRPr="00433F96">
        <w:rPr>
          <w:rFonts w:eastAsia="Times New Roman" w:cs="Times New Roman"/>
          <w:iCs/>
        </w:rPr>
        <w:t>the death penalty only for murder,</w:t>
      </w:r>
      <w:r w:rsidR="00BD3C95">
        <w:rPr>
          <w:rStyle w:val="FootnoteReference"/>
          <w:rFonts w:eastAsia="Times New Roman" w:cs="Times New Roman"/>
          <w:iCs/>
        </w:rPr>
        <w:footnoteReference w:id="19"/>
      </w:r>
      <w:r w:rsidR="00E40C3D" w:rsidRPr="00433F96">
        <w:rPr>
          <w:rFonts w:eastAsia="Times New Roman" w:cs="Times New Roman"/>
          <w:iCs/>
        </w:rPr>
        <w:t xml:space="preserve"> yet </w:t>
      </w:r>
      <w:r w:rsidR="00471B6A" w:rsidRPr="00433F96">
        <w:rPr>
          <w:rFonts w:eastAsia="Times New Roman" w:cs="Times New Roman"/>
          <w:iCs/>
        </w:rPr>
        <w:t xml:space="preserve">courts have sentenced </w:t>
      </w:r>
      <w:r w:rsidR="00CF0615" w:rsidRPr="00433F96">
        <w:rPr>
          <w:rFonts w:eastAsia="Times New Roman" w:cs="Times New Roman"/>
          <w:iCs/>
        </w:rPr>
        <w:t xml:space="preserve">some women </w:t>
      </w:r>
      <w:r w:rsidR="00471B6A" w:rsidRPr="00433F96">
        <w:rPr>
          <w:rFonts w:eastAsia="Times New Roman" w:cs="Times New Roman"/>
          <w:iCs/>
        </w:rPr>
        <w:t xml:space="preserve">to death for </w:t>
      </w:r>
      <w:r w:rsidR="00CF0615" w:rsidRPr="00433F96">
        <w:rPr>
          <w:rFonts w:eastAsia="Times New Roman" w:cs="Times New Roman"/>
          <w:iCs/>
        </w:rPr>
        <w:t xml:space="preserve">adultery </w:t>
      </w:r>
      <w:r w:rsidR="00471B6A" w:rsidRPr="00433F96">
        <w:rPr>
          <w:rFonts w:eastAsia="Times New Roman" w:cs="Times New Roman"/>
          <w:iCs/>
        </w:rPr>
        <w:t xml:space="preserve">under provisions criminalizing </w:t>
      </w:r>
      <w:r w:rsidR="00E40C3D" w:rsidRPr="00433F96">
        <w:rPr>
          <w:rFonts w:eastAsia="Times New Roman" w:cs="Times New Roman"/>
          <w:iCs/>
        </w:rPr>
        <w:t>sexual relations outside of marriage.</w:t>
      </w:r>
      <w:r w:rsidR="00E40C3D">
        <w:rPr>
          <w:rStyle w:val="FootnoteReference"/>
          <w:rFonts w:eastAsia="Times New Roman" w:cs="Times New Roman"/>
          <w:iCs/>
        </w:rPr>
        <w:footnoteReference w:id="20"/>
      </w:r>
      <w:r w:rsidR="00CF0615" w:rsidRPr="00433F96">
        <w:rPr>
          <w:rFonts w:eastAsia="Times New Roman" w:cs="Times New Roman"/>
          <w:iCs/>
        </w:rPr>
        <w:t xml:space="preserve"> </w:t>
      </w:r>
    </w:p>
    <w:p w14:paraId="4017DA36" w14:textId="64FDE8A8" w:rsidR="00B60372" w:rsidRDefault="00CF0615" w:rsidP="002608D1">
      <w:pPr>
        <w:pStyle w:val="ListNumber"/>
        <w:numPr>
          <w:ilvl w:val="0"/>
          <w:numId w:val="5"/>
        </w:numPr>
        <w:spacing w:after="240" w:line="240" w:lineRule="auto"/>
        <w:rPr>
          <w:rFonts w:eastAsia="Times New Roman" w:cs="Times New Roman"/>
          <w:iCs/>
        </w:rPr>
      </w:pPr>
      <w:r>
        <w:rPr>
          <w:rFonts w:eastAsia="Times New Roman" w:cs="Times New Roman"/>
          <w:iCs/>
        </w:rPr>
        <w:lastRenderedPageBreak/>
        <w:t>Article 17(a) of the 2008 Constitution of the Republic of Maldives prohibits gender-based discrimination.</w:t>
      </w:r>
      <w:r>
        <w:rPr>
          <w:rStyle w:val="FootnoteReference"/>
          <w:rFonts w:eastAsia="Times New Roman" w:cs="Times New Roman"/>
          <w:iCs/>
        </w:rPr>
        <w:footnoteReference w:id="21"/>
      </w:r>
      <w:r w:rsidR="00040CDD">
        <w:rPr>
          <w:rFonts w:eastAsia="Times New Roman" w:cs="Times New Roman"/>
          <w:iCs/>
        </w:rPr>
        <w:t xml:space="preserve"> </w:t>
      </w:r>
      <w:r>
        <w:rPr>
          <w:rFonts w:eastAsia="Times New Roman" w:cs="Times New Roman"/>
          <w:iCs/>
        </w:rPr>
        <w:t>The State Party claims that Law Number 18/2016 promotes the prevention of discrimination based on gender and the prevention of all ideas and practices which promote discrimination or prevent women from enjoying equal human and fundamental rights with men.</w:t>
      </w:r>
      <w:r>
        <w:rPr>
          <w:rStyle w:val="FootnoteReference"/>
          <w:rFonts w:eastAsia="Times New Roman" w:cs="Times New Roman"/>
          <w:iCs/>
        </w:rPr>
        <w:footnoteReference w:id="22"/>
      </w:r>
      <w:r w:rsidR="00040CDD">
        <w:rPr>
          <w:rFonts w:eastAsia="Times New Roman" w:cs="Times New Roman"/>
          <w:iCs/>
        </w:rPr>
        <w:t xml:space="preserve"> </w:t>
      </w:r>
    </w:p>
    <w:p w14:paraId="6E1B2943" w14:textId="5125591A" w:rsidR="00B60372" w:rsidRDefault="00CF0615" w:rsidP="002608D1">
      <w:pPr>
        <w:pStyle w:val="ListNumber"/>
        <w:numPr>
          <w:ilvl w:val="0"/>
          <w:numId w:val="5"/>
        </w:numPr>
        <w:spacing w:after="240" w:line="240" w:lineRule="auto"/>
        <w:rPr>
          <w:rFonts w:eastAsia="Times New Roman" w:cs="Times New Roman"/>
          <w:iCs/>
        </w:rPr>
      </w:pPr>
      <w:r>
        <w:rPr>
          <w:rFonts w:eastAsia="Times New Roman" w:cs="Times New Roman"/>
          <w:iCs/>
        </w:rPr>
        <w:t xml:space="preserve">By sentencing women to death for sexual offenses, the Maldives contravenes its own Constitution and Gender Equality Act. </w:t>
      </w:r>
      <w:r w:rsidR="002849E6">
        <w:rPr>
          <w:rFonts w:eastAsia="Times New Roman" w:cs="Times New Roman"/>
          <w:iCs/>
        </w:rPr>
        <w:t xml:space="preserve">Since the Committee’s </w:t>
      </w:r>
      <w:r w:rsidR="00983387">
        <w:rPr>
          <w:rFonts w:eastAsia="Times New Roman" w:cs="Times New Roman"/>
          <w:iCs/>
        </w:rPr>
        <w:t>first review of the Maldives in 2012, courts have sentenced w</w:t>
      </w:r>
      <w:r>
        <w:rPr>
          <w:rFonts w:eastAsia="Times New Roman" w:cs="Times New Roman"/>
          <w:iCs/>
        </w:rPr>
        <w:t xml:space="preserve">omen </w:t>
      </w:r>
      <w:r w:rsidR="00983387">
        <w:rPr>
          <w:rFonts w:eastAsia="Times New Roman" w:cs="Times New Roman"/>
          <w:iCs/>
        </w:rPr>
        <w:t xml:space="preserve">to </w:t>
      </w:r>
      <w:r>
        <w:rPr>
          <w:rFonts w:eastAsia="Times New Roman" w:cs="Times New Roman"/>
          <w:iCs/>
        </w:rPr>
        <w:t>death for adultery.</w:t>
      </w:r>
      <w:r>
        <w:rPr>
          <w:rStyle w:val="FootnoteReference"/>
          <w:rFonts w:eastAsia="Times New Roman" w:cs="Times New Roman"/>
          <w:iCs/>
        </w:rPr>
        <w:footnoteReference w:id="23"/>
      </w:r>
      <w:r>
        <w:rPr>
          <w:rFonts w:eastAsia="Times New Roman" w:cs="Times New Roman"/>
          <w:iCs/>
        </w:rPr>
        <w:t xml:space="preserve"> In 2014, a lower court sentenced a women convicted of adultery to death by stoning. She had admitted to the crime of adultery after giving birth on the </w:t>
      </w:r>
      <w:r>
        <w:t>equatorial</w:t>
      </w:r>
      <w:r>
        <w:rPr>
          <w:rFonts w:eastAsia="Times New Roman" w:cs="Times New Roman"/>
          <w:iCs/>
        </w:rPr>
        <w:t xml:space="preserve"> islet of </w:t>
      </w:r>
      <w:proofErr w:type="spellStart"/>
      <w:r>
        <w:rPr>
          <w:rFonts w:eastAsia="Times New Roman" w:cs="Times New Roman"/>
          <w:iCs/>
        </w:rPr>
        <w:t>Gemanafushi</w:t>
      </w:r>
      <w:proofErr w:type="spellEnd"/>
      <w:r>
        <w:rPr>
          <w:rFonts w:eastAsia="Times New Roman" w:cs="Times New Roman"/>
          <w:iCs/>
        </w:rPr>
        <w:t>. The Supreme Court later annulled the sentence.</w:t>
      </w:r>
      <w:r>
        <w:rPr>
          <w:rStyle w:val="FootnoteReference"/>
          <w:rFonts w:eastAsia="Times New Roman" w:cs="Times New Roman"/>
          <w:iCs/>
        </w:rPr>
        <w:footnoteReference w:id="24"/>
      </w:r>
      <w:r>
        <w:rPr>
          <w:rFonts w:eastAsia="Times New Roman" w:cs="Times New Roman"/>
          <w:iCs/>
        </w:rPr>
        <w:t xml:space="preserve"> In a 2019 case, the </w:t>
      </w:r>
      <w:proofErr w:type="spellStart"/>
      <w:r>
        <w:rPr>
          <w:rFonts w:eastAsia="Times New Roman" w:cs="Times New Roman"/>
          <w:iCs/>
        </w:rPr>
        <w:t>Naifaru</w:t>
      </w:r>
      <w:proofErr w:type="spellEnd"/>
      <w:r>
        <w:rPr>
          <w:rFonts w:eastAsia="Times New Roman" w:cs="Times New Roman"/>
          <w:iCs/>
        </w:rPr>
        <w:t xml:space="preserve"> magistrate court sentenced a woman to death for fornication outside of marriage.</w:t>
      </w:r>
      <w:r>
        <w:rPr>
          <w:rStyle w:val="FootnoteReference"/>
          <w:rFonts w:eastAsia="Times New Roman" w:cs="Times New Roman"/>
          <w:iCs/>
        </w:rPr>
        <w:footnoteReference w:id="25"/>
      </w:r>
      <w:r w:rsidR="00040CDD">
        <w:rPr>
          <w:rFonts w:eastAsia="Times New Roman" w:cs="Times New Roman"/>
          <w:iCs/>
        </w:rPr>
        <w:t xml:space="preserve"> </w:t>
      </w:r>
      <w:r>
        <w:rPr>
          <w:rFonts w:eastAsia="Times New Roman" w:cs="Times New Roman"/>
          <w:iCs/>
        </w:rPr>
        <w:t xml:space="preserve">Health workers had reported the case to the police after delivering the woman’s child, believing the child was conceived </w:t>
      </w:r>
      <w:proofErr w:type="gramStart"/>
      <w:r>
        <w:rPr>
          <w:rFonts w:eastAsia="Times New Roman" w:cs="Times New Roman"/>
          <w:iCs/>
        </w:rPr>
        <w:t>as a result of</w:t>
      </w:r>
      <w:proofErr w:type="gramEnd"/>
      <w:r>
        <w:rPr>
          <w:rFonts w:eastAsia="Times New Roman" w:cs="Times New Roman"/>
          <w:iCs/>
        </w:rPr>
        <w:t xml:space="preserve"> an unlawful sexual relation. The sentence did not mention the male partner. </w:t>
      </w:r>
    </w:p>
    <w:p w14:paraId="230AD731" w14:textId="41D32C00" w:rsidR="00B60372" w:rsidRDefault="00CF0615" w:rsidP="002608D1">
      <w:pPr>
        <w:pStyle w:val="ListNumber"/>
        <w:numPr>
          <w:ilvl w:val="0"/>
          <w:numId w:val="5"/>
        </w:numPr>
        <w:spacing w:after="240" w:line="240" w:lineRule="auto"/>
        <w:rPr>
          <w:rFonts w:eastAsia="Times New Roman" w:cs="Times New Roman"/>
          <w:iCs/>
        </w:rPr>
      </w:pPr>
      <w:r>
        <w:rPr>
          <w:rFonts w:eastAsia="Times New Roman" w:cs="Times New Roman"/>
          <w:iCs/>
        </w:rPr>
        <w:t xml:space="preserve">The Penal Code and related laws do not </w:t>
      </w:r>
      <w:r w:rsidR="00E32879">
        <w:rPr>
          <w:rFonts w:eastAsia="Times New Roman" w:cs="Times New Roman"/>
          <w:iCs/>
        </w:rPr>
        <w:t xml:space="preserve">expressly authorize the </w:t>
      </w:r>
      <w:r>
        <w:rPr>
          <w:rFonts w:eastAsia="Times New Roman" w:cs="Times New Roman"/>
          <w:iCs/>
        </w:rPr>
        <w:t xml:space="preserve">death </w:t>
      </w:r>
      <w:r w:rsidR="00E32879">
        <w:rPr>
          <w:rFonts w:eastAsia="Times New Roman" w:cs="Times New Roman"/>
          <w:iCs/>
        </w:rPr>
        <w:t xml:space="preserve">penalty </w:t>
      </w:r>
      <w:r>
        <w:rPr>
          <w:rFonts w:eastAsia="Times New Roman" w:cs="Times New Roman"/>
          <w:iCs/>
        </w:rPr>
        <w:t xml:space="preserve">for adultery or fornication, yet courts nonetheless sentence women to death for </w:t>
      </w:r>
      <w:r w:rsidR="000F629E">
        <w:rPr>
          <w:rFonts w:eastAsia="Times New Roman" w:cs="Times New Roman"/>
          <w:iCs/>
        </w:rPr>
        <w:t>such offenses</w:t>
      </w:r>
      <w:r>
        <w:rPr>
          <w:rFonts w:eastAsia="Times New Roman" w:cs="Times New Roman"/>
          <w:iCs/>
        </w:rPr>
        <w:t xml:space="preserve">. </w:t>
      </w:r>
    </w:p>
    <w:p w14:paraId="71EE4359" w14:textId="5556D8B4" w:rsidR="00B60372" w:rsidRDefault="00CF0615" w:rsidP="002608D1">
      <w:pPr>
        <w:pStyle w:val="ListNumber"/>
        <w:numPr>
          <w:ilvl w:val="0"/>
          <w:numId w:val="5"/>
        </w:numPr>
        <w:spacing w:after="240" w:line="240" w:lineRule="auto"/>
        <w:rPr>
          <w:rFonts w:eastAsia="Times New Roman" w:cs="Times New Roman"/>
          <w:iCs/>
        </w:rPr>
      </w:pPr>
      <w:r>
        <w:rPr>
          <w:rFonts w:eastAsia="Times New Roman" w:cs="Times New Roman"/>
          <w:iCs/>
        </w:rPr>
        <w:t xml:space="preserve">These cases demonstrate that women are more likely than men to face the death penalty for </w:t>
      </w:r>
      <w:r w:rsidR="00A67424">
        <w:rPr>
          <w:rFonts w:eastAsia="Times New Roman" w:cs="Times New Roman"/>
          <w:iCs/>
        </w:rPr>
        <w:t>sexual conduct outside of marriage</w:t>
      </w:r>
      <w:r>
        <w:rPr>
          <w:rFonts w:eastAsia="Times New Roman" w:cs="Times New Roman"/>
          <w:iCs/>
        </w:rPr>
        <w:t>, even when a man was involved with the same unlawful act. Unequal sentencing for women and men in cases of adultery reflects a common pattern. The Cornell Center on the Death Penalty Worldwide reports that, “In some Shariah jurisdictions, offenses against sexual morality, or zina, appear gender-neutral on their face, but in practice are applied in a discriminatory manner against women.”</w:t>
      </w:r>
      <w:r>
        <w:rPr>
          <w:rStyle w:val="FootnoteReference"/>
          <w:rFonts w:eastAsia="Times New Roman" w:cs="Times New Roman"/>
          <w:iCs/>
        </w:rPr>
        <w:footnoteReference w:id="26"/>
      </w:r>
      <w:r w:rsidR="00040CDD">
        <w:rPr>
          <w:rFonts w:eastAsia="Times New Roman" w:cs="Times New Roman"/>
          <w:iCs/>
        </w:rPr>
        <w:t xml:space="preserve"> </w:t>
      </w:r>
      <w:r w:rsidR="00DA08D8">
        <w:rPr>
          <w:rFonts w:eastAsia="Times New Roman" w:cs="Times New Roman"/>
          <w:iCs/>
        </w:rPr>
        <w:t xml:space="preserve">Consistent with this pattern, </w:t>
      </w:r>
      <w:r>
        <w:rPr>
          <w:rFonts w:eastAsia="Times New Roman" w:cs="Times New Roman"/>
          <w:iCs/>
        </w:rPr>
        <w:t xml:space="preserve">courts </w:t>
      </w:r>
      <w:r w:rsidR="003E216F">
        <w:rPr>
          <w:rFonts w:eastAsia="Times New Roman" w:cs="Times New Roman"/>
          <w:iCs/>
        </w:rPr>
        <w:t xml:space="preserve">in the Maldives </w:t>
      </w:r>
      <w:r>
        <w:rPr>
          <w:rFonts w:eastAsia="Times New Roman" w:cs="Times New Roman"/>
          <w:iCs/>
        </w:rPr>
        <w:t xml:space="preserve">sentence women to death </w:t>
      </w:r>
      <w:r w:rsidR="00DA08D8">
        <w:rPr>
          <w:rFonts w:eastAsia="Times New Roman" w:cs="Times New Roman"/>
          <w:iCs/>
        </w:rPr>
        <w:t xml:space="preserve">for adultery </w:t>
      </w:r>
      <w:r>
        <w:rPr>
          <w:rFonts w:eastAsia="Times New Roman" w:cs="Times New Roman"/>
          <w:iCs/>
        </w:rPr>
        <w:t>at higher rates than men.</w:t>
      </w:r>
      <w:r>
        <w:rPr>
          <w:rStyle w:val="FootnoteReference"/>
          <w:rFonts w:eastAsia="Times New Roman" w:cs="Times New Roman"/>
          <w:iCs/>
        </w:rPr>
        <w:footnoteReference w:id="27"/>
      </w:r>
    </w:p>
    <w:p w14:paraId="5C9A9149" w14:textId="28BAA5C8" w:rsidR="00B60372" w:rsidRDefault="00CF0615" w:rsidP="002608D1">
      <w:pPr>
        <w:pStyle w:val="ListNumber"/>
        <w:numPr>
          <w:ilvl w:val="0"/>
          <w:numId w:val="5"/>
        </w:numPr>
        <w:spacing w:after="240" w:line="240" w:lineRule="auto"/>
        <w:rPr>
          <w:rFonts w:eastAsia="Times New Roman" w:cs="Times New Roman"/>
          <w:iCs/>
        </w:rPr>
      </w:pPr>
      <w:r>
        <w:rPr>
          <w:rFonts w:eastAsia="Times New Roman" w:cs="Times New Roman"/>
          <w:iCs/>
        </w:rPr>
        <w:lastRenderedPageBreak/>
        <w:t xml:space="preserve">Using the death penalty to punish women for perceived sexual immorality </w:t>
      </w:r>
      <w:r w:rsidR="00380313">
        <w:rPr>
          <w:rFonts w:eastAsia="Times New Roman" w:cs="Times New Roman"/>
          <w:iCs/>
        </w:rPr>
        <w:t xml:space="preserve">exemplifies and </w:t>
      </w:r>
      <w:r>
        <w:rPr>
          <w:rFonts w:eastAsia="Times New Roman" w:cs="Times New Roman"/>
          <w:iCs/>
        </w:rPr>
        <w:t xml:space="preserve">promotes harmful gender stereotypes. Women often receive harsher sentences when perceived as deviating from gender roles such as the peaceful caregiver or dutiful wife and embodying negative gender stereotypes such as the “femme fatale” who seduces </w:t>
      </w:r>
      <w:r>
        <w:t>men</w:t>
      </w:r>
      <w:r>
        <w:rPr>
          <w:rFonts w:eastAsia="Times New Roman" w:cs="Times New Roman"/>
          <w:iCs/>
        </w:rPr>
        <w:t>.</w:t>
      </w:r>
      <w:r>
        <w:rPr>
          <w:rStyle w:val="FootnoteReference"/>
          <w:rFonts w:eastAsia="Times New Roman" w:cs="Times New Roman"/>
          <w:iCs/>
        </w:rPr>
        <w:footnoteReference w:id="28"/>
      </w:r>
      <w:r>
        <w:rPr>
          <w:rFonts w:eastAsia="Times New Roman" w:cs="Times New Roman"/>
          <w:iCs/>
        </w:rPr>
        <w:t xml:space="preserve"> Disproportionate sentencing for women convicted of adultery reflects this pattern, in which courts invoke the death penalty to punish women for being perceived to reject gender roles. </w:t>
      </w:r>
    </w:p>
    <w:p w14:paraId="30C48359" w14:textId="7A3A9A62" w:rsidR="00B60372" w:rsidRPr="001514F3" w:rsidRDefault="00CF0615" w:rsidP="002608D1">
      <w:pPr>
        <w:pStyle w:val="ListNumber"/>
        <w:numPr>
          <w:ilvl w:val="0"/>
          <w:numId w:val="5"/>
        </w:numPr>
        <w:spacing w:after="240" w:line="240" w:lineRule="auto"/>
        <w:rPr>
          <w:rFonts w:eastAsia="Times New Roman" w:cs="Times New Roman"/>
          <w:iCs/>
        </w:rPr>
      </w:pPr>
      <w:r>
        <w:rPr>
          <w:rFonts w:eastAsia="Times New Roman" w:cs="Times New Roman"/>
          <w:iCs/>
        </w:rPr>
        <w:t>Moreover,</w:t>
      </w:r>
      <w:r>
        <w:rPr>
          <w:rFonts w:eastAsia="Times New Roman" w:cs="Times New Roman"/>
          <w:color w:val="000000"/>
          <w:kern w:val="28"/>
          <w:lang w:val="en-US"/>
        </w:rPr>
        <w:t xml:space="preserve"> the </w:t>
      </w:r>
      <w:r>
        <w:t>possibility</w:t>
      </w:r>
      <w:r>
        <w:rPr>
          <w:rFonts w:eastAsia="Times New Roman" w:cs="Times New Roman"/>
          <w:color w:val="000000"/>
          <w:kern w:val="28"/>
          <w:lang w:val="en-US"/>
        </w:rPr>
        <w:t xml:space="preserve"> of facing a death sentence, or an otherwise harsh sentence, for adultery discourages women from </w:t>
      </w:r>
      <w:r w:rsidRPr="002608D1">
        <w:rPr>
          <w:rFonts w:eastAsia="Times New Roman" w:cs="Times New Roman"/>
          <w:iCs/>
        </w:rPr>
        <w:t>reporting</w:t>
      </w:r>
      <w:r>
        <w:rPr>
          <w:rFonts w:eastAsia="Times New Roman" w:cs="Times New Roman"/>
          <w:color w:val="000000"/>
          <w:kern w:val="28"/>
          <w:lang w:val="en-US"/>
        </w:rPr>
        <w:t xml:space="preserve"> sexual assault.</w:t>
      </w:r>
      <w:r>
        <w:rPr>
          <w:rFonts w:eastAsia="Times New Roman" w:cs="Times New Roman"/>
          <w:color w:val="000000"/>
          <w:kern w:val="28"/>
          <w:vertAlign w:val="superscript"/>
          <w:lang w:val="en-US"/>
        </w:rPr>
        <w:footnoteReference w:id="29"/>
      </w:r>
      <w:r>
        <w:rPr>
          <w:rFonts w:eastAsia="Times New Roman" w:cs="Times New Roman"/>
          <w:color w:val="000000"/>
          <w:kern w:val="28"/>
          <w:lang w:val="en-US"/>
        </w:rPr>
        <w:t xml:space="preserve"> </w:t>
      </w:r>
    </w:p>
    <w:p w14:paraId="7DEFC166" w14:textId="3690CA8C" w:rsidR="00B60372" w:rsidRDefault="007D6D1A">
      <w:pPr>
        <w:pStyle w:val="SectionHeading"/>
        <w:rPr>
          <w:b w:val="0"/>
        </w:rPr>
      </w:pPr>
      <w:r>
        <w:t xml:space="preserve">Detention conditions for people under sentence of death </w:t>
      </w:r>
      <w:r w:rsidR="008D0DA5" w:rsidRPr="008D0DA5">
        <w:t>are inhumane</w:t>
      </w:r>
      <w:r w:rsidR="008D0DA5" w:rsidRPr="008D0DA5" w:rsidDel="008D0DA5">
        <w:t xml:space="preserve"> </w:t>
      </w:r>
      <w:r w:rsidR="00752504">
        <w:t xml:space="preserve">(List of Issues </w:t>
      </w:r>
      <w:r w:rsidR="007C37FB">
        <w:t xml:space="preserve">Prior to Reporting </w:t>
      </w:r>
      <w:r w:rsidR="00752504">
        <w:t>paragraph 17)</w:t>
      </w:r>
      <w:r w:rsidR="00CF0615">
        <w:t>.</w:t>
      </w:r>
    </w:p>
    <w:p w14:paraId="22C4675D" w14:textId="6C925B87" w:rsidR="00025FAB" w:rsidRDefault="00025FAB" w:rsidP="002608D1">
      <w:pPr>
        <w:pStyle w:val="ListNumber"/>
        <w:numPr>
          <w:ilvl w:val="0"/>
          <w:numId w:val="5"/>
        </w:numPr>
        <w:spacing w:after="240" w:line="240" w:lineRule="auto"/>
        <w:rPr>
          <w:rFonts w:eastAsia="Times New Roman" w:cs="Times New Roman"/>
          <w:color w:val="201F1E"/>
          <w:shd w:val="clear" w:color="auto" w:fill="FFFFFF"/>
          <w:lang w:val="en-US"/>
        </w:rPr>
      </w:pPr>
      <w:r w:rsidRPr="00025FAB">
        <w:rPr>
          <w:rFonts w:eastAsia="Times New Roman" w:cs="Times New Roman"/>
          <w:color w:val="201F1E"/>
          <w:shd w:val="clear" w:color="auto" w:fill="FFFFFF"/>
          <w:lang w:val="en-US"/>
        </w:rPr>
        <w:t xml:space="preserve">The Committee requested information regarding reports of overcrowding in Maldivian prisons and the measures taken to ensure that the provisions of the Covenant are </w:t>
      </w:r>
      <w:r w:rsidRPr="002608D1">
        <w:rPr>
          <w:rFonts w:eastAsia="Times New Roman" w:cs="Times New Roman"/>
          <w:color w:val="000000"/>
          <w:kern w:val="28"/>
          <w:lang w:val="en-US"/>
        </w:rPr>
        <w:t>upheld</w:t>
      </w:r>
      <w:r w:rsidRPr="00025FAB">
        <w:rPr>
          <w:rFonts w:eastAsia="Times New Roman" w:cs="Times New Roman"/>
          <w:color w:val="201F1E"/>
          <w:shd w:val="clear" w:color="auto" w:fill="FFFFFF"/>
          <w:lang w:val="en-US"/>
        </w:rPr>
        <w:t xml:space="preserve"> in all places of detention.</w:t>
      </w:r>
      <w:r w:rsidR="00B519B7">
        <w:rPr>
          <w:rStyle w:val="FootnoteReference"/>
          <w:rFonts w:eastAsia="Times New Roman" w:cs="Times New Roman"/>
          <w:color w:val="201F1E"/>
          <w:shd w:val="clear" w:color="auto" w:fill="FFFFFF"/>
          <w:lang w:val="en-US"/>
        </w:rPr>
        <w:footnoteReference w:id="30"/>
      </w:r>
      <w:r w:rsidRPr="00025FAB">
        <w:rPr>
          <w:rFonts w:eastAsia="Times New Roman" w:cs="Times New Roman"/>
          <w:color w:val="201F1E"/>
          <w:shd w:val="clear" w:color="auto" w:fill="FFFFFF"/>
          <w:lang w:val="en-US"/>
        </w:rPr>
        <w:t xml:space="preserve"> Specifically, the Committee requested information regarding the exploration of alternative sentences to detention.</w:t>
      </w:r>
      <w:r w:rsidR="00B519B7">
        <w:rPr>
          <w:rStyle w:val="FootnoteReference"/>
          <w:rFonts w:eastAsia="Times New Roman" w:cs="Times New Roman"/>
          <w:color w:val="201F1E"/>
          <w:shd w:val="clear" w:color="auto" w:fill="FFFFFF"/>
          <w:lang w:val="en-US"/>
        </w:rPr>
        <w:footnoteReference w:id="31"/>
      </w:r>
    </w:p>
    <w:p w14:paraId="45366BE0" w14:textId="45CE3B8F" w:rsidR="00025FAB" w:rsidRDefault="00025FAB" w:rsidP="002608D1">
      <w:pPr>
        <w:pStyle w:val="ListNumber"/>
        <w:numPr>
          <w:ilvl w:val="0"/>
          <w:numId w:val="5"/>
        </w:numPr>
        <w:spacing w:after="240" w:line="240" w:lineRule="auto"/>
        <w:rPr>
          <w:rFonts w:eastAsia="Times New Roman" w:cs="Times New Roman"/>
          <w:color w:val="201F1E"/>
          <w:shd w:val="clear" w:color="auto" w:fill="FFFFFF"/>
          <w:lang w:val="en-US"/>
        </w:rPr>
      </w:pPr>
      <w:r w:rsidRPr="00025FAB">
        <w:rPr>
          <w:rFonts w:eastAsia="Times New Roman" w:cs="Times New Roman"/>
          <w:color w:val="201F1E"/>
          <w:shd w:val="clear" w:color="auto" w:fill="FFFFFF"/>
          <w:lang w:val="en-US"/>
        </w:rPr>
        <w:t xml:space="preserve">The State </w:t>
      </w:r>
      <w:r w:rsidRPr="002608D1">
        <w:rPr>
          <w:rFonts w:eastAsia="Times New Roman" w:cs="Times New Roman"/>
          <w:color w:val="000000"/>
          <w:kern w:val="28"/>
          <w:lang w:val="en-US"/>
        </w:rPr>
        <w:t>Party</w:t>
      </w:r>
      <w:r w:rsidRPr="00025FAB">
        <w:rPr>
          <w:rFonts w:eastAsia="Times New Roman" w:cs="Times New Roman"/>
          <w:color w:val="201F1E"/>
          <w:shd w:val="clear" w:color="auto" w:fill="FFFFFF"/>
          <w:lang w:val="en-US"/>
        </w:rPr>
        <w:t xml:space="preserve"> in its </w:t>
      </w:r>
      <w:proofErr w:type="gramStart"/>
      <w:r w:rsidRPr="00025FAB">
        <w:rPr>
          <w:rFonts w:eastAsia="Times New Roman" w:cs="Times New Roman"/>
          <w:color w:val="201F1E"/>
          <w:shd w:val="clear" w:color="auto" w:fill="FFFFFF"/>
          <w:lang w:val="en-US"/>
        </w:rPr>
        <w:t>reply</w:t>
      </w:r>
      <w:proofErr w:type="gramEnd"/>
      <w:r w:rsidRPr="00025FAB">
        <w:rPr>
          <w:rFonts w:eastAsia="Times New Roman" w:cs="Times New Roman"/>
          <w:color w:val="201F1E"/>
          <w:shd w:val="clear" w:color="auto" w:fill="FFFFFF"/>
          <w:lang w:val="en-US"/>
        </w:rPr>
        <w:t xml:space="preserve"> </w:t>
      </w:r>
      <w:r w:rsidR="00D8672E">
        <w:rPr>
          <w:rFonts w:eastAsia="Times New Roman" w:cs="Times New Roman"/>
          <w:color w:val="201F1E"/>
          <w:shd w:val="clear" w:color="auto" w:fill="FFFFFF"/>
          <w:lang w:val="en-US"/>
        </w:rPr>
        <w:t xml:space="preserve">states </w:t>
      </w:r>
      <w:r w:rsidRPr="00025FAB">
        <w:rPr>
          <w:rFonts w:eastAsia="Times New Roman" w:cs="Times New Roman"/>
          <w:color w:val="201F1E"/>
          <w:shd w:val="clear" w:color="auto" w:fill="FFFFFF"/>
          <w:lang w:val="en-US"/>
        </w:rPr>
        <w:t>that</w:t>
      </w:r>
      <w:r w:rsidR="00414E50">
        <w:rPr>
          <w:rFonts w:eastAsia="Times New Roman" w:cs="Times New Roman"/>
          <w:color w:val="201F1E"/>
          <w:shd w:val="clear" w:color="auto" w:fill="FFFFFF"/>
          <w:lang w:val="en-US"/>
        </w:rPr>
        <w:t>,</w:t>
      </w:r>
      <w:r w:rsidRPr="00025FAB">
        <w:rPr>
          <w:rFonts w:eastAsia="Times New Roman" w:cs="Times New Roman"/>
          <w:color w:val="201F1E"/>
          <w:shd w:val="clear" w:color="auto" w:fill="FFFFFF"/>
          <w:lang w:val="en-US"/>
        </w:rPr>
        <w:t xml:space="preserve"> under the Prisons and Parole Act, independent institutions, international organizations</w:t>
      </w:r>
      <w:r>
        <w:rPr>
          <w:rFonts w:eastAsia="Times New Roman" w:cs="Times New Roman"/>
          <w:color w:val="201F1E"/>
          <w:shd w:val="clear" w:color="auto" w:fill="FFFFFF"/>
          <w:lang w:val="en-US"/>
        </w:rPr>
        <w:t>,</w:t>
      </w:r>
      <w:r w:rsidRPr="00025FAB">
        <w:rPr>
          <w:rFonts w:eastAsia="Times New Roman" w:cs="Times New Roman"/>
          <w:color w:val="201F1E"/>
          <w:shd w:val="clear" w:color="auto" w:fill="FFFFFF"/>
          <w:lang w:val="en-US"/>
        </w:rPr>
        <w:t xml:space="preserve"> and other relevant parliamentary committees are permitted to visit prisons and inspect the facilities and places of detention.</w:t>
      </w:r>
      <w:r w:rsidR="00D8672E">
        <w:rPr>
          <w:rStyle w:val="FootnoteReference"/>
          <w:rFonts w:eastAsia="Times New Roman" w:cs="Times New Roman"/>
          <w:color w:val="201F1E"/>
          <w:shd w:val="clear" w:color="auto" w:fill="FFFFFF"/>
          <w:lang w:val="en-US"/>
        </w:rPr>
        <w:footnoteReference w:id="32"/>
      </w:r>
    </w:p>
    <w:p w14:paraId="03A9D5BB" w14:textId="0A04930A" w:rsidR="00414E50" w:rsidRDefault="00FD7013" w:rsidP="002608D1">
      <w:pPr>
        <w:pStyle w:val="ListNumber"/>
        <w:numPr>
          <w:ilvl w:val="0"/>
          <w:numId w:val="5"/>
        </w:numPr>
        <w:spacing w:after="240" w:line="240" w:lineRule="auto"/>
        <w:rPr>
          <w:rFonts w:eastAsia="Times New Roman" w:cs="Times New Roman"/>
          <w:color w:val="201F1E"/>
          <w:shd w:val="clear" w:color="auto" w:fill="FFFFFF"/>
          <w:lang w:val="en-US"/>
        </w:rPr>
      </w:pPr>
      <w:r>
        <w:rPr>
          <w:rFonts w:eastAsia="Times New Roman" w:cs="Times New Roman"/>
          <w:color w:val="201F1E"/>
          <w:shd w:val="clear" w:color="auto" w:fill="FFFFFF"/>
          <w:lang w:val="en-US"/>
        </w:rPr>
        <w:t>T</w:t>
      </w:r>
      <w:r w:rsidR="00414E50" w:rsidRPr="00414E50">
        <w:rPr>
          <w:rFonts w:eastAsia="Times New Roman" w:cs="Times New Roman"/>
          <w:color w:val="201F1E"/>
          <w:shd w:val="clear" w:color="auto" w:fill="FFFFFF"/>
          <w:lang w:val="en-US"/>
        </w:rPr>
        <w:t xml:space="preserve">he Maldivian </w:t>
      </w:r>
      <w:r>
        <w:rPr>
          <w:rFonts w:eastAsia="Times New Roman" w:cs="Times New Roman"/>
          <w:color w:val="201F1E"/>
          <w:shd w:val="clear" w:color="auto" w:fill="FFFFFF"/>
          <w:lang w:val="en-US"/>
        </w:rPr>
        <w:t>G</w:t>
      </w:r>
      <w:r w:rsidR="00414E50" w:rsidRPr="00414E50">
        <w:rPr>
          <w:rFonts w:eastAsia="Times New Roman" w:cs="Times New Roman"/>
          <w:color w:val="201F1E"/>
          <w:shd w:val="clear" w:color="auto" w:fill="FFFFFF"/>
          <w:lang w:val="en-US"/>
        </w:rPr>
        <w:t>overnment prohibits local civil societies and the media from entering and inspecting prison facilities. This limitation prevents up-to-date monitoring of prisons and detention centers</w:t>
      </w:r>
      <w:r w:rsidR="005A72F4">
        <w:rPr>
          <w:rFonts w:eastAsia="Times New Roman" w:cs="Times New Roman"/>
          <w:color w:val="201F1E"/>
          <w:shd w:val="clear" w:color="auto" w:fill="FFFFFF"/>
          <w:lang w:val="en-US"/>
        </w:rPr>
        <w:t xml:space="preserve"> and publicity about the results of such monitoring</w:t>
      </w:r>
      <w:r w:rsidR="00414E50" w:rsidRPr="00414E50">
        <w:rPr>
          <w:rFonts w:eastAsia="Times New Roman" w:cs="Times New Roman"/>
          <w:color w:val="201F1E"/>
          <w:shd w:val="clear" w:color="auto" w:fill="FFFFFF"/>
          <w:lang w:val="en-US"/>
        </w:rPr>
        <w:t xml:space="preserve">. The only international organizations permitted to visit places of detention are the </w:t>
      </w:r>
      <w:r w:rsidR="00A515EA">
        <w:rPr>
          <w:rFonts w:eastAsia="Times New Roman" w:cs="Times New Roman"/>
          <w:color w:val="201F1E"/>
          <w:shd w:val="clear" w:color="auto" w:fill="FFFFFF"/>
          <w:lang w:val="en-US"/>
        </w:rPr>
        <w:t>International Committee of the Red Cross</w:t>
      </w:r>
      <w:r w:rsidR="00414E50" w:rsidRPr="00414E50">
        <w:rPr>
          <w:rFonts w:eastAsia="Times New Roman" w:cs="Times New Roman"/>
          <w:color w:val="201F1E"/>
          <w:shd w:val="clear" w:color="auto" w:fill="FFFFFF"/>
          <w:lang w:val="en-US"/>
        </w:rPr>
        <w:t xml:space="preserve">, </w:t>
      </w:r>
      <w:r w:rsidR="00A515EA">
        <w:rPr>
          <w:rFonts w:eastAsia="Times New Roman" w:cs="Times New Roman"/>
          <w:color w:val="201F1E"/>
          <w:shd w:val="clear" w:color="auto" w:fill="FFFFFF"/>
          <w:lang w:val="en-US"/>
        </w:rPr>
        <w:t xml:space="preserve">United Nations Development </w:t>
      </w:r>
      <w:proofErr w:type="spellStart"/>
      <w:r w:rsidR="00A515EA">
        <w:rPr>
          <w:rFonts w:eastAsia="Times New Roman" w:cs="Times New Roman"/>
          <w:color w:val="201F1E"/>
          <w:shd w:val="clear" w:color="auto" w:fill="FFFFFF"/>
          <w:lang w:val="en-US"/>
        </w:rPr>
        <w:t>Programme</w:t>
      </w:r>
      <w:proofErr w:type="spellEnd"/>
      <w:r w:rsidR="00414E50" w:rsidRPr="00414E50">
        <w:rPr>
          <w:rFonts w:eastAsia="Times New Roman" w:cs="Times New Roman"/>
          <w:color w:val="201F1E"/>
          <w:shd w:val="clear" w:color="auto" w:fill="FFFFFF"/>
          <w:lang w:val="en-US"/>
        </w:rPr>
        <w:t xml:space="preserve">, </w:t>
      </w:r>
      <w:r w:rsidR="00A515EA">
        <w:rPr>
          <w:rFonts w:eastAsia="Times New Roman" w:cs="Times New Roman"/>
          <w:color w:val="201F1E"/>
          <w:shd w:val="clear" w:color="auto" w:fill="FFFFFF"/>
          <w:lang w:val="en-US"/>
        </w:rPr>
        <w:t>Office of the United Nations High Commissioner for Human Rights</w:t>
      </w:r>
      <w:r w:rsidR="00414E50" w:rsidRPr="00414E50">
        <w:rPr>
          <w:rFonts w:eastAsia="Times New Roman" w:cs="Times New Roman"/>
          <w:color w:val="201F1E"/>
          <w:shd w:val="clear" w:color="auto" w:fill="FFFFFF"/>
          <w:lang w:val="en-US"/>
        </w:rPr>
        <w:t>, and</w:t>
      </w:r>
      <w:r w:rsidR="00EE171F">
        <w:rPr>
          <w:rFonts w:eastAsia="Times New Roman" w:cs="Times New Roman"/>
          <w:color w:val="201F1E"/>
          <w:shd w:val="clear" w:color="auto" w:fill="FFFFFF"/>
          <w:lang w:val="en-US"/>
        </w:rPr>
        <w:t>, once in 2004,</w:t>
      </w:r>
      <w:r w:rsidR="00414E50" w:rsidRPr="00414E50">
        <w:rPr>
          <w:rFonts w:eastAsia="Times New Roman" w:cs="Times New Roman"/>
          <w:color w:val="201F1E"/>
          <w:shd w:val="clear" w:color="auto" w:fill="FFFFFF"/>
          <w:lang w:val="en-US"/>
        </w:rPr>
        <w:t xml:space="preserve"> Amnesty International.</w:t>
      </w:r>
    </w:p>
    <w:p w14:paraId="760798E3" w14:textId="3A1DFC3E" w:rsidR="00414E50" w:rsidRDefault="00414E50" w:rsidP="002608D1">
      <w:pPr>
        <w:pStyle w:val="ListNumber"/>
        <w:numPr>
          <w:ilvl w:val="0"/>
          <w:numId w:val="5"/>
        </w:numPr>
        <w:spacing w:after="240" w:line="240" w:lineRule="auto"/>
        <w:rPr>
          <w:rFonts w:eastAsia="Times New Roman" w:cs="Times New Roman"/>
          <w:color w:val="201F1E"/>
          <w:shd w:val="clear" w:color="auto" w:fill="FFFFFF"/>
          <w:lang w:val="en-US"/>
        </w:rPr>
      </w:pPr>
      <w:r w:rsidRPr="00414E50">
        <w:rPr>
          <w:rFonts w:eastAsia="Times New Roman" w:cs="Times New Roman"/>
          <w:color w:val="201F1E"/>
          <w:shd w:val="clear" w:color="auto" w:fill="FFFFFF"/>
          <w:lang w:val="en-US"/>
        </w:rPr>
        <w:t>The State Party acknowledge</w:t>
      </w:r>
      <w:r w:rsidR="00EE171F">
        <w:rPr>
          <w:rFonts w:eastAsia="Times New Roman" w:cs="Times New Roman"/>
          <w:color w:val="201F1E"/>
          <w:shd w:val="clear" w:color="auto" w:fill="FFFFFF"/>
          <w:lang w:val="en-US"/>
        </w:rPr>
        <w:t>s</w:t>
      </w:r>
      <w:r w:rsidRPr="00414E50">
        <w:rPr>
          <w:rFonts w:eastAsia="Times New Roman" w:cs="Times New Roman"/>
          <w:color w:val="201F1E"/>
          <w:shd w:val="clear" w:color="auto" w:fill="FFFFFF"/>
          <w:lang w:val="en-US"/>
        </w:rPr>
        <w:t xml:space="preserve"> that the current detention system is overcrowded.</w:t>
      </w:r>
      <w:r w:rsidR="003F581A">
        <w:rPr>
          <w:rStyle w:val="FootnoteReference"/>
          <w:rFonts w:eastAsia="Times New Roman" w:cs="Times New Roman"/>
          <w:color w:val="201F1E"/>
          <w:shd w:val="clear" w:color="auto" w:fill="FFFFFF"/>
          <w:lang w:val="en-US"/>
        </w:rPr>
        <w:footnoteReference w:id="33"/>
      </w:r>
      <w:r w:rsidRPr="00414E50">
        <w:rPr>
          <w:rFonts w:eastAsia="Times New Roman" w:cs="Times New Roman"/>
          <w:color w:val="201F1E"/>
          <w:shd w:val="clear" w:color="auto" w:fill="FFFFFF"/>
          <w:lang w:val="en-US"/>
        </w:rPr>
        <w:t xml:space="preserve"> The State Party outline</w:t>
      </w:r>
      <w:r w:rsidR="00337EDF">
        <w:rPr>
          <w:rFonts w:eastAsia="Times New Roman" w:cs="Times New Roman"/>
          <w:color w:val="201F1E"/>
          <w:shd w:val="clear" w:color="auto" w:fill="FFFFFF"/>
          <w:lang w:val="en-US"/>
        </w:rPr>
        <w:t>s</w:t>
      </w:r>
      <w:r w:rsidRPr="00414E50">
        <w:rPr>
          <w:rFonts w:eastAsia="Times New Roman" w:cs="Times New Roman"/>
          <w:color w:val="201F1E"/>
          <w:shd w:val="clear" w:color="auto" w:fill="FFFFFF"/>
          <w:lang w:val="en-US"/>
        </w:rPr>
        <w:t xml:space="preserve"> that the government has allocated resources to establish a prison complex in </w:t>
      </w:r>
      <w:proofErr w:type="spellStart"/>
      <w:r w:rsidRPr="00414E50">
        <w:rPr>
          <w:rFonts w:eastAsia="Times New Roman" w:cs="Times New Roman"/>
          <w:color w:val="201F1E"/>
          <w:shd w:val="clear" w:color="auto" w:fill="FFFFFF"/>
          <w:lang w:val="en-US"/>
        </w:rPr>
        <w:t>Hulhumale</w:t>
      </w:r>
      <w:proofErr w:type="spellEnd"/>
      <w:r>
        <w:rPr>
          <w:rFonts w:eastAsia="Times New Roman" w:cs="Times New Roman"/>
          <w:color w:val="201F1E"/>
          <w:shd w:val="clear" w:color="auto" w:fill="FFFFFF"/>
          <w:lang w:val="en-US"/>
        </w:rPr>
        <w:t>’</w:t>
      </w:r>
      <w:r w:rsidRPr="00414E50">
        <w:rPr>
          <w:rFonts w:eastAsia="Times New Roman" w:cs="Times New Roman"/>
          <w:color w:val="201F1E"/>
          <w:shd w:val="clear" w:color="auto" w:fill="FFFFFF"/>
          <w:lang w:val="en-US"/>
        </w:rPr>
        <w:t xml:space="preserve">, which </w:t>
      </w:r>
      <w:r>
        <w:rPr>
          <w:rFonts w:eastAsia="Times New Roman" w:cs="Times New Roman"/>
          <w:color w:val="201F1E"/>
          <w:shd w:val="clear" w:color="auto" w:fill="FFFFFF"/>
          <w:lang w:val="en-US"/>
        </w:rPr>
        <w:t xml:space="preserve">was to be </w:t>
      </w:r>
      <w:r w:rsidRPr="00414E50">
        <w:rPr>
          <w:rFonts w:eastAsia="Times New Roman" w:cs="Times New Roman"/>
          <w:color w:val="201F1E"/>
          <w:shd w:val="clear" w:color="auto" w:fill="FFFFFF"/>
          <w:lang w:val="en-US"/>
        </w:rPr>
        <w:t xml:space="preserve">completed by </w:t>
      </w:r>
      <w:r>
        <w:rPr>
          <w:rFonts w:eastAsia="Times New Roman" w:cs="Times New Roman"/>
          <w:color w:val="201F1E"/>
          <w:shd w:val="clear" w:color="auto" w:fill="FFFFFF"/>
          <w:lang w:val="en-US"/>
        </w:rPr>
        <w:t xml:space="preserve">the </w:t>
      </w:r>
      <w:r w:rsidRPr="00414E50">
        <w:rPr>
          <w:rFonts w:eastAsia="Times New Roman" w:cs="Times New Roman"/>
          <w:color w:val="201F1E"/>
          <w:shd w:val="clear" w:color="auto" w:fill="FFFFFF"/>
          <w:lang w:val="en-US"/>
        </w:rPr>
        <w:t>end of 2023.</w:t>
      </w:r>
      <w:r w:rsidR="006A63C7">
        <w:rPr>
          <w:rStyle w:val="FootnoteReference"/>
          <w:rFonts w:eastAsia="Times New Roman" w:cs="Times New Roman"/>
          <w:color w:val="201F1E"/>
          <w:shd w:val="clear" w:color="auto" w:fill="FFFFFF"/>
          <w:lang w:val="en-US"/>
        </w:rPr>
        <w:footnoteReference w:id="34"/>
      </w:r>
    </w:p>
    <w:p w14:paraId="7579C9F1" w14:textId="037F3830" w:rsidR="00414E50" w:rsidRDefault="00834544" w:rsidP="002608D1">
      <w:pPr>
        <w:pStyle w:val="ListNumber"/>
        <w:numPr>
          <w:ilvl w:val="0"/>
          <w:numId w:val="5"/>
        </w:numPr>
        <w:spacing w:after="240" w:line="240" w:lineRule="auto"/>
        <w:rPr>
          <w:rFonts w:eastAsia="Times New Roman" w:cs="Times New Roman"/>
          <w:color w:val="201F1E"/>
          <w:shd w:val="clear" w:color="auto" w:fill="FFFFFF"/>
          <w:lang w:val="en-US"/>
        </w:rPr>
      </w:pPr>
      <w:r>
        <w:rPr>
          <w:rFonts w:eastAsia="Times New Roman" w:cs="Times New Roman"/>
          <w:color w:val="201F1E"/>
          <w:shd w:val="clear" w:color="auto" w:fill="FFFFFF"/>
          <w:lang w:val="en-US"/>
        </w:rPr>
        <w:lastRenderedPageBreak/>
        <w:t xml:space="preserve">Because prison authorities bar local civil society organizations and the media from accessing </w:t>
      </w:r>
      <w:r w:rsidR="00B35A12">
        <w:rPr>
          <w:rFonts w:eastAsia="Times New Roman" w:cs="Times New Roman"/>
          <w:color w:val="201F1E"/>
          <w:shd w:val="clear" w:color="auto" w:fill="FFFFFF"/>
          <w:lang w:val="en-US"/>
        </w:rPr>
        <w:t xml:space="preserve">prison facilities, the authors of this report cannot comment on </w:t>
      </w:r>
      <w:r w:rsidR="00414E50" w:rsidRPr="00414E50">
        <w:rPr>
          <w:rFonts w:eastAsia="Times New Roman" w:cs="Times New Roman"/>
          <w:color w:val="201F1E"/>
          <w:shd w:val="clear" w:color="auto" w:fill="FFFFFF"/>
          <w:lang w:val="en-US"/>
        </w:rPr>
        <w:t xml:space="preserve">the conditions of the newly built </w:t>
      </w:r>
      <w:proofErr w:type="spellStart"/>
      <w:r w:rsidR="00414E50" w:rsidRPr="00414E50">
        <w:rPr>
          <w:rFonts w:eastAsia="Times New Roman" w:cs="Times New Roman"/>
          <w:color w:val="201F1E"/>
          <w:shd w:val="clear" w:color="auto" w:fill="FFFFFF"/>
          <w:lang w:val="en-US"/>
        </w:rPr>
        <w:t>Hulhumale</w:t>
      </w:r>
      <w:proofErr w:type="spellEnd"/>
      <w:r w:rsidR="00414E50" w:rsidRPr="00414E50">
        <w:rPr>
          <w:rFonts w:eastAsia="Times New Roman" w:cs="Times New Roman"/>
          <w:color w:val="201F1E"/>
          <w:shd w:val="clear" w:color="auto" w:fill="FFFFFF"/>
          <w:lang w:val="en-US"/>
        </w:rPr>
        <w:t>' prison.</w:t>
      </w:r>
      <w:r w:rsidR="00B519B7">
        <w:rPr>
          <w:rStyle w:val="FootnoteReference"/>
          <w:rFonts w:eastAsia="Times New Roman" w:cs="Times New Roman"/>
          <w:color w:val="201F1E"/>
          <w:shd w:val="clear" w:color="auto" w:fill="FFFFFF"/>
          <w:lang w:val="en-US"/>
        </w:rPr>
        <w:footnoteReference w:id="35"/>
      </w:r>
    </w:p>
    <w:p w14:paraId="6D306285" w14:textId="560A0ADF" w:rsidR="00414E50" w:rsidRDefault="00414E50" w:rsidP="002608D1">
      <w:pPr>
        <w:pStyle w:val="ListNumber"/>
        <w:numPr>
          <w:ilvl w:val="0"/>
          <w:numId w:val="5"/>
        </w:numPr>
        <w:spacing w:after="240" w:line="240" w:lineRule="auto"/>
        <w:rPr>
          <w:rFonts w:eastAsia="Times New Roman" w:cs="Times New Roman"/>
          <w:color w:val="201F1E"/>
          <w:shd w:val="clear" w:color="auto" w:fill="FFFFFF"/>
          <w:lang w:val="en-US"/>
        </w:rPr>
      </w:pPr>
      <w:r w:rsidRPr="00414E50">
        <w:rPr>
          <w:rFonts w:eastAsia="Times New Roman" w:cs="Times New Roman"/>
          <w:color w:val="201F1E"/>
          <w:shd w:val="clear" w:color="auto" w:fill="FFFFFF"/>
          <w:lang w:val="en-US"/>
        </w:rPr>
        <w:t>As of 2022, conditions in most Maldivian prisons were harsh and life</w:t>
      </w:r>
      <w:r w:rsidR="002973BC">
        <w:rPr>
          <w:rFonts w:eastAsia="Times New Roman" w:cs="Times New Roman"/>
          <w:color w:val="201F1E"/>
          <w:shd w:val="clear" w:color="auto" w:fill="FFFFFF"/>
          <w:lang w:val="en-US"/>
        </w:rPr>
        <w:t>-</w:t>
      </w:r>
      <w:r w:rsidRPr="00414E50">
        <w:rPr>
          <w:rFonts w:eastAsia="Times New Roman" w:cs="Times New Roman"/>
          <w:color w:val="201F1E"/>
          <w:shd w:val="clear" w:color="auto" w:fill="FFFFFF"/>
          <w:lang w:val="en-US"/>
        </w:rPr>
        <w:t>threatening due to gross overcrowding, inadequate sanitary conditions, and</w:t>
      </w:r>
      <w:r w:rsidR="002973BC">
        <w:rPr>
          <w:rFonts w:eastAsia="Times New Roman" w:cs="Times New Roman"/>
          <w:color w:val="201F1E"/>
          <w:shd w:val="clear" w:color="auto" w:fill="FFFFFF"/>
          <w:lang w:val="en-US"/>
        </w:rPr>
        <w:t xml:space="preserve"> inadequate</w:t>
      </w:r>
      <w:r w:rsidRPr="00414E50">
        <w:rPr>
          <w:rFonts w:eastAsia="Times New Roman" w:cs="Times New Roman"/>
          <w:color w:val="201F1E"/>
          <w:shd w:val="clear" w:color="auto" w:fill="FFFFFF"/>
          <w:lang w:val="en-US"/>
        </w:rPr>
        <w:t xml:space="preserve"> medical care. In fact, the </w:t>
      </w:r>
      <w:r w:rsidR="00A02EDC">
        <w:rPr>
          <w:rFonts w:eastAsia="Times New Roman" w:cs="Times New Roman"/>
          <w:color w:val="201F1E"/>
          <w:shd w:val="clear" w:color="auto" w:fill="FFFFFF"/>
          <w:lang w:val="en-US"/>
        </w:rPr>
        <w:t>Human Rights Commission of the Maldives</w:t>
      </w:r>
      <w:r w:rsidRPr="00414E50">
        <w:rPr>
          <w:rFonts w:eastAsia="Times New Roman" w:cs="Times New Roman"/>
          <w:color w:val="201F1E"/>
          <w:shd w:val="clear" w:color="auto" w:fill="FFFFFF"/>
          <w:lang w:val="en-US"/>
        </w:rPr>
        <w:t xml:space="preserve"> and defense lawyers have continued to report gross overcrowding, poor ventilation, and inadequate hygiene and sanitation standards in prisons and pretrial detention facilities.</w:t>
      </w:r>
      <w:r w:rsidR="00A515EA">
        <w:rPr>
          <w:rStyle w:val="FootnoteReference"/>
          <w:rFonts w:eastAsia="Times New Roman" w:cs="Times New Roman"/>
          <w:color w:val="201F1E"/>
          <w:shd w:val="clear" w:color="auto" w:fill="FFFFFF"/>
          <w:lang w:val="en-US"/>
        </w:rPr>
        <w:footnoteReference w:id="36"/>
      </w:r>
    </w:p>
    <w:p w14:paraId="42E3CABD" w14:textId="114FD3AA" w:rsidR="00414E50" w:rsidRDefault="008D0DA5" w:rsidP="002608D1">
      <w:pPr>
        <w:pStyle w:val="ListNumber"/>
        <w:numPr>
          <w:ilvl w:val="0"/>
          <w:numId w:val="5"/>
        </w:numPr>
        <w:spacing w:after="240" w:line="240" w:lineRule="auto"/>
        <w:rPr>
          <w:rFonts w:eastAsia="Times New Roman" w:cs="Times New Roman"/>
          <w:color w:val="201F1E"/>
          <w:shd w:val="clear" w:color="auto" w:fill="FFFFFF"/>
          <w:lang w:val="en-US"/>
        </w:rPr>
      </w:pPr>
      <w:r w:rsidRPr="008D0DA5">
        <w:rPr>
          <w:rFonts w:eastAsia="Times New Roman" w:cs="Times New Roman"/>
          <w:color w:val="201F1E"/>
          <w:shd w:val="clear" w:color="auto" w:fill="FFFFFF"/>
          <w:lang w:val="en-US"/>
        </w:rPr>
        <w:t xml:space="preserve">The State Party </w:t>
      </w:r>
      <w:r w:rsidR="00A02EDC">
        <w:rPr>
          <w:rFonts w:eastAsia="Times New Roman" w:cs="Times New Roman"/>
          <w:color w:val="201F1E"/>
          <w:shd w:val="clear" w:color="auto" w:fill="FFFFFF"/>
          <w:lang w:val="en-US"/>
        </w:rPr>
        <w:t xml:space="preserve">Report </w:t>
      </w:r>
      <w:r w:rsidRPr="008D0DA5">
        <w:rPr>
          <w:rFonts w:eastAsia="Times New Roman" w:cs="Times New Roman"/>
          <w:color w:val="201F1E"/>
          <w:shd w:val="clear" w:color="auto" w:fill="FFFFFF"/>
          <w:lang w:val="en-US"/>
        </w:rPr>
        <w:t xml:space="preserve">also </w:t>
      </w:r>
      <w:r w:rsidR="00A02EDC">
        <w:rPr>
          <w:rFonts w:eastAsia="Times New Roman" w:cs="Times New Roman"/>
          <w:color w:val="201F1E"/>
          <w:shd w:val="clear" w:color="auto" w:fill="FFFFFF"/>
          <w:lang w:val="en-US"/>
        </w:rPr>
        <w:t xml:space="preserve">states </w:t>
      </w:r>
      <w:r w:rsidRPr="008D0DA5">
        <w:rPr>
          <w:rFonts w:eastAsia="Times New Roman" w:cs="Times New Roman"/>
          <w:color w:val="201F1E"/>
          <w:shd w:val="clear" w:color="auto" w:fill="FFFFFF"/>
          <w:lang w:val="en-US"/>
        </w:rPr>
        <w:t xml:space="preserve">that to address prison overcrowding, the Maldivian </w:t>
      </w:r>
      <w:r w:rsidR="0009631B">
        <w:rPr>
          <w:rFonts w:eastAsia="Times New Roman" w:cs="Times New Roman"/>
          <w:color w:val="201F1E"/>
          <w:shd w:val="clear" w:color="auto" w:fill="FFFFFF"/>
          <w:lang w:val="en-US"/>
        </w:rPr>
        <w:t>G</w:t>
      </w:r>
      <w:r w:rsidRPr="008D0DA5">
        <w:rPr>
          <w:rFonts w:eastAsia="Times New Roman" w:cs="Times New Roman"/>
          <w:color w:val="201F1E"/>
          <w:shd w:val="clear" w:color="auto" w:fill="FFFFFF"/>
          <w:lang w:val="en-US"/>
        </w:rPr>
        <w:t xml:space="preserve">overnment intends to implement non-custodial measures as </w:t>
      </w:r>
      <w:r w:rsidR="0009631B">
        <w:rPr>
          <w:rFonts w:eastAsia="Times New Roman" w:cs="Times New Roman"/>
          <w:color w:val="201F1E"/>
          <w:shd w:val="clear" w:color="auto" w:fill="FFFFFF"/>
          <w:lang w:val="en-US"/>
        </w:rPr>
        <w:t xml:space="preserve">replacements for </w:t>
      </w:r>
      <w:r w:rsidRPr="008D0DA5">
        <w:rPr>
          <w:rFonts w:eastAsia="Times New Roman" w:cs="Times New Roman"/>
          <w:color w:val="201F1E"/>
          <w:shd w:val="clear" w:color="auto" w:fill="FFFFFF"/>
          <w:lang w:val="en-US"/>
        </w:rPr>
        <w:t>conventional custodial sentencing</w:t>
      </w:r>
      <w:r w:rsidR="0009631B">
        <w:rPr>
          <w:rFonts w:eastAsia="Times New Roman" w:cs="Times New Roman"/>
          <w:color w:val="201F1E"/>
          <w:shd w:val="clear" w:color="auto" w:fill="FFFFFF"/>
          <w:lang w:val="en-US"/>
        </w:rPr>
        <w:t xml:space="preserve"> in some cases</w:t>
      </w:r>
      <w:r w:rsidRPr="008D0DA5">
        <w:rPr>
          <w:rFonts w:eastAsia="Times New Roman" w:cs="Times New Roman"/>
          <w:color w:val="201F1E"/>
          <w:shd w:val="clear" w:color="auto" w:fill="FFFFFF"/>
          <w:lang w:val="en-US"/>
        </w:rPr>
        <w:t>.</w:t>
      </w:r>
      <w:r w:rsidR="00A515EA">
        <w:rPr>
          <w:rStyle w:val="FootnoteReference"/>
          <w:rFonts w:eastAsia="Times New Roman" w:cs="Times New Roman"/>
          <w:color w:val="201F1E"/>
          <w:shd w:val="clear" w:color="auto" w:fill="FFFFFF"/>
          <w:lang w:val="en-US"/>
        </w:rPr>
        <w:footnoteReference w:id="37"/>
      </w:r>
      <w:r w:rsidRPr="008D0DA5">
        <w:rPr>
          <w:rFonts w:eastAsia="Times New Roman" w:cs="Times New Roman"/>
          <w:color w:val="201F1E"/>
          <w:shd w:val="clear" w:color="auto" w:fill="FFFFFF"/>
          <w:lang w:val="en-US"/>
        </w:rPr>
        <w:t xml:space="preserve"> </w:t>
      </w:r>
      <w:r w:rsidR="009C729C">
        <w:rPr>
          <w:rFonts w:eastAsia="Times New Roman" w:cs="Times New Roman"/>
          <w:color w:val="201F1E"/>
          <w:shd w:val="clear" w:color="auto" w:fill="FFFFFF"/>
          <w:lang w:val="en-US"/>
        </w:rPr>
        <w:t xml:space="preserve">But </w:t>
      </w:r>
      <w:r w:rsidRPr="008D0DA5">
        <w:rPr>
          <w:rFonts w:eastAsia="Times New Roman" w:cs="Times New Roman"/>
          <w:color w:val="201F1E"/>
          <w:shd w:val="clear" w:color="auto" w:fill="FFFFFF"/>
          <w:lang w:val="en-US"/>
        </w:rPr>
        <w:t xml:space="preserve">the </w:t>
      </w:r>
      <w:r w:rsidR="009C729C">
        <w:rPr>
          <w:rFonts w:eastAsia="Times New Roman" w:cs="Times New Roman"/>
          <w:color w:val="201F1E"/>
          <w:shd w:val="clear" w:color="auto" w:fill="FFFFFF"/>
          <w:lang w:val="en-US"/>
        </w:rPr>
        <w:t>G</w:t>
      </w:r>
      <w:r w:rsidRPr="008D0DA5">
        <w:rPr>
          <w:rFonts w:eastAsia="Times New Roman" w:cs="Times New Roman"/>
          <w:color w:val="201F1E"/>
          <w:shd w:val="clear" w:color="auto" w:fill="FFFFFF"/>
          <w:lang w:val="en-US"/>
        </w:rPr>
        <w:t xml:space="preserve">overnment has not provided statistics confirming the use and effectiveness of non-custodial sentences, or statistics on prison populations across the various centers, to confirm </w:t>
      </w:r>
      <w:r w:rsidR="009C729C">
        <w:rPr>
          <w:rFonts w:eastAsia="Times New Roman" w:cs="Times New Roman"/>
          <w:color w:val="201F1E"/>
          <w:shd w:val="clear" w:color="auto" w:fill="FFFFFF"/>
          <w:lang w:val="en-US"/>
        </w:rPr>
        <w:t xml:space="preserve">whether any measures have alleviated </w:t>
      </w:r>
      <w:r w:rsidRPr="008D0DA5">
        <w:rPr>
          <w:rFonts w:eastAsia="Times New Roman" w:cs="Times New Roman"/>
          <w:color w:val="201F1E"/>
          <w:shd w:val="clear" w:color="auto" w:fill="FFFFFF"/>
          <w:lang w:val="en-US"/>
        </w:rPr>
        <w:t>the problem of prison overcrowding.</w:t>
      </w:r>
    </w:p>
    <w:p w14:paraId="589C974B" w14:textId="1857997A" w:rsidR="00B60372" w:rsidRDefault="00CF0615">
      <w:pPr>
        <w:pStyle w:val="SectionHeading"/>
      </w:pPr>
      <w:r>
        <w:t>Civil society organizations and human rights defenders</w:t>
      </w:r>
      <w:r w:rsidR="00912332">
        <w:t xml:space="preserve"> </w:t>
      </w:r>
      <w:r>
        <w:t>face governmental retaliation in response to their public criticism of the Maldives’ use of the death penalty</w:t>
      </w:r>
      <w:r w:rsidR="00702D0A">
        <w:t xml:space="preserve"> (List of Issues paragraph 23)</w:t>
      </w:r>
      <w:r>
        <w:t>.</w:t>
      </w:r>
    </w:p>
    <w:p w14:paraId="0A650F16" w14:textId="77777777" w:rsidR="00B60372" w:rsidRDefault="00CF0615" w:rsidP="002608D1">
      <w:pPr>
        <w:pStyle w:val="ListNumber"/>
        <w:numPr>
          <w:ilvl w:val="0"/>
          <w:numId w:val="5"/>
        </w:numPr>
        <w:spacing w:after="240" w:line="240" w:lineRule="auto"/>
        <w:rPr>
          <w:rFonts w:eastAsia="Times New Roman" w:cs="Times New Roman"/>
          <w:i/>
        </w:rPr>
      </w:pPr>
      <w:r>
        <w:rPr>
          <w:rFonts w:eastAsia="Times New Roman" w:cs="Times New Roman"/>
        </w:rPr>
        <w:t xml:space="preserve">The Committee requested information regarding the shutdown of the Maldivian Democracy Network (MDN) by the registrar </w:t>
      </w:r>
      <w:r>
        <w:t>for</w:t>
      </w:r>
      <w:r>
        <w:rPr>
          <w:rFonts w:eastAsia="Times New Roman" w:cs="Times New Roman"/>
        </w:rPr>
        <w:t xml:space="preserve"> non-governmental organizations in November 2019. The Committee requested details of the legal basis for the closure of the MDN and whether such basis complies with the Covenant.</w:t>
      </w:r>
      <w:r>
        <w:rPr>
          <w:rStyle w:val="FootnoteReference"/>
          <w:rFonts w:eastAsia="Times New Roman" w:cs="Times New Roman"/>
        </w:rPr>
        <w:footnoteReference w:id="38"/>
      </w:r>
    </w:p>
    <w:p w14:paraId="6200759D" w14:textId="37783ADE" w:rsidR="00B60372" w:rsidRDefault="00CF0615" w:rsidP="002608D1">
      <w:pPr>
        <w:pStyle w:val="ListNumber"/>
        <w:numPr>
          <w:ilvl w:val="0"/>
          <w:numId w:val="5"/>
        </w:numPr>
        <w:spacing w:after="240" w:line="240" w:lineRule="auto"/>
        <w:rPr>
          <w:rFonts w:eastAsia="Times New Roman" w:cs="Times New Roman"/>
        </w:rPr>
      </w:pPr>
      <w:r>
        <w:rPr>
          <w:rFonts w:eastAsia="Times New Roman" w:cs="Times New Roman"/>
        </w:rPr>
        <w:t>The State Party urge</w:t>
      </w:r>
      <w:r w:rsidR="008A3119">
        <w:rPr>
          <w:rFonts w:eastAsia="Times New Roman" w:cs="Times New Roman"/>
        </w:rPr>
        <w:t>s</w:t>
      </w:r>
      <w:r>
        <w:rPr>
          <w:rFonts w:eastAsia="Times New Roman" w:cs="Times New Roman"/>
        </w:rPr>
        <w:t xml:space="preserve"> the Committee to view the closure of the MDN as </w:t>
      </w:r>
      <w:r w:rsidR="00F519B7">
        <w:rPr>
          <w:rFonts w:eastAsia="Times New Roman" w:cs="Times New Roman"/>
        </w:rPr>
        <w:t>“</w:t>
      </w:r>
      <w:r>
        <w:rPr>
          <w:rFonts w:eastAsia="Times New Roman" w:cs="Times New Roman"/>
        </w:rPr>
        <w:t>an isolated incident.</w:t>
      </w:r>
      <w:r w:rsidR="00F519B7">
        <w:rPr>
          <w:rFonts w:eastAsia="Times New Roman" w:cs="Times New Roman"/>
        </w:rPr>
        <w:t>”</w:t>
      </w:r>
      <w:r>
        <w:rPr>
          <w:rFonts w:eastAsia="Times New Roman" w:cs="Times New Roman"/>
        </w:rPr>
        <w:t xml:space="preserve"> The State Party justifie</w:t>
      </w:r>
      <w:r w:rsidR="00EE02AB">
        <w:rPr>
          <w:rFonts w:eastAsia="Times New Roman" w:cs="Times New Roman"/>
        </w:rPr>
        <w:t>s</w:t>
      </w:r>
      <w:r>
        <w:rPr>
          <w:rFonts w:eastAsia="Times New Roman" w:cs="Times New Roman"/>
        </w:rPr>
        <w:t xml:space="preserve"> the </w:t>
      </w:r>
      <w:r>
        <w:t>closure</w:t>
      </w:r>
      <w:r>
        <w:rPr>
          <w:rFonts w:eastAsia="Times New Roman" w:cs="Times New Roman"/>
        </w:rPr>
        <w:t xml:space="preserve"> of MDN </w:t>
      </w:r>
      <w:r w:rsidR="00792323">
        <w:rPr>
          <w:rFonts w:eastAsia="Times New Roman" w:cs="Times New Roman"/>
        </w:rPr>
        <w:t>based on “[a] thorough and a comprehensive investigation</w:t>
      </w:r>
      <w:r w:rsidR="00E70EF0">
        <w:rPr>
          <w:rFonts w:eastAsia="Times New Roman" w:cs="Times New Roman"/>
        </w:rPr>
        <w:t>” concerning “the content of a report titled ‘Preliminary Assessment of Radicalization in Maldives,’” appearing on MDN’s website</w:t>
      </w:r>
      <w:r w:rsidR="00B26DCB">
        <w:rPr>
          <w:rFonts w:eastAsia="Times New Roman" w:cs="Times New Roman"/>
        </w:rPr>
        <w:t xml:space="preserve"> in 2015</w:t>
      </w:r>
      <w:r w:rsidR="00E70EF0">
        <w:rPr>
          <w:rFonts w:eastAsia="Times New Roman" w:cs="Times New Roman"/>
        </w:rPr>
        <w:t>.</w:t>
      </w:r>
      <w:r w:rsidR="00E70EF0">
        <w:rPr>
          <w:rStyle w:val="FootnoteReference"/>
          <w:rFonts w:eastAsia="Times New Roman" w:cs="Times New Roman"/>
        </w:rPr>
        <w:footnoteReference w:id="39"/>
      </w:r>
      <w:r w:rsidR="00E70EF0">
        <w:rPr>
          <w:rFonts w:eastAsia="Times New Roman" w:cs="Times New Roman"/>
        </w:rPr>
        <w:t xml:space="preserve"> </w:t>
      </w:r>
      <w:r>
        <w:rPr>
          <w:rFonts w:eastAsia="Times New Roman" w:cs="Times New Roman"/>
        </w:rPr>
        <w:t xml:space="preserve">The State Party </w:t>
      </w:r>
      <w:r w:rsidR="0042673E">
        <w:rPr>
          <w:rFonts w:eastAsia="Times New Roman" w:cs="Times New Roman"/>
        </w:rPr>
        <w:t xml:space="preserve">asserts </w:t>
      </w:r>
      <w:r>
        <w:rPr>
          <w:rFonts w:eastAsia="Times New Roman" w:cs="Times New Roman"/>
        </w:rPr>
        <w:lastRenderedPageBreak/>
        <w:t xml:space="preserve">that </w:t>
      </w:r>
      <w:r w:rsidR="0042673E">
        <w:rPr>
          <w:rFonts w:eastAsia="Times New Roman" w:cs="Times New Roman"/>
        </w:rPr>
        <w:t xml:space="preserve">it provided </w:t>
      </w:r>
      <w:r>
        <w:rPr>
          <w:rFonts w:eastAsia="Times New Roman" w:cs="Times New Roman"/>
        </w:rPr>
        <w:t>a detailed account of the decision to dissolve the MDN on 15 January 2020, in response to a Joint Communication sent by five special rapporteurs.</w:t>
      </w:r>
      <w:r>
        <w:rPr>
          <w:rStyle w:val="FootnoteReference"/>
          <w:rFonts w:eastAsia="Times New Roman" w:cs="Times New Roman"/>
        </w:rPr>
        <w:footnoteReference w:id="40"/>
      </w:r>
    </w:p>
    <w:p w14:paraId="46ACF1D5" w14:textId="12F31CBA" w:rsidR="00B60372" w:rsidRDefault="00CF0615" w:rsidP="002608D1">
      <w:pPr>
        <w:pStyle w:val="ListNumber"/>
        <w:numPr>
          <w:ilvl w:val="0"/>
          <w:numId w:val="5"/>
        </w:numPr>
        <w:spacing w:after="240" w:line="240" w:lineRule="auto"/>
        <w:rPr>
          <w:rFonts w:eastAsia="Times New Roman" w:cs="Times New Roman"/>
        </w:rPr>
      </w:pPr>
      <w:r>
        <w:rPr>
          <w:rFonts w:eastAsia="Times New Roman" w:cs="Times New Roman"/>
        </w:rPr>
        <w:t xml:space="preserve">The State Party has not yet provided evidence </w:t>
      </w:r>
      <w:r w:rsidR="00E32292">
        <w:rPr>
          <w:rFonts w:eastAsia="Times New Roman" w:cs="Times New Roman"/>
        </w:rPr>
        <w:t xml:space="preserve">of due process </w:t>
      </w:r>
      <w:r>
        <w:rPr>
          <w:rFonts w:eastAsia="Times New Roman" w:cs="Times New Roman"/>
        </w:rPr>
        <w:t xml:space="preserve">or </w:t>
      </w:r>
      <w:r w:rsidR="00E32292">
        <w:rPr>
          <w:rFonts w:eastAsia="Times New Roman" w:cs="Times New Roman"/>
        </w:rPr>
        <w:t xml:space="preserve">any </w:t>
      </w:r>
      <w:r>
        <w:rPr>
          <w:rFonts w:eastAsia="Times New Roman" w:cs="Times New Roman"/>
        </w:rPr>
        <w:t xml:space="preserve">concrete justification </w:t>
      </w:r>
      <w:r w:rsidR="00E32292">
        <w:rPr>
          <w:rFonts w:eastAsia="Times New Roman" w:cs="Times New Roman"/>
        </w:rPr>
        <w:t xml:space="preserve">for </w:t>
      </w:r>
      <w:r>
        <w:rPr>
          <w:rFonts w:eastAsia="Times New Roman" w:cs="Times New Roman"/>
        </w:rPr>
        <w:t xml:space="preserve">the deregistration of MDN. Even in court, </w:t>
      </w:r>
      <w:r w:rsidR="00564C5E">
        <w:rPr>
          <w:rFonts w:eastAsia="Times New Roman" w:cs="Times New Roman"/>
        </w:rPr>
        <w:t xml:space="preserve">relying on </w:t>
      </w:r>
      <w:r>
        <w:rPr>
          <w:rFonts w:eastAsia="Times New Roman" w:cs="Times New Roman"/>
        </w:rPr>
        <w:t xml:space="preserve">blasphemy allegations against the 2015 </w:t>
      </w:r>
      <w:r w:rsidR="00B26DCB">
        <w:rPr>
          <w:rFonts w:eastAsia="Times New Roman" w:cs="Times New Roman"/>
        </w:rPr>
        <w:t xml:space="preserve">MDN </w:t>
      </w:r>
      <w:r>
        <w:rPr>
          <w:rFonts w:eastAsia="Times New Roman" w:cs="Times New Roman"/>
        </w:rPr>
        <w:t xml:space="preserve">report, </w:t>
      </w:r>
      <w:r w:rsidR="00C15FB2">
        <w:rPr>
          <w:rFonts w:eastAsia="Times New Roman" w:cs="Times New Roman"/>
        </w:rPr>
        <w:t xml:space="preserve">the Attorney General’s Office failed to provide </w:t>
      </w:r>
      <w:r>
        <w:rPr>
          <w:rFonts w:eastAsia="Times New Roman" w:cs="Times New Roman"/>
        </w:rPr>
        <w:t xml:space="preserve">evidence of due process. Further, </w:t>
      </w:r>
      <w:r w:rsidR="00564C5E">
        <w:rPr>
          <w:rFonts w:eastAsia="Times New Roman" w:cs="Times New Roman"/>
        </w:rPr>
        <w:t xml:space="preserve">authorities did not inform </w:t>
      </w:r>
      <w:r>
        <w:rPr>
          <w:rFonts w:eastAsia="Times New Roman" w:cs="Times New Roman"/>
        </w:rPr>
        <w:t xml:space="preserve">MDN of any charges or offenses and </w:t>
      </w:r>
      <w:r w:rsidR="004947F9">
        <w:rPr>
          <w:rFonts w:eastAsia="Times New Roman" w:cs="Times New Roman"/>
        </w:rPr>
        <w:t xml:space="preserve">did not provide MDN with </w:t>
      </w:r>
      <w:r>
        <w:rPr>
          <w:rFonts w:eastAsia="Times New Roman" w:cs="Times New Roman"/>
        </w:rPr>
        <w:t xml:space="preserve">a right of reply. The State Party has repeatedly suggested that the police investigation into MDN was incomplete and </w:t>
      </w:r>
      <w:r w:rsidR="004947F9">
        <w:rPr>
          <w:rFonts w:eastAsia="Times New Roman" w:cs="Times New Roman"/>
        </w:rPr>
        <w:t xml:space="preserve">is </w:t>
      </w:r>
      <w:r>
        <w:rPr>
          <w:rFonts w:eastAsia="Times New Roman" w:cs="Times New Roman"/>
        </w:rPr>
        <w:t>still ongoing.</w:t>
      </w:r>
      <w:r>
        <w:rPr>
          <w:rStyle w:val="FootnoteReference"/>
          <w:rFonts w:eastAsia="Times New Roman" w:cs="Times New Roman"/>
        </w:rPr>
        <w:footnoteReference w:id="41"/>
      </w:r>
      <w:r>
        <w:rPr>
          <w:rFonts w:eastAsia="Times New Roman" w:cs="Times New Roman"/>
        </w:rPr>
        <w:t xml:space="preserve"> The </w:t>
      </w:r>
      <w:r w:rsidR="00646DCD">
        <w:rPr>
          <w:rFonts w:eastAsia="Times New Roman" w:cs="Times New Roman"/>
        </w:rPr>
        <w:t>G</w:t>
      </w:r>
      <w:r>
        <w:rPr>
          <w:rFonts w:eastAsia="Times New Roman" w:cs="Times New Roman"/>
        </w:rPr>
        <w:t xml:space="preserve">overnment’s response to the joint communication did not include information </w:t>
      </w:r>
      <w:r w:rsidR="00646DCD">
        <w:rPr>
          <w:rFonts w:eastAsia="Times New Roman" w:cs="Times New Roman"/>
        </w:rPr>
        <w:t xml:space="preserve">concerning </w:t>
      </w:r>
      <w:r>
        <w:rPr>
          <w:rFonts w:eastAsia="Times New Roman" w:cs="Times New Roman"/>
        </w:rPr>
        <w:t xml:space="preserve">the process carried out in the </w:t>
      </w:r>
      <w:r w:rsidR="00B150C7">
        <w:rPr>
          <w:rFonts w:eastAsia="Times New Roman" w:cs="Times New Roman"/>
        </w:rPr>
        <w:t>d</w:t>
      </w:r>
      <w:r>
        <w:rPr>
          <w:rFonts w:eastAsia="Times New Roman" w:cs="Times New Roman"/>
        </w:rPr>
        <w:t xml:space="preserve">eregistration of the MDN, such as whether </w:t>
      </w:r>
      <w:r w:rsidR="00646DCD">
        <w:rPr>
          <w:rFonts w:eastAsia="Times New Roman" w:cs="Times New Roman"/>
        </w:rPr>
        <w:t xml:space="preserve">authorities informed </w:t>
      </w:r>
      <w:r>
        <w:rPr>
          <w:rFonts w:eastAsia="Times New Roman" w:cs="Times New Roman"/>
        </w:rPr>
        <w:t xml:space="preserve">MDN of the charges against </w:t>
      </w:r>
      <w:r w:rsidR="00646DCD">
        <w:rPr>
          <w:rFonts w:eastAsia="Times New Roman" w:cs="Times New Roman"/>
        </w:rPr>
        <w:t xml:space="preserve">it </w:t>
      </w:r>
      <w:r>
        <w:rPr>
          <w:rFonts w:eastAsia="Times New Roman" w:cs="Times New Roman"/>
        </w:rPr>
        <w:t xml:space="preserve">or even </w:t>
      </w:r>
      <w:r w:rsidR="00646DCD">
        <w:rPr>
          <w:rFonts w:eastAsia="Times New Roman" w:cs="Times New Roman"/>
        </w:rPr>
        <w:t xml:space="preserve">provided MDN with </w:t>
      </w:r>
      <w:r>
        <w:rPr>
          <w:rFonts w:eastAsia="Times New Roman" w:cs="Times New Roman"/>
        </w:rPr>
        <w:t>the right of reply.</w:t>
      </w:r>
    </w:p>
    <w:p w14:paraId="2E3639A2" w14:textId="2041E2CF" w:rsidR="001A662F" w:rsidRDefault="00662296" w:rsidP="002608D1">
      <w:pPr>
        <w:pStyle w:val="ListNumber"/>
        <w:numPr>
          <w:ilvl w:val="0"/>
          <w:numId w:val="5"/>
        </w:numPr>
        <w:spacing w:after="240" w:line="240" w:lineRule="auto"/>
        <w:rPr>
          <w:rFonts w:eastAsia="Times New Roman" w:cs="Times New Roman"/>
        </w:rPr>
      </w:pPr>
      <w:proofErr w:type="gramStart"/>
      <w:r>
        <w:rPr>
          <w:rFonts w:eastAsia="Times New Roman" w:cs="Times New Roman"/>
        </w:rPr>
        <w:t>During the course of</w:t>
      </w:r>
      <w:proofErr w:type="gramEnd"/>
      <w:r>
        <w:rPr>
          <w:rFonts w:eastAsia="Times New Roman" w:cs="Times New Roman"/>
        </w:rPr>
        <w:t xml:space="preserve"> a civil lawsuit filed on behalf of MDN in July 2020, </w:t>
      </w:r>
      <w:r w:rsidR="001A662F" w:rsidRPr="001A662F">
        <w:rPr>
          <w:rFonts w:eastAsia="Times New Roman" w:cs="Times New Roman"/>
        </w:rPr>
        <w:t xml:space="preserve">MDN became aware of a report written by the </w:t>
      </w:r>
      <w:r w:rsidR="00B23760" w:rsidRPr="00B23760">
        <w:rPr>
          <w:rFonts w:eastAsia="Times New Roman" w:cs="Times New Roman"/>
        </w:rPr>
        <w:t>Ministry of Islamic Affairs</w:t>
      </w:r>
      <w:r w:rsidR="001A662F">
        <w:rPr>
          <w:rFonts w:eastAsia="Times New Roman" w:cs="Times New Roman"/>
        </w:rPr>
        <w:t>.</w:t>
      </w:r>
      <w:r w:rsidR="001A662F" w:rsidRPr="001A662F">
        <w:rPr>
          <w:rFonts w:eastAsia="Times New Roman" w:cs="Times New Roman"/>
        </w:rPr>
        <w:t xml:space="preserve"> </w:t>
      </w:r>
      <w:r w:rsidR="001A662F">
        <w:rPr>
          <w:rFonts w:eastAsia="Times New Roman" w:cs="Times New Roman"/>
        </w:rPr>
        <w:t>It appears that the</w:t>
      </w:r>
      <w:r w:rsidR="001A662F" w:rsidRPr="001A662F">
        <w:rPr>
          <w:rFonts w:eastAsia="Times New Roman" w:cs="Times New Roman"/>
        </w:rPr>
        <w:t xml:space="preserve"> </w:t>
      </w:r>
      <w:r w:rsidR="009C423D">
        <w:rPr>
          <w:rFonts w:eastAsia="Times New Roman" w:cs="Times New Roman"/>
        </w:rPr>
        <w:t xml:space="preserve">Maldives Police Service communicated the </w:t>
      </w:r>
      <w:r w:rsidR="001A662F" w:rsidRPr="001A662F">
        <w:rPr>
          <w:rFonts w:eastAsia="Times New Roman" w:cs="Times New Roman"/>
        </w:rPr>
        <w:t xml:space="preserve">report to the Ministry of Youth, Sports and Community Engagement before the police </w:t>
      </w:r>
      <w:r w:rsidR="009C423D">
        <w:rPr>
          <w:rFonts w:eastAsia="Times New Roman" w:cs="Times New Roman"/>
        </w:rPr>
        <w:t xml:space="preserve">service had completed its </w:t>
      </w:r>
      <w:r w:rsidR="001A662F" w:rsidRPr="001A662F">
        <w:rPr>
          <w:rFonts w:eastAsia="Times New Roman" w:cs="Times New Roman"/>
        </w:rPr>
        <w:t>investigation</w:t>
      </w:r>
      <w:r w:rsidR="001A662F">
        <w:rPr>
          <w:rFonts w:eastAsia="Times New Roman" w:cs="Times New Roman"/>
        </w:rPr>
        <w:t>. The report</w:t>
      </w:r>
      <w:r w:rsidR="001A662F" w:rsidRPr="001A662F">
        <w:rPr>
          <w:rFonts w:eastAsia="Times New Roman" w:cs="Times New Roman"/>
        </w:rPr>
        <w:t xml:space="preserve"> advis</w:t>
      </w:r>
      <w:r w:rsidR="001A662F">
        <w:rPr>
          <w:rFonts w:eastAsia="Times New Roman" w:cs="Times New Roman"/>
        </w:rPr>
        <w:t>ed</w:t>
      </w:r>
      <w:r w:rsidR="001A662F" w:rsidRPr="001A662F">
        <w:rPr>
          <w:rFonts w:eastAsia="Times New Roman" w:cs="Times New Roman"/>
        </w:rPr>
        <w:t xml:space="preserve"> the (Youth) ministry that MDN should be deregistered. </w:t>
      </w:r>
      <w:r w:rsidR="00B23760" w:rsidRPr="00B23760">
        <w:rPr>
          <w:rFonts w:eastAsia="Times New Roman" w:cs="Times New Roman"/>
        </w:rPr>
        <w:t xml:space="preserve">The </w:t>
      </w:r>
      <w:bookmarkStart w:id="1" w:name="_Hlk167797851"/>
      <w:r w:rsidR="00B23760" w:rsidRPr="00B23760">
        <w:rPr>
          <w:rFonts w:eastAsia="Times New Roman" w:cs="Times New Roman"/>
        </w:rPr>
        <w:t xml:space="preserve">Ministry of Islamic Affairs </w:t>
      </w:r>
      <w:bookmarkEnd w:id="1"/>
      <w:r w:rsidR="00B23760" w:rsidRPr="00B23760">
        <w:rPr>
          <w:rFonts w:eastAsia="Times New Roman" w:cs="Times New Roman"/>
        </w:rPr>
        <w:t xml:space="preserve">was a complainant against MDN. Involving a complainant in a police investigation creates a serious issue of conflict of interest. </w:t>
      </w:r>
      <w:r w:rsidR="00B23760">
        <w:rPr>
          <w:rFonts w:eastAsia="Times New Roman" w:cs="Times New Roman"/>
        </w:rPr>
        <w:t>Further, t</w:t>
      </w:r>
      <w:r w:rsidR="001A662F" w:rsidRPr="001A662F">
        <w:rPr>
          <w:rFonts w:eastAsia="Times New Roman" w:cs="Times New Roman"/>
        </w:rPr>
        <w:t>h</w:t>
      </w:r>
      <w:r w:rsidR="00537B88">
        <w:rPr>
          <w:rFonts w:eastAsia="Times New Roman" w:cs="Times New Roman"/>
        </w:rPr>
        <w:t>e</w:t>
      </w:r>
      <w:r w:rsidR="001A662F">
        <w:rPr>
          <w:rFonts w:eastAsia="Times New Roman" w:cs="Times New Roman"/>
        </w:rPr>
        <w:t xml:space="preserve"> </w:t>
      </w:r>
      <w:r w:rsidR="001A662F" w:rsidRPr="001A662F">
        <w:rPr>
          <w:rFonts w:eastAsia="Times New Roman" w:cs="Times New Roman"/>
        </w:rPr>
        <w:t xml:space="preserve">report compiled by the </w:t>
      </w:r>
      <w:r w:rsidR="00BF0AAC">
        <w:rPr>
          <w:rFonts w:eastAsia="Times New Roman" w:cs="Times New Roman"/>
        </w:rPr>
        <w:t>M</w:t>
      </w:r>
      <w:r w:rsidR="001A662F" w:rsidRPr="001A662F">
        <w:rPr>
          <w:rFonts w:eastAsia="Times New Roman" w:cs="Times New Roman"/>
        </w:rPr>
        <w:t xml:space="preserve">inistry </w:t>
      </w:r>
      <w:r w:rsidR="00BF0AAC">
        <w:rPr>
          <w:rFonts w:eastAsia="Times New Roman" w:cs="Times New Roman"/>
        </w:rPr>
        <w:t xml:space="preserve">of Islamic Affairs </w:t>
      </w:r>
      <w:r w:rsidR="001A662F" w:rsidRPr="001A662F">
        <w:rPr>
          <w:rFonts w:eastAsia="Times New Roman" w:cs="Times New Roman"/>
        </w:rPr>
        <w:t xml:space="preserve">contains false Dhivehi translations and personal interpretations of the MDN report that fabricate content of the </w:t>
      </w:r>
      <w:r w:rsidR="00537B88">
        <w:rPr>
          <w:rFonts w:eastAsia="Times New Roman" w:cs="Times New Roman"/>
        </w:rPr>
        <w:t xml:space="preserve">MDN </w:t>
      </w:r>
      <w:r w:rsidR="001A662F" w:rsidRPr="001A662F">
        <w:rPr>
          <w:rFonts w:eastAsia="Times New Roman" w:cs="Times New Roman"/>
        </w:rPr>
        <w:t xml:space="preserve">report </w:t>
      </w:r>
      <w:r w:rsidR="00DD5943">
        <w:rPr>
          <w:rFonts w:eastAsia="Times New Roman" w:cs="Times New Roman"/>
        </w:rPr>
        <w:t xml:space="preserve">and transform it </w:t>
      </w:r>
      <w:r w:rsidR="001A662F" w:rsidRPr="001A662F">
        <w:rPr>
          <w:rFonts w:eastAsia="Times New Roman" w:cs="Times New Roman"/>
        </w:rPr>
        <w:t xml:space="preserve">into </w:t>
      </w:r>
      <w:r w:rsidR="00DD5943">
        <w:rPr>
          <w:rFonts w:eastAsia="Times New Roman" w:cs="Times New Roman"/>
        </w:rPr>
        <w:t xml:space="preserve">arguably </w:t>
      </w:r>
      <w:r w:rsidR="001A662F" w:rsidRPr="001A662F">
        <w:rPr>
          <w:rFonts w:eastAsia="Times New Roman" w:cs="Times New Roman"/>
        </w:rPr>
        <w:t>blasphemous text.</w:t>
      </w:r>
    </w:p>
    <w:p w14:paraId="73C6647F" w14:textId="77777777" w:rsidR="00B60372" w:rsidRDefault="00CF0615" w:rsidP="002608D1">
      <w:pPr>
        <w:pStyle w:val="ListNumber"/>
        <w:numPr>
          <w:ilvl w:val="0"/>
          <w:numId w:val="5"/>
        </w:numPr>
        <w:spacing w:after="240" w:line="240" w:lineRule="auto"/>
        <w:rPr>
          <w:rFonts w:eastAsia="Calibri" w:cs="Times New Roman"/>
          <w:color w:val="000000"/>
          <w:lang w:val="en-US"/>
        </w:rPr>
      </w:pPr>
      <w:r>
        <w:rPr>
          <w:rFonts w:eastAsia="Calibri" w:cs="Times New Roman"/>
          <w:color w:val="000000"/>
          <w:lang w:val="en-US"/>
        </w:rPr>
        <w:t xml:space="preserve">A woman human rights defender associated with MDN decided not to return to the country, fearing political </w:t>
      </w:r>
      <w:r w:rsidRPr="002608D1">
        <w:rPr>
          <w:rFonts w:eastAsia="Times New Roman" w:cs="Times New Roman"/>
        </w:rPr>
        <w:t>persecution</w:t>
      </w:r>
      <w:r>
        <w:rPr>
          <w:rFonts w:eastAsia="Calibri" w:cs="Times New Roman"/>
          <w:color w:val="000000"/>
          <w:lang w:val="en-US"/>
        </w:rPr>
        <w:t xml:space="preserve"> as well as death threats by non-state actors. While she does not face any formal charges yet, the </w:t>
      </w:r>
      <w:r>
        <w:t>President</w:t>
      </w:r>
      <w:r>
        <w:rPr>
          <w:rFonts w:eastAsia="Calibri" w:cs="Times New Roman"/>
          <w:color w:val="000000"/>
          <w:lang w:val="en-US"/>
        </w:rPr>
        <w:t xml:space="preserve"> and Commissioner of Police have announced in broadcasts that the police are pursuing people associated with MDN for anti-Islamic activity.</w:t>
      </w:r>
      <w:r>
        <w:rPr>
          <w:rFonts w:eastAsia="Calibri" w:cs="Times New Roman"/>
          <w:color w:val="000000"/>
          <w:vertAlign w:val="superscript"/>
          <w:lang w:val="en-US"/>
        </w:rPr>
        <w:footnoteReference w:id="42"/>
      </w:r>
    </w:p>
    <w:p w14:paraId="1D0A6076" w14:textId="1AA6E675" w:rsidR="00B60372" w:rsidRDefault="00CF0615" w:rsidP="002608D1">
      <w:pPr>
        <w:pStyle w:val="ListNumber"/>
        <w:numPr>
          <w:ilvl w:val="0"/>
          <w:numId w:val="5"/>
        </w:numPr>
        <w:spacing w:after="240" w:line="240" w:lineRule="auto"/>
        <w:rPr>
          <w:rFonts w:eastAsia="Calibri" w:cs="Times New Roman"/>
          <w:lang w:val="en-US"/>
        </w:rPr>
      </w:pPr>
      <w:r>
        <w:rPr>
          <w:rFonts w:eastAsia="Calibri" w:cs="Times New Roman"/>
          <w:color w:val="000000"/>
          <w:lang w:val="en-US"/>
        </w:rPr>
        <w:t xml:space="preserve">There are </w:t>
      </w:r>
      <w:r w:rsidRPr="002608D1">
        <w:rPr>
          <w:rFonts w:eastAsia="Times New Roman" w:cs="Times New Roman"/>
        </w:rPr>
        <w:t>also</w:t>
      </w:r>
      <w:r>
        <w:rPr>
          <w:rFonts w:eastAsia="Calibri" w:cs="Times New Roman"/>
          <w:color w:val="000000"/>
          <w:lang w:val="en-US"/>
        </w:rPr>
        <w:t xml:space="preserve"> widespread reports of extremist groups harassing and attacking the media and civil society groups, </w:t>
      </w:r>
      <w:r>
        <w:t>especially</w:t>
      </w:r>
      <w:r>
        <w:rPr>
          <w:rFonts w:eastAsia="Calibri" w:cs="Times New Roman"/>
          <w:color w:val="000000"/>
          <w:lang w:val="en-US"/>
        </w:rPr>
        <w:t xml:space="preserve"> organizations and individuals critical of the </w:t>
      </w:r>
      <w:r w:rsidR="00F21C10">
        <w:rPr>
          <w:rFonts w:eastAsia="Calibri" w:cs="Times New Roman"/>
          <w:color w:val="000000"/>
          <w:lang w:val="en-US"/>
        </w:rPr>
        <w:t>G</w:t>
      </w:r>
      <w:r>
        <w:rPr>
          <w:rFonts w:eastAsia="Calibri" w:cs="Times New Roman"/>
          <w:color w:val="000000"/>
          <w:lang w:val="en-US"/>
        </w:rPr>
        <w:t>overnment. Organized extremist groups have subjected individuals associated with MDN—including women human rights defenders speaking out against the death penalty and in defense of women on death row— to harassment, stalking, and death threats. Authorities have not held offenders accountable or protected these women</w:t>
      </w:r>
      <w:r w:rsidR="004E2457">
        <w:rPr>
          <w:rFonts w:eastAsia="Calibri" w:cs="Times New Roman"/>
          <w:color w:val="000000"/>
          <w:lang w:val="en-US"/>
        </w:rPr>
        <w:t xml:space="preserve"> human rights defenders</w:t>
      </w:r>
      <w:r>
        <w:rPr>
          <w:rFonts w:eastAsia="Calibri" w:cs="Times New Roman"/>
          <w:color w:val="000000"/>
          <w:lang w:val="en-US"/>
        </w:rPr>
        <w:t>.</w:t>
      </w:r>
      <w:r>
        <w:rPr>
          <w:rFonts w:eastAsia="Calibri" w:cs="Times New Roman"/>
          <w:color w:val="000000"/>
          <w:vertAlign w:val="superscript"/>
          <w:lang w:val="en-US"/>
        </w:rPr>
        <w:footnoteReference w:id="43"/>
      </w:r>
      <w:r>
        <w:rPr>
          <w:rFonts w:eastAsia="Calibri" w:cs="Times New Roman"/>
          <w:color w:val="000000"/>
          <w:lang w:val="en-US"/>
        </w:rPr>
        <w:t xml:space="preserve"> </w:t>
      </w:r>
    </w:p>
    <w:p w14:paraId="32236051" w14:textId="77777777" w:rsidR="00B60372" w:rsidRDefault="00CF0615" w:rsidP="00E33509">
      <w:pPr>
        <w:pStyle w:val="SectionHeading"/>
        <w:keepNext/>
      </w:pPr>
      <w:r>
        <w:lastRenderedPageBreak/>
        <w:t>Suggested questions and recommendations for the Government of the Maldives</w:t>
      </w:r>
    </w:p>
    <w:p w14:paraId="1232C7EA" w14:textId="57503682" w:rsidR="00B60372" w:rsidRDefault="004A3815" w:rsidP="002608D1">
      <w:pPr>
        <w:pStyle w:val="ListNumber"/>
        <w:numPr>
          <w:ilvl w:val="0"/>
          <w:numId w:val="5"/>
        </w:numPr>
        <w:spacing w:after="240" w:line="240" w:lineRule="auto"/>
        <w:rPr>
          <w:rFonts w:eastAsia="Times New Roman" w:cs="Times New Roman"/>
        </w:rPr>
      </w:pPr>
      <w:r>
        <w:rPr>
          <w:rFonts w:eastAsia="Times New Roman" w:cs="Times New Roman"/>
        </w:rPr>
        <w:t>During the constructive dialogue, t</w:t>
      </w:r>
      <w:r w:rsidR="00CF0615">
        <w:rPr>
          <w:rFonts w:eastAsia="Times New Roman" w:cs="Times New Roman"/>
        </w:rPr>
        <w:t xml:space="preserve">he </w:t>
      </w:r>
      <w:r w:rsidR="00CF0615">
        <w:t>Committee</w:t>
      </w:r>
      <w:r w:rsidR="00CF0615">
        <w:rPr>
          <w:rFonts w:eastAsia="Times New Roman" w:cs="Times New Roman"/>
        </w:rPr>
        <w:t xml:space="preserve"> should pose the following questions to the Government of the Maldives:</w:t>
      </w:r>
    </w:p>
    <w:p w14:paraId="412C103C" w14:textId="3B48025A" w:rsidR="00B60372" w:rsidRDefault="00CA5F56">
      <w:pPr>
        <w:pStyle w:val="ListBullet"/>
      </w:pPr>
      <w:r>
        <w:t xml:space="preserve">What measures has the State Party taken to retreat from recent assertions of intent to reinstate </w:t>
      </w:r>
      <w:r w:rsidR="005613BA">
        <w:t>executions?</w:t>
      </w:r>
    </w:p>
    <w:p w14:paraId="5A77E17F" w14:textId="6990D594" w:rsidR="00433F96" w:rsidRDefault="00433F96">
      <w:pPr>
        <w:pStyle w:val="ListBullet"/>
      </w:pPr>
      <w:r>
        <w:t>What measures has the State Party taken to engage in wider public consultation on the issue of abolition of the death penalty?</w:t>
      </w:r>
    </w:p>
    <w:p w14:paraId="5277986D" w14:textId="77777777" w:rsidR="00B60372" w:rsidRDefault="00CF0615">
      <w:pPr>
        <w:pStyle w:val="ListBullet"/>
      </w:pPr>
      <w:r>
        <w:t>How many people are currently under sentence of death? What are the crimes for which they were convicted? How long have they been imprisoned on death row?</w:t>
      </w:r>
    </w:p>
    <w:p w14:paraId="511F6424" w14:textId="20874D91" w:rsidR="00B60372" w:rsidRDefault="00CF0615">
      <w:pPr>
        <w:pStyle w:val="ListBullet"/>
      </w:pPr>
      <w:r>
        <w:t xml:space="preserve">Please provide disaggregated data broken down by age (including current age and age at the time of the offense), race and ethnicity, nationality, and sex relating to all persons sentenced to death during the reporting period, including: the crimes of conviction; </w:t>
      </w:r>
      <w:r w:rsidR="00DA281C">
        <w:t xml:space="preserve">relationship to any codefendants or victims; </w:t>
      </w:r>
      <w:r>
        <w:t xml:space="preserve">location and date of arrest; duration of pre-trial detention; date legal counsel was provided or obtained; location, date, and duration of trial; date of sentencing; status of any applications for clemency; and location of post-trial detention. </w:t>
      </w:r>
    </w:p>
    <w:p w14:paraId="3C518B0D" w14:textId="548F0A77" w:rsidR="00B60372" w:rsidRDefault="00CF0615">
      <w:pPr>
        <w:pStyle w:val="ListBullet"/>
      </w:pPr>
      <w:r>
        <w:t xml:space="preserve">What steps </w:t>
      </w:r>
      <w:r w:rsidR="00236A85">
        <w:t xml:space="preserve">has the State Party taken to ensure that </w:t>
      </w:r>
      <w:r>
        <w:t xml:space="preserve">murder </w:t>
      </w:r>
      <w:proofErr w:type="gramStart"/>
      <w:r>
        <w:t>a pardonable</w:t>
      </w:r>
      <w:proofErr w:type="gramEnd"/>
      <w:r>
        <w:t xml:space="preserve"> offense?</w:t>
      </w:r>
    </w:p>
    <w:p w14:paraId="1F5040A0" w14:textId="77777777" w:rsidR="00B60372" w:rsidRDefault="00CF0615">
      <w:pPr>
        <w:pStyle w:val="ListBullet"/>
      </w:pPr>
      <w:r>
        <w:t xml:space="preserve">What procedures are in place to promote public transparency with respect to criminal proceedings in which a person may be sentenced to death and with respect to death sentences? </w:t>
      </w:r>
    </w:p>
    <w:p w14:paraId="64CBF7DD" w14:textId="43A935DA" w:rsidR="00B60372" w:rsidRDefault="00AF461A">
      <w:pPr>
        <w:pStyle w:val="ListBullet"/>
      </w:pPr>
      <w:r>
        <w:t xml:space="preserve">Please provide information responding to allegations that during the reporting period people have been sentenced to death for </w:t>
      </w:r>
      <w:r w:rsidR="00175F56">
        <w:t xml:space="preserve">crimes other than murder, such as adultery or fornication. </w:t>
      </w:r>
      <w:r w:rsidR="00CF0615">
        <w:t xml:space="preserve">What steps </w:t>
      </w:r>
      <w:r w:rsidR="00175F56">
        <w:t xml:space="preserve">has </w:t>
      </w:r>
      <w:r w:rsidR="00CF0615">
        <w:t xml:space="preserve">the Maldivian </w:t>
      </w:r>
      <w:r w:rsidR="00175F56">
        <w:t>G</w:t>
      </w:r>
      <w:r w:rsidR="00CF0615">
        <w:t xml:space="preserve">overnment </w:t>
      </w:r>
      <w:r w:rsidR="00175F56">
        <w:t xml:space="preserve">taken to </w:t>
      </w:r>
      <w:r w:rsidR="00CF0615">
        <w:t>limit the availability of the death penalty to only the “most serious” crimes in accordance with Article 6 of the Covenant?</w:t>
      </w:r>
    </w:p>
    <w:p w14:paraId="7FF0CCE5" w14:textId="07E9A380" w:rsidR="00B60372" w:rsidRDefault="009F619F">
      <w:pPr>
        <w:pStyle w:val="ListBullet"/>
      </w:pPr>
      <w:bookmarkStart w:id="2" w:name="_Hlk167435367"/>
      <w:r>
        <w:t xml:space="preserve">How does the State Party ensure that the death penalty is </w:t>
      </w:r>
      <w:r w:rsidR="000D7AE6">
        <w:t xml:space="preserve">available as a possible penalty only for </w:t>
      </w:r>
      <w:r>
        <w:t xml:space="preserve">people who themselves carried out an intentional killing and is not applied to </w:t>
      </w:r>
      <w:r w:rsidR="004A4D71">
        <w:t xml:space="preserve">codefendants who did not actually kill and intend to kill, such as </w:t>
      </w:r>
      <w:bookmarkEnd w:id="2"/>
      <w:r w:rsidR="00CF0615">
        <w:t>accomplice</w:t>
      </w:r>
      <w:r w:rsidR="004A4D71">
        <w:t>s who</w:t>
      </w:r>
      <w:r w:rsidR="00CF0615">
        <w:t xml:space="preserve"> play a passive role in the murder?</w:t>
      </w:r>
    </w:p>
    <w:p w14:paraId="53F177CF" w14:textId="39350A25" w:rsidR="00B60372" w:rsidRDefault="000D7AE6">
      <w:pPr>
        <w:pStyle w:val="ListBullet"/>
      </w:pPr>
      <w:r>
        <w:t xml:space="preserve">What measures </w:t>
      </w:r>
      <w:r w:rsidR="00CF0615">
        <w:t xml:space="preserve">has the Maldivian </w:t>
      </w:r>
      <w:r>
        <w:t>G</w:t>
      </w:r>
      <w:r w:rsidR="00CF0615">
        <w:t xml:space="preserve">overnment </w:t>
      </w:r>
      <w:r>
        <w:t xml:space="preserve">taken </w:t>
      </w:r>
      <w:r w:rsidR="00CF0615">
        <w:t xml:space="preserve">to protect human rights defenders and civil society organizations from threats and attacks? </w:t>
      </w:r>
      <w:r w:rsidR="008E1F6B">
        <w:t xml:space="preserve">How does the State Party combat </w:t>
      </w:r>
      <w:r w:rsidR="00CF0615">
        <w:t>violence and discrimination targeting human rights defenders and civil society organizations focusing on human rights</w:t>
      </w:r>
      <w:r w:rsidR="008E1F6B">
        <w:t xml:space="preserve"> and hold perpetrators of such violence and discrimination accountable</w:t>
      </w:r>
      <w:r w:rsidR="00CF0615">
        <w:t>?</w:t>
      </w:r>
    </w:p>
    <w:p w14:paraId="718E1B89" w14:textId="42D2F00E" w:rsidR="00B60372" w:rsidRDefault="00CF0615">
      <w:pPr>
        <w:pStyle w:val="ListBullet"/>
      </w:pPr>
      <w:r>
        <w:lastRenderedPageBreak/>
        <w:t>Please provide detailed evidence of the due process steps implemented in the deregistration of MDN and confirm whether the government followed an administrative or criminal process for deregistering MDN.</w:t>
      </w:r>
    </w:p>
    <w:p w14:paraId="73C340B7" w14:textId="31500EEC" w:rsidR="00B60372" w:rsidRDefault="00CF0615">
      <w:pPr>
        <w:pStyle w:val="ListBullet"/>
      </w:pPr>
      <w:r>
        <w:t xml:space="preserve">Please list all charges against </w:t>
      </w:r>
      <w:r w:rsidR="00CB34CD">
        <w:t xml:space="preserve">MDN </w:t>
      </w:r>
      <w:r>
        <w:t xml:space="preserve">and offenses </w:t>
      </w:r>
      <w:r w:rsidR="00BE0A54">
        <w:t xml:space="preserve">that </w:t>
      </w:r>
      <w:r>
        <w:t xml:space="preserve">MDN </w:t>
      </w:r>
      <w:r w:rsidR="00BE0A54">
        <w:t xml:space="preserve">is alleged to have committed </w:t>
      </w:r>
      <w:r>
        <w:t>in relation to its forced deregistration and provide MDN with a right of reply.</w:t>
      </w:r>
    </w:p>
    <w:p w14:paraId="2496A6B1" w14:textId="3B839827" w:rsidR="00B60372" w:rsidRDefault="00CF0615">
      <w:pPr>
        <w:pStyle w:val="ListBullet"/>
      </w:pPr>
      <w:r>
        <w:t xml:space="preserve">Please </w:t>
      </w:r>
      <w:r w:rsidR="00CB34CD">
        <w:t xml:space="preserve">respond to concerns that </w:t>
      </w:r>
      <w:r>
        <w:t xml:space="preserve">involving the complainant in a police investigation complies with the </w:t>
      </w:r>
      <w:r w:rsidR="009B2942">
        <w:t>Covenant</w:t>
      </w:r>
      <w:r>
        <w:t xml:space="preserve">, and </w:t>
      </w:r>
      <w:r w:rsidR="0005414A">
        <w:t xml:space="preserve">please explain the rationale for </w:t>
      </w:r>
      <w:r>
        <w:t xml:space="preserve">taking administrative action over allegations of criminal offences before </w:t>
      </w:r>
      <w:r w:rsidR="0005414A">
        <w:t xml:space="preserve">authorities complete their </w:t>
      </w:r>
      <w:r>
        <w:t xml:space="preserve">criminal investigation and a judge </w:t>
      </w:r>
      <w:r w:rsidR="00684870">
        <w:t>issues a verdict in the criminal proceedings</w:t>
      </w:r>
      <w:r>
        <w:t xml:space="preserve">. </w:t>
      </w:r>
    </w:p>
    <w:p w14:paraId="428591AB" w14:textId="4270D361" w:rsidR="00B60372" w:rsidRDefault="00CF0615">
      <w:pPr>
        <w:pStyle w:val="ListBullet"/>
      </w:pPr>
      <w:r>
        <w:t xml:space="preserve">Please explain under which process the Maldives Police Service communicates advice to the Registrar of Associations to deregister an organization before </w:t>
      </w:r>
      <w:r w:rsidR="00B55D13">
        <w:t xml:space="preserve">authorities complete </w:t>
      </w:r>
      <w:r>
        <w:t xml:space="preserve">the criminal investigation </w:t>
      </w:r>
      <w:r w:rsidR="00B55D13">
        <w:t xml:space="preserve">and send it </w:t>
      </w:r>
      <w:r>
        <w:t>to the Prosecutor General.</w:t>
      </w:r>
    </w:p>
    <w:p w14:paraId="2EB21B91" w14:textId="67ACD776" w:rsidR="00AD37A0" w:rsidRDefault="00AD37A0" w:rsidP="00AD37A0">
      <w:pPr>
        <w:pStyle w:val="ListNumber"/>
        <w:numPr>
          <w:ilvl w:val="0"/>
          <w:numId w:val="5"/>
        </w:numPr>
        <w:spacing w:after="240" w:line="240" w:lineRule="auto"/>
      </w:pPr>
      <w:r>
        <w:t>The Committee should make the following recommendations to the Government of the Maldives:</w:t>
      </w:r>
    </w:p>
    <w:p w14:paraId="58A6A8FE" w14:textId="435857DA" w:rsidR="00AD37A0" w:rsidRDefault="008E1C01" w:rsidP="00AD37A0">
      <w:pPr>
        <w:pStyle w:val="ListBullet"/>
      </w:pPr>
      <w:r>
        <w:t>Abolish the death penalty and ratify the Second Optional Protocol.</w:t>
      </w:r>
    </w:p>
    <w:p w14:paraId="7A330BDB" w14:textId="0C7C79BF" w:rsidR="008E1C01" w:rsidRDefault="008E1C01" w:rsidP="00AD37A0">
      <w:pPr>
        <w:pStyle w:val="ListBullet"/>
      </w:pPr>
      <w:r>
        <w:t xml:space="preserve">In the </w:t>
      </w:r>
      <w:proofErr w:type="gramStart"/>
      <w:r>
        <w:t>meantime</w:t>
      </w:r>
      <w:proofErr w:type="gramEnd"/>
      <w:r>
        <w:t xml:space="preserve"> ensure that no person is sentenced to death for engaging in sexual activity outside of marriage and issue a directive to judges to ensure compliance with this mandate.</w:t>
      </w:r>
    </w:p>
    <w:p w14:paraId="0059555D" w14:textId="1D3D9849" w:rsidR="008E1C01" w:rsidRDefault="008E1C01" w:rsidP="00AD37A0">
      <w:pPr>
        <w:pStyle w:val="ListBullet"/>
      </w:pPr>
      <w:r>
        <w:t>Commute the death sentence of any person not proven to have been at least 18 years of age at the time of the offense for which the person was sentenced to death.</w:t>
      </w:r>
    </w:p>
    <w:p w14:paraId="78C7E4D1" w14:textId="19851EFE" w:rsidR="008E1C01" w:rsidRDefault="008E1C01" w:rsidP="00AD37A0">
      <w:pPr>
        <w:pStyle w:val="ListBullet"/>
      </w:pPr>
      <w:r>
        <w:t>Commute the death sentence of any person sentenced to death for a crime other than an intentional killing committed by the person sentenced to death.</w:t>
      </w:r>
    </w:p>
    <w:p w14:paraId="65DBB87C" w14:textId="0EED0858" w:rsidR="00433F96" w:rsidRDefault="00433F96" w:rsidP="00AD37A0">
      <w:pPr>
        <w:pStyle w:val="ListBullet"/>
      </w:pPr>
      <w:r>
        <w:t>In collaboration with civil society organizations, develop a campaign to engage in a nationwide public consultation about the abolition of the death penalty, human rights concerns surrounding the use of the death penalty, and alternatives to the death penalty.</w:t>
      </w:r>
    </w:p>
    <w:p w14:paraId="34EE18E6" w14:textId="0CFB64E2" w:rsidR="00433F96" w:rsidRPr="00E33509" w:rsidRDefault="00433F96" w:rsidP="00AD37A0">
      <w:pPr>
        <w:pStyle w:val="ListBullet"/>
      </w:pPr>
      <w:r>
        <w:t xml:space="preserve">Amend </w:t>
      </w:r>
      <w:r>
        <w:rPr>
          <w:rFonts w:eastAsia="Times New Roman" w:cs="Times New Roman"/>
        </w:rPr>
        <w:t>Section 5(a)(1) of the Clemency Act to ensure that murder and all other capital crimes are pardonable offenses.</w:t>
      </w:r>
    </w:p>
    <w:p w14:paraId="383B0945" w14:textId="3B2F80FD" w:rsidR="00433F96" w:rsidRDefault="00433F96" w:rsidP="00AD37A0">
      <w:pPr>
        <w:pStyle w:val="ListBullet"/>
      </w:pPr>
      <w:r>
        <w:rPr>
          <w:rFonts w:eastAsia="Times New Roman" w:cs="Times New Roman"/>
        </w:rPr>
        <w:t xml:space="preserve">Dismantle the execution facilities built at </w:t>
      </w:r>
      <w:proofErr w:type="spellStart"/>
      <w:r>
        <w:rPr>
          <w:rFonts w:eastAsia="Times New Roman" w:cs="Times New Roman"/>
        </w:rPr>
        <w:t>Maafushi</w:t>
      </w:r>
      <w:proofErr w:type="spellEnd"/>
      <w:r>
        <w:rPr>
          <w:rFonts w:eastAsia="Times New Roman" w:cs="Times New Roman"/>
        </w:rPr>
        <w:t xml:space="preserve"> Prison.</w:t>
      </w:r>
    </w:p>
    <w:p w14:paraId="545D2B56" w14:textId="74C16D1F" w:rsidR="008E1C01" w:rsidRDefault="008E1C01" w:rsidP="00AD37A0">
      <w:pPr>
        <w:pStyle w:val="ListBullet"/>
      </w:pPr>
      <w:r>
        <w:t>On at least an annual basis, publish comprehensive data about people sentenced to death and people currently on death row, disaggregated by gender/sex, nationality, race/ethnicity,</w:t>
      </w:r>
      <w:r w:rsidR="00FB3A5C">
        <w:t xml:space="preserve"> disability,</w:t>
      </w:r>
      <w:r>
        <w:t xml:space="preserve"> age of any dependents, crimes of conviction, age on the date of the alleged offense, relationship to any victims or codefendants, status of any appellate proceedings or requests for pardon, current location.</w:t>
      </w:r>
    </w:p>
    <w:p w14:paraId="4AF5ECFC" w14:textId="77777777" w:rsidR="008E1C01" w:rsidRDefault="008E1C01" w:rsidP="008E1C01">
      <w:pPr>
        <w:pStyle w:val="ListBullet"/>
      </w:pPr>
      <w:r>
        <w:lastRenderedPageBreak/>
        <w:t>Take steps to provide fair trial and due process safeguards in capital cases involving women defendants, including by providing them with access to effective legal representation and safeguards prohibiting admissibility of evidence obtained through torture or other ill-treatment.</w:t>
      </w:r>
    </w:p>
    <w:p w14:paraId="558F62AA" w14:textId="77777777" w:rsidR="008E1C01" w:rsidRDefault="008E1C01" w:rsidP="008E1C01">
      <w:pPr>
        <w:pStyle w:val="ListBullet"/>
      </w:pPr>
      <w:r>
        <w:t>Codify gender-specific defenses and mitigation in capital trials, encompassing trauma, gender-based violence, economic pressures, human trafficking, and family caretaking responsibilities.</w:t>
      </w:r>
    </w:p>
    <w:p w14:paraId="78C8ED4B" w14:textId="77777777" w:rsidR="008E1C01" w:rsidRDefault="008E1C01" w:rsidP="008E1C01">
      <w:pPr>
        <w:pStyle w:val="ListBullet"/>
      </w:pPr>
      <w:r>
        <w:t>Require that court-appointed attorneys in capital cases against women defendants have prior experience in capital cases and have training regarding gender-based violence, gender-specific defenses, and gender-specific mitigation.</w:t>
      </w:r>
    </w:p>
    <w:p w14:paraId="4F4458C5" w14:textId="77777777" w:rsidR="008E1C01" w:rsidRDefault="008E1C01" w:rsidP="008E1C01">
      <w:pPr>
        <w:pStyle w:val="ListBullet"/>
      </w:pPr>
      <w:r>
        <w:t>Establish mandatory trainings for judges on gender-based discrimination, domestic violence, gender-based violence, and tactics of coercive control that can lead to women committing death-eligible offenses.</w:t>
      </w:r>
    </w:p>
    <w:p w14:paraId="0C0E6798" w14:textId="77777777" w:rsidR="008E1C01" w:rsidRDefault="008E1C01" w:rsidP="008E1C01">
      <w:pPr>
        <w:pStyle w:val="ListBullet"/>
      </w:pPr>
      <w:r>
        <w:t>Implement legislative reforms to prevent application of the death penalty when women who experience gender-based violence act against their abusers.</w:t>
      </w:r>
    </w:p>
    <w:p w14:paraId="399B532B" w14:textId="77777777" w:rsidR="008E1C01" w:rsidRDefault="008E1C01" w:rsidP="008E1C01">
      <w:pPr>
        <w:pStyle w:val="ListBullet"/>
      </w:pPr>
      <w:r>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732E822F" w14:textId="1FBCD214" w:rsidR="008E1C01" w:rsidRDefault="008E1C01" w:rsidP="008E1C01">
      <w:pPr>
        <w:pStyle w:val="ListBullet"/>
      </w:pPr>
      <w:r>
        <w:t>Ensure that sentencing judges accord mitigating weight to defendants’ experiences of trauma, gender-based violence, economic pressures, duress, human trafficking, and family caretaking responsibilities.</w:t>
      </w:r>
    </w:p>
    <w:p w14:paraId="795AC378" w14:textId="79AB5748" w:rsidR="00FB3A5C" w:rsidRDefault="00FB3A5C" w:rsidP="008E1C01">
      <w:pPr>
        <w:pStyle w:val="ListBullet"/>
      </w:pPr>
      <w:r>
        <w:t>Ensure that local civil society organizations and journalists may conduct visits to places of detention and may publicize information gathered during such visits.</w:t>
      </w:r>
    </w:p>
    <w:p w14:paraId="437A3829" w14:textId="6C14FBEA" w:rsidR="008E1C01" w:rsidRDefault="008E1C01" w:rsidP="00AD37A0">
      <w:pPr>
        <w:pStyle w:val="ListBullet"/>
      </w:pPr>
      <w:r>
        <w:t xml:space="preserve">Reinstate the registration of the Maldivian Democracy Network, restore MDN’s access to all funds that were in its bank account as of the time of deregistration, and ensure that no civil society organization faces deregistration without transparent proceedings complying with due process requirements and ensuring that the organization has full notification of the alleged offenses or charges against it and has a timely right of reply. </w:t>
      </w:r>
    </w:p>
    <w:p w14:paraId="009B27D2" w14:textId="7C171F4B" w:rsidR="008E1C01" w:rsidRDefault="008E1C01" w:rsidP="00AD37A0">
      <w:pPr>
        <w:pStyle w:val="ListBullet"/>
      </w:pPr>
      <w:r>
        <w:t>Step up efforts to protect human rights defenders from violence and discrimination</w:t>
      </w:r>
      <w:r w:rsidR="00764A1A">
        <w:t xml:space="preserve"> and hold perpetrators of such violence and discrimination accountable.</w:t>
      </w:r>
    </w:p>
    <w:p w14:paraId="098FF72C" w14:textId="4FC7D152" w:rsidR="00FB3A5C" w:rsidRDefault="00FB3A5C" w:rsidP="00AD37A0">
      <w:pPr>
        <w:pStyle w:val="ListBullet"/>
      </w:pPr>
      <w:r>
        <w:t>Ensure that no civil society organization or human rights defender faces any reprisals for engaging in advocacy with human rights mechanisms of the United Nations, including this Committee.</w:t>
      </w:r>
    </w:p>
    <w:sectPr w:rsidR="00FB3A5C">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50FBF" w14:textId="77777777" w:rsidR="00E74A6A" w:rsidRDefault="00E74A6A">
      <w:pPr>
        <w:spacing w:line="240" w:lineRule="auto"/>
      </w:pPr>
      <w:r>
        <w:separator/>
      </w:r>
    </w:p>
  </w:endnote>
  <w:endnote w:type="continuationSeparator" w:id="0">
    <w:p w14:paraId="033E6A50" w14:textId="77777777" w:rsidR="00E74A6A" w:rsidRDefault="00E74A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sto MT">
    <w:panose1 w:val="02040603050505030304"/>
    <w:charset w:val="00"/>
    <w:family w:val="roman"/>
    <w:pitch w:val="variable"/>
    <w:sig w:usb0="00000003" w:usb1="00000000" w:usb2="00000000" w:usb3="00000000" w:csb0="00000001" w:csb1="00000000"/>
  </w:font>
  <w:font w:name="Adobe Jenson Pro">
    <w:altName w:val="Times New Roman"/>
    <w:panose1 w:val="00000000000000000000"/>
    <w:charset w:val="00"/>
    <w:family w:val="roman"/>
    <w:notTrueType/>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3" w:name="_iDocIDField51d6686d-b2c6-491b-abdb-ae14"/>
  <w:p w14:paraId="1DB09EB1" w14:textId="77777777" w:rsidR="001514F3" w:rsidRDefault="001514F3">
    <w:pPr>
      <w:pStyle w:val="DocID"/>
    </w:pPr>
    <w:r>
      <w:fldChar w:fldCharType="begin"/>
    </w:r>
    <w:r>
      <w:instrText xml:space="preserve">  DOCPROPERTY "CUS_DocIDChunk0" </w:instrText>
    </w:r>
    <w:r>
      <w:fldChar w:fldCharType="separate"/>
    </w:r>
    <w:r>
      <w:rPr>
        <w:noProof/>
      </w:rPr>
      <w:t>167576407.1</w:t>
    </w:r>
    <w:r>
      <w:fldChar w:fldCharType="end"/>
    </w:r>
    <w:bookmarkEnd w:id="3"/>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F1DE8" w14:textId="77777777" w:rsidR="001514F3" w:rsidRDefault="001514F3" w:rsidP="00122C6E">
    <w:pPr>
      <w:pStyle w:val="Footer"/>
    </w:pPr>
    <w:r>
      <w:fldChar w:fldCharType="begin"/>
    </w:r>
    <w:r>
      <w:instrText>PAGE</w:instrText>
    </w:r>
    <w:r>
      <w:fldChar w:fldCharType="separate"/>
    </w:r>
    <w:r>
      <w:t>0</w:t>
    </w:r>
    <w:r>
      <w:fldChar w:fldCharType="end"/>
    </w:r>
  </w:p>
  <w:p w14:paraId="35FB2B8B" w14:textId="44779AEB" w:rsidR="001514F3" w:rsidRDefault="001514F3">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4" w:name="_iDocIDFieldd834fd8f-83a7-4a81-a61d-9523"/>
  <w:p w14:paraId="260C418B" w14:textId="77777777" w:rsidR="00983581" w:rsidRDefault="001514F3" w:rsidP="00983581">
    <w:pPr>
      <w:widowControl w:val="0"/>
      <w:spacing w:line="240" w:lineRule="auto"/>
      <w:jc w:val="center"/>
      <w:rPr>
        <w:rFonts w:ascii="Gill Sans MT" w:hAnsi="Gill Sans MT"/>
        <w:color w:val="333333"/>
      </w:rPr>
    </w:pPr>
    <w:r>
      <w:fldChar w:fldCharType="begin"/>
    </w:r>
    <w:r>
      <w:instrText xml:space="preserve">  DOCPROPERTY "CUS_DocIDChunk0" </w:instrText>
    </w:r>
    <w:r w:rsidR="00000000">
      <w:fldChar w:fldCharType="separate"/>
    </w:r>
    <w:r>
      <w:fldChar w:fldCharType="end"/>
    </w:r>
    <w:bookmarkEnd w:id="4"/>
    <w:r w:rsidR="00983581">
      <w:tab/>
    </w:r>
    <w:r w:rsidR="00983581">
      <w:rPr>
        <w:rFonts w:ascii="Calisto MT" w:hAnsi="Calisto MT"/>
        <w:noProof/>
        <w:color w:val="800080"/>
        <w:sz w:val="26"/>
        <w:szCs w:val="26"/>
      </w:rPr>
      <mc:AlternateContent>
        <mc:Choice Requires="wps">
          <w:drawing>
            <wp:anchor distT="0" distB="0" distL="114300" distR="114300" simplePos="0" relativeHeight="251663360" behindDoc="0" locked="0" layoutInCell="1" allowOverlap="1" wp14:anchorId="59BDD266" wp14:editId="623D7522">
              <wp:simplePos x="0" y="0"/>
              <wp:positionH relativeFrom="column">
                <wp:posOffset>-356235</wp:posOffset>
              </wp:positionH>
              <wp:positionV relativeFrom="paragraph">
                <wp:posOffset>132715</wp:posOffset>
              </wp:positionV>
              <wp:extent cx="6649720" cy="0"/>
              <wp:effectExtent l="5715" t="8890" r="12065" b="10160"/>
              <wp:wrapNone/>
              <wp:docPr id="982375073" name="Straight Connector 9823750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5DAC4" id="Straight Connector 982375073"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F3B38E7" w14:textId="3B4EF728" w:rsidR="00983581" w:rsidRPr="00345B90" w:rsidRDefault="00983581" w:rsidP="00983581">
    <w:pPr>
      <w:widowControl w:val="0"/>
      <w:spacing w:line="240" w:lineRule="auto"/>
      <w:jc w:val="center"/>
      <w:rPr>
        <w:rFonts w:ascii="Adobe Jenson Pro" w:hAnsi="Adobe Jenson Pro"/>
        <w:i/>
        <w:iCs/>
        <w:color w:val="542344"/>
        <w:sz w:val="23"/>
        <w:szCs w:val="23"/>
      </w:rPr>
    </w:pPr>
    <w:r>
      <w:rPr>
        <w:rFonts w:ascii="Gill Sans MT" w:hAnsi="Gill Sans MT"/>
        <w:color w:val="333333"/>
        <w:sz w:val="18"/>
        <w:szCs w:val="18"/>
      </w:rPr>
      <w:t>The Advocates for Human Rights</w:t>
    </w:r>
    <w:r w:rsidRPr="008856D7">
      <w:rPr>
        <w:rFonts w:ascii="Gill Sans MT" w:hAnsi="Gill Sans MT"/>
        <w:color w:val="333333"/>
        <w:sz w:val="18"/>
        <w:szCs w:val="18"/>
      </w:rPr>
      <w:t xml:space="preserve"> </w:t>
    </w:r>
    <w:r w:rsidRPr="008856D7">
      <w:rPr>
        <w:rFonts w:ascii="Verdana" w:hAnsi="Verdana"/>
        <w:color w:val="333333"/>
        <w:sz w:val="18"/>
        <w:szCs w:val="18"/>
      </w:rPr>
      <w:t>•</w:t>
    </w:r>
    <w:r>
      <w:rPr>
        <w:rFonts w:ascii="Gill Sans MT" w:hAnsi="Gill Sans MT"/>
        <w:color w:val="333333"/>
        <w:sz w:val="18"/>
        <w:szCs w:val="18"/>
      </w:rPr>
      <w:t xml:space="preserve"> 330</w:t>
    </w:r>
    <w:r w:rsidRPr="008856D7">
      <w:rPr>
        <w:rFonts w:ascii="Gill Sans MT" w:hAnsi="Gill Sans MT"/>
        <w:color w:val="333333"/>
        <w:sz w:val="18"/>
        <w:szCs w:val="18"/>
      </w:rPr>
      <w:t xml:space="preserve"> </w:t>
    </w:r>
    <w:r>
      <w:rPr>
        <w:rFonts w:ascii="Gill Sans MT" w:hAnsi="Gill Sans MT"/>
        <w:color w:val="333333"/>
        <w:sz w:val="18"/>
        <w:szCs w:val="18"/>
      </w:rPr>
      <w:t>Second</w:t>
    </w:r>
    <w:r w:rsidRPr="008856D7">
      <w:rPr>
        <w:rFonts w:ascii="Gill Sans MT" w:hAnsi="Gill Sans MT"/>
        <w:color w:val="333333"/>
        <w:sz w:val="18"/>
        <w:szCs w:val="18"/>
      </w:rPr>
      <w:t xml:space="preserve"> Avenue South </w:t>
    </w:r>
    <w:r w:rsidRPr="008856D7">
      <w:rPr>
        <w:rFonts w:ascii="Verdana" w:hAnsi="Verdana"/>
        <w:color w:val="333333"/>
        <w:sz w:val="18"/>
        <w:szCs w:val="18"/>
      </w:rPr>
      <w:t>•</w:t>
    </w:r>
    <w:r w:rsidRPr="008856D7">
      <w:rPr>
        <w:rFonts w:ascii="Gill Sans MT" w:hAnsi="Gill Sans MT"/>
        <w:color w:val="333333"/>
        <w:sz w:val="18"/>
        <w:szCs w:val="18"/>
      </w:rPr>
      <w:t xml:space="preserve"> Suite </w:t>
    </w:r>
    <w:r>
      <w:rPr>
        <w:rFonts w:ascii="Gill Sans MT" w:hAnsi="Gill Sans MT"/>
        <w:color w:val="333333"/>
        <w:sz w:val="18"/>
        <w:szCs w:val="18"/>
      </w:rPr>
      <w:t>800</w:t>
    </w:r>
    <w:r w:rsidRPr="008856D7">
      <w:rPr>
        <w:rFonts w:ascii="Gill Sans MT" w:hAnsi="Gill Sans MT"/>
        <w:color w:val="333333"/>
        <w:sz w:val="18"/>
        <w:szCs w:val="18"/>
      </w:rPr>
      <w:t xml:space="preserve"> </w:t>
    </w:r>
    <w:r w:rsidRPr="008856D7">
      <w:rPr>
        <w:rFonts w:ascii="Verdana" w:hAnsi="Verdana"/>
        <w:color w:val="333333"/>
        <w:sz w:val="18"/>
        <w:szCs w:val="18"/>
      </w:rPr>
      <w:t>•</w:t>
    </w:r>
    <w:r w:rsidRPr="008856D7">
      <w:rPr>
        <w:rFonts w:ascii="Gill Sans MT" w:hAnsi="Gill Sans MT"/>
        <w:color w:val="333333"/>
        <w:sz w:val="18"/>
        <w:szCs w:val="18"/>
      </w:rPr>
      <w:t xml:space="preserve"> Minneapolis, MN</w:t>
    </w:r>
    <w:r w:rsidR="00040CDD">
      <w:rPr>
        <w:rFonts w:ascii="Gill Sans MT" w:hAnsi="Gill Sans MT"/>
        <w:color w:val="333333"/>
        <w:sz w:val="18"/>
        <w:szCs w:val="18"/>
      </w:rPr>
      <w:t xml:space="preserve"> </w:t>
    </w:r>
    <w:r w:rsidRPr="008856D7">
      <w:rPr>
        <w:rFonts w:ascii="Gill Sans MT" w:hAnsi="Gill Sans MT"/>
        <w:color w:val="333333"/>
        <w:sz w:val="18"/>
        <w:szCs w:val="18"/>
      </w:rPr>
      <w:t>5540</w:t>
    </w:r>
    <w:r>
      <w:rPr>
        <w:rFonts w:ascii="Gill Sans MT" w:hAnsi="Gill Sans MT"/>
        <w:color w:val="333333"/>
        <w:sz w:val="18"/>
        <w:szCs w:val="18"/>
      </w:rPr>
      <w:t>1</w:t>
    </w:r>
    <w:r w:rsidRPr="008856D7">
      <w:rPr>
        <w:rFonts w:ascii="Gill Sans MT" w:hAnsi="Gill Sans MT"/>
        <w:color w:val="333333"/>
        <w:sz w:val="18"/>
        <w:szCs w:val="18"/>
      </w:rPr>
      <w:t xml:space="preserve"> </w:t>
    </w:r>
    <w:r w:rsidRPr="008856D7">
      <w:rPr>
        <w:rFonts w:ascii="Verdana" w:hAnsi="Verdana"/>
        <w:color w:val="333333"/>
        <w:sz w:val="18"/>
        <w:szCs w:val="18"/>
      </w:rPr>
      <w:t>•</w:t>
    </w:r>
    <w:r w:rsidRPr="008856D7">
      <w:rPr>
        <w:rFonts w:ascii="Gill Sans MT" w:hAnsi="Gill Sans MT"/>
        <w:color w:val="333333"/>
        <w:sz w:val="18"/>
        <w:szCs w:val="18"/>
      </w:rPr>
      <w:t xml:space="preserve"> USA </w:t>
    </w:r>
  </w:p>
  <w:p w14:paraId="5E02D3BA" w14:textId="085C86A2" w:rsidR="00983581" w:rsidRPr="00ED291B" w:rsidRDefault="00983581" w:rsidP="00983581">
    <w:pPr>
      <w:widowControl w:val="0"/>
      <w:spacing w:line="240" w:lineRule="auto"/>
      <w:jc w:val="center"/>
      <w:rPr>
        <w:rFonts w:ascii="Gill Sans MT" w:hAnsi="Gill Sans MT"/>
        <w:color w:val="333333"/>
        <w:sz w:val="18"/>
        <w:szCs w:val="18"/>
      </w:rPr>
    </w:pPr>
    <w:r w:rsidRPr="008856D7">
      <w:rPr>
        <w:rFonts w:ascii="Gill Sans MT" w:hAnsi="Gill Sans MT"/>
        <w:color w:val="333333"/>
        <w:sz w:val="18"/>
        <w:szCs w:val="18"/>
      </w:rPr>
      <w:t>Tel</w:t>
    </w:r>
    <w:r>
      <w:rPr>
        <w:rFonts w:ascii="Gill Sans MT" w:hAnsi="Gill Sans MT"/>
        <w:color w:val="333333"/>
        <w:sz w:val="18"/>
        <w:szCs w:val="18"/>
      </w:rPr>
      <w:t>:</w:t>
    </w:r>
    <w:r w:rsidR="00040CDD">
      <w:rPr>
        <w:rFonts w:ascii="Gill Sans MT" w:hAnsi="Gill Sans MT"/>
        <w:color w:val="333333"/>
        <w:sz w:val="18"/>
        <w:szCs w:val="18"/>
      </w:rPr>
      <w:t xml:space="preserve"> </w:t>
    </w:r>
    <w:r>
      <w:rPr>
        <w:rFonts w:ascii="Gill Sans MT" w:hAnsi="Gill Sans MT"/>
        <w:color w:val="333333"/>
        <w:sz w:val="18"/>
        <w:szCs w:val="18"/>
      </w:rPr>
      <w:t>612-341-3302</w:t>
    </w:r>
    <w:r w:rsidRPr="008856D7">
      <w:rPr>
        <w:rFonts w:ascii="Gill Sans MT" w:hAnsi="Gill Sans MT"/>
        <w:color w:val="333333"/>
        <w:sz w:val="18"/>
        <w:szCs w:val="18"/>
      </w:rPr>
      <w:t xml:space="preserve"> </w:t>
    </w:r>
    <w:r w:rsidRPr="008856D7">
      <w:rPr>
        <w:rFonts w:ascii="Verdana" w:hAnsi="Verdana"/>
        <w:color w:val="333333"/>
        <w:sz w:val="18"/>
        <w:szCs w:val="18"/>
      </w:rPr>
      <w:t>•</w:t>
    </w:r>
    <w:r>
      <w:rPr>
        <w:rFonts w:ascii="Gill Sans MT" w:hAnsi="Gill Sans MT"/>
        <w:color w:val="333333"/>
        <w:sz w:val="18"/>
        <w:szCs w:val="18"/>
      </w:rPr>
      <w:t xml:space="preserve"> Fax:</w:t>
    </w:r>
    <w:r w:rsidR="00040CDD">
      <w:rPr>
        <w:rFonts w:ascii="Gill Sans MT" w:hAnsi="Gill Sans MT"/>
        <w:color w:val="333333"/>
        <w:sz w:val="18"/>
        <w:szCs w:val="18"/>
      </w:rPr>
      <w:t xml:space="preserve"> </w:t>
    </w:r>
    <w:r>
      <w:rPr>
        <w:rFonts w:ascii="Gill Sans MT" w:hAnsi="Gill Sans MT"/>
        <w:color w:val="333333"/>
        <w:sz w:val="18"/>
        <w:szCs w:val="18"/>
      </w:rPr>
      <w:t>612-341-</w:t>
    </w:r>
    <w:r w:rsidRPr="008856D7">
      <w:rPr>
        <w:rFonts w:ascii="Gill Sans MT" w:hAnsi="Gill Sans MT"/>
        <w:color w:val="333333"/>
        <w:sz w:val="18"/>
        <w:szCs w:val="18"/>
      </w:rPr>
      <w:t xml:space="preserve">2971 </w:t>
    </w:r>
    <w:r w:rsidRPr="008856D7">
      <w:rPr>
        <w:rFonts w:ascii="Verdana" w:hAnsi="Verdana"/>
        <w:color w:val="333333"/>
        <w:sz w:val="18"/>
        <w:szCs w:val="18"/>
      </w:rPr>
      <w:t>•</w:t>
    </w:r>
    <w:r>
      <w:rPr>
        <w:rFonts w:ascii="Gill Sans MT" w:hAnsi="Gill Sans MT"/>
        <w:color w:val="333333"/>
        <w:sz w:val="18"/>
        <w:szCs w:val="18"/>
      </w:rPr>
      <w:t xml:space="preserve"> Email: hrights@advrights.org</w:t>
    </w:r>
    <w:r w:rsidRPr="008856D7">
      <w:rPr>
        <w:rFonts w:ascii="Gill Sans MT" w:hAnsi="Gill Sans MT"/>
        <w:color w:val="333333"/>
        <w:sz w:val="18"/>
        <w:szCs w:val="18"/>
      </w:rPr>
      <w:t xml:space="preserve"> </w:t>
    </w:r>
    <w:r w:rsidRPr="008856D7">
      <w:rPr>
        <w:rFonts w:ascii="Verdana" w:hAnsi="Verdana"/>
        <w:color w:val="333333"/>
        <w:sz w:val="18"/>
        <w:szCs w:val="18"/>
      </w:rPr>
      <w:t>•</w:t>
    </w:r>
    <w:r>
      <w:rPr>
        <w:rFonts w:ascii="Gill Sans MT" w:hAnsi="Gill Sans MT"/>
        <w:color w:val="333333"/>
        <w:sz w:val="18"/>
        <w:szCs w:val="18"/>
      </w:rPr>
      <w:t xml:space="preserve"> www.TheAdvocatesForHumanR</w:t>
    </w:r>
    <w:r w:rsidRPr="008856D7">
      <w:rPr>
        <w:rFonts w:ascii="Gill Sans MT" w:hAnsi="Gill Sans MT"/>
        <w:color w:val="333333"/>
        <w:sz w:val="18"/>
        <w:szCs w:val="18"/>
      </w:rPr>
      <w:t xml:space="preserve">ights.org </w:t>
    </w:r>
  </w:p>
  <w:p w14:paraId="5F7FC2D7" w14:textId="2D81704C" w:rsidR="001514F3" w:rsidRPr="00983581" w:rsidRDefault="001514F3" w:rsidP="00983581">
    <w:pPr>
      <w:pStyle w:val="DocID"/>
      <w:tabs>
        <w:tab w:val="left" w:pos="3825"/>
      </w:tabs>
      <w:rPr>
        <w:lang w:val="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AF688" w14:textId="77777777" w:rsidR="00E74A6A" w:rsidRDefault="00E74A6A">
      <w:pPr>
        <w:spacing w:line="240" w:lineRule="auto"/>
      </w:pPr>
      <w:r>
        <w:separator/>
      </w:r>
    </w:p>
  </w:footnote>
  <w:footnote w:type="continuationSeparator" w:id="0">
    <w:p w14:paraId="24DDD781" w14:textId="77777777" w:rsidR="00E74A6A" w:rsidRDefault="00E74A6A">
      <w:pPr>
        <w:spacing w:line="240" w:lineRule="auto"/>
      </w:pPr>
      <w:r>
        <w:continuationSeparator/>
      </w:r>
    </w:p>
  </w:footnote>
  <w:footnote w:id="1">
    <w:p w14:paraId="324AAA56" w14:textId="6C2EF6C3" w:rsidR="00B60372" w:rsidRDefault="00CF0615">
      <w:pPr>
        <w:pStyle w:val="FootnoteText"/>
      </w:pPr>
      <w:r>
        <w:rPr>
          <w:rStyle w:val="FootnoteReference"/>
        </w:rPr>
        <w:footnoteRef/>
      </w:r>
      <w:r>
        <w:t xml:space="preserve"> </w:t>
      </w:r>
      <w:bookmarkStart w:id="0" w:name="_Hlk167801790"/>
      <w:r>
        <w:t xml:space="preserve">Human Rights Committee, List of issues prior to the submission of the second periodic report of Maldives, (Feb. 2, 2021), U.N. Doc. CCPR/C/MDV/QPR/2, ¶ </w:t>
      </w:r>
      <w:r w:rsidR="00A90D65">
        <w:t>13</w:t>
      </w:r>
      <w:r>
        <w:t>.</w:t>
      </w:r>
      <w:bookmarkEnd w:id="0"/>
    </w:p>
  </w:footnote>
  <w:footnote w:id="2">
    <w:p w14:paraId="75757544" w14:textId="62DCE3D0" w:rsidR="00B60372" w:rsidRDefault="00CF0615">
      <w:pPr>
        <w:pStyle w:val="FootnoteText"/>
        <w:rPr>
          <w:lang w:val="en-US"/>
        </w:rPr>
      </w:pPr>
      <w:r>
        <w:rPr>
          <w:rStyle w:val="FootnoteReference"/>
        </w:rPr>
        <w:footnoteRef/>
      </w:r>
      <w:r>
        <w:t xml:space="preserve"> </w:t>
      </w:r>
      <w:r>
        <w:rPr>
          <w:rFonts w:eastAsia="Times New Roman" w:cs="Times New Roman"/>
        </w:rPr>
        <w:t xml:space="preserve">Human Rights Committee, </w:t>
      </w:r>
      <w:proofErr w:type="gramStart"/>
      <w:r>
        <w:rPr>
          <w:rFonts w:eastAsia="Times New Roman" w:cs="Times New Roman"/>
          <w:i/>
        </w:rPr>
        <w:t>Second</w:t>
      </w:r>
      <w:proofErr w:type="gramEnd"/>
      <w:r>
        <w:rPr>
          <w:rFonts w:eastAsia="Times New Roman" w:cs="Times New Roman"/>
          <w:i/>
        </w:rPr>
        <w:t xml:space="preserve"> periodic report submitted by Maldives under article 40 of the Convention</w:t>
      </w:r>
      <w:r>
        <w:rPr>
          <w:rFonts w:eastAsia="Times New Roman" w:cs="Times New Roman"/>
        </w:rPr>
        <w:t xml:space="preserve"> </w:t>
      </w:r>
      <w:r>
        <w:rPr>
          <w:rFonts w:eastAsia="Times New Roman" w:cs="Times New Roman"/>
          <w:i/>
          <w:iCs/>
        </w:rPr>
        <w:t>pursuant to the optional reporting procedure, due in 2021</w:t>
      </w:r>
      <w:r>
        <w:rPr>
          <w:rFonts w:eastAsia="Times New Roman" w:cs="Times New Roman"/>
        </w:rPr>
        <w:t xml:space="preserve">, (Dec. 7, 2022), U.N. Doc. CCPR/C/MDV/2, ¶ </w:t>
      </w:r>
      <w:r w:rsidR="00702D0A">
        <w:rPr>
          <w:rFonts w:eastAsia="Times New Roman" w:cs="Times New Roman"/>
        </w:rPr>
        <w:t>117</w:t>
      </w:r>
      <w:r>
        <w:rPr>
          <w:rFonts w:eastAsia="Times New Roman" w:cs="Times New Roman"/>
        </w:rPr>
        <w:t>.</w:t>
      </w:r>
    </w:p>
  </w:footnote>
  <w:footnote w:id="3">
    <w:p w14:paraId="3620A23F" w14:textId="77777777" w:rsidR="00B60372" w:rsidRDefault="00CF0615">
      <w:pPr>
        <w:pStyle w:val="FootnoteText"/>
        <w:rPr>
          <w:rFonts w:cs="Times New Roman"/>
          <w:lang w:val="en-US"/>
        </w:rPr>
      </w:pPr>
      <w:r>
        <w:rPr>
          <w:rStyle w:val="FootnoteReference"/>
          <w:rFonts w:cs="Times New Roman"/>
        </w:rPr>
        <w:footnoteRef/>
      </w:r>
      <w:r>
        <w:rPr>
          <w:rFonts w:cs="Times New Roman"/>
        </w:rPr>
        <w:t xml:space="preserve"> Act No.: 2/2010 (Clemency Act). Accessible at: https://www.drugcourt.gov.mv/DCOLDBACKUP/documents/laws/CB.pdf</w:t>
      </w:r>
    </w:p>
  </w:footnote>
  <w:footnote w:id="4">
    <w:p w14:paraId="7B3CDE4D" w14:textId="46BE12DE" w:rsidR="006F0A94" w:rsidRPr="001514F3" w:rsidRDefault="006F0A94">
      <w:pPr>
        <w:pStyle w:val="FootnoteText"/>
        <w:rPr>
          <w:lang w:val="en-US"/>
        </w:rPr>
      </w:pPr>
      <w:r>
        <w:rPr>
          <w:rStyle w:val="FootnoteReference"/>
        </w:rPr>
        <w:footnoteRef/>
      </w:r>
      <w:r>
        <w:t xml:space="preserve"> Maldives Independent, </w:t>
      </w:r>
      <w:r>
        <w:rPr>
          <w:i/>
          <w:iCs/>
        </w:rPr>
        <w:t>Maldives death penalty delays will be resolved by October 8</w:t>
      </w:r>
      <w:r>
        <w:t>, Oct. 4, 2017, https://maldivesindependent.com/politics/maldives-death-penalty-delays-will-be-resolved-by-october-8-132897.</w:t>
      </w:r>
    </w:p>
  </w:footnote>
  <w:footnote w:id="5">
    <w:p w14:paraId="1CFD1E22" w14:textId="77777777" w:rsidR="00B60372" w:rsidRDefault="00CF0615">
      <w:pPr>
        <w:pStyle w:val="FootnoteText"/>
        <w:rPr>
          <w:lang w:val="en-US"/>
        </w:rPr>
      </w:pPr>
      <w:r>
        <w:rPr>
          <w:rStyle w:val="FootnoteReference"/>
          <w:rFonts w:cs="Times New Roman"/>
        </w:rPr>
        <w:footnoteRef/>
      </w:r>
      <w:r>
        <w:rPr>
          <w:rFonts w:cs="Times New Roman"/>
        </w:rPr>
        <w:t xml:space="preserve"> Human Rights Watch, “Maldives: Reverse Plans to Reinstate Death Penalty”, accessed May 23, 2024, https://www.hrw.org/news/2023/12/21/maldives-reverse-plans-reinstate-death-penalty</w:t>
      </w:r>
      <w:r>
        <w:t xml:space="preserve"> </w:t>
      </w:r>
    </w:p>
  </w:footnote>
  <w:footnote w:id="6">
    <w:p w14:paraId="486D3886" w14:textId="77777777" w:rsidR="000F629E" w:rsidRDefault="000F629E" w:rsidP="000F629E">
      <w:pPr>
        <w:pStyle w:val="FootnoteText"/>
        <w:rPr>
          <w:rFonts w:eastAsia="Times New Roman" w:cs="Times New Roman"/>
          <w:color w:val="000000"/>
          <w:kern w:val="28"/>
          <w:lang w:val="en-US"/>
        </w:rPr>
      </w:pPr>
      <w:r>
        <w:rPr>
          <w:rStyle w:val="FootnoteReference"/>
        </w:rPr>
        <w:footnoteRef/>
      </w:r>
      <w:r>
        <w:t xml:space="preserve"> </w:t>
      </w:r>
      <w:proofErr w:type="spellStart"/>
      <w:r>
        <w:rPr>
          <w:rFonts w:eastAsia="Times New Roman" w:cs="Times New Roman"/>
          <w:color w:val="000000"/>
          <w:kern w:val="28"/>
          <w:lang w:val="en-US"/>
        </w:rPr>
        <w:t>Muizzu</w:t>
      </w:r>
      <w:proofErr w:type="spellEnd"/>
      <w:r>
        <w:rPr>
          <w:rFonts w:eastAsia="Times New Roman" w:cs="Times New Roman"/>
          <w:color w:val="000000"/>
          <w:kern w:val="28"/>
          <w:lang w:val="en-US"/>
        </w:rPr>
        <w:t xml:space="preserve"> Ibrahim, “Maldives to use lethal injection for execution,” </w:t>
      </w:r>
      <w:proofErr w:type="spellStart"/>
      <w:r>
        <w:rPr>
          <w:rFonts w:eastAsia="Times New Roman" w:cs="Times New Roman"/>
          <w:color w:val="000000"/>
          <w:kern w:val="28"/>
          <w:lang w:val="en-US"/>
        </w:rPr>
        <w:t>Haveeru</w:t>
      </w:r>
      <w:proofErr w:type="spellEnd"/>
      <w:r>
        <w:rPr>
          <w:rFonts w:eastAsia="Times New Roman" w:cs="Times New Roman"/>
          <w:color w:val="000000"/>
          <w:kern w:val="28"/>
          <w:lang w:val="en-US"/>
        </w:rPr>
        <w:t>, Jan. 23, 2014, http://www.haveeru.com.mv/news/53390.</w:t>
      </w:r>
    </w:p>
  </w:footnote>
  <w:footnote w:id="7">
    <w:p w14:paraId="211E3DAE" w14:textId="77777777" w:rsidR="000F629E" w:rsidRDefault="000F629E" w:rsidP="000F629E">
      <w:pPr>
        <w:pStyle w:val="FootnoteText"/>
        <w:rPr>
          <w:rFonts w:eastAsia="Times New Roman" w:cs="Times New Roman"/>
          <w:color w:val="000000"/>
          <w:kern w:val="28"/>
          <w:lang w:val="en-US"/>
        </w:rPr>
      </w:pPr>
      <w:r>
        <w:rPr>
          <w:rStyle w:val="FootnoteReference"/>
        </w:rPr>
        <w:footnoteRef/>
      </w:r>
      <w:r>
        <w:t xml:space="preserve"> </w:t>
      </w:r>
      <w:r>
        <w:rPr>
          <w:rFonts w:eastAsia="Times New Roman" w:cs="Times New Roman"/>
          <w:color w:val="000000"/>
          <w:kern w:val="28"/>
          <w:lang w:val="en-US"/>
        </w:rPr>
        <w:t>Amnesty International, Maldives: Halt Plans to Carry Out First Execution in More than Six Decades, ASA 29/4364/2016, June 30, 2016.</w:t>
      </w:r>
    </w:p>
  </w:footnote>
  <w:footnote w:id="8">
    <w:p w14:paraId="06E2B165" w14:textId="4F1C89D0" w:rsidR="00B60372" w:rsidRDefault="00CF0615">
      <w:pPr>
        <w:pStyle w:val="FootnoteText"/>
        <w:rPr>
          <w:lang w:val="en-US"/>
        </w:rPr>
      </w:pPr>
      <w:r>
        <w:rPr>
          <w:rStyle w:val="FootnoteReference"/>
        </w:rPr>
        <w:footnoteRef/>
      </w:r>
      <w:r>
        <w:t xml:space="preserve"> Amnesty International, </w:t>
      </w:r>
      <w:r>
        <w:rPr>
          <w:i/>
          <w:iCs/>
        </w:rPr>
        <w:t>Death sentences and executions 2022</w:t>
      </w:r>
      <w:r>
        <w:t>, ACT 50/6548/2023, 2023, also available online at: https://www.amnesty.org/en/documents/act50/6548/2023/en/]</w:t>
      </w:r>
    </w:p>
  </w:footnote>
  <w:footnote w:id="9">
    <w:p w14:paraId="282ACCA3" w14:textId="4B470DA1" w:rsidR="00193A8E" w:rsidRPr="00193A8E" w:rsidRDefault="00193A8E">
      <w:pPr>
        <w:pStyle w:val="FootnoteText"/>
      </w:pPr>
      <w:r>
        <w:rPr>
          <w:rStyle w:val="FootnoteReference"/>
        </w:rPr>
        <w:footnoteRef/>
      </w:r>
      <w:r>
        <w:t xml:space="preserve"> Amnesty International, </w:t>
      </w:r>
      <w:r>
        <w:rPr>
          <w:i/>
          <w:iCs/>
        </w:rPr>
        <w:t xml:space="preserve">Death sentences and executions 2023 </w:t>
      </w:r>
      <w:r>
        <w:t>(2024),</w:t>
      </w:r>
      <w:r w:rsidR="004C6245">
        <w:t xml:space="preserve"> at </w:t>
      </w:r>
      <w:r w:rsidR="00CF017E">
        <w:t>21,</w:t>
      </w:r>
      <w:r>
        <w:t xml:space="preserve"> </w:t>
      </w:r>
      <w:r w:rsidR="003D1247" w:rsidRPr="003D1247">
        <w:t>https://www.amnesty.org/en/documents/act50/7952/2024/en/</w:t>
      </w:r>
      <w:r w:rsidR="00BD45CD">
        <w:t>.</w:t>
      </w:r>
      <w:r>
        <w:t xml:space="preserve"> </w:t>
      </w:r>
    </w:p>
  </w:footnote>
  <w:footnote w:id="10">
    <w:p w14:paraId="79AF72F2" w14:textId="00783C8F" w:rsidR="004C6245" w:rsidRPr="004C6245" w:rsidRDefault="004C6245">
      <w:pPr>
        <w:pStyle w:val="FootnoteText"/>
      </w:pPr>
      <w:r>
        <w:rPr>
          <w:rStyle w:val="FootnoteReference"/>
        </w:rPr>
        <w:footnoteRef/>
      </w:r>
      <w:r>
        <w:t xml:space="preserve"> </w:t>
      </w:r>
      <w:r>
        <w:rPr>
          <w:i/>
          <w:iCs/>
        </w:rPr>
        <w:t>Id.</w:t>
      </w:r>
      <w:r>
        <w:t xml:space="preserve"> at 25.</w:t>
      </w:r>
    </w:p>
  </w:footnote>
  <w:footnote w:id="11">
    <w:p w14:paraId="167829CA" w14:textId="55F097DB" w:rsidR="00A07E5E" w:rsidRPr="00A07E5E" w:rsidRDefault="00A07E5E">
      <w:pPr>
        <w:pStyle w:val="FootnoteText"/>
      </w:pPr>
      <w:r>
        <w:rPr>
          <w:rStyle w:val="FootnoteReference"/>
        </w:rPr>
        <w:footnoteRef/>
      </w:r>
      <w:r>
        <w:t xml:space="preserve"> </w:t>
      </w:r>
      <w:r>
        <w:rPr>
          <w:i/>
          <w:iCs/>
        </w:rPr>
        <w:t>Id.</w:t>
      </w:r>
      <w:r>
        <w:t xml:space="preserve"> at 13.</w:t>
      </w:r>
    </w:p>
  </w:footnote>
  <w:footnote w:id="12">
    <w:p w14:paraId="77E7C4FA" w14:textId="77777777" w:rsidR="002C58C2" w:rsidRDefault="002C58C2" w:rsidP="002C58C2">
      <w:pPr>
        <w:pStyle w:val="FootnoteText"/>
      </w:pPr>
      <w:r>
        <w:rPr>
          <w:rStyle w:val="FootnoteReference"/>
          <w:rFonts w:cs="Times New Roman"/>
        </w:rPr>
        <w:footnoteRef/>
      </w:r>
      <w:r>
        <w:rPr>
          <w:rFonts w:cs="Times New Roman"/>
        </w:rPr>
        <w:t xml:space="preserve"> Cornell Center on the Death Penalty Worldwide, </w:t>
      </w:r>
      <w:r>
        <w:rPr>
          <w:rFonts w:cs="Times New Roman"/>
          <w:i/>
          <w:iCs/>
        </w:rPr>
        <w:t xml:space="preserve">Judged for More Than Her Crime: A Global Overview of Women Facing the Death Penalty </w:t>
      </w:r>
      <w:r>
        <w:rPr>
          <w:rFonts w:cs="Times New Roman"/>
        </w:rPr>
        <w:t>(Sept. 2018), at 8, https://www.deathpenaltyworldwide.org/wp-content/uploads/2019/12/Judged-More-Than-Her-Crime.pdf.</w:t>
      </w:r>
      <w:r>
        <w:t xml:space="preserve"> </w:t>
      </w:r>
    </w:p>
  </w:footnote>
  <w:footnote w:id="13">
    <w:p w14:paraId="36E9F069" w14:textId="77777777" w:rsidR="00374AD4" w:rsidRDefault="00374AD4" w:rsidP="00374AD4">
      <w:pPr>
        <w:pStyle w:val="FootnoteText"/>
        <w:rPr>
          <w:rFonts w:cs="Times New Roman"/>
        </w:rPr>
      </w:pPr>
      <w:r>
        <w:rPr>
          <w:rStyle w:val="FootnoteReference"/>
          <w:rFonts w:cs="Times New Roman"/>
        </w:rPr>
        <w:footnoteRef/>
      </w:r>
      <w:r>
        <w:rPr>
          <w:rFonts w:cs="Times New Roman"/>
        </w:rPr>
        <w:t xml:space="preserve"> Maldives Independent.</w:t>
      </w:r>
      <w:r>
        <w:rPr>
          <w:rFonts w:cs="Times New Roman"/>
          <w:i/>
          <w:iCs/>
        </w:rPr>
        <w:t xml:space="preserve"> Court Upholds Sentence for Murder Accomplice.</w:t>
      </w:r>
      <w:r>
        <w:rPr>
          <w:rFonts w:cs="Times New Roman"/>
        </w:rPr>
        <w:t xml:space="preserve"> Maldives Independent. 10 May 2016, https://maldivesindependent.com/crime-2/court-upholds-death-sentence-for-murder-accomplice-124155.</w:t>
      </w:r>
    </w:p>
  </w:footnote>
  <w:footnote w:id="14">
    <w:p w14:paraId="47B8AF0E" w14:textId="77777777" w:rsidR="00374AD4" w:rsidRDefault="00374AD4" w:rsidP="00374AD4">
      <w:pPr>
        <w:pStyle w:val="FootnoteText"/>
        <w:rPr>
          <w:rFonts w:cs="Times New Roman"/>
        </w:rPr>
      </w:pPr>
      <w:r>
        <w:rPr>
          <w:rStyle w:val="FootnoteReference"/>
          <w:rFonts w:cs="Times New Roman"/>
        </w:rPr>
        <w:footnoteRef/>
      </w:r>
      <w:r>
        <w:rPr>
          <w:rFonts w:cs="Times New Roman"/>
        </w:rPr>
        <w:t xml:space="preserve"> International Commission Against the Death Penalty, The death penalty and the “most serious crimes” (Jan. 2013) 7, http://www.icomdp.org/cms/wp-content/uploads/2013/02/Most-serious-crimes_final_6Feb2013.pdf.</w:t>
      </w:r>
    </w:p>
  </w:footnote>
  <w:footnote w:id="15">
    <w:p w14:paraId="13208DCC" w14:textId="77777777" w:rsidR="00374AD4" w:rsidRDefault="00374AD4" w:rsidP="00374AD4">
      <w:pPr>
        <w:pStyle w:val="FootnoteText"/>
      </w:pPr>
      <w:r>
        <w:rPr>
          <w:rStyle w:val="FootnoteReference"/>
          <w:rFonts w:cs="Times New Roman"/>
        </w:rPr>
        <w:footnoteRef/>
      </w:r>
      <w:r>
        <w:rPr>
          <w:rFonts w:cs="Times New Roman"/>
        </w:rPr>
        <w:t xml:space="preserve"> When the State Kills, email to DPW, DPW Maldives Doc. E-1, May 25, 2014. Maldives teenager could face death penalty, Aljazeera, May 23, 2014, http://www.aljazeera.com/news/asia/2014/05/maldives-teenager-could-facedeath-penalty-201452345910586561.html.</w:t>
      </w:r>
    </w:p>
  </w:footnote>
  <w:footnote w:id="16">
    <w:p w14:paraId="62EC7930" w14:textId="77777777" w:rsidR="00374AD4" w:rsidRDefault="00374AD4" w:rsidP="00374AD4">
      <w:pPr>
        <w:pStyle w:val="FootnoteText"/>
        <w:rPr>
          <w:rFonts w:cs="Times New Roman"/>
        </w:rPr>
      </w:pPr>
      <w:r>
        <w:rPr>
          <w:rStyle w:val="FootnoteReference"/>
          <w:rFonts w:cs="Times New Roman"/>
        </w:rPr>
        <w:footnoteRef/>
      </w:r>
      <w:r>
        <w:rPr>
          <w:rFonts w:cs="Times New Roman"/>
        </w:rPr>
        <w:t xml:space="preserve"> Ahmed Rilwan, “Death penalty can be implemented starting today: Home Minister, Minivan News,” Minivan News, Apr. 27, 2014, http://minivannews.com/politics/death-penalty-can-be-implemented-starting-today-homeminister-83666. </w:t>
      </w:r>
    </w:p>
  </w:footnote>
  <w:footnote w:id="17">
    <w:p w14:paraId="24F21B7A" w14:textId="77777777" w:rsidR="00374AD4" w:rsidRDefault="00374AD4" w:rsidP="00374AD4">
      <w:pPr>
        <w:pStyle w:val="FootnoteText"/>
        <w:rPr>
          <w:rFonts w:cs="Times New Roman"/>
        </w:rPr>
      </w:pPr>
      <w:r>
        <w:rPr>
          <w:rStyle w:val="FootnoteReference"/>
          <w:rFonts w:cs="Times New Roman"/>
        </w:rPr>
        <w:footnoteRef/>
      </w:r>
      <w:r>
        <w:rPr>
          <w:rFonts w:cs="Times New Roman"/>
        </w:rPr>
        <w:t xml:space="preserve"> </w:t>
      </w:r>
      <w:r>
        <w:rPr>
          <w:rFonts w:cs="Times New Roman"/>
          <w:i/>
          <w:iCs/>
        </w:rPr>
        <w:t>Judged for More Than Her Crime: A Global Overview of Women Facing the Death Penalty</w:t>
      </w:r>
      <w:r>
        <w:rPr>
          <w:rFonts w:cs="Times New Roman"/>
        </w:rPr>
        <w:t>, Cornell Center on the Death Penalty Worldwide, Sept. 2018, at 6, https://www.deathpenaltyworldwide.org/wp-content/uploads/2019/12/Judged-More-Than-Her-Crime.pdf.</w:t>
      </w:r>
    </w:p>
  </w:footnote>
  <w:footnote w:id="18">
    <w:p w14:paraId="41BC1814" w14:textId="744A8BD1" w:rsidR="00B60372" w:rsidRDefault="00CF0615">
      <w:pPr>
        <w:pStyle w:val="FootnoteText"/>
        <w:rPr>
          <w:rFonts w:eastAsia="Times New Roman" w:cs="Times New Roman"/>
          <w:color w:val="000000"/>
          <w:kern w:val="28"/>
          <w:lang w:val="en-US"/>
        </w:rPr>
      </w:pPr>
      <w:r>
        <w:rPr>
          <w:rStyle w:val="FootnoteReference"/>
        </w:rPr>
        <w:footnoteRef/>
      </w:r>
      <w:r>
        <w:t xml:space="preserve"> </w:t>
      </w:r>
      <w:r w:rsidR="00A90D65">
        <w:t>Human Rights Committee, List of issues prior to the submission of the second periodic report of Maldives, (Feb. 2, 2021), U.N. Doc. CCPR/C/MDV/QPR/2, ¶ [13].</w:t>
      </w:r>
    </w:p>
  </w:footnote>
  <w:footnote w:id="19">
    <w:p w14:paraId="055BAC27" w14:textId="142C634B" w:rsidR="00BD3C95" w:rsidRPr="00BD3C95" w:rsidRDefault="00BD3C95">
      <w:pPr>
        <w:pStyle w:val="FootnoteText"/>
      </w:pPr>
      <w:r>
        <w:rPr>
          <w:rStyle w:val="FootnoteReference"/>
        </w:rPr>
        <w:footnoteRef/>
      </w:r>
      <w:r>
        <w:t xml:space="preserve"> </w:t>
      </w:r>
      <w:r>
        <w:rPr>
          <w:rFonts w:eastAsia="Times New Roman" w:cs="Times New Roman"/>
        </w:rPr>
        <w:t xml:space="preserve">Human Rights Committee, </w:t>
      </w:r>
      <w:proofErr w:type="gramStart"/>
      <w:r>
        <w:rPr>
          <w:rFonts w:eastAsia="Times New Roman" w:cs="Times New Roman"/>
          <w:i/>
        </w:rPr>
        <w:t>Second</w:t>
      </w:r>
      <w:proofErr w:type="gramEnd"/>
      <w:r>
        <w:rPr>
          <w:rFonts w:eastAsia="Times New Roman" w:cs="Times New Roman"/>
          <w:i/>
        </w:rPr>
        <w:t xml:space="preserve"> periodic report submitted by Maldives under article 40 of the Convention</w:t>
      </w:r>
      <w:r>
        <w:rPr>
          <w:rFonts w:eastAsia="Times New Roman" w:cs="Times New Roman"/>
        </w:rPr>
        <w:t xml:space="preserve"> </w:t>
      </w:r>
      <w:r>
        <w:rPr>
          <w:rFonts w:eastAsia="Times New Roman" w:cs="Times New Roman"/>
          <w:i/>
          <w:iCs/>
        </w:rPr>
        <w:t>pursuant to the optional reporting procedure, due in 2021</w:t>
      </w:r>
      <w:r>
        <w:rPr>
          <w:rFonts w:eastAsia="Times New Roman" w:cs="Times New Roman"/>
        </w:rPr>
        <w:t>, (Dec. 7, 2022), U.N. Doc. CCPR/C/MDV/2, ¶</w:t>
      </w:r>
      <w:r w:rsidR="00515AF6">
        <w:rPr>
          <w:rFonts w:eastAsia="Times New Roman" w:cs="Times New Roman"/>
        </w:rPr>
        <w:t> </w:t>
      </w:r>
      <w:r>
        <w:rPr>
          <w:rFonts w:eastAsia="Times New Roman" w:cs="Times New Roman"/>
        </w:rPr>
        <w:t>117.</w:t>
      </w:r>
    </w:p>
  </w:footnote>
  <w:footnote w:id="20">
    <w:p w14:paraId="3E9CCA9D" w14:textId="60A71627" w:rsidR="00E40C3D" w:rsidRDefault="00E40C3D" w:rsidP="00E40C3D">
      <w:pPr>
        <w:pStyle w:val="FootnoteText"/>
        <w:rPr>
          <w:rFonts w:eastAsia="Times New Roman" w:cs="Times New Roman"/>
          <w:lang w:val="en-US"/>
        </w:rPr>
      </w:pPr>
      <w:r>
        <w:rPr>
          <w:rStyle w:val="FootnoteReference"/>
        </w:rPr>
        <w:footnoteRef/>
      </w:r>
      <w:r>
        <w:t xml:space="preserve"> </w:t>
      </w:r>
      <w:r w:rsidR="001262F0">
        <w:rPr>
          <w:i/>
          <w:iCs/>
        </w:rPr>
        <w:t>See, e.g.</w:t>
      </w:r>
      <w:r w:rsidR="001262F0">
        <w:t>,</w:t>
      </w:r>
      <w:r w:rsidR="00534D94">
        <w:t xml:space="preserve"> </w:t>
      </w:r>
      <w:r w:rsidR="00534D94">
        <w:rPr>
          <w:rFonts w:eastAsia="Times New Roman" w:cs="Times New Roman"/>
          <w:i/>
          <w:iCs/>
          <w:color w:val="000000"/>
          <w:kern w:val="28"/>
          <w:lang w:val="en-US"/>
        </w:rPr>
        <w:t xml:space="preserve">Maldives: </w:t>
      </w:r>
      <w:proofErr w:type="spellStart"/>
      <w:r w:rsidR="00534D94">
        <w:rPr>
          <w:rFonts w:eastAsia="Times New Roman" w:cs="Times New Roman"/>
          <w:i/>
          <w:iCs/>
          <w:color w:val="000000"/>
          <w:kern w:val="28"/>
          <w:lang w:val="en-US"/>
        </w:rPr>
        <w:t>Naifaru</w:t>
      </w:r>
      <w:proofErr w:type="spellEnd"/>
      <w:r w:rsidR="00534D94">
        <w:rPr>
          <w:rFonts w:eastAsia="Times New Roman" w:cs="Times New Roman"/>
          <w:i/>
          <w:iCs/>
          <w:color w:val="000000"/>
          <w:kern w:val="28"/>
          <w:lang w:val="en-US"/>
        </w:rPr>
        <w:t xml:space="preserve"> court sentences woman in absentia to death by stoning.</w:t>
      </w:r>
      <w:r w:rsidR="00534D94">
        <w:rPr>
          <w:rFonts w:eastAsia="Times New Roman" w:cs="Times New Roman"/>
          <w:color w:val="000000"/>
          <w:kern w:val="28"/>
          <w:lang w:val="en-US"/>
        </w:rPr>
        <w:t xml:space="preserve"> Hands Off Cain. 08 January 2019. </w:t>
      </w:r>
      <w:hyperlink r:id="rId1" w:history="1">
        <w:r w:rsidR="00534D94">
          <w:rPr>
            <w:rFonts w:eastAsia="Times New Roman" w:cs="Times New Roman"/>
            <w:kern w:val="28"/>
            <w:lang w:val="en-US"/>
          </w:rPr>
          <w:t>http://www.handsoffcain.info/notizia/maldives-naifaru-court-sentences-woman-in-absentia-to-death-by-stoning-40300121</w:t>
        </w:r>
      </w:hyperlink>
      <w:r w:rsidR="00534D94">
        <w:rPr>
          <w:rFonts w:eastAsia="Times New Roman" w:cs="Times New Roman"/>
          <w:bCs/>
          <w:kern w:val="28"/>
          <w:lang w:val="en-US"/>
        </w:rPr>
        <w:t>.</w:t>
      </w:r>
      <w:r w:rsidR="001262F0">
        <w:t xml:space="preserve"> </w:t>
      </w:r>
      <w:r w:rsidR="00986372">
        <w:rPr>
          <w:i/>
          <w:iCs/>
        </w:rPr>
        <w:t xml:space="preserve">See also </w:t>
      </w:r>
      <w:r>
        <w:rPr>
          <w:rFonts w:eastAsia="Times New Roman" w:cs="Times New Roman"/>
          <w:color w:val="000000"/>
          <w:kern w:val="28"/>
          <w:lang w:val="en-US"/>
        </w:rPr>
        <w:t xml:space="preserve">Convention on the Elimination of All Forms of Discrimination Against Women. </w:t>
      </w:r>
      <w:r>
        <w:rPr>
          <w:rFonts w:eastAsia="Times New Roman" w:cs="Times New Roman"/>
          <w:i/>
          <w:iCs/>
          <w:color w:val="000000"/>
          <w:kern w:val="28"/>
          <w:lang w:val="en-US"/>
        </w:rPr>
        <w:t>Sixth periodic report submitted by Maldives under article 18 of the Convention</w:t>
      </w:r>
      <w:r>
        <w:rPr>
          <w:rFonts w:eastAsia="Times New Roman" w:cs="Times New Roman"/>
          <w:color w:val="000000"/>
          <w:kern w:val="28"/>
          <w:lang w:val="en-US"/>
        </w:rPr>
        <w:t xml:space="preserve">, due in 2019, (28 Oct. 2019), U.N. Doc. </w:t>
      </w:r>
      <w:r>
        <w:rPr>
          <w:rFonts w:eastAsia="Times New Roman" w:cs="Times New Roman"/>
          <w:color w:val="000000"/>
          <w:lang w:val="en-US"/>
        </w:rPr>
        <w:t xml:space="preserve">CEDAW/C/MDV/6, </w:t>
      </w:r>
      <w:r>
        <w:rPr>
          <w:rFonts w:eastAsia="Times New Roman" w:cs="Times New Roman"/>
          <w:color w:val="000000"/>
          <w:bdr w:val="none" w:sz="0" w:space="0" w:color="auto" w:frame="1"/>
          <w:lang w:val="en-US"/>
        </w:rPr>
        <w:t>¶ 98</w:t>
      </w:r>
      <w:r w:rsidR="00986372">
        <w:rPr>
          <w:rFonts w:eastAsia="Times New Roman" w:cs="Times New Roman"/>
          <w:color w:val="000000"/>
          <w:bdr w:val="none" w:sz="0" w:space="0" w:color="auto" w:frame="1"/>
          <w:lang w:val="en-US"/>
        </w:rPr>
        <w:t xml:space="preserve"> (conceding that the law </w:t>
      </w:r>
      <w:r w:rsidR="001262F0">
        <w:rPr>
          <w:rFonts w:eastAsia="Times New Roman" w:cs="Times New Roman"/>
          <w:color w:val="000000"/>
          <w:bdr w:val="none" w:sz="0" w:space="0" w:color="auto" w:frame="1"/>
          <w:lang w:val="en-US"/>
        </w:rPr>
        <w:t>prohibits sexual relations outside of marriage)</w:t>
      </w:r>
      <w:r>
        <w:rPr>
          <w:rFonts w:eastAsia="Times New Roman" w:cs="Times New Roman"/>
          <w:color w:val="000000"/>
          <w:bdr w:val="none" w:sz="0" w:space="0" w:color="auto" w:frame="1"/>
          <w:lang w:val="en-US"/>
        </w:rPr>
        <w:t>.</w:t>
      </w:r>
    </w:p>
  </w:footnote>
  <w:footnote w:id="21">
    <w:p w14:paraId="2BE2B0D2" w14:textId="77777777" w:rsidR="00B60372" w:rsidRDefault="00CF0615">
      <w:pPr>
        <w:pStyle w:val="FootnoteText"/>
        <w:rPr>
          <w:rFonts w:eastAsia="Times New Roman" w:cs="Times New Roman"/>
          <w:color w:val="000000"/>
          <w:kern w:val="28"/>
          <w:lang w:val="en-US"/>
        </w:rPr>
      </w:pPr>
      <w:r>
        <w:rPr>
          <w:rStyle w:val="FootnoteReference"/>
        </w:rPr>
        <w:footnoteRef/>
      </w:r>
      <w:r>
        <w:t xml:space="preserve"> </w:t>
      </w:r>
      <w:r>
        <w:rPr>
          <w:rFonts w:eastAsia="Times New Roman" w:cs="Times New Roman"/>
          <w:color w:val="000000"/>
          <w:kern w:val="28"/>
          <w:lang w:val="en-US"/>
        </w:rPr>
        <w:t xml:space="preserve">Convention on the Elimination of All Forms of Discrimination Against Women. </w:t>
      </w:r>
      <w:r>
        <w:rPr>
          <w:rFonts w:eastAsia="Times New Roman" w:cs="Times New Roman"/>
          <w:i/>
          <w:iCs/>
          <w:color w:val="000000"/>
          <w:kern w:val="28"/>
          <w:lang w:val="en-US"/>
        </w:rPr>
        <w:t>Sixth periodic report submitted by Maldives under article 18 of the Convention</w:t>
      </w:r>
      <w:r>
        <w:rPr>
          <w:rFonts w:eastAsia="Times New Roman" w:cs="Times New Roman"/>
          <w:color w:val="000000"/>
          <w:kern w:val="28"/>
          <w:lang w:val="en-US"/>
        </w:rPr>
        <w:t xml:space="preserve">, due in 2019, (28 Oct. 2019), U.N. Doc. </w:t>
      </w:r>
      <w:r>
        <w:rPr>
          <w:rFonts w:eastAsia="Times New Roman" w:cs="Times New Roman"/>
          <w:color w:val="000000"/>
          <w:lang w:val="en-US"/>
        </w:rPr>
        <w:t xml:space="preserve">CEDAW/C/MDV/6, </w:t>
      </w:r>
      <w:r>
        <w:rPr>
          <w:rFonts w:eastAsia="Times New Roman" w:cs="Times New Roman"/>
          <w:color w:val="000000"/>
          <w:bdr w:val="none" w:sz="0" w:space="0" w:color="auto" w:frame="1"/>
          <w:lang w:val="en-US"/>
        </w:rPr>
        <w:t xml:space="preserve">¶ </w:t>
      </w:r>
      <w:r>
        <w:rPr>
          <w:rFonts w:eastAsia="Times New Roman" w:cs="Times New Roman"/>
          <w:color w:val="000000"/>
          <w:kern w:val="28"/>
          <w:lang w:val="en-US"/>
        </w:rPr>
        <w:t>19.</w:t>
      </w:r>
    </w:p>
  </w:footnote>
  <w:footnote w:id="22">
    <w:p w14:paraId="32A6256F" w14:textId="76D1D31D" w:rsidR="00B60372" w:rsidRDefault="00CF0615">
      <w:pPr>
        <w:pStyle w:val="FootnoteText"/>
        <w:rPr>
          <w:rFonts w:cs="Times New Roman"/>
          <w:lang w:val="en-US"/>
        </w:rPr>
      </w:pPr>
      <w:r>
        <w:rPr>
          <w:rStyle w:val="FootnoteReference"/>
          <w:rFonts w:cs="Times New Roman"/>
        </w:rPr>
        <w:footnoteRef/>
      </w:r>
      <w:r>
        <w:rPr>
          <w:rFonts w:cs="Times New Roman"/>
        </w:rPr>
        <w:t xml:space="preserve"> Convention on the Elimination of All Forms of Discrimination Against Women. Replies of Maldives to the list of issues and questions in relation to its sixth periodic report, due in 2019, (20 Aug. 2020), CEDAW/C/MDV/RQ/6, ¶</w:t>
      </w:r>
      <w:r w:rsidR="004007A1">
        <w:rPr>
          <w:rFonts w:cs="Times New Roman"/>
        </w:rPr>
        <w:t> 7.</w:t>
      </w:r>
    </w:p>
  </w:footnote>
  <w:footnote w:id="23">
    <w:p w14:paraId="2AF6CF32" w14:textId="77777777" w:rsidR="00B60372" w:rsidRDefault="00CF0615">
      <w:pPr>
        <w:pStyle w:val="FootnoteText"/>
        <w:rPr>
          <w:rFonts w:eastAsia="Times New Roman" w:cs="Times New Roman"/>
          <w:color w:val="000000"/>
          <w:kern w:val="28"/>
          <w:lang w:val="en-US"/>
        </w:rPr>
      </w:pPr>
      <w:r>
        <w:rPr>
          <w:rStyle w:val="FootnoteReference"/>
        </w:rPr>
        <w:footnoteRef/>
      </w:r>
      <w:r>
        <w:t xml:space="preserve"> </w:t>
      </w:r>
      <w:proofErr w:type="spellStart"/>
      <w:r>
        <w:rPr>
          <w:rFonts w:eastAsia="Times New Roman" w:cs="Times New Roman"/>
          <w:color w:val="000000"/>
          <w:kern w:val="28"/>
          <w:lang w:val="en-US"/>
        </w:rPr>
        <w:t>Uthema</w:t>
      </w:r>
      <w:proofErr w:type="spellEnd"/>
      <w:r>
        <w:rPr>
          <w:rFonts w:eastAsia="Times New Roman" w:cs="Times New Roman"/>
          <w:color w:val="000000"/>
          <w:kern w:val="28"/>
          <w:lang w:val="en-US"/>
        </w:rPr>
        <w:t xml:space="preserve">. NGO Shadow Report to the Convention on the Elimination of All Forms of Discrimination Against Women, </w:t>
      </w:r>
      <w:proofErr w:type="spellStart"/>
      <w:r>
        <w:rPr>
          <w:rFonts w:eastAsia="Times New Roman" w:cs="Times New Roman"/>
          <w:color w:val="000000"/>
          <w:kern w:val="28"/>
          <w:lang w:val="en-US"/>
        </w:rPr>
        <w:t>Uthema</w:t>
      </w:r>
      <w:proofErr w:type="spellEnd"/>
      <w:r>
        <w:rPr>
          <w:rFonts w:eastAsia="Times New Roman" w:cs="Times New Roman"/>
          <w:color w:val="000000"/>
          <w:kern w:val="28"/>
          <w:lang w:val="en-US"/>
        </w:rPr>
        <w:t>-MV-Shadow-Report, 4 May 2020,</w:t>
      </w:r>
      <w:r>
        <w:rPr>
          <w:rFonts w:eastAsia="Times New Roman" w:cs="Times New Roman"/>
          <w:color w:val="000000"/>
          <w:bdr w:val="none" w:sz="0" w:space="0" w:color="auto" w:frame="1"/>
          <w:lang w:val="en-US"/>
        </w:rPr>
        <w:t xml:space="preserve"> ¶</w:t>
      </w:r>
      <w:r>
        <w:rPr>
          <w:rFonts w:eastAsia="Times New Roman" w:cs="Times New Roman"/>
          <w:color w:val="000000"/>
          <w:kern w:val="28"/>
          <w:lang w:val="en-US"/>
        </w:rPr>
        <w:t xml:space="preserve"> 46. </w:t>
      </w:r>
    </w:p>
  </w:footnote>
  <w:footnote w:id="24">
    <w:p w14:paraId="597769A9" w14:textId="77777777" w:rsidR="00B60372" w:rsidRDefault="00CF0615">
      <w:pPr>
        <w:pStyle w:val="FootnoteText"/>
        <w:rPr>
          <w:rFonts w:cs="Times New Roman"/>
          <w:lang w:val="en-US"/>
        </w:rPr>
      </w:pPr>
      <w:r>
        <w:rPr>
          <w:rStyle w:val="FootnoteReference"/>
          <w:rFonts w:cs="Times New Roman"/>
        </w:rPr>
        <w:footnoteRef/>
      </w:r>
      <w:r>
        <w:rPr>
          <w:rFonts w:cs="Times New Roman"/>
        </w:rPr>
        <w:t xml:space="preserve"> Hidden Author. </w:t>
      </w:r>
      <w:r>
        <w:rPr>
          <w:rFonts w:cs="Times New Roman"/>
          <w:i/>
          <w:iCs/>
        </w:rPr>
        <w:t>Maldives woman convicted for adultery wins reprieve from death by stoning</w:t>
      </w:r>
      <w:r>
        <w:rPr>
          <w:rFonts w:cs="Times New Roman"/>
        </w:rPr>
        <w:t>. First Post. 19 Oct. 2015. https://www.firstpost.com/world/maldives-woman-convicted-for-adultery-wins-reprieve-from-death-by-stoning-2473822.html</w:t>
      </w:r>
    </w:p>
  </w:footnote>
  <w:footnote w:id="25">
    <w:p w14:paraId="551D5096" w14:textId="77777777" w:rsidR="00B60372" w:rsidRDefault="00CF0615">
      <w:pPr>
        <w:pStyle w:val="FootnoteText"/>
        <w:rPr>
          <w:rFonts w:eastAsia="Times New Roman" w:cs="Times New Roman"/>
          <w:color w:val="000000"/>
          <w:kern w:val="28"/>
          <w:lang w:val="en-US"/>
        </w:rPr>
      </w:pPr>
      <w:r>
        <w:rPr>
          <w:rStyle w:val="FootnoteReference"/>
        </w:rPr>
        <w:footnoteRef/>
      </w:r>
      <w:r>
        <w:t xml:space="preserve"> </w:t>
      </w:r>
      <w:r>
        <w:rPr>
          <w:rFonts w:eastAsia="Times New Roman" w:cs="Times New Roman"/>
          <w:i/>
          <w:iCs/>
          <w:color w:val="000000"/>
          <w:kern w:val="28"/>
          <w:lang w:val="en-US"/>
        </w:rPr>
        <w:t xml:space="preserve">Maldives: </w:t>
      </w:r>
      <w:proofErr w:type="spellStart"/>
      <w:r>
        <w:rPr>
          <w:rFonts w:eastAsia="Times New Roman" w:cs="Times New Roman"/>
          <w:i/>
          <w:iCs/>
          <w:color w:val="000000"/>
          <w:kern w:val="28"/>
          <w:lang w:val="en-US"/>
        </w:rPr>
        <w:t>Naifaru</w:t>
      </w:r>
      <w:proofErr w:type="spellEnd"/>
      <w:r>
        <w:rPr>
          <w:rFonts w:eastAsia="Times New Roman" w:cs="Times New Roman"/>
          <w:i/>
          <w:iCs/>
          <w:color w:val="000000"/>
          <w:kern w:val="28"/>
          <w:lang w:val="en-US"/>
        </w:rPr>
        <w:t xml:space="preserve"> court sentences woman in absentia to death by stoning.</w:t>
      </w:r>
      <w:r>
        <w:rPr>
          <w:rFonts w:eastAsia="Times New Roman" w:cs="Times New Roman"/>
          <w:color w:val="000000"/>
          <w:kern w:val="28"/>
          <w:lang w:val="en-US"/>
        </w:rPr>
        <w:t xml:space="preserve"> Hands Off Cain. 08 January 2019. </w:t>
      </w:r>
      <w:hyperlink r:id="rId2" w:history="1">
        <w:r>
          <w:rPr>
            <w:rFonts w:eastAsia="Times New Roman" w:cs="Times New Roman"/>
            <w:kern w:val="28"/>
            <w:lang w:val="en-US"/>
          </w:rPr>
          <w:t>http://www.handsoffcain.info/notizia/maldives-naifaru-court-sentences-woman-in-absentia-to-death-by-stoning-40300121</w:t>
        </w:r>
      </w:hyperlink>
      <w:r>
        <w:rPr>
          <w:rFonts w:eastAsia="Times New Roman" w:cs="Times New Roman"/>
          <w:bCs/>
          <w:kern w:val="28"/>
          <w:lang w:val="en-US"/>
        </w:rPr>
        <w:t>.</w:t>
      </w:r>
    </w:p>
  </w:footnote>
  <w:footnote w:id="26">
    <w:p w14:paraId="19E3669D" w14:textId="77777777" w:rsidR="00B60372" w:rsidRDefault="00CF0615">
      <w:pPr>
        <w:pStyle w:val="FootnoteText"/>
        <w:rPr>
          <w:lang w:val="en-US"/>
        </w:rPr>
      </w:pPr>
      <w:r>
        <w:rPr>
          <w:rStyle w:val="FootnoteReference"/>
        </w:rPr>
        <w:footnoteRef/>
      </w:r>
      <w:r>
        <w:t xml:space="preserve"> </w:t>
      </w:r>
      <w:r>
        <w:rPr>
          <w:rFonts w:cs="Times New Roman"/>
        </w:rPr>
        <w:t xml:space="preserve">Cornell Center on the Death Penalty Worldwide, </w:t>
      </w:r>
      <w:r>
        <w:rPr>
          <w:rFonts w:cs="Times New Roman"/>
          <w:i/>
          <w:iCs/>
        </w:rPr>
        <w:t>Judged for More Than Her Crime: A Global Overview of Women Facing the Death Penalty</w:t>
      </w:r>
      <w:r>
        <w:rPr>
          <w:rFonts w:cs="Times New Roman"/>
        </w:rPr>
        <w:t xml:space="preserve"> (Sept. 2018), at 13, https://www.deathpenaltyworldwide.org/wp-content/uploads/2019/12/Judged-More-Than-Her-Crime.pdf.</w:t>
      </w:r>
    </w:p>
  </w:footnote>
  <w:footnote w:id="27">
    <w:p w14:paraId="43E44CB5" w14:textId="77777777" w:rsidR="00B60372" w:rsidRDefault="00CF0615">
      <w:pPr>
        <w:pStyle w:val="FootnoteText"/>
        <w:rPr>
          <w:lang w:val="en-US"/>
        </w:rPr>
      </w:pPr>
      <w:r>
        <w:rPr>
          <w:rStyle w:val="FootnoteReference"/>
        </w:rPr>
        <w:footnoteRef/>
      </w:r>
      <w:r>
        <w:t xml:space="preserve"> </w:t>
      </w:r>
      <w:r>
        <w:rPr>
          <w:rFonts w:cs="Times New Roman"/>
        </w:rPr>
        <w:t xml:space="preserve">Cornell Center on the Death Penalty Worldwide, </w:t>
      </w:r>
      <w:r>
        <w:rPr>
          <w:rFonts w:cs="Times New Roman"/>
          <w:i/>
          <w:iCs/>
        </w:rPr>
        <w:t>Judged for More Than Her Crime: A Global Overview of Women Facing the Death Penalty</w:t>
      </w:r>
      <w:r>
        <w:rPr>
          <w:rFonts w:cs="Times New Roman"/>
        </w:rPr>
        <w:t xml:space="preserve"> (Sept. 2018), at 11, https://www.deathpenaltyworldwide.org/wp-content/uploads/2019/12/Judged-More-Than-Her-Crime.pdf.</w:t>
      </w:r>
    </w:p>
  </w:footnote>
  <w:footnote w:id="28">
    <w:p w14:paraId="285F9405" w14:textId="77777777" w:rsidR="00B60372" w:rsidRDefault="00CF0615">
      <w:pPr>
        <w:pStyle w:val="FootnoteText"/>
        <w:rPr>
          <w:lang w:val="en-US"/>
        </w:rPr>
      </w:pPr>
      <w:r>
        <w:rPr>
          <w:rStyle w:val="FootnoteReference"/>
        </w:rPr>
        <w:footnoteRef/>
      </w:r>
      <w:r>
        <w:t xml:space="preserve"> </w:t>
      </w:r>
      <w:r>
        <w:rPr>
          <w:rFonts w:cs="Times New Roman"/>
        </w:rPr>
        <w:t xml:space="preserve">Cornell Center on the Death Penalty Worldwide, </w:t>
      </w:r>
      <w:r>
        <w:rPr>
          <w:rFonts w:cs="Times New Roman"/>
          <w:i/>
          <w:iCs/>
        </w:rPr>
        <w:t>Judged for More Than Her Crime: A Global Overview of Women Facing the Death Penalty</w:t>
      </w:r>
      <w:r>
        <w:rPr>
          <w:rFonts w:cs="Times New Roman"/>
        </w:rPr>
        <w:t xml:space="preserve"> (Sept. 2018), at 6, https://www.deathpenaltyworldwide.org/wp-content/uploads/2019/12/Judged-More-Than-Her-Crime.pdf.</w:t>
      </w:r>
    </w:p>
  </w:footnote>
  <w:footnote w:id="29">
    <w:p w14:paraId="75BE5C9A" w14:textId="77777777" w:rsidR="00B60372" w:rsidRDefault="00CF0615">
      <w:pPr>
        <w:pStyle w:val="FootnoteText"/>
        <w:rPr>
          <w:rFonts w:cs="Times New Roman"/>
        </w:rPr>
      </w:pPr>
      <w:r>
        <w:rPr>
          <w:rStyle w:val="FootnoteReference"/>
          <w:rFonts w:cs="Times New Roman"/>
        </w:rPr>
        <w:footnoteRef/>
      </w:r>
      <w:r>
        <w:rPr>
          <w:rFonts w:cs="Times New Roman"/>
        </w:rPr>
        <w:t xml:space="preserve"> Cornell Center on the Death Penalty Worldwide, </w:t>
      </w:r>
      <w:r>
        <w:rPr>
          <w:rFonts w:cs="Times New Roman"/>
          <w:i/>
          <w:iCs/>
        </w:rPr>
        <w:t xml:space="preserve">Judged for More Than Her Crime: A Global Overview of Women Facing the Death Penalty </w:t>
      </w:r>
      <w:r>
        <w:rPr>
          <w:rFonts w:cs="Times New Roman"/>
        </w:rPr>
        <w:t xml:space="preserve">(Sept. 2018), at 13, https://www.deathpenaltyworldwide.org/wp-content/uploads/2019/12/Judged-More-Than-Her-Crime.pdf. </w:t>
      </w:r>
    </w:p>
  </w:footnote>
  <w:footnote w:id="30">
    <w:p w14:paraId="59E42048" w14:textId="6A1F4F2C" w:rsidR="00B519B7" w:rsidRPr="001514F3" w:rsidRDefault="00B519B7">
      <w:pPr>
        <w:pStyle w:val="FootnoteText"/>
        <w:rPr>
          <w:lang w:val="en-US"/>
        </w:rPr>
      </w:pPr>
      <w:r>
        <w:rPr>
          <w:rStyle w:val="FootnoteReference"/>
        </w:rPr>
        <w:footnoteRef/>
      </w:r>
      <w:r>
        <w:t xml:space="preserve"> Human Rights Committee, List of issues prior to the submission of the second periodic report of Maldives, (Feb. 2, 2021), U.N. Doc. CCPR/C/MDV/QPR/2, ¶ 17.</w:t>
      </w:r>
    </w:p>
  </w:footnote>
  <w:footnote w:id="31">
    <w:p w14:paraId="1059475C" w14:textId="3779E6D7" w:rsidR="00B519B7" w:rsidRPr="001514F3" w:rsidRDefault="00B519B7">
      <w:pPr>
        <w:pStyle w:val="FootnoteText"/>
        <w:rPr>
          <w:lang w:val="en-US"/>
        </w:rPr>
      </w:pPr>
      <w:r>
        <w:rPr>
          <w:rStyle w:val="FootnoteReference"/>
        </w:rPr>
        <w:footnoteRef/>
      </w:r>
      <w:r>
        <w:t xml:space="preserve"> Human Rights Committee, List of issues prior to the submission of the second periodic report of Maldives, (Feb. 2, 2021), U.N. Doc. CCPR/C/MDV/QPR/2, ¶ 17.</w:t>
      </w:r>
    </w:p>
  </w:footnote>
  <w:footnote w:id="32">
    <w:p w14:paraId="68CE3E97" w14:textId="0CBCF501" w:rsidR="00D8672E" w:rsidRPr="00D8672E" w:rsidRDefault="00D8672E">
      <w:pPr>
        <w:pStyle w:val="FootnoteText"/>
      </w:pPr>
      <w:r>
        <w:rPr>
          <w:rStyle w:val="FootnoteReference"/>
        </w:rPr>
        <w:footnoteRef/>
      </w:r>
      <w:r>
        <w:t xml:space="preserve"> </w:t>
      </w:r>
      <w:r w:rsidR="00BF4A5F">
        <w:rPr>
          <w:rFonts w:eastAsia="Times New Roman" w:cs="Times New Roman"/>
        </w:rPr>
        <w:t xml:space="preserve">Human Rights Committee, </w:t>
      </w:r>
      <w:proofErr w:type="gramStart"/>
      <w:r w:rsidR="00BF4A5F">
        <w:rPr>
          <w:rFonts w:eastAsia="Times New Roman" w:cs="Times New Roman"/>
          <w:i/>
        </w:rPr>
        <w:t>Second</w:t>
      </w:r>
      <w:proofErr w:type="gramEnd"/>
      <w:r w:rsidR="00BF4A5F">
        <w:rPr>
          <w:rFonts w:eastAsia="Times New Roman" w:cs="Times New Roman"/>
          <w:i/>
        </w:rPr>
        <w:t xml:space="preserve"> periodic report submitted by Maldives under article 40 of the Convention</w:t>
      </w:r>
      <w:r w:rsidR="00BF4A5F">
        <w:rPr>
          <w:rFonts w:eastAsia="Times New Roman" w:cs="Times New Roman"/>
        </w:rPr>
        <w:t xml:space="preserve"> </w:t>
      </w:r>
      <w:r w:rsidR="00BF4A5F">
        <w:rPr>
          <w:rFonts w:eastAsia="Times New Roman" w:cs="Times New Roman"/>
          <w:i/>
          <w:iCs/>
        </w:rPr>
        <w:t>pursuant to the optional reporting procedure, due in 2021</w:t>
      </w:r>
      <w:r w:rsidR="00BF4A5F">
        <w:rPr>
          <w:rFonts w:eastAsia="Times New Roman" w:cs="Times New Roman"/>
        </w:rPr>
        <w:t>, (Dec. 7, 2022), U.N. Doc. CCPR/C/MDV/2, ¶ 1</w:t>
      </w:r>
      <w:r w:rsidR="00FD7013">
        <w:rPr>
          <w:rFonts w:eastAsia="Times New Roman" w:cs="Times New Roman"/>
        </w:rPr>
        <w:t>51</w:t>
      </w:r>
      <w:r w:rsidR="00BF4A5F">
        <w:rPr>
          <w:rFonts w:eastAsia="Times New Roman" w:cs="Times New Roman"/>
        </w:rPr>
        <w:t>.</w:t>
      </w:r>
    </w:p>
  </w:footnote>
  <w:footnote w:id="33">
    <w:p w14:paraId="5C218ED1" w14:textId="24D72667" w:rsidR="003F581A" w:rsidRPr="003F581A" w:rsidRDefault="003F581A">
      <w:pPr>
        <w:pStyle w:val="FootnoteText"/>
      </w:pPr>
      <w:r>
        <w:rPr>
          <w:rStyle w:val="FootnoteReference"/>
        </w:rPr>
        <w:footnoteRef/>
      </w:r>
      <w:r>
        <w:t xml:space="preserve"> </w:t>
      </w:r>
      <w:r>
        <w:rPr>
          <w:i/>
          <w:iCs/>
        </w:rPr>
        <w:t>Id.</w:t>
      </w:r>
      <w:r>
        <w:t xml:space="preserve"> </w:t>
      </w:r>
      <w:r>
        <w:rPr>
          <w:rFonts w:cs="Times New Roman"/>
        </w:rPr>
        <w:t>¶</w:t>
      </w:r>
      <w:r w:rsidR="009E3B96">
        <w:rPr>
          <w:rFonts w:cs="Times New Roman"/>
        </w:rPr>
        <w:t>¶</w:t>
      </w:r>
      <w:r w:rsidR="009E3B96">
        <w:t> </w:t>
      </w:r>
      <w:r w:rsidR="00337EDF">
        <w:t>157-160.</w:t>
      </w:r>
    </w:p>
  </w:footnote>
  <w:footnote w:id="34">
    <w:p w14:paraId="3BE4E7BC" w14:textId="1BCCAC93" w:rsidR="006A63C7" w:rsidRPr="00E33509" w:rsidRDefault="006A63C7">
      <w:pPr>
        <w:pStyle w:val="FootnoteText"/>
        <w:rPr>
          <w:lang w:val="en-US"/>
        </w:rPr>
      </w:pPr>
      <w:r>
        <w:rPr>
          <w:rStyle w:val="FootnoteReference"/>
        </w:rPr>
        <w:footnoteRef/>
      </w:r>
      <w:r>
        <w:t xml:space="preserve"> </w:t>
      </w:r>
      <w:r>
        <w:rPr>
          <w:i/>
          <w:iCs/>
          <w:lang w:val="en-US"/>
        </w:rPr>
        <w:t>Id.</w:t>
      </w:r>
      <w:r>
        <w:rPr>
          <w:lang w:val="en-US"/>
        </w:rPr>
        <w:t xml:space="preserve"> </w:t>
      </w:r>
      <w:r>
        <w:rPr>
          <w:rFonts w:cs="Times New Roman"/>
          <w:lang w:val="en-US"/>
        </w:rPr>
        <w:t>¶</w:t>
      </w:r>
      <w:r>
        <w:rPr>
          <w:lang w:val="en-US"/>
        </w:rPr>
        <w:t> 157.</w:t>
      </w:r>
    </w:p>
  </w:footnote>
  <w:footnote w:id="35">
    <w:p w14:paraId="30C546F7" w14:textId="032FD997" w:rsidR="00B519B7" w:rsidRPr="001514F3" w:rsidRDefault="00B519B7">
      <w:pPr>
        <w:pStyle w:val="FootnoteText"/>
        <w:rPr>
          <w:lang w:val="en-US"/>
        </w:rPr>
      </w:pPr>
      <w:r>
        <w:rPr>
          <w:rStyle w:val="FootnoteReference"/>
        </w:rPr>
        <w:footnoteRef/>
      </w:r>
      <w:r>
        <w:t xml:space="preserve"> </w:t>
      </w:r>
      <w:r w:rsidRPr="00A515EA">
        <w:t>United States Department of State, 2022 Country Reports on Human Rights Practices: Maldives (2022), also available online at: https://www.state.gov/reports/2022-country-reports-on-human-rights-practices/maldives/#:~:text=Observers%20reported%20that%20in%20some,prisons%20and%20pretrial%20detention%20facilities.</w:t>
      </w:r>
    </w:p>
  </w:footnote>
  <w:footnote w:id="36">
    <w:p w14:paraId="4A2F4EF1" w14:textId="5B959875" w:rsidR="00A515EA" w:rsidRPr="001514F3" w:rsidRDefault="00A515EA">
      <w:pPr>
        <w:pStyle w:val="FootnoteText"/>
        <w:rPr>
          <w:lang w:val="en-US"/>
        </w:rPr>
      </w:pPr>
      <w:r>
        <w:rPr>
          <w:rStyle w:val="FootnoteReference"/>
        </w:rPr>
        <w:footnoteRef/>
      </w:r>
      <w:r>
        <w:t xml:space="preserve"> </w:t>
      </w:r>
      <w:r w:rsidRPr="00A515EA">
        <w:t>United States Department of State, 2022 Country Reports on Human Rights Practices: Maldives (2022), also available online at: https://www.state.gov/reports/2022-country-reports-on-human-rights-practices/maldives/#:~:text=Observers%20reported%20that%20in%20some,prisons%20and%20pretrial%20detention%20facilities.</w:t>
      </w:r>
    </w:p>
  </w:footnote>
  <w:footnote w:id="37">
    <w:p w14:paraId="1E28A46E" w14:textId="66D77002" w:rsidR="00A515EA" w:rsidRPr="001514F3" w:rsidRDefault="00A515EA">
      <w:pPr>
        <w:pStyle w:val="FootnoteText"/>
        <w:rPr>
          <w:lang w:val="en-US"/>
        </w:rPr>
      </w:pPr>
      <w:r>
        <w:rPr>
          <w:rStyle w:val="FootnoteReference"/>
        </w:rPr>
        <w:footnoteRef/>
      </w:r>
      <w:r>
        <w:t xml:space="preserve"> </w:t>
      </w:r>
      <w:r w:rsidR="00173CEF">
        <w:rPr>
          <w:rFonts w:eastAsia="Times New Roman" w:cs="Times New Roman"/>
        </w:rPr>
        <w:t xml:space="preserve">Human Rights Committee, </w:t>
      </w:r>
      <w:r w:rsidR="00173CEF">
        <w:rPr>
          <w:rFonts w:eastAsia="Times New Roman" w:cs="Times New Roman"/>
          <w:i/>
        </w:rPr>
        <w:t>Second periodic report submitted by Maldives under article 40 of the Convention</w:t>
      </w:r>
      <w:r w:rsidR="00173CEF">
        <w:rPr>
          <w:rFonts w:eastAsia="Times New Roman" w:cs="Times New Roman"/>
        </w:rPr>
        <w:t xml:space="preserve"> </w:t>
      </w:r>
      <w:r w:rsidR="00173CEF">
        <w:rPr>
          <w:rFonts w:eastAsia="Times New Roman" w:cs="Times New Roman"/>
          <w:i/>
          <w:iCs/>
        </w:rPr>
        <w:t>pursuant to the optional reporting procedure, due in 2021</w:t>
      </w:r>
      <w:r w:rsidR="00173CEF">
        <w:rPr>
          <w:rFonts w:eastAsia="Times New Roman" w:cs="Times New Roman"/>
        </w:rPr>
        <w:t xml:space="preserve">, (Dec. 7, 2022), U.N. Doc. CCPR/C/MDV/2, ¶ 159; </w:t>
      </w:r>
      <w:r w:rsidRPr="00A515EA">
        <w:t>News Report: United Nations Office on Drugs and Crime, "Maldives: UNODC engages prison officials to strengthen non-custodial measures", August 18, 2022, https://www.unodc.org/southasia/frontpage/2022/August/maldives_-unodc-engages-prison-officials-to-strengthen-non-custodial-measures.html.</w:t>
      </w:r>
    </w:p>
  </w:footnote>
  <w:footnote w:id="38">
    <w:p w14:paraId="7AAD3253" w14:textId="4FB439F4" w:rsidR="00B60372" w:rsidRDefault="00CF0615">
      <w:pPr>
        <w:pStyle w:val="FootnoteText"/>
        <w:rPr>
          <w:lang w:val="en-US"/>
        </w:rPr>
      </w:pPr>
      <w:r>
        <w:rPr>
          <w:rStyle w:val="FootnoteReference"/>
        </w:rPr>
        <w:footnoteRef/>
      </w:r>
      <w:r>
        <w:t xml:space="preserve"> </w:t>
      </w:r>
      <w:r>
        <w:rPr>
          <w:rFonts w:eastAsia="Times New Roman" w:cs="Times New Roman"/>
        </w:rPr>
        <w:t xml:space="preserve">Human Rights Committee, </w:t>
      </w:r>
      <w:r>
        <w:rPr>
          <w:rFonts w:eastAsia="Times New Roman" w:cs="Times New Roman"/>
          <w:i/>
        </w:rPr>
        <w:t>List of issues prior to the submission of the second periodic report of Maldives</w:t>
      </w:r>
      <w:r>
        <w:rPr>
          <w:rFonts w:eastAsia="Times New Roman" w:cs="Times New Roman"/>
        </w:rPr>
        <w:t xml:space="preserve">, (Feb. 2, 2021), U.N. Doc. CCPR/C/MDV/QPR/2, ¶ </w:t>
      </w:r>
      <w:r w:rsidR="00973F48">
        <w:rPr>
          <w:rFonts w:eastAsia="Times New Roman" w:cs="Times New Roman"/>
        </w:rPr>
        <w:t>23</w:t>
      </w:r>
      <w:r>
        <w:rPr>
          <w:rFonts w:eastAsia="Times New Roman" w:cs="Times New Roman"/>
        </w:rPr>
        <w:t>.</w:t>
      </w:r>
    </w:p>
  </w:footnote>
  <w:footnote w:id="39">
    <w:p w14:paraId="6F8692B8" w14:textId="46B77DC2" w:rsidR="00E70EF0" w:rsidRPr="00E70EF0" w:rsidRDefault="00E70EF0">
      <w:pPr>
        <w:pStyle w:val="FootnoteText"/>
      </w:pPr>
      <w:r>
        <w:rPr>
          <w:rStyle w:val="FootnoteReference"/>
        </w:rPr>
        <w:footnoteRef/>
      </w:r>
      <w:r>
        <w:t xml:space="preserve"> </w:t>
      </w:r>
      <w:r>
        <w:rPr>
          <w:rFonts w:eastAsia="Times New Roman" w:cs="Times New Roman"/>
        </w:rPr>
        <w:t xml:space="preserve">Human Rights Committee, </w:t>
      </w:r>
      <w:proofErr w:type="gramStart"/>
      <w:r>
        <w:rPr>
          <w:rFonts w:eastAsia="Times New Roman" w:cs="Times New Roman"/>
          <w:i/>
        </w:rPr>
        <w:t>Second</w:t>
      </w:r>
      <w:proofErr w:type="gramEnd"/>
      <w:r>
        <w:rPr>
          <w:rFonts w:eastAsia="Times New Roman" w:cs="Times New Roman"/>
          <w:i/>
        </w:rPr>
        <w:t xml:space="preserve"> periodic report submitted by Maldives under article 40 of the Convention</w:t>
      </w:r>
      <w:r>
        <w:rPr>
          <w:rFonts w:eastAsia="Times New Roman" w:cs="Times New Roman"/>
        </w:rPr>
        <w:t xml:space="preserve"> </w:t>
      </w:r>
      <w:r>
        <w:rPr>
          <w:rFonts w:eastAsia="Times New Roman" w:cs="Times New Roman"/>
          <w:i/>
          <w:iCs/>
        </w:rPr>
        <w:t>pursuant to the optional reporting procedure, due in 2021</w:t>
      </w:r>
      <w:r>
        <w:rPr>
          <w:rFonts w:eastAsia="Times New Roman" w:cs="Times New Roman"/>
        </w:rPr>
        <w:t>, (Dec. 7, 2022), U.N. Doc. CCPR/C/MDV/2, ¶</w:t>
      </w:r>
      <w:r w:rsidR="00FD658A">
        <w:rPr>
          <w:rFonts w:eastAsia="Times New Roman" w:cs="Times New Roman"/>
        </w:rPr>
        <w:t>¶</w:t>
      </w:r>
      <w:r>
        <w:rPr>
          <w:rFonts w:eastAsia="Times New Roman" w:cs="Times New Roman"/>
        </w:rPr>
        <w:t> </w:t>
      </w:r>
      <w:r w:rsidR="0042673E">
        <w:rPr>
          <w:rFonts w:eastAsia="Times New Roman" w:cs="Times New Roman"/>
        </w:rPr>
        <w:t>252-254</w:t>
      </w:r>
      <w:r>
        <w:rPr>
          <w:rFonts w:eastAsia="Times New Roman" w:cs="Times New Roman"/>
        </w:rPr>
        <w:t>.</w:t>
      </w:r>
    </w:p>
  </w:footnote>
  <w:footnote w:id="40">
    <w:p w14:paraId="61709B2D" w14:textId="60413411" w:rsidR="00B60372" w:rsidRDefault="00CF0615">
      <w:pPr>
        <w:pStyle w:val="FootnoteText"/>
        <w:rPr>
          <w:lang w:val="en-US"/>
        </w:rPr>
      </w:pPr>
      <w:r>
        <w:rPr>
          <w:rStyle w:val="FootnoteReference"/>
        </w:rPr>
        <w:footnoteRef/>
      </w:r>
      <w:r>
        <w:t xml:space="preserve"> </w:t>
      </w:r>
      <w:r>
        <w:rPr>
          <w:rFonts w:eastAsia="Times New Roman" w:cs="Times New Roman"/>
        </w:rPr>
        <w:t xml:space="preserve">Human Rights Committee, </w:t>
      </w:r>
      <w:proofErr w:type="gramStart"/>
      <w:r>
        <w:rPr>
          <w:rFonts w:eastAsia="Times New Roman" w:cs="Times New Roman"/>
          <w:i/>
        </w:rPr>
        <w:t>Second</w:t>
      </w:r>
      <w:proofErr w:type="gramEnd"/>
      <w:r>
        <w:rPr>
          <w:rFonts w:eastAsia="Times New Roman" w:cs="Times New Roman"/>
          <w:i/>
        </w:rPr>
        <w:t xml:space="preserve"> periodic report submitted by Maldives under article 40 of the Convention</w:t>
      </w:r>
      <w:r>
        <w:rPr>
          <w:rFonts w:eastAsia="Times New Roman" w:cs="Times New Roman"/>
        </w:rPr>
        <w:t xml:space="preserve"> </w:t>
      </w:r>
      <w:r>
        <w:rPr>
          <w:rFonts w:eastAsia="Times New Roman" w:cs="Times New Roman"/>
          <w:i/>
          <w:iCs/>
        </w:rPr>
        <w:t>pursuant to the optional reporting procedure, due in 2021</w:t>
      </w:r>
      <w:r>
        <w:rPr>
          <w:rFonts w:eastAsia="Times New Roman" w:cs="Times New Roman"/>
        </w:rPr>
        <w:t xml:space="preserve">, (Dec. 7, 2022), U.N. Doc. CCPR/C/MDV/2, ¶ </w:t>
      </w:r>
      <w:r w:rsidR="00702D0A">
        <w:rPr>
          <w:rFonts w:eastAsia="Times New Roman" w:cs="Times New Roman"/>
        </w:rPr>
        <w:t>256</w:t>
      </w:r>
      <w:r>
        <w:rPr>
          <w:rFonts w:eastAsia="Times New Roman" w:cs="Times New Roman"/>
        </w:rPr>
        <w:t>.</w:t>
      </w:r>
    </w:p>
  </w:footnote>
  <w:footnote w:id="41">
    <w:p w14:paraId="37FE0575" w14:textId="27893207" w:rsidR="00B60372" w:rsidRDefault="00CF0615">
      <w:pPr>
        <w:pStyle w:val="FootnoteText"/>
        <w:rPr>
          <w:rFonts w:cs="Times New Roman"/>
          <w:lang w:val="en-US"/>
        </w:rPr>
      </w:pPr>
      <w:r>
        <w:rPr>
          <w:rStyle w:val="FootnoteReference"/>
        </w:rPr>
        <w:footnoteRef/>
      </w:r>
      <w:r>
        <w:t xml:space="preserve"> </w:t>
      </w:r>
      <w:r>
        <w:rPr>
          <w:rFonts w:cs="Times New Roman"/>
        </w:rPr>
        <w:t>A recording of the press conference is available at the following link (in Dhivehi). The specific question and answer relating to the investigation against MDN begins from minute 28:50.</w:t>
      </w:r>
      <w:hyperlink r:id="rId3">
        <w:r>
          <w:rPr>
            <w:rFonts w:cs="Times New Roman"/>
          </w:rPr>
          <w:t xml:space="preserve"> </w:t>
        </w:r>
      </w:hyperlink>
      <w:r>
        <w:rPr>
          <w:rFonts w:cs="Times New Roman"/>
        </w:rPr>
        <w:t>https://www.facebook.com/RaajjeTelevision/videos/1181937132165426/</w:t>
      </w:r>
      <w:r w:rsidR="00D44921">
        <w:rPr>
          <w:rFonts w:cs="Times New Roman"/>
        </w:rPr>
        <w:t>; A recording of the press conference is available at the following link (in Dhivehi language). The specific question and answer relating to the investigation against MDN begins from minute 1:07:47.</w:t>
      </w:r>
      <w:hyperlink r:id="rId4">
        <w:r w:rsidR="00D44921">
          <w:rPr>
            <w:rFonts w:cs="Times New Roman"/>
          </w:rPr>
          <w:t xml:space="preserve"> </w:t>
        </w:r>
      </w:hyperlink>
      <w:r w:rsidR="00D44921">
        <w:rPr>
          <w:rFonts w:cs="Times New Roman"/>
        </w:rPr>
        <w:t>https://www.youtube.com/watch?v=THZ5ZFCTWss.</w:t>
      </w:r>
    </w:p>
  </w:footnote>
  <w:footnote w:id="42">
    <w:p w14:paraId="33CC9D64" w14:textId="77777777" w:rsidR="00B60372" w:rsidRDefault="00CF0615">
      <w:pPr>
        <w:pStyle w:val="FootnoteText"/>
        <w:rPr>
          <w:rFonts w:cs="Times New Roman"/>
        </w:rPr>
      </w:pPr>
      <w:r>
        <w:rPr>
          <w:rStyle w:val="FootnoteReference"/>
          <w:rFonts w:cs="Times New Roman"/>
        </w:rPr>
        <w:footnoteRef/>
      </w:r>
      <w:r>
        <w:rPr>
          <w:rFonts w:cs="Times New Roman"/>
        </w:rPr>
        <w:t xml:space="preserve"> Personal communication with NGO, 20 Sept. 2020.</w:t>
      </w:r>
    </w:p>
  </w:footnote>
  <w:footnote w:id="43">
    <w:p w14:paraId="4BBED174" w14:textId="40775242" w:rsidR="00B60372" w:rsidRDefault="00CF0615">
      <w:pPr>
        <w:pStyle w:val="FootnoteText"/>
      </w:pPr>
      <w:r>
        <w:rPr>
          <w:rStyle w:val="FootnoteReference"/>
          <w:rFonts w:cs="Times New Roman"/>
        </w:rPr>
        <w:footnoteRef/>
      </w:r>
      <w:r>
        <w:rPr>
          <w:rFonts w:cs="Times New Roman"/>
        </w:rPr>
        <w:t xml:space="preserve"> The Advocates for Human Rights, </w:t>
      </w:r>
      <w:r>
        <w:rPr>
          <w:rFonts w:cs="Times New Roman"/>
          <w:i/>
          <w:iCs/>
        </w:rPr>
        <w:t>The Maldives’ Compliance with The International Covenant on Civil and Political Rights: Suggested List of Issues Prior to Reporting Relating to the Death Penalty</w:t>
      </w:r>
      <w:r>
        <w:rPr>
          <w:rFonts w:cs="Times New Roman"/>
        </w:rPr>
        <w:t xml:space="preserve">, by The Advocates for Human Rights, The World Coalition Against the Death Penalty, Capital Punishment Justice Project, Anti-Death Penalty Asia Network, Reprieve. (Minneapolis, Minnesota, USA), 17 Aug. 2020. </w:t>
      </w:r>
      <w:r>
        <w:rPr>
          <w:rFonts w:cs="Times New Roman"/>
          <w:bdr w:val="none" w:sz="0" w:space="0" w:color="auto" w:frame="1"/>
        </w:rPr>
        <w:t>¶</w:t>
      </w:r>
      <w:r>
        <w:rPr>
          <w:rFonts w:cs="Times New Roman"/>
        </w:rPr>
        <w:t xml:space="preserve">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DF837" w14:textId="77777777" w:rsidR="00B60372" w:rsidRDefault="00B60372">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EA6DF" w14:textId="547DD729" w:rsidR="00B60372" w:rsidRDefault="00947446" w:rsidP="001514F3">
    <w:r>
      <w:rPr>
        <w:noProof/>
      </w:rPr>
      <w:drawing>
        <wp:anchor distT="0" distB="0" distL="114300" distR="114300" simplePos="0" relativeHeight="251664384" behindDoc="0" locked="0" layoutInCell="1" allowOverlap="1" wp14:anchorId="00009A77" wp14:editId="0A7935C8">
          <wp:simplePos x="0" y="0"/>
          <wp:positionH relativeFrom="column">
            <wp:posOffset>1972633</wp:posOffset>
          </wp:positionH>
          <wp:positionV relativeFrom="paragraph">
            <wp:posOffset>-160020</wp:posOffset>
          </wp:positionV>
          <wp:extent cx="2019300" cy="816997"/>
          <wp:effectExtent l="0" t="0" r="0" b="2540"/>
          <wp:wrapNone/>
          <wp:docPr id="1869634284" name="Picture 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34284" name="Picture 1" descr="A red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19300" cy="816997"/>
                  </a:xfrm>
                  <a:prstGeom prst="rect">
                    <a:avLst/>
                  </a:prstGeom>
                </pic:spPr>
              </pic:pic>
            </a:graphicData>
          </a:graphic>
          <wp14:sizeRelH relativeFrom="margin">
            <wp14:pctWidth>0</wp14:pctWidth>
          </wp14:sizeRelH>
          <wp14:sizeRelV relativeFrom="margin">
            <wp14:pctHeight>0</wp14:pctHeight>
          </wp14:sizeRelV>
        </wp:anchor>
      </w:drawing>
    </w:r>
    <w:r w:rsidR="0077092A">
      <w:rPr>
        <w:noProof/>
      </w:rPr>
      <w:drawing>
        <wp:anchor distT="0" distB="0" distL="114300" distR="114300" simplePos="0" relativeHeight="251659264" behindDoc="0" locked="0" layoutInCell="1" allowOverlap="1" wp14:anchorId="039251DE" wp14:editId="024EDA97">
          <wp:simplePos x="0" y="0"/>
          <wp:positionH relativeFrom="column">
            <wp:posOffset>3990974</wp:posOffset>
          </wp:positionH>
          <wp:positionV relativeFrom="paragraph">
            <wp:posOffset>-161925</wp:posOffset>
          </wp:positionV>
          <wp:extent cx="2535555" cy="857250"/>
          <wp:effectExtent l="0" t="0" r="0" b="0"/>
          <wp:wrapNone/>
          <wp:docPr id="1" name="image1.png" descr="A blue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ue and white logo&#10;&#10;Description automatically generated"/>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35555" cy="857250"/>
                  </a:xfrm>
                  <a:prstGeom prst="rect">
                    <a:avLst/>
                  </a:prstGeom>
                  <a:ln/>
                </pic:spPr>
              </pic:pic>
            </a:graphicData>
          </a:graphic>
          <wp14:sizeRelH relativeFrom="margin">
            <wp14:pctWidth>0</wp14:pctWidth>
          </wp14:sizeRelH>
          <wp14:sizeRelV relativeFrom="margin">
            <wp14:pctHeight>0</wp14:pctHeight>
          </wp14:sizeRelV>
        </wp:anchor>
      </w:drawing>
    </w:r>
    <w:r w:rsidR="0077092A">
      <w:rPr>
        <w:rFonts w:cs="Times New Roman"/>
        <w:b/>
        <w:bCs/>
        <w:noProof/>
        <w:szCs w:val="24"/>
      </w:rPr>
      <w:drawing>
        <wp:anchor distT="0" distB="0" distL="114300" distR="114300" simplePos="0" relativeHeight="251661312" behindDoc="0" locked="0" layoutInCell="1" allowOverlap="1" wp14:anchorId="5905BAB3" wp14:editId="588DD06B">
          <wp:simplePos x="0" y="0"/>
          <wp:positionH relativeFrom="column">
            <wp:posOffset>57150</wp:posOffset>
          </wp:positionH>
          <wp:positionV relativeFrom="paragraph">
            <wp:posOffset>-161925</wp:posOffset>
          </wp:positionV>
          <wp:extent cx="1733550" cy="921041"/>
          <wp:effectExtent l="0" t="0" r="0" b="0"/>
          <wp:wrapNone/>
          <wp:docPr id="5" name="Picture 5"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white and grey sign with black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736231" cy="922465"/>
                  </a:xfrm>
                  <a:prstGeom prst="rect">
                    <a:avLst/>
                  </a:prstGeom>
                </pic:spPr>
              </pic:pic>
            </a:graphicData>
          </a:graphic>
          <wp14:sizeRelH relativeFrom="page">
            <wp14:pctWidth>0</wp14:pctWidth>
          </wp14:sizeRelH>
          <wp14:sizeRelV relativeFrom="page">
            <wp14:pctHeight>0</wp14:pctHeight>
          </wp14:sizeRelV>
        </wp:anchor>
      </w:drawing>
    </w:r>
    <w:r w:rsidR="00E3266B" w:rsidRPr="00E3266B">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7F7C338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1F40D6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2606C6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F48397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CAAAED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94AD33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03CF72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2A6F96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6621920"/>
    <w:lvl w:ilvl="0">
      <w:start w:val="1"/>
      <w:numFmt w:val="decimal"/>
      <w:lvlText w:val="%1."/>
      <w:lvlJc w:val="left"/>
      <w:pPr>
        <w:tabs>
          <w:tab w:val="num" w:pos="360"/>
        </w:tabs>
        <w:ind w:left="360" w:hanging="360"/>
      </w:pPr>
      <w:rPr>
        <w:i w:val="0"/>
        <w:iCs/>
      </w:rPr>
    </w:lvl>
  </w:abstractNum>
  <w:abstractNum w:abstractNumId="9" w15:restartNumberingAfterBreak="0">
    <w:nsid w:val="FFFFFF89"/>
    <w:multiLevelType w:val="singleLevel"/>
    <w:tmpl w:val="EB128FD8"/>
    <w:lvl w:ilvl="0">
      <w:start w:val="1"/>
      <w:numFmt w:val="bullet"/>
      <w:pStyle w:val="ListBullet"/>
      <w:lvlText w:val=""/>
      <w:lvlJc w:val="left"/>
      <w:pPr>
        <w:ind w:left="1080" w:hanging="360"/>
      </w:pPr>
      <w:rPr>
        <w:rFonts w:ascii="Symbol" w:hAnsi="Symbol" w:hint="default"/>
      </w:rPr>
    </w:lvl>
  </w:abstractNum>
  <w:abstractNum w:abstractNumId="10" w15:restartNumberingAfterBreak="0">
    <w:nsid w:val="07295A1E"/>
    <w:multiLevelType w:val="multilevel"/>
    <w:tmpl w:val="F9BA1C26"/>
    <w:lvl w:ilvl="0">
      <w:start w:val="13"/>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14454B35"/>
    <w:multiLevelType w:val="hybridMultilevel"/>
    <w:tmpl w:val="83B4F226"/>
    <w:lvl w:ilvl="0" w:tplc="1C9E1E7C">
      <w:start w:val="1"/>
      <w:numFmt w:val="upperRoman"/>
      <w:pStyle w:val="SectionHeading"/>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5153BE"/>
    <w:multiLevelType w:val="hybridMultilevel"/>
    <w:tmpl w:val="4DA65E3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FC3285F"/>
    <w:multiLevelType w:val="multilevel"/>
    <w:tmpl w:val="2108B4FC"/>
    <w:lvl w:ilvl="0">
      <w:start w:val="8"/>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63E107FF"/>
    <w:multiLevelType w:val="multilevel"/>
    <w:tmpl w:val="C9F69638"/>
    <w:lvl w:ilvl="0">
      <w:start w:val="12"/>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393548325">
    <w:abstractNumId w:val="10"/>
  </w:num>
  <w:num w:numId="2" w16cid:durableId="1274634133">
    <w:abstractNumId w:val="14"/>
  </w:num>
  <w:num w:numId="3" w16cid:durableId="391079961">
    <w:abstractNumId w:val="13"/>
  </w:num>
  <w:num w:numId="4" w16cid:durableId="1214390396">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8478580">
    <w:abstractNumId w:val="8"/>
  </w:num>
  <w:num w:numId="6" w16cid:durableId="1931968346">
    <w:abstractNumId w:val="8"/>
  </w:num>
  <w:num w:numId="7" w16cid:durableId="271402723">
    <w:abstractNumId w:val="8"/>
  </w:num>
  <w:num w:numId="8" w16cid:durableId="732971386">
    <w:abstractNumId w:val="8"/>
  </w:num>
  <w:num w:numId="9" w16cid:durableId="1933776869">
    <w:abstractNumId w:val="8"/>
  </w:num>
  <w:num w:numId="10" w16cid:durableId="1859201424">
    <w:abstractNumId w:val="8"/>
  </w:num>
  <w:num w:numId="11" w16cid:durableId="1643272566">
    <w:abstractNumId w:val="8"/>
  </w:num>
  <w:num w:numId="12" w16cid:durableId="451828774">
    <w:abstractNumId w:val="8"/>
  </w:num>
  <w:num w:numId="13" w16cid:durableId="243272117">
    <w:abstractNumId w:val="8"/>
  </w:num>
  <w:num w:numId="14" w16cid:durableId="983966094">
    <w:abstractNumId w:val="8"/>
  </w:num>
  <w:num w:numId="15" w16cid:durableId="1156217238">
    <w:abstractNumId w:val="8"/>
  </w:num>
  <w:num w:numId="16" w16cid:durableId="1308971343">
    <w:abstractNumId w:val="8"/>
  </w:num>
  <w:num w:numId="17" w16cid:durableId="2018186536">
    <w:abstractNumId w:val="8"/>
  </w:num>
  <w:num w:numId="18" w16cid:durableId="2116319547">
    <w:abstractNumId w:val="8"/>
  </w:num>
  <w:num w:numId="19" w16cid:durableId="1587763280">
    <w:abstractNumId w:val="8"/>
  </w:num>
  <w:num w:numId="20" w16cid:durableId="1960258703">
    <w:abstractNumId w:val="8"/>
  </w:num>
  <w:num w:numId="21" w16cid:durableId="1854876790">
    <w:abstractNumId w:val="8"/>
  </w:num>
  <w:num w:numId="22" w16cid:durableId="408620175">
    <w:abstractNumId w:val="8"/>
  </w:num>
  <w:num w:numId="23" w16cid:durableId="1845243926">
    <w:abstractNumId w:val="8"/>
  </w:num>
  <w:num w:numId="24" w16cid:durableId="844631017">
    <w:abstractNumId w:val="8"/>
  </w:num>
  <w:num w:numId="25" w16cid:durableId="882405275">
    <w:abstractNumId w:val="8"/>
  </w:num>
  <w:num w:numId="26" w16cid:durableId="166867147">
    <w:abstractNumId w:val="8"/>
  </w:num>
  <w:num w:numId="27" w16cid:durableId="1687321789">
    <w:abstractNumId w:val="8"/>
  </w:num>
  <w:num w:numId="28" w16cid:durableId="472909478">
    <w:abstractNumId w:val="8"/>
  </w:num>
  <w:num w:numId="29" w16cid:durableId="2129205181">
    <w:abstractNumId w:val="9"/>
  </w:num>
  <w:num w:numId="30" w16cid:durableId="1742481178">
    <w:abstractNumId w:val="9"/>
  </w:num>
  <w:num w:numId="31" w16cid:durableId="1423138741">
    <w:abstractNumId w:val="12"/>
  </w:num>
  <w:num w:numId="32" w16cid:durableId="1223714630">
    <w:abstractNumId w:val="9"/>
    <w:lvlOverride w:ilvl="0">
      <w:startOverride w:val="1"/>
    </w:lvlOverride>
  </w:num>
  <w:num w:numId="33" w16cid:durableId="413088591">
    <w:abstractNumId w:val="7"/>
  </w:num>
  <w:num w:numId="34" w16cid:durableId="976841692">
    <w:abstractNumId w:val="6"/>
  </w:num>
  <w:num w:numId="35" w16cid:durableId="47801716">
    <w:abstractNumId w:val="5"/>
  </w:num>
  <w:num w:numId="36" w16cid:durableId="1638533840">
    <w:abstractNumId w:val="4"/>
  </w:num>
  <w:num w:numId="37" w16cid:durableId="1242369996">
    <w:abstractNumId w:val="3"/>
  </w:num>
  <w:num w:numId="38" w16cid:durableId="801775014">
    <w:abstractNumId w:val="2"/>
  </w:num>
  <w:num w:numId="39" w16cid:durableId="1830975058">
    <w:abstractNumId w:val="1"/>
  </w:num>
  <w:num w:numId="40" w16cid:durableId="747189930">
    <w:abstractNumId w:val="0"/>
  </w:num>
  <w:num w:numId="41" w16cid:durableId="748427068">
    <w:abstractNumId w:val="11"/>
  </w:num>
  <w:num w:numId="42" w16cid:durableId="1450591185">
    <w:abstractNumId w:val="11"/>
  </w:num>
  <w:num w:numId="43" w16cid:durableId="1456556475">
    <w:abstractNumId w:val="11"/>
  </w:num>
  <w:num w:numId="44" w16cid:durableId="1476531229">
    <w:abstractNumId w:val="11"/>
  </w:num>
  <w:num w:numId="45" w16cid:durableId="21205661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372"/>
    <w:rsid w:val="00025FAB"/>
    <w:rsid w:val="00040CDD"/>
    <w:rsid w:val="0005414A"/>
    <w:rsid w:val="0009631B"/>
    <w:rsid w:val="000C01B5"/>
    <w:rsid w:val="000D7AE6"/>
    <w:rsid w:val="000F629E"/>
    <w:rsid w:val="001021A7"/>
    <w:rsid w:val="001262F0"/>
    <w:rsid w:val="00133D55"/>
    <w:rsid w:val="001514F3"/>
    <w:rsid w:val="00155753"/>
    <w:rsid w:val="00173CEF"/>
    <w:rsid w:val="00175F56"/>
    <w:rsid w:val="00182A00"/>
    <w:rsid w:val="00193A8E"/>
    <w:rsid w:val="001A662F"/>
    <w:rsid w:val="001C7FCA"/>
    <w:rsid w:val="001D6115"/>
    <w:rsid w:val="001E18D8"/>
    <w:rsid w:val="00206A64"/>
    <w:rsid w:val="00216810"/>
    <w:rsid w:val="00236A85"/>
    <w:rsid w:val="002608D1"/>
    <w:rsid w:val="00281CFF"/>
    <w:rsid w:val="002849E6"/>
    <w:rsid w:val="002973BC"/>
    <w:rsid w:val="002C58C2"/>
    <w:rsid w:val="003355B7"/>
    <w:rsid w:val="00337EDF"/>
    <w:rsid w:val="003406B5"/>
    <w:rsid w:val="00374AD4"/>
    <w:rsid w:val="00380313"/>
    <w:rsid w:val="003A08D0"/>
    <w:rsid w:val="003D1247"/>
    <w:rsid w:val="003E216F"/>
    <w:rsid w:val="003F581A"/>
    <w:rsid w:val="003F65DC"/>
    <w:rsid w:val="004007A1"/>
    <w:rsid w:val="00414E50"/>
    <w:rsid w:val="0042673E"/>
    <w:rsid w:val="004304D0"/>
    <w:rsid w:val="00433F96"/>
    <w:rsid w:val="00451DFC"/>
    <w:rsid w:val="00471B6A"/>
    <w:rsid w:val="00485D6F"/>
    <w:rsid w:val="004947F9"/>
    <w:rsid w:val="0049639E"/>
    <w:rsid w:val="004A3815"/>
    <w:rsid w:val="004A4D71"/>
    <w:rsid w:val="004C6245"/>
    <w:rsid w:val="004E2457"/>
    <w:rsid w:val="00501CC5"/>
    <w:rsid w:val="00515AF6"/>
    <w:rsid w:val="0053056E"/>
    <w:rsid w:val="00534D94"/>
    <w:rsid w:val="00537B88"/>
    <w:rsid w:val="00557760"/>
    <w:rsid w:val="005613BA"/>
    <w:rsid w:val="00564C5E"/>
    <w:rsid w:val="00573EF7"/>
    <w:rsid w:val="005A2B8A"/>
    <w:rsid w:val="005A4C75"/>
    <w:rsid w:val="005A72F4"/>
    <w:rsid w:val="005F0626"/>
    <w:rsid w:val="00601512"/>
    <w:rsid w:val="00631B36"/>
    <w:rsid w:val="00646DCD"/>
    <w:rsid w:val="00647452"/>
    <w:rsid w:val="00650BB6"/>
    <w:rsid w:val="00662296"/>
    <w:rsid w:val="00684870"/>
    <w:rsid w:val="006A5031"/>
    <w:rsid w:val="006A63C7"/>
    <w:rsid w:val="006C60F9"/>
    <w:rsid w:val="006E7486"/>
    <w:rsid w:val="006F0A94"/>
    <w:rsid w:val="00702D0A"/>
    <w:rsid w:val="00752504"/>
    <w:rsid w:val="00752ECD"/>
    <w:rsid w:val="00764A1A"/>
    <w:rsid w:val="0077092A"/>
    <w:rsid w:val="00790084"/>
    <w:rsid w:val="0079020F"/>
    <w:rsid w:val="00792323"/>
    <w:rsid w:val="007C37FB"/>
    <w:rsid w:val="007D6D1A"/>
    <w:rsid w:val="007E39A2"/>
    <w:rsid w:val="00834544"/>
    <w:rsid w:val="008658D1"/>
    <w:rsid w:val="00883050"/>
    <w:rsid w:val="00892E95"/>
    <w:rsid w:val="008A3119"/>
    <w:rsid w:val="008D0DA5"/>
    <w:rsid w:val="008E1C01"/>
    <w:rsid w:val="008E1F6B"/>
    <w:rsid w:val="008E4A15"/>
    <w:rsid w:val="008F1CB1"/>
    <w:rsid w:val="0090221C"/>
    <w:rsid w:val="00912332"/>
    <w:rsid w:val="00941288"/>
    <w:rsid w:val="00943C07"/>
    <w:rsid w:val="00947446"/>
    <w:rsid w:val="00973F48"/>
    <w:rsid w:val="00983387"/>
    <w:rsid w:val="00983581"/>
    <w:rsid w:val="00986372"/>
    <w:rsid w:val="009A0259"/>
    <w:rsid w:val="009A4D6B"/>
    <w:rsid w:val="009B2942"/>
    <w:rsid w:val="009C423D"/>
    <w:rsid w:val="009C729C"/>
    <w:rsid w:val="009D70C8"/>
    <w:rsid w:val="009E27D9"/>
    <w:rsid w:val="009E3B96"/>
    <w:rsid w:val="009F619F"/>
    <w:rsid w:val="009F6F35"/>
    <w:rsid w:val="00A02EDC"/>
    <w:rsid w:val="00A07E5E"/>
    <w:rsid w:val="00A515EA"/>
    <w:rsid w:val="00A67424"/>
    <w:rsid w:val="00A90D65"/>
    <w:rsid w:val="00A95E70"/>
    <w:rsid w:val="00AD37A0"/>
    <w:rsid w:val="00AF461A"/>
    <w:rsid w:val="00B150C7"/>
    <w:rsid w:val="00B23760"/>
    <w:rsid w:val="00B26740"/>
    <w:rsid w:val="00B26DCB"/>
    <w:rsid w:val="00B35A12"/>
    <w:rsid w:val="00B519B7"/>
    <w:rsid w:val="00B55D13"/>
    <w:rsid w:val="00B60372"/>
    <w:rsid w:val="00BD3C95"/>
    <w:rsid w:val="00BD45CD"/>
    <w:rsid w:val="00BE0A54"/>
    <w:rsid w:val="00BE1915"/>
    <w:rsid w:val="00BF0AAC"/>
    <w:rsid w:val="00BF1D09"/>
    <w:rsid w:val="00BF4A5F"/>
    <w:rsid w:val="00BF4F85"/>
    <w:rsid w:val="00C1129B"/>
    <w:rsid w:val="00C12F17"/>
    <w:rsid w:val="00C15FB2"/>
    <w:rsid w:val="00C32FC2"/>
    <w:rsid w:val="00C81B93"/>
    <w:rsid w:val="00CA5F56"/>
    <w:rsid w:val="00CB1329"/>
    <w:rsid w:val="00CB34CD"/>
    <w:rsid w:val="00CC1C10"/>
    <w:rsid w:val="00CF017E"/>
    <w:rsid w:val="00CF0615"/>
    <w:rsid w:val="00D043F5"/>
    <w:rsid w:val="00D063BF"/>
    <w:rsid w:val="00D44921"/>
    <w:rsid w:val="00D8672E"/>
    <w:rsid w:val="00DA08D8"/>
    <w:rsid w:val="00DA281C"/>
    <w:rsid w:val="00DD5943"/>
    <w:rsid w:val="00DD5B50"/>
    <w:rsid w:val="00DF6762"/>
    <w:rsid w:val="00E32292"/>
    <w:rsid w:val="00E3266B"/>
    <w:rsid w:val="00E32879"/>
    <w:rsid w:val="00E33509"/>
    <w:rsid w:val="00E40C3D"/>
    <w:rsid w:val="00E664C3"/>
    <w:rsid w:val="00E70EF0"/>
    <w:rsid w:val="00E74A6A"/>
    <w:rsid w:val="00EE02AB"/>
    <w:rsid w:val="00EE171F"/>
    <w:rsid w:val="00F10891"/>
    <w:rsid w:val="00F117ED"/>
    <w:rsid w:val="00F21C10"/>
    <w:rsid w:val="00F44BBE"/>
    <w:rsid w:val="00F519B7"/>
    <w:rsid w:val="00F61EA2"/>
    <w:rsid w:val="00F62B3D"/>
    <w:rsid w:val="00FB3A5C"/>
    <w:rsid w:val="00FD658A"/>
    <w:rsid w:val="00FD7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022D9"/>
  <w15:docId w15:val="{4BDB42A1-8E13-40ED-8509-D368E1EFE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720" w:lineRule="auto"/>
    </w:pPr>
    <w:rPr>
      <w:rFonts w:ascii="Times New Roman" w:hAnsi="Times New Roman"/>
      <w:sz w:val="24"/>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276" w:lineRule="auto"/>
      <w:jc w:val="center"/>
    </w:pPr>
    <w:rPr>
      <w:b/>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line="240" w:lineRule="auto"/>
      <w:jc w:val="center"/>
    </w:pPr>
  </w:style>
  <w:style w:type="character" w:customStyle="1" w:styleId="FooterChar">
    <w:name w:val="Footer Char"/>
    <w:basedOn w:val="DefaultParagraphFont"/>
    <w:link w:val="Footer"/>
    <w:uiPriority w:val="99"/>
    <w:rPr>
      <w:rFonts w:ascii="Times New Roman" w:hAnsi="Times New Roman"/>
      <w:sz w:val="24"/>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unhideWhenUsed/>
    <w:pPr>
      <w:spacing w:after="60" w:line="240" w:lineRule="auto"/>
    </w:pPr>
    <w:rPr>
      <w:sz w:val="20"/>
      <w:szCs w:val="20"/>
    </w:rPr>
  </w:style>
  <w:style w:type="character" w:customStyle="1" w:styleId="FootnoteTextChar">
    <w:name w:val="Footnote Text Char"/>
    <w:basedOn w:val="DefaultParagraphFont"/>
    <w:link w:val="FootnoteText"/>
    <w:uiPriority w:val="99"/>
    <w:rPr>
      <w:rFonts w:ascii="Times New Roman" w:hAnsi="Times New Roman"/>
      <w:sz w:val="20"/>
      <w:szCs w:val="20"/>
    </w:rPr>
  </w:style>
  <w:style w:type="character" w:styleId="FootnoteReference">
    <w:name w:val="footnote reference"/>
    <w:basedOn w:val="DefaultParagraphFont"/>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800080" w:themeColor="followedHyperlink"/>
      <w:u w:val="single"/>
    </w:rPr>
  </w:style>
  <w:style w:type="paragraph" w:styleId="ListNumber">
    <w:name w:val="List Number"/>
    <w:basedOn w:val="Normal"/>
    <w:unhideWhenUsed/>
    <w:pPr>
      <w:spacing w:after="120" w:line="276" w:lineRule="auto"/>
      <w:jc w:val="both"/>
    </w:pPr>
  </w:style>
  <w:style w:type="paragraph" w:styleId="ListBullet">
    <w:name w:val="List Bullet"/>
    <w:basedOn w:val="Normal"/>
    <w:uiPriority w:val="99"/>
    <w:unhideWhenUsed/>
    <w:pPr>
      <w:numPr>
        <w:numId w:val="29"/>
      </w:numPr>
      <w:spacing w:after="120" w:line="276" w:lineRule="auto"/>
      <w:jc w:val="both"/>
    </w:pPr>
  </w:style>
  <w:style w:type="paragraph" w:customStyle="1" w:styleId="SectionHeading">
    <w:name w:val="Section Heading"/>
    <w:basedOn w:val="Normal"/>
    <w:pPr>
      <w:numPr>
        <w:numId w:val="41"/>
      </w:numPr>
      <w:spacing w:after="120" w:line="276" w:lineRule="auto"/>
      <w:jc w:val="both"/>
    </w:pPr>
    <w:rPr>
      <w:rFonts w:eastAsia="Times New Roman" w:cs="Times New Roman"/>
      <w:b/>
    </w:rPr>
  </w:style>
  <w:style w:type="paragraph" w:styleId="BodyText">
    <w:name w:val="Body Text"/>
    <w:basedOn w:val="Normal"/>
    <w:link w:val="BodyTextChar"/>
    <w:uiPriority w:val="99"/>
    <w:unhideWhenUsed/>
    <w:pPr>
      <w:spacing w:after="120" w:line="276" w:lineRule="auto"/>
      <w:jc w:val="both"/>
    </w:pPr>
  </w:style>
  <w:style w:type="character" w:customStyle="1" w:styleId="BodyTextChar">
    <w:name w:val="Body Text Char"/>
    <w:basedOn w:val="DefaultParagraphFont"/>
    <w:link w:val="BodyText"/>
    <w:uiPriority w:val="99"/>
    <w:rPr>
      <w:rFonts w:ascii="Times New Roman" w:hAnsi="Times New Roman"/>
    </w:rPr>
  </w:style>
  <w:style w:type="paragraph" w:customStyle="1" w:styleId="CenteredBold">
    <w:name w:val="CenteredBold"/>
    <w:basedOn w:val="Normal"/>
    <w:link w:val="CenteredBoldChar"/>
    <w:pPr>
      <w:spacing w:after="120" w:line="276" w:lineRule="auto"/>
      <w:jc w:val="center"/>
    </w:pPr>
    <w:rPr>
      <w:rFonts w:eastAsia="Times New Roman" w:cs="Times New Roman"/>
      <w:b/>
    </w:rPr>
  </w:style>
  <w:style w:type="paragraph" w:customStyle="1" w:styleId="Centered">
    <w:name w:val="Centered"/>
    <w:basedOn w:val="Normal"/>
    <w:pPr>
      <w:widowControl w:val="0"/>
      <w:spacing w:after="120" w:line="240" w:lineRule="auto"/>
      <w:jc w:val="center"/>
    </w:pPr>
    <w:rPr>
      <w:rFonts w:eastAsia="Times New Roman" w:cs="Times New Roman"/>
    </w:rPr>
  </w:style>
  <w:style w:type="paragraph" w:customStyle="1" w:styleId="DocID">
    <w:name w:val="DocID"/>
    <w:basedOn w:val="Footer"/>
    <w:next w:val="Footer"/>
    <w:link w:val="DocIDChar"/>
    <w:pPr>
      <w:tabs>
        <w:tab w:val="clear" w:pos="4680"/>
        <w:tab w:val="clear" w:pos="9360"/>
      </w:tabs>
      <w:jc w:val="left"/>
    </w:pPr>
    <w:rPr>
      <w:rFonts w:eastAsia="Times New Roman" w:cs="Times New Roman"/>
      <w:sz w:val="16"/>
      <w:szCs w:val="20"/>
      <w:lang w:val="en-US"/>
    </w:rPr>
  </w:style>
  <w:style w:type="character" w:customStyle="1" w:styleId="CenteredBoldChar">
    <w:name w:val="CenteredBold Char"/>
    <w:basedOn w:val="DefaultParagraphFont"/>
    <w:link w:val="CenteredBold"/>
    <w:rPr>
      <w:rFonts w:ascii="Times New Roman" w:eastAsia="Times New Roman" w:hAnsi="Times New Roman" w:cs="Times New Roman"/>
      <w:b/>
      <w:sz w:val="24"/>
    </w:rPr>
  </w:style>
  <w:style w:type="character" w:customStyle="1" w:styleId="DocIDChar">
    <w:name w:val="DocID Char"/>
    <w:basedOn w:val="CenteredBoldChar"/>
    <w:link w:val="DocID"/>
    <w:rPr>
      <w:rFonts w:ascii="Times New Roman" w:eastAsia="Times New Roman" w:hAnsi="Times New Roman" w:cs="Times New Roman"/>
      <w:b w:val="0"/>
      <w:sz w:val="16"/>
      <w:szCs w:val="20"/>
      <w:lang w:val="en-US" w:eastAsia="en-US"/>
    </w:rPr>
  </w:style>
  <w:style w:type="paragraph" w:styleId="Revision">
    <w:name w:val="Revision"/>
    <w:hidden/>
    <w:uiPriority w:val="99"/>
    <w:semiHidden/>
    <w:pPr>
      <w:spacing w:line="240" w:lineRule="auto"/>
    </w:pPr>
    <w:rPr>
      <w:rFonts w:ascii="Times New Roman" w:hAnsi="Times New Roman"/>
      <w:sz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b/>
      <w:bCs/>
      <w:sz w:val="20"/>
      <w:szCs w:val="20"/>
    </w:rPr>
  </w:style>
  <w:style w:type="paragraph" w:customStyle="1" w:styleId="BodyTextcontinued">
    <w:name w:val="Body Text continued"/>
    <w:basedOn w:val="Normal"/>
    <w:rsid w:val="001021A7"/>
    <w:pPr>
      <w:spacing w:after="240" w:line="240" w:lineRule="auto"/>
      <w:jc w:val="both"/>
    </w:pPr>
    <w:rPr>
      <w:rFonts w:eastAsia="Times New Roman" w:cs="Times New Roman"/>
      <w:kern w:val="28"/>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901289">
      <w:bodyDiv w:val="1"/>
      <w:marLeft w:val="0"/>
      <w:marRight w:val="0"/>
      <w:marTop w:val="0"/>
      <w:marBottom w:val="0"/>
      <w:divBdr>
        <w:top w:val="none" w:sz="0" w:space="0" w:color="auto"/>
        <w:left w:val="none" w:sz="0" w:space="0" w:color="auto"/>
        <w:bottom w:val="none" w:sz="0" w:space="0" w:color="auto"/>
        <w:right w:val="none" w:sz="0" w:space="0" w:color="auto"/>
      </w:divBdr>
    </w:div>
    <w:div w:id="464465381">
      <w:bodyDiv w:val="1"/>
      <w:marLeft w:val="0"/>
      <w:marRight w:val="0"/>
      <w:marTop w:val="0"/>
      <w:marBottom w:val="0"/>
      <w:divBdr>
        <w:top w:val="none" w:sz="0" w:space="0" w:color="auto"/>
        <w:left w:val="none" w:sz="0" w:space="0" w:color="auto"/>
        <w:bottom w:val="none" w:sz="0" w:space="0" w:color="auto"/>
        <w:right w:val="none" w:sz="0" w:space="0" w:color="auto"/>
      </w:divBdr>
    </w:div>
    <w:div w:id="465701335">
      <w:bodyDiv w:val="1"/>
      <w:marLeft w:val="0"/>
      <w:marRight w:val="0"/>
      <w:marTop w:val="0"/>
      <w:marBottom w:val="0"/>
      <w:divBdr>
        <w:top w:val="none" w:sz="0" w:space="0" w:color="auto"/>
        <w:left w:val="none" w:sz="0" w:space="0" w:color="auto"/>
        <w:bottom w:val="none" w:sz="0" w:space="0" w:color="auto"/>
        <w:right w:val="none" w:sz="0" w:space="0" w:color="auto"/>
      </w:divBdr>
    </w:div>
    <w:div w:id="615021403">
      <w:bodyDiv w:val="1"/>
      <w:marLeft w:val="0"/>
      <w:marRight w:val="0"/>
      <w:marTop w:val="0"/>
      <w:marBottom w:val="0"/>
      <w:divBdr>
        <w:top w:val="none" w:sz="0" w:space="0" w:color="auto"/>
        <w:left w:val="none" w:sz="0" w:space="0" w:color="auto"/>
        <w:bottom w:val="none" w:sz="0" w:space="0" w:color="auto"/>
        <w:right w:val="none" w:sz="0" w:space="0" w:color="auto"/>
      </w:divBdr>
    </w:div>
    <w:div w:id="792749084">
      <w:bodyDiv w:val="1"/>
      <w:marLeft w:val="0"/>
      <w:marRight w:val="0"/>
      <w:marTop w:val="0"/>
      <w:marBottom w:val="0"/>
      <w:divBdr>
        <w:top w:val="none" w:sz="0" w:space="0" w:color="auto"/>
        <w:left w:val="none" w:sz="0" w:space="0" w:color="auto"/>
        <w:bottom w:val="none" w:sz="0" w:space="0" w:color="auto"/>
        <w:right w:val="none" w:sz="0" w:space="0" w:color="auto"/>
      </w:divBdr>
    </w:div>
    <w:div w:id="959804629">
      <w:bodyDiv w:val="1"/>
      <w:marLeft w:val="0"/>
      <w:marRight w:val="0"/>
      <w:marTop w:val="0"/>
      <w:marBottom w:val="0"/>
      <w:divBdr>
        <w:top w:val="none" w:sz="0" w:space="0" w:color="auto"/>
        <w:left w:val="none" w:sz="0" w:space="0" w:color="auto"/>
        <w:bottom w:val="none" w:sz="0" w:space="0" w:color="auto"/>
        <w:right w:val="none" w:sz="0" w:space="0" w:color="auto"/>
      </w:divBdr>
    </w:div>
    <w:div w:id="1399865349">
      <w:bodyDiv w:val="1"/>
      <w:marLeft w:val="0"/>
      <w:marRight w:val="0"/>
      <w:marTop w:val="0"/>
      <w:marBottom w:val="0"/>
      <w:divBdr>
        <w:top w:val="none" w:sz="0" w:space="0" w:color="auto"/>
        <w:left w:val="none" w:sz="0" w:space="0" w:color="auto"/>
        <w:bottom w:val="none" w:sz="0" w:space="0" w:color="auto"/>
        <w:right w:val="none" w:sz="0" w:space="0" w:color="auto"/>
      </w:divBdr>
    </w:div>
    <w:div w:id="1508250175">
      <w:bodyDiv w:val="1"/>
      <w:marLeft w:val="0"/>
      <w:marRight w:val="0"/>
      <w:marTop w:val="0"/>
      <w:marBottom w:val="0"/>
      <w:divBdr>
        <w:top w:val="none" w:sz="0" w:space="0" w:color="auto"/>
        <w:left w:val="none" w:sz="0" w:space="0" w:color="auto"/>
        <w:bottom w:val="none" w:sz="0" w:space="0" w:color="auto"/>
        <w:right w:val="none" w:sz="0" w:space="0" w:color="auto"/>
      </w:divBdr>
    </w:div>
    <w:div w:id="1553225757">
      <w:bodyDiv w:val="1"/>
      <w:marLeft w:val="0"/>
      <w:marRight w:val="0"/>
      <w:marTop w:val="0"/>
      <w:marBottom w:val="0"/>
      <w:divBdr>
        <w:top w:val="none" w:sz="0" w:space="0" w:color="auto"/>
        <w:left w:val="none" w:sz="0" w:space="0" w:color="auto"/>
        <w:bottom w:val="none" w:sz="0" w:space="0" w:color="auto"/>
        <w:right w:val="none" w:sz="0" w:space="0" w:color="auto"/>
      </w:divBdr>
    </w:div>
    <w:div w:id="1753774901">
      <w:bodyDiv w:val="1"/>
      <w:marLeft w:val="0"/>
      <w:marRight w:val="0"/>
      <w:marTop w:val="0"/>
      <w:marBottom w:val="0"/>
      <w:divBdr>
        <w:top w:val="none" w:sz="0" w:space="0" w:color="auto"/>
        <w:left w:val="none" w:sz="0" w:space="0" w:color="auto"/>
        <w:bottom w:val="none" w:sz="0" w:space="0" w:color="auto"/>
        <w:right w:val="none" w:sz="0" w:space="0" w:color="auto"/>
      </w:divBdr>
    </w:div>
    <w:div w:id="1779836829">
      <w:bodyDiv w:val="1"/>
      <w:marLeft w:val="0"/>
      <w:marRight w:val="0"/>
      <w:marTop w:val="0"/>
      <w:marBottom w:val="0"/>
      <w:divBdr>
        <w:top w:val="none" w:sz="0" w:space="0" w:color="auto"/>
        <w:left w:val="none" w:sz="0" w:space="0" w:color="auto"/>
        <w:bottom w:val="none" w:sz="0" w:space="0" w:color="auto"/>
        <w:right w:val="none" w:sz="0" w:space="0" w:color="auto"/>
      </w:divBdr>
    </w:div>
    <w:div w:id="1965844373">
      <w:bodyDiv w:val="1"/>
      <w:marLeft w:val="0"/>
      <w:marRight w:val="0"/>
      <w:marTop w:val="0"/>
      <w:marBottom w:val="0"/>
      <w:divBdr>
        <w:top w:val="none" w:sz="0" w:space="0" w:color="auto"/>
        <w:left w:val="none" w:sz="0" w:space="0" w:color="auto"/>
        <w:bottom w:val="none" w:sz="0" w:space="0" w:color="auto"/>
        <w:right w:val="none" w:sz="0" w:space="0" w:color="auto"/>
      </w:divBdr>
    </w:div>
    <w:div w:id="1973486671">
      <w:bodyDiv w:val="1"/>
      <w:marLeft w:val="0"/>
      <w:marRight w:val="0"/>
      <w:marTop w:val="0"/>
      <w:marBottom w:val="0"/>
      <w:divBdr>
        <w:top w:val="none" w:sz="0" w:space="0" w:color="auto"/>
        <w:left w:val="none" w:sz="0" w:space="0" w:color="auto"/>
        <w:bottom w:val="none" w:sz="0" w:space="0" w:color="auto"/>
        <w:right w:val="none" w:sz="0" w:space="0" w:color="auto"/>
      </w:divBdr>
    </w:div>
    <w:div w:id="2048870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RaajjeTelevision/videos/1181937132165426/" TargetMode="External"/><Relationship Id="rId2" Type="http://schemas.openxmlformats.org/officeDocument/2006/relationships/hyperlink" Target="http://www.handsoffcain.info/notizia/maldives-naifaru-court-sentences-woman-in-absentia-to-death-by-stoning-40300121" TargetMode="External"/><Relationship Id="rId1" Type="http://schemas.openxmlformats.org/officeDocument/2006/relationships/hyperlink" Target="http://www.handsoffcain.info/notizia/maldives-naifaru-court-sentences-woman-in-absentia-to-death-by-stoning-40300121" TargetMode="External"/><Relationship Id="rId4" Type="http://schemas.openxmlformats.org/officeDocument/2006/relationships/hyperlink" Target="https://www.youtube.com/watch?v=THZ5ZFCTWss"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0CF943-D566-4A33-AC01-0CCC02E34415}"/>
</file>

<file path=customXml/itemProps2.xml><?xml version="1.0" encoding="utf-8"?>
<ds:datastoreItem xmlns:ds="http://schemas.openxmlformats.org/officeDocument/2006/customXml" ds:itemID="{948E7D9E-A088-4ACE-A4D1-498DAEA9FC93}"/>
</file>

<file path=docProps/app.xml><?xml version="1.0" encoding="utf-8"?>
<Properties xmlns="http://schemas.openxmlformats.org/officeDocument/2006/extended-properties" xmlns:vt="http://schemas.openxmlformats.org/officeDocument/2006/docPropsVTypes">
  <Template>Normal</Template>
  <TotalTime>1</TotalTime>
  <Pages>11</Pages>
  <Words>3634</Words>
  <Characters>20719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3</cp:revision>
  <dcterms:created xsi:type="dcterms:W3CDTF">2024-06-03T21:35:00Z</dcterms:created>
  <dcterms:modified xsi:type="dcterms:W3CDTF">2024-06-03T21:35:00Z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167576407.1</vt:lpwstr>
  </property>
  <property fmtid="{D5CDD505-2E9C-101B-9397-08002B2CF9AE}" pid="3" name="CUS_DocIDChunk0">
    <vt:lpwstr>167576407.1</vt:lpwstr>
  </property>
  <property fmtid="{D5CDD505-2E9C-101B-9397-08002B2CF9AE}" pid="4" name="CUS_DocIDActiveBits">
    <vt:lpwstr>98304</vt:lpwstr>
  </property>
  <property fmtid="{D5CDD505-2E9C-101B-9397-08002B2CF9AE}" pid="5" name="CUS_DocIDLocation">
    <vt:lpwstr>EVERY_PAGE</vt:lpwstr>
  </property>
  <property fmtid="{D5CDD505-2E9C-101B-9397-08002B2CF9AE}" pid="6" name="CUS_DocIDReference">
    <vt:lpwstr>everyPage</vt:lpwstr>
  </property>
</Properties>
</file>