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settings.xml" ContentType="application/vnd.openxmlformats-officedocument.wordprocessingml.settings+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rPr>
      </w:pPr>
      <w:r>
        <w:rPr>
          <w:b/>
          <w:bCs/>
        </w:rPr>
        <w:drawing>
          <wp:inline distT="0" distB="0" distL="0" distR="0">
            <wp:extent cx="2336800" cy="2005330"/>
            <wp:effectExtent l="0" t="0" r="6350" b="0"/>
            <wp:docPr id="1" name="Image 1" descr="C:\Users\LENOVO\Documents\Differents projets\Logo OCLDA\OCLA 2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C:\Users\LENOVO\Documents\Differents projets\Logo OCLDA\OCLA 2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341735" cy="2009810"/>
                    </a:xfrm>
                    <a:prstGeom prst="rect">
                      <a:avLst/>
                    </a:prstGeom>
                    <a:noFill/>
                    <a:ln>
                      <a:noFill/>
                    </a:ln>
                  </pic:spPr>
                </pic:pic>
              </a:graphicData>
            </a:graphic>
          </wp:inline>
        </w:drawing>
      </w:r>
    </w:p>
    <w:p>
      <w:pPr>
        <w:jc w:val="center"/>
        <w:rPr>
          <w:b/>
          <w:bCs/>
        </w:rPr>
      </w:pPr>
      <w:r>
        <w:rPr>
          <w:b/>
          <w:bCs/>
        </w:rPr>
        <w:t>RAPPORT ALTERNATIF SUR LA MISE EN ŒUVRE DE LA CONVENTION SUR LES DROITS DES TRAVAILLEURS MIGRANTS ET DE LEURS MEMBRES DE FAMILLE</w:t>
      </w:r>
    </w:p>
    <w:p>
      <w:pPr>
        <w:jc w:val="center"/>
        <w:rPr>
          <w:b/>
          <w:bCs/>
        </w:rPr>
      </w:pPr>
      <w:r>
        <w:rPr>
          <w:b/>
          <w:bCs/>
        </w:rPr>
        <w:t>PAR L’OBSERVATOIRE CONGOLAIS DE LUTTE CONTRE L’APATRIDIE(OCLA)</w:t>
      </w:r>
    </w:p>
    <w:p>
      <w:pPr>
        <w:jc w:val="center"/>
        <w:rPr>
          <w:b/>
          <w:bCs/>
        </w:rPr>
      </w:pPr>
      <w:r>
        <w:rPr>
          <w:b/>
          <w:bCs/>
        </w:rPr>
        <w:t>REPUBLIQUE DU CONGO</w:t>
      </w:r>
    </w:p>
    <w:p>
      <w:bookmarkStart w:id="0" w:name="_GoBack"/>
      <w:bookmarkEnd w:id="0"/>
      <w:r>
        <w:t xml:space="preserve"> </w:t>
      </w:r>
    </w:p>
    <w:p>
      <w:pPr>
        <w:pStyle w:val="9"/>
        <w:numPr>
          <w:ilvl w:val="0"/>
          <w:numId w:val="1"/>
        </w:numPr>
        <w:rPr>
          <w:b/>
        </w:rPr>
      </w:pPr>
      <w:r>
        <w:rPr>
          <w:b/>
        </w:rPr>
        <w:t>Renseignements d’ordre général</w:t>
      </w:r>
    </w:p>
    <w:p>
      <w:pPr>
        <w:numPr>
          <w:ilvl w:val="0"/>
          <w:numId w:val="2"/>
        </w:numPr>
        <w:jc w:val="both"/>
      </w:pPr>
      <w:r>
        <w:t>-Le Congo dispose d’un ensemble de textes prenant en compte la situation des travailleurs migrants. Il s’agit notamment de la loi sur les conditions d’entrée et de séjour en République du Congo qui définit les modalités d’installation en République du Congo en définit l’environnement juridique dans lequel les migrants peuvent s’installer ainsi que leurs membres de famille</w:t>
      </w:r>
      <w:r>
        <w:rPr>
          <w:rStyle w:val="4"/>
        </w:rPr>
        <w:footnoteReference w:id="0"/>
      </w:r>
      <w:r>
        <w:t>.</w:t>
      </w:r>
    </w:p>
    <w:p>
      <w:pPr>
        <w:ind w:left="720"/>
        <w:jc w:val="both"/>
      </w:pPr>
      <w:r>
        <w:t xml:space="preserve"> </w:t>
      </w:r>
    </w:p>
    <w:p>
      <w:pPr>
        <w:numPr>
          <w:ilvl w:val="0"/>
          <w:numId w:val="2"/>
        </w:numPr>
        <w:jc w:val="both"/>
      </w:pPr>
      <w:r>
        <w:t xml:space="preserve">-Il y a aussi la loi sur le droit d’asile et le statut des </w:t>
      </w:r>
      <w:r>
        <w:rPr>
          <w:lang w:val="fr-FR"/>
        </w:rPr>
        <w:t>réfugiés</w:t>
      </w:r>
      <w:r>
        <w:t xml:space="preserve"> en République du Congo. Il s’agit de l’un des principaux textes prenant en compte une catégorie des migrants notamment les réfugiés et demandeurs d’asile</w:t>
      </w:r>
      <w:r>
        <w:rPr>
          <w:rStyle w:val="4"/>
        </w:rPr>
        <w:footnoteReference w:id="1"/>
      </w:r>
      <w:r>
        <w:t xml:space="preserve">. Ce texte a l’avantage de définir les droits et devoirs des </w:t>
      </w:r>
      <w:r>
        <w:rPr>
          <w:lang w:val="fr-FR"/>
        </w:rPr>
        <w:t>réfugiés</w:t>
      </w:r>
      <w:r>
        <w:t xml:space="preserve"> en République du Congo.</w:t>
      </w:r>
    </w:p>
    <w:p>
      <w:pPr>
        <w:jc w:val="both"/>
      </w:pPr>
      <w:r>
        <w:t xml:space="preserve">Toutefois, il est à souligner que ces textes présentent encore quelques faiblesses en ce que certains secteurs ne sont pas clairement définis et pris en compte. La loi sur les conditions d’entrée et de séjour comme l’indique son </w:t>
      </w:r>
      <w:r>
        <w:rPr>
          <w:rFonts w:hint="default"/>
          <w:lang w:val="fr-FR"/>
        </w:rPr>
        <w:t>intitule ne régit que le séjour et n</w:t>
      </w:r>
      <w:r>
        <w:t xml:space="preserve">e </w:t>
      </w:r>
      <w:r>
        <w:rPr>
          <w:rFonts w:hint="default"/>
          <w:lang w:val="fr-FR"/>
        </w:rPr>
        <w:t xml:space="preserve">couvre </w:t>
      </w:r>
      <w:r>
        <w:t xml:space="preserve">pas </w:t>
      </w:r>
      <w:r>
        <w:rPr>
          <w:rFonts w:hint="default"/>
          <w:lang w:val="fr-FR"/>
        </w:rPr>
        <w:t xml:space="preserve">certains </w:t>
      </w:r>
      <w:r>
        <w:t xml:space="preserve">secteurs </w:t>
      </w:r>
      <w:r>
        <w:rPr>
          <w:rFonts w:hint="default"/>
          <w:lang w:val="fr-FR"/>
        </w:rPr>
        <w:t xml:space="preserve">comme </w:t>
      </w:r>
      <w:r>
        <w:t>l’éducation</w:t>
      </w:r>
      <w:r>
        <w:rPr>
          <w:rFonts w:hint="default"/>
          <w:lang w:val="fr-FR"/>
        </w:rPr>
        <w:t>,</w:t>
      </w:r>
      <w:r>
        <w:t xml:space="preserve"> l’emploi</w:t>
      </w:r>
      <w:r>
        <w:rPr>
          <w:rFonts w:hint="default"/>
          <w:lang w:val="fr-FR"/>
        </w:rPr>
        <w:t xml:space="preserve"> etc</w:t>
      </w:r>
      <w:r>
        <w:t xml:space="preserve">. </w:t>
      </w:r>
    </w:p>
    <w:p>
      <w:pPr>
        <w:jc w:val="both"/>
        <w:rPr>
          <w:rFonts w:hint="default"/>
          <w:lang w:val="fr-FR"/>
        </w:rPr>
      </w:pPr>
      <w:r>
        <w:t xml:space="preserve">La Loi d’asile </w:t>
      </w:r>
      <w:r>
        <w:rPr>
          <w:rFonts w:hint="default"/>
          <w:lang w:val="fr-FR"/>
        </w:rPr>
        <w:t xml:space="preserve">quant a elle, </w:t>
      </w:r>
      <w:r>
        <w:t>n’a pas encore</w:t>
      </w:r>
      <w:r>
        <w:rPr>
          <w:rFonts w:hint="default"/>
          <w:lang w:val="fr-FR"/>
        </w:rPr>
        <w:t xml:space="preserve"> l</w:t>
      </w:r>
      <w:r>
        <w:t xml:space="preserve">es textes d’application </w:t>
      </w:r>
      <w:r>
        <w:rPr>
          <w:lang w:val="fr-FR"/>
        </w:rPr>
        <w:t>dûment</w:t>
      </w:r>
      <w:r>
        <w:rPr>
          <w:rFonts w:hint="default"/>
          <w:lang w:val="fr-FR"/>
        </w:rPr>
        <w:t xml:space="preserve"> </w:t>
      </w:r>
      <w:r>
        <w:rPr>
          <w:lang w:val="fr-FR"/>
        </w:rPr>
        <w:t>promulgu</w:t>
      </w:r>
      <w:r>
        <w:t>é</w:t>
      </w:r>
      <w:r>
        <w:rPr>
          <w:lang w:val="fr-FR"/>
        </w:rPr>
        <w:t>s</w:t>
      </w:r>
      <w:r>
        <w:rPr>
          <w:rFonts w:hint="default"/>
          <w:lang w:val="fr-FR"/>
        </w:rPr>
        <w:t xml:space="preserve"> </w:t>
      </w:r>
      <w:r>
        <w:t>et</w:t>
      </w:r>
      <w:r>
        <w:rPr>
          <w:rFonts w:hint="default"/>
          <w:lang w:val="fr-FR"/>
        </w:rPr>
        <w:t xml:space="preserve"> </w:t>
      </w:r>
      <w:r>
        <w:t>ne protège que les personnes en situation de refug</w:t>
      </w:r>
      <w:r>
        <w:rPr>
          <w:rFonts w:hint="default"/>
          <w:lang w:val="fr-FR"/>
        </w:rPr>
        <w:t>e</w:t>
      </w:r>
      <w:r>
        <w:t>.</w:t>
      </w:r>
      <w:r>
        <w:rPr>
          <w:rFonts w:hint="default"/>
          <w:lang w:val="fr-FR"/>
        </w:rPr>
        <w:t xml:space="preserve"> </w:t>
      </w:r>
    </w:p>
    <w:p>
      <w:pPr>
        <w:jc w:val="both"/>
      </w:pPr>
      <w:r>
        <w:t>- b)-Les travailleurs transfrontaliers notamment ceux en provenance de la RDC bénéficient du même traitement et mêmes avantages que ceux accordés aux étrangers en situation régulière en République du Congo. Il n’y a pas de discrimination.</w:t>
      </w:r>
    </w:p>
    <w:p>
      <w:pPr>
        <w:jc w:val="both"/>
      </w:pPr>
      <w:r>
        <w:t xml:space="preserve">- c)-La procédure d’obtention de la carte de résidence est valable pour tous les migrants en situation régulière. Présentation du Passeport du pays d’origine et paiement des frais (104,000fcfa), renouvelable chaque année. Toutefois, la situation est restée très préoccupante avec les anciens </w:t>
      </w:r>
      <w:r>
        <w:rPr>
          <w:lang w:val="fr-FR"/>
        </w:rPr>
        <w:t>réfugiés</w:t>
      </w:r>
      <w:r>
        <w:t xml:space="preserve"> rwandais (frappés par la clause de cessation) qui eux </w:t>
      </w:r>
      <w:r>
        <w:rPr>
          <w:rFonts w:hint="default"/>
          <w:lang w:val="fr-FR"/>
        </w:rPr>
        <w:t>ont l</w:t>
      </w:r>
      <w:r>
        <w:t>’</w:t>
      </w:r>
      <w:r>
        <w:rPr>
          <w:rFonts w:hint="default"/>
          <w:lang w:val="fr-FR"/>
        </w:rPr>
        <w:t xml:space="preserve">obligation de presenter le </w:t>
      </w:r>
      <w:r>
        <w:t>passeport de leurs pays d’origine</w:t>
      </w:r>
      <w:r>
        <w:rPr>
          <w:rFonts w:hint="default"/>
          <w:lang w:val="fr-FR"/>
        </w:rPr>
        <w:t xml:space="preserve"> avant de régulariser leur situation( Voir conditions d</w:t>
      </w:r>
      <w:r>
        <w:t>’</w:t>
      </w:r>
      <w:r>
        <w:rPr>
          <w:rFonts w:hint="default"/>
          <w:lang w:val="fr-FR"/>
        </w:rPr>
        <w:t>integration locale proposées aux anciens réfugiés rwandais après la clause de cessation)</w:t>
      </w:r>
      <w:r>
        <w:t xml:space="preserve">.  A noter que ces personnes sont devenues réfugiées du fait qu’elles ne voulaient plus se prévaloir de la protection de leurs pays. </w:t>
      </w:r>
      <w:r>
        <w:rPr>
          <w:rFonts w:hint="default"/>
          <w:lang w:val="fr-FR"/>
        </w:rPr>
        <w:t xml:space="preserve">Subordonner la régularisation de leur situation </w:t>
      </w:r>
      <w:r>
        <w:t>à</w:t>
      </w:r>
      <w:r>
        <w:rPr>
          <w:rFonts w:hint="default"/>
          <w:lang w:val="fr-FR"/>
        </w:rPr>
        <w:t xml:space="preserve"> l</w:t>
      </w:r>
      <w:r>
        <w:t>’</w:t>
      </w:r>
      <w:r>
        <w:rPr>
          <w:rFonts w:hint="default"/>
          <w:lang w:val="fr-FR"/>
        </w:rPr>
        <w:t xml:space="preserve">obtention du </w:t>
      </w:r>
      <w:r>
        <w:t xml:space="preserve">passeport </w:t>
      </w:r>
      <w:r>
        <w:rPr>
          <w:rFonts w:hint="default"/>
          <w:lang w:val="fr-FR"/>
        </w:rPr>
        <w:t xml:space="preserve">rwandais </w:t>
      </w:r>
      <w:r>
        <w:t>c’est les obliger à solliciter la protection de leur pays ; protection qu’elles ne veulent pas</w:t>
      </w:r>
      <w:r>
        <w:rPr>
          <w:rFonts w:hint="default"/>
          <w:lang w:val="fr-FR"/>
        </w:rPr>
        <w:t xml:space="preserve"> se prévaloir  malgré la clause de cessation</w:t>
      </w:r>
      <w:r>
        <w:t>. En conséquence, plusieurs anciens réfugiés rwandais ne peuvent</w:t>
      </w:r>
      <w:r>
        <w:rPr>
          <w:rFonts w:hint="default"/>
          <w:lang w:val="fr-FR"/>
        </w:rPr>
        <w:t>,</w:t>
      </w:r>
      <w:r>
        <w:t xml:space="preserve">  actuellement</w:t>
      </w:r>
      <w:r>
        <w:rPr>
          <w:rFonts w:hint="default"/>
          <w:lang w:val="fr-FR"/>
        </w:rPr>
        <w:t>, pas</w:t>
      </w:r>
      <w:r>
        <w:t xml:space="preserve"> avoir accès à la carte de séjour</w:t>
      </w:r>
      <w:r>
        <w:rPr>
          <w:rFonts w:hint="default"/>
          <w:lang w:val="fr-FR"/>
        </w:rPr>
        <w:t>,</w:t>
      </w:r>
      <w:r>
        <w:t xml:space="preserve"> à l’emploi </w:t>
      </w:r>
      <w:r>
        <w:rPr>
          <w:rFonts w:hint="default"/>
          <w:lang w:val="fr-FR"/>
        </w:rPr>
        <w:t xml:space="preserve">et </w:t>
      </w:r>
      <w:r>
        <w:t>à</w:t>
      </w:r>
      <w:r>
        <w:rPr>
          <w:rFonts w:hint="default"/>
          <w:lang w:val="fr-FR"/>
        </w:rPr>
        <w:t xml:space="preserve"> d</w:t>
      </w:r>
      <w:r>
        <w:t>’</w:t>
      </w:r>
      <w:r>
        <w:rPr>
          <w:rFonts w:hint="default"/>
          <w:lang w:val="fr-FR"/>
        </w:rPr>
        <w:t xml:space="preserve">autres opportunités </w:t>
      </w:r>
      <w:r>
        <w:t xml:space="preserve">par manque de documents. </w:t>
      </w:r>
    </w:p>
    <w:p>
      <w:r>
        <w:t>-2- Les stratégies et politiques relatives aux droits des travailleurs migrants et des membres de leurs familles.</w:t>
      </w:r>
    </w:p>
    <w:p>
      <w:pPr>
        <w:jc w:val="both"/>
        <w:rPr>
          <w:rFonts w:cs="Arial" w:asciiTheme="minorHAnsi" w:hAnsiTheme="minorHAnsi"/>
          <w:color w:val="666565"/>
          <w:shd w:val="clear" w:color="auto" w:fill="FFFFFF"/>
        </w:rPr>
      </w:pPr>
      <w:r>
        <w:rPr>
          <w:rFonts w:asciiTheme="minorHAnsi" w:hAnsiTheme="minorHAnsi"/>
        </w:rPr>
        <w:t xml:space="preserve">Le Congo a mis en place une politique et stratégie d’employabilité avec notamment l’Agence congolaise pour l’emploi </w:t>
      </w:r>
      <w:r>
        <w:rPr>
          <w:rFonts w:hint="default" w:asciiTheme="minorHAnsi" w:hAnsiTheme="minorHAnsi"/>
          <w:lang w:val="fr-FR"/>
        </w:rPr>
        <w:t>(ACPE)</w:t>
      </w:r>
      <w:r>
        <w:rPr>
          <w:rStyle w:val="4"/>
          <w:rFonts w:asciiTheme="minorHAnsi" w:hAnsiTheme="minorHAnsi"/>
        </w:rPr>
        <w:footnoteReference w:id="2"/>
      </w:r>
      <w:r>
        <w:rPr>
          <w:rFonts w:asciiTheme="minorHAnsi" w:hAnsiTheme="minorHAnsi"/>
        </w:rPr>
        <w:t xml:space="preserve"> et le fond national d’appui à l’employabilité</w:t>
      </w:r>
      <w:r>
        <w:rPr>
          <w:rFonts w:hint="default" w:asciiTheme="minorHAnsi" w:hAnsiTheme="minorHAnsi"/>
          <w:lang w:val="fr-FR"/>
        </w:rPr>
        <w:t>(FONEA)</w:t>
      </w:r>
      <w:r>
        <w:rPr>
          <w:rFonts w:asciiTheme="minorHAnsi" w:hAnsiTheme="minorHAnsi"/>
        </w:rPr>
        <w:t xml:space="preserve"> </w:t>
      </w:r>
      <w:r>
        <w:rPr>
          <w:rStyle w:val="4"/>
          <w:rFonts w:asciiTheme="minorHAnsi" w:hAnsiTheme="minorHAnsi"/>
          <w:color w:val="auto"/>
        </w:rPr>
        <w:footnoteReference w:id="3"/>
      </w:r>
      <w:r>
        <w:rPr>
          <w:rFonts w:cs="Arial" w:asciiTheme="minorHAnsi" w:hAnsiTheme="minorHAnsi"/>
          <w:color w:val="auto"/>
          <w:shd w:val="clear" w:color="auto" w:fill="FFFFFF"/>
        </w:rPr>
        <w:t>,mais il n’y aucune disposition expresse parlant des travailleurs migrants. Un nombre important de migrant évolue</w:t>
      </w:r>
      <w:r>
        <w:rPr>
          <w:rFonts w:hint="default" w:cs="Arial" w:asciiTheme="minorHAnsi" w:hAnsiTheme="minorHAnsi"/>
          <w:color w:val="auto"/>
          <w:shd w:val="clear" w:color="auto" w:fill="FFFFFF"/>
          <w:lang w:val="fr-FR"/>
        </w:rPr>
        <w:t>nt</w:t>
      </w:r>
      <w:r>
        <w:rPr>
          <w:rFonts w:cs="Arial" w:asciiTheme="minorHAnsi" w:hAnsiTheme="minorHAnsi"/>
          <w:color w:val="auto"/>
          <w:shd w:val="clear" w:color="auto" w:fill="FFFFFF"/>
        </w:rPr>
        <w:t xml:space="preserve"> dans le secteur informel. Avec la politique de la #congolisation de</w:t>
      </w:r>
      <w:r>
        <w:rPr>
          <w:rFonts w:hint="default" w:cs="Arial" w:asciiTheme="minorHAnsi" w:hAnsiTheme="minorHAnsi"/>
          <w:color w:val="auto"/>
          <w:shd w:val="clear" w:color="auto" w:fill="FFFFFF"/>
          <w:lang w:val="fr-FR"/>
        </w:rPr>
        <w:t xml:space="preserve"> certains </w:t>
      </w:r>
      <w:r>
        <w:rPr>
          <w:rFonts w:cs="Arial" w:asciiTheme="minorHAnsi" w:hAnsiTheme="minorHAnsi"/>
          <w:color w:val="auto"/>
          <w:shd w:val="clear" w:color="auto" w:fill="FFFFFF"/>
        </w:rPr>
        <w:t xml:space="preserve"> postes</w:t>
      </w:r>
      <w:r>
        <w:rPr>
          <w:rFonts w:hint="default" w:cs="Arial" w:asciiTheme="minorHAnsi" w:hAnsiTheme="minorHAnsi"/>
          <w:color w:val="auto"/>
          <w:shd w:val="clear" w:color="auto" w:fill="FFFFFF"/>
          <w:lang w:val="fr-FR"/>
        </w:rPr>
        <w:t xml:space="preserve"> et activités</w:t>
      </w:r>
      <w:r>
        <w:rPr>
          <w:rFonts w:cs="Arial" w:asciiTheme="minorHAnsi" w:hAnsiTheme="minorHAnsi"/>
          <w:color w:val="auto"/>
          <w:shd w:val="clear" w:color="auto" w:fill="FFFFFF"/>
        </w:rPr>
        <w:t>#, la situation devient de plus en plus préoccupante pour les migrants</w:t>
      </w:r>
      <w:r>
        <w:rPr>
          <w:rFonts w:cs="Arial" w:asciiTheme="minorHAnsi" w:hAnsiTheme="minorHAnsi"/>
          <w:color w:val="666565"/>
          <w:shd w:val="clear" w:color="auto" w:fill="FFFFFF"/>
        </w:rPr>
        <w:t>.</w:t>
      </w:r>
    </w:p>
    <w:p>
      <w:pPr>
        <w:jc w:val="both"/>
      </w:pPr>
      <w:r>
        <w:t>Des restrictions sont constatées dans certains secteurs des métiers</w:t>
      </w:r>
      <w:r>
        <w:rPr>
          <w:rFonts w:hint="default"/>
          <w:lang w:val="fr-FR"/>
        </w:rPr>
        <w:t xml:space="preserve"> et les migrants sont exclus d.exercer les métiers ou activités suivantes:</w:t>
      </w:r>
      <w:r>
        <w:t>.</w:t>
      </w:r>
    </w:p>
    <w:p>
      <w:pPr>
        <w:pStyle w:val="12"/>
        <w:numPr>
          <w:ilvl w:val="0"/>
          <w:numId w:val="3"/>
        </w:numPr>
        <w:jc w:val="both"/>
      </w:pPr>
      <w:r>
        <w:t>L’accès à la profession des transporteurs routier pour les personnes physiques est réservée aux congolais. Il est donc exclu les migrants</w:t>
      </w:r>
      <w:r>
        <w:rPr>
          <w:rStyle w:val="4"/>
        </w:rPr>
        <w:footnoteReference w:id="4"/>
      </w:r>
      <w:r>
        <w:t>.</w:t>
      </w:r>
    </w:p>
    <w:p>
      <w:pPr>
        <w:pStyle w:val="12"/>
        <w:numPr>
          <w:ilvl w:val="0"/>
          <w:numId w:val="3"/>
        </w:numPr>
        <w:jc w:val="both"/>
      </w:pPr>
      <w:r>
        <w:t>La vente des pains et des produits de la pâtisserie est réservée qu’aux personnes physiques de de nationalité congolaise</w:t>
      </w:r>
      <w:r>
        <w:rPr>
          <w:rStyle w:val="4"/>
        </w:rPr>
        <w:footnoteReference w:id="5"/>
      </w:r>
    </w:p>
    <w:p>
      <w:pPr>
        <w:pStyle w:val="12"/>
        <w:numPr>
          <w:ilvl w:val="0"/>
          <w:numId w:val="3"/>
        </w:numPr>
        <w:jc w:val="both"/>
        <w:rPr>
          <w:rFonts w:hint="default" w:asciiTheme="minorHAnsi" w:hAnsiTheme="minorHAnsi"/>
          <w:lang w:val="fr-FR"/>
        </w:rPr>
      </w:pPr>
      <w:r>
        <w:rPr>
          <w:rFonts w:hint="default"/>
          <w:lang w:val="fr-FR"/>
        </w:rPr>
        <w:t>L</w:t>
      </w:r>
      <w:r>
        <w:t>es commerces de détail à l’étalage, de fabrique de pains et de transport urbain ou routier sont réservés aux commerçants de nationalité congolaise</w:t>
      </w:r>
      <w:r>
        <w:rPr>
          <w:rStyle w:val="4"/>
        </w:rPr>
        <w:footnoteReference w:id="6"/>
      </w:r>
    </w:p>
    <w:p>
      <w:pPr>
        <w:pStyle w:val="12"/>
        <w:numPr>
          <w:ilvl w:val="0"/>
          <w:numId w:val="3"/>
        </w:numPr>
        <w:jc w:val="both"/>
        <w:rPr>
          <w:rFonts w:hint="default" w:asciiTheme="minorHAnsi" w:hAnsiTheme="minorHAnsi"/>
          <w:lang w:val="fr-FR"/>
        </w:rPr>
      </w:pPr>
      <w:r>
        <w:rPr>
          <w:rFonts w:hint="default" w:asciiTheme="minorHAnsi" w:hAnsiTheme="minorHAnsi"/>
          <w:lang w:val="fr-FR"/>
        </w:rPr>
        <w:t>Les officines pharmaceutiques, des cliniques et cabinets médicaux, des établissement prives d,enseignement etc</w:t>
      </w:r>
      <w:r>
        <w:rPr>
          <w:rStyle w:val="4"/>
          <w:rFonts w:hint="default" w:asciiTheme="minorHAnsi" w:hAnsiTheme="minorHAnsi"/>
          <w:lang w:val="fr-FR"/>
        </w:rPr>
        <w:footnoteReference w:id="7"/>
      </w:r>
      <w:r>
        <w:rPr>
          <w:rFonts w:hint="default" w:asciiTheme="minorHAnsi" w:hAnsiTheme="minorHAnsi"/>
          <w:lang w:val="fr-FR"/>
        </w:rPr>
        <w:t>.</w:t>
      </w:r>
    </w:p>
    <w:p>
      <w:pPr>
        <w:pStyle w:val="12"/>
        <w:numPr>
          <w:ilvl w:val="0"/>
          <w:numId w:val="3"/>
        </w:numPr>
        <w:jc w:val="both"/>
      </w:pPr>
      <w:r>
        <w:rPr>
          <w:rFonts w:hint="default" w:asciiTheme="minorHAnsi" w:hAnsiTheme="minorHAnsi"/>
          <w:lang w:val="fr-FR"/>
        </w:rPr>
        <w:t>De meme aussi que dans le foncier, l</w:t>
      </w:r>
      <w:r>
        <w:t xml:space="preserve">’accès à la Propriété des terres urbaines et périurbaines </w:t>
      </w:r>
      <w:r>
        <w:rPr>
          <w:rFonts w:hint="default"/>
          <w:lang w:val="fr-FR"/>
        </w:rPr>
        <w:t xml:space="preserve">est </w:t>
      </w:r>
      <w:r>
        <w:t>réservé aux congolais  avec une seule exception au profit des  ressortissants des pays appliquant la réciprocité avec la République du Congo(art 40 et 41)</w:t>
      </w:r>
      <w:r>
        <w:rPr>
          <w:rStyle w:val="4"/>
        </w:rPr>
        <w:footnoteReference w:id="8"/>
      </w:r>
      <w:r>
        <w:t>.</w:t>
      </w:r>
    </w:p>
    <w:p>
      <w:pPr>
        <w:pStyle w:val="12"/>
        <w:numPr>
          <w:ilvl w:val="0"/>
          <w:numId w:val="3"/>
        </w:numPr>
        <w:jc w:val="both"/>
        <w:rPr>
          <w:rFonts w:asciiTheme="minorHAnsi" w:hAnsiTheme="minorHAnsi"/>
        </w:rPr>
      </w:pPr>
    </w:p>
    <w:p>
      <w:pPr>
        <w:pStyle w:val="12"/>
        <w:numPr>
          <w:numId w:val="0"/>
        </w:numPr>
        <w:jc w:val="both"/>
        <w:rPr>
          <w:rFonts w:asciiTheme="minorHAnsi" w:hAnsiTheme="minorHAnsi"/>
        </w:rPr>
      </w:pPr>
    </w:p>
    <w:p>
      <w:pPr>
        <w:pStyle w:val="12"/>
        <w:numPr>
          <w:numId w:val="0"/>
        </w:numPr>
        <w:jc w:val="both"/>
        <w:rPr>
          <w:rFonts w:hint="default" w:asciiTheme="minorHAnsi" w:hAnsiTheme="minorHAnsi"/>
          <w:lang w:val="fr-FR"/>
        </w:rPr>
      </w:pPr>
    </w:p>
    <w:p>
      <w:pPr>
        <w:pStyle w:val="12"/>
        <w:numPr>
          <w:numId w:val="0"/>
        </w:numPr>
        <w:jc w:val="both"/>
        <w:rPr>
          <w:rFonts w:asciiTheme="minorHAnsi" w:hAnsiTheme="minorHAnsi"/>
        </w:rPr>
      </w:pPr>
      <w:r>
        <w:rPr>
          <w:rFonts w:asciiTheme="minorHAnsi" w:hAnsiTheme="minorHAnsi"/>
        </w:rPr>
        <w:t>Les membres de familles des travailleurs migrants ont droit à l’éducation, à la formation qualifiante et aux loisirs. Aucune restriction sur la liberté de circulation.</w:t>
      </w:r>
    </w:p>
    <w:p>
      <w:pPr>
        <w:jc w:val="both"/>
        <w:rPr>
          <w:rFonts w:asciiTheme="minorHAnsi" w:hAnsiTheme="minorHAnsi"/>
        </w:rPr>
      </w:pPr>
      <w:r>
        <w:rPr>
          <w:rFonts w:asciiTheme="minorHAnsi" w:hAnsiTheme="minorHAnsi"/>
        </w:rPr>
        <w:t xml:space="preserve">Si dans d’autres structures scolaires ou d’enseignement la mesure n’est pas inquiétante, la situation est toute particulière dans les universités publiques. En effet, les frais d’inscription pour les migrants ne sont pas les mêmes que pour les nationaux.  Seuls les migrants ressortissants des pays membres de la CEMAC ainsi que les </w:t>
      </w:r>
      <w:r>
        <w:rPr>
          <w:rFonts w:asciiTheme="minorHAnsi" w:hAnsiTheme="minorHAnsi"/>
          <w:lang w:val="fr-FR"/>
        </w:rPr>
        <w:t>réfugiés</w:t>
      </w:r>
      <w:r>
        <w:rPr>
          <w:rFonts w:asciiTheme="minorHAnsi" w:hAnsiTheme="minorHAnsi"/>
        </w:rPr>
        <w:t xml:space="preserve"> payent le même montant que les nationaux. Les autres étrangers sont appelés à payer plus de frais.</w:t>
      </w:r>
    </w:p>
    <w:p>
      <w:pPr>
        <w:pStyle w:val="9"/>
        <w:rPr>
          <w:rFonts w:cs="Calibri"/>
        </w:rPr>
      </w:pPr>
    </w:p>
    <w:p>
      <w:pPr>
        <w:pStyle w:val="9"/>
        <w:rPr>
          <w:rFonts w:cs="Calibri"/>
        </w:rPr>
      </w:pPr>
      <w:r>
        <w:rPr>
          <w:rFonts w:cs="Calibri"/>
        </w:rPr>
        <w:t>7- Des mesures prises pour lancer les programmes de formation.</w:t>
      </w:r>
    </w:p>
    <w:p>
      <w:pPr>
        <w:pStyle w:val="9"/>
        <w:rPr>
          <w:rFonts w:cs="Calibri"/>
        </w:rPr>
      </w:pPr>
      <w:r>
        <w:rPr>
          <w:rFonts w:cs="Calibri"/>
        </w:rPr>
        <w:t xml:space="preserve"> Il est créé une Commission nationale des Droits de l’Homme(CNDH)</w:t>
      </w:r>
      <w:r>
        <w:rPr>
          <w:rStyle w:val="4"/>
          <w:rFonts w:cs="Calibri"/>
        </w:rPr>
        <w:footnoteReference w:id="9"/>
      </w:r>
      <w:r>
        <w:rPr>
          <w:rFonts w:cs="Calibri"/>
        </w:rPr>
        <w:t xml:space="preserve"> pour suivre les questions des droits humains et promouvoir les instruments internationaux </w:t>
      </w:r>
      <w:r>
        <w:rPr>
          <w:rFonts w:cs="Calibri"/>
          <w:lang w:val="fr-FR"/>
        </w:rPr>
        <w:t>dûment</w:t>
      </w:r>
      <w:r>
        <w:rPr>
          <w:rFonts w:cs="Calibri"/>
        </w:rPr>
        <w:t xml:space="preserve"> ratifiés par le Congo. Le CNDH reçoit un appui du PNUD pour la mise en œuvre de son programme. Toutefois, les formations ainsi que les sensibilisations sur les questions des </w:t>
      </w:r>
      <w:r>
        <w:rPr>
          <w:rFonts w:hint="default" w:cs="Calibri"/>
          <w:lang w:val="fr-FR"/>
        </w:rPr>
        <w:t xml:space="preserve">droits </w:t>
      </w:r>
      <w:r>
        <w:rPr>
          <w:rFonts w:cs="Calibri"/>
        </w:rPr>
        <w:t xml:space="preserve">travailleurs migrants se font </w:t>
      </w:r>
      <w:r>
        <w:rPr>
          <w:rFonts w:hint="default" w:cs="Calibri"/>
          <w:lang w:val="fr-FR"/>
        </w:rPr>
        <w:t xml:space="preserve">de plus en plus </w:t>
      </w:r>
      <w:r>
        <w:rPr>
          <w:rFonts w:cs="Calibri"/>
        </w:rPr>
        <w:t>rares dans la pratique. Des émissions/tribunes télédiffusées sont organisées sur les questions des droits humains</w:t>
      </w:r>
      <w:r>
        <w:rPr>
          <w:rFonts w:hint="default" w:cs="Calibri"/>
          <w:lang w:val="fr-FR"/>
        </w:rPr>
        <w:t xml:space="preserve"> en général et les </w:t>
      </w:r>
      <w:r>
        <w:rPr>
          <w:rFonts w:cs="Calibri"/>
        </w:rPr>
        <w:t>situation des étrangers</w:t>
      </w:r>
      <w:r>
        <w:rPr>
          <w:rFonts w:hint="default" w:cs="Calibri"/>
          <w:lang w:val="fr-FR"/>
        </w:rPr>
        <w:t xml:space="preserve"> sont </w:t>
      </w:r>
      <w:r>
        <w:rPr>
          <w:rFonts w:cs="Calibri"/>
        </w:rPr>
        <w:t xml:space="preserve">superficiellement </w:t>
      </w:r>
      <w:r>
        <w:rPr>
          <w:rFonts w:cs="Calibri"/>
          <w:lang w:val="fr-FR"/>
        </w:rPr>
        <w:t>abordées</w:t>
      </w:r>
      <w:r>
        <w:rPr>
          <w:rFonts w:hint="default" w:cs="Calibri"/>
          <w:lang w:val="fr-FR"/>
        </w:rPr>
        <w:t>.</w:t>
      </w:r>
    </w:p>
    <w:p>
      <w:pPr>
        <w:pStyle w:val="7"/>
        <w:jc w:val="both"/>
        <w:rPr>
          <w:rFonts w:ascii="Calibri" w:hAnsi="Calibri" w:cs="Calibri"/>
        </w:rPr>
      </w:pPr>
      <w:r>
        <w:rPr>
          <w:rFonts w:ascii="Calibri" w:hAnsi="Calibri" w:cs="Calibri"/>
        </w:rPr>
        <w:t xml:space="preserve">Des protocoles de collaboration sont également élaborés avec les organisations de la société civile ainsi les institutions onusiennes </w:t>
      </w:r>
      <w:r>
        <w:rPr>
          <w:rFonts w:ascii="Calibri" w:hAnsi="Calibri" w:cs="Calibri"/>
          <w:lang w:val="fr-FR"/>
        </w:rPr>
        <w:t>œuvrant</w:t>
      </w:r>
      <w:r>
        <w:rPr>
          <w:rFonts w:hint="default" w:ascii="Calibri" w:hAnsi="Calibri" w:cs="Calibri"/>
          <w:lang w:val="fr-FR"/>
        </w:rPr>
        <w:t xml:space="preserve"> pour les questions des droits humains.</w:t>
      </w:r>
      <w:r>
        <w:rPr>
          <w:rFonts w:ascii="Calibri" w:hAnsi="Calibri" w:cs="Calibri"/>
        </w:rPr>
        <w:t xml:space="preserve"> Toutefois, la mise en œuvre </w:t>
      </w:r>
      <w:r>
        <w:rPr>
          <w:rFonts w:hint="default" w:ascii="Calibri" w:hAnsi="Calibri" w:cs="Calibri"/>
          <w:lang w:val="fr-FR"/>
        </w:rPr>
        <w:t xml:space="preserve">desdits protocoles </w:t>
      </w:r>
      <w:r>
        <w:rPr>
          <w:rFonts w:ascii="Calibri" w:hAnsi="Calibri" w:cs="Calibri"/>
        </w:rPr>
        <w:t>reste un</w:t>
      </w:r>
      <w:r>
        <w:rPr>
          <w:rFonts w:hint="default" w:ascii="Calibri" w:hAnsi="Calibri" w:cs="Calibri"/>
          <w:lang w:val="fr-FR"/>
        </w:rPr>
        <w:t>e équation encore non résolue.</w:t>
      </w:r>
    </w:p>
    <w:p>
      <w:pPr>
        <w:pStyle w:val="9"/>
        <w:jc w:val="both"/>
      </w:pPr>
      <w:r>
        <w:t xml:space="preserve"> </w:t>
      </w:r>
    </w:p>
    <w:p>
      <w:pPr>
        <w:pStyle w:val="9"/>
        <w:jc w:val="both"/>
        <w:rPr>
          <w:rFonts w:cs="Calibri"/>
        </w:rPr>
      </w:pPr>
      <w:r>
        <w:t>8- Dans le cadre des relations bilatérales, le Gouvernement collabore avec toutes les institutions onusiennes présent</w:t>
      </w:r>
      <w:r>
        <w:rPr>
          <w:rFonts w:hint="default"/>
          <w:lang w:val="fr-FR"/>
        </w:rPr>
        <w:t>e</w:t>
      </w:r>
      <w:r>
        <w:t xml:space="preserve">s en République du Congo. Les OSC sont également associées dans les discussions. Il existe également un </w:t>
      </w:r>
      <w:r>
        <w:rPr>
          <w:rFonts w:hint="default"/>
          <w:lang w:val="fr-FR"/>
        </w:rPr>
        <w:t>C</w:t>
      </w:r>
      <w:r>
        <w:t xml:space="preserve">onseil consultatif de la société civile qui prend part aux différentes discussions </w:t>
      </w:r>
      <w:r>
        <w:rPr>
          <w:rFonts w:cs="Calibri"/>
        </w:rPr>
        <w:t xml:space="preserve">sur les </w:t>
      </w:r>
      <w:r>
        <w:rPr>
          <w:rFonts w:hint="default" w:cs="Calibri"/>
          <w:lang w:val="fr-FR"/>
        </w:rPr>
        <w:t xml:space="preserve">questions des </w:t>
      </w:r>
      <w:r>
        <w:rPr>
          <w:rFonts w:cs="Calibri"/>
        </w:rPr>
        <w:t xml:space="preserve">droits humains. </w:t>
      </w:r>
    </w:p>
    <w:p>
      <w:pPr>
        <w:pStyle w:val="9"/>
        <w:rPr>
          <w:rFonts w:cs="Calibri"/>
        </w:rPr>
      </w:pPr>
      <w:r>
        <w:rPr>
          <w:rFonts w:cs="Calibri"/>
        </w:rPr>
        <w:t xml:space="preserve"> </w:t>
      </w:r>
    </w:p>
    <w:p>
      <w:pPr>
        <w:pStyle w:val="9"/>
        <w:rPr>
          <w:rFonts w:cs="Calibri"/>
        </w:rPr>
      </w:pPr>
    </w:p>
    <w:p>
      <w:pPr>
        <w:pStyle w:val="7"/>
        <w:rPr>
          <w:rFonts w:ascii="Calibri" w:hAnsi="Calibri" w:cs="Calibri"/>
          <w:b/>
          <w:bCs/>
        </w:rPr>
      </w:pPr>
      <w:r>
        <w:rPr>
          <w:rFonts w:ascii="Calibri" w:hAnsi="Calibri" w:cs="Calibri"/>
          <w:b/>
          <w:bCs/>
        </w:rPr>
        <w:t>Deuxième partie de la convention.</w:t>
      </w:r>
    </w:p>
    <w:p>
      <w:pPr>
        <w:pStyle w:val="9"/>
        <w:rPr>
          <w:rFonts w:cs="Calibri"/>
        </w:rPr>
      </w:pPr>
      <w:r>
        <w:rPr>
          <w:rFonts w:cs="Calibri"/>
        </w:rPr>
        <w:t xml:space="preserve"> </w:t>
      </w:r>
    </w:p>
    <w:p>
      <w:pPr>
        <w:pStyle w:val="9"/>
        <w:rPr>
          <w:rFonts w:cs="Calibri"/>
        </w:rPr>
      </w:pPr>
      <w:r>
        <w:rPr>
          <w:rFonts w:cs="Calibri"/>
        </w:rPr>
        <w:t xml:space="preserve">Article 7 : </w:t>
      </w:r>
    </w:p>
    <w:p>
      <w:pPr>
        <w:pStyle w:val="9"/>
        <w:jc w:val="both"/>
      </w:pPr>
    </w:p>
    <w:p>
      <w:pPr>
        <w:pStyle w:val="9"/>
        <w:jc w:val="both"/>
      </w:pPr>
      <w:r>
        <w:t>Le code de la famille, donne possibilité aux enfants des migrants nés sur le sol congolais d’être enregistrés et obtenir l’acte de naissance.</w:t>
      </w:r>
    </w:p>
    <w:p>
      <w:pPr>
        <w:pStyle w:val="9"/>
        <w:jc w:val="both"/>
      </w:pPr>
    </w:p>
    <w:p>
      <w:pPr>
        <w:pStyle w:val="9"/>
        <w:jc w:val="both"/>
      </w:pPr>
      <w:r>
        <w:t xml:space="preserve">Si pour les questions d’enregistrement de naissance, la situation est pratiquement réglée, mais les questions de nationalité aux enfants des migrants nés en République du Congo reste encore mal tranchée. De nombreux enfants issus des parents réfugiés rwandais et qui sollicitent la nationalité congolaise n’ont toujours pas obtenu gain de cause. D’autres encore éprouvent des difficultés à obtenir les cartes nationales d’identité. Le droit du sol n’est pas </w:t>
      </w:r>
      <w:r>
        <w:rPr>
          <w:rFonts w:hint="default"/>
          <w:lang w:val="fr-FR"/>
        </w:rPr>
        <w:t>totalement effectif pour cette catégorie de migrants</w:t>
      </w:r>
      <w:r>
        <w:rPr>
          <w:rStyle w:val="4"/>
          <w:rFonts w:hint="default"/>
          <w:lang w:val="fr-FR"/>
        </w:rPr>
        <w:footnoteReference w:id="10"/>
      </w:r>
      <w:r>
        <w:rPr>
          <w:rFonts w:hint="default"/>
          <w:lang w:val="fr-FR"/>
        </w:rPr>
        <w:t>.</w:t>
      </w:r>
      <w:r>
        <w:t xml:space="preserve"> </w:t>
      </w:r>
    </w:p>
    <w:p>
      <w:pPr>
        <w:pStyle w:val="9"/>
        <w:jc w:val="both"/>
      </w:pPr>
    </w:p>
    <w:p>
      <w:pPr>
        <w:pStyle w:val="9"/>
        <w:jc w:val="both"/>
      </w:pPr>
      <w:r>
        <w:t>Les migrants en situation irrégulière ont la possibilité de régulariser leur situation. Toutefois, l</w:t>
      </w:r>
      <w:r>
        <w:rPr>
          <w:rFonts w:hint="default"/>
          <w:lang w:val="fr-FR"/>
        </w:rPr>
        <w:t xml:space="preserve">es cas de </w:t>
      </w:r>
      <w:r>
        <w:t xml:space="preserve">détention </w:t>
      </w:r>
      <w:r>
        <w:rPr>
          <w:rFonts w:hint="default"/>
          <w:lang w:val="fr-FR"/>
        </w:rPr>
        <w:t xml:space="preserve">des migrants sont sont enregistrés </w:t>
      </w:r>
      <w:r>
        <w:t xml:space="preserve"> dans les postes de l’immigration de la Sangha (Ouesso)</w:t>
      </w:r>
      <w:r>
        <w:rPr>
          <w:rStyle w:val="4"/>
        </w:rPr>
        <w:footnoteReference w:id="11"/>
      </w:r>
      <w:r>
        <w:t xml:space="preserve"> et</w:t>
      </w:r>
      <w:r>
        <w:rPr>
          <w:rFonts w:hint="default"/>
          <w:lang w:val="fr-FR"/>
        </w:rPr>
        <w:t xml:space="preserve"> de</w:t>
      </w:r>
      <w:r>
        <w:t xml:space="preserve"> la Likouala</w:t>
      </w:r>
      <w:r>
        <w:rPr>
          <w:rFonts w:hint="default"/>
          <w:lang w:val="fr-FR"/>
        </w:rPr>
        <w:t>( Enyelle)</w:t>
      </w:r>
      <w:r>
        <w:t xml:space="preserve"> ou </w:t>
      </w:r>
      <w:r>
        <w:rPr>
          <w:rFonts w:hint="default"/>
          <w:lang w:val="fr-FR"/>
        </w:rPr>
        <w:t xml:space="preserve">des </w:t>
      </w:r>
      <w:r>
        <w:t xml:space="preserve">migrants </w:t>
      </w:r>
      <w:r>
        <w:rPr>
          <w:rFonts w:hint="default"/>
          <w:lang w:val="fr-FR"/>
        </w:rPr>
        <w:t xml:space="preserve">en situation irrégulière </w:t>
      </w:r>
      <w:r>
        <w:t xml:space="preserve"> se font arrêter et payent des amendes en plus des frais </w:t>
      </w:r>
      <w:r>
        <w:rPr>
          <w:rFonts w:hint="default"/>
          <w:lang w:val="fr-FR"/>
        </w:rPr>
        <w:t xml:space="preserve">requis </w:t>
      </w:r>
      <w:r>
        <w:t xml:space="preserve"> pour la régularisation de leur situation. </w:t>
      </w:r>
    </w:p>
    <w:p>
      <w:pPr>
        <w:rPr>
          <w:b/>
          <w:bCs/>
        </w:rPr>
      </w:pPr>
      <w:r>
        <w:t xml:space="preserve"> </w:t>
      </w:r>
      <w:r>
        <w:rPr>
          <w:b/>
          <w:bCs/>
        </w:rPr>
        <w:t>Troisième partie de la convention</w:t>
      </w:r>
    </w:p>
    <w:p>
      <w:pPr>
        <w:rPr>
          <w:b/>
          <w:bCs/>
        </w:rPr>
      </w:pPr>
      <w:r>
        <w:rPr>
          <w:b/>
          <w:bCs/>
        </w:rPr>
        <w:t>Article 8 à 15 :</w:t>
      </w:r>
    </w:p>
    <w:p>
      <w:pPr>
        <w:jc w:val="both"/>
      </w:pPr>
      <w:r>
        <w:t xml:space="preserve">13.L’Etat a pris des mesures pour lutter contre la traite en promulguant la loi sur la traite des personnes </w:t>
      </w:r>
      <w:r>
        <w:rPr>
          <w:rStyle w:val="4"/>
        </w:rPr>
        <w:footnoteReference w:id="12"/>
      </w:r>
      <w:r>
        <w:t xml:space="preserve"> </w:t>
      </w:r>
    </w:p>
    <w:p>
      <w:pPr>
        <w:jc w:val="both"/>
      </w:pPr>
      <w:r>
        <w:t>Toutefois quelques faiblesses ont été remarquées notamment l’absence de la Commission nationale de lutte contre la traite (art. 34) Absence de politique nationale de lutte contre la traite (conformément à l’art. 9 du protocole additionnel à la convention des nations unies contre la criminalité transnationale organisée visant à prévenir, réprimer et punir la traite des personnes en particulier des femmes et des enfants</w:t>
      </w:r>
    </w:p>
    <w:p>
      <w:pPr>
        <w:jc w:val="both"/>
      </w:pPr>
      <w:r>
        <w:t>Dans le domaine du tourisme sexuel, le code pénal condamne la prostitution et le proxénétisme. Ces mesures ont été renforcées avec la promulgation de la loi Mouebara</w:t>
      </w:r>
      <w:r>
        <w:rPr>
          <w:rStyle w:val="4"/>
        </w:rPr>
        <w:footnoteReference w:id="13"/>
      </w:r>
      <w:r>
        <w:t>.</w:t>
      </w:r>
    </w:p>
    <w:p>
      <w:pPr>
        <w:jc w:val="both"/>
      </w:pPr>
      <w:r>
        <w:t xml:space="preserve">Des sensibilisations ainsi que des ateliers de renforcement des capacités sur le trafic et la traite des personnes sont abordées lors des formations organisées par le HCR  et </w:t>
      </w:r>
      <w:r>
        <w:rPr>
          <w:rFonts w:hint="default"/>
          <w:lang w:val="fr-FR"/>
        </w:rPr>
        <w:t xml:space="preserve">par quelques rares </w:t>
      </w:r>
      <w:r>
        <w:t>ONGs travaillant sur la migration mixte</w:t>
      </w:r>
      <w:r>
        <w:rPr>
          <w:rStyle w:val="4"/>
        </w:rPr>
        <w:footnoteReference w:id="14"/>
      </w:r>
      <w:r>
        <w:t>.</w:t>
      </w:r>
    </w:p>
    <w:p>
      <w:pPr>
        <w:jc w:val="both"/>
      </w:pPr>
      <w:r>
        <w:t>14- Les mesures prises pour améliorer l’environnement de protection des enfants à risques.</w:t>
      </w:r>
    </w:p>
    <w:p>
      <w:pPr>
        <w:jc w:val="both"/>
      </w:pPr>
      <w:r>
        <w:t xml:space="preserve"> Au niveau national il y a un réseau de protection communautaire de l’enfant placé sous le lead du Ministère des affaires sociales avec l’appui des organismes (UNICEF, HCR, Croix rouge, OCLA, REIPER). </w:t>
      </w:r>
    </w:p>
    <w:p>
      <w:pPr>
        <w:jc w:val="both"/>
      </w:pPr>
      <w:r>
        <w:t>Le cadre juridique national a été renforcé par une série de loi et institution.</w:t>
      </w:r>
      <w:r>
        <w:rPr>
          <w:rStyle w:val="4"/>
        </w:rPr>
        <w:footnoteReference w:id="15"/>
      </w:r>
      <w:r>
        <w:t xml:space="preserve"> loi portant promotion et protection des droits de l’enfant. Au niveau judiciaire, il existe un juge pour mineure charge de se prononcer sur les questions touchant les enfants. Au niveau des localités, le MASAH a mis en place les Circonscription d’action sociale(CAS) qui aident également à l’identification et accompagnement des enfants à risques.</w:t>
      </w:r>
    </w:p>
    <w:p>
      <w:pPr>
        <w:jc w:val="both"/>
      </w:pPr>
      <w:r>
        <w:t>Toutefois quelques faiblesses se font sentir au niveau des tribunaux du fait l’insuffisance du nombre des juges pour enfant.</w:t>
      </w:r>
    </w:p>
    <w:p>
      <w:pPr>
        <w:jc w:val="both"/>
        <w:rPr>
          <w:color w:val="FF0000"/>
        </w:rPr>
      </w:pPr>
      <w:r>
        <w:t>.15: Plan national contre la traite des enfants</w:t>
      </w:r>
    </w:p>
    <w:p>
      <w:pPr>
        <w:jc w:val="both"/>
      </w:pPr>
      <w:r>
        <w:t xml:space="preserve">Le </w:t>
      </w:r>
      <w:r>
        <w:rPr>
          <w:rFonts w:hint="default"/>
          <w:lang w:val="fr-FR"/>
        </w:rPr>
        <w:t>G</w:t>
      </w:r>
      <w:r>
        <w:t xml:space="preserve">ouvernement a pris des mesures pour protéger les enfants contre la traite. Il existe une loi spécifique sur la traite qui prend en compte les différents aspects de la problématique Infraction constituée à l’égard de l’enfant même en l’absence des éléments traditionnels de l’infraction (art. 5 al.2), Exonération de responsabilité pénale pour les personnes qui dénoncent, même après avoir tenté de commettre l’infraction ou des victimes qui commettent les infractions (art. 11 à 13). Ces dispositions ont pour finalité la lutte contre la traite tout en encourageant la dénonciation. Il est également prévu des mesures pour protéger les enfants contre la traite. Le Code pénal, la loi portant protection de l’enfant (art. 86 à 90), la loi portant lutte contre la traite des personnes (art. 35 et s.) protègent les enfants contre toute forme d’exploitation, des violences et de traite. </w:t>
      </w:r>
    </w:p>
    <w:p>
      <w:pPr>
        <w:jc w:val="both"/>
      </w:pPr>
      <w:r>
        <w:t>Toutefois des faiblesses ont été constatées dans la pratique : On note notamment l’absence de la Commission nationale de lutte contre la traite (art. 34) Absence de politique nationale de lutte contre la traite (conformément à l’art. 9 du protocole additionnel à la convention des nations unies contre la criminalité transnationale organisée visant à prévenir, réprimer et punir la traite des personnes en particulier des femmes et des enfants.</w:t>
      </w:r>
    </w:p>
    <w:p>
      <w:pPr>
        <w:jc w:val="both"/>
      </w:pPr>
      <w:r>
        <w:t>Absence des textes précisant les modalités d’application de la loi portant promotion et protection des droits de l’enfant en république du Congo (art. 128) Absence de décret fixant la liste et la nature des travaux et les catégories d’entreprises interdites aux enfants et l’âge limite auquel s’applique la limite (art. 68) Absence des services de police spéciaux consacrés aux questions de l’enfant (art.48) Absence de programmes concernant l’enfant demandeur d’asile (art.51) Absence d’encadrement de l’adoption internationale et de l’autorité centrale conformément à la convention sur l’adoption internationale de 1993 (art.59) Absence de l’arrêté mettant en place des systèmes d’alerte et observatoire de l’enfant en danger (art. 61) Absence d’assistance judiciaire pour les enfants privés de liberté (art. 64</w:t>
      </w:r>
    </w:p>
    <w:p>
      <w:pPr>
        <w:jc w:val="both"/>
      </w:pPr>
    </w:p>
    <w:p>
      <w:pPr>
        <w:jc w:val="both"/>
        <w:rPr>
          <w:b/>
          <w:bCs/>
        </w:rPr>
      </w:pPr>
      <w:r>
        <w:rPr>
          <w:b/>
          <w:bCs/>
        </w:rPr>
        <w:t>Article 16 à 22</w:t>
      </w:r>
    </w:p>
    <w:p>
      <w:pPr>
        <w:jc w:val="both"/>
      </w:pPr>
      <w:r>
        <w:t>17: Les migrants placés en détention, peuvent recevoir la visite et le Conseil de leur choix. La loi ne fait aucune restriction pour le conseil juridique d’avoir accès à son client ainsi qu’à toutes les informations sur le dossier. Pour les démunis, la loi a prévu une assistance judiciaire gratuit</w:t>
      </w:r>
      <w:r>
        <w:rPr>
          <w:rFonts w:hint="default"/>
          <w:lang w:val="fr-FR"/>
        </w:rPr>
        <w:t>e</w:t>
      </w:r>
      <w:r>
        <w:t xml:space="preserve"> </w:t>
      </w:r>
      <w:r>
        <w:rPr>
          <w:rStyle w:val="4"/>
        </w:rPr>
        <w:footnoteReference w:id="16"/>
      </w:r>
      <w:r>
        <w:t xml:space="preserve">sur présentation d’un certificat d’“indigénat”. Mais cette loi ne </w:t>
      </w:r>
      <w:r>
        <w:rPr>
          <w:lang w:val="fr-FR"/>
        </w:rPr>
        <w:t>connaît</w:t>
      </w:r>
      <w:r>
        <w:rPr>
          <w:rFonts w:hint="default"/>
          <w:lang w:val="fr-FR"/>
        </w:rPr>
        <w:t xml:space="preserve"> est largement ignorée du public et ne connaît pas une e</w:t>
      </w:r>
      <w:r>
        <w:t>ffectivité dans la pratique. La complexité et la lenteur de la procédure n’ont fait que décourager les justiciables. Ce qui explique quasiment l’absence des données dans ce sens.</w:t>
      </w:r>
    </w:p>
    <w:p>
      <w:pPr>
        <w:jc w:val="both"/>
      </w:pPr>
      <w:r>
        <w:t xml:space="preserve">Au niveau des Maisons d’arrêt et autres lieux de détention, les prévenus ou condamnés reçoivent régulièrement les visites de leur membre de famille ou de leurs avocats suivant les horaires des visites. Il n’y aucune restriction expresse à ce sujet. </w:t>
      </w:r>
    </w:p>
    <w:p>
      <w:pPr>
        <w:jc w:val="both"/>
      </w:pPr>
      <w:r>
        <w:t>18. Mis à part, l’opération MBATA qui a conduit à l</w:t>
      </w:r>
      <w:r>
        <w:rPr>
          <w:rFonts w:cs="Calibri"/>
        </w:rPr>
        <w:t xml:space="preserve">’expulsion en masse des ressortissants de la RDC en situation irrégulière en </w:t>
      </w:r>
      <w:r>
        <w:t xml:space="preserve">République du Congo, il n’y a plus eu une telle opération depuis lors. </w:t>
      </w:r>
    </w:p>
    <w:p>
      <w:pPr>
        <w:jc w:val="both"/>
      </w:pPr>
      <w:r>
        <w:t xml:space="preserve">Dans les zones frontalières, </w:t>
      </w:r>
      <w:r>
        <w:rPr>
          <w:rFonts w:hint="default"/>
          <w:lang w:val="fr-FR"/>
        </w:rPr>
        <w:t xml:space="preserve">certaines ONGs ainsi que le </w:t>
      </w:r>
      <w:r>
        <w:t xml:space="preserve"> HCR et partenaires font du monitoring pour prévenir les expulsions arbitraires.</w:t>
      </w:r>
    </w:p>
    <w:p>
      <w:pPr>
        <w:jc w:val="both"/>
      </w:pPr>
      <w:r>
        <w:t xml:space="preserve">Les seuls </w:t>
      </w:r>
      <w:r>
        <w:rPr>
          <w:rFonts w:hint="default"/>
          <w:lang w:val="fr-FR"/>
        </w:rPr>
        <w:t xml:space="preserve">renvoie </w:t>
      </w:r>
      <w:r>
        <w:t>des étrangers/migrants vers leurs pays d’origine interviennent plutôt dans le cadre du Rapatriement volontaire organisé avec l’appui technique du HCR</w:t>
      </w:r>
      <w:r>
        <w:rPr>
          <w:rFonts w:hint="default"/>
          <w:lang w:val="fr-FR"/>
        </w:rPr>
        <w:t xml:space="preserve"> ou des </w:t>
      </w:r>
      <w:r>
        <w:t>expulsion</w:t>
      </w:r>
      <w:r>
        <w:rPr>
          <w:rFonts w:hint="default"/>
          <w:lang w:val="fr-FR"/>
        </w:rPr>
        <w:t xml:space="preserve">s dont la procédure a été </w:t>
      </w:r>
      <w:r>
        <w:t>régulière</w:t>
      </w:r>
      <w:r>
        <w:rPr>
          <w:rFonts w:hint="default"/>
          <w:lang w:val="fr-FR"/>
        </w:rPr>
        <w:t>ment été suivie.</w:t>
      </w:r>
      <w:r>
        <w:t>Les arrêtés d’expulsion sont publiés au journal officiel.</w:t>
      </w:r>
      <w:r>
        <w:rPr>
          <w:rStyle w:val="4"/>
        </w:rPr>
        <w:footnoteReference w:id="17"/>
      </w:r>
    </w:p>
    <w:p>
      <w:pPr>
        <w:jc w:val="both"/>
        <w:rPr>
          <w:b/>
        </w:rPr>
      </w:pPr>
      <w:r>
        <w:rPr>
          <w:b/>
        </w:rPr>
        <w:t xml:space="preserve"> </w:t>
      </w:r>
    </w:p>
    <w:p>
      <w:pPr>
        <w:jc w:val="both"/>
        <w:rPr>
          <w:b/>
          <w:bCs/>
        </w:rPr>
      </w:pPr>
      <w:r>
        <w:rPr>
          <w:b/>
          <w:bCs/>
        </w:rPr>
        <w:t>Article 25 à 30</w:t>
      </w:r>
    </w:p>
    <w:p>
      <w:pPr>
        <w:jc w:val="both"/>
      </w:pPr>
      <w:r>
        <w:t xml:space="preserve">20.  Pour les mécanismes visant à protéger les migrants et </w:t>
      </w:r>
      <w:r>
        <w:rPr>
          <w:lang w:val="fr-FR"/>
        </w:rPr>
        <w:t>réfugiés</w:t>
      </w:r>
      <w:r>
        <w:t xml:space="preserve">, il existe pour le cas des réfugiés une structure nationale soit le Comité National d’assistance aux </w:t>
      </w:r>
      <w:r>
        <w:rPr>
          <w:lang w:val="fr-FR"/>
        </w:rPr>
        <w:t>Réfugiés</w:t>
      </w:r>
      <w:r>
        <w:t>(CNAR)</w:t>
      </w:r>
      <w:r>
        <w:rPr>
          <w:rStyle w:val="4"/>
        </w:rPr>
        <w:footnoteReference w:id="18"/>
      </w:r>
      <w:r>
        <w:t xml:space="preserve"> ayant la mission de veiller à la protection des </w:t>
      </w:r>
      <w:r>
        <w:rPr>
          <w:lang w:val="fr-FR"/>
        </w:rPr>
        <w:t>réfugiés</w:t>
      </w:r>
      <w:r>
        <w:t xml:space="preserve">. Un partenariat formel est établi avec le HCR par le biais d’un accord de siège. </w:t>
      </w:r>
    </w:p>
    <w:p>
      <w:pPr>
        <w:jc w:val="both"/>
      </w:pPr>
      <w:r>
        <w:t>Pour les migrants, il existe bureau national de l’OIM qui sous logé au HCR. Ce bureau n’est pas bien connu des migrants. Sa visibilité est très faible. Pas assez de communication sur son existence.</w:t>
      </w:r>
    </w:p>
    <w:p>
      <w:pPr>
        <w:jc w:val="both"/>
      </w:pPr>
      <w:r>
        <w:t xml:space="preserve">Au niveau normatif le Congo a ratifié la convention de Genève de 1951 relative au statut des </w:t>
      </w:r>
      <w:r>
        <w:rPr>
          <w:lang w:val="fr-FR"/>
        </w:rPr>
        <w:t>réfugiés</w:t>
      </w:r>
      <w:r>
        <w:t xml:space="preserve"> qui prône expressément le respect des droits des réfugiés. Au niveau national le Congo a adopté depuis 2021 la loi portant droit d’asile et statut de </w:t>
      </w:r>
      <w:r>
        <w:rPr>
          <w:lang w:val="fr-FR"/>
        </w:rPr>
        <w:t>réfugié</w:t>
      </w:r>
      <w:r>
        <w:t xml:space="preserve"> en république du Congo</w:t>
      </w:r>
      <w:r>
        <w:rPr>
          <w:rStyle w:val="4"/>
        </w:rPr>
        <w:footnoteReference w:id="19"/>
      </w:r>
      <w:r>
        <w:t>. Avec cette nouvelle loi, le régime de protection et d’assistance aux réfugiés a été renforcé.</w:t>
      </w:r>
    </w:p>
    <w:p>
      <w:pPr>
        <w:jc w:val="both"/>
      </w:pPr>
      <w:r>
        <w:t>Par ailleurs, le Congo a pris des engagements formels (bonnes pratiques) dans le cadre du forum mondial sur la migration. Parmi ces mesures il y a par exemple la facilitation de l’accès a l’emploi, l’accès a la terre cultivable etc. Mais dans les faits aucun impact n’a été ressenti a ce jour.</w:t>
      </w:r>
    </w:p>
    <w:p>
      <w:pPr>
        <w:jc w:val="both"/>
      </w:pPr>
      <w:r>
        <w:t xml:space="preserve">23. Le faible taux de scolarisation des enfants des migrants en situation irrégulière n’est pas dû aux restrictions. D’ailleurs, le Gouvernement a subvention et rendu obligatoire l’éducation primaire. Il n’y a aucune mesure restrictive sur l’accès à l’éducation.  Les procédures d’inscription sont les mêmes. La situation des parents n’influe pas sur la scolarité de leurs enfants. D’ailleurs, même les </w:t>
      </w:r>
      <w:r>
        <w:rPr>
          <w:lang w:val="fr-FR"/>
        </w:rPr>
        <w:t>réfugiés</w:t>
      </w:r>
      <w:r>
        <w:t xml:space="preserve"> sont pris en compte dans les programmes scolaires nationaux.</w:t>
      </w:r>
    </w:p>
    <w:p>
      <w:pPr>
        <w:jc w:val="both"/>
      </w:pPr>
      <w:r>
        <w:t xml:space="preserve">Toutefois, quelques disparités apparaissent au niveau de l’enseignement supérieur(universitaire) ou les frais d’inscription variant selon qu’il s’agit d’un national ou d’un migrant. Toutefois, les </w:t>
      </w:r>
      <w:r>
        <w:rPr>
          <w:lang w:val="fr-FR"/>
        </w:rPr>
        <w:t>réfugiés</w:t>
      </w:r>
      <w:r>
        <w:t xml:space="preserve"> sont soumis au même traitement que les autres catégories d’étrangers ressortissant de la zone CEMAC. La disparité reste encore chez les migrants ressortissants des pays hors CEMAC qui doivent payer plus</w:t>
      </w:r>
    </w:p>
    <w:p>
      <w:pPr>
        <w:jc w:val="both"/>
      </w:pPr>
      <w:r>
        <w:t xml:space="preserve"> 24. Le Gouvernement de la République du Congo a pris des mesures pour faciliter l’enregistrement des naissances de tous les enfants nés sur le territoire congolais de manière </w:t>
      </w:r>
      <w:r>
        <w:rPr>
          <w:b/>
          <w:bCs/>
          <w:u w:val="single"/>
        </w:rPr>
        <w:t xml:space="preserve">gratuite. </w:t>
      </w:r>
    </w:p>
    <w:p>
      <w:pPr>
        <w:jc w:val="both"/>
      </w:pPr>
      <w:r>
        <w:t xml:space="preserve">Toutefois, </w:t>
      </w:r>
      <w:r>
        <w:rPr>
          <w:rFonts w:hint="default"/>
          <w:lang w:val="fr-FR"/>
        </w:rPr>
        <w:t>certaines pratiques administratives entravent considérablement la procédure. En effet, l</w:t>
      </w:r>
      <w:r>
        <w:t xml:space="preserve">e coût élevé des déclarations de naissance dans les maternités, le coût des réquisitions </w:t>
      </w:r>
      <w:r>
        <w:rPr>
          <w:rFonts w:hint="default"/>
          <w:lang w:val="fr-FR"/>
        </w:rPr>
        <w:t xml:space="preserve">constituent des </w:t>
      </w:r>
      <w:r>
        <w:t>obstacle important</w:t>
      </w:r>
      <w:r>
        <w:rPr>
          <w:rFonts w:hint="default"/>
          <w:lang w:val="fr-FR"/>
        </w:rPr>
        <w:t>s</w:t>
      </w:r>
      <w:r>
        <w:t xml:space="preserve"> empêchant certains parents à déclarer leurs enfants. </w:t>
      </w:r>
      <w:r>
        <w:rPr>
          <w:rFonts w:hint="default"/>
          <w:lang w:val="fr-FR"/>
        </w:rPr>
        <w:t>Les résultats du recensement a vocation d</w:t>
      </w:r>
      <w:r>
        <w:t>’</w:t>
      </w:r>
      <w:r>
        <w:rPr>
          <w:rFonts w:hint="default"/>
          <w:lang w:val="fr-FR"/>
        </w:rPr>
        <w:t>état civil révélait déjà plus de 150,000 enfants non déclarés</w:t>
      </w:r>
      <w:r>
        <w:rPr>
          <w:rStyle w:val="4"/>
        </w:rPr>
        <w:footnoteReference w:id="20"/>
      </w:r>
      <w:r>
        <w:t xml:space="preserve">. </w:t>
      </w:r>
    </w:p>
    <w:p>
      <w:pPr>
        <w:jc w:val="both"/>
      </w:pPr>
      <w:r>
        <w:t>De plus</w:t>
      </w:r>
      <w:r>
        <w:rPr>
          <w:rFonts w:hint="default"/>
          <w:lang w:val="fr-FR"/>
        </w:rPr>
        <w:t>,</w:t>
      </w:r>
      <w:r>
        <w:t xml:space="preserve"> le Gouvernement avait créé </w:t>
      </w:r>
      <w:r>
        <w:rPr>
          <w:rFonts w:hint="default"/>
          <w:lang w:val="fr-FR"/>
        </w:rPr>
        <w:t>depuis 2020,</w:t>
      </w:r>
      <w:r>
        <w:t>les centres d’état civil secondaire dans les formations sanitaires pour rendre systématique les déclarations de naissance</w:t>
      </w:r>
      <w:r>
        <w:rPr>
          <w:rStyle w:val="4"/>
        </w:rPr>
        <w:footnoteReference w:id="21"/>
      </w:r>
      <w:r>
        <w:t>. A ce jour, aucune action n’a été prise dans ce sens. Avec les inondations, le nombre d’enfants non déclarés a doublé et les centres d’état civil peinent à régulariser leur situation.</w:t>
      </w:r>
    </w:p>
    <w:p>
      <w:pPr>
        <w:jc w:val="both"/>
      </w:pPr>
      <w:r>
        <w:t>Dans la zone de Betou, Département de la Likouala</w:t>
      </w:r>
      <w:r>
        <w:rPr>
          <w:rFonts w:hint="default"/>
          <w:lang w:val="fr-FR"/>
        </w:rPr>
        <w:t>,</w:t>
      </w:r>
      <w:r>
        <w:t xml:space="preserve"> il y a les cas des enfants nés en 2017 dont la naissance n’avait pu être régularisée en raison des défaillances du système d’</w:t>
      </w:r>
      <w:r>
        <w:rPr>
          <w:rFonts w:hint="default"/>
          <w:lang w:val="fr-FR"/>
        </w:rPr>
        <w:t>enregistrement des naissances</w:t>
      </w:r>
      <w:r>
        <w:t xml:space="preserve"> dans la zone. Ces enfants n’ont toujours pas reçu leurs actes de naissances.</w:t>
      </w:r>
    </w:p>
    <w:p>
      <w:pPr>
        <w:jc w:val="both"/>
        <w:rPr>
          <w:rFonts w:hint="default"/>
          <w:lang w:val="fr-FR"/>
        </w:rPr>
      </w:pPr>
      <w:r>
        <w:t>On note aussi la persistance de l’état civil parallèle</w:t>
      </w:r>
      <w:r>
        <w:rPr>
          <w:rFonts w:hint="default"/>
          <w:lang w:val="fr-FR"/>
        </w:rPr>
        <w:t>,</w:t>
      </w:r>
      <w:r>
        <w:t xml:space="preserve"> devenu un appât pour les parents désespérés. Plusieurs personnes circulent avec des faux actes de naissance.  </w:t>
      </w:r>
      <w:r>
        <w:rPr>
          <w:rFonts w:hint="default"/>
          <w:lang w:val="fr-FR"/>
        </w:rPr>
        <w:t>L</w:t>
      </w:r>
      <w:r>
        <w:t>a gratuité des actes d’état civil originaux</w:t>
      </w:r>
      <w:r>
        <w:rPr>
          <w:rStyle w:val="4"/>
        </w:rPr>
        <w:footnoteReference w:id="22"/>
      </w:r>
      <w:r>
        <w:rPr>
          <w:rFonts w:hint="default"/>
          <w:lang w:val="fr-FR"/>
        </w:rPr>
        <w:t xml:space="preserve"> des réquisitions de déclaration tardive</w:t>
      </w:r>
      <w:r>
        <w:rPr>
          <w:rStyle w:val="4"/>
          <w:rFonts w:hint="default"/>
          <w:lang w:val="fr-FR"/>
        </w:rPr>
        <w:footnoteReference w:id="23"/>
      </w:r>
      <w:r>
        <w:rPr>
          <w:rFonts w:hint="default"/>
          <w:lang w:val="fr-FR"/>
        </w:rPr>
        <w:t>,</w:t>
      </w:r>
      <w:r>
        <w:t xml:space="preserve">et </w:t>
      </w:r>
      <w:r>
        <w:rPr>
          <w:rFonts w:hint="default"/>
          <w:lang w:val="fr-FR"/>
        </w:rPr>
        <w:t>des frais de cotation et paraphe des registres d.acte de naissance</w:t>
      </w:r>
      <w:r>
        <w:rPr>
          <w:rStyle w:val="4"/>
        </w:rPr>
        <w:footnoteReference w:id="24"/>
      </w:r>
      <w:r>
        <w:rPr>
          <w:rFonts w:hint="default"/>
          <w:lang w:val="fr-FR"/>
        </w:rPr>
        <w:t xml:space="preserve"> </w:t>
      </w:r>
      <w:r>
        <w:t>n’est pas respecté</w:t>
      </w:r>
      <w:r>
        <w:rPr>
          <w:rFonts w:hint="default"/>
          <w:lang w:val="fr-FR"/>
        </w:rPr>
        <w:t xml:space="preserve"> et rendant difficile l</w:t>
      </w:r>
      <w:r>
        <w:t>’</w:t>
      </w:r>
      <w:r>
        <w:rPr>
          <w:rFonts w:hint="default"/>
          <w:lang w:val="fr-FR"/>
        </w:rPr>
        <w:t>enregistrement des naissances.</w:t>
      </w:r>
    </w:p>
    <w:p>
      <w:pPr>
        <w:jc w:val="both"/>
      </w:pPr>
      <w:r>
        <w:t>Plusieurs enfants rwandais nés au Congo n’ont pas d’acte de naissance.</w:t>
      </w:r>
    </w:p>
    <w:p>
      <w:pPr>
        <w:jc w:val="both"/>
      </w:pPr>
      <w:r>
        <w:t>Le code de la famille qui est le principal texte régissant les questions d’état civil est dans ce processus de réforme depuis quelques années. Aucune suite à ce jour.</w:t>
      </w:r>
    </w:p>
    <w:p>
      <w:pPr>
        <w:jc w:val="both"/>
      </w:pPr>
      <w:r>
        <w:t>Par ailleurs, le Gouvernement a adopté une politique nationale de réforme et de modernisation de l’état civil</w:t>
      </w:r>
      <w:r>
        <w:rPr>
          <w:rStyle w:val="4"/>
        </w:rPr>
        <w:footnoteReference w:id="25"/>
      </w:r>
      <w:r>
        <w:t xml:space="preserve"> qui visant à moderniser l’état civil et garantir l’enregistrement des naissances à tous les enfants avec pour objectifs zéro enfants sans acte de naissance. Toutefois, le projet peine à démarrer effectivement et la modernisation est reste un slogan dans la plupart des centres d’état civil.</w:t>
      </w:r>
    </w:p>
    <w:p>
      <w:pPr>
        <w:jc w:val="both"/>
      </w:pPr>
      <w:r>
        <w:t>Le projet SIFEC</w:t>
      </w:r>
      <w:r>
        <w:rPr>
          <w:rStyle w:val="4"/>
        </w:rPr>
        <w:footnoteReference w:id="26"/>
      </w:r>
      <w:r>
        <w:t xml:space="preserve"> n’a toujours pas démarré et le système d’état civil est à deux mesures. Dans certains centres, les actes de naissances sont déjà informatisés mais dans d’autres la transcription se faire encore manuellement.</w:t>
      </w:r>
    </w:p>
    <w:p>
      <w:pPr>
        <w:jc w:val="both"/>
        <w:rPr>
          <w:b/>
          <w:bCs/>
        </w:rPr>
      </w:pPr>
      <w:r>
        <w:rPr>
          <w:b/>
          <w:bCs/>
        </w:rPr>
        <w:t>Article 31 à 33</w:t>
      </w:r>
    </w:p>
    <w:p>
      <w:pPr>
        <w:jc w:val="both"/>
      </w:pPr>
      <w:r>
        <w:t>25. Transferts des avoirs. En République du Congo, il n’existe aucune disposition interdisant aux travailleurs migrants de disposer librement de leurs biens et avoirs. Exception des montants à transférer par jour qui ne doivent pas excéder le plafond de 1.000.000 dans les agences de transferts internationaux</w:t>
      </w:r>
      <w:r>
        <w:rPr>
          <w:rStyle w:val="4"/>
        </w:rPr>
        <w:footnoteReference w:id="27"/>
      </w:r>
      <w:r>
        <w:t>.</w:t>
      </w:r>
    </w:p>
    <w:p>
      <w:pPr>
        <w:jc w:val="both"/>
      </w:pPr>
      <w:r>
        <w:t xml:space="preserve">Pour les </w:t>
      </w:r>
      <w:r>
        <w:rPr>
          <w:lang w:val="fr-FR"/>
        </w:rPr>
        <w:t>réfugiés</w:t>
      </w:r>
      <w:r>
        <w:t xml:space="preserve"> par exemple, lors du Rapatriement l’accord tripartite définit et prévoit le transfert de leurs biens vers leurs pays d’origine et pour les </w:t>
      </w:r>
      <w:r>
        <w:rPr>
          <w:lang w:val="fr-FR"/>
        </w:rPr>
        <w:t>réfugiés</w:t>
      </w:r>
      <w:r>
        <w:t xml:space="preserve"> ces biens sont exemptes de toute taxe douanière. </w:t>
      </w:r>
    </w:p>
    <w:p>
      <w:pPr>
        <w:jc w:val="both"/>
        <w:rPr>
          <w:b/>
          <w:bCs/>
        </w:rPr>
      </w:pPr>
      <w:r>
        <w:rPr>
          <w:b/>
          <w:bCs/>
        </w:rPr>
        <w:t>Quatrième partie de la convention</w:t>
      </w:r>
    </w:p>
    <w:p>
      <w:pPr>
        <w:jc w:val="both"/>
        <w:rPr>
          <w:b/>
          <w:bCs/>
        </w:rPr>
      </w:pPr>
      <w:r>
        <w:rPr>
          <w:b/>
          <w:bCs/>
        </w:rPr>
        <w:t>Article 37</w:t>
      </w:r>
    </w:p>
    <w:p>
      <w:pPr>
        <w:jc w:val="both"/>
      </w:pPr>
      <w:r>
        <w:t>26 : Service d’information au profit des candidats à l’expatriation,</w:t>
      </w:r>
    </w:p>
    <w:p>
      <w:pPr>
        <w:jc w:val="both"/>
      </w:pPr>
      <w:r>
        <w:t>Il n’y pas de services d’information au profit des candidats. Chaque individu qui obtient un emploi se doit de se renseigner auprès de son employeur pour obtenir toutes les informations.</w:t>
      </w:r>
    </w:p>
    <w:p>
      <w:pPr>
        <w:jc w:val="both"/>
      </w:pPr>
      <w:r>
        <w:t xml:space="preserve">Cette pratique a laissé libre court au </w:t>
      </w:r>
      <w:r>
        <w:rPr>
          <w:lang w:val="fr-FR"/>
        </w:rPr>
        <w:t>Trafic</w:t>
      </w:r>
      <w:r>
        <w:t xml:space="preserve"> de personnes. Beaucoup de jeunes demandeurs d’emploi  étrangers se sont retrouvés en captivité entre les mains des trafiquants à cause de ce déficit (tel est le cas récemment des congolais séquestrés par les trafiquants camerounais)</w:t>
      </w:r>
      <w:r>
        <w:rPr>
          <w:rStyle w:val="4"/>
        </w:rPr>
        <w:footnoteReference w:id="28"/>
      </w:r>
      <w:r>
        <w:t>.</w:t>
      </w:r>
    </w:p>
    <w:p>
      <w:pPr>
        <w:jc w:val="both"/>
      </w:pPr>
      <w:r>
        <w:t xml:space="preserve">Un système d’information bien coordonne au profit des candidats limiteront le </w:t>
      </w:r>
      <w:r>
        <w:rPr>
          <w:lang w:val="fr-FR"/>
        </w:rPr>
        <w:t>Trafic</w:t>
      </w:r>
      <w:r>
        <w:t xml:space="preserve"> et la traite des personnes migrantes à l’étranger.</w:t>
      </w:r>
    </w:p>
    <w:p>
      <w:pPr>
        <w:jc w:val="both"/>
      </w:pPr>
      <w:r>
        <w:t>Pour ceux qui partent dans le cadre du programme DVLottery américain</w:t>
      </w:r>
      <w:r>
        <w:rPr>
          <w:rStyle w:val="4"/>
        </w:rPr>
        <w:footnoteReference w:id="29"/>
      </w:r>
      <w:r>
        <w:t>, les candidats reçoivent directement toutes les informations à travers les DV Lottery sans une meilleure implication des autorités nationales.</w:t>
      </w:r>
    </w:p>
    <w:p>
      <w:pPr>
        <w:jc w:val="both"/>
      </w:pPr>
      <w:r>
        <w:t>Toutefois, pour les réfugiés en réinstallation, le HCR leur fournit toutes les informations nécessaires</w:t>
      </w:r>
    </w:p>
    <w:p>
      <w:pPr>
        <w:jc w:val="both"/>
        <w:rPr>
          <w:b/>
          <w:bCs/>
        </w:rPr>
      </w:pPr>
      <w:r>
        <w:rPr>
          <w:b/>
          <w:bCs/>
        </w:rPr>
        <w:t>Article 40</w:t>
      </w:r>
    </w:p>
    <w:p>
      <w:pPr>
        <w:jc w:val="both"/>
      </w:pPr>
      <w:r>
        <w:t xml:space="preserve">27 : Le droit d’association est reconnu dans la constitution congolaise. Les </w:t>
      </w:r>
      <w:r>
        <w:rPr>
          <w:lang w:val="fr-FR"/>
        </w:rPr>
        <w:t>réfugiés</w:t>
      </w:r>
      <w:r>
        <w:t xml:space="preserve"> ainsi que les migrants(résidents) ont le droit de former leurs associations. Toutefois quelques restrictions interviennent pour recadrer le champs d’action de ces associations qui en fait ne doivent pas mener des activités subversives et ou poser des actes contraires aux buts et principes des Nations-Unies. Mais dans la pratique, il y a toujours des confusions et les migrants n’ont toujours pas la bonne information à ce sujet.</w:t>
      </w:r>
    </w:p>
    <w:p>
      <w:pPr>
        <w:jc w:val="both"/>
      </w:pPr>
      <w:r>
        <w:t xml:space="preserve"> </w:t>
      </w:r>
      <w:r>
        <w:rPr>
          <w:rFonts w:cs="Calibri"/>
          <w:b/>
        </w:rPr>
        <w:t xml:space="preserve">32 : </w:t>
      </w:r>
      <w:r>
        <w:t xml:space="preserve">La République du Congo est liée à un certain nombre de traités internationaux et d’accords régionaux qui constituent, en plus de la Constitution, un cadre juridique solide pour la protection de l’enfant. Le cadre législatif est principalement constitué de la loi n°04-2010 du 14 juin 2010 portant protection de l’enfant en République du Congo qui prend en compte les enfants en situation de rue et de mobilité (voir en particulier l’article 13). En ce qui concerne plus particulièrement les enfants victimes de traite, après la ratification du Protocole additionnel de la Convention des Nations Unies contre la criminalité transnationale organisée visant à prévenir, réprimer et punir la traite des personnes notamment des femmes et des enfants, la République du Congo a fait l’effort de s’y conformer à travers la loi n°4-2010 du 14 juin 2010, notamment ses articles 60 et 115, et la loi n°22-2019 du 17 juin 2019 portant lutte contre la traite des personnes. </w:t>
      </w:r>
    </w:p>
    <w:p>
      <w:pPr>
        <w:jc w:val="both"/>
      </w:pPr>
      <w:r>
        <w:t xml:space="preserve">33 : Le Gouvernement a pris des mesures pour protéger les enfants migrants contre la traite et faciliter l’accès a la justice. En effet, la justice congolaise a traité trois affaires concernant des enfants victimes de traite qui venaient du Bénin. Les arrêts ont été rendus par les Cours criminelles de Pointe-Noire et de Brazzaville, en 2017 et 2020. Au total, neuf personnes ont été poursuivies - sept femmes et deux hommes -, tous originaires du Bénin. Les enfants victimes de traite ont pu être identifiés à la suite de rumeurs qui circulaient à Pointe-Noire et Brazzaville concernant le trafic d’enfants béninois. Une enquête de police a alors été diligentée et a abouti à l’identification de huit enfants. Il s’agissait aussi bien de filles que de garçons, entre 10 et 17 ans. </w:t>
      </w:r>
    </w:p>
    <w:p>
      <w:pPr>
        <w:jc w:val="both"/>
      </w:pPr>
      <w:r>
        <w:t xml:space="preserve">34 : La loi congolaise fixant les conditions d’entrée, de séjour et de sortie n’empêche pas aux migrants entrée illégalement de régulariser leur situation. Toutefois, il arrive que ces migrants soient détenus par les services de l’immigration. Ces incidents sont récurrents dans la Sangha et la Likouala ou les migrants clandestins sont arrêtés et leurs documents ravis. </w:t>
      </w:r>
    </w:p>
    <w:p>
      <w:pPr>
        <w:jc w:val="both"/>
      </w:pPr>
      <w:r>
        <w:t>Concernant les réfugiés, le gouvernement à travers le CNAR délivre les cartes de réfugiés aux personnes ayant obtenu le statut de réfugié (DSR ou prima facie</w:t>
      </w:r>
      <w:r>
        <w:rPr>
          <w:rStyle w:val="4"/>
        </w:rPr>
        <w:footnoteReference w:id="30"/>
      </w:r>
      <w:r>
        <w:t xml:space="preserve">). Ces cartes de réfugiés font office de pièce d’identité. Ces cartes sont reconnues dans les administrations. Les </w:t>
      </w:r>
      <w:r>
        <w:rPr>
          <w:lang w:val="fr-FR"/>
        </w:rPr>
        <w:t>réfugiés</w:t>
      </w:r>
      <w:r>
        <w:t xml:space="preserve"> peuvent effectuer des transactions bancaires et circuler librement avec ces cartes. Toutefois, certaines structures bancaires n’acceptent pas ces cartes de </w:t>
      </w:r>
      <w:r>
        <w:rPr>
          <w:lang w:val="fr-FR"/>
        </w:rPr>
        <w:t>réfugiés</w:t>
      </w:r>
      <w:r>
        <w:t xml:space="preserve"> en raison des orientations reçues de l’autorité de régulation des banques. (COBAC).</w:t>
      </w:r>
    </w:p>
    <w:p>
      <w:pPr>
        <w:jc w:val="both"/>
      </w:pPr>
      <w:r>
        <w:t xml:space="preserve">Pour les demandeurs d’asile, il leur est délivré une autorisation provisoire séjour, renouvelable jusqu’à ce que la décision sur sa demande d’asile soit prononcée. Comme les cartes de </w:t>
      </w:r>
      <w:r>
        <w:rPr>
          <w:lang w:val="fr-FR"/>
        </w:rPr>
        <w:t>réfugiés</w:t>
      </w:r>
      <w:r>
        <w:t>, les APS font également office de document de séjour pour cette catégorie de personnes</w:t>
      </w:r>
    </w:p>
    <w:sectPr>
      <w:pgSz w:w="11906" w:h="16838"/>
      <w:pgMar w:top="1417" w:right="1417" w:bottom="1417" w:left="141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9" w:usb3="00000000" w:csb0="000001FF" w:csb1="00000000"/>
  </w:font>
  <w:font w:name="Roboto">
    <w:altName w:val="Times New Roman"/>
    <w:panose1 w:val="00000000000000000000"/>
    <w:charset w:val="00"/>
    <w:family w:val="roman"/>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2">
    <w:p>
      <w:pPr>
        <w:spacing w:before="0" w:after="0" w:line="256" w:lineRule="auto"/>
      </w:pPr>
      <w:r>
        <w:separator/>
      </w:r>
    </w:p>
  </w:footnote>
  <w:footnote w:type="continuationSeparator" w:id="63">
    <w:p>
      <w:pPr>
        <w:spacing w:before="0" w:after="0" w:line="256" w:lineRule="auto"/>
      </w:pPr>
      <w:r>
        <w:continuationSeparator/>
      </w:r>
    </w:p>
  </w:footnote>
  <w:footnote w:id="0">
    <w:p>
      <w:pPr>
        <w:pStyle w:val="2"/>
        <w:shd w:val="clear" w:color="auto" w:fill="FFFFFF"/>
        <w:spacing w:before="0" w:beforeAutospacing="0" w:after="0" w:afterAutospacing="0"/>
        <w:textAlignment w:val="baseline"/>
        <w:rPr>
          <w:rFonts w:asciiTheme="minorHAnsi" w:hAnsiTheme="minorHAnsi" w:cstheme="minorHAnsi"/>
          <w:color w:val="222222"/>
          <w:sz w:val="16"/>
          <w:szCs w:val="16"/>
        </w:rPr>
      </w:pPr>
      <w:r>
        <w:rPr>
          <w:rStyle w:val="4"/>
          <w:rFonts w:asciiTheme="minorHAnsi" w:hAnsiTheme="minorHAnsi" w:cstheme="minorHAnsi"/>
          <w:sz w:val="16"/>
          <w:szCs w:val="16"/>
        </w:rPr>
        <w:footnoteRef/>
      </w:r>
      <w:r>
        <w:rPr>
          <w:rFonts w:asciiTheme="minorHAnsi" w:hAnsiTheme="minorHAnsi" w:cstheme="minorHAnsi"/>
          <w:sz w:val="16"/>
          <w:szCs w:val="16"/>
        </w:rPr>
        <w:t xml:space="preserve"> </w:t>
      </w:r>
      <w:r>
        <w:rPr>
          <w:rFonts w:asciiTheme="minorHAnsi" w:hAnsiTheme="minorHAnsi" w:cstheme="minorHAnsi"/>
          <w:color w:val="222222"/>
          <w:sz w:val="16"/>
          <w:szCs w:val="16"/>
        </w:rPr>
        <w:t>Loi N° 29-2017 du 7 Août 2017 modifiant et complétant certaines dispositions de la loi 23-96du 6 juin 1996 fixant les conditions d’entrée, de séjour et de sortie des étrangers en République du Congo</w:t>
      </w:r>
    </w:p>
    <w:p>
      <w:pPr>
        <w:pStyle w:val="6"/>
        <w:rPr>
          <w:rFonts w:asciiTheme="minorHAnsi" w:hAnsiTheme="minorHAnsi" w:cstheme="minorHAnsi"/>
          <w:b/>
          <w:sz w:val="16"/>
          <w:szCs w:val="16"/>
        </w:rPr>
      </w:pPr>
    </w:p>
  </w:footnote>
  <w:footnote w:id="1">
    <w:p>
      <w:pPr>
        <w:pStyle w:val="6"/>
      </w:pPr>
      <w:r>
        <w:rPr>
          <w:rStyle w:val="4"/>
          <w:rFonts w:asciiTheme="minorHAnsi" w:hAnsiTheme="minorHAnsi" w:cstheme="minorHAnsi"/>
          <w:b/>
          <w:sz w:val="16"/>
          <w:szCs w:val="16"/>
        </w:rPr>
        <w:footnoteRef/>
      </w:r>
      <w:r>
        <w:rPr>
          <w:rFonts w:asciiTheme="minorHAnsi" w:hAnsiTheme="minorHAnsi" w:cstheme="minorHAnsi"/>
          <w:b/>
          <w:sz w:val="16"/>
          <w:szCs w:val="16"/>
        </w:rPr>
        <w:t xml:space="preserve"> </w:t>
      </w:r>
      <w:r>
        <w:rPr>
          <w:rStyle w:val="5"/>
          <w:rFonts w:asciiTheme="minorHAnsi" w:hAnsiTheme="minorHAnsi" w:cstheme="minorHAnsi"/>
          <w:color w:val="444444"/>
          <w:sz w:val="16"/>
          <w:szCs w:val="16"/>
          <w:shd w:val="clear" w:color="auto" w:fill="FFFFFF"/>
        </w:rPr>
        <w:t>Loi</w:t>
      </w:r>
      <w:r>
        <w:rPr>
          <w:rFonts w:asciiTheme="minorHAnsi" w:hAnsiTheme="minorHAnsi" w:cstheme="minorHAnsi"/>
          <w:b/>
          <w:color w:val="444444"/>
          <w:sz w:val="16"/>
          <w:szCs w:val="16"/>
          <w:shd w:val="clear" w:color="auto" w:fill="FFFFFF"/>
        </w:rPr>
        <w:t> n°41-2021 du 29 septembre 2021 </w:t>
      </w:r>
      <w:r>
        <w:rPr>
          <w:rStyle w:val="5"/>
          <w:rFonts w:asciiTheme="minorHAnsi" w:hAnsiTheme="minorHAnsi" w:cstheme="minorHAnsi"/>
          <w:color w:val="444444"/>
          <w:sz w:val="16"/>
          <w:szCs w:val="16"/>
          <w:shd w:val="clear" w:color="auto" w:fill="FFFFFF"/>
        </w:rPr>
        <w:t>fixant</w:t>
      </w:r>
      <w:r>
        <w:rPr>
          <w:rFonts w:asciiTheme="minorHAnsi" w:hAnsiTheme="minorHAnsi" w:cstheme="minorHAnsi"/>
          <w:b/>
          <w:color w:val="444444"/>
          <w:sz w:val="16"/>
          <w:szCs w:val="16"/>
          <w:shd w:val="clear" w:color="auto" w:fill="FFFFFF"/>
        </w:rPr>
        <w:t> </w:t>
      </w:r>
      <w:r>
        <w:rPr>
          <w:rStyle w:val="5"/>
          <w:rFonts w:asciiTheme="minorHAnsi" w:hAnsiTheme="minorHAnsi" w:cstheme="minorHAnsi"/>
          <w:color w:val="444444"/>
          <w:sz w:val="16"/>
          <w:szCs w:val="16"/>
          <w:shd w:val="clear" w:color="auto" w:fill="FFFFFF"/>
        </w:rPr>
        <w:t>le</w:t>
      </w:r>
      <w:r>
        <w:rPr>
          <w:rFonts w:asciiTheme="minorHAnsi" w:hAnsiTheme="minorHAnsi" w:cstheme="minorHAnsi"/>
          <w:b/>
          <w:color w:val="444444"/>
          <w:sz w:val="16"/>
          <w:szCs w:val="16"/>
          <w:shd w:val="clear" w:color="auto" w:fill="FFFFFF"/>
        </w:rPr>
        <w:t> </w:t>
      </w:r>
      <w:r>
        <w:rPr>
          <w:rStyle w:val="5"/>
          <w:rFonts w:asciiTheme="minorHAnsi" w:hAnsiTheme="minorHAnsi" w:cstheme="minorHAnsi"/>
          <w:color w:val="444444"/>
          <w:sz w:val="16"/>
          <w:szCs w:val="16"/>
          <w:shd w:val="clear" w:color="auto" w:fill="FFFFFF"/>
        </w:rPr>
        <w:t>droit</w:t>
      </w:r>
      <w:r>
        <w:rPr>
          <w:rFonts w:asciiTheme="minorHAnsi" w:hAnsiTheme="minorHAnsi" w:cstheme="minorHAnsi"/>
          <w:b/>
          <w:color w:val="444444"/>
          <w:sz w:val="16"/>
          <w:szCs w:val="16"/>
          <w:shd w:val="clear" w:color="auto" w:fill="FFFFFF"/>
        </w:rPr>
        <w:t> </w:t>
      </w:r>
      <w:r>
        <w:rPr>
          <w:rStyle w:val="5"/>
          <w:rFonts w:asciiTheme="minorHAnsi" w:hAnsiTheme="minorHAnsi" w:cstheme="minorHAnsi"/>
          <w:color w:val="444444"/>
          <w:sz w:val="16"/>
          <w:szCs w:val="16"/>
          <w:shd w:val="clear" w:color="auto" w:fill="FFFFFF"/>
        </w:rPr>
        <w:t>d</w:t>
      </w:r>
      <w:r>
        <w:rPr>
          <w:rFonts w:asciiTheme="minorHAnsi" w:hAnsiTheme="minorHAnsi" w:cstheme="minorHAnsi"/>
          <w:b/>
          <w:color w:val="444444"/>
          <w:sz w:val="16"/>
          <w:szCs w:val="16"/>
          <w:shd w:val="clear" w:color="auto" w:fill="FFFFFF"/>
        </w:rPr>
        <w:t>’</w:t>
      </w:r>
      <w:r>
        <w:rPr>
          <w:rStyle w:val="5"/>
          <w:rFonts w:asciiTheme="minorHAnsi" w:hAnsiTheme="minorHAnsi" w:cstheme="minorHAnsi"/>
          <w:color w:val="444444"/>
          <w:sz w:val="16"/>
          <w:szCs w:val="16"/>
          <w:shd w:val="clear" w:color="auto" w:fill="FFFFFF"/>
        </w:rPr>
        <w:t>asile</w:t>
      </w:r>
      <w:r>
        <w:rPr>
          <w:rFonts w:asciiTheme="minorHAnsi" w:hAnsiTheme="minorHAnsi" w:cstheme="minorHAnsi"/>
          <w:b/>
          <w:color w:val="444444"/>
          <w:sz w:val="16"/>
          <w:szCs w:val="16"/>
          <w:shd w:val="clear" w:color="auto" w:fill="FFFFFF"/>
        </w:rPr>
        <w:t> </w:t>
      </w:r>
      <w:r>
        <w:rPr>
          <w:rStyle w:val="5"/>
          <w:rFonts w:asciiTheme="minorHAnsi" w:hAnsiTheme="minorHAnsi" w:cstheme="minorHAnsi"/>
          <w:color w:val="444444"/>
          <w:sz w:val="16"/>
          <w:szCs w:val="16"/>
          <w:shd w:val="clear" w:color="auto" w:fill="FFFFFF"/>
        </w:rPr>
        <w:t>et</w:t>
      </w:r>
      <w:r>
        <w:rPr>
          <w:rFonts w:asciiTheme="minorHAnsi" w:hAnsiTheme="minorHAnsi" w:cstheme="minorHAnsi"/>
          <w:b/>
          <w:color w:val="444444"/>
          <w:sz w:val="16"/>
          <w:szCs w:val="16"/>
          <w:shd w:val="clear" w:color="auto" w:fill="FFFFFF"/>
        </w:rPr>
        <w:t> </w:t>
      </w:r>
      <w:r>
        <w:rPr>
          <w:rStyle w:val="5"/>
          <w:rFonts w:asciiTheme="minorHAnsi" w:hAnsiTheme="minorHAnsi" w:cstheme="minorHAnsi"/>
          <w:color w:val="444444"/>
          <w:sz w:val="16"/>
          <w:szCs w:val="16"/>
          <w:shd w:val="clear" w:color="auto" w:fill="FFFFFF"/>
        </w:rPr>
        <w:t>le</w:t>
      </w:r>
      <w:r>
        <w:rPr>
          <w:rFonts w:asciiTheme="minorHAnsi" w:hAnsiTheme="minorHAnsi" w:cstheme="minorHAnsi"/>
          <w:b/>
          <w:color w:val="444444"/>
          <w:sz w:val="16"/>
          <w:szCs w:val="16"/>
          <w:shd w:val="clear" w:color="auto" w:fill="FFFFFF"/>
        </w:rPr>
        <w:t> </w:t>
      </w:r>
      <w:r>
        <w:rPr>
          <w:rStyle w:val="5"/>
          <w:rFonts w:asciiTheme="minorHAnsi" w:hAnsiTheme="minorHAnsi" w:cstheme="minorHAnsi"/>
          <w:color w:val="444444"/>
          <w:sz w:val="16"/>
          <w:szCs w:val="16"/>
          <w:shd w:val="clear" w:color="auto" w:fill="FFFFFF"/>
        </w:rPr>
        <w:t>statut</w:t>
      </w:r>
      <w:r>
        <w:rPr>
          <w:rFonts w:asciiTheme="minorHAnsi" w:hAnsiTheme="minorHAnsi" w:cstheme="minorHAnsi"/>
          <w:b/>
          <w:color w:val="444444"/>
          <w:sz w:val="16"/>
          <w:szCs w:val="16"/>
          <w:shd w:val="clear" w:color="auto" w:fill="FFFFFF"/>
        </w:rPr>
        <w:t> </w:t>
      </w:r>
      <w:r>
        <w:rPr>
          <w:rStyle w:val="5"/>
          <w:rFonts w:asciiTheme="minorHAnsi" w:hAnsiTheme="minorHAnsi" w:cstheme="minorHAnsi"/>
          <w:color w:val="444444"/>
          <w:sz w:val="16"/>
          <w:szCs w:val="16"/>
          <w:shd w:val="clear" w:color="auto" w:fill="FFFFFF"/>
        </w:rPr>
        <w:t>de</w:t>
      </w:r>
      <w:r>
        <w:rPr>
          <w:rFonts w:asciiTheme="minorHAnsi" w:hAnsiTheme="minorHAnsi" w:cstheme="minorHAnsi"/>
          <w:b/>
          <w:color w:val="444444"/>
          <w:sz w:val="16"/>
          <w:szCs w:val="16"/>
          <w:shd w:val="clear" w:color="auto" w:fill="FFFFFF"/>
        </w:rPr>
        <w:t> </w:t>
      </w:r>
      <w:r>
        <w:rPr>
          <w:rStyle w:val="5"/>
          <w:rFonts w:asciiTheme="minorHAnsi" w:hAnsiTheme="minorHAnsi" w:cstheme="minorHAnsi"/>
          <w:color w:val="444444"/>
          <w:sz w:val="16"/>
          <w:szCs w:val="16"/>
          <w:shd w:val="clear" w:color="auto" w:fill="FFFFFF"/>
        </w:rPr>
        <w:t>refugie</w:t>
      </w:r>
    </w:p>
  </w:footnote>
  <w:footnote w:id="2">
    <w:p>
      <w:pPr>
        <w:pStyle w:val="6"/>
        <w:rPr>
          <w:rFonts w:asciiTheme="minorHAnsi" w:hAnsiTheme="minorHAnsi" w:cstheme="minorHAnsi"/>
          <w:sz w:val="16"/>
          <w:szCs w:val="16"/>
        </w:rPr>
      </w:pPr>
      <w:r>
        <w:rPr>
          <w:rStyle w:val="4"/>
        </w:rPr>
        <w:footnoteRef/>
      </w:r>
      <w:r>
        <w:t xml:space="preserve"> </w:t>
      </w:r>
      <w:r>
        <w:rPr>
          <w:rFonts w:asciiTheme="minorHAnsi" w:hAnsiTheme="minorHAnsi" w:cstheme="minorHAnsi"/>
          <w:b/>
          <w:bCs/>
          <w:color w:val="777777"/>
          <w:sz w:val="16"/>
          <w:szCs w:val="16"/>
          <w:shd w:val="clear" w:color="auto" w:fill="FFFFFF"/>
        </w:rPr>
        <w:t>L’Agence Congolaise Pour l’Emploi</w:t>
      </w:r>
      <w:r>
        <w:rPr>
          <w:rFonts w:asciiTheme="minorHAnsi" w:hAnsiTheme="minorHAnsi" w:cstheme="minorHAnsi"/>
          <w:color w:val="777777"/>
          <w:sz w:val="16"/>
          <w:szCs w:val="16"/>
          <w:shd w:val="clear" w:color="auto" w:fill="FFFFFF"/>
        </w:rPr>
        <w:t> est un établissement public à caractère administratif, doté de la personnalité morale et de l’autonomie de gestion. Elle a été créée suite à la dissolution de l’Office National de l’Emploi et de la Main d’Œuvre (ONEMO) en application de l’article 7 de la loi n° 7-2019 du 9 avril 2019 portant création de l’Agence Congolaise Pour l’emploi, en sigle </w:t>
      </w:r>
      <w:r>
        <w:rPr>
          <w:rFonts w:asciiTheme="minorHAnsi" w:hAnsiTheme="minorHAnsi" w:cstheme="minorHAnsi"/>
          <w:b/>
          <w:bCs/>
          <w:color w:val="777777"/>
          <w:sz w:val="16"/>
          <w:szCs w:val="16"/>
          <w:shd w:val="clear" w:color="auto" w:fill="FFFFFF"/>
        </w:rPr>
        <w:t>ACPE</w:t>
      </w:r>
      <w:r>
        <w:rPr>
          <w:rFonts w:asciiTheme="minorHAnsi" w:hAnsiTheme="minorHAnsi" w:cstheme="minorHAnsi"/>
          <w:color w:val="777777"/>
          <w:sz w:val="16"/>
          <w:szCs w:val="16"/>
          <w:shd w:val="clear" w:color="auto" w:fill="FFFFFF"/>
        </w:rPr>
        <w:t>.</w:t>
      </w:r>
    </w:p>
  </w:footnote>
  <w:footnote w:id="3">
    <w:p>
      <w:pPr>
        <w:pStyle w:val="6"/>
        <w:rPr>
          <w:rFonts w:asciiTheme="minorHAnsi" w:hAnsiTheme="minorHAnsi" w:cstheme="minorHAnsi"/>
          <w:sz w:val="16"/>
          <w:szCs w:val="16"/>
        </w:rPr>
      </w:pPr>
      <w:r>
        <w:rPr>
          <w:rStyle w:val="4"/>
          <w:rFonts w:asciiTheme="minorHAnsi" w:hAnsiTheme="minorHAnsi" w:cstheme="minorHAnsi"/>
          <w:sz w:val="16"/>
          <w:szCs w:val="16"/>
        </w:rPr>
        <w:footnoteRef/>
      </w:r>
      <w:r>
        <w:rPr>
          <w:rFonts w:asciiTheme="minorHAnsi" w:hAnsiTheme="minorHAnsi" w:cstheme="minorHAnsi"/>
          <w:sz w:val="16"/>
          <w:szCs w:val="16"/>
        </w:rPr>
        <w:t xml:space="preserve"> </w:t>
      </w:r>
      <w:r>
        <w:rPr>
          <w:rFonts w:asciiTheme="minorHAnsi" w:hAnsiTheme="minorHAnsi" w:cstheme="minorHAnsi"/>
          <w:color w:val="666565"/>
          <w:sz w:val="16"/>
          <w:szCs w:val="16"/>
          <w:shd w:val="clear" w:color="auto" w:fill="FFFFFF"/>
        </w:rPr>
        <w:t>la loi n°8-2019 du 9 avril 2019,portant création du fond national d’appui à l’employabilité(FONEA)</w:t>
      </w:r>
    </w:p>
  </w:footnote>
  <w:footnote w:id="4">
    <w:p>
      <w:pPr>
        <w:pStyle w:val="6"/>
      </w:pPr>
      <w:r>
        <w:rPr>
          <w:rStyle w:val="4"/>
        </w:rPr>
        <w:footnoteRef/>
      </w:r>
      <w:r>
        <w:t xml:space="preserve"> Décret N. 2011-491 du 29 juillet 2011 règlementant l’accès et l’exercice de la profession des transporteurs routiers et des professions connexes au transport automobile.</w:t>
      </w:r>
    </w:p>
  </w:footnote>
  <w:footnote w:id="5">
    <w:p>
      <w:pPr>
        <w:pStyle w:val="6"/>
      </w:pPr>
      <w:r>
        <w:rPr>
          <w:rStyle w:val="4"/>
        </w:rPr>
        <w:footnoteRef/>
      </w:r>
      <w:r>
        <w:t xml:space="preserve"> Arrêté N.1-MCACA, réglementant la commercialisation des pains et des produits de la pâtisserie (art 4)</w:t>
      </w:r>
    </w:p>
  </w:footnote>
  <w:footnote w:id="6">
    <w:p>
      <w:pPr>
        <w:pStyle w:val="6"/>
      </w:pPr>
      <w:r>
        <w:rPr>
          <w:rStyle w:val="4"/>
        </w:rPr>
        <w:footnoteRef/>
      </w:r>
      <w:r>
        <w:t xml:space="preserve"> Loi règlementant l’exercice de la profession de commerçant en République du Congo Loi n° 19-2005 du 24 novembre 2005(article 3)</w:t>
      </w:r>
    </w:p>
  </w:footnote>
  <w:footnote w:id="7">
    <w:p>
      <w:pPr>
        <w:pStyle w:val="6"/>
        <w:snapToGrid w:val="0"/>
        <w:rPr>
          <w:rFonts w:hint="default"/>
          <w:lang w:val="fr-FR"/>
        </w:rPr>
      </w:pPr>
      <w:r>
        <w:rPr>
          <w:rStyle w:val="4"/>
        </w:rPr>
        <w:footnoteRef/>
      </w:r>
      <w:r>
        <w:t xml:space="preserve"> </w:t>
      </w:r>
      <w:r>
        <w:rPr>
          <w:rFonts w:hint="default"/>
          <w:lang w:val="fr-FR"/>
        </w:rPr>
        <w:t>Note Circulaire N 0002 du 19 janvier 2024,du Ministere du commerce, des approvisionnement et de la consommation</w:t>
      </w:r>
    </w:p>
  </w:footnote>
  <w:footnote w:id="8">
    <w:p>
      <w:pPr>
        <w:pStyle w:val="6"/>
      </w:pPr>
      <w:r>
        <w:rPr>
          <w:rStyle w:val="4"/>
        </w:rPr>
        <w:footnoteRef/>
      </w:r>
      <w:r>
        <w:t xml:space="preserve"> </w:t>
      </w:r>
      <w:r>
        <w:rPr>
          <w:rFonts w:ascii="Arial" w:hAnsi="Arial" w:cs="Arial"/>
          <w:color w:val="6D6D6D"/>
        </w:rPr>
        <w:t>La loi n°21-2018 du 13 juin 2018 détermine les règles relatives à l'occupation et l'acquisition des terres et terrains en République du Congo.</w:t>
      </w:r>
    </w:p>
  </w:footnote>
  <w:footnote w:id="9">
    <w:p>
      <w:pPr>
        <w:pStyle w:val="6"/>
      </w:pPr>
      <w:r>
        <w:rPr>
          <w:rStyle w:val="4"/>
          <w:rFonts w:asciiTheme="minorHAnsi" w:hAnsiTheme="minorHAnsi" w:cstheme="minorHAnsi"/>
          <w:sz w:val="16"/>
          <w:szCs w:val="16"/>
        </w:rPr>
        <w:footnoteRef/>
      </w:r>
      <w:r>
        <w:rPr>
          <w:rFonts w:asciiTheme="minorHAnsi" w:hAnsiTheme="minorHAnsi" w:cstheme="minorHAnsi"/>
          <w:sz w:val="16"/>
          <w:szCs w:val="16"/>
        </w:rPr>
        <w:t xml:space="preserve"> </w:t>
      </w:r>
      <w:r>
        <w:rPr>
          <w:rStyle w:val="5"/>
          <w:rFonts w:asciiTheme="minorHAnsi" w:hAnsiTheme="minorHAnsi" w:cstheme="minorHAnsi"/>
          <w:color w:val="767676"/>
          <w:sz w:val="16"/>
          <w:szCs w:val="16"/>
          <w:shd w:val="clear" w:color="auto" w:fill="FFFFFF"/>
        </w:rPr>
        <w:t>Loi n</w:t>
      </w:r>
      <w:r>
        <w:rPr>
          <w:rFonts w:asciiTheme="minorHAnsi" w:hAnsiTheme="minorHAnsi" w:cstheme="minorHAnsi"/>
          <w:color w:val="71777D"/>
          <w:sz w:val="16"/>
          <w:szCs w:val="16"/>
          <w:shd w:val="clear" w:color="auto" w:fill="FFFFFF"/>
        </w:rPr>
        <w:t>°</w:t>
      </w:r>
      <w:r>
        <w:rPr>
          <w:rStyle w:val="5"/>
          <w:rFonts w:asciiTheme="minorHAnsi" w:hAnsiTheme="minorHAnsi" w:cstheme="minorHAnsi"/>
          <w:color w:val="767676"/>
          <w:sz w:val="16"/>
          <w:szCs w:val="16"/>
          <w:shd w:val="clear" w:color="auto" w:fill="FFFFFF"/>
        </w:rPr>
        <w:t>30</w:t>
      </w:r>
      <w:r>
        <w:rPr>
          <w:rFonts w:asciiTheme="minorHAnsi" w:hAnsiTheme="minorHAnsi" w:cstheme="minorHAnsi"/>
          <w:color w:val="71777D"/>
          <w:sz w:val="16"/>
          <w:szCs w:val="16"/>
          <w:shd w:val="clear" w:color="auto" w:fill="FFFFFF"/>
        </w:rPr>
        <w:t>-</w:t>
      </w:r>
      <w:r>
        <w:rPr>
          <w:rStyle w:val="5"/>
          <w:rFonts w:asciiTheme="minorHAnsi" w:hAnsiTheme="minorHAnsi" w:cstheme="minorHAnsi"/>
          <w:color w:val="767676"/>
          <w:sz w:val="16"/>
          <w:szCs w:val="16"/>
          <w:shd w:val="clear" w:color="auto" w:fill="FFFFFF"/>
        </w:rPr>
        <w:t>2018 du 7 août 2018 portant attributions</w:t>
      </w:r>
      <w:r>
        <w:rPr>
          <w:rFonts w:asciiTheme="minorHAnsi" w:hAnsiTheme="minorHAnsi" w:cstheme="minorHAnsi"/>
          <w:color w:val="71777D"/>
          <w:sz w:val="16"/>
          <w:szCs w:val="16"/>
          <w:shd w:val="clear" w:color="auto" w:fill="FFFFFF"/>
        </w:rPr>
        <w:t>, </w:t>
      </w:r>
      <w:r>
        <w:rPr>
          <w:rStyle w:val="5"/>
          <w:rFonts w:asciiTheme="minorHAnsi" w:hAnsiTheme="minorHAnsi" w:cstheme="minorHAnsi"/>
          <w:color w:val="767676"/>
          <w:sz w:val="16"/>
          <w:szCs w:val="16"/>
          <w:shd w:val="clear" w:color="auto" w:fill="FFFFFF"/>
        </w:rPr>
        <w:t>organisation et fonctionnement de la commission nationale des droits</w:t>
      </w:r>
      <w:r>
        <w:rPr>
          <w:rFonts w:asciiTheme="minorHAnsi" w:hAnsiTheme="minorHAnsi" w:cstheme="minorHAnsi"/>
          <w:color w:val="71777D"/>
          <w:sz w:val="16"/>
          <w:szCs w:val="16"/>
          <w:shd w:val="clear" w:color="auto" w:fill="FFFFFF"/>
        </w:rPr>
        <w:t> de </w:t>
      </w:r>
      <w:r>
        <w:rPr>
          <w:rStyle w:val="5"/>
          <w:rFonts w:asciiTheme="minorHAnsi" w:hAnsiTheme="minorHAnsi" w:cstheme="minorHAnsi"/>
          <w:color w:val="767676"/>
          <w:sz w:val="16"/>
          <w:szCs w:val="16"/>
          <w:shd w:val="clear" w:color="auto" w:fill="FFFFFF"/>
        </w:rPr>
        <w:t>l</w:t>
      </w:r>
      <w:r>
        <w:rPr>
          <w:rFonts w:asciiTheme="minorHAnsi" w:hAnsiTheme="minorHAnsi" w:cstheme="minorHAnsi"/>
          <w:color w:val="71777D"/>
          <w:sz w:val="16"/>
          <w:szCs w:val="16"/>
          <w:shd w:val="clear" w:color="auto" w:fill="FFFFFF"/>
        </w:rPr>
        <w:t>’</w:t>
      </w:r>
      <w:r>
        <w:rPr>
          <w:rStyle w:val="5"/>
          <w:rFonts w:asciiTheme="minorHAnsi" w:hAnsiTheme="minorHAnsi" w:cstheme="minorHAnsi"/>
          <w:color w:val="767676"/>
          <w:sz w:val="16"/>
          <w:szCs w:val="16"/>
          <w:shd w:val="clear" w:color="auto" w:fill="FFFFFF"/>
        </w:rPr>
        <w:t>homme</w:t>
      </w:r>
      <w:r>
        <w:rPr>
          <w:rFonts w:ascii="Helvetica" w:hAnsi="Helvetica"/>
          <w:color w:val="71777D"/>
          <w:sz w:val="21"/>
          <w:szCs w:val="21"/>
          <w:shd w:val="clear" w:color="auto" w:fill="FFFFFF"/>
        </w:rPr>
        <w:t> </w:t>
      </w:r>
    </w:p>
  </w:footnote>
  <w:footnote w:id="10">
    <w:p>
      <w:pPr>
        <w:pStyle w:val="6"/>
        <w:snapToGrid w:val="0"/>
        <w:rPr>
          <w:rFonts w:hint="default"/>
          <w:lang w:val="fr-FR"/>
        </w:rPr>
      </w:pPr>
      <w:r>
        <w:rPr>
          <w:rStyle w:val="4"/>
        </w:rPr>
        <w:footnoteRef/>
      </w:r>
      <w:r>
        <w:t xml:space="preserve"> </w:t>
      </w:r>
      <w:r>
        <w:rPr>
          <w:rFonts w:hint="default"/>
          <w:lang w:val="fr-FR"/>
        </w:rPr>
        <w:t>Cas de 40 enfants rwandais nes au Congo et dont les dossiers sont toujours en instance au tribunal</w:t>
      </w:r>
    </w:p>
  </w:footnote>
  <w:footnote w:id="11">
    <w:p>
      <w:pPr>
        <w:pStyle w:val="6"/>
      </w:pPr>
      <w:r>
        <w:rPr>
          <w:rStyle w:val="4"/>
        </w:rPr>
        <w:footnoteRef/>
      </w:r>
      <w:r>
        <w:t xml:space="preserve"> Cas suivis par notre organisation à Ouesso et dans la Likouala en 2024</w:t>
      </w:r>
    </w:p>
  </w:footnote>
  <w:footnote w:id="12">
    <w:p>
      <w:pPr>
        <w:pStyle w:val="6"/>
        <w:rPr>
          <w:rFonts w:asciiTheme="minorHAnsi" w:hAnsiTheme="minorHAnsi" w:cstheme="minorHAnsi"/>
          <w:sz w:val="16"/>
          <w:szCs w:val="16"/>
        </w:rPr>
      </w:pPr>
      <w:r>
        <w:rPr>
          <w:rStyle w:val="4"/>
        </w:rPr>
        <w:footnoteRef/>
      </w:r>
      <w:r>
        <w:t xml:space="preserve"> </w:t>
      </w:r>
      <w:r>
        <w:rPr>
          <w:rFonts w:asciiTheme="minorHAnsi" w:hAnsiTheme="minorHAnsi" w:cstheme="minorHAnsi"/>
          <w:sz w:val="16"/>
          <w:szCs w:val="16"/>
        </w:rPr>
        <w:t>La loi n°22-2019 du 17 juin 2019 portant lutte contre la traite des personnes.</w:t>
      </w:r>
    </w:p>
  </w:footnote>
  <w:footnote w:id="13">
    <w:p>
      <w:pPr>
        <w:pStyle w:val="6"/>
        <w:spacing w:before="100" w:after="100"/>
        <w:rPr>
          <w:rFonts w:asciiTheme="minorHAnsi" w:hAnsiTheme="minorHAnsi" w:cstheme="minorHAnsi"/>
          <w:sz w:val="16"/>
          <w:szCs w:val="16"/>
        </w:rPr>
      </w:pPr>
      <w:r>
        <w:rPr>
          <w:rStyle w:val="4"/>
          <w:rFonts w:asciiTheme="minorHAnsi" w:hAnsiTheme="minorHAnsi" w:cstheme="minorHAnsi"/>
          <w:sz w:val="16"/>
          <w:szCs w:val="16"/>
        </w:rPr>
        <w:footnoteRef/>
      </w:r>
      <w:r>
        <w:rPr>
          <w:rFonts w:asciiTheme="minorHAnsi" w:hAnsiTheme="minorHAnsi" w:cstheme="minorHAnsi"/>
          <w:sz w:val="16"/>
          <w:szCs w:val="16"/>
        </w:rPr>
        <w:t xml:space="preserve"> </w:t>
      </w:r>
      <w:r>
        <w:rPr>
          <w:rFonts w:asciiTheme="minorHAnsi" w:hAnsiTheme="minorHAnsi" w:cstheme="minorHAnsi"/>
          <w:color w:val="444444"/>
          <w:sz w:val="16"/>
          <w:szCs w:val="16"/>
          <w:shd w:val="clear" w:color="auto" w:fill="FFFFFF"/>
        </w:rPr>
        <w:t> </w:t>
      </w:r>
      <w:r>
        <w:rPr>
          <w:rStyle w:val="5"/>
          <w:rFonts w:asciiTheme="minorHAnsi" w:hAnsiTheme="minorHAnsi" w:cstheme="minorHAnsi"/>
          <w:color w:val="444444"/>
          <w:sz w:val="16"/>
          <w:szCs w:val="16"/>
          <w:shd w:val="clear" w:color="auto" w:fill="FFFFFF"/>
        </w:rPr>
        <w:t>Loi</w:t>
      </w:r>
      <w:r>
        <w:rPr>
          <w:rFonts w:asciiTheme="minorHAnsi" w:hAnsiTheme="minorHAnsi" w:cstheme="minorHAnsi"/>
          <w:color w:val="444444"/>
          <w:sz w:val="16"/>
          <w:szCs w:val="16"/>
          <w:shd w:val="clear" w:color="auto" w:fill="FFFFFF"/>
        </w:rPr>
        <w:t> </w:t>
      </w:r>
      <w:r>
        <w:rPr>
          <w:rStyle w:val="5"/>
          <w:rFonts w:asciiTheme="minorHAnsi" w:hAnsiTheme="minorHAnsi" w:cstheme="minorHAnsi"/>
          <w:color w:val="444444"/>
          <w:sz w:val="16"/>
          <w:szCs w:val="16"/>
          <w:shd w:val="clear" w:color="auto" w:fill="FFFFFF"/>
        </w:rPr>
        <w:t>MOUEBARA</w:t>
      </w:r>
      <w:r>
        <w:rPr>
          <w:rFonts w:asciiTheme="minorHAnsi" w:hAnsiTheme="minorHAnsi" w:cstheme="minorHAnsi"/>
          <w:color w:val="444444"/>
          <w:sz w:val="16"/>
          <w:szCs w:val="16"/>
          <w:shd w:val="clear" w:color="auto" w:fill="FFFFFF"/>
        </w:rPr>
        <w:t> n° 19-2022 du 4 mai 2022 portant lutte contre les violences faites aux femmes en République du Congo</w:t>
      </w:r>
    </w:p>
  </w:footnote>
  <w:footnote w:id="14">
    <w:p>
      <w:pPr>
        <w:pStyle w:val="6"/>
        <w:snapToGrid w:val="0"/>
        <w:rPr>
          <w:rFonts w:hint="default"/>
          <w:lang w:val="fr-FR"/>
        </w:rPr>
      </w:pPr>
      <w:r>
        <w:rPr>
          <w:rStyle w:val="4"/>
        </w:rPr>
        <w:footnoteRef/>
      </w:r>
      <w:r>
        <w:t xml:space="preserve"> </w:t>
      </w:r>
      <w:r>
        <w:rPr>
          <w:rFonts w:hint="default"/>
          <w:lang w:val="fr-FR"/>
        </w:rPr>
        <w:t>OCLA,OCDH,CAD</w:t>
      </w:r>
    </w:p>
  </w:footnote>
  <w:footnote w:id="15">
    <w:p>
      <w:pPr>
        <w:pStyle w:val="6"/>
      </w:pPr>
      <w:r>
        <w:rPr>
          <w:rStyle w:val="4"/>
          <w:rFonts w:asciiTheme="minorHAnsi" w:hAnsiTheme="minorHAnsi" w:cstheme="minorHAnsi"/>
          <w:sz w:val="16"/>
          <w:szCs w:val="16"/>
        </w:rPr>
        <w:footnoteRef/>
      </w:r>
      <w:r>
        <w:rPr>
          <w:rFonts w:asciiTheme="minorHAnsi" w:hAnsiTheme="minorHAnsi" w:cstheme="minorHAnsi"/>
          <w:sz w:val="16"/>
          <w:szCs w:val="16"/>
        </w:rPr>
        <w:t xml:space="preserve"> Loi n° 4-2010 du 14 juin 2010 portant protection de l’enfant en République du Congo</w:t>
      </w:r>
    </w:p>
  </w:footnote>
  <w:footnote w:id="16">
    <w:p>
      <w:pPr>
        <w:rPr>
          <w:rFonts w:ascii="Times New Roman" w:hAnsi="Times New Roman"/>
        </w:rPr>
      </w:pPr>
      <w:r>
        <w:rPr>
          <w:rStyle w:val="4"/>
        </w:rPr>
        <w:footnoteRef/>
      </w:r>
      <w:r>
        <w:t xml:space="preserve"> </w:t>
      </w:r>
      <w:r>
        <w:rPr>
          <w:sz w:val="16"/>
          <w:szCs w:val="16"/>
        </w:rPr>
        <w:t>Loi N. 001/84 du 20/01/84 portant réorganisation de l’assistance judiciaire en république du Congo</w:t>
      </w:r>
    </w:p>
    <w:p>
      <w:pPr>
        <w:pStyle w:val="6"/>
      </w:pPr>
    </w:p>
  </w:footnote>
  <w:footnote w:id="17">
    <w:p>
      <w:pPr>
        <w:rPr>
          <w:rFonts w:ascii="Times New Roman" w:hAnsi="Times New Roman"/>
        </w:rPr>
      </w:pPr>
      <w:r>
        <w:rPr>
          <w:rStyle w:val="4"/>
        </w:rPr>
        <w:footnoteRef/>
      </w:r>
      <w:r>
        <w:t xml:space="preserve"> </w:t>
      </w:r>
      <w:r>
        <w:rPr>
          <w:rFonts w:asciiTheme="minorHAnsi" w:hAnsiTheme="minorHAnsi" w:cstheme="minorHAnsi"/>
          <w:b/>
          <w:bCs/>
          <w:sz w:val="16"/>
          <w:szCs w:val="16"/>
        </w:rPr>
        <w:t>Arrêté n° 21 395 du 5 août 2021 portant expulsion de M. CHENGIZ (Archin), sujet de nationalité allemande</w:t>
      </w:r>
    </w:p>
    <w:p>
      <w:pPr>
        <w:pStyle w:val="6"/>
      </w:pPr>
    </w:p>
  </w:footnote>
  <w:footnote w:id="18">
    <w:p>
      <w:pPr>
        <w:pStyle w:val="6"/>
      </w:pPr>
      <w:r>
        <w:rPr>
          <w:rStyle w:val="4"/>
        </w:rPr>
        <w:footnoteRef/>
      </w:r>
      <w:r>
        <w:t xml:space="preserve"> Le Décret No. 99.310 du 31 décembre 1999 portant Création, Attributions, Organisation et Fonctionnement du Comité National d’Assistance aux Réfugiés (CNAR)</w:t>
      </w:r>
    </w:p>
  </w:footnote>
  <w:footnote w:id="19">
    <w:p>
      <w:pPr>
        <w:spacing w:before="0" w:beforeAutospacing="0" w:after="0" w:afterAutospacing="0" w:line="240" w:lineRule="auto"/>
      </w:pPr>
      <w:r>
        <w:rPr>
          <w:rStyle w:val="4"/>
        </w:rPr>
        <w:footnoteRef/>
      </w:r>
      <w:r>
        <w:t xml:space="preserve"> </w:t>
      </w:r>
      <w:r>
        <w:rPr>
          <w:rFonts w:asciiTheme="minorHAnsi" w:hAnsiTheme="minorHAnsi" w:cstheme="minorHAnsi"/>
          <w:b/>
          <w:bCs/>
          <w:color w:val="000080"/>
          <w:sz w:val="16"/>
          <w:szCs w:val="16"/>
        </w:rPr>
        <w:t>Droit d’asile et statut de réfugié Loi n°41‐2021 du 29 septembre 2021</w:t>
      </w:r>
    </w:p>
  </w:footnote>
  <w:footnote w:id="20">
    <w:p>
      <w:pPr>
        <w:pStyle w:val="6"/>
      </w:pPr>
      <w:r>
        <w:rPr>
          <w:rStyle w:val="4"/>
        </w:rPr>
        <w:footnoteRef/>
      </w:r>
      <w:r>
        <w:t xml:space="preserve"> Résultats du recensement a vocation d’état civil</w:t>
      </w:r>
    </w:p>
  </w:footnote>
  <w:footnote w:id="21">
    <w:p>
      <w:pPr>
        <w:pStyle w:val="6"/>
      </w:pPr>
      <w:r>
        <w:rPr>
          <w:rStyle w:val="4"/>
        </w:rPr>
        <w:footnoteRef/>
      </w:r>
      <w:r>
        <w:t xml:space="preserve"> </w:t>
      </w:r>
      <w:r>
        <w:rPr>
          <w:rStyle w:val="5"/>
          <w:rFonts w:asciiTheme="minorHAnsi" w:hAnsiTheme="minorHAnsi" w:cstheme="minorHAnsi"/>
          <w:color w:val="767676"/>
          <w:sz w:val="16"/>
          <w:szCs w:val="16"/>
          <w:shd w:val="clear" w:color="auto" w:fill="FFFFFF"/>
        </w:rPr>
        <w:t>Arrêté n</w:t>
      </w:r>
      <w:r>
        <w:rPr>
          <w:rFonts w:asciiTheme="minorHAnsi" w:hAnsiTheme="minorHAnsi" w:cstheme="minorHAnsi"/>
          <w:color w:val="71777D"/>
          <w:sz w:val="16"/>
          <w:szCs w:val="16"/>
          <w:shd w:val="clear" w:color="auto" w:fill="FFFFFF"/>
        </w:rPr>
        <w:t>° </w:t>
      </w:r>
      <w:r>
        <w:rPr>
          <w:rStyle w:val="5"/>
          <w:rFonts w:asciiTheme="minorHAnsi" w:hAnsiTheme="minorHAnsi" w:cstheme="minorHAnsi"/>
          <w:color w:val="767676"/>
          <w:sz w:val="16"/>
          <w:szCs w:val="16"/>
          <w:shd w:val="clear" w:color="auto" w:fill="FFFFFF"/>
        </w:rPr>
        <w:t>14888 portant création</w:t>
      </w:r>
      <w:r>
        <w:rPr>
          <w:rFonts w:asciiTheme="minorHAnsi" w:hAnsiTheme="minorHAnsi" w:cstheme="minorHAnsi"/>
          <w:color w:val="71777D"/>
          <w:sz w:val="16"/>
          <w:szCs w:val="16"/>
          <w:shd w:val="clear" w:color="auto" w:fill="FFFFFF"/>
        </w:rPr>
        <w:t>, </w:t>
      </w:r>
      <w:r>
        <w:rPr>
          <w:rStyle w:val="5"/>
          <w:rFonts w:asciiTheme="minorHAnsi" w:hAnsiTheme="minorHAnsi" w:cstheme="minorHAnsi"/>
          <w:color w:val="767676"/>
          <w:sz w:val="16"/>
          <w:szCs w:val="16"/>
          <w:shd w:val="clear" w:color="auto" w:fill="FFFFFF"/>
        </w:rPr>
        <w:t>attributions</w:t>
      </w:r>
      <w:r>
        <w:rPr>
          <w:rFonts w:asciiTheme="minorHAnsi" w:hAnsiTheme="minorHAnsi" w:cstheme="minorHAnsi"/>
          <w:color w:val="71777D"/>
          <w:sz w:val="16"/>
          <w:szCs w:val="16"/>
          <w:shd w:val="clear" w:color="auto" w:fill="FFFFFF"/>
        </w:rPr>
        <w:t> et organisation </w:t>
      </w:r>
      <w:r>
        <w:rPr>
          <w:rStyle w:val="5"/>
          <w:rFonts w:asciiTheme="minorHAnsi" w:hAnsiTheme="minorHAnsi" w:cstheme="minorHAnsi"/>
          <w:color w:val="767676"/>
          <w:sz w:val="16"/>
          <w:szCs w:val="16"/>
          <w:shd w:val="clear" w:color="auto" w:fill="FFFFFF"/>
        </w:rPr>
        <w:t>des centres auxiliaires d</w:t>
      </w:r>
      <w:r>
        <w:rPr>
          <w:rFonts w:asciiTheme="minorHAnsi" w:hAnsiTheme="minorHAnsi" w:cstheme="minorHAnsi"/>
          <w:color w:val="71777D"/>
          <w:sz w:val="16"/>
          <w:szCs w:val="16"/>
          <w:shd w:val="clear" w:color="auto" w:fill="FFFFFF"/>
        </w:rPr>
        <w:t>’</w:t>
      </w:r>
      <w:r>
        <w:rPr>
          <w:rStyle w:val="5"/>
          <w:rFonts w:asciiTheme="minorHAnsi" w:hAnsiTheme="minorHAnsi" w:cstheme="minorHAnsi"/>
          <w:color w:val="767676"/>
          <w:sz w:val="16"/>
          <w:szCs w:val="16"/>
          <w:shd w:val="clear" w:color="auto" w:fill="FFFFFF"/>
        </w:rPr>
        <w:t>état</w:t>
      </w:r>
      <w:r>
        <w:rPr>
          <w:rFonts w:asciiTheme="minorHAnsi" w:hAnsiTheme="minorHAnsi" w:cstheme="minorHAnsi"/>
          <w:color w:val="71777D"/>
          <w:sz w:val="16"/>
          <w:szCs w:val="16"/>
          <w:shd w:val="clear" w:color="auto" w:fill="FFFFFF"/>
        </w:rPr>
        <w:t>. </w:t>
      </w:r>
      <w:r>
        <w:rPr>
          <w:rStyle w:val="5"/>
          <w:rFonts w:asciiTheme="minorHAnsi" w:hAnsiTheme="minorHAnsi" w:cstheme="minorHAnsi"/>
          <w:color w:val="767676"/>
          <w:sz w:val="16"/>
          <w:szCs w:val="16"/>
          <w:shd w:val="clear" w:color="auto" w:fill="FFFFFF"/>
        </w:rPr>
        <w:t>Civil</w:t>
      </w:r>
      <w:r>
        <w:rPr>
          <w:rFonts w:asciiTheme="minorHAnsi" w:hAnsiTheme="minorHAnsi" w:cstheme="minorHAnsi"/>
          <w:color w:val="71777D"/>
          <w:sz w:val="16"/>
          <w:szCs w:val="16"/>
          <w:shd w:val="clear" w:color="auto" w:fill="FFFFFF"/>
        </w:rPr>
        <w:t> dans les formations sanitaires</w:t>
      </w:r>
    </w:p>
  </w:footnote>
  <w:footnote w:id="22">
    <w:p>
      <w:pPr>
        <w:rPr>
          <w:rFonts w:asciiTheme="minorHAnsi" w:hAnsiTheme="minorHAnsi" w:cstheme="minorHAnsi"/>
          <w:sz w:val="16"/>
          <w:szCs w:val="16"/>
        </w:rPr>
      </w:pPr>
      <w:r>
        <w:rPr>
          <w:rStyle w:val="4"/>
        </w:rPr>
        <w:footnoteRef/>
      </w:r>
      <w:r>
        <w:t xml:space="preserve"> </w:t>
      </w:r>
      <w:r>
        <w:rPr>
          <w:rFonts w:asciiTheme="minorHAnsi" w:hAnsiTheme="minorHAnsi" w:cstheme="minorHAnsi"/>
          <w:sz w:val="16"/>
          <w:szCs w:val="16"/>
          <w:shd w:val="clear" w:color="auto" w:fill="FFFFFF"/>
        </w:rPr>
        <w:t>LOI MODIFIANT ET COMPLETANT </w:t>
      </w:r>
      <w:r>
        <w:rPr>
          <w:rStyle w:val="5"/>
          <w:rFonts w:asciiTheme="minorHAnsi" w:hAnsiTheme="minorHAnsi" w:cstheme="minorHAnsi"/>
          <w:sz w:val="16"/>
          <w:szCs w:val="16"/>
          <w:shd w:val="clear" w:color="auto" w:fill="FFFFFF"/>
        </w:rPr>
        <w:t>LA</w:t>
      </w:r>
      <w:r>
        <w:rPr>
          <w:rFonts w:asciiTheme="minorHAnsi" w:hAnsiTheme="minorHAnsi" w:cstheme="minorHAnsi"/>
          <w:sz w:val="16"/>
          <w:szCs w:val="16"/>
          <w:shd w:val="clear" w:color="auto" w:fill="FFFFFF"/>
        </w:rPr>
        <w:t> LOI N°87-010 </w:t>
      </w:r>
      <w:r>
        <w:rPr>
          <w:rStyle w:val="5"/>
          <w:rFonts w:asciiTheme="minorHAnsi" w:hAnsiTheme="minorHAnsi" w:cstheme="minorHAnsi"/>
          <w:sz w:val="16"/>
          <w:szCs w:val="16"/>
          <w:shd w:val="clear" w:color="auto" w:fill="FFFFFF"/>
        </w:rPr>
        <w:t>du</w:t>
      </w:r>
      <w:r>
        <w:rPr>
          <w:rFonts w:asciiTheme="minorHAnsi" w:hAnsiTheme="minorHAnsi" w:cstheme="minorHAnsi"/>
          <w:sz w:val="16"/>
          <w:szCs w:val="16"/>
          <w:shd w:val="clear" w:color="auto" w:fill="FFFFFF"/>
        </w:rPr>
        <w:t> 1er AOUT 1987 PORTANT </w:t>
      </w:r>
      <w:r>
        <w:rPr>
          <w:rStyle w:val="5"/>
          <w:rFonts w:asciiTheme="minorHAnsi" w:hAnsiTheme="minorHAnsi" w:cstheme="minorHAnsi"/>
          <w:sz w:val="16"/>
          <w:szCs w:val="16"/>
          <w:shd w:val="clear" w:color="auto" w:fill="FFFFFF"/>
        </w:rPr>
        <w:t>CODE DE LA FAMILLE</w:t>
      </w:r>
    </w:p>
    <w:p>
      <w:pPr>
        <w:pStyle w:val="6"/>
        <w:rPr>
          <w:rFonts w:asciiTheme="minorHAnsi" w:hAnsiTheme="minorHAnsi" w:cstheme="minorHAnsi"/>
          <w:sz w:val="16"/>
          <w:szCs w:val="16"/>
        </w:rPr>
      </w:pPr>
    </w:p>
  </w:footnote>
  <w:footnote w:id="23">
    <w:p>
      <w:pPr>
        <w:pStyle w:val="6"/>
        <w:snapToGrid w:val="0"/>
        <w:rPr>
          <w:rFonts w:hint="default"/>
          <w:lang w:val="fr-FR"/>
        </w:rPr>
      </w:pPr>
      <w:r>
        <w:rPr>
          <w:rStyle w:val="4"/>
        </w:rPr>
        <w:footnoteRef/>
      </w:r>
      <w:r>
        <w:t xml:space="preserve"> </w:t>
      </w:r>
      <w:r>
        <w:rPr>
          <w:rFonts w:hint="default"/>
          <w:lang w:val="fr-FR"/>
        </w:rPr>
        <w:t>Art. 14 de Loi de 2010 portant promotion et protection de l.enfant en Republique du Congo</w:t>
      </w:r>
    </w:p>
  </w:footnote>
  <w:footnote w:id="24">
    <w:p>
      <w:pPr>
        <w:pStyle w:val="6"/>
      </w:pPr>
      <w:r>
        <w:rPr>
          <w:rStyle w:val="4"/>
          <w:rFonts w:asciiTheme="minorHAnsi" w:hAnsiTheme="minorHAnsi" w:cstheme="minorHAnsi"/>
          <w:sz w:val="16"/>
          <w:szCs w:val="16"/>
        </w:rPr>
        <w:footnoteRef/>
      </w:r>
      <w:r>
        <w:rPr>
          <w:rFonts w:asciiTheme="minorHAnsi" w:hAnsiTheme="minorHAnsi" w:cstheme="minorHAnsi"/>
          <w:sz w:val="16"/>
          <w:szCs w:val="16"/>
        </w:rPr>
        <w:t xml:space="preserve"> </w:t>
      </w:r>
      <w:r>
        <w:rPr>
          <w:rStyle w:val="5"/>
          <w:rFonts w:asciiTheme="minorHAnsi" w:hAnsiTheme="minorHAnsi" w:cstheme="minorHAnsi"/>
          <w:sz w:val="16"/>
          <w:szCs w:val="16"/>
          <w:shd w:val="clear" w:color="auto" w:fill="FFFFFF"/>
        </w:rPr>
        <w:t>Loi</w:t>
      </w:r>
      <w:r>
        <w:rPr>
          <w:rFonts w:asciiTheme="minorHAnsi" w:hAnsiTheme="minorHAnsi" w:cstheme="minorHAnsi"/>
          <w:sz w:val="16"/>
          <w:szCs w:val="16"/>
          <w:shd w:val="clear" w:color="auto" w:fill="FFFFFF"/>
        </w:rPr>
        <w:t> n° </w:t>
      </w:r>
      <w:r>
        <w:rPr>
          <w:rStyle w:val="5"/>
          <w:rFonts w:asciiTheme="minorHAnsi" w:hAnsiTheme="minorHAnsi" w:cstheme="minorHAnsi"/>
          <w:sz w:val="16"/>
          <w:szCs w:val="16"/>
          <w:shd w:val="clear" w:color="auto" w:fill="FFFFFF"/>
        </w:rPr>
        <w:t>1</w:t>
      </w:r>
      <w:r>
        <w:rPr>
          <w:rFonts w:asciiTheme="minorHAnsi" w:hAnsiTheme="minorHAnsi" w:cstheme="minorHAnsi"/>
          <w:sz w:val="16"/>
          <w:szCs w:val="16"/>
          <w:shd w:val="clear" w:color="auto" w:fill="FFFFFF"/>
        </w:rPr>
        <w:t>-</w:t>
      </w:r>
      <w:r>
        <w:rPr>
          <w:rStyle w:val="5"/>
          <w:rFonts w:asciiTheme="minorHAnsi" w:hAnsiTheme="minorHAnsi" w:cstheme="minorHAnsi"/>
          <w:sz w:val="16"/>
          <w:szCs w:val="16"/>
          <w:shd w:val="clear" w:color="auto" w:fill="FFFFFF"/>
        </w:rPr>
        <w:t>2024</w:t>
      </w:r>
      <w:r>
        <w:rPr>
          <w:rFonts w:asciiTheme="minorHAnsi" w:hAnsiTheme="minorHAnsi" w:cstheme="minorHAnsi"/>
          <w:sz w:val="16"/>
          <w:szCs w:val="16"/>
          <w:shd w:val="clear" w:color="auto" w:fill="FFFFFF"/>
        </w:rPr>
        <w:t> du 25 janvier </w:t>
      </w:r>
      <w:r>
        <w:rPr>
          <w:rStyle w:val="5"/>
          <w:rFonts w:asciiTheme="minorHAnsi" w:hAnsiTheme="minorHAnsi" w:cstheme="minorHAnsi"/>
          <w:sz w:val="16"/>
          <w:szCs w:val="16"/>
          <w:shd w:val="clear" w:color="auto" w:fill="FFFFFF"/>
        </w:rPr>
        <w:t>2024</w:t>
      </w:r>
      <w:r>
        <w:rPr>
          <w:rFonts w:asciiTheme="minorHAnsi" w:hAnsiTheme="minorHAnsi" w:cstheme="minorHAnsi"/>
          <w:sz w:val="16"/>
          <w:szCs w:val="16"/>
          <w:shd w:val="clear" w:color="auto" w:fill="FFFFFF"/>
        </w:rPr>
        <w:t> portant modification de la </w:t>
      </w:r>
      <w:r>
        <w:rPr>
          <w:rStyle w:val="5"/>
          <w:rFonts w:asciiTheme="minorHAnsi" w:hAnsiTheme="minorHAnsi" w:cstheme="minorHAnsi"/>
          <w:sz w:val="16"/>
          <w:szCs w:val="16"/>
          <w:shd w:val="clear" w:color="auto" w:fill="FFFFFF"/>
        </w:rPr>
        <w:t>Loi</w:t>
      </w:r>
      <w:r>
        <w:rPr>
          <w:rFonts w:asciiTheme="minorHAnsi" w:hAnsiTheme="minorHAnsi" w:cstheme="minorHAnsi"/>
          <w:sz w:val="16"/>
          <w:szCs w:val="16"/>
          <w:shd w:val="clear" w:color="auto" w:fill="FFFFFF"/>
        </w:rPr>
        <w:t> n° 39-2023 du 29 décembre 2023 portant </w:t>
      </w:r>
      <w:r>
        <w:rPr>
          <w:rStyle w:val="5"/>
          <w:rFonts w:asciiTheme="minorHAnsi" w:hAnsiTheme="minorHAnsi" w:cstheme="minorHAnsi"/>
          <w:sz w:val="16"/>
          <w:szCs w:val="16"/>
          <w:shd w:val="clear" w:color="auto" w:fill="FFFFFF"/>
        </w:rPr>
        <w:t>loi</w:t>
      </w:r>
      <w:r>
        <w:rPr>
          <w:rFonts w:asciiTheme="minorHAnsi" w:hAnsiTheme="minorHAnsi" w:cstheme="minorHAnsi"/>
          <w:sz w:val="16"/>
          <w:szCs w:val="16"/>
          <w:shd w:val="clear" w:color="auto" w:fill="FFFFFF"/>
        </w:rPr>
        <w:t> de finances pour l'année </w:t>
      </w:r>
      <w:r>
        <w:rPr>
          <w:rStyle w:val="5"/>
          <w:rFonts w:asciiTheme="minorHAnsi" w:hAnsiTheme="minorHAnsi" w:cstheme="minorHAnsi"/>
          <w:sz w:val="16"/>
          <w:szCs w:val="16"/>
          <w:shd w:val="clear" w:color="auto" w:fill="FFFFFF"/>
        </w:rPr>
        <w:t>2024</w:t>
      </w:r>
      <w:r>
        <w:rPr>
          <w:rFonts w:ascii="Roboto" w:hAnsi="Roboto"/>
          <w:sz w:val="21"/>
          <w:szCs w:val="21"/>
          <w:shd w:val="clear" w:color="auto" w:fill="FFFFFF"/>
        </w:rPr>
        <w:t> </w:t>
      </w:r>
    </w:p>
  </w:footnote>
  <w:footnote w:id="25">
    <w:p>
      <w:pPr>
        <w:rPr>
          <w:rFonts w:ascii="Times New Roman" w:hAnsi="Times New Roman"/>
        </w:rPr>
      </w:pPr>
      <w:r>
        <w:rPr>
          <w:rStyle w:val="4"/>
        </w:rPr>
        <w:footnoteRef/>
      </w:r>
      <w:r>
        <w:t xml:space="preserve"> </w:t>
      </w:r>
      <w:r>
        <w:rPr>
          <w:sz w:val="16"/>
          <w:szCs w:val="16"/>
        </w:rPr>
        <w:t>Politique nationale de réforme et de modernisation de l’état civil 2022-2026</w:t>
      </w:r>
    </w:p>
    <w:p>
      <w:pPr>
        <w:pStyle w:val="6"/>
        <w:rPr>
          <w:rFonts w:asciiTheme="minorHAnsi" w:hAnsiTheme="minorHAnsi" w:cstheme="minorHAnsi"/>
          <w:sz w:val="16"/>
          <w:szCs w:val="16"/>
        </w:rPr>
      </w:pPr>
    </w:p>
  </w:footnote>
  <w:footnote w:id="26">
    <w:p>
      <w:pPr>
        <w:pStyle w:val="6"/>
      </w:pPr>
      <w:r>
        <w:rPr>
          <w:rStyle w:val="4"/>
          <w:rFonts w:asciiTheme="minorHAnsi" w:hAnsiTheme="minorHAnsi" w:cstheme="minorHAnsi"/>
          <w:sz w:val="16"/>
          <w:szCs w:val="16"/>
        </w:rPr>
        <w:footnoteRef/>
      </w:r>
      <w:r>
        <w:rPr>
          <w:rFonts w:asciiTheme="minorHAnsi" w:hAnsiTheme="minorHAnsi" w:cstheme="minorHAnsi"/>
          <w:sz w:val="16"/>
          <w:szCs w:val="16"/>
        </w:rPr>
        <w:t xml:space="preserve"> </w:t>
      </w:r>
      <w:r>
        <w:rPr>
          <w:rStyle w:val="5"/>
          <w:rFonts w:asciiTheme="minorHAnsi" w:hAnsiTheme="minorHAnsi" w:cstheme="minorHAnsi"/>
          <w:color w:val="1E1E1E"/>
          <w:sz w:val="16"/>
          <w:szCs w:val="16"/>
          <w:shd w:val="clear" w:color="auto" w:fill="FFFFFF"/>
        </w:rPr>
        <w:t>‘’Système Intégré des faits d’état civil’’ (SIFEC)</w:t>
      </w:r>
    </w:p>
  </w:footnote>
  <w:footnote w:id="27">
    <w:p>
      <w:pPr>
        <w:pStyle w:val="6"/>
        <w:snapToGrid w:val="0"/>
        <w:rPr>
          <w:rFonts w:hint="default"/>
          <w:lang w:val="fr-FR"/>
        </w:rPr>
      </w:pPr>
      <w:r>
        <w:rPr>
          <w:rStyle w:val="4"/>
        </w:rPr>
        <w:footnoteRef/>
      </w:r>
      <w:r>
        <w:t xml:space="preserve"> </w:t>
      </w:r>
      <w:r>
        <w:rPr>
          <w:rFonts w:hint="default"/>
          <w:lang w:val="fr-FR"/>
        </w:rPr>
        <w:t>Exigence au niveau des agences de transfert( Western Union, Money gram etc)</w:t>
      </w:r>
    </w:p>
  </w:footnote>
  <w:footnote w:id="28">
    <w:p>
      <w:pPr>
        <w:pStyle w:val="6"/>
        <w:snapToGrid w:val="0"/>
        <w:rPr>
          <w:rFonts w:hint="default"/>
          <w:lang w:val="fr-FR"/>
        </w:rPr>
      </w:pPr>
      <w:r>
        <w:rPr>
          <w:rStyle w:val="4"/>
        </w:rPr>
        <w:footnoteRef/>
      </w:r>
      <w:r>
        <w:t xml:space="preserve"> </w:t>
      </w:r>
      <w:r>
        <w:rPr>
          <w:rFonts w:hint="default"/>
          <w:lang w:val="fr-FR"/>
        </w:rPr>
        <w:t>Des images des jeunes congolais kidnappes par les traffiquant camerounais circulant sur les medias sociaux</w:t>
      </w:r>
    </w:p>
  </w:footnote>
  <w:footnote w:id="29">
    <w:p>
      <w:pPr>
        <w:pStyle w:val="6"/>
        <w:shd w:val="clear" w:color="auto" w:fill="FFFFFF" w:themeFill="background1"/>
      </w:pPr>
      <w:r>
        <w:rPr>
          <w:rStyle w:val="4"/>
        </w:rPr>
        <w:footnoteRef/>
      </w:r>
      <w:r>
        <w:t xml:space="preserve"> </w:t>
      </w:r>
      <w:r>
        <w:rPr>
          <w:rFonts w:asciiTheme="minorHAnsi" w:hAnsiTheme="minorHAnsi" w:cstheme="minorHAnsi"/>
          <w:caps/>
          <w:spacing w:val="8"/>
          <w:sz w:val="16"/>
          <w:szCs w:val="16"/>
          <w:shd w:val="clear" w:color="auto" w:fill="FFFFFF" w:themeFill="background1"/>
        </w:rPr>
        <w:t>PROGRAMME DE VISA DIVERSITÉ</w:t>
      </w:r>
    </w:p>
  </w:footnote>
  <w:footnote w:id="30">
    <w:p>
      <w:pPr>
        <w:pStyle w:val="6"/>
      </w:pPr>
      <w:r>
        <w:rPr>
          <w:rStyle w:val="4"/>
        </w:rPr>
        <w:footnoteRef/>
      </w:r>
      <w:r>
        <w:t xml:space="preserve"> Détermination du statut de réfugié(DSR)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7C2A48"/>
    <w:multiLevelType w:val="multilevel"/>
    <w:tmpl w:val="017C2A48"/>
    <w:lvl w:ilvl="0" w:tentative="0">
      <w:start w:val="1"/>
      <w:numFmt w:val="lowerLetter"/>
      <w:lvlText w:val="%1)"/>
      <w:lvlJc w:val="left"/>
      <w:pPr>
        <w:tabs>
          <w:tab w:val="left" w:pos="720"/>
        </w:tabs>
        <w:ind w:left="720" w:hanging="36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202394F"/>
    <w:multiLevelType w:val="multilevel"/>
    <w:tmpl w:val="0202394F"/>
    <w:lvl w:ilvl="0" w:tentative="0">
      <w:start w:val="1"/>
      <w:numFmt w:val="upperLetter"/>
      <w:suff w:val="space"/>
      <w:lvlText w:val="%1."/>
      <w:lvlJc w:val="left"/>
      <w:pPr>
        <w:ind w:left="720" w:hanging="36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C3973B6"/>
    <w:multiLevelType w:val="multilevel"/>
    <w:tmpl w:val="1C3973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62"/>
    <w:footnote w:id="63"/>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E65"/>
    <w:rsid w:val="000C793B"/>
    <w:rsid w:val="000F4D20"/>
    <w:rsid w:val="002171D5"/>
    <w:rsid w:val="00236601"/>
    <w:rsid w:val="0032327B"/>
    <w:rsid w:val="00376321"/>
    <w:rsid w:val="003D1F52"/>
    <w:rsid w:val="003F51C2"/>
    <w:rsid w:val="00414EA7"/>
    <w:rsid w:val="00472A0F"/>
    <w:rsid w:val="0048116E"/>
    <w:rsid w:val="00496AA7"/>
    <w:rsid w:val="004A6733"/>
    <w:rsid w:val="00537838"/>
    <w:rsid w:val="005658D3"/>
    <w:rsid w:val="005B6EB2"/>
    <w:rsid w:val="0065520B"/>
    <w:rsid w:val="007B4ED6"/>
    <w:rsid w:val="008A22D1"/>
    <w:rsid w:val="008D13E6"/>
    <w:rsid w:val="00954EEB"/>
    <w:rsid w:val="00971BBF"/>
    <w:rsid w:val="009E0BCF"/>
    <w:rsid w:val="00A17149"/>
    <w:rsid w:val="00A82C1E"/>
    <w:rsid w:val="00B37990"/>
    <w:rsid w:val="00B4564E"/>
    <w:rsid w:val="00B66708"/>
    <w:rsid w:val="00B9559E"/>
    <w:rsid w:val="00CA64A6"/>
    <w:rsid w:val="00D25783"/>
    <w:rsid w:val="00D3380F"/>
    <w:rsid w:val="00D34777"/>
    <w:rsid w:val="00D93C17"/>
    <w:rsid w:val="00EC5765"/>
    <w:rsid w:val="00F71163"/>
    <w:rsid w:val="00F76266"/>
    <w:rsid w:val="00F93E65"/>
    <w:rsid w:val="00FC30DE"/>
    <w:rsid w:val="10A90DE4"/>
    <w:rsid w:val="246157E0"/>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Balloon Text"/>
    <w:lsdException w:qFormat="1" w:unhideWhenUsed="0" w:uiPriority="34" w:semiHidden="0" w:name="List Paragraph"/>
  </w:latentStyles>
  <w:style w:type="paragraph" w:default="1" w:styleId="1">
    <w:name w:val="Normal"/>
    <w:qFormat/>
    <w:uiPriority w:val="0"/>
    <w:pPr>
      <w:spacing w:before="100" w:beforeAutospacing="1" w:after="100" w:afterAutospacing="1" w:line="256" w:lineRule="auto"/>
    </w:pPr>
    <w:rPr>
      <w:rFonts w:ascii="Calibri" w:hAnsi="Calibri" w:eastAsia="Times New Roman" w:cs="Times New Roman"/>
      <w:sz w:val="24"/>
      <w:szCs w:val="24"/>
      <w:lang w:val="fr-FR" w:eastAsia="fr-FR" w:bidi="ar-SA"/>
    </w:rPr>
  </w:style>
  <w:style w:type="paragraph" w:styleId="2">
    <w:name w:val="heading 1"/>
    <w:basedOn w:val="1"/>
    <w:link w:val="11"/>
    <w:qFormat/>
    <w:uiPriority w:val="9"/>
    <w:pPr>
      <w:spacing w:line="240" w:lineRule="auto"/>
      <w:outlineLvl w:val="0"/>
    </w:pPr>
    <w:rPr>
      <w:rFonts w:ascii="Times New Roman" w:hAnsi="Times New Roman"/>
      <w:b/>
      <w:bCs/>
      <w:kern w:val="36"/>
      <w:sz w:val="48"/>
      <w:szCs w:val="48"/>
    </w:rPr>
  </w:style>
  <w:style w:type="character" w:default="1" w:styleId="3">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character" w:styleId="4">
    <w:name w:val="footnote reference"/>
    <w:basedOn w:val="3"/>
    <w:semiHidden/>
    <w:unhideWhenUsed/>
    <w:qFormat/>
    <w:uiPriority w:val="99"/>
    <w:rPr>
      <w:vertAlign w:val="superscript"/>
    </w:rPr>
  </w:style>
  <w:style w:type="character" w:styleId="5">
    <w:name w:val="Strong"/>
    <w:basedOn w:val="3"/>
    <w:qFormat/>
    <w:uiPriority w:val="22"/>
    <w:rPr>
      <w:b/>
      <w:bCs/>
    </w:rPr>
  </w:style>
  <w:style w:type="paragraph" w:styleId="6">
    <w:name w:val="footnote text"/>
    <w:basedOn w:val="1"/>
    <w:link w:val="10"/>
    <w:semiHidden/>
    <w:unhideWhenUsed/>
    <w:qFormat/>
    <w:uiPriority w:val="99"/>
    <w:pPr>
      <w:spacing w:before="0" w:after="0" w:line="240" w:lineRule="auto"/>
    </w:pPr>
    <w:rPr>
      <w:sz w:val="20"/>
      <w:szCs w:val="20"/>
    </w:rPr>
  </w:style>
  <w:style w:type="paragraph" w:styleId="7">
    <w:name w:val="Normal (Web)"/>
    <w:basedOn w:val="1"/>
    <w:semiHidden/>
    <w:unhideWhenUsed/>
    <w:uiPriority w:val="99"/>
    <w:pPr>
      <w:spacing w:line="240" w:lineRule="auto"/>
    </w:pPr>
    <w:rPr>
      <w:rFonts w:ascii="Times New Roman" w:hAnsi="Times New Roman" w:eastAsia="SimSun"/>
    </w:rPr>
  </w:style>
  <w:style w:type="paragraph" w:customStyle="1" w:styleId="9">
    <w:name w:val="List Paragraph1"/>
    <w:basedOn w:val="1"/>
    <w:qFormat/>
    <w:uiPriority w:val="0"/>
    <w:pPr>
      <w:contextualSpacing/>
    </w:pPr>
  </w:style>
  <w:style w:type="character" w:customStyle="1" w:styleId="10">
    <w:name w:val="Note de bas de page Car"/>
    <w:basedOn w:val="3"/>
    <w:link w:val="6"/>
    <w:semiHidden/>
    <w:qFormat/>
    <w:uiPriority w:val="99"/>
    <w:rPr>
      <w:rFonts w:ascii="Calibri" w:hAnsi="Calibri" w:eastAsia="Times New Roman" w:cs="Times New Roman"/>
      <w:sz w:val="20"/>
      <w:szCs w:val="20"/>
      <w:lang w:eastAsia="fr-FR"/>
    </w:rPr>
  </w:style>
  <w:style w:type="character" w:customStyle="1" w:styleId="11">
    <w:name w:val="Titre 1 Car"/>
    <w:basedOn w:val="3"/>
    <w:link w:val="2"/>
    <w:uiPriority w:val="9"/>
    <w:rPr>
      <w:rFonts w:ascii="Times New Roman" w:hAnsi="Times New Roman" w:eastAsia="Times New Roman" w:cs="Times New Roman"/>
      <w:b/>
      <w:bCs/>
      <w:kern w:val="36"/>
      <w:sz w:val="48"/>
      <w:szCs w:val="48"/>
      <w:lang w:eastAsia="fr-FR"/>
    </w:rPr>
  </w:style>
  <w:style w:type="paragraph" w:styleId="12">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otnotes" Target="footnotes.xml"/><Relationship Id="rId7" Type="http://schemas.openxmlformats.org/officeDocument/2006/relationships/numbering" Target="numbering.xml"/><Relationship Id="rId2" Type="http://schemas.openxmlformats.org/officeDocument/2006/relationships/settings" Target="settings.xml"/><Relationship Id="rId6" Type="http://schemas.openxmlformats.org/officeDocument/2006/relationships/image" Target="media/image1.jpeg"/><Relationship Id="rId1"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theme" Target="theme/theme1.xml"/><Relationship Id="rId10" Type="http://schemas.openxmlformats.org/officeDocument/2006/relationships/customXml" Target="../customXml/item2.xml"/><Relationship Id="rId9" Type="http://schemas.openxmlformats.org/officeDocument/2006/relationships/fontTable" Target="fontTable.xml"/><Relationship Id="rId4" Type="http://schemas.openxmlformats.org/officeDocument/2006/relationships/endnotes" Target="end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0" ma:contentTypeDescription="Create a new document." ma:contentTypeScope="" ma:versionID="2637ccb1bb05592be5f0fd9e6afc9636">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6ff72a1e1412fb1c7958af630265a777"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8DB949-E175-43DD-B6C6-71063B8488E2}">
  <ds:schemaRefs/>
</ds:datastoreItem>
</file>

<file path=customXml/itemProps2.xml><?xml version="1.0" encoding="utf-8"?>
<ds:datastoreItem xmlns:ds="http://schemas.openxmlformats.org/officeDocument/2006/customXml" ds:itemID="{5F166395-1C1F-486A-836B-036B376CBA18}"/>
</file>

<file path=customXml/itemProps3.xml><?xml version="1.0" encoding="utf-8"?>
<ds:datastoreItem xmlns:ds="http://schemas.openxmlformats.org/officeDocument/2006/customXml" ds:itemID="{21E8A025-D192-4461-A5FC-8E0305E23D03}"/>
</file>

<file path=docProps/app.xml><?xml version="1.0" encoding="utf-8"?>
<Properties xmlns="http://schemas.openxmlformats.org/officeDocument/2006/extended-properties" xmlns:vt="http://schemas.openxmlformats.org/officeDocument/2006/docPropsVTypes">
  <Template>Normal</Template>
  <Pages>11</Pages>
  <Words>3541</Words>
  <Characters>19051</Characters>
  <Lines>307</Lines>
  <Paragraphs>101</Paragraphs>
  <TotalTime>1602</TotalTime>
  <ScaleCrop>false</ScaleCrop>
  <LinksUpToDate>false</LinksUpToDate>
  <CharactersWithSpaces>22491</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2024-05-09T22:50:00Z</dcterms:created>
  <dc:creator>LENOVO</dc:creator>
  <cp:lastModifiedBy>LENOVO</cp:lastModifiedBy>
  <cp:lastPrinted>2024-05-09T22:45:00Z</cp:lastPrinted>
  <dcterms:modified xsi:type="dcterms:W3CDTF">2024-05-14T13:18:18Z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1036-12.2.0.13431</vt:lpwstr>
  </property>
  <property fmtid="{D5CDD505-2E9C-101B-9397-08002B2CF9AE}" pid="3" name="ICV">
    <vt:lpwstr>C495D62CECE24DD9B8F98E6405A1C268_13</vt:lpwstr>
  </property>
</Properties>
</file>