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75D84B" w14:textId="77777777" w:rsidR="00B933C0" w:rsidRPr="006B4177" w:rsidRDefault="00B933C0" w:rsidP="00B15CFE">
      <w:pPr>
        <w:spacing w:after="0" w:line="276" w:lineRule="auto"/>
        <w:jc w:val="center"/>
        <w:rPr>
          <w:rFonts w:asciiTheme="minorHAnsi" w:hAnsiTheme="minorHAnsi"/>
          <w:lang w:val="en-GB"/>
        </w:rPr>
      </w:pPr>
      <w:r w:rsidRPr="006B4177">
        <w:rPr>
          <w:rFonts w:asciiTheme="minorHAnsi" w:hAnsiTheme="minorHAnsi"/>
          <w:lang w:val="en-GB"/>
        </w:rPr>
        <w:t xml:space="preserve">Supplementary report on </w:t>
      </w:r>
    </w:p>
    <w:p w14:paraId="66F7A018" w14:textId="77777777" w:rsidR="00B933C0" w:rsidRPr="006B4177" w:rsidRDefault="00B933C0" w:rsidP="00B15CFE">
      <w:pPr>
        <w:spacing w:after="0" w:line="276" w:lineRule="auto"/>
        <w:jc w:val="center"/>
        <w:rPr>
          <w:rFonts w:asciiTheme="minorHAnsi" w:hAnsiTheme="minorHAnsi"/>
          <w:b/>
          <w:lang w:val="en-GB"/>
        </w:rPr>
      </w:pPr>
    </w:p>
    <w:p w14:paraId="44C59375" w14:textId="77777777" w:rsidR="00B933C0" w:rsidRPr="006B4177" w:rsidRDefault="00B933C0" w:rsidP="00B15CFE">
      <w:pPr>
        <w:spacing w:after="0" w:line="276" w:lineRule="auto"/>
        <w:jc w:val="center"/>
        <w:rPr>
          <w:rFonts w:asciiTheme="minorHAnsi" w:hAnsiTheme="minorHAnsi"/>
          <w:b/>
          <w:lang w:val="en-GB"/>
        </w:rPr>
      </w:pPr>
      <w:r w:rsidRPr="006B4177">
        <w:rPr>
          <w:rFonts w:asciiTheme="minorHAnsi" w:hAnsiTheme="minorHAnsi"/>
          <w:b/>
          <w:lang w:val="en-GB"/>
        </w:rPr>
        <w:t>“Sexual Exploitation of Children in the Philippines”</w:t>
      </w:r>
    </w:p>
    <w:p w14:paraId="6AB6C811" w14:textId="77777777" w:rsidR="00B933C0" w:rsidRPr="006B4177" w:rsidRDefault="00B933C0" w:rsidP="00B15CFE">
      <w:pPr>
        <w:spacing w:after="0" w:line="276" w:lineRule="auto"/>
        <w:jc w:val="center"/>
        <w:rPr>
          <w:rFonts w:asciiTheme="minorHAnsi" w:hAnsiTheme="minorHAnsi"/>
          <w:b/>
          <w:lang w:val="en-GB"/>
        </w:rPr>
      </w:pPr>
    </w:p>
    <w:p w14:paraId="012628D8" w14:textId="77777777" w:rsidR="00B933C0" w:rsidRPr="006B4177" w:rsidRDefault="00B933C0" w:rsidP="00B15CFE">
      <w:pPr>
        <w:spacing w:after="0" w:line="276" w:lineRule="auto"/>
        <w:jc w:val="center"/>
        <w:rPr>
          <w:rFonts w:asciiTheme="minorHAnsi" w:hAnsiTheme="minorHAnsi"/>
          <w:b/>
          <w:lang w:val="en-GB"/>
        </w:rPr>
      </w:pPr>
    </w:p>
    <w:p w14:paraId="2FF992D4" w14:textId="77777777" w:rsidR="00B933C0" w:rsidRPr="006B4177" w:rsidRDefault="00B933C0" w:rsidP="00B15CFE">
      <w:pPr>
        <w:spacing w:after="0" w:line="276" w:lineRule="auto"/>
        <w:jc w:val="center"/>
        <w:rPr>
          <w:rFonts w:asciiTheme="minorHAnsi" w:hAnsiTheme="minorHAnsi"/>
          <w:b/>
          <w:lang w:val="en-GB"/>
        </w:rPr>
      </w:pPr>
      <w:r w:rsidRPr="006B4177">
        <w:rPr>
          <w:rFonts w:cs="Calibri"/>
        </w:rPr>
        <w:t xml:space="preserve">to the combined fifth and sixth periodic reports of </w:t>
      </w:r>
      <w:r w:rsidR="004B2BB5" w:rsidRPr="006B4177">
        <w:rPr>
          <w:rFonts w:cs="Calibri"/>
        </w:rPr>
        <w:t>the Philippines</w:t>
      </w:r>
      <w:r w:rsidRPr="006B4177">
        <w:rPr>
          <w:rFonts w:cs="Calibri"/>
        </w:rPr>
        <w:t xml:space="preserve"> on the implementation of the Convention on the Rights of the Child, including the implementation of the Optional Protocol on the sale of children, child prostitution and child pornography</w:t>
      </w:r>
    </w:p>
    <w:p w14:paraId="148296E0" w14:textId="77777777" w:rsidR="00B933C0" w:rsidRPr="006B4177" w:rsidRDefault="00B933C0" w:rsidP="00B15CFE">
      <w:pPr>
        <w:spacing w:after="0" w:line="276" w:lineRule="auto"/>
        <w:jc w:val="center"/>
        <w:rPr>
          <w:rFonts w:asciiTheme="minorHAnsi" w:hAnsiTheme="minorHAnsi"/>
          <w:b/>
          <w:lang w:val="en-GB"/>
        </w:rPr>
      </w:pPr>
    </w:p>
    <w:p w14:paraId="70E2D5C4" w14:textId="77777777" w:rsidR="00B933C0" w:rsidRPr="006B4177" w:rsidRDefault="00B933C0" w:rsidP="00B15CFE">
      <w:pPr>
        <w:spacing w:after="0" w:line="276" w:lineRule="auto"/>
        <w:jc w:val="center"/>
        <w:rPr>
          <w:rFonts w:asciiTheme="minorHAnsi" w:hAnsiTheme="minorHAnsi"/>
          <w:b/>
          <w:lang w:val="en-GB"/>
        </w:rPr>
      </w:pPr>
    </w:p>
    <w:p w14:paraId="492FC636" w14:textId="77777777" w:rsidR="00B933C0" w:rsidRPr="006B4177" w:rsidRDefault="00B933C0" w:rsidP="00B15CFE">
      <w:pPr>
        <w:spacing w:after="0" w:line="276" w:lineRule="auto"/>
        <w:jc w:val="center"/>
        <w:rPr>
          <w:rFonts w:asciiTheme="minorHAnsi" w:hAnsiTheme="minorHAnsi"/>
          <w:b/>
          <w:lang w:val="en-GB"/>
        </w:rPr>
      </w:pPr>
    </w:p>
    <w:p w14:paraId="48D3ED8B" w14:textId="77777777" w:rsidR="00B933C0" w:rsidRPr="006B4177" w:rsidRDefault="00B933C0" w:rsidP="00B15CFE">
      <w:pPr>
        <w:spacing w:after="0" w:line="276" w:lineRule="auto"/>
        <w:jc w:val="center"/>
        <w:rPr>
          <w:rFonts w:asciiTheme="minorHAnsi" w:hAnsiTheme="minorHAnsi"/>
          <w:b/>
          <w:lang w:val="en-GB"/>
        </w:rPr>
      </w:pPr>
    </w:p>
    <w:p w14:paraId="054CC4DE" w14:textId="77777777" w:rsidR="00B933C0" w:rsidRPr="006B4177" w:rsidRDefault="00B933C0" w:rsidP="00B15CFE">
      <w:pPr>
        <w:spacing w:after="0" w:line="276" w:lineRule="auto"/>
        <w:jc w:val="center"/>
        <w:rPr>
          <w:rFonts w:asciiTheme="minorHAnsi" w:hAnsiTheme="minorHAnsi"/>
          <w:lang w:val="en-GB"/>
        </w:rPr>
      </w:pPr>
      <w:r w:rsidRPr="006B4177">
        <w:rPr>
          <w:rFonts w:asciiTheme="minorHAnsi" w:hAnsiTheme="minorHAnsi"/>
          <w:lang w:val="en-GB"/>
        </w:rPr>
        <w:t>Submitted by</w:t>
      </w:r>
    </w:p>
    <w:p w14:paraId="6D29242E" w14:textId="77777777" w:rsidR="00B933C0" w:rsidRPr="006B4177" w:rsidRDefault="00B933C0" w:rsidP="00B15CFE">
      <w:pPr>
        <w:spacing w:after="0" w:line="276" w:lineRule="auto"/>
        <w:jc w:val="center"/>
        <w:rPr>
          <w:rFonts w:asciiTheme="minorHAnsi" w:hAnsiTheme="minorHAnsi"/>
          <w:lang w:val="en-GB"/>
        </w:rPr>
      </w:pPr>
    </w:p>
    <w:p w14:paraId="5E5DE701" w14:textId="77777777" w:rsidR="00B933C0" w:rsidRPr="006B4177" w:rsidRDefault="00B933C0" w:rsidP="00B15CFE">
      <w:pPr>
        <w:spacing w:after="0" w:line="276" w:lineRule="auto"/>
        <w:jc w:val="center"/>
        <w:rPr>
          <w:rFonts w:asciiTheme="minorHAnsi" w:hAnsiTheme="minorHAnsi"/>
          <w:b/>
          <w:lang w:val="en-GB"/>
        </w:rPr>
      </w:pPr>
      <w:r w:rsidRPr="006B4177">
        <w:rPr>
          <w:rFonts w:asciiTheme="minorHAnsi" w:hAnsiTheme="minorHAnsi"/>
          <w:b/>
          <w:lang w:val="en-GB"/>
        </w:rPr>
        <w:t>ECPAT International</w:t>
      </w:r>
    </w:p>
    <w:p w14:paraId="5373F996" w14:textId="77777777" w:rsidR="004B2BB5" w:rsidRPr="006B4177" w:rsidRDefault="004B2BB5" w:rsidP="00B15CFE">
      <w:pPr>
        <w:spacing w:after="0" w:line="276" w:lineRule="auto"/>
        <w:jc w:val="center"/>
        <w:rPr>
          <w:rFonts w:asciiTheme="minorHAnsi" w:hAnsiTheme="minorHAnsi"/>
          <w:b/>
          <w:lang w:val="en-GB"/>
        </w:rPr>
      </w:pPr>
    </w:p>
    <w:p w14:paraId="233AE2BC" w14:textId="77777777" w:rsidR="004B2BB5" w:rsidRPr="006B4177" w:rsidRDefault="004B2BB5" w:rsidP="00B15CFE">
      <w:pPr>
        <w:spacing w:after="0" w:line="276" w:lineRule="auto"/>
        <w:jc w:val="center"/>
        <w:rPr>
          <w:rFonts w:asciiTheme="minorHAnsi" w:hAnsiTheme="minorHAnsi"/>
          <w:lang w:val="en-GB"/>
        </w:rPr>
      </w:pPr>
      <w:r w:rsidRPr="006B4177">
        <w:rPr>
          <w:rFonts w:asciiTheme="minorHAnsi" w:hAnsiTheme="minorHAnsi"/>
          <w:lang w:val="en-GB"/>
        </w:rPr>
        <w:t>And</w:t>
      </w:r>
    </w:p>
    <w:p w14:paraId="251907B6" w14:textId="77777777" w:rsidR="004B2BB5" w:rsidRPr="006B4177" w:rsidRDefault="004B2BB5" w:rsidP="00B15CFE">
      <w:pPr>
        <w:spacing w:after="0" w:line="276" w:lineRule="auto"/>
        <w:jc w:val="center"/>
        <w:rPr>
          <w:rFonts w:asciiTheme="minorHAnsi" w:hAnsiTheme="minorHAnsi"/>
          <w:lang w:val="en-GB"/>
        </w:rPr>
      </w:pPr>
    </w:p>
    <w:p w14:paraId="4C499A8C" w14:textId="77777777" w:rsidR="004B2BB5" w:rsidRPr="006B4177" w:rsidRDefault="004B2BB5" w:rsidP="00B15CFE">
      <w:pPr>
        <w:spacing w:after="0" w:line="276" w:lineRule="auto"/>
        <w:jc w:val="center"/>
        <w:rPr>
          <w:rFonts w:asciiTheme="minorHAnsi" w:hAnsiTheme="minorHAnsi"/>
          <w:b/>
          <w:lang w:val="en-GB"/>
        </w:rPr>
      </w:pPr>
      <w:r w:rsidRPr="006B4177">
        <w:rPr>
          <w:rFonts w:asciiTheme="minorHAnsi" w:hAnsiTheme="minorHAnsi"/>
          <w:b/>
          <w:lang w:val="en-GB"/>
        </w:rPr>
        <w:t>ECPAT Philippines</w:t>
      </w:r>
    </w:p>
    <w:p w14:paraId="3EBAC700" w14:textId="77777777" w:rsidR="00B933C0" w:rsidRPr="006B4177" w:rsidRDefault="00B933C0" w:rsidP="00B15CFE">
      <w:pPr>
        <w:spacing w:after="0" w:line="276" w:lineRule="auto"/>
        <w:jc w:val="center"/>
        <w:rPr>
          <w:rFonts w:asciiTheme="minorHAnsi" w:hAnsiTheme="minorHAnsi"/>
          <w:b/>
          <w:lang w:val="en-GB"/>
        </w:rPr>
      </w:pPr>
    </w:p>
    <w:p w14:paraId="1E71122F" w14:textId="77777777" w:rsidR="00B933C0" w:rsidRPr="006B4177" w:rsidRDefault="00B933C0" w:rsidP="00B15CFE">
      <w:pPr>
        <w:spacing w:after="0" w:line="276" w:lineRule="auto"/>
        <w:jc w:val="center"/>
        <w:rPr>
          <w:rFonts w:asciiTheme="minorHAnsi" w:hAnsiTheme="minorHAnsi"/>
          <w:lang w:val="en-GB"/>
        </w:rPr>
      </w:pPr>
      <w:r w:rsidRPr="006B4177">
        <w:rPr>
          <w:rFonts w:asciiTheme="minorHAnsi" w:hAnsiTheme="minorHAnsi"/>
          <w:lang w:val="en-GB"/>
        </w:rPr>
        <w:t xml:space="preserve">Bangkok, Thailand, </w:t>
      </w:r>
      <w:r w:rsidR="004B2BB5" w:rsidRPr="006B4177">
        <w:rPr>
          <w:rFonts w:asciiTheme="minorHAnsi" w:hAnsiTheme="minorHAnsi"/>
          <w:lang w:val="en-GB"/>
        </w:rPr>
        <w:t>1 March 2020</w:t>
      </w:r>
    </w:p>
    <w:p w14:paraId="72D35DFA" w14:textId="77777777" w:rsidR="00B933C0" w:rsidRPr="006B4177" w:rsidRDefault="00B933C0" w:rsidP="00B15CFE">
      <w:pPr>
        <w:spacing w:after="0" w:line="276" w:lineRule="auto"/>
        <w:jc w:val="center"/>
        <w:rPr>
          <w:rFonts w:asciiTheme="minorHAnsi" w:hAnsiTheme="minorHAnsi"/>
          <w:lang w:val="en-GB"/>
        </w:rPr>
      </w:pPr>
    </w:p>
    <w:p w14:paraId="31C935E9" w14:textId="77777777" w:rsidR="00B933C0" w:rsidRPr="006B4177" w:rsidRDefault="00B933C0" w:rsidP="00B15CFE">
      <w:pPr>
        <w:spacing w:after="0" w:line="276" w:lineRule="auto"/>
        <w:rPr>
          <w:rFonts w:asciiTheme="minorHAnsi" w:hAnsiTheme="minorHAnsi"/>
          <w:lang w:val="en-GB"/>
        </w:rPr>
      </w:pPr>
    </w:p>
    <w:p w14:paraId="0F25E950" w14:textId="77777777" w:rsidR="00B933C0" w:rsidRPr="006B4177" w:rsidRDefault="00B933C0" w:rsidP="00B15CFE">
      <w:pPr>
        <w:spacing w:after="0" w:line="276" w:lineRule="auto"/>
        <w:jc w:val="center"/>
        <w:rPr>
          <w:rFonts w:asciiTheme="minorHAnsi" w:hAnsiTheme="minorHAnsi"/>
          <w:lang w:val="en-GB"/>
        </w:rPr>
      </w:pPr>
    </w:p>
    <w:p w14:paraId="3C746859" w14:textId="77777777" w:rsidR="00B933C0" w:rsidRPr="006B4177" w:rsidRDefault="00B933C0" w:rsidP="00B15CFE">
      <w:pPr>
        <w:spacing w:after="0" w:line="276" w:lineRule="auto"/>
        <w:jc w:val="center"/>
        <w:rPr>
          <w:rFonts w:asciiTheme="minorHAnsi" w:hAnsiTheme="minorHAnsi"/>
          <w:b/>
          <w:lang w:val="en-GB"/>
        </w:rPr>
      </w:pPr>
      <w:r w:rsidRPr="006B4177">
        <w:rPr>
          <w:rFonts w:asciiTheme="minorHAnsi" w:hAnsiTheme="minorHAnsi"/>
          <w:lang w:val="en-GB"/>
        </w:rPr>
        <w:t xml:space="preserve">to the </w:t>
      </w:r>
      <w:r w:rsidRPr="006B4177">
        <w:rPr>
          <w:rFonts w:asciiTheme="minorHAnsi" w:hAnsiTheme="minorHAnsi"/>
          <w:b/>
          <w:lang w:val="en-GB"/>
        </w:rPr>
        <w:t>Committee on the Rights of the Child</w:t>
      </w:r>
    </w:p>
    <w:p w14:paraId="58D3E058" w14:textId="77777777" w:rsidR="00B933C0" w:rsidRPr="006B4177" w:rsidRDefault="004B2BB5" w:rsidP="00B15CFE">
      <w:pPr>
        <w:spacing w:after="0" w:line="276" w:lineRule="auto"/>
        <w:jc w:val="center"/>
        <w:rPr>
          <w:rFonts w:asciiTheme="minorHAnsi" w:hAnsiTheme="minorHAnsi"/>
          <w:lang w:val="en-GB"/>
        </w:rPr>
      </w:pPr>
      <w:r w:rsidRPr="006B4177">
        <w:rPr>
          <w:rFonts w:asciiTheme="minorHAnsi" w:hAnsiTheme="minorHAnsi"/>
          <w:lang w:val="en-GB"/>
        </w:rPr>
        <w:t>87</w:t>
      </w:r>
      <w:r w:rsidR="00B933C0" w:rsidRPr="006B4177">
        <w:rPr>
          <w:rFonts w:asciiTheme="minorHAnsi" w:hAnsiTheme="minorHAnsi"/>
          <w:lang w:val="en-GB"/>
        </w:rPr>
        <w:t xml:space="preserve">th Pre-session </w:t>
      </w:r>
    </w:p>
    <w:p w14:paraId="53526AC8" w14:textId="77777777" w:rsidR="00B933C0" w:rsidRPr="006B4177" w:rsidRDefault="004B2BB5" w:rsidP="00B15CFE">
      <w:pPr>
        <w:spacing w:after="0" w:line="276" w:lineRule="auto"/>
        <w:jc w:val="center"/>
        <w:rPr>
          <w:rFonts w:asciiTheme="minorHAnsi" w:hAnsiTheme="minorHAnsi"/>
          <w:lang w:val="en-GB"/>
        </w:rPr>
      </w:pPr>
      <w:r w:rsidRPr="006B4177">
        <w:rPr>
          <w:rFonts w:asciiTheme="minorHAnsi" w:hAnsiTheme="minorHAnsi"/>
          <w:lang w:val="en-GB"/>
        </w:rPr>
        <w:t xml:space="preserve">(1 – 6 June </w:t>
      </w:r>
      <w:r w:rsidR="00B933C0" w:rsidRPr="006B4177">
        <w:rPr>
          <w:rFonts w:asciiTheme="minorHAnsi" w:hAnsiTheme="minorHAnsi"/>
          <w:lang w:val="en-GB"/>
        </w:rPr>
        <w:t xml:space="preserve">2020) </w:t>
      </w:r>
    </w:p>
    <w:p w14:paraId="1BD75A31" w14:textId="77777777" w:rsidR="00DA5059" w:rsidRPr="006B4177" w:rsidRDefault="00DA5059" w:rsidP="00B15CFE">
      <w:pPr>
        <w:spacing w:after="0" w:line="276" w:lineRule="auto"/>
      </w:pPr>
    </w:p>
    <w:p w14:paraId="2FABD3FB" w14:textId="77777777" w:rsidR="00961C3F" w:rsidRPr="006B4177" w:rsidRDefault="00961C3F" w:rsidP="00B15CFE">
      <w:pPr>
        <w:spacing w:after="0" w:line="276" w:lineRule="auto"/>
      </w:pPr>
    </w:p>
    <w:p w14:paraId="6DF01747" w14:textId="77777777" w:rsidR="00961C3F" w:rsidRPr="006B4177" w:rsidRDefault="00961C3F" w:rsidP="00B15CFE">
      <w:pPr>
        <w:spacing w:after="0" w:line="276" w:lineRule="auto"/>
      </w:pPr>
      <w:r w:rsidRPr="006B4177">
        <w:br w:type="page"/>
      </w:r>
    </w:p>
    <w:p w14:paraId="2EB9E97E" w14:textId="1AA7C564" w:rsidR="00961C3F" w:rsidRPr="006B4177" w:rsidRDefault="00F14992" w:rsidP="00B15CFE">
      <w:pPr>
        <w:pStyle w:val="Standard"/>
        <w:spacing w:line="276" w:lineRule="auto"/>
        <w:jc w:val="both"/>
        <w:rPr>
          <w:rFonts w:eastAsia="SimSun" w:cs="Times New Roman"/>
          <w:shd w:val="clear" w:color="auto" w:fill="00FF00"/>
          <w:lang w:val="en-GB"/>
        </w:rPr>
      </w:pPr>
      <w:r w:rsidRPr="006B4177">
        <w:rPr>
          <w:noProof/>
          <w:lang w:val="en-GB" w:eastAsia="en-GB" w:bidi="ar-SA"/>
        </w:rPr>
        <w:lastRenderedPageBreak/>
        <w:drawing>
          <wp:anchor distT="0" distB="0" distL="114300" distR="114300" simplePos="0" relativeHeight="251659264" behindDoc="0" locked="0" layoutInCell="1" allowOverlap="1" wp14:anchorId="4EF151F8" wp14:editId="2E16E976">
            <wp:simplePos x="0" y="0"/>
            <wp:positionH relativeFrom="column">
              <wp:posOffset>3230880</wp:posOffset>
            </wp:positionH>
            <wp:positionV relativeFrom="paragraph">
              <wp:posOffset>-95143</wp:posOffset>
            </wp:positionV>
            <wp:extent cx="985997" cy="1062349"/>
            <wp:effectExtent l="0" t="0" r="5080" b="5080"/>
            <wp:wrapNone/>
            <wp:docPr id="1" name="image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985997" cy="1062349"/>
                    </a:xfrm>
                    <a:prstGeom prst="rect">
                      <a:avLst/>
                    </a:prstGeom>
                    <a:noFill/>
                    <a:ln>
                      <a:noFill/>
                      <a:prstDash/>
                    </a:ln>
                  </pic:spPr>
                </pic:pic>
              </a:graphicData>
            </a:graphic>
          </wp:anchor>
        </w:drawing>
      </w:r>
      <w:r w:rsidR="006058C7" w:rsidRPr="006B4177">
        <w:rPr>
          <w:noProof/>
          <w:lang w:val="en-GB" w:eastAsia="en-GB" w:bidi="ar-SA"/>
        </w:rPr>
        <w:drawing>
          <wp:inline distT="0" distB="0" distL="0" distR="0" wp14:anchorId="6BBD55AD" wp14:editId="2E441E63">
            <wp:extent cx="674798" cy="9576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0882" cy="994679"/>
                    </a:xfrm>
                    <a:prstGeom prst="rect">
                      <a:avLst/>
                    </a:prstGeom>
                    <a:noFill/>
                    <a:ln>
                      <a:noFill/>
                    </a:ln>
                  </pic:spPr>
                </pic:pic>
              </a:graphicData>
            </a:graphic>
          </wp:inline>
        </w:drawing>
      </w:r>
    </w:p>
    <w:p w14:paraId="71704F77" w14:textId="2AFBDD99" w:rsidR="00961C3F" w:rsidRPr="006B4177" w:rsidRDefault="00270BAA" w:rsidP="00B15CFE">
      <w:pPr>
        <w:pStyle w:val="Standard"/>
        <w:spacing w:line="276" w:lineRule="auto"/>
        <w:jc w:val="both"/>
        <w:rPr>
          <w:rFonts w:eastAsia="SimSun" w:cs="Times New Roman"/>
          <w:shd w:val="clear" w:color="auto" w:fill="00FF00"/>
          <w:lang w:val="en-GB"/>
        </w:rPr>
      </w:pPr>
      <w:r w:rsidRPr="006B4177">
        <w:t xml:space="preserve"> </w:t>
      </w:r>
    </w:p>
    <w:tbl>
      <w:tblPr>
        <w:tblW w:w="9580" w:type="dxa"/>
        <w:tblInd w:w="-96" w:type="dxa"/>
        <w:tblLayout w:type="fixed"/>
        <w:tblCellMar>
          <w:left w:w="10" w:type="dxa"/>
          <w:right w:w="10" w:type="dxa"/>
        </w:tblCellMar>
        <w:tblLook w:val="0000" w:firstRow="0" w:lastRow="0" w:firstColumn="0" w:lastColumn="0" w:noHBand="0" w:noVBand="0"/>
      </w:tblPr>
      <w:tblGrid>
        <w:gridCol w:w="5058"/>
        <w:gridCol w:w="4522"/>
      </w:tblGrid>
      <w:tr w:rsidR="00961C3F" w:rsidRPr="006B4177" w14:paraId="486C4181" w14:textId="77777777" w:rsidTr="00FD2067">
        <w:trPr>
          <w:trHeight w:val="3582"/>
        </w:trPr>
        <w:tc>
          <w:tcPr>
            <w:tcW w:w="5058" w:type="dxa"/>
            <w:tcMar>
              <w:top w:w="0" w:type="dxa"/>
              <w:left w:w="108" w:type="dxa"/>
              <w:bottom w:w="0" w:type="dxa"/>
              <w:right w:w="108" w:type="dxa"/>
            </w:tcMar>
          </w:tcPr>
          <w:p w14:paraId="7CA58462" w14:textId="77777777" w:rsidR="00961C3F" w:rsidRPr="006B4177" w:rsidRDefault="00961C3F" w:rsidP="00B15CFE">
            <w:pPr>
              <w:pStyle w:val="Standard"/>
              <w:spacing w:line="276" w:lineRule="auto"/>
              <w:ind w:right="319"/>
              <w:jc w:val="both"/>
              <w:rPr>
                <w:rFonts w:asciiTheme="minorHAnsi" w:eastAsia="SimSun" w:hAnsiTheme="minorHAnsi" w:cstheme="minorHAnsi"/>
                <w:b/>
                <w:bCs/>
                <w:sz w:val="22"/>
                <w:szCs w:val="22"/>
                <w:lang w:val="en-GB" w:eastAsia="en-GB"/>
              </w:rPr>
            </w:pPr>
          </w:p>
          <w:p w14:paraId="74D4A30D" w14:textId="77777777" w:rsidR="004761DF" w:rsidRPr="006B4177" w:rsidRDefault="004761DF" w:rsidP="00B15CFE">
            <w:pPr>
              <w:pStyle w:val="Standard"/>
              <w:autoSpaceDE w:val="0"/>
              <w:spacing w:line="276" w:lineRule="auto"/>
              <w:ind w:right="319"/>
              <w:jc w:val="both"/>
              <w:rPr>
                <w:rFonts w:asciiTheme="minorHAnsi" w:eastAsia="Times-Roman" w:hAnsiTheme="minorHAnsi" w:cstheme="minorHAnsi"/>
                <w:b/>
                <w:bCs/>
                <w:kern w:val="0"/>
                <w:sz w:val="22"/>
                <w:szCs w:val="22"/>
                <w:lang w:val="en-GB"/>
              </w:rPr>
            </w:pPr>
          </w:p>
          <w:p w14:paraId="1C8028E1" w14:textId="77777777" w:rsidR="00961C3F" w:rsidRPr="006B4177" w:rsidRDefault="00961C3F" w:rsidP="00B15CFE">
            <w:pPr>
              <w:pStyle w:val="Standard"/>
              <w:autoSpaceDE w:val="0"/>
              <w:spacing w:line="276" w:lineRule="auto"/>
              <w:ind w:right="319"/>
              <w:jc w:val="both"/>
              <w:rPr>
                <w:rFonts w:asciiTheme="minorHAnsi" w:eastAsia="Times-Roman" w:hAnsiTheme="minorHAnsi" w:cstheme="minorHAnsi"/>
                <w:b/>
                <w:bCs/>
                <w:kern w:val="0"/>
                <w:sz w:val="22"/>
                <w:szCs w:val="22"/>
                <w:lang w:val="en-GB"/>
              </w:rPr>
            </w:pPr>
            <w:r w:rsidRPr="006B4177">
              <w:rPr>
                <w:rFonts w:asciiTheme="minorHAnsi" w:eastAsia="Times-Roman" w:hAnsiTheme="minorHAnsi" w:cstheme="minorHAnsi"/>
                <w:b/>
                <w:bCs/>
                <w:kern w:val="0"/>
                <w:sz w:val="22"/>
                <w:szCs w:val="22"/>
                <w:lang w:val="en-GB"/>
              </w:rPr>
              <w:t>ECPAT Philippines</w:t>
            </w:r>
          </w:p>
          <w:p w14:paraId="7BACFCA7" w14:textId="77777777" w:rsidR="00961C3F" w:rsidRPr="006B4177" w:rsidRDefault="00961C3F" w:rsidP="00B15CFE">
            <w:pPr>
              <w:pStyle w:val="Standard"/>
              <w:autoSpaceDE w:val="0"/>
              <w:spacing w:line="276" w:lineRule="auto"/>
              <w:ind w:right="319"/>
              <w:jc w:val="both"/>
              <w:rPr>
                <w:rFonts w:asciiTheme="minorHAnsi" w:eastAsia="Times-Roman" w:hAnsiTheme="minorHAnsi" w:cstheme="minorHAnsi"/>
                <w:color w:val="484848"/>
                <w:kern w:val="0"/>
                <w:sz w:val="22"/>
                <w:szCs w:val="22"/>
                <w:lang w:val="en-GB"/>
              </w:rPr>
            </w:pPr>
          </w:p>
          <w:p w14:paraId="3665865C" w14:textId="56D9C6A5" w:rsidR="00961C3F" w:rsidRPr="006B4177" w:rsidRDefault="00CB60B3" w:rsidP="00B15CFE">
            <w:pPr>
              <w:pStyle w:val="Standard"/>
              <w:autoSpaceDE w:val="0"/>
              <w:spacing w:line="276" w:lineRule="auto"/>
              <w:ind w:right="319"/>
              <w:jc w:val="both"/>
              <w:rPr>
                <w:rFonts w:asciiTheme="minorHAnsi" w:eastAsia="Times-Roman" w:hAnsiTheme="minorHAnsi" w:cstheme="minorHAnsi"/>
                <w:kern w:val="0"/>
                <w:sz w:val="22"/>
                <w:szCs w:val="22"/>
                <w:lang w:val="en-GB"/>
              </w:rPr>
            </w:pPr>
            <w:r w:rsidRPr="006B4177">
              <w:rPr>
                <w:rFonts w:asciiTheme="minorHAnsi" w:eastAsia="Times-Roman" w:hAnsiTheme="minorHAnsi" w:cstheme="minorHAnsi"/>
                <w:kern w:val="0"/>
                <w:sz w:val="22"/>
                <w:szCs w:val="22"/>
                <w:lang w:val="en-GB"/>
              </w:rPr>
              <w:t>Executive Director: Ms. Dolores Alforte</w:t>
            </w:r>
          </w:p>
          <w:p w14:paraId="6FE03C47" w14:textId="77777777" w:rsidR="00961C3F" w:rsidRPr="006B4177" w:rsidRDefault="00961C3F" w:rsidP="00B15CFE">
            <w:pPr>
              <w:pStyle w:val="Standard"/>
              <w:autoSpaceDE w:val="0"/>
              <w:spacing w:line="276" w:lineRule="auto"/>
              <w:ind w:right="319"/>
              <w:jc w:val="both"/>
              <w:rPr>
                <w:rFonts w:asciiTheme="minorHAnsi" w:eastAsia="Times-Roman" w:hAnsiTheme="minorHAnsi" w:cstheme="minorHAnsi"/>
                <w:kern w:val="0"/>
                <w:sz w:val="22"/>
                <w:szCs w:val="22"/>
                <w:lang w:val="en-GB"/>
              </w:rPr>
            </w:pPr>
            <w:r w:rsidRPr="006B4177">
              <w:rPr>
                <w:rFonts w:asciiTheme="minorHAnsi" w:eastAsia="Times-Roman" w:hAnsiTheme="minorHAnsi" w:cstheme="minorHAnsi"/>
                <w:kern w:val="0"/>
                <w:sz w:val="22"/>
                <w:szCs w:val="22"/>
                <w:lang w:val="en-GB"/>
              </w:rPr>
              <w:t xml:space="preserve">Address: </w:t>
            </w:r>
            <w:r w:rsidR="00FD2067" w:rsidRPr="006B4177">
              <w:rPr>
                <w:rFonts w:asciiTheme="minorHAnsi" w:eastAsia="Times-Roman" w:hAnsiTheme="minorHAnsi" w:cstheme="minorHAnsi"/>
                <w:kern w:val="0"/>
                <w:sz w:val="22"/>
                <w:szCs w:val="22"/>
                <w:lang w:val="en-GB"/>
              </w:rPr>
              <w:t>143, Anonas Extension, Sikatuna Village Diliman, 1101 Quezon City, Philippines.</w:t>
            </w:r>
          </w:p>
          <w:p w14:paraId="3F47F549" w14:textId="77777777" w:rsidR="008E0B8E" w:rsidRPr="006B4177" w:rsidRDefault="00961C3F" w:rsidP="008E0B8E">
            <w:pPr>
              <w:pStyle w:val="CommentText"/>
              <w:rPr>
                <w:rFonts w:asciiTheme="minorHAnsi" w:hAnsiTheme="minorHAnsi" w:cstheme="minorHAnsi"/>
              </w:rPr>
            </w:pPr>
            <w:r w:rsidRPr="006B4177">
              <w:rPr>
                <w:rFonts w:asciiTheme="minorHAnsi" w:eastAsia="Times-Roman" w:hAnsiTheme="minorHAnsi" w:cstheme="minorHAnsi"/>
                <w:sz w:val="22"/>
                <w:szCs w:val="22"/>
                <w:lang w:val="en-US"/>
              </w:rPr>
              <w:t>Phone:</w:t>
            </w:r>
            <w:r w:rsidR="00FD2067" w:rsidRPr="006B4177">
              <w:rPr>
                <w:rFonts w:asciiTheme="minorHAnsi" w:eastAsia="Times-Roman" w:hAnsiTheme="minorHAnsi" w:cstheme="minorHAnsi"/>
                <w:sz w:val="22"/>
                <w:szCs w:val="22"/>
                <w:lang w:val="en-US"/>
              </w:rPr>
              <w:t xml:space="preserve"> </w:t>
            </w:r>
            <w:r w:rsidR="008E0B8E" w:rsidRPr="006B4177">
              <w:rPr>
                <w:rFonts w:asciiTheme="minorHAnsi" w:hAnsiTheme="minorHAnsi" w:cstheme="minorHAnsi"/>
              </w:rPr>
              <w:t>+63 2 8920 8151</w:t>
            </w:r>
          </w:p>
          <w:p w14:paraId="1BEC003F" w14:textId="743563F0" w:rsidR="00961C3F" w:rsidRPr="006B4177" w:rsidRDefault="00961C3F" w:rsidP="008E0B8E">
            <w:pPr>
              <w:pStyle w:val="CommentText"/>
              <w:rPr>
                <w:rFonts w:asciiTheme="minorHAnsi" w:hAnsiTheme="minorHAnsi" w:cstheme="minorHAnsi"/>
              </w:rPr>
            </w:pPr>
            <w:r w:rsidRPr="006B4177">
              <w:rPr>
                <w:rFonts w:asciiTheme="minorHAnsi" w:eastAsia="Times-Roman" w:hAnsiTheme="minorHAnsi" w:cstheme="minorHAnsi"/>
                <w:sz w:val="22"/>
                <w:szCs w:val="22"/>
                <w:lang w:val="en-US"/>
              </w:rPr>
              <w:t xml:space="preserve">Email: </w:t>
            </w:r>
            <w:hyperlink r:id="rId10" w:history="1">
              <w:r w:rsidR="00FD2067" w:rsidRPr="006B4177">
                <w:rPr>
                  <w:rStyle w:val="Hyperlink"/>
                  <w:rFonts w:asciiTheme="minorHAnsi" w:hAnsiTheme="minorHAnsi" w:cstheme="minorHAnsi"/>
                  <w:color w:val="auto"/>
                  <w:sz w:val="22"/>
                  <w:szCs w:val="22"/>
                  <w:shd w:val="clear" w:color="auto" w:fill="FFFFFF"/>
                  <w:lang w:val="en-US"/>
                </w:rPr>
                <w:t>ecpatphil@gmail.com</w:t>
              </w:r>
            </w:hyperlink>
            <w:r w:rsidR="00FD2067" w:rsidRPr="006B4177">
              <w:rPr>
                <w:rFonts w:asciiTheme="minorHAnsi" w:hAnsiTheme="minorHAnsi" w:cstheme="minorHAnsi"/>
                <w:sz w:val="22"/>
                <w:szCs w:val="22"/>
                <w:lang w:val="en-US"/>
              </w:rPr>
              <w:t xml:space="preserve"> </w:t>
            </w:r>
          </w:p>
          <w:p w14:paraId="35C37E8B" w14:textId="77777777" w:rsidR="00961C3F" w:rsidRPr="006B4177" w:rsidRDefault="00961C3F" w:rsidP="00082A83">
            <w:pPr>
              <w:pStyle w:val="Standard"/>
              <w:autoSpaceDE w:val="0"/>
              <w:spacing w:line="276" w:lineRule="auto"/>
              <w:ind w:right="319"/>
              <w:jc w:val="both"/>
              <w:rPr>
                <w:rFonts w:asciiTheme="minorHAnsi" w:hAnsiTheme="minorHAnsi" w:cstheme="minorHAnsi"/>
                <w:lang w:val="en-GB"/>
              </w:rPr>
            </w:pPr>
            <w:r w:rsidRPr="006B4177">
              <w:rPr>
                <w:rFonts w:asciiTheme="minorHAnsi" w:eastAsia="Times-Roman" w:hAnsiTheme="minorHAnsi" w:cstheme="minorHAnsi"/>
                <w:kern w:val="0"/>
                <w:sz w:val="22"/>
                <w:szCs w:val="22"/>
                <w:lang w:val="en-US"/>
              </w:rPr>
              <w:t xml:space="preserve">Website: </w:t>
            </w:r>
            <w:r w:rsidR="00BE0DAD" w:rsidRPr="006B4177">
              <w:rPr>
                <w:rFonts w:asciiTheme="minorHAnsi" w:eastAsia="Times-Roman" w:hAnsiTheme="minorHAnsi" w:cstheme="minorHAnsi"/>
                <w:kern w:val="0"/>
                <w:sz w:val="22"/>
                <w:szCs w:val="22"/>
                <w:lang w:val="en-US"/>
              </w:rPr>
              <w:t>www.</w:t>
            </w:r>
            <w:hyperlink r:id="rId11" w:history="1">
              <w:r w:rsidR="00CB60B3" w:rsidRPr="006B4177">
                <w:rPr>
                  <w:rFonts w:asciiTheme="minorHAnsi" w:hAnsiTheme="minorHAnsi" w:cstheme="minorHAnsi"/>
                  <w:sz w:val="22"/>
                  <w:szCs w:val="22"/>
                  <w:lang w:val="en-GB"/>
                </w:rPr>
                <w:t>ecpat.org.ph</w:t>
              </w:r>
            </w:hyperlink>
          </w:p>
          <w:p w14:paraId="2450018F" w14:textId="213D3C60" w:rsidR="00DF3AB8" w:rsidRPr="006B4177" w:rsidRDefault="00DF3AB8" w:rsidP="00082A83">
            <w:pPr>
              <w:pStyle w:val="Standard"/>
              <w:autoSpaceDE w:val="0"/>
              <w:spacing w:line="276" w:lineRule="auto"/>
              <w:ind w:right="319"/>
              <w:jc w:val="both"/>
              <w:rPr>
                <w:rFonts w:asciiTheme="minorHAnsi" w:hAnsiTheme="minorHAnsi" w:cstheme="minorHAnsi"/>
                <w:lang w:val="en-GB"/>
              </w:rPr>
            </w:pPr>
          </w:p>
          <w:p w14:paraId="651FEB47" w14:textId="72543306" w:rsidR="00DF3AB8" w:rsidRPr="006B4177" w:rsidRDefault="00DF3AB8" w:rsidP="00082A83">
            <w:pPr>
              <w:pStyle w:val="Standard"/>
              <w:autoSpaceDE w:val="0"/>
              <w:spacing w:line="276" w:lineRule="auto"/>
              <w:ind w:right="319"/>
              <w:jc w:val="both"/>
              <w:rPr>
                <w:rFonts w:asciiTheme="minorHAnsi" w:hAnsiTheme="minorHAnsi" w:cstheme="minorHAnsi"/>
                <w:i/>
                <w:iCs/>
                <w:sz w:val="20"/>
                <w:szCs w:val="20"/>
                <w:lang w:val="en-US"/>
              </w:rPr>
            </w:pPr>
            <w:r w:rsidRPr="006B4177">
              <w:rPr>
                <w:rFonts w:asciiTheme="minorHAnsi" w:hAnsiTheme="minorHAnsi" w:cstheme="minorHAnsi"/>
                <w:i/>
                <w:iCs/>
                <w:sz w:val="20"/>
                <w:szCs w:val="20"/>
                <w:lang w:val="en-US"/>
              </w:rPr>
              <w:t>ECPAT Philippines is one of the first national groups when it began as a campaign is Asia in 1991. It has actively participated in the making of important laws that aid in the prosecution of criminals associated with commercial sexual exploitation. ECPAT provides direct care to child victims, conduct research, implement awareness-raising campaigns, work on advocacy and lobby with governments and capacity building training for relevant stakeholders. ECPAT is an active member of the Civil Society Coalition on CRC in the Philippines.</w:t>
            </w:r>
          </w:p>
        </w:tc>
        <w:tc>
          <w:tcPr>
            <w:tcW w:w="4522" w:type="dxa"/>
            <w:tcMar>
              <w:top w:w="0" w:type="dxa"/>
              <w:left w:w="108" w:type="dxa"/>
              <w:bottom w:w="0" w:type="dxa"/>
              <w:right w:w="108" w:type="dxa"/>
            </w:tcMar>
          </w:tcPr>
          <w:p w14:paraId="1491E840" w14:textId="77777777" w:rsidR="00961C3F" w:rsidRPr="006B4177" w:rsidRDefault="00961C3F" w:rsidP="00B15CFE">
            <w:pPr>
              <w:pStyle w:val="Standard"/>
              <w:spacing w:line="276" w:lineRule="auto"/>
              <w:jc w:val="both"/>
              <w:rPr>
                <w:rFonts w:asciiTheme="minorHAnsi" w:eastAsia="SimSun" w:hAnsiTheme="minorHAnsi" w:cstheme="minorHAnsi"/>
                <w:b/>
                <w:bCs/>
                <w:sz w:val="22"/>
                <w:szCs w:val="22"/>
                <w:lang w:val="en-GB" w:eastAsia="nl-NL"/>
              </w:rPr>
            </w:pPr>
          </w:p>
          <w:p w14:paraId="3C87907A" w14:textId="77777777" w:rsidR="004761DF" w:rsidRPr="006B4177" w:rsidRDefault="004761DF" w:rsidP="00B15CFE">
            <w:pPr>
              <w:pStyle w:val="Standard"/>
              <w:spacing w:line="276" w:lineRule="auto"/>
              <w:jc w:val="both"/>
              <w:rPr>
                <w:rFonts w:asciiTheme="minorHAnsi" w:eastAsia="SimSun" w:hAnsiTheme="minorHAnsi" w:cstheme="minorHAnsi"/>
                <w:b/>
                <w:bCs/>
                <w:sz w:val="22"/>
                <w:szCs w:val="22"/>
                <w:lang w:val="en-GB" w:eastAsia="nl-NL"/>
              </w:rPr>
            </w:pPr>
          </w:p>
          <w:p w14:paraId="37BE7F1F" w14:textId="77777777" w:rsidR="00961C3F" w:rsidRPr="006B4177" w:rsidRDefault="00961C3F" w:rsidP="00B15CFE">
            <w:pPr>
              <w:pStyle w:val="Standard"/>
              <w:spacing w:line="276" w:lineRule="auto"/>
              <w:jc w:val="both"/>
              <w:rPr>
                <w:rFonts w:asciiTheme="minorHAnsi" w:eastAsia="SimSun" w:hAnsiTheme="minorHAnsi" w:cstheme="minorHAnsi"/>
                <w:b/>
                <w:bCs/>
                <w:sz w:val="22"/>
                <w:szCs w:val="22"/>
                <w:lang w:val="en-GB" w:eastAsia="nl-NL"/>
              </w:rPr>
            </w:pPr>
            <w:r w:rsidRPr="006B4177">
              <w:rPr>
                <w:rFonts w:asciiTheme="minorHAnsi" w:eastAsia="SimSun" w:hAnsiTheme="minorHAnsi" w:cstheme="minorHAnsi"/>
                <w:b/>
                <w:bCs/>
                <w:sz w:val="22"/>
                <w:szCs w:val="22"/>
                <w:lang w:val="en-GB" w:eastAsia="nl-NL"/>
              </w:rPr>
              <w:t>ECPAT International</w:t>
            </w:r>
          </w:p>
          <w:p w14:paraId="221FAA32" w14:textId="77777777" w:rsidR="00961C3F" w:rsidRPr="006B4177" w:rsidRDefault="00961C3F" w:rsidP="00B15CFE">
            <w:pPr>
              <w:pStyle w:val="Standard"/>
              <w:spacing w:line="276" w:lineRule="auto"/>
              <w:jc w:val="both"/>
              <w:rPr>
                <w:rFonts w:asciiTheme="minorHAnsi" w:eastAsia="SimSun" w:hAnsiTheme="minorHAnsi" w:cstheme="minorHAnsi"/>
                <w:bCs/>
                <w:sz w:val="22"/>
                <w:szCs w:val="22"/>
                <w:u w:val="single"/>
                <w:lang w:val="en-GB" w:eastAsia="nl-NL"/>
              </w:rPr>
            </w:pPr>
            <w:r w:rsidRPr="006B4177">
              <w:rPr>
                <w:rFonts w:asciiTheme="minorHAnsi" w:eastAsia="SimSun" w:hAnsiTheme="minorHAnsi" w:cstheme="minorHAnsi"/>
                <w:bCs/>
                <w:sz w:val="22"/>
                <w:szCs w:val="22"/>
                <w:u w:val="single"/>
                <w:lang w:val="en-GB" w:eastAsia="nl-NL"/>
              </w:rPr>
              <w:t>Special consultative status</w:t>
            </w:r>
          </w:p>
          <w:p w14:paraId="33D10327" w14:textId="77777777" w:rsidR="00961C3F" w:rsidRPr="006B4177" w:rsidRDefault="00961C3F" w:rsidP="00B15CFE">
            <w:pPr>
              <w:pStyle w:val="Standard"/>
              <w:spacing w:line="276" w:lineRule="auto"/>
              <w:jc w:val="both"/>
              <w:rPr>
                <w:rFonts w:asciiTheme="minorHAnsi" w:eastAsia="SimSun" w:hAnsiTheme="minorHAnsi" w:cstheme="minorHAnsi"/>
                <w:sz w:val="22"/>
                <w:szCs w:val="22"/>
                <w:lang w:val="en-GB" w:eastAsia="nl-NL"/>
              </w:rPr>
            </w:pPr>
          </w:p>
          <w:p w14:paraId="7472B17A" w14:textId="7F563FD9" w:rsidR="00961C3F" w:rsidRPr="006B4177" w:rsidRDefault="00961C3F" w:rsidP="00B15CFE">
            <w:pPr>
              <w:pStyle w:val="Standard"/>
              <w:spacing w:line="276" w:lineRule="auto"/>
              <w:jc w:val="both"/>
              <w:rPr>
                <w:rFonts w:asciiTheme="minorHAnsi" w:hAnsiTheme="minorHAnsi" w:cstheme="minorHAnsi"/>
                <w:sz w:val="22"/>
                <w:szCs w:val="22"/>
                <w:lang w:val="en-GB"/>
              </w:rPr>
            </w:pPr>
            <w:r w:rsidRPr="006B4177">
              <w:rPr>
                <w:rStyle w:val="Standaardalinea-lettertype1"/>
                <w:rFonts w:asciiTheme="minorHAnsi" w:eastAsia="SimSun" w:hAnsiTheme="minorHAnsi" w:cstheme="minorHAnsi"/>
                <w:sz w:val="22"/>
                <w:szCs w:val="22"/>
                <w:lang w:val="en-GB" w:eastAsia="nl-NL"/>
              </w:rPr>
              <w:t>Executive Director</w:t>
            </w:r>
            <w:r w:rsidRPr="006B4177">
              <w:rPr>
                <w:rStyle w:val="Standaardalinea-lettertype1"/>
                <w:rFonts w:asciiTheme="minorHAnsi" w:eastAsia="SimSun" w:hAnsiTheme="minorHAnsi" w:cstheme="minorHAnsi"/>
                <w:sz w:val="22"/>
                <w:szCs w:val="22"/>
                <w:lang w:val="en-GB" w:eastAsia="nl-NL" w:bidi="th-TH"/>
              </w:rPr>
              <w:t xml:space="preserve">: </w:t>
            </w:r>
            <w:r w:rsidR="00F14992" w:rsidRPr="006B4177">
              <w:rPr>
                <w:rStyle w:val="Standaardalinea-lettertype1"/>
                <w:rFonts w:asciiTheme="minorHAnsi" w:eastAsia="SimSun" w:hAnsiTheme="minorHAnsi" w:cstheme="minorHAnsi"/>
                <w:sz w:val="22"/>
                <w:szCs w:val="22"/>
                <w:lang w:val="en-GB" w:eastAsia="nl-NL"/>
              </w:rPr>
              <w:t>Mr. Robbert van den Berg</w:t>
            </w:r>
          </w:p>
          <w:p w14:paraId="6F0F8C01" w14:textId="77777777" w:rsidR="00961C3F" w:rsidRPr="006B4177" w:rsidRDefault="00961C3F" w:rsidP="00B15CFE">
            <w:pPr>
              <w:pStyle w:val="Standard"/>
              <w:spacing w:line="276" w:lineRule="auto"/>
              <w:jc w:val="both"/>
              <w:rPr>
                <w:rFonts w:asciiTheme="minorHAnsi" w:hAnsiTheme="minorHAnsi" w:cstheme="minorHAnsi"/>
                <w:sz w:val="22"/>
                <w:szCs w:val="22"/>
                <w:lang w:val="en-GB"/>
              </w:rPr>
            </w:pPr>
            <w:r w:rsidRPr="006B4177">
              <w:rPr>
                <w:rStyle w:val="Standaardalinea-lettertype1"/>
                <w:rFonts w:asciiTheme="minorHAnsi" w:eastAsia="SimSun" w:hAnsiTheme="minorHAnsi" w:cstheme="minorHAnsi"/>
                <w:sz w:val="22"/>
                <w:szCs w:val="22"/>
                <w:lang w:val="en-GB" w:eastAsia="nl-NL"/>
              </w:rPr>
              <w:t>Address</w:t>
            </w:r>
            <w:r w:rsidRPr="006B4177">
              <w:rPr>
                <w:rStyle w:val="Standaardalinea-lettertype1"/>
                <w:rFonts w:asciiTheme="minorHAnsi" w:eastAsia="SimSun" w:hAnsiTheme="minorHAnsi" w:cstheme="minorHAnsi"/>
                <w:sz w:val="22"/>
                <w:szCs w:val="22"/>
                <w:lang w:val="en-GB" w:eastAsia="nl-NL" w:bidi="th-TH"/>
              </w:rPr>
              <w:t xml:space="preserve">: </w:t>
            </w:r>
            <w:r w:rsidRPr="006B4177">
              <w:rPr>
                <w:rStyle w:val="Standaardalinea-lettertype1"/>
                <w:rFonts w:asciiTheme="minorHAnsi" w:eastAsia="SimSun" w:hAnsiTheme="minorHAnsi" w:cstheme="minorHAnsi"/>
                <w:sz w:val="22"/>
                <w:szCs w:val="22"/>
                <w:lang w:val="en-GB" w:eastAsia="nl-NL"/>
              </w:rPr>
              <w:t>328</w:t>
            </w:r>
            <w:r w:rsidRPr="006B4177">
              <w:rPr>
                <w:rStyle w:val="Standaardalinea-lettertype1"/>
                <w:rFonts w:asciiTheme="minorHAnsi" w:eastAsia="SimSun" w:hAnsiTheme="minorHAnsi" w:cstheme="minorHAnsi"/>
                <w:sz w:val="22"/>
                <w:szCs w:val="22"/>
                <w:lang w:val="en-GB" w:eastAsia="nl-NL" w:bidi="th-TH"/>
              </w:rPr>
              <w:t>/</w:t>
            </w:r>
            <w:r w:rsidRPr="006B4177">
              <w:rPr>
                <w:rStyle w:val="Standaardalinea-lettertype1"/>
                <w:rFonts w:asciiTheme="minorHAnsi" w:eastAsia="SimSun" w:hAnsiTheme="minorHAnsi" w:cstheme="minorHAnsi"/>
                <w:sz w:val="22"/>
                <w:szCs w:val="22"/>
                <w:lang w:val="en-GB" w:eastAsia="nl-NL"/>
              </w:rPr>
              <w:t>1 Phayathai Road, Ratchathewi,</w:t>
            </w:r>
          </w:p>
          <w:p w14:paraId="427AF7C7" w14:textId="77777777" w:rsidR="00961C3F" w:rsidRPr="006B4177" w:rsidRDefault="00961C3F" w:rsidP="00B15CFE">
            <w:pPr>
              <w:pStyle w:val="Standard"/>
              <w:spacing w:line="276" w:lineRule="auto"/>
              <w:jc w:val="both"/>
              <w:rPr>
                <w:rFonts w:asciiTheme="minorHAnsi" w:eastAsia="SimSun" w:hAnsiTheme="minorHAnsi" w:cstheme="minorHAnsi"/>
                <w:sz w:val="22"/>
                <w:szCs w:val="22"/>
                <w:lang w:val="en-GB" w:eastAsia="nl-NL"/>
              </w:rPr>
            </w:pPr>
            <w:r w:rsidRPr="006B4177">
              <w:rPr>
                <w:rFonts w:asciiTheme="minorHAnsi" w:eastAsia="SimSun" w:hAnsiTheme="minorHAnsi" w:cstheme="minorHAnsi"/>
                <w:sz w:val="22"/>
                <w:szCs w:val="22"/>
                <w:lang w:val="en-GB" w:eastAsia="nl-NL"/>
              </w:rPr>
              <w:t>Bangkok 10400, Thailand</w:t>
            </w:r>
            <w:r w:rsidR="00FD2067" w:rsidRPr="006B4177">
              <w:rPr>
                <w:rFonts w:asciiTheme="minorHAnsi" w:eastAsia="SimSun" w:hAnsiTheme="minorHAnsi" w:cstheme="minorHAnsi"/>
                <w:sz w:val="22"/>
                <w:szCs w:val="22"/>
                <w:lang w:val="en-GB" w:eastAsia="nl-NL"/>
              </w:rPr>
              <w:t>.</w:t>
            </w:r>
          </w:p>
          <w:p w14:paraId="0280590D" w14:textId="77777777" w:rsidR="00961C3F" w:rsidRPr="006B4177" w:rsidRDefault="00961C3F" w:rsidP="00B15CFE">
            <w:pPr>
              <w:pStyle w:val="Standard"/>
              <w:spacing w:line="276" w:lineRule="auto"/>
              <w:jc w:val="both"/>
              <w:rPr>
                <w:rFonts w:asciiTheme="minorHAnsi" w:hAnsiTheme="minorHAnsi" w:cstheme="minorHAnsi"/>
                <w:sz w:val="22"/>
                <w:szCs w:val="22"/>
                <w:lang w:val="en-GB"/>
              </w:rPr>
            </w:pPr>
            <w:r w:rsidRPr="006B4177">
              <w:rPr>
                <w:rStyle w:val="Standaardalinea-lettertype1"/>
                <w:rFonts w:asciiTheme="minorHAnsi" w:eastAsia="SimSun" w:hAnsiTheme="minorHAnsi" w:cstheme="minorHAnsi"/>
                <w:sz w:val="22"/>
                <w:szCs w:val="22"/>
                <w:lang w:val="en-GB" w:eastAsia="nl-NL"/>
              </w:rPr>
              <w:t xml:space="preserve">Phone: </w:t>
            </w:r>
            <w:hyperlink r:id="rId12" w:history="1">
              <w:r w:rsidRPr="006B4177">
                <w:rPr>
                  <w:rStyle w:val="Standaardalinea-lettertype1"/>
                  <w:rFonts w:asciiTheme="minorHAnsi" w:eastAsia="SimSun" w:hAnsiTheme="minorHAnsi" w:cstheme="minorHAnsi"/>
                  <w:sz w:val="22"/>
                  <w:szCs w:val="22"/>
                  <w:lang w:val="en-GB" w:eastAsia="nl-NL"/>
                </w:rPr>
                <w:t>+</w:t>
              </w:r>
            </w:hyperlink>
            <w:hyperlink r:id="rId13" w:history="1">
              <w:r w:rsidRPr="006B4177">
                <w:rPr>
                  <w:rStyle w:val="Standaardalinea-lettertype1"/>
                  <w:rFonts w:asciiTheme="minorHAnsi" w:eastAsia="SimSun" w:hAnsiTheme="minorHAnsi" w:cstheme="minorHAnsi"/>
                  <w:sz w:val="22"/>
                  <w:szCs w:val="22"/>
                  <w:lang w:val="en-GB" w:eastAsia="nl-NL"/>
                </w:rPr>
                <w:t>66 2 215 3388</w:t>
              </w:r>
            </w:hyperlink>
          </w:p>
          <w:p w14:paraId="10E4ED57" w14:textId="77777777" w:rsidR="00961C3F" w:rsidRPr="006B4177" w:rsidRDefault="00961C3F" w:rsidP="00B15CFE">
            <w:pPr>
              <w:pStyle w:val="Standard"/>
              <w:spacing w:line="276" w:lineRule="auto"/>
              <w:jc w:val="both"/>
              <w:rPr>
                <w:rFonts w:asciiTheme="minorHAnsi" w:hAnsiTheme="minorHAnsi" w:cstheme="minorHAnsi"/>
                <w:sz w:val="22"/>
                <w:szCs w:val="22"/>
                <w:lang w:val="en-GB"/>
              </w:rPr>
            </w:pPr>
            <w:r w:rsidRPr="006B4177">
              <w:rPr>
                <w:rStyle w:val="Standaardalinea-lettertype1"/>
                <w:rFonts w:asciiTheme="minorHAnsi" w:eastAsia="SimSun" w:hAnsiTheme="minorHAnsi" w:cstheme="minorHAnsi"/>
                <w:sz w:val="22"/>
                <w:szCs w:val="22"/>
                <w:lang w:val="en-GB" w:eastAsia="nl-NL"/>
              </w:rPr>
              <w:t>Email</w:t>
            </w:r>
            <w:r w:rsidRPr="006B4177">
              <w:rPr>
                <w:rStyle w:val="Standaardalinea-lettertype1"/>
                <w:rFonts w:asciiTheme="minorHAnsi" w:eastAsia="SimSun" w:hAnsiTheme="minorHAnsi" w:cstheme="minorHAnsi"/>
                <w:sz w:val="22"/>
                <w:szCs w:val="22"/>
                <w:lang w:val="en-GB" w:eastAsia="nl-NL" w:bidi="th-TH"/>
              </w:rPr>
              <w:t xml:space="preserve">: </w:t>
            </w:r>
            <w:r w:rsidRPr="006B4177">
              <w:rPr>
                <w:rStyle w:val="Standaardalinea-lettertype1"/>
                <w:rFonts w:asciiTheme="minorHAnsi" w:eastAsia="SimSun" w:hAnsiTheme="minorHAnsi" w:cstheme="minorHAnsi"/>
                <w:sz w:val="22"/>
                <w:szCs w:val="22"/>
                <w:lang w:val="en-GB" w:eastAsia="nl-NL"/>
              </w:rPr>
              <w:t>info@ecpat</w:t>
            </w:r>
            <w:r w:rsidRPr="006B4177">
              <w:rPr>
                <w:rStyle w:val="Standaardalinea-lettertype1"/>
                <w:rFonts w:asciiTheme="minorHAnsi" w:eastAsia="SimSun" w:hAnsiTheme="minorHAnsi" w:cstheme="minorHAnsi"/>
                <w:sz w:val="22"/>
                <w:szCs w:val="22"/>
                <w:lang w:val="en-GB" w:eastAsia="nl-NL" w:bidi="th-TH"/>
              </w:rPr>
              <w:t>.</w:t>
            </w:r>
            <w:r w:rsidRPr="006B4177">
              <w:rPr>
                <w:rStyle w:val="Standaardalinea-lettertype1"/>
                <w:rFonts w:asciiTheme="minorHAnsi" w:eastAsia="SimSun" w:hAnsiTheme="minorHAnsi" w:cstheme="minorHAnsi"/>
                <w:sz w:val="22"/>
                <w:szCs w:val="22"/>
                <w:lang w:val="en-GB" w:eastAsia="nl-NL"/>
              </w:rPr>
              <w:t>org</w:t>
            </w:r>
          </w:p>
          <w:p w14:paraId="3971DD21" w14:textId="77777777" w:rsidR="00961C3F" w:rsidRPr="006B4177" w:rsidRDefault="00961C3F" w:rsidP="00B15CFE">
            <w:pPr>
              <w:pStyle w:val="Standard"/>
              <w:spacing w:line="276" w:lineRule="auto"/>
              <w:jc w:val="both"/>
              <w:rPr>
                <w:rFonts w:asciiTheme="minorHAnsi" w:hAnsiTheme="minorHAnsi" w:cstheme="minorHAnsi"/>
                <w:sz w:val="22"/>
                <w:szCs w:val="22"/>
                <w:lang w:val="en-GB"/>
              </w:rPr>
            </w:pPr>
            <w:r w:rsidRPr="006B4177">
              <w:rPr>
                <w:rStyle w:val="Standaardalinea-lettertype1"/>
                <w:rFonts w:asciiTheme="minorHAnsi" w:eastAsia="SimSun" w:hAnsiTheme="minorHAnsi" w:cstheme="minorHAnsi"/>
                <w:sz w:val="22"/>
                <w:szCs w:val="22"/>
                <w:lang w:val="en-GB" w:eastAsia="nl-NL"/>
              </w:rPr>
              <w:t>Website</w:t>
            </w:r>
            <w:r w:rsidRPr="006B4177">
              <w:rPr>
                <w:rStyle w:val="Standaardalinea-lettertype1"/>
                <w:rFonts w:asciiTheme="minorHAnsi" w:eastAsia="SimSun" w:hAnsiTheme="minorHAnsi" w:cstheme="minorHAnsi"/>
                <w:sz w:val="22"/>
                <w:szCs w:val="22"/>
                <w:lang w:val="en-GB" w:eastAsia="nl-NL" w:bidi="th-TH"/>
              </w:rPr>
              <w:t xml:space="preserve">: </w:t>
            </w:r>
            <w:hyperlink r:id="rId14" w:history="1">
              <w:r w:rsidRPr="006B4177">
                <w:rPr>
                  <w:rStyle w:val="Standaardalinea-lettertype1"/>
                  <w:rFonts w:asciiTheme="minorHAnsi" w:eastAsia="SimSun" w:hAnsiTheme="minorHAnsi" w:cstheme="minorHAnsi"/>
                  <w:sz w:val="22"/>
                  <w:szCs w:val="22"/>
                  <w:lang w:val="en-GB" w:eastAsia="nl-NL"/>
                </w:rPr>
                <w:t>www</w:t>
              </w:r>
            </w:hyperlink>
            <w:hyperlink r:id="rId15" w:history="1">
              <w:r w:rsidRPr="006B4177">
                <w:rPr>
                  <w:rStyle w:val="Standaardalinea-lettertype1"/>
                  <w:rFonts w:asciiTheme="minorHAnsi" w:eastAsia="SimSun" w:hAnsiTheme="minorHAnsi" w:cstheme="minorHAnsi"/>
                  <w:sz w:val="22"/>
                  <w:szCs w:val="22"/>
                  <w:lang w:val="en-GB" w:eastAsia="nl-NL" w:bidi="th-TH"/>
                </w:rPr>
                <w:t>.</w:t>
              </w:r>
            </w:hyperlink>
            <w:hyperlink r:id="rId16" w:history="1">
              <w:r w:rsidRPr="006B4177">
                <w:rPr>
                  <w:rStyle w:val="Standaardalinea-lettertype1"/>
                  <w:rFonts w:asciiTheme="minorHAnsi" w:eastAsia="SimSun" w:hAnsiTheme="minorHAnsi" w:cstheme="minorHAnsi"/>
                  <w:sz w:val="22"/>
                  <w:szCs w:val="22"/>
                  <w:lang w:val="en-GB" w:eastAsia="nl-NL"/>
                </w:rPr>
                <w:t>ecpat</w:t>
              </w:r>
            </w:hyperlink>
            <w:hyperlink r:id="rId17" w:history="1">
              <w:r w:rsidRPr="006B4177">
                <w:rPr>
                  <w:rStyle w:val="Standaardalinea-lettertype1"/>
                  <w:rFonts w:asciiTheme="minorHAnsi" w:eastAsia="SimSun" w:hAnsiTheme="minorHAnsi" w:cstheme="minorHAnsi"/>
                  <w:sz w:val="22"/>
                  <w:szCs w:val="22"/>
                  <w:lang w:val="en-GB" w:eastAsia="nl-NL" w:bidi="th-TH"/>
                </w:rPr>
                <w:t>.</w:t>
              </w:r>
            </w:hyperlink>
            <w:hyperlink r:id="rId18" w:history="1">
              <w:r w:rsidRPr="006B4177">
                <w:rPr>
                  <w:rStyle w:val="Standaardalinea-lettertype1"/>
                  <w:rFonts w:asciiTheme="minorHAnsi" w:eastAsia="SimSun" w:hAnsiTheme="minorHAnsi" w:cstheme="minorHAnsi"/>
                  <w:sz w:val="22"/>
                  <w:szCs w:val="22"/>
                  <w:lang w:val="en-GB" w:eastAsia="nl-NL"/>
                </w:rPr>
                <w:t>org</w:t>
              </w:r>
            </w:hyperlink>
          </w:p>
          <w:p w14:paraId="603D0025" w14:textId="77777777" w:rsidR="00961C3F" w:rsidRPr="006B4177" w:rsidRDefault="00961C3F" w:rsidP="00B15CFE">
            <w:pPr>
              <w:pStyle w:val="Standard"/>
              <w:spacing w:line="276" w:lineRule="auto"/>
              <w:jc w:val="both"/>
              <w:rPr>
                <w:rFonts w:asciiTheme="minorHAnsi" w:eastAsia="SimSun" w:hAnsiTheme="minorHAnsi" w:cstheme="minorHAnsi"/>
                <w:sz w:val="22"/>
                <w:szCs w:val="22"/>
                <w:lang w:val="en-GB"/>
              </w:rPr>
            </w:pPr>
          </w:p>
          <w:p w14:paraId="1F3B7E62" w14:textId="77777777" w:rsidR="00961C3F" w:rsidRPr="006B4177" w:rsidRDefault="00961C3F" w:rsidP="00B15CFE">
            <w:pPr>
              <w:pStyle w:val="Standard"/>
              <w:spacing w:line="276" w:lineRule="auto"/>
              <w:jc w:val="both"/>
              <w:rPr>
                <w:rFonts w:asciiTheme="minorHAnsi" w:hAnsiTheme="minorHAnsi" w:cstheme="minorHAnsi"/>
                <w:sz w:val="22"/>
                <w:szCs w:val="22"/>
                <w:lang w:val="en-US"/>
              </w:rPr>
            </w:pPr>
            <w:r w:rsidRPr="006B4177">
              <w:rPr>
                <w:rStyle w:val="Standaardalinea-lettertype1"/>
                <w:rFonts w:asciiTheme="minorHAnsi" w:eastAsia="SimSun" w:hAnsiTheme="minorHAnsi" w:cstheme="minorHAnsi"/>
                <w:i/>
                <w:sz w:val="20"/>
                <w:szCs w:val="22"/>
                <w:lang w:val="en-GB" w:eastAsia="nl-NL"/>
              </w:rPr>
              <w:t>ECPAT International is a global network of civil society organisations working for the eradication of all forms of sexual exploitation of children</w:t>
            </w:r>
            <w:r w:rsidRPr="006B4177">
              <w:rPr>
                <w:rStyle w:val="Standaardalinea-lettertype1"/>
                <w:rFonts w:asciiTheme="minorHAnsi" w:eastAsia="SimSun" w:hAnsiTheme="minorHAnsi" w:cstheme="minorHAnsi"/>
                <w:i/>
                <w:iCs/>
                <w:sz w:val="20"/>
                <w:szCs w:val="22"/>
                <w:lang w:val="en-GB" w:eastAsia="nl-NL" w:bidi="th-TH"/>
              </w:rPr>
              <w:t xml:space="preserve">. </w:t>
            </w:r>
            <w:r w:rsidR="00FD2067" w:rsidRPr="006B4177">
              <w:rPr>
                <w:rStyle w:val="Standaardalinea-lettertype1"/>
                <w:rFonts w:asciiTheme="minorHAnsi" w:eastAsia="SimSun" w:hAnsiTheme="minorHAnsi" w:cstheme="minorHAnsi"/>
                <w:i/>
                <w:sz w:val="20"/>
                <w:szCs w:val="22"/>
                <w:lang w:val="en-GB" w:eastAsia="nl-NL"/>
              </w:rPr>
              <w:t>For the past 30</w:t>
            </w:r>
            <w:r w:rsidRPr="006B4177">
              <w:rPr>
                <w:rStyle w:val="Standaardalinea-lettertype1"/>
                <w:rFonts w:asciiTheme="minorHAnsi" w:eastAsia="SimSun" w:hAnsiTheme="minorHAnsi" w:cstheme="minorHAnsi"/>
                <w:i/>
                <w:sz w:val="20"/>
                <w:szCs w:val="22"/>
                <w:lang w:val="en-GB" w:eastAsia="nl-NL"/>
              </w:rPr>
              <w:t xml:space="preserve"> years, ECPAT has acted as the international watchdog, monitoring States’ response to sexual exploitation of children, and advocating for robust international measures to protect children from sexual exploitation</w:t>
            </w:r>
            <w:r w:rsidRPr="006B4177">
              <w:rPr>
                <w:rStyle w:val="Standaardalinea-lettertype1"/>
                <w:rFonts w:asciiTheme="minorHAnsi" w:eastAsia="SimSun" w:hAnsiTheme="minorHAnsi" w:cstheme="minorHAnsi"/>
                <w:i/>
                <w:iCs/>
                <w:sz w:val="20"/>
                <w:szCs w:val="22"/>
                <w:lang w:val="en-GB" w:eastAsia="nl-NL" w:bidi="th-TH"/>
              </w:rPr>
              <w:t>.</w:t>
            </w:r>
            <w:r w:rsidRPr="006B4177">
              <w:rPr>
                <w:rStyle w:val="Standaardalinea-lettertype1"/>
                <w:rFonts w:asciiTheme="minorHAnsi" w:eastAsia="SimSun" w:hAnsiTheme="minorHAnsi" w:cstheme="minorHAnsi"/>
                <w:b/>
                <w:bCs/>
                <w:i/>
                <w:iCs/>
                <w:sz w:val="20"/>
                <w:szCs w:val="22"/>
                <w:lang w:val="en-GB" w:eastAsia="nl-NL" w:bidi="th-TH"/>
              </w:rPr>
              <w:t xml:space="preserve"> </w:t>
            </w:r>
            <w:r w:rsidRPr="006B4177">
              <w:rPr>
                <w:rStyle w:val="Standaardalinea-lettertype1"/>
                <w:rFonts w:asciiTheme="minorHAnsi" w:eastAsia="SimSun" w:hAnsiTheme="minorHAnsi" w:cstheme="minorHAnsi"/>
                <w:i/>
                <w:sz w:val="20"/>
                <w:szCs w:val="22"/>
                <w:lang w:val="en-GB" w:eastAsia="nl-NL"/>
              </w:rPr>
              <w:t>ECPAT International currently has 113 network members operating in 98 countries</w:t>
            </w:r>
            <w:r w:rsidRPr="006B4177">
              <w:rPr>
                <w:rStyle w:val="Standaardalinea-lettertype1"/>
                <w:rFonts w:asciiTheme="minorHAnsi" w:eastAsia="SimSun" w:hAnsiTheme="minorHAnsi" w:cstheme="minorHAnsi"/>
                <w:i/>
                <w:iCs/>
                <w:sz w:val="20"/>
                <w:szCs w:val="22"/>
                <w:lang w:val="en-GB" w:eastAsia="nl-NL" w:bidi="th-TH"/>
              </w:rPr>
              <w:t>.</w:t>
            </w:r>
          </w:p>
        </w:tc>
      </w:tr>
    </w:tbl>
    <w:p w14:paraId="7C19CBC6" w14:textId="77777777" w:rsidR="00FD2067" w:rsidRPr="006B4177" w:rsidRDefault="00FD2067" w:rsidP="00B15CFE">
      <w:pPr>
        <w:spacing w:after="0" w:line="276" w:lineRule="auto"/>
      </w:pPr>
    </w:p>
    <w:p w14:paraId="04AB69F0" w14:textId="77777777" w:rsidR="00FD2067" w:rsidRPr="006B4177" w:rsidRDefault="00FD2067" w:rsidP="00B15CFE">
      <w:pPr>
        <w:spacing w:after="0" w:line="276" w:lineRule="auto"/>
      </w:pPr>
    </w:p>
    <w:p w14:paraId="3F0BCB2B" w14:textId="77777777" w:rsidR="00FD2067" w:rsidRPr="006B4177" w:rsidRDefault="00FD2067" w:rsidP="00B15CFE">
      <w:pPr>
        <w:spacing w:after="0" w:line="276" w:lineRule="auto"/>
      </w:pPr>
    </w:p>
    <w:p w14:paraId="427E0630" w14:textId="77777777" w:rsidR="00FD2067" w:rsidRPr="006B4177" w:rsidRDefault="00FD2067" w:rsidP="00B15CFE">
      <w:pPr>
        <w:spacing w:after="0" w:line="276" w:lineRule="auto"/>
      </w:pPr>
      <w:r w:rsidRPr="006B4177">
        <w:br w:type="page"/>
      </w:r>
    </w:p>
    <w:sdt>
      <w:sdtPr>
        <w:rPr>
          <w:rFonts w:ascii="Calibri" w:eastAsia="SimSun" w:hAnsi="Calibri" w:cs="Times New Roman"/>
          <w:b w:val="0"/>
          <w:szCs w:val="22"/>
          <w:lang w:val="nl-NL" w:eastAsia="nl-NL"/>
        </w:rPr>
        <w:id w:val="220103569"/>
        <w:docPartObj>
          <w:docPartGallery w:val="Table of Contents"/>
          <w:docPartUnique/>
        </w:docPartObj>
      </w:sdtPr>
      <w:sdtEndPr>
        <w:rPr>
          <w:bCs/>
          <w:noProof/>
        </w:rPr>
      </w:sdtEndPr>
      <w:sdtContent>
        <w:p w14:paraId="77C049E8" w14:textId="77777777" w:rsidR="00FD2067" w:rsidRPr="006B4177" w:rsidRDefault="00FD2067" w:rsidP="00B15CFE">
          <w:pPr>
            <w:pStyle w:val="TOCHeading"/>
            <w:spacing w:before="0" w:line="276" w:lineRule="auto"/>
          </w:pPr>
          <w:r w:rsidRPr="006B4177">
            <w:t>Contents</w:t>
          </w:r>
        </w:p>
        <w:p w14:paraId="003ED014" w14:textId="4A44242D" w:rsidR="00B6239C" w:rsidRPr="006B4177" w:rsidRDefault="00FD2067">
          <w:pPr>
            <w:pStyle w:val="TOC1"/>
            <w:tabs>
              <w:tab w:val="right" w:leader="dot" w:pos="9350"/>
            </w:tabs>
            <w:rPr>
              <w:rFonts w:asciiTheme="minorHAnsi" w:eastAsiaTheme="minorEastAsia" w:hAnsiTheme="minorHAnsi" w:cstheme="minorBidi"/>
              <w:noProof/>
              <w:lang w:val="en-US" w:eastAsia="en-US"/>
            </w:rPr>
          </w:pPr>
          <w:r w:rsidRPr="006B4177">
            <w:fldChar w:fldCharType="begin"/>
          </w:r>
          <w:r w:rsidRPr="006B4177">
            <w:instrText xml:space="preserve"> TOC \o "1-3" \h \z \u </w:instrText>
          </w:r>
          <w:r w:rsidRPr="006B4177">
            <w:fldChar w:fldCharType="separate"/>
          </w:r>
          <w:hyperlink w:anchor="_Toc30781474" w:history="1">
            <w:r w:rsidR="00B6239C" w:rsidRPr="006B4177">
              <w:rPr>
                <w:rStyle w:val="Hyperlink"/>
                <w:noProof/>
              </w:rPr>
              <w:t>Context of this thematic report</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_Toc30781474 \h </w:instrText>
            </w:r>
            <w:r w:rsidR="00B6239C" w:rsidRPr="006B4177">
              <w:rPr>
                <w:noProof/>
                <w:webHidden/>
              </w:rPr>
            </w:r>
            <w:r w:rsidR="00B6239C" w:rsidRPr="006B4177">
              <w:rPr>
                <w:noProof/>
                <w:webHidden/>
              </w:rPr>
              <w:fldChar w:fldCharType="separate"/>
            </w:r>
            <w:r w:rsidR="00BE0FB1" w:rsidRPr="006B4177">
              <w:rPr>
                <w:noProof/>
                <w:webHidden/>
              </w:rPr>
              <w:t>4</w:t>
            </w:r>
            <w:r w:rsidR="00B6239C" w:rsidRPr="006B4177">
              <w:rPr>
                <w:noProof/>
                <w:webHidden/>
              </w:rPr>
              <w:fldChar w:fldCharType="end"/>
            </w:r>
          </w:hyperlink>
        </w:p>
        <w:p w14:paraId="04C1363B" w14:textId="3BE78F32" w:rsidR="00B6239C" w:rsidRPr="006B4177" w:rsidRDefault="006B4177">
          <w:pPr>
            <w:pStyle w:val="TOC1"/>
            <w:tabs>
              <w:tab w:val="right" w:leader="dot" w:pos="9350"/>
            </w:tabs>
            <w:rPr>
              <w:rFonts w:asciiTheme="minorHAnsi" w:eastAsiaTheme="minorEastAsia" w:hAnsiTheme="minorHAnsi" w:cstheme="minorBidi"/>
              <w:noProof/>
              <w:lang w:val="en-US" w:eastAsia="en-US"/>
            </w:rPr>
          </w:pPr>
          <w:hyperlink w:anchor="_Toc30781475" w:history="1">
            <w:r w:rsidR="00B6239C" w:rsidRPr="006B4177">
              <w:rPr>
                <w:rStyle w:val="Hyperlink"/>
                <w:noProof/>
              </w:rPr>
              <w:t>Current status and developments of sexual exploitation of children in the Philippines</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_Toc30781475 \h </w:instrText>
            </w:r>
            <w:r w:rsidR="00B6239C" w:rsidRPr="006B4177">
              <w:rPr>
                <w:noProof/>
                <w:webHidden/>
              </w:rPr>
            </w:r>
            <w:r w:rsidR="00B6239C" w:rsidRPr="006B4177">
              <w:rPr>
                <w:noProof/>
                <w:webHidden/>
              </w:rPr>
              <w:fldChar w:fldCharType="separate"/>
            </w:r>
            <w:r w:rsidR="00BE0FB1" w:rsidRPr="006B4177">
              <w:rPr>
                <w:noProof/>
                <w:webHidden/>
              </w:rPr>
              <w:t>4</w:t>
            </w:r>
            <w:r w:rsidR="00B6239C" w:rsidRPr="006B4177">
              <w:rPr>
                <w:noProof/>
                <w:webHidden/>
              </w:rPr>
              <w:fldChar w:fldCharType="end"/>
            </w:r>
          </w:hyperlink>
        </w:p>
        <w:p w14:paraId="034A3A4C" w14:textId="3A1A83CF" w:rsidR="00B6239C" w:rsidRPr="006B4177" w:rsidRDefault="006B4177">
          <w:pPr>
            <w:pStyle w:val="TOC2"/>
            <w:tabs>
              <w:tab w:val="right" w:leader="dot" w:pos="9350"/>
            </w:tabs>
            <w:rPr>
              <w:rFonts w:asciiTheme="minorHAnsi" w:eastAsiaTheme="minorEastAsia" w:hAnsiTheme="minorHAnsi" w:cstheme="minorBidi"/>
              <w:noProof/>
              <w:lang w:val="en-US" w:eastAsia="en-US"/>
            </w:rPr>
          </w:pPr>
          <w:hyperlink w:anchor="_Toc30781476" w:history="1">
            <w:r w:rsidR="00B6239C" w:rsidRPr="006B4177">
              <w:rPr>
                <w:rStyle w:val="Hyperlink"/>
                <w:noProof/>
              </w:rPr>
              <w:t>Background of country conditions</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_Toc30781476 \h </w:instrText>
            </w:r>
            <w:r w:rsidR="00B6239C" w:rsidRPr="006B4177">
              <w:rPr>
                <w:noProof/>
                <w:webHidden/>
              </w:rPr>
            </w:r>
            <w:r w:rsidR="00B6239C" w:rsidRPr="006B4177">
              <w:rPr>
                <w:noProof/>
                <w:webHidden/>
              </w:rPr>
              <w:fldChar w:fldCharType="separate"/>
            </w:r>
            <w:r w:rsidR="00BE0FB1" w:rsidRPr="006B4177">
              <w:rPr>
                <w:noProof/>
                <w:webHidden/>
              </w:rPr>
              <w:t>4</w:t>
            </w:r>
            <w:r w:rsidR="00B6239C" w:rsidRPr="006B4177">
              <w:rPr>
                <w:noProof/>
                <w:webHidden/>
              </w:rPr>
              <w:fldChar w:fldCharType="end"/>
            </w:r>
          </w:hyperlink>
        </w:p>
        <w:p w14:paraId="51AB34AF" w14:textId="47FDBE76" w:rsidR="00B6239C" w:rsidRPr="006B4177" w:rsidRDefault="006B4177">
          <w:pPr>
            <w:pStyle w:val="TOC2"/>
            <w:tabs>
              <w:tab w:val="right" w:leader="dot" w:pos="9350"/>
            </w:tabs>
            <w:rPr>
              <w:rFonts w:asciiTheme="minorHAnsi" w:eastAsiaTheme="minorEastAsia" w:hAnsiTheme="minorHAnsi" w:cstheme="minorBidi"/>
              <w:noProof/>
              <w:lang w:val="en-US" w:eastAsia="en-US"/>
            </w:rPr>
          </w:pPr>
          <w:hyperlink w:anchor="_Toc30781477" w:history="1">
            <w:r w:rsidR="00B6239C" w:rsidRPr="006B4177">
              <w:rPr>
                <w:rStyle w:val="Hyperlink"/>
                <w:noProof/>
              </w:rPr>
              <w:t>Exploitation of children in prostitution</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_Toc30781477 \h </w:instrText>
            </w:r>
            <w:r w:rsidR="00B6239C" w:rsidRPr="006B4177">
              <w:rPr>
                <w:noProof/>
                <w:webHidden/>
              </w:rPr>
            </w:r>
            <w:r w:rsidR="00B6239C" w:rsidRPr="006B4177">
              <w:rPr>
                <w:noProof/>
                <w:webHidden/>
              </w:rPr>
              <w:fldChar w:fldCharType="separate"/>
            </w:r>
            <w:r w:rsidR="00BE0FB1" w:rsidRPr="006B4177">
              <w:rPr>
                <w:noProof/>
                <w:webHidden/>
              </w:rPr>
              <w:t>5</w:t>
            </w:r>
            <w:r w:rsidR="00B6239C" w:rsidRPr="006B4177">
              <w:rPr>
                <w:noProof/>
                <w:webHidden/>
              </w:rPr>
              <w:fldChar w:fldCharType="end"/>
            </w:r>
          </w:hyperlink>
        </w:p>
        <w:p w14:paraId="301104A5" w14:textId="2D2BC5C4" w:rsidR="00B6239C" w:rsidRPr="006B4177" w:rsidRDefault="006B4177">
          <w:pPr>
            <w:pStyle w:val="TOC2"/>
            <w:tabs>
              <w:tab w:val="right" w:leader="dot" w:pos="9350"/>
            </w:tabs>
            <w:rPr>
              <w:rFonts w:asciiTheme="minorHAnsi" w:eastAsiaTheme="minorEastAsia" w:hAnsiTheme="minorHAnsi" w:cstheme="minorBidi"/>
              <w:noProof/>
              <w:lang w:val="en-US" w:eastAsia="en-US"/>
            </w:rPr>
          </w:pPr>
          <w:hyperlink w:anchor="_Toc30781478" w:history="1">
            <w:r w:rsidR="00B6239C" w:rsidRPr="006B4177">
              <w:rPr>
                <w:rStyle w:val="Hyperlink"/>
                <w:noProof/>
              </w:rPr>
              <w:t>Sale and trafficking of children for sexual purposes</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_Toc30781478 \h </w:instrText>
            </w:r>
            <w:r w:rsidR="00B6239C" w:rsidRPr="006B4177">
              <w:rPr>
                <w:noProof/>
                <w:webHidden/>
              </w:rPr>
            </w:r>
            <w:r w:rsidR="00B6239C" w:rsidRPr="006B4177">
              <w:rPr>
                <w:noProof/>
                <w:webHidden/>
              </w:rPr>
              <w:fldChar w:fldCharType="separate"/>
            </w:r>
            <w:r w:rsidR="00BE0FB1" w:rsidRPr="006B4177">
              <w:rPr>
                <w:noProof/>
                <w:webHidden/>
              </w:rPr>
              <w:t>5</w:t>
            </w:r>
            <w:r w:rsidR="00B6239C" w:rsidRPr="006B4177">
              <w:rPr>
                <w:noProof/>
                <w:webHidden/>
              </w:rPr>
              <w:fldChar w:fldCharType="end"/>
            </w:r>
          </w:hyperlink>
        </w:p>
        <w:p w14:paraId="17EC0D54" w14:textId="03C6133E" w:rsidR="00B6239C" w:rsidRPr="006B4177" w:rsidRDefault="006B4177">
          <w:pPr>
            <w:pStyle w:val="TOC2"/>
            <w:tabs>
              <w:tab w:val="right" w:leader="dot" w:pos="9350"/>
            </w:tabs>
            <w:rPr>
              <w:rFonts w:asciiTheme="minorHAnsi" w:eastAsiaTheme="minorEastAsia" w:hAnsiTheme="minorHAnsi" w:cstheme="minorBidi"/>
              <w:noProof/>
              <w:lang w:val="en-US" w:eastAsia="en-US"/>
            </w:rPr>
          </w:pPr>
          <w:hyperlink w:anchor="_Toc30781479" w:history="1">
            <w:r w:rsidR="00B6239C" w:rsidRPr="006B4177">
              <w:rPr>
                <w:rStyle w:val="Hyperlink"/>
                <w:noProof/>
              </w:rPr>
              <w:t>Sexual exploitation of children in travel and tourism (SECTT)</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_Toc30781479 \h </w:instrText>
            </w:r>
            <w:r w:rsidR="00B6239C" w:rsidRPr="006B4177">
              <w:rPr>
                <w:noProof/>
                <w:webHidden/>
              </w:rPr>
            </w:r>
            <w:r w:rsidR="00B6239C" w:rsidRPr="006B4177">
              <w:rPr>
                <w:noProof/>
                <w:webHidden/>
              </w:rPr>
              <w:fldChar w:fldCharType="separate"/>
            </w:r>
            <w:r w:rsidR="00BE0FB1" w:rsidRPr="006B4177">
              <w:rPr>
                <w:noProof/>
                <w:webHidden/>
              </w:rPr>
              <w:t>6</w:t>
            </w:r>
            <w:r w:rsidR="00B6239C" w:rsidRPr="006B4177">
              <w:rPr>
                <w:noProof/>
                <w:webHidden/>
              </w:rPr>
              <w:fldChar w:fldCharType="end"/>
            </w:r>
          </w:hyperlink>
        </w:p>
        <w:p w14:paraId="55C80BC2" w14:textId="1C9F0ACE" w:rsidR="00B6239C" w:rsidRPr="006B4177" w:rsidRDefault="006B4177">
          <w:pPr>
            <w:pStyle w:val="TOC2"/>
            <w:tabs>
              <w:tab w:val="right" w:leader="dot" w:pos="9350"/>
            </w:tabs>
            <w:rPr>
              <w:rFonts w:asciiTheme="minorHAnsi" w:eastAsiaTheme="minorEastAsia" w:hAnsiTheme="minorHAnsi" w:cstheme="minorBidi"/>
              <w:noProof/>
              <w:lang w:val="en-US" w:eastAsia="en-US"/>
            </w:rPr>
          </w:pPr>
          <w:hyperlink w:anchor="_Toc30781480" w:history="1">
            <w:r w:rsidR="00B6239C" w:rsidRPr="006B4177">
              <w:rPr>
                <w:rStyle w:val="Hyperlink"/>
                <w:noProof/>
              </w:rPr>
              <w:t>Online child sexual exploitation (OCSE)</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_Toc30781480 \h </w:instrText>
            </w:r>
            <w:r w:rsidR="00B6239C" w:rsidRPr="006B4177">
              <w:rPr>
                <w:noProof/>
                <w:webHidden/>
              </w:rPr>
            </w:r>
            <w:r w:rsidR="00B6239C" w:rsidRPr="006B4177">
              <w:rPr>
                <w:noProof/>
                <w:webHidden/>
              </w:rPr>
              <w:fldChar w:fldCharType="separate"/>
            </w:r>
            <w:r w:rsidR="00BE0FB1" w:rsidRPr="006B4177">
              <w:rPr>
                <w:noProof/>
                <w:webHidden/>
              </w:rPr>
              <w:t>6</w:t>
            </w:r>
            <w:r w:rsidR="00B6239C" w:rsidRPr="006B4177">
              <w:rPr>
                <w:noProof/>
                <w:webHidden/>
              </w:rPr>
              <w:fldChar w:fldCharType="end"/>
            </w:r>
          </w:hyperlink>
        </w:p>
        <w:p w14:paraId="7677ECD0" w14:textId="6CF45F55" w:rsidR="00B6239C" w:rsidRPr="006B4177" w:rsidRDefault="006B4177">
          <w:pPr>
            <w:pStyle w:val="TOC2"/>
            <w:tabs>
              <w:tab w:val="right" w:leader="dot" w:pos="9350"/>
            </w:tabs>
            <w:rPr>
              <w:rFonts w:asciiTheme="minorHAnsi" w:eastAsiaTheme="minorEastAsia" w:hAnsiTheme="minorHAnsi" w:cstheme="minorBidi"/>
              <w:noProof/>
              <w:lang w:val="en-US" w:eastAsia="en-US"/>
            </w:rPr>
          </w:pPr>
          <w:hyperlink w:anchor="_Toc30781481" w:history="1">
            <w:r w:rsidR="00B6239C" w:rsidRPr="006B4177">
              <w:rPr>
                <w:rStyle w:val="Hyperlink"/>
                <w:noProof/>
              </w:rPr>
              <w:t>Child, early and forced marriage (CEFM)</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_Toc30781481 \h </w:instrText>
            </w:r>
            <w:r w:rsidR="00B6239C" w:rsidRPr="006B4177">
              <w:rPr>
                <w:noProof/>
                <w:webHidden/>
              </w:rPr>
            </w:r>
            <w:r w:rsidR="00B6239C" w:rsidRPr="006B4177">
              <w:rPr>
                <w:noProof/>
                <w:webHidden/>
              </w:rPr>
              <w:fldChar w:fldCharType="separate"/>
            </w:r>
            <w:r w:rsidR="00BE0FB1" w:rsidRPr="006B4177">
              <w:rPr>
                <w:noProof/>
                <w:webHidden/>
              </w:rPr>
              <w:t>7</w:t>
            </w:r>
            <w:r w:rsidR="00B6239C" w:rsidRPr="006B4177">
              <w:rPr>
                <w:noProof/>
                <w:webHidden/>
              </w:rPr>
              <w:fldChar w:fldCharType="end"/>
            </w:r>
          </w:hyperlink>
        </w:p>
        <w:p w14:paraId="71C4D182" w14:textId="2474FF78" w:rsidR="00B6239C" w:rsidRPr="006B4177" w:rsidRDefault="006B4177">
          <w:pPr>
            <w:pStyle w:val="TOC1"/>
            <w:tabs>
              <w:tab w:val="right" w:leader="dot" w:pos="9350"/>
            </w:tabs>
            <w:rPr>
              <w:rFonts w:asciiTheme="minorHAnsi" w:eastAsiaTheme="minorEastAsia" w:hAnsiTheme="minorHAnsi" w:cstheme="minorBidi"/>
              <w:noProof/>
              <w:lang w:val="en-US" w:eastAsia="en-US"/>
            </w:rPr>
          </w:pPr>
          <w:hyperlink w:anchor="_Toc30781482" w:history="1">
            <w:r w:rsidR="00B6239C" w:rsidRPr="006B4177">
              <w:rPr>
                <w:rStyle w:val="Hyperlink"/>
                <w:noProof/>
                <w:lang w:val="en-US"/>
              </w:rPr>
              <w:t>General measures of implementation, coordination and evaluation</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_Toc30781482 \h </w:instrText>
            </w:r>
            <w:r w:rsidR="00B6239C" w:rsidRPr="006B4177">
              <w:rPr>
                <w:noProof/>
                <w:webHidden/>
              </w:rPr>
            </w:r>
            <w:r w:rsidR="00B6239C" w:rsidRPr="006B4177">
              <w:rPr>
                <w:noProof/>
                <w:webHidden/>
              </w:rPr>
              <w:fldChar w:fldCharType="separate"/>
            </w:r>
            <w:r w:rsidR="00BE0FB1" w:rsidRPr="006B4177">
              <w:rPr>
                <w:noProof/>
                <w:webHidden/>
              </w:rPr>
              <w:t>8</w:t>
            </w:r>
            <w:r w:rsidR="00B6239C" w:rsidRPr="006B4177">
              <w:rPr>
                <w:noProof/>
                <w:webHidden/>
              </w:rPr>
              <w:fldChar w:fldCharType="end"/>
            </w:r>
          </w:hyperlink>
        </w:p>
        <w:p w14:paraId="26A66270" w14:textId="24AEA796" w:rsidR="00B6239C" w:rsidRPr="006B4177" w:rsidRDefault="006B4177">
          <w:pPr>
            <w:pStyle w:val="TOC2"/>
            <w:tabs>
              <w:tab w:val="right" w:leader="dot" w:pos="9350"/>
            </w:tabs>
            <w:rPr>
              <w:rFonts w:asciiTheme="minorHAnsi" w:eastAsiaTheme="minorEastAsia" w:hAnsiTheme="minorHAnsi" w:cstheme="minorBidi"/>
              <w:noProof/>
              <w:lang w:val="en-US" w:eastAsia="en-US"/>
            </w:rPr>
          </w:pPr>
          <w:hyperlink w:anchor="_Toc30781483" w:history="1">
            <w:r w:rsidR="00B6239C" w:rsidRPr="006B4177">
              <w:rPr>
                <w:rStyle w:val="Hyperlink"/>
                <w:noProof/>
                <w:lang w:val="en-US" w:eastAsia="ja-JP"/>
              </w:rPr>
              <w:t>Policies and overall strategy</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_Toc30781483 \h </w:instrText>
            </w:r>
            <w:r w:rsidR="00B6239C" w:rsidRPr="006B4177">
              <w:rPr>
                <w:noProof/>
                <w:webHidden/>
              </w:rPr>
            </w:r>
            <w:r w:rsidR="00B6239C" w:rsidRPr="006B4177">
              <w:rPr>
                <w:noProof/>
                <w:webHidden/>
              </w:rPr>
              <w:fldChar w:fldCharType="separate"/>
            </w:r>
            <w:r w:rsidR="00BE0FB1" w:rsidRPr="006B4177">
              <w:rPr>
                <w:noProof/>
                <w:webHidden/>
              </w:rPr>
              <w:t>8</w:t>
            </w:r>
            <w:r w:rsidR="00B6239C" w:rsidRPr="006B4177">
              <w:rPr>
                <w:noProof/>
                <w:webHidden/>
              </w:rPr>
              <w:fldChar w:fldCharType="end"/>
            </w:r>
          </w:hyperlink>
        </w:p>
        <w:p w14:paraId="581B200D" w14:textId="585F8D74" w:rsidR="00B6239C" w:rsidRPr="006B4177" w:rsidRDefault="006B4177">
          <w:pPr>
            <w:pStyle w:val="TOC2"/>
            <w:tabs>
              <w:tab w:val="right" w:leader="dot" w:pos="9350"/>
            </w:tabs>
            <w:rPr>
              <w:rFonts w:asciiTheme="minorHAnsi" w:eastAsiaTheme="minorEastAsia" w:hAnsiTheme="minorHAnsi" w:cstheme="minorBidi"/>
              <w:noProof/>
              <w:lang w:val="en-US" w:eastAsia="en-US"/>
            </w:rPr>
          </w:pPr>
          <w:hyperlink w:anchor="_Toc30781484" w:history="1">
            <w:r w:rsidR="00B6239C" w:rsidRPr="006B4177">
              <w:rPr>
                <w:rStyle w:val="Hyperlink"/>
                <w:noProof/>
              </w:rPr>
              <w:t>Coordination, cooperation and evaluation</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_Toc30781484 \h </w:instrText>
            </w:r>
            <w:r w:rsidR="00B6239C" w:rsidRPr="006B4177">
              <w:rPr>
                <w:noProof/>
                <w:webHidden/>
              </w:rPr>
            </w:r>
            <w:r w:rsidR="00B6239C" w:rsidRPr="006B4177">
              <w:rPr>
                <w:noProof/>
                <w:webHidden/>
              </w:rPr>
              <w:fldChar w:fldCharType="separate"/>
            </w:r>
            <w:r w:rsidR="00BE0FB1" w:rsidRPr="006B4177">
              <w:rPr>
                <w:noProof/>
                <w:webHidden/>
              </w:rPr>
              <w:t>9</w:t>
            </w:r>
            <w:r w:rsidR="00B6239C" w:rsidRPr="006B4177">
              <w:rPr>
                <w:noProof/>
                <w:webHidden/>
              </w:rPr>
              <w:fldChar w:fldCharType="end"/>
            </w:r>
          </w:hyperlink>
        </w:p>
        <w:p w14:paraId="23A989DC" w14:textId="21903D1E" w:rsidR="00B6239C" w:rsidRPr="006B4177" w:rsidRDefault="006B4177">
          <w:pPr>
            <w:pStyle w:val="TOC1"/>
            <w:tabs>
              <w:tab w:val="right" w:leader="dot" w:pos="9350"/>
            </w:tabs>
            <w:rPr>
              <w:rFonts w:asciiTheme="minorHAnsi" w:eastAsiaTheme="minorEastAsia" w:hAnsiTheme="minorHAnsi" w:cstheme="minorBidi"/>
              <w:noProof/>
              <w:lang w:val="en-US" w:eastAsia="en-US"/>
            </w:rPr>
          </w:pPr>
          <w:hyperlink w:anchor="_Toc30781485" w:history="1">
            <w:r w:rsidR="00B6239C" w:rsidRPr="006B4177">
              <w:rPr>
                <w:rStyle w:val="Hyperlink"/>
                <w:noProof/>
              </w:rPr>
              <w:t>Prevention of the sale of children, child prostitution and child pornography</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_Toc30781485 \h </w:instrText>
            </w:r>
            <w:r w:rsidR="00B6239C" w:rsidRPr="006B4177">
              <w:rPr>
                <w:noProof/>
                <w:webHidden/>
              </w:rPr>
            </w:r>
            <w:r w:rsidR="00B6239C" w:rsidRPr="006B4177">
              <w:rPr>
                <w:noProof/>
                <w:webHidden/>
              </w:rPr>
              <w:fldChar w:fldCharType="separate"/>
            </w:r>
            <w:r w:rsidR="00BE0FB1" w:rsidRPr="006B4177">
              <w:rPr>
                <w:noProof/>
                <w:webHidden/>
              </w:rPr>
              <w:t>10</w:t>
            </w:r>
            <w:r w:rsidR="00B6239C" w:rsidRPr="006B4177">
              <w:rPr>
                <w:noProof/>
                <w:webHidden/>
              </w:rPr>
              <w:fldChar w:fldCharType="end"/>
            </w:r>
          </w:hyperlink>
        </w:p>
        <w:p w14:paraId="3A1A8F6B" w14:textId="63BE4713" w:rsidR="00B6239C" w:rsidRPr="006B4177" w:rsidRDefault="006B4177">
          <w:pPr>
            <w:pStyle w:val="TOC1"/>
            <w:tabs>
              <w:tab w:val="right" w:leader="dot" w:pos="9350"/>
            </w:tabs>
            <w:rPr>
              <w:rFonts w:asciiTheme="minorHAnsi" w:eastAsiaTheme="minorEastAsia" w:hAnsiTheme="minorHAnsi" w:cstheme="minorBidi"/>
              <w:noProof/>
              <w:lang w:val="en-US" w:eastAsia="en-US"/>
            </w:rPr>
          </w:pPr>
          <w:hyperlink w:anchor="_Toc30781486" w:history="1">
            <w:r w:rsidR="00B6239C" w:rsidRPr="006B4177">
              <w:rPr>
                <w:rStyle w:val="Hyperlink"/>
                <w:noProof/>
              </w:rPr>
              <w:t>Prohibition of the sale of children, child prostitution and child pornography</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_Toc30781486 \h </w:instrText>
            </w:r>
            <w:r w:rsidR="00B6239C" w:rsidRPr="006B4177">
              <w:rPr>
                <w:noProof/>
                <w:webHidden/>
              </w:rPr>
            </w:r>
            <w:r w:rsidR="00B6239C" w:rsidRPr="006B4177">
              <w:rPr>
                <w:noProof/>
                <w:webHidden/>
              </w:rPr>
              <w:fldChar w:fldCharType="separate"/>
            </w:r>
            <w:r w:rsidR="00BE0FB1" w:rsidRPr="006B4177">
              <w:rPr>
                <w:noProof/>
                <w:webHidden/>
              </w:rPr>
              <w:t>12</w:t>
            </w:r>
            <w:r w:rsidR="00B6239C" w:rsidRPr="006B4177">
              <w:rPr>
                <w:noProof/>
                <w:webHidden/>
              </w:rPr>
              <w:fldChar w:fldCharType="end"/>
            </w:r>
          </w:hyperlink>
        </w:p>
        <w:p w14:paraId="27FCD530" w14:textId="158DA316" w:rsidR="00B6239C" w:rsidRPr="006B4177" w:rsidRDefault="006B4177">
          <w:pPr>
            <w:pStyle w:val="TOC1"/>
            <w:tabs>
              <w:tab w:val="right" w:leader="dot" w:pos="9350"/>
            </w:tabs>
            <w:rPr>
              <w:rFonts w:asciiTheme="minorHAnsi" w:eastAsiaTheme="minorEastAsia" w:hAnsiTheme="minorHAnsi" w:cstheme="minorBidi"/>
              <w:noProof/>
              <w:lang w:val="en-US" w:eastAsia="en-US"/>
            </w:rPr>
          </w:pPr>
          <w:hyperlink w:anchor="_Toc30781487" w:history="1">
            <w:r w:rsidR="00B6239C" w:rsidRPr="006B4177">
              <w:rPr>
                <w:rStyle w:val="Hyperlink"/>
                <w:noProof/>
              </w:rPr>
              <w:t>Protection of the rights of child victims</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_Toc30781487 \h </w:instrText>
            </w:r>
            <w:r w:rsidR="00B6239C" w:rsidRPr="006B4177">
              <w:rPr>
                <w:noProof/>
                <w:webHidden/>
              </w:rPr>
            </w:r>
            <w:r w:rsidR="00B6239C" w:rsidRPr="006B4177">
              <w:rPr>
                <w:noProof/>
                <w:webHidden/>
              </w:rPr>
              <w:fldChar w:fldCharType="separate"/>
            </w:r>
            <w:r w:rsidR="00BE0FB1" w:rsidRPr="006B4177">
              <w:rPr>
                <w:noProof/>
                <w:webHidden/>
              </w:rPr>
              <w:t>15</w:t>
            </w:r>
            <w:r w:rsidR="00B6239C" w:rsidRPr="006B4177">
              <w:rPr>
                <w:noProof/>
                <w:webHidden/>
              </w:rPr>
              <w:fldChar w:fldCharType="end"/>
            </w:r>
          </w:hyperlink>
        </w:p>
        <w:p w14:paraId="298B59B2" w14:textId="72FCE21F" w:rsidR="00B6239C" w:rsidRPr="006B4177" w:rsidRDefault="006B4177">
          <w:pPr>
            <w:pStyle w:val="TOC1"/>
            <w:tabs>
              <w:tab w:val="right" w:leader="dot" w:pos="9350"/>
            </w:tabs>
            <w:rPr>
              <w:rFonts w:asciiTheme="minorHAnsi" w:eastAsiaTheme="minorEastAsia" w:hAnsiTheme="minorHAnsi" w:cstheme="minorBidi"/>
              <w:noProof/>
              <w:lang w:val="en-US" w:eastAsia="en-US"/>
            </w:rPr>
          </w:pPr>
          <w:hyperlink w:anchor="_Toc30781488" w:history="1">
            <w:r w:rsidR="00B6239C" w:rsidRPr="006B4177">
              <w:rPr>
                <w:rStyle w:val="Hyperlink"/>
                <w:noProof/>
              </w:rPr>
              <w:t>Recommendations</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_Toc30781488 \h </w:instrText>
            </w:r>
            <w:r w:rsidR="00B6239C" w:rsidRPr="006B4177">
              <w:rPr>
                <w:noProof/>
                <w:webHidden/>
              </w:rPr>
            </w:r>
            <w:r w:rsidR="00B6239C" w:rsidRPr="006B4177">
              <w:rPr>
                <w:noProof/>
                <w:webHidden/>
              </w:rPr>
              <w:fldChar w:fldCharType="separate"/>
            </w:r>
            <w:r w:rsidR="00BE0FB1" w:rsidRPr="006B4177">
              <w:rPr>
                <w:noProof/>
                <w:webHidden/>
              </w:rPr>
              <w:t>16</w:t>
            </w:r>
            <w:r w:rsidR="00B6239C" w:rsidRPr="006B4177">
              <w:rPr>
                <w:noProof/>
                <w:webHidden/>
              </w:rPr>
              <w:fldChar w:fldCharType="end"/>
            </w:r>
          </w:hyperlink>
        </w:p>
        <w:p w14:paraId="61FCD189" w14:textId="22423C25" w:rsidR="00B6239C" w:rsidRPr="006B4177" w:rsidRDefault="006B4177">
          <w:pPr>
            <w:pStyle w:val="TOC2"/>
            <w:tabs>
              <w:tab w:val="right" w:leader="dot" w:pos="9350"/>
            </w:tabs>
            <w:rPr>
              <w:rFonts w:asciiTheme="minorHAnsi" w:eastAsiaTheme="minorEastAsia" w:hAnsiTheme="minorHAnsi" w:cstheme="minorBidi"/>
              <w:noProof/>
              <w:lang w:val="en-US" w:eastAsia="en-US"/>
            </w:rPr>
          </w:pPr>
          <w:hyperlink w:anchor="_Toc30781489" w:history="1">
            <w:r w:rsidR="00B6239C" w:rsidRPr="006B4177">
              <w:rPr>
                <w:rStyle w:val="Hyperlink"/>
                <w:noProof/>
              </w:rPr>
              <w:t>General measures of implementation, coordination and evaluation</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_Toc30781489 \h </w:instrText>
            </w:r>
            <w:r w:rsidR="00B6239C" w:rsidRPr="006B4177">
              <w:rPr>
                <w:noProof/>
                <w:webHidden/>
              </w:rPr>
            </w:r>
            <w:r w:rsidR="00B6239C" w:rsidRPr="006B4177">
              <w:rPr>
                <w:noProof/>
                <w:webHidden/>
              </w:rPr>
              <w:fldChar w:fldCharType="separate"/>
            </w:r>
            <w:r w:rsidR="00BE0FB1" w:rsidRPr="006B4177">
              <w:rPr>
                <w:noProof/>
                <w:webHidden/>
              </w:rPr>
              <w:t>16</w:t>
            </w:r>
            <w:r w:rsidR="00B6239C" w:rsidRPr="006B4177">
              <w:rPr>
                <w:noProof/>
                <w:webHidden/>
              </w:rPr>
              <w:fldChar w:fldCharType="end"/>
            </w:r>
          </w:hyperlink>
        </w:p>
        <w:p w14:paraId="3AFF66BC" w14:textId="57E0A9EE" w:rsidR="00B6239C" w:rsidRPr="006B4177" w:rsidRDefault="006B4177">
          <w:pPr>
            <w:pStyle w:val="TOC2"/>
            <w:tabs>
              <w:tab w:val="right" w:leader="dot" w:pos="9350"/>
            </w:tabs>
            <w:rPr>
              <w:rFonts w:asciiTheme="minorHAnsi" w:eastAsiaTheme="minorEastAsia" w:hAnsiTheme="minorHAnsi" w:cstheme="minorBidi"/>
              <w:noProof/>
              <w:lang w:val="en-US" w:eastAsia="en-US"/>
            </w:rPr>
          </w:pPr>
          <w:hyperlink w:anchor="_Toc30781490" w:history="1">
            <w:r w:rsidR="00B6239C" w:rsidRPr="006B4177">
              <w:rPr>
                <w:rStyle w:val="Hyperlink"/>
                <w:noProof/>
              </w:rPr>
              <w:t>Prevention</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_Toc30781490 \h </w:instrText>
            </w:r>
            <w:r w:rsidR="00B6239C" w:rsidRPr="006B4177">
              <w:rPr>
                <w:noProof/>
                <w:webHidden/>
              </w:rPr>
            </w:r>
            <w:r w:rsidR="00B6239C" w:rsidRPr="006B4177">
              <w:rPr>
                <w:noProof/>
                <w:webHidden/>
              </w:rPr>
              <w:fldChar w:fldCharType="separate"/>
            </w:r>
            <w:r w:rsidR="00BE0FB1" w:rsidRPr="006B4177">
              <w:rPr>
                <w:noProof/>
                <w:webHidden/>
              </w:rPr>
              <w:t>16</w:t>
            </w:r>
            <w:r w:rsidR="00B6239C" w:rsidRPr="006B4177">
              <w:rPr>
                <w:noProof/>
                <w:webHidden/>
              </w:rPr>
              <w:fldChar w:fldCharType="end"/>
            </w:r>
          </w:hyperlink>
        </w:p>
        <w:p w14:paraId="73151EB3" w14:textId="3B3357F2" w:rsidR="00B6239C" w:rsidRPr="006B4177" w:rsidRDefault="006B4177">
          <w:pPr>
            <w:pStyle w:val="TOC2"/>
            <w:tabs>
              <w:tab w:val="right" w:leader="dot" w:pos="9350"/>
            </w:tabs>
            <w:rPr>
              <w:rFonts w:asciiTheme="minorHAnsi" w:eastAsiaTheme="minorEastAsia" w:hAnsiTheme="minorHAnsi" w:cstheme="minorBidi"/>
              <w:noProof/>
              <w:lang w:val="en-US" w:eastAsia="en-US"/>
            </w:rPr>
          </w:pPr>
          <w:hyperlink w:anchor="_Toc30781491" w:history="1">
            <w:r w:rsidR="00B6239C" w:rsidRPr="006B4177">
              <w:rPr>
                <w:rStyle w:val="Hyperlink"/>
                <w:noProof/>
              </w:rPr>
              <w:t>Prohibition</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_Toc30781491 \h </w:instrText>
            </w:r>
            <w:r w:rsidR="00B6239C" w:rsidRPr="006B4177">
              <w:rPr>
                <w:noProof/>
                <w:webHidden/>
              </w:rPr>
            </w:r>
            <w:r w:rsidR="00B6239C" w:rsidRPr="006B4177">
              <w:rPr>
                <w:noProof/>
                <w:webHidden/>
              </w:rPr>
              <w:fldChar w:fldCharType="separate"/>
            </w:r>
            <w:r w:rsidR="00BE0FB1" w:rsidRPr="006B4177">
              <w:rPr>
                <w:noProof/>
                <w:webHidden/>
              </w:rPr>
              <w:t>17</w:t>
            </w:r>
            <w:r w:rsidR="00B6239C" w:rsidRPr="006B4177">
              <w:rPr>
                <w:noProof/>
                <w:webHidden/>
              </w:rPr>
              <w:fldChar w:fldCharType="end"/>
            </w:r>
          </w:hyperlink>
        </w:p>
        <w:p w14:paraId="0C47A228" w14:textId="06890B6B" w:rsidR="00B6239C" w:rsidRPr="006B4177" w:rsidRDefault="006B4177">
          <w:pPr>
            <w:pStyle w:val="TOC2"/>
            <w:tabs>
              <w:tab w:val="right" w:leader="dot" w:pos="9350"/>
            </w:tabs>
            <w:rPr>
              <w:rFonts w:asciiTheme="minorHAnsi" w:eastAsiaTheme="minorEastAsia" w:hAnsiTheme="minorHAnsi" w:cstheme="minorBidi"/>
              <w:noProof/>
              <w:lang w:val="en-US" w:eastAsia="en-US"/>
            </w:rPr>
          </w:pPr>
          <w:hyperlink w:anchor="_Toc30781492" w:history="1">
            <w:r w:rsidR="00B6239C" w:rsidRPr="006B4177">
              <w:rPr>
                <w:rStyle w:val="Hyperlink"/>
                <w:noProof/>
              </w:rPr>
              <w:t>Protection</w:t>
            </w:r>
            <w:r w:rsidR="00B6239C" w:rsidRPr="006B4177">
              <w:rPr>
                <w:noProof/>
                <w:webHidden/>
              </w:rPr>
              <w:tab/>
            </w:r>
            <w:r w:rsidR="00B6239C" w:rsidRPr="006B4177">
              <w:rPr>
                <w:noProof/>
                <w:webHidden/>
              </w:rPr>
              <w:fldChar w:fldCharType="begin"/>
            </w:r>
            <w:r w:rsidR="00B6239C" w:rsidRPr="006B4177">
              <w:rPr>
                <w:noProof/>
                <w:webHidden/>
              </w:rPr>
              <w:instrText xml:space="preserve"> PAGEREF _Toc30781492 \h </w:instrText>
            </w:r>
            <w:r w:rsidR="00B6239C" w:rsidRPr="006B4177">
              <w:rPr>
                <w:noProof/>
                <w:webHidden/>
              </w:rPr>
            </w:r>
            <w:r w:rsidR="00B6239C" w:rsidRPr="006B4177">
              <w:rPr>
                <w:noProof/>
                <w:webHidden/>
              </w:rPr>
              <w:fldChar w:fldCharType="separate"/>
            </w:r>
            <w:r w:rsidR="00BE0FB1" w:rsidRPr="006B4177">
              <w:rPr>
                <w:noProof/>
                <w:webHidden/>
              </w:rPr>
              <w:t>17</w:t>
            </w:r>
            <w:r w:rsidR="00B6239C" w:rsidRPr="006B4177">
              <w:rPr>
                <w:noProof/>
                <w:webHidden/>
              </w:rPr>
              <w:fldChar w:fldCharType="end"/>
            </w:r>
          </w:hyperlink>
        </w:p>
        <w:p w14:paraId="547C55F5" w14:textId="619DDD47" w:rsidR="004761DF" w:rsidRPr="006B4177" w:rsidRDefault="00FD2067" w:rsidP="004761DF">
          <w:pPr>
            <w:spacing w:after="0" w:line="276" w:lineRule="auto"/>
            <w:rPr>
              <w:bCs/>
              <w:noProof/>
            </w:rPr>
          </w:pPr>
          <w:r w:rsidRPr="006B4177">
            <w:rPr>
              <w:b/>
              <w:bCs/>
              <w:noProof/>
            </w:rPr>
            <w:fldChar w:fldCharType="end"/>
          </w:r>
        </w:p>
      </w:sdtContent>
    </w:sdt>
    <w:p w14:paraId="40FA895F" w14:textId="77777777" w:rsidR="00B15CFE" w:rsidRPr="006B4177" w:rsidRDefault="00961C3F" w:rsidP="00BE0FB1">
      <w:pPr>
        <w:pStyle w:val="Heading1"/>
        <w:spacing w:before="0" w:line="276" w:lineRule="auto"/>
        <w:jc w:val="both"/>
        <w:rPr>
          <w:rFonts w:cstheme="minorHAnsi"/>
          <w:szCs w:val="22"/>
        </w:rPr>
      </w:pPr>
      <w:r w:rsidRPr="006B4177">
        <w:br w:type="page"/>
      </w:r>
      <w:bookmarkStart w:id="0" w:name="_Toc527976438"/>
      <w:bookmarkStart w:id="1" w:name="_Toc23513389"/>
      <w:bookmarkStart w:id="2" w:name="_Toc30781474"/>
      <w:r w:rsidR="00B15CFE" w:rsidRPr="006B4177">
        <w:rPr>
          <w:rFonts w:cstheme="minorHAnsi"/>
          <w:szCs w:val="22"/>
        </w:rPr>
        <w:lastRenderedPageBreak/>
        <w:t>Context of this thematic report</w:t>
      </w:r>
      <w:bookmarkStart w:id="3" w:name="_Ref482629778"/>
      <w:bookmarkEnd w:id="0"/>
      <w:bookmarkEnd w:id="1"/>
      <w:bookmarkEnd w:id="2"/>
    </w:p>
    <w:p w14:paraId="6674D488" w14:textId="77777777" w:rsidR="00B15CFE" w:rsidRPr="006B4177" w:rsidRDefault="00B15CFE" w:rsidP="00BE0FB1">
      <w:pPr>
        <w:spacing w:after="0" w:line="276" w:lineRule="auto"/>
        <w:jc w:val="both"/>
        <w:rPr>
          <w:rFonts w:asciiTheme="minorHAnsi" w:hAnsiTheme="minorHAnsi" w:cstheme="minorHAnsi"/>
        </w:rPr>
      </w:pPr>
    </w:p>
    <w:p w14:paraId="2B0A4923" w14:textId="26B39981" w:rsidR="00BE0FB1" w:rsidRPr="006B4177" w:rsidRDefault="002A4905" w:rsidP="00BE0FB1">
      <w:pPr>
        <w:pStyle w:val="ListParagraph"/>
        <w:numPr>
          <w:ilvl w:val="0"/>
          <w:numId w:val="2"/>
        </w:numPr>
        <w:spacing w:after="0" w:line="276" w:lineRule="auto"/>
        <w:ind w:left="0" w:hanging="357"/>
        <w:contextualSpacing w:val="0"/>
        <w:jc w:val="both"/>
        <w:rPr>
          <w:rFonts w:asciiTheme="minorHAnsi" w:hAnsiTheme="minorHAnsi" w:cstheme="minorHAnsi"/>
          <w:lang w:val="en-GB"/>
        </w:rPr>
      </w:pPr>
      <w:r w:rsidRPr="006B4177">
        <w:rPr>
          <w:rFonts w:asciiTheme="minorHAnsi" w:hAnsiTheme="minorHAnsi" w:cstheme="minorHAnsi"/>
          <w:lang w:val="en-GB"/>
        </w:rPr>
        <w:t>In 2002</w:t>
      </w:r>
      <w:r w:rsidR="00B15CFE" w:rsidRPr="006B4177">
        <w:rPr>
          <w:rFonts w:asciiTheme="minorHAnsi" w:hAnsiTheme="minorHAnsi" w:cstheme="minorHAnsi"/>
          <w:lang w:val="en-GB"/>
        </w:rPr>
        <w:t xml:space="preserve">, the Government of </w:t>
      </w:r>
      <w:r w:rsidRPr="006B4177">
        <w:rPr>
          <w:rFonts w:asciiTheme="minorHAnsi" w:hAnsiTheme="minorHAnsi" w:cstheme="minorHAnsi"/>
          <w:lang w:val="en-GB"/>
        </w:rPr>
        <w:t>the Philippines (GoP</w:t>
      </w:r>
      <w:r w:rsidR="00B15CFE" w:rsidRPr="006B4177">
        <w:rPr>
          <w:rFonts w:asciiTheme="minorHAnsi" w:hAnsiTheme="minorHAnsi" w:cstheme="minorHAnsi"/>
          <w:lang w:val="en-GB"/>
        </w:rPr>
        <w:t xml:space="preserve">) ratified the Optional Protocol on the sale of children, child prostitution and child pornography (OPSC) and thus committed explicitly to combat child sexual exploitation (SEC) in </w:t>
      </w:r>
      <w:r w:rsidRPr="006B4177">
        <w:rPr>
          <w:rFonts w:asciiTheme="minorHAnsi" w:hAnsiTheme="minorHAnsi" w:cstheme="minorHAnsi"/>
          <w:lang w:val="en-GB"/>
        </w:rPr>
        <w:t>the Philippines</w:t>
      </w:r>
      <w:r w:rsidR="00B15CFE" w:rsidRPr="006B4177">
        <w:rPr>
          <w:rFonts w:asciiTheme="minorHAnsi" w:hAnsiTheme="minorHAnsi" w:cstheme="minorHAnsi"/>
          <w:lang w:val="en-GB"/>
        </w:rPr>
        <w:t xml:space="preserve">. </w:t>
      </w:r>
      <w:bookmarkEnd w:id="3"/>
      <w:r w:rsidR="00B15CFE" w:rsidRPr="006B4177">
        <w:rPr>
          <w:rFonts w:asciiTheme="minorHAnsi" w:hAnsiTheme="minorHAnsi" w:cstheme="minorHAnsi"/>
        </w:rPr>
        <w:t xml:space="preserve">In September 2015, through the adoption of the 2030 agenda for </w:t>
      </w:r>
      <w:r w:rsidRPr="006B4177">
        <w:rPr>
          <w:rFonts w:asciiTheme="minorHAnsi" w:hAnsiTheme="minorHAnsi" w:cstheme="minorHAnsi"/>
        </w:rPr>
        <w:t>Sustainable Development, the GoP</w:t>
      </w:r>
      <w:r w:rsidR="00B15CFE" w:rsidRPr="006B4177">
        <w:rPr>
          <w:rFonts w:asciiTheme="minorHAnsi" w:hAnsiTheme="minorHAnsi" w:cstheme="minorHAnsi"/>
        </w:rPr>
        <w:t xml:space="preserve"> re-committed explicitly to eliminate all forms of violence against children, including sexual abuse and exploitation</w:t>
      </w:r>
      <w:r w:rsidR="00B15CFE" w:rsidRPr="006B4177">
        <w:rPr>
          <w:rFonts w:asciiTheme="minorHAnsi" w:eastAsia="Times New Roman" w:hAnsiTheme="minorHAnsi" w:cstheme="minorHAnsi"/>
        </w:rPr>
        <w:t>.</w:t>
      </w:r>
      <w:r w:rsidR="00BE0FB1" w:rsidRPr="006B4177">
        <w:rPr>
          <w:rStyle w:val="EndnoteReference"/>
          <w:rFonts w:asciiTheme="minorHAnsi" w:eastAsia="Times New Roman" w:hAnsiTheme="minorHAnsi" w:cstheme="minorHAnsi"/>
        </w:rPr>
        <w:endnoteReference w:id="1"/>
      </w:r>
    </w:p>
    <w:p w14:paraId="44A4947D" w14:textId="77777777" w:rsidR="00BE0FB1" w:rsidRPr="006B4177" w:rsidRDefault="00BE0FB1" w:rsidP="00BE0FB1">
      <w:pPr>
        <w:spacing w:after="0" w:line="276" w:lineRule="auto"/>
        <w:jc w:val="both"/>
        <w:rPr>
          <w:rFonts w:asciiTheme="minorHAnsi" w:hAnsiTheme="minorHAnsi" w:cstheme="minorHAnsi"/>
          <w:lang w:val="en-GB"/>
        </w:rPr>
      </w:pPr>
    </w:p>
    <w:p w14:paraId="78E151E7" w14:textId="3D1C1269"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lang w:val="en-GB"/>
        </w:rPr>
      </w:pPr>
      <w:r w:rsidRPr="006B4177">
        <w:rPr>
          <w:rFonts w:asciiTheme="minorHAnsi" w:hAnsiTheme="minorHAnsi" w:cstheme="minorHAnsi"/>
          <w:color w:val="000000"/>
        </w:rPr>
        <w:t xml:space="preserve">The present report is supplementary to the fifth and sixth periodic reports of the Philippines on the implementation of the Convention on the Rights of the Child which includes reporting on the implementation of the OPSC, and is based on ECPAT International’s desk-based research and ECPAT Philippines’ work experience and knowledge of the country context. </w:t>
      </w:r>
    </w:p>
    <w:p w14:paraId="77100A98" w14:textId="77777777" w:rsidR="00BE0FB1" w:rsidRPr="006B4177" w:rsidRDefault="00BE0FB1" w:rsidP="00BE0FB1">
      <w:pPr>
        <w:spacing w:after="0" w:line="276" w:lineRule="auto"/>
        <w:jc w:val="both"/>
        <w:rPr>
          <w:rFonts w:asciiTheme="minorHAnsi" w:hAnsiTheme="minorHAnsi" w:cstheme="minorHAnsi"/>
          <w:lang w:val="en-GB"/>
        </w:rPr>
      </w:pPr>
    </w:p>
    <w:p w14:paraId="3D7356D7" w14:textId="77777777" w:rsidR="00BE0FB1" w:rsidRPr="006B4177" w:rsidRDefault="00BE0FB1" w:rsidP="00BE0FB1">
      <w:pPr>
        <w:pStyle w:val="ListParagraph"/>
        <w:numPr>
          <w:ilvl w:val="0"/>
          <w:numId w:val="2"/>
        </w:numPr>
        <w:spacing w:after="0" w:line="276" w:lineRule="auto"/>
        <w:ind w:left="0" w:hanging="357"/>
        <w:contextualSpacing w:val="0"/>
        <w:jc w:val="both"/>
        <w:rPr>
          <w:rStyle w:val="Standaardalinea-lettertype"/>
          <w:rFonts w:asciiTheme="minorHAnsi" w:hAnsiTheme="minorHAnsi" w:cstheme="minorHAnsi"/>
          <w:lang w:val="en-GB"/>
        </w:rPr>
      </w:pPr>
      <w:r w:rsidRPr="006B4177">
        <w:rPr>
          <w:rStyle w:val="Standaardalinea-lettertype"/>
          <w:rFonts w:asciiTheme="minorHAnsi" w:hAnsiTheme="minorHAnsi" w:cstheme="minorHAnsi"/>
          <w:lang w:val="en-GB"/>
        </w:rPr>
        <w:t>The scope of this report is limited to SEC and its different manifestations, including exploitation of children in prostitution;</w:t>
      </w:r>
      <w:r w:rsidRPr="006B4177">
        <w:rPr>
          <w:rStyle w:val="Eindnootmarkering"/>
          <w:rFonts w:asciiTheme="minorHAnsi" w:hAnsiTheme="minorHAnsi" w:cstheme="minorHAnsi"/>
          <w:lang w:val="en-GB"/>
        </w:rPr>
        <w:endnoteReference w:id="2"/>
      </w:r>
      <w:r w:rsidRPr="006B4177">
        <w:rPr>
          <w:rStyle w:val="Standaardalinea-lettertype"/>
          <w:rFonts w:asciiTheme="minorHAnsi" w:hAnsiTheme="minorHAnsi" w:cstheme="minorHAnsi"/>
          <w:lang w:val="en-GB" w:bidi="th-TH"/>
        </w:rPr>
        <w:t xml:space="preserve"> </w:t>
      </w:r>
      <w:r w:rsidRPr="006B4177">
        <w:rPr>
          <w:rStyle w:val="Standaardalinea-lettertype"/>
          <w:rFonts w:asciiTheme="minorHAnsi" w:hAnsiTheme="minorHAnsi" w:cstheme="minorHAnsi"/>
          <w:lang w:val="en-GB"/>
        </w:rPr>
        <w:t xml:space="preserve">online child sexual exploitation </w:t>
      </w:r>
      <w:r w:rsidRPr="006B4177">
        <w:rPr>
          <w:rStyle w:val="Standaardalinea-lettertype"/>
          <w:rFonts w:asciiTheme="minorHAnsi" w:hAnsiTheme="minorHAnsi" w:cstheme="minorHAnsi"/>
          <w:lang w:val="en-GB" w:bidi="th-TH"/>
        </w:rPr>
        <w:t>(</w:t>
      </w:r>
      <w:r w:rsidRPr="006B4177">
        <w:rPr>
          <w:rStyle w:val="Standaardalinea-lettertype"/>
          <w:rFonts w:asciiTheme="minorHAnsi" w:hAnsiTheme="minorHAnsi" w:cstheme="minorHAnsi"/>
          <w:lang w:val="en-GB"/>
        </w:rPr>
        <w:t>‘OCSE’</w:t>
      </w:r>
      <w:r w:rsidRPr="006B4177">
        <w:rPr>
          <w:rStyle w:val="Standaardalinea-lettertype"/>
          <w:rFonts w:asciiTheme="minorHAnsi" w:hAnsiTheme="minorHAnsi" w:cstheme="minorHAnsi"/>
          <w:lang w:val="en-GB" w:bidi="th-TH"/>
        </w:rPr>
        <w:t>)</w:t>
      </w:r>
      <w:r w:rsidRPr="006B4177">
        <w:rPr>
          <w:rStyle w:val="Standaardalinea-lettertype"/>
          <w:rFonts w:asciiTheme="minorHAnsi" w:hAnsiTheme="minorHAnsi" w:cstheme="minorHAnsi"/>
          <w:lang w:val="en-GB"/>
        </w:rPr>
        <w:t>; child sexual exploitation materials or abuse materials (‘CSEM’ or ‘CSAM’</w:t>
      </w:r>
      <w:r w:rsidRPr="006B4177">
        <w:rPr>
          <w:rStyle w:val="Standaardalinea-lettertype"/>
          <w:rFonts w:asciiTheme="minorHAnsi" w:hAnsiTheme="minorHAnsi" w:cstheme="minorHAnsi"/>
          <w:lang w:val="en-GB" w:bidi="th-TH"/>
        </w:rPr>
        <w:t>)</w:t>
      </w:r>
      <w:r w:rsidRPr="006B4177">
        <w:rPr>
          <w:rStyle w:val="Standaardalinea-lettertype"/>
          <w:rFonts w:asciiTheme="minorHAnsi" w:hAnsiTheme="minorHAnsi" w:cstheme="minorHAnsi"/>
          <w:lang w:val="en-GB"/>
        </w:rPr>
        <w:t>;</w:t>
      </w:r>
      <w:r w:rsidRPr="006B4177">
        <w:rPr>
          <w:rStyle w:val="Eindnootmarkering"/>
          <w:rFonts w:asciiTheme="minorHAnsi" w:hAnsiTheme="minorHAnsi" w:cstheme="minorHAnsi"/>
          <w:lang w:val="en-GB"/>
        </w:rPr>
        <w:endnoteReference w:id="3"/>
      </w:r>
      <w:r w:rsidRPr="006B4177">
        <w:rPr>
          <w:rStyle w:val="Standaardalinea-lettertype"/>
          <w:rFonts w:asciiTheme="minorHAnsi" w:hAnsiTheme="minorHAnsi" w:cstheme="minorHAnsi"/>
          <w:lang w:val="en-GB"/>
        </w:rPr>
        <w:t xml:space="preserve"> trafficking of children for sexual purposes;</w:t>
      </w:r>
      <w:r w:rsidRPr="006B4177">
        <w:rPr>
          <w:rStyle w:val="Standaardalinea-lettertype"/>
          <w:rFonts w:asciiTheme="minorHAnsi" w:hAnsiTheme="minorHAnsi" w:cstheme="minorHAnsi"/>
          <w:lang w:val="en-GB" w:bidi="th-TH"/>
        </w:rPr>
        <w:t xml:space="preserve"> </w:t>
      </w:r>
      <w:r w:rsidRPr="006B4177">
        <w:rPr>
          <w:rStyle w:val="Standaardalinea-lettertype"/>
          <w:rFonts w:asciiTheme="minorHAnsi" w:hAnsiTheme="minorHAnsi" w:cstheme="minorHAnsi"/>
          <w:lang w:val="en-GB"/>
        </w:rPr>
        <w:t>sexual exploitation of children in the context of travel and tourism</w:t>
      </w:r>
      <w:r w:rsidRPr="006B4177">
        <w:rPr>
          <w:rStyle w:val="Eindnootmarkering"/>
          <w:rFonts w:asciiTheme="minorHAnsi" w:hAnsiTheme="minorHAnsi" w:cstheme="minorHAnsi"/>
          <w:lang w:val="en-GB"/>
        </w:rPr>
        <w:endnoteReference w:id="4"/>
      </w:r>
      <w:r w:rsidRPr="006B4177">
        <w:rPr>
          <w:rStyle w:val="Standaardalinea-lettertype"/>
          <w:rFonts w:asciiTheme="minorHAnsi" w:hAnsiTheme="minorHAnsi" w:cstheme="minorHAnsi"/>
          <w:lang w:val="en-GB" w:bidi="th-TH"/>
        </w:rPr>
        <w:t xml:space="preserve"> (</w:t>
      </w:r>
      <w:r w:rsidRPr="006B4177">
        <w:rPr>
          <w:rStyle w:val="Standaardalinea-lettertype"/>
          <w:rFonts w:asciiTheme="minorHAnsi" w:hAnsiTheme="minorHAnsi" w:cstheme="minorHAnsi"/>
          <w:lang w:val="en-GB"/>
        </w:rPr>
        <w:t>‘SECTT’</w:t>
      </w:r>
      <w:r w:rsidRPr="006B4177">
        <w:rPr>
          <w:rStyle w:val="Standaardalinea-lettertype"/>
          <w:rFonts w:asciiTheme="minorHAnsi" w:hAnsiTheme="minorHAnsi" w:cstheme="minorHAnsi"/>
          <w:lang w:val="en-GB" w:bidi="th-TH"/>
        </w:rPr>
        <w:t>)</w:t>
      </w:r>
      <w:r w:rsidRPr="006B4177">
        <w:rPr>
          <w:rStyle w:val="Standaardalinea-lettertype"/>
          <w:rFonts w:asciiTheme="minorHAnsi" w:hAnsiTheme="minorHAnsi" w:cstheme="minorHAnsi"/>
          <w:lang w:val="en-GB"/>
        </w:rPr>
        <w:t xml:space="preserve"> and child, early and forced marriage</w:t>
      </w:r>
      <w:r w:rsidRPr="006B4177">
        <w:rPr>
          <w:rStyle w:val="Standaardalinea-lettertype"/>
          <w:rFonts w:asciiTheme="minorHAnsi" w:hAnsiTheme="minorHAnsi" w:cstheme="minorHAnsi"/>
          <w:lang w:val="en-GB" w:bidi="th-TH"/>
        </w:rPr>
        <w:t xml:space="preserve"> (</w:t>
      </w:r>
      <w:r w:rsidRPr="006B4177">
        <w:rPr>
          <w:rStyle w:val="Standaardalinea-lettertype"/>
          <w:rFonts w:asciiTheme="minorHAnsi" w:hAnsiTheme="minorHAnsi" w:cstheme="minorHAnsi"/>
          <w:lang w:val="en-GB"/>
        </w:rPr>
        <w:t>‘CEFM’</w:t>
      </w:r>
      <w:r w:rsidRPr="006B4177">
        <w:rPr>
          <w:rStyle w:val="Standaardalinea-lettertype"/>
          <w:rFonts w:asciiTheme="minorHAnsi" w:hAnsiTheme="minorHAnsi" w:cstheme="minorHAnsi"/>
          <w:lang w:val="en-GB" w:bidi="th-TH"/>
        </w:rPr>
        <w:t>).</w:t>
      </w:r>
    </w:p>
    <w:p w14:paraId="0CD7460F" w14:textId="77777777" w:rsidR="00BE0FB1" w:rsidRPr="006B4177" w:rsidRDefault="00BE0FB1" w:rsidP="00BE0FB1">
      <w:pPr>
        <w:pStyle w:val="ListParagraph"/>
        <w:spacing w:after="0" w:line="276" w:lineRule="auto"/>
        <w:ind w:left="0"/>
        <w:contextualSpacing w:val="0"/>
        <w:jc w:val="both"/>
        <w:rPr>
          <w:rFonts w:asciiTheme="minorHAnsi" w:hAnsiTheme="minorHAnsi" w:cstheme="minorHAnsi"/>
          <w:lang w:val="en-GB"/>
        </w:rPr>
      </w:pPr>
    </w:p>
    <w:p w14:paraId="39A759A8" w14:textId="77777777" w:rsidR="00BE0FB1" w:rsidRPr="006B4177" w:rsidRDefault="00BE0FB1" w:rsidP="00BE0FB1">
      <w:pPr>
        <w:pStyle w:val="Heading1"/>
        <w:spacing w:before="0" w:line="276" w:lineRule="auto"/>
        <w:jc w:val="both"/>
        <w:rPr>
          <w:rFonts w:cstheme="minorHAnsi"/>
          <w:szCs w:val="22"/>
        </w:rPr>
      </w:pPr>
      <w:bookmarkStart w:id="4" w:name="_Toc527976440"/>
      <w:bookmarkStart w:id="5" w:name="_Toc23513390"/>
      <w:bookmarkStart w:id="6" w:name="_Toc30781475"/>
      <w:r w:rsidRPr="006B4177">
        <w:rPr>
          <w:rFonts w:cstheme="minorHAnsi"/>
          <w:szCs w:val="22"/>
        </w:rPr>
        <w:t xml:space="preserve">Current status and developments of sexual exploitation of children in </w:t>
      </w:r>
      <w:bookmarkEnd w:id="4"/>
      <w:bookmarkEnd w:id="5"/>
      <w:r w:rsidRPr="006B4177">
        <w:rPr>
          <w:rFonts w:cstheme="minorHAnsi"/>
          <w:szCs w:val="22"/>
        </w:rPr>
        <w:t>the Philippines</w:t>
      </w:r>
      <w:bookmarkEnd w:id="6"/>
    </w:p>
    <w:p w14:paraId="64276250" w14:textId="77777777" w:rsidR="00BE0FB1" w:rsidRPr="006B4177" w:rsidRDefault="00BE0FB1" w:rsidP="00BE0FB1">
      <w:pPr>
        <w:spacing w:after="0" w:line="276" w:lineRule="auto"/>
        <w:jc w:val="both"/>
        <w:rPr>
          <w:rFonts w:asciiTheme="minorHAnsi" w:hAnsiTheme="minorHAnsi" w:cstheme="minorHAnsi"/>
        </w:rPr>
      </w:pPr>
    </w:p>
    <w:p w14:paraId="55F3808F" w14:textId="77777777" w:rsidR="00BE0FB1" w:rsidRPr="006B4177" w:rsidRDefault="00BE0FB1" w:rsidP="00BE0FB1">
      <w:pPr>
        <w:pStyle w:val="Heading2"/>
        <w:spacing w:before="0" w:line="276" w:lineRule="auto"/>
        <w:jc w:val="both"/>
        <w:rPr>
          <w:rFonts w:cstheme="minorHAnsi"/>
          <w:szCs w:val="22"/>
        </w:rPr>
      </w:pPr>
      <w:bookmarkStart w:id="7" w:name="_Toc23513391"/>
      <w:bookmarkStart w:id="8" w:name="_Toc30781476"/>
      <w:r w:rsidRPr="006B4177">
        <w:rPr>
          <w:rFonts w:cstheme="minorHAnsi"/>
          <w:szCs w:val="22"/>
        </w:rPr>
        <w:t>Background of country conditions</w:t>
      </w:r>
      <w:bookmarkEnd w:id="7"/>
      <w:bookmarkEnd w:id="8"/>
    </w:p>
    <w:p w14:paraId="7997E48F" w14:textId="77777777" w:rsidR="00BE0FB1" w:rsidRPr="006B4177" w:rsidRDefault="00BE0FB1" w:rsidP="00BE0FB1">
      <w:pPr>
        <w:spacing w:after="0" w:line="276" w:lineRule="auto"/>
        <w:jc w:val="both"/>
        <w:rPr>
          <w:rFonts w:asciiTheme="minorHAnsi" w:hAnsiTheme="minorHAnsi" w:cstheme="minorHAnsi"/>
        </w:rPr>
      </w:pPr>
    </w:p>
    <w:p w14:paraId="53283065" w14:textId="3D48244D" w:rsidR="00BE0FB1" w:rsidRPr="006B4177" w:rsidRDefault="00BE0FB1" w:rsidP="00BE0FB1">
      <w:pPr>
        <w:pStyle w:val="ListParagraph"/>
        <w:numPr>
          <w:ilvl w:val="0"/>
          <w:numId w:val="2"/>
        </w:numPr>
        <w:spacing w:after="0" w:line="276" w:lineRule="auto"/>
        <w:ind w:left="0" w:hanging="357"/>
        <w:contextualSpacing w:val="0"/>
        <w:jc w:val="both"/>
        <w:rPr>
          <w:rStyle w:val="Standaardalinea-lettertype"/>
          <w:rFonts w:asciiTheme="minorHAnsi" w:hAnsiTheme="minorHAnsi" w:cstheme="minorHAnsi"/>
          <w:lang w:val="en-GB"/>
        </w:rPr>
      </w:pPr>
      <w:r w:rsidRPr="006B4177">
        <w:rPr>
          <w:rFonts w:asciiTheme="minorHAnsi" w:hAnsiTheme="minorHAnsi" w:cstheme="minorHAnsi"/>
          <w:color w:val="222222"/>
          <w:shd w:val="clear" w:color="auto" w:fill="FFFFFF"/>
        </w:rPr>
        <w:t>The Philippines has a democratic government in the form of a constitutional republic with a </w:t>
      </w:r>
      <w:r w:rsidRPr="006B4177">
        <w:rPr>
          <w:rFonts w:asciiTheme="minorHAnsi" w:hAnsiTheme="minorHAnsi" w:cstheme="minorHAnsi"/>
          <w:shd w:val="clear" w:color="auto" w:fill="FFFFFF"/>
        </w:rPr>
        <w:t>presidential system</w:t>
      </w:r>
      <w:r w:rsidRPr="006B4177">
        <w:rPr>
          <w:rFonts w:asciiTheme="minorHAnsi" w:hAnsiTheme="minorHAnsi" w:cstheme="minorHAnsi"/>
          <w:color w:val="222222"/>
          <w:shd w:val="clear" w:color="auto" w:fill="FFFFFF"/>
        </w:rPr>
        <w:t>.</w:t>
      </w:r>
      <w:r w:rsidRPr="006B4177">
        <w:rPr>
          <w:rStyle w:val="EndnoteReference"/>
          <w:rFonts w:asciiTheme="minorHAnsi" w:hAnsiTheme="minorHAnsi" w:cstheme="minorHAnsi"/>
          <w:color w:val="222222"/>
          <w:shd w:val="clear" w:color="auto" w:fill="FFFFFF"/>
        </w:rPr>
        <w:endnoteReference w:id="5"/>
      </w:r>
      <w:r w:rsidRPr="006B4177">
        <w:rPr>
          <w:rStyle w:val="Standaardalinea-lettertype"/>
          <w:rFonts w:asciiTheme="minorHAnsi" w:eastAsia="Times-Roman" w:hAnsiTheme="minorHAnsi" w:cstheme="minorHAnsi"/>
        </w:rPr>
        <w:t xml:space="preserve"> </w:t>
      </w:r>
      <w:r w:rsidRPr="006B4177">
        <w:rPr>
          <w:rStyle w:val="Standaardalinea-lettertype"/>
          <w:rFonts w:asciiTheme="minorHAnsi" w:eastAsia="Times-Roman" w:hAnsiTheme="minorHAnsi" w:cstheme="minorHAnsi"/>
          <w:lang w:val="en-GB"/>
        </w:rPr>
        <w:t>In 2018, the country had 1</w:t>
      </w:r>
      <w:r w:rsidRPr="006B4177">
        <w:rPr>
          <w:rFonts w:asciiTheme="minorHAnsi" w:hAnsiTheme="minorHAnsi" w:cstheme="minorHAnsi"/>
        </w:rPr>
        <w:t xml:space="preserve">06,651 </w:t>
      </w:r>
      <w:r w:rsidRPr="006B4177">
        <w:rPr>
          <w:rStyle w:val="Standaardalinea-lettertype"/>
          <w:rFonts w:asciiTheme="minorHAnsi" w:eastAsia="Times-Roman" w:hAnsiTheme="minorHAnsi" w:cstheme="minorHAnsi"/>
          <w:lang w:val="en-GB"/>
        </w:rPr>
        <w:t xml:space="preserve">million inhabitants, of which </w:t>
      </w:r>
      <w:r w:rsidRPr="006B4177">
        <w:rPr>
          <w:rFonts w:asciiTheme="minorHAnsi" w:hAnsiTheme="minorHAnsi" w:cstheme="minorHAnsi"/>
        </w:rPr>
        <w:t xml:space="preserve">39,276 </w:t>
      </w:r>
      <w:r w:rsidRPr="006B4177">
        <w:rPr>
          <w:rStyle w:val="Standaardalinea-lettertype"/>
          <w:rFonts w:asciiTheme="minorHAnsi" w:eastAsia="Times-Roman" w:hAnsiTheme="minorHAnsi" w:cstheme="minorHAnsi"/>
          <w:lang w:val="en-GB"/>
        </w:rPr>
        <w:t xml:space="preserve">million were under 18 and </w:t>
      </w:r>
      <w:r w:rsidRPr="006B4177">
        <w:rPr>
          <w:rFonts w:asciiTheme="minorHAnsi" w:hAnsiTheme="minorHAnsi" w:cstheme="minorHAnsi"/>
        </w:rPr>
        <w:t xml:space="preserve">11,035 </w:t>
      </w:r>
      <w:r w:rsidRPr="006B4177">
        <w:rPr>
          <w:rStyle w:val="Standaardalinea-lettertype"/>
          <w:rFonts w:asciiTheme="minorHAnsi" w:eastAsia="Times-Roman" w:hAnsiTheme="minorHAnsi" w:cstheme="minorHAnsi"/>
          <w:lang w:val="en-GB"/>
        </w:rPr>
        <w:t>million were under five.</w:t>
      </w:r>
      <w:r w:rsidRPr="006B4177">
        <w:rPr>
          <w:rStyle w:val="Eindnootmarkering"/>
          <w:rFonts w:asciiTheme="minorHAnsi" w:eastAsia="Times-Roman" w:hAnsiTheme="minorHAnsi" w:cstheme="minorHAnsi"/>
          <w:lang w:val="en-GB"/>
        </w:rPr>
        <w:endnoteReference w:id="6"/>
      </w:r>
      <w:r w:rsidRPr="006B4177">
        <w:rPr>
          <w:rStyle w:val="Standaardalinea-lettertype"/>
          <w:rFonts w:asciiTheme="minorHAnsi" w:eastAsia="Times-Roman" w:hAnsiTheme="minorHAnsi" w:cstheme="minorHAnsi"/>
          <w:lang w:val="en-GB"/>
        </w:rPr>
        <w:t xml:space="preserve"> According to the latest estimates, The Philippines had a 92% birth registration rate in 2018.</w:t>
      </w:r>
      <w:r w:rsidRPr="006B4177">
        <w:rPr>
          <w:rStyle w:val="EndnoteReference"/>
          <w:rFonts w:asciiTheme="minorHAnsi" w:eastAsia="Times-Roman" w:hAnsiTheme="minorHAnsi" w:cstheme="minorHAnsi"/>
          <w:lang w:val="en-GB"/>
        </w:rPr>
        <w:endnoteReference w:id="7"/>
      </w:r>
    </w:p>
    <w:p w14:paraId="47D562A4" w14:textId="77777777" w:rsidR="00BE0FB1" w:rsidRPr="006B4177" w:rsidRDefault="00BE0FB1" w:rsidP="00BE0FB1">
      <w:pPr>
        <w:spacing w:after="0" w:line="276" w:lineRule="auto"/>
        <w:jc w:val="both"/>
        <w:rPr>
          <w:rStyle w:val="Standaardalinea-lettertype"/>
          <w:rFonts w:asciiTheme="minorHAnsi" w:hAnsiTheme="minorHAnsi" w:cstheme="minorHAnsi"/>
          <w:lang w:val="en-GB"/>
        </w:rPr>
      </w:pPr>
    </w:p>
    <w:p w14:paraId="60360026" w14:textId="4DA256E6"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lang w:val="en-GB"/>
        </w:rPr>
      </w:pPr>
      <w:r w:rsidRPr="006B4177">
        <w:rPr>
          <w:rStyle w:val="Standaardalinea-lettertype"/>
          <w:rFonts w:asciiTheme="minorHAnsi" w:eastAsia="Times-Roman" w:hAnsiTheme="minorHAnsi" w:cstheme="minorHAnsi"/>
          <w:lang w:val="en-GB"/>
        </w:rPr>
        <w:t>The Philippines is the world’s 39th largest economy</w:t>
      </w:r>
      <w:r w:rsidRPr="006B4177">
        <w:rPr>
          <w:rStyle w:val="Refdenotaalfinal"/>
          <w:rFonts w:asciiTheme="minorHAnsi" w:eastAsia="Times-Roman" w:hAnsiTheme="minorHAnsi" w:cstheme="minorHAnsi"/>
          <w:lang w:val="en-GB"/>
        </w:rPr>
        <w:endnoteReference w:id="8"/>
      </w:r>
      <w:r w:rsidRPr="006B4177">
        <w:rPr>
          <w:rFonts w:asciiTheme="minorHAnsi" w:hAnsiTheme="minorHAnsi" w:cstheme="minorHAnsi"/>
        </w:rPr>
        <w:t xml:space="preserve"> and is considered one of the most dynamic economies in the East Asia Pacific region by the World Bank.</w:t>
      </w:r>
      <w:r w:rsidRPr="006B4177">
        <w:rPr>
          <w:rStyle w:val="EndnoteReference"/>
          <w:rFonts w:asciiTheme="minorHAnsi" w:hAnsiTheme="minorHAnsi" w:cstheme="minorHAnsi"/>
        </w:rPr>
        <w:endnoteReference w:id="9"/>
      </w:r>
      <w:r w:rsidRPr="006B4177">
        <w:rPr>
          <w:rFonts w:asciiTheme="minorHAnsi" w:hAnsiTheme="minorHAnsi" w:cstheme="minorHAnsi"/>
        </w:rPr>
        <w:t xml:space="preserve"> </w:t>
      </w:r>
      <w:r w:rsidRPr="006B4177">
        <w:rPr>
          <w:rStyle w:val="Standaardalinea-lettertype"/>
          <w:rFonts w:asciiTheme="minorHAnsi" w:eastAsia="Times-Roman" w:hAnsiTheme="minorHAnsi" w:cstheme="minorHAnsi"/>
          <w:lang w:val="en-GB"/>
        </w:rPr>
        <w:t xml:space="preserve">It </w:t>
      </w:r>
      <w:r w:rsidRPr="006B4177">
        <w:rPr>
          <w:rFonts w:asciiTheme="minorHAnsi" w:hAnsiTheme="minorHAnsi" w:cstheme="minorHAnsi"/>
        </w:rPr>
        <w:t>ranked 106 out of 189 countries in the latest Human Development Report released in 2019 by the United Nations Development Programme (UNDP), indicating a high human development.</w:t>
      </w:r>
      <w:r w:rsidRPr="006B4177">
        <w:rPr>
          <w:rStyle w:val="EndnoteReference"/>
          <w:rFonts w:asciiTheme="minorHAnsi" w:hAnsiTheme="minorHAnsi" w:cstheme="minorHAnsi"/>
        </w:rPr>
        <w:endnoteReference w:id="10"/>
      </w:r>
      <w:r w:rsidRPr="006B4177">
        <w:rPr>
          <w:rFonts w:asciiTheme="minorHAnsi" w:hAnsiTheme="minorHAnsi" w:cstheme="minorHAnsi"/>
        </w:rPr>
        <w:t xml:space="preserve"> However, according to the UNDP’s estimates of 2019, 21.6% of the population lives below the poverty lines, and 5.8% is considered to be in a situation of multidimensional poverty.</w:t>
      </w:r>
      <w:r w:rsidRPr="006B4177">
        <w:rPr>
          <w:rStyle w:val="EndnoteReference"/>
          <w:rFonts w:asciiTheme="minorHAnsi" w:hAnsiTheme="minorHAnsi" w:cstheme="minorHAnsi"/>
        </w:rPr>
        <w:endnoteReference w:id="11"/>
      </w:r>
    </w:p>
    <w:p w14:paraId="12B09217" w14:textId="77777777" w:rsidR="00BE0FB1" w:rsidRPr="006B4177" w:rsidRDefault="00BE0FB1" w:rsidP="00BE0FB1">
      <w:pPr>
        <w:pStyle w:val="ListParagraph"/>
        <w:spacing w:after="0" w:line="276" w:lineRule="auto"/>
        <w:jc w:val="both"/>
        <w:rPr>
          <w:rFonts w:asciiTheme="minorHAnsi" w:hAnsiTheme="minorHAnsi" w:cstheme="minorHAnsi"/>
          <w:lang w:val="en-GB"/>
        </w:rPr>
      </w:pPr>
    </w:p>
    <w:p w14:paraId="1AE13F7E" w14:textId="1466F5AB"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lang w:val="en-GB"/>
        </w:rPr>
      </w:pPr>
      <w:r w:rsidRPr="006B4177">
        <w:rPr>
          <w:rFonts w:asciiTheme="minorHAnsi" w:hAnsiTheme="minorHAnsi" w:cstheme="minorHAnsi"/>
          <w:lang w:val="en-GB"/>
        </w:rPr>
        <w:t>According to UNICEF’s data for the period 2012-2018, 2% of girls suffered sexual violence in their childhood. No data is available for boys.</w:t>
      </w:r>
      <w:r w:rsidRPr="006B4177">
        <w:rPr>
          <w:rStyle w:val="EndnoteReference"/>
          <w:rFonts w:asciiTheme="minorHAnsi" w:hAnsiTheme="minorHAnsi" w:cstheme="minorHAnsi"/>
          <w:lang w:val="en-GB"/>
        </w:rPr>
        <w:endnoteReference w:id="12"/>
      </w:r>
      <w:r w:rsidRPr="006B4177">
        <w:rPr>
          <w:rFonts w:asciiTheme="minorHAnsi" w:hAnsiTheme="minorHAnsi" w:cstheme="minorHAnsi"/>
          <w:lang w:val="en-GB"/>
        </w:rPr>
        <w:t xml:space="preserve"> However,</w:t>
      </w:r>
      <w:r w:rsidRPr="006B4177">
        <w:rPr>
          <w:rFonts w:asciiTheme="minorHAnsi" w:hAnsiTheme="minorHAnsi" w:cstheme="minorHAnsi"/>
        </w:rPr>
        <w:t xml:space="preserve"> the National Baseline Study on Violence against Children (NBS-VAC), which was commissioned by the Council for the Welfare of Children</w:t>
      </w:r>
      <w:r w:rsidRPr="006B4177">
        <w:rPr>
          <w:rFonts w:asciiTheme="minorHAnsi" w:hAnsiTheme="minorHAnsi" w:cstheme="minorHAnsi"/>
          <w:lang w:val="en-GB"/>
        </w:rPr>
        <w:t xml:space="preserve">, </w:t>
      </w:r>
      <w:r w:rsidRPr="006B4177">
        <w:rPr>
          <w:rFonts w:asciiTheme="minorHAnsi" w:hAnsiTheme="minorHAnsi" w:cstheme="minorHAnsi"/>
        </w:rPr>
        <w:t>produced data in 2015/2016 showing that one-in-four children (24.9%) reportedly suffered from any form of sexual violence in any setting. The study also showed that prevalence of sexual abuse is higher among older adolescents (18-24 years old) (28%) and males (28.7%), than younger adolescents (13-17 years old) (22%) and females (20.1%).</w:t>
      </w:r>
      <w:r w:rsidRPr="006B4177">
        <w:rPr>
          <w:rStyle w:val="EndnoteReference"/>
          <w:rFonts w:asciiTheme="minorHAnsi" w:hAnsiTheme="minorHAnsi" w:cstheme="minorHAnsi"/>
        </w:rPr>
        <w:endnoteReference w:id="13"/>
      </w:r>
      <w:r w:rsidRPr="006B4177">
        <w:rPr>
          <w:rFonts w:asciiTheme="minorHAnsi" w:hAnsiTheme="minorHAnsi" w:cstheme="minorHAnsi"/>
        </w:rPr>
        <w:t xml:space="preserve"> </w:t>
      </w:r>
    </w:p>
    <w:p w14:paraId="4E4D9505" w14:textId="77777777" w:rsidR="00BE0FB1" w:rsidRPr="006B4177" w:rsidRDefault="00BE0FB1" w:rsidP="00BE0FB1">
      <w:pPr>
        <w:spacing w:after="0" w:line="276" w:lineRule="auto"/>
        <w:jc w:val="both"/>
        <w:rPr>
          <w:rFonts w:asciiTheme="minorHAnsi" w:hAnsiTheme="minorHAnsi" w:cstheme="minorHAnsi"/>
          <w:lang w:val="en-GB"/>
        </w:rPr>
      </w:pPr>
    </w:p>
    <w:p w14:paraId="115ACF44" w14:textId="77777777" w:rsidR="00BE0FB1" w:rsidRPr="006B4177" w:rsidRDefault="00BE0FB1" w:rsidP="00BE0FB1">
      <w:pPr>
        <w:pStyle w:val="Heading2"/>
        <w:spacing w:before="0" w:line="276" w:lineRule="auto"/>
        <w:jc w:val="both"/>
        <w:rPr>
          <w:rStyle w:val="Standaardalinea-lettertype"/>
          <w:rFonts w:cstheme="minorHAnsi"/>
          <w:szCs w:val="22"/>
        </w:rPr>
      </w:pPr>
      <w:bookmarkStart w:id="9" w:name="_Toc30781477"/>
      <w:bookmarkStart w:id="10" w:name="_Toc23513392"/>
      <w:r w:rsidRPr="006B4177">
        <w:rPr>
          <w:rStyle w:val="Standaardalinea-lettertype"/>
          <w:rFonts w:cstheme="minorHAnsi"/>
          <w:szCs w:val="22"/>
        </w:rPr>
        <w:t>Exploitation of children in prostitution</w:t>
      </w:r>
      <w:bookmarkEnd w:id="9"/>
      <w:r w:rsidRPr="006B4177">
        <w:rPr>
          <w:rStyle w:val="Standaardalinea-lettertype"/>
          <w:rFonts w:cstheme="minorHAnsi"/>
          <w:szCs w:val="22"/>
        </w:rPr>
        <w:t xml:space="preserve"> </w:t>
      </w:r>
      <w:bookmarkEnd w:id="10"/>
    </w:p>
    <w:p w14:paraId="63CE0D23" w14:textId="77777777" w:rsidR="00BE0FB1" w:rsidRPr="006B4177" w:rsidRDefault="00BE0FB1" w:rsidP="00BE0FB1">
      <w:pPr>
        <w:spacing w:after="0" w:line="276" w:lineRule="auto"/>
        <w:jc w:val="both"/>
        <w:rPr>
          <w:rFonts w:asciiTheme="minorHAnsi" w:hAnsiTheme="minorHAnsi" w:cstheme="minorHAnsi"/>
        </w:rPr>
      </w:pPr>
    </w:p>
    <w:p w14:paraId="72DAE2B6" w14:textId="42A9BE57"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lang w:val="en-GB"/>
        </w:rPr>
      </w:pPr>
      <w:r w:rsidRPr="006B4177">
        <w:rPr>
          <w:rFonts w:asciiTheme="minorHAnsi" w:hAnsiTheme="minorHAnsi" w:cstheme="minorHAnsi"/>
          <w:lang w:val="en-GB"/>
        </w:rPr>
        <w:t xml:space="preserve">In the Philippines, </w:t>
      </w:r>
      <w:r w:rsidRPr="006B4177">
        <w:rPr>
          <w:rFonts w:asciiTheme="minorHAnsi" w:hAnsiTheme="minorHAnsi" w:cstheme="minorHAnsi"/>
        </w:rPr>
        <w:t>children living or working on the streets reportedly often resort to selling sex for survival.</w:t>
      </w:r>
      <w:r w:rsidRPr="006B4177">
        <w:rPr>
          <w:rStyle w:val="EndnoteReference"/>
          <w:rFonts w:asciiTheme="minorHAnsi" w:hAnsiTheme="minorHAnsi" w:cstheme="minorHAnsi"/>
        </w:rPr>
        <w:endnoteReference w:id="14"/>
      </w:r>
      <w:r w:rsidRPr="006B4177">
        <w:rPr>
          <w:rFonts w:asciiTheme="minorHAnsi" w:hAnsiTheme="minorHAnsi" w:cstheme="minorHAnsi"/>
        </w:rPr>
        <w:t xml:space="preserve"> This makes these children at greater risk of arrest: evidence suggests indeed that street children in the Philippines are often arrested on vagrancy, prostitution, or other charges.</w:t>
      </w:r>
      <w:r w:rsidRPr="006B4177">
        <w:rPr>
          <w:rStyle w:val="EndnoteReference"/>
          <w:rFonts w:asciiTheme="minorHAnsi" w:hAnsiTheme="minorHAnsi" w:cstheme="minorHAnsi"/>
        </w:rPr>
        <w:endnoteReference w:id="15"/>
      </w:r>
      <w:r w:rsidRPr="006B4177">
        <w:rPr>
          <w:rFonts w:asciiTheme="minorHAnsi" w:hAnsiTheme="minorHAnsi" w:cstheme="minorHAnsi"/>
        </w:rPr>
        <w:t xml:space="preserve"> </w:t>
      </w:r>
    </w:p>
    <w:p w14:paraId="523848A4" w14:textId="77777777" w:rsidR="00BE0FB1" w:rsidRPr="006B4177" w:rsidRDefault="00BE0FB1" w:rsidP="00BE0FB1">
      <w:pPr>
        <w:spacing w:after="0" w:line="276" w:lineRule="auto"/>
        <w:jc w:val="both"/>
        <w:rPr>
          <w:rFonts w:asciiTheme="minorHAnsi" w:hAnsiTheme="minorHAnsi" w:cstheme="minorHAnsi"/>
          <w:lang w:val="en-GB"/>
        </w:rPr>
      </w:pPr>
    </w:p>
    <w:p w14:paraId="5447A467" w14:textId="795FCFFE"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lang w:val="en-GB"/>
        </w:rPr>
      </w:pPr>
      <w:r w:rsidRPr="006B4177">
        <w:rPr>
          <w:rFonts w:asciiTheme="minorHAnsi" w:hAnsiTheme="minorHAnsi" w:cstheme="minorHAnsi"/>
          <w:lang w:val="en-GB"/>
        </w:rPr>
        <w:t>According to media, bar-managers resort to various subterfuges to circumvent laws prohibiting prostitution and children below 18 to work in bars.</w:t>
      </w:r>
      <w:r w:rsidRPr="006B4177">
        <w:rPr>
          <w:rStyle w:val="EndnoteReference"/>
          <w:rFonts w:asciiTheme="minorHAnsi" w:hAnsiTheme="minorHAnsi" w:cstheme="minorHAnsi"/>
          <w:lang w:val="en-GB"/>
        </w:rPr>
        <w:endnoteReference w:id="16"/>
      </w:r>
      <w:r w:rsidRPr="006B4177">
        <w:rPr>
          <w:rFonts w:asciiTheme="minorHAnsi" w:hAnsiTheme="minorHAnsi" w:cstheme="minorHAnsi"/>
          <w:lang w:val="en-GB"/>
        </w:rPr>
        <w:t xml:space="preserve"> Girls and women are introduced as “entertainers” rather than sex workers. Moreover, payments are presented as “fines” paid to the bars by a patron on behalf of a woman leaving her shift early.</w:t>
      </w:r>
      <w:r w:rsidRPr="006B4177">
        <w:rPr>
          <w:rStyle w:val="EndnoteReference"/>
          <w:rFonts w:asciiTheme="minorHAnsi" w:hAnsiTheme="minorHAnsi" w:cstheme="minorHAnsi"/>
          <w:lang w:val="en-GB"/>
        </w:rPr>
        <w:endnoteReference w:id="17"/>
      </w:r>
      <w:r w:rsidRPr="006B4177">
        <w:rPr>
          <w:rFonts w:asciiTheme="minorHAnsi" w:hAnsiTheme="minorHAnsi" w:cstheme="minorHAnsi"/>
          <w:lang w:val="en-GB"/>
        </w:rPr>
        <w:t xml:space="preserve"> According to the Fuller Project for International Reporting, unregistered, freelance sex workers and trafficking victims however abound bars throughout the Philippines. The youngest girl interviewed by the Fuller Project was 10 years old.</w:t>
      </w:r>
      <w:r w:rsidRPr="006B4177">
        <w:rPr>
          <w:rStyle w:val="EndnoteReference"/>
          <w:rFonts w:asciiTheme="minorHAnsi" w:hAnsiTheme="minorHAnsi" w:cstheme="minorHAnsi"/>
          <w:lang w:val="en-GB"/>
        </w:rPr>
        <w:endnoteReference w:id="18"/>
      </w:r>
      <w:r w:rsidRPr="006B4177">
        <w:rPr>
          <w:rFonts w:asciiTheme="minorHAnsi" w:hAnsiTheme="minorHAnsi" w:cstheme="minorHAnsi"/>
          <w:lang w:val="en-GB"/>
        </w:rPr>
        <w:t xml:space="preserve"> </w:t>
      </w:r>
    </w:p>
    <w:p w14:paraId="04719711" w14:textId="77777777" w:rsidR="00BE0FB1" w:rsidRPr="006B4177" w:rsidRDefault="00BE0FB1" w:rsidP="00BE0FB1">
      <w:pPr>
        <w:pStyle w:val="Heading2"/>
        <w:spacing w:before="0" w:line="276" w:lineRule="auto"/>
        <w:jc w:val="both"/>
        <w:rPr>
          <w:rStyle w:val="Standaardalinea-lettertype"/>
          <w:rFonts w:cstheme="minorHAnsi"/>
          <w:szCs w:val="22"/>
        </w:rPr>
      </w:pPr>
      <w:bookmarkStart w:id="11" w:name="_Toc30781478"/>
    </w:p>
    <w:p w14:paraId="5B7AE1AD" w14:textId="09E3D511" w:rsidR="00BE0FB1" w:rsidRPr="006B4177" w:rsidRDefault="00BE0FB1" w:rsidP="00BE0FB1">
      <w:pPr>
        <w:pStyle w:val="Heading2"/>
        <w:spacing w:before="0" w:line="276" w:lineRule="auto"/>
        <w:jc w:val="both"/>
        <w:rPr>
          <w:rStyle w:val="Standaardalinea-lettertype"/>
          <w:rFonts w:cstheme="minorHAnsi"/>
          <w:szCs w:val="22"/>
        </w:rPr>
      </w:pPr>
      <w:r w:rsidRPr="006B4177">
        <w:rPr>
          <w:rStyle w:val="Standaardalinea-lettertype"/>
          <w:rFonts w:cstheme="minorHAnsi"/>
          <w:szCs w:val="22"/>
        </w:rPr>
        <w:t>Sale and trafficking of children for sexual purposes</w:t>
      </w:r>
      <w:bookmarkEnd w:id="11"/>
    </w:p>
    <w:p w14:paraId="14309705" w14:textId="77777777" w:rsidR="00BE0FB1" w:rsidRPr="006B4177" w:rsidRDefault="00BE0FB1" w:rsidP="00BE0FB1">
      <w:pPr>
        <w:pStyle w:val="ListParagraph"/>
        <w:spacing w:after="0" w:line="276" w:lineRule="auto"/>
        <w:jc w:val="both"/>
        <w:rPr>
          <w:rFonts w:asciiTheme="minorHAnsi" w:hAnsiTheme="minorHAnsi" w:cstheme="minorHAnsi"/>
        </w:rPr>
      </w:pPr>
    </w:p>
    <w:p w14:paraId="271E673F" w14:textId="162D9028"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lang w:val="en-GB"/>
        </w:rPr>
      </w:pPr>
      <w:r w:rsidRPr="006B4177">
        <w:rPr>
          <w:rStyle w:val="Standaardalinea-lettertype"/>
          <w:rFonts w:asciiTheme="minorHAnsi" w:hAnsiTheme="minorHAnsi" w:cstheme="minorHAnsi"/>
          <w:lang w:val="en-GB"/>
        </w:rPr>
        <w:t>The Philippines appears to be a source, transit and destination country for men and women trafficked for sexual exploitation.</w:t>
      </w:r>
      <w:r w:rsidRPr="006B4177">
        <w:rPr>
          <w:rStyle w:val="EndnoteReference"/>
          <w:rFonts w:asciiTheme="minorHAnsi" w:hAnsiTheme="minorHAnsi" w:cstheme="minorHAnsi"/>
          <w:lang w:val="en-GB"/>
        </w:rPr>
        <w:endnoteReference w:id="19"/>
      </w:r>
      <w:r w:rsidRPr="006B4177">
        <w:rPr>
          <w:rStyle w:val="Standaardalinea-lettertype"/>
          <w:rFonts w:asciiTheme="minorHAnsi" w:hAnsiTheme="minorHAnsi" w:cstheme="minorHAnsi"/>
          <w:lang w:val="en-GB"/>
        </w:rPr>
        <w:t xml:space="preserve"> </w:t>
      </w:r>
      <w:r w:rsidRPr="006B4177">
        <w:rPr>
          <w:rFonts w:asciiTheme="minorHAnsi" w:hAnsiTheme="minorHAnsi" w:cstheme="minorHAnsi"/>
        </w:rPr>
        <w:t>According to the Academy for Educational Development, there were 20,000 to 100,000 child victims trafficked in the Philippines in 2017.</w:t>
      </w:r>
      <w:r w:rsidRPr="006B4177">
        <w:rPr>
          <w:rStyle w:val="EndnoteReference"/>
          <w:rFonts w:asciiTheme="minorHAnsi" w:hAnsiTheme="minorHAnsi" w:cstheme="minorHAnsi"/>
        </w:rPr>
        <w:endnoteReference w:id="20"/>
      </w:r>
      <w:r w:rsidRPr="006B4177">
        <w:rPr>
          <w:rFonts w:asciiTheme="minorHAnsi" w:hAnsiTheme="minorHAnsi" w:cstheme="minorHAnsi"/>
        </w:rPr>
        <w:t xml:space="preserve"> </w:t>
      </w:r>
      <w:r w:rsidRPr="006B4177">
        <w:rPr>
          <w:rStyle w:val="Standaardalinea-lettertype"/>
          <w:rFonts w:asciiTheme="minorHAnsi" w:hAnsiTheme="minorHAnsi" w:cstheme="minorHAnsi"/>
          <w:lang w:val="en-GB"/>
        </w:rPr>
        <w:t>The 2019 US Department of State’ s Trafficking in Persons report (TIP report) shows that victims from the Philippines – and especially girls and women – have been subjected to trafficking for sexual purposes in several countries around the world, such as Afghanistan, Czech Republic, Hungary, Hong Kong, South Korea, Morocco, etc.</w:t>
      </w:r>
      <w:r w:rsidRPr="006B4177">
        <w:rPr>
          <w:rStyle w:val="EndnoteReference"/>
          <w:rFonts w:asciiTheme="minorHAnsi" w:hAnsiTheme="minorHAnsi" w:cstheme="minorHAnsi"/>
          <w:lang w:val="en-GB"/>
        </w:rPr>
        <w:endnoteReference w:id="21"/>
      </w:r>
      <w:r w:rsidRPr="006B4177">
        <w:rPr>
          <w:rStyle w:val="Standaardalinea-lettertype"/>
          <w:rFonts w:asciiTheme="minorHAnsi" w:hAnsiTheme="minorHAnsi" w:cstheme="minorHAnsi"/>
          <w:lang w:val="en-GB"/>
        </w:rPr>
        <w:t xml:space="preserve"> In</w:t>
      </w:r>
      <w:r w:rsidRPr="006B4177">
        <w:rPr>
          <w:rFonts w:asciiTheme="minorHAnsi" w:hAnsiTheme="minorHAnsi" w:cstheme="minorHAnsi"/>
        </w:rPr>
        <w:t xml:space="preserve"> December 2013, 10.48 million estimated Filipinos were living and working overseas, among which 11% are irregular migrants.</w:t>
      </w:r>
      <w:r w:rsidRPr="006B4177">
        <w:rPr>
          <w:rStyle w:val="EndnoteReference"/>
          <w:rFonts w:asciiTheme="minorHAnsi" w:hAnsiTheme="minorHAnsi" w:cstheme="minorHAnsi"/>
        </w:rPr>
        <w:endnoteReference w:id="22"/>
      </w:r>
      <w:r w:rsidRPr="006B4177">
        <w:rPr>
          <w:rFonts w:asciiTheme="minorHAnsi" w:hAnsiTheme="minorHAnsi" w:cstheme="minorHAnsi"/>
        </w:rPr>
        <w:t xml:space="preserve"> According to the TIP report, a significant number of these migrants become victims of trafficking for sexual exploitation.</w:t>
      </w:r>
      <w:r w:rsidRPr="006B4177">
        <w:rPr>
          <w:rStyle w:val="EndnoteReference"/>
          <w:rFonts w:asciiTheme="minorHAnsi" w:hAnsiTheme="minorHAnsi" w:cstheme="minorHAnsi"/>
        </w:rPr>
        <w:endnoteReference w:id="23"/>
      </w:r>
      <w:r w:rsidRPr="006B4177">
        <w:rPr>
          <w:rFonts w:asciiTheme="minorHAnsi" w:hAnsiTheme="minorHAnsi" w:cstheme="minorHAnsi"/>
        </w:rPr>
        <w:t xml:space="preserve"> From March 2011 to November 2015, the 1343 Actionline against Human Trafficking received 26,030 calls – of which the majority were from the Philippines, the Kingdom of Saudi Arabia and Malaysia.</w:t>
      </w:r>
      <w:r w:rsidRPr="006B4177">
        <w:rPr>
          <w:rStyle w:val="EndnoteReference"/>
          <w:rFonts w:asciiTheme="minorHAnsi" w:hAnsiTheme="minorHAnsi" w:cstheme="minorHAnsi"/>
        </w:rPr>
        <w:endnoteReference w:id="24"/>
      </w:r>
    </w:p>
    <w:p w14:paraId="546B99DA" w14:textId="77777777" w:rsidR="00BE0FB1" w:rsidRPr="006B4177" w:rsidRDefault="00BE0FB1" w:rsidP="00BE0FB1">
      <w:pPr>
        <w:spacing w:after="0" w:line="276" w:lineRule="auto"/>
        <w:jc w:val="both"/>
        <w:rPr>
          <w:rFonts w:asciiTheme="minorHAnsi" w:hAnsiTheme="minorHAnsi" w:cstheme="minorHAnsi"/>
          <w:lang w:val="en-GB"/>
        </w:rPr>
      </w:pPr>
    </w:p>
    <w:p w14:paraId="47FCBF71" w14:textId="43F833C0" w:rsidR="00BE0FB1" w:rsidRPr="006B4177" w:rsidRDefault="00BE0FB1" w:rsidP="00BE0FB1">
      <w:pPr>
        <w:pStyle w:val="ListParagraph"/>
        <w:numPr>
          <w:ilvl w:val="0"/>
          <w:numId w:val="2"/>
        </w:numPr>
        <w:spacing w:after="0" w:line="276" w:lineRule="auto"/>
        <w:ind w:left="0" w:hanging="357"/>
        <w:contextualSpacing w:val="0"/>
        <w:jc w:val="both"/>
        <w:rPr>
          <w:rStyle w:val="Standaardalinea-lettertype"/>
          <w:rFonts w:asciiTheme="minorHAnsi" w:hAnsiTheme="minorHAnsi" w:cstheme="minorHAnsi"/>
          <w:lang w:val="en-GB"/>
        </w:rPr>
      </w:pPr>
      <w:r w:rsidRPr="006B4177">
        <w:rPr>
          <w:rFonts w:asciiTheme="minorHAnsi" w:hAnsiTheme="minorHAnsi" w:cstheme="minorHAnsi"/>
        </w:rPr>
        <w:t>Trafficking for sexual purposes also is a problem within the country.</w:t>
      </w:r>
      <w:r w:rsidRPr="006B4177">
        <w:rPr>
          <w:rStyle w:val="EndnoteReference"/>
          <w:rFonts w:asciiTheme="minorHAnsi" w:hAnsiTheme="minorHAnsi" w:cstheme="minorHAnsi"/>
        </w:rPr>
        <w:endnoteReference w:id="25"/>
      </w:r>
      <w:r w:rsidRPr="006B4177">
        <w:rPr>
          <w:rFonts w:asciiTheme="minorHAnsi" w:hAnsiTheme="minorHAnsi" w:cstheme="minorHAnsi"/>
        </w:rPr>
        <w:t xml:space="preserve"> As a major tourist destination, Cebu city has become an infamous entry and exit point of many trafficked victims for sex tourism and exploitation of children in prostitution.</w:t>
      </w:r>
      <w:r w:rsidRPr="006B4177">
        <w:rPr>
          <w:rStyle w:val="EndnoteReference"/>
          <w:rFonts w:asciiTheme="minorHAnsi" w:hAnsiTheme="minorHAnsi" w:cstheme="minorHAnsi"/>
        </w:rPr>
        <w:endnoteReference w:id="26"/>
      </w:r>
      <w:r w:rsidRPr="006B4177">
        <w:rPr>
          <w:rFonts w:asciiTheme="minorHAnsi" w:hAnsiTheme="minorHAnsi" w:cstheme="minorHAnsi"/>
        </w:rPr>
        <w:t xml:space="preserve">  According to the TIP report, although the trafficking of children for sexual exploitation has declined in commercial establishments of some urban areas, it still remains a pervasive problem, typically abetted by taxi drivers who have knowledge of clandestine locations.</w:t>
      </w:r>
      <w:r w:rsidRPr="006B4177">
        <w:rPr>
          <w:rStyle w:val="EndnoteReference"/>
          <w:rFonts w:asciiTheme="minorHAnsi" w:hAnsiTheme="minorHAnsi" w:cstheme="minorHAnsi"/>
        </w:rPr>
        <w:endnoteReference w:id="27"/>
      </w:r>
      <w:r w:rsidRPr="006B4177">
        <w:rPr>
          <w:rFonts w:asciiTheme="minorHAnsi" w:hAnsiTheme="minorHAnsi" w:cstheme="minorHAnsi"/>
        </w:rPr>
        <w:t xml:space="preserve"> Children, and primarily girls, are trafficked domestically from rural communities urban areas and tourist destinations for sexual purposes.</w:t>
      </w:r>
      <w:r w:rsidRPr="006B4177">
        <w:rPr>
          <w:rStyle w:val="EndnoteReference"/>
          <w:rFonts w:asciiTheme="minorHAnsi" w:hAnsiTheme="minorHAnsi" w:cstheme="minorHAnsi"/>
        </w:rPr>
        <w:endnoteReference w:id="28"/>
      </w:r>
      <w:r w:rsidRPr="006B4177">
        <w:rPr>
          <w:rFonts w:asciiTheme="minorHAnsi" w:hAnsiTheme="minorHAnsi" w:cstheme="minorHAnsi"/>
        </w:rPr>
        <w:t xml:space="preserve"> The most vulnerable groups are women and children from rural communities, conflict- and disaster-affected areas, and impoverished centers. It is indeed believed that poverty, natural disasters and insurgencies are “push” factors, which amplify children’s and women’s vulnerability to human traffickers.</w:t>
      </w:r>
      <w:r w:rsidRPr="006B4177">
        <w:rPr>
          <w:rStyle w:val="EndnoteReference"/>
          <w:rFonts w:asciiTheme="minorHAnsi" w:hAnsiTheme="minorHAnsi" w:cstheme="minorHAnsi"/>
        </w:rPr>
        <w:endnoteReference w:id="29"/>
      </w:r>
      <w:r w:rsidRPr="006B4177">
        <w:rPr>
          <w:rFonts w:asciiTheme="minorHAnsi" w:hAnsiTheme="minorHAnsi" w:cstheme="minorHAnsi"/>
        </w:rPr>
        <w:t xml:space="preserve"> Reports of sexual exploitation of children affected by disasters spiked  in 2014, just less than a year after super typhoon Yolanda hit Eastern Visayas. </w:t>
      </w:r>
      <w:r w:rsidRPr="006B4177">
        <w:rPr>
          <w:rFonts w:asciiTheme="minorHAnsi" w:hAnsiTheme="minorHAnsi" w:cstheme="minorHAnsi"/>
          <w:shd w:val="clear" w:color="auto" w:fill="FFFFFF"/>
        </w:rPr>
        <w:t xml:space="preserve">DSWD Eastern Visayas rescued </w:t>
      </w:r>
      <w:r w:rsidRPr="006B4177">
        <w:rPr>
          <w:rFonts w:asciiTheme="minorHAnsi" w:hAnsiTheme="minorHAnsi" w:cstheme="minorHAnsi"/>
          <w:shd w:val="clear" w:color="auto" w:fill="FEFEFE"/>
        </w:rPr>
        <w:t>50 victims of trafficking in Tacloban, Catbalogan, Marabut, Ormoc, Baybay, Palo, and Camotes Islands. Most of them were minors.</w:t>
      </w:r>
      <w:r w:rsidRPr="006B4177">
        <w:rPr>
          <w:rStyle w:val="EndnoteReference"/>
          <w:rFonts w:asciiTheme="minorHAnsi" w:hAnsiTheme="minorHAnsi" w:cstheme="minorHAnsi"/>
          <w:shd w:val="clear" w:color="auto" w:fill="FEFEFE"/>
        </w:rPr>
        <w:endnoteReference w:id="30"/>
      </w:r>
      <w:r w:rsidRPr="006B4177">
        <w:rPr>
          <w:rFonts w:asciiTheme="minorHAnsi" w:hAnsiTheme="minorHAnsi" w:cstheme="minorHAnsi"/>
          <w:shd w:val="clear" w:color="auto" w:fill="FEFEFE"/>
        </w:rPr>
        <w:t xml:space="preserve"> </w:t>
      </w:r>
      <w:r w:rsidRPr="006B4177">
        <w:rPr>
          <w:rFonts w:asciiTheme="minorHAnsi" w:hAnsiTheme="minorHAnsi" w:cstheme="minorHAnsi"/>
        </w:rPr>
        <w:t>In April 2014, reports of r</w:t>
      </w:r>
      <w:r w:rsidRPr="006B4177">
        <w:rPr>
          <w:rFonts w:asciiTheme="minorHAnsi" w:hAnsiTheme="minorHAnsi" w:cstheme="minorHAnsi"/>
          <w:shd w:val="clear" w:color="auto" w:fill="FFFFFF"/>
        </w:rPr>
        <w:t>ampant prostitution in evacuation camps in Zamboanga have surfaced though unconfirmed.</w:t>
      </w:r>
      <w:r w:rsidRPr="006B4177">
        <w:rPr>
          <w:rStyle w:val="EndnoteReference"/>
          <w:rFonts w:asciiTheme="minorHAnsi" w:hAnsiTheme="minorHAnsi" w:cstheme="minorHAnsi"/>
          <w:shd w:val="clear" w:color="auto" w:fill="FFFFFF"/>
        </w:rPr>
        <w:endnoteReference w:id="31"/>
      </w:r>
    </w:p>
    <w:p w14:paraId="1D04AE97" w14:textId="77777777" w:rsidR="00BE0FB1" w:rsidRPr="006B4177" w:rsidRDefault="00BE0FB1" w:rsidP="00BE0FB1">
      <w:pPr>
        <w:spacing w:after="0" w:line="276" w:lineRule="auto"/>
        <w:jc w:val="both"/>
        <w:rPr>
          <w:rStyle w:val="Standaardalinea-lettertype"/>
          <w:rFonts w:asciiTheme="minorHAnsi" w:hAnsiTheme="minorHAnsi" w:cstheme="minorHAnsi"/>
          <w:lang w:val="en-GB"/>
        </w:rPr>
      </w:pPr>
    </w:p>
    <w:p w14:paraId="57AA8CCD" w14:textId="164740C0" w:rsidR="00BE0FB1" w:rsidRPr="006B4177" w:rsidRDefault="00BE0FB1" w:rsidP="00BE0FB1">
      <w:pPr>
        <w:pStyle w:val="ListParagraph"/>
        <w:numPr>
          <w:ilvl w:val="0"/>
          <w:numId w:val="2"/>
        </w:numPr>
        <w:spacing w:after="0" w:line="276" w:lineRule="auto"/>
        <w:ind w:left="0"/>
        <w:contextualSpacing w:val="0"/>
        <w:jc w:val="both"/>
        <w:rPr>
          <w:rStyle w:val="Standaardalinea-lettertype"/>
          <w:rFonts w:asciiTheme="minorHAnsi" w:hAnsiTheme="minorHAnsi" w:cstheme="minorHAnsi"/>
          <w:lang w:val="en-GB"/>
        </w:rPr>
      </w:pPr>
      <w:r w:rsidRPr="006B4177">
        <w:rPr>
          <w:rStyle w:val="Standaardalinea-lettertype"/>
          <w:rFonts w:asciiTheme="minorHAnsi" w:hAnsiTheme="minorHAnsi" w:cstheme="minorHAnsi"/>
          <w:lang w:val="en-GB"/>
        </w:rPr>
        <w:t>In 2018, the GoP investigated 407 cases, arrested 689 suspects and prosecuted 227 alleged traffickers, including 195 for sexual reasons.</w:t>
      </w:r>
      <w:r w:rsidRPr="006B4177">
        <w:rPr>
          <w:rStyle w:val="EndnoteReference"/>
          <w:rFonts w:asciiTheme="minorHAnsi" w:hAnsiTheme="minorHAnsi" w:cstheme="minorHAnsi"/>
          <w:lang w:val="en-GB"/>
        </w:rPr>
        <w:endnoteReference w:id="32"/>
      </w:r>
      <w:r w:rsidRPr="006B4177">
        <w:rPr>
          <w:rStyle w:val="Standaardalinea-lettertype"/>
          <w:rFonts w:asciiTheme="minorHAnsi" w:hAnsiTheme="minorHAnsi" w:cstheme="minorHAnsi"/>
          <w:lang w:val="en-GB"/>
        </w:rPr>
        <w:t xml:space="preserve"> It is however unclear how many of these cases concerned children. According to the US’s Department of State, the GoP convicted 77 traffickers, including 27 for trafficking of children for sexual exploitation online.</w:t>
      </w:r>
      <w:r w:rsidRPr="006B4177">
        <w:rPr>
          <w:rStyle w:val="EndnoteReference"/>
          <w:rFonts w:asciiTheme="minorHAnsi" w:hAnsiTheme="minorHAnsi" w:cstheme="minorHAnsi"/>
          <w:lang w:val="en-GB"/>
        </w:rPr>
        <w:endnoteReference w:id="33"/>
      </w:r>
      <w:r w:rsidRPr="006B4177">
        <w:rPr>
          <w:rStyle w:val="Standaardalinea-lettertype"/>
          <w:rFonts w:asciiTheme="minorHAnsi" w:hAnsiTheme="minorHAnsi" w:cstheme="minorHAnsi"/>
          <w:lang w:val="en-GB"/>
        </w:rPr>
        <w:t xml:space="preserve"> Reportedly, the GoP did however not sufficiently investigate into allegations of officials involved in trafficking crimes.</w:t>
      </w:r>
      <w:r w:rsidRPr="006B4177">
        <w:rPr>
          <w:rStyle w:val="EndnoteReference"/>
          <w:rFonts w:asciiTheme="minorHAnsi" w:hAnsiTheme="minorHAnsi" w:cstheme="minorHAnsi"/>
          <w:lang w:val="en-GB"/>
        </w:rPr>
        <w:endnoteReference w:id="34"/>
      </w:r>
      <w:r w:rsidRPr="006B4177">
        <w:rPr>
          <w:rStyle w:val="Standaardalinea-lettertype"/>
          <w:rFonts w:asciiTheme="minorHAnsi" w:hAnsiTheme="minorHAnsi" w:cstheme="minorHAnsi"/>
          <w:lang w:val="en-GB"/>
        </w:rPr>
        <w:t xml:space="preserve"> </w:t>
      </w:r>
    </w:p>
    <w:p w14:paraId="44E88C48" w14:textId="77777777" w:rsidR="00BE0FB1" w:rsidRPr="006B4177" w:rsidRDefault="00BE0FB1" w:rsidP="00BE0FB1">
      <w:pPr>
        <w:spacing w:after="0" w:line="276" w:lineRule="auto"/>
        <w:jc w:val="both"/>
        <w:rPr>
          <w:rStyle w:val="Standaardalinea-lettertype"/>
          <w:rFonts w:asciiTheme="minorHAnsi" w:hAnsiTheme="minorHAnsi" w:cstheme="minorHAnsi"/>
          <w:lang w:val="en-GB"/>
        </w:rPr>
      </w:pPr>
    </w:p>
    <w:p w14:paraId="285A9101" w14:textId="77777777" w:rsidR="00BE0FB1" w:rsidRPr="006B4177" w:rsidRDefault="00BE0FB1" w:rsidP="00BE0FB1">
      <w:pPr>
        <w:pStyle w:val="Heading2"/>
        <w:spacing w:before="0" w:line="276" w:lineRule="auto"/>
        <w:jc w:val="both"/>
        <w:rPr>
          <w:rStyle w:val="Standaardalinea-lettertype"/>
          <w:rFonts w:cstheme="minorHAnsi"/>
          <w:szCs w:val="22"/>
        </w:rPr>
      </w:pPr>
      <w:bookmarkStart w:id="12" w:name="_Toc30781479"/>
      <w:r w:rsidRPr="006B4177">
        <w:rPr>
          <w:rStyle w:val="Standaardalinea-lettertype"/>
          <w:rFonts w:cstheme="minorHAnsi"/>
          <w:szCs w:val="22"/>
        </w:rPr>
        <w:t>Sexual exploitation of children in travel and tourism (SECTT)</w:t>
      </w:r>
      <w:bookmarkEnd w:id="12"/>
    </w:p>
    <w:p w14:paraId="3579ADF4" w14:textId="77777777" w:rsidR="00BE0FB1" w:rsidRPr="006B4177" w:rsidRDefault="00BE0FB1" w:rsidP="00BE0FB1">
      <w:pPr>
        <w:spacing w:after="0" w:line="276" w:lineRule="auto"/>
        <w:jc w:val="both"/>
        <w:rPr>
          <w:rStyle w:val="Standaardalinea-lettertype"/>
          <w:rFonts w:asciiTheme="minorHAnsi" w:hAnsiTheme="minorHAnsi" w:cstheme="minorHAnsi"/>
          <w:lang w:val="en-GB"/>
        </w:rPr>
      </w:pPr>
    </w:p>
    <w:p w14:paraId="18133446" w14:textId="09B37676" w:rsidR="00BE0FB1" w:rsidRPr="006B4177" w:rsidRDefault="00BE0FB1" w:rsidP="00BE0FB1">
      <w:pPr>
        <w:pStyle w:val="ListParagraph"/>
        <w:numPr>
          <w:ilvl w:val="0"/>
          <w:numId w:val="2"/>
        </w:numPr>
        <w:spacing w:after="0" w:line="276" w:lineRule="auto"/>
        <w:ind w:left="0"/>
        <w:contextualSpacing w:val="0"/>
        <w:jc w:val="both"/>
        <w:rPr>
          <w:rStyle w:val="Standaardalinea-lettertype"/>
          <w:rFonts w:asciiTheme="minorHAnsi" w:hAnsiTheme="minorHAnsi" w:cstheme="minorHAnsi"/>
          <w:lang w:val="en-GB"/>
        </w:rPr>
      </w:pPr>
      <w:r w:rsidRPr="006B4177">
        <w:rPr>
          <w:rStyle w:val="Standaardalinea-lettertype"/>
          <w:rFonts w:asciiTheme="minorHAnsi" w:hAnsiTheme="minorHAnsi" w:cstheme="minorHAnsi"/>
          <w:lang w:val="en-GB"/>
        </w:rPr>
        <w:t>According to the local department of tourism, more than 6 million visitors came to the Philippines from January to September 2019</w:t>
      </w:r>
      <w:r w:rsidRPr="006B4177">
        <w:rPr>
          <w:rStyle w:val="EndnoteReference"/>
          <w:rFonts w:asciiTheme="minorHAnsi" w:hAnsiTheme="minorHAnsi" w:cstheme="minorHAnsi"/>
          <w:lang w:val="en-GB"/>
        </w:rPr>
        <w:endnoteReference w:id="35"/>
      </w:r>
      <w:r w:rsidRPr="006B4177">
        <w:rPr>
          <w:rStyle w:val="Standaardalinea-lettertype"/>
          <w:rFonts w:asciiTheme="minorHAnsi" w:hAnsiTheme="minorHAnsi" w:cstheme="minorHAnsi"/>
          <w:lang w:val="en-GB"/>
        </w:rPr>
        <w:t xml:space="preserve"> A new airport terminal is programmed to open on the outskirts of Angeles in 2020. As the number of visitors to the region is expected to triple, concerns have been raised regarding the risks this represent to the exploitation of children in trafficking and tourism.</w:t>
      </w:r>
      <w:r w:rsidRPr="006B4177">
        <w:rPr>
          <w:rStyle w:val="EndnoteReference"/>
          <w:rFonts w:asciiTheme="minorHAnsi" w:hAnsiTheme="minorHAnsi" w:cstheme="minorHAnsi"/>
          <w:lang w:val="en-GB"/>
        </w:rPr>
        <w:endnoteReference w:id="36"/>
      </w:r>
    </w:p>
    <w:p w14:paraId="33C9119C" w14:textId="77777777" w:rsidR="00BE0FB1" w:rsidRPr="006B4177" w:rsidRDefault="00BE0FB1" w:rsidP="00BE0FB1">
      <w:pPr>
        <w:spacing w:after="0" w:line="276" w:lineRule="auto"/>
        <w:jc w:val="both"/>
        <w:rPr>
          <w:rStyle w:val="Standaardalinea-lettertype"/>
          <w:rFonts w:asciiTheme="minorHAnsi" w:hAnsiTheme="minorHAnsi" w:cstheme="minorHAnsi"/>
          <w:lang w:val="en-GB"/>
        </w:rPr>
      </w:pPr>
    </w:p>
    <w:p w14:paraId="43B55FA5" w14:textId="2B2B6887" w:rsidR="00BE0FB1" w:rsidRPr="006B4177" w:rsidRDefault="00BE0FB1" w:rsidP="00BE0FB1">
      <w:pPr>
        <w:pStyle w:val="ListParagraph"/>
        <w:numPr>
          <w:ilvl w:val="0"/>
          <w:numId w:val="2"/>
        </w:numPr>
        <w:spacing w:after="0" w:line="276" w:lineRule="auto"/>
        <w:ind w:left="0"/>
        <w:contextualSpacing w:val="0"/>
        <w:jc w:val="both"/>
        <w:rPr>
          <w:rStyle w:val="Standaardalinea-lettertype"/>
          <w:rFonts w:asciiTheme="minorHAnsi" w:hAnsiTheme="minorHAnsi" w:cstheme="minorHAnsi"/>
          <w:lang w:val="en-GB"/>
        </w:rPr>
      </w:pPr>
      <w:r w:rsidRPr="006B4177">
        <w:rPr>
          <w:rStyle w:val="Standaardalinea-lettertype"/>
          <w:rFonts w:asciiTheme="minorHAnsi" w:hAnsiTheme="minorHAnsi" w:cstheme="minorHAnsi"/>
          <w:lang w:val="en-GB"/>
        </w:rPr>
        <w:t>Reportedly, a significant number of visitors are men coming alone, principally from the U.K., Korea, the U.S., China and Australia.</w:t>
      </w:r>
      <w:r w:rsidRPr="006B4177">
        <w:rPr>
          <w:rStyle w:val="EndnoteReference"/>
          <w:rFonts w:asciiTheme="minorHAnsi" w:hAnsiTheme="minorHAnsi" w:cstheme="minorHAnsi"/>
          <w:lang w:val="en-GB"/>
        </w:rPr>
        <w:endnoteReference w:id="37"/>
      </w:r>
      <w:r w:rsidRPr="006B4177">
        <w:rPr>
          <w:rStyle w:val="Standaardalinea-lettertype"/>
          <w:rFonts w:asciiTheme="minorHAnsi" w:hAnsiTheme="minorHAnsi" w:cstheme="minorHAnsi"/>
          <w:lang w:val="en-GB"/>
        </w:rPr>
        <w:t xml:space="preserve"> According to the Coalition against Trafficking in Women, some 15,000 Australian men a year visit the Philippines on so-called “sex tours”.</w:t>
      </w:r>
      <w:r w:rsidRPr="006B4177">
        <w:rPr>
          <w:rStyle w:val="EndnoteReference"/>
          <w:rFonts w:asciiTheme="minorHAnsi" w:hAnsiTheme="minorHAnsi" w:cstheme="minorHAnsi"/>
          <w:lang w:val="en-GB"/>
        </w:rPr>
        <w:endnoteReference w:id="38"/>
      </w:r>
      <w:r w:rsidRPr="006B4177">
        <w:rPr>
          <w:rStyle w:val="Standaardalinea-lettertype"/>
          <w:rFonts w:asciiTheme="minorHAnsi" w:hAnsiTheme="minorHAnsi" w:cstheme="minorHAnsi"/>
          <w:lang w:val="en-GB"/>
        </w:rPr>
        <w:t xml:space="preserve"> The TIP report writes that many sex tourists in the Philippines are actually convicted or charged sex offenders or paedophiles in their home country.</w:t>
      </w:r>
      <w:r w:rsidRPr="006B4177">
        <w:rPr>
          <w:rStyle w:val="EndnoteReference"/>
          <w:rFonts w:asciiTheme="minorHAnsi" w:hAnsiTheme="minorHAnsi" w:cstheme="minorHAnsi"/>
          <w:lang w:val="en-GB"/>
        </w:rPr>
        <w:endnoteReference w:id="39"/>
      </w:r>
      <w:r w:rsidRPr="006B4177">
        <w:rPr>
          <w:rStyle w:val="Standaardalinea-lettertype"/>
          <w:rFonts w:asciiTheme="minorHAnsi" w:hAnsiTheme="minorHAnsi" w:cstheme="minorHAnsi"/>
          <w:lang w:val="en-GB"/>
        </w:rPr>
        <w:t xml:space="preserve"> Manila, Angeles, Cebu City, Subic Bay and Pasay City are known as the major sex destinations of the Philippines.</w:t>
      </w:r>
      <w:r w:rsidRPr="006B4177">
        <w:rPr>
          <w:rStyle w:val="EndnoteReference"/>
          <w:rFonts w:asciiTheme="minorHAnsi" w:hAnsiTheme="minorHAnsi" w:cstheme="minorHAnsi"/>
          <w:lang w:val="en-GB"/>
        </w:rPr>
        <w:endnoteReference w:id="40"/>
      </w:r>
    </w:p>
    <w:p w14:paraId="686F171E" w14:textId="77777777" w:rsidR="00BE0FB1" w:rsidRPr="006B4177" w:rsidRDefault="00BE0FB1" w:rsidP="00BE0FB1">
      <w:pPr>
        <w:pStyle w:val="ListParagraph"/>
        <w:spacing w:after="0" w:line="276" w:lineRule="auto"/>
        <w:jc w:val="both"/>
        <w:rPr>
          <w:rStyle w:val="Standaardalinea-lettertype"/>
          <w:rFonts w:asciiTheme="minorHAnsi" w:hAnsiTheme="minorHAnsi" w:cstheme="minorHAnsi"/>
          <w:lang w:val="en-GB"/>
        </w:rPr>
      </w:pPr>
    </w:p>
    <w:p w14:paraId="68595B2D" w14:textId="2596EB63" w:rsidR="00BE0FB1" w:rsidRPr="006B4177" w:rsidRDefault="00BE0FB1" w:rsidP="00BE0FB1">
      <w:pPr>
        <w:pStyle w:val="CommentText"/>
        <w:numPr>
          <w:ilvl w:val="0"/>
          <w:numId w:val="2"/>
        </w:numPr>
        <w:spacing w:after="0" w:line="276" w:lineRule="auto"/>
        <w:ind w:left="142" w:hanging="426"/>
        <w:jc w:val="both"/>
        <w:rPr>
          <w:rFonts w:asciiTheme="minorHAnsi" w:hAnsiTheme="minorHAnsi" w:cstheme="minorHAnsi"/>
          <w:sz w:val="22"/>
          <w:szCs w:val="22"/>
        </w:rPr>
      </w:pPr>
      <w:r w:rsidRPr="006B4177">
        <w:rPr>
          <w:rFonts w:asciiTheme="minorHAnsi" w:hAnsiTheme="minorHAnsi" w:cstheme="minorHAnsi"/>
          <w:sz w:val="22"/>
          <w:szCs w:val="22"/>
        </w:rPr>
        <w:t xml:space="preserve">On January 28, 2019, a Senate Hearing on the proliferation of prostitution related to Philippines offshore gaming operators (POGOs) exposed that children as young as 14 are being recruited in Chinese prositution dens and sold to foreigners for sex. Offenders are mostly Chinese workers and customers of POGOs. The girls are offered like a menu via </w:t>
      </w:r>
      <w:r w:rsidRPr="006B4177">
        <w:rPr>
          <w:rFonts w:asciiTheme="minorHAnsi" w:hAnsiTheme="minorHAnsi" w:cstheme="minorHAnsi"/>
          <w:color w:val="1C1E21"/>
          <w:sz w:val="22"/>
          <w:szCs w:val="22"/>
          <w:shd w:val="clear" w:color="auto" w:fill="FFFFFF"/>
        </w:rPr>
        <w:t>social media platforms i.e. WeChat and Telegram. Once 'booked', they are brought to hotels -- which are also used as prostitution fronts -- for the actual abuse.</w:t>
      </w:r>
      <w:r w:rsidRPr="006B4177">
        <w:rPr>
          <w:rStyle w:val="EndnoteReference"/>
          <w:rFonts w:asciiTheme="minorHAnsi" w:hAnsiTheme="minorHAnsi" w:cstheme="minorHAnsi"/>
          <w:color w:val="1C1E21"/>
          <w:sz w:val="22"/>
          <w:szCs w:val="22"/>
          <w:shd w:val="clear" w:color="auto" w:fill="FFFFFF"/>
        </w:rPr>
        <w:endnoteReference w:id="41"/>
      </w:r>
    </w:p>
    <w:p w14:paraId="470BAF47" w14:textId="77777777" w:rsidR="00BE0FB1" w:rsidRPr="006B4177" w:rsidRDefault="00BE0FB1" w:rsidP="00BE0FB1">
      <w:pPr>
        <w:pStyle w:val="CommentText"/>
        <w:spacing w:after="0" w:line="276" w:lineRule="auto"/>
        <w:jc w:val="both"/>
        <w:rPr>
          <w:rFonts w:asciiTheme="minorHAnsi" w:hAnsiTheme="minorHAnsi" w:cstheme="minorHAnsi"/>
          <w:sz w:val="22"/>
          <w:szCs w:val="22"/>
        </w:rPr>
      </w:pPr>
    </w:p>
    <w:p w14:paraId="3B55DF94" w14:textId="360B5A88" w:rsidR="00BE0FB1" w:rsidRPr="006B4177" w:rsidRDefault="00BE0FB1" w:rsidP="00BE0FB1">
      <w:pPr>
        <w:pStyle w:val="ListParagraph"/>
        <w:numPr>
          <w:ilvl w:val="0"/>
          <w:numId w:val="2"/>
        </w:numPr>
        <w:spacing w:after="0" w:line="276" w:lineRule="auto"/>
        <w:ind w:left="0"/>
        <w:contextualSpacing w:val="0"/>
        <w:jc w:val="both"/>
        <w:rPr>
          <w:rStyle w:val="Standaardalinea-lettertype"/>
          <w:rFonts w:asciiTheme="minorHAnsi" w:hAnsiTheme="minorHAnsi" w:cstheme="minorHAnsi"/>
          <w:lang w:val="en-GB"/>
        </w:rPr>
      </w:pPr>
      <w:r w:rsidRPr="006B4177">
        <w:rPr>
          <w:rFonts w:asciiTheme="minorHAnsi" w:hAnsiTheme="minorHAnsi" w:cstheme="minorHAnsi"/>
          <w:color w:val="222222"/>
          <w:shd w:val="clear" w:color="auto" w:fill="FFFFFF"/>
        </w:rPr>
        <w:t xml:space="preserve">There is also a notable rise in the number of child sex offenders coming from South Korea. In 2006, ECPAT Philippines conducted a study, which first confirmed </w:t>
      </w:r>
      <w:r w:rsidRPr="006B4177">
        <w:rPr>
          <w:rFonts w:asciiTheme="minorHAnsi" w:eastAsia="Times New Roman" w:hAnsiTheme="minorHAnsi" w:cstheme="minorHAnsi"/>
          <w:color w:val="222222"/>
          <w:lang w:val="en-US" w:eastAsia="en-US"/>
        </w:rPr>
        <w:t>the growing trend of Korean male visitors impregnating Filipino young women involved in the sex trade. Most of the girl respondents to the study were teenagers, some were no more than 15 years old. All of them left behind with a child to rear, but without paternal and financial support from the Korean offenders. This phenomenon has pushed families deeper into poverty and left many Korean-Filipino children feel neglected.</w:t>
      </w:r>
      <w:r w:rsidRPr="006B4177">
        <w:rPr>
          <w:rStyle w:val="EndnoteReference"/>
          <w:rFonts w:asciiTheme="minorHAnsi" w:eastAsia="Times New Roman" w:hAnsiTheme="minorHAnsi" w:cstheme="minorHAnsi"/>
          <w:color w:val="222222"/>
          <w:lang w:val="en-US" w:eastAsia="en-US"/>
        </w:rPr>
        <w:endnoteReference w:id="42"/>
      </w:r>
    </w:p>
    <w:p w14:paraId="20230BD8" w14:textId="77777777" w:rsidR="00BE0FB1" w:rsidRPr="006B4177" w:rsidRDefault="00BE0FB1" w:rsidP="00BE0FB1">
      <w:pPr>
        <w:pStyle w:val="ListParagraph"/>
        <w:spacing w:after="0" w:line="276" w:lineRule="auto"/>
        <w:ind w:left="0"/>
        <w:contextualSpacing w:val="0"/>
        <w:jc w:val="both"/>
        <w:rPr>
          <w:rFonts w:asciiTheme="minorHAnsi" w:hAnsiTheme="minorHAnsi" w:cstheme="minorHAnsi"/>
          <w:lang w:val="en-GB"/>
        </w:rPr>
      </w:pPr>
    </w:p>
    <w:p w14:paraId="7B8A1B35" w14:textId="77777777" w:rsidR="00BE0FB1" w:rsidRPr="006B4177" w:rsidRDefault="00BE0FB1" w:rsidP="00BE0FB1">
      <w:pPr>
        <w:pStyle w:val="Heading2"/>
        <w:spacing w:before="0" w:line="276" w:lineRule="auto"/>
        <w:jc w:val="both"/>
        <w:rPr>
          <w:rStyle w:val="Standaardalinea-lettertype"/>
          <w:rFonts w:cstheme="minorHAnsi"/>
          <w:szCs w:val="22"/>
        </w:rPr>
      </w:pPr>
      <w:bookmarkStart w:id="13" w:name="_Toc23513393"/>
      <w:bookmarkStart w:id="14" w:name="_Toc30781480"/>
      <w:r w:rsidRPr="006B4177">
        <w:rPr>
          <w:rStyle w:val="Standaardalinea-lettertype"/>
          <w:rFonts w:cstheme="minorHAnsi"/>
          <w:szCs w:val="22"/>
        </w:rPr>
        <w:t>Online child sexual exploitation (OCSE)</w:t>
      </w:r>
      <w:bookmarkEnd w:id="13"/>
      <w:bookmarkEnd w:id="14"/>
    </w:p>
    <w:p w14:paraId="7C42B3DD" w14:textId="77777777" w:rsidR="00BE0FB1" w:rsidRPr="006B4177" w:rsidRDefault="00BE0FB1" w:rsidP="00BE0FB1">
      <w:pPr>
        <w:spacing w:after="0" w:line="276" w:lineRule="auto"/>
        <w:jc w:val="both"/>
        <w:rPr>
          <w:rFonts w:asciiTheme="minorHAnsi" w:hAnsiTheme="minorHAnsi" w:cstheme="minorHAnsi"/>
        </w:rPr>
      </w:pPr>
    </w:p>
    <w:p w14:paraId="25FB2FFB" w14:textId="5EFEAE42"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lang w:val="en-US"/>
        </w:rPr>
      </w:pPr>
      <w:r w:rsidRPr="006B4177">
        <w:rPr>
          <w:rStyle w:val="Standaardalinea-lettertype"/>
          <w:rFonts w:asciiTheme="minorHAnsi" w:eastAsia="Times-Roman" w:hAnsiTheme="minorHAnsi" w:cstheme="minorHAnsi"/>
          <w:lang w:val="en-GB"/>
        </w:rPr>
        <w:t>In 2018, there were around 126 mobile cellular subscriptions per 100 inhabitants and 60% people using the Internet (2017 data).</w:t>
      </w:r>
      <w:r w:rsidRPr="006B4177">
        <w:rPr>
          <w:rStyle w:val="EndnoteReference"/>
          <w:rFonts w:asciiTheme="minorHAnsi" w:eastAsia="Times-Roman" w:hAnsiTheme="minorHAnsi" w:cstheme="minorHAnsi"/>
          <w:lang w:val="en-GB"/>
        </w:rPr>
        <w:endnoteReference w:id="43"/>
      </w:r>
      <w:r w:rsidRPr="006B4177">
        <w:rPr>
          <w:rStyle w:val="Standaardalinea-lettertype"/>
          <w:rFonts w:asciiTheme="minorHAnsi" w:eastAsia="Times-Roman" w:hAnsiTheme="minorHAnsi" w:cstheme="minorHAnsi"/>
          <w:lang w:val="en-GB"/>
        </w:rPr>
        <w:t xml:space="preserve"> The Free Public Access Program is expanding connectivity throughout the country and more than 8,000 access points were reportedly made operational in 2019.</w:t>
      </w:r>
      <w:r w:rsidRPr="006B4177">
        <w:rPr>
          <w:rStyle w:val="EndnoteReference"/>
          <w:rFonts w:asciiTheme="minorHAnsi" w:eastAsia="Times-Roman" w:hAnsiTheme="minorHAnsi" w:cstheme="minorHAnsi"/>
          <w:lang w:val="en-GB"/>
        </w:rPr>
        <w:endnoteReference w:id="44"/>
      </w:r>
      <w:r w:rsidRPr="006B4177">
        <w:rPr>
          <w:rStyle w:val="Standaardalinea-lettertype"/>
          <w:rFonts w:asciiTheme="minorHAnsi" w:hAnsiTheme="minorHAnsi" w:cstheme="minorHAnsi"/>
          <w:lang w:val="en-US"/>
        </w:rPr>
        <w:t xml:space="preserve"> But </w:t>
      </w:r>
      <w:r w:rsidRPr="006B4177">
        <w:rPr>
          <w:rStyle w:val="Standaardalinea-lettertype"/>
          <w:rFonts w:asciiTheme="minorHAnsi" w:eastAsia="Times-Roman" w:hAnsiTheme="minorHAnsi" w:cstheme="minorHAnsi"/>
          <w:lang w:val="en-GB"/>
        </w:rPr>
        <w:t xml:space="preserve">if new technologies are conducive to innovation, they can also have negative consequences, increasing children’s vulnerability to sexual exploitation. </w:t>
      </w:r>
      <w:r w:rsidRPr="006B4177">
        <w:rPr>
          <w:rFonts w:asciiTheme="minorHAnsi" w:hAnsiTheme="minorHAnsi" w:cstheme="minorHAnsi"/>
          <w:color w:val="212121"/>
          <w:shd w:val="clear" w:color="auto" w:fill="FFFFFF"/>
        </w:rPr>
        <w:t>Research indicates that the Philippines is the top global Internet source of online sexual exploitation of children.</w:t>
      </w:r>
      <w:r w:rsidRPr="006B4177">
        <w:rPr>
          <w:rStyle w:val="EndnoteReference"/>
          <w:rFonts w:asciiTheme="minorHAnsi" w:hAnsiTheme="minorHAnsi" w:cstheme="minorHAnsi"/>
          <w:color w:val="212121"/>
          <w:shd w:val="clear" w:color="auto" w:fill="FFFFFF"/>
        </w:rPr>
        <w:endnoteReference w:id="45"/>
      </w:r>
      <w:r w:rsidRPr="006B4177">
        <w:rPr>
          <w:rFonts w:asciiTheme="minorHAnsi" w:hAnsiTheme="minorHAnsi" w:cstheme="minorHAnsi"/>
          <w:color w:val="212121"/>
          <w:shd w:val="clear" w:color="auto" w:fill="FFFFFF"/>
        </w:rPr>
        <w:t xml:space="preserve"> As shown by the NBS-VAC, </w:t>
      </w:r>
      <w:r w:rsidRPr="006B4177">
        <w:rPr>
          <w:rFonts w:asciiTheme="minorHAnsi" w:hAnsiTheme="minorHAnsi" w:cstheme="minorHAnsi"/>
        </w:rPr>
        <w:t>one-in-two children (48.5%) experienced cyber violence: 33.7% were verbally abused over the Internet or cell phone, 25.4% have been shown sex videos and photos of sex organs or the sexual activities of other people, 29.4% were sent sexual messages, and 3% have had their nude body or own sexual activities shown on the Internet or a cell phone.</w:t>
      </w:r>
      <w:r w:rsidRPr="006B4177">
        <w:rPr>
          <w:rStyle w:val="EndnoteReference"/>
          <w:rFonts w:asciiTheme="minorHAnsi" w:hAnsiTheme="minorHAnsi" w:cstheme="minorHAnsi"/>
        </w:rPr>
        <w:endnoteReference w:id="46"/>
      </w:r>
      <w:r w:rsidRPr="006B4177">
        <w:rPr>
          <w:rFonts w:asciiTheme="minorHAnsi" w:hAnsiTheme="minorHAnsi" w:cstheme="minorHAnsi"/>
          <w:color w:val="212121"/>
          <w:shd w:val="clear" w:color="auto" w:fill="FFFFFF"/>
        </w:rPr>
        <w:t xml:space="preserve"> According to the latest available data, the Philippines Department of Justice’s Office of Cybercime reviewed over 576,000 reports of online chile abuse in 2018.</w:t>
      </w:r>
      <w:r w:rsidRPr="006B4177">
        <w:rPr>
          <w:rStyle w:val="EndnoteReference"/>
          <w:rFonts w:asciiTheme="minorHAnsi" w:hAnsiTheme="minorHAnsi" w:cstheme="minorHAnsi"/>
          <w:color w:val="212121"/>
          <w:shd w:val="clear" w:color="auto" w:fill="FFFFFF"/>
        </w:rPr>
        <w:endnoteReference w:id="47"/>
      </w:r>
      <w:r w:rsidRPr="006B4177">
        <w:rPr>
          <w:rFonts w:asciiTheme="minorHAnsi" w:hAnsiTheme="minorHAnsi" w:cstheme="minorHAnsi"/>
          <w:color w:val="212121"/>
          <w:shd w:val="clear" w:color="auto" w:fill="FFFFFF"/>
        </w:rPr>
        <w:t xml:space="preserve"> </w:t>
      </w:r>
      <w:r w:rsidRPr="006B4177">
        <w:rPr>
          <w:rFonts w:asciiTheme="minorHAnsi" w:hAnsiTheme="minorHAnsi" w:cstheme="minorHAnsi"/>
          <w:color w:val="333333"/>
        </w:rPr>
        <w:t>According to the 2019 TIP report, only 27 perpetrators of OCSE were convicted in 2018.</w:t>
      </w:r>
      <w:r w:rsidRPr="006B4177">
        <w:rPr>
          <w:rStyle w:val="EndnoteReference"/>
          <w:rFonts w:asciiTheme="minorHAnsi" w:hAnsiTheme="minorHAnsi" w:cstheme="minorHAnsi"/>
          <w:color w:val="333333"/>
        </w:rPr>
        <w:endnoteReference w:id="48"/>
      </w:r>
    </w:p>
    <w:p w14:paraId="306C6C0D" w14:textId="77777777" w:rsidR="00BE0FB1" w:rsidRPr="006B4177" w:rsidRDefault="00BE0FB1" w:rsidP="00BE0FB1">
      <w:pPr>
        <w:spacing w:after="0" w:line="276" w:lineRule="auto"/>
        <w:jc w:val="both"/>
        <w:rPr>
          <w:rFonts w:asciiTheme="minorHAnsi" w:hAnsiTheme="minorHAnsi" w:cstheme="minorHAnsi"/>
          <w:lang w:val="en-US"/>
        </w:rPr>
      </w:pPr>
    </w:p>
    <w:p w14:paraId="4A7A0D95" w14:textId="422F6D7F"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lang w:val="en-US"/>
        </w:rPr>
      </w:pPr>
      <w:r w:rsidRPr="006B4177">
        <w:rPr>
          <w:rFonts w:asciiTheme="minorHAnsi" w:hAnsiTheme="minorHAnsi" w:cstheme="minorHAnsi"/>
          <w:color w:val="212121"/>
          <w:shd w:val="clear" w:color="auto" w:fill="FFFFFF"/>
        </w:rPr>
        <w:t>Children are induced to perform sex acts at the direction of paying foreigners and local Filipinos for live Internet broadcasts, which usually take place in small Internet cafes, windowless dungeon-like buildings commonly known as "cybersex dens", or private homes.</w:t>
      </w:r>
      <w:r w:rsidRPr="006B4177">
        <w:rPr>
          <w:rStyle w:val="EndnoteReference"/>
          <w:rFonts w:asciiTheme="minorHAnsi" w:hAnsiTheme="minorHAnsi" w:cstheme="minorHAnsi"/>
          <w:color w:val="212121"/>
          <w:shd w:val="clear" w:color="auto" w:fill="FFFFFF"/>
        </w:rPr>
        <w:endnoteReference w:id="49"/>
      </w:r>
      <w:r w:rsidRPr="006B4177">
        <w:rPr>
          <w:rFonts w:asciiTheme="minorHAnsi" w:hAnsiTheme="minorHAnsi" w:cstheme="minorHAnsi"/>
          <w:color w:val="212121"/>
          <w:shd w:val="clear" w:color="auto" w:fill="FFFFFF"/>
        </w:rPr>
        <w:t xml:space="preserve"> In recent years, families have reportedly been increasingly involved in the online sexual exploitation of their children – whom they live-stream while naked or engaged in sexual performances.</w:t>
      </w:r>
      <w:r w:rsidRPr="006B4177">
        <w:rPr>
          <w:rStyle w:val="EndnoteReference"/>
          <w:rFonts w:asciiTheme="minorHAnsi" w:hAnsiTheme="minorHAnsi" w:cstheme="minorHAnsi"/>
          <w:color w:val="212121"/>
          <w:shd w:val="clear" w:color="auto" w:fill="FFFFFF"/>
        </w:rPr>
        <w:endnoteReference w:id="50"/>
      </w:r>
      <w:r w:rsidRPr="006B4177">
        <w:rPr>
          <w:rFonts w:asciiTheme="minorHAnsi" w:hAnsiTheme="minorHAnsi" w:cstheme="minorHAnsi"/>
          <w:color w:val="212121"/>
          <w:shd w:val="clear" w:color="auto" w:fill="FFFFFF"/>
        </w:rPr>
        <w:t xml:space="preserve"> Motivations range from poverty, greed, to cultural views according to which cybersex would not been as damaging as conventional prostitution.</w:t>
      </w:r>
      <w:r w:rsidRPr="006B4177">
        <w:rPr>
          <w:rStyle w:val="EndnoteReference"/>
          <w:rFonts w:asciiTheme="minorHAnsi" w:hAnsiTheme="minorHAnsi" w:cstheme="minorHAnsi"/>
          <w:color w:val="212121"/>
          <w:shd w:val="clear" w:color="auto" w:fill="FFFFFF"/>
        </w:rPr>
        <w:endnoteReference w:id="51"/>
      </w:r>
      <w:r w:rsidRPr="006B4177">
        <w:rPr>
          <w:rFonts w:asciiTheme="minorHAnsi" w:hAnsiTheme="minorHAnsi" w:cstheme="minorHAnsi"/>
          <w:color w:val="212121"/>
          <w:shd w:val="clear" w:color="auto" w:fill="FFFFFF"/>
        </w:rPr>
        <w:t xml:space="preserve"> Money transfer services are often being used by offenders tos end payments in cases of OCSE in the Philippines.</w:t>
      </w:r>
      <w:r w:rsidRPr="006B4177">
        <w:rPr>
          <w:rStyle w:val="EndnoteReference"/>
          <w:rFonts w:asciiTheme="minorHAnsi" w:hAnsiTheme="minorHAnsi" w:cstheme="minorHAnsi"/>
          <w:color w:val="212121"/>
          <w:shd w:val="clear" w:color="auto" w:fill="FFFFFF"/>
        </w:rPr>
        <w:endnoteReference w:id="52"/>
      </w:r>
    </w:p>
    <w:p w14:paraId="4767E552" w14:textId="77777777" w:rsidR="00BE0FB1" w:rsidRPr="006B4177" w:rsidRDefault="00BE0FB1" w:rsidP="00BE0FB1">
      <w:pPr>
        <w:pStyle w:val="ListParagraph"/>
        <w:spacing w:after="0" w:line="276" w:lineRule="auto"/>
        <w:jc w:val="both"/>
        <w:rPr>
          <w:rFonts w:asciiTheme="minorHAnsi" w:hAnsiTheme="minorHAnsi" w:cstheme="minorHAnsi"/>
          <w:color w:val="212121"/>
          <w:shd w:val="clear" w:color="auto" w:fill="FFFFFF"/>
          <w:lang w:val="en-US"/>
        </w:rPr>
      </w:pPr>
    </w:p>
    <w:p w14:paraId="77D54C9C" w14:textId="470C1CFF"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lang w:val="en-US"/>
        </w:rPr>
      </w:pPr>
      <w:r w:rsidRPr="006B4177">
        <w:rPr>
          <w:rFonts w:asciiTheme="minorHAnsi" w:hAnsiTheme="minorHAnsi" w:cstheme="minorHAnsi"/>
          <w:color w:val="212121"/>
          <w:shd w:val="clear" w:color="auto" w:fill="FFFFFF"/>
        </w:rPr>
        <w:t>NGOs noted an increased risk for male victims in recent years.</w:t>
      </w:r>
      <w:r w:rsidRPr="006B4177">
        <w:rPr>
          <w:rStyle w:val="EndnoteReference"/>
          <w:rFonts w:asciiTheme="minorHAnsi" w:hAnsiTheme="minorHAnsi" w:cstheme="minorHAnsi"/>
          <w:color w:val="212121"/>
          <w:shd w:val="clear" w:color="auto" w:fill="FFFFFF"/>
        </w:rPr>
        <w:endnoteReference w:id="53"/>
      </w:r>
      <w:r w:rsidRPr="006B4177">
        <w:rPr>
          <w:rFonts w:asciiTheme="minorHAnsi" w:hAnsiTheme="minorHAnsi" w:cstheme="minorHAnsi"/>
          <w:color w:val="212121"/>
          <w:shd w:val="clear" w:color="auto" w:fill="FFFFFF"/>
        </w:rPr>
        <w:t xml:space="preserve"> As shown by the NBS-VAC, </w:t>
      </w:r>
      <w:r w:rsidRPr="006B4177">
        <w:rPr>
          <w:rFonts w:asciiTheme="minorHAnsi" w:hAnsiTheme="minorHAnsi" w:cstheme="minorHAnsi"/>
        </w:rPr>
        <w:t>boys (50.4%) are more likely to be subjected to cyber violence than girls (46.7%).</w:t>
      </w:r>
      <w:r w:rsidRPr="006B4177">
        <w:rPr>
          <w:rStyle w:val="EndnoteReference"/>
          <w:rFonts w:asciiTheme="minorHAnsi" w:hAnsiTheme="minorHAnsi" w:cstheme="minorHAnsi"/>
        </w:rPr>
        <w:endnoteReference w:id="54"/>
      </w:r>
    </w:p>
    <w:p w14:paraId="2D766ECA" w14:textId="77777777" w:rsidR="00BE0FB1" w:rsidRPr="006B4177" w:rsidRDefault="00BE0FB1" w:rsidP="00BE0FB1">
      <w:pPr>
        <w:pStyle w:val="ListParagraph"/>
        <w:spacing w:after="0" w:line="276" w:lineRule="auto"/>
        <w:jc w:val="both"/>
        <w:rPr>
          <w:rStyle w:val="Standaardalinea-lettertype"/>
          <w:rFonts w:asciiTheme="minorHAnsi" w:hAnsiTheme="minorHAnsi" w:cstheme="minorHAnsi"/>
          <w:lang w:val="en-US"/>
        </w:rPr>
      </w:pPr>
    </w:p>
    <w:p w14:paraId="5049DAA4" w14:textId="78258A43" w:rsidR="00BE0FB1" w:rsidRPr="006B4177" w:rsidRDefault="00BE0FB1" w:rsidP="00BE0FB1">
      <w:pPr>
        <w:pStyle w:val="CommentText"/>
        <w:numPr>
          <w:ilvl w:val="0"/>
          <w:numId w:val="2"/>
        </w:numPr>
        <w:spacing w:after="0" w:line="276" w:lineRule="auto"/>
        <w:ind w:left="142" w:hanging="426"/>
        <w:jc w:val="both"/>
        <w:rPr>
          <w:rFonts w:asciiTheme="minorHAnsi" w:hAnsiTheme="minorHAnsi" w:cstheme="minorHAnsi"/>
          <w:sz w:val="22"/>
          <w:szCs w:val="22"/>
        </w:rPr>
      </w:pPr>
      <w:r w:rsidRPr="006B4177">
        <w:rPr>
          <w:rFonts w:asciiTheme="minorHAnsi" w:hAnsiTheme="minorHAnsi" w:cstheme="minorHAnsi"/>
          <w:sz w:val="22"/>
          <w:szCs w:val="22"/>
        </w:rPr>
        <w:t>In 2015, ECPAT Philippines identified 31 boy victims of a British national in Angeles City and 14 boy victims of an American and a Danish in Bohol. OCSE is closely interrelated with SECTT. In ECPAT’s 2013 area-based study on the scope and magnitude of OCSE in the Philippines, it was found that many cybersex operations are owned/initiated by foreigners with Filipino cohorts.</w:t>
      </w:r>
      <w:r w:rsidRPr="006B4177">
        <w:rPr>
          <w:rStyle w:val="EndnoteReference"/>
          <w:rFonts w:asciiTheme="minorHAnsi" w:hAnsiTheme="minorHAnsi" w:cstheme="minorHAnsi"/>
          <w:sz w:val="22"/>
          <w:szCs w:val="22"/>
        </w:rPr>
        <w:endnoteReference w:id="55"/>
      </w:r>
      <w:r w:rsidRPr="006B4177">
        <w:rPr>
          <w:rFonts w:asciiTheme="minorHAnsi" w:hAnsiTheme="minorHAnsi" w:cstheme="minorHAnsi"/>
          <w:sz w:val="22"/>
          <w:szCs w:val="22"/>
        </w:rPr>
        <w:t xml:space="preserve">  In 2019, cases of online sexual exploitation of boys in Quezon City were disclosed to ECPAT Youth Advocates. ECPAT Philippines also recorded over 200 media reports on sexual exploitation of children in the Philippines from 2013- August 2019. In reports where the gender and number of victims are mentioned, 190 out of 467 victims were boys. It is presumed that the actual number is significantly higher as some of the reports don’t have information on victims and more cases have been reported beyond the period mentioned.</w:t>
      </w:r>
    </w:p>
    <w:p w14:paraId="3C55B2E6" w14:textId="77777777" w:rsidR="00BE0FB1" w:rsidRPr="006B4177" w:rsidRDefault="00BE0FB1" w:rsidP="00BE0FB1">
      <w:pPr>
        <w:pStyle w:val="CommentText"/>
        <w:spacing w:after="0" w:line="276" w:lineRule="auto"/>
        <w:jc w:val="both"/>
        <w:rPr>
          <w:rFonts w:asciiTheme="minorHAnsi" w:hAnsiTheme="minorHAnsi" w:cstheme="minorHAnsi"/>
          <w:sz w:val="22"/>
          <w:szCs w:val="22"/>
        </w:rPr>
      </w:pPr>
    </w:p>
    <w:p w14:paraId="36C13762" w14:textId="1CC5FCA6" w:rsidR="00BE0FB1" w:rsidRPr="006B4177" w:rsidRDefault="00BE0FB1" w:rsidP="00BE0FB1">
      <w:pPr>
        <w:pStyle w:val="ListParagraph"/>
        <w:numPr>
          <w:ilvl w:val="0"/>
          <w:numId w:val="2"/>
        </w:numPr>
        <w:spacing w:after="0" w:line="276" w:lineRule="auto"/>
        <w:ind w:left="0" w:hanging="357"/>
        <w:contextualSpacing w:val="0"/>
        <w:jc w:val="both"/>
        <w:rPr>
          <w:rStyle w:val="Standaardalinea-lettertype"/>
          <w:rFonts w:asciiTheme="minorHAnsi" w:hAnsiTheme="minorHAnsi" w:cstheme="minorHAnsi"/>
          <w:lang w:val="en-US"/>
        </w:rPr>
      </w:pPr>
      <w:r w:rsidRPr="006B4177">
        <w:rPr>
          <w:rFonts w:asciiTheme="minorHAnsi" w:hAnsiTheme="minorHAnsi" w:cstheme="minorHAnsi"/>
        </w:rPr>
        <w:t>As found in ECPAT Philippines study on community-based healing and recovery programme, boys are unlikely to report sexual exploitation out of fear of being exposed and shamed in their communities and schools.</w:t>
      </w:r>
      <w:r w:rsidRPr="006B4177">
        <w:rPr>
          <w:rStyle w:val="EndnoteReference"/>
          <w:rFonts w:asciiTheme="minorHAnsi" w:hAnsiTheme="minorHAnsi" w:cstheme="minorHAnsi"/>
        </w:rPr>
        <w:endnoteReference w:id="56"/>
      </w:r>
    </w:p>
    <w:p w14:paraId="4CE8E3FF" w14:textId="77777777" w:rsidR="00BE0FB1" w:rsidRPr="006B4177" w:rsidRDefault="00BE0FB1" w:rsidP="00BE0FB1">
      <w:pPr>
        <w:spacing w:after="0" w:line="276" w:lineRule="auto"/>
        <w:jc w:val="both"/>
        <w:rPr>
          <w:rStyle w:val="Standaardalinea-lettertype"/>
          <w:rFonts w:asciiTheme="minorHAnsi" w:hAnsiTheme="minorHAnsi" w:cstheme="minorHAnsi"/>
          <w:lang w:val="en-GB"/>
        </w:rPr>
      </w:pPr>
    </w:p>
    <w:p w14:paraId="1D7F9A0F" w14:textId="77777777" w:rsidR="00BE0FB1" w:rsidRPr="006B4177" w:rsidRDefault="00BE0FB1" w:rsidP="00BE0FB1">
      <w:pPr>
        <w:pStyle w:val="Heading2"/>
        <w:spacing w:before="0" w:line="276" w:lineRule="auto"/>
        <w:jc w:val="both"/>
        <w:rPr>
          <w:rStyle w:val="Standaardalinea-lettertype"/>
          <w:rFonts w:cstheme="minorHAnsi"/>
          <w:szCs w:val="22"/>
        </w:rPr>
      </w:pPr>
      <w:bookmarkStart w:id="15" w:name="_Toc23513394"/>
      <w:bookmarkStart w:id="16" w:name="_Toc30781481"/>
      <w:r w:rsidRPr="006B4177">
        <w:rPr>
          <w:rStyle w:val="Standaardalinea-lettertype"/>
          <w:rFonts w:cstheme="minorHAnsi"/>
          <w:szCs w:val="22"/>
        </w:rPr>
        <w:t>Child, early and forced marriage (CEFM)</w:t>
      </w:r>
      <w:bookmarkEnd w:id="15"/>
      <w:bookmarkEnd w:id="16"/>
    </w:p>
    <w:p w14:paraId="434604EB" w14:textId="77777777" w:rsidR="00BE0FB1" w:rsidRPr="006B4177" w:rsidRDefault="00BE0FB1" w:rsidP="00BE0FB1">
      <w:pPr>
        <w:spacing w:after="0" w:line="276" w:lineRule="auto"/>
        <w:jc w:val="both"/>
        <w:rPr>
          <w:rFonts w:asciiTheme="minorHAnsi" w:hAnsiTheme="minorHAnsi" w:cstheme="minorHAnsi"/>
        </w:rPr>
      </w:pPr>
    </w:p>
    <w:p w14:paraId="7037928B" w14:textId="77777777" w:rsidR="00BE0FB1" w:rsidRPr="006B4177" w:rsidRDefault="00BE0FB1" w:rsidP="00BE0FB1">
      <w:pPr>
        <w:pStyle w:val="ListParagraph"/>
        <w:numPr>
          <w:ilvl w:val="0"/>
          <w:numId w:val="2"/>
        </w:numPr>
        <w:spacing w:after="0" w:line="276" w:lineRule="auto"/>
        <w:ind w:left="0" w:hanging="357"/>
        <w:contextualSpacing w:val="0"/>
        <w:jc w:val="both"/>
        <w:rPr>
          <w:rStyle w:val="Standaardalinea-lettertype"/>
          <w:rFonts w:asciiTheme="minorHAnsi" w:hAnsiTheme="minorHAnsi" w:cstheme="minorHAnsi"/>
          <w:lang w:val="en-GB"/>
        </w:rPr>
      </w:pPr>
      <w:r w:rsidRPr="006B4177">
        <w:rPr>
          <w:rStyle w:val="Standaardalinea-lettertype"/>
          <w:rFonts w:asciiTheme="minorHAnsi" w:hAnsiTheme="minorHAnsi" w:cstheme="minorHAnsi"/>
          <w:lang w:val="en-GB"/>
        </w:rPr>
        <w:t>The Philippines has the 12</w:t>
      </w:r>
      <w:r w:rsidRPr="006B4177">
        <w:rPr>
          <w:rStyle w:val="Standaardalinea-lettertype"/>
          <w:rFonts w:asciiTheme="minorHAnsi" w:hAnsiTheme="minorHAnsi" w:cstheme="minorHAnsi"/>
          <w:vertAlign w:val="superscript"/>
          <w:lang w:val="en-GB"/>
        </w:rPr>
        <w:t>th</w:t>
      </w:r>
      <w:r w:rsidRPr="006B4177">
        <w:rPr>
          <w:rStyle w:val="Standaardalinea-lettertype"/>
          <w:rFonts w:asciiTheme="minorHAnsi" w:hAnsiTheme="minorHAnsi" w:cstheme="minorHAnsi"/>
          <w:lang w:val="en-GB"/>
        </w:rPr>
        <w:t xml:space="preserve"> highest number of child brides in the world.</w:t>
      </w:r>
      <w:r w:rsidRPr="006B4177">
        <w:rPr>
          <w:rStyle w:val="EndnoteReference"/>
          <w:rFonts w:asciiTheme="minorHAnsi" w:hAnsiTheme="minorHAnsi" w:cstheme="minorHAnsi"/>
          <w:lang w:val="en-GB"/>
        </w:rPr>
        <w:endnoteReference w:id="57"/>
      </w:r>
      <w:r w:rsidRPr="006B4177">
        <w:rPr>
          <w:rStyle w:val="Standaardalinea-lettertype"/>
          <w:rFonts w:asciiTheme="minorHAnsi" w:hAnsiTheme="minorHAnsi" w:cstheme="minorHAnsi"/>
          <w:lang w:val="en-GB"/>
        </w:rPr>
        <w:t xml:space="preserve"> </w:t>
      </w:r>
      <w:r w:rsidRPr="006B4177">
        <w:rPr>
          <w:rFonts w:asciiTheme="minorHAnsi" w:hAnsiTheme="minorHAnsi" w:cstheme="minorHAnsi"/>
          <w:shd w:val="clear" w:color="auto" w:fill="FFFFFF"/>
        </w:rPr>
        <w:t>While boys are affected by child marriage, the issue impacts girls’ lives far more intensely.</w:t>
      </w:r>
      <w:r w:rsidRPr="006B4177">
        <w:rPr>
          <w:rStyle w:val="EndnoteReference"/>
          <w:rFonts w:asciiTheme="minorHAnsi" w:hAnsiTheme="minorHAnsi" w:cstheme="minorHAnsi"/>
          <w:shd w:val="clear" w:color="auto" w:fill="FFFFFF"/>
        </w:rPr>
        <w:endnoteReference w:id="58"/>
      </w:r>
      <w:r w:rsidRPr="006B4177">
        <w:rPr>
          <w:rStyle w:val="Standaardalinea-lettertype"/>
          <w:rFonts w:asciiTheme="minorHAnsi" w:hAnsiTheme="minorHAnsi" w:cstheme="minorHAnsi"/>
          <w:lang w:val="en-GB"/>
        </w:rPr>
        <w:t xml:space="preserve"> Numbers from UNICEF reveal that between 2012 and 2018, 17% of girls were married before 18, among which 2% before 15. The same numbers show that 3% of boys were married before 18.</w:t>
      </w:r>
      <w:r w:rsidRPr="006B4177">
        <w:rPr>
          <w:rStyle w:val="EndnoteReference"/>
          <w:rFonts w:asciiTheme="minorHAnsi" w:hAnsiTheme="minorHAnsi" w:cstheme="minorHAnsi"/>
          <w:lang w:val="en-GB"/>
        </w:rPr>
        <w:endnoteReference w:id="59"/>
      </w:r>
      <w:r w:rsidRPr="006B4177">
        <w:rPr>
          <w:rStyle w:val="Standaardalinea-lettertype"/>
          <w:rFonts w:asciiTheme="minorHAnsi" w:hAnsiTheme="minorHAnsi" w:cstheme="minorHAnsi"/>
          <w:lang w:val="en-GB"/>
        </w:rPr>
        <w:t xml:space="preserve"> </w:t>
      </w:r>
      <w:r w:rsidRPr="006B4177">
        <w:rPr>
          <w:rFonts w:asciiTheme="minorHAnsi" w:hAnsiTheme="minorHAnsi" w:cstheme="minorHAnsi"/>
          <w:shd w:val="clear" w:color="auto" w:fill="FFFFFF"/>
        </w:rPr>
        <w:t>The latest National Demographic and Health Survey highlighted that one in five girls is a mother by 19 years old.</w:t>
      </w:r>
      <w:r w:rsidRPr="006B4177">
        <w:rPr>
          <w:rStyle w:val="EndnoteReference"/>
          <w:rFonts w:asciiTheme="minorHAnsi" w:hAnsiTheme="minorHAnsi" w:cstheme="minorHAnsi"/>
          <w:shd w:val="clear" w:color="auto" w:fill="FFFFFF"/>
        </w:rPr>
        <w:endnoteReference w:id="60"/>
      </w:r>
    </w:p>
    <w:p w14:paraId="1EFDE345" w14:textId="77777777" w:rsidR="00BE0FB1" w:rsidRPr="006B4177" w:rsidRDefault="00BE0FB1" w:rsidP="00BE0FB1">
      <w:pPr>
        <w:pStyle w:val="ListParagraph"/>
        <w:spacing w:after="0" w:line="276" w:lineRule="auto"/>
        <w:ind w:left="0"/>
        <w:contextualSpacing w:val="0"/>
        <w:jc w:val="both"/>
        <w:rPr>
          <w:rStyle w:val="Standaardalinea-lettertype"/>
          <w:rFonts w:asciiTheme="minorHAnsi" w:hAnsiTheme="minorHAnsi" w:cstheme="minorHAnsi"/>
          <w:lang w:val="en-GB"/>
        </w:rPr>
      </w:pPr>
    </w:p>
    <w:p w14:paraId="0D04A2D0" w14:textId="77777777"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lang w:val="en-GB"/>
        </w:rPr>
      </w:pPr>
      <w:r w:rsidRPr="006B4177">
        <w:rPr>
          <w:rStyle w:val="Standaardalinea-lettertype"/>
          <w:rFonts w:asciiTheme="minorHAnsi" w:hAnsiTheme="minorHAnsi" w:cstheme="minorHAnsi"/>
          <w:lang w:val="en-GB"/>
        </w:rPr>
        <w:t xml:space="preserve">In 2019, the UNFPA Asia-Pacific Regional Office published a report comparing data from various Asian countries about the percentage of women who were married at the ages 15 to 19 </w:t>
      </w:r>
      <w:r w:rsidRPr="006B4177">
        <w:rPr>
          <w:rFonts w:asciiTheme="minorHAnsi" w:hAnsiTheme="minorHAnsi" w:cstheme="minorHAnsi"/>
          <w:shd w:val="clear" w:color="auto" w:fill="FFFFFF"/>
        </w:rPr>
        <w:t>from 1970 to 2010. The report highlighted the lack of progress of the Philippines in this regard, compared to countries like the Republic of Korea, Indonesia and India where the percentage was reduced to less than half during the last 50 years.</w:t>
      </w:r>
      <w:r w:rsidRPr="006B4177">
        <w:rPr>
          <w:rStyle w:val="EndnoteReference"/>
          <w:rFonts w:asciiTheme="minorHAnsi" w:hAnsiTheme="minorHAnsi" w:cstheme="minorHAnsi"/>
          <w:shd w:val="clear" w:color="auto" w:fill="FFFFFF"/>
        </w:rPr>
        <w:endnoteReference w:id="61"/>
      </w:r>
    </w:p>
    <w:p w14:paraId="05E6C9C0" w14:textId="77777777" w:rsidR="00BE0FB1" w:rsidRPr="006B4177" w:rsidRDefault="00BE0FB1" w:rsidP="00BE0FB1">
      <w:pPr>
        <w:spacing w:after="0" w:line="276" w:lineRule="auto"/>
        <w:jc w:val="both"/>
        <w:rPr>
          <w:rFonts w:asciiTheme="minorHAnsi" w:hAnsiTheme="minorHAnsi" w:cstheme="minorHAnsi"/>
          <w:lang w:val="en-GB"/>
        </w:rPr>
      </w:pPr>
    </w:p>
    <w:p w14:paraId="01D68978" w14:textId="2D97F4F9" w:rsidR="00BE0FB1" w:rsidRPr="006B4177" w:rsidRDefault="00BE0FB1" w:rsidP="00BE0FB1">
      <w:pPr>
        <w:pStyle w:val="ListParagraph"/>
        <w:numPr>
          <w:ilvl w:val="0"/>
          <w:numId w:val="2"/>
        </w:numPr>
        <w:spacing w:after="0" w:line="276" w:lineRule="auto"/>
        <w:ind w:left="0" w:hanging="357"/>
        <w:contextualSpacing w:val="0"/>
        <w:jc w:val="both"/>
        <w:rPr>
          <w:rStyle w:val="Standaardalinea-lettertype"/>
          <w:rFonts w:asciiTheme="minorHAnsi" w:hAnsiTheme="minorHAnsi" w:cstheme="minorHAnsi"/>
          <w:lang w:val="en-GB"/>
        </w:rPr>
      </w:pPr>
      <w:r w:rsidRPr="006B4177">
        <w:rPr>
          <w:rStyle w:val="Standaardalinea-lettertype"/>
          <w:rFonts w:asciiTheme="minorHAnsi" w:hAnsiTheme="minorHAnsi" w:cstheme="minorHAnsi"/>
          <w:lang w:val="en-GB"/>
        </w:rPr>
        <w:t>The practice of CEFM impacts more intensively young girls in indigenous and Muslim communities.</w:t>
      </w:r>
      <w:r w:rsidRPr="006B4177">
        <w:rPr>
          <w:rStyle w:val="EndnoteReference"/>
          <w:rFonts w:asciiTheme="minorHAnsi" w:hAnsiTheme="minorHAnsi" w:cstheme="minorHAnsi"/>
          <w:lang w:val="en-GB"/>
        </w:rPr>
        <w:endnoteReference w:id="62"/>
      </w:r>
      <w:r w:rsidRPr="006B4177">
        <w:rPr>
          <w:rStyle w:val="Standaardalinea-lettertype"/>
          <w:rFonts w:asciiTheme="minorHAnsi" w:hAnsiTheme="minorHAnsi" w:cstheme="minorHAnsi"/>
          <w:lang w:val="en-GB"/>
        </w:rPr>
        <w:t xml:space="preserve"> The practice seems indeed more accepted in those cultures than in other parts of the territory.</w:t>
      </w:r>
      <w:r w:rsidRPr="006B4177">
        <w:rPr>
          <w:rStyle w:val="EndnoteReference"/>
          <w:rFonts w:asciiTheme="minorHAnsi" w:hAnsiTheme="minorHAnsi" w:cstheme="minorHAnsi"/>
          <w:lang w:val="en-GB"/>
        </w:rPr>
        <w:endnoteReference w:id="63"/>
      </w:r>
      <w:r w:rsidRPr="006B4177">
        <w:rPr>
          <w:rStyle w:val="Standaardalinea-lettertype"/>
          <w:rFonts w:asciiTheme="minorHAnsi" w:hAnsiTheme="minorHAnsi" w:cstheme="minorHAnsi"/>
          <w:lang w:val="en-GB"/>
        </w:rPr>
        <w:t xml:space="preserve"> The Code of Muslim Personal Laws even sets a lower age for marriage – 15 for boys and 12 for girls as long as they have reached puberty.</w:t>
      </w:r>
      <w:r w:rsidRPr="006B4177">
        <w:rPr>
          <w:rStyle w:val="EndnoteReference"/>
          <w:rFonts w:asciiTheme="minorHAnsi" w:hAnsiTheme="minorHAnsi" w:cstheme="minorHAnsi"/>
          <w:lang w:val="en-GB"/>
        </w:rPr>
        <w:endnoteReference w:id="64"/>
      </w:r>
      <w:r w:rsidRPr="006B4177">
        <w:rPr>
          <w:rStyle w:val="Standaardalinea-lettertype"/>
          <w:rFonts w:asciiTheme="minorHAnsi" w:hAnsiTheme="minorHAnsi" w:cstheme="minorHAnsi"/>
          <w:lang w:val="en-GB"/>
        </w:rPr>
        <w:t xml:space="preserve"> In poor communities, such as Mindanao, official data is scarce but a 2010 survey </w:t>
      </w:r>
      <w:r w:rsidRPr="006B4177">
        <w:rPr>
          <w:rFonts w:asciiTheme="minorHAnsi" w:hAnsiTheme="minorHAnsi" w:cstheme="minorHAnsi"/>
          <w:shd w:val="clear" w:color="auto" w:fill="FFFFFF"/>
        </w:rPr>
        <w:t>showed that 83% of residents aged 15 to 17 got married, whereas 17% were between 9-14 years of age.</w:t>
      </w:r>
      <w:r w:rsidRPr="006B4177">
        <w:rPr>
          <w:rStyle w:val="EndnoteReference"/>
          <w:rFonts w:asciiTheme="minorHAnsi" w:hAnsiTheme="minorHAnsi" w:cstheme="minorHAnsi"/>
          <w:shd w:val="clear" w:color="auto" w:fill="FFFFFF"/>
        </w:rPr>
        <w:endnoteReference w:id="65"/>
      </w:r>
      <w:r w:rsidRPr="006B4177">
        <w:rPr>
          <w:rFonts w:asciiTheme="minorHAnsi" w:hAnsiTheme="minorHAnsi" w:cstheme="minorHAnsi"/>
          <w:shd w:val="clear" w:color="auto" w:fill="FFFFFF"/>
        </w:rPr>
        <w:t xml:space="preserve"> </w:t>
      </w:r>
      <w:r w:rsidRPr="006B4177">
        <w:rPr>
          <w:rStyle w:val="Standaardalinea-lettertype"/>
          <w:rFonts w:asciiTheme="minorHAnsi" w:hAnsiTheme="minorHAnsi" w:cstheme="minorHAnsi"/>
          <w:lang w:val="en-GB"/>
        </w:rPr>
        <w:t>Frequent conflicts and disasters also play a role. The Marawi siege crisis of 2017 crippled the economy and devastated families, who then decided to marry off their children to save the “family honour” and ease their financial burden.</w:t>
      </w:r>
      <w:r w:rsidRPr="006B4177">
        <w:rPr>
          <w:rStyle w:val="EndnoteReference"/>
          <w:rFonts w:asciiTheme="minorHAnsi" w:hAnsiTheme="minorHAnsi" w:cstheme="minorHAnsi"/>
          <w:lang w:val="en-GB"/>
        </w:rPr>
        <w:endnoteReference w:id="66"/>
      </w:r>
    </w:p>
    <w:p w14:paraId="1E647558" w14:textId="77777777" w:rsidR="00BE0FB1" w:rsidRPr="006B4177" w:rsidRDefault="00BE0FB1" w:rsidP="00BE0FB1">
      <w:pPr>
        <w:pStyle w:val="ListParagraph"/>
        <w:spacing w:after="0" w:line="276" w:lineRule="auto"/>
        <w:ind w:left="0"/>
        <w:contextualSpacing w:val="0"/>
        <w:jc w:val="both"/>
        <w:rPr>
          <w:rStyle w:val="Standaardalinea-lettertype"/>
          <w:rFonts w:asciiTheme="minorHAnsi" w:hAnsiTheme="minorHAnsi" w:cstheme="minorHAnsi"/>
          <w:lang w:val="en-GB"/>
        </w:rPr>
      </w:pPr>
    </w:p>
    <w:p w14:paraId="0EF68605" w14:textId="77777777" w:rsidR="00BE0FB1" w:rsidRPr="006B4177" w:rsidRDefault="00BE0FB1" w:rsidP="00BE0FB1">
      <w:pPr>
        <w:pStyle w:val="Heading1"/>
        <w:spacing w:before="0" w:line="276" w:lineRule="auto"/>
        <w:jc w:val="both"/>
        <w:rPr>
          <w:rStyle w:val="Standaardalinea-lettertype"/>
          <w:rFonts w:cstheme="minorHAnsi"/>
          <w:szCs w:val="22"/>
          <w:lang w:val="en-US"/>
        </w:rPr>
      </w:pPr>
      <w:bookmarkStart w:id="17" w:name="_Toc23513395"/>
      <w:bookmarkStart w:id="18" w:name="_Toc30781482"/>
      <w:r w:rsidRPr="006B4177">
        <w:rPr>
          <w:rStyle w:val="Standaardalinea-lettertype"/>
          <w:rFonts w:cstheme="minorHAnsi"/>
          <w:szCs w:val="22"/>
          <w:lang w:val="en-US"/>
        </w:rPr>
        <w:t>General measures of implementation, coordination and evaluation</w:t>
      </w:r>
      <w:bookmarkEnd w:id="17"/>
      <w:bookmarkEnd w:id="18"/>
    </w:p>
    <w:p w14:paraId="22801827" w14:textId="77777777" w:rsidR="00BE0FB1" w:rsidRPr="006B4177" w:rsidRDefault="00BE0FB1" w:rsidP="00BE0FB1">
      <w:pPr>
        <w:spacing w:after="0" w:line="276" w:lineRule="auto"/>
        <w:jc w:val="both"/>
        <w:rPr>
          <w:rFonts w:asciiTheme="minorHAnsi" w:hAnsiTheme="minorHAnsi" w:cstheme="minorHAnsi"/>
          <w:lang w:val="en-US"/>
        </w:rPr>
      </w:pPr>
    </w:p>
    <w:p w14:paraId="272B5BB3" w14:textId="77777777" w:rsidR="00BE0FB1" w:rsidRPr="006B4177" w:rsidRDefault="00BE0FB1" w:rsidP="00BE0FB1">
      <w:pPr>
        <w:pStyle w:val="Heading2"/>
        <w:spacing w:before="0" w:line="276" w:lineRule="auto"/>
        <w:jc w:val="both"/>
        <w:rPr>
          <w:rFonts w:cstheme="minorHAnsi"/>
          <w:szCs w:val="22"/>
          <w:lang w:val="en-US" w:eastAsia="ja-JP"/>
        </w:rPr>
      </w:pPr>
      <w:bookmarkStart w:id="19" w:name="_Toc23513396"/>
      <w:bookmarkStart w:id="20" w:name="_Toc30781483"/>
      <w:r w:rsidRPr="006B4177">
        <w:rPr>
          <w:rFonts w:cstheme="minorHAnsi"/>
          <w:szCs w:val="22"/>
          <w:lang w:val="en-US" w:eastAsia="ja-JP"/>
        </w:rPr>
        <w:t>Policies and overall strategy</w:t>
      </w:r>
      <w:bookmarkEnd w:id="19"/>
      <w:bookmarkEnd w:id="20"/>
    </w:p>
    <w:p w14:paraId="4569991A" w14:textId="77777777" w:rsidR="00BE0FB1" w:rsidRPr="006B4177" w:rsidRDefault="00BE0FB1" w:rsidP="00BE0FB1">
      <w:pPr>
        <w:spacing w:after="0" w:line="276" w:lineRule="auto"/>
        <w:jc w:val="both"/>
        <w:rPr>
          <w:rFonts w:asciiTheme="minorHAnsi" w:hAnsiTheme="minorHAnsi" w:cstheme="minorHAnsi"/>
        </w:rPr>
      </w:pPr>
    </w:p>
    <w:p w14:paraId="7F234153" w14:textId="699CD347"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lang w:val="en-GB"/>
        </w:rPr>
        <w:t xml:space="preserve">A number of plans and programmes have been adopted at the national level with regard to child protection, some of which focusing on SEC-related issues. </w:t>
      </w:r>
    </w:p>
    <w:p w14:paraId="068E06EA" w14:textId="77777777" w:rsidR="00BE0FB1" w:rsidRPr="006B4177" w:rsidRDefault="00BE0FB1" w:rsidP="00BE0FB1">
      <w:pPr>
        <w:spacing w:after="0" w:line="276" w:lineRule="auto"/>
        <w:jc w:val="both"/>
        <w:rPr>
          <w:rFonts w:asciiTheme="minorHAnsi" w:hAnsiTheme="minorHAnsi" w:cstheme="minorHAnsi"/>
        </w:rPr>
      </w:pPr>
    </w:p>
    <w:p w14:paraId="11ABF8EE" w14:textId="77BA2260"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The Philippine Plan of Action to end Violence against Children (PPAeVAC) (2017-2022) was adopted in 2017, as part of the government’s general commitment to build an enabling environment that respects, protects and fulfils the rights of all children.</w:t>
      </w:r>
      <w:r w:rsidRPr="006B4177">
        <w:rPr>
          <w:rStyle w:val="EndnoteReference"/>
          <w:rFonts w:asciiTheme="minorHAnsi" w:hAnsiTheme="minorHAnsi" w:cstheme="minorHAnsi"/>
        </w:rPr>
        <w:endnoteReference w:id="67"/>
      </w:r>
      <w:r w:rsidRPr="006B4177">
        <w:rPr>
          <w:rFonts w:asciiTheme="minorHAnsi" w:hAnsiTheme="minorHAnsi" w:cstheme="minorHAnsi"/>
        </w:rPr>
        <w:t xml:space="preserve"> It is a multi-sectoral road map designed for the progressive reduction of violence against children, which includes sexual exploitation. It gathers the individual commitments of all government agencies and institutions, local and international non-governmental organisations, civil society organisations, faith-based organisations, professional groups, the academia, private sector, parents, and children into a collective whole.</w:t>
      </w:r>
      <w:r w:rsidRPr="006B4177">
        <w:rPr>
          <w:rStyle w:val="EndnoteReference"/>
          <w:rFonts w:asciiTheme="minorHAnsi" w:hAnsiTheme="minorHAnsi" w:cstheme="minorHAnsi"/>
        </w:rPr>
        <w:endnoteReference w:id="68"/>
      </w:r>
      <w:r w:rsidRPr="006B4177">
        <w:rPr>
          <w:rFonts w:asciiTheme="minorHAnsi" w:hAnsiTheme="minorHAnsi" w:cstheme="minorHAnsi"/>
        </w:rPr>
        <w:t xml:space="preserve"> It is based and systematically transaltes into action the findings of the the 2015 National Baseline Study on Violence against Children, which was the first ever study to reseach on violence against children in the Philippines.</w:t>
      </w:r>
      <w:r w:rsidRPr="006B4177">
        <w:rPr>
          <w:rStyle w:val="EndnoteReference"/>
          <w:rFonts w:asciiTheme="minorHAnsi" w:hAnsiTheme="minorHAnsi" w:cstheme="minorHAnsi"/>
        </w:rPr>
        <w:endnoteReference w:id="69"/>
      </w:r>
      <w:r w:rsidRPr="006B4177">
        <w:rPr>
          <w:rFonts w:asciiTheme="minorHAnsi" w:hAnsiTheme="minorHAnsi" w:cstheme="minorHAnsi"/>
        </w:rPr>
        <w:t xml:space="preserve">  The PPAeVAC is being implemented at  the national level through multi-sectoral consultations and capacity building for stakeholders. However, it hasn’t been disseminated at the local level. Though it was pilot-tested in the city of Valenzuela in October 2019  and in the province of Samar in November 2019, most local governments are still not aware, or haven’t even heard of the PPEAVAC and the 3rd NPAC yet.</w:t>
      </w:r>
      <w:r w:rsidRPr="006B4177">
        <w:rPr>
          <w:rStyle w:val="EndnoteReference"/>
          <w:rFonts w:asciiTheme="minorHAnsi" w:hAnsiTheme="minorHAnsi" w:cstheme="minorHAnsi"/>
        </w:rPr>
        <w:endnoteReference w:id="70"/>
      </w:r>
      <w:r w:rsidRPr="006B4177">
        <w:rPr>
          <w:rFonts w:asciiTheme="minorHAnsi" w:hAnsiTheme="minorHAnsi" w:cstheme="minorHAnsi"/>
        </w:rPr>
        <w:t xml:space="preserve"> </w:t>
      </w:r>
    </w:p>
    <w:p w14:paraId="0D79859A" w14:textId="77777777" w:rsidR="00BE0FB1" w:rsidRPr="006B4177" w:rsidRDefault="00BE0FB1" w:rsidP="00BE0FB1">
      <w:pPr>
        <w:pStyle w:val="ListParagraph"/>
        <w:spacing w:after="0" w:line="276" w:lineRule="auto"/>
        <w:jc w:val="both"/>
        <w:rPr>
          <w:rFonts w:asciiTheme="minorHAnsi" w:hAnsiTheme="minorHAnsi" w:cstheme="minorHAnsi"/>
        </w:rPr>
      </w:pPr>
    </w:p>
    <w:p w14:paraId="0A070ED5" w14:textId="77777777"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The PPAeVAC is consistent with the National Strategic Framework for Plan Development for Children (2000-2025) (or “Child 21”) and the five-year third National Plan of Action for Children (2017-2022) (NPAC).</w:t>
      </w:r>
      <w:r w:rsidRPr="006B4177">
        <w:rPr>
          <w:rStyle w:val="EndnoteReference"/>
          <w:rFonts w:asciiTheme="minorHAnsi" w:hAnsiTheme="minorHAnsi" w:cstheme="minorHAnsi"/>
        </w:rPr>
        <w:endnoteReference w:id="71"/>
      </w:r>
      <w:r w:rsidRPr="006B4177">
        <w:rPr>
          <w:rFonts w:asciiTheme="minorHAnsi" w:hAnsiTheme="minorHAnsi" w:cstheme="minorHAnsi"/>
        </w:rPr>
        <w:t xml:space="preserve"> Child 21 was adopted not as a plan of action but as a vision and strategy document destined to clearly lay out the strategic framework for approaching planning efforts geared towards children.</w:t>
      </w:r>
      <w:r w:rsidRPr="006B4177">
        <w:rPr>
          <w:rStyle w:val="EndnoteReference"/>
          <w:rFonts w:asciiTheme="minorHAnsi" w:hAnsiTheme="minorHAnsi" w:cstheme="minorHAnsi"/>
        </w:rPr>
        <w:endnoteReference w:id="72"/>
      </w:r>
      <w:r w:rsidRPr="006B4177">
        <w:rPr>
          <w:rFonts w:asciiTheme="minorHAnsi" w:hAnsiTheme="minorHAnsi" w:cstheme="minorHAnsi"/>
        </w:rPr>
        <w:t xml:space="preserve"> NPACs were adopted to further concretize the vision of Child 21 into clear, actionable, and time-bound plans within a shorter, five-year time frame.</w:t>
      </w:r>
      <w:r w:rsidRPr="006B4177">
        <w:rPr>
          <w:rStyle w:val="EndnoteReference"/>
          <w:rFonts w:asciiTheme="minorHAnsi" w:hAnsiTheme="minorHAnsi" w:cstheme="minorHAnsi"/>
        </w:rPr>
        <w:endnoteReference w:id="73"/>
      </w:r>
    </w:p>
    <w:p w14:paraId="4BD0C976" w14:textId="77777777" w:rsidR="00BE0FB1" w:rsidRPr="006B4177" w:rsidRDefault="00BE0FB1" w:rsidP="00BE0FB1">
      <w:pPr>
        <w:pStyle w:val="ListParagraph"/>
        <w:spacing w:after="0" w:line="276" w:lineRule="auto"/>
        <w:jc w:val="both"/>
        <w:rPr>
          <w:rFonts w:asciiTheme="minorHAnsi" w:hAnsiTheme="minorHAnsi" w:cstheme="minorHAnsi"/>
        </w:rPr>
      </w:pPr>
    </w:p>
    <w:p w14:paraId="23CD83AB" w14:textId="77777777"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The PPAeVAC also specifically addresses 3 targets from the Sustainable Development Goals specifically dealing with SEC,</w:t>
      </w:r>
      <w:r w:rsidRPr="006B4177">
        <w:rPr>
          <w:rStyle w:val="EndnoteReference"/>
          <w:rFonts w:asciiTheme="minorHAnsi" w:hAnsiTheme="minorHAnsi" w:cstheme="minorHAnsi"/>
        </w:rPr>
        <w:endnoteReference w:id="74"/>
      </w:r>
      <w:r w:rsidRPr="006B4177">
        <w:rPr>
          <w:rFonts w:asciiTheme="minorHAnsi" w:hAnsiTheme="minorHAnsi" w:cstheme="minorHAnsi"/>
        </w:rPr>
        <w:t xml:space="preserve"> and therefore contributes to the government’s obligations to the 2030 Agenda for Sustainable Development.</w:t>
      </w:r>
      <w:r w:rsidRPr="006B4177">
        <w:rPr>
          <w:rStyle w:val="EndnoteReference"/>
          <w:rFonts w:asciiTheme="minorHAnsi" w:hAnsiTheme="minorHAnsi" w:cstheme="minorHAnsi"/>
        </w:rPr>
        <w:endnoteReference w:id="75"/>
      </w:r>
    </w:p>
    <w:p w14:paraId="1E40FBC2" w14:textId="77777777" w:rsidR="00BE0FB1" w:rsidRPr="006B4177" w:rsidRDefault="00BE0FB1" w:rsidP="00BE0FB1">
      <w:pPr>
        <w:pStyle w:val="ListParagraph"/>
        <w:spacing w:after="0" w:line="276" w:lineRule="auto"/>
        <w:jc w:val="both"/>
        <w:rPr>
          <w:rFonts w:asciiTheme="minorHAnsi" w:hAnsiTheme="minorHAnsi" w:cstheme="minorHAnsi"/>
        </w:rPr>
      </w:pPr>
    </w:p>
    <w:p w14:paraId="3E0703A4" w14:textId="4CCCF78F"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The GoP has also adopted policies focused on some specific manifestations of SEC. The National Strategic Action Plan against Trafficking in Persons (2017-2021) aims to adress, among others, the trafficking of children for sexual exploitation and the sexual exploitation of children online. It is reportedly active and implemented in practice.</w:t>
      </w:r>
      <w:r w:rsidRPr="006B4177">
        <w:rPr>
          <w:rStyle w:val="EndnoteReference"/>
          <w:rFonts w:asciiTheme="minorHAnsi" w:hAnsiTheme="minorHAnsi" w:cstheme="minorHAnsi"/>
        </w:rPr>
        <w:endnoteReference w:id="76"/>
      </w:r>
      <w:r w:rsidRPr="006B4177">
        <w:rPr>
          <w:rFonts w:asciiTheme="minorHAnsi" w:hAnsiTheme="minorHAnsi" w:cstheme="minorHAnsi"/>
        </w:rPr>
        <w:t xml:space="preserve"> The Child Protection Compact Partnership (2017-2021) signed between the U.S. and the Republic of the Philippines further seeks to increase prevention and protection efforts for children victims of online sexual exploitation and trafficking, by increasing criminal investigations, prosecutions and convictions.</w:t>
      </w:r>
      <w:r w:rsidRPr="006B4177">
        <w:rPr>
          <w:rStyle w:val="EndnoteReference"/>
          <w:rFonts w:asciiTheme="minorHAnsi" w:hAnsiTheme="minorHAnsi" w:cstheme="minorHAnsi"/>
        </w:rPr>
        <w:endnoteReference w:id="77"/>
      </w:r>
      <w:r w:rsidRPr="006B4177">
        <w:rPr>
          <w:rFonts w:asciiTheme="minorHAnsi" w:hAnsiTheme="minorHAnsi" w:cstheme="minorHAnsi"/>
        </w:rPr>
        <w:t xml:space="preserve"> </w:t>
      </w:r>
    </w:p>
    <w:p w14:paraId="6F7C3066" w14:textId="77777777" w:rsidR="00BE0FB1" w:rsidRPr="006B4177" w:rsidRDefault="00BE0FB1" w:rsidP="00BE0FB1">
      <w:pPr>
        <w:pStyle w:val="ListParagraph"/>
        <w:spacing w:after="0" w:line="276" w:lineRule="auto"/>
        <w:jc w:val="both"/>
        <w:rPr>
          <w:rFonts w:asciiTheme="minorHAnsi" w:hAnsiTheme="minorHAnsi" w:cstheme="minorHAnsi"/>
        </w:rPr>
      </w:pPr>
    </w:p>
    <w:p w14:paraId="28C0445B" w14:textId="3D140164"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 xml:space="preserve">Regarding CEFM, Oxfam launched in 2016 the “Creating Space to Take Action on Violence against Women and Girls Project” (2016-2021), aimed at </w:t>
      </w:r>
      <w:r w:rsidRPr="006B4177">
        <w:rPr>
          <w:rFonts w:asciiTheme="minorHAnsi" w:hAnsiTheme="minorHAnsi" w:cstheme="minorHAnsi"/>
          <w:shd w:val="clear" w:color="auto" w:fill="FFFFFF"/>
        </w:rPr>
        <w:t>reducing violence against women and girls and reducing the prevalence of CEFM in five countries – namely Bangladesh, India, Indonesia, Pakistan, Philippines and Nepal.</w:t>
      </w:r>
      <w:r w:rsidRPr="006B4177">
        <w:rPr>
          <w:rStyle w:val="EndnoteReference"/>
          <w:rFonts w:asciiTheme="minorHAnsi" w:hAnsiTheme="minorHAnsi" w:cstheme="minorHAnsi"/>
          <w:shd w:val="clear" w:color="auto" w:fill="FFFFFF"/>
        </w:rPr>
        <w:endnoteReference w:id="78"/>
      </w:r>
      <w:r w:rsidRPr="006B4177">
        <w:rPr>
          <w:rFonts w:asciiTheme="minorHAnsi" w:hAnsiTheme="minorHAnsi" w:cstheme="minorHAnsi"/>
          <w:shd w:val="clear" w:color="auto" w:fill="FFFFFF"/>
        </w:rPr>
        <w:t xml:space="preserve"> The project is currently being implemented in the Philippines</w:t>
      </w:r>
      <w:r w:rsidRPr="006B4177">
        <w:rPr>
          <w:rFonts w:asciiTheme="minorHAnsi" w:hAnsiTheme="minorHAnsi" w:cstheme="minorHAnsi"/>
          <w:i/>
          <w:shd w:val="clear" w:color="auto" w:fill="FFFFFF"/>
        </w:rPr>
        <w:t xml:space="preserve"> </w:t>
      </w:r>
      <w:r w:rsidRPr="006B4177">
        <w:rPr>
          <w:rStyle w:val="Emphasis"/>
          <w:rFonts w:asciiTheme="minorHAnsi" w:hAnsiTheme="minorHAnsi" w:cstheme="minorHAnsi"/>
          <w:i w:val="0"/>
          <w:shd w:val="clear" w:color="auto" w:fill="FFFFFF"/>
        </w:rPr>
        <w:t>by Oxfam in partnership with Al-Mujadilah Development Foundation, United Youth of the Philippines-Women, Philippine Business for Social Progress, and the Philippine Legislators Committee on Population and Development.</w:t>
      </w:r>
      <w:r w:rsidRPr="006B4177">
        <w:rPr>
          <w:rStyle w:val="EndnoteReference"/>
          <w:rFonts w:asciiTheme="minorHAnsi" w:hAnsiTheme="minorHAnsi" w:cstheme="minorHAnsi"/>
          <w:i/>
          <w:iCs/>
          <w:shd w:val="clear" w:color="auto" w:fill="FFFFFF"/>
        </w:rPr>
        <w:endnoteReference w:id="79"/>
      </w:r>
    </w:p>
    <w:p w14:paraId="2E236CF7" w14:textId="77777777" w:rsidR="00BE0FB1" w:rsidRPr="006B4177" w:rsidRDefault="00BE0FB1" w:rsidP="00BE0FB1">
      <w:pPr>
        <w:pStyle w:val="ListParagraph"/>
        <w:spacing w:after="0" w:line="276" w:lineRule="auto"/>
        <w:ind w:left="0"/>
        <w:contextualSpacing w:val="0"/>
        <w:jc w:val="both"/>
        <w:rPr>
          <w:rFonts w:asciiTheme="minorHAnsi" w:hAnsiTheme="minorHAnsi" w:cstheme="minorHAnsi"/>
        </w:rPr>
      </w:pPr>
    </w:p>
    <w:p w14:paraId="20181706" w14:textId="77777777" w:rsidR="00BE0FB1" w:rsidRPr="006B4177" w:rsidRDefault="00BE0FB1" w:rsidP="00BE0FB1">
      <w:pPr>
        <w:pStyle w:val="Heading2"/>
        <w:spacing w:before="0" w:line="276" w:lineRule="auto"/>
        <w:jc w:val="both"/>
        <w:rPr>
          <w:rFonts w:cstheme="minorHAnsi"/>
          <w:szCs w:val="22"/>
        </w:rPr>
      </w:pPr>
      <w:bookmarkStart w:id="21" w:name="_Toc23513397"/>
      <w:bookmarkStart w:id="22" w:name="_Toc30781484"/>
      <w:r w:rsidRPr="006B4177">
        <w:rPr>
          <w:rFonts w:cstheme="minorHAnsi"/>
          <w:szCs w:val="22"/>
        </w:rPr>
        <w:t>Coordination, cooperation and evaluation</w:t>
      </w:r>
      <w:bookmarkEnd w:id="21"/>
      <w:bookmarkEnd w:id="22"/>
      <w:r w:rsidRPr="006B4177">
        <w:rPr>
          <w:rFonts w:cstheme="minorHAnsi"/>
          <w:szCs w:val="22"/>
        </w:rPr>
        <w:t xml:space="preserve"> </w:t>
      </w:r>
    </w:p>
    <w:p w14:paraId="57380C1B" w14:textId="77777777" w:rsidR="00BE0FB1" w:rsidRPr="006B4177" w:rsidRDefault="00BE0FB1" w:rsidP="00BE0FB1">
      <w:pPr>
        <w:spacing w:after="0" w:line="276" w:lineRule="auto"/>
        <w:jc w:val="both"/>
        <w:rPr>
          <w:rFonts w:asciiTheme="minorHAnsi" w:hAnsiTheme="minorHAnsi" w:cstheme="minorHAnsi"/>
        </w:rPr>
      </w:pPr>
    </w:p>
    <w:p w14:paraId="7865CF0A" w14:textId="42603081" w:rsidR="00BE0FB1" w:rsidRPr="006B4177" w:rsidRDefault="00BE0FB1" w:rsidP="00BE0FB1">
      <w:pPr>
        <w:pStyle w:val="CommentText"/>
        <w:numPr>
          <w:ilvl w:val="0"/>
          <w:numId w:val="2"/>
        </w:numPr>
        <w:spacing w:after="0" w:line="276" w:lineRule="auto"/>
        <w:ind w:left="0" w:hanging="284"/>
        <w:jc w:val="both"/>
        <w:rPr>
          <w:rFonts w:asciiTheme="minorHAnsi" w:hAnsiTheme="minorHAnsi" w:cstheme="minorHAnsi"/>
          <w:color w:val="444444"/>
          <w:sz w:val="22"/>
          <w:szCs w:val="22"/>
          <w:shd w:val="clear" w:color="auto" w:fill="FFFFFF"/>
        </w:rPr>
      </w:pPr>
      <w:r w:rsidRPr="006B4177">
        <w:rPr>
          <w:rFonts w:asciiTheme="minorHAnsi" w:hAnsiTheme="minorHAnsi" w:cstheme="minorHAnsi"/>
          <w:color w:val="222222"/>
          <w:sz w:val="22"/>
          <w:szCs w:val="22"/>
          <w:lang w:val="en"/>
        </w:rPr>
        <w:t xml:space="preserve">The GoP </w:t>
      </w:r>
      <w:r w:rsidRPr="006B4177">
        <w:rPr>
          <w:rFonts w:asciiTheme="minorHAnsi" w:hAnsiTheme="minorHAnsi" w:cstheme="minorHAnsi"/>
          <w:color w:val="212121"/>
          <w:sz w:val="22"/>
          <w:szCs w:val="22"/>
          <w:shd w:val="clear" w:color="auto" w:fill="FFFFFF"/>
        </w:rPr>
        <w:t>has established several agencies responsible for enforcement and several mechanisms to coordinate its efforts in the fight against SEC. However, gaps exist that hinder their work.</w:t>
      </w:r>
      <w:r w:rsidRPr="006B4177">
        <w:rPr>
          <w:rStyle w:val="EndnoteReference"/>
          <w:rFonts w:asciiTheme="minorHAnsi" w:hAnsiTheme="minorHAnsi" w:cstheme="minorHAnsi"/>
          <w:color w:val="212121"/>
          <w:sz w:val="22"/>
          <w:szCs w:val="22"/>
          <w:shd w:val="clear" w:color="auto" w:fill="FFFFFF"/>
        </w:rPr>
        <w:endnoteReference w:id="80"/>
      </w:r>
      <w:r w:rsidRPr="006B4177">
        <w:rPr>
          <w:rFonts w:asciiTheme="minorHAnsi" w:hAnsiTheme="minorHAnsi" w:cstheme="minorHAnsi"/>
          <w:color w:val="212121"/>
          <w:sz w:val="22"/>
          <w:szCs w:val="22"/>
          <w:shd w:val="clear" w:color="auto" w:fill="FFFFFF"/>
        </w:rPr>
        <w:t xml:space="preserve"> </w:t>
      </w:r>
      <w:r w:rsidRPr="006B4177">
        <w:rPr>
          <w:rFonts w:asciiTheme="minorHAnsi" w:hAnsiTheme="minorHAnsi" w:cstheme="minorHAnsi"/>
          <w:sz w:val="22"/>
          <w:szCs w:val="22"/>
        </w:rPr>
        <w:t xml:space="preserve">The Republic Act 10175 or the Cybercrime Prevention Act of 2012, a law that penalises cybersex and all </w:t>
      </w:r>
      <w:r w:rsidRPr="006B4177">
        <w:rPr>
          <w:rFonts w:asciiTheme="minorHAnsi" w:hAnsiTheme="minorHAnsi" w:cstheme="minorHAnsi"/>
          <w:color w:val="444444"/>
          <w:sz w:val="22"/>
          <w:szCs w:val="22"/>
          <w:shd w:val="clear" w:color="auto" w:fill="FFFFFF"/>
        </w:rPr>
        <w:t>the unlawful acts defined in the Anti-Child Pornography Act of 2009,</w:t>
      </w:r>
      <w:r w:rsidRPr="006B4177">
        <w:rPr>
          <w:rFonts w:asciiTheme="minorHAnsi" w:hAnsiTheme="minorHAnsi" w:cstheme="minorHAnsi"/>
          <w:sz w:val="22"/>
          <w:szCs w:val="22"/>
        </w:rPr>
        <w:t xml:space="preserve"> created the Cybercrime Investigation and Coordination Center (CICC) for</w:t>
      </w:r>
      <w:r w:rsidRPr="006B4177">
        <w:rPr>
          <w:rFonts w:asciiTheme="minorHAnsi" w:hAnsiTheme="minorHAnsi" w:cstheme="minorHAnsi"/>
          <w:color w:val="444444"/>
          <w:sz w:val="22"/>
          <w:szCs w:val="22"/>
          <w:shd w:val="clear" w:color="auto" w:fill="FFFFFF"/>
        </w:rPr>
        <w:t xml:space="preserve"> policy coordination among concerned agencies and for the formulation and enforcement of the national cybersecurity plan. </w:t>
      </w:r>
    </w:p>
    <w:p w14:paraId="74C4A8CB" w14:textId="77777777" w:rsidR="00BE0FB1" w:rsidRPr="006B4177" w:rsidRDefault="00BE0FB1" w:rsidP="00BE0FB1">
      <w:pPr>
        <w:pStyle w:val="CommentText"/>
        <w:spacing w:after="0" w:line="276" w:lineRule="auto"/>
        <w:jc w:val="both"/>
        <w:rPr>
          <w:rFonts w:asciiTheme="minorHAnsi" w:hAnsiTheme="minorHAnsi" w:cstheme="minorHAnsi"/>
          <w:color w:val="444444"/>
          <w:sz w:val="22"/>
          <w:szCs w:val="22"/>
          <w:shd w:val="clear" w:color="auto" w:fill="FFFFFF"/>
        </w:rPr>
      </w:pPr>
    </w:p>
    <w:p w14:paraId="378C5ED2" w14:textId="77777777" w:rsidR="00BE0FB1" w:rsidRPr="006B4177" w:rsidRDefault="00BE0FB1" w:rsidP="00BE0FB1">
      <w:pPr>
        <w:pStyle w:val="CommentText"/>
        <w:spacing w:after="0" w:line="276" w:lineRule="auto"/>
        <w:jc w:val="both"/>
        <w:rPr>
          <w:rFonts w:asciiTheme="minorHAnsi" w:eastAsia="Times New Roman" w:hAnsiTheme="minorHAnsi" w:cstheme="minorHAnsi"/>
          <w:color w:val="444444"/>
          <w:sz w:val="22"/>
          <w:szCs w:val="22"/>
        </w:rPr>
      </w:pPr>
      <w:r w:rsidRPr="006B4177">
        <w:rPr>
          <w:rFonts w:asciiTheme="minorHAnsi" w:hAnsiTheme="minorHAnsi" w:cstheme="minorHAnsi"/>
          <w:color w:val="444444"/>
          <w:sz w:val="22"/>
          <w:szCs w:val="22"/>
          <w:shd w:val="clear" w:color="auto" w:fill="FFFFFF"/>
        </w:rPr>
        <w:t>Part of CICC’s mandate is to “</w:t>
      </w:r>
      <w:r w:rsidRPr="006B4177">
        <w:rPr>
          <w:rFonts w:asciiTheme="minorHAnsi" w:eastAsia="Times New Roman" w:hAnsiTheme="minorHAnsi" w:cstheme="minorHAnsi"/>
          <w:color w:val="444444"/>
          <w:sz w:val="22"/>
          <w:szCs w:val="22"/>
        </w:rPr>
        <w:t>monitor cybercrime cases being bandied by participating law enforcement and prosecution agencies”, and “facilitate international cooperation on intelligence, investigations, training and capacity building related to cybercrime prevention, suppression and prosecution”.</w:t>
      </w:r>
    </w:p>
    <w:p w14:paraId="45D3248F" w14:textId="7E8417A0" w:rsidR="00BE0FB1" w:rsidRPr="006B4177" w:rsidRDefault="00BE0FB1" w:rsidP="00BE0FB1">
      <w:pPr>
        <w:pStyle w:val="CommentText"/>
        <w:spacing w:after="0" w:line="276" w:lineRule="auto"/>
        <w:jc w:val="both"/>
        <w:rPr>
          <w:rFonts w:asciiTheme="minorHAnsi" w:hAnsiTheme="minorHAnsi" w:cstheme="minorHAnsi"/>
          <w:sz w:val="22"/>
          <w:szCs w:val="22"/>
        </w:rPr>
      </w:pPr>
      <w:r w:rsidRPr="006B4177">
        <w:rPr>
          <w:rFonts w:asciiTheme="minorHAnsi" w:hAnsiTheme="minorHAnsi" w:cstheme="minorHAnsi"/>
          <w:sz w:val="22"/>
          <w:szCs w:val="22"/>
        </w:rPr>
        <w:t>Currently, no Executive Director for the CICC has been appointed, hence, its functions are temporarily assumed by the DICT Cybersecurity Bureau, an undermanned agency. A fully functioning CICC will strengthen the fight against OCSE because it would be an inter-agency body with expertise in technonlogy and law enforcement.</w:t>
      </w:r>
      <w:r w:rsidRPr="006B4177">
        <w:rPr>
          <w:rStyle w:val="EndnoteReference"/>
          <w:rFonts w:asciiTheme="minorHAnsi" w:hAnsiTheme="minorHAnsi" w:cstheme="minorHAnsi"/>
          <w:sz w:val="22"/>
          <w:szCs w:val="22"/>
        </w:rPr>
        <w:endnoteReference w:id="81"/>
      </w:r>
    </w:p>
    <w:p w14:paraId="7EE6FCFB" w14:textId="77777777" w:rsidR="00BE0FB1" w:rsidRPr="006B4177" w:rsidRDefault="00BE0FB1" w:rsidP="00BE0FB1">
      <w:pPr>
        <w:pStyle w:val="CommentText"/>
        <w:spacing w:after="0" w:line="276" w:lineRule="auto"/>
        <w:jc w:val="both"/>
        <w:rPr>
          <w:rFonts w:asciiTheme="minorHAnsi" w:hAnsiTheme="minorHAnsi" w:cstheme="minorHAnsi"/>
          <w:sz w:val="22"/>
          <w:szCs w:val="22"/>
        </w:rPr>
      </w:pPr>
    </w:p>
    <w:p w14:paraId="502E5259" w14:textId="216128BF"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shd w:val="clear" w:color="auto" w:fill="FFFFFF"/>
        </w:rPr>
        <w:t>The Committee for the Special Protection of Children is the body principally responsible for coordinating and monitoring the investigation and prosecution of cases involving violations of child-related criminal laws.</w:t>
      </w:r>
      <w:r w:rsidRPr="006B4177">
        <w:rPr>
          <w:rStyle w:val="EndnoteReference"/>
          <w:rFonts w:asciiTheme="minorHAnsi" w:hAnsiTheme="minorHAnsi" w:cstheme="minorHAnsi"/>
          <w:shd w:val="clear" w:color="auto" w:fill="FFFFFF"/>
        </w:rPr>
        <w:endnoteReference w:id="82"/>
      </w:r>
      <w:r w:rsidRPr="006B4177">
        <w:rPr>
          <w:rFonts w:asciiTheme="minorHAnsi" w:hAnsiTheme="minorHAnsi" w:cstheme="minorHAnsi"/>
        </w:rPr>
        <w:t xml:space="preserve"> </w:t>
      </w:r>
      <w:r w:rsidRPr="006B4177">
        <w:rPr>
          <w:rFonts w:asciiTheme="minorHAnsi" w:hAnsiTheme="minorHAnsi" w:cstheme="minorHAnsi"/>
          <w:shd w:val="clear" w:color="auto" w:fill="FFFFFF"/>
        </w:rPr>
        <w:t>The Committee is chaired by the Secretary of Justice and co-chaired by the Secretary of Social Welfare and Development.</w:t>
      </w:r>
      <w:r w:rsidRPr="006B4177">
        <w:rPr>
          <w:rStyle w:val="EndnoteReference"/>
          <w:rFonts w:asciiTheme="minorHAnsi" w:hAnsiTheme="minorHAnsi" w:cstheme="minorHAnsi"/>
          <w:shd w:val="clear" w:color="auto" w:fill="FFFFFF"/>
        </w:rPr>
        <w:endnoteReference w:id="83"/>
      </w:r>
      <w:r w:rsidRPr="006B4177">
        <w:rPr>
          <w:rFonts w:asciiTheme="minorHAnsi" w:hAnsiTheme="minorHAnsi" w:cstheme="minorHAnsi"/>
          <w:shd w:val="clear" w:color="auto" w:fill="FFFFFF"/>
        </w:rPr>
        <w:t xml:space="preserve"> The Committee fort he Special Protection of Children launched a 3-year (2019-20229 comprehensive programme for child protection.</w:t>
      </w:r>
      <w:r w:rsidRPr="006B4177">
        <w:rPr>
          <w:rStyle w:val="EndnoteReference"/>
          <w:rFonts w:asciiTheme="minorHAnsi" w:hAnsiTheme="minorHAnsi" w:cstheme="minorHAnsi"/>
          <w:shd w:val="clear" w:color="auto" w:fill="FFFFFF"/>
        </w:rPr>
        <w:endnoteReference w:id="84"/>
      </w:r>
    </w:p>
    <w:p w14:paraId="1C19F65A" w14:textId="77777777" w:rsidR="00BE0FB1" w:rsidRPr="006B4177" w:rsidRDefault="00BE0FB1" w:rsidP="00BE0FB1">
      <w:pPr>
        <w:pStyle w:val="ListParagraph"/>
        <w:spacing w:after="0" w:line="276" w:lineRule="auto"/>
        <w:jc w:val="both"/>
        <w:rPr>
          <w:rFonts w:asciiTheme="minorHAnsi" w:hAnsiTheme="minorHAnsi" w:cstheme="minorHAnsi"/>
        </w:rPr>
      </w:pPr>
    </w:p>
    <w:p w14:paraId="2B0CA241" w14:textId="77777777"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The National Bureau of Investigation is the body that effectively investigates and prosecutes child-related cases.</w:t>
      </w:r>
      <w:r w:rsidRPr="006B4177">
        <w:rPr>
          <w:rStyle w:val="EndnoteReference"/>
          <w:rFonts w:asciiTheme="minorHAnsi" w:hAnsiTheme="minorHAnsi" w:cstheme="minorHAnsi"/>
        </w:rPr>
        <w:endnoteReference w:id="85"/>
      </w:r>
      <w:r w:rsidRPr="006B4177">
        <w:rPr>
          <w:rFonts w:asciiTheme="minorHAnsi" w:hAnsiTheme="minorHAnsi" w:cstheme="minorHAnsi"/>
        </w:rPr>
        <w:t xml:space="preserve"> The National Bureau also operates a Task Force on the Protection of Children from Exploitation and Abuse and a national Trafficking in Persons Task Force.</w:t>
      </w:r>
      <w:r w:rsidRPr="006B4177">
        <w:rPr>
          <w:rStyle w:val="EndnoteReference"/>
          <w:rFonts w:asciiTheme="minorHAnsi" w:hAnsiTheme="minorHAnsi" w:cstheme="minorHAnsi"/>
        </w:rPr>
        <w:endnoteReference w:id="86"/>
      </w:r>
      <w:r w:rsidRPr="006B4177">
        <w:rPr>
          <w:rFonts w:asciiTheme="minorHAnsi" w:hAnsiTheme="minorHAnsi" w:cstheme="minorHAnsi"/>
        </w:rPr>
        <w:t xml:space="preserve"> In 2018, it developed a Manual and Standard Operating Procedures for trafficking in persons and OCSE cases.</w:t>
      </w:r>
      <w:r w:rsidRPr="006B4177">
        <w:rPr>
          <w:rStyle w:val="EndnoteReference"/>
          <w:rFonts w:asciiTheme="minorHAnsi" w:hAnsiTheme="minorHAnsi" w:cstheme="minorHAnsi"/>
        </w:rPr>
        <w:endnoteReference w:id="87"/>
      </w:r>
    </w:p>
    <w:p w14:paraId="1EB95D00" w14:textId="77777777" w:rsidR="00BE0FB1" w:rsidRPr="006B4177" w:rsidRDefault="00BE0FB1" w:rsidP="00BE0FB1">
      <w:pPr>
        <w:pStyle w:val="ListParagraph"/>
        <w:spacing w:after="0" w:line="276" w:lineRule="auto"/>
        <w:jc w:val="both"/>
        <w:rPr>
          <w:rFonts w:asciiTheme="minorHAnsi" w:hAnsiTheme="minorHAnsi" w:cstheme="minorHAnsi"/>
        </w:rPr>
      </w:pPr>
    </w:p>
    <w:p w14:paraId="4831841E" w14:textId="1CF05EFB"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Regarding trafficking more specifically, the Inter-Agency Council Against Trafficking (IACAT) coordinates, monitors and oversees efforts to combat human trafficking, including child trafficking. It comprises 24 anti-human trafficking task foced established in eight region and 7 interagency task forces established in major seaports and airports. It is chaired by the Department of Justice and the Department of Social Walfare and Development.</w:t>
      </w:r>
      <w:r w:rsidRPr="006B4177">
        <w:rPr>
          <w:rStyle w:val="EndnoteReference"/>
          <w:rFonts w:asciiTheme="minorHAnsi" w:hAnsiTheme="minorHAnsi" w:cstheme="minorHAnsi"/>
        </w:rPr>
        <w:endnoteReference w:id="88"/>
      </w:r>
      <w:r w:rsidRPr="006B4177">
        <w:rPr>
          <w:rFonts w:asciiTheme="minorHAnsi" w:hAnsiTheme="minorHAnsi" w:cstheme="minorHAnsi"/>
        </w:rPr>
        <w:t xml:space="preserve"> In 2018, it started its first year of implementation of the Prosecutor’s Trafficking in Persons Case Management System, aimed at facilitating the monitoring of prosecutions.</w:t>
      </w:r>
      <w:r w:rsidRPr="006B4177">
        <w:rPr>
          <w:rStyle w:val="EndnoteReference"/>
          <w:rFonts w:asciiTheme="minorHAnsi" w:hAnsiTheme="minorHAnsi" w:cstheme="minorHAnsi"/>
        </w:rPr>
        <w:endnoteReference w:id="89"/>
      </w:r>
      <w:r w:rsidRPr="006B4177">
        <w:rPr>
          <w:rFonts w:asciiTheme="minorHAnsi" w:hAnsiTheme="minorHAnsi" w:cstheme="minorHAnsi"/>
        </w:rPr>
        <w:t xml:space="preserve"> According to the TIP report, the IACAT and the government task forces involved in anti-trafficking activities met regularly in 2018 to share information and coordinate policies.</w:t>
      </w:r>
      <w:r w:rsidRPr="006B4177">
        <w:rPr>
          <w:rStyle w:val="EndnoteReference"/>
          <w:rFonts w:asciiTheme="minorHAnsi" w:hAnsiTheme="minorHAnsi" w:cstheme="minorHAnsi"/>
        </w:rPr>
        <w:endnoteReference w:id="90"/>
      </w:r>
      <w:r w:rsidRPr="006B4177">
        <w:rPr>
          <w:rFonts w:asciiTheme="minorHAnsi" w:hAnsiTheme="minorHAnsi" w:cstheme="minorHAnsi"/>
        </w:rPr>
        <w:t xml:space="preserve"> In 2018, the IACAT member agencies and organisations also conducted an assessment of the National Strategic Action Plan against Trafficking in Persons (2017–2021), including analysis of ongoing efforts, key challenges and priorities, best practices, and stakeholder sustainability.</w:t>
      </w:r>
      <w:r w:rsidRPr="006B4177">
        <w:rPr>
          <w:rStyle w:val="EndnoteReference"/>
          <w:rFonts w:asciiTheme="minorHAnsi" w:hAnsiTheme="minorHAnsi" w:cstheme="minorHAnsi"/>
        </w:rPr>
        <w:endnoteReference w:id="91"/>
      </w:r>
      <w:r w:rsidRPr="006B4177">
        <w:rPr>
          <w:rFonts w:asciiTheme="minorHAnsi" w:hAnsiTheme="minorHAnsi" w:cstheme="minorHAnsi"/>
        </w:rPr>
        <w:t xml:space="preserve"> The results of this assessment are however not available online.</w:t>
      </w:r>
    </w:p>
    <w:p w14:paraId="2EA658CD" w14:textId="77777777" w:rsidR="00BE0FB1" w:rsidRPr="006B4177" w:rsidRDefault="00BE0FB1" w:rsidP="00BE0FB1">
      <w:pPr>
        <w:pStyle w:val="ListParagraph"/>
        <w:spacing w:after="0" w:line="276" w:lineRule="auto"/>
        <w:jc w:val="both"/>
        <w:rPr>
          <w:rFonts w:asciiTheme="minorHAnsi" w:hAnsiTheme="minorHAnsi" w:cstheme="minorHAnsi"/>
        </w:rPr>
      </w:pPr>
    </w:p>
    <w:p w14:paraId="486B36E6" w14:textId="6B14D568"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 xml:space="preserve">Regarding OCSE, the Inter-Agency Council Against Child Pornography (IACACP) serves at the primary government coordinating mechanism to address, monitor and oversee child sexual exploitation online. </w:t>
      </w:r>
      <w:r w:rsidRPr="006B4177">
        <w:rPr>
          <w:rFonts w:asciiTheme="minorHAnsi" w:hAnsiTheme="minorHAnsi" w:cstheme="minorHAnsi"/>
          <w:color w:val="212121"/>
          <w:shd w:val="clear" w:color="auto" w:fill="FFFFFF"/>
        </w:rPr>
        <w:t xml:space="preserve">It is chaired by the Department of Social Welfare and Development and </w:t>
      </w:r>
      <w:r w:rsidRPr="006B4177">
        <w:rPr>
          <w:rFonts w:asciiTheme="minorHAnsi" w:hAnsiTheme="minorHAnsi" w:cstheme="minorHAnsi"/>
        </w:rPr>
        <w:t>vice-chaired by the Department of Justice. I</w:t>
      </w:r>
      <w:r w:rsidRPr="006B4177">
        <w:rPr>
          <w:rFonts w:asciiTheme="minorHAnsi" w:hAnsiTheme="minorHAnsi" w:cstheme="minorHAnsi"/>
          <w:color w:val="212121"/>
          <w:shd w:val="clear" w:color="auto" w:fill="FFFFFF"/>
        </w:rPr>
        <w:t>t comprises 12 government agencies and 3 NGOs.</w:t>
      </w:r>
      <w:r w:rsidRPr="006B4177">
        <w:rPr>
          <w:rStyle w:val="EndnoteReference"/>
          <w:rFonts w:asciiTheme="minorHAnsi" w:hAnsiTheme="minorHAnsi" w:cstheme="minorHAnsi"/>
          <w:color w:val="212121"/>
          <w:shd w:val="clear" w:color="auto" w:fill="FFFFFF"/>
        </w:rPr>
        <w:endnoteReference w:id="92"/>
      </w:r>
      <w:r w:rsidRPr="006B4177">
        <w:rPr>
          <w:rFonts w:asciiTheme="minorHAnsi" w:hAnsiTheme="minorHAnsi" w:cstheme="minorHAnsi"/>
          <w:color w:val="212121"/>
          <w:shd w:val="clear" w:color="auto" w:fill="FFFFFF"/>
        </w:rPr>
        <w:t xml:space="preserve"> </w:t>
      </w:r>
      <w:r w:rsidRPr="006B4177">
        <w:rPr>
          <w:rFonts w:asciiTheme="minorHAnsi" w:hAnsiTheme="minorHAnsi" w:cstheme="minorHAnsi"/>
        </w:rPr>
        <w:t xml:space="preserve">Additionally, in 2015, an Office of Cybercrime was created within the Department of Justice. It </w:t>
      </w:r>
      <w:r w:rsidRPr="006B4177">
        <w:rPr>
          <w:rFonts w:asciiTheme="minorHAnsi" w:hAnsiTheme="minorHAnsi" w:cstheme="minorHAnsi"/>
          <w:color w:val="212121"/>
          <w:shd w:val="clear" w:color="auto" w:fill="FFFFFF"/>
        </w:rPr>
        <w:t>receives CyberTips reports from the U.S.-based National Center for Missing and Exploited Children and conducts initial investigations before sending the cases to the Philippines National Police's Internet Crime Against Children Center.</w:t>
      </w:r>
      <w:r w:rsidRPr="006B4177">
        <w:rPr>
          <w:rStyle w:val="EndnoteReference"/>
          <w:rFonts w:asciiTheme="minorHAnsi" w:hAnsiTheme="minorHAnsi" w:cstheme="minorHAnsi"/>
          <w:color w:val="212121"/>
          <w:shd w:val="clear" w:color="auto" w:fill="FFFFFF"/>
        </w:rPr>
        <w:endnoteReference w:id="93"/>
      </w:r>
      <w:r w:rsidRPr="006B4177">
        <w:rPr>
          <w:rFonts w:asciiTheme="minorHAnsi" w:hAnsiTheme="minorHAnsi" w:cstheme="minorHAnsi"/>
          <w:color w:val="212121"/>
          <w:shd w:val="clear" w:color="auto" w:fill="FFFFFF"/>
        </w:rPr>
        <w:t xml:space="preserve"> Finally, t</w:t>
      </w:r>
      <w:r w:rsidRPr="006B4177">
        <w:rPr>
          <w:rFonts w:asciiTheme="minorHAnsi" w:hAnsiTheme="minorHAnsi" w:cstheme="minorHAnsi"/>
        </w:rPr>
        <w:t>he National Telecommunications Commission cooperates with Internet service providers to block wesbites containing child sexual abuse materials.</w:t>
      </w:r>
      <w:r w:rsidRPr="006B4177">
        <w:rPr>
          <w:rStyle w:val="EndnoteReference"/>
          <w:rFonts w:asciiTheme="minorHAnsi" w:hAnsiTheme="minorHAnsi" w:cstheme="minorHAnsi"/>
        </w:rPr>
        <w:endnoteReference w:id="94"/>
      </w:r>
      <w:r w:rsidRPr="006B4177">
        <w:rPr>
          <w:rFonts w:asciiTheme="minorHAnsi" w:hAnsiTheme="minorHAnsi" w:cstheme="minorHAnsi"/>
        </w:rPr>
        <w:t xml:space="preserve"> </w:t>
      </w:r>
    </w:p>
    <w:p w14:paraId="4C934A89" w14:textId="77777777" w:rsidR="00BE0FB1" w:rsidRPr="006B4177" w:rsidRDefault="00BE0FB1" w:rsidP="00BE0FB1">
      <w:pPr>
        <w:pStyle w:val="Heading1"/>
        <w:spacing w:before="0" w:line="276" w:lineRule="auto"/>
        <w:jc w:val="both"/>
        <w:rPr>
          <w:rFonts w:cstheme="minorHAnsi"/>
          <w:szCs w:val="22"/>
        </w:rPr>
      </w:pPr>
      <w:bookmarkStart w:id="23" w:name="_Toc23513398"/>
      <w:bookmarkStart w:id="24" w:name="_Toc30781485"/>
    </w:p>
    <w:p w14:paraId="01494BF0" w14:textId="6185296E" w:rsidR="00BE0FB1" w:rsidRPr="006B4177" w:rsidRDefault="00BE0FB1" w:rsidP="00BE0FB1">
      <w:pPr>
        <w:pStyle w:val="Heading1"/>
        <w:spacing w:before="0" w:line="276" w:lineRule="auto"/>
        <w:jc w:val="both"/>
        <w:rPr>
          <w:rFonts w:cstheme="minorHAnsi"/>
          <w:szCs w:val="22"/>
        </w:rPr>
      </w:pPr>
      <w:r w:rsidRPr="006B4177">
        <w:rPr>
          <w:rFonts w:cstheme="minorHAnsi"/>
          <w:szCs w:val="22"/>
        </w:rPr>
        <w:t>Prevention of the sale of children, child prostitution and child pornography</w:t>
      </w:r>
      <w:bookmarkEnd w:id="23"/>
      <w:bookmarkEnd w:id="24"/>
    </w:p>
    <w:p w14:paraId="641653BD" w14:textId="4ADBCD25" w:rsidR="00BE0FB1" w:rsidRPr="006B4177" w:rsidRDefault="00BE0FB1" w:rsidP="00BE0FB1">
      <w:pPr>
        <w:spacing w:after="0" w:line="276" w:lineRule="auto"/>
        <w:jc w:val="both"/>
        <w:rPr>
          <w:rFonts w:asciiTheme="minorHAnsi" w:hAnsiTheme="minorHAnsi" w:cstheme="minorHAnsi"/>
        </w:rPr>
      </w:pPr>
    </w:p>
    <w:p w14:paraId="0853052C" w14:textId="4294A19C"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color w:val="222222"/>
          <w:lang w:val="en"/>
        </w:rPr>
        <w:t xml:space="preserve">The GoP organised campaigns and events regarding several manifestations of SEC. Several telephone hotlines are also operated by different government agencies, and notably by: </w:t>
      </w:r>
      <w:r w:rsidRPr="006B4177">
        <w:rPr>
          <w:rFonts w:asciiTheme="minorHAnsi" w:hAnsiTheme="minorHAnsi" w:cstheme="minorHAnsi"/>
        </w:rPr>
        <w:t>the Department of Social Welfare and Development, the Child Health and Intervention and Protective Service, the Anti-Child Abuse, Discrimination, Exploitation Division, the National Bureau of Investigation, the Commission on Human Rights Child Rights Centre, the Philippine National Police Operation Centre, and the Department of Justice’s Task Force on Child Protection.</w:t>
      </w:r>
      <w:r w:rsidRPr="006B4177">
        <w:rPr>
          <w:rStyle w:val="EndnoteReference"/>
          <w:rFonts w:asciiTheme="minorHAnsi" w:hAnsiTheme="minorHAnsi" w:cstheme="minorHAnsi"/>
        </w:rPr>
        <w:endnoteReference w:id="95"/>
      </w:r>
    </w:p>
    <w:p w14:paraId="7AB1672B" w14:textId="77777777" w:rsidR="00BE0FB1" w:rsidRPr="006B4177" w:rsidRDefault="00BE0FB1" w:rsidP="00BE0FB1">
      <w:pPr>
        <w:spacing w:after="0" w:line="276" w:lineRule="auto"/>
        <w:jc w:val="both"/>
        <w:rPr>
          <w:rFonts w:asciiTheme="minorHAnsi" w:hAnsiTheme="minorHAnsi" w:cstheme="minorHAnsi"/>
        </w:rPr>
      </w:pPr>
    </w:p>
    <w:p w14:paraId="617DBD3D" w14:textId="0343842B"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shd w:val="clear" w:color="auto" w:fill="FFFFFF"/>
        </w:rPr>
        <w:t>Aside from government-led initatives, others prevention measures have been adopted by private organisations. Bantay Bata 163 is a child welfare programme that was launched in 1997 to protect disadvantaged and at-risk children through a nationwide network of social services.</w:t>
      </w:r>
      <w:r w:rsidRPr="006B4177">
        <w:rPr>
          <w:rStyle w:val="EndnoteReference"/>
          <w:rFonts w:asciiTheme="minorHAnsi" w:hAnsiTheme="minorHAnsi" w:cstheme="minorHAnsi"/>
          <w:shd w:val="clear" w:color="auto" w:fill="FFFFFF"/>
        </w:rPr>
        <w:endnoteReference w:id="96"/>
      </w:r>
      <w:r w:rsidRPr="006B4177">
        <w:rPr>
          <w:rFonts w:asciiTheme="minorHAnsi" w:hAnsiTheme="minorHAnsi" w:cstheme="minorHAnsi"/>
          <w:shd w:val="clear" w:color="auto" w:fill="FFFFFF"/>
        </w:rPr>
        <w:t xml:space="preserve"> On the prevention side, it organises spearheading trainings, seminars, and conferences, aimed at disseminating knowledge on laws, techniques and systems in protecting children to prevent child abuse. It also provides a child helpline 1-6-3, which can be reached by children and by anyone wishing to report suspicious behaviours.</w:t>
      </w:r>
      <w:r w:rsidRPr="006B4177">
        <w:rPr>
          <w:rStyle w:val="EndnoteReference"/>
          <w:rFonts w:asciiTheme="minorHAnsi" w:hAnsiTheme="minorHAnsi" w:cstheme="minorHAnsi"/>
          <w:shd w:val="clear" w:color="auto" w:fill="FFFFFF"/>
        </w:rPr>
        <w:endnoteReference w:id="97"/>
      </w:r>
    </w:p>
    <w:p w14:paraId="5F281542" w14:textId="77777777" w:rsidR="00BE0FB1" w:rsidRPr="006B4177" w:rsidRDefault="00BE0FB1" w:rsidP="00BE0FB1">
      <w:pPr>
        <w:spacing w:after="0" w:line="276" w:lineRule="auto"/>
        <w:jc w:val="both"/>
        <w:rPr>
          <w:rFonts w:asciiTheme="minorHAnsi" w:hAnsiTheme="minorHAnsi" w:cstheme="minorHAnsi"/>
        </w:rPr>
      </w:pPr>
    </w:p>
    <w:p w14:paraId="0959EEAB" w14:textId="378B9101"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color w:val="000000"/>
        </w:rPr>
        <w:t xml:space="preserve">Regarding OCSE, in October 2019, an </w:t>
      </w:r>
      <w:r w:rsidRPr="006B4177">
        <w:rPr>
          <w:rFonts w:asciiTheme="minorHAnsi" w:hAnsiTheme="minorHAnsi" w:cstheme="minorHAnsi"/>
          <w:color w:val="303030"/>
          <w:shd w:val="clear" w:color="auto" w:fill="FFFFFF"/>
        </w:rPr>
        <w:t xml:space="preserve">Australian Government-led consortium of leading child rights advocates, together with the GoP, launched </w:t>
      </w:r>
      <w:r w:rsidRPr="006B4177">
        <w:rPr>
          <w:rFonts w:asciiTheme="minorHAnsi" w:hAnsiTheme="minorHAnsi" w:cstheme="minorHAnsi"/>
          <w:color w:val="000000"/>
        </w:rPr>
        <w:t>the “SaferKidsPH” campaign to raise national awareness on the extent and impact of olinenline sexual exploitation and abuse of children in the Philippines.</w:t>
      </w:r>
      <w:r w:rsidRPr="006B4177">
        <w:rPr>
          <w:rStyle w:val="EndnoteReference"/>
          <w:rFonts w:asciiTheme="minorHAnsi" w:hAnsiTheme="minorHAnsi" w:cstheme="minorHAnsi"/>
          <w:color w:val="000000"/>
        </w:rPr>
        <w:endnoteReference w:id="98"/>
      </w:r>
      <w:r w:rsidRPr="006B4177">
        <w:rPr>
          <w:rFonts w:asciiTheme="minorHAnsi" w:hAnsiTheme="minorHAnsi" w:cstheme="minorHAnsi"/>
          <w:color w:val="000000"/>
        </w:rPr>
        <w:t xml:space="preserve"> The website promotes 10 Internet safety tips for kids.</w:t>
      </w:r>
      <w:r w:rsidRPr="006B4177">
        <w:rPr>
          <w:rStyle w:val="EndnoteReference"/>
          <w:rFonts w:asciiTheme="minorHAnsi" w:hAnsiTheme="minorHAnsi" w:cstheme="minorHAnsi"/>
          <w:color w:val="000000"/>
        </w:rPr>
        <w:endnoteReference w:id="99"/>
      </w:r>
    </w:p>
    <w:p w14:paraId="3349EBBC" w14:textId="77777777" w:rsidR="00BE0FB1" w:rsidRPr="006B4177" w:rsidRDefault="00BE0FB1" w:rsidP="00BE0FB1">
      <w:pPr>
        <w:pStyle w:val="ListParagraph"/>
        <w:spacing w:after="0" w:line="276" w:lineRule="auto"/>
        <w:jc w:val="both"/>
        <w:rPr>
          <w:rFonts w:asciiTheme="minorHAnsi" w:hAnsiTheme="minorHAnsi" w:cstheme="minorHAnsi"/>
        </w:rPr>
      </w:pPr>
    </w:p>
    <w:p w14:paraId="0046B2E7" w14:textId="4A250CBC"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OSEC is a global crime. Offenders are from different parts of the world and while numerous victims are Filipino children, INHOPE notes that majority of child sexual abuse material (CSAM) are hosted outside the Philippines.</w:t>
      </w:r>
      <w:r w:rsidRPr="006B4177">
        <w:rPr>
          <w:rStyle w:val="EndnoteReference"/>
          <w:rFonts w:asciiTheme="minorHAnsi" w:hAnsiTheme="minorHAnsi" w:cstheme="minorHAnsi"/>
        </w:rPr>
        <w:endnoteReference w:id="100"/>
      </w:r>
      <w:r w:rsidRPr="006B4177">
        <w:rPr>
          <w:rFonts w:asciiTheme="minorHAnsi" w:hAnsiTheme="minorHAnsi" w:cstheme="minorHAnsi"/>
        </w:rPr>
        <w:t xml:space="preserve"> ECPAT International and Interpol’s study on the identification of victims oF CSAM highlighted the importance of a strong international cooperation in order to identify more victims and offenders – one way to realize this is for countries to connect or contribute verified reports to the Interpol Child Sexual Exploitation Database (ICSE). The ICSE database, due to its advanced technology to analyze reports, helps fastrack investigation and avoid duplication of law enforcement efforts. Right now, the Philippines is not connected to the ICSE database and doesn’t have infrastructure to immediately take down CSAM. Having an INHOPE national hotline will address this gap as it doesn’t only forward verified reports to the ICSE database, it’s the fastest way to take down CSAM for good. With 47 member hotlines worldwide, it allows for easier coordination with countries where CSAMs are hosted; illegal content is taken down in as little as 3 days at an average. Since 2018, ECPAT Philippines has pushed for the operation of an INHOPE hotline in partership with the DICT-CICC, the agency mandated by the Cybercrime Prevention Law to coordinate all law enforcement agencies in relation to cybercrimes. As of the last quarter of 2019, ECPAT and the DICT have finalized the contents of the Memorandum of Understanding (MOA) for the hotline operation, but it hasn’t been signed by the DICT to date.</w:t>
      </w:r>
    </w:p>
    <w:p w14:paraId="018BBF7A" w14:textId="77777777" w:rsidR="00BE0FB1" w:rsidRPr="006B4177" w:rsidRDefault="00BE0FB1" w:rsidP="00BE0FB1">
      <w:pPr>
        <w:pStyle w:val="ListParagraph"/>
        <w:spacing w:after="0" w:line="276" w:lineRule="auto"/>
        <w:jc w:val="both"/>
        <w:rPr>
          <w:rFonts w:asciiTheme="minorHAnsi" w:hAnsiTheme="minorHAnsi" w:cstheme="minorHAnsi"/>
        </w:rPr>
      </w:pPr>
    </w:p>
    <w:p w14:paraId="50357310" w14:textId="7144D680"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color w:val="222222"/>
          <w:lang w:val="en"/>
        </w:rPr>
        <w:t xml:space="preserve">Regarding trafficking, it was reported in the TIP report of 2019 that the </w:t>
      </w:r>
      <w:r w:rsidRPr="006B4177">
        <w:rPr>
          <w:rFonts w:asciiTheme="minorHAnsi" w:hAnsiTheme="minorHAnsi" w:cstheme="minorHAnsi"/>
        </w:rPr>
        <w:t>Commission of Filipinos Overseas conducted a national prevention campaign across 12 provinces that reached 4,122 persons.</w:t>
      </w:r>
      <w:r w:rsidRPr="006B4177">
        <w:rPr>
          <w:rStyle w:val="EndnoteReference"/>
          <w:rFonts w:asciiTheme="minorHAnsi" w:hAnsiTheme="minorHAnsi" w:cstheme="minorHAnsi"/>
        </w:rPr>
        <w:endnoteReference w:id="101"/>
      </w:r>
      <w:r w:rsidRPr="006B4177">
        <w:rPr>
          <w:rFonts w:asciiTheme="minorHAnsi" w:hAnsiTheme="minorHAnsi" w:cstheme="minorHAnsi"/>
        </w:rPr>
        <w:t xml:space="preserve"> The TIP report also reported that the Department of Labor and Employment distributed informational materials to 34,634 individuals within communities that were vulnerable to illegal recruitment and trafficking.</w:t>
      </w:r>
      <w:r w:rsidRPr="006B4177">
        <w:rPr>
          <w:rStyle w:val="EndnoteReference"/>
          <w:rFonts w:asciiTheme="minorHAnsi" w:hAnsiTheme="minorHAnsi" w:cstheme="minorHAnsi"/>
        </w:rPr>
        <w:endnoteReference w:id="102"/>
      </w:r>
      <w:r w:rsidRPr="006B4177">
        <w:rPr>
          <w:rFonts w:asciiTheme="minorHAnsi" w:hAnsiTheme="minorHAnsi" w:cstheme="minorHAnsi"/>
        </w:rPr>
        <w:t xml:space="preserve"> Finally, the GoP also sustained efforts to provide anti-trafficking training to officials by supporting the provision of basic and advanced skills training through 136 programmes that included a focus on the investigation and prosecution of cases involving notably child victims of online sexual exploitation.</w:t>
      </w:r>
      <w:r w:rsidRPr="006B4177">
        <w:rPr>
          <w:rStyle w:val="EndnoteReference"/>
          <w:rFonts w:asciiTheme="minorHAnsi" w:hAnsiTheme="minorHAnsi" w:cstheme="minorHAnsi"/>
        </w:rPr>
        <w:endnoteReference w:id="103"/>
      </w:r>
    </w:p>
    <w:p w14:paraId="27C2069F" w14:textId="77777777" w:rsidR="00BE0FB1" w:rsidRPr="006B4177" w:rsidRDefault="00BE0FB1" w:rsidP="00BE0FB1">
      <w:pPr>
        <w:pStyle w:val="ListParagraph"/>
        <w:spacing w:after="0" w:line="276" w:lineRule="auto"/>
        <w:jc w:val="both"/>
        <w:rPr>
          <w:rFonts w:asciiTheme="minorHAnsi" w:hAnsiTheme="minorHAnsi" w:cstheme="minorHAnsi"/>
        </w:rPr>
      </w:pPr>
    </w:p>
    <w:p w14:paraId="5691DAEC" w14:textId="54A2B9F1" w:rsidR="00BE0FB1" w:rsidRPr="006B4177" w:rsidRDefault="00BE0FB1" w:rsidP="00BE0FB1">
      <w:pPr>
        <w:pStyle w:val="CommentText"/>
        <w:numPr>
          <w:ilvl w:val="0"/>
          <w:numId w:val="2"/>
        </w:numPr>
        <w:spacing w:after="0" w:line="276" w:lineRule="auto"/>
        <w:ind w:left="0" w:hanging="426"/>
        <w:jc w:val="both"/>
        <w:rPr>
          <w:rFonts w:asciiTheme="minorHAnsi" w:hAnsiTheme="minorHAnsi" w:cstheme="minorHAnsi"/>
          <w:sz w:val="22"/>
          <w:szCs w:val="22"/>
        </w:rPr>
      </w:pPr>
      <w:r w:rsidRPr="006B4177">
        <w:rPr>
          <w:rFonts w:asciiTheme="minorHAnsi" w:hAnsiTheme="minorHAnsi" w:cstheme="minorHAnsi"/>
          <w:sz w:val="22"/>
          <w:szCs w:val="22"/>
        </w:rPr>
        <w:t>The Deparment of Tourism in partnership with ECPAT Philippines and other NGOs has mainstreamed the conduct of seminars on child-safe tourism for tourism workers through its Tourism Worcs programme.</w:t>
      </w:r>
      <w:r w:rsidRPr="006B4177">
        <w:rPr>
          <w:rStyle w:val="EndnoteReference"/>
          <w:rFonts w:asciiTheme="minorHAnsi" w:hAnsiTheme="minorHAnsi" w:cstheme="minorHAnsi"/>
          <w:sz w:val="22"/>
          <w:szCs w:val="22"/>
        </w:rPr>
        <w:endnoteReference w:id="104"/>
      </w:r>
      <w:r w:rsidRPr="006B4177">
        <w:rPr>
          <w:rFonts w:asciiTheme="minorHAnsi" w:hAnsiTheme="minorHAnsi" w:cstheme="minorHAnsi"/>
          <w:sz w:val="22"/>
          <w:szCs w:val="22"/>
        </w:rPr>
        <w:t xml:space="preserve"> However, it hasn’t required tourism businesses to adopt a child protection policy as part of its accreditation requirements. This means that though employees are sensitized on the issue, they are not necessarily required to respond when suspiscious cases arise in their premises.</w:t>
      </w:r>
    </w:p>
    <w:p w14:paraId="3488860C" w14:textId="77777777" w:rsidR="00BE0FB1" w:rsidRPr="006B4177" w:rsidRDefault="00BE0FB1" w:rsidP="00BE0FB1">
      <w:pPr>
        <w:pStyle w:val="CommentText"/>
        <w:spacing w:after="0" w:line="276" w:lineRule="auto"/>
        <w:ind w:hanging="426"/>
        <w:jc w:val="both"/>
        <w:rPr>
          <w:rFonts w:asciiTheme="minorHAnsi" w:hAnsiTheme="minorHAnsi" w:cstheme="minorHAnsi"/>
          <w:sz w:val="22"/>
          <w:szCs w:val="22"/>
        </w:rPr>
      </w:pPr>
    </w:p>
    <w:p w14:paraId="78E5ED00" w14:textId="267E98FF" w:rsidR="00BE0FB1" w:rsidRPr="006B4177" w:rsidRDefault="00BE0FB1" w:rsidP="00BE0FB1">
      <w:pPr>
        <w:pStyle w:val="ListParagraph"/>
        <w:numPr>
          <w:ilvl w:val="0"/>
          <w:numId w:val="2"/>
        </w:numPr>
        <w:spacing w:after="0" w:line="276" w:lineRule="auto"/>
        <w:ind w:left="0" w:hanging="426"/>
        <w:contextualSpacing w:val="0"/>
        <w:jc w:val="both"/>
        <w:rPr>
          <w:rFonts w:asciiTheme="minorHAnsi" w:hAnsiTheme="minorHAnsi" w:cstheme="minorHAnsi"/>
        </w:rPr>
      </w:pPr>
      <w:r w:rsidRPr="006B4177">
        <w:rPr>
          <w:rFonts w:asciiTheme="minorHAnsi" w:hAnsiTheme="minorHAnsi" w:cstheme="minorHAnsi"/>
        </w:rPr>
        <w:t xml:space="preserve">In 2017 ECPAT Philippines, in partnerhsip with the </w:t>
      </w:r>
      <w:r w:rsidRPr="006B4177">
        <w:rPr>
          <w:rFonts w:asciiTheme="minorHAnsi" w:hAnsiTheme="minorHAnsi" w:cstheme="minorHAnsi"/>
          <w:iCs/>
        </w:rPr>
        <w:t>Bohol Association of Hotels, Resorts and Restaurants</w:t>
      </w:r>
      <w:r w:rsidRPr="006B4177">
        <w:rPr>
          <w:rFonts w:asciiTheme="minorHAnsi" w:hAnsiTheme="minorHAnsi" w:cstheme="minorHAnsi"/>
        </w:rPr>
        <w:t xml:space="preserve"> (BAHRR) successfully lobbied the provincial government to enact the Tourism Child Protection Ordinance.</w:t>
      </w:r>
      <w:r w:rsidRPr="006B4177">
        <w:rPr>
          <w:rStyle w:val="EndnoteReference"/>
          <w:rFonts w:asciiTheme="minorHAnsi" w:hAnsiTheme="minorHAnsi" w:cstheme="minorHAnsi"/>
        </w:rPr>
        <w:endnoteReference w:id="105"/>
      </w:r>
      <w:r w:rsidRPr="006B4177">
        <w:rPr>
          <w:rFonts w:asciiTheme="minorHAnsi" w:hAnsiTheme="minorHAnsi" w:cstheme="minorHAnsi"/>
        </w:rPr>
        <w:t xml:space="preserve"> It requires all tourism businesses to adopt a child protection policy, to be displayed in key areas in their facitlities, and train their staff on child protection. Compliance to the ordinance is a requirement for </w:t>
      </w:r>
      <w:r w:rsidRPr="006B4177">
        <w:rPr>
          <w:rFonts w:asciiTheme="minorHAnsi" w:hAnsiTheme="minorHAnsi" w:cstheme="minorHAnsi"/>
          <w:color w:val="1D2129"/>
          <w:shd w:val="clear" w:color="auto" w:fill="FFFFFF"/>
        </w:rPr>
        <w:t xml:space="preserve">renewal of annual business permits and license to operate. As of December 2019, </w:t>
      </w:r>
      <w:r w:rsidRPr="006B4177">
        <w:rPr>
          <w:rFonts w:asciiTheme="minorHAnsi" w:hAnsiTheme="minorHAnsi" w:cstheme="minorHAnsi"/>
          <w:bCs/>
          <w:color w:val="1D2129"/>
          <w:shd w:val="clear" w:color="auto" w:fill="FFFFFF"/>
          <w:lang w:val="en-US"/>
        </w:rPr>
        <w:t>800 tourism workers in 288 establishments</w:t>
      </w:r>
      <w:r w:rsidRPr="006B4177">
        <w:rPr>
          <w:rFonts w:asciiTheme="minorHAnsi" w:hAnsiTheme="minorHAnsi" w:cstheme="minorHAnsi"/>
          <w:b/>
          <w:bCs/>
          <w:color w:val="1D2129"/>
          <w:shd w:val="clear" w:color="auto" w:fill="FFFFFF"/>
          <w:lang w:val="en-US"/>
        </w:rPr>
        <w:t xml:space="preserve"> </w:t>
      </w:r>
      <w:r w:rsidRPr="006B4177">
        <w:rPr>
          <w:rFonts w:asciiTheme="minorHAnsi" w:hAnsiTheme="minorHAnsi" w:cstheme="minorHAnsi"/>
          <w:color w:val="1D2129"/>
          <w:shd w:val="clear" w:color="auto" w:fill="FFFFFF"/>
          <w:lang w:val="en-US"/>
        </w:rPr>
        <w:t xml:space="preserve">in Panglao and other towns of Bohol were given child protection seminars on responding to cases of SECTT; </w:t>
      </w:r>
      <w:r w:rsidRPr="006B4177">
        <w:rPr>
          <w:rFonts w:asciiTheme="minorHAnsi" w:hAnsiTheme="minorHAnsi" w:cstheme="minorHAnsi"/>
          <w:bCs/>
          <w:color w:val="1D2129"/>
          <w:shd w:val="clear" w:color="auto" w:fill="FFFFFF"/>
          <w:lang w:val="en-US"/>
        </w:rPr>
        <w:t>81 tourism businesses</w:t>
      </w:r>
      <w:r w:rsidRPr="006B4177">
        <w:rPr>
          <w:rFonts w:asciiTheme="minorHAnsi" w:hAnsiTheme="minorHAnsi" w:cstheme="minorHAnsi"/>
          <w:color w:val="1D2129"/>
          <w:shd w:val="clear" w:color="auto" w:fill="FFFFFF"/>
          <w:lang w:val="en-US"/>
        </w:rPr>
        <w:t xml:space="preserve"> already adopted a Child Protection Policy. </w:t>
      </w:r>
      <w:r w:rsidRPr="006B4177">
        <w:rPr>
          <w:rFonts w:asciiTheme="minorHAnsi" w:hAnsiTheme="minorHAnsi" w:cstheme="minorHAnsi"/>
          <w:color w:val="1D2129"/>
          <w:shd w:val="clear" w:color="auto" w:fill="FFFFFF"/>
        </w:rPr>
        <w:t>The same ordinance was enacted in Malay, Aklan in 2017 and in San Juan, Siquijor, in July 2019.</w:t>
      </w:r>
    </w:p>
    <w:p w14:paraId="3E28D08A" w14:textId="25752D19" w:rsidR="00BE0FB1" w:rsidRPr="006B4177" w:rsidRDefault="00BE0FB1" w:rsidP="00BE0FB1">
      <w:pPr>
        <w:pStyle w:val="ListParagraph"/>
        <w:spacing w:after="0" w:line="276" w:lineRule="auto"/>
        <w:ind w:left="0"/>
        <w:contextualSpacing w:val="0"/>
        <w:jc w:val="both"/>
        <w:rPr>
          <w:rFonts w:asciiTheme="minorHAnsi" w:hAnsiTheme="minorHAnsi" w:cstheme="minorHAnsi"/>
        </w:rPr>
      </w:pPr>
    </w:p>
    <w:p w14:paraId="3ED51AD2" w14:textId="77777777" w:rsidR="00BE0FB1" w:rsidRPr="006B4177" w:rsidRDefault="00BE0FB1" w:rsidP="00BE0FB1">
      <w:pPr>
        <w:pStyle w:val="Heading1"/>
        <w:spacing w:before="0" w:line="276" w:lineRule="auto"/>
        <w:jc w:val="both"/>
        <w:rPr>
          <w:rFonts w:cstheme="minorHAnsi"/>
          <w:szCs w:val="22"/>
        </w:rPr>
      </w:pPr>
      <w:bookmarkStart w:id="25" w:name="_Toc23513399"/>
      <w:bookmarkStart w:id="26" w:name="_Toc30781486"/>
      <w:r w:rsidRPr="006B4177">
        <w:rPr>
          <w:rFonts w:cstheme="minorHAnsi"/>
          <w:szCs w:val="22"/>
        </w:rPr>
        <w:t>Prohibition of the sale of children, child prostitution and child pornography</w:t>
      </w:r>
      <w:bookmarkEnd w:id="25"/>
      <w:bookmarkEnd w:id="26"/>
    </w:p>
    <w:p w14:paraId="1072B838" w14:textId="77777777" w:rsidR="00BE0FB1" w:rsidRPr="006B4177" w:rsidRDefault="00BE0FB1" w:rsidP="00BE0FB1">
      <w:pPr>
        <w:spacing w:after="0" w:line="276" w:lineRule="auto"/>
        <w:jc w:val="both"/>
        <w:rPr>
          <w:rFonts w:asciiTheme="minorHAnsi" w:hAnsiTheme="minorHAnsi" w:cstheme="minorHAnsi"/>
        </w:rPr>
      </w:pPr>
    </w:p>
    <w:p w14:paraId="6CE44EB8" w14:textId="7A58767B"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The Philippines has a rather robust legal framework.</w:t>
      </w:r>
      <w:r w:rsidRPr="006B4177">
        <w:rPr>
          <w:rStyle w:val="EndnoteReference"/>
          <w:rFonts w:asciiTheme="minorHAnsi" w:hAnsiTheme="minorHAnsi" w:cstheme="minorHAnsi"/>
        </w:rPr>
        <w:endnoteReference w:id="106"/>
      </w:r>
      <w:r w:rsidRPr="006B4177">
        <w:rPr>
          <w:rFonts w:asciiTheme="minorHAnsi" w:hAnsiTheme="minorHAnsi" w:cstheme="minorHAnsi"/>
        </w:rPr>
        <w:t xml:space="preserve"> Children have a constitutional right against exploitation. Art. XV, Section 3(2), of the Constitution provides indeed that children have a right to “special protection from all forms of neglect, abuse, cruelty, exploitation”.</w:t>
      </w:r>
      <w:r w:rsidRPr="006B4177">
        <w:rPr>
          <w:rStyle w:val="EndnoteReference"/>
          <w:rFonts w:asciiTheme="minorHAnsi" w:hAnsiTheme="minorHAnsi" w:cstheme="minorHAnsi"/>
        </w:rPr>
        <w:endnoteReference w:id="107"/>
      </w:r>
      <w:r w:rsidRPr="006B4177">
        <w:rPr>
          <w:rFonts w:asciiTheme="minorHAnsi" w:hAnsiTheme="minorHAnsi" w:cstheme="minorHAnsi"/>
        </w:rPr>
        <w:t xml:space="preserve"> Specialised laws then criminalise the different manifestations of SEC, protect children from prosecution for crimes related to their exploitation, and offer victim services and protection.</w:t>
      </w:r>
      <w:r w:rsidRPr="006B4177">
        <w:rPr>
          <w:rStyle w:val="EndnoteReference"/>
          <w:rFonts w:asciiTheme="minorHAnsi" w:hAnsiTheme="minorHAnsi" w:cstheme="minorHAnsi"/>
        </w:rPr>
        <w:endnoteReference w:id="108"/>
      </w:r>
      <w:r w:rsidRPr="006B4177">
        <w:rPr>
          <w:rFonts w:asciiTheme="minorHAnsi" w:hAnsiTheme="minorHAnsi" w:cstheme="minorHAnsi"/>
        </w:rPr>
        <w:t xml:space="preserve"> </w:t>
      </w:r>
    </w:p>
    <w:p w14:paraId="562FF665" w14:textId="77777777" w:rsidR="00BE0FB1" w:rsidRPr="006B4177" w:rsidRDefault="00BE0FB1" w:rsidP="00BE0FB1">
      <w:pPr>
        <w:spacing w:after="0" w:line="276" w:lineRule="auto"/>
        <w:jc w:val="both"/>
        <w:rPr>
          <w:rFonts w:asciiTheme="minorHAnsi" w:hAnsiTheme="minorHAnsi" w:cstheme="minorHAnsi"/>
        </w:rPr>
      </w:pPr>
    </w:p>
    <w:p w14:paraId="4EEB3854" w14:textId="2700F48D"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In the Philippines, children are legally responsible for the crimes they commit as of 15, provided they have discernement.</w:t>
      </w:r>
      <w:r w:rsidRPr="006B4177">
        <w:rPr>
          <w:rStyle w:val="EndnoteReference"/>
          <w:rFonts w:asciiTheme="minorHAnsi" w:hAnsiTheme="minorHAnsi" w:cstheme="minorHAnsi"/>
        </w:rPr>
        <w:endnoteReference w:id="109"/>
      </w:r>
      <w:r w:rsidRPr="006B4177">
        <w:rPr>
          <w:rFonts w:asciiTheme="minorHAnsi" w:hAnsiTheme="minorHAnsi" w:cstheme="minorHAnsi"/>
        </w:rPr>
        <w:t xml:space="preserve"> In </w:t>
      </w:r>
      <w:r w:rsidRPr="006B4177">
        <w:rPr>
          <w:rFonts w:asciiTheme="minorHAnsi" w:hAnsiTheme="minorHAnsi" w:cstheme="minorHAnsi"/>
          <w:shd w:val="clear" w:color="auto" w:fill="FFFFFF"/>
        </w:rPr>
        <w:t>January 2019, the House of Representatives passed a bill proposing to lower the minimum </w:t>
      </w:r>
      <w:r w:rsidRPr="006B4177">
        <w:rPr>
          <w:rStyle w:val="Emphasis"/>
          <w:rFonts w:asciiTheme="minorHAnsi" w:hAnsiTheme="minorHAnsi" w:cstheme="minorHAnsi"/>
          <w:bCs/>
          <w:i w:val="0"/>
          <w:iCs w:val="0"/>
          <w:shd w:val="clear" w:color="auto" w:fill="FFFFFF"/>
        </w:rPr>
        <w:t>age</w:t>
      </w:r>
      <w:r w:rsidRPr="006B4177">
        <w:rPr>
          <w:rFonts w:asciiTheme="minorHAnsi" w:hAnsiTheme="minorHAnsi" w:cstheme="minorHAnsi"/>
          <w:shd w:val="clear" w:color="auto" w:fill="FFFFFF"/>
        </w:rPr>
        <w:t> of </w:t>
      </w:r>
      <w:r w:rsidRPr="006B4177">
        <w:rPr>
          <w:rStyle w:val="Emphasis"/>
          <w:rFonts w:asciiTheme="minorHAnsi" w:hAnsiTheme="minorHAnsi" w:cstheme="minorHAnsi"/>
          <w:bCs/>
          <w:i w:val="0"/>
          <w:iCs w:val="0"/>
          <w:shd w:val="clear" w:color="auto" w:fill="FFFFFF"/>
        </w:rPr>
        <w:t>criminal responsibility</w:t>
      </w:r>
      <w:r w:rsidRPr="006B4177">
        <w:rPr>
          <w:rFonts w:asciiTheme="minorHAnsi" w:hAnsiTheme="minorHAnsi" w:cstheme="minorHAnsi"/>
          <w:shd w:val="clear" w:color="auto" w:fill="FFFFFF"/>
        </w:rPr>
        <w:t> from 15 years to 12 years.</w:t>
      </w:r>
      <w:r w:rsidRPr="006B4177">
        <w:rPr>
          <w:rStyle w:val="EndnoteReference"/>
          <w:rFonts w:asciiTheme="minorHAnsi" w:hAnsiTheme="minorHAnsi" w:cstheme="minorHAnsi"/>
          <w:shd w:val="clear" w:color="auto" w:fill="FFFFFF"/>
        </w:rPr>
        <w:endnoteReference w:id="110"/>
      </w:r>
      <w:r w:rsidRPr="006B4177">
        <w:rPr>
          <w:rFonts w:asciiTheme="minorHAnsi" w:hAnsiTheme="minorHAnsi" w:cstheme="minorHAnsi"/>
          <w:shd w:val="clear" w:color="auto" w:fill="FFFFFF"/>
        </w:rPr>
        <w:t xml:space="preserve"> No information concerning its adoption is however available online.</w:t>
      </w:r>
      <w:r w:rsidRPr="006B4177">
        <w:rPr>
          <w:rFonts w:asciiTheme="minorHAnsi" w:hAnsiTheme="minorHAnsi" w:cstheme="minorHAnsi"/>
        </w:rPr>
        <w:t xml:space="preserve"> To reduce arrests, the Philippines however enacted “safe harbour” laws that protect children from prosecution for crimes arising out of their exploitation.</w:t>
      </w:r>
      <w:r w:rsidRPr="006B4177">
        <w:rPr>
          <w:rStyle w:val="EndnoteReference"/>
          <w:rFonts w:asciiTheme="minorHAnsi" w:hAnsiTheme="minorHAnsi" w:cstheme="minorHAnsi"/>
        </w:rPr>
        <w:endnoteReference w:id="111"/>
      </w:r>
      <w:r w:rsidRPr="006B4177">
        <w:rPr>
          <w:rFonts w:asciiTheme="minorHAnsi" w:hAnsiTheme="minorHAnsi" w:cstheme="minorHAnsi"/>
        </w:rPr>
        <w:t xml:space="preserve"> These laws prevent children from being prosecuted for vagrancy or prostitution.</w:t>
      </w:r>
      <w:r w:rsidRPr="006B4177">
        <w:rPr>
          <w:rStyle w:val="EndnoteReference"/>
          <w:rFonts w:asciiTheme="minorHAnsi" w:hAnsiTheme="minorHAnsi" w:cstheme="minorHAnsi"/>
        </w:rPr>
        <w:endnoteReference w:id="112"/>
      </w:r>
      <w:r w:rsidRPr="006B4177">
        <w:rPr>
          <w:rFonts w:asciiTheme="minorHAnsi" w:hAnsiTheme="minorHAnsi" w:cstheme="minorHAnsi"/>
        </w:rPr>
        <w:t xml:space="preserve"> They also prevent trafficking victims from being prosecuted for “unlawful acts committed as a direct result of, or as an incident or in relation to, being trafficked” or “in obedience to the order made by the trafficker”.</w:t>
      </w:r>
      <w:r w:rsidRPr="006B4177">
        <w:rPr>
          <w:rStyle w:val="EndnoteReference"/>
          <w:rFonts w:asciiTheme="minorHAnsi" w:hAnsiTheme="minorHAnsi" w:cstheme="minorHAnsi"/>
        </w:rPr>
        <w:endnoteReference w:id="113"/>
      </w:r>
      <w:r w:rsidRPr="006B4177">
        <w:rPr>
          <w:rFonts w:asciiTheme="minorHAnsi" w:hAnsiTheme="minorHAnsi" w:cstheme="minorHAnsi"/>
        </w:rPr>
        <w:t xml:space="preserve"> </w:t>
      </w:r>
    </w:p>
    <w:p w14:paraId="5D6B2A13" w14:textId="77777777" w:rsidR="00BE0FB1" w:rsidRPr="006B4177" w:rsidRDefault="00BE0FB1" w:rsidP="00BE0FB1">
      <w:pPr>
        <w:pStyle w:val="ListParagraph"/>
        <w:spacing w:after="0" w:line="276" w:lineRule="auto"/>
        <w:jc w:val="both"/>
        <w:rPr>
          <w:rFonts w:asciiTheme="minorHAnsi" w:hAnsiTheme="minorHAnsi" w:cstheme="minorHAnsi"/>
        </w:rPr>
      </w:pPr>
    </w:p>
    <w:p w14:paraId="6AB2837C" w14:textId="349BF023"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 xml:space="preserve">Despite UN recommendations to increase the age of statutory rape in the Philippines, it has remained at 12-years-old, one of the lowest in the world. In 2019, a nationwide movement called #ENDChildRape urged legislators to amend the Republic Act 8353 or the Anti-Rape Law. Specifically, to raise the statutory rape age to at least 16 years old; and recognize sexual abuse of boys below the age of consent as ‘Rape’ as opposed to just ‘Sexual Assault’, which entails lower penalties. Several bills on this have been filed in the Congress and the Senate. The last committee hearing was held in February 2020 and it was agreed that </w:t>
      </w:r>
      <w:r w:rsidRPr="006B4177">
        <w:rPr>
          <w:rFonts w:asciiTheme="minorHAnsi" w:hAnsiTheme="minorHAnsi" w:cstheme="minorHAnsi"/>
          <w:color w:val="222222"/>
          <w:shd w:val="clear" w:color="auto" w:fill="FFFFFF"/>
        </w:rPr>
        <w:t>there will be a series of Technical Working Group sessions to harmonize the various versions.</w:t>
      </w:r>
    </w:p>
    <w:p w14:paraId="14854396" w14:textId="77777777" w:rsidR="00BE0FB1" w:rsidRPr="006B4177" w:rsidRDefault="00BE0FB1" w:rsidP="00BE0FB1">
      <w:pPr>
        <w:spacing w:after="0" w:line="276" w:lineRule="auto"/>
        <w:jc w:val="both"/>
        <w:rPr>
          <w:rFonts w:asciiTheme="minorHAnsi" w:hAnsiTheme="minorHAnsi" w:cstheme="minorHAnsi"/>
        </w:rPr>
      </w:pPr>
    </w:p>
    <w:p w14:paraId="1A0EA65D" w14:textId="351AE065"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b/>
          <w:shd w:val="clear" w:color="auto" w:fill="FFFFFF"/>
        </w:rPr>
        <w:t>Prostitution</w:t>
      </w:r>
      <w:r w:rsidRPr="006B4177">
        <w:rPr>
          <w:rFonts w:asciiTheme="minorHAnsi" w:hAnsiTheme="minorHAnsi" w:cstheme="minorHAnsi"/>
          <w:shd w:val="clear" w:color="auto" w:fill="FFFFFF"/>
        </w:rPr>
        <w:t xml:space="preserve"> is not legal in the Philippines. Prostitutes are punished with imprisonment from one day to sixty days, and with a fine not exceding 200 pesos (approximately 3.93 USD as of February 2020) ; or with imprisonment from 2 months and 1 day to 4 months and/or with a fine from 200 to 2,000 pesos (approximately 39.3 USD as of February 2020) in case of recidivism.</w:t>
      </w:r>
      <w:r w:rsidRPr="006B4177">
        <w:rPr>
          <w:rStyle w:val="EndnoteReference"/>
          <w:rFonts w:asciiTheme="minorHAnsi" w:hAnsiTheme="minorHAnsi" w:cstheme="minorHAnsi"/>
          <w:shd w:val="clear" w:color="auto" w:fill="FFFFFF"/>
        </w:rPr>
        <w:endnoteReference w:id="114"/>
      </w:r>
      <w:r w:rsidRPr="006B4177">
        <w:rPr>
          <w:rFonts w:asciiTheme="minorHAnsi" w:hAnsiTheme="minorHAnsi" w:cstheme="minorHAnsi"/>
          <w:shd w:val="clear" w:color="auto" w:fill="FFFFFF"/>
        </w:rPr>
        <w:t xml:space="preserve"> The Philippines’ Revised Penal Code defines prostitution as a crime only women can commit. Article 202 provides indeed that </w:t>
      </w:r>
      <w:r w:rsidRPr="006B4177">
        <w:rPr>
          <w:rFonts w:asciiTheme="minorHAnsi" w:hAnsiTheme="minorHAnsi" w:cstheme="minorHAnsi"/>
        </w:rPr>
        <w:t xml:space="preserve">“for the purposes of this article, </w:t>
      </w:r>
      <w:r w:rsidRPr="006B4177">
        <w:rPr>
          <w:rFonts w:asciiTheme="minorHAnsi" w:hAnsiTheme="minorHAnsi" w:cstheme="minorHAnsi"/>
          <w:i/>
        </w:rPr>
        <w:t>women</w:t>
      </w:r>
      <w:r w:rsidRPr="006B4177">
        <w:rPr>
          <w:rFonts w:asciiTheme="minorHAnsi" w:hAnsiTheme="minorHAnsi" w:cstheme="minorHAnsi"/>
        </w:rPr>
        <w:t xml:space="preserve"> who, for money or profit, habitually indulge in sexual intercourse or lascivious conduct, are deemed to be prostitutes”.</w:t>
      </w:r>
      <w:r w:rsidRPr="006B4177">
        <w:rPr>
          <w:rStyle w:val="EndnoteReference"/>
          <w:rFonts w:asciiTheme="minorHAnsi" w:hAnsiTheme="minorHAnsi" w:cstheme="minorHAnsi"/>
        </w:rPr>
        <w:endnoteReference w:id="115"/>
      </w:r>
      <w:r w:rsidRPr="006B4177">
        <w:rPr>
          <w:rFonts w:asciiTheme="minorHAnsi" w:hAnsiTheme="minorHAnsi" w:cstheme="minorHAnsi"/>
        </w:rPr>
        <w:t xml:space="preserve"> Persons who engage in the business or enlist the services of persons for the purpose of prostitution are punished with imprisonment from 8 years and one day to 12 years.</w:t>
      </w:r>
      <w:r w:rsidRPr="006B4177">
        <w:rPr>
          <w:rStyle w:val="EndnoteReference"/>
          <w:rFonts w:asciiTheme="minorHAnsi" w:hAnsiTheme="minorHAnsi" w:cstheme="minorHAnsi"/>
        </w:rPr>
        <w:endnoteReference w:id="116"/>
      </w:r>
      <w:r w:rsidRPr="006B4177">
        <w:rPr>
          <w:rFonts w:asciiTheme="minorHAnsi" w:hAnsiTheme="minorHAnsi" w:cstheme="minorHAnsi"/>
        </w:rPr>
        <w:t xml:space="preserve"> Article 340 punishes the promotion or facilitation of prostitution of children with imprisonment from 6 years and 1 day to 2 years; and additionally with temporary absolute disqualification if the offender is a public officer or employee.</w:t>
      </w:r>
      <w:r w:rsidRPr="006B4177">
        <w:rPr>
          <w:rStyle w:val="EndnoteReference"/>
          <w:rFonts w:asciiTheme="minorHAnsi" w:hAnsiTheme="minorHAnsi" w:cstheme="minorHAnsi"/>
        </w:rPr>
        <w:endnoteReference w:id="117"/>
      </w:r>
      <w:r w:rsidRPr="006B4177">
        <w:rPr>
          <w:rFonts w:asciiTheme="minorHAnsi" w:hAnsiTheme="minorHAnsi" w:cstheme="minorHAnsi"/>
        </w:rPr>
        <w:t xml:space="preserve"> According to Artcile 247 of the Revised Penal Code, moreover, a person who promotes or facilitates the prostitution of his wife or daughter will not benefit from the exemption of punishment of Article 247 and will be punished for any injury he inflicts upon his wife and/or daughter he will surprise with a man. </w:t>
      </w:r>
    </w:p>
    <w:p w14:paraId="2B34DD32" w14:textId="77777777" w:rsidR="00BE0FB1" w:rsidRPr="006B4177" w:rsidRDefault="00BE0FB1" w:rsidP="00BE0FB1">
      <w:pPr>
        <w:spacing w:after="0" w:line="276" w:lineRule="auto"/>
        <w:jc w:val="both"/>
        <w:rPr>
          <w:rFonts w:asciiTheme="minorHAnsi" w:hAnsiTheme="minorHAnsi" w:cstheme="minorHAnsi"/>
        </w:rPr>
      </w:pPr>
    </w:p>
    <w:p w14:paraId="43881BFB" w14:textId="4AC6A84D"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shd w:val="clear" w:color="auto" w:fill="FFFFFF"/>
        </w:rPr>
        <w:t>Article 272 of the Revised Penal Code criminalises slavery and imposes a penalty of 6 to 12 years and a fine not exceeding 10,000 pesos on anyone who purchases, sells, or detains a human being for the purpose of slavery.</w:t>
      </w:r>
      <w:r w:rsidRPr="006B4177">
        <w:rPr>
          <w:rStyle w:val="EndnoteReference"/>
          <w:rFonts w:asciiTheme="minorHAnsi" w:hAnsiTheme="minorHAnsi" w:cstheme="minorHAnsi"/>
          <w:shd w:val="clear" w:color="auto" w:fill="FFFFFF"/>
        </w:rPr>
        <w:endnoteReference w:id="118"/>
      </w:r>
      <w:r w:rsidRPr="006B4177">
        <w:rPr>
          <w:rFonts w:asciiTheme="minorHAnsi" w:hAnsiTheme="minorHAnsi" w:cstheme="minorHAnsi"/>
          <w:shd w:val="clear" w:color="auto" w:fill="FFFFFF"/>
        </w:rPr>
        <w:t xml:space="preserve"> In 2003, the Philippines became the first country in Southeast Asia to enact a specific penal law on </w:t>
      </w:r>
      <w:r w:rsidRPr="006B4177">
        <w:rPr>
          <w:rFonts w:asciiTheme="minorHAnsi" w:hAnsiTheme="minorHAnsi" w:cstheme="minorHAnsi"/>
          <w:b/>
          <w:shd w:val="clear" w:color="auto" w:fill="FFFFFF"/>
        </w:rPr>
        <w:t>trafficking</w:t>
      </w:r>
      <w:r w:rsidRPr="006B4177">
        <w:rPr>
          <w:rFonts w:asciiTheme="minorHAnsi" w:hAnsiTheme="minorHAnsi" w:cstheme="minorHAnsi"/>
          <w:shd w:val="clear" w:color="auto" w:fill="FFFFFF"/>
        </w:rPr>
        <w:t xml:space="preserve"> – the “Anti-Trafficking in Persons Act of 2003”. It was amended in 2012 to review the list of acts considered as promoting human trafficking, and to increase funding for government agencies involved in the fight against human trafficking.</w:t>
      </w:r>
      <w:r w:rsidRPr="006B4177">
        <w:rPr>
          <w:rStyle w:val="EndnoteReference"/>
          <w:rFonts w:asciiTheme="minorHAnsi" w:hAnsiTheme="minorHAnsi" w:cstheme="minorHAnsi"/>
          <w:shd w:val="clear" w:color="auto" w:fill="FFFFFF"/>
        </w:rPr>
        <w:endnoteReference w:id="119"/>
      </w:r>
      <w:r w:rsidRPr="006B4177">
        <w:rPr>
          <w:rFonts w:asciiTheme="minorHAnsi" w:hAnsiTheme="minorHAnsi" w:cstheme="minorHAnsi"/>
          <w:shd w:val="clear" w:color="auto" w:fill="FFFFFF"/>
        </w:rPr>
        <w:t xml:space="preserve"> The Anti-Trafficking in Persons Act criminalises trafficking for </w:t>
      </w:r>
      <w:r w:rsidRPr="006B4177">
        <w:rPr>
          <w:rFonts w:asciiTheme="minorHAnsi" w:hAnsiTheme="minorHAnsi" w:cstheme="minorHAnsi"/>
        </w:rPr>
        <w:t>sexual exploitation and prescribe penalties of up to 20 years’ imprisonment and fines of between 1 and 2 million pesos (19,650USD to 38,300USD as of February 2020).</w:t>
      </w:r>
      <w:r w:rsidRPr="006B4177">
        <w:rPr>
          <w:rStyle w:val="EndnoteReference"/>
          <w:rFonts w:asciiTheme="minorHAnsi" w:hAnsiTheme="minorHAnsi" w:cstheme="minorHAnsi"/>
        </w:rPr>
        <w:endnoteReference w:id="120"/>
      </w:r>
      <w:r w:rsidRPr="006B4177">
        <w:rPr>
          <w:rFonts w:asciiTheme="minorHAnsi" w:hAnsiTheme="minorHAnsi" w:cstheme="minorHAnsi"/>
        </w:rPr>
        <w:t xml:space="preserve"> The definition of trafficking is line with the UN Protocol </w:t>
      </w:r>
      <w:r w:rsidRPr="006B4177">
        <w:rPr>
          <w:rFonts w:asciiTheme="minorHAnsi" w:hAnsiTheme="minorHAnsi" w:cstheme="minorHAnsi"/>
          <w:color w:val="222222"/>
          <w:shd w:val="clear" w:color="auto" w:fill="FFFFFF"/>
        </w:rPr>
        <w:t>to Prevent, Suppress and Punish Trafficking in Persons, especially Women and Children</w:t>
      </w:r>
      <w:r w:rsidRPr="006B4177">
        <w:rPr>
          <w:rFonts w:asciiTheme="minorHAnsi" w:hAnsiTheme="minorHAnsi" w:cstheme="minorHAnsi"/>
        </w:rPr>
        <w:t xml:space="preserve">, as </w:t>
      </w:r>
      <w:r w:rsidRPr="006B4177">
        <w:rPr>
          <w:rFonts w:asciiTheme="minorHAnsi" w:eastAsia="Times New Roman" w:hAnsiTheme="minorHAnsi" w:cstheme="minorHAnsi"/>
          <w:lang w:val="en-GB" w:eastAsia="fr-FR"/>
        </w:rPr>
        <w:t>it requires three interrelated elements to be present for a situation to involve trafficking in persons (i.e. action, means and purpose of exploitation), but only requires the existence of two of them (action and purpose of exploitation) when the crime concerns a child.</w:t>
      </w:r>
      <w:r w:rsidRPr="006B4177">
        <w:rPr>
          <w:rStyle w:val="EndnoteReference"/>
          <w:rFonts w:asciiTheme="minorHAnsi" w:eastAsia="Times New Roman" w:hAnsiTheme="minorHAnsi" w:cstheme="minorHAnsi"/>
          <w:lang w:val="en-GB" w:eastAsia="fr-FR"/>
        </w:rPr>
        <w:endnoteReference w:id="121"/>
      </w:r>
      <w:r w:rsidRPr="006B4177">
        <w:rPr>
          <w:rFonts w:asciiTheme="minorHAnsi" w:eastAsia="Times New Roman" w:hAnsiTheme="minorHAnsi" w:cstheme="minorHAnsi"/>
          <w:lang w:val="en-GB" w:eastAsia="fr-FR"/>
        </w:rPr>
        <w:t xml:space="preserve"> Section 3 explicitly refers to prostitution (c), sex tourism (e), pornography (h), but not to CEFM.</w:t>
      </w:r>
      <w:r w:rsidRPr="006B4177">
        <w:rPr>
          <w:rStyle w:val="EndnoteReference"/>
          <w:rFonts w:asciiTheme="minorHAnsi" w:eastAsia="Times New Roman" w:hAnsiTheme="minorHAnsi" w:cstheme="minorHAnsi"/>
          <w:lang w:val="en-GB" w:eastAsia="fr-FR"/>
        </w:rPr>
        <w:endnoteReference w:id="122"/>
      </w:r>
      <w:r w:rsidRPr="006B4177">
        <w:rPr>
          <w:rFonts w:asciiTheme="minorHAnsi" w:eastAsia="Times New Roman" w:hAnsiTheme="minorHAnsi" w:cstheme="minorHAnsi"/>
          <w:lang w:val="en-GB" w:eastAsia="fr-FR"/>
        </w:rPr>
        <w:t xml:space="preserve"> </w:t>
      </w:r>
    </w:p>
    <w:p w14:paraId="29D2D043" w14:textId="77777777" w:rsidR="00BE0FB1" w:rsidRPr="006B4177" w:rsidRDefault="00BE0FB1" w:rsidP="00BE0FB1">
      <w:pPr>
        <w:spacing w:after="0" w:line="276" w:lineRule="auto"/>
        <w:jc w:val="both"/>
        <w:rPr>
          <w:rFonts w:asciiTheme="minorHAnsi" w:hAnsiTheme="minorHAnsi" w:cstheme="minorHAnsi"/>
        </w:rPr>
      </w:pPr>
    </w:p>
    <w:p w14:paraId="06852B0B" w14:textId="01CB6BEB"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 xml:space="preserve">The Philippines does not have a specific legislation dealing with </w:t>
      </w:r>
      <w:r w:rsidRPr="006B4177">
        <w:rPr>
          <w:rFonts w:asciiTheme="minorHAnsi" w:hAnsiTheme="minorHAnsi" w:cstheme="minorHAnsi"/>
          <w:b/>
        </w:rPr>
        <w:t>SECTT</w:t>
      </w:r>
      <w:r w:rsidRPr="006B4177">
        <w:rPr>
          <w:rFonts w:asciiTheme="minorHAnsi" w:hAnsiTheme="minorHAnsi" w:cstheme="minorHAnsi"/>
        </w:rPr>
        <w:t>. The Anti-Trafficking in Persons Act refers however to “sex tourism”, which it defines in Section 3(e),</w:t>
      </w:r>
      <w:r w:rsidRPr="006B4177">
        <w:rPr>
          <w:rStyle w:val="EndnoteReference"/>
          <w:rFonts w:asciiTheme="minorHAnsi" w:hAnsiTheme="minorHAnsi" w:cstheme="minorHAnsi"/>
        </w:rPr>
        <w:endnoteReference w:id="123"/>
      </w:r>
      <w:r w:rsidRPr="006B4177">
        <w:rPr>
          <w:rFonts w:asciiTheme="minorHAnsi" w:hAnsiTheme="minorHAnsi" w:cstheme="minorHAnsi"/>
        </w:rPr>
        <w:t xml:space="preserve"> and thus envisaged as a form of trafficking in persons, punished with imprisonment of 20 years and a fine of not less than 1,000,000 but not more than 2,000,000 pesos.</w:t>
      </w:r>
      <w:r w:rsidRPr="006B4177">
        <w:rPr>
          <w:rStyle w:val="EndnoteReference"/>
          <w:rFonts w:asciiTheme="minorHAnsi" w:hAnsiTheme="minorHAnsi" w:cstheme="minorHAnsi"/>
        </w:rPr>
        <w:endnoteReference w:id="124"/>
      </w:r>
    </w:p>
    <w:p w14:paraId="51427DEA" w14:textId="77777777" w:rsidR="00BE0FB1" w:rsidRPr="006B4177" w:rsidRDefault="00BE0FB1" w:rsidP="00BE0FB1">
      <w:pPr>
        <w:spacing w:after="0" w:line="276" w:lineRule="auto"/>
        <w:jc w:val="both"/>
        <w:rPr>
          <w:rFonts w:asciiTheme="minorHAnsi" w:hAnsiTheme="minorHAnsi" w:cstheme="minorHAnsi"/>
        </w:rPr>
      </w:pPr>
    </w:p>
    <w:p w14:paraId="0CA9026B" w14:textId="2A414A51"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 xml:space="preserve">The Philippines has robust and comprehensive legislation regarding </w:t>
      </w:r>
      <w:r w:rsidRPr="006B4177">
        <w:rPr>
          <w:rFonts w:asciiTheme="minorHAnsi" w:hAnsiTheme="minorHAnsi" w:cstheme="minorHAnsi"/>
          <w:b/>
        </w:rPr>
        <w:t>OCSE</w:t>
      </w:r>
      <w:r w:rsidRPr="006B4177">
        <w:rPr>
          <w:rFonts w:asciiTheme="minorHAnsi" w:hAnsiTheme="minorHAnsi" w:cstheme="minorHAnsi"/>
        </w:rPr>
        <w:t>. The Anti-Child Pornography Act of 2009 defines the crime of “child pornography” as “any representation, whether visual, audio, or written combination thereof, by electronic, mechanical, digital, optical, magnetic or any other means, of child engaged or involved in real or simulated explicit sexual activities”.</w:t>
      </w:r>
      <w:r w:rsidRPr="006B4177">
        <w:rPr>
          <w:rStyle w:val="EndnoteReference"/>
          <w:rFonts w:asciiTheme="minorHAnsi" w:hAnsiTheme="minorHAnsi" w:cstheme="minorHAnsi"/>
        </w:rPr>
        <w:endnoteReference w:id="125"/>
      </w:r>
      <w:r w:rsidRPr="006B4177">
        <w:rPr>
          <w:rFonts w:asciiTheme="minorHAnsi" w:hAnsiTheme="minorHAnsi" w:cstheme="minorHAnsi"/>
        </w:rPr>
        <w:t xml:space="preserve"> Section 3(c) specifies what is understood by “explicit sexual activities”.</w:t>
      </w:r>
      <w:r w:rsidRPr="006B4177">
        <w:rPr>
          <w:rStyle w:val="EndnoteReference"/>
          <w:rFonts w:asciiTheme="minorHAnsi" w:hAnsiTheme="minorHAnsi" w:cstheme="minorHAnsi"/>
        </w:rPr>
        <w:endnoteReference w:id="126"/>
      </w:r>
      <w:r w:rsidRPr="006B4177">
        <w:rPr>
          <w:rFonts w:asciiTheme="minorHAnsi" w:hAnsiTheme="minorHAnsi" w:cstheme="minorHAnsi"/>
        </w:rPr>
        <w:t xml:space="preserve"> Section 4 outlines the different criminalized conducts – namely the mere possession (l), the possession with the intent to sell or distribute (d), the production (b), the dissemination and the selling (c), the provision of </w:t>
      </w:r>
      <w:r w:rsidRPr="006B4177">
        <w:rPr>
          <w:rFonts w:asciiTheme="minorHAnsi" w:hAnsiTheme="minorHAnsi" w:cstheme="minorHAnsi"/>
          <w:shd w:val="clear" w:color="auto" w:fill="FFFFFF"/>
        </w:rPr>
        <w:t>a venue for the commission of prohibited acts (e),</w:t>
      </w:r>
      <w:r w:rsidRPr="006B4177">
        <w:rPr>
          <w:rFonts w:asciiTheme="minorHAnsi" w:hAnsiTheme="minorHAnsi" w:cstheme="minorHAnsi"/>
        </w:rPr>
        <w:t xml:space="preserve"> and the viewing/accessing (j) of child sexual abuse materials.</w:t>
      </w:r>
      <w:r w:rsidRPr="006B4177">
        <w:rPr>
          <w:rStyle w:val="EndnoteReference"/>
          <w:rFonts w:asciiTheme="minorHAnsi" w:hAnsiTheme="minorHAnsi" w:cstheme="minorHAnsi"/>
        </w:rPr>
        <w:endnoteReference w:id="127"/>
      </w:r>
      <w:r w:rsidRPr="006B4177">
        <w:rPr>
          <w:rFonts w:asciiTheme="minorHAnsi" w:hAnsiTheme="minorHAnsi" w:cstheme="minorHAnsi"/>
        </w:rPr>
        <w:t xml:space="preserve"> Section 4(a) also makes it illegal to “</w:t>
      </w:r>
      <w:r w:rsidRPr="006B4177">
        <w:rPr>
          <w:rFonts w:asciiTheme="minorHAnsi" w:hAnsiTheme="minorHAnsi" w:cstheme="minorHAnsi"/>
          <w:shd w:val="clear" w:color="auto" w:fill="FFFFFF"/>
        </w:rPr>
        <w:t>hire, employ, use, persuade, induce or coerce a child to perform in the creation or production” of any form of child sexual abuse material.</w:t>
      </w:r>
      <w:r w:rsidRPr="006B4177">
        <w:rPr>
          <w:rStyle w:val="EndnoteReference"/>
          <w:rFonts w:asciiTheme="minorHAnsi" w:hAnsiTheme="minorHAnsi" w:cstheme="minorHAnsi"/>
          <w:shd w:val="clear" w:color="auto" w:fill="FFFFFF"/>
        </w:rPr>
        <w:endnoteReference w:id="128"/>
      </w:r>
      <w:r w:rsidRPr="006B4177">
        <w:rPr>
          <w:rFonts w:asciiTheme="minorHAnsi" w:hAnsiTheme="minorHAnsi" w:cstheme="minorHAnsi"/>
          <w:shd w:val="clear" w:color="auto" w:fill="FFFFFF"/>
        </w:rPr>
        <w:t xml:space="preserve"> The correlated penalties of these different offences can be found in Section 15.</w:t>
      </w:r>
      <w:r w:rsidRPr="006B4177">
        <w:rPr>
          <w:rStyle w:val="EndnoteReference"/>
          <w:rFonts w:asciiTheme="minorHAnsi" w:hAnsiTheme="minorHAnsi" w:cstheme="minorHAnsi"/>
          <w:shd w:val="clear" w:color="auto" w:fill="FFFFFF"/>
        </w:rPr>
        <w:endnoteReference w:id="129"/>
      </w:r>
      <w:r w:rsidRPr="006B4177">
        <w:rPr>
          <w:rFonts w:asciiTheme="minorHAnsi" w:hAnsiTheme="minorHAnsi" w:cstheme="minorHAnsi"/>
          <w:shd w:val="clear" w:color="auto" w:fill="FFFFFF"/>
        </w:rPr>
        <w:t xml:space="preserve"> The Cybercrime Prevention Act of 2012 increases the applicable punishment of all penalties by one degree if the offence is committed through a computer system.</w:t>
      </w:r>
      <w:r w:rsidRPr="006B4177">
        <w:rPr>
          <w:rStyle w:val="EndnoteReference"/>
          <w:rFonts w:asciiTheme="minorHAnsi" w:hAnsiTheme="minorHAnsi" w:cstheme="minorHAnsi"/>
          <w:shd w:val="clear" w:color="auto" w:fill="FFFFFF"/>
        </w:rPr>
        <w:endnoteReference w:id="130"/>
      </w:r>
    </w:p>
    <w:p w14:paraId="6E03A17A" w14:textId="77777777" w:rsidR="00BE0FB1" w:rsidRPr="006B4177" w:rsidRDefault="00BE0FB1" w:rsidP="00BE0FB1">
      <w:pPr>
        <w:spacing w:after="0" w:line="276" w:lineRule="auto"/>
        <w:jc w:val="both"/>
        <w:rPr>
          <w:rFonts w:asciiTheme="minorHAnsi" w:hAnsiTheme="minorHAnsi" w:cstheme="minorHAnsi"/>
        </w:rPr>
      </w:pPr>
    </w:p>
    <w:p w14:paraId="405BEFAC" w14:textId="7748324D"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shd w:val="clear" w:color="auto" w:fill="FFFFFF"/>
        </w:rPr>
        <w:t>Other forms of OCSE are also addressed by Filipino legislation. The Anti-Child Pornography Act makes it illegal for anyone to “engage in luring or grooming a child”</w:t>
      </w:r>
      <w:r w:rsidRPr="006B4177">
        <w:rPr>
          <w:rStyle w:val="EndnoteReference"/>
          <w:rFonts w:asciiTheme="minorHAnsi" w:hAnsiTheme="minorHAnsi" w:cstheme="minorHAnsi"/>
          <w:shd w:val="clear" w:color="auto" w:fill="FFFFFF"/>
        </w:rPr>
        <w:endnoteReference w:id="131"/>
      </w:r>
      <w:r w:rsidRPr="006B4177">
        <w:rPr>
          <w:rFonts w:asciiTheme="minorHAnsi" w:hAnsiTheme="minorHAnsi" w:cstheme="minorHAnsi"/>
          <w:shd w:val="clear" w:color="auto" w:fill="FFFFFF"/>
        </w:rPr>
        <w:t xml:space="preserve"> and punishes it with imprisonment </w:t>
      </w:r>
      <w:r w:rsidRPr="006B4177">
        <w:rPr>
          <w:rFonts w:asciiTheme="minorHAnsi" w:hAnsiTheme="minorHAnsi" w:cstheme="minorHAnsi"/>
        </w:rPr>
        <w:t>from 10 years and 1 day to 12 years and with a  fine of not less than 300,000.00 but not more than 500,000.00.</w:t>
      </w:r>
      <w:r w:rsidRPr="006B4177">
        <w:rPr>
          <w:rStyle w:val="EndnoteReference"/>
          <w:rFonts w:asciiTheme="minorHAnsi" w:hAnsiTheme="minorHAnsi" w:cstheme="minorHAnsi"/>
        </w:rPr>
        <w:endnoteReference w:id="132"/>
      </w:r>
      <w:r w:rsidRPr="006B4177">
        <w:rPr>
          <w:rFonts w:asciiTheme="minorHAnsi" w:hAnsiTheme="minorHAnsi" w:cstheme="minorHAnsi"/>
        </w:rPr>
        <w:t xml:space="preserve"> Section 3(h) of the Anti-Child Pornography Act of 2009 provides for a general definition of grooming, which may be cover both online and offline, and Section 3(i) provides for a defintion of “luring”.</w:t>
      </w:r>
      <w:r w:rsidRPr="006B4177">
        <w:rPr>
          <w:rStyle w:val="EndnoteReference"/>
          <w:rFonts w:asciiTheme="minorHAnsi" w:hAnsiTheme="minorHAnsi" w:cstheme="minorHAnsi"/>
        </w:rPr>
        <w:endnoteReference w:id="133"/>
      </w:r>
      <w:r w:rsidRPr="006B4177">
        <w:rPr>
          <w:rFonts w:asciiTheme="minorHAnsi" w:hAnsiTheme="minorHAnsi" w:cstheme="minorHAnsi"/>
        </w:rPr>
        <w:t xml:space="preserve"> ”Live streaming” of child sexual abuse materials is not addressed in Filipino legislation. It could however be considered as falling under the crime of “child pornography” committed through a computer system.</w:t>
      </w:r>
      <w:r w:rsidRPr="006B4177">
        <w:rPr>
          <w:rStyle w:val="EndnoteReference"/>
          <w:rFonts w:asciiTheme="minorHAnsi" w:hAnsiTheme="minorHAnsi" w:cstheme="minorHAnsi"/>
        </w:rPr>
        <w:endnoteReference w:id="134"/>
      </w:r>
      <w:r w:rsidRPr="006B4177">
        <w:rPr>
          <w:rFonts w:asciiTheme="minorHAnsi" w:hAnsiTheme="minorHAnsi" w:cstheme="minorHAnsi"/>
        </w:rPr>
        <w:t xml:space="preserve"> Also worth mentioning is the  Special Protection of Children Against Abuse, Exploitation and Discrimination Act, which addresses the issue of  Obscene Publications and Indecent Shows. Article 5,  Section 9 criminalises indeed the use of a child in obscene shows either live of video. Paragraph 2 foresees an aggravating circumstance where the child victim is below 12 years of age.</w:t>
      </w:r>
      <w:r w:rsidRPr="006B4177">
        <w:rPr>
          <w:rStyle w:val="EndnoteReference"/>
          <w:rFonts w:asciiTheme="minorHAnsi" w:hAnsiTheme="minorHAnsi" w:cstheme="minorHAnsi"/>
        </w:rPr>
        <w:endnoteReference w:id="135"/>
      </w:r>
    </w:p>
    <w:p w14:paraId="59D976AE" w14:textId="77777777" w:rsidR="00BE0FB1" w:rsidRPr="006B4177" w:rsidRDefault="00BE0FB1" w:rsidP="00BE0FB1">
      <w:pPr>
        <w:pStyle w:val="ListParagraph"/>
        <w:spacing w:after="0" w:line="276" w:lineRule="auto"/>
        <w:jc w:val="both"/>
        <w:rPr>
          <w:rFonts w:asciiTheme="minorHAnsi" w:hAnsiTheme="minorHAnsi" w:cstheme="minorHAnsi"/>
        </w:rPr>
      </w:pPr>
    </w:p>
    <w:p w14:paraId="5D452756" w14:textId="77777777"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Money transfer services are being used to send payment for OCSE in the Philippines but they are only mandated to report suspicious transactions to the Anti-Money Laundering Council (AMLC).</w:t>
      </w:r>
      <w:r w:rsidRPr="006B4177">
        <w:rPr>
          <w:rStyle w:val="EndnoteReference"/>
          <w:rFonts w:asciiTheme="minorHAnsi" w:hAnsiTheme="minorHAnsi" w:cstheme="minorHAnsi"/>
        </w:rPr>
        <w:endnoteReference w:id="136"/>
      </w:r>
      <w:r w:rsidRPr="006B4177">
        <w:rPr>
          <w:rFonts w:asciiTheme="minorHAnsi" w:hAnsiTheme="minorHAnsi" w:cstheme="minorHAnsi"/>
        </w:rPr>
        <w:t xml:space="preserve"> AMLC, however, is not required by any law to forward reports to law enforcement due to privacy – though it can arrange a formal agreement with certain divisions of Law Enforcement if necessary.  Moreover, although human trafficking and child sexual abuse and exploitation are listed as predicate crimes under the Anti Money Laundering Act (AMLA),</w:t>
      </w:r>
      <w:r w:rsidRPr="006B4177">
        <w:rPr>
          <w:rStyle w:val="EndnoteReference"/>
          <w:rFonts w:asciiTheme="minorHAnsi" w:hAnsiTheme="minorHAnsi" w:cstheme="minorHAnsi"/>
        </w:rPr>
        <w:endnoteReference w:id="137"/>
      </w:r>
      <w:r w:rsidRPr="006B4177">
        <w:rPr>
          <w:rFonts w:asciiTheme="minorHAnsi" w:hAnsiTheme="minorHAnsi" w:cstheme="minorHAnsi"/>
        </w:rPr>
        <w:t xml:space="preserve"> they are not among the list of crimes which are exempt from securing a court order for bank inquiry. This means law enforcement can’t look into a prospective offender’s bank deposits without a court order, which can only be acquired when a case is already filed. This hampers investigation of accounts that may be connected to trafficking in persons.</w:t>
      </w:r>
    </w:p>
    <w:p w14:paraId="4102E502" w14:textId="77777777" w:rsidR="00BE0FB1" w:rsidRPr="006B4177" w:rsidRDefault="00BE0FB1" w:rsidP="00BE0FB1">
      <w:pPr>
        <w:pStyle w:val="ListParagraph"/>
        <w:spacing w:after="0" w:line="276" w:lineRule="auto"/>
        <w:jc w:val="both"/>
        <w:rPr>
          <w:rFonts w:asciiTheme="minorHAnsi" w:hAnsiTheme="minorHAnsi" w:cstheme="minorHAnsi"/>
        </w:rPr>
      </w:pPr>
    </w:p>
    <w:p w14:paraId="50B76D04" w14:textId="154CED67"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The Anti-Child Pornography Act of 2009 requires Internet service providers to report child abuse materials to the national authorities.</w:t>
      </w:r>
      <w:r w:rsidRPr="006B4177">
        <w:rPr>
          <w:rStyle w:val="EndnoteReference"/>
          <w:rFonts w:asciiTheme="minorHAnsi" w:hAnsiTheme="minorHAnsi" w:cstheme="minorHAnsi"/>
        </w:rPr>
        <w:endnoteReference w:id="138"/>
      </w:r>
      <w:r w:rsidRPr="006B4177">
        <w:rPr>
          <w:rFonts w:asciiTheme="minorHAnsi" w:hAnsiTheme="minorHAnsi" w:cstheme="minorHAnsi"/>
        </w:rPr>
        <w:t xml:space="preserve"> Non-compliance does not lead to criminal penalties, but well to civil penalties according to Section 15(k).</w:t>
      </w:r>
      <w:r w:rsidRPr="006B4177">
        <w:rPr>
          <w:rStyle w:val="EndnoteReference"/>
          <w:rFonts w:asciiTheme="minorHAnsi" w:hAnsiTheme="minorHAnsi" w:cstheme="minorHAnsi"/>
        </w:rPr>
        <w:endnoteReference w:id="139"/>
      </w:r>
      <w:r w:rsidRPr="006B4177">
        <w:rPr>
          <w:rFonts w:asciiTheme="minorHAnsi" w:hAnsiTheme="minorHAnsi" w:cstheme="minorHAnsi"/>
        </w:rPr>
        <w:t xml:space="preserve"> Recent media articles have however highlighted the </w:t>
      </w:r>
      <w:r w:rsidRPr="006B4177">
        <w:rPr>
          <w:rFonts w:asciiTheme="minorHAnsi" w:hAnsiTheme="minorHAnsi" w:cstheme="minorHAnsi"/>
          <w:color w:val="000000" w:themeColor="text1"/>
        </w:rPr>
        <w:t>failure of Internet service providers to comply with this legislation and to report sites transmitting child sexual abuse materials.</w:t>
      </w:r>
      <w:r w:rsidRPr="006B4177">
        <w:rPr>
          <w:rStyle w:val="EndnoteReference"/>
          <w:rFonts w:asciiTheme="minorHAnsi" w:hAnsiTheme="minorHAnsi" w:cstheme="minorHAnsi"/>
          <w:color w:val="000000" w:themeColor="text1"/>
        </w:rPr>
        <w:endnoteReference w:id="140"/>
      </w:r>
      <w:r w:rsidRPr="006B4177">
        <w:rPr>
          <w:rFonts w:asciiTheme="minorHAnsi" w:hAnsiTheme="minorHAnsi" w:cstheme="minorHAnsi"/>
          <w:color w:val="000000" w:themeColor="text1"/>
        </w:rPr>
        <w:t xml:space="preserve"> ISPs have expressed their struggle to comply with the law because the National Telecommunications Commission and/or the IACACP, which are mandated by RA 9775 and The</w:t>
      </w:r>
      <w:r w:rsidRPr="006B4177">
        <w:rPr>
          <w:rFonts w:asciiTheme="minorHAnsi" w:hAnsiTheme="minorHAnsi" w:cstheme="minorHAnsi"/>
          <w:color w:val="000000" w:themeColor="text1"/>
          <w:shd w:val="clear" w:color="auto" w:fill="FFFFFF"/>
        </w:rPr>
        <w:t xml:space="preserve"> </w:t>
      </w:r>
      <w:r w:rsidRPr="006B4177">
        <w:rPr>
          <w:rFonts w:asciiTheme="minorHAnsi" w:hAnsiTheme="minorHAnsi" w:cstheme="minorHAnsi"/>
          <w:color w:val="000000" w:themeColor="text1"/>
        </w:rPr>
        <w:t>NTC Memorandum Circular No. 01-01-2014 to provide ISPs with a list of sites containing CSAM to be blocked/monitored haven’t done so. Currently, no entity maintains a database of illegal sites in relation to RA 9775 and there are no clear guidelines that will allow ISPs to determine what’s illegal content or not. There’s also the question whether the law is asking ISPs to monitor all data passing through their network; and apparent ambiguity and inherent contradictions in the statutes on what is required of the ISPs and how.</w:t>
      </w:r>
      <w:r w:rsidRPr="006B4177">
        <w:rPr>
          <w:rStyle w:val="EndnoteReference"/>
          <w:rFonts w:asciiTheme="minorHAnsi" w:hAnsiTheme="minorHAnsi" w:cstheme="minorHAnsi"/>
          <w:color w:val="000000" w:themeColor="text1"/>
        </w:rPr>
        <w:endnoteReference w:id="141"/>
      </w:r>
    </w:p>
    <w:p w14:paraId="27DE17E8" w14:textId="77777777" w:rsidR="00BE0FB1" w:rsidRPr="006B4177" w:rsidRDefault="00BE0FB1" w:rsidP="00BE0FB1">
      <w:pPr>
        <w:pStyle w:val="ListParagraph"/>
        <w:spacing w:after="0" w:line="276" w:lineRule="auto"/>
        <w:jc w:val="both"/>
        <w:rPr>
          <w:rFonts w:asciiTheme="minorHAnsi" w:hAnsiTheme="minorHAnsi" w:cstheme="minorHAnsi"/>
          <w:color w:val="000000" w:themeColor="text1"/>
        </w:rPr>
      </w:pPr>
    </w:p>
    <w:p w14:paraId="4361BDCB" w14:textId="521A2983"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color w:val="000000" w:themeColor="text1"/>
        </w:rPr>
        <w:t xml:space="preserve">Meanwhile, even if ISPs find CSAM in their system, it needs to be taken down from the country where it hosted - as per INHOPE data, almost all CSAMs are hosted outside the Philippines. Currently, there is no national reporting mechanism where ISPs can forward CSAM for removal. Law enforcement agencies does not have adequate infrastructure to receive reports from the ISPs and triage a response. </w:t>
      </w:r>
    </w:p>
    <w:p w14:paraId="4C9154DD" w14:textId="7837AF7B" w:rsidR="00BE0FB1" w:rsidRPr="006B4177" w:rsidRDefault="00BE0FB1" w:rsidP="00BE0FB1">
      <w:pPr>
        <w:pStyle w:val="ListParagraph"/>
        <w:spacing w:after="0" w:line="276" w:lineRule="auto"/>
        <w:ind w:left="0"/>
        <w:contextualSpacing w:val="0"/>
        <w:jc w:val="both"/>
        <w:rPr>
          <w:rFonts w:asciiTheme="minorHAnsi" w:hAnsiTheme="minorHAnsi" w:cstheme="minorHAnsi"/>
          <w:color w:val="000000" w:themeColor="text1"/>
        </w:rPr>
      </w:pPr>
    </w:p>
    <w:p w14:paraId="7579845A" w14:textId="3F2999F5" w:rsidR="00BE0FB1" w:rsidRPr="006B4177" w:rsidRDefault="00BE0FB1" w:rsidP="00BE0FB1">
      <w:pPr>
        <w:pStyle w:val="ListParagraph"/>
        <w:spacing w:after="0" w:line="276" w:lineRule="auto"/>
        <w:ind w:left="0"/>
        <w:contextualSpacing w:val="0"/>
        <w:jc w:val="both"/>
        <w:rPr>
          <w:rFonts w:asciiTheme="minorHAnsi" w:hAnsiTheme="minorHAnsi" w:cstheme="minorHAnsi"/>
        </w:rPr>
      </w:pPr>
    </w:p>
    <w:p w14:paraId="26E535C9" w14:textId="245064C8"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 xml:space="preserve"> Child sexual abuse images that are used in evidence in a criminal case must be protected from disclosure by a protective order from the public and media.</w:t>
      </w:r>
      <w:r w:rsidRPr="006B4177">
        <w:rPr>
          <w:rStyle w:val="EndnoteReference"/>
          <w:rFonts w:asciiTheme="minorHAnsi" w:hAnsiTheme="minorHAnsi" w:cstheme="minorHAnsi"/>
        </w:rPr>
        <w:endnoteReference w:id="142"/>
      </w:r>
      <w:r w:rsidRPr="006B4177">
        <w:rPr>
          <w:rFonts w:asciiTheme="minorHAnsi" w:hAnsiTheme="minorHAnsi" w:cstheme="minorHAnsi"/>
        </w:rPr>
        <w:t xml:space="preserve"> Defendants are nonetheless still able to view the images in order to exercise their right to prepare a defence.</w:t>
      </w:r>
      <w:r w:rsidRPr="006B4177">
        <w:rPr>
          <w:rStyle w:val="EndnoteReference"/>
          <w:rFonts w:asciiTheme="minorHAnsi" w:hAnsiTheme="minorHAnsi" w:cstheme="minorHAnsi"/>
        </w:rPr>
        <w:endnoteReference w:id="143"/>
      </w:r>
      <w:r w:rsidRPr="006B4177">
        <w:rPr>
          <w:rFonts w:asciiTheme="minorHAnsi" w:hAnsiTheme="minorHAnsi" w:cstheme="minorHAnsi"/>
        </w:rPr>
        <w:t xml:space="preserve"> As children may however be re-traumatised by the idea of their offender reviewing the images of the child’s abuse, the child best interest would require that only the defence councel, and not the defendant, may view the images.</w:t>
      </w:r>
      <w:r w:rsidRPr="006B4177">
        <w:rPr>
          <w:rStyle w:val="EndnoteReference"/>
          <w:rFonts w:asciiTheme="minorHAnsi" w:hAnsiTheme="minorHAnsi" w:cstheme="minorHAnsi"/>
        </w:rPr>
        <w:endnoteReference w:id="144"/>
      </w:r>
      <w:r w:rsidRPr="006B4177">
        <w:rPr>
          <w:rFonts w:asciiTheme="minorHAnsi" w:hAnsiTheme="minorHAnsi" w:cstheme="minorHAnsi"/>
        </w:rPr>
        <w:t xml:space="preserve"> </w:t>
      </w:r>
    </w:p>
    <w:p w14:paraId="424D17B1" w14:textId="77777777" w:rsidR="00BE0FB1" w:rsidRPr="006B4177" w:rsidRDefault="00BE0FB1" w:rsidP="00BE0FB1">
      <w:pPr>
        <w:pStyle w:val="ListParagraph"/>
        <w:spacing w:after="0" w:line="276" w:lineRule="auto"/>
        <w:jc w:val="both"/>
        <w:rPr>
          <w:rFonts w:asciiTheme="minorHAnsi" w:hAnsiTheme="minorHAnsi" w:cstheme="minorHAnsi"/>
        </w:rPr>
      </w:pPr>
    </w:p>
    <w:p w14:paraId="65BE3587" w14:textId="77671964"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 xml:space="preserve">The adoption of the Family Code in 1988 ended the legal permission of </w:t>
      </w:r>
      <w:r w:rsidRPr="006B4177">
        <w:rPr>
          <w:rFonts w:asciiTheme="minorHAnsi" w:hAnsiTheme="minorHAnsi" w:cstheme="minorHAnsi"/>
          <w:b/>
        </w:rPr>
        <w:t>CEFM</w:t>
      </w:r>
      <w:r w:rsidRPr="006B4177">
        <w:rPr>
          <w:rFonts w:asciiTheme="minorHAnsi" w:hAnsiTheme="minorHAnsi" w:cstheme="minorHAnsi"/>
        </w:rPr>
        <w:t xml:space="preserve"> existing in the Civil Code and set the legal age for marriage in the Philippines to 18.</w:t>
      </w:r>
      <w:r w:rsidRPr="006B4177">
        <w:rPr>
          <w:rStyle w:val="EndnoteReference"/>
          <w:rFonts w:asciiTheme="minorHAnsi" w:hAnsiTheme="minorHAnsi" w:cstheme="minorHAnsi"/>
        </w:rPr>
        <w:endnoteReference w:id="145"/>
      </w:r>
      <w:r w:rsidRPr="006B4177">
        <w:rPr>
          <w:rFonts w:asciiTheme="minorHAnsi" w:hAnsiTheme="minorHAnsi" w:cstheme="minorHAnsi"/>
        </w:rPr>
        <w:t xml:space="preserve"> Applicants between 18 and 21 years old are however additionally require to present a notarized parental/guardian consent</w:t>
      </w:r>
      <w:r w:rsidRPr="006B4177">
        <w:rPr>
          <w:rStyle w:val="EndnoteReference"/>
          <w:rFonts w:asciiTheme="minorHAnsi" w:hAnsiTheme="minorHAnsi" w:cstheme="minorHAnsi"/>
        </w:rPr>
        <w:endnoteReference w:id="146"/>
      </w:r>
      <w:r w:rsidRPr="006B4177">
        <w:rPr>
          <w:rFonts w:asciiTheme="minorHAnsi" w:hAnsiTheme="minorHAnsi" w:cstheme="minorHAnsi"/>
        </w:rPr>
        <w:t xml:space="preserve"> Moreover, applicants between the age of 21 and 25 must require their parents/guardians for an “advice”.</w:t>
      </w:r>
      <w:r w:rsidRPr="006B4177">
        <w:rPr>
          <w:rStyle w:val="EndnoteReference"/>
          <w:rFonts w:asciiTheme="minorHAnsi" w:hAnsiTheme="minorHAnsi" w:cstheme="minorHAnsi"/>
        </w:rPr>
        <w:endnoteReference w:id="147"/>
      </w:r>
      <w:r w:rsidRPr="006B4177">
        <w:rPr>
          <w:rFonts w:asciiTheme="minorHAnsi" w:hAnsiTheme="minorHAnsi" w:cstheme="minorHAnsi"/>
        </w:rPr>
        <w:t xml:space="preserve"> If CEFM is not an issue in the Family Code, it however is for muslim communities. Presidential Decree No. 1083 allows indeed Filipino </w:t>
      </w:r>
      <w:r w:rsidRPr="006B4177">
        <w:rPr>
          <w:rFonts w:asciiTheme="minorHAnsi" w:hAnsiTheme="minorHAnsi" w:cstheme="minorHAnsi"/>
          <w:shd w:val="clear" w:color="auto" w:fill="FFFFFF"/>
        </w:rPr>
        <w:t>Muslim males to marry at the age of 15. Muslim females are allowed to marry as young as 12, provided they have begun menstruating and there is permission from their male guardian or </w:t>
      </w:r>
      <w:r w:rsidRPr="006B4177">
        <w:rPr>
          <w:rStyle w:val="Emphasis"/>
          <w:rFonts w:asciiTheme="minorHAnsi" w:eastAsiaTheme="majorEastAsia" w:hAnsiTheme="minorHAnsi" w:cstheme="minorHAnsi"/>
          <w:shd w:val="clear" w:color="auto" w:fill="FFFFFF"/>
        </w:rPr>
        <w:t>wali</w:t>
      </w:r>
      <w:r w:rsidRPr="006B4177">
        <w:rPr>
          <w:rFonts w:asciiTheme="minorHAnsi" w:hAnsiTheme="minorHAnsi" w:cstheme="minorHAnsi"/>
          <w:shd w:val="clear" w:color="auto" w:fill="FFFFFF"/>
        </w:rPr>
        <w:t>.</w:t>
      </w:r>
      <w:r w:rsidRPr="006B4177">
        <w:rPr>
          <w:rStyle w:val="EndnoteReference"/>
          <w:rFonts w:asciiTheme="minorHAnsi" w:hAnsiTheme="minorHAnsi" w:cstheme="minorHAnsi"/>
          <w:shd w:val="clear" w:color="auto" w:fill="FFFFFF"/>
        </w:rPr>
        <w:endnoteReference w:id="148"/>
      </w:r>
      <w:r w:rsidRPr="006B4177">
        <w:rPr>
          <w:rFonts w:asciiTheme="minorHAnsi" w:hAnsiTheme="minorHAnsi" w:cstheme="minorHAnsi"/>
          <w:shd w:val="clear" w:color="auto" w:fill="FFFFFF"/>
        </w:rPr>
        <w:t xml:space="preserve"> Mutual consent of the parties is required,</w:t>
      </w:r>
      <w:r w:rsidRPr="006B4177">
        <w:rPr>
          <w:rStyle w:val="EndnoteReference"/>
          <w:rFonts w:asciiTheme="minorHAnsi" w:hAnsiTheme="minorHAnsi" w:cstheme="minorHAnsi"/>
          <w:shd w:val="clear" w:color="auto" w:fill="FFFFFF"/>
        </w:rPr>
        <w:endnoteReference w:id="149"/>
      </w:r>
      <w:r w:rsidRPr="006B4177">
        <w:rPr>
          <w:rFonts w:asciiTheme="minorHAnsi" w:hAnsiTheme="minorHAnsi" w:cstheme="minorHAnsi"/>
          <w:shd w:val="clear" w:color="auto" w:fill="FFFFFF"/>
        </w:rPr>
        <w:t xml:space="preserve"> which means that  minors normally must give their permission before the </w:t>
      </w:r>
      <w:r w:rsidRPr="006B4177">
        <w:rPr>
          <w:rFonts w:asciiTheme="minorHAnsi" w:hAnsiTheme="minorHAnsi" w:cstheme="minorHAnsi"/>
          <w:i/>
          <w:shd w:val="clear" w:color="auto" w:fill="FFFFFF"/>
        </w:rPr>
        <w:t>wali</w:t>
      </w:r>
      <w:r w:rsidRPr="006B4177">
        <w:rPr>
          <w:rFonts w:asciiTheme="minorHAnsi" w:hAnsiTheme="minorHAnsi" w:cstheme="minorHAnsi"/>
          <w:shd w:val="clear" w:color="auto" w:fill="FFFFFF"/>
        </w:rPr>
        <w:t xml:space="preserve"> approves the marriage. However, reportedly in practice silence is understood as consent.</w:t>
      </w:r>
      <w:r w:rsidRPr="006B4177">
        <w:rPr>
          <w:rStyle w:val="EndnoteReference"/>
          <w:rFonts w:asciiTheme="minorHAnsi" w:hAnsiTheme="minorHAnsi" w:cstheme="minorHAnsi"/>
          <w:shd w:val="clear" w:color="auto" w:fill="FFFFFF"/>
        </w:rPr>
        <w:endnoteReference w:id="150"/>
      </w:r>
      <w:r w:rsidRPr="006B4177">
        <w:rPr>
          <w:rFonts w:asciiTheme="minorHAnsi" w:hAnsiTheme="minorHAnsi" w:cstheme="minorHAnsi"/>
          <w:shd w:val="clear" w:color="auto" w:fill="FFFFFF"/>
        </w:rPr>
        <w:t xml:space="preserve"> </w:t>
      </w:r>
      <w:r w:rsidRPr="006B4177">
        <w:rPr>
          <w:rFonts w:asciiTheme="minorHAnsi" w:hAnsiTheme="minorHAnsi" w:cstheme="minorHAnsi"/>
        </w:rPr>
        <w:t>In 2016, Muslim religious leaders and legal experts endorsed a new</w:t>
      </w:r>
      <w:r w:rsidRPr="006B4177">
        <w:rPr>
          <w:rFonts w:asciiTheme="minorHAnsi" w:hAnsiTheme="minorHAnsi" w:cstheme="minorHAnsi"/>
          <w:i/>
          <w:iCs/>
        </w:rPr>
        <w:t> fatwa</w:t>
      </w:r>
      <w:r w:rsidRPr="006B4177">
        <w:rPr>
          <w:rFonts w:asciiTheme="minorHAnsi" w:hAnsiTheme="minorHAnsi" w:cstheme="minorHAnsi"/>
        </w:rPr>
        <w:t xml:space="preserve"> (formal legal opinion) urging marriage only when the necessary conditions of “mind-maturity” and “intellectual-integrity” are met. They put the appropriate marrying age for males at 20, and females, at 18. The </w:t>
      </w:r>
      <w:r w:rsidRPr="006B4177">
        <w:rPr>
          <w:rStyle w:val="Emphasis"/>
          <w:rFonts w:asciiTheme="minorHAnsi" w:hAnsiTheme="minorHAnsi" w:cstheme="minorHAnsi"/>
        </w:rPr>
        <w:t>fatwa</w:t>
      </w:r>
      <w:r w:rsidRPr="006B4177">
        <w:rPr>
          <w:rFonts w:asciiTheme="minorHAnsi" w:hAnsiTheme="minorHAnsi" w:cstheme="minorHAnsi"/>
        </w:rPr>
        <w:t> also said that a virgin woman who has reached the age of puberty with sound mind and integral intellect will not be compelled to marry without her consent. The fatwa however still interprets the woman’s silence as consent to the marriage.</w:t>
      </w:r>
      <w:r w:rsidRPr="006B4177">
        <w:rPr>
          <w:rStyle w:val="EndnoteReference"/>
          <w:rFonts w:asciiTheme="minorHAnsi" w:hAnsiTheme="minorHAnsi" w:cstheme="minorHAnsi"/>
        </w:rPr>
        <w:endnoteReference w:id="151"/>
      </w:r>
    </w:p>
    <w:p w14:paraId="0638BAE5" w14:textId="77777777" w:rsidR="00BE0FB1" w:rsidRPr="006B4177" w:rsidRDefault="00BE0FB1" w:rsidP="00BE0FB1">
      <w:pPr>
        <w:pStyle w:val="ListParagraph"/>
        <w:spacing w:after="0" w:line="276" w:lineRule="auto"/>
        <w:jc w:val="both"/>
        <w:rPr>
          <w:rFonts w:asciiTheme="minorHAnsi" w:hAnsiTheme="minorHAnsi" w:cstheme="minorHAnsi"/>
        </w:rPr>
      </w:pPr>
    </w:p>
    <w:p w14:paraId="5D905C7B" w14:textId="209E5C63"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 xml:space="preserve">In 2018, a Bill entitled </w:t>
      </w:r>
      <w:r w:rsidRPr="006B4177">
        <w:rPr>
          <w:rFonts w:asciiTheme="minorHAnsi" w:hAnsiTheme="minorHAnsi" w:cstheme="minorHAnsi"/>
          <w:shd w:val="clear" w:color="auto" w:fill="FFFFFF"/>
        </w:rPr>
        <w:t>“Criminalize Child Marriage in the Philippines” was introduced. If enacted into law, the measure would repeal the exemption that Presidential Decree No. 1083 grants to Filipino Muslims to marry below the age of 18. Moreover, it would penalise solemnizing officers and parents who arranged and consented to a child marriage.</w:t>
      </w:r>
      <w:r w:rsidRPr="006B4177">
        <w:rPr>
          <w:rStyle w:val="EndnoteReference"/>
          <w:rFonts w:asciiTheme="minorHAnsi" w:hAnsiTheme="minorHAnsi" w:cstheme="minorHAnsi"/>
          <w:shd w:val="clear" w:color="auto" w:fill="FFFFFF"/>
        </w:rPr>
        <w:endnoteReference w:id="152"/>
      </w:r>
      <w:r w:rsidRPr="006B4177">
        <w:rPr>
          <w:rFonts w:asciiTheme="minorHAnsi" w:hAnsiTheme="minorHAnsi" w:cstheme="minorHAnsi"/>
          <w:shd w:val="clear" w:color="auto" w:fill="FFFFFF"/>
        </w:rPr>
        <w:t xml:space="preserve"> No information of the adoption of this bill is however available yet. According to a local newspaper, the Bill is not in the list of common legislative priorities of both the House and the Senate.</w:t>
      </w:r>
      <w:r w:rsidRPr="006B4177">
        <w:rPr>
          <w:rStyle w:val="EndnoteReference"/>
          <w:rFonts w:asciiTheme="minorHAnsi" w:hAnsiTheme="minorHAnsi" w:cstheme="minorHAnsi"/>
          <w:shd w:val="clear" w:color="auto" w:fill="FFFFFF"/>
        </w:rPr>
        <w:endnoteReference w:id="153"/>
      </w:r>
    </w:p>
    <w:p w14:paraId="1EAAD579" w14:textId="3E8B9B07" w:rsidR="00BE0FB1" w:rsidRPr="006B4177" w:rsidRDefault="00BE0FB1" w:rsidP="00BE0FB1">
      <w:pPr>
        <w:pStyle w:val="ListParagraph"/>
        <w:spacing w:after="0" w:line="276" w:lineRule="auto"/>
        <w:ind w:left="0"/>
        <w:contextualSpacing w:val="0"/>
        <w:jc w:val="both"/>
        <w:rPr>
          <w:rFonts w:asciiTheme="minorHAnsi" w:hAnsiTheme="minorHAnsi" w:cstheme="minorHAnsi"/>
        </w:rPr>
      </w:pPr>
    </w:p>
    <w:p w14:paraId="1ACC5887" w14:textId="77777777" w:rsidR="00BE0FB1" w:rsidRPr="006B4177" w:rsidRDefault="00BE0FB1" w:rsidP="00BE0FB1">
      <w:pPr>
        <w:pStyle w:val="Heading1"/>
        <w:spacing w:before="0" w:line="276" w:lineRule="auto"/>
        <w:jc w:val="both"/>
        <w:rPr>
          <w:rFonts w:cstheme="minorHAnsi"/>
          <w:szCs w:val="22"/>
        </w:rPr>
      </w:pPr>
      <w:bookmarkStart w:id="27" w:name="_Toc23513400"/>
      <w:bookmarkStart w:id="28" w:name="_Toc30781487"/>
      <w:r w:rsidRPr="006B4177">
        <w:rPr>
          <w:rFonts w:cstheme="minorHAnsi"/>
          <w:szCs w:val="22"/>
        </w:rPr>
        <w:t>Protection of the rights of child victims</w:t>
      </w:r>
      <w:bookmarkEnd w:id="27"/>
      <w:bookmarkEnd w:id="28"/>
    </w:p>
    <w:p w14:paraId="2C6CF728" w14:textId="77777777" w:rsidR="00BE0FB1" w:rsidRPr="006B4177" w:rsidRDefault="00BE0FB1" w:rsidP="00BE0FB1">
      <w:pPr>
        <w:spacing w:after="0" w:line="276" w:lineRule="auto"/>
        <w:jc w:val="both"/>
        <w:rPr>
          <w:rFonts w:asciiTheme="minorHAnsi" w:hAnsiTheme="minorHAnsi" w:cstheme="minorHAnsi"/>
        </w:rPr>
      </w:pPr>
    </w:p>
    <w:p w14:paraId="139B8EEE" w14:textId="2ED87897"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The Department of Social Welfare and Development comprises a revovery and reintegration programme for trafficked persons. It provides case management, psycho-social support, medical services, legal assistance, livelihood assistance, skills training, and reintegration services to identified victims.</w:t>
      </w:r>
      <w:r w:rsidRPr="006B4177">
        <w:rPr>
          <w:rStyle w:val="EndnoteReference"/>
          <w:rFonts w:asciiTheme="minorHAnsi" w:hAnsiTheme="minorHAnsi" w:cstheme="minorHAnsi"/>
        </w:rPr>
        <w:endnoteReference w:id="154"/>
      </w:r>
      <w:r w:rsidRPr="006B4177">
        <w:rPr>
          <w:rFonts w:asciiTheme="minorHAnsi" w:hAnsiTheme="minorHAnsi" w:cstheme="minorHAnsi"/>
        </w:rPr>
        <w:t xml:space="preserve"> It also operates 44 residential care facilities that provide services to victims of trafficking and other forms of exploitation. 24 of these facilities specifically focus on children.</w:t>
      </w:r>
      <w:r w:rsidRPr="006B4177">
        <w:rPr>
          <w:rStyle w:val="EndnoteReference"/>
          <w:rFonts w:asciiTheme="minorHAnsi" w:hAnsiTheme="minorHAnsi" w:cstheme="minorHAnsi"/>
        </w:rPr>
        <w:endnoteReference w:id="155"/>
      </w:r>
      <w:r w:rsidRPr="006B4177">
        <w:rPr>
          <w:rFonts w:asciiTheme="minorHAnsi" w:hAnsiTheme="minorHAnsi" w:cstheme="minorHAnsi"/>
        </w:rPr>
        <w:t xml:space="preserve"> The TIP report notes however that most shelters are above capacity, which compromises the quality of care provided to victims. It also notes that specialized assistance services such as mental health services, community reintegration, job training, and access to employment are inadequate to address the individual needs of each victim.</w:t>
      </w:r>
      <w:r w:rsidRPr="006B4177">
        <w:rPr>
          <w:rStyle w:val="EndnoteReference"/>
          <w:rFonts w:asciiTheme="minorHAnsi" w:hAnsiTheme="minorHAnsi" w:cstheme="minorHAnsi"/>
        </w:rPr>
        <w:endnoteReference w:id="156"/>
      </w:r>
      <w:r w:rsidRPr="006B4177">
        <w:rPr>
          <w:rFonts w:asciiTheme="minorHAnsi" w:hAnsiTheme="minorHAnsi" w:cstheme="minorHAnsi"/>
        </w:rPr>
        <w:t xml:space="preserve">  ECPAT Philippines is promoting the establishment of a Community-Based Healing and Recovery Program (CBHRP) to address the lack of shelters, prevent SEC, proactively identify and provide holistic recovery and reintegration services for victim-survivors and their families. Manuals on how to implement the CBHRP have been produced for dissemination in communities.</w:t>
      </w:r>
      <w:r w:rsidRPr="006B4177">
        <w:rPr>
          <w:rStyle w:val="EndnoteReference"/>
          <w:rFonts w:asciiTheme="minorHAnsi" w:hAnsiTheme="minorHAnsi" w:cstheme="minorHAnsi"/>
        </w:rPr>
        <w:endnoteReference w:id="157"/>
      </w:r>
    </w:p>
    <w:p w14:paraId="075EB07C" w14:textId="4832E008" w:rsidR="00BE0FB1" w:rsidRPr="006B4177" w:rsidRDefault="00BE0FB1" w:rsidP="00BE0FB1">
      <w:pPr>
        <w:spacing w:after="0" w:line="276" w:lineRule="auto"/>
        <w:jc w:val="both"/>
        <w:rPr>
          <w:rFonts w:asciiTheme="minorHAnsi" w:hAnsiTheme="minorHAnsi" w:cstheme="minorHAnsi"/>
        </w:rPr>
      </w:pPr>
    </w:p>
    <w:p w14:paraId="14E87BA5" w14:textId="5F1FBF2D"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In the Philippines, relevant protocol requires that police and social workers jointly interview children in child-friendly rooms, preferably at Women and Child Protective Units in local hospitals.</w:t>
      </w:r>
      <w:r w:rsidRPr="006B4177">
        <w:rPr>
          <w:rStyle w:val="EndnoteReference"/>
          <w:rFonts w:asciiTheme="minorHAnsi" w:hAnsiTheme="minorHAnsi" w:cstheme="minorHAnsi"/>
        </w:rPr>
        <w:endnoteReference w:id="158"/>
      </w:r>
      <w:r w:rsidRPr="006B4177">
        <w:rPr>
          <w:rFonts w:asciiTheme="minorHAnsi" w:hAnsiTheme="minorHAnsi" w:cstheme="minorHAnsi"/>
        </w:rPr>
        <w:t xml:space="preserve"> At trial, SEC cases must be heard in judges’ chambers or courtrooms closed to the public.</w:t>
      </w:r>
      <w:r w:rsidRPr="006B4177">
        <w:rPr>
          <w:rStyle w:val="EndnoteReference"/>
          <w:rFonts w:asciiTheme="minorHAnsi" w:hAnsiTheme="minorHAnsi" w:cstheme="minorHAnsi"/>
        </w:rPr>
        <w:endnoteReference w:id="159"/>
      </w:r>
      <w:r w:rsidRPr="006B4177">
        <w:rPr>
          <w:rFonts w:asciiTheme="minorHAnsi" w:hAnsiTheme="minorHAnsi" w:cstheme="minorHAnsi"/>
        </w:rPr>
        <w:t>Judges also have discretion to put in place child-friendly trial procedures – such as allowing children to tell their story with support persons by their side, modifying the courtroom environment to make it more child-friendly, and in special circumstances permitting children to testify outside the defendant’s presence through live link technology or from behind a screen.</w:t>
      </w:r>
      <w:r w:rsidRPr="006B4177">
        <w:rPr>
          <w:rStyle w:val="EndnoteReference"/>
          <w:rFonts w:asciiTheme="minorHAnsi" w:hAnsiTheme="minorHAnsi" w:cstheme="minorHAnsi"/>
        </w:rPr>
        <w:endnoteReference w:id="160"/>
      </w:r>
      <w:r w:rsidRPr="006B4177">
        <w:rPr>
          <w:rFonts w:asciiTheme="minorHAnsi" w:hAnsiTheme="minorHAnsi" w:cstheme="minorHAnsi"/>
        </w:rPr>
        <w:t xml:space="preserve"> </w:t>
      </w:r>
    </w:p>
    <w:p w14:paraId="4575816B" w14:textId="4E2E9117" w:rsidR="00BE0FB1" w:rsidRPr="006B4177" w:rsidRDefault="00BE0FB1" w:rsidP="00BE0FB1">
      <w:pPr>
        <w:pStyle w:val="ListParagraph"/>
        <w:spacing w:after="0" w:line="276" w:lineRule="auto"/>
        <w:ind w:left="0"/>
        <w:contextualSpacing w:val="0"/>
        <w:jc w:val="both"/>
        <w:rPr>
          <w:rFonts w:asciiTheme="minorHAnsi" w:hAnsiTheme="minorHAnsi" w:cstheme="minorHAnsi"/>
        </w:rPr>
      </w:pPr>
    </w:p>
    <w:p w14:paraId="221C0D7D" w14:textId="4539F80D"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According to the TIP report, the government provides support to victims who served as witnesses during trials by providing assistance, security, and transportation through two regional task force victim-witness coordinators.</w:t>
      </w:r>
      <w:r w:rsidRPr="006B4177">
        <w:rPr>
          <w:rStyle w:val="EndnoteReference"/>
          <w:rFonts w:asciiTheme="minorHAnsi" w:hAnsiTheme="minorHAnsi" w:cstheme="minorHAnsi"/>
        </w:rPr>
        <w:endnoteReference w:id="161"/>
      </w:r>
      <w:r w:rsidRPr="006B4177">
        <w:rPr>
          <w:rFonts w:asciiTheme="minorHAnsi" w:hAnsiTheme="minorHAnsi" w:cstheme="minorHAnsi"/>
        </w:rPr>
        <w:t xml:space="preserve"> Moreover trafficked victims are entitled to the Witness Protection and Benefits Program. This new programme, which was set up in 2018, provides security, immunity from criminal prosecution, housing, livelihood and travel expenses, medical benefits, education, and vocational placement to victims.</w:t>
      </w:r>
      <w:r w:rsidRPr="006B4177">
        <w:rPr>
          <w:rStyle w:val="EndnoteReference"/>
          <w:rFonts w:asciiTheme="minorHAnsi" w:hAnsiTheme="minorHAnsi" w:cstheme="minorHAnsi"/>
        </w:rPr>
        <w:endnoteReference w:id="162"/>
      </w:r>
      <w:r w:rsidRPr="006B4177">
        <w:rPr>
          <w:rFonts w:asciiTheme="minorHAnsi" w:hAnsiTheme="minorHAnsi" w:cstheme="minorHAnsi"/>
        </w:rPr>
        <w:t xml:space="preserve"> Trafficked victims who also suffered any form of violent crimes – such  as physical or psychological injuries, permanent incapacity or disability, insanity, abortion, torture, cruelty or barbarity – are also entitled to the Victim Compensation Programme.</w:t>
      </w:r>
      <w:r w:rsidRPr="006B4177">
        <w:rPr>
          <w:rStyle w:val="EndnoteReference"/>
          <w:rFonts w:asciiTheme="minorHAnsi" w:hAnsiTheme="minorHAnsi" w:cstheme="minorHAnsi"/>
        </w:rPr>
        <w:endnoteReference w:id="163"/>
      </w:r>
    </w:p>
    <w:p w14:paraId="5580B2D3" w14:textId="77777777" w:rsidR="00BE0FB1" w:rsidRPr="006B4177" w:rsidRDefault="00BE0FB1" w:rsidP="00BE0FB1">
      <w:pPr>
        <w:pStyle w:val="ListParagraph"/>
        <w:spacing w:after="0" w:line="276" w:lineRule="auto"/>
        <w:jc w:val="both"/>
        <w:rPr>
          <w:rFonts w:asciiTheme="minorHAnsi" w:hAnsiTheme="minorHAnsi" w:cstheme="minorHAnsi"/>
        </w:rPr>
      </w:pPr>
    </w:p>
    <w:p w14:paraId="171DE5B7" w14:textId="77777777"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Filipino legislation requires courts to give priority to SEC cases.</w:t>
      </w:r>
      <w:r w:rsidRPr="006B4177">
        <w:rPr>
          <w:rStyle w:val="EndnoteReference"/>
          <w:rFonts w:asciiTheme="minorHAnsi" w:hAnsiTheme="minorHAnsi" w:cstheme="minorHAnsi"/>
        </w:rPr>
        <w:endnoteReference w:id="164"/>
      </w:r>
      <w:r w:rsidRPr="006B4177">
        <w:rPr>
          <w:rFonts w:asciiTheme="minorHAnsi" w:hAnsiTheme="minorHAnsi" w:cstheme="minorHAnsi"/>
        </w:rPr>
        <w:t xml:space="preserve"> Judicial inefficiencies and case congestions are however an issue in the Philippines, which has detrimental consequences for child victims of SEC. The TIP reports notes indeed that because of these challenges, prosecutors increased the use of plea bargaining for cases of OCSE in 2018.</w:t>
      </w:r>
      <w:r w:rsidRPr="006B4177">
        <w:rPr>
          <w:rStyle w:val="EndnoteReference"/>
          <w:rFonts w:asciiTheme="minorHAnsi" w:hAnsiTheme="minorHAnsi" w:cstheme="minorHAnsi"/>
        </w:rPr>
        <w:endnoteReference w:id="165"/>
      </w:r>
    </w:p>
    <w:p w14:paraId="77E2EF90" w14:textId="77777777" w:rsidR="00BE0FB1" w:rsidRPr="006B4177" w:rsidRDefault="00BE0FB1" w:rsidP="00BE0FB1">
      <w:pPr>
        <w:pStyle w:val="ListParagraph"/>
        <w:spacing w:after="0" w:line="276" w:lineRule="auto"/>
        <w:jc w:val="both"/>
        <w:rPr>
          <w:rFonts w:asciiTheme="minorHAnsi" w:hAnsiTheme="minorHAnsi" w:cstheme="minorHAnsi"/>
        </w:rPr>
      </w:pPr>
    </w:p>
    <w:p w14:paraId="30BCC93B" w14:textId="07D999E2"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Reportedly,  rich offenders are rarely convicted, or convicted for lesser offenses while poor family members who are offenders get the maximum penalty of life imprisonment. For instance, in 2018, an ECPAT assisted victim-survivor’s mother was sentenced to life in prison after only 2 years of trial, while a Danish man who sexually abused 8 children in Bohol has been on trial for 4 years.</w:t>
      </w:r>
      <w:r w:rsidRPr="006B4177">
        <w:rPr>
          <w:rStyle w:val="EndnoteReference"/>
          <w:rFonts w:asciiTheme="minorHAnsi" w:hAnsiTheme="minorHAnsi" w:cstheme="minorHAnsi"/>
        </w:rPr>
        <w:endnoteReference w:id="166"/>
      </w:r>
    </w:p>
    <w:p w14:paraId="353BC4A0" w14:textId="77777777" w:rsidR="00BE0FB1" w:rsidRPr="006B4177" w:rsidRDefault="00BE0FB1" w:rsidP="00BE0FB1">
      <w:pPr>
        <w:spacing w:after="0" w:line="276" w:lineRule="auto"/>
        <w:jc w:val="both"/>
        <w:rPr>
          <w:rFonts w:asciiTheme="minorHAnsi" w:hAnsiTheme="minorHAnsi" w:cstheme="minorHAnsi"/>
        </w:rPr>
      </w:pPr>
    </w:p>
    <w:p w14:paraId="5BE0E78A" w14:textId="7272A0F5" w:rsidR="00BE0FB1" w:rsidRPr="006B4177" w:rsidRDefault="00BE0FB1" w:rsidP="00BE0FB1">
      <w:pPr>
        <w:pStyle w:val="ListParagraph"/>
        <w:numPr>
          <w:ilvl w:val="0"/>
          <w:numId w:val="2"/>
        </w:numPr>
        <w:spacing w:after="0" w:line="276" w:lineRule="auto"/>
        <w:ind w:left="0" w:hanging="357"/>
        <w:contextualSpacing w:val="0"/>
        <w:jc w:val="both"/>
        <w:rPr>
          <w:rFonts w:asciiTheme="minorHAnsi" w:hAnsiTheme="minorHAnsi" w:cstheme="minorHAnsi"/>
        </w:rPr>
      </w:pPr>
      <w:r w:rsidRPr="006B4177">
        <w:rPr>
          <w:rFonts w:asciiTheme="minorHAnsi" w:hAnsiTheme="minorHAnsi" w:cstheme="minorHAnsi"/>
        </w:rPr>
        <w:t>As mentioned earlier in this report, Bantay Bata 163 provides legal services and shelters to child victims. More specifically, it</w:t>
      </w:r>
      <w:r w:rsidRPr="006B4177">
        <w:rPr>
          <w:rFonts w:asciiTheme="minorHAnsi" w:hAnsiTheme="minorHAnsi" w:cstheme="minorHAnsi"/>
          <w:color w:val="222222"/>
        </w:rPr>
        <w:t xml:space="preserve"> operates and provides a temporary shelter to rescued children before their cases are resolved legally.</w:t>
      </w:r>
      <w:r w:rsidRPr="006B4177">
        <w:rPr>
          <w:rStyle w:val="EndnoteReference"/>
          <w:rFonts w:asciiTheme="minorHAnsi" w:hAnsiTheme="minorHAnsi" w:cstheme="minorHAnsi"/>
          <w:color w:val="222222"/>
        </w:rPr>
        <w:endnoteReference w:id="167"/>
      </w:r>
      <w:r w:rsidRPr="006B4177">
        <w:rPr>
          <w:rFonts w:asciiTheme="minorHAnsi" w:hAnsiTheme="minorHAnsi" w:cstheme="minorHAnsi"/>
          <w:color w:val="222222"/>
        </w:rPr>
        <w:t xml:space="preserve"> Moreover, children are provided with </w:t>
      </w:r>
      <w:r w:rsidRPr="006B4177">
        <w:rPr>
          <w:rFonts w:asciiTheme="minorHAnsi" w:hAnsiTheme="minorHAnsi" w:cstheme="minorHAnsi"/>
        </w:rPr>
        <w:t>therapy</w:t>
      </w:r>
      <w:r w:rsidRPr="006B4177">
        <w:rPr>
          <w:rFonts w:asciiTheme="minorHAnsi" w:hAnsiTheme="minorHAnsi" w:cstheme="minorHAnsi"/>
          <w:color w:val="222222"/>
        </w:rPr>
        <w:t xml:space="preserve"> and educational opportunities before they are reunited with their families or referred to proper child caring agencies.</w:t>
      </w:r>
      <w:r w:rsidRPr="006B4177">
        <w:rPr>
          <w:rStyle w:val="EndnoteReference"/>
          <w:rFonts w:asciiTheme="minorHAnsi" w:hAnsiTheme="minorHAnsi" w:cstheme="minorHAnsi"/>
          <w:color w:val="222222"/>
        </w:rPr>
        <w:endnoteReference w:id="168"/>
      </w:r>
    </w:p>
    <w:p w14:paraId="56C569F4" w14:textId="17099A8E" w:rsidR="00931C64" w:rsidRPr="006B4177" w:rsidRDefault="00931C64" w:rsidP="00BE0FB1">
      <w:pPr>
        <w:pStyle w:val="ListParagraph"/>
        <w:spacing w:after="0" w:line="276" w:lineRule="auto"/>
        <w:ind w:left="0"/>
        <w:contextualSpacing w:val="0"/>
        <w:jc w:val="both"/>
        <w:rPr>
          <w:rFonts w:asciiTheme="minorHAnsi" w:hAnsiTheme="minorHAnsi" w:cstheme="minorHAnsi"/>
        </w:rPr>
      </w:pPr>
    </w:p>
    <w:p w14:paraId="7C258DB9" w14:textId="77777777" w:rsidR="00B15CFE" w:rsidRPr="006B4177" w:rsidRDefault="00B15CFE" w:rsidP="00BE0FB1">
      <w:pPr>
        <w:pStyle w:val="Heading1"/>
        <w:spacing w:before="0" w:line="276" w:lineRule="auto"/>
        <w:jc w:val="both"/>
        <w:rPr>
          <w:rFonts w:cstheme="minorHAnsi"/>
          <w:szCs w:val="22"/>
        </w:rPr>
      </w:pPr>
      <w:bookmarkStart w:id="29" w:name="_Toc30781488"/>
      <w:r w:rsidRPr="006B4177">
        <w:rPr>
          <w:rFonts w:cstheme="minorHAnsi"/>
          <w:szCs w:val="22"/>
        </w:rPr>
        <w:t>Recommendations</w:t>
      </w:r>
      <w:bookmarkEnd w:id="29"/>
      <w:r w:rsidRPr="006B4177">
        <w:rPr>
          <w:rFonts w:cstheme="minorHAnsi"/>
          <w:szCs w:val="22"/>
        </w:rPr>
        <w:t xml:space="preserve"> </w:t>
      </w:r>
    </w:p>
    <w:p w14:paraId="47BAF91E" w14:textId="77777777" w:rsidR="00B15CFE" w:rsidRPr="006B4177" w:rsidRDefault="00B15CFE" w:rsidP="00BE0FB1">
      <w:pPr>
        <w:spacing w:after="0" w:line="276" w:lineRule="auto"/>
        <w:jc w:val="both"/>
        <w:rPr>
          <w:rFonts w:asciiTheme="minorHAnsi" w:hAnsiTheme="minorHAnsi" w:cstheme="minorHAnsi"/>
        </w:rPr>
      </w:pPr>
    </w:p>
    <w:p w14:paraId="6AF3BC5A" w14:textId="77777777" w:rsidR="00B15CFE" w:rsidRPr="006B4177" w:rsidRDefault="00B15CFE" w:rsidP="00BE0FB1">
      <w:pPr>
        <w:pStyle w:val="Heading2"/>
        <w:spacing w:before="0" w:line="276" w:lineRule="auto"/>
        <w:jc w:val="both"/>
        <w:rPr>
          <w:rFonts w:cstheme="minorHAnsi"/>
          <w:szCs w:val="22"/>
        </w:rPr>
      </w:pPr>
      <w:bookmarkStart w:id="30" w:name="_Toc30781489"/>
      <w:r w:rsidRPr="006B4177">
        <w:rPr>
          <w:rFonts w:cstheme="minorHAnsi"/>
          <w:szCs w:val="22"/>
        </w:rPr>
        <w:t>General measures of implementation, coordination and evaluation</w:t>
      </w:r>
      <w:bookmarkEnd w:id="30"/>
      <w:r w:rsidRPr="006B4177">
        <w:rPr>
          <w:rFonts w:cstheme="minorHAnsi"/>
          <w:szCs w:val="22"/>
        </w:rPr>
        <w:t xml:space="preserve"> </w:t>
      </w:r>
    </w:p>
    <w:p w14:paraId="2896AEC7" w14:textId="727649FF" w:rsidR="004B1802" w:rsidRPr="006B4177" w:rsidRDefault="004B1802" w:rsidP="00BE0FB1">
      <w:pPr>
        <w:pStyle w:val="Heading2"/>
        <w:numPr>
          <w:ilvl w:val="0"/>
          <w:numId w:val="8"/>
        </w:numPr>
        <w:shd w:val="clear" w:color="auto" w:fill="D0CECE" w:themeFill="background2" w:themeFillShade="E6"/>
        <w:spacing w:before="0" w:line="276" w:lineRule="auto"/>
        <w:jc w:val="both"/>
        <w:rPr>
          <w:rFonts w:cstheme="minorHAnsi"/>
          <w:i w:val="0"/>
          <w:szCs w:val="22"/>
        </w:rPr>
      </w:pPr>
      <w:bookmarkStart w:id="31" w:name="_Toc1838427"/>
      <w:r w:rsidRPr="006B4177">
        <w:rPr>
          <w:rFonts w:eastAsia="Times New Roman" w:cstheme="minorHAnsi"/>
          <w:i w:val="0"/>
          <w:color w:val="222222"/>
          <w:szCs w:val="22"/>
          <w:lang w:val="en" w:eastAsia="en-US"/>
        </w:rPr>
        <w:t xml:space="preserve">Ensure that all manifestations of </w:t>
      </w:r>
      <w:r w:rsidR="00AB2EF2" w:rsidRPr="006B4177">
        <w:rPr>
          <w:rFonts w:eastAsia="Times New Roman" w:cstheme="minorHAnsi"/>
          <w:i w:val="0"/>
          <w:color w:val="222222"/>
          <w:szCs w:val="22"/>
          <w:lang w:val="en" w:eastAsia="en-US"/>
        </w:rPr>
        <w:t>sexual exploitation of children</w:t>
      </w:r>
      <w:r w:rsidRPr="006B4177">
        <w:rPr>
          <w:rFonts w:eastAsia="Times New Roman" w:cstheme="minorHAnsi"/>
          <w:i w:val="0"/>
          <w:color w:val="222222"/>
          <w:szCs w:val="22"/>
          <w:lang w:val="en" w:eastAsia="en-US"/>
        </w:rPr>
        <w:t xml:space="preserve"> are integrated into the National Action Plan</w:t>
      </w:r>
      <w:r w:rsidRPr="006B4177">
        <w:rPr>
          <w:rFonts w:eastAsia="Times New Roman" w:cstheme="minorHAnsi"/>
          <w:color w:val="222222"/>
          <w:szCs w:val="22"/>
          <w:lang w:val="en" w:eastAsia="en-US"/>
        </w:rPr>
        <w:t>;</w:t>
      </w:r>
    </w:p>
    <w:p w14:paraId="32310287" w14:textId="40ABD033" w:rsidR="004B1802" w:rsidRPr="006B4177" w:rsidRDefault="004F230E" w:rsidP="00BE0FB1">
      <w:pPr>
        <w:pStyle w:val="Heading2"/>
        <w:numPr>
          <w:ilvl w:val="0"/>
          <w:numId w:val="8"/>
        </w:numPr>
        <w:shd w:val="clear" w:color="auto" w:fill="D0CECE" w:themeFill="background2" w:themeFillShade="E6"/>
        <w:spacing w:before="0" w:line="276" w:lineRule="auto"/>
        <w:jc w:val="both"/>
        <w:rPr>
          <w:rFonts w:cstheme="minorHAnsi"/>
          <w:i w:val="0"/>
          <w:szCs w:val="22"/>
        </w:rPr>
      </w:pPr>
      <w:r w:rsidRPr="006B4177">
        <w:rPr>
          <w:rFonts w:cstheme="minorHAnsi"/>
          <w:i w:val="0"/>
          <w:szCs w:val="22"/>
        </w:rPr>
        <w:t>Ensure dissemination, popularization and implementation of National Action Plans at the local level</w:t>
      </w:r>
      <w:r w:rsidR="004B1802" w:rsidRPr="006B4177">
        <w:rPr>
          <w:rFonts w:cstheme="minorHAnsi"/>
          <w:i w:val="0"/>
          <w:szCs w:val="22"/>
        </w:rPr>
        <w:t>;</w:t>
      </w:r>
    </w:p>
    <w:p w14:paraId="5B327842" w14:textId="4DC6410A" w:rsidR="004B1802" w:rsidRPr="006B4177" w:rsidRDefault="004B1802" w:rsidP="00BE0FB1">
      <w:pPr>
        <w:pStyle w:val="ListParagraph"/>
        <w:numPr>
          <w:ilvl w:val="0"/>
          <w:numId w:val="8"/>
        </w:numPr>
        <w:shd w:val="clear" w:color="auto" w:fill="D0CECE" w:themeFill="background2" w:themeFillShade="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inorHAnsi" w:eastAsia="Times New Roman" w:hAnsiTheme="minorHAnsi" w:cstheme="minorHAnsi"/>
          <w:color w:val="222222"/>
          <w:lang w:val="en-US" w:eastAsia="en-US"/>
        </w:rPr>
      </w:pPr>
      <w:r w:rsidRPr="006B4177">
        <w:rPr>
          <w:rFonts w:asciiTheme="minorHAnsi" w:eastAsia="Times New Roman" w:hAnsiTheme="minorHAnsi" w:cstheme="minorHAnsi"/>
          <w:color w:val="222222"/>
          <w:lang w:val="en" w:eastAsia="en-US"/>
        </w:rPr>
        <w:t xml:space="preserve">Establish an inclusive data collection system to assess the extent and severity of </w:t>
      </w:r>
      <w:r w:rsidR="00AB2EF2" w:rsidRPr="006B4177">
        <w:rPr>
          <w:rFonts w:asciiTheme="minorHAnsi" w:eastAsia="Times New Roman" w:hAnsiTheme="minorHAnsi" w:cstheme="minorHAnsi"/>
          <w:color w:val="222222"/>
          <w:lang w:val="en" w:eastAsia="en-US"/>
        </w:rPr>
        <w:t>sexual exploitation of children</w:t>
      </w:r>
      <w:r w:rsidRPr="006B4177">
        <w:rPr>
          <w:rFonts w:asciiTheme="minorHAnsi" w:eastAsia="Times New Roman" w:hAnsiTheme="minorHAnsi" w:cstheme="minorHAnsi"/>
          <w:color w:val="222222"/>
          <w:lang w:val="en" w:eastAsia="en-US"/>
        </w:rPr>
        <w:t xml:space="preserve"> in the Philippines;</w:t>
      </w:r>
    </w:p>
    <w:p w14:paraId="56C4C5C9" w14:textId="3DC3CB2E" w:rsidR="004B1802" w:rsidRPr="006B4177" w:rsidRDefault="004B1802" w:rsidP="00BE0FB1">
      <w:pPr>
        <w:pStyle w:val="ListParagraph"/>
        <w:numPr>
          <w:ilvl w:val="0"/>
          <w:numId w:val="8"/>
        </w:numPr>
        <w:shd w:val="clear" w:color="auto" w:fill="D0CECE" w:themeFill="background2" w:themeFillShade="E6"/>
        <w:spacing w:after="0" w:line="276" w:lineRule="auto"/>
        <w:jc w:val="both"/>
        <w:rPr>
          <w:rFonts w:asciiTheme="minorHAnsi" w:hAnsiTheme="minorHAnsi" w:cstheme="minorHAnsi"/>
        </w:rPr>
      </w:pPr>
      <w:r w:rsidRPr="006B4177">
        <w:rPr>
          <w:rFonts w:asciiTheme="minorHAnsi" w:hAnsiTheme="minorHAnsi" w:cstheme="minorHAnsi"/>
        </w:rPr>
        <w:t>Encourage travel agents and tourism agencies to sign the Code of Conduct for the Protection of Children from Sexual Exploitation in Travel and Tourism.</w:t>
      </w:r>
    </w:p>
    <w:p w14:paraId="298A3717" w14:textId="4AA879B3" w:rsidR="00B15CFE" w:rsidRPr="006B4177" w:rsidRDefault="00B15CFE" w:rsidP="00BE0FB1">
      <w:pPr>
        <w:pStyle w:val="Heading2"/>
        <w:spacing w:before="0" w:line="276" w:lineRule="auto"/>
        <w:jc w:val="both"/>
        <w:rPr>
          <w:rFonts w:cstheme="minorHAnsi"/>
          <w:szCs w:val="22"/>
        </w:rPr>
      </w:pPr>
      <w:bookmarkStart w:id="32" w:name="_Toc30781490"/>
      <w:r w:rsidRPr="006B4177">
        <w:rPr>
          <w:rFonts w:cstheme="minorHAnsi"/>
          <w:szCs w:val="22"/>
        </w:rPr>
        <w:t>Prevention</w:t>
      </w:r>
      <w:bookmarkEnd w:id="31"/>
      <w:bookmarkEnd w:id="32"/>
    </w:p>
    <w:p w14:paraId="02C2183C" w14:textId="14B62360" w:rsidR="004B1802" w:rsidRPr="006B4177" w:rsidRDefault="004B1802" w:rsidP="00BE0FB1">
      <w:pPr>
        <w:widowControl w:val="0"/>
        <w:numPr>
          <w:ilvl w:val="0"/>
          <w:numId w:val="8"/>
        </w:numPr>
        <w:shd w:val="clear" w:color="auto" w:fill="D0CECE" w:themeFill="background2" w:themeFillShade="E6"/>
        <w:spacing w:after="0" w:line="276" w:lineRule="auto"/>
        <w:jc w:val="both"/>
        <w:rPr>
          <w:rFonts w:asciiTheme="minorHAnsi" w:eastAsia="Calibri" w:hAnsiTheme="minorHAnsi" w:cstheme="minorHAnsi"/>
          <w:lang w:val="en-GB" w:eastAsia="en-US"/>
        </w:rPr>
      </w:pPr>
      <w:bookmarkStart w:id="33" w:name="_Toc1838428"/>
      <w:r w:rsidRPr="006B4177">
        <w:rPr>
          <w:rFonts w:asciiTheme="minorHAnsi" w:eastAsia="Calibri" w:hAnsiTheme="minorHAnsi" w:cstheme="minorHAnsi"/>
          <w:lang w:eastAsia="en-US"/>
        </w:rPr>
        <w:t>Ensure that preventative measures address underlying root causes of sexual exploitation of children, such as poverty and unemployment;</w:t>
      </w:r>
    </w:p>
    <w:p w14:paraId="2A77CFD3" w14:textId="061D5047" w:rsidR="004F230E" w:rsidRPr="006B4177" w:rsidRDefault="004F230E" w:rsidP="00BE0FB1">
      <w:pPr>
        <w:widowControl w:val="0"/>
        <w:numPr>
          <w:ilvl w:val="0"/>
          <w:numId w:val="8"/>
        </w:numPr>
        <w:shd w:val="clear" w:color="auto" w:fill="D0CECE" w:themeFill="background2" w:themeFillShade="E6"/>
        <w:spacing w:after="0" w:line="276" w:lineRule="auto"/>
        <w:jc w:val="both"/>
        <w:rPr>
          <w:rFonts w:asciiTheme="minorHAnsi" w:eastAsia="Calibri" w:hAnsiTheme="minorHAnsi" w:cstheme="minorHAnsi"/>
          <w:lang w:val="en-GB" w:eastAsia="en-US"/>
        </w:rPr>
      </w:pPr>
      <w:r w:rsidRPr="006B4177">
        <w:rPr>
          <w:rFonts w:asciiTheme="minorHAnsi" w:hAnsiTheme="minorHAnsi" w:cstheme="minorHAnsi"/>
        </w:rPr>
        <w:t>Implement PPAeVAC programmes on behavioural change for families and communities;</w:t>
      </w:r>
    </w:p>
    <w:p w14:paraId="2D9D5477" w14:textId="01D4327B" w:rsidR="004F230E" w:rsidRPr="006B4177" w:rsidRDefault="004F230E" w:rsidP="00BE0FB1">
      <w:pPr>
        <w:pStyle w:val="CommentText"/>
        <w:numPr>
          <w:ilvl w:val="0"/>
          <w:numId w:val="8"/>
        </w:numPr>
        <w:shd w:val="clear" w:color="auto" w:fill="D0CECE" w:themeFill="background2" w:themeFillShade="E6"/>
        <w:spacing w:after="0" w:line="276" w:lineRule="auto"/>
        <w:jc w:val="both"/>
        <w:rPr>
          <w:rFonts w:asciiTheme="minorHAnsi" w:hAnsiTheme="minorHAnsi" w:cstheme="minorHAnsi"/>
          <w:sz w:val="22"/>
          <w:szCs w:val="22"/>
        </w:rPr>
      </w:pPr>
      <w:r w:rsidRPr="006B4177">
        <w:rPr>
          <w:rFonts w:asciiTheme="minorHAnsi" w:hAnsiTheme="minorHAnsi" w:cstheme="minorHAnsi"/>
          <w:sz w:val="22"/>
          <w:szCs w:val="22"/>
        </w:rPr>
        <w:t>Allocate funds to ensure child protection measures and mechanisms are in place in evacuation centers and disaster-hit communities</w:t>
      </w:r>
      <w:r w:rsidR="00BE0FB1" w:rsidRPr="006B4177">
        <w:rPr>
          <w:rFonts w:asciiTheme="minorHAnsi" w:hAnsiTheme="minorHAnsi" w:cstheme="minorHAnsi"/>
          <w:sz w:val="22"/>
          <w:szCs w:val="22"/>
        </w:rPr>
        <w:t>;</w:t>
      </w:r>
    </w:p>
    <w:p w14:paraId="3800AF26" w14:textId="1E2353C6" w:rsidR="004B1802" w:rsidRPr="006B4177" w:rsidRDefault="004B1802" w:rsidP="00BE0FB1">
      <w:pPr>
        <w:pStyle w:val="ListParagraph"/>
        <w:numPr>
          <w:ilvl w:val="0"/>
          <w:numId w:val="8"/>
        </w:numPr>
        <w:shd w:val="clear" w:color="auto" w:fill="D0CECE" w:themeFill="background2" w:themeFillShade="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inorHAnsi" w:eastAsia="Times New Roman" w:hAnsiTheme="minorHAnsi" w:cstheme="minorHAnsi"/>
          <w:color w:val="222222"/>
          <w:lang w:val="en" w:eastAsia="en-US"/>
        </w:rPr>
      </w:pPr>
      <w:r w:rsidRPr="006B4177">
        <w:rPr>
          <w:rFonts w:asciiTheme="minorHAnsi" w:eastAsia="Times New Roman" w:hAnsiTheme="minorHAnsi" w:cstheme="minorHAnsi"/>
          <w:color w:val="222222"/>
          <w:lang w:val="en" w:eastAsia="en-US"/>
        </w:rPr>
        <w:t xml:space="preserve">Train justice staff and social workers on </w:t>
      </w:r>
      <w:r w:rsidR="00AB2EF2" w:rsidRPr="006B4177">
        <w:rPr>
          <w:rFonts w:asciiTheme="minorHAnsi" w:eastAsia="Times New Roman" w:hAnsiTheme="minorHAnsi" w:cstheme="minorHAnsi"/>
          <w:color w:val="222222"/>
          <w:lang w:val="en" w:eastAsia="en-US"/>
        </w:rPr>
        <w:t>sexual exploitation of children</w:t>
      </w:r>
      <w:r w:rsidRPr="006B4177">
        <w:rPr>
          <w:rFonts w:asciiTheme="minorHAnsi" w:eastAsia="Times New Roman" w:hAnsiTheme="minorHAnsi" w:cstheme="minorHAnsi"/>
          <w:color w:val="222222"/>
          <w:lang w:val="en" w:eastAsia="en-US"/>
        </w:rPr>
        <w:t>, and especially on the specificity of dealing with sexually exploited children;</w:t>
      </w:r>
    </w:p>
    <w:p w14:paraId="26F0392C" w14:textId="6D3C80CD" w:rsidR="004F230E" w:rsidRPr="006B4177" w:rsidRDefault="004B1802" w:rsidP="00BE0FB1">
      <w:pPr>
        <w:pStyle w:val="Heading2"/>
        <w:numPr>
          <w:ilvl w:val="0"/>
          <w:numId w:val="8"/>
        </w:numPr>
        <w:shd w:val="clear" w:color="auto" w:fill="D0CECE" w:themeFill="background2" w:themeFillShade="E6"/>
        <w:spacing w:before="0" w:line="276" w:lineRule="auto"/>
        <w:jc w:val="both"/>
        <w:rPr>
          <w:rFonts w:eastAsia="Times New Roman" w:cstheme="minorHAnsi"/>
          <w:i w:val="0"/>
          <w:color w:val="222222"/>
          <w:szCs w:val="22"/>
          <w:lang w:val="en" w:eastAsia="en-US"/>
        </w:rPr>
      </w:pPr>
      <w:r w:rsidRPr="006B4177">
        <w:rPr>
          <w:rFonts w:eastAsia="Times New Roman" w:cstheme="minorHAnsi"/>
          <w:i w:val="0"/>
          <w:color w:val="222222"/>
          <w:szCs w:val="22"/>
          <w:lang w:val="en" w:eastAsia="en-US"/>
        </w:rPr>
        <w:t>Put in place child protection on the Internet;</w:t>
      </w:r>
    </w:p>
    <w:p w14:paraId="4165598E" w14:textId="48E3089D" w:rsidR="004B1802" w:rsidRPr="006B4177" w:rsidRDefault="004B1802" w:rsidP="00BE0FB1">
      <w:pPr>
        <w:pStyle w:val="ListParagraph"/>
        <w:numPr>
          <w:ilvl w:val="0"/>
          <w:numId w:val="8"/>
        </w:numPr>
        <w:shd w:val="clear" w:color="auto" w:fill="D0CECE" w:themeFill="background2" w:themeFillShade="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inorHAnsi" w:eastAsia="Times New Roman" w:hAnsiTheme="minorHAnsi" w:cstheme="minorHAnsi"/>
          <w:color w:val="222222"/>
          <w:lang w:val="en-US" w:eastAsia="en-US"/>
        </w:rPr>
      </w:pPr>
      <w:r w:rsidRPr="006B4177">
        <w:rPr>
          <w:rFonts w:asciiTheme="minorHAnsi" w:hAnsiTheme="minorHAnsi" w:cstheme="minorHAnsi"/>
        </w:rPr>
        <w:t>Raise awareness on issues related to the sexual exploitations of boys</w:t>
      </w:r>
      <w:r w:rsidR="004F230E" w:rsidRPr="006B4177">
        <w:rPr>
          <w:rFonts w:asciiTheme="minorHAnsi" w:hAnsiTheme="minorHAnsi" w:cstheme="minorHAnsi"/>
        </w:rPr>
        <w:t xml:space="preserve"> and conduct research on the topic</w:t>
      </w:r>
      <w:r w:rsidRPr="006B4177">
        <w:rPr>
          <w:rFonts w:asciiTheme="minorHAnsi" w:hAnsiTheme="minorHAnsi" w:cstheme="minorHAnsi"/>
        </w:rPr>
        <w:t>.</w:t>
      </w:r>
    </w:p>
    <w:p w14:paraId="7A1F0D82" w14:textId="48B2CE04" w:rsidR="00B15CFE" w:rsidRPr="006B4177" w:rsidRDefault="00B15CFE" w:rsidP="00BE0FB1">
      <w:pPr>
        <w:pStyle w:val="Heading2"/>
        <w:spacing w:before="0" w:line="276" w:lineRule="auto"/>
        <w:jc w:val="both"/>
        <w:rPr>
          <w:rFonts w:cstheme="minorHAnsi"/>
          <w:szCs w:val="22"/>
        </w:rPr>
      </w:pPr>
      <w:r w:rsidRPr="006B4177">
        <w:rPr>
          <w:rFonts w:cstheme="minorHAnsi"/>
          <w:szCs w:val="22"/>
        </w:rPr>
        <w:br/>
      </w:r>
      <w:bookmarkStart w:id="34" w:name="_Toc30781491"/>
      <w:r w:rsidRPr="006B4177">
        <w:rPr>
          <w:rFonts w:cstheme="minorHAnsi"/>
          <w:szCs w:val="22"/>
        </w:rPr>
        <w:t>Prohibition</w:t>
      </w:r>
      <w:bookmarkEnd w:id="33"/>
      <w:bookmarkEnd w:id="34"/>
    </w:p>
    <w:p w14:paraId="264A14FB" w14:textId="5DBB012E" w:rsidR="004F230E" w:rsidRPr="006B4177" w:rsidRDefault="004F230E" w:rsidP="00BE0FB1">
      <w:pPr>
        <w:pStyle w:val="Heading2"/>
        <w:numPr>
          <w:ilvl w:val="0"/>
          <w:numId w:val="8"/>
        </w:numPr>
        <w:shd w:val="clear" w:color="auto" w:fill="E7E6E6" w:themeFill="background2"/>
        <w:spacing w:before="0" w:line="276" w:lineRule="auto"/>
        <w:jc w:val="both"/>
        <w:rPr>
          <w:rFonts w:cstheme="minorHAnsi"/>
          <w:i w:val="0"/>
          <w:szCs w:val="22"/>
        </w:rPr>
      </w:pPr>
      <w:bookmarkStart w:id="35" w:name="_Toc1838429"/>
      <w:r w:rsidRPr="006B4177">
        <w:rPr>
          <w:rFonts w:cstheme="minorHAnsi"/>
          <w:i w:val="0"/>
          <w:szCs w:val="22"/>
        </w:rPr>
        <w:t>Adopt legislation that mandates money transfers to report prospective OCSE transactions to law enforcement;</w:t>
      </w:r>
    </w:p>
    <w:p w14:paraId="5EC8A43A" w14:textId="62E75233" w:rsidR="004F230E" w:rsidRPr="006B4177" w:rsidRDefault="004F230E" w:rsidP="00BE0FB1">
      <w:pPr>
        <w:pStyle w:val="Heading2"/>
        <w:numPr>
          <w:ilvl w:val="0"/>
          <w:numId w:val="8"/>
        </w:numPr>
        <w:shd w:val="clear" w:color="auto" w:fill="E7E6E6" w:themeFill="background2"/>
        <w:spacing w:before="0" w:line="276" w:lineRule="auto"/>
        <w:jc w:val="both"/>
        <w:rPr>
          <w:rFonts w:cstheme="minorHAnsi"/>
          <w:i w:val="0"/>
          <w:szCs w:val="22"/>
        </w:rPr>
      </w:pPr>
      <w:r w:rsidRPr="006B4177">
        <w:rPr>
          <w:rFonts w:cstheme="minorHAnsi"/>
          <w:i w:val="0"/>
          <w:szCs w:val="22"/>
        </w:rPr>
        <w:t>Amend the Anti-Money Laundering Law (AMLA) to add human trafficking and child sexual exploitation to the list of crimes exempt from bank inquiry with court order;</w:t>
      </w:r>
    </w:p>
    <w:p w14:paraId="2480202D" w14:textId="6A291BEC" w:rsidR="0042342F" w:rsidRPr="006B4177" w:rsidRDefault="0042342F" w:rsidP="00BE0FB1">
      <w:pPr>
        <w:pStyle w:val="Heading2"/>
        <w:numPr>
          <w:ilvl w:val="0"/>
          <w:numId w:val="8"/>
        </w:numPr>
        <w:shd w:val="clear" w:color="auto" w:fill="E7E6E6" w:themeFill="background2"/>
        <w:spacing w:before="0" w:line="276" w:lineRule="auto"/>
        <w:jc w:val="both"/>
        <w:rPr>
          <w:rFonts w:cstheme="minorHAnsi"/>
          <w:i w:val="0"/>
          <w:szCs w:val="22"/>
        </w:rPr>
      </w:pPr>
      <w:r w:rsidRPr="006B4177">
        <w:rPr>
          <w:rFonts w:cstheme="minorHAnsi"/>
          <w:i w:val="0"/>
          <w:szCs w:val="22"/>
        </w:rPr>
        <w:t>Amend Section 6 of the Juvenile Justice and Welfare Act and increase the age of criminal responsibility to 18;</w:t>
      </w:r>
    </w:p>
    <w:p w14:paraId="4621213F" w14:textId="0BFC8B52" w:rsidR="004F230E" w:rsidRPr="006B4177" w:rsidRDefault="004F230E" w:rsidP="00BE0FB1">
      <w:pPr>
        <w:pStyle w:val="ListParagraph"/>
        <w:numPr>
          <w:ilvl w:val="0"/>
          <w:numId w:val="8"/>
        </w:numPr>
        <w:shd w:val="clear" w:color="auto" w:fill="E7E6E6" w:themeFill="background2"/>
        <w:spacing w:after="0" w:line="276" w:lineRule="auto"/>
        <w:jc w:val="both"/>
        <w:rPr>
          <w:rFonts w:asciiTheme="minorHAnsi" w:hAnsiTheme="minorHAnsi" w:cstheme="minorHAnsi"/>
        </w:rPr>
      </w:pPr>
      <w:r w:rsidRPr="006B4177">
        <w:rPr>
          <w:rFonts w:asciiTheme="minorHAnsi" w:hAnsiTheme="minorHAnsi" w:cstheme="minorHAnsi"/>
        </w:rPr>
        <w:t>Amend the Republic Act 8353 or the Anti-Rape Law to raise the statutory rape age to at least 16 years old; and recognize sexual abuse of boys below the age of consent as ‘Rape’ as opposed to just ‘Sexual Assault’, which entails lower penalties;</w:t>
      </w:r>
    </w:p>
    <w:p w14:paraId="44C05765" w14:textId="77777777" w:rsidR="0042342F" w:rsidRPr="006B4177" w:rsidRDefault="0042342F" w:rsidP="00BE0FB1">
      <w:pPr>
        <w:pStyle w:val="Heading2"/>
        <w:numPr>
          <w:ilvl w:val="0"/>
          <w:numId w:val="8"/>
        </w:numPr>
        <w:shd w:val="clear" w:color="auto" w:fill="E7E6E6" w:themeFill="background2"/>
        <w:spacing w:before="0" w:line="276" w:lineRule="auto"/>
        <w:jc w:val="both"/>
        <w:rPr>
          <w:rFonts w:cstheme="minorHAnsi"/>
          <w:szCs w:val="22"/>
        </w:rPr>
      </w:pPr>
      <w:r w:rsidRPr="006B4177">
        <w:rPr>
          <w:rFonts w:cstheme="minorHAnsi"/>
          <w:i w:val="0"/>
          <w:szCs w:val="22"/>
        </w:rPr>
        <w:t>Amend Article X of the Penla Code and delete the gender-based discrimination according to which prostitution is a crime only females can commit;</w:t>
      </w:r>
    </w:p>
    <w:p w14:paraId="0E1AC81E" w14:textId="77777777" w:rsidR="004F230E" w:rsidRPr="006B4177" w:rsidRDefault="0042342F" w:rsidP="00BE0FB1">
      <w:pPr>
        <w:pStyle w:val="Heading2"/>
        <w:numPr>
          <w:ilvl w:val="0"/>
          <w:numId w:val="8"/>
        </w:numPr>
        <w:shd w:val="clear" w:color="auto" w:fill="E7E6E6" w:themeFill="background2"/>
        <w:spacing w:before="0" w:line="276" w:lineRule="auto"/>
        <w:jc w:val="both"/>
        <w:rPr>
          <w:rFonts w:cstheme="minorHAnsi"/>
          <w:szCs w:val="22"/>
        </w:rPr>
      </w:pPr>
      <w:r w:rsidRPr="006B4177">
        <w:rPr>
          <w:rFonts w:cstheme="minorHAnsi"/>
          <w:i w:val="0"/>
          <w:szCs w:val="22"/>
        </w:rPr>
        <w:t xml:space="preserve">Adopt a a specific legislation on </w:t>
      </w:r>
      <w:r w:rsidR="00AB2EF2" w:rsidRPr="006B4177">
        <w:rPr>
          <w:rFonts w:cstheme="minorHAnsi"/>
          <w:i w:val="0"/>
          <w:szCs w:val="22"/>
        </w:rPr>
        <w:t>sexual exploitation of children in travel and tourism</w:t>
      </w:r>
      <w:r w:rsidR="004F230E" w:rsidRPr="006B4177">
        <w:rPr>
          <w:rFonts w:cstheme="minorHAnsi"/>
          <w:i w:val="0"/>
          <w:szCs w:val="22"/>
        </w:rPr>
        <w:t xml:space="preserve"> and strenghten legal provision to increase penalty for attempt to committ exploitation of childrne in prostituion in travel and tourims</w:t>
      </w:r>
      <w:r w:rsidRPr="006B4177">
        <w:rPr>
          <w:rFonts w:cstheme="minorHAnsi"/>
          <w:i w:val="0"/>
          <w:szCs w:val="22"/>
        </w:rPr>
        <w:t>;</w:t>
      </w:r>
    </w:p>
    <w:p w14:paraId="6F5F9807" w14:textId="7B1765F1" w:rsidR="0042342F" w:rsidRPr="006B4177" w:rsidRDefault="004F230E" w:rsidP="00BE0FB1">
      <w:pPr>
        <w:pStyle w:val="Heading2"/>
        <w:numPr>
          <w:ilvl w:val="0"/>
          <w:numId w:val="8"/>
        </w:numPr>
        <w:shd w:val="clear" w:color="auto" w:fill="E7E6E6" w:themeFill="background2"/>
        <w:spacing w:before="0" w:line="276" w:lineRule="auto"/>
        <w:jc w:val="both"/>
        <w:rPr>
          <w:rFonts w:cstheme="minorHAnsi"/>
          <w:szCs w:val="22"/>
        </w:rPr>
      </w:pPr>
      <w:r w:rsidRPr="006B4177">
        <w:rPr>
          <w:rFonts w:cstheme="minorHAnsi"/>
          <w:i w:val="0"/>
          <w:szCs w:val="22"/>
        </w:rPr>
        <w:t>Adopt a policy or legislation that requirs tourism businesses to adopt a child protection policy as part of the Department of Tourism’s accreditation requirements</w:t>
      </w:r>
      <w:r w:rsidR="00BE0FB1" w:rsidRPr="006B4177">
        <w:rPr>
          <w:rFonts w:cstheme="minorHAnsi"/>
          <w:i w:val="0"/>
          <w:szCs w:val="22"/>
        </w:rPr>
        <w:t>;</w:t>
      </w:r>
    </w:p>
    <w:p w14:paraId="62F1A9CD" w14:textId="06F809F9" w:rsidR="0042342F" w:rsidRPr="006B4177" w:rsidRDefault="00AB2EF2" w:rsidP="00BE0FB1">
      <w:pPr>
        <w:pStyle w:val="Heading2"/>
        <w:numPr>
          <w:ilvl w:val="0"/>
          <w:numId w:val="8"/>
        </w:numPr>
        <w:shd w:val="clear" w:color="auto" w:fill="E7E6E6" w:themeFill="background2"/>
        <w:spacing w:before="0" w:line="276" w:lineRule="auto"/>
        <w:jc w:val="both"/>
        <w:rPr>
          <w:rFonts w:cstheme="minorHAnsi"/>
          <w:szCs w:val="22"/>
        </w:rPr>
      </w:pPr>
      <w:r w:rsidRPr="006B4177">
        <w:rPr>
          <w:rFonts w:cstheme="minorHAnsi"/>
          <w:i w:val="0"/>
          <w:szCs w:val="22"/>
        </w:rPr>
        <w:t>Ensure that I</w:t>
      </w:r>
      <w:r w:rsidR="0042342F" w:rsidRPr="006B4177">
        <w:rPr>
          <w:rFonts w:cstheme="minorHAnsi"/>
          <w:i w:val="0"/>
          <w:szCs w:val="22"/>
        </w:rPr>
        <w:t>nternet service providers comply with the Anti-Child Pornography Act, which requires them to report suspicious websites;</w:t>
      </w:r>
    </w:p>
    <w:p w14:paraId="307DB7E1" w14:textId="77777777" w:rsidR="0042342F" w:rsidRPr="006B4177" w:rsidRDefault="0042342F" w:rsidP="00BE0FB1">
      <w:pPr>
        <w:pStyle w:val="Heading2"/>
        <w:numPr>
          <w:ilvl w:val="0"/>
          <w:numId w:val="8"/>
        </w:numPr>
        <w:shd w:val="clear" w:color="auto" w:fill="E7E6E6" w:themeFill="background2"/>
        <w:spacing w:before="0" w:line="276" w:lineRule="auto"/>
        <w:jc w:val="both"/>
        <w:rPr>
          <w:rFonts w:cstheme="minorHAnsi"/>
          <w:szCs w:val="22"/>
        </w:rPr>
      </w:pPr>
      <w:r w:rsidRPr="006B4177">
        <w:rPr>
          <w:rFonts w:cstheme="minorHAnsi"/>
          <w:i w:val="0"/>
          <w:szCs w:val="22"/>
        </w:rPr>
        <w:t>Provide that only the defense counsel, and not the perpetrator, are allowed to review child sexual abuse materials for the purpose of preparing a defense;</w:t>
      </w:r>
    </w:p>
    <w:p w14:paraId="5C636D89" w14:textId="11720247" w:rsidR="004F230E" w:rsidRPr="006B4177" w:rsidRDefault="0042342F" w:rsidP="00BE0FB1">
      <w:pPr>
        <w:pStyle w:val="Heading2"/>
        <w:numPr>
          <w:ilvl w:val="0"/>
          <w:numId w:val="8"/>
        </w:numPr>
        <w:shd w:val="clear" w:color="auto" w:fill="E7E6E6" w:themeFill="background2"/>
        <w:spacing w:before="0" w:line="276" w:lineRule="auto"/>
        <w:jc w:val="both"/>
        <w:rPr>
          <w:rFonts w:cstheme="minorHAnsi"/>
          <w:szCs w:val="22"/>
          <w:shd w:val="clear" w:color="auto" w:fill="FFFFFF"/>
        </w:rPr>
      </w:pPr>
      <w:r w:rsidRPr="006B4177">
        <w:rPr>
          <w:rFonts w:cstheme="minorHAnsi"/>
          <w:i w:val="0"/>
          <w:szCs w:val="22"/>
        </w:rPr>
        <w:t xml:space="preserve">Adopt the Bill </w:t>
      </w:r>
      <w:r w:rsidRPr="006B4177">
        <w:rPr>
          <w:rFonts w:cstheme="minorHAnsi"/>
          <w:i w:val="0"/>
          <w:szCs w:val="22"/>
          <w:shd w:val="clear" w:color="auto" w:fill="E7E6E6" w:themeFill="background2"/>
        </w:rPr>
        <w:t>entitled</w:t>
      </w:r>
      <w:r w:rsidRPr="006B4177">
        <w:rPr>
          <w:rFonts w:cstheme="minorHAnsi"/>
          <w:szCs w:val="22"/>
          <w:shd w:val="clear" w:color="auto" w:fill="E7E6E6" w:themeFill="background2"/>
        </w:rPr>
        <w:t xml:space="preserve"> “Criminalize Child Marriage in the Philippines”</w:t>
      </w:r>
      <w:r w:rsidRPr="006B4177">
        <w:rPr>
          <w:rFonts w:cstheme="minorHAnsi"/>
          <w:i w:val="0"/>
          <w:szCs w:val="22"/>
          <w:shd w:val="clear" w:color="auto" w:fill="E7E6E6" w:themeFill="background2"/>
        </w:rPr>
        <w:t xml:space="preserve">, which aims to put the national legal age of marriage to 18 and </w:t>
      </w:r>
      <w:r w:rsidRPr="006B4177">
        <w:rPr>
          <w:rFonts w:cstheme="minorHAnsi"/>
          <w:szCs w:val="22"/>
          <w:shd w:val="clear" w:color="auto" w:fill="E7E6E6" w:themeFill="background2"/>
        </w:rPr>
        <w:t>repeal the exemption provided in the Presidential Decree No. 1083</w:t>
      </w:r>
      <w:r w:rsidR="004F230E" w:rsidRPr="006B4177">
        <w:rPr>
          <w:rFonts w:cstheme="minorHAnsi"/>
          <w:szCs w:val="22"/>
          <w:shd w:val="clear" w:color="auto" w:fill="FFFFFF"/>
        </w:rPr>
        <w:t>;</w:t>
      </w:r>
    </w:p>
    <w:p w14:paraId="6A692630" w14:textId="44528912" w:rsidR="004F230E" w:rsidRPr="006B4177" w:rsidRDefault="004F230E" w:rsidP="00BE0FB1">
      <w:pPr>
        <w:pStyle w:val="ListParagraph"/>
        <w:numPr>
          <w:ilvl w:val="0"/>
          <w:numId w:val="8"/>
        </w:numPr>
        <w:shd w:val="clear" w:color="auto" w:fill="E7E6E6" w:themeFill="background2"/>
        <w:spacing w:after="0" w:line="276" w:lineRule="auto"/>
        <w:jc w:val="both"/>
        <w:rPr>
          <w:rFonts w:asciiTheme="minorHAnsi" w:hAnsiTheme="minorHAnsi" w:cstheme="minorHAnsi"/>
        </w:rPr>
      </w:pPr>
      <w:r w:rsidRPr="006B4177">
        <w:rPr>
          <w:rFonts w:asciiTheme="minorHAnsi" w:hAnsiTheme="minorHAnsi" w:cstheme="minorHAnsi"/>
        </w:rPr>
        <w:t>Operationalize the Cybercrime Investigation and Coordination Center (CICC),</w:t>
      </w:r>
      <w:r w:rsidR="00BE0FB1" w:rsidRPr="006B4177">
        <w:rPr>
          <w:rFonts w:asciiTheme="minorHAnsi" w:hAnsiTheme="minorHAnsi" w:cstheme="minorHAnsi"/>
        </w:rPr>
        <w:t xml:space="preserve"> </w:t>
      </w:r>
      <w:r w:rsidRPr="006B4177">
        <w:rPr>
          <w:rFonts w:asciiTheme="minorHAnsi" w:hAnsiTheme="minorHAnsi" w:cstheme="minorHAnsi"/>
        </w:rPr>
        <w:t>as mandated in the Cybercrime Prevention Act of 2012, to centralize law enforcement efforts in relation to OCSE.</w:t>
      </w:r>
    </w:p>
    <w:p w14:paraId="3E1B6151" w14:textId="4A03AF82" w:rsidR="00B15CFE" w:rsidRPr="006B4177" w:rsidRDefault="00B15CFE" w:rsidP="00BE0FB1">
      <w:pPr>
        <w:pStyle w:val="Heading2"/>
        <w:spacing w:before="0" w:line="276" w:lineRule="auto"/>
        <w:ind w:left="360"/>
        <w:jc w:val="both"/>
        <w:rPr>
          <w:rFonts w:cstheme="minorHAnsi"/>
          <w:szCs w:val="22"/>
        </w:rPr>
      </w:pPr>
      <w:r w:rsidRPr="006B4177">
        <w:rPr>
          <w:rFonts w:cstheme="minorHAnsi"/>
          <w:szCs w:val="22"/>
        </w:rPr>
        <w:br/>
      </w:r>
      <w:bookmarkStart w:id="36" w:name="_Toc30781492"/>
      <w:r w:rsidRPr="006B4177">
        <w:rPr>
          <w:rFonts w:cstheme="minorHAnsi"/>
          <w:szCs w:val="22"/>
        </w:rPr>
        <w:t>Protection</w:t>
      </w:r>
      <w:bookmarkEnd w:id="35"/>
      <w:bookmarkEnd w:id="36"/>
    </w:p>
    <w:p w14:paraId="620F6020" w14:textId="75C16A9D" w:rsidR="00CB6DBD" w:rsidRPr="006B4177" w:rsidRDefault="00CB6DBD" w:rsidP="00BE0FB1">
      <w:pPr>
        <w:widowControl w:val="0"/>
        <w:numPr>
          <w:ilvl w:val="0"/>
          <w:numId w:val="8"/>
        </w:numPr>
        <w:shd w:val="clear" w:color="auto" w:fill="E7E6E6" w:themeFill="background2"/>
        <w:spacing w:after="0" w:line="276" w:lineRule="auto"/>
        <w:jc w:val="both"/>
        <w:rPr>
          <w:rFonts w:asciiTheme="minorHAnsi" w:hAnsiTheme="minorHAnsi" w:cstheme="minorHAnsi"/>
        </w:rPr>
      </w:pPr>
      <w:r w:rsidRPr="006B4177">
        <w:rPr>
          <w:rFonts w:asciiTheme="minorHAnsi" w:hAnsiTheme="minorHAnsi" w:cstheme="minorHAnsi"/>
        </w:rPr>
        <w:t>Ensure adequate medical, psychological, and legal services are available to all child victims of sexual exploitation throughout the entire country;</w:t>
      </w:r>
    </w:p>
    <w:p w14:paraId="36DE6751" w14:textId="5566C138" w:rsidR="00F14466" w:rsidRPr="006B4177" w:rsidRDefault="00F14466" w:rsidP="00BE0FB1">
      <w:pPr>
        <w:widowControl w:val="0"/>
        <w:numPr>
          <w:ilvl w:val="0"/>
          <w:numId w:val="8"/>
        </w:numPr>
        <w:shd w:val="clear" w:color="auto" w:fill="E7E6E6" w:themeFill="background2"/>
        <w:spacing w:after="0" w:line="276" w:lineRule="auto"/>
        <w:jc w:val="both"/>
        <w:rPr>
          <w:rFonts w:asciiTheme="minorHAnsi" w:hAnsiTheme="minorHAnsi" w:cstheme="minorHAnsi"/>
        </w:rPr>
      </w:pPr>
      <w:r w:rsidRPr="006B4177">
        <w:rPr>
          <w:rFonts w:asciiTheme="minorHAnsi" w:hAnsiTheme="minorHAnsi" w:cstheme="minorHAnsi"/>
        </w:rPr>
        <w:t>Allocate adequate financial resources to law enforcement agencies to conduct high-quality investigations;</w:t>
      </w:r>
    </w:p>
    <w:p w14:paraId="6C09E874" w14:textId="302362C7" w:rsidR="00F14466" w:rsidRPr="006B4177" w:rsidRDefault="00F14466" w:rsidP="00BE0FB1">
      <w:pPr>
        <w:pStyle w:val="ListParagraph"/>
        <w:widowControl w:val="0"/>
        <w:numPr>
          <w:ilvl w:val="0"/>
          <w:numId w:val="8"/>
        </w:numPr>
        <w:shd w:val="clear" w:color="auto" w:fill="E7E6E6" w:themeFill="background2"/>
        <w:spacing w:after="0" w:line="276" w:lineRule="auto"/>
        <w:jc w:val="both"/>
        <w:rPr>
          <w:rFonts w:asciiTheme="minorHAnsi" w:eastAsia="Calibri" w:hAnsiTheme="minorHAnsi" w:cstheme="minorHAnsi"/>
          <w:lang w:val="en-GB" w:eastAsia="en-US"/>
        </w:rPr>
      </w:pPr>
      <w:r w:rsidRPr="006B4177">
        <w:rPr>
          <w:rFonts w:asciiTheme="minorHAnsi" w:eastAsia="Calibri" w:hAnsiTheme="minorHAnsi" w:cstheme="minorHAnsi"/>
          <w:lang w:eastAsia="en-US"/>
        </w:rPr>
        <w:t>Improve victim-sensitive justice by training judges;</w:t>
      </w:r>
    </w:p>
    <w:p w14:paraId="2A26212D" w14:textId="77777777" w:rsidR="00F14466" w:rsidRPr="006B4177" w:rsidRDefault="00F14466" w:rsidP="00BE0FB1">
      <w:pPr>
        <w:widowControl w:val="0"/>
        <w:numPr>
          <w:ilvl w:val="0"/>
          <w:numId w:val="8"/>
        </w:numPr>
        <w:shd w:val="clear" w:color="auto" w:fill="E7E6E6" w:themeFill="background2"/>
        <w:spacing w:after="0" w:line="276" w:lineRule="auto"/>
        <w:jc w:val="both"/>
        <w:rPr>
          <w:rFonts w:asciiTheme="minorHAnsi" w:hAnsiTheme="minorHAnsi" w:cstheme="minorHAnsi"/>
        </w:rPr>
      </w:pPr>
      <w:r w:rsidRPr="006B4177">
        <w:rPr>
          <w:rFonts w:asciiTheme="minorHAnsi" w:hAnsiTheme="minorHAnsi" w:cstheme="minorHAnsi"/>
        </w:rPr>
        <w:t>Establish child-sensitive procedures and standards at all stages of the judicial process, such as:</w:t>
      </w:r>
    </w:p>
    <w:p w14:paraId="1BA20B80" w14:textId="5DAE6E8D" w:rsidR="00F14466" w:rsidRPr="006B4177" w:rsidRDefault="00F14466" w:rsidP="00BE0FB1">
      <w:pPr>
        <w:widowControl w:val="0"/>
        <w:numPr>
          <w:ilvl w:val="1"/>
          <w:numId w:val="8"/>
        </w:numPr>
        <w:shd w:val="clear" w:color="auto" w:fill="E7E6E6" w:themeFill="background2"/>
        <w:spacing w:after="0" w:line="276" w:lineRule="auto"/>
        <w:jc w:val="both"/>
        <w:rPr>
          <w:rFonts w:asciiTheme="minorHAnsi" w:hAnsiTheme="minorHAnsi" w:cstheme="minorHAnsi"/>
        </w:rPr>
      </w:pPr>
      <w:r w:rsidRPr="006B4177">
        <w:rPr>
          <w:rFonts w:asciiTheme="minorHAnsi" w:hAnsiTheme="minorHAnsi" w:cstheme="minorHAnsi"/>
        </w:rPr>
        <w:t xml:space="preserve"> providing free legal counselling to all children;</w:t>
      </w:r>
    </w:p>
    <w:p w14:paraId="07D40E23" w14:textId="5E0C8AB6" w:rsidR="00F14466" w:rsidRPr="006B4177" w:rsidRDefault="00F14466" w:rsidP="00BE0FB1">
      <w:pPr>
        <w:widowControl w:val="0"/>
        <w:numPr>
          <w:ilvl w:val="1"/>
          <w:numId w:val="8"/>
        </w:numPr>
        <w:shd w:val="clear" w:color="auto" w:fill="E7E6E6" w:themeFill="background2"/>
        <w:spacing w:after="0" w:line="276" w:lineRule="auto"/>
        <w:jc w:val="both"/>
        <w:rPr>
          <w:rFonts w:asciiTheme="minorHAnsi" w:hAnsiTheme="minorHAnsi" w:cstheme="minorHAnsi"/>
        </w:rPr>
      </w:pPr>
      <w:r w:rsidRPr="006B4177">
        <w:rPr>
          <w:rFonts w:asciiTheme="minorHAnsi" w:eastAsia="Calibri" w:hAnsiTheme="minorHAnsi" w:cstheme="minorHAnsi"/>
          <w:lang w:eastAsia="en-US"/>
        </w:rPr>
        <w:t>facilitating in-camera proceedings through provision of equipment;</w:t>
      </w:r>
    </w:p>
    <w:p w14:paraId="2BEA19ED" w14:textId="1BD35044" w:rsidR="00961C3F" w:rsidRPr="006B4177" w:rsidRDefault="00DD0FF9" w:rsidP="00BE0FB1">
      <w:pPr>
        <w:pStyle w:val="ListParagraph"/>
        <w:numPr>
          <w:ilvl w:val="0"/>
          <w:numId w:val="8"/>
        </w:numPr>
        <w:shd w:val="clear" w:color="auto" w:fill="E7E6E6" w:themeFill="background2"/>
        <w:spacing w:after="0" w:line="276" w:lineRule="auto"/>
        <w:jc w:val="both"/>
        <w:rPr>
          <w:rFonts w:asciiTheme="minorHAnsi" w:hAnsiTheme="minorHAnsi" w:cstheme="minorHAnsi"/>
        </w:rPr>
      </w:pPr>
      <w:r w:rsidRPr="006B4177">
        <w:rPr>
          <w:rFonts w:asciiTheme="minorHAnsi" w:hAnsiTheme="minorHAnsi" w:cstheme="minorHAnsi"/>
        </w:rPr>
        <w:t>Ensure that all cases dealing with SEC are actually adjudjicated and are not dealt with though plea bargains</w:t>
      </w:r>
      <w:r w:rsidR="004F230E" w:rsidRPr="006B4177">
        <w:rPr>
          <w:rFonts w:asciiTheme="minorHAnsi" w:hAnsiTheme="minorHAnsi" w:cstheme="minorHAnsi"/>
        </w:rPr>
        <w:t>;</w:t>
      </w:r>
    </w:p>
    <w:p w14:paraId="65EDE32A" w14:textId="08B23CBB" w:rsidR="004F230E" w:rsidRPr="006B4177" w:rsidRDefault="004F230E" w:rsidP="00BE0FB1">
      <w:pPr>
        <w:pStyle w:val="CommentText"/>
        <w:numPr>
          <w:ilvl w:val="0"/>
          <w:numId w:val="8"/>
        </w:numPr>
        <w:shd w:val="clear" w:color="auto" w:fill="E7E6E6" w:themeFill="background2"/>
        <w:spacing w:after="0" w:line="276" w:lineRule="auto"/>
        <w:jc w:val="both"/>
        <w:rPr>
          <w:rFonts w:asciiTheme="minorHAnsi" w:hAnsiTheme="minorHAnsi" w:cstheme="minorHAnsi"/>
          <w:sz w:val="22"/>
          <w:szCs w:val="22"/>
        </w:rPr>
      </w:pPr>
      <w:r w:rsidRPr="006B4177">
        <w:rPr>
          <w:rFonts w:asciiTheme="minorHAnsi" w:hAnsiTheme="minorHAnsi" w:cstheme="minorHAnsi"/>
          <w:sz w:val="22"/>
          <w:szCs w:val="22"/>
        </w:rPr>
        <w:t>Establish a National INHOPE Hotline for efficient removal of CSAM on the Internet and strengthen international cooperation in investigation of cases and identification of victims</w:t>
      </w:r>
      <w:r w:rsidR="00BE0FB1" w:rsidRPr="006B4177">
        <w:rPr>
          <w:rFonts w:asciiTheme="minorHAnsi" w:hAnsiTheme="minorHAnsi" w:cstheme="minorHAnsi"/>
          <w:sz w:val="22"/>
          <w:szCs w:val="22"/>
        </w:rPr>
        <w:t>;</w:t>
      </w:r>
    </w:p>
    <w:p w14:paraId="2D412D04" w14:textId="38D089D5" w:rsidR="004F230E" w:rsidRPr="006B4177" w:rsidRDefault="004F230E" w:rsidP="00BE0FB1">
      <w:pPr>
        <w:pStyle w:val="CommentText"/>
        <w:numPr>
          <w:ilvl w:val="0"/>
          <w:numId w:val="8"/>
        </w:numPr>
        <w:shd w:val="clear" w:color="auto" w:fill="E7E6E6" w:themeFill="background2"/>
        <w:spacing w:after="0" w:line="276" w:lineRule="auto"/>
        <w:jc w:val="both"/>
        <w:rPr>
          <w:rFonts w:asciiTheme="minorHAnsi" w:hAnsiTheme="minorHAnsi" w:cstheme="minorHAnsi"/>
          <w:sz w:val="22"/>
          <w:szCs w:val="22"/>
        </w:rPr>
      </w:pPr>
      <w:r w:rsidRPr="006B4177">
        <w:rPr>
          <w:rFonts w:asciiTheme="minorHAnsi" w:hAnsiTheme="minorHAnsi" w:cstheme="minorHAnsi"/>
          <w:sz w:val="22"/>
          <w:szCs w:val="22"/>
        </w:rPr>
        <w:t xml:space="preserve"> Finalize guidelines for management of compensation for victim-survivors of online sexual exploitation</w:t>
      </w:r>
      <w:r w:rsidR="00BE0FB1" w:rsidRPr="006B4177">
        <w:rPr>
          <w:rFonts w:asciiTheme="minorHAnsi" w:hAnsiTheme="minorHAnsi" w:cstheme="minorHAnsi"/>
          <w:sz w:val="22"/>
          <w:szCs w:val="22"/>
        </w:rPr>
        <w:t>;</w:t>
      </w:r>
    </w:p>
    <w:p w14:paraId="14BAF083" w14:textId="3C007A00" w:rsidR="004F230E" w:rsidRPr="006B4177" w:rsidRDefault="004F230E" w:rsidP="00BE0FB1">
      <w:pPr>
        <w:pStyle w:val="CommentText"/>
        <w:numPr>
          <w:ilvl w:val="0"/>
          <w:numId w:val="8"/>
        </w:numPr>
        <w:shd w:val="clear" w:color="auto" w:fill="E7E6E6" w:themeFill="background2"/>
        <w:spacing w:after="0" w:line="276" w:lineRule="auto"/>
        <w:jc w:val="both"/>
        <w:rPr>
          <w:rFonts w:asciiTheme="minorHAnsi" w:hAnsiTheme="minorHAnsi" w:cstheme="minorHAnsi"/>
          <w:sz w:val="22"/>
          <w:szCs w:val="22"/>
        </w:rPr>
      </w:pPr>
      <w:r w:rsidRPr="006B4177">
        <w:rPr>
          <w:rFonts w:asciiTheme="minorHAnsi" w:hAnsiTheme="minorHAnsi" w:cstheme="minorHAnsi"/>
          <w:sz w:val="22"/>
          <w:szCs w:val="22"/>
        </w:rPr>
        <w:t xml:space="preserve"> Establish a </w:t>
      </w:r>
      <w:r w:rsidR="00BE0FB1" w:rsidRPr="006B4177">
        <w:rPr>
          <w:rFonts w:asciiTheme="minorHAnsi" w:hAnsiTheme="minorHAnsi" w:cstheme="minorHAnsi"/>
          <w:sz w:val="22"/>
          <w:szCs w:val="22"/>
        </w:rPr>
        <w:t>c</w:t>
      </w:r>
      <w:r w:rsidRPr="006B4177">
        <w:rPr>
          <w:rFonts w:asciiTheme="minorHAnsi" w:hAnsiTheme="minorHAnsi" w:cstheme="minorHAnsi"/>
          <w:sz w:val="22"/>
          <w:szCs w:val="22"/>
        </w:rPr>
        <w:t>ommunity-</w:t>
      </w:r>
      <w:r w:rsidR="00BE0FB1" w:rsidRPr="006B4177">
        <w:rPr>
          <w:rFonts w:asciiTheme="minorHAnsi" w:hAnsiTheme="minorHAnsi" w:cstheme="minorHAnsi"/>
          <w:sz w:val="22"/>
          <w:szCs w:val="22"/>
        </w:rPr>
        <w:t>b</w:t>
      </w:r>
      <w:r w:rsidRPr="006B4177">
        <w:rPr>
          <w:rFonts w:asciiTheme="minorHAnsi" w:hAnsiTheme="minorHAnsi" w:cstheme="minorHAnsi"/>
          <w:sz w:val="22"/>
          <w:szCs w:val="22"/>
        </w:rPr>
        <w:t xml:space="preserve">ased </w:t>
      </w:r>
      <w:r w:rsidR="00BE0FB1" w:rsidRPr="006B4177">
        <w:rPr>
          <w:rFonts w:asciiTheme="minorHAnsi" w:hAnsiTheme="minorHAnsi" w:cstheme="minorHAnsi"/>
          <w:sz w:val="22"/>
          <w:szCs w:val="22"/>
        </w:rPr>
        <w:t>h</w:t>
      </w:r>
      <w:r w:rsidRPr="006B4177">
        <w:rPr>
          <w:rFonts w:asciiTheme="minorHAnsi" w:hAnsiTheme="minorHAnsi" w:cstheme="minorHAnsi"/>
          <w:sz w:val="22"/>
          <w:szCs w:val="22"/>
        </w:rPr>
        <w:t xml:space="preserve">ealing and </w:t>
      </w:r>
      <w:r w:rsidR="00BE0FB1" w:rsidRPr="006B4177">
        <w:rPr>
          <w:rFonts w:asciiTheme="minorHAnsi" w:hAnsiTheme="minorHAnsi" w:cstheme="minorHAnsi"/>
          <w:sz w:val="22"/>
          <w:szCs w:val="22"/>
        </w:rPr>
        <w:t>r</w:t>
      </w:r>
      <w:r w:rsidRPr="006B4177">
        <w:rPr>
          <w:rFonts w:asciiTheme="minorHAnsi" w:hAnsiTheme="minorHAnsi" w:cstheme="minorHAnsi"/>
          <w:sz w:val="22"/>
          <w:szCs w:val="22"/>
        </w:rPr>
        <w:t xml:space="preserve">ecovery </w:t>
      </w:r>
      <w:r w:rsidR="00BE0FB1" w:rsidRPr="006B4177">
        <w:rPr>
          <w:rFonts w:asciiTheme="minorHAnsi" w:hAnsiTheme="minorHAnsi" w:cstheme="minorHAnsi"/>
          <w:sz w:val="22"/>
          <w:szCs w:val="22"/>
        </w:rPr>
        <w:t>p</w:t>
      </w:r>
      <w:r w:rsidRPr="006B4177">
        <w:rPr>
          <w:rFonts w:asciiTheme="minorHAnsi" w:hAnsiTheme="minorHAnsi" w:cstheme="minorHAnsi"/>
          <w:sz w:val="22"/>
          <w:szCs w:val="22"/>
        </w:rPr>
        <w:t xml:space="preserve">rogram for </w:t>
      </w:r>
      <w:r w:rsidR="00BE0FB1" w:rsidRPr="006B4177">
        <w:rPr>
          <w:rFonts w:asciiTheme="minorHAnsi" w:hAnsiTheme="minorHAnsi" w:cstheme="minorHAnsi"/>
          <w:sz w:val="22"/>
          <w:szCs w:val="22"/>
        </w:rPr>
        <w:t>child victms of sexual exploitation.</w:t>
      </w:r>
      <w:bookmarkStart w:id="37" w:name="_GoBack"/>
      <w:bookmarkEnd w:id="37"/>
    </w:p>
    <w:sectPr w:rsidR="004F230E" w:rsidRPr="006B4177">
      <w:headerReference w:type="even" r:id="rId19"/>
      <w:headerReference w:type="default" r:id="rId20"/>
      <w:footerReference w:type="even" r:id="rId21"/>
      <w:footerReference w:type="default" r:id="rId22"/>
      <w:headerReference w:type="first" r:id="rId23"/>
      <w:footerReference w:type="first" r:id="rId24"/>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871455" w14:textId="77777777" w:rsidR="00251D49" w:rsidRDefault="00251D49" w:rsidP="00B15CFE">
      <w:pPr>
        <w:spacing w:after="0" w:line="240" w:lineRule="auto"/>
      </w:pPr>
      <w:r>
        <w:separator/>
      </w:r>
    </w:p>
  </w:endnote>
  <w:endnote w:type="continuationSeparator" w:id="0">
    <w:p w14:paraId="45ED2BAB" w14:textId="77777777" w:rsidR="00251D49" w:rsidRDefault="00251D49" w:rsidP="00B15CFE">
      <w:pPr>
        <w:spacing w:after="0" w:line="240" w:lineRule="auto"/>
      </w:pPr>
      <w:r>
        <w:continuationSeparator/>
      </w:r>
    </w:p>
  </w:endnote>
  <w:endnote w:id="1">
    <w:p w14:paraId="478810DE"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color w:val="000000"/>
          <w:lang w:val="en-GB"/>
        </w:rPr>
        <w:t>Sustainable Development Goal Targets 5</w:t>
      </w:r>
      <w:r w:rsidRPr="00BE0FB1">
        <w:rPr>
          <w:rFonts w:asciiTheme="minorHAnsi" w:eastAsia="Times New Roman" w:hAnsiTheme="minorHAnsi" w:cstheme="minorHAnsi"/>
          <w:color w:val="000000"/>
          <w:lang w:val="en-GB"/>
        </w:rPr>
        <w:t>.</w:t>
      </w:r>
      <w:r w:rsidRPr="00BE0FB1">
        <w:rPr>
          <w:rFonts w:asciiTheme="minorHAnsi" w:hAnsiTheme="minorHAnsi" w:cstheme="minorHAnsi"/>
          <w:color w:val="000000"/>
          <w:lang w:val="en-GB"/>
        </w:rPr>
        <w:t>2, 8</w:t>
      </w:r>
      <w:r w:rsidRPr="00BE0FB1">
        <w:rPr>
          <w:rFonts w:asciiTheme="minorHAnsi" w:eastAsia="Times New Roman" w:hAnsiTheme="minorHAnsi" w:cstheme="minorHAnsi"/>
          <w:color w:val="000000"/>
          <w:lang w:val="en-GB"/>
        </w:rPr>
        <w:t>.</w:t>
      </w:r>
      <w:r w:rsidRPr="00BE0FB1">
        <w:rPr>
          <w:rFonts w:asciiTheme="minorHAnsi" w:hAnsiTheme="minorHAnsi" w:cstheme="minorHAnsi"/>
          <w:color w:val="000000"/>
          <w:lang w:val="en-GB"/>
        </w:rPr>
        <w:t>7 and 16</w:t>
      </w:r>
      <w:r w:rsidRPr="00BE0FB1">
        <w:rPr>
          <w:rFonts w:asciiTheme="minorHAnsi" w:eastAsia="Times New Roman" w:hAnsiTheme="minorHAnsi" w:cstheme="minorHAnsi"/>
          <w:color w:val="000000"/>
          <w:lang w:val="en-GB"/>
        </w:rPr>
        <w:t>.</w:t>
      </w:r>
      <w:r w:rsidRPr="00BE0FB1">
        <w:rPr>
          <w:rFonts w:asciiTheme="minorHAnsi" w:hAnsiTheme="minorHAnsi" w:cstheme="minorHAnsi"/>
          <w:color w:val="000000"/>
          <w:lang w:val="en-GB"/>
        </w:rPr>
        <w:t>2.</w:t>
      </w:r>
    </w:p>
  </w:endnote>
  <w:endnote w:id="2">
    <w:p w14:paraId="49FBF980" w14:textId="77777777" w:rsidR="00251D49" w:rsidRPr="00BE0FB1" w:rsidRDefault="00251D49" w:rsidP="00BE0FB1">
      <w:pPr>
        <w:pStyle w:val="Endnote"/>
        <w:ind w:left="0" w:firstLine="0"/>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Style w:val="Standaardalinea-lettertype"/>
          <w:rFonts w:asciiTheme="minorHAnsi" w:hAnsiTheme="minorHAnsi" w:cstheme="minorHAnsi"/>
          <w:lang w:val="en-GB" w:bidi="th-TH"/>
        </w:rPr>
        <w:t xml:space="preserve"> ECPAT prefers the term ‘exploitation of children in prostitution’ instead of ‘child prostitution’ in line with the recently widely adopted Terminology Guidelines. ECPAT International (2016), “</w:t>
      </w:r>
      <w:hyperlink r:id="rId1" w:history="1">
        <w:r w:rsidRPr="00BE0FB1">
          <w:rPr>
            <w:rStyle w:val="Hyperlink"/>
            <w:rFonts w:asciiTheme="minorHAnsi" w:hAnsiTheme="minorHAnsi" w:cstheme="minorHAnsi"/>
            <w:i/>
            <w:lang w:val="en-GB" w:bidi="th-TH"/>
          </w:rPr>
          <w:t>Terminology Guidelines for the Protection of Children from Sexual Exploitation and Sexual Abuse, Adopted by the Interagency Working Group in Luxembourg, 28 January 2016</w:t>
        </w:r>
      </w:hyperlink>
      <w:r w:rsidRPr="00BE0FB1">
        <w:rPr>
          <w:rStyle w:val="Standaardalinea-lettertype"/>
          <w:rFonts w:asciiTheme="minorHAnsi" w:hAnsiTheme="minorHAnsi" w:cstheme="minorHAnsi"/>
          <w:lang w:val="en-GB" w:bidi="th-TH"/>
        </w:rPr>
        <w:t>”, Bangkok: ECPAT, 29, accessed on 18 October 2019.</w:t>
      </w:r>
    </w:p>
  </w:endnote>
  <w:endnote w:id="3">
    <w:p w14:paraId="629F9012" w14:textId="77777777" w:rsidR="00251D49" w:rsidRPr="00BE0FB1" w:rsidRDefault="00251D49" w:rsidP="00BE0FB1">
      <w:pPr>
        <w:pStyle w:val="Endnote"/>
        <w:ind w:left="0" w:firstLine="0"/>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Style w:val="Standaardalinea-lettertype"/>
          <w:rFonts w:asciiTheme="minorHAnsi" w:hAnsiTheme="minorHAnsi" w:cstheme="minorHAnsi"/>
          <w:lang w:val="en-GB" w:bidi="th-TH"/>
        </w:rPr>
        <w:t xml:space="preserve"> ECPAT prefers the term ‘child sexual exploitation material’ or ‘child sexual abuse material’ over the often in legal context still used ‘child pornography’ in line with the recently widely adopted Terminology Guidelines. Ibid., 39.</w:t>
      </w:r>
    </w:p>
  </w:endnote>
  <w:endnote w:id="4">
    <w:p w14:paraId="1E66E3F3" w14:textId="77777777" w:rsidR="00251D49" w:rsidRPr="00BE0FB1" w:rsidRDefault="00251D49" w:rsidP="00BE0FB1">
      <w:pPr>
        <w:pStyle w:val="Endnote"/>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Style w:val="Standaardalinea-lettertype"/>
          <w:rFonts w:asciiTheme="minorHAnsi" w:hAnsiTheme="minorHAnsi" w:cstheme="minorHAnsi"/>
          <w:lang w:val="en-GB"/>
        </w:rPr>
        <w:t xml:space="preserve"> Ibid.</w:t>
      </w:r>
      <w:r w:rsidRPr="00BE0FB1">
        <w:rPr>
          <w:rStyle w:val="Standaardalinea-lettertype"/>
          <w:rFonts w:asciiTheme="minorHAnsi" w:hAnsiTheme="minorHAnsi" w:cstheme="minorHAnsi"/>
          <w:lang w:val="en-GB" w:bidi="th-TH"/>
        </w:rPr>
        <w:t>,</w:t>
      </w:r>
      <w:r w:rsidRPr="00BE0FB1">
        <w:rPr>
          <w:rStyle w:val="Standaardalinea-lettertype"/>
          <w:rFonts w:asciiTheme="minorHAnsi" w:hAnsiTheme="minorHAnsi" w:cstheme="minorHAnsi"/>
          <w:lang w:val="en-GB"/>
        </w:rPr>
        <w:t xml:space="preserve"> 54</w:t>
      </w:r>
      <w:r w:rsidRPr="00BE0FB1">
        <w:rPr>
          <w:rStyle w:val="Standaardalinea-lettertype"/>
          <w:rFonts w:asciiTheme="minorHAnsi" w:hAnsiTheme="minorHAnsi" w:cstheme="minorHAnsi"/>
          <w:lang w:val="en-GB" w:bidi="th-TH"/>
        </w:rPr>
        <w:t>.</w:t>
      </w:r>
    </w:p>
  </w:endnote>
  <w:endnote w:id="5">
    <w:p w14:paraId="6C4399D9" w14:textId="1B88786D"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Republic of the Philippines – National Government Portal. </w:t>
      </w:r>
      <w:hyperlink r:id="rId2" w:history="1">
        <w:r w:rsidRPr="00BE0FB1">
          <w:rPr>
            <w:rStyle w:val="Hyperlink"/>
            <w:rFonts w:asciiTheme="minorHAnsi" w:hAnsiTheme="minorHAnsi" w:cstheme="minorHAnsi"/>
            <w:lang w:val="en-GB"/>
          </w:rPr>
          <w:t>About the Government</w:t>
        </w:r>
      </w:hyperlink>
      <w:r w:rsidRPr="00BE0FB1">
        <w:rPr>
          <w:rFonts w:asciiTheme="minorHAnsi" w:hAnsiTheme="minorHAnsi" w:cstheme="minorHAnsi"/>
          <w:lang w:val="en-GB"/>
        </w:rPr>
        <w:t>.</w:t>
      </w:r>
    </w:p>
  </w:endnote>
  <w:endnote w:id="6">
    <w:p w14:paraId="7871F8FD" w14:textId="77777777" w:rsidR="00251D49" w:rsidRPr="00BE0FB1" w:rsidRDefault="00251D49" w:rsidP="00BE0FB1">
      <w:pPr>
        <w:pStyle w:val="Endnote"/>
        <w:ind w:left="0" w:firstLine="0"/>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Style w:val="Standaardalinea-lettertype"/>
          <w:rFonts w:asciiTheme="minorHAnsi" w:hAnsiTheme="minorHAnsi" w:cstheme="minorHAnsi"/>
          <w:lang w:val="en-GB"/>
        </w:rPr>
        <w:t xml:space="preserve"> UNICEF. </w:t>
      </w:r>
      <w:r w:rsidRPr="00BE0FB1">
        <w:rPr>
          <w:rStyle w:val="Standaardalinea-lettertype"/>
          <w:rFonts w:asciiTheme="minorHAnsi" w:hAnsiTheme="minorHAnsi" w:cstheme="minorHAnsi"/>
          <w:lang w:val="en-GB" w:bidi="th-TH"/>
        </w:rPr>
        <w:t>(</w:t>
      </w:r>
      <w:r w:rsidRPr="00BE0FB1">
        <w:rPr>
          <w:rStyle w:val="Standaardalinea-lettertype"/>
          <w:rFonts w:asciiTheme="minorHAnsi" w:hAnsiTheme="minorHAnsi" w:cstheme="minorHAnsi"/>
          <w:lang w:val="en-GB"/>
        </w:rPr>
        <w:t>2019</w:t>
      </w:r>
      <w:r w:rsidRPr="00BE0FB1">
        <w:rPr>
          <w:rStyle w:val="Standaardalinea-lettertype"/>
          <w:rFonts w:asciiTheme="minorHAnsi" w:hAnsiTheme="minorHAnsi" w:cstheme="minorHAnsi"/>
          <w:lang w:val="en-GB" w:bidi="th-TH"/>
        </w:rPr>
        <w:t>)</w:t>
      </w:r>
      <w:r w:rsidRPr="00BE0FB1">
        <w:rPr>
          <w:rStyle w:val="Standaardalinea-lettertype"/>
          <w:rFonts w:asciiTheme="minorHAnsi" w:hAnsiTheme="minorHAnsi" w:cstheme="minorHAnsi"/>
          <w:lang w:val="en-GB"/>
        </w:rPr>
        <w:t>. “</w:t>
      </w:r>
      <w:hyperlink r:id="rId3" w:history="1">
        <w:r w:rsidRPr="00BE0FB1">
          <w:rPr>
            <w:rStyle w:val="Hyperlink"/>
            <w:rFonts w:asciiTheme="minorHAnsi" w:hAnsiTheme="minorHAnsi" w:cstheme="minorHAnsi"/>
            <w:i/>
            <w:lang w:val="en-GB"/>
          </w:rPr>
          <w:t>The State of the World’s Children 2019: Children, food and nutrition – growing well in a changing world</w:t>
        </w:r>
      </w:hyperlink>
      <w:r w:rsidRPr="00BE0FB1">
        <w:rPr>
          <w:rStyle w:val="Standaardalinea-lettertype"/>
          <w:rFonts w:asciiTheme="minorHAnsi" w:hAnsiTheme="minorHAnsi" w:cstheme="minorHAnsi"/>
          <w:lang w:val="en-GB"/>
        </w:rPr>
        <w:t>”. 194.</w:t>
      </w:r>
    </w:p>
  </w:endnote>
  <w:endnote w:id="7">
    <w:p w14:paraId="4769F620"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 234.</w:t>
      </w:r>
    </w:p>
  </w:endnote>
  <w:endnote w:id="8">
    <w:p w14:paraId="64435002" w14:textId="77777777" w:rsidR="00251D49" w:rsidRPr="00BE0FB1" w:rsidRDefault="00251D49" w:rsidP="00BE0FB1">
      <w:pPr>
        <w:pStyle w:val="Textonotaalfinal"/>
        <w:jc w:val="both"/>
        <w:rPr>
          <w:rFonts w:asciiTheme="minorHAnsi" w:hAnsiTheme="minorHAnsi" w:cstheme="minorHAnsi"/>
          <w:szCs w:val="20"/>
        </w:rPr>
      </w:pPr>
      <w:r w:rsidRPr="00BE0FB1">
        <w:rPr>
          <w:rStyle w:val="EndnoteReference"/>
          <w:rFonts w:asciiTheme="minorHAnsi" w:hAnsiTheme="minorHAnsi" w:cstheme="minorHAnsi"/>
          <w:szCs w:val="20"/>
        </w:rPr>
        <w:endnoteRef/>
      </w:r>
      <w:r w:rsidRPr="00BE0FB1">
        <w:rPr>
          <w:rStyle w:val="Fuentedeprrafopredeter"/>
          <w:rFonts w:asciiTheme="minorHAnsi" w:hAnsiTheme="minorHAnsi" w:cstheme="minorHAnsi"/>
          <w:szCs w:val="20"/>
        </w:rPr>
        <w:t xml:space="preserve"> The World Bank. </w:t>
      </w:r>
      <w:hyperlink r:id="rId4" w:history="1">
        <w:r w:rsidRPr="00BE0FB1">
          <w:rPr>
            <w:rStyle w:val="Hyperlink"/>
            <w:rFonts w:asciiTheme="minorHAnsi" w:hAnsiTheme="minorHAnsi" w:cstheme="minorHAnsi"/>
            <w:iCs/>
            <w:szCs w:val="20"/>
          </w:rPr>
          <w:t>GDP Ranking Table 2018.</w:t>
        </w:r>
      </w:hyperlink>
    </w:p>
  </w:endnote>
  <w:endnote w:id="9">
    <w:p w14:paraId="0561379E"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The World Bank. (2019). </w:t>
      </w:r>
      <w:hyperlink r:id="rId5" w:anchor="1" w:history="1">
        <w:r w:rsidRPr="00BE0FB1">
          <w:rPr>
            <w:rStyle w:val="Hyperlink"/>
            <w:rFonts w:asciiTheme="minorHAnsi" w:hAnsiTheme="minorHAnsi" w:cstheme="minorHAnsi"/>
            <w:i/>
            <w:lang w:val="en-GB"/>
          </w:rPr>
          <w:t>The World Bank in the Philippines.</w:t>
        </w:r>
      </w:hyperlink>
    </w:p>
  </w:endnote>
  <w:endnote w:id="10">
    <w:p w14:paraId="7D9F6889"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UNDP. (2019). </w:t>
      </w:r>
      <w:r w:rsidRPr="00BE0FB1">
        <w:rPr>
          <w:rFonts w:asciiTheme="minorHAnsi" w:hAnsiTheme="minorHAnsi" w:cstheme="minorHAnsi"/>
          <w:i/>
          <w:iCs/>
          <w:lang w:val="en-GB"/>
        </w:rPr>
        <w:t>“</w:t>
      </w:r>
      <w:hyperlink r:id="rId6" w:history="1">
        <w:r w:rsidRPr="00BE0FB1">
          <w:rPr>
            <w:rStyle w:val="Hyperlink"/>
            <w:rFonts w:asciiTheme="minorHAnsi" w:hAnsiTheme="minorHAnsi" w:cstheme="minorHAnsi"/>
            <w:i/>
            <w:iCs/>
            <w:lang w:val="en-GB"/>
          </w:rPr>
          <w:t>Briefing note for countries on the 2019 Human Development Report – The Philippines</w:t>
        </w:r>
      </w:hyperlink>
      <w:r w:rsidRPr="00BE0FB1">
        <w:rPr>
          <w:rFonts w:asciiTheme="minorHAnsi" w:hAnsiTheme="minorHAnsi" w:cstheme="minorHAnsi"/>
          <w:i/>
          <w:iCs/>
          <w:lang w:val="en-GB"/>
        </w:rPr>
        <w:t xml:space="preserve">”. </w:t>
      </w:r>
      <w:r w:rsidRPr="00BE0FB1">
        <w:rPr>
          <w:rFonts w:asciiTheme="minorHAnsi" w:hAnsiTheme="minorHAnsi" w:cstheme="minorHAnsi"/>
          <w:iCs/>
          <w:lang w:val="en-GB"/>
        </w:rPr>
        <w:t xml:space="preserve">2-3. </w:t>
      </w:r>
    </w:p>
  </w:endnote>
  <w:endnote w:id="11">
    <w:p w14:paraId="677A3C30"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UNDP. (2019).”</w:t>
      </w:r>
      <w:hyperlink r:id="rId7" w:history="1">
        <w:r w:rsidRPr="00BE0FB1">
          <w:rPr>
            <w:rStyle w:val="Hyperlink"/>
            <w:rFonts w:asciiTheme="minorHAnsi" w:hAnsiTheme="minorHAnsi" w:cstheme="minorHAnsi"/>
            <w:i/>
            <w:lang w:val="en-GB"/>
          </w:rPr>
          <w:t>Human Development Report 2019 – Beyond income, beyond average, beyond today: Inequalities in Human Development in the 21</w:t>
        </w:r>
        <w:r w:rsidRPr="00BE0FB1">
          <w:rPr>
            <w:rStyle w:val="Hyperlink"/>
            <w:rFonts w:asciiTheme="minorHAnsi" w:hAnsiTheme="minorHAnsi" w:cstheme="minorHAnsi"/>
            <w:i/>
            <w:vertAlign w:val="superscript"/>
            <w:lang w:val="en-GB"/>
          </w:rPr>
          <w:t>st</w:t>
        </w:r>
        <w:r w:rsidRPr="00BE0FB1">
          <w:rPr>
            <w:rStyle w:val="Hyperlink"/>
            <w:rFonts w:asciiTheme="minorHAnsi" w:hAnsiTheme="minorHAnsi" w:cstheme="minorHAnsi"/>
            <w:i/>
            <w:lang w:val="en-GB"/>
          </w:rPr>
          <w:t xml:space="preserve"> century</w:t>
        </w:r>
      </w:hyperlink>
      <w:r w:rsidRPr="00BE0FB1">
        <w:rPr>
          <w:rFonts w:asciiTheme="minorHAnsi" w:hAnsiTheme="minorHAnsi" w:cstheme="minorHAnsi"/>
          <w:i/>
          <w:lang w:val="en-GB"/>
        </w:rPr>
        <w:t xml:space="preserve">”. </w:t>
      </w:r>
      <w:r w:rsidRPr="00BE0FB1">
        <w:rPr>
          <w:rFonts w:asciiTheme="minorHAnsi" w:hAnsiTheme="minorHAnsi" w:cstheme="minorHAnsi"/>
          <w:lang w:val="en-GB"/>
        </w:rPr>
        <w:t xml:space="preserve">321. </w:t>
      </w:r>
    </w:p>
  </w:endnote>
  <w:endnote w:id="12">
    <w:p w14:paraId="5763F758"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Style w:val="Standaardalinea-lettertype"/>
          <w:rFonts w:asciiTheme="minorHAnsi" w:hAnsiTheme="minorHAnsi" w:cstheme="minorHAnsi"/>
          <w:lang w:val="en-GB"/>
        </w:rPr>
        <w:t xml:space="preserve">UNICEF. </w:t>
      </w:r>
      <w:r w:rsidRPr="00BE0FB1">
        <w:rPr>
          <w:rStyle w:val="Standaardalinea-lettertype"/>
          <w:rFonts w:asciiTheme="minorHAnsi" w:hAnsiTheme="minorHAnsi" w:cstheme="minorHAnsi"/>
          <w:lang w:val="en-GB" w:bidi="th-TH"/>
        </w:rPr>
        <w:t>(</w:t>
      </w:r>
      <w:r w:rsidRPr="00BE0FB1">
        <w:rPr>
          <w:rStyle w:val="Standaardalinea-lettertype"/>
          <w:rFonts w:asciiTheme="minorHAnsi" w:hAnsiTheme="minorHAnsi" w:cstheme="minorHAnsi"/>
          <w:lang w:val="en-GB"/>
        </w:rPr>
        <w:t>2019</w:t>
      </w:r>
      <w:r w:rsidRPr="00BE0FB1">
        <w:rPr>
          <w:rStyle w:val="Standaardalinea-lettertype"/>
          <w:rFonts w:asciiTheme="minorHAnsi" w:hAnsiTheme="minorHAnsi" w:cstheme="minorHAnsi"/>
          <w:lang w:val="en-GB" w:bidi="th-TH"/>
        </w:rPr>
        <w:t>)</w:t>
      </w:r>
      <w:r w:rsidRPr="00BE0FB1">
        <w:rPr>
          <w:rStyle w:val="Standaardalinea-lettertype"/>
          <w:rFonts w:asciiTheme="minorHAnsi" w:hAnsiTheme="minorHAnsi" w:cstheme="minorHAnsi"/>
          <w:lang w:val="en-GB"/>
        </w:rPr>
        <w:t>. “</w:t>
      </w:r>
      <w:hyperlink r:id="rId8" w:history="1">
        <w:r w:rsidRPr="00BE0FB1">
          <w:rPr>
            <w:rStyle w:val="Hyperlink"/>
            <w:rFonts w:asciiTheme="minorHAnsi" w:hAnsiTheme="minorHAnsi" w:cstheme="minorHAnsi"/>
            <w:i/>
            <w:lang w:val="en-GB"/>
          </w:rPr>
          <w:t>The State of the World’s Children 2019: Children, food and nutrition – growing well in a changing world</w:t>
        </w:r>
      </w:hyperlink>
      <w:r w:rsidRPr="00BE0FB1">
        <w:rPr>
          <w:rStyle w:val="Standaardalinea-lettertype"/>
          <w:rFonts w:asciiTheme="minorHAnsi" w:hAnsiTheme="minorHAnsi" w:cstheme="minorHAnsi"/>
          <w:lang w:val="en-GB"/>
        </w:rPr>
        <w:t>”. 234.</w:t>
      </w:r>
    </w:p>
  </w:endnote>
  <w:endnote w:id="13">
    <w:p w14:paraId="3114D91D"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Council for the Welfare for Children. (2018). </w:t>
      </w:r>
      <w:hyperlink r:id="rId9" w:history="1">
        <w:r w:rsidRPr="00BE0FB1">
          <w:rPr>
            <w:rStyle w:val="Hyperlink"/>
            <w:rFonts w:asciiTheme="minorHAnsi" w:hAnsiTheme="minorHAnsi" w:cstheme="minorHAnsi"/>
            <w:i/>
            <w:lang w:val="en-GB"/>
          </w:rPr>
          <w:t>Philippine Plan of Action to End Violence Against Children (PPAEVAC)</w:t>
        </w:r>
      </w:hyperlink>
      <w:r w:rsidRPr="00BE0FB1">
        <w:rPr>
          <w:rFonts w:asciiTheme="minorHAnsi" w:hAnsiTheme="minorHAnsi" w:cstheme="minorHAnsi"/>
          <w:lang w:val="en-GB"/>
        </w:rPr>
        <w:t>. 10.</w:t>
      </w:r>
    </w:p>
  </w:endnote>
  <w:endnote w:id="14">
    <w:p w14:paraId="526AFEC5" w14:textId="33A99F75" w:rsidR="00251D49" w:rsidRPr="00BE0FB1" w:rsidRDefault="00251D49" w:rsidP="00BE0FB1">
      <w:pPr>
        <w:pStyle w:val="EndnoteText"/>
        <w:jc w:val="both"/>
        <w:rPr>
          <w:rFonts w:asciiTheme="minorHAnsi" w:hAnsiTheme="minorHAnsi" w:cstheme="minorHAnsi"/>
          <w: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ECPAT International. (2017). “</w:t>
      </w:r>
      <w:hyperlink r:id="rId10" w:history="1">
        <w:r w:rsidRPr="00BE0FB1">
          <w:rPr>
            <w:rStyle w:val="Hyperlink"/>
            <w:rFonts w:asciiTheme="minorHAnsi" w:hAnsiTheme="minorHAnsi" w:cstheme="minorHAnsi"/>
            <w:lang w:val="en-GB"/>
          </w:rPr>
          <w:t>Through the Eyes of the Child: Barriers to Access to Justice and Remedies for Child Victims of Sexual Exploitation</w:t>
        </w:r>
      </w:hyperlink>
      <w:r w:rsidRPr="00BE0FB1">
        <w:rPr>
          <w:rFonts w:asciiTheme="minorHAnsi" w:hAnsiTheme="minorHAnsi" w:cstheme="minorHAnsi"/>
          <w:lang w:val="en-GB"/>
        </w:rPr>
        <w:t xml:space="preserve">”. 69; ECPAT Philippines. (February 2020). </w:t>
      </w:r>
      <w:r w:rsidRPr="00BE0FB1">
        <w:rPr>
          <w:rFonts w:asciiTheme="minorHAnsi" w:hAnsiTheme="minorHAnsi" w:cstheme="minorHAnsi"/>
          <w:i/>
          <w:lang w:val="en-GB"/>
        </w:rPr>
        <w:t>Personal Communication.</w:t>
      </w:r>
    </w:p>
  </w:endnote>
  <w:endnote w:id="15">
    <w:p w14:paraId="6DBCB297"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 70.</w:t>
      </w:r>
    </w:p>
  </w:endnote>
  <w:endnote w:id="16">
    <w:p w14:paraId="7B1C41B0" w14:textId="50699C51"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The Washington Post. (2019). “</w:t>
      </w:r>
      <w:hyperlink r:id="rId11" w:history="1">
        <w:r w:rsidRPr="00BE0FB1">
          <w:rPr>
            <w:rStyle w:val="Hyperlink"/>
            <w:rFonts w:asciiTheme="minorHAnsi" w:hAnsiTheme="minorHAnsi" w:cstheme="minorHAnsi"/>
            <w:i/>
            <w:lang w:val="en-GB"/>
          </w:rPr>
          <w:t>In Philippine red-light district, an uphill struggle to battle trafficking and abuses</w:t>
        </w:r>
      </w:hyperlink>
      <w:r w:rsidRPr="00BE0FB1">
        <w:rPr>
          <w:rFonts w:asciiTheme="minorHAnsi" w:hAnsiTheme="minorHAnsi" w:cstheme="minorHAnsi"/>
          <w:lang w:val="en-GB"/>
        </w:rPr>
        <w:t xml:space="preserve">”. </w:t>
      </w:r>
    </w:p>
  </w:endnote>
  <w:endnote w:id="17">
    <w:p w14:paraId="06110071"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w:t>
      </w:r>
    </w:p>
  </w:endnote>
  <w:endnote w:id="18">
    <w:p w14:paraId="554A9A22"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w:t>
      </w:r>
    </w:p>
  </w:endnote>
  <w:endnote w:id="19">
    <w:p w14:paraId="484DEDF8" w14:textId="0CEFD0DD"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US"/>
        </w:rPr>
        <w:t>Commission of Filipinos Overseas. (2015). “</w:t>
      </w:r>
      <w:hyperlink r:id="rId12" w:history="1">
        <w:r w:rsidRPr="00BE0FB1">
          <w:rPr>
            <w:rStyle w:val="Hyperlink"/>
            <w:rFonts w:asciiTheme="minorHAnsi" w:hAnsiTheme="minorHAnsi" w:cstheme="minorHAnsi"/>
            <w:i/>
          </w:rPr>
          <w:t>Primer on Republic Act 9208 as amended by Republic Act 10364 – Expanded Anti-Trafficking in Persons Act of 2012</w:t>
        </w:r>
      </w:hyperlink>
      <w:r w:rsidRPr="00BE0FB1">
        <w:rPr>
          <w:rFonts w:asciiTheme="minorHAnsi" w:hAnsiTheme="minorHAnsi" w:cstheme="minorHAnsi"/>
        </w:rPr>
        <w:t>”. 43.</w:t>
      </w:r>
    </w:p>
  </w:endnote>
  <w:endnote w:id="20">
    <w:p w14:paraId="7C53EDC4" w14:textId="52DABDA7"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International Conference on Studies in Arts, Social Sciences and Humanities. (2017). “</w:t>
      </w:r>
      <w:hyperlink r:id="rId13" w:history="1">
        <w:r w:rsidRPr="00BE0FB1">
          <w:rPr>
            <w:rStyle w:val="Hyperlink"/>
            <w:rFonts w:asciiTheme="minorHAnsi" w:hAnsiTheme="minorHAnsi" w:cstheme="minorHAnsi"/>
            <w:i/>
          </w:rPr>
          <w:t>Trafficking in Persons in Cebu City, Central Philippines</w:t>
        </w:r>
      </w:hyperlink>
      <w:r w:rsidRPr="00BE0FB1">
        <w:rPr>
          <w:rFonts w:asciiTheme="minorHAnsi" w:hAnsiTheme="minorHAnsi" w:cstheme="minorHAnsi"/>
        </w:rPr>
        <w:t>”. 96.</w:t>
      </w:r>
    </w:p>
  </w:endnote>
  <w:endnote w:id="21">
    <w:p w14:paraId="0E56801E" w14:textId="42CB8925"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State. (2019). </w:t>
      </w:r>
      <w:hyperlink r:id="rId14" w:history="1">
        <w:r w:rsidRPr="00BE0FB1">
          <w:rPr>
            <w:rStyle w:val="Hyperlink"/>
            <w:rFonts w:asciiTheme="minorHAnsi" w:hAnsiTheme="minorHAnsi" w:cstheme="minorHAnsi"/>
            <w:i/>
            <w:lang w:val="en-GB"/>
          </w:rPr>
          <w:t>Trafficking in Persons Report</w:t>
        </w:r>
      </w:hyperlink>
      <w:r w:rsidRPr="00BE0FB1">
        <w:rPr>
          <w:rFonts w:asciiTheme="minorHAnsi" w:hAnsiTheme="minorHAnsi" w:cstheme="minorHAnsi"/>
          <w:lang w:val="en-GB"/>
        </w:rPr>
        <w:t>, 383.see: 61, 171, 229, 277, 337,...</w:t>
      </w:r>
    </w:p>
  </w:endnote>
  <w:endnote w:id="22">
    <w:p w14:paraId="7DB17905" w14:textId="73D03960"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US"/>
        </w:rPr>
        <w:t>Commission of Filipinos Overseas. (2015). “</w:t>
      </w:r>
      <w:hyperlink r:id="rId15" w:history="1">
        <w:r w:rsidRPr="00BE0FB1">
          <w:rPr>
            <w:rStyle w:val="Hyperlink"/>
            <w:rFonts w:asciiTheme="minorHAnsi" w:hAnsiTheme="minorHAnsi" w:cstheme="minorHAnsi"/>
            <w:i/>
          </w:rPr>
          <w:t>Primer on Republic Act 9208 as amended by Republic Act 10364 – Expanded Anti-Trafficking in Persons Act of 2012</w:t>
        </w:r>
      </w:hyperlink>
      <w:r w:rsidRPr="00BE0FB1">
        <w:rPr>
          <w:rFonts w:asciiTheme="minorHAnsi" w:hAnsiTheme="minorHAnsi" w:cstheme="minorHAnsi"/>
        </w:rPr>
        <w:t>”. 43.</w:t>
      </w:r>
    </w:p>
  </w:endnote>
  <w:endnote w:id="23">
    <w:p w14:paraId="277DC987" w14:textId="171CD053"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State. (2019). </w:t>
      </w:r>
      <w:hyperlink r:id="rId16" w:history="1">
        <w:r w:rsidRPr="00BE0FB1">
          <w:rPr>
            <w:rStyle w:val="Hyperlink"/>
            <w:rFonts w:asciiTheme="minorHAnsi" w:hAnsiTheme="minorHAnsi" w:cstheme="minorHAnsi"/>
            <w:i/>
            <w:lang w:val="en-GB"/>
          </w:rPr>
          <w:t>Trafficking in Persons Report</w:t>
        </w:r>
      </w:hyperlink>
      <w:r w:rsidRPr="00BE0FB1">
        <w:rPr>
          <w:rFonts w:asciiTheme="minorHAnsi" w:hAnsiTheme="minorHAnsi" w:cstheme="minorHAnsi"/>
          <w:lang w:val="en-GB"/>
        </w:rPr>
        <w:t>, 382-383.</w:t>
      </w:r>
    </w:p>
  </w:endnote>
  <w:endnote w:id="24">
    <w:p w14:paraId="376AC188" w14:textId="3F8620AC"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US"/>
        </w:rPr>
        <w:t>Commission of Filipinos Overseas. (2015). “</w:t>
      </w:r>
      <w:hyperlink r:id="rId17" w:history="1">
        <w:r w:rsidRPr="00BE0FB1">
          <w:rPr>
            <w:rStyle w:val="Hyperlink"/>
            <w:rFonts w:asciiTheme="minorHAnsi" w:hAnsiTheme="minorHAnsi" w:cstheme="minorHAnsi"/>
            <w:i/>
          </w:rPr>
          <w:t>Primer on Republic Act 9208 as amended by Republic Act 10364 – Expanded Anti-Trafficking in Persons Act of 2012</w:t>
        </w:r>
      </w:hyperlink>
      <w:r w:rsidRPr="00BE0FB1">
        <w:rPr>
          <w:rFonts w:asciiTheme="minorHAnsi" w:hAnsiTheme="minorHAnsi" w:cstheme="minorHAnsi"/>
        </w:rPr>
        <w:t>”. 43.</w:t>
      </w:r>
    </w:p>
  </w:endnote>
  <w:endnote w:id="25">
    <w:p w14:paraId="1FA91696" w14:textId="4BAA8203"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State. (2019). </w:t>
      </w:r>
      <w:hyperlink r:id="rId18" w:history="1">
        <w:r w:rsidRPr="00BE0FB1">
          <w:rPr>
            <w:rStyle w:val="Hyperlink"/>
            <w:rFonts w:asciiTheme="minorHAnsi" w:hAnsiTheme="minorHAnsi" w:cstheme="minorHAnsi"/>
            <w:i/>
            <w:lang w:val="en-GB"/>
          </w:rPr>
          <w:t>Trafficking in Persons Report</w:t>
        </w:r>
      </w:hyperlink>
      <w:r w:rsidRPr="00BE0FB1">
        <w:rPr>
          <w:rFonts w:asciiTheme="minorHAnsi" w:hAnsiTheme="minorHAnsi" w:cstheme="minorHAnsi"/>
          <w:lang w:val="en-GB"/>
        </w:rPr>
        <w:t>, 382.</w:t>
      </w:r>
    </w:p>
  </w:endnote>
  <w:endnote w:id="26">
    <w:p w14:paraId="69A86EA5" w14:textId="12C16491"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International Conference on Studies in Arts, Social Sciences and Humanities. (2017). “</w:t>
      </w:r>
      <w:hyperlink r:id="rId19" w:history="1">
        <w:r w:rsidRPr="00BE0FB1">
          <w:rPr>
            <w:rStyle w:val="Hyperlink"/>
            <w:rFonts w:asciiTheme="minorHAnsi" w:hAnsiTheme="minorHAnsi" w:cstheme="minorHAnsi"/>
            <w:i/>
          </w:rPr>
          <w:t>Trafficking in Persons in Cebu City, Central Philippines</w:t>
        </w:r>
      </w:hyperlink>
      <w:r w:rsidRPr="00BE0FB1">
        <w:rPr>
          <w:rFonts w:asciiTheme="minorHAnsi" w:hAnsiTheme="minorHAnsi" w:cstheme="minorHAnsi"/>
        </w:rPr>
        <w:t>”. 95.</w:t>
      </w:r>
    </w:p>
  </w:endnote>
  <w:endnote w:id="27">
    <w:p w14:paraId="34D44A77" w14:textId="2FC59A0B"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State. (2019). </w:t>
      </w:r>
      <w:hyperlink r:id="rId20" w:history="1">
        <w:r w:rsidRPr="00BE0FB1">
          <w:rPr>
            <w:rStyle w:val="Hyperlink"/>
            <w:rFonts w:asciiTheme="minorHAnsi" w:hAnsiTheme="minorHAnsi" w:cstheme="minorHAnsi"/>
            <w:i/>
            <w:lang w:val="en-GB"/>
          </w:rPr>
          <w:t>Trafficking in Persons Report</w:t>
        </w:r>
      </w:hyperlink>
      <w:r w:rsidRPr="00BE0FB1">
        <w:rPr>
          <w:rFonts w:asciiTheme="minorHAnsi" w:hAnsiTheme="minorHAnsi" w:cstheme="minorHAnsi"/>
          <w:lang w:val="en-GB"/>
        </w:rPr>
        <w:t>, 383.</w:t>
      </w:r>
    </w:p>
  </w:endnote>
  <w:endnote w:id="28">
    <w:p w14:paraId="4F398621"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Labor. (2019). </w:t>
      </w:r>
      <w:hyperlink r:id="rId21" w:history="1">
        <w:r w:rsidRPr="00BE0FB1">
          <w:rPr>
            <w:rStyle w:val="Hyperlink"/>
            <w:rFonts w:asciiTheme="minorHAnsi" w:hAnsiTheme="minorHAnsi" w:cstheme="minorHAnsi"/>
            <w:i/>
            <w:lang w:val="en-GB"/>
          </w:rPr>
          <w:t>Philippines: 2018 Findings of the Worst Forms of Child Labor</w:t>
        </w:r>
      </w:hyperlink>
      <w:r w:rsidRPr="00BE0FB1">
        <w:rPr>
          <w:rFonts w:asciiTheme="minorHAnsi" w:hAnsiTheme="minorHAnsi" w:cstheme="minorHAnsi"/>
          <w:lang w:val="en-GB"/>
        </w:rPr>
        <w:t>.</w:t>
      </w:r>
    </w:p>
  </w:endnote>
  <w:endnote w:id="29">
    <w:p w14:paraId="3528DDF5" w14:textId="27A08E8B"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International Conference on Studies in Arts, Social Sciences and Humanities. (2017). “</w:t>
      </w:r>
      <w:hyperlink r:id="rId22" w:history="1">
        <w:r w:rsidRPr="00BE0FB1">
          <w:rPr>
            <w:rStyle w:val="Hyperlink"/>
            <w:rFonts w:asciiTheme="minorHAnsi" w:hAnsiTheme="minorHAnsi" w:cstheme="minorHAnsi"/>
            <w:i/>
          </w:rPr>
          <w:t>Trafficking in Persons in Cebu City, Central Philippines</w:t>
        </w:r>
      </w:hyperlink>
      <w:r w:rsidRPr="00BE0FB1">
        <w:rPr>
          <w:rFonts w:asciiTheme="minorHAnsi" w:hAnsiTheme="minorHAnsi" w:cstheme="minorHAnsi"/>
        </w:rPr>
        <w:t>”. 95.</w:t>
      </w:r>
    </w:p>
  </w:endnote>
  <w:endnote w:id="30">
    <w:p w14:paraId="43AF26EF" w14:textId="792675DA"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Olarte, A. (2014, November 4). </w:t>
      </w:r>
      <w:hyperlink r:id="rId23" w:history="1">
        <w:r w:rsidRPr="00BE0FB1">
          <w:rPr>
            <w:rStyle w:val="Hyperlink"/>
            <w:rFonts w:asciiTheme="minorHAnsi" w:hAnsiTheme="minorHAnsi" w:cstheme="minorHAnsi"/>
            <w:i/>
          </w:rPr>
          <w:t>Sex traffickers prey on "Yolanda" children</w:t>
        </w:r>
      </w:hyperlink>
      <w:r w:rsidRPr="00BE0FB1">
        <w:rPr>
          <w:rFonts w:asciiTheme="minorHAnsi" w:hAnsiTheme="minorHAnsi" w:cstheme="minorHAnsi"/>
          <w:i/>
        </w:rPr>
        <w:t xml:space="preserve">. </w:t>
      </w:r>
      <w:r w:rsidRPr="00BE0FB1">
        <w:rPr>
          <w:rFonts w:asciiTheme="minorHAnsi" w:hAnsiTheme="minorHAnsi" w:cstheme="minorHAnsi"/>
        </w:rPr>
        <w:t xml:space="preserve">Vera files. </w:t>
      </w:r>
    </w:p>
  </w:endnote>
  <w:endnote w:id="31">
    <w:p w14:paraId="23E61E93" w14:textId="16E5416E"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Mendoza, R. (2014, April 24). </w:t>
      </w:r>
      <w:hyperlink r:id="rId24" w:history="1">
        <w:r w:rsidRPr="00BE0FB1">
          <w:rPr>
            <w:rStyle w:val="Hyperlink"/>
            <w:rFonts w:asciiTheme="minorHAnsi" w:hAnsiTheme="minorHAnsi" w:cstheme="minorHAnsi"/>
            <w:i/>
          </w:rPr>
          <w:t>Is prostitution happening in Zambo evac camps?</w:t>
        </w:r>
      </w:hyperlink>
      <w:r w:rsidRPr="00BE0FB1">
        <w:rPr>
          <w:rFonts w:asciiTheme="minorHAnsi" w:hAnsiTheme="minorHAnsi" w:cstheme="minorHAnsi"/>
          <w:i/>
        </w:rPr>
        <w:t xml:space="preserve">. </w:t>
      </w:r>
      <w:r w:rsidRPr="00BE0FB1">
        <w:rPr>
          <w:rFonts w:asciiTheme="minorHAnsi" w:hAnsiTheme="minorHAnsi" w:cstheme="minorHAnsi"/>
        </w:rPr>
        <w:t>Rappler</w:t>
      </w:r>
    </w:p>
  </w:endnote>
  <w:endnote w:id="32">
    <w:p w14:paraId="3C6759F8" w14:textId="4BDE070C"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State. (2019). </w:t>
      </w:r>
      <w:hyperlink r:id="rId25" w:history="1">
        <w:r w:rsidRPr="00BE0FB1">
          <w:rPr>
            <w:rStyle w:val="Hyperlink"/>
            <w:rFonts w:asciiTheme="minorHAnsi" w:hAnsiTheme="minorHAnsi" w:cstheme="minorHAnsi"/>
            <w:i/>
            <w:lang w:val="en-GB"/>
          </w:rPr>
          <w:t>Trafficking in Persons Report</w:t>
        </w:r>
      </w:hyperlink>
      <w:r w:rsidRPr="00BE0FB1">
        <w:rPr>
          <w:rFonts w:asciiTheme="minorHAnsi" w:hAnsiTheme="minorHAnsi" w:cstheme="minorHAnsi"/>
          <w:lang w:val="en-GB"/>
        </w:rPr>
        <w:t>, 381.</w:t>
      </w:r>
    </w:p>
  </w:endnote>
  <w:endnote w:id="33">
    <w:p w14:paraId="63F3636C"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 381.</w:t>
      </w:r>
    </w:p>
  </w:endnote>
  <w:endnote w:id="34">
    <w:p w14:paraId="0B3A0865"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 380.</w:t>
      </w:r>
    </w:p>
  </w:endnote>
  <w:endnote w:id="35">
    <w:p w14:paraId="4C60BC38" w14:textId="2DAE60C3" w:rsidR="00251D49" w:rsidRPr="00BE0FB1" w:rsidRDefault="00251D49" w:rsidP="00BE0FB1">
      <w:pPr>
        <w:pStyle w:val="EndnoteText"/>
        <w:rPr>
          <w:rFonts w:asciiTheme="minorHAnsi" w:hAnsiTheme="minorHAnsi" w:cstheme="minorHAnsi"/>
          <w: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Republic of the Philippines – Department of Tourisms. (2019). </w:t>
      </w:r>
      <w:hyperlink r:id="rId26" w:history="1">
        <w:r w:rsidRPr="00BE0FB1">
          <w:rPr>
            <w:rStyle w:val="Hyperlink"/>
            <w:rFonts w:asciiTheme="minorHAnsi" w:hAnsiTheme="minorHAnsi" w:cstheme="minorHAnsi"/>
            <w:i/>
            <w:lang w:val="en-GB"/>
          </w:rPr>
          <w:t>PHL visitor arrivals reach 6.16 million, up to 14.37% year-on-year</w:t>
        </w:r>
      </w:hyperlink>
      <w:r w:rsidRPr="00BE0FB1">
        <w:rPr>
          <w:rFonts w:asciiTheme="minorHAnsi" w:hAnsiTheme="minorHAnsi" w:cstheme="minorHAnsi"/>
          <w:i/>
          <w:lang w:val="en-GB"/>
        </w:rPr>
        <w:t>.</w:t>
      </w:r>
    </w:p>
  </w:endnote>
  <w:endnote w:id="36">
    <w:p w14:paraId="5453652B" w14:textId="6AF33743"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The Washington Post. (2019). “</w:t>
      </w:r>
      <w:hyperlink r:id="rId27" w:history="1">
        <w:r w:rsidRPr="00BE0FB1">
          <w:rPr>
            <w:rStyle w:val="Hyperlink"/>
            <w:rFonts w:asciiTheme="minorHAnsi" w:hAnsiTheme="minorHAnsi" w:cstheme="minorHAnsi"/>
            <w:i/>
            <w:lang w:val="en-GB"/>
          </w:rPr>
          <w:t>In Philippine red-light district, an uphill struggle to battle trafficking and abuses</w:t>
        </w:r>
      </w:hyperlink>
      <w:r w:rsidRPr="00BE0FB1">
        <w:rPr>
          <w:rFonts w:asciiTheme="minorHAnsi" w:hAnsiTheme="minorHAnsi" w:cstheme="minorHAnsi"/>
          <w:lang w:val="en-GB"/>
        </w:rPr>
        <w:t>”.</w:t>
      </w:r>
    </w:p>
  </w:endnote>
  <w:endnote w:id="37">
    <w:p w14:paraId="1E5CFD36"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The Guardian. (2019). “</w:t>
      </w:r>
      <w:hyperlink r:id="rId28" w:history="1">
        <w:r w:rsidRPr="00BE0FB1">
          <w:rPr>
            <w:rStyle w:val="Hyperlink"/>
            <w:rFonts w:asciiTheme="minorHAnsi" w:hAnsiTheme="minorHAnsi" w:cstheme="minorHAnsi"/>
            <w:i/>
            <w:lang w:val="en-GB"/>
          </w:rPr>
          <w:t>’Do you ever think about me?’: the children sex tourists leave behind</w:t>
        </w:r>
      </w:hyperlink>
      <w:r w:rsidRPr="00BE0FB1">
        <w:rPr>
          <w:rFonts w:asciiTheme="minorHAnsi" w:hAnsiTheme="minorHAnsi" w:cstheme="minorHAnsi"/>
          <w:lang w:val="en-GB"/>
        </w:rPr>
        <w:t>”. The Manila Times. (2017). ”</w:t>
      </w:r>
      <w:hyperlink r:id="rId29" w:history="1">
        <w:r w:rsidRPr="00BE0FB1">
          <w:rPr>
            <w:rStyle w:val="Hyperlink"/>
            <w:rFonts w:asciiTheme="minorHAnsi" w:hAnsiTheme="minorHAnsi" w:cstheme="minorHAnsi"/>
            <w:i/>
            <w:lang w:val="en-GB"/>
          </w:rPr>
          <w:t>Child brides: A cover for cultural pedophilia?</w:t>
        </w:r>
      </w:hyperlink>
      <w:r w:rsidRPr="00BE0FB1">
        <w:rPr>
          <w:rFonts w:asciiTheme="minorHAnsi" w:hAnsiTheme="minorHAnsi" w:cstheme="minorHAnsi"/>
          <w:i/>
          <w:lang w:val="en-GB"/>
        </w:rPr>
        <w:t>”.</w:t>
      </w:r>
    </w:p>
  </w:endnote>
  <w:endnote w:id="38">
    <w:p w14:paraId="706ACB3E"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Moussons. (2017). “</w:t>
      </w:r>
      <w:hyperlink r:id="rId30" w:history="1">
        <w:r w:rsidRPr="00BE0FB1">
          <w:rPr>
            <w:rStyle w:val="Hyperlink"/>
            <w:rFonts w:asciiTheme="minorHAnsi" w:hAnsiTheme="minorHAnsi" w:cstheme="minorHAnsi"/>
            <w:i/>
            <w:lang w:val="en-GB"/>
          </w:rPr>
          <w:t>The Need for a Multidisciplinary Approach to Prostitution in the Southeast Asian Context</w:t>
        </w:r>
      </w:hyperlink>
      <w:r w:rsidRPr="00BE0FB1">
        <w:rPr>
          <w:rFonts w:asciiTheme="minorHAnsi" w:hAnsiTheme="minorHAnsi" w:cstheme="minorHAnsi"/>
          <w:i/>
          <w:lang w:val="en-GB"/>
        </w:rPr>
        <w:t xml:space="preserve">”. </w:t>
      </w:r>
      <w:r w:rsidRPr="00BE0FB1">
        <w:rPr>
          <w:rFonts w:asciiTheme="minorHAnsi" w:hAnsiTheme="minorHAnsi" w:cstheme="minorHAnsi"/>
          <w:lang w:val="en-GB"/>
        </w:rPr>
        <w:t>Para. 21.</w:t>
      </w:r>
    </w:p>
  </w:endnote>
  <w:endnote w:id="39">
    <w:p w14:paraId="4C04066E"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State. (2019). </w:t>
      </w:r>
      <w:hyperlink r:id="rId31" w:history="1">
        <w:r w:rsidRPr="00BE0FB1">
          <w:rPr>
            <w:rStyle w:val="Hyperlink"/>
            <w:rFonts w:asciiTheme="minorHAnsi" w:hAnsiTheme="minorHAnsi" w:cstheme="minorHAnsi"/>
            <w:i/>
            <w:lang w:val="en-GB"/>
          </w:rPr>
          <w:t>Trafficking in Persons Report</w:t>
        </w:r>
      </w:hyperlink>
      <w:r w:rsidRPr="00BE0FB1">
        <w:rPr>
          <w:rFonts w:asciiTheme="minorHAnsi" w:hAnsiTheme="minorHAnsi" w:cstheme="minorHAnsi"/>
          <w:lang w:val="en-GB"/>
        </w:rPr>
        <w:t>, 383.</w:t>
      </w:r>
    </w:p>
  </w:endnote>
  <w:endnote w:id="40">
    <w:p w14:paraId="51777C02"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w:t>
      </w:r>
    </w:p>
  </w:endnote>
  <w:endnote w:id="41">
    <w:p w14:paraId="29D1036B" w14:textId="6EE3AAED"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lang w:val="en-US"/>
        </w:rPr>
        <w:t xml:space="preserve">See e.g. </w:t>
      </w:r>
      <w:r w:rsidRPr="00BE0FB1">
        <w:rPr>
          <w:rFonts w:asciiTheme="minorHAnsi" w:hAnsiTheme="minorHAnsi" w:cstheme="minorHAnsi"/>
          <w:lang w:val="en-US"/>
        </w:rPr>
        <w:t xml:space="preserve">Paris, J. (2020, January 28). </w:t>
      </w:r>
      <w:hyperlink r:id="rId32" w:history="1">
        <w:r w:rsidRPr="00BE0FB1">
          <w:rPr>
            <w:rStyle w:val="Hyperlink"/>
            <w:rFonts w:asciiTheme="minorHAnsi" w:hAnsiTheme="minorHAnsi" w:cstheme="minorHAnsi"/>
            <w:i/>
            <w:lang w:val="en-US"/>
          </w:rPr>
          <w:t>Hontiveros sees link between influx of POGO workers, rise of sex trafficking in Manila</w:t>
        </w:r>
      </w:hyperlink>
      <w:r w:rsidRPr="00BE0FB1">
        <w:rPr>
          <w:rFonts w:asciiTheme="minorHAnsi" w:hAnsiTheme="minorHAnsi" w:cstheme="minorHAnsi"/>
          <w:i/>
          <w:lang w:val="en-US"/>
        </w:rPr>
        <w:t>.</w:t>
      </w:r>
      <w:r w:rsidRPr="00BE0FB1">
        <w:rPr>
          <w:rFonts w:asciiTheme="minorHAnsi" w:hAnsiTheme="minorHAnsi" w:cstheme="minorHAnsi"/>
          <w:lang w:val="en-US"/>
        </w:rPr>
        <w:t>Rappler.</w:t>
      </w:r>
    </w:p>
  </w:endnote>
  <w:endnote w:id="42">
    <w:p w14:paraId="6C9CF69C" w14:textId="50EA28E3"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ECPAT Philippines. (2006). </w:t>
      </w:r>
      <w:r w:rsidRPr="00BE0FB1">
        <w:rPr>
          <w:rFonts w:asciiTheme="minorHAnsi" w:hAnsiTheme="minorHAnsi" w:cstheme="minorHAnsi"/>
          <w:i/>
        </w:rPr>
        <w:t>Child Sex Tourism by Koreans in the Philippines</w:t>
      </w:r>
      <w:r w:rsidRPr="00BE0FB1">
        <w:rPr>
          <w:rFonts w:asciiTheme="minorHAnsi" w:hAnsiTheme="minorHAnsi" w:cstheme="minorHAnsi"/>
        </w:rPr>
        <w:t>.</w:t>
      </w:r>
    </w:p>
  </w:endnote>
  <w:endnote w:id="43">
    <w:p w14:paraId="6FDD2E97" w14:textId="7D7F8256"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International Telecommunication</w:t>
      </w:r>
      <w:r w:rsidRPr="00BE0FB1">
        <w:rPr>
          <w:rStyle w:val="Standaardalinea-lettertype1"/>
          <w:rFonts w:asciiTheme="minorHAnsi" w:hAnsiTheme="minorHAnsi" w:cstheme="minorHAnsi"/>
          <w:lang w:val="en-GB"/>
        </w:rPr>
        <w:t xml:space="preserve"> Union (2019, December)</w:t>
      </w:r>
      <w:r w:rsidRPr="00BE0FB1">
        <w:rPr>
          <w:rStyle w:val="Standaardalinea-lettertype1"/>
          <w:rFonts w:asciiTheme="minorHAnsi" w:hAnsiTheme="minorHAnsi" w:cstheme="minorHAnsi"/>
          <w:i/>
          <w:lang w:val="en-GB"/>
        </w:rPr>
        <w:t xml:space="preserve">, </w:t>
      </w:r>
      <w:hyperlink r:id="rId33" w:history="1">
        <w:r w:rsidRPr="00BE0FB1">
          <w:rPr>
            <w:rStyle w:val="Hyperlink"/>
            <w:rFonts w:asciiTheme="minorHAnsi" w:hAnsiTheme="minorHAnsi" w:cstheme="minorHAnsi"/>
            <w:i/>
            <w:lang w:val="en-GB"/>
          </w:rPr>
          <w:t>Country ICT data</w:t>
        </w:r>
      </w:hyperlink>
      <w:r w:rsidRPr="00BE0FB1">
        <w:rPr>
          <w:rStyle w:val="Standaardalinea-lettertype1"/>
          <w:rFonts w:asciiTheme="minorHAnsi" w:hAnsiTheme="minorHAnsi" w:cstheme="minorHAnsi"/>
          <w:i/>
          <w:lang w:val="en-GB"/>
        </w:rPr>
        <w:t>.</w:t>
      </w:r>
    </w:p>
  </w:endnote>
  <w:endnote w:id="44">
    <w:p w14:paraId="13515D34"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UNDP. (2019).”</w:t>
      </w:r>
      <w:hyperlink r:id="rId34" w:history="1">
        <w:r w:rsidRPr="00BE0FB1">
          <w:rPr>
            <w:rStyle w:val="Hyperlink"/>
            <w:rFonts w:asciiTheme="minorHAnsi" w:hAnsiTheme="minorHAnsi" w:cstheme="minorHAnsi"/>
            <w:i/>
            <w:lang w:val="en-GB"/>
          </w:rPr>
          <w:t>Human Development Report 2019 – Beyond income, beyond average, beyond today: Inequalities in Human Development in the 21</w:t>
        </w:r>
        <w:r w:rsidRPr="00BE0FB1">
          <w:rPr>
            <w:rStyle w:val="Hyperlink"/>
            <w:rFonts w:asciiTheme="minorHAnsi" w:hAnsiTheme="minorHAnsi" w:cstheme="minorHAnsi"/>
            <w:i/>
            <w:vertAlign w:val="superscript"/>
            <w:lang w:val="en-GB"/>
          </w:rPr>
          <w:t>st</w:t>
        </w:r>
        <w:r w:rsidRPr="00BE0FB1">
          <w:rPr>
            <w:rStyle w:val="Hyperlink"/>
            <w:rFonts w:asciiTheme="minorHAnsi" w:hAnsiTheme="minorHAnsi" w:cstheme="minorHAnsi"/>
            <w:i/>
            <w:lang w:val="en-GB"/>
          </w:rPr>
          <w:t xml:space="preserve"> century</w:t>
        </w:r>
      </w:hyperlink>
      <w:r w:rsidRPr="00BE0FB1">
        <w:rPr>
          <w:rFonts w:asciiTheme="minorHAnsi" w:hAnsiTheme="minorHAnsi" w:cstheme="minorHAnsi"/>
          <w:i/>
          <w:lang w:val="en-GB"/>
        </w:rPr>
        <w:t xml:space="preserve">”. </w:t>
      </w:r>
      <w:r w:rsidRPr="00BE0FB1">
        <w:rPr>
          <w:rFonts w:asciiTheme="minorHAnsi" w:hAnsiTheme="minorHAnsi" w:cstheme="minorHAnsi"/>
          <w:lang w:val="en-GB"/>
        </w:rPr>
        <w:t>233.</w:t>
      </w:r>
    </w:p>
  </w:endnote>
  <w:endnote w:id="45">
    <w:p w14:paraId="33716198"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Labor. (2019). </w:t>
      </w:r>
      <w:hyperlink r:id="rId35" w:history="1">
        <w:r w:rsidRPr="00BE0FB1">
          <w:rPr>
            <w:rStyle w:val="Hyperlink"/>
            <w:rFonts w:asciiTheme="minorHAnsi" w:hAnsiTheme="minorHAnsi" w:cstheme="minorHAnsi"/>
            <w:i/>
            <w:lang w:val="en-GB"/>
          </w:rPr>
          <w:t>Philippines: 2018 Findings of the Worst Forms of Child Labor</w:t>
        </w:r>
      </w:hyperlink>
      <w:r w:rsidRPr="00BE0FB1">
        <w:rPr>
          <w:rFonts w:asciiTheme="minorHAnsi" w:hAnsiTheme="minorHAnsi" w:cstheme="minorHAnsi"/>
          <w:lang w:val="en-GB"/>
        </w:rPr>
        <w:t>.</w:t>
      </w:r>
    </w:p>
  </w:endnote>
  <w:endnote w:id="46">
    <w:p w14:paraId="1FB9C58F"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Council for the Welfare for Children. (2018). </w:t>
      </w:r>
      <w:hyperlink r:id="rId36" w:history="1">
        <w:r w:rsidRPr="00BE0FB1">
          <w:rPr>
            <w:rStyle w:val="Hyperlink"/>
            <w:rFonts w:asciiTheme="minorHAnsi" w:hAnsiTheme="minorHAnsi" w:cstheme="minorHAnsi"/>
            <w:i/>
            <w:lang w:val="en-GB"/>
          </w:rPr>
          <w:t>Philippine Plan of Action to End Violence Against Children (PPAEVAC)</w:t>
        </w:r>
      </w:hyperlink>
      <w:r w:rsidRPr="00BE0FB1">
        <w:rPr>
          <w:rFonts w:asciiTheme="minorHAnsi" w:hAnsiTheme="minorHAnsi" w:cstheme="minorHAnsi"/>
          <w:lang w:val="en-GB"/>
        </w:rPr>
        <w:t>. 10.</w:t>
      </w:r>
    </w:p>
  </w:endnote>
  <w:endnote w:id="47">
    <w:p w14:paraId="34DCC169"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Council for the Welfare for Children. (2018). </w:t>
      </w:r>
      <w:hyperlink r:id="rId37" w:history="1">
        <w:r w:rsidRPr="00BE0FB1">
          <w:rPr>
            <w:rStyle w:val="Hyperlink"/>
            <w:rFonts w:asciiTheme="minorHAnsi" w:hAnsiTheme="minorHAnsi" w:cstheme="minorHAnsi"/>
            <w:i/>
            <w:lang w:val="en-GB"/>
          </w:rPr>
          <w:t>Philippine Plan of Action to End Violence Against Children (PPAEVAC)</w:t>
        </w:r>
      </w:hyperlink>
      <w:r w:rsidRPr="00BE0FB1">
        <w:rPr>
          <w:rFonts w:asciiTheme="minorHAnsi" w:hAnsiTheme="minorHAnsi" w:cstheme="minorHAnsi"/>
          <w:lang w:val="en-GB"/>
        </w:rPr>
        <w:t>. 10.</w:t>
      </w:r>
    </w:p>
  </w:endnote>
  <w:endnote w:id="48">
    <w:p w14:paraId="13F4B768"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State. (2019). </w:t>
      </w:r>
      <w:hyperlink r:id="rId38" w:history="1">
        <w:r w:rsidRPr="00BE0FB1">
          <w:rPr>
            <w:rStyle w:val="Hyperlink"/>
            <w:rFonts w:asciiTheme="minorHAnsi" w:hAnsiTheme="minorHAnsi" w:cstheme="minorHAnsi"/>
            <w:i/>
            <w:lang w:val="en-GB"/>
          </w:rPr>
          <w:t>Trafficking in Persons Report</w:t>
        </w:r>
      </w:hyperlink>
      <w:r w:rsidRPr="00BE0FB1">
        <w:rPr>
          <w:rFonts w:asciiTheme="minorHAnsi" w:hAnsiTheme="minorHAnsi" w:cstheme="minorHAnsi"/>
          <w:lang w:val="en-GB"/>
        </w:rPr>
        <w:t>, 383.</w:t>
      </w:r>
    </w:p>
  </w:endnote>
  <w:endnote w:id="49">
    <w:p w14:paraId="2E2CD797"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Labor. (2019). </w:t>
      </w:r>
      <w:hyperlink r:id="rId39" w:history="1">
        <w:r w:rsidRPr="00BE0FB1">
          <w:rPr>
            <w:rStyle w:val="Hyperlink"/>
            <w:rFonts w:asciiTheme="minorHAnsi" w:hAnsiTheme="minorHAnsi" w:cstheme="minorHAnsi"/>
            <w:i/>
            <w:lang w:val="en-GB"/>
          </w:rPr>
          <w:t>Philippines: 2018 Findings of the Worst Forms of Child Labor</w:t>
        </w:r>
      </w:hyperlink>
      <w:r w:rsidRPr="00BE0FB1">
        <w:rPr>
          <w:rFonts w:asciiTheme="minorHAnsi" w:hAnsiTheme="minorHAnsi" w:cstheme="minorHAnsi"/>
          <w:lang w:val="en-GB"/>
        </w:rPr>
        <w:t>.</w:t>
      </w:r>
    </w:p>
  </w:endnote>
  <w:endnote w:id="50">
    <w:p w14:paraId="09578849"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ECPAT International. (2017). “</w:t>
      </w:r>
      <w:hyperlink r:id="rId40" w:history="1">
        <w:r w:rsidRPr="00BE0FB1">
          <w:rPr>
            <w:rStyle w:val="Hyperlink"/>
            <w:rFonts w:asciiTheme="minorHAnsi" w:hAnsiTheme="minorHAnsi" w:cstheme="minorHAnsi"/>
            <w:lang w:val="en-GB"/>
          </w:rPr>
          <w:t>Through the Eyes of the Child: Barriers to Access to Justice and Remedies for Child Victims of Sexual Exploitation</w:t>
        </w:r>
      </w:hyperlink>
      <w:r w:rsidRPr="00BE0FB1">
        <w:rPr>
          <w:rFonts w:asciiTheme="minorHAnsi" w:hAnsiTheme="minorHAnsi" w:cstheme="minorHAnsi"/>
          <w:lang w:val="en-GB"/>
        </w:rPr>
        <w:t>”. 89.</w:t>
      </w:r>
    </w:p>
  </w:endnote>
  <w:endnote w:id="51">
    <w:p w14:paraId="7E14167B"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 89 and 145.</w:t>
      </w:r>
    </w:p>
  </w:endnote>
  <w:endnote w:id="52">
    <w:p w14:paraId="30888398" w14:textId="08149F3F" w:rsidR="00251D49" w:rsidRPr="00BE0FB1" w:rsidRDefault="00251D49" w:rsidP="00BE0FB1">
      <w:pPr>
        <w:pStyle w:val="EndnoteText"/>
        <w:rPr>
          <w:rFonts w:asciiTheme="minorHAnsi" w:hAnsiTheme="minorHAnsi" w:cstheme="minorHAnsi"/>
          <w:i/>
        </w:rPr>
      </w:pPr>
      <w:r w:rsidRPr="00BE0FB1">
        <w:rPr>
          <w:rStyle w:val="EndnoteReference"/>
          <w:rFonts w:asciiTheme="minorHAnsi" w:hAnsiTheme="minorHAnsi" w:cstheme="minorHAnsi"/>
        </w:rPr>
        <w:endnoteRef/>
      </w:r>
      <w:r w:rsidRPr="00BE0FB1">
        <w:rPr>
          <w:rFonts w:asciiTheme="minorHAnsi" w:hAnsiTheme="minorHAnsi" w:cstheme="minorHAnsi"/>
        </w:rPr>
        <w:t xml:space="preserve"> Terre des Hommes – Netherlands and ECPAT Philippines. (2013). </w:t>
      </w:r>
      <w:r w:rsidRPr="00BE0FB1">
        <w:rPr>
          <w:rFonts w:asciiTheme="minorHAnsi" w:hAnsiTheme="minorHAnsi" w:cstheme="minorHAnsi"/>
          <w:i/>
        </w:rPr>
        <w:t>The Scope and Magnitude of Online Sexual Abuse of Children in Highly Affected Areas in the Philippines.</w:t>
      </w:r>
    </w:p>
  </w:endnote>
  <w:endnote w:id="53">
    <w:p w14:paraId="5D3023EE" w14:textId="4B962858"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State. (2019). </w:t>
      </w:r>
      <w:hyperlink r:id="rId41" w:history="1">
        <w:r w:rsidRPr="00BE0FB1">
          <w:rPr>
            <w:rStyle w:val="Hyperlink"/>
            <w:rFonts w:asciiTheme="minorHAnsi" w:hAnsiTheme="minorHAnsi" w:cstheme="minorHAnsi"/>
            <w:i/>
            <w:lang w:val="en-GB"/>
          </w:rPr>
          <w:t>Trafficking in Persons Report</w:t>
        </w:r>
      </w:hyperlink>
      <w:r w:rsidRPr="00BE0FB1">
        <w:rPr>
          <w:rFonts w:asciiTheme="minorHAnsi" w:hAnsiTheme="minorHAnsi" w:cstheme="minorHAnsi"/>
          <w:lang w:val="en-GB"/>
        </w:rPr>
        <w:t>. 383.</w:t>
      </w:r>
    </w:p>
  </w:endnote>
  <w:endnote w:id="54">
    <w:p w14:paraId="1ADF4BB6"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Council for the Welfare for Children. (2018). </w:t>
      </w:r>
      <w:hyperlink r:id="rId42" w:history="1">
        <w:r w:rsidRPr="00BE0FB1">
          <w:rPr>
            <w:rStyle w:val="Hyperlink"/>
            <w:rFonts w:asciiTheme="minorHAnsi" w:hAnsiTheme="minorHAnsi" w:cstheme="minorHAnsi"/>
            <w:i/>
            <w:lang w:val="en-GB"/>
          </w:rPr>
          <w:t>Philippine Plan of Action to End Violence Against Children (PPAEVAC)</w:t>
        </w:r>
      </w:hyperlink>
      <w:r w:rsidRPr="00BE0FB1">
        <w:rPr>
          <w:rFonts w:asciiTheme="minorHAnsi" w:hAnsiTheme="minorHAnsi" w:cstheme="minorHAnsi"/>
          <w:lang w:val="en-GB"/>
        </w:rPr>
        <w:t>. 10.</w:t>
      </w:r>
    </w:p>
  </w:endnote>
  <w:endnote w:id="55">
    <w:p w14:paraId="533628DF" w14:textId="3E8B2C29"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Terre des Hommes – Netherlands and ECPAT Philippines. (2013). </w:t>
      </w:r>
      <w:r w:rsidRPr="00BE0FB1">
        <w:rPr>
          <w:rFonts w:asciiTheme="minorHAnsi" w:hAnsiTheme="minorHAnsi" w:cstheme="minorHAnsi"/>
          <w:i/>
        </w:rPr>
        <w:t>The Scope and Magnitude of Online Sexual Abuse of Children in Highly Affected Areas in the Philippines.</w:t>
      </w:r>
    </w:p>
  </w:endnote>
  <w:endnote w:id="56">
    <w:p w14:paraId="727A3DF8" w14:textId="280F4E7C" w:rsidR="00251D49" w:rsidRPr="00BE0FB1" w:rsidRDefault="00251D49" w:rsidP="00BE0FB1">
      <w:pPr>
        <w:pStyle w:val="EndnoteText"/>
        <w:rPr>
          <w:rFonts w:asciiTheme="minorHAnsi" w:hAnsiTheme="minorHAnsi" w:cstheme="minorHAnsi"/>
          <w: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US"/>
        </w:rPr>
        <w:t xml:space="preserve">Suarez, A. (2016, May). </w:t>
      </w:r>
      <w:r w:rsidRPr="00BE0FB1">
        <w:rPr>
          <w:rFonts w:asciiTheme="minorHAnsi" w:hAnsiTheme="minorHAnsi" w:cstheme="minorHAnsi"/>
          <w:i/>
        </w:rPr>
        <w:t>The Identification of Victims of Online Sexual Abuse of Children nd Community-based Healing and Recovery Program.</w:t>
      </w:r>
    </w:p>
  </w:endnote>
  <w:endnote w:id="57">
    <w:p w14:paraId="03684E53" w14:textId="77777777" w:rsidR="00251D49" w:rsidRPr="00BE0FB1" w:rsidRDefault="00251D49" w:rsidP="00BE0FB1">
      <w:pPr>
        <w:pStyle w:val="EndnoteText"/>
        <w:rPr>
          <w:rFonts w:asciiTheme="minorHAnsi" w:hAnsiTheme="minorHAnsi" w:cstheme="minorHAnsi"/>
          <w: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US"/>
        </w:rPr>
        <w:t xml:space="preserve"> UNICEF (n.a.). </w:t>
      </w:r>
      <w:r w:rsidRPr="00BE0FB1">
        <w:rPr>
          <w:rFonts w:asciiTheme="minorHAnsi" w:hAnsiTheme="minorHAnsi" w:cstheme="minorHAnsi"/>
          <w:lang w:val="en-GB"/>
        </w:rPr>
        <w:t>“</w:t>
      </w:r>
      <w:hyperlink r:id="rId43" w:history="1">
        <w:r w:rsidRPr="00BE0FB1">
          <w:rPr>
            <w:rStyle w:val="Hyperlink"/>
            <w:rFonts w:asciiTheme="minorHAnsi" w:hAnsiTheme="minorHAnsi" w:cstheme="minorHAnsi"/>
            <w:i/>
            <w:lang w:val="en-GB"/>
          </w:rPr>
          <w:t>Child Marriage and Teenage Pregnancy – Key issues in East Asia and the Pacific</w:t>
        </w:r>
      </w:hyperlink>
      <w:r w:rsidRPr="00BE0FB1">
        <w:rPr>
          <w:rFonts w:asciiTheme="minorHAnsi" w:hAnsiTheme="minorHAnsi" w:cstheme="minorHAnsi"/>
          <w:i/>
          <w:lang w:val="en-GB"/>
        </w:rPr>
        <w:t>”.</w:t>
      </w:r>
    </w:p>
  </w:endnote>
  <w:endnote w:id="58">
    <w:p w14:paraId="53918B63" w14:textId="77777777" w:rsidR="00251D49" w:rsidRPr="00BE0FB1" w:rsidRDefault="00251D49" w:rsidP="00BE0FB1">
      <w:pPr>
        <w:pStyle w:val="EndnoteText"/>
        <w:rPr>
          <w:rFonts w:asciiTheme="minorHAnsi" w:hAnsiTheme="minorHAnsi" w:cstheme="minorHAnsi"/>
          <w: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UNFPA Philippines. (2019). </w:t>
      </w:r>
      <w:r w:rsidRPr="00BE0FB1">
        <w:rPr>
          <w:rFonts w:asciiTheme="minorHAnsi" w:hAnsiTheme="minorHAnsi" w:cstheme="minorHAnsi"/>
          <w:i/>
          <w:lang w:val="en-GB"/>
        </w:rPr>
        <w:t>“</w:t>
      </w:r>
      <w:hyperlink r:id="rId44" w:history="1">
        <w:r w:rsidRPr="00BE0FB1">
          <w:rPr>
            <w:rStyle w:val="Hyperlink"/>
            <w:rFonts w:asciiTheme="minorHAnsi" w:hAnsiTheme="minorHAnsi" w:cstheme="minorHAnsi"/>
            <w:i/>
            <w:lang w:val="en-GB"/>
          </w:rPr>
          <w:t>Empowering Maranao girls against child marriage</w:t>
        </w:r>
      </w:hyperlink>
      <w:r w:rsidRPr="00BE0FB1">
        <w:rPr>
          <w:rFonts w:asciiTheme="minorHAnsi" w:hAnsiTheme="minorHAnsi" w:cstheme="minorHAnsi"/>
          <w:i/>
          <w:lang w:val="en-GB"/>
        </w:rPr>
        <w:t xml:space="preserve">”. </w:t>
      </w:r>
    </w:p>
  </w:endnote>
  <w:endnote w:id="59">
    <w:p w14:paraId="119D2883"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Style w:val="Standaardalinea-lettertype"/>
          <w:rFonts w:asciiTheme="minorHAnsi" w:hAnsiTheme="minorHAnsi" w:cstheme="minorHAnsi"/>
          <w:lang w:val="en-GB"/>
        </w:rPr>
        <w:t xml:space="preserve">UNICEF. </w:t>
      </w:r>
      <w:r w:rsidRPr="00BE0FB1">
        <w:rPr>
          <w:rStyle w:val="Standaardalinea-lettertype"/>
          <w:rFonts w:asciiTheme="minorHAnsi" w:hAnsiTheme="minorHAnsi" w:cstheme="minorHAnsi"/>
          <w:lang w:val="en-GB" w:bidi="th-TH"/>
        </w:rPr>
        <w:t>(</w:t>
      </w:r>
      <w:r w:rsidRPr="00BE0FB1">
        <w:rPr>
          <w:rStyle w:val="Standaardalinea-lettertype"/>
          <w:rFonts w:asciiTheme="minorHAnsi" w:hAnsiTheme="minorHAnsi" w:cstheme="minorHAnsi"/>
          <w:lang w:val="en-GB"/>
        </w:rPr>
        <w:t>2019</w:t>
      </w:r>
      <w:r w:rsidRPr="00BE0FB1">
        <w:rPr>
          <w:rStyle w:val="Standaardalinea-lettertype"/>
          <w:rFonts w:asciiTheme="minorHAnsi" w:hAnsiTheme="minorHAnsi" w:cstheme="minorHAnsi"/>
          <w:lang w:val="en-GB" w:bidi="th-TH"/>
        </w:rPr>
        <w:t>)</w:t>
      </w:r>
      <w:r w:rsidRPr="00BE0FB1">
        <w:rPr>
          <w:rStyle w:val="Standaardalinea-lettertype"/>
          <w:rFonts w:asciiTheme="minorHAnsi" w:hAnsiTheme="minorHAnsi" w:cstheme="minorHAnsi"/>
          <w:lang w:val="en-GB"/>
        </w:rPr>
        <w:t>. “</w:t>
      </w:r>
      <w:hyperlink r:id="rId45" w:history="1">
        <w:r w:rsidRPr="00BE0FB1">
          <w:rPr>
            <w:rStyle w:val="Hyperlink"/>
            <w:rFonts w:asciiTheme="minorHAnsi" w:hAnsiTheme="minorHAnsi" w:cstheme="minorHAnsi"/>
            <w:i/>
            <w:lang w:val="en-GB"/>
          </w:rPr>
          <w:t>The State of the World’s Children 2019: Children, food and nutrition – growing well in a changing world</w:t>
        </w:r>
      </w:hyperlink>
      <w:r w:rsidRPr="00BE0FB1">
        <w:rPr>
          <w:rStyle w:val="Standaardalinea-lettertype"/>
          <w:rFonts w:asciiTheme="minorHAnsi" w:hAnsiTheme="minorHAnsi" w:cstheme="minorHAnsi"/>
          <w:lang w:val="en-GB"/>
        </w:rPr>
        <w:t>”. 234.</w:t>
      </w:r>
    </w:p>
  </w:endnote>
  <w:endnote w:id="60">
    <w:p w14:paraId="29D1DCEE" w14:textId="5B559D8A"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The Philippine Statistic Authority. (2018). “</w:t>
      </w:r>
      <w:hyperlink r:id="rId46" w:history="1">
        <w:r w:rsidRPr="00BE0FB1">
          <w:rPr>
            <w:rStyle w:val="Hyperlink"/>
            <w:rFonts w:asciiTheme="minorHAnsi" w:hAnsiTheme="minorHAnsi" w:cstheme="minorHAnsi"/>
            <w:i/>
          </w:rPr>
          <w:t>Philippines National Demographic and Health Survey 2017</w:t>
        </w:r>
      </w:hyperlink>
      <w:r w:rsidRPr="00BE0FB1">
        <w:rPr>
          <w:rFonts w:asciiTheme="minorHAnsi" w:hAnsiTheme="minorHAnsi" w:cstheme="minorHAnsi"/>
        </w:rPr>
        <w:t>”. 69.</w:t>
      </w:r>
    </w:p>
  </w:endnote>
  <w:endnote w:id="61">
    <w:p w14:paraId="7863A3CC" w14:textId="77777777" w:rsidR="00251D49" w:rsidRPr="00BE0FB1" w:rsidRDefault="00251D49" w:rsidP="00BE0FB1">
      <w:pPr>
        <w:pStyle w:val="EndnoteText"/>
        <w:rPr>
          <w:rFonts w:asciiTheme="minorHAnsi" w:hAnsiTheme="minorHAnsi" w:cstheme="minorHAnsi"/>
          <w: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UNFPA Philippines. (2019). </w:t>
      </w:r>
      <w:r w:rsidRPr="00BE0FB1">
        <w:rPr>
          <w:rFonts w:asciiTheme="minorHAnsi" w:hAnsiTheme="minorHAnsi" w:cstheme="minorHAnsi"/>
          <w:i/>
          <w:lang w:val="en-GB"/>
        </w:rPr>
        <w:t>“</w:t>
      </w:r>
      <w:hyperlink r:id="rId47" w:history="1">
        <w:r w:rsidRPr="00BE0FB1">
          <w:rPr>
            <w:rStyle w:val="Hyperlink"/>
            <w:rFonts w:asciiTheme="minorHAnsi" w:hAnsiTheme="minorHAnsi" w:cstheme="minorHAnsi"/>
            <w:i/>
            <w:lang w:val="en-GB"/>
          </w:rPr>
          <w:t>Empowering Maranao girls against child marriage</w:t>
        </w:r>
      </w:hyperlink>
      <w:r w:rsidRPr="00BE0FB1">
        <w:rPr>
          <w:rFonts w:asciiTheme="minorHAnsi" w:hAnsiTheme="minorHAnsi" w:cstheme="minorHAnsi"/>
          <w:i/>
          <w:lang w:val="en-GB"/>
        </w:rPr>
        <w:t xml:space="preserve">”. </w:t>
      </w:r>
    </w:p>
  </w:endnote>
  <w:endnote w:id="62">
    <w:p w14:paraId="218FC498" w14:textId="77777777" w:rsidR="00251D49" w:rsidRPr="00BE0FB1" w:rsidRDefault="00251D49" w:rsidP="00BE0FB1">
      <w:pPr>
        <w:pStyle w:val="EndnoteText"/>
        <w:rPr>
          <w:rFonts w:asciiTheme="minorHAnsi" w:hAnsiTheme="minorHAnsi" w:cstheme="minorHAnsi"/>
          <w: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Rappler. (2020). </w:t>
      </w:r>
      <w:r w:rsidRPr="00BE0FB1">
        <w:rPr>
          <w:rFonts w:asciiTheme="minorHAnsi" w:hAnsiTheme="minorHAnsi" w:cstheme="minorHAnsi"/>
          <w:i/>
          <w:lang w:val="en-GB"/>
        </w:rPr>
        <w:t>“</w:t>
      </w:r>
      <w:hyperlink r:id="rId48" w:history="1">
        <w:r w:rsidRPr="00BE0FB1">
          <w:rPr>
            <w:rStyle w:val="Hyperlink"/>
            <w:rFonts w:asciiTheme="minorHAnsi" w:hAnsiTheme="minorHAnsi" w:cstheme="minorHAnsi"/>
            <w:i/>
            <w:lang w:val="en-GB"/>
          </w:rPr>
          <w:t>Bill ending child marriage inches forward in Congress</w:t>
        </w:r>
      </w:hyperlink>
      <w:r w:rsidRPr="00BE0FB1">
        <w:rPr>
          <w:rFonts w:asciiTheme="minorHAnsi" w:hAnsiTheme="minorHAnsi" w:cstheme="minorHAnsi"/>
          <w:i/>
          <w:lang w:val="en-GB"/>
        </w:rPr>
        <w:t xml:space="preserve">”. </w:t>
      </w:r>
    </w:p>
  </w:endnote>
  <w:endnote w:id="63">
    <w:p w14:paraId="2375BBE2"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UNFPA Philippines. (2019). </w:t>
      </w:r>
      <w:r w:rsidRPr="00BE0FB1">
        <w:rPr>
          <w:rFonts w:asciiTheme="minorHAnsi" w:hAnsiTheme="minorHAnsi" w:cstheme="minorHAnsi"/>
          <w:i/>
          <w:lang w:val="en-GB"/>
        </w:rPr>
        <w:t>“</w:t>
      </w:r>
      <w:hyperlink r:id="rId49" w:history="1">
        <w:r w:rsidRPr="00BE0FB1">
          <w:rPr>
            <w:rStyle w:val="Hyperlink"/>
            <w:rFonts w:asciiTheme="minorHAnsi" w:hAnsiTheme="minorHAnsi" w:cstheme="minorHAnsi"/>
            <w:i/>
            <w:lang w:val="en-GB"/>
          </w:rPr>
          <w:t>Empowering Maranao girls against child marriage</w:t>
        </w:r>
      </w:hyperlink>
      <w:r w:rsidRPr="00BE0FB1">
        <w:rPr>
          <w:rFonts w:asciiTheme="minorHAnsi" w:hAnsiTheme="minorHAnsi" w:cstheme="minorHAnsi"/>
          <w:i/>
          <w:lang w:val="en-GB"/>
        </w:rPr>
        <w:t>”.</w:t>
      </w:r>
    </w:p>
  </w:endnote>
  <w:endnote w:id="64">
    <w:p w14:paraId="76B59D92" w14:textId="77777777" w:rsidR="00251D49" w:rsidRPr="00BE0FB1" w:rsidRDefault="00251D49" w:rsidP="00BE0FB1">
      <w:pPr>
        <w:pStyle w:val="EndnoteText"/>
        <w:jc w:val="both"/>
        <w:rPr>
          <w:rFonts w:asciiTheme="minorHAnsi" w:hAnsiTheme="minorHAnsi" w:cstheme="minorHAnsi"/>
          <w: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p>
  </w:endnote>
  <w:endnote w:id="65">
    <w:p w14:paraId="306AED64" w14:textId="77777777" w:rsidR="00251D49" w:rsidRPr="00BE0FB1" w:rsidRDefault="00251D49" w:rsidP="00BE0FB1">
      <w:pPr>
        <w:pStyle w:val="EndnoteText"/>
        <w:jc w:val="both"/>
        <w:rPr>
          <w:rFonts w:asciiTheme="minorHAnsi" w:hAnsiTheme="minorHAnsi" w:cstheme="minorHAnsi"/>
          <w: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DW. (2019). </w:t>
      </w:r>
      <w:r w:rsidRPr="00BE0FB1">
        <w:rPr>
          <w:rFonts w:asciiTheme="minorHAnsi" w:hAnsiTheme="minorHAnsi" w:cstheme="minorHAnsi"/>
          <w:i/>
          <w:lang w:val="en-GB"/>
        </w:rPr>
        <w:t>“</w:t>
      </w:r>
      <w:hyperlink r:id="rId50" w:history="1">
        <w:r w:rsidRPr="00BE0FB1">
          <w:rPr>
            <w:rStyle w:val="Hyperlink"/>
            <w:rFonts w:asciiTheme="minorHAnsi" w:hAnsiTheme="minorHAnsi" w:cstheme="minorHAnsi"/>
            <w:i/>
            <w:lang w:val="en-GB"/>
          </w:rPr>
          <w:t>Child marriages spike in Philippines violence-marred Marawi-city</w:t>
        </w:r>
      </w:hyperlink>
      <w:r w:rsidRPr="00BE0FB1">
        <w:rPr>
          <w:rFonts w:asciiTheme="minorHAnsi" w:hAnsiTheme="minorHAnsi" w:cstheme="minorHAnsi"/>
          <w:i/>
          <w:lang w:val="en-GB"/>
        </w:rPr>
        <w:t xml:space="preserve">”. </w:t>
      </w:r>
    </w:p>
  </w:endnote>
  <w:endnote w:id="66">
    <w:p w14:paraId="1121D8D7" w14:textId="77777777" w:rsidR="00251D49" w:rsidRPr="00BE0FB1" w:rsidRDefault="00251D49" w:rsidP="00BE0FB1">
      <w:pPr>
        <w:pStyle w:val="EndnoteText"/>
        <w:jc w:val="both"/>
        <w:rPr>
          <w:rFonts w:asciiTheme="minorHAnsi" w:hAnsiTheme="minorHAnsi" w:cstheme="minorHAnsi"/>
          <w: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 xml:space="preserve">Ibid. </w:t>
      </w:r>
    </w:p>
  </w:endnote>
  <w:endnote w:id="67">
    <w:p w14:paraId="5A887CD5"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Council for the Welfare for Children. (2018). </w:t>
      </w:r>
      <w:hyperlink r:id="rId51" w:history="1">
        <w:r w:rsidRPr="00BE0FB1">
          <w:rPr>
            <w:rStyle w:val="Hyperlink"/>
            <w:rFonts w:asciiTheme="minorHAnsi" w:hAnsiTheme="minorHAnsi" w:cstheme="minorHAnsi"/>
            <w:i/>
            <w:lang w:val="en-GB"/>
          </w:rPr>
          <w:t>Philippine Plan of Action to End Violence Against Children (PPAEVAC)</w:t>
        </w:r>
      </w:hyperlink>
      <w:r w:rsidRPr="00BE0FB1">
        <w:rPr>
          <w:rFonts w:asciiTheme="minorHAnsi" w:hAnsiTheme="minorHAnsi" w:cstheme="minorHAnsi"/>
          <w:lang w:val="en-GB"/>
        </w:rPr>
        <w:t>. 10.</w:t>
      </w:r>
    </w:p>
  </w:endnote>
  <w:endnote w:id="68">
    <w:p w14:paraId="4129D138" w14:textId="77777777" w:rsidR="00251D49" w:rsidRPr="00BE0FB1" w:rsidRDefault="00251D49" w:rsidP="00BE0FB1">
      <w:pPr>
        <w:pStyle w:val="EndnoteText"/>
        <w:jc w:val="both"/>
        <w:rPr>
          <w:rFonts w:asciiTheme="minorHAnsi" w:hAnsiTheme="minorHAnsi" w:cstheme="minorHAnsi"/>
          <w: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p>
  </w:endnote>
  <w:endnote w:id="69">
    <w:p w14:paraId="7C4C2303"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Council for the Welfare of the Child. (2016). “</w:t>
      </w:r>
      <w:hyperlink r:id="rId52" w:history="1">
        <w:r w:rsidRPr="00BE0FB1">
          <w:rPr>
            <w:rStyle w:val="Hyperlink"/>
            <w:rFonts w:asciiTheme="minorHAnsi" w:hAnsiTheme="minorHAnsi" w:cstheme="minorHAnsi"/>
            <w:lang w:val="en-GB"/>
          </w:rPr>
          <w:t>National Baseline Study on Violence against Children: Philippines</w:t>
        </w:r>
      </w:hyperlink>
      <w:r w:rsidRPr="00BE0FB1">
        <w:rPr>
          <w:rFonts w:asciiTheme="minorHAnsi" w:hAnsiTheme="minorHAnsi" w:cstheme="minorHAnsi"/>
          <w:lang w:val="en-GB"/>
        </w:rPr>
        <w:t>”.</w:t>
      </w:r>
    </w:p>
  </w:endnote>
  <w:endnote w:id="70">
    <w:p w14:paraId="3AC5AF37" w14:textId="23A61A59"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ECPAT Philippines (February 2020). </w:t>
      </w:r>
      <w:hyperlink r:id="rId53" w:history="1">
        <w:r w:rsidRPr="00BE0FB1">
          <w:rPr>
            <w:rStyle w:val="Hyperlink"/>
            <w:rFonts w:asciiTheme="minorHAnsi" w:hAnsiTheme="minorHAnsi" w:cstheme="minorHAnsi"/>
            <w:i/>
          </w:rPr>
          <w:t>Personal Communication</w:t>
        </w:r>
      </w:hyperlink>
      <w:r w:rsidRPr="00BE0FB1">
        <w:rPr>
          <w:rFonts w:asciiTheme="minorHAnsi" w:hAnsiTheme="minorHAnsi" w:cstheme="minorHAnsi"/>
          <w:i/>
        </w:rPr>
        <w:t>.</w:t>
      </w:r>
    </w:p>
  </w:endnote>
  <w:endnote w:id="71">
    <w:p w14:paraId="0FE829D9"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Council for the Welfare for Children. (2018). </w:t>
      </w:r>
      <w:hyperlink r:id="rId54" w:history="1">
        <w:r w:rsidRPr="00BE0FB1">
          <w:rPr>
            <w:rStyle w:val="Hyperlink"/>
            <w:rFonts w:asciiTheme="minorHAnsi" w:hAnsiTheme="minorHAnsi" w:cstheme="minorHAnsi"/>
            <w:i/>
            <w:lang w:val="en-GB"/>
          </w:rPr>
          <w:t>Philippine Plan of Action to End Violence Against Children (PPAEVAC)</w:t>
        </w:r>
      </w:hyperlink>
      <w:r w:rsidRPr="00BE0FB1">
        <w:rPr>
          <w:rFonts w:asciiTheme="minorHAnsi" w:hAnsiTheme="minorHAnsi" w:cstheme="minorHAnsi"/>
          <w:lang w:val="en-GB"/>
        </w:rPr>
        <w:t>. 6.</w:t>
      </w:r>
    </w:p>
  </w:endnote>
  <w:endnote w:id="72">
    <w:p w14:paraId="589A11C5"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Republic of the Philippines. “</w:t>
      </w:r>
      <w:hyperlink r:id="rId55" w:history="1">
        <w:r w:rsidRPr="00BE0FB1">
          <w:rPr>
            <w:rStyle w:val="Hyperlink"/>
            <w:rFonts w:asciiTheme="minorHAnsi" w:hAnsiTheme="minorHAnsi" w:cstheme="minorHAnsi"/>
            <w:lang w:val="en-GB"/>
          </w:rPr>
          <w:t>The Filipino Child of the Millennium National Plan of Action for Children 2005-2010</w:t>
        </w:r>
      </w:hyperlink>
      <w:r w:rsidRPr="00BE0FB1">
        <w:rPr>
          <w:rFonts w:asciiTheme="minorHAnsi" w:hAnsiTheme="minorHAnsi" w:cstheme="minorHAnsi"/>
          <w:lang w:val="en-GB"/>
        </w:rPr>
        <w:t>”. 4.</w:t>
      </w:r>
    </w:p>
  </w:endnote>
  <w:endnote w:id="73">
    <w:p w14:paraId="29A8854A"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 4.</w:t>
      </w:r>
    </w:p>
  </w:endnote>
  <w:endnote w:id="74">
    <w:p w14:paraId="410E2FBD"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See SDG 5.2 (“Eliminate all forms of violence against all women and girls in the public and private spheres, including trafficking and sexual and other types of exploitation”), 16.1 (“Significantly reduce all forms of violence and related death rates everywhere”) and 16.2 (“End abuse, exploitation, trafficking and all forms of violence against and torture of children”).</w:t>
      </w:r>
    </w:p>
  </w:endnote>
  <w:endnote w:id="75">
    <w:p w14:paraId="584A46EA" w14:textId="77777777" w:rsidR="00251D49" w:rsidRPr="00BE0FB1" w:rsidRDefault="00251D49" w:rsidP="00BE0FB1">
      <w:pPr>
        <w:pStyle w:val="EndnoteText"/>
        <w:jc w:val="both"/>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Council for the Welfare for Children. (2018). </w:t>
      </w:r>
      <w:hyperlink r:id="rId56" w:history="1">
        <w:r w:rsidRPr="00BE0FB1">
          <w:rPr>
            <w:rStyle w:val="Hyperlink"/>
            <w:rFonts w:asciiTheme="minorHAnsi" w:hAnsiTheme="minorHAnsi" w:cstheme="minorHAnsi"/>
            <w:i/>
            <w:lang w:val="en-GB"/>
          </w:rPr>
          <w:t>Philippine Plan of Action to End Violence Against Children (PPAEVAC)</w:t>
        </w:r>
      </w:hyperlink>
      <w:r w:rsidRPr="00BE0FB1">
        <w:rPr>
          <w:rFonts w:asciiTheme="minorHAnsi" w:hAnsiTheme="minorHAnsi" w:cstheme="minorHAnsi"/>
          <w:lang w:val="en-GB"/>
        </w:rPr>
        <w:t>. 6.</w:t>
      </w:r>
    </w:p>
  </w:endnote>
  <w:endnote w:id="76">
    <w:p w14:paraId="7EBCDB8C" w14:textId="314D4991"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Labor. (2019). </w:t>
      </w:r>
      <w:hyperlink r:id="rId57" w:history="1">
        <w:r w:rsidRPr="00BE0FB1">
          <w:rPr>
            <w:rStyle w:val="Hyperlink"/>
            <w:rFonts w:asciiTheme="minorHAnsi" w:hAnsiTheme="minorHAnsi" w:cstheme="minorHAnsi"/>
            <w:i/>
            <w:lang w:val="en-GB"/>
          </w:rPr>
          <w:t>Philippines: 2018 Findings of the Worst Forms of Child Labor</w:t>
        </w:r>
      </w:hyperlink>
      <w:r w:rsidRPr="00BE0FB1">
        <w:rPr>
          <w:rFonts w:asciiTheme="minorHAnsi" w:hAnsiTheme="minorHAnsi" w:cstheme="minorHAnsi"/>
          <w:lang w:val="en-GB"/>
        </w:rPr>
        <w:t>.</w:t>
      </w:r>
    </w:p>
  </w:endnote>
  <w:endnote w:id="77">
    <w:p w14:paraId="56798F65" w14:textId="7B79563D" w:rsidR="00251D49" w:rsidRPr="00BE0FB1" w:rsidRDefault="00251D49" w:rsidP="00BE0FB1">
      <w:pPr>
        <w:pStyle w:val="EndnoteText"/>
        <w:rPr>
          <w:rFonts w:asciiTheme="minorHAnsi" w:hAnsiTheme="minorHAnsi" w:cstheme="minorHAnsi"/>
          <w: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Embassy in the Philippines. (2017). “</w:t>
      </w:r>
      <w:hyperlink r:id="rId58" w:history="1">
        <w:r w:rsidRPr="00BE0FB1">
          <w:rPr>
            <w:rStyle w:val="Hyperlink"/>
            <w:rFonts w:asciiTheme="minorHAnsi" w:hAnsiTheme="minorHAnsi" w:cstheme="minorHAnsi"/>
            <w:i/>
            <w:lang w:val="en-GB"/>
          </w:rPr>
          <w:t>The United States of America and the Republic of the Philippines Sign Child Protection Compact Partnership</w:t>
        </w:r>
      </w:hyperlink>
      <w:r w:rsidRPr="00BE0FB1">
        <w:rPr>
          <w:rFonts w:asciiTheme="minorHAnsi" w:hAnsiTheme="minorHAnsi" w:cstheme="minorHAnsi"/>
          <w:i/>
          <w:lang w:val="en-GB"/>
        </w:rPr>
        <w:t>”.</w:t>
      </w:r>
    </w:p>
  </w:endnote>
  <w:endnote w:id="78">
    <w:p w14:paraId="7FF168BF" w14:textId="77777777"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Oxfam. </w:t>
      </w:r>
      <w:hyperlink r:id="rId59" w:history="1">
        <w:r w:rsidRPr="00BE0FB1">
          <w:rPr>
            <w:rStyle w:val="Hyperlink"/>
            <w:rFonts w:asciiTheme="minorHAnsi" w:hAnsiTheme="minorHAnsi" w:cstheme="minorHAnsi"/>
          </w:rPr>
          <w:t>Development Project – Creating Spaces to Take Action on Violence against Girls and Women</w:t>
        </w:r>
      </w:hyperlink>
      <w:r w:rsidRPr="00BE0FB1">
        <w:rPr>
          <w:rFonts w:asciiTheme="minorHAnsi" w:hAnsiTheme="minorHAnsi" w:cstheme="minorHAnsi"/>
        </w:rPr>
        <w:t>.</w:t>
      </w:r>
    </w:p>
  </w:endnote>
  <w:endnote w:id="79">
    <w:p w14:paraId="6B4C524F" w14:textId="77777777" w:rsidR="00251D49" w:rsidRPr="00BE0FB1" w:rsidRDefault="00251D49" w:rsidP="00BE0FB1">
      <w:pPr>
        <w:pStyle w:val="EndnoteText"/>
        <w:rPr>
          <w:rFonts w:asciiTheme="minorHAnsi" w:hAnsiTheme="minorHAnsi" w:cstheme="minorHAnsi"/>
          <w:i/>
        </w:rPr>
      </w:pPr>
      <w:r w:rsidRPr="00BE0FB1">
        <w:rPr>
          <w:rStyle w:val="EndnoteReference"/>
          <w:rFonts w:asciiTheme="minorHAnsi" w:hAnsiTheme="minorHAnsi" w:cstheme="minorHAnsi"/>
        </w:rPr>
        <w:endnoteRef/>
      </w:r>
      <w:r w:rsidRPr="00BE0FB1">
        <w:rPr>
          <w:rFonts w:asciiTheme="minorHAnsi" w:hAnsiTheme="minorHAnsi" w:cstheme="minorHAnsi"/>
        </w:rPr>
        <w:t xml:space="preserve"> Rappler. (2019). </w:t>
      </w:r>
      <w:r w:rsidRPr="00BE0FB1">
        <w:rPr>
          <w:rFonts w:asciiTheme="minorHAnsi" w:hAnsiTheme="minorHAnsi" w:cstheme="minorHAnsi"/>
          <w:i/>
        </w:rPr>
        <w:t>“</w:t>
      </w:r>
      <w:hyperlink r:id="rId60" w:history="1">
        <w:r w:rsidRPr="00BE0FB1">
          <w:rPr>
            <w:rStyle w:val="Hyperlink"/>
            <w:rFonts w:asciiTheme="minorHAnsi" w:hAnsiTheme="minorHAnsi" w:cstheme="minorHAnsi"/>
            <w:i/>
          </w:rPr>
          <w:t>Too young to marry</w:t>
        </w:r>
      </w:hyperlink>
      <w:r w:rsidRPr="00BE0FB1">
        <w:rPr>
          <w:rFonts w:asciiTheme="minorHAnsi" w:hAnsiTheme="minorHAnsi" w:cstheme="minorHAnsi"/>
          <w:i/>
        </w:rPr>
        <w:t>”.</w:t>
      </w:r>
    </w:p>
  </w:endnote>
  <w:endnote w:id="80">
    <w:p w14:paraId="54B1EFCD" w14:textId="07E015FD"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Labor. (2019). </w:t>
      </w:r>
      <w:hyperlink r:id="rId61" w:history="1">
        <w:r w:rsidRPr="00BE0FB1">
          <w:rPr>
            <w:rStyle w:val="Hyperlink"/>
            <w:rFonts w:asciiTheme="minorHAnsi" w:hAnsiTheme="minorHAnsi" w:cstheme="minorHAnsi"/>
            <w:i/>
            <w:lang w:val="en-GB"/>
          </w:rPr>
          <w:t>Philippines: 2018 Findings of the Worst Forms of Child Labor</w:t>
        </w:r>
      </w:hyperlink>
      <w:r w:rsidRPr="00BE0FB1">
        <w:rPr>
          <w:rFonts w:asciiTheme="minorHAnsi" w:hAnsiTheme="minorHAnsi" w:cstheme="minorHAnsi"/>
          <w:lang w:val="en-GB"/>
        </w:rPr>
        <w:t>.</w:t>
      </w:r>
    </w:p>
  </w:endnote>
  <w:endnote w:id="81">
    <w:p w14:paraId="2C8B4B70" w14:textId="7C0062AF" w:rsidR="00251D49" w:rsidRPr="00BE0FB1" w:rsidRDefault="00251D49" w:rsidP="00BE0FB1">
      <w:pPr>
        <w:pStyle w:val="EndnoteText"/>
        <w:rPr>
          <w:rFonts w:asciiTheme="minorHAnsi" w:hAnsiTheme="minorHAnsi" w:cstheme="minorHAnsi"/>
          <w:i/>
        </w:rPr>
      </w:pPr>
      <w:r w:rsidRPr="00BE0FB1">
        <w:rPr>
          <w:rStyle w:val="EndnoteReference"/>
          <w:rFonts w:asciiTheme="minorHAnsi" w:hAnsiTheme="minorHAnsi" w:cstheme="minorHAnsi"/>
        </w:rPr>
        <w:endnoteRef/>
      </w:r>
      <w:r w:rsidRPr="00BE0FB1">
        <w:rPr>
          <w:rFonts w:asciiTheme="minorHAnsi" w:hAnsiTheme="minorHAnsi" w:cstheme="minorHAnsi"/>
        </w:rPr>
        <w:t xml:space="preserve"> ECPAT Philippines. (February 2020). </w:t>
      </w:r>
      <w:r w:rsidRPr="00BE0FB1">
        <w:rPr>
          <w:rFonts w:asciiTheme="minorHAnsi" w:hAnsiTheme="minorHAnsi" w:cstheme="minorHAnsi"/>
          <w:i/>
        </w:rPr>
        <w:t xml:space="preserve">Personal Communication. </w:t>
      </w:r>
    </w:p>
  </w:endnote>
  <w:endnote w:id="82">
    <w:p w14:paraId="49497E1D"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Republic of the Philippines – Department of Justice. </w:t>
      </w:r>
      <w:hyperlink r:id="rId62" w:history="1">
        <w:r w:rsidRPr="00BE0FB1">
          <w:rPr>
            <w:rStyle w:val="Hyperlink"/>
            <w:rFonts w:asciiTheme="minorHAnsi" w:hAnsiTheme="minorHAnsi" w:cstheme="minorHAnsi"/>
            <w:lang w:val="en-GB"/>
          </w:rPr>
          <w:t>Child Protection Program</w:t>
        </w:r>
      </w:hyperlink>
      <w:r w:rsidRPr="00BE0FB1">
        <w:rPr>
          <w:rFonts w:asciiTheme="minorHAnsi" w:hAnsiTheme="minorHAnsi" w:cstheme="minorHAnsi"/>
          <w:lang w:val="en-GB"/>
        </w:rPr>
        <w:t>.</w:t>
      </w:r>
    </w:p>
  </w:endnote>
  <w:endnote w:id="83">
    <w:p w14:paraId="2377F4EE"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w:t>
      </w:r>
    </w:p>
  </w:endnote>
  <w:endnote w:id="84">
    <w:p w14:paraId="2764EDF9" w14:textId="0DD54782" w:rsidR="00251D49" w:rsidRPr="00BE0FB1" w:rsidRDefault="00251D49" w:rsidP="00BE0FB1">
      <w:pPr>
        <w:pStyle w:val="EndnoteText"/>
        <w:rPr>
          <w:rFonts w:asciiTheme="minorHAnsi" w:hAnsiTheme="minorHAnsi" w:cstheme="minorHAnsi"/>
          <w:i/>
        </w:rPr>
      </w:pPr>
      <w:r w:rsidRPr="00BE0FB1">
        <w:rPr>
          <w:rStyle w:val="EndnoteReference"/>
          <w:rFonts w:asciiTheme="minorHAnsi" w:hAnsiTheme="minorHAnsi" w:cstheme="minorHAnsi"/>
        </w:rPr>
        <w:endnoteRef/>
      </w:r>
      <w:r w:rsidRPr="00BE0FB1">
        <w:rPr>
          <w:rFonts w:asciiTheme="minorHAnsi" w:hAnsiTheme="minorHAnsi" w:cstheme="minorHAnsi"/>
        </w:rPr>
        <w:t xml:space="preserve"> Committee for the Special Protection of Children. (2019). </w:t>
      </w:r>
      <w:r w:rsidRPr="00BE0FB1">
        <w:rPr>
          <w:rFonts w:asciiTheme="minorHAnsi" w:hAnsiTheme="minorHAnsi" w:cstheme="minorHAnsi"/>
          <w:i/>
        </w:rPr>
        <w:t xml:space="preserve">Protecting Filipino children from violence, abuse, neglect, exploitation, and discrimination. A comprehensive program on child protection. </w:t>
      </w:r>
    </w:p>
  </w:endnote>
  <w:endnote w:id="85">
    <w:p w14:paraId="4BFC127F" w14:textId="338B7AF2"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Labor. (2019). </w:t>
      </w:r>
      <w:hyperlink r:id="rId63" w:history="1">
        <w:r w:rsidRPr="00BE0FB1">
          <w:rPr>
            <w:rStyle w:val="Hyperlink"/>
            <w:rFonts w:asciiTheme="minorHAnsi" w:hAnsiTheme="minorHAnsi" w:cstheme="minorHAnsi"/>
            <w:i/>
            <w:lang w:val="en-GB"/>
          </w:rPr>
          <w:t>Philippines: 2018 Findings of the Worst Forms of Child Labor</w:t>
        </w:r>
      </w:hyperlink>
      <w:r w:rsidRPr="00BE0FB1">
        <w:rPr>
          <w:rFonts w:asciiTheme="minorHAnsi" w:hAnsiTheme="minorHAnsi" w:cstheme="minorHAnsi"/>
          <w:lang w:val="en-GB"/>
        </w:rPr>
        <w:t>.</w:t>
      </w:r>
    </w:p>
  </w:endnote>
  <w:endnote w:id="86">
    <w:p w14:paraId="205E6948" w14:textId="23D2FAFD"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w:t>
      </w:r>
    </w:p>
  </w:endnote>
  <w:endnote w:id="87">
    <w:p w14:paraId="60F9AC25" w14:textId="4488FFC2"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w:t>
      </w:r>
    </w:p>
  </w:endnote>
  <w:endnote w:id="88">
    <w:p w14:paraId="654E0219" w14:textId="77777777"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Government of the Philippines. </w:t>
      </w:r>
      <w:hyperlink r:id="rId64" w:history="1">
        <w:r w:rsidRPr="00BE0FB1">
          <w:rPr>
            <w:rStyle w:val="Hyperlink"/>
            <w:rFonts w:asciiTheme="minorHAnsi" w:hAnsiTheme="minorHAnsi" w:cstheme="minorHAnsi"/>
            <w:lang w:val="en-GB"/>
          </w:rPr>
          <w:t>The Inter-Agency Council Against Trafficking (IACAT)</w:t>
        </w:r>
      </w:hyperlink>
      <w:r w:rsidRPr="00BE0FB1">
        <w:rPr>
          <w:rFonts w:asciiTheme="minorHAnsi" w:hAnsiTheme="minorHAnsi" w:cstheme="minorHAnsi"/>
          <w:lang w:val="en-GB"/>
        </w:rPr>
        <w:t>.</w:t>
      </w:r>
    </w:p>
  </w:endnote>
  <w:endnote w:id="89">
    <w:p w14:paraId="7CB3602E" w14:textId="142E1842"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Labor. (2019). </w:t>
      </w:r>
      <w:hyperlink r:id="rId65" w:history="1">
        <w:r w:rsidRPr="00BE0FB1">
          <w:rPr>
            <w:rStyle w:val="Hyperlink"/>
            <w:rFonts w:asciiTheme="minorHAnsi" w:hAnsiTheme="minorHAnsi" w:cstheme="minorHAnsi"/>
            <w:i/>
            <w:lang w:val="en-GB"/>
          </w:rPr>
          <w:t>Philippines: 2018 Findings of the Worst Forms of Child Labor</w:t>
        </w:r>
      </w:hyperlink>
      <w:r w:rsidRPr="00BE0FB1">
        <w:rPr>
          <w:rFonts w:asciiTheme="minorHAnsi" w:hAnsiTheme="minorHAnsi" w:cstheme="minorHAnsi"/>
          <w:lang w:val="en-GB"/>
        </w:rPr>
        <w:t xml:space="preserve">. See also: U.S. Department of State. (2019). </w:t>
      </w:r>
      <w:hyperlink r:id="rId66" w:history="1">
        <w:r w:rsidRPr="00BE0FB1">
          <w:rPr>
            <w:rStyle w:val="Hyperlink"/>
            <w:rFonts w:asciiTheme="minorHAnsi" w:hAnsiTheme="minorHAnsi" w:cstheme="minorHAnsi"/>
            <w:i/>
            <w:lang w:val="en-GB"/>
          </w:rPr>
          <w:t>Trafficking in Persons Report</w:t>
        </w:r>
      </w:hyperlink>
      <w:r w:rsidRPr="00BE0FB1">
        <w:rPr>
          <w:rFonts w:asciiTheme="minorHAnsi" w:hAnsiTheme="minorHAnsi" w:cstheme="minorHAnsi"/>
          <w:lang w:val="en-GB"/>
        </w:rPr>
        <w:t>. 381.</w:t>
      </w:r>
    </w:p>
  </w:endnote>
  <w:endnote w:id="90">
    <w:p w14:paraId="087DC285" w14:textId="03E45E54"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 xml:space="preserve">, 382. </w:t>
      </w:r>
    </w:p>
  </w:endnote>
  <w:endnote w:id="91">
    <w:p w14:paraId="5B9C1AE4" w14:textId="4C0C1BDB"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w:t>
      </w:r>
      <w:r w:rsidRPr="00BE0FB1">
        <w:rPr>
          <w:rFonts w:asciiTheme="minorHAnsi" w:hAnsiTheme="minorHAnsi" w:cstheme="minorHAnsi"/>
          <w:i/>
          <w:lang w:val="en-GB"/>
        </w:rPr>
        <w:t>Ibid.</w:t>
      </w:r>
      <w:r w:rsidRPr="00BE0FB1">
        <w:rPr>
          <w:rFonts w:asciiTheme="minorHAnsi" w:hAnsiTheme="minorHAnsi" w:cstheme="minorHAnsi"/>
          <w:lang w:val="en-GB"/>
        </w:rPr>
        <w:t>, 382.</w:t>
      </w:r>
    </w:p>
  </w:endnote>
  <w:endnote w:id="92">
    <w:p w14:paraId="0EC08DF9" w14:textId="0DE29983"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Department of Social Welfare and Development. (2017). “</w:t>
      </w:r>
      <w:hyperlink r:id="rId67" w:history="1">
        <w:r w:rsidRPr="00BE0FB1">
          <w:rPr>
            <w:rStyle w:val="Hyperlink"/>
            <w:rFonts w:asciiTheme="minorHAnsi" w:hAnsiTheme="minorHAnsi" w:cstheme="minorHAnsi"/>
            <w:lang w:val="en-GB"/>
          </w:rPr>
          <w:t>Inter-Agency Council Against Child Pornography (IACACP) – ASEAN Conference on Cybercrime 2017</w:t>
        </w:r>
      </w:hyperlink>
      <w:r w:rsidRPr="00BE0FB1">
        <w:rPr>
          <w:rFonts w:asciiTheme="minorHAnsi" w:hAnsiTheme="minorHAnsi" w:cstheme="minorHAnsi"/>
          <w:lang w:val="en-GB"/>
        </w:rPr>
        <w:t>”.</w:t>
      </w:r>
    </w:p>
  </w:endnote>
  <w:endnote w:id="93">
    <w:p w14:paraId="2FA0DC4A" w14:textId="5CBB6B42"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Republic of the Philippines – Department of Justice. </w:t>
      </w:r>
      <w:hyperlink r:id="rId68" w:history="1">
        <w:r w:rsidRPr="00BE0FB1">
          <w:rPr>
            <w:rStyle w:val="Hyperlink"/>
            <w:rFonts w:asciiTheme="minorHAnsi" w:hAnsiTheme="minorHAnsi" w:cstheme="minorHAnsi"/>
            <w:lang w:val="en-GB"/>
          </w:rPr>
          <w:t>Office of Cybercrime</w:t>
        </w:r>
      </w:hyperlink>
      <w:r w:rsidRPr="00BE0FB1">
        <w:rPr>
          <w:rFonts w:asciiTheme="minorHAnsi" w:hAnsiTheme="minorHAnsi" w:cstheme="minorHAnsi"/>
          <w:lang w:val="en-GB"/>
        </w:rPr>
        <w:t>.</w:t>
      </w:r>
    </w:p>
  </w:endnote>
  <w:endnote w:id="94">
    <w:p w14:paraId="5AAD9C21" w14:textId="5D905ED5"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n-GB"/>
        </w:rPr>
        <w:t xml:space="preserve"> U.S. Department of Labor. (2019). </w:t>
      </w:r>
      <w:hyperlink r:id="rId69" w:history="1">
        <w:r w:rsidRPr="00BE0FB1">
          <w:rPr>
            <w:rStyle w:val="Hyperlink"/>
            <w:rFonts w:asciiTheme="minorHAnsi" w:hAnsiTheme="minorHAnsi" w:cstheme="minorHAnsi"/>
            <w:i/>
            <w:lang w:val="en-GB"/>
          </w:rPr>
          <w:t>Philippines: 2018 Findings of the Worst Forms of Child Labor</w:t>
        </w:r>
      </w:hyperlink>
      <w:r w:rsidRPr="00BE0FB1">
        <w:rPr>
          <w:rFonts w:asciiTheme="minorHAnsi" w:hAnsiTheme="minorHAnsi" w:cstheme="minorHAnsi"/>
          <w:lang w:val="en-GB"/>
        </w:rPr>
        <w:t>.</w:t>
      </w:r>
    </w:p>
  </w:endnote>
  <w:endnote w:id="95">
    <w:p w14:paraId="683401BA" w14:textId="76A2EFE2"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GB"/>
        </w:rPr>
        <w:t>ECPAT International. (2017). “</w:t>
      </w:r>
      <w:hyperlink r:id="rId70" w:history="1">
        <w:r w:rsidRPr="00BE0FB1">
          <w:rPr>
            <w:rStyle w:val="Hyperlink"/>
            <w:rFonts w:asciiTheme="minorHAnsi" w:hAnsiTheme="minorHAnsi" w:cstheme="minorHAnsi"/>
            <w:lang w:val="en-GB"/>
          </w:rPr>
          <w:t>Through the Eyes of the Child: Barriers to Access to Justice and Remedies for Child Victims of Sexual Exploitation</w:t>
        </w:r>
      </w:hyperlink>
      <w:r w:rsidRPr="00BE0FB1">
        <w:rPr>
          <w:rFonts w:asciiTheme="minorHAnsi" w:hAnsiTheme="minorHAnsi" w:cstheme="minorHAnsi"/>
          <w:lang w:val="en-GB"/>
        </w:rPr>
        <w:t>”. 56.</w:t>
      </w:r>
    </w:p>
  </w:endnote>
  <w:endnote w:id="96">
    <w:p w14:paraId="71F587CB" w14:textId="77777777" w:rsidR="00251D49" w:rsidRPr="00BE0FB1" w:rsidRDefault="00251D49" w:rsidP="00BE0FB1">
      <w:pPr>
        <w:pStyle w:val="EndnoteText"/>
        <w:rPr>
          <w:rFonts w:asciiTheme="minorHAnsi" w:hAnsiTheme="minorHAnsi" w:cstheme="minorHAnsi"/>
          <w: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Republic of the Philippines – Philippine Information Agency. (2019). </w:t>
      </w:r>
      <w:r w:rsidRPr="00BE0FB1">
        <w:rPr>
          <w:rFonts w:asciiTheme="minorHAnsi" w:hAnsiTheme="minorHAnsi" w:cstheme="minorHAnsi"/>
          <w:i/>
        </w:rPr>
        <w:t>“</w:t>
      </w:r>
      <w:hyperlink r:id="rId71" w:history="1">
        <w:r w:rsidRPr="00BE0FB1">
          <w:rPr>
            <w:rStyle w:val="Hyperlink"/>
            <w:rFonts w:asciiTheme="minorHAnsi" w:hAnsiTheme="minorHAnsi" w:cstheme="minorHAnsi"/>
            <w:i/>
          </w:rPr>
          <w:t>QC renews partnership with Bantay Bata 163 as part of Children’s Month celebration</w:t>
        </w:r>
      </w:hyperlink>
      <w:r w:rsidRPr="00BE0FB1">
        <w:rPr>
          <w:rFonts w:asciiTheme="minorHAnsi" w:hAnsiTheme="minorHAnsi" w:cstheme="minorHAnsi"/>
          <w:i/>
        </w:rPr>
        <w:t>”.</w:t>
      </w:r>
    </w:p>
  </w:endnote>
  <w:endnote w:id="97">
    <w:p w14:paraId="73677273" w14:textId="77777777" w:rsidR="00251D49" w:rsidRPr="00BE0FB1" w:rsidRDefault="00251D49" w:rsidP="00BE0FB1">
      <w:pPr>
        <w:pStyle w:val="EndnoteText"/>
        <w:rPr>
          <w:rFonts w:asciiTheme="minorHAnsi" w:hAnsiTheme="minorHAnsi" w:cstheme="minorHAnsi"/>
          <w:lang w:val="es-ES"/>
        </w:rPr>
      </w:pPr>
      <w:r w:rsidRPr="00BE0FB1">
        <w:rPr>
          <w:rStyle w:val="EndnoteReference"/>
          <w:rFonts w:asciiTheme="minorHAnsi" w:hAnsiTheme="minorHAnsi" w:cstheme="minorHAnsi"/>
        </w:rPr>
        <w:endnoteRef/>
      </w:r>
      <w:r w:rsidRPr="00BE0FB1">
        <w:rPr>
          <w:rFonts w:asciiTheme="minorHAnsi" w:hAnsiTheme="minorHAnsi" w:cstheme="minorHAnsi"/>
        </w:rPr>
        <w:t xml:space="preserve"> ABS-CBN. </w:t>
      </w:r>
      <w:hyperlink r:id="rId72" w:history="1">
        <w:r w:rsidRPr="00BE0FB1">
          <w:rPr>
            <w:rStyle w:val="Hyperlink"/>
            <w:rFonts w:asciiTheme="minorHAnsi" w:hAnsiTheme="minorHAnsi" w:cstheme="minorHAnsi"/>
          </w:rPr>
          <w:t>Bantay Bata 163</w:t>
        </w:r>
      </w:hyperlink>
      <w:r w:rsidRPr="00BE0FB1">
        <w:rPr>
          <w:rFonts w:asciiTheme="minorHAnsi" w:hAnsiTheme="minorHAnsi" w:cstheme="minorHAnsi"/>
        </w:rPr>
        <w:t>.</w:t>
      </w:r>
    </w:p>
  </w:endnote>
  <w:endnote w:id="98">
    <w:p w14:paraId="3BF05A1B" w14:textId="1570DCFD"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lang w:val="en-GB"/>
        </w:rPr>
        <w:endnoteRef/>
      </w:r>
      <w:r w:rsidRPr="00BE0FB1">
        <w:rPr>
          <w:rFonts w:asciiTheme="minorHAnsi" w:hAnsiTheme="minorHAnsi" w:cstheme="minorHAnsi"/>
          <w:lang w:val="es-ES"/>
        </w:rPr>
        <w:t xml:space="preserve"> UNICEF. </w:t>
      </w:r>
      <w:r w:rsidRPr="00BE0FB1">
        <w:rPr>
          <w:rFonts w:asciiTheme="minorHAnsi" w:hAnsiTheme="minorHAnsi" w:cstheme="minorHAnsi"/>
          <w:lang w:val="en-GB"/>
        </w:rPr>
        <w:t xml:space="preserve">(2019). </w:t>
      </w:r>
      <w:r w:rsidRPr="00BE0FB1">
        <w:rPr>
          <w:rFonts w:asciiTheme="minorHAnsi" w:hAnsiTheme="minorHAnsi" w:cstheme="minorHAnsi"/>
          <w:i/>
          <w:lang w:val="en-GB"/>
        </w:rPr>
        <w:t>“</w:t>
      </w:r>
      <w:hyperlink r:id="rId73" w:history="1">
        <w:r w:rsidRPr="00BE0FB1">
          <w:rPr>
            <w:rStyle w:val="Hyperlink"/>
            <w:rFonts w:asciiTheme="minorHAnsi" w:hAnsiTheme="minorHAnsi" w:cstheme="minorHAnsi"/>
            <w:i/>
            <w:lang w:val="en-GB"/>
          </w:rPr>
          <w:t>New campaign SaferKidsPH to raise awareness on online sexual exploitation of children</w:t>
        </w:r>
      </w:hyperlink>
      <w:r w:rsidRPr="00BE0FB1">
        <w:rPr>
          <w:rFonts w:asciiTheme="minorHAnsi" w:hAnsiTheme="minorHAnsi" w:cstheme="minorHAnsi"/>
          <w:i/>
          <w:lang w:val="en-GB"/>
        </w:rPr>
        <w:t>”.</w:t>
      </w:r>
      <w:r w:rsidRPr="00BE0FB1">
        <w:rPr>
          <w:rFonts w:asciiTheme="minorHAnsi" w:hAnsiTheme="minorHAnsi" w:cstheme="minorHAnsi"/>
          <w:lang w:val="en-GB"/>
        </w:rPr>
        <w:t xml:space="preserve"> </w:t>
      </w:r>
      <w:r w:rsidRPr="00BE0FB1">
        <w:rPr>
          <w:rFonts w:asciiTheme="minorHAnsi" w:hAnsiTheme="minorHAnsi" w:cstheme="minorHAnsi"/>
          <w:i/>
          <w:lang w:val="en-GB"/>
        </w:rPr>
        <w:t xml:space="preserve"> </w:t>
      </w:r>
    </w:p>
  </w:endnote>
  <w:endnote w:id="99">
    <w:p w14:paraId="1363C703" w14:textId="6E4AAE87"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US"/>
        </w:rPr>
        <w:t xml:space="preserve">See: </w:t>
      </w:r>
      <w:hyperlink r:id="rId74" w:history="1">
        <w:r w:rsidRPr="00BE0FB1">
          <w:rPr>
            <w:rStyle w:val="Hyperlink"/>
            <w:rFonts w:asciiTheme="minorHAnsi" w:hAnsiTheme="minorHAnsi" w:cstheme="minorHAnsi"/>
          </w:rPr>
          <w:t>https://www.saferkidsph.org/</w:t>
        </w:r>
      </w:hyperlink>
      <w:r w:rsidRPr="00BE0FB1">
        <w:rPr>
          <w:rFonts w:asciiTheme="minorHAnsi" w:hAnsiTheme="minorHAnsi" w:cstheme="minorHAnsi"/>
        </w:rPr>
        <w:t>.</w:t>
      </w:r>
    </w:p>
  </w:endnote>
  <w:endnote w:id="100">
    <w:p w14:paraId="0A665F38" w14:textId="53B4FA1B" w:rsidR="00251D49" w:rsidRPr="00BE0FB1" w:rsidRDefault="00251D49" w:rsidP="00BE0FB1">
      <w:pPr>
        <w:pStyle w:val="EndnoteText"/>
        <w:rPr>
          <w:rFonts w:asciiTheme="minorHAnsi" w:hAnsiTheme="minorHAnsi" w:cstheme="minorHAnsi"/>
          <w:i/>
        </w:rPr>
      </w:pPr>
      <w:r w:rsidRPr="00BE0FB1">
        <w:rPr>
          <w:rStyle w:val="EndnoteReference"/>
          <w:rFonts w:asciiTheme="minorHAnsi" w:hAnsiTheme="minorHAnsi" w:cstheme="minorHAnsi"/>
        </w:rPr>
        <w:endnoteRef/>
      </w:r>
      <w:r w:rsidRPr="00BE0FB1">
        <w:rPr>
          <w:rFonts w:asciiTheme="minorHAnsi" w:hAnsiTheme="minorHAnsi" w:cstheme="minorHAnsi"/>
        </w:rPr>
        <w:t xml:space="preserve"> ECPAT Philippines (2019, December). </w:t>
      </w:r>
      <w:r w:rsidRPr="00BE0FB1">
        <w:rPr>
          <w:rFonts w:asciiTheme="minorHAnsi" w:hAnsiTheme="minorHAnsi" w:cstheme="minorHAnsi"/>
          <w:i/>
        </w:rPr>
        <w:t xml:space="preserve">Personal Communication with INHOPE. </w:t>
      </w:r>
    </w:p>
  </w:endnote>
  <w:endnote w:id="101">
    <w:p w14:paraId="3C253C2E" w14:textId="5CF0C654" w:rsidR="00251D49" w:rsidRPr="00BE0FB1"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GB"/>
        </w:rPr>
        <w:t xml:space="preserve">U.S. Department of State. (2019). </w:t>
      </w:r>
      <w:hyperlink r:id="rId75" w:history="1">
        <w:r w:rsidRPr="00BE0FB1">
          <w:rPr>
            <w:rStyle w:val="Hyperlink"/>
            <w:rFonts w:asciiTheme="minorHAnsi" w:hAnsiTheme="minorHAnsi" w:cstheme="minorHAnsi"/>
            <w:i/>
            <w:lang w:val="en-GB"/>
          </w:rPr>
          <w:t>Trafficking in Persons Report</w:t>
        </w:r>
      </w:hyperlink>
      <w:r w:rsidRPr="00BE0FB1">
        <w:rPr>
          <w:rFonts w:asciiTheme="minorHAnsi" w:hAnsiTheme="minorHAnsi" w:cstheme="minorHAnsi"/>
          <w:lang w:val="en-GB"/>
        </w:rPr>
        <w:t>. 382.</w:t>
      </w:r>
    </w:p>
  </w:endnote>
  <w:endnote w:id="102">
    <w:p w14:paraId="33D14565" w14:textId="66D4147A"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xml:space="preserve">, 382. </w:t>
      </w:r>
    </w:p>
  </w:endnote>
  <w:endnote w:id="103">
    <w:p w14:paraId="29B24C33" w14:textId="1629542F"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xml:space="preserve">, 381. </w:t>
      </w:r>
    </w:p>
  </w:endnote>
  <w:endnote w:id="104">
    <w:p w14:paraId="01C439BB" w14:textId="40607012" w:rsidR="00251D49" w:rsidRPr="00BE0FB1" w:rsidRDefault="00251D49" w:rsidP="00BE0FB1">
      <w:pPr>
        <w:pStyle w:val="EndnoteText"/>
        <w:rPr>
          <w:rFonts w:asciiTheme="minorHAnsi" w:hAnsiTheme="minorHAnsi" w:cstheme="minorHAnsi"/>
          <w: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US"/>
        </w:rPr>
        <w:t xml:space="preserve">ECPAT Philippines. (February 2020). </w:t>
      </w:r>
      <w:r w:rsidRPr="00BE0FB1">
        <w:rPr>
          <w:rFonts w:asciiTheme="minorHAnsi" w:hAnsiTheme="minorHAnsi" w:cstheme="minorHAnsi"/>
          <w:i/>
          <w:lang w:val="en-US"/>
        </w:rPr>
        <w:t>Personal Communication.</w:t>
      </w:r>
    </w:p>
  </w:endnote>
  <w:endnote w:id="105">
    <w:p w14:paraId="61C02F39" w14:textId="507E9B40" w:rsidR="00251D49" w:rsidRPr="00BE0FB1" w:rsidRDefault="00251D49" w:rsidP="00BE0FB1">
      <w:pPr>
        <w:pStyle w:val="EndnoteText"/>
        <w:rPr>
          <w:rFonts w:asciiTheme="minorHAnsi" w:hAnsiTheme="minorHAnsi" w:cstheme="minorHAnsi"/>
          <w: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US"/>
        </w:rPr>
        <w:t xml:space="preserve">Republic of the Philippines. Province of Bohol. (2017). </w:t>
      </w:r>
      <w:r w:rsidRPr="00BE0FB1">
        <w:rPr>
          <w:rFonts w:asciiTheme="minorHAnsi" w:hAnsiTheme="minorHAnsi" w:cstheme="minorHAnsi"/>
          <w:i/>
          <w:lang w:val="en-US"/>
        </w:rPr>
        <w:t>Provincial Ordinance No. 2017-005.</w:t>
      </w:r>
    </w:p>
  </w:endnote>
  <w:endnote w:id="106">
    <w:p w14:paraId="38F57F24" w14:textId="08A73A2D"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GB"/>
        </w:rPr>
        <w:t>ECPAT International. (2017). “</w:t>
      </w:r>
      <w:hyperlink r:id="rId76" w:history="1">
        <w:r w:rsidRPr="00BE0FB1">
          <w:rPr>
            <w:rStyle w:val="Hyperlink"/>
            <w:rFonts w:asciiTheme="minorHAnsi" w:hAnsiTheme="minorHAnsi" w:cstheme="minorHAnsi"/>
            <w:lang w:val="en-GB"/>
          </w:rPr>
          <w:t>Through the Eyes of the Child: Barriers to Access to Justice and Remedies for Child Victims of Sexual Exploitation</w:t>
        </w:r>
      </w:hyperlink>
      <w:r w:rsidRPr="00BE0FB1">
        <w:rPr>
          <w:rFonts w:asciiTheme="minorHAnsi" w:hAnsiTheme="minorHAnsi" w:cstheme="minorHAnsi"/>
          <w:lang w:val="en-GB"/>
        </w:rPr>
        <w:t>”. 44.</w:t>
      </w:r>
    </w:p>
  </w:endnote>
  <w:endnote w:id="107">
    <w:p w14:paraId="1BBDD71A" w14:textId="182069BA"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77" w:history="1">
        <w:r w:rsidRPr="00BE0FB1">
          <w:rPr>
            <w:rStyle w:val="Hyperlink"/>
            <w:rFonts w:asciiTheme="minorHAnsi" w:hAnsiTheme="minorHAnsi" w:cstheme="minorHAnsi"/>
          </w:rPr>
          <w:t>Constitution</w:t>
        </w:r>
      </w:hyperlink>
      <w:r w:rsidRPr="00BE0FB1">
        <w:rPr>
          <w:rFonts w:asciiTheme="minorHAnsi" w:hAnsiTheme="minorHAnsi" w:cstheme="minorHAnsi"/>
        </w:rPr>
        <w:t>, Article XV, Section 3(2).</w:t>
      </w:r>
    </w:p>
  </w:endnote>
  <w:endnote w:id="108">
    <w:p w14:paraId="26ABAFB0" w14:textId="481273E9"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GB"/>
        </w:rPr>
        <w:t>ECPAT International. (2017). “</w:t>
      </w:r>
      <w:hyperlink r:id="rId78" w:history="1">
        <w:r w:rsidRPr="00BE0FB1">
          <w:rPr>
            <w:rStyle w:val="Hyperlink"/>
            <w:rFonts w:asciiTheme="minorHAnsi" w:hAnsiTheme="minorHAnsi" w:cstheme="minorHAnsi"/>
            <w:lang w:val="en-GB"/>
          </w:rPr>
          <w:t>Through the Eyes of the Child: Barriers to Access to Justice and Remedies for Child Victims of Sexual Exploitation</w:t>
        </w:r>
      </w:hyperlink>
      <w:r w:rsidRPr="00BE0FB1">
        <w:rPr>
          <w:rFonts w:asciiTheme="minorHAnsi" w:hAnsiTheme="minorHAnsi" w:cstheme="minorHAnsi"/>
          <w:lang w:val="en-GB"/>
        </w:rPr>
        <w:t>”. 44.</w:t>
      </w:r>
    </w:p>
  </w:endnote>
  <w:endnote w:id="109">
    <w:p w14:paraId="1F77C10A" w14:textId="26EAB0B9"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79" w:history="1">
        <w:r w:rsidRPr="00BE0FB1">
          <w:rPr>
            <w:rStyle w:val="Hyperlink"/>
            <w:rFonts w:asciiTheme="minorHAnsi" w:hAnsiTheme="minorHAnsi" w:cstheme="minorHAnsi"/>
          </w:rPr>
          <w:t>Juvenile Justice and Welfare Act</w:t>
        </w:r>
      </w:hyperlink>
      <w:r w:rsidRPr="00BE0FB1">
        <w:rPr>
          <w:rFonts w:asciiTheme="minorHAnsi" w:hAnsiTheme="minorHAnsi" w:cstheme="minorHAnsi"/>
        </w:rPr>
        <w:t>, Section 6.</w:t>
      </w:r>
    </w:p>
  </w:endnote>
  <w:endnote w:id="110">
    <w:p w14:paraId="04961E89" w14:textId="03FEFD18" w:rsidR="00251D49" w:rsidRPr="00BE0FB1" w:rsidRDefault="00251D49" w:rsidP="00BE0FB1">
      <w:pPr>
        <w:pStyle w:val="EndnoteText"/>
        <w:rPr>
          <w:rFonts w:asciiTheme="minorHAnsi" w:hAnsiTheme="minorHAnsi" w:cstheme="minorHAnsi"/>
          <w:i/>
        </w:rPr>
      </w:pPr>
      <w:r w:rsidRPr="00BE0FB1">
        <w:rPr>
          <w:rStyle w:val="EndnoteReference"/>
          <w:rFonts w:asciiTheme="minorHAnsi" w:hAnsiTheme="minorHAnsi" w:cstheme="minorHAnsi"/>
        </w:rPr>
        <w:endnoteRef/>
      </w:r>
      <w:r w:rsidRPr="00BE0FB1">
        <w:rPr>
          <w:rFonts w:asciiTheme="minorHAnsi" w:hAnsiTheme="minorHAnsi" w:cstheme="minorHAnsi"/>
        </w:rPr>
        <w:t xml:space="preserve"> Rappler. (2019). “</w:t>
      </w:r>
      <w:hyperlink r:id="rId80" w:history="1">
        <w:r w:rsidRPr="00BE0FB1">
          <w:rPr>
            <w:rStyle w:val="Hyperlink"/>
            <w:rFonts w:asciiTheme="minorHAnsi" w:hAnsiTheme="minorHAnsi" w:cstheme="minorHAnsi"/>
            <w:i/>
          </w:rPr>
          <w:t>House lowers minimum age of criminal responsibility to 12</w:t>
        </w:r>
      </w:hyperlink>
      <w:r w:rsidRPr="00BE0FB1">
        <w:rPr>
          <w:rFonts w:asciiTheme="minorHAnsi" w:hAnsiTheme="minorHAnsi" w:cstheme="minorHAnsi"/>
          <w:i/>
        </w:rPr>
        <w:t>”.</w:t>
      </w:r>
    </w:p>
  </w:endnote>
  <w:endnote w:id="111">
    <w:p w14:paraId="2F3CB193" w14:textId="49C57385"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lang w:val="en-US"/>
        </w:rPr>
        <w:t>Ibid.</w:t>
      </w:r>
      <w:r w:rsidRPr="00BE0FB1">
        <w:rPr>
          <w:rFonts w:asciiTheme="minorHAnsi" w:hAnsiTheme="minorHAnsi" w:cstheme="minorHAnsi"/>
          <w:lang w:val="en-US"/>
        </w:rPr>
        <w:t>, 67.</w:t>
      </w:r>
    </w:p>
  </w:endnote>
  <w:endnote w:id="112">
    <w:p w14:paraId="53577AAB" w14:textId="118F0E65"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81" w:history="1">
        <w:r w:rsidRPr="00BE0FB1">
          <w:rPr>
            <w:rStyle w:val="Hyperlink"/>
            <w:rFonts w:asciiTheme="minorHAnsi" w:hAnsiTheme="minorHAnsi" w:cstheme="minorHAnsi"/>
          </w:rPr>
          <w:t>Juvenile Justice and Welfare Act</w:t>
        </w:r>
      </w:hyperlink>
      <w:r w:rsidRPr="00BE0FB1">
        <w:rPr>
          <w:rFonts w:asciiTheme="minorHAnsi" w:hAnsiTheme="minorHAnsi" w:cstheme="minorHAnsi"/>
        </w:rPr>
        <w:t>, Section 58.</w:t>
      </w:r>
    </w:p>
  </w:endnote>
  <w:endnote w:id="113">
    <w:p w14:paraId="41A0EEC5" w14:textId="796EC0DB"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82" w:history="1">
        <w:r w:rsidRPr="00BE0FB1">
          <w:rPr>
            <w:rStyle w:val="Hyperlink"/>
            <w:rFonts w:asciiTheme="minorHAnsi" w:hAnsiTheme="minorHAnsi" w:cstheme="minorHAnsi"/>
          </w:rPr>
          <w:t>Expanded Anti-Trafficking Act</w:t>
        </w:r>
      </w:hyperlink>
      <w:r w:rsidRPr="00BE0FB1">
        <w:rPr>
          <w:rFonts w:asciiTheme="minorHAnsi" w:hAnsiTheme="minorHAnsi" w:cstheme="minorHAnsi"/>
        </w:rPr>
        <w:t>, Section 17.</w:t>
      </w:r>
    </w:p>
  </w:endnote>
  <w:endnote w:id="114">
    <w:p w14:paraId="754E9F6D" w14:textId="7581FBA6"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83" w:history="1">
        <w:r w:rsidRPr="00BE0FB1">
          <w:rPr>
            <w:rStyle w:val="Hyperlink"/>
            <w:rFonts w:asciiTheme="minorHAnsi" w:hAnsiTheme="minorHAnsi" w:cstheme="minorHAnsi"/>
          </w:rPr>
          <w:t>Revised Penal Code</w:t>
        </w:r>
      </w:hyperlink>
      <w:r w:rsidRPr="00BE0FB1">
        <w:rPr>
          <w:rFonts w:asciiTheme="minorHAnsi" w:hAnsiTheme="minorHAnsi" w:cstheme="minorHAnsi"/>
        </w:rPr>
        <w:t>, Article 202.</w:t>
      </w:r>
    </w:p>
  </w:endnote>
  <w:endnote w:id="115">
    <w:p w14:paraId="22C176D8" w14:textId="1EC07AB7"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xml:space="preserve"> Article 202(5). </w:t>
      </w:r>
    </w:p>
  </w:endnote>
  <w:endnote w:id="116">
    <w:p w14:paraId="7A8A9890" w14:textId="75532E22" w:rsidR="00251D49" w:rsidRPr="00251D49" w:rsidRDefault="00251D49" w:rsidP="00BE0FB1">
      <w:pPr>
        <w:pStyle w:val="EndnoteText"/>
        <w:rPr>
          <w:rFonts w:asciiTheme="minorHAnsi" w:hAnsiTheme="minorHAnsi" w:cstheme="minorHAnsi"/>
          <w:lang w:val="en-GB"/>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xml:space="preserve">, Article 341. </w:t>
      </w:r>
    </w:p>
  </w:endnote>
  <w:endnote w:id="117">
    <w:p w14:paraId="5978EB31" w14:textId="215292EE"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Article 340.</w:t>
      </w:r>
    </w:p>
  </w:endnote>
  <w:endnote w:id="118">
    <w:p w14:paraId="234D5C61" w14:textId="4E57486A"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xml:space="preserve">, Article 272. </w:t>
      </w:r>
    </w:p>
  </w:endnote>
  <w:endnote w:id="119">
    <w:p w14:paraId="62DA1F3C" w14:textId="77856F5E" w:rsidR="00251D49" w:rsidRPr="00BE0FB1" w:rsidRDefault="00251D49" w:rsidP="00BE0FB1">
      <w:pPr>
        <w:pStyle w:val="EndnoteText"/>
        <w:rPr>
          <w:rFonts w:asciiTheme="minorHAnsi" w:hAnsiTheme="minorHAnsi" w:cstheme="minorHAnsi"/>
          <w:i/>
        </w:rPr>
      </w:pPr>
      <w:r w:rsidRPr="00BE0FB1">
        <w:rPr>
          <w:rStyle w:val="EndnoteReference"/>
          <w:rFonts w:asciiTheme="minorHAnsi" w:hAnsiTheme="minorHAnsi" w:cstheme="minorHAnsi"/>
        </w:rPr>
        <w:endnoteRef/>
      </w:r>
      <w:r w:rsidRPr="00BE0FB1">
        <w:rPr>
          <w:rFonts w:asciiTheme="minorHAnsi" w:hAnsiTheme="minorHAnsi" w:cstheme="minorHAnsi"/>
        </w:rPr>
        <w:t xml:space="preserve"> Rappler. (2015). “</w:t>
      </w:r>
      <w:hyperlink r:id="rId84" w:history="1">
        <w:r w:rsidRPr="00BE0FB1">
          <w:rPr>
            <w:rStyle w:val="Hyperlink"/>
            <w:rFonts w:asciiTheme="minorHAnsi" w:hAnsiTheme="minorHAnsi" w:cstheme="minorHAnsi"/>
            <w:i/>
          </w:rPr>
          <w:t>Looking back: First Anti-trafficking law in Southeast Asia</w:t>
        </w:r>
      </w:hyperlink>
      <w:r w:rsidRPr="00BE0FB1">
        <w:rPr>
          <w:rFonts w:asciiTheme="minorHAnsi" w:hAnsiTheme="minorHAnsi" w:cstheme="minorHAnsi"/>
          <w:i/>
        </w:rPr>
        <w:t xml:space="preserve">”. </w:t>
      </w:r>
    </w:p>
  </w:endnote>
  <w:endnote w:id="120">
    <w:p w14:paraId="4798ABFF" w14:textId="01083C7B"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85" w:history="1">
        <w:r w:rsidRPr="00BE0FB1">
          <w:rPr>
            <w:rStyle w:val="Hyperlink"/>
            <w:rFonts w:asciiTheme="minorHAnsi" w:hAnsiTheme="minorHAnsi" w:cstheme="minorHAnsi"/>
          </w:rPr>
          <w:t>Anti-Trafficking in Persons Act</w:t>
        </w:r>
      </w:hyperlink>
      <w:r w:rsidRPr="00BE0FB1">
        <w:rPr>
          <w:rFonts w:asciiTheme="minorHAnsi" w:hAnsiTheme="minorHAnsi" w:cstheme="minorHAnsi"/>
        </w:rPr>
        <w:t>, Section 3(f).</w:t>
      </w:r>
    </w:p>
  </w:endnote>
  <w:endnote w:id="121">
    <w:p w14:paraId="3DD519B0" w14:textId="57AEEEE5"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xml:space="preserve">, Section 3(a). </w:t>
      </w:r>
    </w:p>
  </w:endnote>
  <w:endnote w:id="122">
    <w:p w14:paraId="2F78F633" w14:textId="279759BD"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Section 3(c) to (h).</w:t>
      </w:r>
    </w:p>
  </w:endnote>
  <w:endnote w:id="123">
    <w:p w14:paraId="14912EDD" w14:textId="77777777"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86" w:history="1">
        <w:r w:rsidRPr="00BE0FB1">
          <w:rPr>
            <w:rStyle w:val="Hyperlink"/>
            <w:rFonts w:asciiTheme="minorHAnsi" w:hAnsiTheme="minorHAnsi" w:cstheme="minorHAnsi"/>
          </w:rPr>
          <w:t>Anti-Trafficking in Persons Act</w:t>
        </w:r>
      </w:hyperlink>
      <w:r w:rsidRPr="00BE0FB1">
        <w:rPr>
          <w:rFonts w:asciiTheme="minorHAnsi" w:hAnsiTheme="minorHAnsi" w:cstheme="minorHAnsi"/>
        </w:rPr>
        <w:t>, Section 3(e).</w:t>
      </w:r>
    </w:p>
  </w:endnote>
  <w:endnote w:id="124">
    <w:p w14:paraId="20BFA19D" w14:textId="77777777"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Section 10(a).</w:t>
      </w:r>
    </w:p>
  </w:endnote>
  <w:endnote w:id="125">
    <w:p w14:paraId="43D12F48" w14:textId="1545B9B0"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87" w:history="1">
        <w:r w:rsidRPr="00BE0FB1">
          <w:rPr>
            <w:rStyle w:val="Hyperlink"/>
            <w:rFonts w:asciiTheme="minorHAnsi" w:hAnsiTheme="minorHAnsi" w:cstheme="minorHAnsi"/>
            <w:lang w:val="en-US"/>
          </w:rPr>
          <w:t>Anti-Child Pornography Act</w:t>
        </w:r>
      </w:hyperlink>
      <w:r w:rsidRPr="00BE0FB1">
        <w:rPr>
          <w:rFonts w:asciiTheme="minorHAnsi" w:hAnsiTheme="minorHAnsi" w:cstheme="minorHAnsi"/>
          <w:lang w:val="en-US"/>
        </w:rPr>
        <w:t>, Section 3(b).</w:t>
      </w:r>
    </w:p>
  </w:endnote>
  <w:endnote w:id="126">
    <w:p w14:paraId="5292FB7B" w14:textId="6B3465E6"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Section 3(c).</w:t>
      </w:r>
    </w:p>
  </w:endnote>
  <w:endnote w:id="127">
    <w:p w14:paraId="4155601B" w14:textId="31DE2016"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Section 4.</w:t>
      </w:r>
    </w:p>
  </w:endnote>
  <w:endnote w:id="128">
    <w:p w14:paraId="7006E471" w14:textId="6D5FA47E"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Section 4(a).</w:t>
      </w:r>
    </w:p>
  </w:endnote>
  <w:endnote w:id="129">
    <w:p w14:paraId="38C40059" w14:textId="659B8D8C"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Section 15.</w:t>
      </w:r>
    </w:p>
  </w:endnote>
  <w:endnote w:id="130">
    <w:p w14:paraId="138A1821" w14:textId="1E001984"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88" w:history="1">
        <w:r w:rsidRPr="00BE0FB1">
          <w:rPr>
            <w:rStyle w:val="Hyperlink"/>
            <w:rFonts w:asciiTheme="minorHAnsi" w:hAnsiTheme="minorHAnsi" w:cstheme="minorHAnsi"/>
          </w:rPr>
          <w:t>Cybercrime Prevention Act</w:t>
        </w:r>
      </w:hyperlink>
      <w:r w:rsidRPr="00BE0FB1">
        <w:rPr>
          <w:rFonts w:asciiTheme="minorHAnsi" w:hAnsiTheme="minorHAnsi" w:cstheme="minorHAnsi"/>
        </w:rPr>
        <w:t xml:space="preserve">, </w:t>
      </w:r>
      <w:r w:rsidRPr="00BE0FB1">
        <w:rPr>
          <w:rFonts w:asciiTheme="minorHAnsi" w:hAnsiTheme="minorHAnsi" w:cstheme="minorHAnsi"/>
          <w:shd w:val="clear" w:color="auto" w:fill="FFFFFF"/>
        </w:rPr>
        <w:t>section 4(c)(2).</w:t>
      </w:r>
    </w:p>
  </w:endnote>
  <w:endnote w:id="131">
    <w:p w14:paraId="6FC961B6" w14:textId="5E343F52"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89" w:history="1">
        <w:r w:rsidRPr="00BE0FB1">
          <w:rPr>
            <w:rStyle w:val="Hyperlink"/>
            <w:rFonts w:asciiTheme="minorHAnsi" w:hAnsiTheme="minorHAnsi" w:cstheme="minorHAnsi"/>
            <w:lang w:val="en-US"/>
          </w:rPr>
          <w:t>Anti-Child Pornography Act</w:t>
        </w:r>
      </w:hyperlink>
      <w:r w:rsidRPr="00BE0FB1">
        <w:rPr>
          <w:rFonts w:asciiTheme="minorHAnsi" w:hAnsiTheme="minorHAnsi" w:cstheme="minorHAnsi"/>
          <w:lang w:val="en-US"/>
        </w:rPr>
        <w:t>, Section 4(h).</w:t>
      </w:r>
    </w:p>
  </w:endnote>
  <w:endnote w:id="132">
    <w:p w14:paraId="66980842" w14:textId="1FE43E17"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Section 15(e).</w:t>
      </w:r>
    </w:p>
  </w:endnote>
  <w:endnote w:id="133">
    <w:p w14:paraId="12884C60" w14:textId="32B58149"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Section 3(h) and (i).</w:t>
      </w:r>
    </w:p>
  </w:endnote>
  <w:endnote w:id="134">
    <w:p w14:paraId="3C9C36CF" w14:textId="24B1A229"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ECPAT International. </w:t>
      </w:r>
      <w:hyperlink r:id="rId90" w:history="1">
        <w:r w:rsidRPr="00BE0FB1">
          <w:rPr>
            <w:rStyle w:val="Hyperlink"/>
            <w:rFonts w:asciiTheme="minorHAnsi" w:hAnsiTheme="minorHAnsi" w:cstheme="minorHAnsi"/>
          </w:rPr>
          <w:t>Global Database – The Philippines</w:t>
        </w:r>
      </w:hyperlink>
      <w:r w:rsidRPr="00BE0FB1">
        <w:rPr>
          <w:rFonts w:asciiTheme="minorHAnsi" w:hAnsiTheme="minorHAnsi" w:cstheme="minorHAnsi"/>
        </w:rPr>
        <w:t>.</w:t>
      </w:r>
    </w:p>
  </w:endnote>
  <w:endnote w:id="135">
    <w:p w14:paraId="58C9CA3C" w14:textId="4A3E94FE"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91" w:history="1">
        <w:r w:rsidRPr="00BE0FB1">
          <w:rPr>
            <w:rStyle w:val="Hyperlink"/>
            <w:rFonts w:asciiTheme="minorHAnsi" w:hAnsiTheme="minorHAnsi" w:cstheme="minorHAnsi"/>
          </w:rPr>
          <w:t>Special Protection of Children Against Abuse, Exploitation and Discrimination Act</w:t>
        </w:r>
      </w:hyperlink>
      <w:r w:rsidRPr="00BE0FB1">
        <w:rPr>
          <w:rFonts w:asciiTheme="minorHAnsi" w:hAnsiTheme="minorHAnsi" w:cstheme="minorHAnsi"/>
        </w:rPr>
        <w:t>, Article 5, Section 9.</w:t>
      </w:r>
    </w:p>
  </w:endnote>
  <w:endnote w:id="136">
    <w:p w14:paraId="39F857A2" w14:textId="40546455" w:rsidR="00251D49" w:rsidRPr="00BE0FB1" w:rsidRDefault="00251D49" w:rsidP="00BE0FB1">
      <w:pPr>
        <w:pStyle w:val="EndnoteText"/>
        <w:rPr>
          <w:rFonts w:asciiTheme="minorHAnsi" w:hAnsiTheme="minorHAnsi" w:cstheme="minorHAnsi"/>
          <w:i/>
        </w:rPr>
      </w:pPr>
      <w:r w:rsidRPr="00BE0FB1">
        <w:rPr>
          <w:rStyle w:val="EndnoteReference"/>
          <w:rFonts w:asciiTheme="minorHAnsi" w:hAnsiTheme="minorHAnsi" w:cstheme="minorHAnsi"/>
        </w:rPr>
        <w:endnoteRef/>
      </w:r>
      <w:r w:rsidRPr="00BE0FB1">
        <w:rPr>
          <w:rFonts w:asciiTheme="minorHAnsi" w:hAnsiTheme="minorHAnsi" w:cstheme="minorHAnsi"/>
        </w:rPr>
        <w:t xml:space="preserve"> Republic of the Philippines. Anti-Money Laundering Council. (2001, July 23). </w:t>
      </w:r>
      <w:hyperlink r:id="rId92" w:history="1">
        <w:r w:rsidRPr="00BE0FB1">
          <w:rPr>
            <w:rStyle w:val="Hyperlink"/>
            <w:rFonts w:asciiTheme="minorHAnsi" w:hAnsiTheme="minorHAnsi" w:cstheme="minorHAnsi"/>
            <w:i/>
          </w:rPr>
          <w:t>Anti-Money Laundering Act of 2001</w:t>
        </w:r>
      </w:hyperlink>
      <w:r w:rsidRPr="00BE0FB1">
        <w:rPr>
          <w:rFonts w:asciiTheme="minorHAnsi" w:hAnsiTheme="minorHAnsi" w:cstheme="minorHAnsi"/>
          <w:i/>
        </w:rPr>
        <w:t>.</w:t>
      </w:r>
    </w:p>
  </w:endnote>
  <w:endnote w:id="137">
    <w:p w14:paraId="3046F116" w14:textId="7A6767EC" w:rsidR="00251D49" w:rsidRPr="00BE0FB1" w:rsidRDefault="00251D49" w:rsidP="00BE0FB1">
      <w:pPr>
        <w:pStyle w:val="EndnoteText"/>
        <w:rPr>
          <w:rFonts w:asciiTheme="minorHAnsi" w:hAnsiTheme="minorHAnsi" w:cstheme="minorHAnsi"/>
          <w: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p>
  </w:endnote>
  <w:endnote w:id="138">
    <w:p w14:paraId="4F270CDD" w14:textId="02C2DAC8"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93" w:history="1">
        <w:r w:rsidRPr="00BE0FB1">
          <w:rPr>
            <w:rStyle w:val="Hyperlink"/>
            <w:rFonts w:asciiTheme="minorHAnsi" w:hAnsiTheme="minorHAnsi" w:cstheme="minorHAnsi"/>
            <w:lang w:val="en-US"/>
          </w:rPr>
          <w:t>Anti-Child Pornography Act</w:t>
        </w:r>
      </w:hyperlink>
      <w:r w:rsidRPr="00BE0FB1">
        <w:rPr>
          <w:rFonts w:asciiTheme="minorHAnsi" w:hAnsiTheme="minorHAnsi" w:cstheme="minorHAnsi"/>
          <w:lang w:val="en-US"/>
        </w:rPr>
        <w:t>, Section 9.</w:t>
      </w:r>
    </w:p>
  </w:endnote>
  <w:endnote w:id="139">
    <w:p w14:paraId="48FBE86F" w14:textId="2A9E54A1"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Section 15(k).</w:t>
      </w:r>
    </w:p>
  </w:endnote>
  <w:endnote w:id="140">
    <w:p w14:paraId="6B01C2ED" w14:textId="61A81CDB"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GB"/>
        </w:rPr>
        <w:t xml:space="preserve">Rappler. (2019). </w:t>
      </w:r>
      <w:r w:rsidRPr="00BE0FB1">
        <w:rPr>
          <w:rFonts w:asciiTheme="minorHAnsi" w:hAnsiTheme="minorHAnsi" w:cstheme="minorHAnsi"/>
          <w:i/>
          <w:lang w:val="en-GB"/>
        </w:rPr>
        <w:t>“</w:t>
      </w:r>
      <w:hyperlink r:id="rId94" w:history="1">
        <w:r w:rsidRPr="00BE0FB1">
          <w:rPr>
            <w:rStyle w:val="Hyperlink"/>
            <w:rFonts w:asciiTheme="minorHAnsi" w:hAnsiTheme="minorHAnsi" w:cstheme="minorHAnsi"/>
            <w:i/>
            <w:lang w:val="en-GB"/>
          </w:rPr>
          <w:t>Internet service providers fail to report sites transmitting child porn – DSWD</w:t>
        </w:r>
      </w:hyperlink>
      <w:r w:rsidRPr="00BE0FB1">
        <w:rPr>
          <w:rFonts w:asciiTheme="minorHAnsi" w:hAnsiTheme="minorHAnsi" w:cstheme="minorHAnsi"/>
          <w:i/>
          <w:lang w:val="en-GB"/>
        </w:rPr>
        <w:t>”.</w:t>
      </w:r>
    </w:p>
  </w:endnote>
  <w:endnote w:id="141">
    <w:p w14:paraId="433C57D8" w14:textId="031BC952" w:rsidR="00251D49" w:rsidRPr="00BE0FB1" w:rsidRDefault="00251D49" w:rsidP="00BE0FB1">
      <w:pPr>
        <w:pStyle w:val="EndnoteText"/>
        <w:rPr>
          <w:rFonts w:asciiTheme="minorHAnsi" w:hAnsiTheme="minorHAnsi" w:cstheme="minorHAnsi"/>
          <w: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US"/>
        </w:rPr>
        <w:t xml:space="preserve">ECPAT Philippines. (2020, February). </w:t>
      </w:r>
      <w:r w:rsidRPr="00BE0FB1">
        <w:rPr>
          <w:rFonts w:asciiTheme="minorHAnsi" w:hAnsiTheme="minorHAnsi" w:cstheme="minorHAnsi"/>
          <w:i/>
          <w:lang w:val="en-US"/>
        </w:rPr>
        <w:t>Personal Communication.</w:t>
      </w:r>
    </w:p>
  </w:endnote>
  <w:endnote w:id="142">
    <w:p w14:paraId="519E8742" w14:textId="3276D522"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95" w:history="1">
        <w:r w:rsidRPr="00BE0FB1">
          <w:rPr>
            <w:rStyle w:val="Hyperlink"/>
            <w:rFonts w:asciiTheme="minorHAnsi" w:hAnsiTheme="minorHAnsi" w:cstheme="minorHAnsi"/>
            <w:lang w:val="en-US"/>
          </w:rPr>
          <w:t>Anti-Child Pornography Act</w:t>
        </w:r>
      </w:hyperlink>
      <w:r w:rsidRPr="00BE0FB1">
        <w:rPr>
          <w:rFonts w:asciiTheme="minorHAnsi" w:hAnsiTheme="minorHAnsi" w:cstheme="minorHAnsi"/>
          <w:lang w:val="en-US"/>
        </w:rPr>
        <w:t>.</w:t>
      </w:r>
    </w:p>
  </w:endnote>
  <w:endnote w:id="143">
    <w:p w14:paraId="6C496876" w14:textId="3E00365D"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Section 13(d).</w:t>
      </w:r>
    </w:p>
  </w:endnote>
  <w:endnote w:id="144">
    <w:p w14:paraId="21075927" w14:textId="6CE61A9F"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GB"/>
        </w:rPr>
        <w:t>ECPAT International. (2017). “</w:t>
      </w:r>
      <w:hyperlink r:id="rId96" w:history="1">
        <w:r w:rsidRPr="00BE0FB1">
          <w:rPr>
            <w:rStyle w:val="Hyperlink"/>
            <w:rFonts w:asciiTheme="minorHAnsi" w:hAnsiTheme="minorHAnsi" w:cstheme="minorHAnsi"/>
            <w:lang w:val="en-GB"/>
          </w:rPr>
          <w:t>Through the Eyes of the Child: Barriers to Access to Justice and Remedies for Child Victims of Sexual Exploitation</w:t>
        </w:r>
      </w:hyperlink>
      <w:r w:rsidRPr="00BE0FB1">
        <w:rPr>
          <w:rFonts w:asciiTheme="minorHAnsi" w:hAnsiTheme="minorHAnsi" w:cstheme="minorHAnsi"/>
          <w:lang w:val="en-GB"/>
        </w:rPr>
        <w:t xml:space="preserve">”. </w:t>
      </w:r>
      <w:r w:rsidRPr="00BE0FB1">
        <w:rPr>
          <w:rFonts w:asciiTheme="minorHAnsi" w:hAnsiTheme="minorHAnsi" w:cstheme="minorHAnsi"/>
          <w:lang w:val="en-US"/>
        </w:rPr>
        <w:t>148.</w:t>
      </w:r>
    </w:p>
  </w:endnote>
  <w:endnote w:id="145">
    <w:p w14:paraId="20057E79" w14:textId="7B55FAD2"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97" w:history="1">
        <w:r w:rsidRPr="00BE0FB1">
          <w:rPr>
            <w:rStyle w:val="Hyperlink"/>
            <w:rFonts w:asciiTheme="minorHAnsi" w:hAnsiTheme="minorHAnsi" w:cstheme="minorHAnsi"/>
          </w:rPr>
          <w:t>Family Code</w:t>
        </w:r>
      </w:hyperlink>
      <w:r w:rsidRPr="00BE0FB1">
        <w:rPr>
          <w:rFonts w:asciiTheme="minorHAnsi" w:hAnsiTheme="minorHAnsi" w:cstheme="minorHAnsi"/>
        </w:rPr>
        <w:t>, Article 5.</w:t>
      </w:r>
    </w:p>
  </w:endnote>
  <w:endnote w:id="146">
    <w:p w14:paraId="22F4E657" w14:textId="2E5E3991" w:rsidR="00251D49" w:rsidRPr="00BE0FB1" w:rsidRDefault="00251D49" w:rsidP="00BE0FB1">
      <w:pPr>
        <w:pStyle w:val="EndnoteText"/>
        <w:jc w:val="both"/>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xml:space="preserve">, Article 14. </w:t>
      </w:r>
    </w:p>
  </w:endnote>
  <w:endnote w:id="147">
    <w:p w14:paraId="30DE6F74" w14:textId="0D8B4B0F" w:rsidR="00251D49" w:rsidRPr="00BE0FB1" w:rsidRDefault="00251D49" w:rsidP="00BE0FB1">
      <w:pPr>
        <w:pStyle w:val="EndnoteText"/>
        <w:jc w:val="both"/>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Article 15.</w:t>
      </w:r>
    </w:p>
  </w:endnote>
  <w:endnote w:id="148">
    <w:p w14:paraId="22F695AD" w14:textId="1CFA2638" w:rsidR="00251D49" w:rsidRPr="00BE0FB1" w:rsidRDefault="00251D49" w:rsidP="00BE0FB1">
      <w:pPr>
        <w:pStyle w:val="EndnoteText"/>
        <w:jc w:val="both"/>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98" w:history="1">
        <w:r w:rsidRPr="00BE0FB1">
          <w:rPr>
            <w:rStyle w:val="Hyperlink"/>
            <w:rFonts w:asciiTheme="minorHAnsi" w:hAnsiTheme="minorHAnsi" w:cstheme="minorHAnsi"/>
            <w:spacing w:val="-8"/>
            <w:shd w:val="clear" w:color="auto" w:fill="FFFFFF"/>
          </w:rPr>
          <w:t>Code of Muslim Personal Laws</w:t>
        </w:r>
      </w:hyperlink>
      <w:r w:rsidRPr="00BE0FB1">
        <w:rPr>
          <w:rFonts w:asciiTheme="minorHAnsi" w:hAnsiTheme="minorHAnsi" w:cstheme="minorHAnsi"/>
          <w:color w:val="111111"/>
          <w:spacing w:val="-8"/>
          <w:shd w:val="clear" w:color="auto" w:fill="FFFFFF"/>
        </w:rPr>
        <w:t>, Article 16(1).</w:t>
      </w:r>
    </w:p>
  </w:endnote>
  <w:endnote w:id="149">
    <w:p w14:paraId="6B774357" w14:textId="4C90621D"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Article 15(b).</w:t>
      </w:r>
    </w:p>
  </w:endnote>
  <w:endnote w:id="150">
    <w:p w14:paraId="43C71DEB" w14:textId="4E47458F" w:rsidR="00251D49" w:rsidRPr="00BE0FB1" w:rsidRDefault="00251D49" w:rsidP="00BE0FB1">
      <w:pPr>
        <w:pStyle w:val="EndnoteText"/>
        <w:jc w:val="both"/>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Rappler. (2019). </w:t>
      </w:r>
      <w:r w:rsidRPr="00BE0FB1">
        <w:rPr>
          <w:rFonts w:asciiTheme="minorHAnsi" w:hAnsiTheme="minorHAnsi" w:cstheme="minorHAnsi"/>
          <w:i/>
        </w:rPr>
        <w:t>“</w:t>
      </w:r>
      <w:hyperlink r:id="rId99" w:history="1">
        <w:r w:rsidRPr="00BE0FB1">
          <w:rPr>
            <w:rStyle w:val="Hyperlink"/>
            <w:rFonts w:asciiTheme="minorHAnsi" w:hAnsiTheme="minorHAnsi" w:cstheme="minorHAnsi"/>
            <w:i/>
          </w:rPr>
          <w:t>Too young to marry</w:t>
        </w:r>
      </w:hyperlink>
      <w:r w:rsidRPr="00BE0FB1">
        <w:rPr>
          <w:rFonts w:asciiTheme="minorHAnsi" w:hAnsiTheme="minorHAnsi" w:cstheme="minorHAnsi"/>
          <w:i/>
        </w:rPr>
        <w:t>”.</w:t>
      </w:r>
    </w:p>
  </w:endnote>
  <w:endnote w:id="151">
    <w:p w14:paraId="4AD9B26C" w14:textId="1FCEE8D2"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lang w:val="en-US"/>
        </w:rPr>
        <w:t xml:space="preserve"> </w:t>
      </w:r>
    </w:p>
  </w:endnote>
  <w:endnote w:id="152">
    <w:p w14:paraId="0A50B0AD" w14:textId="15B6B05B" w:rsidR="00251D49" w:rsidRPr="00BE0FB1" w:rsidRDefault="00251D49" w:rsidP="00BE0FB1">
      <w:pPr>
        <w:pStyle w:val="EndnoteText"/>
        <w:jc w:val="both"/>
        <w:rPr>
          <w:rFonts w:asciiTheme="minorHAnsi" w:hAnsiTheme="minorHAnsi" w:cstheme="minorHAnsi"/>
          <w: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Rappler. (2019). </w:t>
      </w:r>
      <w:r w:rsidRPr="00BE0FB1">
        <w:rPr>
          <w:rFonts w:asciiTheme="minorHAnsi" w:hAnsiTheme="minorHAnsi" w:cstheme="minorHAnsi"/>
          <w:i/>
        </w:rPr>
        <w:t>“</w:t>
      </w:r>
      <w:hyperlink r:id="rId100" w:history="1">
        <w:r w:rsidRPr="00BE0FB1">
          <w:rPr>
            <w:rStyle w:val="Hyperlink"/>
            <w:rFonts w:asciiTheme="minorHAnsi" w:hAnsiTheme="minorHAnsi" w:cstheme="minorHAnsi"/>
            <w:i/>
          </w:rPr>
          <w:t>Child marriage – a fundamental human rights violation</w:t>
        </w:r>
      </w:hyperlink>
      <w:r w:rsidRPr="00BE0FB1">
        <w:rPr>
          <w:rFonts w:asciiTheme="minorHAnsi" w:hAnsiTheme="minorHAnsi" w:cstheme="minorHAnsi"/>
          <w:i/>
        </w:rPr>
        <w:t>”.</w:t>
      </w:r>
    </w:p>
  </w:endnote>
  <w:endnote w:id="153">
    <w:p w14:paraId="7ED6E44B" w14:textId="6E576B79" w:rsidR="00251D49" w:rsidRPr="00BE0FB1" w:rsidRDefault="00251D49" w:rsidP="00BE0FB1">
      <w:pPr>
        <w:pStyle w:val="EndnoteText"/>
        <w:jc w:val="both"/>
        <w:rPr>
          <w:rFonts w:asciiTheme="minorHAnsi" w:hAnsiTheme="minorHAnsi" w:cstheme="minorHAnsi"/>
          <w:i/>
        </w:rPr>
      </w:pPr>
      <w:r w:rsidRPr="00BE0FB1">
        <w:rPr>
          <w:rStyle w:val="EndnoteReference"/>
          <w:rFonts w:asciiTheme="minorHAnsi" w:hAnsiTheme="minorHAnsi" w:cstheme="minorHAnsi"/>
        </w:rPr>
        <w:endnoteRef/>
      </w:r>
      <w:r w:rsidRPr="00BE0FB1">
        <w:rPr>
          <w:rFonts w:asciiTheme="minorHAnsi" w:hAnsiTheme="minorHAnsi" w:cstheme="minorHAnsi"/>
        </w:rPr>
        <w:t xml:space="preserve"> Rappler. (2019).”</w:t>
      </w:r>
      <w:hyperlink r:id="rId101" w:history="1">
        <w:r w:rsidRPr="00BE0FB1">
          <w:rPr>
            <w:rStyle w:val="Hyperlink"/>
            <w:rFonts w:asciiTheme="minorHAnsi" w:hAnsiTheme="minorHAnsi" w:cstheme="minorHAnsi"/>
            <w:i/>
          </w:rPr>
          <w:t>Congresswomen push bill vs child marriage: “We owe it to young girls’</w:t>
        </w:r>
      </w:hyperlink>
      <w:r w:rsidRPr="00BE0FB1">
        <w:rPr>
          <w:rFonts w:asciiTheme="minorHAnsi" w:hAnsiTheme="minorHAnsi" w:cstheme="minorHAnsi"/>
          <w:i/>
        </w:rPr>
        <w:t>”.</w:t>
      </w:r>
    </w:p>
  </w:endnote>
  <w:endnote w:id="154">
    <w:p w14:paraId="1EA45C20" w14:textId="384F9F0F"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GB"/>
        </w:rPr>
        <w:t xml:space="preserve">U.S. Department of State. </w:t>
      </w:r>
      <w:r w:rsidRPr="00BE0FB1">
        <w:rPr>
          <w:rFonts w:asciiTheme="minorHAnsi" w:hAnsiTheme="minorHAnsi" w:cstheme="minorHAnsi"/>
          <w:lang w:val="en-US"/>
        </w:rPr>
        <w:t xml:space="preserve">(2019). </w:t>
      </w:r>
      <w:hyperlink r:id="rId102" w:history="1">
        <w:r w:rsidRPr="00BE0FB1">
          <w:rPr>
            <w:rStyle w:val="Hyperlink"/>
            <w:rFonts w:asciiTheme="minorHAnsi" w:hAnsiTheme="minorHAnsi" w:cstheme="minorHAnsi"/>
            <w:i/>
            <w:lang w:val="en-US"/>
          </w:rPr>
          <w:t>Trafficking in Persons Report</w:t>
        </w:r>
      </w:hyperlink>
      <w:r w:rsidRPr="00BE0FB1">
        <w:rPr>
          <w:rFonts w:asciiTheme="minorHAnsi" w:hAnsiTheme="minorHAnsi" w:cstheme="minorHAnsi"/>
          <w:lang w:val="en-US"/>
        </w:rPr>
        <w:t>, 381.</w:t>
      </w:r>
    </w:p>
  </w:endnote>
  <w:endnote w:id="155">
    <w:p w14:paraId="31918DA8" w14:textId="1C756A91"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381.</w:t>
      </w:r>
    </w:p>
  </w:endnote>
  <w:endnote w:id="156">
    <w:p w14:paraId="270F7E42" w14:textId="12CF96F3"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381.</w:t>
      </w:r>
    </w:p>
  </w:endnote>
  <w:endnote w:id="157">
    <w:p w14:paraId="41970D26" w14:textId="6F8E8315" w:rsidR="00251D49" w:rsidRPr="00BE0FB1" w:rsidRDefault="00251D49" w:rsidP="00BE0FB1">
      <w:pPr>
        <w:pStyle w:val="EndnoteText"/>
        <w:rPr>
          <w:rFonts w:asciiTheme="minorHAnsi" w:hAnsiTheme="minorHAnsi" w:cstheme="minorHAnsi"/>
          <w: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US"/>
        </w:rPr>
        <w:t xml:space="preserve">ECPAT Philippines (February 2020). </w:t>
      </w:r>
      <w:r w:rsidRPr="00BE0FB1">
        <w:rPr>
          <w:rFonts w:asciiTheme="minorHAnsi" w:hAnsiTheme="minorHAnsi" w:cstheme="minorHAnsi"/>
          <w:i/>
          <w:lang w:val="en-US"/>
        </w:rPr>
        <w:t>Personal Communication.</w:t>
      </w:r>
    </w:p>
  </w:endnote>
  <w:endnote w:id="158">
    <w:p w14:paraId="3DFDA4F8" w14:textId="1120C3AC"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GB"/>
        </w:rPr>
        <w:t>ECPAT International. (2017). “</w:t>
      </w:r>
      <w:hyperlink r:id="rId103" w:history="1">
        <w:r w:rsidRPr="00BE0FB1">
          <w:rPr>
            <w:rStyle w:val="Hyperlink"/>
            <w:rFonts w:asciiTheme="minorHAnsi" w:hAnsiTheme="minorHAnsi" w:cstheme="minorHAnsi"/>
            <w:lang w:val="en-GB"/>
          </w:rPr>
          <w:t>Through the Eyes of the Child: Barriers to Access to Justice and Remedies for Child Victims of Sexual Exploitation</w:t>
        </w:r>
      </w:hyperlink>
      <w:r w:rsidRPr="00BE0FB1">
        <w:rPr>
          <w:rFonts w:asciiTheme="minorHAnsi" w:hAnsiTheme="minorHAnsi" w:cstheme="minorHAnsi"/>
          <w:lang w:val="en-GB"/>
        </w:rPr>
        <w:t xml:space="preserve">”. </w:t>
      </w:r>
      <w:r w:rsidRPr="00BE0FB1">
        <w:rPr>
          <w:rFonts w:asciiTheme="minorHAnsi" w:hAnsiTheme="minorHAnsi" w:cstheme="minorHAnsi"/>
          <w:lang w:val="en-US"/>
        </w:rPr>
        <w:t>123.</w:t>
      </w:r>
    </w:p>
  </w:endnote>
  <w:endnote w:id="159">
    <w:p w14:paraId="5FF17883" w14:textId="76181895"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hyperlink r:id="rId104" w:anchor=".XirNLTIzaM8" w:history="1">
        <w:r w:rsidRPr="00BE0FB1">
          <w:rPr>
            <w:rStyle w:val="Hyperlink"/>
            <w:rFonts w:asciiTheme="minorHAnsi" w:hAnsiTheme="minorHAnsi" w:cstheme="minorHAnsi"/>
          </w:rPr>
          <w:t>Rules on Examination of a Child Witness</w:t>
        </w:r>
      </w:hyperlink>
      <w:r w:rsidRPr="00BE0FB1">
        <w:rPr>
          <w:rFonts w:asciiTheme="minorHAnsi" w:hAnsiTheme="minorHAnsi" w:cstheme="minorHAnsi"/>
        </w:rPr>
        <w:t xml:space="preserve">, Section 23. </w:t>
      </w:r>
    </w:p>
  </w:endnote>
  <w:endnote w:id="160">
    <w:p w14:paraId="760FF83F" w14:textId="66DCB18E"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i/>
        </w:rPr>
        <w:t xml:space="preserve"> Ibid.</w:t>
      </w:r>
      <w:r w:rsidRPr="00BE0FB1">
        <w:rPr>
          <w:rFonts w:asciiTheme="minorHAnsi" w:hAnsiTheme="minorHAnsi" w:cstheme="minorHAnsi"/>
        </w:rPr>
        <w:t>, Sections 25, 27-29.</w:t>
      </w:r>
    </w:p>
  </w:endnote>
  <w:endnote w:id="161">
    <w:p w14:paraId="06423386" w14:textId="77777777"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382.</w:t>
      </w:r>
    </w:p>
  </w:endnote>
  <w:endnote w:id="162">
    <w:p w14:paraId="34BF58E6" w14:textId="12226DBD" w:rsidR="00251D49" w:rsidRPr="00BE0FB1" w:rsidRDefault="00251D49" w:rsidP="00BE0FB1">
      <w:pPr>
        <w:pStyle w:val="EndnoteText"/>
        <w:rPr>
          <w:rFonts w:asciiTheme="minorHAnsi" w:hAnsiTheme="minorHAnsi" w:cstheme="minorHAns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lang w:val="en-US"/>
        </w:rPr>
        <w:t>Ibid.</w:t>
      </w:r>
      <w:r w:rsidRPr="00BE0FB1">
        <w:rPr>
          <w:rFonts w:asciiTheme="minorHAnsi" w:hAnsiTheme="minorHAnsi" w:cstheme="minorHAnsi"/>
          <w:lang w:val="en-US"/>
        </w:rPr>
        <w:t>, 382. See Commission of Filipinos Overseas. (2015). “</w:t>
      </w:r>
      <w:hyperlink r:id="rId105" w:history="1">
        <w:r w:rsidRPr="00BE0FB1">
          <w:rPr>
            <w:rStyle w:val="Hyperlink"/>
            <w:rFonts w:asciiTheme="minorHAnsi" w:hAnsiTheme="minorHAnsi" w:cstheme="minorHAnsi"/>
            <w:i/>
          </w:rPr>
          <w:t>Primer on Republic Act 9208 as amended by Republic Act 10364 – Expanded Anti-Trafficking in Persons Act of 2012</w:t>
        </w:r>
      </w:hyperlink>
      <w:r w:rsidRPr="00BE0FB1">
        <w:rPr>
          <w:rFonts w:asciiTheme="minorHAnsi" w:hAnsiTheme="minorHAnsi" w:cstheme="minorHAnsi"/>
        </w:rPr>
        <w:t>”. 29</w:t>
      </w:r>
    </w:p>
  </w:endnote>
  <w:endnote w:id="163">
    <w:p w14:paraId="6E6348A5" w14:textId="1AC5BC83"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i/>
        </w:rPr>
        <w:t>Ibid.</w:t>
      </w:r>
      <w:r w:rsidRPr="00BE0FB1">
        <w:rPr>
          <w:rFonts w:asciiTheme="minorHAnsi" w:hAnsiTheme="minorHAnsi" w:cstheme="minorHAnsi"/>
        </w:rPr>
        <w:t>, 30.</w:t>
      </w:r>
    </w:p>
  </w:endnote>
  <w:endnote w:id="164">
    <w:p w14:paraId="1BB2A701" w14:textId="77450668"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hyperlink r:id="rId106" w:history="1">
        <w:r w:rsidRPr="00BE0FB1">
          <w:rPr>
            <w:rStyle w:val="Hyperlink"/>
            <w:rFonts w:asciiTheme="minorHAnsi" w:hAnsiTheme="minorHAnsi" w:cstheme="minorHAnsi"/>
          </w:rPr>
          <w:t>Anti-Child Abuse Act</w:t>
        </w:r>
      </w:hyperlink>
      <w:r w:rsidRPr="00BE0FB1">
        <w:rPr>
          <w:rFonts w:asciiTheme="minorHAnsi" w:hAnsiTheme="minorHAnsi" w:cstheme="minorHAnsi"/>
        </w:rPr>
        <w:t>, Section 30.</w:t>
      </w:r>
    </w:p>
  </w:endnote>
  <w:endnote w:id="165">
    <w:p w14:paraId="4A104E5C" w14:textId="46F05AC2"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GB"/>
        </w:rPr>
        <w:t xml:space="preserve">U.S. Department of State. </w:t>
      </w:r>
      <w:r w:rsidRPr="00BE0FB1">
        <w:rPr>
          <w:rFonts w:asciiTheme="minorHAnsi" w:hAnsiTheme="minorHAnsi" w:cstheme="minorHAnsi"/>
          <w:lang w:val="en-US"/>
        </w:rPr>
        <w:t xml:space="preserve">(2019). </w:t>
      </w:r>
      <w:hyperlink r:id="rId107" w:history="1">
        <w:r w:rsidRPr="00BE0FB1">
          <w:rPr>
            <w:rStyle w:val="Hyperlink"/>
            <w:rFonts w:asciiTheme="minorHAnsi" w:hAnsiTheme="minorHAnsi" w:cstheme="minorHAnsi"/>
            <w:i/>
            <w:lang w:val="en-US"/>
          </w:rPr>
          <w:t>Trafficking in Persons Report</w:t>
        </w:r>
      </w:hyperlink>
      <w:r w:rsidRPr="00BE0FB1">
        <w:rPr>
          <w:rFonts w:asciiTheme="minorHAnsi" w:hAnsiTheme="minorHAnsi" w:cstheme="minorHAnsi"/>
          <w:lang w:val="en-US"/>
        </w:rPr>
        <w:t>, 381.</w:t>
      </w:r>
    </w:p>
  </w:endnote>
  <w:endnote w:id="166">
    <w:p w14:paraId="41F11CC3" w14:textId="70F1A858" w:rsidR="00251D49" w:rsidRPr="00BE0FB1" w:rsidRDefault="00251D49" w:rsidP="00BE0FB1">
      <w:pPr>
        <w:pStyle w:val="EndnoteText"/>
        <w:rPr>
          <w:rFonts w:asciiTheme="minorHAnsi" w:hAnsiTheme="minorHAnsi" w:cstheme="minorHAnsi"/>
          <w:i/>
          <w:lang w:val="en-US"/>
        </w:rPr>
      </w:pPr>
      <w:r w:rsidRPr="00BE0FB1">
        <w:rPr>
          <w:rStyle w:val="EndnoteReference"/>
          <w:rFonts w:asciiTheme="minorHAnsi" w:hAnsiTheme="minorHAnsi" w:cstheme="minorHAnsi"/>
        </w:rPr>
        <w:endnoteRef/>
      </w:r>
      <w:r w:rsidRPr="00BE0FB1">
        <w:rPr>
          <w:rFonts w:asciiTheme="minorHAnsi" w:hAnsiTheme="minorHAnsi" w:cstheme="minorHAnsi"/>
        </w:rPr>
        <w:t xml:space="preserve"> </w:t>
      </w:r>
      <w:r w:rsidRPr="00BE0FB1">
        <w:rPr>
          <w:rFonts w:asciiTheme="minorHAnsi" w:hAnsiTheme="minorHAnsi" w:cstheme="minorHAnsi"/>
          <w:lang w:val="en-US"/>
        </w:rPr>
        <w:t xml:space="preserve">ECPAT Philippines. (2020, February). </w:t>
      </w:r>
      <w:r w:rsidRPr="00BE0FB1">
        <w:rPr>
          <w:rFonts w:asciiTheme="minorHAnsi" w:hAnsiTheme="minorHAnsi" w:cstheme="minorHAnsi"/>
          <w:i/>
          <w:lang w:val="en-US"/>
        </w:rPr>
        <w:t>Personal Communication.</w:t>
      </w:r>
    </w:p>
  </w:endnote>
  <w:endnote w:id="167">
    <w:p w14:paraId="3D20D4B7" w14:textId="5A39DF75" w:rsidR="00251D49" w:rsidRPr="00BE0FB1" w:rsidRDefault="00251D49" w:rsidP="00BE0FB1">
      <w:pPr>
        <w:pStyle w:val="EndnoteText"/>
        <w:rPr>
          <w:rFonts w:asciiTheme="minorHAnsi" w:hAnsiTheme="minorHAnsi" w:cstheme="minorHAnsi"/>
        </w:rPr>
      </w:pPr>
      <w:r w:rsidRPr="00BE0FB1">
        <w:rPr>
          <w:rStyle w:val="EndnoteReference"/>
          <w:rFonts w:asciiTheme="minorHAnsi" w:hAnsiTheme="minorHAnsi" w:cstheme="minorHAnsi"/>
        </w:rPr>
        <w:endnoteRef/>
      </w:r>
      <w:r w:rsidRPr="00BE0FB1">
        <w:rPr>
          <w:rFonts w:asciiTheme="minorHAnsi" w:hAnsiTheme="minorHAnsi" w:cstheme="minorHAnsi"/>
        </w:rPr>
        <w:t xml:space="preserve"> ABS-CBN. </w:t>
      </w:r>
      <w:hyperlink r:id="rId108" w:history="1">
        <w:r w:rsidRPr="00BE0FB1">
          <w:rPr>
            <w:rStyle w:val="Hyperlink"/>
            <w:rFonts w:asciiTheme="minorHAnsi" w:hAnsiTheme="minorHAnsi" w:cstheme="minorHAnsi"/>
          </w:rPr>
          <w:t>Bantay Bata 163</w:t>
        </w:r>
      </w:hyperlink>
      <w:r w:rsidRPr="00BE0FB1">
        <w:rPr>
          <w:rFonts w:asciiTheme="minorHAnsi" w:hAnsiTheme="minorHAnsi" w:cstheme="minorHAnsi"/>
        </w:rPr>
        <w:t>.</w:t>
      </w:r>
    </w:p>
  </w:endnote>
  <w:endnote w:id="168">
    <w:p w14:paraId="2BCBDDFD" w14:textId="1A229A7A" w:rsidR="00251D49" w:rsidRPr="00F3440E" w:rsidRDefault="00251D49" w:rsidP="00BE0FB1">
      <w:pPr>
        <w:pStyle w:val="EndnoteText"/>
      </w:pPr>
      <w:r w:rsidRPr="00BE0FB1">
        <w:rPr>
          <w:rStyle w:val="EndnoteReference"/>
          <w:rFonts w:asciiTheme="minorHAnsi" w:hAnsiTheme="minorHAnsi" w:cstheme="minorHAnsi"/>
        </w:rPr>
        <w:endnoteRef/>
      </w:r>
      <w:r w:rsidRPr="00BE0FB1">
        <w:rPr>
          <w:rFonts w:asciiTheme="minorHAnsi" w:hAnsiTheme="minorHAnsi" w:cstheme="minorHAnsi"/>
        </w:rPr>
        <w:t xml:space="preserve"> Republic of the Philippines – Philippine Information Agency. (2019). </w:t>
      </w:r>
      <w:r w:rsidRPr="00BE0FB1">
        <w:rPr>
          <w:rFonts w:asciiTheme="minorHAnsi" w:hAnsiTheme="minorHAnsi" w:cstheme="minorHAnsi"/>
          <w:i/>
        </w:rPr>
        <w:t>“</w:t>
      </w:r>
      <w:hyperlink r:id="rId109" w:history="1">
        <w:r w:rsidRPr="00BE0FB1">
          <w:rPr>
            <w:rStyle w:val="Hyperlink"/>
            <w:rFonts w:asciiTheme="minorHAnsi" w:hAnsiTheme="minorHAnsi" w:cstheme="minorHAnsi"/>
            <w:i/>
          </w:rPr>
          <w:t>QC renews partnership with Bantay Bata 163 as part of Children’s Month celebration</w:t>
        </w:r>
      </w:hyperlink>
      <w:r w:rsidRPr="00BE0FB1">
        <w:rPr>
          <w:rFonts w:asciiTheme="minorHAnsi" w:hAnsiTheme="minorHAnsi" w:cstheme="minorHAnsi"/>
          <w:i/>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pitch w:val="variable"/>
    <w:sig w:usb0="0000A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Roman">
    <w:altName w:val="Times New Roman"/>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23740" w14:textId="77777777" w:rsidR="00251D49" w:rsidRDefault="00251D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FD9B1" w14:textId="77777777" w:rsidR="00251D49" w:rsidRDefault="00251D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E9654" w14:textId="77777777" w:rsidR="00251D49" w:rsidRDefault="00251D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57E48" w14:textId="77777777" w:rsidR="00251D49" w:rsidRDefault="00251D49" w:rsidP="00B15CFE">
      <w:pPr>
        <w:spacing w:after="0" w:line="240" w:lineRule="auto"/>
      </w:pPr>
      <w:r>
        <w:separator/>
      </w:r>
    </w:p>
  </w:footnote>
  <w:footnote w:type="continuationSeparator" w:id="0">
    <w:p w14:paraId="7C6C7B20" w14:textId="77777777" w:rsidR="00251D49" w:rsidRDefault="00251D49" w:rsidP="00B15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14860" w14:textId="77777777" w:rsidR="00251D49" w:rsidRDefault="00251D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6EFB3" w14:textId="77777777" w:rsidR="00251D49" w:rsidRDefault="00251D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7EE00" w14:textId="77777777" w:rsidR="00251D49" w:rsidRDefault="00251D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E1B3B"/>
    <w:multiLevelType w:val="hybridMultilevel"/>
    <w:tmpl w:val="443045FA"/>
    <w:lvl w:ilvl="0" w:tplc="B20CFC72">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E883B62"/>
    <w:multiLevelType w:val="hybridMultilevel"/>
    <w:tmpl w:val="FFCE40C2"/>
    <w:lvl w:ilvl="0" w:tplc="91C244E2">
      <w:start w:val="6"/>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01629"/>
    <w:multiLevelType w:val="multilevel"/>
    <w:tmpl w:val="8EF275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3" w15:restartNumberingAfterBreak="0">
    <w:nsid w:val="26F130B9"/>
    <w:multiLevelType w:val="hybridMultilevel"/>
    <w:tmpl w:val="8FAC5E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E42E69"/>
    <w:multiLevelType w:val="hybridMultilevel"/>
    <w:tmpl w:val="BBA2CCFE"/>
    <w:lvl w:ilvl="0" w:tplc="18EA217A">
      <w:numFmt w:val="bullet"/>
      <w:lvlText w:val="-"/>
      <w:lvlJc w:val="left"/>
      <w:pPr>
        <w:ind w:left="644" w:hanging="360"/>
      </w:pPr>
      <w:rPr>
        <w:rFonts w:ascii="Calibri" w:eastAsiaTheme="majorEastAsia" w:hAnsi="Calibri" w:cstheme="majorBidi" w:hint="default"/>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5752E3"/>
    <w:multiLevelType w:val="hybridMultilevel"/>
    <w:tmpl w:val="E9809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8F4AF6"/>
    <w:multiLevelType w:val="multilevel"/>
    <w:tmpl w:val="0E7C1A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7" w15:restartNumberingAfterBreak="0">
    <w:nsid w:val="64E9081A"/>
    <w:multiLevelType w:val="multilevel"/>
    <w:tmpl w:val="175697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8" w15:restartNumberingAfterBreak="0">
    <w:nsid w:val="674E681F"/>
    <w:multiLevelType w:val="hybridMultilevel"/>
    <w:tmpl w:val="752813EA"/>
    <w:lvl w:ilvl="0" w:tplc="41FE24E4">
      <w:start w:val="1"/>
      <w:numFmt w:val="bullet"/>
      <w:lvlText w:val="•"/>
      <w:lvlJc w:val="left"/>
      <w:pPr>
        <w:tabs>
          <w:tab w:val="num" w:pos="720"/>
        </w:tabs>
        <w:ind w:left="720" w:hanging="360"/>
      </w:pPr>
      <w:rPr>
        <w:rFonts w:ascii="Arial" w:hAnsi="Arial" w:hint="default"/>
      </w:rPr>
    </w:lvl>
    <w:lvl w:ilvl="1" w:tplc="C9C4FAC8" w:tentative="1">
      <w:start w:val="1"/>
      <w:numFmt w:val="bullet"/>
      <w:lvlText w:val="•"/>
      <w:lvlJc w:val="left"/>
      <w:pPr>
        <w:tabs>
          <w:tab w:val="num" w:pos="1440"/>
        </w:tabs>
        <w:ind w:left="1440" w:hanging="360"/>
      </w:pPr>
      <w:rPr>
        <w:rFonts w:ascii="Arial" w:hAnsi="Arial" w:hint="default"/>
      </w:rPr>
    </w:lvl>
    <w:lvl w:ilvl="2" w:tplc="5F744E5E" w:tentative="1">
      <w:start w:val="1"/>
      <w:numFmt w:val="bullet"/>
      <w:lvlText w:val="•"/>
      <w:lvlJc w:val="left"/>
      <w:pPr>
        <w:tabs>
          <w:tab w:val="num" w:pos="2160"/>
        </w:tabs>
        <w:ind w:left="2160" w:hanging="360"/>
      </w:pPr>
      <w:rPr>
        <w:rFonts w:ascii="Arial" w:hAnsi="Arial" w:hint="default"/>
      </w:rPr>
    </w:lvl>
    <w:lvl w:ilvl="3" w:tplc="DF8C9944" w:tentative="1">
      <w:start w:val="1"/>
      <w:numFmt w:val="bullet"/>
      <w:lvlText w:val="•"/>
      <w:lvlJc w:val="left"/>
      <w:pPr>
        <w:tabs>
          <w:tab w:val="num" w:pos="2880"/>
        </w:tabs>
        <w:ind w:left="2880" w:hanging="360"/>
      </w:pPr>
      <w:rPr>
        <w:rFonts w:ascii="Arial" w:hAnsi="Arial" w:hint="default"/>
      </w:rPr>
    </w:lvl>
    <w:lvl w:ilvl="4" w:tplc="3926E9C2" w:tentative="1">
      <w:start w:val="1"/>
      <w:numFmt w:val="bullet"/>
      <w:lvlText w:val="•"/>
      <w:lvlJc w:val="left"/>
      <w:pPr>
        <w:tabs>
          <w:tab w:val="num" w:pos="3600"/>
        </w:tabs>
        <w:ind w:left="3600" w:hanging="360"/>
      </w:pPr>
      <w:rPr>
        <w:rFonts w:ascii="Arial" w:hAnsi="Arial" w:hint="default"/>
      </w:rPr>
    </w:lvl>
    <w:lvl w:ilvl="5" w:tplc="69C2C04E" w:tentative="1">
      <w:start w:val="1"/>
      <w:numFmt w:val="bullet"/>
      <w:lvlText w:val="•"/>
      <w:lvlJc w:val="left"/>
      <w:pPr>
        <w:tabs>
          <w:tab w:val="num" w:pos="4320"/>
        </w:tabs>
        <w:ind w:left="4320" w:hanging="360"/>
      </w:pPr>
      <w:rPr>
        <w:rFonts w:ascii="Arial" w:hAnsi="Arial" w:hint="default"/>
      </w:rPr>
    </w:lvl>
    <w:lvl w:ilvl="6" w:tplc="F77C0A80" w:tentative="1">
      <w:start w:val="1"/>
      <w:numFmt w:val="bullet"/>
      <w:lvlText w:val="•"/>
      <w:lvlJc w:val="left"/>
      <w:pPr>
        <w:tabs>
          <w:tab w:val="num" w:pos="5040"/>
        </w:tabs>
        <w:ind w:left="5040" w:hanging="360"/>
      </w:pPr>
      <w:rPr>
        <w:rFonts w:ascii="Arial" w:hAnsi="Arial" w:hint="default"/>
      </w:rPr>
    </w:lvl>
    <w:lvl w:ilvl="7" w:tplc="1C7AC03C" w:tentative="1">
      <w:start w:val="1"/>
      <w:numFmt w:val="bullet"/>
      <w:lvlText w:val="•"/>
      <w:lvlJc w:val="left"/>
      <w:pPr>
        <w:tabs>
          <w:tab w:val="num" w:pos="5760"/>
        </w:tabs>
        <w:ind w:left="5760" w:hanging="360"/>
      </w:pPr>
      <w:rPr>
        <w:rFonts w:ascii="Arial" w:hAnsi="Arial" w:hint="default"/>
      </w:rPr>
    </w:lvl>
    <w:lvl w:ilvl="8" w:tplc="47260A1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75E4415"/>
    <w:multiLevelType w:val="multilevel"/>
    <w:tmpl w:val="52BA0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
  </w:num>
  <w:num w:numId="3">
    <w:abstractNumId w:val="7"/>
  </w:num>
  <w:num w:numId="4">
    <w:abstractNumId w:val="2"/>
  </w:num>
  <w:num w:numId="5">
    <w:abstractNumId w:val="6"/>
  </w:num>
  <w:num w:numId="6">
    <w:abstractNumId w:val="0"/>
  </w:num>
  <w:num w:numId="7">
    <w:abstractNumId w:val="0"/>
  </w:num>
  <w:num w:numId="8">
    <w:abstractNumId w:val="4"/>
  </w:num>
  <w:num w:numId="9">
    <w:abstractNumId w:val="7"/>
  </w:num>
  <w:num w:numId="10">
    <w:abstractNumId w:val="2"/>
  </w:num>
  <w:num w:numId="11">
    <w:abstractNumId w:val="6"/>
  </w:num>
  <w:num w:numId="12">
    <w:abstractNumId w:val="5"/>
  </w:num>
  <w:num w:numId="13">
    <w:abstractNumId w:val="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US" w:vendorID="64" w:dllVersion="6" w:nlCheck="1" w:checkStyle="0"/>
  <w:activeWritingStyle w:appName="MSWord" w:lang="fr-BE" w:vendorID="64" w:dllVersion="6" w:nlCheck="1" w:checkStyle="0"/>
  <w:activeWritingStyle w:appName="MSWord" w:lang="en-GB" w:vendorID="64" w:dllVersion="6" w:nlCheck="1" w:checkStyle="0"/>
  <w:activeWritingStyle w:appName="MSWord" w:lang="es-E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nl-NL" w:vendorID="64" w:dllVersion="4096" w:nlCheck="1" w:checkStyle="0"/>
  <w:activeWritingStyle w:appName="MSWord" w:lang="es-ES" w:vendorID="64" w:dllVersion="409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it-IT" w:vendorID="64" w:dllVersion="4096" w:nlCheck="1" w:checkStyle="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0"/>
  <w:activeWritingStyle w:appName="MSWord" w:lang="es-ES" w:vendorID="64" w:dllVersion="131078" w:nlCheck="1" w:checkStyle="1"/>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3C0"/>
    <w:rsid w:val="00002493"/>
    <w:rsid w:val="00004137"/>
    <w:rsid w:val="000060C0"/>
    <w:rsid w:val="00010E94"/>
    <w:rsid w:val="00013BD6"/>
    <w:rsid w:val="00015DAA"/>
    <w:rsid w:val="00022DAA"/>
    <w:rsid w:val="00033A6E"/>
    <w:rsid w:val="0003569E"/>
    <w:rsid w:val="000378F5"/>
    <w:rsid w:val="0004582B"/>
    <w:rsid w:val="000469A7"/>
    <w:rsid w:val="00065274"/>
    <w:rsid w:val="000720A3"/>
    <w:rsid w:val="00082156"/>
    <w:rsid w:val="00082A83"/>
    <w:rsid w:val="000852A0"/>
    <w:rsid w:val="000919F9"/>
    <w:rsid w:val="00093BC3"/>
    <w:rsid w:val="00093F53"/>
    <w:rsid w:val="00096076"/>
    <w:rsid w:val="000966EB"/>
    <w:rsid w:val="0009684D"/>
    <w:rsid w:val="000A14D2"/>
    <w:rsid w:val="000A1802"/>
    <w:rsid w:val="000A25C9"/>
    <w:rsid w:val="000A341E"/>
    <w:rsid w:val="000A56B3"/>
    <w:rsid w:val="000A6E10"/>
    <w:rsid w:val="000C20E8"/>
    <w:rsid w:val="000D67C5"/>
    <w:rsid w:val="000D753C"/>
    <w:rsid w:val="000E05A7"/>
    <w:rsid w:val="000E1385"/>
    <w:rsid w:val="000E2255"/>
    <w:rsid w:val="000E2C0A"/>
    <w:rsid w:val="000E4FCA"/>
    <w:rsid w:val="000E63C3"/>
    <w:rsid w:val="000F0DC2"/>
    <w:rsid w:val="000F4BF6"/>
    <w:rsid w:val="000F6D7D"/>
    <w:rsid w:val="00105956"/>
    <w:rsid w:val="001069E7"/>
    <w:rsid w:val="00107641"/>
    <w:rsid w:val="001076B6"/>
    <w:rsid w:val="0011624B"/>
    <w:rsid w:val="001171E9"/>
    <w:rsid w:val="001207D9"/>
    <w:rsid w:val="00121AF4"/>
    <w:rsid w:val="00121DEC"/>
    <w:rsid w:val="001256D6"/>
    <w:rsid w:val="001259C2"/>
    <w:rsid w:val="00125A16"/>
    <w:rsid w:val="001271D6"/>
    <w:rsid w:val="001351D9"/>
    <w:rsid w:val="0013657C"/>
    <w:rsid w:val="00137F25"/>
    <w:rsid w:val="001414D7"/>
    <w:rsid w:val="00150B5F"/>
    <w:rsid w:val="00155771"/>
    <w:rsid w:val="001607C0"/>
    <w:rsid w:val="00166416"/>
    <w:rsid w:val="001747C2"/>
    <w:rsid w:val="00183A04"/>
    <w:rsid w:val="00185183"/>
    <w:rsid w:val="00187317"/>
    <w:rsid w:val="00191638"/>
    <w:rsid w:val="00191997"/>
    <w:rsid w:val="001946B3"/>
    <w:rsid w:val="001966F3"/>
    <w:rsid w:val="00196A93"/>
    <w:rsid w:val="001A66AB"/>
    <w:rsid w:val="001A6B10"/>
    <w:rsid w:val="001B0C6C"/>
    <w:rsid w:val="001B1A96"/>
    <w:rsid w:val="001B425E"/>
    <w:rsid w:val="001B62FA"/>
    <w:rsid w:val="001B7439"/>
    <w:rsid w:val="001C7D2B"/>
    <w:rsid w:val="001F4111"/>
    <w:rsid w:val="001F5053"/>
    <w:rsid w:val="001F7FA8"/>
    <w:rsid w:val="00206203"/>
    <w:rsid w:val="002103C3"/>
    <w:rsid w:val="0021387A"/>
    <w:rsid w:val="00214F2D"/>
    <w:rsid w:val="00215406"/>
    <w:rsid w:val="00215A60"/>
    <w:rsid w:val="00217844"/>
    <w:rsid w:val="00220C8F"/>
    <w:rsid w:val="00222CFB"/>
    <w:rsid w:val="00223780"/>
    <w:rsid w:val="00225448"/>
    <w:rsid w:val="002254DA"/>
    <w:rsid w:val="002326CA"/>
    <w:rsid w:val="00235355"/>
    <w:rsid w:val="00235F17"/>
    <w:rsid w:val="00243EF7"/>
    <w:rsid w:val="00251D49"/>
    <w:rsid w:val="00252394"/>
    <w:rsid w:val="002542B2"/>
    <w:rsid w:val="0025435D"/>
    <w:rsid w:val="002566CB"/>
    <w:rsid w:val="002579F8"/>
    <w:rsid w:val="00260136"/>
    <w:rsid w:val="00260821"/>
    <w:rsid w:val="00263055"/>
    <w:rsid w:val="00270BAA"/>
    <w:rsid w:val="00273DEF"/>
    <w:rsid w:val="002824C6"/>
    <w:rsid w:val="00297F7E"/>
    <w:rsid w:val="002A4905"/>
    <w:rsid w:val="002B09B5"/>
    <w:rsid w:val="002B0E7E"/>
    <w:rsid w:val="002B1C1B"/>
    <w:rsid w:val="002B1CC4"/>
    <w:rsid w:val="002B5BD0"/>
    <w:rsid w:val="002B5D96"/>
    <w:rsid w:val="002B7FE8"/>
    <w:rsid w:val="002C68B3"/>
    <w:rsid w:val="002D291F"/>
    <w:rsid w:val="002D3204"/>
    <w:rsid w:val="002D3F4E"/>
    <w:rsid w:val="002D4FF6"/>
    <w:rsid w:val="002E0DE6"/>
    <w:rsid w:val="002E2C6A"/>
    <w:rsid w:val="002E4A85"/>
    <w:rsid w:val="002E5FE9"/>
    <w:rsid w:val="002F00DE"/>
    <w:rsid w:val="002F11B7"/>
    <w:rsid w:val="002F2F03"/>
    <w:rsid w:val="002F3A06"/>
    <w:rsid w:val="002F476A"/>
    <w:rsid w:val="002F5F21"/>
    <w:rsid w:val="00304C72"/>
    <w:rsid w:val="00306D4F"/>
    <w:rsid w:val="0031017E"/>
    <w:rsid w:val="00321177"/>
    <w:rsid w:val="00330644"/>
    <w:rsid w:val="0033092A"/>
    <w:rsid w:val="00335884"/>
    <w:rsid w:val="0034317D"/>
    <w:rsid w:val="00347AE6"/>
    <w:rsid w:val="00350220"/>
    <w:rsid w:val="00354627"/>
    <w:rsid w:val="0035570E"/>
    <w:rsid w:val="003557A8"/>
    <w:rsid w:val="00355A4B"/>
    <w:rsid w:val="0035782F"/>
    <w:rsid w:val="003602F7"/>
    <w:rsid w:val="003618CA"/>
    <w:rsid w:val="003620A8"/>
    <w:rsid w:val="00362BB1"/>
    <w:rsid w:val="003675D1"/>
    <w:rsid w:val="003712C8"/>
    <w:rsid w:val="003741E3"/>
    <w:rsid w:val="0037738B"/>
    <w:rsid w:val="00386F30"/>
    <w:rsid w:val="003935F2"/>
    <w:rsid w:val="003B2416"/>
    <w:rsid w:val="003B38E7"/>
    <w:rsid w:val="003C041A"/>
    <w:rsid w:val="003D4F70"/>
    <w:rsid w:val="003D7A2F"/>
    <w:rsid w:val="003E0248"/>
    <w:rsid w:val="003E38B3"/>
    <w:rsid w:val="003F28DF"/>
    <w:rsid w:val="003F4029"/>
    <w:rsid w:val="003F6D4D"/>
    <w:rsid w:val="00400087"/>
    <w:rsid w:val="00413223"/>
    <w:rsid w:val="00415E16"/>
    <w:rsid w:val="00420EC7"/>
    <w:rsid w:val="00421681"/>
    <w:rsid w:val="0042342F"/>
    <w:rsid w:val="004246ED"/>
    <w:rsid w:val="0042560A"/>
    <w:rsid w:val="00430D3E"/>
    <w:rsid w:val="00433FC2"/>
    <w:rsid w:val="00434CBB"/>
    <w:rsid w:val="00447312"/>
    <w:rsid w:val="004531D1"/>
    <w:rsid w:val="00453F26"/>
    <w:rsid w:val="00460B61"/>
    <w:rsid w:val="00461314"/>
    <w:rsid w:val="00461E10"/>
    <w:rsid w:val="0046519C"/>
    <w:rsid w:val="00466F59"/>
    <w:rsid w:val="00467A15"/>
    <w:rsid w:val="00473331"/>
    <w:rsid w:val="00474439"/>
    <w:rsid w:val="004761DF"/>
    <w:rsid w:val="00480353"/>
    <w:rsid w:val="004803D2"/>
    <w:rsid w:val="00483348"/>
    <w:rsid w:val="004847F9"/>
    <w:rsid w:val="00487566"/>
    <w:rsid w:val="004915CC"/>
    <w:rsid w:val="00493D03"/>
    <w:rsid w:val="004956D2"/>
    <w:rsid w:val="004A4AB2"/>
    <w:rsid w:val="004A53AB"/>
    <w:rsid w:val="004A5F6D"/>
    <w:rsid w:val="004B1802"/>
    <w:rsid w:val="004B2AE4"/>
    <w:rsid w:val="004B2B62"/>
    <w:rsid w:val="004B2BB5"/>
    <w:rsid w:val="004C562B"/>
    <w:rsid w:val="004C7E6C"/>
    <w:rsid w:val="004D2FB5"/>
    <w:rsid w:val="004D7E33"/>
    <w:rsid w:val="004F22BA"/>
    <w:rsid w:val="004F230E"/>
    <w:rsid w:val="004F56EA"/>
    <w:rsid w:val="004F57D2"/>
    <w:rsid w:val="00502A62"/>
    <w:rsid w:val="00503679"/>
    <w:rsid w:val="00505773"/>
    <w:rsid w:val="005100A3"/>
    <w:rsid w:val="005102A1"/>
    <w:rsid w:val="00511906"/>
    <w:rsid w:val="0051281E"/>
    <w:rsid w:val="00514625"/>
    <w:rsid w:val="005209FF"/>
    <w:rsid w:val="00523634"/>
    <w:rsid w:val="00527796"/>
    <w:rsid w:val="00536E84"/>
    <w:rsid w:val="00541FF6"/>
    <w:rsid w:val="00551E96"/>
    <w:rsid w:val="00555BDE"/>
    <w:rsid w:val="00556374"/>
    <w:rsid w:val="00557743"/>
    <w:rsid w:val="00562DFB"/>
    <w:rsid w:val="00563640"/>
    <w:rsid w:val="00570D82"/>
    <w:rsid w:val="00572665"/>
    <w:rsid w:val="00575089"/>
    <w:rsid w:val="00580805"/>
    <w:rsid w:val="00580EF6"/>
    <w:rsid w:val="00582BDA"/>
    <w:rsid w:val="0058614D"/>
    <w:rsid w:val="0058724E"/>
    <w:rsid w:val="005901E5"/>
    <w:rsid w:val="00597452"/>
    <w:rsid w:val="005A1CF7"/>
    <w:rsid w:val="005A25BE"/>
    <w:rsid w:val="005A398F"/>
    <w:rsid w:val="005B32F7"/>
    <w:rsid w:val="005B4527"/>
    <w:rsid w:val="005B7138"/>
    <w:rsid w:val="005C06CD"/>
    <w:rsid w:val="005C2FB5"/>
    <w:rsid w:val="005C62E6"/>
    <w:rsid w:val="005C6FAE"/>
    <w:rsid w:val="005C7692"/>
    <w:rsid w:val="005D27B0"/>
    <w:rsid w:val="005E563A"/>
    <w:rsid w:val="005F0FC5"/>
    <w:rsid w:val="00602098"/>
    <w:rsid w:val="00603DC5"/>
    <w:rsid w:val="00604C9A"/>
    <w:rsid w:val="00605242"/>
    <w:rsid w:val="006058C7"/>
    <w:rsid w:val="00605CFE"/>
    <w:rsid w:val="00613556"/>
    <w:rsid w:val="0061372B"/>
    <w:rsid w:val="006152CD"/>
    <w:rsid w:val="00622ED9"/>
    <w:rsid w:val="00624580"/>
    <w:rsid w:val="006254B1"/>
    <w:rsid w:val="00632B1E"/>
    <w:rsid w:val="006352C8"/>
    <w:rsid w:val="00636008"/>
    <w:rsid w:val="006360EA"/>
    <w:rsid w:val="00636479"/>
    <w:rsid w:val="00637785"/>
    <w:rsid w:val="00644086"/>
    <w:rsid w:val="006551C3"/>
    <w:rsid w:val="00655D96"/>
    <w:rsid w:val="006605F0"/>
    <w:rsid w:val="0067576A"/>
    <w:rsid w:val="006928AE"/>
    <w:rsid w:val="00693C17"/>
    <w:rsid w:val="006947F2"/>
    <w:rsid w:val="006A2017"/>
    <w:rsid w:val="006A28F0"/>
    <w:rsid w:val="006A504E"/>
    <w:rsid w:val="006A7794"/>
    <w:rsid w:val="006B0326"/>
    <w:rsid w:val="006B27BF"/>
    <w:rsid w:val="006B373A"/>
    <w:rsid w:val="006B4177"/>
    <w:rsid w:val="006B535E"/>
    <w:rsid w:val="006B5F21"/>
    <w:rsid w:val="006C0D50"/>
    <w:rsid w:val="006C2477"/>
    <w:rsid w:val="006C38DE"/>
    <w:rsid w:val="006C5AD0"/>
    <w:rsid w:val="006C7C94"/>
    <w:rsid w:val="006D0853"/>
    <w:rsid w:val="006D35B7"/>
    <w:rsid w:val="006D7046"/>
    <w:rsid w:val="006E3336"/>
    <w:rsid w:val="006E3845"/>
    <w:rsid w:val="006F320D"/>
    <w:rsid w:val="006F57A1"/>
    <w:rsid w:val="00702DF8"/>
    <w:rsid w:val="00706406"/>
    <w:rsid w:val="00710CE9"/>
    <w:rsid w:val="00713A1D"/>
    <w:rsid w:val="00713EE3"/>
    <w:rsid w:val="00716B28"/>
    <w:rsid w:val="00725728"/>
    <w:rsid w:val="007259E1"/>
    <w:rsid w:val="007301AC"/>
    <w:rsid w:val="00730F4B"/>
    <w:rsid w:val="007338C3"/>
    <w:rsid w:val="00741A8A"/>
    <w:rsid w:val="007445F2"/>
    <w:rsid w:val="007461C2"/>
    <w:rsid w:val="00756535"/>
    <w:rsid w:val="007569BE"/>
    <w:rsid w:val="00757A0D"/>
    <w:rsid w:val="00763515"/>
    <w:rsid w:val="00764A6F"/>
    <w:rsid w:val="00764DA5"/>
    <w:rsid w:val="007812C1"/>
    <w:rsid w:val="00781ED9"/>
    <w:rsid w:val="00782E3D"/>
    <w:rsid w:val="00783286"/>
    <w:rsid w:val="00784712"/>
    <w:rsid w:val="007B31E9"/>
    <w:rsid w:val="007B6B5E"/>
    <w:rsid w:val="007B7D92"/>
    <w:rsid w:val="007B7F72"/>
    <w:rsid w:val="007C0348"/>
    <w:rsid w:val="007C6EB7"/>
    <w:rsid w:val="007C7734"/>
    <w:rsid w:val="007D07D6"/>
    <w:rsid w:val="007D287F"/>
    <w:rsid w:val="007D2E77"/>
    <w:rsid w:val="007D3022"/>
    <w:rsid w:val="007D3469"/>
    <w:rsid w:val="007E61E0"/>
    <w:rsid w:val="007F4BCC"/>
    <w:rsid w:val="008050A6"/>
    <w:rsid w:val="008104BF"/>
    <w:rsid w:val="00815BEF"/>
    <w:rsid w:val="008161B7"/>
    <w:rsid w:val="00817F4F"/>
    <w:rsid w:val="00821B1E"/>
    <w:rsid w:val="008220C7"/>
    <w:rsid w:val="00822CCA"/>
    <w:rsid w:val="00825072"/>
    <w:rsid w:val="008370C8"/>
    <w:rsid w:val="0083727C"/>
    <w:rsid w:val="00837951"/>
    <w:rsid w:val="008417F2"/>
    <w:rsid w:val="00843810"/>
    <w:rsid w:val="00843C5B"/>
    <w:rsid w:val="0084768D"/>
    <w:rsid w:val="00847D43"/>
    <w:rsid w:val="008522D1"/>
    <w:rsid w:val="008525D3"/>
    <w:rsid w:val="00853A0F"/>
    <w:rsid w:val="00861288"/>
    <w:rsid w:val="00863ED7"/>
    <w:rsid w:val="008646A2"/>
    <w:rsid w:val="008656C5"/>
    <w:rsid w:val="00871597"/>
    <w:rsid w:val="00872288"/>
    <w:rsid w:val="008814AB"/>
    <w:rsid w:val="00883320"/>
    <w:rsid w:val="0088598F"/>
    <w:rsid w:val="008866B0"/>
    <w:rsid w:val="00896525"/>
    <w:rsid w:val="0089780C"/>
    <w:rsid w:val="008B13D1"/>
    <w:rsid w:val="008B257F"/>
    <w:rsid w:val="008B3AF8"/>
    <w:rsid w:val="008C2FAF"/>
    <w:rsid w:val="008C4FAA"/>
    <w:rsid w:val="008C5D1F"/>
    <w:rsid w:val="008C6674"/>
    <w:rsid w:val="008C6880"/>
    <w:rsid w:val="008C7718"/>
    <w:rsid w:val="008D0B8E"/>
    <w:rsid w:val="008D42F8"/>
    <w:rsid w:val="008D7660"/>
    <w:rsid w:val="008D7B56"/>
    <w:rsid w:val="008E0B8E"/>
    <w:rsid w:val="008E1A23"/>
    <w:rsid w:val="008E331A"/>
    <w:rsid w:val="008E39FE"/>
    <w:rsid w:val="008E551D"/>
    <w:rsid w:val="008F0F09"/>
    <w:rsid w:val="008F51B2"/>
    <w:rsid w:val="008F682B"/>
    <w:rsid w:val="00902CEE"/>
    <w:rsid w:val="009035F9"/>
    <w:rsid w:val="00906EEC"/>
    <w:rsid w:val="00913225"/>
    <w:rsid w:val="009143DE"/>
    <w:rsid w:val="00915706"/>
    <w:rsid w:val="00926923"/>
    <w:rsid w:val="009316AC"/>
    <w:rsid w:val="00931C64"/>
    <w:rsid w:val="00933B43"/>
    <w:rsid w:val="00933B7C"/>
    <w:rsid w:val="00934209"/>
    <w:rsid w:val="0094341E"/>
    <w:rsid w:val="009475C3"/>
    <w:rsid w:val="009570DF"/>
    <w:rsid w:val="009577C9"/>
    <w:rsid w:val="00961C3F"/>
    <w:rsid w:val="0096345F"/>
    <w:rsid w:val="00964FE6"/>
    <w:rsid w:val="00966ABA"/>
    <w:rsid w:val="0097081A"/>
    <w:rsid w:val="00972759"/>
    <w:rsid w:val="00984990"/>
    <w:rsid w:val="00985520"/>
    <w:rsid w:val="0099618D"/>
    <w:rsid w:val="009A1560"/>
    <w:rsid w:val="009A156D"/>
    <w:rsid w:val="009A677C"/>
    <w:rsid w:val="009A6A8D"/>
    <w:rsid w:val="009A7B98"/>
    <w:rsid w:val="009A7CD2"/>
    <w:rsid w:val="009C5406"/>
    <w:rsid w:val="009D4F29"/>
    <w:rsid w:val="009E3E49"/>
    <w:rsid w:val="009E524D"/>
    <w:rsid w:val="009E644F"/>
    <w:rsid w:val="009F00A7"/>
    <w:rsid w:val="009F0F6A"/>
    <w:rsid w:val="009F2784"/>
    <w:rsid w:val="00A0119E"/>
    <w:rsid w:val="00A018F8"/>
    <w:rsid w:val="00A05451"/>
    <w:rsid w:val="00A0568B"/>
    <w:rsid w:val="00A10990"/>
    <w:rsid w:val="00A11B78"/>
    <w:rsid w:val="00A12BB6"/>
    <w:rsid w:val="00A15785"/>
    <w:rsid w:val="00A1591D"/>
    <w:rsid w:val="00A17CC1"/>
    <w:rsid w:val="00A208B1"/>
    <w:rsid w:val="00A22D91"/>
    <w:rsid w:val="00A275B1"/>
    <w:rsid w:val="00A40382"/>
    <w:rsid w:val="00A4610A"/>
    <w:rsid w:val="00A46F52"/>
    <w:rsid w:val="00A571E9"/>
    <w:rsid w:val="00A674F2"/>
    <w:rsid w:val="00A71216"/>
    <w:rsid w:val="00A81048"/>
    <w:rsid w:val="00A852E0"/>
    <w:rsid w:val="00A85B10"/>
    <w:rsid w:val="00A85DB9"/>
    <w:rsid w:val="00A906F0"/>
    <w:rsid w:val="00A909D2"/>
    <w:rsid w:val="00A91EAD"/>
    <w:rsid w:val="00A92EA0"/>
    <w:rsid w:val="00A96509"/>
    <w:rsid w:val="00A97120"/>
    <w:rsid w:val="00AB0C65"/>
    <w:rsid w:val="00AB2EF2"/>
    <w:rsid w:val="00AB3FE6"/>
    <w:rsid w:val="00AB55CF"/>
    <w:rsid w:val="00AC0F6D"/>
    <w:rsid w:val="00AC3901"/>
    <w:rsid w:val="00AC5A13"/>
    <w:rsid w:val="00AC6324"/>
    <w:rsid w:val="00AC7449"/>
    <w:rsid w:val="00AD171E"/>
    <w:rsid w:val="00AD6293"/>
    <w:rsid w:val="00AE2F30"/>
    <w:rsid w:val="00AF0A88"/>
    <w:rsid w:val="00AF259D"/>
    <w:rsid w:val="00B01443"/>
    <w:rsid w:val="00B06A0E"/>
    <w:rsid w:val="00B10683"/>
    <w:rsid w:val="00B10BC5"/>
    <w:rsid w:val="00B15CFE"/>
    <w:rsid w:val="00B17603"/>
    <w:rsid w:val="00B2184E"/>
    <w:rsid w:val="00B24798"/>
    <w:rsid w:val="00B27573"/>
    <w:rsid w:val="00B361F7"/>
    <w:rsid w:val="00B41530"/>
    <w:rsid w:val="00B42D25"/>
    <w:rsid w:val="00B559BA"/>
    <w:rsid w:val="00B6239C"/>
    <w:rsid w:val="00B643C2"/>
    <w:rsid w:val="00B71B58"/>
    <w:rsid w:val="00B86DE8"/>
    <w:rsid w:val="00B90C71"/>
    <w:rsid w:val="00B91569"/>
    <w:rsid w:val="00B91A00"/>
    <w:rsid w:val="00B933C0"/>
    <w:rsid w:val="00B93A26"/>
    <w:rsid w:val="00B93EE9"/>
    <w:rsid w:val="00BA0F37"/>
    <w:rsid w:val="00BA18CF"/>
    <w:rsid w:val="00BA3B41"/>
    <w:rsid w:val="00BA6DD3"/>
    <w:rsid w:val="00BB02E1"/>
    <w:rsid w:val="00BB6AE5"/>
    <w:rsid w:val="00BC1A18"/>
    <w:rsid w:val="00BC7130"/>
    <w:rsid w:val="00BE0DAD"/>
    <w:rsid w:val="00BE0FB1"/>
    <w:rsid w:val="00BE1010"/>
    <w:rsid w:val="00BE28EC"/>
    <w:rsid w:val="00BE2C2E"/>
    <w:rsid w:val="00BE3078"/>
    <w:rsid w:val="00BF38FF"/>
    <w:rsid w:val="00BF4FAE"/>
    <w:rsid w:val="00BF6792"/>
    <w:rsid w:val="00C01278"/>
    <w:rsid w:val="00C03D68"/>
    <w:rsid w:val="00C0405D"/>
    <w:rsid w:val="00C062AD"/>
    <w:rsid w:val="00C1118A"/>
    <w:rsid w:val="00C1557D"/>
    <w:rsid w:val="00C26503"/>
    <w:rsid w:val="00C34A0A"/>
    <w:rsid w:val="00C35ABB"/>
    <w:rsid w:val="00C3630C"/>
    <w:rsid w:val="00C431EA"/>
    <w:rsid w:val="00C46B8E"/>
    <w:rsid w:val="00C47E9E"/>
    <w:rsid w:val="00C50B13"/>
    <w:rsid w:val="00C526F1"/>
    <w:rsid w:val="00C56BD5"/>
    <w:rsid w:val="00C6011D"/>
    <w:rsid w:val="00C62520"/>
    <w:rsid w:val="00C72DE2"/>
    <w:rsid w:val="00C740CE"/>
    <w:rsid w:val="00C752B0"/>
    <w:rsid w:val="00C75962"/>
    <w:rsid w:val="00C81471"/>
    <w:rsid w:val="00C8705F"/>
    <w:rsid w:val="00C8778A"/>
    <w:rsid w:val="00C87915"/>
    <w:rsid w:val="00C90861"/>
    <w:rsid w:val="00C90C8A"/>
    <w:rsid w:val="00C941C0"/>
    <w:rsid w:val="00CA2ED0"/>
    <w:rsid w:val="00CA38F7"/>
    <w:rsid w:val="00CA6925"/>
    <w:rsid w:val="00CB136B"/>
    <w:rsid w:val="00CB2D74"/>
    <w:rsid w:val="00CB60B3"/>
    <w:rsid w:val="00CB686C"/>
    <w:rsid w:val="00CB6C4B"/>
    <w:rsid w:val="00CB6DBD"/>
    <w:rsid w:val="00CC017B"/>
    <w:rsid w:val="00CC278E"/>
    <w:rsid w:val="00CD31B3"/>
    <w:rsid w:val="00CD41C5"/>
    <w:rsid w:val="00CE1C19"/>
    <w:rsid w:val="00CE2414"/>
    <w:rsid w:val="00CE3E40"/>
    <w:rsid w:val="00CF053C"/>
    <w:rsid w:val="00CF2379"/>
    <w:rsid w:val="00CF406C"/>
    <w:rsid w:val="00D04648"/>
    <w:rsid w:val="00D1129F"/>
    <w:rsid w:val="00D222FB"/>
    <w:rsid w:val="00D22A02"/>
    <w:rsid w:val="00D32BB0"/>
    <w:rsid w:val="00D33F96"/>
    <w:rsid w:val="00D450E6"/>
    <w:rsid w:val="00D46BF2"/>
    <w:rsid w:val="00D54BD3"/>
    <w:rsid w:val="00D55651"/>
    <w:rsid w:val="00D55815"/>
    <w:rsid w:val="00D616AC"/>
    <w:rsid w:val="00D70C5E"/>
    <w:rsid w:val="00D71E1F"/>
    <w:rsid w:val="00D762C7"/>
    <w:rsid w:val="00D77710"/>
    <w:rsid w:val="00D846DC"/>
    <w:rsid w:val="00D85434"/>
    <w:rsid w:val="00D85481"/>
    <w:rsid w:val="00D91104"/>
    <w:rsid w:val="00D9136A"/>
    <w:rsid w:val="00D933B1"/>
    <w:rsid w:val="00D94A9D"/>
    <w:rsid w:val="00DA1DD0"/>
    <w:rsid w:val="00DA2505"/>
    <w:rsid w:val="00DA37B8"/>
    <w:rsid w:val="00DA5059"/>
    <w:rsid w:val="00DA593A"/>
    <w:rsid w:val="00DB727A"/>
    <w:rsid w:val="00DC3181"/>
    <w:rsid w:val="00DC3E16"/>
    <w:rsid w:val="00DD0FF9"/>
    <w:rsid w:val="00DD40E1"/>
    <w:rsid w:val="00DE689F"/>
    <w:rsid w:val="00DF3AB8"/>
    <w:rsid w:val="00DF6866"/>
    <w:rsid w:val="00E00A79"/>
    <w:rsid w:val="00E01C1A"/>
    <w:rsid w:val="00E05559"/>
    <w:rsid w:val="00E07308"/>
    <w:rsid w:val="00E108A4"/>
    <w:rsid w:val="00E112AA"/>
    <w:rsid w:val="00E12C40"/>
    <w:rsid w:val="00E1489E"/>
    <w:rsid w:val="00E1518D"/>
    <w:rsid w:val="00E333C8"/>
    <w:rsid w:val="00E337EC"/>
    <w:rsid w:val="00E34275"/>
    <w:rsid w:val="00E36054"/>
    <w:rsid w:val="00E433A8"/>
    <w:rsid w:val="00E44EC9"/>
    <w:rsid w:val="00E47448"/>
    <w:rsid w:val="00E62EBA"/>
    <w:rsid w:val="00E635AB"/>
    <w:rsid w:val="00E824F5"/>
    <w:rsid w:val="00E85810"/>
    <w:rsid w:val="00E91DAD"/>
    <w:rsid w:val="00E9525E"/>
    <w:rsid w:val="00EA6A62"/>
    <w:rsid w:val="00EB2130"/>
    <w:rsid w:val="00EB2226"/>
    <w:rsid w:val="00EB317B"/>
    <w:rsid w:val="00ED071E"/>
    <w:rsid w:val="00ED13C0"/>
    <w:rsid w:val="00ED18CE"/>
    <w:rsid w:val="00ED1F65"/>
    <w:rsid w:val="00ED5110"/>
    <w:rsid w:val="00ED70F7"/>
    <w:rsid w:val="00EE2116"/>
    <w:rsid w:val="00EE352D"/>
    <w:rsid w:val="00EF063C"/>
    <w:rsid w:val="00EF0E83"/>
    <w:rsid w:val="00EF54F1"/>
    <w:rsid w:val="00F03A20"/>
    <w:rsid w:val="00F050D9"/>
    <w:rsid w:val="00F07946"/>
    <w:rsid w:val="00F14466"/>
    <w:rsid w:val="00F14971"/>
    <w:rsid w:val="00F14992"/>
    <w:rsid w:val="00F21477"/>
    <w:rsid w:val="00F266FB"/>
    <w:rsid w:val="00F30835"/>
    <w:rsid w:val="00F334B0"/>
    <w:rsid w:val="00F33B7F"/>
    <w:rsid w:val="00F3440E"/>
    <w:rsid w:val="00F418DD"/>
    <w:rsid w:val="00F447B6"/>
    <w:rsid w:val="00F47FB8"/>
    <w:rsid w:val="00F50190"/>
    <w:rsid w:val="00F5299C"/>
    <w:rsid w:val="00F52D3D"/>
    <w:rsid w:val="00F54A7F"/>
    <w:rsid w:val="00F56896"/>
    <w:rsid w:val="00F57B04"/>
    <w:rsid w:val="00F62180"/>
    <w:rsid w:val="00F6430C"/>
    <w:rsid w:val="00F715D6"/>
    <w:rsid w:val="00F77026"/>
    <w:rsid w:val="00F8204D"/>
    <w:rsid w:val="00F8362F"/>
    <w:rsid w:val="00F850F1"/>
    <w:rsid w:val="00F9732B"/>
    <w:rsid w:val="00FA178B"/>
    <w:rsid w:val="00FA4CA0"/>
    <w:rsid w:val="00FA70DF"/>
    <w:rsid w:val="00FA719C"/>
    <w:rsid w:val="00FC2902"/>
    <w:rsid w:val="00FC43C1"/>
    <w:rsid w:val="00FC5283"/>
    <w:rsid w:val="00FD1C1F"/>
    <w:rsid w:val="00FD2067"/>
    <w:rsid w:val="00FD39F7"/>
    <w:rsid w:val="00FE0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C4DF7D"/>
  <w15:chartTrackingRefBased/>
  <w15:docId w15:val="{2DA8EF6C-B5DB-42EE-BEB3-420FA48B5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33C0"/>
    <w:rPr>
      <w:rFonts w:ascii="Calibri" w:eastAsia="SimSun" w:hAnsi="Calibri" w:cs="Times New Roman"/>
      <w:lang w:val="nl-NL" w:eastAsia="nl-NL"/>
    </w:rPr>
  </w:style>
  <w:style w:type="paragraph" w:styleId="Heading1">
    <w:name w:val="heading 1"/>
    <w:basedOn w:val="Normal"/>
    <w:next w:val="Normal"/>
    <w:link w:val="Heading1Char"/>
    <w:uiPriority w:val="9"/>
    <w:qFormat/>
    <w:rsid w:val="00B15CFE"/>
    <w:pPr>
      <w:keepNext/>
      <w:keepLines/>
      <w:spacing w:before="240" w:after="0"/>
      <w:outlineLvl w:val="0"/>
    </w:pPr>
    <w:rPr>
      <w:rFonts w:asciiTheme="minorHAnsi" w:eastAsiaTheme="majorEastAsia" w:hAnsiTheme="minorHAnsi" w:cstheme="majorBidi"/>
      <w:b/>
      <w:szCs w:val="32"/>
    </w:rPr>
  </w:style>
  <w:style w:type="paragraph" w:styleId="Heading2">
    <w:name w:val="heading 2"/>
    <w:basedOn w:val="Normal"/>
    <w:next w:val="Normal"/>
    <w:link w:val="Heading2Char"/>
    <w:uiPriority w:val="9"/>
    <w:unhideWhenUsed/>
    <w:qFormat/>
    <w:rsid w:val="00B15CFE"/>
    <w:pPr>
      <w:keepNext/>
      <w:keepLines/>
      <w:spacing w:before="40" w:after="0"/>
      <w:outlineLvl w:val="1"/>
    </w:pPr>
    <w:rPr>
      <w:rFonts w:asciiTheme="minorHAnsi" w:eastAsiaTheme="majorEastAsia" w:hAnsiTheme="minorHAnsi"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961C3F"/>
    <w:pPr>
      <w:widowControl w:val="0"/>
      <w:suppressAutoHyphens/>
      <w:autoSpaceDN w:val="0"/>
      <w:spacing w:after="0" w:line="240" w:lineRule="auto"/>
      <w:textAlignment w:val="baseline"/>
    </w:pPr>
    <w:rPr>
      <w:rFonts w:ascii="Times New Roman" w:eastAsia="Arial Unicode MS" w:hAnsi="Times New Roman" w:cs="Arial Unicode MS"/>
      <w:kern w:val="3"/>
      <w:sz w:val="24"/>
      <w:szCs w:val="24"/>
      <w:lang w:val="fr-FR" w:eastAsia="zh-CN" w:bidi="hi-IN"/>
    </w:rPr>
  </w:style>
  <w:style w:type="character" w:customStyle="1" w:styleId="Standaardalinea-lettertype1">
    <w:name w:val="Standaardalinea-lettertype1"/>
    <w:rsid w:val="00961C3F"/>
  </w:style>
  <w:style w:type="character" w:styleId="Hyperlink">
    <w:name w:val="Hyperlink"/>
    <w:basedOn w:val="DefaultParagraphFont"/>
    <w:uiPriority w:val="99"/>
    <w:unhideWhenUsed/>
    <w:rsid w:val="00FD2067"/>
    <w:rPr>
      <w:color w:val="0000FF"/>
      <w:u w:val="single"/>
    </w:rPr>
  </w:style>
  <w:style w:type="character" w:customStyle="1" w:styleId="Heading1Char">
    <w:name w:val="Heading 1 Char"/>
    <w:basedOn w:val="DefaultParagraphFont"/>
    <w:link w:val="Heading1"/>
    <w:uiPriority w:val="9"/>
    <w:rsid w:val="00B15CFE"/>
    <w:rPr>
      <w:rFonts w:eastAsiaTheme="majorEastAsia" w:cstheme="majorBidi"/>
      <w:b/>
      <w:szCs w:val="32"/>
      <w:lang w:val="nl-NL" w:eastAsia="nl-NL"/>
    </w:rPr>
  </w:style>
  <w:style w:type="paragraph" w:styleId="TOCHeading">
    <w:name w:val="TOC Heading"/>
    <w:basedOn w:val="Heading1"/>
    <w:next w:val="Normal"/>
    <w:uiPriority w:val="39"/>
    <w:unhideWhenUsed/>
    <w:qFormat/>
    <w:rsid w:val="00FD2067"/>
    <w:pPr>
      <w:outlineLvl w:val="9"/>
    </w:pPr>
    <w:rPr>
      <w:lang w:val="en-US" w:eastAsia="en-US"/>
    </w:rPr>
  </w:style>
  <w:style w:type="paragraph" w:styleId="Title">
    <w:name w:val="Title"/>
    <w:basedOn w:val="Normal"/>
    <w:next w:val="Normal"/>
    <w:link w:val="TitleChar"/>
    <w:uiPriority w:val="10"/>
    <w:qFormat/>
    <w:rsid w:val="0011624B"/>
    <w:pPr>
      <w:spacing w:after="0" w:line="240" w:lineRule="auto"/>
      <w:contextualSpacing/>
    </w:pPr>
    <w:rPr>
      <w:rFonts w:eastAsiaTheme="majorEastAsia" w:cstheme="majorBidi"/>
      <w:spacing w:val="-10"/>
      <w:kern w:val="28"/>
      <w:szCs w:val="56"/>
    </w:rPr>
  </w:style>
  <w:style w:type="character" w:customStyle="1" w:styleId="TitleChar">
    <w:name w:val="Title Char"/>
    <w:basedOn w:val="DefaultParagraphFont"/>
    <w:link w:val="Title"/>
    <w:uiPriority w:val="10"/>
    <w:rsid w:val="0011624B"/>
    <w:rPr>
      <w:rFonts w:ascii="Calibri" w:eastAsiaTheme="majorEastAsia" w:hAnsi="Calibri" w:cstheme="majorBidi"/>
      <w:spacing w:val="-10"/>
      <w:kern w:val="28"/>
      <w:szCs w:val="56"/>
      <w:lang w:val="nl-NL" w:eastAsia="nl-NL"/>
    </w:rPr>
  </w:style>
  <w:style w:type="character" w:styleId="Emphasis">
    <w:name w:val="Emphasis"/>
    <w:basedOn w:val="DefaultParagraphFont"/>
    <w:uiPriority w:val="20"/>
    <w:qFormat/>
    <w:rsid w:val="00FD2067"/>
    <w:rPr>
      <w:i/>
      <w:iCs/>
    </w:rPr>
  </w:style>
  <w:style w:type="character" w:styleId="BookTitle">
    <w:name w:val="Book Title"/>
    <w:basedOn w:val="DefaultParagraphFont"/>
    <w:uiPriority w:val="33"/>
    <w:qFormat/>
    <w:rsid w:val="00FD2067"/>
    <w:rPr>
      <w:b/>
      <w:bCs/>
      <w:i/>
      <w:iCs/>
      <w:spacing w:val="5"/>
    </w:rPr>
  </w:style>
  <w:style w:type="character" w:styleId="IntenseReference">
    <w:name w:val="Intense Reference"/>
    <w:basedOn w:val="DefaultParagraphFont"/>
    <w:uiPriority w:val="32"/>
    <w:qFormat/>
    <w:rsid w:val="00FD2067"/>
    <w:rPr>
      <w:b/>
      <w:bCs/>
      <w:smallCaps/>
      <w:color w:val="5B9BD5" w:themeColor="accent1"/>
      <w:spacing w:val="5"/>
    </w:rPr>
  </w:style>
  <w:style w:type="character" w:styleId="SubtleReference">
    <w:name w:val="Subtle Reference"/>
    <w:basedOn w:val="DefaultParagraphFont"/>
    <w:uiPriority w:val="31"/>
    <w:qFormat/>
    <w:rsid w:val="00FD2067"/>
    <w:rPr>
      <w:smallCaps/>
      <w:color w:val="5A5A5A" w:themeColor="text1" w:themeTint="A5"/>
    </w:rPr>
  </w:style>
  <w:style w:type="paragraph" w:styleId="IntenseQuote">
    <w:name w:val="Intense Quote"/>
    <w:basedOn w:val="Normal"/>
    <w:next w:val="Normal"/>
    <w:link w:val="IntenseQuoteChar"/>
    <w:uiPriority w:val="30"/>
    <w:qFormat/>
    <w:rsid w:val="00FD206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FD2067"/>
    <w:rPr>
      <w:rFonts w:ascii="Calibri" w:eastAsia="SimSun" w:hAnsi="Calibri" w:cs="Times New Roman"/>
      <w:i/>
      <w:iCs/>
      <w:color w:val="5B9BD5" w:themeColor="accent1"/>
      <w:lang w:val="nl-NL" w:eastAsia="nl-NL"/>
    </w:rPr>
  </w:style>
  <w:style w:type="paragraph" w:styleId="Quote">
    <w:name w:val="Quote"/>
    <w:basedOn w:val="Normal"/>
    <w:next w:val="Normal"/>
    <w:link w:val="QuoteChar"/>
    <w:uiPriority w:val="29"/>
    <w:qFormat/>
    <w:rsid w:val="00FD206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D2067"/>
    <w:rPr>
      <w:rFonts w:ascii="Calibri" w:eastAsia="SimSun" w:hAnsi="Calibri" w:cs="Times New Roman"/>
      <w:i/>
      <w:iCs/>
      <w:color w:val="404040" w:themeColor="text1" w:themeTint="BF"/>
      <w:lang w:val="nl-NL" w:eastAsia="nl-NL"/>
    </w:rPr>
  </w:style>
  <w:style w:type="character" w:customStyle="1" w:styleId="Heading2Char">
    <w:name w:val="Heading 2 Char"/>
    <w:basedOn w:val="DefaultParagraphFont"/>
    <w:link w:val="Heading2"/>
    <w:uiPriority w:val="9"/>
    <w:rsid w:val="00B15CFE"/>
    <w:rPr>
      <w:rFonts w:eastAsiaTheme="majorEastAsia" w:cstheme="majorBidi"/>
      <w:i/>
      <w:szCs w:val="26"/>
      <w:lang w:val="nl-NL" w:eastAsia="nl-NL"/>
    </w:rPr>
  </w:style>
  <w:style w:type="paragraph" w:styleId="ListParagraph">
    <w:name w:val="List Paragraph"/>
    <w:basedOn w:val="Normal"/>
    <w:uiPriority w:val="34"/>
    <w:qFormat/>
    <w:rsid w:val="00B15CFE"/>
    <w:pPr>
      <w:ind w:left="720"/>
      <w:contextualSpacing/>
    </w:pPr>
  </w:style>
  <w:style w:type="character" w:customStyle="1" w:styleId="Standaardalinea-lettertype">
    <w:name w:val="Standaardalinea-lettertype"/>
    <w:rsid w:val="00B15CFE"/>
  </w:style>
  <w:style w:type="character" w:customStyle="1" w:styleId="Fuentedeprrafopredeter">
    <w:name w:val="Fuente de párrafo predeter."/>
    <w:rsid w:val="00B15CFE"/>
  </w:style>
  <w:style w:type="paragraph" w:customStyle="1" w:styleId="Endnote">
    <w:name w:val="Endnote"/>
    <w:basedOn w:val="Standard"/>
    <w:rsid w:val="00B15CFE"/>
    <w:pPr>
      <w:suppressLineNumbers/>
      <w:ind w:left="283" w:hanging="283"/>
    </w:pPr>
    <w:rPr>
      <w:sz w:val="20"/>
      <w:szCs w:val="20"/>
    </w:rPr>
  </w:style>
  <w:style w:type="paragraph" w:customStyle="1" w:styleId="Textonotaalfinal">
    <w:name w:val="Texto nota al final"/>
    <w:basedOn w:val="Normal"/>
    <w:rsid w:val="00B15CFE"/>
    <w:pPr>
      <w:widowControl w:val="0"/>
      <w:autoSpaceDN w:val="0"/>
      <w:spacing w:after="0" w:line="240" w:lineRule="auto"/>
      <w:textAlignment w:val="baseline"/>
    </w:pPr>
    <w:rPr>
      <w:rFonts w:ascii="Times New Roman" w:eastAsia="Arial Unicode MS" w:hAnsi="Times New Roman" w:cs="Mangal"/>
      <w:kern w:val="3"/>
      <w:sz w:val="20"/>
      <w:szCs w:val="18"/>
      <w:lang w:val="en-GB" w:eastAsia="zh-CN" w:bidi="hi-IN"/>
    </w:rPr>
  </w:style>
  <w:style w:type="character" w:customStyle="1" w:styleId="Eindnootmarkering">
    <w:name w:val="Eindnootmarkering"/>
    <w:rsid w:val="00B15CFE"/>
    <w:rPr>
      <w:rFonts w:ascii="Times New Roman" w:hAnsi="Times New Roman"/>
      <w:position w:val="0"/>
      <w:vertAlign w:val="superscript"/>
    </w:rPr>
  </w:style>
  <w:style w:type="character" w:customStyle="1" w:styleId="Refdenotaalfinal">
    <w:name w:val="Ref. de nota al final"/>
    <w:basedOn w:val="Fuentedeprrafopredeter"/>
    <w:rsid w:val="00B15CFE"/>
    <w:rPr>
      <w:position w:val="0"/>
      <w:vertAlign w:val="superscript"/>
    </w:rPr>
  </w:style>
  <w:style w:type="paragraph" w:styleId="HTMLPreformatted">
    <w:name w:val="HTML Preformatted"/>
    <w:basedOn w:val="Normal"/>
    <w:link w:val="HTMLPreformattedChar"/>
    <w:uiPriority w:val="99"/>
    <w:unhideWhenUsed/>
    <w:rsid w:val="00B15C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B15CFE"/>
    <w:rPr>
      <w:rFonts w:ascii="Courier New" w:eastAsia="Times New Roman" w:hAnsi="Courier New" w:cs="Courier New"/>
      <w:sz w:val="20"/>
      <w:szCs w:val="20"/>
    </w:rPr>
  </w:style>
  <w:style w:type="character" w:styleId="EndnoteReference">
    <w:name w:val="endnote reference"/>
    <w:basedOn w:val="DefaultParagraphFont"/>
    <w:uiPriority w:val="99"/>
    <w:unhideWhenUsed/>
    <w:rsid w:val="00B15CFE"/>
    <w:rPr>
      <w:vertAlign w:val="superscript"/>
    </w:rPr>
  </w:style>
  <w:style w:type="paragraph" w:styleId="NoSpacing">
    <w:name w:val="No Spacing"/>
    <w:uiPriority w:val="1"/>
    <w:qFormat/>
    <w:rsid w:val="00B15CFE"/>
    <w:pPr>
      <w:spacing w:after="0" w:line="240" w:lineRule="auto"/>
    </w:pPr>
    <w:rPr>
      <w:rFonts w:ascii="Times New Roman" w:hAnsi="Times New Roman"/>
      <w:sz w:val="24"/>
      <w:lang w:val="fr-BE"/>
    </w:rPr>
  </w:style>
  <w:style w:type="paragraph" w:styleId="EndnoteText">
    <w:name w:val="endnote text"/>
    <w:basedOn w:val="Normal"/>
    <w:link w:val="EndnoteTextChar"/>
    <w:uiPriority w:val="99"/>
    <w:semiHidden/>
    <w:unhideWhenUsed/>
    <w:rsid w:val="00B15CF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15CFE"/>
    <w:rPr>
      <w:rFonts w:ascii="Calibri" w:eastAsia="SimSun" w:hAnsi="Calibri" w:cs="Times New Roman"/>
      <w:sz w:val="20"/>
      <w:szCs w:val="20"/>
      <w:lang w:val="nl-NL" w:eastAsia="nl-NL"/>
    </w:rPr>
  </w:style>
  <w:style w:type="paragraph" w:styleId="FootnoteText">
    <w:name w:val="footnote text"/>
    <w:basedOn w:val="Normal"/>
    <w:link w:val="FootnoteTextChar"/>
    <w:uiPriority w:val="99"/>
    <w:unhideWhenUsed/>
    <w:rsid w:val="00B15CFE"/>
    <w:pPr>
      <w:spacing w:after="0" w:line="240" w:lineRule="auto"/>
    </w:pPr>
    <w:rPr>
      <w:sz w:val="20"/>
      <w:szCs w:val="20"/>
    </w:rPr>
  </w:style>
  <w:style w:type="character" w:customStyle="1" w:styleId="FootnoteTextChar">
    <w:name w:val="Footnote Text Char"/>
    <w:basedOn w:val="DefaultParagraphFont"/>
    <w:link w:val="FootnoteText"/>
    <w:uiPriority w:val="99"/>
    <w:rsid w:val="00B15CFE"/>
    <w:rPr>
      <w:rFonts w:ascii="Calibri" w:eastAsia="SimSun" w:hAnsi="Calibri" w:cs="Times New Roman"/>
      <w:sz w:val="20"/>
      <w:szCs w:val="20"/>
      <w:lang w:val="nl-NL" w:eastAsia="nl-NL"/>
    </w:rPr>
  </w:style>
  <w:style w:type="character" w:styleId="FootnoteReference">
    <w:name w:val="footnote reference"/>
    <w:basedOn w:val="DefaultParagraphFont"/>
    <w:uiPriority w:val="99"/>
    <w:semiHidden/>
    <w:unhideWhenUsed/>
    <w:rsid w:val="00B15CFE"/>
    <w:rPr>
      <w:vertAlign w:val="superscript"/>
    </w:rPr>
  </w:style>
  <w:style w:type="paragraph" w:styleId="TOC1">
    <w:name w:val="toc 1"/>
    <w:basedOn w:val="Normal"/>
    <w:next w:val="Normal"/>
    <w:autoRedefine/>
    <w:uiPriority w:val="39"/>
    <w:unhideWhenUsed/>
    <w:rsid w:val="004761DF"/>
    <w:pPr>
      <w:spacing w:after="100"/>
    </w:pPr>
  </w:style>
  <w:style w:type="paragraph" w:styleId="TOC2">
    <w:name w:val="toc 2"/>
    <w:basedOn w:val="Normal"/>
    <w:next w:val="Normal"/>
    <w:autoRedefine/>
    <w:uiPriority w:val="39"/>
    <w:unhideWhenUsed/>
    <w:rsid w:val="004761DF"/>
    <w:pPr>
      <w:spacing w:after="100"/>
      <w:ind w:left="220"/>
    </w:pPr>
  </w:style>
  <w:style w:type="character" w:styleId="FollowedHyperlink">
    <w:name w:val="FollowedHyperlink"/>
    <w:basedOn w:val="DefaultParagraphFont"/>
    <w:uiPriority w:val="99"/>
    <w:semiHidden/>
    <w:unhideWhenUsed/>
    <w:rsid w:val="00CA2ED0"/>
    <w:rPr>
      <w:color w:val="954F72" w:themeColor="followedHyperlink"/>
      <w:u w:val="single"/>
    </w:rPr>
  </w:style>
  <w:style w:type="character" w:styleId="Strong">
    <w:name w:val="Strong"/>
    <w:basedOn w:val="DefaultParagraphFont"/>
    <w:uiPriority w:val="22"/>
    <w:qFormat/>
    <w:rsid w:val="0025435D"/>
    <w:rPr>
      <w:b/>
      <w:bCs/>
    </w:rPr>
  </w:style>
  <w:style w:type="character" w:customStyle="1" w:styleId="text">
    <w:name w:val="text"/>
    <w:basedOn w:val="DefaultParagraphFont"/>
    <w:rsid w:val="004D7E33"/>
  </w:style>
  <w:style w:type="paragraph" w:styleId="NormalWeb">
    <w:name w:val="Normal (Web)"/>
    <w:basedOn w:val="Normal"/>
    <w:uiPriority w:val="99"/>
    <w:semiHidden/>
    <w:unhideWhenUsed/>
    <w:rsid w:val="006A2017"/>
    <w:pPr>
      <w:spacing w:before="100" w:beforeAutospacing="1" w:after="100" w:afterAutospacing="1" w:line="240" w:lineRule="auto"/>
    </w:pPr>
    <w:rPr>
      <w:rFonts w:ascii="Times New Roman" w:eastAsia="Times New Roman" w:hAnsi="Times New Roman"/>
      <w:sz w:val="24"/>
      <w:szCs w:val="24"/>
      <w:lang w:val="en-US" w:eastAsia="en-US"/>
    </w:rPr>
  </w:style>
  <w:style w:type="character" w:styleId="CommentReference">
    <w:name w:val="annotation reference"/>
    <w:basedOn w:val="DefaultParagraphFont"/>
    <w:uiPriority w:val="99"/>
    <w:semiHidden/>
    <w:unhideWhenUsed/>
    <w:rsid w:val="00B17603"/>
    <w:rPr>
      <w:sz w:val="16"/>
      <w:szCs w:val="16"/>
    </w:rPr>
  </w:style>
  <w:style w:type="paragraph" w:styleId="CommentText">
    <w:name w:val="annotation text"/>
    <w:basedOn w:val="Normal"/>
    <w:link w:val="CommentTextChar"/>
    <w:uiPriority w:val="99"/>
    <w:unhideWhenUsed/>
    <w:rsid w:val="00B17603"/>
    <w:pPr>
      <w:spacing w:line="240" w:lineRule="auto"/>
    </w:pPr>
    <w:rPr>
      <w:sz w:val="20"/>
      <w:szCs w:val="20"/>
    </w:rPr>
  </w:style>
  <w:style w:type="character" w:customStyle="1" w:styleId="CommentTextChar">
    <w:name w:val="Comment Text Char"/>
    <w:basedOn w:val="DefaultParagraphFont"/>
    <w:link w:val="CommentText"/>
    <w:uiPriority w:val="99"/>
    <w:rsid w:val="00B17603"/>
    <w:rPr>
      <w:rFonts w:ascii="Calibri" w:eastAsia="SimSun" w:hAnsi="Calibri" w:cs="Times New Roman"/>
      <w:sz w:val="20"/>
      <w:szCs w:val="20"/>
      <w:lang w:val="nl-NL" w:eastAsia="nl-NL"/>
    </w:rPr>
  </w:style>
  <w:style w:type="paragraph" w:styleId="CommentSubject">
    <w:name w:val="annotation subject"/>
    <w:basedOn w:val="CommentText"/>
    <w:next w:val="CommentText"/>
    <w:link w:val="CommentSubjectChar"/>
    <w:uiPriority w:val="99"/>
    <w:semiHidden/>
    <w:unhideWhenUsed/>
    <w:rsid w:val="00B17603"/>
    <w:rPr>
      <w:b/>
      <w:bCs/>
    </w:rPr>
  </w:style>
  <w:style w:type="character" w:customStyle="1" w:styleId="CommentSubjectChar">
    <w:name w:val="Comment Subject Char"/>
    <w:basedOn w:val="CommentTextChar"/>
    <w:link w:val="CommentSubject"/>
    <w:uiPriority w:val="99"/>
    <w:semiHidden/>
    <w:rsid w:val="00B17603"/>
    <w:rPr>
      <w:rFonts w:ascii="Calibri" w:eastAsia="SimSun" w:hAnsi="Calibri" w:cs="Times New Roman"/>
      <w:b/>
      <w:bCs/>
      <w:sz w:val="20"/>
      <w:szCs w:val="20"/>
      <w:lang w:val="nl-NL" w:eastAsia="nl-NL"/>
    </w:rPr>
  </w:style>
  <w:style w:type="paragraph" w:styleId="BalloonText">
    <w:name w:val="Balloon Text"/>
    <w:basedOn w:val="Normal"/>
    <w:link w:val="BalloonTextChar"/>
    <w:uiPriority w:val="99"/>
    <w:semiHidden/>
    <w:unhideWhenUsed/>
    <w:rsid w:val="00B176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7603"/>
    <w:rPr>
      <w:rFonts w:ascii="Segoe UI" w:eastAsia="SimSun" w:hAnsi="Segoe UI" w:cs="Segoe UI"/>
      <w:sz w:val="18"/>
      <w:szCs w:val="18"/>
      <w:lang w:val="nl-NL" w:eastAsia="nl-NL"/>
    </w:rPr>
  </w:style>
  <w:style w:type="paragraph" w:styleId="Header">
    <w:name w:val="header"/>
    <w:basedOn w:val="Normal"/>
    <w:link w:val="HeaderChar"/>
    <w:uiPriority w:val="99"/>
    <w:unhideWhenUsed/>
    <w:rsid w:val="009D4F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4F29"/>
    <w:rPr>
      <w:rFonts w:ascii="Calibri" w:eastAsia="SimSun" w:hAnsi="Calibri" w:cs="Times New Roman"/>
      <w:lang w:val="nl-NL" w:eastAsia="nl-NL"/>
    </w:rPr>
  </w:style>
  <w:style w:type="paragraph" w:styleId="Footer">
    <w:name w:val="footer"/>
    <w:basedOn w:val="Normal"/>
    <w:link w:val="FooterChar"/>
    <w:uiPriority w:val="99"/>
    <w:unhideWhenUsed/>
    <w:rsid w:val="009D4F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4F29"/>
    <w:rPr>
      <w:rFonts w:ascii="Calibri" w:eastAsia="SimSun" w:hAnsi="Calibri" w:cs="Times New Roman"/>
      <w:lang w:val="nl-NL" w:eastAsia="nl-NL"/>
    </w:rPr>
  </w:style>
  <w:style w:type="character" w:customStyle="1" w:styleId="il">
    <w:name w:val="il"/>
    <w:basedOn w:val="DefaultParagraphFont"/>
    <w:rsid w:val="00306D4F"/>
  </w:style>
  <w:style w:type="character" w:customStyle="1" w:styleId="UnresolvedMention">
    <w:name w:val="Unresolved Mention"/>
    <w:basedOn w:val="DefaultParagraphFont"/>
    <w:uiPriority w:val="99"/>
    <w:semiHidden/>
    <w:unhideWhenUsed/>
    <w:rsid w:val="00F52D3D"/>
    <w:rPr>
      <w:color w:val="605E5C"/>
      <w:shd w:val="clear" w:color="auto" w:fill="E1DFDD"/>
    </w:rPr>
  </w:style>
  <w:style w:type="paragraph" w:styleId="Revision">
    <w:name w:val="Revision"/>
    <w:hidden/>
    <w:uiPriority w:val="99"/>
    <w:semiHidden/>
    <w:rsid w:val="00FC43C1"/>
    <w:pPr>
      <w:spacing w:after="0" w:line="240" w:lineRule="auto"/>
    </w:pPr>
    <w:rPr>
      <w:rFonts w:ascii="Calibri" w:eastAsia="SimSun" w:hAnsi="Calibri" w:cs="Times New Roman"/>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0147">
      <w:bodyDiv w:val="1"/>
      <w:marLeft w:val="0"/>
      <w:marRight w:val="0"/>
      <w:marTop w:val="0"/>
      <w:marBottom w:val="0"/>
      <w:divBdr>
        <w:top w:val="none" w:sz="0" w:space="0" w:color="auto"/>
        <w:left w:val="none" w:sz="0" w:space="0" w:color="auto"/>
        <w:bottom w:val="none" w:sz="0" w:space="0" w:color="auto"/>
        <w:right w:val="none" w:sz="0" w:space="0" w:color="auto"/>
      </w:divBdr>
    </w:div>
    <w:div w:id="107236161">
      <w:bodyDiv w:val="1"/>
      <w:marLeft w:val="0"/>
      <w:marRight w:val="0"/>
      <w:marTop w:val="0"/>
      <w:marBottom w:val="0"/>
      <w:divBdr>
        <w:top w:val="none" w:sz="0" w:space="0" w:color="auto"/>
        <w:left w:val="none" w:sz="0" w:space="0" w:color="auto"/>
        <w:bottom w:val="none" w:sz="0" w:space="0" w:color="auto"/>
        <w:right w:val="none" w:sz="0" w:space="0" w:color="auto"/>
      </w:divBdr>
    </w:div>
    <w:div w:id="191967959">
      <w:bodyDiv w:val="1"/>
      <w:marLeft w:val="0"/>
      <w:marRight w:val="0"/>
      <w:marTop w:val="0"/>
      <w:marBottom w:val="0"/>
      <w:divBdr>
        <w:top w:val="none" w:sz="0" w:space="0" w:color="auto"/>
        <w:left w:val="none" w:sz="0" w:space="0" w:color="auto"/>
        <w:bottom w:val="none" w:sz="0" w:space="0" w:color="auto"/>
        <w:right w:val="none" w:sz="0" w:space="0" w:color="auto"/>
      </w:divBdr>
    </w:div>
    <w:div w:id="192689051">
      <w:bodyDiv w:val="1"/>
      <w:marLeft w:val="0"/>
      <w:marRight w:val="0"/>
      <w:marTop w:val="0"/>
      <w:marBottom w:val="0"/>
      <w:divBdr>
        <w:top w:val="none" w:sz="0" w:space="0" w:color="auto"/>
        <w:left w:val="none" w:sz="0" w:space="0" w:color="auto"/>
        <w:bottom w:val="none" w:sz="0" w:space="0" w:color="auto"/>
        <w:right w:val="none" w:sz="0" w:space="0" w:color="auto"/>
      </w:divBdr>
    </w:div>
    <w:div w:id="213079975">
      <w:bodyDiv w:val="1"/>
      <w:marLeft w:val="0"/>
      <w:marRight w:val="0"/>
      <w:marTop w:val="0"/>
      <w:marBottom w:val="0"/>
      <w:divBdr>
        <w:top w:val="none" w:sz="0" w:space="0" w:color="auto"/>
        <w:left w:val="none" w:sz="0" w:space="0" w:color="auto"/>
        <w:bottom w:val="none" w:sz="0" w:space="0" w:color="auto"/>
        <w:right w:val="none" w:sz="0" w:space="0" w:color="auto"/>
      </w:divBdr>
    </w:div>
    <w:div w:id="236480453">
      <w:bodyDiv w:val="1"/>
      <w:marLeft w:val="0"/>
      <w:marRight w:val="0"/>
      <w:marTop w:val="0"/>
      <w:marBottom w:val="0"/>
      <w:divBdr>
        <w:top w:val="none" w:sz="0" w:space="0" w:color="auto"/>
        <w:left w:val="none" w:sz="0" w:space="0" w:color="auto"/>
        <w:bottom w:val="none" w:sz="0" w:space="0" w:color="auto"/>
        <w:right w:val="none" w:sz="0" w:space="0" w:color="auto"/>
      </w:divBdr>
    </w:div>
    <w:div w:id="242379059">
      <w:bodyDiv w:val="1"/>
      <w:marLeft w:val="0"/>
      <w:marRight w:val="0"/>
      <w:marTop w:val="0"/>
      <w:marBottom w:val="0"/>
      <w:divBdr>
        <w:top w:val="none" w:sz="0" w:space="0" w:color="auto"/>
        <w:left w:val="none" w:sz="0" w:space="0" w:color="auto"/>
        <w:bottom w:val="none" w:sz="0" w:space="0" w:color="auto"/>
        <w:right w:val="none" w:sz="0" w:space="0" w:color="auto"/>
      </w:divBdr>
    </w:div>
    <w:div w:id="261570567">
      <w:bodyDiv w:val="1"/>
      <w:marLeft w:val="0"/>
      <w:marRight w:val="0"/>
      <w:marTop w:val="0"/>
      <w:marBottom w:val="0"/>
      <w:divBdr>
        <w:top w:val="none" w:sz="0" w:space="0" w:color="auto"/>
        <w:left w:val="none" w:sz="0" w:space="0" w:color="auto"/>
        <w:bottom w:val="none" w:sz="0" w:space="0" w:color="auto"/>
        <w:right w:val="none" w:sz="0" w:space="0" w:color="auto"/>
      </w:divBdr>
    </w:div>
    <w:div w:id="431051688">
      <w:bodyDiv w:val="1"/>
      <w:marLeft w:val="0"/>
      <w:marRight w:val="0"/>
      <w:marTop w:val="0"/>
      <w:marBottom w:val="0"/>
      <w:divBdr>
        <w:top w:val="none" w:sz="0" w:space="0" w:color="auto"/>
        <w:left w:val="none" w:sz="0" w:space="0" w:color="auto"/>
        <w:bottom w:val="none" w:sz="0" w:space="0" w:color="auto"/>
        <w:right w:val="none" w:sz="0" w:space="0" w:color="auto"/>
      </w:divBdr>
    </w:div>
    <w:div w:id="462040511">
      <w:bodyDiv w:val="1"/>
      <w:marLeft w:val="0"/>
      <w:marRight w:val="0"/>
      <w:marTop w:val="0"/>
      <w:marBottom w:val="0"/>
      <w:divBdr>
        <w:top w:val="none" w:sz="0" w:space="0" w:color="auto"/>
        <w:left w:val="none" w:sz="0" w:space="0" w:color="auto"/>
        <w:bottom w:val="none" w:sz="0" w:space="0" w:color="auto"/>
        <w:right w:val="none" w:sz="0" w:space="0" w:color="auto"/>
      </w:divBdr>
    </w:div>
    <w:div w:id="467285420">
      <w:bodyDiv w:val="1"/>
      <w:marLeft w:val="0"/>
      <w:marRight w:val="0"/>
      <w:marTop w:val="0"/>
      <w:marBottom w:val="0"/>
      <w:divBdr>
        <w:top w:val="none" w:sz="0" w:space="0" w:color="auto"/>
        <w:left w:val="none" w:sz="0" w:space="0" w:color="auto"/>
        <w:bottom w:val="none" w:sz="0" w:space="0" w:color="auto"/>
        <w:right w:val="none" w:sz="0" w:space="0" w:color="auto"/>
      </w:divBdr>
    </w:div>
    <w:div w:id="513223457">
      <w:bodyDiv w:val="1"/>
      <w:marLeft w:val="0"/>
      <w:marRight w:val="0"/>
      <w:marTop w:val="0"/>
      <w:marBottom w:val="0"/>
      <w:divBdr>
        <w:top w:val="none" w:sz="0" w:space="0" w:color="auto"/>
        <w:left w:val="none" w:sz="0" w:space="0" w:color="auto"/>
        <w:bottom w:val="none" w:sz="0" w:space="0" w:color="auto"/>
        <w:right w:val="none" w:sz="0" w:space="0" w:color="auto"/>
      </w:divBdr>
    </w:div>
    <w:div w:id="548809541">
      <w:bodyDiv w:val="1"/>
      <w:marLeft w:val="0"/>
      <w:marRight w:val="0"/>
      <w:marTop w:val="0"/>
      <w:marBottom w:val="0"/>
      <w:divBdr>
        <w:top w:val="none" w:sz="0" w:space="0" w:color="auto"/>
        <w:left w:val="none" w:sz="0" w:space="0" w:color="auto"/>
        <w:bottom w:val="none" w:sz="0" w:space="0" w:color="auto"/>
        <w:right w:val="none" w:sz="0" w:space="0" w:color="auto"/>
      </w:divBdr>
    </w:div>
    <w:div w:id="608708482">
      <w:bodyDiv w:val="1"/>
      <w:marLeft w:val="0"/>
      <w:marRight w:val="0"/>
      <w:marTop w:val="0"/>
      <w:marBottom w:val="0"/>
      <w:divBdr>
        <w:top w:val="none" w:sz="0" w:space="0" w:color="auto"/>
        <w:left w:val="none" w:sz="0" w:space="0" w:color="auto"/>
        <w:bottom w:val="none" w:sz="0" w:space="0" w:color="auto"/>
        <w:right w:val="none" w:sz="0" w:space="0" w:color="auto"/>
      </w:divBdr>
    </w:div>
    <w:div w:id="663317437">
      <w:bodyDiv w:val="1"/>
      <w:marLeft w:val="0"/>
      <w:marRight w:val="0"/>
      <w:marTop w:val="0"/>
      <w:marBottom w:val="0"/>
      <w:divBdr>
        <w:top w:val="none" w:sz="0" w:space="0" w:color="auto"/>
        <w:left w:val="none" w:sz="0" w:space="0" w:color="auto"/>
        <w:bottom w:val="none" w:sz="0" w:space="0" w:color="auto"/>
        <w:right w:val="none" w:sz="0" w:space="0" w:color="auto"/>
      </w:divBdr>
    </w:div>
    <w:div w:id="676811390">
      <w:bodyDiv w:val="1"/>
      <w:marLeft w:val="0"/>
      <w:marRight w:val="0"/>
      <w:marTop w:val="0"/>
      <w:marBottom w:val="0"/>
      <w:divBdr>
        <w:top w:val="none" w:sz="0" w:space="0" w:color="auto"/>
        <w:left w:val="none" w:sz="0" w:space="0" w:color="auto"/>
        <w:bottom w:val="none" w:sz="0" w:space="0" w:color="auto"/>
        <w:right w:val="none" w:sz="0" w:space="0" w:color="auto"/>
      </w:divBdr>
    </w:div>
    <w:div w:id="727726054">
      <w:bodyDiv w:val="1"/>
      <w:marLeft w:val="0"/>
      <w:marRight w:val="0"/>
      <w:marTop w:val="0"/>
      <w:marBottom w:val="0"/>
      <w:divBdr>
        <w:top w:val="none" w:sz="0" w:space="0" w:color="auto"/>
        <w:left w:val="none" w:sz="0" w:space="0" w:color="auto"/>
        <w:bottom w:val="none" w:sz="0" w:space="0" w:color="auto"/>
        <w:right w:val="none" w:sz="0" w:space="0" w:color="auto"/>
      </w:divBdr>
    </w:div>
    <w:div w:id="727806311">
      <w:bodyDiv w:val="1"/>
      <w:marLeft w:val="0"/>
      <w:marRight w:val="0"/>
      <w:marTop w:val="0"/>
      <w:marBottom w:val="0"/>
      <w:divBdr>
        <w:top w:val="none" w:sz="0" w:space="0" w:color="auto"/>
        <w:left w:val="none" w:sz="0" w:space="0" w:color="auto"/>
        <w:bottom w:val="none" w:sz="0" w:space="0" w:color="auto"/>
        <w:right w:val="none" w:sz="0" w:space="0" w:color="auto"/>
      </w:divBdr>
    </w:div>
    <w:div w:id="762458301">
      <w:bodyDiv w:val="1"/>
      <w:marLeft w:val="0"/>
      <w:marRight w:val="0"/>
      <w:marTop w:val="0"/>
      <w:marBottom w:val="0"/>
      <w:divBdr>
        <w:top w:val="none" w:sz="0" w:space="0" w:color="auto"/>
        <w:left w:val="none" w:sz="0" w:space="0" w:color="auto"/>
        <w:bottom w:val="none" w:sz="0" w:space="0" w:color="auto"/>
        <w:right w:val="none" w:sz="0" w:space="0" w:color="auto"/>
      </w:divBdr>
    </w:div>
    <w:div w:id="790248605">
      <w:bodyDiv w:val="1"/>
      <w:marLeft w:val="0"/>
      <w:marRight w:val="0"/>
      <w:marTop w:val="0"/>
      <w:marBottom w:val="0"/>
      <w:divBdr>
        <w:top w:val="none" w:sz="0" w:space="0" w:color="auto"/>
        <w:left w:val="none" w:sz="0" w:space="0" w:color="auto"/>
        <w:bottom w:val="none" w:sz="0" w:space="0" w:color="auto"/>
        <w:right w:val="none" w:sz="0" w:space="0" w:color="auto"/>
      </w:divBdr>
    </w:div>
    <w:div w:id="819427185">
      <w:bodyDiv w:val="1"/>
      <w:marLeft w:val="0"/>
      <w:marRight w:val="0"/>
      <w:marTop w:val="0"/>
      <w:marBottom w:val="0"/>
      <w:divBdr>
        <w:top w:val="none" w:sz="0" w:space="0" w:color="auto"/>
        <w:left w:val="none" w:sz="0" w:space="0" w:color="auto"/>
        <w:bottom w:val="none" w:sz="0" w:space="0" w:color="auto"/>
        <w:right w:val="none" w:sz="0" w:space="0" w:color="auto"/>
      </w:divBdr>
    </w:div>
    <w:div w:id="857423266">
      <w:bodyDiv w:val="1"/>
      <w:marLeft w:val="0"/>
      <w:marRight w:val="0"/>
      <w:marTop w:val="0"/>
      <w:marBottom w:val="0"/>
      <w:divBdr>
        <w:top w:val="none" w:sz="0" w:space="0" w:color="auto"/>
        <w:left w:val="none" w:sz="0" w:space="0" w:color="auto"/>
        <w:bottom w:val="none" w:sz="0" w:space="0" w:color="auto"/>
        <w:right w:val="none" w:sz="0" w:space="0" w:color="auto"/>
      </w:divBdr>
    </w:div>
    <w:div w:id="881206157">
      <w:bodyDiv w:val="1"/>
      <w:marLeft w:val="0"/>
      <w:marRight w:val="0"/>
      <w:marTop w:val="0"/>
      <w:marBottom w:val="0"/>
      <w:divBdr>
        <w:top w:val="none" w:sz="0" w:space="0" w:color="auto"/>
        <w:left w:val="none" w:sz="0" w:space="0" w:color="auto"/>
        <w:bottom w:val="none" w:sz="0" w:space="0" w:color="auto"/>
        <w:right w:val="none" w:sz="0" w:space="0" w:color="auto"/>
      </w:divBdr>
    </w:div>
    <w:div w:id="895242813">
      <w:bodyDiv w:val="1"/>
      <w:marLeft w:val="0"/>
      <w:marRight w:val="0"/>
      <w:marTop w:val="0"/>
      <w:marBottom w:val="0"/>
      <w:divBdr>
        <w:top w:val="none" w:sz="0" w:space="0" w:color="auto"/>
        <w:left w:val="none" w:sz="0" w:space="0" w:color="auto"/>
        <w:bottom w:val="none" w:sz="0" w:space="0" w:color="auto"/>
        <w:right w:val="none" w:sz="0" w:space="0" w:color="auto"/>
      </w:divBdr>
    </w:div>
    <w:div w:id="896891632">
      <w:bodyDiv w:val="1"/>
      <w:marLeft w:val="0"/>
      <w:marRight w:val="0"/>
      <w:marTop w:val="0"/>
      <w:marBottom w:val="0"/>
      <w:divBdr>
        <w:top w:val="none" w:sz="0" w:space="0" w:color="auto"/>
        <w:left w:val="none" w:sz="0" w:space="0" w:color="auto"/>
        <w:bottom w:val="none" w:sz="0" w:space="0" w:color="auto"/>
        <w:right w:val="none" w:sz="0" w:space="0" w:color="auto"/>
      </w:divBdr>
    </w:div>
    <w:div w:id="974331504">
      <w:bodyDiv w:val="1"/>
      <w:marLeft w:val="0"/>
      <w:marRight w:val="0"/>
      <w:marTop w:val="0"/>
      <w:marBottom w:val="0"/>
      <w:divBdr>
        <w:top w:val="none" w:sz="0" w:space="0" w:color="auto"/>
        <w:left w:val="none" w:sz="0" w:space="0" w:color="auto"/>
        <w:bottom w:val="none" w:sz="0" w:space="0" w:color="auto"/>
        <w:right w:val="none" w:sz="0" w:space="0" w:color="auto"/>
      </w:divBdr>
    </w:div>
    <w:div w:id="999383907">
      <w:bodyDiv w:val="1"/>
      <w:marLeft w:val="0"/>
      <w:marRight w:val="0"/>
      <w:marTop w:val="0"/>
      <w:marBottom w:val="0"/>
      <w:divBdr>
        <w:top w:val="none" w:sz="0" w:space="0" w:color="auto"/>
        <w:left w:val="none" w:sz="0" w:space="0" w:color="auto"/>
        <w:bottom w:val="none" w:sz="0" w:space="0" w:color="auto"/>
        <w:right w:val="none" w:sz="0" w:space="0" w:color="auto"/>
      </w:divBdr>
    </w:div>
    <w:div w:id="1001350026">
      <w:bodyDiv w:val="1"/>
      <w:marLeft w:val="0"/>
      <w:marRight w:val="0"/>
      <w:marTop w:val="0"/>
      <w:marBottom w:val="0"/>
      <w:divBdr>
        <w:top w:val="none" w:sz="0" w:space="0" w:color="auto"/>
        <w:left w:val="none" w:sz="0" w:space="0" w:color="auto"/>
        <w:bottom w:val="none" w:sz="0" w:space="0" w:color="auto"/>
        <w:right w:val="none" w:sz="0" w:space="0" w:color="auto"/>
      </w:divBdr>
    </w:div>
    <w:div w:id="1031033432">
      <w:bodyDiv w:val="1"/>
      <w:marLeft w:val="0"/>
      <w:marRight w:val="0"/>
      <w:marTop w:val="0"/>
      <w:marBottom w:val="0"/>
      <w:divBdr>
        <w:top w:val="none" w:sz="0" w:space="0" w:color="auto"/>
        <w:left w:val="none" w:sz="0" w:space="0" w:color="auto"/>
        <w:bottom w:val="none" w:sz="0" w:space="0" w:color="auto"/>
        <w:right w:val="none" w:sz="0" w:space="0" w:color="auto"/>
      </w:divBdr>
    </w:div>
    <w:div w:id="1106391925">
      <w:bodyDiv w:val="1"/>
      <w:marLeft w:val="0"/>
      <w:marRight w:val="0"/>
      <w:marTop w:val="0"/>
      <w:marBottom w:val="0"/>
      <w:divBdr>
        <w:top w:val="none" w:sz="0" w:space="0" w:color="auto"/>
        <w:left w:val="none" w:sz="0" w:space="0" w:color="auto"/>
        <w:bottom w:val="none" w:sz="0" w:space="0" w:color="auto"/>
        <w:right w:val="none" w:sz="0" w:space="0" w:color="auto"/>
      </w:divBdr>
    </w:div>
    <w:div w:id="1113867180">
      <w:bodyDiv w:val="1"/>
      <w:marLeft w:val="0"/>
      <w:marRight w:val="0"/>
      <w:marTop w:val="0"/>
      <w:marBottom w:val="0"/>
      <w:divBdr>
        <w:top w:val="none" w:sz="0" w:space="0" w:color="auto"/>
        <w:left w:val="none" w:sz="0" w:space="0" w:color="auto"/>
        <w:bottom w:val="none" w:sz="0" w:space="0" w:color="auto"/>
        <w:right w:val="none" w:sz="0" w:space="0" w:color="auto"/>
      </w:divBdr>
    </w:div>
    <w:div w:id="1184318804">
      <w:bodyDiv w:val="1"/>
      <w:marLeft w:val="0"/>
      <w:marRight w:val="0"/>
      <w:marTop w:val="0"/>
      <w:marBottom w:val="0"/>
      <w:divBdr>
        <w:top w:val="none" w:sz="0" w:space="0" w:color="auto"/>
        <w:left w:val="none" w:sz="0" w:space="0" w:color="auto"/>
        <w:bottom w:val="none" w:sz="0" w:space="0" w:color="auto"/>
        <w:right w:val="none" w:sz="0" w:space="0" w:color="auto"/>
      </w:divBdr>
    </w:div>
    <w:div w:id="1278367549">
      <w:bodyDiv w:val="1"/>
      <w:marLeft w:val="0"/>
      <w:marRight w:val="0"/>
      <w:marTop w:val="0"/>
      <w:marBottom w:val="0"/>
      <w:divBdr>
        <w:top w:val="none" w:sz="0" w:space="0" w:color="auto"/>
        <w:left w:val="none" w:sz="0" w:space="0" w:color="auto"/>
        <w:bottom w:val="none" w:sz="0" w:space="0" w:color="auto"/>
        <w:right w:val="none" w:sz="0" w:space="0" w:color="auto"/>
      </w:divBdr>
    </w:div>
    <w:div w:id="1281957698">
      <w:bodyDiv w:val="1"/>
      <w:marLeft w:val="0"/>
      <w:marRight w:val="0"/>
      <w:marTop w:val="0"/>
      <w:marBottom w:val="0"/>
      <w:divBdr>
        <w:top w:val="none" w:sz="0" w:space="0" w:color="auto"/>
        <w:left w:val="none" w:sz="0" w:space="0" w:color="auto"/>
        <w:bottom w:val="none" w:sz="0" w:space="0" w:color="auto"/>
        <w:right w:val="none" w:sz="0" w:space="0" w:color="auto"/>
      </w:divBdr>
    </w:div>
    <w:div w:id="1306819044">
      <w:bodyDiv w:val="1"/>
      <w:marLeft w:val="0"/>
      <w:marRight w:val="0"/>
      <w:marTop w:val="0"/>
      <w:marBottom w:val="0"/>
      <w:divBdr>
        <w:top w:val="none" w:sz="0" w:space="0" w:color="auto"/>
        <w:left w:val="none" w:sz="0" w:space="0" w:color="auto"/>
        <w:bottom w:val="none" w:sz="0" w:space="0" w:color="auto"/>
        <w:right w:val="none" w:sz="0" w:space="0" w:color="auto"/>
      </w:divBdr>
    </w:div>
    <w:div w:id="1355184234">
      <w:bodyDiv w:val="1"/>
      <w:marLeft w:val="0"/>
      <w:marRight w:val="0"/>
      <w:marTop w:val="0"/>
      <w:marBottom w:val="0"/>
      <w:divBdr>
        <w:top w:val="none" w:sz="0" w:space="0" w:color="auto"/>
        <w:left w:val="none" w:sz="0" w:space="0" w:color="auto"/>
        <w:bottom w:val="none" w:sz="0" w:space="0" w:color="auto"/>
        <w:right w:val="none" w:sz="0" w:space="0" w:color="auto"/>
      </w:divBdr>
    </w:div>
    <w:div w:id="1367877365">
      <w:bodyDiv w:val="1"/>
      <w:marLeft w:val="0"/>
      <w:marRight w:val="0"/>
      <w:marTop w:val="0"/>
      <w:marBottom w:val="0"/>
      <w:divBdr>
        <w:top w:val="none" w:sz="0" w:space="0" w:color="auto"/>
        <w:left w:val="none" w:sz="0" w:space="0" w:color="auto"/>
        <w:bottom w:val="none" w:sz="0" w:space="0" w:color="auto"/>
        <w:right w:val="none" w:sz="0" w:space="0" w:color="auto"/>
      </w:divBdr>
    </w:div>
    <w:div w:id="1420638675">
      <w:bodyDiv w:val="1"/>
      <w:marLeft w:val="0"/>
      <w:marRight w:val="0"/>
      <w:marTop w:val="0"/>
      <w:marBottom w:val="0"/>
      <w:divBdr>
        <w:top w:val="none" w:sz="0" w:space="0" w:color="auto"/>
        <w:left w:val="none" w:sz="0" w:space="0" w:color="auto"/>
        <w:bottom w:val="none" w:sz="0" w:space="0" w:color="auto"/>
        <w:right w:val="none" w:sz="0" w:space="0" w:color="auto"/>
      </w:divBdr>
    </w:div>
    <w:div w:id="1465587482">
      <w:bodyDiv w:val="1"/>
      <w:marLeft w:val="0"/>
      <w:marRight w:val="0"/>
      <w:marTop w:val="0"/>
      <w:marBottom w:val="0"/>
      <w:divBdr>
        <w:top w:val="none" w:sz="0" w:space="0" w:color="auto"/>
        <w:left w:val="none" w:sz="0" w:space="0" w:color="auto"/>
        <w:bottom w:val="none" w:sz="0" w:space="0" w:color="auto"/>
        <w:right w:val="none" w:sz="0" w:space="0" w:color="auto"/>
      </w:divBdr>
    </w:div>
    <w:div w:id="1491751444">
      <w:bodyDiv w:val="1"/>
      <w:marLeft w:val="0"/>
      <w:marRight w:val="0"/>
      <w:marTop w:val="0"/>
      <w:marBottom w:val="0"/>
      <w:divBdr>
        <w:top w:val="none" w:sz="0" w:space="0" w:color="auto"/>
        <w:left w:val="none" w:sz="0" w:space="0" w:color="auto"/>
        <w:bottom w:val="none" w:sz="0" w:space="0" w:color="auto"/>
        <w:right w:val="none" w:sz="0" w:space="0" w:color="auto"/>
      </w:divBdr>
    </w:div>
    <w:div w:id="1557005641">
      <w:bodyDiv w:val="1"/>
      <w:marLeft w:val="0"/>
      <w:marRight w:val="0"/>
      <w:marTop w:val="0"/>
      <w:marBottom w:val="0"/>
      <w:divBdr>
        <w:top w:val="none" w:sz="0" w:space="0" w:color="auto"/>
        <w:left w:val="none" w:sz="0" w:space="0" w:color="auto"/>
        <w:bottom w:val="none" w:sz="0" w:space="0" w:color="auto"/>
        <w:right w:val="none" w:sz="0" w:space="0" w:color="auto"/>
      </w:divBdr>
    </w:div>
    <w:div w:id="1561867350">
      <w:bodyDiv w:val="1"/>
      <w:marLeft w:val="0"/>
      <w:marRight w:val="0"/>
      <w:marTop w:val="0"/>
      <w:marBottom w:val="0"/>
      <w:divBdr>
        <w:top w:val="none" w:sz="0" w:space="0" w:color="auto"/>
        <w:left w:val="none" w:sz="0" w:space="0" w:color="auto"/>
        <w:bottom w:val="none" w:sz="0" w:space="0" w:color="auto"/>
        <w:right w:val="none" w:sz="0" w:space="0" w:color="auto"/>
      </w:divBdr>
    </w:div>
    <w:div w:id="1578981611">
      <w:bodyDiv w:val="1"/>
      <w:marLeft w:val="0"/>
      <w:marRight w:val="0"/>
      <w:marTop w:val="0"/>
      <w:marBottom w:val="0"/>
      <w:divBdr>
        <w:top w:val="none" w:sz="0" w:space="0" w:color="auto"/>
        <w:left w:val="none" w:sz="0" w:space="0" w:color="auto"/>
        <w:bottom w:val="none" w:sz="0" w:space="0" w:color="auto"/>
        <w:right w:val="none" w:sz="0" w:space="0" w:color="auto"/>
      </w:divBdr>
    </w:div>
    <w:div w:id="1590892166">
      <w:bodyDiv w:val="1"/>
      <w:marLeft w:val="0"/>
      <w:marRight w:val="0"/>
      <w:marTop w:val="0"/>
      <w:marBottom w:val="0"/>
      <w:divBdr>
        <w:top w:val="none" w:sz="0" w:space="0" w:color="auto"/>
        <w:left w:val="none" w:sz="0" w:space="0" w:color="auto"/>
        <w:bottom w:val="none" w:sz="0" w:space="0" w:color="auto"/>
        <w:right w:val="none" w:sz="0" w:space="0" w:color="auto"/>
      </w:divBdr>
    </w:div>
    <w:div w:id="1595702690">
      <w:bodyDiv w:val="1"/>
      <w:marLeft w:val="0"/>
      <w:marRight w:val="0"/>
      <w:marTop w:val="0"/>
      <w:marBottom w:val="0"/>
      <w:divBdr>
        <w:top w:val="none" w:sz="0" w:space="0" w:color="auto"/>
        <w:left w:val="none" w:sz="0" w:space="0" w:color="auto"/>
        <w:bottom w:val="none" w:sz="0" w:space="0" w:color="auto"/>
        <w:right w:val="none" w:sz="0" w:space="0" w:color="auto"/>
      </w:divBdr>
    </w:div>
    <w:div w:id="1641568944">
      <w:bodyDiv w:val="1"/>
      <w:marLeft w:val="0"/>
      <w:marRight w:val="0"/>
      <w:marTop w:val="0"/>
      <w:marBottom w:val="0"/>
      <w:divBdr>
        <w:top w:val="none" w:sz="0" w:space="0" w:color="auto"/>
        <w:left w:val="none" w:sz="0" w:space="0" w:color="auto"/>
        <w:bottom w:val="none" w:sz="0" w:space="0" w:color="auto"/>
        <w:right w:val="none" w:sz="0" w:space="0" w:color="auto"/>
      </w:divBdr>
    </w:div>
    <w:div w:id="1748843080">
      <w:bodyDiv w:val="1"/>
      <w:marLeft w:val="0"/>
      <w:marRight w:val="0"/>
      <w:marTop w:val="0"/>
      <w:marBottom w:val="0"/>
      <w:divBdr>
        <w:top w:val="none" w:sz="0" w:space="0" w:color="auto"/>
        <w:left w:val="none" w:sz="0" w:space="0" w:color="auto"/>
        <w:bottom w:val="none" w:sz="0" w:space="0" w:color="auto"/>
        <w:right w:val="none" w:sz="0" w:space="0" w:color="auto"/>
      </w:divBdr>
    </w:div>
    <w:div w:id="1778451394">
      <w:bodyDiv w:val="1"/>
      <w:marLeft w:val="0"/>
      <w:marRight w:val="0"/>
      <w:marTop w:val="0"/>
      <w:marBottom w:val="0"/>
      <w:divBdr>
        <w:top w:val="none" w:sz="0" w:space="0" w:color="auto"/>
        <w:left w:val="none" w:sz="0" w:space="0" w:color="auto"/>
        <w:bottom w:val="none" w:sz="0" w:space="0" w:color="auto"/>
        <w:right w:val="none" w:sz="0" w:space="0" w:color="auto"/>
      </w:divBdr>
    </w:div>
    <w:div w:id="1779979849">
      <w:bodyDiv w:val="1"/>
      <w:marLeft w:val="0"/>
      <w:marRight w:val="0"/>
      <w:marTop w:val="0"/>
      <w:marBottom w:val="0"/>
      <w:divBdr>
        <w:top w:val="none" w:sz="0" w:space="0" w:color="auto"/>
        <w:left w:val="none" w:sz="0" w:space="0" w:color="auto"/>
        <w:bottom w:val="none" w:sz="0" w:space="0" w:color="auto"/>
        <w:right w:val="none" w:sz="0" w:space="0" w:color="auto"/>
      </w:divBdr>
    </w:div>
    <w:div w:id="1893350939">
      <w:bodyDiv w:val="1"/>
      <w:marLeft w:val="0"/>
      <w:marRight w:val="0"/>
      <w:marTop w:val="0"/>
      <w:marBottom w:val="0"/>
      <w:divBdr>
        <w:top w:val="none" w:sz="0" w:space="0" w:color="auto"/>
        <w:left w:val="none" w:sz="0" w:space="0" w:color="auto"/>
        <w:bottom w:val="none" w:sz="0" w:space="0" w:color="auto"/>
        <w:right w:val="none" w:sz="0" w:space="0" w:color="auto"/>
      </w:divBdr>
    </w:div>
    <w:div w:id="1900438749">
      <w:bodyDiv w:val="1"/>
      <w:marLeft w:val="0"/>
      <w:marRight w:val="0"/>
      <w:marTop w:val="0"/>
      <w:marBottom w:val="0"/>
      <w:divBdr>
        <w:top w:val="none" w:sz="0" w:space="0" w:color="auto"/>
        <w:left w:val="none" w:sz="0" w:space="0" w:color="auto"/>
        <w:bottom w:val="none" w:sz="0" w:space="0" w:color="auto"/>
        <w:right w:val="none" w:sz="0" w:space="0" w:color="auto"/>
      </w:divBdr>
    </w:div>
    <w:div w:id="1902520974">
      <w:bodyDiv w:val="1"/>
      <w:marLeft w:val="0"/>
      <w:marRight w:val="0"/>
      <w:marTop w:val="0"/>
      <w:marBottom w:val="0"/>
      <w:divBdr>
        <w:top w:val="none" w:sz="0" w:space="0" w:color="auto"/>
        <w:left w:val="none" w:sz="0" w:space="0" w:color="auto"/>
        <w:bottom w:val="none" w:sz="0" w:space="0" w:color="auto"/>
        <w:right w:val="none" w:sz="0" w:space="0" w:color="auto"/>
      </w:divBdr>
    </w:div>
    <w:div w:id="1946695829">
      <w:bodyDiv w:val="1"/>
      <w:marLeft w:val="0"/>
      <w:marRight w:val="0"/>
      <w:marTop w:val="0"/>
      <w:marBottom w:val="0"/>
      <w:divBdr>
        <w:top w:val="none" w:sz="0" w:space="0" w:color="auto"/>
        <w:left w:val="none" w:sz="0" w:space="0" w:color="auto"/>
        <w:bottom w:val="none" w:sz="0" w:space="0" w:color="auto"/>
        <w:right w:val="none" w:sz="0" w:space="0" w:color="auto"/>
      </w:divBdr>
    </w:div>
    <w:div w:id="1958099663">
      <w:bodyDiv w:val="1"/>
      <w:marLeft w:val="0"/>
      <w:marRight w:val="0"/>
      <w:marTop w:val="0"/>
      <w:marBottom w:val="0"/>
      <w:divBdr>
        <w:top w:val="none" w:sz="0" w:space="0" w:color="auto"/>
        <w:left w:val="none" w:sz="0" w:space="0" w:color="auto"/>
        <w:bottom w:val="none" w:sz="0" w:space="0" w:color="auto"/>
        <w:right w:val="none" w:sz="0" w:space="0" w:color="auto"/>
      </w:divBdr>
    </w:div>
    <w:div w:id="2004119685">
      <w:bodyDiv w:val="1"/>
      <w:marLeft w:val="0"/>
      <w:marRight w:val="0"/>
      <w:marTop w:val="0"/>
      <w:marBottom w:val="0"/>
      <w:divBdr>
        <w:top w:val="none" w:sz="0" w:space="0" w:color="auto"/>
        <w:left w:val="none" w:sz="0" w:space="0" w:color="auto"/>
        <w:bottom w:val="none" w:sz="0" w:space="0" w:color="auto"/>
        <w:right w:val="none" w:sz="0" w:space="0" w:color="auto"/>
      </w:divBdr>
      <w:divsChild>
        <w:div w:id="465318328">
          <w:marLeft w:val="547"/>
          <w:marRight w:val="0"/>
          <w:marTop w:val="96"/>
          <w:marBottom w:val="0"/>
          <w:divBdr>
            <w:top w:val="none" w:sz="0" w:space="0" w:color="auto"/>
            <w:left w:val="none" w:sz="0" w:space="0" w:color="auto"/>
            <w:bottom w:val="none" w:sz="0" w:space="0" w:color="auto"/>
            <w:right w:val="none" w:sz="0" w:space="0" w:color="auto"/>
          </w:divBdr>
        </w:div>
      </w:divsChild>
    </w:div>
    <w:div w:id="2009818863">
      <w:bodyDiv w:val="1"/>
      <w:marLeft w:val="0"/>
      <w:marRight w:val="0"/>
      <w:marTop w:val="0"/>
      <w:marBottom w:val="0"/>
      <w:divBdr>
        <w:top w:val="none" w:sz="0" w:space="0" w:color="auto"/>
        <w:left w:val="none" w:sz="0" w:space="0" w:color="auto"/>
        <w:bottom w:val="none" w:sz="0" w:space="0" w:color="auto"/>
        <w:right w:val="none" w:sz="0" w:space="0" w:color="auto"/>
      </w:divBdr>
    </w:div>
    <w:div w:id="2036077937">
      <w:bodyDiv w:val="1"/>
      <w:marLeft w:val="0"/>
      <w:marRight w:val="0"/>
      <w:marTop w:val="0"/>
      <w:marBottom w:val="0"/>
      <w:divBdr>
        <w:top w:val="none" w:sz="0" w:space="0" w:color="auto"/>
        <w:left w:val="none" w:sz="0" w:space="0" w:color="auto"/>
        <w:bottom w:val="none" w:sz="0" w:space="0" w:color="auto"/>
        <w:right w:val="none" w:sz="0" w:space="0" w:color="auto"/>
      </w:divBdr>
      <w:divsChild>
        <w:div w:id="550270132">
          <w:marLeft w:val="0"/>
          <w:marRight w:val="0"/>
          <w:marTop w:val="0"/>
          <w:marBottom w:val="240"/>
          <w:divBdr>
            <w:top w:val="none" w:sz="0" w:space="0" w:color="auto"/>
            <w:left w:val="none" w:sz="0" w:space="0" w:color="auto"/>
            <w:bottom w:val="none" w:sz="0" w:space="0" w:color="auto"/>
            <w:right w:val="none" w:sz="0" w:space="0" w:color="auto"/>
          </w:divBdr>
          <w:divsChild>
            <w:div w:id="1821001433">
              <w:marLeft w:val="0"/>
              <w:marRight w:val="0"/>
              <w:marTop w:val="0"/>
              <w:marBottom w:val="0"/>
              <w:divBdr>
                <w:top w:val="none" w:sz="0" w:space="0" w:color="auto"/>
                <w:left w:val="none" w:sz="0" w:space="0" w:color="auto"/>
                <w:bottom w:val="none" w:sz="0" w:space="0" w:color="auto"/>
                <w:right w:val="none" w:sz="0" w:space="0" w:color="auto"/>
              </w:divBdr>
            </w:div>
          </w:divsChild>
        </w:div>
        <w:div w:id="768501587">
          <w:marLeft w:val="0"/>
          <w:marRight w:val="0"/>
          <w:marTop w:val="0"/>
          <w:marBottom w:val="180"/>
          <w:divBdr>
            <w:top w:val="none" w:sz="0" w:space="0" w:color="auto"/>
            <w:left w:val="none" w:sz="0" w:space="0" w:color="auto"/>
            <w:bottom w:val="none" w:sz="0" w:space="0" w:color="auto"/>
            <w:right w:val="none" w:sz="0" w:space="0" w:color="auto"/>
          </w:divBdr>
          <w:divsChild>
            <w:div w:id="1066957580">
              <w:marLeft w:val="0"/>
              <w:marRight w:val="240"/>
              <w:marTop w:val="0"/>
              <w:marBottom w:val="0"/>
              <w:divBdr>
                <w:top w:val="none" w:sz="0" w:space="0" w:color="auto"/>
                <w:left w:val="none" w:sz="0" w:space="0" w:color="auto"/>
                <w:bottom w:val="none" w:sz="0" w:space="0" w:color="auto"/>
                <w:right w:val="none" w:sz="0" w:space="0" w:color="auto"/>
              </w:divBdr>
              <w:divsChild>
                <w:div w:id="114925040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tel:+66%202%20215%203388" TargetMode="External"/><Relationship Id="rId18" Type="http://schemas.openxmlformats.org/officeDocument/2006/relationships/hyperlink" Target="http://www.ecpat.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tel:+66%202%20215%203388" TargetMode="External"/><Relationship Id="rId17" Type="http://schemas.openxmlformats.org/officeDocument/2006/relationships/hyperlink" Target="http://www.ecpat.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cpat.org/" TargetMode="External"/><Relationship Id="rId20" Type="http://schemas.openxmlformats.org/officeDocument/2006/relationships/header" Target="header2.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alleymovement.org/"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cpat.org/" TargetMode="External"/><Relationship Id="rId23" Type="http://schemas.openxmlformats.org/officeDocument/2006/relationships/header" Target="header3.xml"/><Relationship Id="rId28" Type="http://schemas.openxmlformats.org/officeDocument/2006/relationships/customXml" Target="../customXml/item3.xml"/><Relationship Id="rId10" Type="http://schemas.openxmlformats.org/officeDocument/2006/relationships/hyperlink" Target="mailto:ecpatphil@gmail.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cpat.org/" TargetMode="External"/><Relationship Id="rId22" Type="http://schemas.openxmlformats.org/officeDocument/2006/relationships/footer" Target="footer2.xml"/><Relationship Id="rId27" Type="http://schemas.openxmlformats.org/officeDocument/2006/relationships/customXml" Target="../customXml/item2.xml"/></Relationships>
</file>

<file path=word/_rels/endnotes.xml.rels><?xml version="1.0" encoding="UTF-8" standalone="yes"?>
<Relationships xmlns="http://schemas.openxmlformats.org/package/2006/relationships"><Relationship Id="rId26" Type="http://schemas.openxmlformats.org/officeDocument/2006/relationships/hyperlink" Target="http://www.tourism.gov.ph/news_features/phlvisitoarrivals.aspx" TargetMode="External"/><Relationship Id="rId21" Type="http://schemas.openxmlformats.org/officeDocument/2006/relationships/hyperlink" Target="https://www.dol.gov/agencies/ilab/resources/reports/child-labor/philippines" TargetMode="External"/><Relationship Id="rId42" Type="http://schemas.openxmlformats.org/officeDocument/2006/relationships/hyperlink" Target="https://www.childprotectionnetwork.org/wp-content/uploads/2019/08/PPAEVAC_with_directory.pdf" TargetMode="External"/><Relationship Id="rId47" Type="http://schemas.openxmlformats.org/officeDocument/2006/relationships/hyperlink" Target="https://philippines.unfpa.org/en/news/empowering-maranao-girls-against-child-marriage" TargetMode="External"/><Relationship Id="rId63" Type="http://schemas.openxmlformats.org/officeDocument/2006/relationships/hyperlink" Target="https://www.dol.gov/agencies/ilab/resources/reports/child-labor/philippines" TargetMode="External"/><Relationship Id="rId68" Type="http://schemas.openxmlformats.org/officeDocument/2006/relationships/hyperlink" Target="https://www.doj.gov.ph/office-of-cybercrime.html" TargetMode="External"/><Relationship Id="rId84" Type="http://schemas.openxmlformats.org/officeDocument/2006/relationships/hyperlink" Target="https://www.rappler.com/newsbreak/iq/94362-looking-back-ph-first-anti-trafficking-law-asean" TargetMode="External"/><Relationship Id="rId89" Type="http://schemas.openxmlformats.org/officeDocument/2006/relationships/hyperlink" Target="https://www.officialgazette.gov.ph/2009/11/17/republic-act-no-9775-s-2009/" TargetMode="External"/><Relationship Id="rId2" Type="http://schemas.openxmlformats.org/officeDocument/2006/relationships/hyperlink" Target="https://www.gov.ph/philippine-government" TargetMode="External"/><Relationship Id="rId16" Type="http://schemas.openxmlformats.org/officeDocument/2006/relationships/hyperlink" Target="https://www.state.gov/wp-content/uploads/2019/06/2019-Trafficking-in-Persons-Report.pdf" TargetMode="External"/><Relationship Id="rId29" Type="http://schemas.openxmlformats.org/officeDocument/2006/relationships/hyperlink" Target="https://www.manilatimes.net/2017/03/26/opinion/analysis/child-brides-cover-cultural-pedophilia/319181/319181/" TargetMode="External"/><Relationship Id="rId107" Type="http://schemas.openxmlformats.org/officeDocument/2006/relationships/hyperlink" Target="https://www.state.gov/wp-content/uploads/2019/06/2019-Trafficking-in-Persons-Report.pdf" TargetMode="External"/><Relationship Id="rId11" Type="http://schemas.openxmlformats.org/officeDocument/2006/relationships/hyperlink" Target="https://www.washingtonpost.com/world/asia-pacific/in-philippine-red-light-district-an-uphill-struggle-to-battle-trafficking-and-abuses/2019/11/17/43a6470a-bad3-11e9-b3b4-2bb69e8c4e39_story.html" TargetMode="External"/><Relationship Id="rId24" Type="http://schemas.openxmlformats.org/officeDocument/2006/relationships/hyperlink" Target="https://www.rappler.com/move-ph/56080-prostitution-zamboanga-evacuation-camps?fbclid=IwAR0EL4DKutOC3RNEoM9AfdNmELivNG8ZI1q3QO9J2IO9D_X8wH1Zrt_KzMc" TargetMode="External"/><Relationship Id="rId32" Type="http://schemas.openxmlformats.org/officeDocument/2006/relationships/hyperlink" Target="https://www.rappler.com/nation/250444-hontiveros-sees-link-influx-pogo-workers-sex-trafficking" TargetMode="External"/><Relationship Id="rId37" Type="http://schemas.openxmlformats.org/officeDocument/2006/relationships/hyperlink" Target="https://www.childprotectionnetwork.org/wp-content/uploads/2019/08/PPAEVAC_with_directory.pdf" TargetMode="External"/><Relationship Id="rId40" Type="http://schemas.openxmlformats.org/officeDocument/2006/relationships/hyperlink" Target="https://www.ecpat.org/wp-content/uploads/2017/04/Through-the-Eyes-of-the-Child_Barries-to-Access-to-Justice-thematic-report.pdf" TargetMode="External"/><Relationship Id="rId45" Type="http://schemas.openxmlformats.org/officeDocument/2006/relationships/hyperlink" Target="file:///C:\Users\maudb\Downloads\SOWC_2019_Children-food-and-nutrition_en.pdf" TargetMode="External"/><Relationship Id="rId53" Type="http://schemas.openxmlformats.org/officeDocument/2006/relationships/hyperlink" Target="file:///C:\Users\ECPAT%20Info\Downloads\Personal%20Communication" TargetMode="External"/><Relationship Id="rId58" Type="http://schemas.openxmlformats.org/officeDocument/2006/relationships/hyperlink" Target="https://ph.usembassy.gov/us-ph-sign-child-protection-compact-partnership/" TargetMode="External"/><Relationship Id="rId66" Type="http://schemas.openxmlformats.org/officeDocument/2006/relationships/hyperlink" Target="https://www.state.gov/wp-content/uploads/2019/06/2019-Trafficking-in-Persons-Report.pdf" TargetMode="External"/><Relationship Id="rId74" Type="http://schemas.openxmlformats.org/officeDocument/2006/relationships/hyperlink" Target="https://www.saferkidsph.org/" TargetMode="External"/><Relationship Id="rId79" Type="http://schemas.openxmlformats.org/officeDocument/2006/relationships/hyperlink" Target="https://www.senate.gov.ph/republic_acts/ra%209344.pdf" TargetMode="External"/><Relationship Id="rId87" Type="http://schemas.openxmlformats.org/officeDocument/2006/relationships/hyperlink" Target="https://www.officialgazette.gov.ph/2009/11/17/republic-act-no-9775-s-2009/" TargetMode="External"/><Relationship Id="rId102" Type="http://schemas.openxmlformats.org/officeDocument/2006/relationships/hyperlink" Target="https://www.state.gov/wp-content/uploads/2019/06/2019-Trafficking-in-Persons-Report.pdf" TargetMode="External"/><Relationship Id="rId5" Type="http://schemas.openxmlformats.org/officeDocument/2006/relationships/hyperlink" Target="https://www.worldbank.org/en/country/philippines/overview" TargetMode="External"/><Relationship Id="rId61" Type="http://schemas.openxmlformats.org/officeDocument/2006/relationships/hyperlink" Target="https://www.dol.gov/agencies/ilab/resources/reports/child-labor/philippines" TargetMode="External"/><Relationship Id="rId82" Type="http://schemas.openxmlformats.org/officeDocument/2006/relationships/hyperlink" Target="https://library.pcw.gov.ph/sites/default/files/RA-10364-BSA.pdf" TargetMode="External"/><Relationship Id="rId90" Type="http://schemas.openxmlformats.org/officeDocument/2006/relationships/hyperlink" Target="https://globaldatabase.ecpat.org/country/the-philippines/" TargetMode="External"/><Relationship Id="rId95" Type="http://schemas.openxmlformats.org/officeDocument/2006/relationships/hyperlink" Target="https://www.officialgazette.gov.ph/2009/11/17/republic-act-no-9775-s-2009/" TargetMode="External"/><Relationship Id="rId19" Type="http://schemas.openxmlformats.org/officeDocument/2006/relationships/hyperlink" Target="file:///C:\Users\maudb\Downloads\31January2017DelaSernaFerrerandAbocejoTraffickinginPersonsinCebuCity.pdf" TargetMode="External"/><Relationship Id="rId14" Type="http://schemas.openxmlformats.org/officeDocument/2006/relationships/hyperlink" Target="https://www.state.gov/wp-content/uploads/2019/06/2019-Trafficking-in-Persons-Report.pdf" TargetMode="External"/><Relationship Id="rId22" Type="http://schemas.openxmlformats.org/officeDocument/2006/relationships/hyperlink" Target="file:///C:\Users\maudb\Downloads\31January2017DelaSernaFerrerandAbocejoTraffickinginPersonsinCebuCity.pdf" TargetMode="External"/><Relationship Id="rId27" Type="http://schemas.openxmlformats.org/officeDocument/2006/relationships/hyperlink" Target="https://www.washingtonpost.com/world/asia-pacific/in-philippine-red-light-district-an-uphill-struggle-to-battle-trafficking-and-abuses/2019/11/17/43a6470a-bad3-11e9-b3b4-2bb69e8c4e39_story.html" TargetMode="External"/><Relationship Id="rId30" Type="http://schemas.openxmlformats.org/officeDocument/2006/relationships/hyperlink" Target="https://journals.openedition.org/moussons/3741?lang=en" TargetMode="External"/><Relationship Id="rId35" Type="http://schemas.openxmlformats.org/officeDocument/2006/relationships/hyperlink" Target="https://www.dol.gov/agencies/ilab/resources/reports/child-labor/philippines" TargetMode="External"/><Relationship Id="rId43" Type="http://schemas.openxmlformats.org/officeDocument/2006/relationships/hyperlink" Target="https://www.unicef.org/eap/media/3926/file" TargetMode="External"/><Relationship Id="rId48" Type="http://schemas.openxmlformats.org/officeDocument/2006/relationships/hyperlink" Target="https://www.rappler.com/newsbreak/videos-podcasts/248731-video-explainer-child-marriage-philippines" TargetMode="External"/><Relationship Id="rId56" Type="http://schemas.openxmlformats.org/officeDocument/2006/relationships/hyperlink" Target="https://www.childprotectionnetwork.org/wp-content/uploads/2019/08/PPAEVAC_with_directory.pdf" TargetMode="External"/><Relationship Id="rId64" Type="http://schemas.openxmlformats.org/officeDocument/2006/relationships/hyperlink" Target="http://iacat.gov.ph/powers-and-functions/" TargetMode="External"/><Relationship Id="rId69" Type="http://schemas.openxmlformats.org/officeDocument/2006/relationships/hyperlink" Target="https://www.dol.gov/agencies/ilab/resources/reports/child-labor/philippines" TargetMode="External"/><Relationship Id="rId77" Type="http://schemas.openxmlformats.org/officeDocument/2006/relationships/hyperlink" Target="https://www.officialgazette.gov.ph/constitutions/1987-constitution/" TargetMode="External"/><Relationship Id="rId100" Type="http://schemas.openxmlformats.org/officeDocument/2006/relationships/hyperlink" Target="https://www.rappler.com/nation/245232-child-marriage-fundamental-human-rights-violation-bernadette-herrera" TargetMode="External"/><Relationship Id="rId105" Type="http://schemas.openxmlformats.org/officeDocument/2006/relationships/hyperlink" Target="https://www.dilg.gov.ph/PDF_File/reports_resources/dilg-reports-resources-2017323_e21a5b9c4f.pdf" TargetMode="External"/><Relationship Id="rId8" Type="http://schemas.openxmlformats.org/officeDocument/2006/relationships/hyperlink" Target="file:///C:\Users\maudb\Downloads\SOWC_2019_Children-food-and-nutrition_en.pdf" TargetMode="External"/><Relationship Id="rId51" Type="http://schemas.openxmlformats.org/officeDocument/2006/relationships/hyperlink" Target="https://www.childprotectionnetwork.org/wp-content/uploads/2019/08/PPAEVAC_with_directory.pdf" TargetMode="External"/><Relationship Id="rId72" Type="http://schemas.openxmlformats.org/officeDocument/2006/relationships/hyperlink" Target="https://corporate.abs-cbn.com/lingkodkapamilya/bantay-bata/about" TargetMode="External"/><Relationship Id="rId80" Type="http://schemas.openxmlformats.org/officeDocument/2006/relationships/hyperlink" Target="https://www.rappler.com/nation/222073-house-3rd-reading-lowering-minimum-age-criminal-responsibility" TargetMode="External"/><Relationship Id="rId85" Type="http://schemas.openxmlformats.org/officeDocument/2006/relationships/hyperlink" Target="https://www.pcw.gov.ph/sites/default/files/documents/resources/ra-9208-trafficking-irr.pdf" TargetMode="External"/><Relationship Id="rId93" Type="http://schemas.openxmlformats.org/officeDocument/2006/relationships/hyperlink" Target="https://www.officialgazette.gov.ph/2009/11/17/republic-act-no-9775-s-2009/" TargetMode="External"/><Relationship Id="rId98" Type="http://schemas.openxmlformats.org/officeDocument/2006/relationships/hyperlink" Target="https://www.pcw.gov.ph/sites/default/files/documents/laws/PRESIDENTIAL%20DECREE%20No%201083.pdf" TargetMode="External"/><Relationship Id="rId3" Type="http://schemas.openxmlformats.org/officeDocument/2006/relationships/hyperlink" Target="file:///C:\Users\maudb\Downloads\SOWC_2019_Children-food-and-nutrition_en.pdf" TargetMode="External"/><Relationship Id="rId12" Type="http://schemas.openxmlformats.org/officeDocument/2006/relationships/hyperlink" Target="https://www.dilg.gov.ph/PDF_File/reports_resources/dilg-reports-resources-2017323_e21a5b9c4f.pdf" TargetMode="External"/><Relationship Id="rId17" Type="http://schemas.openxmlformats.org/officeDocument/2006/relationships/hyperlink" Target="https://www.dilg.gov.ph/PDF_File/reports_resources/dilg-reports-resources-2017323_e21a5b9c4f.pdf" TargetMode="External"/><Relationship Id="rId25" Type="http://schemas.openxmlformats.org/officeDocument/2006/relationships/hyperlink" Target="https://www.state.gov/wp-content/uploads/2019/06/2019-Trafficking-in-Persons-Report.pdf" TargetMode="External"/><Relationship Id="rId33" Type="http://schemas.openxmlformats.org/officeDocument/2006/relationships/hyperlink" Target="https://www.itu.int/en/ITU-D/Statistics/Pages/stat/default.aspx" TargetMode="External"/><Relationship Id="rId38" Type="http://schemas.openxmlformats.org/officeDocument/2006/relationships/hyperlink" Target="https://www.state.gov/wp-content/uploads/2019/06/2019-Trafficking-in-Persons-Report.pdf" TargetMode="External"/><Relationship Id="rId46" Type="http://schemas.openxmlformats.org/officeDocument/2006/relationships/hyperlink" Target="https://psa.gov.ph/sites/default/files/PHILIPPINE%20NATIONAL%20DEMOGRAPHIC%20AND%20HEALTH%20SURVEY%202017_new.pdf" TargetMode="External"/><Relationship Id="rId59" Type="http://schemas.openxmlformats.org/officeDocument/2006/relationships/hyperlink" Target="https://www.oxfam.ca/project/creating-spaces/" TargetMode="External"/><Relationship Id="rId67" Type="http://schemas.openxmlformats.org/officeDocument/2006/relationships/hyperlink" Target="https://rm.coe.int/7-7iacacp-edited-/168072bdbf" TargetMode="External"/><Relationship Id="rId103" Type="http://schemas.openxmlformats.org/officeDocument/2006/relationships/hyperlink" Target="https://www.ecpat.org/wp-content/uploads/2017/04/Through-the-Eyes-of-the-Child_Barries-to-Access-to-Justice-thematic-report.pdf" TargetMode="External"/><Relationship Id="rId108" Type="http://schemas.openxmlformats.org/officeDocument/2006/relationships/hyperlink" Target="https://corporate.abs-cbn.com/lingkodkapamilya/bantay-bata/about" TargetMode="External"/><Relationship Id="rId20" Type="http://schemas.openxmlformats.org/officeDocument/2006/relationships/hyperlink" Target="https://www.state.gov/wp-content/uploads/2019/06/2019-Trafficking-in-Persons-Report.pdf" TargetMode="External"/><Relationship Id="rId41" Type="http://schemas.openxmlformats.org/officeDocument/2006/relationships/hyperlink" Target="https://www.state.gov/wp-content/uploads/2019/06/2019-Trafficking-in-Persons-Report.pdf" TargetMode="External"/><Relationship Id="rId54" Type="http://schemas.openxmlformats.org/officeDocument/2006/relationships/hyperlink" Target="https://www.childprotectionnetwork.org/wp-content/uploads/2019/08/PPAEVAC_with_directory.pdf" TargetMode="External"/><Relationship Id="rId62" Type="http://schemas.openxmlformats.org/officeDocument/2006/relationships/hyperlink" Target="https://www.doj.gov.ph/child-protection-program.html" TargetMode="External"/><Relationship Id="rId70" Type="http://schemas.openxmlformats.org/officeDocument/2006/relationships/hyperlink" Target="https://www.ecpat.org/wp-content/uploads/2017/04/Through-the-Eyes-of-the-Child_Barries-to-Access-to-Justice-thematic-report.pdf" TargetMode="External"/><Relationship Id="rId75" Type="http://schemas.openxmlformats.org/officeDocument/2006/relationships/hyperlink" Target="https://www.state.gov/wp-content/uploads/2019/06/2019-Trafficking-in-Persons-Report.pdf" TargetMode="External"/><Relationship Id="rId83" Type="http://schemas.openxmlformats.org/officeDocument/2006/relationships/hyperlink" Target="https://www.un.org/Depts/los/LEGISLATIONANDTREATIES/PDFFILES/PHL_revised_penal_code.pdf" TargetMode="External"/><Relationship Id="rId88" Type="http://schemas.openxmlformats.org/officeDocument/2006/relationships/hyperlink" Target="https://www.doj.gov.ph/files/cybercrime_office/RA_10175-Cybercrime_Prevention_Act_of_2012.pdf" TargetMode="External"/><Relationship Id="rId91" Type="http://schemas.openxmlformats.org/officeDocument/2006/relationships/hyperlink" Target="https://pcw.gov.ph/sites/default/files/documents/laws/republic_act_7610.pdf" TargetMode="External"/><Relationship Id="rId96" Type="http://schemas.openxmlformats.org/officeDocument/2006/relationships/hyperlink" Target="https://www.ecpat.org/wp-content/uploads/2017/04/Through-the-Eyes-of-the-Child_Barries-to-Access-to-Justice-thematic-report.pdf" TargetMode="External"/><Relationship Id="rId1" Type="http://schemas.openxmlformats.org/officeDocument/2006/relationships/hyperlink" Target="http://luxembourgguidelines.org/english-version/" TargetMode="External"/><Relationship Id="rId6" Type="http://schemas.openxmlformats.org/officeDocument/2006/relationships/hyperlink" Target="http://hdr.undp.org/sites/all/themes/hdr_theme/country-notes/PHL.pdf" TargetMode="External"/><Relationship Id="rId15" Type="http://schemas.openxmlformats.org/officeDocument/2006/relationships/hyperlink" Target="https://www.dilg.gov.ph/PDF_File/reports_resources/dilg-reports-resources-2017323_e21a5b9c4f.pdf" TargetMode="External"/><Relationship Id="rId23" Type="http://schemas.openxmlformats.org/officeDocument/2006/relationships/hyperlink" Target="https://verafiles.org/articles/sex-traffickers-prey-yolanda-children?fbclid=IwAR0c8fJdIpwcNSVOMAUvHarSCoGaCPOtXoUxmsuTej1ZmjKw8JCcoeuexF0" TargetMode="External"/><Relationship Id="rId28" Type="http://schemas.openxmlformats.org/officeDocument/2006/relationships/hyperlink" Target="https://www.theguardian.com/society/2019/mar/02/children-sex-tourists-leave-behind-fathers-visited-philippines" TargetMode="External"/><Relationship Id="rId36" Type="http://schemas.openxmlformats.org/officeDocument/2006/relationships/hyperlink" Target="https://www.childprotectionnetwork.org/wp-content/uploads/2019/08/PPAEVAC_with_directory.pdf" TargetMode="External"/><Relationship Id="rId49" Type="http://schemas.openxmlformats.org/officeDocument/2006/relationships/hyperlink" Target="https://philippines.unfpa.org/en/news/empowering-maranao-girls-against-child-marriage" TargetMode="External"/><Relationship Id="rId57" Type="http://schemas.openxmlformats.org/officeDocument/2006/relationships/hyperlink" Target="https://www.dol.gov/agencies/ilab/resources/reports/child-labor/philippines" TargetMode="External"/><Relationship Id="rId106" Type="http://schemas.openxmlformats.org/officeDocument/2006/relationships/hyperlink" Target="http://hrlibrary.umn.edu/research/Philippines/RA%207610%20-%20Child%20Abuse%20Law.pdf" TargetMode="External"/><Relationship Id="rId10" Type="http://schemas.openxmlformats.org/officeDocument/2006/relationships/hyperlink" Target="https://www.ecpat.org/wp-content/uploads/2017/04/Through-the-Eyes-of-the-Child_Barries-to-Access-to-Justice-thematic-report.pdf" TargetMode="External"/><Relationship Id="rId31" Type="http://schemas.openxmlformats.org/officeDocument/2006/relationships/hyperlink" Target="https://www.state.gov/wp-content/uploads/2019/06/2019-Trafficking-in-Persons-Report.pdf" TargetMode="External"/><Relationship Id="rId44" Type="http://schemas.openxmlformats.org/officeDocument/2006/relationships/hyperlink" Target="https://philippines.unfpa.org/en/news/empowering-maranao-girls-against-child-marriage" TargetMode="External"/><Relationship Id="rId52" Type="http://schemas.openxmlformats.org/officeDocument/2006/relationships/hyperlink" Target="https://www.unicef.org/philippines/media/491/file/National%20Baseline%20Study%20on%20Violence%20Against%20Children%20in%20the%20Philippines:%20Results%20(executive%20summary).pdf" TargetMode="External"/><Relationship Id="rId60" Type="http://schemas.openxmlformats.org/officeDocument/2006/relationships/hyperlink" Target="https://www.rappler.com/newsbreak/in-depth/236272-child-brides-too-young-to-marry" TargetMode="External"/><Relationship Id="rId65" Type="http://schemas.openxmlformats.org/officeDocument/2006/relationships/hyperlink" Target="https://www.dol.gov/agencies/ilab/resources/reports/child-labor/philippines" TargetMode="External"/><Relationship Id="rId73" Type="http://schemas.openxmlformats.org/officeDocument/2006/relationships/hyperlink" Target="https://www.unicef.org/philippines/press-releases/new-campaign-saferkidsph-raise-awareness-online-sexual-exploitation-children" TargetMode="External"/><Relationship Id="rId78" Type="http://schemas.openxmlformats.org/officeDocument/2006/relationships/hyperlink" Target="https://www.ecpat.org/wp-content/uploads/2017/04/Through-the-Eyes-of-the-Child_Barries-to-Access-to-Justice-thematic-report.pdf" TargetMode="External"/><Relationship Id="rId81" Type="http://schemas.openxmlformats.org/officeDocument/2006/relationships/hyperlink" Target="https://www.senate.gov.ph/republic_acts/ra%209344.pdf" TargetMode="External"/><Relationship Id="rId86" Type="http://schemas.openxmlformats.org/officeDocument/2006/relationships/hyperlink" Target="https://www.pcw.gov.ph/sites/default/files/documents/resources/ra-9208-trafficking-irr.pdf" TargetMode="External"/><Relationship Id="rId94" Type="http://schemas.openxmlformats.org/officeDocument/2006/relationships/hyperlink" Target="https://www.rappler.com/nation/243137-dswd-says-internet-service-providers-fail-report-child-porn-websites" TargetMode="External"/><Relationship Id="rId99" Type="http://schemas.openxmlformats.org/officeDocument/2006/relationships/hyperlink" Target="https://www.rappler.com/newsbreak/in-depth/236272-child-brides-too-young-to-marry" TargetMode="External"/><Relationship Id="rId101" Type="http://schemas.openxmlformats.org/officeDocument/2006/relationships/hyperlink" Target="https://www.rappler.com/nation/241489-congresswomen-push-bill-against-child-marriage-we-owe-it-to-young-girls" TargetMode="External"/><Relationship Id="rId4" Type="http://schemas.openxmlformats.org/officeDocument/2006/relationships/hyperlink" Target="http://databank.worldbank.org/data/download/GDP.pdf" TargetMode="External"/><Relationship Id="rId9" Type="http://schemas.openxmlformats.org/officeDocument/2006/relationships/hyperlink" Target="https://www.childprotectionnetwork.org/wp-content/uploads/2019/08/PPAEVAC_with_directory.pdf" TargetMode="External"/><Relationship Id="rId13" Type="http://schemas.openxmlformats.org/officeDocument/2006/relationships/hyperlink" Target="file:///C:\Users\maudb\Downloads\31January2017DelaSernaFerrerandAbocejoTraffickinginPersonsinCebuCity.pdf" TargetMode="External"/><Relationship Id="rId18" Type="http://schemas.openxmlformats.org/officeDocument/2006/relationships/hyperlink" Target="https://www.state.gov/wp-content/uploads/2019/06/2019-Trafficking-in-Persons-Report.pdf" TargetMode="External"/><Relationship Id="rId39" Type="http://schemas.openxmlformats.org/officeDocument/2006/relationships/hyperlink" Target="https://www.dol.gov/agencies/ilab/resources/reports/child-labor/philippines" TargetMode="External"/><Relationship Id="rId109" Type="http://schemas.openxmlformats.org/officeDocument/2006/relationships/hyperlink" Target="https://pia.gov.ph/news/articles/1030943" TargetMode="External"/><Relationship Id="rId34" Type="http://schemas.openxmlformats.org/officeDocument/2006/relationships/hyperlink" Target="http://hdr.undp.org/sites/default/files/hdr2019.pdf" TargetMode="External"/><Relationship Id="rId50" Type="http://schemas.openxmlformats.org/officeDocument/2006/relationships/hyperlink" Target="https://www.dw.com/en/child-marriages-spike-in-philippines-violence-marred-marawi-city/a-49567088" TargetMode="External"/><Relationship Id="rId55" Type="http://schemas.openxmlformats.org/officeDocument/2006/relationships/hyperlink" Target="https://aboutphilippines.org/documents-etc/NPAC_FINAL.pdf" TargetMode="External"/><Relationship Id="rId76" Type="http://schemas.openxmlformats.org/officeDocument/2006/relationships/hyperlink" Target="https://www.ecpat.org/wp-content/uploads/2017/04/Through-the-Eyes-of-the-Child_Barries-to-Access-to-Justice-thematic-report.pdf" TargetMode="External"/><Relationship Id="rId97" Type="http://schemas.openxmlformats.org/officeDocument/2006/relationships/hyperlink" Target="https://www.lawphil.net/executive/execord/eo1987/eo_209_1987.html" TargetMode="External"/><Relationship Id="rId104" Type="http://schemas.openxmlformats.org/officeDocument/2006/relationships/hyperlink" Target="http://www.chanrobles.com/childwitnessexamination.htm" TargetMode="External"/><Relationship Id="rId7" Type="http://schemas.openxmlformats.org/officeDocument/2006/relationships/hyperlink" Target="http://hdr.undp.org/sites/default/files/hdr2019.pdf" TargetMode="External"/><Relationship Id="rId71" Type="http://schemas.openxmlformats.org/officeDocument/2006/relationships/hyperlink" Target="https://pia.gov.ph/news/articles/1030943" TargetMode="External"/><Relationship Id="rId92" Type="http://schemas.openxmlformats.org/officeDocument/2006/relationships/hyperlink" Target="http://www.amlc.gov.ph/laws/money-laundering/2015-10-16-02-50-56/republic-act-91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DA86C1-9F23-4EFC-AEC0-1CE237D960CC}">
  <ds:schemaRefs>
    <ds:schemaRef ds:uri="http://schemas.openxmlformats.org/officeDocument/2006/bibliography"/>
  </ds:schemaRefs>
</ds:datastoreItem>
</file>

<file path=customXml/itemProps2.xml><?xml version="1.0" encoding="utf-8"?>
<ds:datastoreItem xmlns:ds="http://schemas.openxmlformats.org/officeDocument/2006/customXml" ds:itemID="{CAADFB59-FFEE-4758-BCCC-6ED5BA7638FF}"/>
</file>

<file path=customXml/itemProps3.xml><?xml version="1.0" encoding="utf-8"?>
<ds:datastoreItem xmlns:ds="http://schemas.openxmlformats.org/officeDocument/2006/customXml" ds:itemID="{A598B63D-547F-464B-B174-7E9C1CA2CA36}"/>
</file>

<file path=customXml/itemProps4.xml><?xml version="1.0" encoding="utf-8"?>
<ds:datastoreItem xmlns:ds="http://schemas.openxmlformats.org/officeDocument/2006/customXml" ds:itemID="{72BDF3EC-F3EB-4A7B-AF36-E365868408F2}"/>
</file>

<file path=docProps/app.xml><?xml version="1.0" encoding="utf-8"?>
<Properties xmlns="http://schemas.openxmlformats.org/officeDocument/2006/extended-properties" xmlns:vt="http://schemas.openxmlformats.org/officeDocument/2006/docPropsVTypes">
  <Template>Normal.dotm</Template>
  <TotalTime>284</TotalTime>
  <Pages>22</Pages>
  <Words>7612</Words>
  <Characters>43865</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Maud Ballez</dc:creator>
  <cp:keywords/>
  <dc:description/>
  <cp:lastModifiedBy>BAGLAI Christina</cp:lastModifiedBy>
  <cp:revision>11</cp:revision>
  <dcterms:created xsi:type="dcterms:W3CDTF">2020-02-29T04:41:00Z</dcterms:created>
  <dcterms:modified xsi:type="dcterms:W3CDTF">2020-09-08T09:30:00Z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