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6DF2" w:rsidRPr="00E97EF9" w:rsidRDefault="00316DF2" w:rsidP="009F6516">
      <w:pPr>
        <w:spacing w:line="276" w:lineRule="auto"/>
        <w:jc w:val="center"/>
        <w:rPr>
          <w:b/>
          <w:sz w:val="28"/>
          <w:szCs w:val="28"/>
          <w:lang w:val="en-GB"/>
        </w:rPr>
      </w:pPr>
      <w:bookmarkStart w:id="0" w:name="_GoBack"/>
      <w:bookmarkEnd w:id="0"/>
    </w:p>
    <w:p w:rsidR="00316DF2" w:rsidRPr="00E97EF9" w:rsidRDefault="00316DF2" w:rsidP="009F6516">
      <w:pPr>
        <w:spacing w:line="276" w:lineRule="auto"/>
        <w:jc w:val="center"/>
        <w:rPr>
          <w:b/>
          <w:sz w:val="28"/>
          <w:szCs w:val="28"/>
          <w:lang w:val="en-GB"/>
        </w:rPr>
      </w:pPr>
    </w:p>
    <w:p w:rsidR="00E97EF9" w:rsidRPr="00E97EF9" w:rsidRDefault="00E97EF9" w:rsidP="009F6516">
      <w:pPr>
        <w:spacing w:line="276" w:lineRule="auto"/>
        <w:jc w:val="center"/>
        <w:rPr>
          <w:b/>
          <w:sz w:val="28"/>
          <w:szCs w:val="28"/>
          <w:lang w:val="en-GB"/>
        </w:rPr>
      </w:pPr>
    </w:p>
    <w:p w:rsidR="00E97EF9" w:rsidRPr="00E97EF9" w:rsidRDefault="00E97EF9" w:rsidP="009F6516">
      <w:pPr>
        <w:spacing w:line="276" w:lineRule="auto"/>
        <w:jc w:val="center"/>
        <w:rPr>
          <w:b/>
          <w:sz w:val="28"/>
          <w:szCs w:val="28"/>
          <w:lang w:val="en-GB"/>
        </w:rPr>
      </w:pPr>
    </w:p>
    <w:p w:rsidR="00956989" w:rsidRPr="00E97EF9" w:rsidRDefault="00316DF2" w:rsidP="009F6516">
      <w:pPr>
        <w:spacing w:line="276" w:lineRule="auto"/>
        <w:jc w:val="center"/>
        <w:rPr>
          <w:b/>
          <w:sz w:val="28"/>
          <w:szCs w:val="28"/>
          <w:lang w:val="en-GB"/>
        </w:rPr>
      </w:pPr>
      <w:r w:rsidRPr="00E97EF9">
        <w:rPr>
          <w:b/>
          <w:sz w:val="28"/>
          <w:szCs w:val="28"/>
          <w:lang w:val="en-GB"/>
        </w:rPr>
        <w:t>Submission to the UN Committee on Economic, Social and Cultural Rights (CESCR) for the List of Issues on the occasion of the examination of the sixth periodic report submitted by Romania under article 16 and 17 of the Covenant</w:t>
      </w:r>
    </w:p>
    <w:p w:rsidR="00316DF2" w:rsidRPr="00E97EF9" w:rsidRDefault="00316DF2" w:rsidP="009F6516">
      <w:pPr>
        <w:spacing w:line="276" w:lineRule="auto"/>
        <w:jc w:val="both"/>
        <w:rPr>
          <w:rFonts w:eastAsia="Calibri"/>
          <w:sz w:val="22"/>
          <w:lang w:val="en-GB"/>
        </w:rPr>
      </w:pPr>
    </w:p>
    <w:p w:rsidR="00316DF2" w:rsidRPr="00E97EF9" w:rsidRDefault="00316DF2" w:rsidP="009F6516">
      <w:pPr>
        <w:spacing w:line="276" w:lineRule="auto"/>
        <w:jc w:val="both"/>
        <w:rPr>
          <w:rFonts w:eastAsia="Calibri"/>
          <w:lang w:val="en-GB"/>
        </w:rPr>
      </w:pPr>
    </w:p>
    <w:p w:rsidR="00316DF2" w:rsidRPr="00E97EF9" w:rsidRDefault="00316DF2" w:rsidP="009F6516">
      <w:pPr>
        <w:spacing w:line="276" w:lineRule="auto"/>
        <w:jc w:val="both"/>
        <w:rPr>
          <w:rFonts w:eastAsia="Calibri"/>
          <w:lang w:val="en-GB"/>
        </w:rPr>
      </w:pPr>
      <w:r w:rsidRPr="00E97EF9">
        <w:rPr>
          <w:rFonts w:eastAsia="Calibri"/>
          <w:lang w:val="en-GB"/>
        </w:rPr>
        <w:t>This is the submission of the Romanian Institute for Human Rights for the preparation and adoption of the List of Issues prior to reporting for Romania by the Committee on Economic, Social and Cultural Rights in March 2019, during its 64</w:t>
      </w:r>
      <w:r w:rsidRPr="00E97EF9">
        <w:rPr>
          <w:rFonts w:eastAsia="Calibri"/>
          <w:vertAlign w:val="superscript"/>
          <w:lang w:val="en-GB"/>
        </w:rPr>
        <w:t>th</w:t>
      </w:r>
      <w:r w:rsidRPr="00E97EF9">
        <w:rPr>
          <w:rFonts w:eastAsia="Calibri"/>
          <w:lang w:val="en-GB"/>
        </w:rPr>
        <w:t xml:space="preserve"> session. </w:t>
      </w:r>
    </w:p>
    <w:p w:rsidR="00316DF2" w:rsidRPr="00E97EF9" w:rsidRDefault="00316DF2" w:rsidP="009F6516">
      <w:pPr>
        <w:spacing w:line="276" w:lineRule="auto"/>
        <w:jc w:val="both"/>
        <w:rPr>
          <w:rFonts w:eastAsia="Calibri"/>
          <w:lang w:val="en-GB"/>
        </w:rPr>
      </w:pPr>
      <w:r w:rsidRPr="00E97EF9">
        <w:rPr>
          <w:rFonts w:eastAsia="Calibri"/>
          <w:lang w:val="en-GB"/>
        </w:rPr>
        <w:t xml:space="preserve">The document aims at drawing attention to some issues that we find important to be included in the LOIPR for Romania. The issues in this submission reflect themes that the Romanian NHRI has worked on and it includes possible questions to be placed before the Government. </w:t>
      </w:r>
    </w:p>
    <w:p w:rsidR="00316DF2" w:rsidRPr="00E97EF9" w:rsidRDefault="00316DF2" w:rsidP="009F6516">
      <w:pPr>
        <w:spacing w:line="276" w:lineRule="auto"/>
        <w:jc w:val="both"/>
        <w:rPr>
          <w:sz w:val="22"/>
          <w:lang w:val="en-GB"/>
        </w:rPr>
      </w:pPr>
    </w:p>
    <w:p w:rsidR="00316DF2" w:rsidRPr="00E97EF9" w:rsidRDefault="00316DF2" w:rsidP="009F6516">
      <w:pPr>
        <w:spacing w:line="276" w:lineRule="auto"/>
        <w:jc w:val="both"/>
        <w:rPr>
          <w:sz w:val="22"/>
          <w:lang w:val="en-GB"/>
        </w:rPr>
      </w:pPr>
    </w:p>
    <w:p w:rsidR="00316DF2" w:rsidRPr="00E97EF9" w:rsidRDefault="00316DF2" w:rsidP="009F6516">
      <w:pPr>
        <w:spacing w:line="276" w:lineRule="auto"/>
        <w:jc w:val="both"/>
        <w:rPr>
          <w:sz w:val="22"/>
          <w:lang w:val="en-GB"/>
        </w:rPr>
      </w:pPr>
    </w:p>
    <w:p w:rsidR="00316DF2" w:rsidRPr="00E97EF9" w:rsidRDefault="00316DF2" w:rsidP="009F6516">
      <w:pPr>
        <w:spacing w:line="276" w:lineRule="auto"/>
        <w:jc w:val="both"/>
        <w:rPr>
          <w:sz w:val="22"/>
          <w:lang w:val="en-GB"/>
        </w:rPr>
      </w:pPr>
    </w:p>
    <w:p w:rsidR="00316DF2" w:rsidRPr="00E97EF9" w:rsidRDefault="00316DF2" w:rsidP="009F6516">
      <w:pPr>
        <w:spacing w:line="276" w:lineRule="auto"/>
        <w:jc w:val="both"/>
        <w:rPr>
          <w:sz w:val="22"/>
          <w:lang w:val="en-GB"/>
        </w:rPr>
      </w:pPr>
    </w:p>
    <w:p w:rsidR="00316DF2" w:rsidRPr="00E97EF9" w:rsidRDefault="00316DF2" w:rsidP="009F6516">
      <w:pPr>
        <w:spacing w:line="276" w:lineRule="auto"/>
        <w:jc w:val="both"/>
        <w:rPr>
          <w:sz w:val="22"/>
          <w:lang w:val="en-GB"/>
        </w:rPr>
      </w:pPr>
    </w:p>
    <w:p w:rsidR="00316DF2" w:rsidRPr="00E97EF9" w:rsidRDefault="00316DF2" w:rsidP="009F6516">
      <w:pPr>
        <w:spacing w:line="276" w:lineRule="auto"/>
        <w:jc w:val="both"/>
        <w:rPr>
          <w:sz w:val="22"/>
          <w:lang w:val="en-GB"/>
        </w:rPr>
      </w:pPr>
    </w:p>
    <w:p w:rsidR="00316DF2" w:rsidRPr="00E97EF9" w:rsidRDefault="00316DF2" w:rsidP="009F6516">
      <w:pPr>
        <w:spacing w:line="276" w:lineRule="auto"/>
        <w:jc w:val="both"/>
        <w:rPr>
          <w:sz w:val="22"/>
          <w:lang w:val="en-GB"/>
        </w:rPr>
      </w:pPr>
    </w:p>
    <w:p w:rsidR="00316DF2" w:rsidRPr="00E97EF9" w:rsidRDefault="00316DF2" w:rsidP="009F6516">
      <w:pPr>
        <w:spacing w:line="276" w:lineRule="auto"/>
        <w:jc w:val="center"/>
        <w:rPr>
          <w:lang w:val="en-GB"/>
        </w:rPr>
      </w:pPr>
      <w:r w:rsidRPr="00E97EF9">
        <w:rPr>
          <w:lang w:val="en-GB"/>
        </w:rPr>
        <w:t>Institutul Român pentru Drepturile Omului</w:t>
      </w:r>
    </w:p>
    <w:p w:rsidR="00316DF2" w:rsidRPr="00E97EF9" w:rsidRDefault="00316DF2" w:rsidP="009F6516">
      <w:pPr>
        <w:spacing w:line="276" w:lineRule="auto"/>
        <w:jc w:val="center"/>
        <w:rPr>
          <w:lang w:val="en-GB"/>
        </w:rPr>
      </w:pPr>
      <w:r w:rsidRPr="00E97EF9">
        <w:rPr>
          <w:lang w:val="en-GB"/>
        </w:rPr>
        <w:t xml:space="preserve">Piața C. A. Rosetti, nr. 4, Sector 2, București 021051 | email:office@irdo.ro </w:t>
      </w:r>
      <w:bookmarkStart w:id="1" w:name="_Hlk80363150"/>
      <w:r w:rsidRPr="00E97EF9">
        <w:rPr>
          <w:lang w:val="en-GB"/>
        </w:rPr>
        <w:t>|</w:t>
      </w:r>
      <w:bookmarkEnd w:id="1"/>
      <w:r w:rsidRPr="00E97EF9">
        <w:rPr>
          <w:lang w:val="en-GB"/>
        </w:rPr>
        <w:t xml:space="preserve"> Tel.</w:t>
      </w:r>
      <w:r w:rsidRPr="00E97EF9">
        <w:rPr>
          <w:lang w:val="en-GB"/>
        </w:rPr>
        <w:tab/>
        <w:t>40213114921</w:t>
      </w:r>
    </w:p>
    <w:p w:rsidR="00316DF2" w:rsidRPr="00E97EF9" w:rsidRDefault="00316DF2" w:rsidP="009F6516">
      <w:pPr>
        <w:spacing w:line="276" w:lineRule="auto"/>
        <w:jc w:val="center"/>
        <w:rPr>
          <w:lang w:val="en-GB"/>
        </w:rPr>
      </w:pPr>
    </w:p>
    <w:p w:rsidR="00316DF2" w:rsidRPr="00E97EF9" w:rsidRDefault="00316DF2" w:rsidP="009F6516">
      <w:pPr>
        <w:spacing w:line="276" w:lineRule="auto"/>
        <w:jc w:val="center"/>
        <w:rPr>
          <w:lang w:val="en-GB"/>
        </w:rPr>
      </w:pPr>
    </w:p>
    <w:p w:rsidR="00316DF2" w:rsidRPr="00E97EF9" w:rsidRDefault="00316DF2" w:rsidP="009F6516">
      <w:pPr>
        <w:spacing w:line="276" w:lineRule="auto"/>
        <w:jc w:val="center"/>
        <w:rPr>
          <w:lang w:val="en-GB"/>
        </w:rPr>
        <w:sectPr w:rsidR="00316DF2" w:rsidRPr="00E97EF9" w:rsidSect="004D1E46">
          <w:headerReference w:type="default" r:id="rId8"/>
          <w:pgSz w:w="11907" w:h="16840" w:code="9"/>
          <w:pgMar w:top="1134" w:right="1134" w:bottom="851" w:left="1134" w:header="284" w:footer="284" w:gutter="0"/>
          <w:cols w:space="720"/>
          <w:docGrid w:linePitch="360"/>
        </w:sectPr>
      </w:pPr>
    </w:p>
    <w:p w:rsidR="00316DF2" w:rsidRPr="00E97EF9" w:rsidRDefault="00316DF2" w:rsidP="009F6516">
      <w:pPr>
        <w:spacing w:line="276" w:lineRule="auto"/>
        <w:jc w:val="center"/>
        <w:rPr>
          <w:lang w:val="en-GB"/>
        </w:rPr>
      </w:pPr>
    </w:p>
    <w:p w:rsidR="00316DF2" w:rsidRPr="00E97EF9" w:rsidRDefault="006C2F40" w:rsidP="009F6516">
      <w:pPr>
        <w:pStyle w:val="Heading1"/>
        <w:spacing w:line="276" w:lineRule="auto"/>
        <w:rPr>
          <w:lang w:val="en-GB"/>
        </w:rPr>
      </w:pPr>
      <w:r w:rsidRPr="00E97EF9">
        <w:rPr>
          <w:lang w:val="en-GB"/>
        </w:rPr>
        <w:t>General information on the Romanian Institute for Human Rights</w:t>
      </w:r>
    </w:p>
    <w:p w:rsidR="006C2F40" w:rsidRPr="00E97EF9" w:rsidRDefault="006C2F40" w:rsidP="009F6516">
      <w:pPr>
        <w:spacing w:line="276" w:lineRule="auto"/>
        <w:jc w:val="both"/>
        <w:rPr>
          <w:lang w:val="en-GB"/>
        </w:rPr>
      </w:pPr>
    </w:p>
    <w:p w:rsidR="006C2F40" w:rsidRPr="00E97EF9" w:rsidRDefault="006C2F40" w:rsidP="009F6516">
      <w:pPr>
        <w:spacing w:line="276" w:lineRule="auto"/>
        <w:jc w:val="both"/>
        <w:rPr>
          <w:lang w:val="en-GB"/>
        </w:rPr>
      </w:pPr>
      <w:r w:rsidRPr="00E97EF9">
        <w:rPr>
          <w:lang w:val="en-GB"/>
        </w:rPr>
        <w:t>According to the law in force</w:t>
      </w:r>
      <w:r w:rsidRPr="00E97EF9">
        <w:rPr>
          <w:rStyle w:val="FootnoteReference"/>
          <w:lang w:val="en-GB"/>
        </w:rPr>
        <w:footnoteReference w:id="1"/>
      </w:r>
      <w:r w:rsidRPr="00E97EF9">
        <w:rPr>
          <w:lang w:val="en-GB"/>
        </w:rPr>
        <w:t>, the mandate of the Romanian Institute for Human Rights (hereinafter RIHR) allows the institution to inform the public opinion abroad, the international bodies, about the practical ways in which human rights are achieved and observed in Romania. Moreover, the same law provides that the RIHR may provide, on request or periodically, information on the governmental and non-governmental efforts in Romania for the promotion and protection of human rights and Romania’s international commitments and the way they are fulfilled.</w:t>
      </w:r>
    </w:p>
    <w:p w:rsidR="006C2F40" w:rsidRPr="00E97EF9" w:rsidRDefault="006C2F40" w:rsidP="009F6516">
      <w:pPr>
        <w:spacing w:line="276" w:lineRule="auto"/>
        <w:jc w:val="both"/>
        <w:rPr>
          <w:lang w:val="en-GB"/>
        </w:rPr>
      </w:pPr>
      <w:r w:rsidRPr="00E97EF9">
        <w:rPr>
          <w:lang w:val="en-GB"/>
        </w:rPr>
        <w:t>RIHR is established as an independent body, having the status of legal person and it is the first national human rights institution created in Romania after 1989. RIHR is a non-accredited associate member of the European Network of National Human Rights Institutions (ENNHRI). It had been previously accredited with C status, which is no longer a valid accreditation status. The Romanian Institute</w:t>
      </w:r>
      <w:r w:rsidR="00E97EF9">
        <w:rPr>
          <w:lang w:val="en-GB"/>
        </w:rPr>
        <w:t xml:space="preserve"> for Human Rights</w:t>
      </w:r>
      <w:r w:rsidRPr="00E97EF9">
        <w:rPr>
          <w:lang w:val="en-GB"/>
        </w:rPr>
        <w:t xml:space="preserve"> has a strong promotional mandate and </w:t>
      </w:r>
      <w:r w:rsidR="00E97EF9">
        <w:rPr>
          <w:lang w:val="en-GB"/>
        </w:rPr>
        <w:t xml:space="preserve">it </w:t>
      </w:r>
      <w:r w:rsidRPr="00E97EF9">
        <w:rPr>
          <w:lang w:val="en-GB"/>
        </w:rPr>
        <w:t>has been addressing a wide range of human rights in Romania.</w:t>
      </w:r>
    </w:p>
    <w:p w:rsidR="000D7FF9" w:rsidRPr="00E97EF9" w:rsidRDefault="000D7FF9" w:rsidP="009F6516">
      <w:pPr>
        <w:spacing w:line="276" w:lineRule="auto"/>
        <w:jc w:val="both"/>
        <w:rPr>
          <w:lang w:val="en-GB"/>
        </w:rPr>
      </w:pPr>
      <w:r w:rsidRPr="00E97EF9">
        <w:rPr>
          <w:lang w:val="en-GB"/>
        </w:rPr>
        <w:t xml:space="preserve">Considering Annex 1 </w:t>
      </w:r>
      <w:r w:rsidR="00E97EF9" w:rsidRPr="00E97EF9">
        <w:rPr>
          <w:lang w:val="en-GB"/>
        </w:rPr>
        <w:t>“</w:t>
      </w:r>
      <w:r w:rsidRPr="00E97EF9">
        <w:rPr>
          <w:lang w:val="en-GB"/>
        </w:rPr>
        <w:t>Romanian HRIs</w:t>
      </w:r>
      <w:r w:rsidR="00E97EF9" w:rsidRPr="00E97EF9">
        <w:rPr>
          <w:lang w:val="en-GB"/>
        </w:rPr>
        <w:t>”</w:t>
      </w:r>
      <w:r w:rsidRPr="00E97EF9">
        <w:rPr>
          <w:lang w:val="en-GB"/>
        </w:rPr>
        <w:t>, we provide the following information, which was also presented in ENNHRI’s 2021 Rule of Law Report</w:t>
      </w:r>
      <w:r w:rsidRPr="00E97EF9">
        <w:rPr>
          <w:rStyle w:val="FootnoteReference"/>
          <w:lang w:val="en-GB"/>
        </w:rPr>
        <w:footnoteReference w:id="2"/>
      </w:r>
      <w:r w:rsidRPr="00E97EF9">
        <w:rPr>
          <w:lang w:val="en-GB"/>
        </w:rPr>
        <w:t xml:space="preserve"> </w:t>
      </w:r>
    </w:p>
    <w:p w:rsidR="000D7FF9" w:rsidRPr="00E97EF9" w:rsidRDefault="000D7FF9" w:rsidP="009F6516">
      <w:pPr>
        <w:spacing w:line="276" w:lineRule="auto"/>
        <w:jc w:val="both"/>
        <w:rPr>
          <w:lang w:val="en-GB"/>
        </w:rPr>
      </w:pPr>
      <w:r w:rsidRPr="00E97EF9">
        <w:rPr>
          <w:lang w:val="en-GB"/>
        </w:rPr>
        <w:t>In 2020, a legislative proposal to amend Law no. 9/1991 on the establishment of the Romanian Institute for Human Rights, was discussed in the Romanian Parliament. </w:t>
      </w:r>
    </w:p>
    <w:p w:rsidR="000D7FF9" w:rsidRPr="00E97EF9" w:rsidRDefault="000D7FF9" w:rsidP="009F6516">
      <w:pPr>
        <w:spacing w:line="276" w:lineRule="auto"/>
        <w:jc w:val="both"/>
        <w:rPr>
          <w:lang w:val="en-GB"/>
        </w:rPr>
      </w:pPr>
      <w:r w:rsidRPr="00E97EF9">
        <w:rPr>
          <w:lang w:val="en-GB"/>
        </w:rPr>
        <w:t>The RIHR proposed to amend the Law in order to update the Institute’s obsolete regulatory framework, taking into account international bodies’ recommendations (in particular from the SCA) notably to strengthen the RIHR autonomy and independence.</w:t>
      </w:r>
    </w:p>
    <w:p w:rsidR="000D7FF9" w:rsidRPr="00E97EF9" w:rsidRDefault="000D7FF9" w:rsidP="009F6516">
      <w:pPr>
        <w:spacing w:line="276" w:lineRule="auto"/>
        <w:jc w:val="both"/>
        <w:rPr>
          <w:lang w:val="en-GB"/>
        </w:rPr>
      </w:pPr>
      <w:r w:rsidRPr="00E97EF9">
        <w:rPr>
          <w:lang w:val="en-GB"/>
        </w:rPr>
        <w:t>The proposed amendments included:</w:t>
      </w:r>
    </w:p>
    <w:p w:rsidR="000D7FF9" w:rsidRPr="00E97EF9" w:rsidRDefault="000D7FF9" w:rsidP="009F6516">
      <w:pPr>
        <w:numPr>
          <w:ilvl w:val="0"/>
          <w:numId w:val="2"/>
        </w:numPr>
        <w:spacing w:after="0" w:line="276" w:lineRule="auto"/>
        <w:jc w:val="both"/>
        <w:rPr>
          <w:lang w:val="en-GB"/>
        </w:rPr>
      </w:pPr>
      <w:r w:rsidRPr="00E97EF9">
        <w:rPr>
          <w:lang w:val="en-GB"/>
        </w:rPr>
        <w:t>Regulation of the legal status of the Institute as an independent institution from any other public authority;</w:t>
      </w:r>
    </w:p>
    <w:p w:rsidR="000D7FF9" w:rsidRPr="00E97EF9" w:rsidRDefault="000D7FF9" w:rsidP="009F6516">
      <w:pPr>
        <w:numPr>
          <w:ilvl w:val="0"/>
          <w:numId w:val="2"/>
        </w:numPr>
        <w:spacing w:after="0" w:line="276" w:lineRule="auto"/>
        <w:jc w:val="both"/>
        <w:rPr>
          <w:lang w:val="en-GB"/>
        </w:rPr>
      </w:pPr>
      <w:r w:rsidRPr="00E97EF9">
        <w:rPr>
          <w:lang w:val="en-GB"/>
        </w:rPr>
        <w:t>Providing that the activity of the Institute should follow the Paris Principles;</w:t>
      </w:r>
    </w:p>
    <w:p w:rsidR="000D7FF9" w:rsidRPr="00E97EF9" w:rsidRDefault="000D7FF9" w:rsidP="009F6516">
      <w:pPr>
        <w:numPr>
          <w:ilvl w:val="0"/>
          <w:numId w:val="2"/>
        </w:numPr>
        <w:spacing w:after="0" w:line="276" w:lineRule="auto"/>
        <w:jc w:val="both"/>
        <w:rPr>
          <w:lang w:val="en-GB"/>
        </w:rPr>
      </w:pPr>
      <w:r w:rsidRPr="00E97EF9">
        <w:rPr>
          <w:lang w:val="en-GB"/>
        </w:rPr>
        <w:t>Systematisation and completion of the attributions included in the mandate of the Institute;</w:t>
      </w:r>
    </w:p>
    <w:p w:rsidR="000D7FF9" w:rsidRPr="00E97EF9" w:rsidRDefault="000D7FF9" w:rsidP="009F6516">
      <w:pPr>
        <w:numPr>
          <w:ilvl w:val="0"/>
          <w:numId w:val="2"/>
        </w:numPr>
        <w:spacing w:after="0" w:line="276" w:lineRule="auto"/>
        <w:jc w:val="both"/>
        <w:rPr>
          <w:lang w:val="en-GB"/>
        </w:rPr>
      </w:pPr>
      <w:r w:rsidRPr="00E97EF9">
        <w:rPr>
          <w:lang w:val="en-GB"/>
        </w:rPr>
        <w:t>Plurality and transparency of the process of appointing members of the governing bodies of the Institute;</w:t>
      </w:r>
    </w:p>
    <w:p w:rsidR="000D7FF9" w:rsidRPr="00E97EF9" w:rsidRDefault="000D7FF9" w:rsidP="009F6516">
      <w:pPr>
        <w:numPr>
          <w:ilvl w:val="0"/>
          <w:numId w:val="2"/>
        </w:numPr>
        <w:spacing w:after="0" w:line="276" w:lineRule="auto"/>
        <w:jc w:val="both"/>
        <w:rPr>
          <w:lang w:val="en-GB"/>
        </w:rPr>
      </w:pPr>
      <w:r w:rsidRPr="00E97EF9">
        <w:rPr>
          <w:lang w:val="en-GB"/>
        </w:rPr>
        <w:t>Limitation of the mandate of the members of the Institute’s management;</w:t>
      </w:r>
    </w:p>
    <w:p w:rsidR="000D7FF9" w:rsidRPr="00E97EF9" w:rsidRDefault="000D7FF9" w:rsidP="009F6516">
      <w:pPr>
        <w:numPr>
          <w:ilvl w:val="0"/>
          <w:numId w:val="2"/>
        </w:numPr>
        <w:spacing w:after="0" w:line="276" w:lineRule="auto"/>
        <w:jc w:val="both"/>
        <w:rPr>
          <w:lang w:val="en-GB"/>
        </w:rPr>
      </w:pPr>
      <w:r w:rsidRPr="00E97EF9">
        <w:rPr>
          <w:lang w:val="en-GB"/>
        </w:rPr>
        <w:t>Clarification of the status and remuneration of the staff of the Institute;</w:t>
      </w:r>
    </w:p>
    <w:p w:rsidR="000D7FF9" w:rsidRPr="00E97EF9" w:rsidRDefault="000D7FF9" w:rsidP="009F6516">
      <w:pPr>
        <w:numPr>
          <w:ilvl w:val="0"/>
          <w:numId w:val="2"/>
        </w:numPr>
        <w:spacing w:after="0" w:line="276" w:lineRule="auto"/>
        <w:jc w:val="both"/>
        <w:rPr>
          <w:lang w:val="en-GB"/>
        </w:rPr>
      </w:pPr>
      <w:r w:rsidRPr="00E97EF9">
        <w:rPr>
          <w:lang w:val="en-GB"/>
        </w:rPr>
        <w:t>Public debate of the Institute’s report.</w:t>
      </w:r>
    </w:p>
    <w:p w:rsidR="00E97EF9" w:rsidRPr="00E97EF9" w:rsidRDefault="00E97EF9" w:rsidP="00E97EF9">
      <w:pPr>
        <w:spacing w:after="0" w:line="276" w:lineRule="auto"/>
        <w:ind w:left="720"/>
        <w:jc w:val="both"/>
        <w:rPr>
          <w:lang w:val="en-GB"/>
        </w:rPr>
      </w:pPr>
    </w:p>
    <w:p w:rsidR="000D7FF9" w:rsidRPr="00E97EF9" w:rsidRDefault="000D7FF9" w:rsidP="009F6516">
      <w:pPr>
        <w:spacing w:line="276" w:lineRule="auto"/>
        <w:jc w:val="both"/>
        <w:rPr>
          <w:lang w:val="en-GB"/>
        </w:rPr>
      </w:pPr>
      <w:r w:rsidRPr="00E97EF9">
        <w:rPr>
          <w:lang w:val="en-GB"/>
        </w:rPr>
        <w:t xml:space="preserve">On June 30, 2020, </w:t>
      </w:r>
      <w:r w:rsidR="00E97EF9">
        <w:rPr>
          <w:lang w:val="en-GB"/>
        </w:rPr>
        <w:t>the law</w:t>
      </w:r>
      <w:r w:rsidRPr="00E97EF9">
        <w:rPr>
          <w:lang w:val="en-GB"/>
        </w:rPr>
        <w:t xml:space="preserve"> was adopted by the Romanian Senate, as decisional Chamber. However, the document was s</w:t>
      </w:r>
      <w:r w:rsidR="00E97EF9" w:rsidRPr="00E97EF9">
        <w:rPr>
          <w:lang w:val="en-GB"/>
        </w:rPr>
        <w:t>ubject to constitutional review,</w:t>
      </w:r>
      <w:r w:rsidR="00E97EF9">
        <w:rPr>
          <w:lang w:val="en-GB"/>
        </w:rPr>
        <w:t xml:space="preserve"> and</w:t>
      </w:r>
      <w:r w:rsidRPr="00E97EF9">
        <w:rPr>
          <w:lang w:val="en-GB"/>
        </w:rPr>
        <w:t xml:space="preserve"> the Constitutional Court admitted an unconstitutionality objection raised by the Romanian President. In its analysis, the Constitutional Court identified several elements of extrinsic unconstitutionality on the legislative process (the wrong qualification of the legal nature of the Institute determined the adoption of the document as organic </w:t>
      </w:r>
      <w:r w:rsidRPr="00E97EF9">
        <w:rPr>
          <w:lang w:val="en-GB"/>
        </w:rPr>
        <w:lastRenderedPageBreak/>
        <w:t>law and not as ordinary law, thus reversing the orde</w:t>
      </w:r>
      <w:r w:rsidR="00880CD0" w:rsidRPr="00E97EF9">
        <w:rPr>
          <w:lang w:val="en-GB"/>
        </w:rPr>
        <w:t>r of referral of the Chambers</w:t>
      </w:r>
      <w:r w:rsidR="00880CD0" w:rsidRPr="00E97EF9">
        <w:rPr>
          <w:rStyle w:val="FootnoteReference"/>
          <w:lang w:val="en-GB"/>
        </w:rPr>
        <w:footnoteReference w:id="3"/>
      </w:r>
      <w:r w:rsidRPr="00E97EF9">
        <w:rPr>
          <w:lang w:val="en-GB"/>
        </w:rPr>
        <w:t>; at the same time, Parliament did not request the financial statement from the Government, as laid down in art. 15 of Law no. 500/2002 o</w:t>
      </w:r>
      <w:r w:rsidR="00E97EF9">
        <w:rPr>
          <w:lang w:val="en-GB"/>
        </w:rPr>
        <w:t>n public finances</w:t>
      </w:r>
      <w:r w:rsidR="00E97EF9">
        <w:rPr>
          <w:rStyle w:val="FootnoteReference"/>
          <w:lang w:val="en-GB"/>
        </w:rPr>
        <w:footnoteReference w:id="4"/>
      </w:r>
      <w:r w:rsidRPr="00E97EF9">
        <w:rPr>
          <w:lang w:val="en-GB"/>
        </w:rPr>
        <w:t>). As a consequence, considering the nature of the unconstitutionality issue, the Court decided that the law was unconstitutional as a whole.</w:t>
      </w:r>
    </w:p>
    <w:p w:rsidR="006C2F40" w:rsidRPr="00E97EF9" w:rsidRDefault="006C2F40" w:rsidP="009F6516">
      <w:pPr>
        <w:spacing w:line="276" w:lineRule="auto"/>
        <w:jc w:val="both"/>
        <w:rPr>
          <w:lang w:val="en-GB"/>
        </w:rPr>
      </w:pPr>
      <w:r w:rsidRPr="00E97EF9">
        <w:rPr>
          <w:lang w:val="en-GB"/>
        </w:rPr>
        <w:t xml:space="preserve">Currently, a legislative proposal on the merger of the Romanian Institute for Human Rights into the National Council for Combating Discrimination is under debate in the Senate. </w:t>
      </w:r>
      <w:r w:rsidR="00E97EF9" w:rsidRPr="00E97EF9">
        <w:rPr>
          <w:lang w:val="en-GB"/>
        </w:rPr>
        <w:t>However,</w:t>
      </w:r>
      <w:r w:rsidRPr="00E97EF9">
        <w:rPr>
          <w:lang w:val="en-GB"/>
        </w:rPr>
        <w:t xml:space="preserve"> the two institutions have major differences regarding their legal status, mission, and mandate:</w:t>
      </w:r>
    </w:p>
    <w:p w:rsidR="006C2F40" w:rsidRPr="00E97EF9" w:rsidRDefault="006C2F40" w:rsidP="009F6516">
      <w:pPr>
        <w:pStyle w:val="ListParagraph"/>
        <w:numPr>
          <w:ilvl w:val="0"/>
          <w:numId w:val="1"/>
        </w:numPr>
        <w:spacing w:line="276" w:lineRule="auto"/>
        <w:jc w:val="both"/>
        <w:rPr>
          <w:lang w:val="en-GB"/>
        </w:rPr>
      </w:pPr>
      <w:r w:rsidRPr="00E97EF9">
        <w:rPr>
          <w:lang w:val="en-GB"/>
        </w:rPr>
        <w:t xml:space="preserve">RIHR has the status of independent body with legal personality; NCCD was established as a state authority with legal personality, </w:t>
      </w:r>
    </w:p>
    <w:p w:rsidR="006C2F40" w:rsidRPr="00E97EF9" w:rsidRDefault="006C2F40" w:rsidP="009F6516">
      <w:pPr>
        <w:pStyle w:val="ListParagraph"/>
        <w:numPr>
          <w:ilvl w:val="0"/>
          <w:numId w:val="1"/>
        </w:numPr>
        <w:spacing w:line="276" w:lineRule="auto"/>
        <w:jc w:val="both"/>
        <w:rPr>
          <w:lang w:val="en-GB"/>
        </w:rPr>
      </w:pPr>
      <w:r w:rsidRPr="00E97EF9">
        <w:rPr>
          <w:lang w:val="en-GB"/>
        </w:rPr>
        <w:t xml:space="preserve">RIHR’s mission is to ensure a better knowledge by public bodies, NGOs and Romanian citizens, of human rights issues; NCCD’s mission is to implement the principle of equality between citizens, provided by the Romanian Constitution, in the national and international legislation </w:t>
      </w:r>
    </w:p>
    <w:p w:rsidR="006C2F40" w:rsidRPr="00E97EF9" w:rsidRDefault="006C2F40" w:rsidP="009F6516">
      <w:pPr>
        <w:pStyle w:val="ListParagraph"/>
        <w:numPr>
          <w:ilvl w:val="0"/>
          <w:numId w:val="1"/>
        </w:numPr>
        <w:spacing w:line="276" w:lineRule="auto"/>
        <w:jc w:val="both"/>
        <w:rPr>
          <w:lang w:val="en-GB"/>
        </w:rPr>
      </w:pPr>
      <w:r w:rsidRPr="00E97EF9">
        <w:rPr>
          <w:lang w:val="en-GB"/>
        </w:rPr>
        <w:t>Finally, RIHR has a general mandate to provide research, information, training and education activities in the field of human rights; NCCD</w:t>
      </w:r>
      <w:r w:rsidR="00026049">
        <w:rPr>
          <w:lang w:val="en-GB"/>
        </w:rPr>
        <w:t>`</w:t>
      </w:r>
      <w:r w:rsidR="00B306A6" w:rsidRPr="00E97EF9">
        <w:rPr>
          <w:lang w:val="en-GB"/>
        </w:rPr>
        <w:t xml:space="preserve">s </w:t>
      </w:r>
      <w:r w:rsidRPr="00E97EF9">
        <w:rPr>
          <w:lang w:val="en-GB"/>
        </w:rPr>
        <w:t xml:space="preserve">mandate </w:t>
      </w:r>
      <w:r w:rsidR="00B306A6" w:rsidRPr="00E97EF9">
        <w:rPr>
          <w:lang w:val="en-GB"/>
        </w:rPr>
        <w:t xml:space="preserve">is </w:t>
      </w:r>
      <w:r w:rsidRPr="00E97EF9">
        <w:rPr>
          <w:lang w:val="en-GB"/>
        </w:rPr>
        <w:t>limited to the field of implementing the principles of equality and non-discrimination</w:t>
      </w:r>
    </w:p>
    <w:p w:rsidR="001446E2" w:rsidRPr="00E97EF9" w:rsidRDefault="001446E2" w:rsidP="009F6516">
      <w:pPr>
        <w:spacing w:line="276" w:lineRule="auto"/>
        <w:rPr>
          <w:lang w:val="en-GB"/>
        </w:rPr>
      </w:pPr>
    </w:p>
    <w:p w:rsidR="006C2F40" w:rsidRPr="00E97EF9" w:rsidRDefault="00B306A6" w:rsidP="00E97EF9">
      <w:pPr>
        <w:pStyle w:val="Heading1"/>
        <w:jc w:val="center"/>
        <w:rPr>
          <w:lang w:val="en-GB"/>
        </w:rPr>
      </w:pPr>
      <w:r w:rsidRPr="00E97EF9">
        <w:rPr>
          <w:lang w:val="en-GB"/>
        </w:rPr>
        <w:t>List of issues</w:t>
      </w:r>
    </w:p>
    <w:p w:rsidR="00B306A6" w:rsidRPr="00E97EF9" w:rsidRDefault="000D7FF9" w:rsidP="00E97EF9">
      <w:pPr>
        <w:pStyle w:val="Heading2"/>
        <w:spacing w:after="240"/>
        <w:jc w:val="center"/>
        <w:rPr>
          <w:lang w:val="en-GB"/>
        </w:rPr>
      </w:pPr>
      <w:r w:rsidRPr="00E97EF9">
        <w:rPr>
          <w:lang w:val="en-GB"/>
        </w:rPr>
        <w:t>Article 3 – Gender equality</w:t>
      </w:r>
    </w:p>
    <w:p w:rsidR="00880CD0" w:rsidRPr="00E97EF9" w:rsidRDefault="00880CD0" w:rsidP="009F6516">
      <w:pPr>
        <w:spacing w:line="276" w:lineRule="auto"/>
        <w:jc w:val="both"/>
        <w:rPr>
          <w:lang w:val="en-GB"/>
        </w:rPr>
      </w:pPr>
      <w:r w:rsidRPr="00E97EF9">
        <w:rPr>
          <w:lang w:val="en-GB"/>
        </w:rPr>
        <w:t>With regard to gender equality, an important element is violence against women. Gender-based violence has roots in gender inequality, abuse of power and it is one of the most widespread human rights violations. In 2017, RIHR set up a working group to raise awareness on women-specific issues and to raise awareness on this issue in Romanian society. RIHR regularly invites national experts, representatives of public authorities and NGO representatives, both to discuss the causes of violence against women, obstacles and challenges, and to identify viable solutions against gender-based violence. Gender-based violence must be closely monitored and punished, as it impinges the right to physical and mental health of women victims, and in extreme cases it can lead to death (femicide). Currently, Romanian law does not specifically criminalise femicide. RIHR responded to OHCHR's</w:t>
      </w:r>
      <w:r w:rsidRPr="00E97EF9">
        <w:rPr>
          <w:rStyle w:val="FootnoteReference"/>
          <w:lang w:val="en-GB"/>
        </w:rPr>
        <w:footnoteReference w:id="5"/>
      </w:r>
      <w:r w:rsidRPr="00E97EF9">
        <w:rPr>
          <w:lang w:val="en-GB"/>
        </w:rPr>
        <w:t xml:space="preserve"> call for inputs on the phenomenon of femicide by highlighting the existing gaps in this regard at national level.</w:t>
      </w:r>
    </w:p>
    <w:p w:rsidR="00880CD0" w:rsidRPr="00E97EF9" w:rsidRDefault="00880CD0" w:rsidP="009F6516">
      <w:pPr>
        <w:spacing w:line="276" w:lineRule="auto"/>
        <w:jc w:val="both"/>
        <w:rPr>
          <w:lang w:val="en-GB"/>
        </w:rPr>
      </w:pPr>
      <w:r w:rsidRPr="00E97EF9">
        <w:rPr>
          <w:lang w:val="en-GB"/>
        </w:rPr>
        <w:t xml:space="preserve">In addressing the phenomenon of violence against women, one specific aspect is online violence (a recurrent phenomenon during the pandemic). Unlike physical violence, cyber-violence mainly affects the victim's mental health. In order to prevent and combat this specific form of violence, Law No 106/2020 on amending and supplementing Law No 217/2003 on preventing and combating domestic </w:t>
      </w:r>
      <w:r w:rsidRPr="00E97EF9">
        <w:rPr>
          <w:lang w:val="en-GB"/>
        </w:rPr>
        <w:lastRenderedPageBreak/>
        <w:t>violence was adopted. The new legal instrument expressly introduces and defines the concept of cyber violence</w:t>
      </w:r>
      <w:r w:rsidRPr="00E97EF9">
        <w:rPr>
          <w:rStyle w:val="FootnoteReference"/>
          <w:lang w:val="en-GB"/>
        </w:rPr>
        <w:footnoteReference w:id="6"/>
      </w:r>
      <w:r w:rsidRPr="00E97EF9">
        <w:rPr>
          <w:lang w:val="en-GB"/>
        </w:rPr>
        <w:t>. Cyber violence affects several categories of people, including minors who may be more seriously affected by it.</w:t>
      </w:r>
    </w:p>
    <w:p w:rsidR="00880CD0" w:rsidRPr="00E97EF9" w:rsidRDefault="00880CD0" w:rsidP="009F6516">
      <w:pPr>
        <w:spacing w:line="276" w:lineRule="auto"/>
        <w:jc w:val="both"/>
        <w:rPr>
          <w:lang w:val="en-GB"/>
        </w:rPr>
      </w:pPr>
      <w:r w:rsidRPr="00E97EF9">
        <w:rPr>
          <w:lang w:val="en-GB"/>
        </w:rPr>
        <w:t>At the same time, according to data available on the Romanian Police</w:t>
      </w:r>
      <w:r w:rsidRPr="00E97EF9">
        <w:rPr>
          <w:rStyle w:val="FootnoteReference"/>
          <w:lang w:val="en-GB"/>
        </w:rPr>
        <w:footnoteReference w:id="7"/>
      </w:r>
      <w:r w:rsidRPr="00E97EF9">
        <w:rPr>
          <w:lang w:val="en-GB"/>
        </w:rPr>
        <w:t xml:space="preserve"> website, rape cases have increased from 887 in 2018 to 918 cases in 2019. It should be recalled that in 2019, Romania was condemned at the ECHR</w:t>
      </w:r>
      <w:r w:rsidRPr="00E97EF9">
        <w:rPr>
          <w:rStyle w:val="FootnoteReference"/>
          <w:lang w:val="en-GB"/>
        </w:rPr>
        <w:footnoteReference w:id="8"/>
      </w:r>
      <w:r w:rsidRPr="00E97EF9">
        <w:rPr>
          <w:lang w:val="en-GB"/>
        </w:rPr>
        <w:t xml:space="preserve"> for violation of Articles 3 and 8 of the Convention and for the failure of the authorities to adequately</w:t>
      </w:r>
      <w:r w:rsidR="00AA14CB">
        <w:rPr>
          <w:lang w:val="en-GB"/>
        </w:rPr>
        <w:t xml:space="preserve"> </w:t>
      </w:r>
      <w:r w:rsidR="00AA14CB" w:rsidRPr="00E97EF9">
        <w:rPr>
          <w:lang w:val="en-GB"/>
        </w:rPr>
        <w:t>respond</w:t>
      </w:r>
      <w:r w:rsidRPr="00E97EF9">
        <w:rPr>
          <w:lang w:val="en-GB"/>
        </w:rPr>
        <w:t xml:space="preserve"> to allegations of rape and to properly respect the rights of the applicant, a victim of violence. At the same time, it should be considered that not all cases of rape are reported for various reasons.</w:t>
      </w:r>
    </w:p>
    <w:tbl>
      <w:tblPr>
        <w:tblStyle w:val="TableGrid"/>
        <w:tblW w:w="0" w:type="auto"/>
        <w:tblLook w:val="04A0" w:firstRow="1" w:lastRow="0" w:firstColumn="1" w:lastColumn="0" w:noHBand="0" w:noVBand="1"/>
      </w:tblPr>
      <w:tblGrid>
        <w:gridCol w:w="9629"/>
      </w:tblGrid>
      <w:tr w:rsidR="00880CD0" w:rsidRPr="00E97EF9" w:rsidTr="00880CD0">
        <w:tc>
          <w:tcPr>
            <w:tcW w:w="9629" w:type="dxa"/>
            <w:shd w:val="clear" w:color="auto" w:fill="BDD6EE" w:themeFill="accent1" w:themeFillTint="66"/>
          </w:tcPr>
          <w:p w:rsidR="00880CD0" w:rsidRPr="00E97EF9" w:rsidRDefault="00880CD0" w:rsidP="009F6516">
            <w:pPr>
              <w:spacing w:line="276" w:lineRule="auto"/>
              <w:jc w:val="both"/>
              <w:rPr>
                <w:lang w:val="en-GB"/>
              </w:rPr>
            </w:pPr>
            <w:r w:rsidRPr="00E97EF9">
              <w:rPr>
                <w:lang w:val="en-GB"/>
              </w:rPr>
              <w:t>- Are there plans to adopt draft legislation/proposals for national strategies that specifically include or focus on preventing and combating femicide?</w:t>
            </w:r>
          </w:p>
          <w:p w:rsidR="00880CD0" w:rsidRPr="00E97EF9" w:rsidRDefault="00880CD0" w:rsidP="009F6516">
            <w:pPr>
              <w:spacing w:line="276" w:lineRule="auto"/>
              <w:jc w:val="both"/>
              <w:rPr>
                <w:lang w:val="en-GB"/>
              </w:rPr>
            </w:pPr>
            <w:r w:rsidRPr="00E97EF9">
              <w:rPr>
                <w:lang w:val="en-GB"/>
              </w:rPr>
              <w:t>- What further steps will the Government take to ensure the reduction of cyber violence?</w:t>
            </w:r>
          </w:p>
          <w:p w:rsidR="00880CD0" w:rsidRPr="00E97EF9" w:rsidRDefault="00880CD0" w:rsidP="009F6516">
            <w:pPr>
              <w:spacing w:line="276" w:lineRule="auto"/>
              <w:jc w:val="both"/>
              <w:rPr>
                <w:lang w:val="en-GB"/>
              </w:rPr>
            </w:pPr>
            <w:r w:rsidRPr="00E97EF9">
              <w:rPr>
                <w:lang w:val="en-GB"/>
              </w:rPr>
              <w:t>- What measures are envisaged to reduce cases of rape and all other types of violence against women at national level?</w:t>
            </w:r>
          </w:p>
        </w:tc>
      </w:tr>
    </w:tbl>
    <w:p w:rsidR="00880CD0" w:rsidRPr="00E97EF9" w:rsidRDefault="00880CD0" w:rsidP="009F6516">
      <w:pPr>
        <w:spacing w:line="276" w:lineRule="auto"/>
        <w:jc w:val="both"/>
        <w:rPr>
          <w:lang w:val="en-GB"/>
        </w:rPr>
      </w:pPr>
    </w:p>
    <w:p w:rsidR="007937A5" w:rsidRPr="00E97EF9" w:rsidRDefault="007937A5" w:rsidP="00E97EF9">
      <w:pPr>
        <w:pStyle w:val="Heading2"/>
        <w:spacing w:after="240"/>
        <w:jc w:val="center"/>
        <w:rPr>
          <w:rFonts w:ascii="Segoe UI" w:hAnsi="Segoe UI" w:cs="Segoe UI"/>
          <w:color w:val="444444"/>
          <w:szCs w:val="22"/>
          <w:lang w:val="en-GB"/>
        </w:rPr>
      </w:pPr>
      <w:bookmarkStart w:id="2" w:name="_Toc533171085"/>
      <w:bookmarkStart w:id="3" w:name="_Toc533171121"/>
      <w:r w:rsidRPr="00E97EF9">
        <w:rPr>
          <w:lang w:val="en-GB"/>
        </w:rPr>
        <w:t xml:space="preserve">Articles 6 and 7 - </w:t>
      </w:r>
      <w:r w:rsidR="00E97EF9">
        <w:rPr>
          <w:lang w:val="en-GB"/>
        </w:rPr>
        <w:t>Right to Work and</w:t>
      </w:r>
      <w:r w:rsidRPr="00E97EF9">
        <w:rPr>
          <w:lang w:val="en-GB"/>
        </w:rPr>
        <w:t xml:space="preserve"> Just and Favourable Conditions of </w:t>
      </w:r>
      <w:r w:rsidRPr="00E97EF9">
        <w:rPr>
          <w:szCs w:val="22"/>
          <w:lang w:val="en-GB"/>
        </w:rPr>
        <w:t>Work</w:t>
      </w:r>
      <w:bookmarkEnd w:id="2"/>
      <w:bookmarkEnd w:id="3"/>
    </w:p>
    <w:p w:rsidR="007937A5" w:rsidRPr="00E97EF9" w:rsidRDefault="007937A5" w:rsidP="009F6516">
      <w:pPr>
        <w:spacing w:line="276" w:lineRule="auto"/>
        <w:jc w:val="both"/>
        <w:rPr>
          <w:color w:val="444444"/>
          <w:szCs w:val="22"/>
          <w:lang w:val="en-GB"/>
        </w:rPr>
      </w:pPr>
      <w:r w:rsidRPr="00E97EF9">
        <w:rPr>
          <w:color w:val="444444"/>
          <w:szCs w:val="22"/>
          <w:lang w:val="en-GB"/>
        </w:rPr>
        <w:t xml:space="preserve">In 2020, Romania adopted law 167/2020 on moral harassment at the workplace. The new provisions set out </w:t>
      </w:r>
      <w:r w:rsidRPr="00E97EF9">
        <w:rPr>
          <w:i/>
          <w:color w:val="444444"/>
          <w:szCs w:val="22"/>
          <w:lang w:val="en-GB"/>
        </w:rPr>
        <w:t>in expressis</w:t>
      </w:r>
      <w:r w:rsidRPr="00E97EF9">
        <w:rPr>
          <w:color w:val="444444"/>
          <w:szCs w:val="22"/>
          <w:lang w:val="en-GB"/>
        </w:rPr>
        <w:t xml:space="preserve"> the acts that can damage human dignity at work: stress, physical exhaustion, hostile or unwanted conduct, verbal comments, inappropriate actions or gestures, deterioration of working conditions by violating the rights or dignity of employees, by affecting their physical or mental health or by compromising their professional future. The Law also establishes means of sanctioning acts of harassment, as committing such acts can lead to disciplinary, </w:t>
      </w:r>
      <w:r w:rsidR="00E97EF9" w:rsidRPr="00E97EF9">
        <w:rPr>
          <w:color w:val="444444"/>
          <w:szCs w:val="22"/>
          <w:lang w:val="en-GB"/>
        </w:rPr>
        <w:t>misdemeanour</w:t>
      </w:r>
      <w:r w:rsidRPr="00E97EF9">
        <w:rPr>
          <w:color w:val="444444"/>
          <w:szCs w:val="22"/>
          <w:lang w:val="en-GB"/>
        </w:rPr>
        <w:t xml:space="preserve"> or criminal liability, depending on the seriousness of the acts. RIHR and the National Agency for Equal Opportunities between Women and Men have conducted a national campaign in two phases (2020 and 2021) to raise awareness of moral harassment in the workplace. Two questionnaires (one addressed to victims and another to institutions/organisations where cases of moral harassment have occurred) were </w:t>
      </w:r>
      <w:r w:rsidR="00AA14CB">
        <w:rPr>
          <w:color w:val="444444"/>
          <w:szCs w:val="22"/>
          <w:lang w:val="en-GB"/>
        </w:rPr>
        <w:t>created</w:t>
      </w:r>
      <w:r w:rsidRPr="00E97EF9">
        <w:rPr>
          <w:color w:val="444444"/>
          <w:szCs w:val="22"/>
          <w:lang w:val="en-GB"/>
        </w:rPr>
        <w:t xml:space="preserve"> as part of the Campaign to quantify the incidence and severity of the phenomenon of moral harassment at work. Since very few answers were received from victims and organisations in the first phase, the aim of the second phase was to ensure a wide dissemination of the provisions of Act No 167/2020 and to make reporting cases of harassment at the workplace more accessible.</w:t>
      </w:r>
    </w:p>
    <w:tbl>
      <w:tblPr>
        <w:tblStyle w:val="TableGrid"/>
        <w:tblW w:w="0" w:type="auto"/>
        <w:tblLook w:val="04A0" w:firstRow="1" w:lastRow="0" w:firstColumn="1" w:lastColumn="0" w:noHBand="0" w:noVBand="1"/>
      </w:tblPr>
      <w:tblGrid>
        <w:gridCol w:w="9629"/>
      </w:tblGrid>
      <w:tr w:rsidR="007937A5" w:rsidRPr="00E97EF9" w:rsidTr="007937A5">
        <w:tc>
          <w:tcPr>
            <w:tcW w:w="9629" w:type="dxa"/>
            <w:shd w:val="clear" w:color="auto" w:fill="BDD6EE" w:themeFill="accent1" w:themeFillTint="66"/>
          </w:tcPr>
          <w:p w:rsidR="007937A5" w:rsidRPr="00E97EF9" w:rsidRDefault="007937A5" w:rsidP="009F6516">
            <w:pPr>
              <w:spacing w:line="276" w:lineRule="auto"/>
              <w:jc w:val="both"/>
              <w:rPr>
                <w:color w:val="444444"/>
                <w:szCs w:val="22"/>
                <w:lang w:val="en-GB"/>
              </w:rPr>
            </w:pPr>
            <w:r w:rsidRPr="00E97EF9">
              <w:rPr>
                <w:color w:val="444444"/>
                <w:szCs w:val="22"/>
                <w:lang w:val="en-GB"/>
              </w:rPr>
              <w:t>- What are the envisaged means to ensure effective implementation of the legal provisions in public/private institutions?</w:t>
            </w:r>
          </w:p>
          <w:p w:rsidR="007937A5" w:rsidRPr="00E97EF9" w:rsidRDefault="007937A5" w:rsidP="009F6516">
            <w:pPr>
              <w:spacing w:line="276" w:lineRule="auto"/>
              <w:jc w:val="both"/>
              <w:rPr>
                <w:color w:val="444444"/>
                <w:szCs w:val="22"/>
                <w:lang w:val="en-GB"/>
              </w:rPr>
            </w:pPr>
            <w:r w:rsidRPr="00E97EF9">
              <w:rPr>
                <w:color w:val="444444"/>
                <w:szCs w:val="22"/>
                <w:lang w:val="en-GB"/>
              </w:rPr>
              <w:t>- What measures are envisaged to increase public awareness of the provisions?</w:t>
            </w:r>
          </w:p>
        </w:tc>
      </w:tr>
    </w:tbl>
    <w:p w:rsidR="007937A5" w:rsidRPr="00E97EF9" w:rsidRDefault="007937A5" w:rsidP="009F6516">
      <w:pPr>
        <w:spacing w:line="276" w:lineRule="auto"/>
        <w:jc w:val="both"/>
        <w:rPr>
          <w:color w:val="444444"/>
          <w:szCs w:val="22"/>
          <w:lang w:val="en-GB"/>
        </w:rPr>
      </w:pPr>
    </w:p>
    <w:p w:rsidR="007937A5" w:rsidRPr="00E97EF9" w:rsidRDefault="00C34082" w:rsidP="009F6516">
      <w:pPr>
        <w:spacing w:line="276" w:lineRule="auto"/>
        <w:jc w:val="both"/>
        <w:rPr>
          <w:lang w:val="en-GB"/>
        </w:rPr>
      </w:pPr>
      <w:r w:rsidRPr="00E97EF9">
        <w:rPr>
          <w:lang w:val="en-GB"/>
        </w:rPr>
        <w:lastRenderedPageBreak/>
        <w:t>According to a report by the World Bank, Romania has the lowest employment rate compared to other EU countries for individuals with severe limitations. Thus, in Romania, only 51% of individuals with some disabilities have a job and only 12% of individuals with severe disabilities are employed</w:t>
      </w:r>
      <w:r w:rsidRPr="00E97EF9">
        <w:rPr>
          <w:vertAlign w:val="superscript"/>
          <w:lang w:val="en-GB"/>
        </w:rPr>
        <w:footnoteReference w:id="9"/>
      </w:r>
      <w:r w:rsidRPr="00E97EF9">
        <w:rPr>
          <w:lang w:val="en-GB"/>
        </w:rPr>
        <w:t>. The study also shows that people with disabilities in rural areas, with low education or young people (in the age range 20-34) are even more likely to be unemployed. People with disabilities continue to face a number of barriers in the job search process, such as: the existence of a less inclusive education system; a labour market with unsuitable and inaccessible jobs; employment services that are not relevant for most people with disabilities; social protection that does not stimulate the engagement of people with disabilities; a health system that is focused on treating conditions rather than supporting active living for people with disabilities, including through increasing the availability and effectiveness of assistive devices</w:t>
      </w:r>
      <w:r w:rsidRPr="00E97EF9">
        <w:rPr>
          <w:vertAlign w:val="superscript"/>
          <w:lang w:val="en-GB"/>
        </w:rPr>
        <w:footnoteReference w:id="10"/>
      </w:r>
      <w:r w:rsidRPr="00E97EF9">
        <w:rPr>
          <w:lang w:val="en-GB"/>
        </w:rPr>
        <w:t>.</w:t>
      </w:r>
    </w:p>
    <w:tbl>
      <w:tblPr>
        <w:tblStyle w:val="TableGrid"/>
        <w:tblW w:w="0" w:type="auto"/>
        <w:tblLook w:val="04A0" w:firstRow="1" w:lastRow="0" w:firstColumn="1" w:lastColumn="0" w:noHBand="0" w:noVBand="1"/>
      </w:tblPr>
      <w:tblGrid>
        <w:gridCol w:w="9629"/>
      </w:tblGrid>
      <w:tr w:rsidR="00C34082" w:rsidRPr="00E97EF9" w:rsidTr="00C34082">
        <w:tc>
          <w:tcPr>
            <w:tcW w:w="9629" w:type="dxa"/>
            <w:shd w:val="clear" w:color="auto" w:fill="BDD6EE" w:themeFill="accent1" w:themeFillTint="66"/>
          </w:tcPr>
          <w:p w:rsidR="00C34082" w:rsidRPr="00E97EF9" w:rsidRDefault="00C34082" w:rsidP="009F6516">
            <w:pPr>
              <w:spacing w:line="276" w:lineRule="auto"/>
              <w:jc w:val="both"/>
              <w:rPr>
                <w:lang w:val="en-GB"/>
              </w:rPr>
            </w:pPr>
            <w:r w:rsidRPr="00E97EF9">
              <w:rPr>
                <w:lang w:val="en-GB"/>
              </w:rPr>
              <w:t>- What measures does the state intend to take to increase employment/access to the labour market for people with disabilities and to make the labour market more inclusive, especially in terms of vocational training?</w:t>
            </w:r>
          </w:p>
        </w:tc>
      </w:tr>
    </w:tbl>
    <w:p w:rsidR="00C34082" w:rsidRPr="00E97EF9" w:rsidRDefault="00C34082" w:rsidP="009F6516">
      <w:pPr>
        <w:spacing w:line="276" w:lineRule="auto"/>
        <w:jc w:val="both"/>
        <w:rPr>
          <w:lang w:val="en-GB"/>
        </w:rPr>
      </w:pPr>
    </w:p>
    <w:p w:rsidR="00C34082" w:rsidRPr="00E97EF9" w:rsidRDefault="00C34082" w:rsidP="009F6516">
      <w:pPr>
        <w:spacing w:line="276" w:lineRule="auto"/>
        <w:jc w:val="both"/>
        <w:rPr>
          <w:lang w:val="en-GB"/>
        </w:rPr>
      </w:pPr>
      <w:r w:rsidRPr="00E97EF9">
        <w:rPr>
          <w:lang w:val="en-GB"/>
        </w:rPr>
        <w:t>According to the legal provisions</w:t>
      </w:r>
      <w:r w:rsidR="00E66027" w:rsidRPr="00E97EF9">
        <w:rPr>
          <w:lang w:val="en-GB"/>
        </w:rPr>
        <w:t xml:space="preserve"> in force</w:t>
      </w:r>
      <w:r w:rsidR="008936BD" w:rsidRPr="00E97EF9">
        <w:rPr>
          <w:lang w:val="en-GB"/>
        </w:rPr>
        <w:t xml:space="preserve"> (Law 307/2006)</w:t>
      </w:r>
      <w:r w:rsidRPr="00E97EF9">
        <w:rPr>
          <w:lang w:val="en-GB"/>
        </w:rPr>
        <w:t>, fire safety certificate</w:t>
      </w:r>
      <w:r w:rsidR="00E66027" w:rsidRPr="00E97EF9">
        <w:rPr>
          <w:lang w:val="en-GB"/>
        </w:rPr>
        <w:t>s</w:t>
      </w:r>
      <w:r w:rsidRPr="00E97EF9">
        <w:rPr>
          <w:lang w:val="en-GB"/>
        </w:rPr>
        <w:t xml:space="preserve"> </w:t>
      </w:r>
      <w:r w:rsidR="00E66027" w:rsidRPr="00E97EF9">
        <w:rPr>
          <w:lang w:val="en-GB"/>
        </w:rPr>
        <w:t>attest</w:t>
      </w:r>
      <w:r w:rsidRPr="00E97EF9">
        <w:rPr>
          <w:lang w:val="en-GB"/>
        </w:rPr>
        <w:t xml:space="preserve"> that a building complies with the technical design regulations. Th</w:t>
      </w:r>
      <w:r w:rsidR="00E66027" w:rsidRPr="00E97EF9">
        <w:rPr>
          <w:lang w:val="en-GB"/>
        </w:rPr>
        <w:t>e</w:t>
      </w:r>
      <w:r w:rsidRPr="00E97EF9">
        <w:rPr>
          <w:lang w:val="en-GB"/>
        </w:rPr>
        <w:t xml:space="preserve"> document entitles natural or legal persons who own buildings, installations and other facilities to build, commission and operate them </w:t>
      </w:r>
      <w:r w:rsidR="00E66027" w:rsidRPr="00E97EF9">
        <w:rPr>
          <w:lang w:val="en-GB"/>
        </w:rPr>
        <w:t>as they</w:t>
      </w:r>
      <w:r w:rsidRPr="00E97EF9">
        <w:rPr>
          <w:lang w:val="en-GB"/>
        </w:rPr>
        <w:t xml:space="preserve"> compl</w:t>
      </w:r>
      <w:r w:rsidR="00E66027" w:rsidRPr="00E97EF9">
        <w:rPr>
          <w:lang w:val="en-GB"/>
        </w:rPr>
        <w:t>y</w:t>
      </w:r>
      <w:r w:rsidRPr="00E97EF9">
        <w:rPr>
          <w:lang w:val="en-GB"/>
        </w:rPr>
        <w:t xml:space="preserve"> with fire safety requirements. The </w:t>
      </w:r>
      <w:r w:rsidR="00E66027" w:rsidRPr="00E97EF9">
        <w:rPr>
          <w:lang w:val="en-GB"/>
        </w:rPr>
        <w:t>certificate</w:t>
      </w:r>
      <w:r w:rsidRPr="00E97EF9">
        <w:rPr>
          <w:lang w:val="en-GB"/>
        </w:rPr>
        <w:t xml:space="preserve"> must be </w:t>
      </w:r>
      <w:r w:rsidR="00E66027" w:rsidRPr="00E97EF9">
        <w:rPr>
          <w:lang w:val="en-GB"/>
        </w:rPr>
        <w:t>requested</w:t>
      </w:r>
      <w:r w:rsidRPr="00E97EF9">
        <w:rPr>
          <w:lang w:val="en-GB"/>
        </w:rPr>
        <w:t xml:space="preserve"> after the acceptance </w:t>
      </w:r>
      <w:r w:rsidR="008936BD" w:rsidRPr="00E97EF9">
        <w:rPr>
          <w:lang w:val="en-GB"/>
        </w:rPr>
        <w:t>upon</w:t>
      </w:r>
      <w:r w:rsidRPr="00E97EF9">
        <w:rPr>
          <w:lang w:val="en-GB"/>
        </w:rPr>
        <w:t xml:space="preserve"> completion</w:t>
      </w:r>
      <w:r w:rsidR="008936BD" w:rsidRPr="00E97EF9">
        <w:rPr>
          <w:lang w:val="en-GB"/>
        </w:rPr>
        <w:t xml:space="preserve"> </w:t>
      </w:r>
      <w:r w:rsidRPr="00E97EF9">
        <w:rPr>
          <w:lang w:val="en-GB"/>
        </w:rPr>
        <w:t>and before the building is put into service. In recent years in Romania there have been fires that have endangered not only employees but also the lives of other people</w:t>
      </w:r>
      <w:r w:rsidR="008936BD" w:rsidRPr="00E97EF9">
        <w:rPr>
          <w:rStyle w:val="FootnoteReference"/>
          <w:lang w:val="en-GB"/>
        </w:rPr>
        <w:footnoteReference w:id="11"/>
      </w:r>
      <w:r w:rsidRPr="00E97EF9">
        <w:rPr>
          <w:lang w:val="en-GB"/>
        </w:rPr>
        <w:t>.</w:t>
      </w:r>
    </w:p>
    <w:tbl>
      <w:tblPr>
        <w:tblStyle w:val="TableGrid"/>
        <w:tblW w:w="0" w:type="auto"/>
        <w:tblLook w:val="04A0" w:firstRow="1" w:lastRow="0" w:firstColumn="1" w:lastColumn="0" w:noHBand="0" w:noVBand="1"/>
      </w:tblPr>
      <w:tblGrid>
        <w:gridCol w:w="9629"/>
      </w:tblGrid>
      <w:tr w:rsidR="008936BD" w:rsidRPr="00E97EF9" w:rsidTr="008936BD">
        <w:tc>
          <w:tcPr>
            <w:tcW w:w="9629" w:type="dxa"/>
            <w:shd w:val="clear" w:color="auto" w:fill="BDD6EE" w:themeFill="accent1" w:themeFillTint="66"/>
          </w:tcPr>
          <w:p w:rsidR="008936BD" w:rsidRPr="00E97EF9" w:rsidRDefault="008936BD" w:rsidP="00AA14CB">
            <w:pPr>
              <w:spacing w:line="276" w:lineRule="auto"/>
              <w:jc w:val="both"/>
              <w:rPr>
                <w:lang w:val="en-GB"/>
              </w:rPr>
            </w:pPr>
            <w:r w:rsidRPr="00E97EF9">
              <w:rPr>
                <w:lang w:val="en-GB"/>
              </w:rPr>
              <w:t xml:space="preserve">- What measures are envisaged to ensure </w:t>
            </w:r>
            <w:r w:rsidR="00AA14CB">
              <w:rPr>
                <w:lang w:val="en-GB"/>
              </w:rPr>
              <w:t>safer buildings in case of fire</w:t>
            </w:r>
            <w:r w:rsidRPr="00E97EF9">
              <w:rPr>
                <w:lang w:val="en-GB"/>
              </w:rPr>
              <w:t>?</w:t>
            </w:r>
          </w:p>
        </w:tc>
      </w:tr>
    </w:tbl>
    <w:p w:rsidR="008936BD" w:rsidRPr="00E97EF9" w:rsidRDefault="008936BD" w:rsidP="009F6516">
      <w:pPr>
        <w:spacing w:line="276" w:lineRule="auto"/>
        <w:jc w:val="both"/>
        <w:rPr>
          <w:lang w:val="en-GB"/>
        </w:rPr>
      </w:pPr>
    </w:p>
    <w:p w:rsidR="008936BD" w:rsidRPr="00E97EF9" w:rsidRDefault="008936BD" w:rsidP="00E97EF9">
      <w:pPr>
        <w:pStyle w:val="Heading2"/>
        <w:spacing w:after="240"/>
        <w:jc w:val="center"/>
        <w:rPr>
          <w:lang w:val="en-GB"/>
        </w:rPr>
      </w:pPr>
      <w:r w:rsidRPr="00E97EF9">
        <w:rPr>
          <w:lang w:val="en-GB"/>
        </w:rPr>
        <w:t>Article 9 (Social Security)</w:t>
      </w:r>
    </w:p>
    <w:p w:rsidR="008936BD" w:rsidRPr="00E97EF9" w:rsidRDefault="008936BD" w:rsidP="009F6516">
      <w:pPr>
        <w:spacing w:line="276" w:lineRule="auto"/>
        <w:jc w:val="both"/>
        <w:rPr>
          <w:lang w:val="en-GB"/>
        </w:rPr>
      </w:pPr>
      <w:r w:rsidRPr="00E97EF9">
        <w:rPr>
          <w:lang w:val="en-GB"/>
        </w:rPr>
        <w:t>Regarding the social protection of youth who left foster/residential care, the law</w:t>
      </w:r>
      <w:r w:rsidRPr="00E97EF9">
        <w:rPr>
          <w:rStyle w:val="FootnoteReference"/>
          <w:lang w:val="en-GB"/>
        </w:rPr>
        <w:footnoteReference w:id="12"/>
      </w:r>
      <w:r w:rsidRPr="00E97EF9">
        <w:rPr>
          <w:lang w:val="en-GB"/>
        </w:rPr>
        <w:t xml:space="preserve"> provides that </w:t>
      </w:r>
      <w:r w:rsidRPr="00E97EF9">
        <w:rPr>
          <w:i/>
          <w:lang w:val="en-GB"/>
        </w:rPr>
        <w:t>those who have acquired full legal capacity and have benefited from a special protection measure, but who do not continue their studies and have no possibility of returning to their families, as they are at risk of social exclusion, are entitled, on request, to special protection for a period of up to 2 years, in order to facilitate their social integration. This right is lost if it is proved that the young person has been offered a job and/or accommodation at least twice and has refused or lost them for reasons for which he is responsible.</w:t>
      </w:r>
      <w:r w:rsidRPr="00E97EF9">
        <w:rPr>
          <w:lang w:val="en-GB"/>
        </w:rPr>
        <w:t xml:space="preserve"> The General Directorates of Social Assistance and Child Protection in Romania </w:t>
      </w:r>
      <w:r w:rsidR="00483F88">
        <w:rPr>
          <w:lang w:val="en-GB"/>
        </w:rPr>
        <w:t>note</w:t>
      </w:r>
      <w:r w:rsidRPr="00E97EF9">
        <w:rPr>
          <w:lang w:val="en-GB"/>
        </w:rPr>
        <w:t xml:space="preserve"> that Law 272/2004 only provides measures for care, protection, organisation and institutionalisation regime and less measures for post-institutionalisation monitoring or transit programmes for young people who have reached the legal age for leaving the care system.</w:t>
      </w:r>
    </w:p>
    <w:p w:rsidR="008936BD" w:rsidRPr="00E97EF9" w:rsidRDefault="008936BD" w:rsidP="009F6516">
      <w:pPr>
        <w:spacing w:after="0" w:line="276" w:lineRule="auto"/>
        <w:jc w:val="both"/>
        <w:rPr>
          <w:lang w:val="en-GB"/>
        </w:rPr>
      </w:pPr>
      <w:r w:rsidRPr="00E97EF9">
        <w:rPr>
          <w:lang w:val="en-GB"/>
        </w:rPr>
        <w:t xml:space="preserve">At the same time, the Social Assistance Act provides in Art. 59, para. (2) that in order to prevent and combat the risk of young people leaving the child protection system becoming homeless and to promote their social integration, </w:t>
      </w:r>
      <w:r w:rsidRPr="00E97EF9">
        <w:rPr>
          <w:i/>
          <w:iCs/>
          <w:lang w:val="en-GB"/>
        </w:rPr>
        <w:t xml:space="preserve">local authorities may set up multi-purpose centres that provide </w:t>
      </w:r>
      <w:r w:rsidRPr="00E97EF9">
        <w:rPr>
          <w:i/>
          <w:iCs/>
          <w:lang w:val="en-GB"/>
        </w:rPr>
        <w:lastRenderedPageBreak/>
        <w:t>housing and household conditions for a fixed period</w:t>
      </w:r>
      <w:r w:rsidRPr="00E97EF9">
        <w:rPr>
          <w:lang w:val="en-GB"/>
        </w:rPr>
        <w:t>. In a survey on the perception of young people in resident</w:t>
      </w:r>
      <w:r w:rsidR="00483F88">
        <w:rPr>
          <w:lang w:val="en-GB"/>
        </w:rPr>
        <w:t>ial centres, it was found that “</w:t>
      </w:r>
      <w:r w:rsidRPr="00E97EF9">
        <w:rPr>
          <w:lang w:val="en-GB"/>
        </w:rPr>
        <w:t>out of a total of 627 respondents, 65% (N=407) answered that they did not know what preparation for leaving the centre for good consists of</w:t>
      </w:r>
      <w:r w:rsidR="00483F88">
        <w:rPr>
          <w:lang w:val="en-GB"/>
        </w:rPr>
        <w:t>”</w:t>
      </w:r>
      <w:r w:rsidRPr="00E97EF9">
        <w:rPr>
          <w:rStyle w:val="FootnoteReference"/>
          <w:lang w:val="en-GB"/>
        </w:rPr>
        <w:footnoteReference w:id="13"/>
      </w:r>
      <w:r w:rsidRPr="00E97EF9">
        <w:rPr>
          <w:lang w:val="en-GB"/>
        </w:rPr>
        <w:t xml:space="preserve">. The same study shows that </w:t>
      </w:r>
      <w:r w:rsidR="00483F88">
        <w:rPr>
          <w:lang w:val="en-GB"/>
        </w:rPr>
        <w:t>“</w:t>
      </w:r>
      <w:r w:rsidRPr="00E97EF9">
        <w:rPr>
          <w:lang w:val="en-GB"/>
        </w:rPr>
        <w:t>90% of the respondents know that they receive a subsidy from the state when they leave care, and almost two thirds of these 61% do not know how much they should receive when they leave care</w:t>
      </w:r>
      <w:r w:rsidR="00483F88">
        <w:rPr>
          <w:lang w:val="en-GB"/>
        </w:rPr>
        <w:t>”</w:t>
      </w:r>
      <w:r w:rsidRPr="00E97EF9">
        <w:rPr>
          <w:rStyle w:val="FootnoteReference"/>
          <w:lang w:val="en-GB"/>
        </w:rPr>
        <w:footnoteReference w:id="14"/>
      </w:r>
      <w:r w:rsidRPr="00E97EF9">
        <w:rPr>
          <w:lang w:val="en-GB"/>
        </w:rPr>
        <w:t>. It can be seen that there is a lack of clear preparation about leaving a care home, which may present a problem as not enough information is known.</w:t>
      </w:r>
    </w:p>
    <w:p w:rsidR="009F6516" w:rsidRPr="00E97EF9" w:rsidRDefault="009F6516" w:rsidP="009F6516">
      <w:pPr>
        <w:spacing w:after="0" w:line="276" w:lineRule="auto"/>
        <w:jc w:val="both"/>
        <w:rPr>
          <w:lang w:val="en-GB"/>
        </w:rPr>
      </w:pPr>
    </w:p>
    <w:tbl>
      <w:tblPr>
        <w:tblStyle w:val="TableGrid"/>
        <w:tblW w:w="0" w:type="auto"/>
        <w:tblLook w:val="04A0" w:firstRow="1" w:lastRow="0" w:firstColumn="1" w:lastColumn="0" w:noHBand="0" w:noVBand="1"/>
      </w:tblPr>
      <w:tblGrid>
        <w:gridCol w:w="9629"/>
      </w:tblGrid>
      <w:tr w:rsidR="009F6516" w:rsidRPr="00E97EF9" w:rsidTr="009F6516">
        <w:tc>
          <w:tcPr>
            <w:tcW w:w="9629" w:type="dxa"/>
            <w:shd w:val="clear" w:color="auto" w:fill="BDD6EE" w:themeFill="accent1" w:themeFillTint="66"/>
          </w:tcPr>
          <w:p w:rsidR="009F6516" w:rsidRPr="00E97EF9" w:rsidRDefault="009F6516" w:rsidP="009F6516">
            <w:pPr>
              <w:spacing w:line="276" w:lineRule="auto"/>
              <w:jc w:val="both"/>
              <w:rPr>
                <w:lang w:val="en-GB"/>
              </w:rPr>
            </w:pPr>
            <w:r w:rsidRPr="00E97EF9">
              <w:rPr>
                <w:lang w:val="en-GB"/>
              </w:rPr>
              <w:t>- What measures does the Government intend to take to improve financial education among young people leaving care?</w:t>
            </w:r>
          </w:p>
          <w:p w:rsidR="009F6516" w:rsidRPr="00E97EF9" w:rsidRDefault="009F6516" w:rsidP="009F6516">
            <w:pPr>
              <w:spacing w:line="276" w:lineRule="auto"/>
              <w:jc w:val="both"/>
              <w:rPr>
                <w:lang w:val="en-GB"/>
              </w:rPr>
            </w:pPr>
            <w:r w:rsidRPr="00E97EF9">
              <w:rPr>
                <w:lang w:val="en-GB"/>
              </w:rPr>
              <w:t>- Are there any strategies envisaged to better include and monitor young people leaving care?</w:t>
            </w:r>
          </w:p>
        </w:tc>
      </w:tr>
    </w:tbl>
    <w:p w:rsidR="008936BD" w:rsidRPr="00E97EF9" w:rsidRDefault="008936BD" w:rsidP="009F6516">
      <w:pPr>
        <w:spacing w:line="276" w:lineRule="auto"/>
        <w:jc w:val="both"/>
        <w:rPr>
          <w:lang w:val="en-GB"/>
        </w:rPr>
      </w:pPr>
    </w:p>
    <w:p w:rsidR="00880CD0" w:rsidRPr="00E97EF9" w:rsidRDefault="009F6516" w:rsidP="00E97EF9">
      <w:pPr>
        <w:pStyle w:val="Heading2"/>
        <w:spacing w:after="240"/>
        <w:jc w:val="center"/>
        <w:rPr>
          <w:lang w:val="en-GB"/>
        </w:rPr>
      </w:pPr>
      <w:r w:rsidRPr="00E97EF9">
        <w:rPr>
          <w:lang w:val="en-GB"/>
        </w:rPr>
        <w:t>Article 12 (</w:t>
      </w:r>
      <w:r w:rsidR="00880CD0" w:rsidRPr="00E97EF9">
        <w:rPr>
          <w:lang w:val="en-GB"/>
        </w:rPr>
        <w:t>Right to health</w:t>
      </w:r>
      <w:r w:rsidRPr="00E97EF9">
        <w:rPr>
          <w:lang w:val="en-GB"/>
        </w:rPr>
        <w:t>)</w:t>
      </w:r>
    </w:p>
    <w:p w:rsidR="00C80B25" w:rsidRPr="00E97EF9" w:rsidRDefault="00C80B25" w:rsidP="009F6516">
      <w:pPr>
        <w:spacing w:line="276" w:lineRule="auto"/>
        <w:jc w:val="both"/>
        <w:rPr>
          <w:lang w:val="en-GB"/>
        </w:rPr>
      </w:pPr>
      <w:r w:rsidRPr="00E97EF9">
        <w:rPr>
          <w:lang w:val="en-GB"/>
        </w:rPr>
        <w:t>Everyone should have the right to the enjoyment of the highest attainable standard of physical and mental health</w:t>
      </w:r>
      <w:r w:rsidR="00041151" w:rsidRPr="00E97EF9">
        <w:rPr>
          <w:lang w:val="en-GB"/>
        </w:rPr>
        <w:t xml:space="preserve">. </w:t>
      </w:r>
      <w:r w:rsidRPr="00E97EF9">
        <w:rPr>
          <w:lang w:val="en-GB"/>
        </w:rPr>
        <w:t xml:space="preserve">States should ensure access to timely, acceptable and affordable healthcare of appropriate quality. </w:t>
      </w:r>
    </w:p>
    <w:p w:rsidR="00C80B25" w:rsidRPr="00E97EF9" w:rsidRDefault="00041151" w:rsidP="009F6516">
      <w:pPr>
        <w:spacing w:line="276" w:lineRule="auto"/>
        <w:jc w:val="both"/>
        <w:rPr>
          <w:lang w:val="en-GB"/>
        </w:rPr>
      </w:pPr>
      <w:r w:rsidRPr="00E97EF9">
        <w:rPr>
          <w:lang w:val="en-GB"/>
        </w:rPr>
        <w:t>The N</w:t>
      </w:r>
      <w:r w:rsidR="00B306A6" w:rsidRPr="00E97EF9">
        <w:rPr>
          <w:lang w:val="en-GB"/>
        </w:rPr>
        <w:t xml:space="preserve">ational </w:t>
      </w:r>
      <w:r w:rsidRPr="00E97EF9">
        <w:rPr>
          <w:lang w:val="en-GB"/>
        </w:rPr>
        <w:t>Institute for S</w:t>
      </w:r>
      <w:r w:rsidR="00B306A6" w:rsidRPr="00E97EF9">
        <w:rPr>
          <w:lang w:val="en-GB"/>
        </w:rPr>
        <w:t>tatistic</w:t>
      </w:r>
      <w:r w:rsidR="003C2C1F" w:rsidRPr="00E97EF9">
        <w:rPr>
          <w:lang w:val="en-GB"/>
        </w:rPr>
        <w:t>s</w:t>
      </w:r>
      <w:r w:rsidR="003C2C1F" w:rsidRPr="00E97EF9">
        <w:rPr>
          <w:rStyle w:val="FootnoteReference"/>
          <w:lang w:val="en-GB"/>
        </w:rPr>
        <w:footnoteReference w:id="15"/>
      </w:r>
      <w:r w:rsidR="003C2C1F" w:rsidRPr="00E97EF9">
        <w:rPr>
          <w:lang w:val="en-GB"/>
        </w:rPr>
        <w:t xml:space="preserve"> shows that the average number of inhabitants per </w:t>
      </w:r>
      <w:r w:rsidR="00226BBE" w:rsidRPr="00E97EF9">
        <w:rPr>
          <w:lang w:val="en-GB"/>
        </w:rPr>
        <w:t>family medicine practitioner</w:t>
      </w:r>
      <w:r w:rsidR="003C2C1F" w:rsidRPr="00E97EF9">
        <w:rPr>
          <w:lang w:val="en-GB"/>
        </w:rPr>
        <w:t xml:space="preserve"> </w:t>
      </w:r>
      <w:r w:rsidR="00226BBE" w:rsidRPr="00E97EF9">
        <w:rPr>
          <w:lang w:val="en-GB"/>
        </w:rPr>
        <w:t>decreased from 1,619</w:t>
      </w:r>
      <w:r w:rsidR="003C2C1F" w:rsidRPr="00E97EF9">
        <w:rPr>
          <w:lang w:val="en-GB"/>
        </w:rPr>
        <w:t xml:space="preserve"> in 2018 </w:t>
      </w:r>
      <w:r w:rsidR="00226BBE" w:rsidRPr="00E97EF9">
        <w:rPr>
          <w:lang w:val="en-GB"/>
        </w:rPr>
        <w:t>to 1,593</w:t>
      </w:r>
      <w:r w:rsidR="003C2C1F" w:rsidRPr="00E97EF9">
        <w:rPr>
          <w:lang w:val="en-GB"/>
        </w:rPr>
        <w:t xml:space="preserve"> in 2019</w:t>
      </w:r>
      <w:r w:rsidR="00226BBE" w:rsidRPr="00E97EF9">
        <w:rPr>
          <w:lang w:val="en-GB"/>
        </w:rPr>
        <w:t xml:space="preserve"> as the number of practitioners increased from 12,027 in 2018 to 12,187 in 2019</w:t>
      </w:r>
      <w:r w:rsidR="003C2C1F" w:rsidRPr="00E97EF9">
        <w:rPr>
          <w:lang w:val="en-GB"/>
        </w:rPr>
        <w:t xml:space="preserve">. </w:t>
      </w:r>
      <w:r w:rsidR="00001350" w:rsidRPr="00E97EF9">
        <w:rPr>
          <w:lang w:val="en-GB"/>
        </w:rPr>
        <w:t>At the same time, a study</w:t>
      </w:r>
      <w:r w:rsidRPr="00E97EF9">
        <w:rPr>
          <w:rStyle w:val="FootnoteReference"/>
          <w:lang w:val="en-GB"/>
        </w:rPr>
        <w:footnoteReference w:id="16"/>
      </w:r>
      <w:r w:rsidR="00001350" w:rsidRPr="00E97EF9">
        <w:rPr>
          <w:lang w:val="en-GB"/>
        </w:rPr>
        <w:t xml:space="preserve"> on access to primary health services provided by family doctors shows that 328 places (</w:t>
      </w:r>
      <w:r w:rsidR="00483F88">
        <w:rPr>
          <w:lang w:val="en-GB"/>
        </w:rPr>
        <w:t>communes</w:t>
      </w:r>
      <w:r w:rsidR="00001350" w:rsidRPr="00E97EF9">
        <w:rPr>
          <w:lang w:val="en-GB"/>
        </w:rPr>
        <w:t>) do not have a family doctor, while there are 1414 places (</w:t>
      </w:r>
      <w:r w:rsidR="00483F88">
        <w:rPr>
          <w:lang w:val="en-GB"/>
        </w:rPr>
        <w:t>communes</w:t>
      </w:r>
      <w:r w:rsidR="00001350" w:rsidRPr="00E97EF9">
        <w:rPr>
          <w:lang w:val="en-GB"/>
        </w:rPr>
        <w:t xml:space="preserve"> and cities) which have a deficit of family doctors of 2187.</w:t>
      </w:r>
      <w:r w:rsidRPr="00E97EF9">
        <w:rPr>
          <w:lang w:val="en-GB"/>
        </w:rPr>
        <w:t xml:space="preserve"> </w:t>
      </w:r>
      <w:r w:rsidR="00B24C09" w:rsidRPr="00E97EF9">
        <w:rPr>
          <w:lang w:val="en-GB"/>
        </w:rPr>
        <w:t>The lack of doctors in certain regions and the lack of proper health education have an impact on the general health of the population</w:t>
      </w:r>
      <w:r w:rsidR="00FA5721" w:rsidRPr="00E97EF9">
        <w:rPr>
          <w:lang w:val="en-GB"/>
        </w:rPr>
        <w:t>.</w:t>
      </w:r>
      <w:r w:rsidR="00C80B25" w:rsidRPr="00E97EF9">
        <w:rPr>
          <w:lang w:val="en-GB"/>
        </w:rPr>
        <w:t xml:space="preserve"> </w:t>
      </w:r>
    </w:p>
    <w:p w:rsidR="00B306A6" w:rsidRPr="00E97EF9" w:rsidRDefault="00C80B25" w:rsidP="009F6516">
      <w:pPr>
        <w:spacing w:line="276" w:lineRule="auto"/>
        <w:jc w:val="both"/>
        <w:rPr>
          <w:lang w:val="en-GB"/>
        </w:rPr>
      </w:pPr>
      <w:r w:rsidRPr="00E97EF9">
        <w:rPr>
          <w:lang w:val="en-GB"/>
        </w:rPr>
        <w:t>Moreover</w:t>
      </w:r>
      <w:r w:rsidR="00D722C4" w:rsidRPr="00E97EF9">
        <w:rPr>
          <w:lang w:val="en-GB"/>
        </w:rPr>
        <w:t xml:space="preserve">, the rate of preventable deaths is still high (64340 preventable deaths in 2019 and 64773 in 2018) according to the </w:t>
      </w:r>
      <w:r w:rsidR="00B24C09" w:rsidRPr="00E97EF9">
        <w:rPr>
          <w:lang w:val="en-GB"/>
        </w:rPr>
        <w:t>2019 Report on health of the National Institute for Public Health</w:t>
      </w:r>
      <w:r w:rsidR="00D722C4" w:rsidRPr="00E97EF9">
        <w:rPr>
          <w:rStyle w:val="FootnoteReference"/>
          <w:lang w:val="en-GB"/>
        </w:rPr>
        <w:footnoteReference w:id="17"/>
      </w:r>
      <w:r w:rsidR="00D722C4" w:rsidRPr="00E97EF9">
        <w:rPr>
          <w:lang w:val="en-GB"/>
        </w:rPr>
        <w:t>. The study shows there was a decrease in the rate of preventable deaths in certain categories such as</w:t>
      </w:r>
      <w:r w:rsidR="00B24C09" w:rsidRPr="00E97EF9">
        <w:rPr>
          <w:lang w:val="en-GB"/>
        </w:rPr>
        <w:t xml:space="preserve"> total, male, female and urban</w:t>
      </w:r>
      <w:r w:rsidR="00D722C4" w:rsidRPr="00E97EF9">
        <w:rPr>
          <w:lang w:val="en-GB"/>
        </w:rPr>
        <w:t>, ho</w:t>
      </w:r>
      <w:r w:rsidR="00B24C09" w:rsidRPr="00E97EF9">
        <w:rPr>
          <w:lang w:val="en-GB"/>
        </w:rPr>
        <w:t>wever there were more preventable deaths in 2019 comparing to 2018 in the rural area. In 2019, most preventable deaths were caused by ischemic heart disease, alcohol related diseases, cancer of the trachea, bronchi and lungs. At the same time, a study</w:t>
      </w:r>
      <w:r w:rsidR="00D50D12" w:rsidRPr="00E97EF9">
        <w:rPr>
          <w:rStyle w:val="FootnoteReference"/>
          <w:lang w:val="en-GB"/>
        </w:rPr>
        <w:footnoteReference w:id="18"/>
      </w:r>
      <w:r w:rsidR="00B24C09" w:rsidRPr="00E97EF9">
        <w:rPr>
          <w:lang w:val="en-GB"/>
        </w:rPr>
        <w:t xml:space="preserve"> made by a private company showed that </w:t>
      </w:r>
      <w:r w:rsidR="00D50D12" w:rsidRPr="00E97EF9">
        <w:rPr>
          <w:lang w:val="en-GB"/>
        </w:rPr>
        <w:t>60% of participants to the nationwide survey went to the doctor because they needed a document, for an emergency (14%) or they needed a check-up following a medical condition.</w:t>
      </w:r>
    </w:p>
    <w:p w:rsidR="009F6516" w:rsidRPr="00E97EF9" w:rsidRDefault="00E97EF9" w:rsidP="009F6516">
      <w:pPr>
        <w:spacing w:line="276" w:lineRule="auto"/>
        <w:jc w:val="both"/>
        <w:rPr>
          <w:lang w:val="en-GB"/>
        </w:rPr>
      </w:pPr>
      <w:r>
        <w:rPr>
          <w:lang w:val="en-GB"/>
        </w:rPr>
        <w:t>D</w:t>
      </w:r>
      <w:r w:rsidR="009F6516" w:rsidRPr="00E97EF9">
        <w:rPr>
          <w:lang w:val="en-GB"/>
        </w:rPr>
        <w:t>ata</w:t>
      </w:r>
      <w:r w:rsidR="009F6516" w:rsidRPr="00E97EF9">
        <w:rPr>
          <w:rStyle w:val="FootnoteReference"/>
          <w:lang w:val="en-GB"/>
        </w:rPr>
        <w:footnoteReference w:id="19"/>
      </w:r>
      <w:r w:rsidR="009F6516" w:rsidRPr="00E97EF9">
        <w:rPr>
          <w:lang w:val="en-GB"/>
        </w:rPr>
        <w:t xml:space="preserve"> also show that tobacco and alcohol consumption in Romania is at a relatively high level</w:t>
      </w:r>
      <w:r w:rsidR="00483F88">
        <w:rPr>
          <w:lang w:val="en-GB"/>
        </w:rPr>
        <w:t>.</w:t>
      </w:r>
    </w:p>
    <w:p w:rsidR="009F6516" w:rsidRPr="00E97EF9" w:rsidRDefault="009F6516" w:rsidP="009F6516">
      <w:pPr>
        <w:shd w:val="clear" w:color="auto" w:fill="FFFFFF" w:themeFill="background1"/>
        <w:spacing w:line="276" w:lineRule="auto"/>
        <w:jc w:val="both"/>
        <w:rPr>
          <w:lang w:val="en-GB"/>
        </w:rPr>
      </w:pPr>
      <w:r w:rsidRPr="00E97EF9">
        <w:rPr>
          <w:lang w:val="en-GB"/>
        </w:rPr>
        <w:lastRenderedPageBreak/>
        <w:t>According to an assessment on cancer made by the National Institute on Public Health (NIPH) in 2020</w:t>
      </w:r>
      <w:r w:rsidRPr="00E97EF9">
        <w:rPr>
          <w:rStyle w:val="FootnoteReference"/>
          <w:lang w:val="en-GB"/>
        </w:rPr>
        <w:footnoteReference w:id="20"/>
      </w:r>
      <w:r w:rsidRPr="00E97EF9">
        <w:rPr>
          <w:lang w:val="en-GB"/>
        </w:rPr>
        <w:t>, the average survival rates at 5 years after receiving treatment for various forms of cancer, such as breast, prostate and cervix cancer are lower than the EU average based on 2014 data. The report states that this is also valid especially for types of cancer that can be prevented by reducing the risk factors, such as pulmonary, stomach and hepatic</w:t>
      </w:r>
      <w:r w:rsidR="00483F88">
        <w:rPr>
          <w:lang w:val="en-GB"/>
        </w:rPr>
        <w:t xml:space="preserve"> </w:t>
      </w:r>
      <w:r w:rsidR="00483F88" w:rsidRPr="00E97EF9">
        <w:rPr>
          <w:lang w:val="en-GB"/>
        </w:rPr>
        <w:t>cancer</w:t>
      </w:r>
      <w:r w:rsidRPr="00E97EF9">
        <w:rPr>
          <w:lang w:val="en-GB"/>
        </w:rPr>
        <w:t xml:space="preserve">. During 2016-2020 the government implemented the National Multi-Year Integrated Cancer Control Plan in order to improve cancer diagnosis and treatment for most cancer types. </w:t>
      </w:r>
    </w:p>
    <w:tbl>
      <w:tblPr>
        <w:tblStyle w:val="TableGrid"/>
        <w:tblW w:w="0" w:type="auto"/>
        <w:tblLook w:val="04A0" w:firstRow="1" w:lastRow="0" w:firstColumn="1" w:lastColumn="0" w:noHBand="0" w:noVBand="1"/>
      </w:tblPr>
      <w:tblGrid>
        <w:gridCol w:w="9629"/>
      </w:tblGrid>
      <w:tr w:rsidR="003712C0" w:rsidRPr="00E97EF9" w:rsidTr="009F6516">
        <w:tc>
          <w:tcPr>
            <w:tcW w:w="9629" w:type="dxa"/>
            <w:shd w:val="clear" w:color="auto" w:fill="BDD6EE" w:themeFill="accent1" w:themeFillTint="66"/>
          </w:tcPr>
          <w:p w:rsidR="009F6516" w:rsidRPr="00E97EF9" w:rsidRDefault="009F6516" w:rsidP="009F6516">
            <w:pPr>
              <w:spacing w:line="276" w:lineRule="auto"/>
              <w:jc w:val="both"/>
              <w:rPr>
                <w:lang w:val="en-GB"/>
              </w:rPr>
            </w:pPr>
          </w:p>
          <w:p w:rsidR="003712C0" w:rsidRPr="00E97EF9" w:rsidRDefault="009F6516" w:rsidP="009F6516">
            <w:pPr>
              <w:spacing w:line="276" w:lineRule="auto"/>
              <w:jc w:val="both"/>
              <w:rPr>
                <w:lang w:val="en-GB"/>
              </w:rPr>
            </w:pPr>
            <w:r w:rsidRPr="00E97EF9">
              <w:rPr>
                <w:lang w:val="en-GB"/>
              </w:rPr>
              <w:t xml:space="preserve">- </w:t>
            </w:r>
            <w:r w:rsidR="003712C0" w:rsidRPr="00E97EF9">
              <w:rPr>
                <w:lang w:val="en-GB"/>
              </w:rPr>
              <w:t>How will the Government raise awareness at the level of the whole population in order to create a culture of prevention?</w:t>
            </w:r>
          </w:p>
          <w:p w:rsidR="003712C0" w:rsidRPr="00E97EF9" w:rsidRDefault="009F6516" w:rsidP="009F6516">
            <w:pPr>
              <w:spacing w:line="276" w:lineRule="auto"/>
              <w:jc w:val="both"/>
              <w:rPr>
                <w:lang w:val="en-GB"/>
              </w:rPr>
            </w:pPr>
            <w:r w:rsidRPr="00E97EF9">
              <w:rPr>
                <w:lang w:val="en-GB"/>
              </w:rPr>
              <w:t xml:space="preserve">- </w:t>
            </w:r>
            <w:r w:rsidR="003712C0" w:rsidRPr="00E97EF9">
              <w:rPr>
                <w:lang w:val="en-GB"/>
              </w:rPr>
              <w:t xml:space="preserve">What </w:t>
            </w:r>
            <w:r w:rsidR="00C80B25" w:rsidRPr="00E97EF9">
              <w:rPr>
                <w:lang w:val="en-GB"/>
              </w:rPr>
              <w:t xml:space="preserve">measures </w:t>
            </w:r>
            <w:r w:rsidR="003712C0" w:rsidRPr="00E97EF9">
              <w:rPr>
                <w:lang w:val="en-GB"/>
              </w:rPr>
              <w:t xml:space="preserve">will the Government </w:t>
            </w:r>
            <w:r w:rsidR="00C80B25" w:rsidRPr="00E97EF9">
              <w:rPr>
                <w:lang w:val="en-GB"/>
              </w:rPr>
              <w:t>adopt</w:t>
            </w:r>
            <w:r w:rsidR="003712C0" w:rsidRPr="00E97EF9">
              <w:rPr>
                <w:lang w:val="en-GB"/>
              </w:rPr>
              <w:t xml:space="preserve"> in order to ensure the principle of </w:t>
            </w:r>
            <w:r w:rsidR="00C80B25" w:rsidRPr="00E97EF9">
              <w:rPr>
                <w:lang w:val="en-GB"/>
              </w:rPr>
              <w:t xml:space="preserve">geographic </w:t>
            </w:r>
            <w:r w:rsidR="003712C0" w:rsidRPr="00E97EF9">
              <w:rPr>
                <w:lang w:val="en-GB"/>
              </w:rPr>
              <w:t>accessibility</w:t>
            </w:r>
            <w:r w:rsidRPr="00E97EF9">
              <w:rPr>
                <w:lang w:val="en-GB"/>
              </w:rPr>
              <w:t xml:space="preserve"> </w:t>
            </w:r>
            <w:r w:rsidR="003712C0" w:rsidRPr="00E97EF9">
              <w:rPr>
                <w:lang w:val="en-GB"/>
              </w:rPr>
              <w:t xml:space="preserve">of healthcare services </w:t>
            </w:r>
            <w:r w:rsidR="00C80B25" w:rsidRPr="00E97EF9">
              <w:rPr>
                <w:lang w:val="en-GB"/>
              </w:rPr>
              <w:t>to all residents of the country?</w:t>
            </w:r>
          </w:p>
          <w:p w:rsidR="009F6516" w:rsidRPr="00E97EF9" w:rsidRDefault="009F6516" w:rsidP="009F6516">
            <w:pPr>
              <w:spacing w:line="276" w:lineRule="auto"/>
              <w:jc w:val="both"/>
              <w:rPr>
                <w:lang w:val="en-GB"/>
              </w:rPr>
            </w:pPr>
            <w:r w:rsidRPr="00E97EF9">
              <w:rPr>
                <w:lang w:val="en-GB"/>
              </w:rPr>
              <w:t>- To what extent did cancer diagnosis and treatment improve following the National Multi-Year Plan?</w:t>
            </w:r>
          </w:p>
          <w:p w:rsidR="00C80B25" w:rsidRPr="00E97EF9" w:rsidRDefault="00C80B25" w:rsidP="009F6516">
            <w:pPr>
              <w:spacing w:line="276" w:lineRule="auto"/>
              <w:jc w:val="both"/>
              <w:rPr>
                <w:lang w:val="en-GB"/>
              </w:rPr>
            </w:pPr>
          </w:p>
        </w:tc>
      </w:tr>
    </w:tbl>
    <w:p w:rsidR="003712C0" w:rsidRPr="00E97EF9" w:rsidRDefault="003712C0" w:rsidP="009F6516">
      <w:pPr>
        <w:spacing w:line="276" w:lineRule="auto"/>
        <w:jc w:val="both"/>
        <w:rPr>
          <w:lang w:val="en-GB"/>
        </w:rPr>
      </w:pPr>
    </w:p>
    <w:p w:rsidR="009F6516" w:rsidRPr="00E97EF9" w:rsidRDefault="009F6516" w:rsidP="009F6516">
      <w:pPr>
        <w:spacing w:line="276" w:lineRule="auto"/>
        <w:jc w:val="both"/>
        <w:rPr>
          <w:lang w:val="en-GB"/>
        </w:rPr>
      </w:pPr>
      <w:r w:rsidRPr="00E97EF9">
        <w:rPr>
          <w:lang w:val="en-GB"/>
        </w:rPr>
        <w:t>According to the Activity Report of the Health Ministry of 2020</w:t>
      </w:r>
      <w:r w:rsidRPr="00E97EF9">
        <w:rPr>
          <w:rStyle w:val="FootnoteReference"/>
          <w:lang w:val="en-GB"/>
        </w:rPr>
        <w:footnoteReference w:id="21"/>
      </w:r>
      <w:r w:rsidRPr="00E97EF9">
        <w:rPr>
          <w:lang w:val="en-GB"/>
        </w:rPr>
        <w:t xml:space="preserve">, in 2019 5,638,536 women were eligible for participating in the Sub-programme on active early detection of cervical cancer by performing the Babes-Papanicolaou test in the eligible female population under the population screening scheme, and only 50,049 tests were done (0.89% of the eligible population). The Ministry of Health </w:t>
      </w:r>
      <w:r w:rsidR="009917C5">
        <w:rPr>
          <w:lang w:val="en-GB"/>
        </w:rPr>
        <w:t>notes</w:t>
      </w:r>
      <w:r w:rsidRPr="00E97EF9">
        <w:rPr>
          <w:lang w:val="en-GB"/>
        </w:rPr>
        <w:t xml:space="preserve"> that “The optimal percentage coverage of the eligible population for the programme to be effective is 14% per year for a programme duration of 5 years. The number of Pap tests to be carried out in one year of the programme would be should be approximately 780,000”</w:t>
      </w:r>
      <w:r w:rsidRPr="00E97EF9">
        <w:rPr>
          <w:rStyle w:val="FootnoteReference"/>
          <w:lang w:val="en-GB"/>
        </w:rPr>
        <w:footnoteReference w:id="22"/>
      </w:r>
      <w:r w:rsidRPr="00E97EF9">
        <w:rPr>
          <w:lang w:val="en-GB"/>
        </w:rPr>
        <w:t>. In this regard, the effectiveness of the programme could be improved if Government conducts community targeted awareness campaigns regarding the high levels of cancer and that screening is the solution for an early detection.</w:t>
      </w:r>
    </w:p>
    <w:tbl>
      <w:tblPr>
        <w:tblStyle w:val="TableGrid"/>
        <w:tblW w:w="0" w:type="auto"/>
        <w:tblLook w:val="04A0" w:firstRow="1" w:lastRow="0" w:firstColumn="1" w:lastColumn="0" w:noHBand="0" w:noVBand="1"/>
      </w:tblPr>
      <w:tblGrid>
        <w:gridCol w:w="9629"/>
      </w:tblGrid>
      <w:tr w:rsidR="009F6516" w:rsidRPr="00E97EF9" w:rsidTr="009F6516">
        <w:tc>
          <w:tcPr>
            <w:tcW w:w="9629" w:type="dxa"/>
            <w:shd w:val="clear" w:color="auto" w:fill="BDD6EE" w:themeFill="accent1" w:themeFillTint="66"/>
          </w:tcPr>
          <w:p w:rsidR="009F6516" w:rsidRPr="00E97EF9" w:rsidRDefault="009F6516" w:rsidP="009F6516">
            <w:pPr>
              <w:spacing w:line="276" w:lineRule="auto"/>
              <w:jc w:val="both"/>
              <w:rPr>
                <w:lang w:val="en-GB"/>
              </w:rPr>
            </w:pPr>
            <w:r w:rsidRPr="00E97EF9">
              <w:rPr>
                <w:lang w:val="en-GB"/>
              </w:rPr>
              <w:t>- What steps will be taken to increase the number of women receiving screening for active early detection of cervical cancer?</w:t>
            </w:r>
          </w:p>
        </w:tc>
      </w:tr>
    </w:tbl>
    <w:p w:rsidR="00B24C09" w:rsidRPr="00E97EF9" w:rsidRDefault="00B24C09" w:rsidP="009F6516">
      <w:pPr>
        <w:spacing w:line="276" w:lineRule="auto"/>
        <w:jc w:val="both"/>
        <w:rPr>
          <w:lang w:val="en-GB"/>
        </w:rPr>
      </w:pPr>
    </w:p>
    <w:p w:rsidR="00FA5721" w:rsidRPr="00E97EF9" w:rsidRDefault="004E5F9F" w:rsidP="009917C5">
      <w:pPr>
        <w:pStyle w:val="Heading2"/>
        <w:spacing w:after="240"/>
        <w:jc w:val="center"/>
        <w:rPr>
          <w:lang w:val="en-GB"/>
        </w:rPr>
      </w:pPr>
      <w:r w:rsidRPr="00E97EF9">
        <w:rPr>
          <w:lang w:val="en-GB"/>
        </w:rPr>
        <w:t>Article 13 (Right to education)</w:t>
      </w:r>
    </w:p>
    <w:p w:rsidR="004E5F9F" w:rsidRPr="00E97EF9" w:rsidRDefault="004E5F9F" w:rsidP="00483F88">
      <w:pPr>
        <w:spacing w:line="276" w:lineRule="auto"/>
        <w:jc w:val="both"/>
        <w:rPr>
          <w:lang w:val="en-GB"/>
        </w:rPr>
      </w:pPr>
      <w:r w:rsidRPr="00E97EF9">
        <w:rPr>
          <w:lang w:val="en-GB"/>
        </w:rPr>
        <w:t>Romania currently allocates a very small percentage of GDP to education. According to legal provisions, this percentage should be 6% of GDP, but in 2021 the budget allocation for education was only 2.5% of GDP.</w:t>
      </w:r>
    </w:p>
    <w:tbl>
      <w:tblPr>
        <w:tblStyle w:val="TableGrid"/>
        <w:tblW w:w="0" w:type="auto"/>
        <w:tblLook w:val="04A0" w:firstRow="1" w:lastRow="0" w:firstColumn="1" w:lastColumn="0" w:noHBand="0" w:noVBand="1"/>
      </w:tblPr>
      <w:tblGrid>
        <w:gridCol w:w="9629"/>
      </w:tblGrid>
      <w:tr w:rsidR="004E5F9F" w:rsidRPr="00E97EF9" w:rsidTr="004E5F9F">
        <w:tc>
          <w:tcPr>
            <w:tcW w:w="9629" w:type="dxa"/>
            <w:shd w:val="clear" w:color="auto" w:fill="BDD6EE" w:themeFill="accent1" w:themeFillTint="66"/>
          </w:tcPr>
          <w:p w:rsidR="004E5F9F" w:rsidRPr="00E97EF9" w:rsidRDefault="004E5F9F" w:rsidP="004E5F9F">
            <w:pPr>
              <w:spacing w:line="276" w:lineRule="auto"/>
              <w:rPr>
                <w:lang w:val="en-GB"/>
              </w:rPr>
            </w:pPr>
            <w:r w:rsidRPr="00E97EF9">
              <w:rPr>
                <w:lang w:val="en-GB"/>
              </w:rPr>
              <w:t>- What measures will be taken in the future to increase budget allocations for education?</w:t>
            </w:r>
          </w:p>
        </w:tc>
      </w:tr>
    </w:tbl>
    <w:p w:rsidR="00483F88" w:rsidRDefault="00483F88" w:rsidP="004E5F9F">
      <w:pPr>
        <w:spacing w:line="276" w:lineRule="auto"/>
        <w:rPr>
          <w:lang w:val="en-GB"/>
        </w:rPr>
      </w:pPr>
    </w:p>
    <w:p w:rsidR="004E5F9F" w:rsidRPr="00E97EF9" w:rsidRDefault="004E5F9F" w:rsidP="004E5F9F">
      <w:pPr>
        <w:spacing w:line="276" w:lineRule="auto"/>
        <w:rPr>
          <w:lang w:val="en-GB"/>
        </w:rPr>
      </w:pPr>
      <w:r w:rsidRPr="00E97EF9">
        <w:rPr>
          <w:lang w:val="en-GB"/>
        </w:rPr>
        <w:t>The education provided should correspond to the needs of the developing society and should ensure a certain level of education among the population. The level of functional illiteracy among 15-year-</w:t>
      </w:r>
      <w:r w:rsidRPr="00E97EF9">
        <w:rPr>
          <w:lang w:val="en-GB"/>
        </w:rPr>
        <w:lastRenderedPageBreak/>
        <w:t xml:space="preserve">olds is 40%. In 2021, the </w:t>
      </w:r>
      <w:r w:rsidR="00483F88">
        <w:rPr>
          <w:lang w:val="en-GB"/>
        </w:rPr>
        <w:t>“</w:t>
      </w:r>
      <w:r w:rsidRPr="00E97EF9">
        <w:rPr>
          <w:lang w:val="en-GB"/>
        </w:rPr>
        <w:t>Educated Romania</w:t>
      </w:r>
      <w:r w:rsidR="00483F88">
        <w:rPr>
          <w:lang w:val="en-GB"/>
        </w:rPr>
        <w:t>”</w:t>
      </w:r>
      <w:r w:rsidRPr="00E97EF9">
        <w:rPr>
          <w:rStyle w:val="FootnoteReference"/>
          <w:lang w:val="en-GB"/>
        </w:rPr>
        <w:footnoteReference w:id="23"/>
      </w:r>
      <w:r w:rsidRPr="00E97EF9">
        <w:rPr>
          <w:lang w:val="en-GB"/>
        </w:rPr>
        <w:t xml:space="preserve"> project was launched with the aim of providing quality education.</w:t>
      </w:r>
    </w:p>
    <w:tbl>
      <w:tblPr>
        <w:tblStyle w:val="TableGrid"/>
        <w:tblW w:w="0" w:type="auto"/>
        <w:tblLook w:val="04A0" w:firstRow="1" w:lastRow="0" w:firstColumn="1" w:lastColumn="0" w:noHBand="0" w:noVBand="1"/>
      </w:tblPr>
      <w:tblGrid>
        <w:gridCol w:w="9629"/>
      </w:tblGrid>
      <w:tr w:rsidR="00E97EF9" w:rsidRPr="00E97EF9" w:rsidTr="00E97EF9">
        <w:tc>
          <w:tcPr>
            <w:tcW w:w="9629" w:type="dxa"/>
            <w:shd w:val="clear" w:color="auto" w:fill="BDD6EE" w:themeFill="accent1" w:themeFillTint="66"/>
          </w:tcPr>
          <w:p w:rsidR="00E97EF9" w:rsidRPr="00E97EF9" w:rsidRDefault="00E97EF9" w:rsidP="004E5F9F">
            <w:pPr>
              <w:spacing w:line="276" w:lineRule="auto"/>
              <w:rPr>
                <w:lang w:val="en-GB"/>
              </w:rPr>
            </w:pPr>
            <w:r w:rsidRPr="00E97EF9">
              <w:rPr>
                <w:lang w:val="en-GB"/>
              </w:rPr>
              <w:t>- What are the measures that will ensure the effective implementation of the project to ensure quality education?</w:t>
            </w:r>
          </w:p>
        </w:tc>
      </w:tr>
    </w:tbl>
    <w:p w:rsidR="00E97EF9" w:rsidRPr="00E97EF9" w:rsidRDefault="00E97EF9" w:rsidP="004E5F9F">
      <w:pPr>
        <w:spacing w:line="276" w:lineRule="auto"/>
        <w:rPr>
          <w:lang w:val="en-GB"/>
        </w:rPr>
      </w:pPr>
    </w:p>
    <w:p w:rsidR="004E5F9F" w:rsidRPr="00E97EF9" w:rsidRDefault="004E5F9F" w:rsidP="009917C5">
      <w:pPr>
        <w:spacing w:line="276" w:lineRule="auto"/>
        <w:jc w:val="both"/>
        <w:rPr>
          <w:lang w:val="en-GB"/>
        </w:rPr>
      </w:pPr>
      <w:r w:rsidRPr="00E97EF9">
        <w:rPr>
          <w:lang w:val="en-GB"/>
        </w:rPr>
        <w:t>An important aspect of education is lifelong learning, which is not always promoted at the level of the general population. This is also reflected in statistics. For example, in 2019, according to the Education and Training Monitor</w:t>
      </w:r>
      <w:r w:rsidRPr="00E97EF9">
        <w:rPr>
          <w:rStyle w:val="FootnoteReference"/>
          <w:lang w:val="en-GB"/>
        </w:rPr>
        <w:footnoteReference w:id="24"/>
      </w:r>
      <w:r w:rsidRPr="00E97EF9">
        <w:rPr>
          <w:lang w:val="en-GB"/>
        </w:rPr>
        <w:t xml:space="preserve">, adult participation in lifelong learning (age 25-64) was 1.3%, well below the European average of 10.8%. In a context where digitalisation is becoming more integrated into everyone's lives, the Romanian state should give priority attention to the digital skills of the population. The same document points out that </w:t>
      </w:r>
      <w:r w:rsidR="00483F88">
        <w:rPr>
          <w:lang w:val="en-GB"/>
        </w:rPr>
        <w:t>“</w:t>
      </w:r>
      <w:r w:rsidR="00E97EF9" w:rsidRPr="00E97EF9">
        <w:rPr>
          <w:lang w:val="en-GB"/>
        </w:rPr>
        <w:t>Romania has progressively integrated elements of digital technology in its policies, school curricula and training programmes, and despite some major investments at national level, a lack of monitoring and support mechanisms has resulted in many of these initiatives not being sustainable</w:t>
      </w:r>
      <w:r w:rsidR="00483F88">
        <w:rPr>
          <w:lang w:val="en-GB"/>
        </w:rPr>
        <w:t>”</w:t>
      </w:r>
      <w:r w:rsidR="00E97EF9" w:rsidRPr="00E97EF9">
        <w:rPr>
          <w:rStyle w:val="FootnoteReference"/>
          <w:lang w:val="en-GB"/>
        </w:rPr>
        <w:footnoteReference w:id="25"/>
      </w:r>
      <w:r w:rsidRPr="00E97EF9">
        <w:rPr>
          <w:lang w:val="en-GB"/>
        </w:rPr>
        <w:t>. In this context it should be noted that</w:t>
      </w:r>
      <w:r w:rsidR="00026049">
        <w:rPr>
          <w:lang w:val="en-GB"/>
        </w:rPr>
        <w:t>, according to Eurostat,</w:t>
      </w:r>
      <w:r w:rsidRPr="00E97EF9">
        <w:rPr>
          <w:lang w:val="en-GB"/>
        </w:rPr>
        <w:t xml:space="preserve"> a large part of the Romanian population (aged 16-74), 43%, have low </w:t>
      </w:r>
      <w:r w:rsidR="00483F88">
        <w:rPr>
          <w:lang w:val="en-GB"/>
        </w:rPr>
        <w:t xml:space="preserve">overall </w:t>
      </w:r>
      <w:r w:rsidRPr="00E97EF9">
        <w:rPr>
          <w:lang w:val="en-GB"/>
        </w:rPr>
        <w:t xml:space="preserve">digital skills, while 31% have basic or </w:t>
      </w:r>
      <w:r w:rsidR="00483F88">
        <w:rPr>
          <w:lang w:val="en-GB"/>
        </w:rPr>
        <w:t>above basic</w:t>
      </w:r>
      <w:r w:rsidR="00026049">
        <w:rPr>
          <w:lang w:val="en-GB"/>
        </w:rPr>
        <w:t xml:space="preserve"> digital skills</w:t>
      </w:r>
      <w:r w:rsidRPr="00E97EF9">
        <w:rPr>
          <w:lang w:val="en-GB"/>
        </w:rPr>
        <w:t xml:space="preserve"> (only 10% have </w:t>
      </w:r>
      <w:r w:rsidR="00483F88">
        <w:rPr>
          <w:lang w:val="en-GB"/>
        </w:rPr>
        <w:t>above basic</w:t>
      </w:r>
      <w:r w:rsidRPr="00E97EF9">
        <w:rPr>
          <w:lang w:val="en-GB"/>
        </w:rPr>
        <w:t xml:space="preserve"> digital skills)</w:t>
      </w:r>
      <w:r w:rsidR="00483F88">
        <w:rPr>
          <w:rStyle w:val="FootnoteReference"/>
          <w:lang w:val="en-GB"/>
        </w:rPr>
        <w:footnoteReference w:id="26"/>
      </w:r>
      <w:r w:rsidRPr="00E97EF9">
        <w:rPr>
          <w:lang w:val="en-GB"/>
        </w:rPr>
        <w:t>.</w:t>
      </w:r>
    </w:p>
    <w:tbl>
      <w:tblPr>
        <w:tblStyle w:val="TableGrid"/>
        <w:tblW w:w="0" w:type="auto"/>
        <w:tblLook w:val="04A0" w:firstRow="1" w:lastRow="0" w:firstColumn="1" w:lastColumn="0" w:noHBand="0" w:noVBand="1"/>
      </w:tblPr>
      <w:tblGrid>
        <w:gridCol w:w="9629"/>
      </w:tblGrid>
      <w:tr w:rsidR="00E97EF9" w:rsidRPr="00E97EF9" w:rsidTr="00E97EF9">
        <w:tc>
          <w:tcPr>
            <w:tcW w:w="9629" w:type="dxa"/>
            <w:shd w:val="clear" w:color="auto" w:fill="BDD6EE" w:themeFill="accent1" w:themeFillTint="66"/>
          </w:tcPr>
          <w:p w:rsidR="00E97EF9" w:rsidRPr="00E97EF9" w:rsidRDefault="00E97EF9" w:rsidP="00E97EF9">
            <w:pPr>
              <w:spacing w:line="276" w:lineRule="auto"/>
              <w:rPr>
                <w:lang w:val="en-GB"/>
              </w:rPr>
            </w:pPr>
            <w:r w:rsidRPr="00E97EF9">
              <w:rPr>
                <w:lang w:val="en-GB"/>
              </w:rPr>
              <w:t>- In view of the establishment of the Authority for the Digitalisation of Romania and the current state of play, what strategies are envisaged to ensure the implementation of the legal provisions on digitalisation?</w:t>
            </w:r>
          </w:p>
        </w:tc>
      </w:tr>
    </w:tbl>
    <w:p w:rsidR="00E97EF9" w:rsidRPr="00E97EF9" w:rsidRDefault="00E97EF9" w:rsidP="00E97EF9">
      <w:pPr>
        <w:spacing w:line="276" w:lineRule="auto"/>
        <w:rPr>
          <w:lang w:val="en-GB"/>
        </w:rPr>
      </w:pPr>
    </w:p>
    <w:sectPr w:rsidR="00E97EF9" w:rsidRPr="00E97EF9" w:rsidSect="00316DF2">
      <w:headerReference w:type="default" r:id="rId9"/>
      <w:pgSz w:w="11907" w:h="16840" w:code="9"/>
      <w:pgMar w:top="1134" w:right="1134" w:bottom="851" w:left="1134" w:header="284"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F46" w:rsidRDefault="006C2F46" w:rsidP="00316DF2">
      <w:pPr>
        <w:spacing w:after="0" w:line="240" w:lineRule="auto"/>
      </w:pPr>
      <w:r>
        <w:separator/>
      </w:r>
    </w:p>
  </w:endnote>
  <w:endnote w:type="continuationSeparator" w:id="0">
    <w:p w:rsidR="006C2F46" w:rsidRDefault="006C2F46" w:rsidP="00316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F46" w:rsidRDefault="006C2F46" w:rsidP="00316DF2">
      <w:pPr>
        <w:spacing w:after="0" w:line="240" w:lineRule="auto"/>
      </w:pPr>
      <w:r>
        <w:separator/>
      </w:r>
    </w:p>
  </w:footnote>
  <w:footnote w:type="continuationSeparator" w:id="0">
    <w:p w:rsidR="006C2F46" w:rsidRDefault="006C2F46" w:rsidP="00316DF2">
      <w:pPr>
        <w:spacing w:after="0" w:line="240" w:lineRule="auto"/>
      </w:pPr>
      <w:r>
        <w:continuationSeparator/>
      </w:r>
    </w:p>
  </w:footnote>
  <w:footnote w:id="1">
    <w:p w:rsidR="006C2F40" w:rsidRPr="00B55D95" w:rsidRDefault="006C2F40" w:rsidP="006C2F40">
      <w:pPr>
        <w:pStyle w:val="FootnoteText"/>
        <w:rPr>
          <w:lang w:val="en-GB"/>
        </w:rPr>
      </w:pPr>
      <w:r w:rsidRPr="00B55D95">
        <w:rPr>
          <w:rStyle w:val="FootnoteReference"/>
          <w:lang w:val="en-GB"/>
        </w:rPr>
        <w:footnoteRef/>
      </w:r>
      <w:r w:rsidRPr="00B55D95">
        <w:rPr>
          <w:lang w:val="en-GB"/>
        </w:rPr>
        <w:t xml:space="preserve"> Law no. 9/1991 on the establishment of the Romanian Institute for Human Rights, available in English here: http://www.irdo.ro/english/legea9.php</w:t>
      </w:r>
    </w:p>
  </w:footnote>
  <w:footnote w:id="2">
    <w:p w:rsidR="000D7FF9" w:rsidRDefault="000D7FF9">
      <w:pPr>
        <w:pStyle w:val="FootnoteText"/>
      </w:pPr>
      <w:r>
        <w:rPr>
          <w:rStyle w:val="FootnoteReference"/>
        </w:rPr>
        <w:footnoteRef/>
      </w:r>
      <w:r>
        <w:t xml:space="preserve"> Further information: </w:t>
      </w:r>
      <w:r w:rsidRPr="000D7FF9">
        <w:t>http://ennhri.org/rule-of-law-report-2021/romania/</w:t>
      </w:r>
    </w:p>
  </w:footnote>
  <w:footnote w:id="3">
    <w:p w:rsidR="00880CD0" w:rsidRDefault="00880CD0">
      <w:pPr>
        <w:pStyle w:val="FootnoteText"/>
      </w:pPr>
      <w:r>
        <w:rPr>
          <w:rStyle w:val="FootnoteReference"/>
        </w:rPr>
        <w:footnoteRef/>
      </w:r>
      <w:r>
        <w:t xml:space="preserve"> </w:t>
      </w:r>
      <w:r w:rsidRPr="00B7615A">
        <w:t>The Court notes that the law does not change the legal nature of the Institute from public institution into autonomous administrative authority, see §51-57 of the Decision of the Constitutional Court, no. 772 of October 22, 2020, https://senat.ro/legis/PDF/2020/20L266DC.PDF</w:t>
      </w:r>
    </w:p>
  </w:footnote>
  <w:footnote w:id="4">
    <w:p w:rsidR="00E97EF9" w:rsidRDefault="00E97EF9">
      <w:pPr>
        <w:pStyle w:val="FootnoteText"/>
      </w:pPr>
      <w:r>
        <w:rPr>
          <w:rStyle w:val="FootnoteReference"/>
        </w:rPr>
        <w:footnoteRef/>
      </w:r>
      <w:r>
        <w:t xml:space="preserve"> </w:t>
      </w:r>
      <w:r w:rsidRPr="00E97EF9">
        <w:t>Under the constitutional relations between the Parliament and the Government, it is mandatory to request information when a legislative proposal affects the provisions of the state budget. Thus, given the imperative nature of this obligation, it follows that non-compliance has as a consequence the unconstitutionality of the adopted law. See §59-65 of the Decision of the Constitutional Court, no. 772 of October 22, 2020, https://senat.ro/legis/PDF/2020/20L266DC.PDF</w:t>
      </w:r>
    </w:p>
  </w:footnote>
  <w:footnote w:id="5">
    <w:p w:rsidR="00880CD0" w:rsidRPr="004E25A8" w:rsidRDefault="00880CD0" w:rsidP="00880CD0">
      <w:pPr>
        <w:pStyle w:val="FootnoteText"/>
        <w:rPr>
          <w:lang w:val="en-GB"/>
        </w:rPr>
      </w:pPr>
      <w:r>
        <w:rPr>
          <w:rStyle w:val="FootnoteReference"/>
        </w:rPr>
        <w:footnoteRef/>
      </w:r>
      <w:r w:rsidRPr="004E25A8">
        <w:rPr>
          <w:lang w:val="en-GB"/>
        </w:rPr>
        <w:t xml:space="preserve"> https://www.ohchr.org/Documents/Issues/Women/SR/Femicide/2021-submissions/NHRIs/romania-nhri-peoples-advocate.pdf</w:t>
      </w:r>
    </w:p>
  </w:footnote>
  <w:footnote w:id="6">
    <w:p w:rsidR="00880CD0" w:rsidRPr="004E25A8" w:rsidRDefault="00880CD0" w:rsidP="00880CD0">
      <w:pPr>
        <w:pStyle w:val="FootnoteText"/>
        <w:rPr>
          <w:lang w:val="en-GB"/>
        </w:rPr>
      </w:pPr>
      <w:r>
        <w:rPr>
          <w:rStyle w:val="FootnoteReference"/>
        </w:rPr>
        <w:footnoteRef/>
      </w:r>
      <w:r w:rsidRPr="004E25A8">
        <w:rPr>
          <w:lang w:val="en-GB"/>
        </w:rPr>
        <w:t xml:space="preserve"> The law, Art. 4 (1), letter h), defines cyberviolence ”</w:t>
      </w:r>
      <w:r w:rsidRPr="002004D9">
        <w:t xml:space="preserve"> </w:t>
      </w:r>
      <w:r w:rsidRPr="004E25A8">
        <w:rPr>
          <w:lang w:val="en-GB"/>
        </w:rPr>
        <w:t>cyber violence - online harassment, online messages inciting gender-based hatred, online stalking, online threats, non-consensual publication of intimate information and graphic content, unlawful access to intercept private communications and data, and any other form of misuse of information and communication technology through computers, smart mobile phones or other similar devices that use telecommunications or can connect to the internet and transmit and use social or email platforms, with the purpose of shaming, humiliating, frightening, threatening, silencing the victim.”</w:t>
      </w:r>
    </w:p>
  </w:footnote>
  <w:footnote w:id="7">
    <w:p w:rsidR="00880CD0" w:rsidRPr="004E25A8" w:rsidRDefault="00880CD0" w:rsidP="00880CD0">
      <w:pPr>
        <w:pStyle w:val="FootnoteText"/>
        <w:rPr>
          <w:lang w:val="en-GB"/>
        </w:rPr>
      </w:pPr>
      <w:r>
        <w:rPr>
          <w:rStyle w:val="FootnoteReference"/>
        </w:rPr>
        <w:footnoteRef/>
      </w:r>
      <w:r w:rsidRPr="004E25A8">
        <w:rPr>
          <w:lang w:val="en-GB"/>
        </w:rPr>
        <w:t xml:space="preserve"> https://www.politiaromana.ro/ro/utile/statistici-evaluari/statistici</w:t>
      </w:r>
    </w:p>
  </w:footnote>
  <w:footnote w:id="8">
    <w:p w:rsidR="00880CD0" w:rsidRPr="004D2FC8" w:rsidRDefault="00880CD0" w:rsidP="00880CD0">
      <w:pPr>
        <w:pStyle w:val="FootnoteText"/>
        <w:rPr>
          <w:lang w:val="ro-RO"/>
        </w:rPr>
      </w:pPr>
      <w:r>
        <w:rPr>
          <w:rStyle w:val="FootnoteReference"/>
        </w:rPr>
        <w:footnoteRef/>
      </w:r>
      <w:r>
        <w:t xml:space="preserve"> </w:t>
      </w:r>
      <w:r>
        <w:rPr>
          <w:lang w:val="ro-RO"/>
        </w:rPr>
        <w:t xml:space="preserve">E.B. v. Romania, application no. </w:t>
      </w:r>
      <w:r w:rsidRPr="004D2FC8">
        <w:rPr>
          <w:lang w:val="ro-RO"/>
        </w:rPr>
        <w:t>49089/10</w:t>
      </w:r>
      <w:r>
        <w:rPr>
          <w:lang w:val="ro-RO"/>
        </w:rPr>
        <w:t xml:space="preserve">, </w:t>
      </w:r>
      <w:r w:rsidRPr="004D2FC8">
        <w:rPr>
          <w:lang w:val="ro-RO"/>
        </w:rPr>
        <w:t>http://hudoc.echr.coe.int/app/conversion/pdf/?library=ECHR&amp;id=003-6360747-8328487&amp;filename=Judgment%20E.B.%20v.%20Romania%20-%20investigation%20of%20rape%20accusations%20was%20ineffective.pdf</w:t>
      </w:r>
    </w:p>
  </w:footnote>
  <w:footnote w:id="9">
    <w:p w:rsidR="00C34082" w:rsidRPr="00C34082" w:rsidRDefault="00C34082" w:rsidP="00C34082">
      <w:pPr>
        <w:pStyle w:val="FootnoteText"/>
        <w:rPr>
          <w:lang w:val="ro-RO"/>
        </w:rPr>
      </w:pPr>
      <w:r>
        <w:rPr>
          <w:rStyle w:val="FootnoteReference"/>
        </w:rPr>
        <w:footnoteRef/>
      </w:r>
      <w:r w:rsidRPr="00C34082">
        <w:rPr>
          <w:lang w:val="ro-RO"/>
        </w:rPr>
        <w:t xml:space="preserve"> More information</w:t>
      </w:r>
      <w:r>
        <w:rPr>
          <w:lang w:val="ro-RO"/>
        </w:rPr>
        <w:t>: Diagnosis os the situation of people with disabilities in Romania (in Romanian)</w:t>
      </w:r>
      <w:r w:rsidRPr="00C34082">
        <w:rPr>
          <w:lang w:val="ro-RO"/>
        </w:rPr>
        <w:t xml:space="preserve">  </w:t>
      </w:r>
      <w:hyperlink r:id="rId1" w:history="1">
        <w:r w:rsidRPr="00C34082">
          <w:rPr>
            <w:rStyle w:val="Hyperlink"/>
            <w:lang w:val="ro-RO"/>
          </w:rPr>
          <w:t>http://andpdca.gov.ro/w/wp-content/uploads/2020/12/Diagnoza-situatiei-persoanelor-cu-dizabilitati-in-Romania-2020-RO.pdf</w:t>
        </w:r>
      </w:hyperlink>
      <w:r w:rsidRPr="00C34082">
        <w:rPr>
          <w:lang w:val="ro-RO"/>
        </w:rPr>
        <w:t xml:space="preserve"> pp. 111-144.</w:t>
      </w:r>
    </w:p>
  </w:footnote>
  <w:footnote w:id="10">
    <w:p w:rsidR="00C34082" w:rsidRDefault="00C34082" w:rsidP="00C34082">
      <w:pPr>
        <w:pStyle w:val="FootnoteText"/>
      </w:pPr>
      <w:r>
        <w:rPr>
          <w:rStyle w:val="FootnoteReference"/>
        </w:rPr>
        <w:footnoteRef/>
      </w:r>
      <w:r>
        <w:t xml:space="preserve"> Ibidem, pp 113-114.</w:t>
      </w:r>
    </w:p>
  </w:footnote>
  <w:footnote w:id="11">
    <w:p w:rsidR="008936BD" w:rsidRPr="00AF3879" w:rsidRDefault="008936BD" w:rsidP="008936BD">
      <w:pPr>
        <w:pStyle w:val="FootnoteText"/>
        <w:rPr>
          <w:lang w:val="ro-RO"/>
        </w:rPr>
      </w:pPr>
      <w:r>
        <w:rPr>
          <w:rStyle w:val="FootnoteReference"/>
        </w:rPr>
        <w:footnoteRef/>
      </w:r>
      <w:r w:rsidRPr="004E25A8">
        <w:rPr>
          <w:lang w:val="ro-RO"/>
        </w:rPr>
        <w:t xml:space="preserve"> A se vedea </w:t>
      </w:r>
      <w:hyperlink r:id="rId2" w:history="1">
        <w:r w:rsidRPr="004E25A8">
          <w:rPr>
            <w:rStyle w:val="Hyperlink"/>
            <w:lang w:val="ro-RO"/>
          </w:rPr>
          <w:t>https://www.bbc.com/news/world-europe-34684973</w:t>
        </w:r>
      </w:hyperlink>
      <w:r w:rsidRPr="004E25A8">
        <w:rPr>
          <w:lang w:val="ro-RO"/>
        </w:rPr>
        <w:t>, și https://www.euronews.com/2021/02/05/why-has-romania-had-two-deadly-hospital-fires-in-a-matter-of-months</w:t>
      </w:r>
    </w:p>
  </w:footnote>
  <w:footnote w:id="12">
    <w:p w:rsidR="008936BD" w:rsidRPr="00B55D95" w:rsidRDefault="008936BD" w:rsidP="008936BD">
      <w:pPr>
        <w:pStyle w:val="FootnoteText"/>
        <w:rPr>
          <w:lang w:val="en-GB"/>
        </w:rPr>
      </w:pPr>
      <w:r w:rsidRPr="00B55D95">
        <w:rPr>
          <w:rStyle w:val="FootnoteReference"/>
          <w:lang w:val="en-GB"/>
        </w:rPr>
        <w:footnoteRef/>
      </w:r>
      <w:r w:rsidRPr="00B55D95">
        <w:rPr>
          <w:lang w:val="en-GB"/>
        </w:rPr>
        <w:t xml:space="preserve"> Art. 55 (3) of Law no. 272/2004 on the protection and promotion of the rights of the child</w:t>
      </w:r>
      <w:r>
        <w:rPr>
          <w:lang w:val="en-GB"/>
        </w:rPr>
        <w:t>.</w:t>
      </w:r>
    </w:p>
  </w:footnote>
  <w:footnote w:id="13">
    <w:p w:rsidR="008936BD" w:rsidRPr="00B55D95" w:rsidRDefault="008936BD" w:rsidP="008936BD">
      <w:pPr>
        <w:pStyle w:val="FootnoteText"/>
        <w:rPr>
          <w:lang w:val="fr-FR"/>
        </w:rPr>
      </w:pPr>
      <w:r w:rsidRPr="00B55D95">
        <w:rPr>
          <w:rStyle w:val="FootnoteReference"/>
          <w:lang w:val="en-GB"/>
        </w:rPr>
        <w:footnoteRef/>
      </w:r>
      <w:r w:rsidRPr="00B55D95">
        <w:rPr>
          <w:lang w:val="fr-FR"/>
        </w:rPr>
        <w:t>Vișinel Costel Bălan, “Analiza percepției cu privire la planurile tranzitorii la tinerii din centrele de plasament și rezidențiale la nivel național”,</w:t>
      </w:r>
      <w:r>
        <w:rPr>
          <w:lang w:val="fr-FR"/>
        </w:rPr>
        <w:t xml:space="preserve"> </w:t>
      </w:r>
      <w:r w:rsidRPr="00B55D95">
        <w:rPr>
          <w:lang w:val="fr-FR"/>
        </w:rPr>
        <w:t>in</w:t>
      </w:r>
      <w:r>
        <w:rPr>
          <w:lang w:val="fr-FR"/>
        </w:rPr>
        <w:t xml:space="preserve"> </w:t>
      </w:r>
      <w:r w:rsidRPr="00B55D95">
        <w:rPr>
          <w:i/>
          <w:iCs/>
          <w:lang w:val="fr-FR"/>
        </w:rPr>
        <w:t>Drepturile Omului</w:t>
      </w:r>
      <w:r>
        <w:rPr>
          <w:lang w:val="fr-FR"/>
        </w:rPr>
        <w:t xml:space="preserve">, 1/2021, IRDO, page 9, </w:t>
      </w:r>
      <w:hyperlink r:id="rId3" w:history="1">
        <w:r w:rsidRPr="007D7C1E">
          <w:rPr>
            <w:rStyle w:val="Hyperlink"/>
            <w:lang w:val="fr-FR"/>
          </w:rPr>
          <w:t>http://revista.irdo.ro/pdf/2021/revista_1_2021/05_Articol_Balan.pdf</w:t>
        </w:r>
      </w:hyperlink>
      <w:r w:rsidRPr="00B55D95">
        <w:rPr>
          <w:lang w:val="fr-FR"/>
        </w:rPr>
        <w:t xml:space="preserve">, </w:t>
      </w:r>
    </w:p>
  </w:footnote>
  <w:footnote w:id="14">
    <w:p w:rsidR="008936BD" w:rsidRPr="008936BD" w:rsidRDefault="008936BD" w:rsidP="008936BD">
      <w:pPr>
        <w:pStyle w:val="FootnoteText"/>
        <w:rPr>
          <w:lang w:val="fr-FR"/>
        </w:rPr>
      </w:pPr>
      <w:r w:rsidRPr="00B55D95">
        <w:rPr>
          <w:rStyle w:val="FootnoteReference"/>
          <w:lang w:val="en-GB"/>
        </w:rPr>
        <w:footnoteRef/>
      </w:r>
      <w:r w:rsidRPr="008936BD">
        <w:rPr>
          <w:lang w:val="fr-FR"/>
        </w:rPr>
        <w:t xml:space="preserve"> </w:t>
      </w:r>
      <w:r w:rsidRPr="008936BD">
        <w:rPr>
          <w:i/>
          <w:lang w:val="fr-FR"/>
        </w:rPr>
        <w:t>Idem</w:t>
      </w:r>
      <w:r w:rsidRPr="008936BD">
        <w:rPr>
          <w:lang w:val="fr-FR"/>
        </w:rPr>
        <w:t xml:space="preserve"> page 12.</w:t>
      </w:r>
    </w:p>
  </w:footnote>
  <w:footnote w:id="15">
    <w:p w:rsidR="003C2C1F" w:rsidRPr="00880CD0" w:rsidRDefault="003C2C1F">
      <w:pPr>
        <w:pStyle w:val="FootnoteText"/>
        <w:rPr>
          <w:lang w:val="ro-RO"/>
        </w:rPr>
      </w:pPr>
      <w:r>
        <w:rPr>
          <w:rStyle w:val="FootnoteReference"/>
        </w:rPr>
        <w:footnoteRef/>
      </w:r>
      <w:r w:rsidRPr="00880CD0">
        <w:rPr>
          <w:lang w:val="ro-RO"/>
        </w:rPr>
        <w:t xml:space="preserve"> https://insse.ro/cms/sites/default/files/com_presa/com_pdf/activ_unit_sanitare19r.pdf</w:t>
      </w:r>
    </w:p>
  </w:footnote>
  <w:footnote w:id="16">
    <w:p w:rsidR="00041151" w:rsidRDefault="00041151" w:rsidP="00041151">
      <w:pPr>
        <w:pStyle w:val="FootnoteText"/>
      </w:pPr>
      <w:r>
        <w:t>Harta accesului cetățenilor români la serviciile de asistență medicală primară oferite de cabinetele de medicina familiei</w:t>
      </w:r>
      <w:r w:rsidR="00483F88">
        <w:t xml:space="preserve"> (</w:t>
      </w:r>
      <w:r w:rsidR="00483F88" w:rsidRPr="00483F88">
        <w:t>Map of Romanian citizens' access to primary health care services offered by family medicine practices</w:t>
      </w:r>
      <w:r w:rsidR="00483F88">
        <w:t>)</w:t>
      </w:r>
      <w:r>
        <w:t xml:space="preserve">, Dr. Cătălin Petrencic, </w:t>
      </w:r>
      <w:r w:rsidR="00483F88" w:rsidRPr="00483F88">
        <w:t xml:space="preserve">National Federation of Family Physicians Employer Organizations </w:t>
      </w:r>
      <w:r>
        <w:t>FNPMF, Februar</w:t>
      </w:r>
      <w:r w:rsidR="00483F88">
        <w:t>y</w:t>
      </w:r>
      <w:r>
        <w:t>2020</w:t>
      </w:r>
      <w:r>
        <w:rPr>
          <w:rStyle w:val="FootnoteReference"/>
        </w:rPr>
        <w:footnoteRef/>
      </w:r>
      <w:r>
        <w:t xml:space="preserve"> </w:t>
      </w:r>
    </w:p>
  </w:footnote>
  <w:footnote w:id="17">
    <w:p w:rsidR="00D722C4" w:rsidRPr="00D722C4" w:rsidRDefault="00D722C4">
      <w:pPr>
        <w:pStyle w:val="FootnoteText"/>
        <w:rPr>
          <w:lang w:val="fr-FR"/>
        </w:rPr>
      </w:pPr>
      <w:r>
        <w:rPr>
          <w:rStyle w:val="FootnoteReference"/>
        </w:rPr>
        <w:footnoteRef/>
      </w:r>
      <w:r w:rsidRPr="00D722C4">
        <w:rPr>
          <w:lang w:val="fr-FR"/>
        </w:rPr>
        <w:t xml:space="preserve"> </w:t>
      </w:r>
      <w:hyperlink r:id="rId4" w:history="1">
        <w:r w:rsidRPr="00D722C4">
          <w:rPr>
            <w:rStyle w:val="Hyperlink"/>
            <w:lang w:val="fr-FR"/>
          </w:rPr>
          <w:t>https://insp.gov.ro/sites/cnepss/wp-content/uploads/2020/12/Raport-Starea-de-Sanatate-2019.pdf</w:t>
        </w:r>
      </w:hyperlink>
      <w:r w:rsidRPr="00D722C4">
        <w:rPr>
          <w:lang w:val="fr-FR"/>
        </w:rPr>
        <w:t>, page 69</w:t>
      </w:r>
    </w:p>
  </w:footnote>
  <w:footnote w:id="18">
    <w:p w:rsidR="00D50D12" w:rsidRPr="00D50D12" w:rsidRDefault="00D50D12">
      <w:pPr>
        <w:pStyle w:val="FootnoteText"/>
        <w:rPr>
          <w:lang w:val="fr-FR"/>
        </w:rPr>
      </w:pPr>
      <w:r>
        <w:rPr>
          <w:rStyle w:val="FootnoteReference"/>
        </w:rPr>
        <w:footnoteRef/>
      </w:r>
      <w:r w:rsidRPr="00D50D12">
        <w:rPr>
          <w:lang w:val="fr-FR"/>
        </w:rPr>
        <w:t xml:space="preserve"> https://redspot-branding.ro/romanii-nu-merg-la-medic-pentru-control-de-rutina.html</w:t>
      </w:r>
    </w:p>
  </w:footnote>
  <w:footnote w:id="19">
    <w:p w:rsidR="009F6516" w:rsidRPr="009F6516" w:rsidRDefault="009F6516">
      <w:pPr>
        <w:pStyle w:val="FootnoteText"/>
        <w:rPr>
          <w:lang w:val="fr-FR"/>
        </w:rPr>
      </w:pPr>
      <w:r>
        <w:rPr>
          <w:rStyle w:val="FootnoteReference"/>
        </w:rPr>
        <w:footnoteRef/>
      </w:r>
      <w:r w:rsidRPr="009F6516">
        <w:rPr>
          <w:lang w:val="fr-FR"/>
        </w:rPr>
        <w:t xml:space="preserve"> </w:t>
      </w:r>
      <w:hyperlink r:id="rId5" w:anchor="page1" w:history="1">
        <w:r w:rsidRPr="00DA6A5D">
          <w:rPr>
            <w:rStyle w:val="Hyperlink"/>
            <w:lang w:val="fr-FR"/>
          </w:rPr>
          <w:t>https://read.oecd-ilibrary.org/social-issues-migration-health/romania-country-health-profile-2019_f345b1db-en#page1</w:t>
        </w:r>
      </w:hyperlink>
      <w:r>
        <w:rPr>
          <w:lang w:val="fr-FR"/>
        </w:rPr>
        <w:t>, page 7</w:t>
      </w:r>
    </w:p>
  </w:footnote>
  <w:footnote w:id="20">
    <w:p w:rsidR="009F6516" w:rsidRPr="00E93DF7" w:rsidRDefault="009F6516" w:rsidP="009F6516">
      <w:pPr>
        <w:pStyle w:val="FootnoteText"/>
        <w:rPr>
          <w:lang w:val="fr-FR"/>
        </w:rPr>
      </w:pPr>
      <w:r w:rsidRPr="001D040B">
        <w:rPr>
          <w:rStyle w:val="FootnoteReference"/>
          <w:lang w:val="en-GB"/>
        </w:rPr>
        <w:footnoteRef/>
      </w:r>
      <w:r w:rsidRPr="00E93DF7">
        <w:rPr>
          <w:lang w:val="fr-FR"/>
        </w:rPr>
        <w:t xml:space="preserve"> Situation Assessment, https://insp.gov.ro/sites/cnepss/wp-content/uploads/2021/05/Analiza-situatie-cancer-2021.pdf, page 8.</w:t>
      </w:r>
    </w:p>
  </w:footnote>
  <w:footnote w:id="21">
    <w:p w:rsidR="009F6516" w:rsidRPr="00E93DF7" w:rsidRDefault="009F6516" w:rsidP="009F6516">
      <w:pPr>
        <w:pStyle w:val="FootnoteText"/>
        <w:rPr>
          <w:lang w:val="fr-FR"/>
        </w:rPr>
      </w:pPr>
      <w:r w:rsidRPr="00B55D95">
        <w:rPr>
          <w:rStyle w:val="FootnoteReference"/>
          <w:lang w:val="en-GB"/>
        </w:rPr>
        <w:footnoteRef/>
      </w:r>
      <w:r w:rsidRPr="00E93DF7">
        <w:rPr>
          <w:lang w:val="fr-FR"/>
        </w:rPr>
        <w:t xml:space="preserve"> http://www.ms.ro/wp-content/uploads/2020/12/Raport-de-activitate-pentru-anul-2019-1.pdf</w:t>
      </w:r>
    </w:p>
  </w:footnote>
  <w:footnote w:id="22">
    <w:p w:rsidR="009F6516" w:rsidRPr="00B55D95" w:rsidRDefault="009F6516" w:rsidP="009F6516">
      <w:pPr>
        <w:pStyle w:val="FootnoteText"/>
        <w:rPr>
          <w:lang w:val="en-GB"/>
        </w:rPr>
      </w:pPr>
      <w:r w:rsidRPr="00B55D95">
        <w:rPr>
          <w:rStyle w:val="FootnoteReference"/>
          <w:lang w:val="en-GB"/>
        </w:rPr>
        <w:footnoteRef/>
      </w:r>
      <w:r w:rsidRPr="00B55D95">
        <w:rPr>
          <w:lang w:val="en-GB"/>
        </w:rPr>
        <w:t xml:space="preserve"> Romanian Government – Ministry of Health, Annual report for the year 2019, </w:t>
      </w:r>
      <w:hyperlink r:id="rId6" w:history="1">
        <w:r w:rsidRPr="00B55D95">
          <w:rPr>
            <w:rStyle w:val="Hyperlink"/>
            <w:lang w:val="en-GB"/>
          </w:rPr>
          <w:t>http://www.ms.ro/wp-content/uploads/2020/12/Raport-de-activitate-pentru-anul-2019-1.pdf</w:t>
        </w:r>
      </w:hyperlink>
      <w:r w:rsidRPr="00B55D95">
        <w:rPr>
          <w:lang w:val="en-GB"/>
        </w:rPr>
        <w:t>, page 225</w:t>
      </w:r>
    </w:p>
  </w:footnote>
  <w:footnote w:id="23">
    <w:p w:rsidR="004E5F9F" w:rsidRDefault="004E5F9F">
      <w:pPr>
        <w:pStyle w:val="FootnoteText"/>
      </w:pPr>
      <w:r>
        <w:rPr>
          <w:rStyle w:val="FootnoteReference"/>
        </w:rPr>
        <w:footnoteRef/>
      </w:r>
      <w:r>
        <w:t xml:space="preserve"> More information available at: </w:t>
      </w:r>
      <w:r w:rsidRPr="004E5F9F">
        <w:t>http://www.romaniaeducata.eu/</w:t>
      </w:r>
    </w:p>
  </w:footnote>
  <w:footnote w:id="24">
    <w:p w:rsidR="004E5F9F" w:rsidRPr="002B5CFE" w:rsidRDefault="004E5F9F" w:rsidP="004E5F9F">
      <w:pPr>
        <w:pStyle w:val="FootnoteText"/>
        <w:rPr>
          <w:lang w:val="ro-RO"/>
        </w:rPr>
      </w:pPr>
      <w:r>
        <w:rPr>
          <w:rStyle w:val="FootnoteReference"/>
        </w:rPr>
        <w:footnoteRef/>
      </w:r>
      <w:r w:rsidRPr="002B5CFE">
        <w:rPr>
          <w:lang w:val="ro-RO"/>
        </w:rPr>
        <w:t xml:space="preserve"> </w:t>
      </w:r>
      <w:r>
        <w:rPr>
          <w:lang w:val="ro-RO"/>
        </w:rPr>
        <w:t>Please see: Education and Training Monitor</w:t>
      </w:r>
      <w:r w:rsidR="00483F88">
        <w:rPr>
          <w:lang w:val="ro-RO"/>
        </w:rPr>
        <w:t xml:space="preserve"> 2020</w:t>
      </w:r>
      <w:r>
        <w:rPr>
          <w:lang w:val="ro-RO"/>
        </w:rPr>
        <w:t xml:space="preserve">, page 3. Available at: </w:t>
      </w:r>
      <w:hyperlink r:id="rId7" w:history="1">
        <w:r w:rsidRPr="00FC3D43">
          <w:rPr>
            <w:rStyle w:val="Hyperlink"/>
            <w:lang w:val="ro-RO"/>
          </w:rPr>
          <w:t>https://op.europa.eu/en/publication-detail/-/publication/8d1829d7-2495-11eb-9d7e-01aa75ed71a1/language-en/format-PDF/source-171316001</w:t>
        </w:r>
      </w:hyperlink>
    </w:p>
  </w:footnote>
  <w:footnote w:id="25">
    <w:p w:rsidR="00E97EF9" w:rsidRDefault="00E97EF9">
      <w:pPr>
        <w:pStyle w:val="FootnoteText"/>
      </w:pPr>
      <w:r>
        <w:rPr>
          <w:rStyle w:val="FootnoteReference"/>
        </w:rPr>
        <w:footnoteRef/>
      </w:r>
      <w:r>
        <w:t xml:space="preserve"> </w:t>
      </w:r>
      <w:r>
        <w:rPr>
          <w:lang w:val="ro-RO"/>
        </w:rPr>
        <w:t>Please see: Education and Training Monitor</w:t>
      </w:r>
      <w:r w:rsidR="00483F88">
        <w:rPr>
          <w:lang w:val="ro-RO"/>
        </w:rPr>
        <w:t xml:space="preserve"> 2020</w:t>
      </w:r>
      <w:r>
        <w:rPr>
          <w:lang w:val="ro-RO"/>
        </w:rPr>
        <w:t xml:space="preserve">, page 4. Available at: </w:t>
      </w:r>
      <w:hyperlink r:id="rId8" w:history="1">
        <w:r w:rsidRPr="00FC3D43">
          <w:rPr>
            <w:rStyle w:val="Hyperlink"/>
            <w:lang w:val="ro-RO"/>
          </w:rPr>
          <w:t>https://op.europa.eu/en/publication-detail/-/publication/8d1829d7-2495-11eb-9d7e-01aa75ed71a1/language-en/format-PDF/source-171316001</w:t>
        </w:r>
      </w:hyperlink>
    </w:p>
  </w:footnote>
  <w:footnote w:id="26">
    <w:p w:rsidR="00483F88" w:rsidRDefault="00483F88">
      <w:pPr>
        <w:pStyle w:val="FootnoteText"/>
      </w:pPr>
      <w:r>
        <w:rPr>
          <w:rStyle w:val="FootnoteReference"/>
        </w:rPr>
        <w:footnoteRef/>
      </w:r>
      <w:r>
        <w:t xml:space="preserve"> </w:t>
      </w:r>
      <w:r w:rsidRPr="00483F88">
        <w:t>https://appsso.eurostat.ec.europa.eu/nui/show.do?dataset=isoc_sk_dskl_i&amp;lang=en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DF2" w:rsidRDefault="00316DF2" w:rsidP="00B40148">
    <w:pPr>
      <w:pStyle w:val="Header"/>
      <w:jc w:val="center"/>
    </w:pPr>
    <w:r>
      <w:rPr>
        <w:noProof/>
        <w:lang w:val="en-GB" w:eastAsia="en-GB"/>
      </w:rPr>
      <w:drawing>
        <wp:inline distT="0" distB="0" distL="0" distR="0" wp14:anchorId="0047D25D" wp14:editId="5E5DF367">
          <wp:extent cx="1323975" cy="1323975"/>
          <wp:effectExtent l="0" t="0" r="9525" b="9525"/>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323975" cy="1323975"/>
                  </a:xfrm>
                  <a:prstGeom prst="rect">
                    <a:avLst/>
                  </a:prstGeom>
                </pic:spPr>
              </pic:pic>
            </a:graphicData>
          </a:graphic>
        </wp:inline>
      </w:drawing>
    </w:r>
  </w:p>
  <w:p w:rsidR="00316DF2" w:rsidRDefault="00316D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DF2" w:rsidRDefault="00316DF2">
    <w:pPr>
      <w:pStyle w:val="Header"/>
    </w:pPr>
  </w:p>
  <w:p w:rsidR="00316DF2" w:rsidRDefault="00316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8C51BA"/>
    <w:multiLevelType w:val="multilevel"/>
    <w:tmpl w:val="39BC5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33434A"/>
    <w:multiLevelType w:val="hybridMultilevel"/>
    <w:tmpl w:val="7BC4A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DF2"/>
    <w:rsid w:val="00001350"/>
    <w:rsid w:val="00026049"/>
    <w:rsid w:val="00041151"/>
    <w:rsid w:val="000D7FF9"/>
    <w:rsid w:val="001446E2"/>
    <w:rsid w:val="00226BBE"/>
    <w:rsid w:val="00316DF2"/>
    <w:rsid w:val="003712C0"/>
    <w:rsid w:val="003C2C1F"/>
    <w:rsid w:val="00457CDB"/>
    <w:rsid w:val="00483F88"/>
    <w:rsid w:val="004D1E46"/>
    <w:rsid w:val="004E5F9F"/>
    <w:rsid w:val="006C2F40"/>
    <w:rsid w:val="006C2F46"/>
    <w:rsid w:val="007937A5"/>
    <w:rsid w:val="007D4916"/>
    <w:rsid w:val="00880CD0"/>
    <w:rsid w:val="008936BD"/>
    <w:rsid w:val="00934548"/>
    <w:rsid w:val="00956989"/>
    <w:rsid w:val="009917C5"/>
    <w:rsid w:val="009F6516"/>
    <w:rsid w:val="00A13B03"/>
    <w:rsid w:val="00AA14CB"/>
    <w:rsid w:val="00B24C09"/>
    <w:rsid w:val="00B306A6"/>
    <w:rsid w:val="00B40148"/>
    <w:rsid w:val="00B45777"/>
    <w:rsid w:val="00C34082"/>
    <w:rsid w:val="00C80B25"/>
    <w:rsid w:val="00D50D12"/>
    <w:rsid w:val="00D722C4"/>
    <w:rsid w:val="00D82C75"/>
    <w:rsid w:val="00DB5977"/>
    <w:rsid w:val="00E66027"/>
    <w:rsid w:val="00E97EF9"/>
    <w:rsid w:val="00F5633F"/>
    <w:rsid w:val="00FA57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6EFEA7E4-2939-4AD9-BFE9-5014BC83D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C2F4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936B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6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DF2"/>
  </w:style>
  <w:style w:type="paragraph" w:styleId="Footer">
    <w:name w:val="footer"/>
    <w:basedOn w:val="Normal"/>
    <w:link w:val="FooterChar"/>
    <w:uiPriority w:val="99"/>
    <w:unhideWhenUsed/>
    <w:rsid w:val="00316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DF2"/>
  </w:style>
  <w:style w:type="character" w:customStyle="1" w:styleId="Heading1Char">
    <w:name w:val="Heading 1 Char"/>
    <w:basedOn w:val="DefaultParagraphFont"/>
    <w:link w:val="Heading1"/>
    <w:uiPriority w:val="9"/>
    <w:rsid w:val="006C2F40"/>
    <w:rPr>
      <w:rFonts w:asciiTheme="majorHAnsi" w:eastAsiaTheme="majorEastAsia" w:hAnsiTheme="majorHAnsi" w:cstheme="majorBidi"/>
      <w:color w:val="2E74B5" w:themeColor="accent1" w:themeShade="BF"/>
      <w:sz w:val="32"/>
      <w:szCs w:val="32"/>
    </w:rPr>
  </w:style>
  <w:style w:type="paragraph" w:styleId="FootnoteText">
    <w:name w:val="footnote text"/>
    <w:basedOn w:val="Normal"/>
    <w:link w:val="FootnoteTextChar"/>
    <w:uiPriority w:val="99"/>
    <w:unhideWhenUsed/>
    <w:rsid w:val="006C2F40"/>
    <w:pPr>
      <w:spacing w:after="0" w:line="240" w:lineRule="auto"/>
    </w:pPr>
    <w:rPr>
      <w:sz w:val="20"/>
      <w:szCs w:val="20"/>
    </w:rPr>
  </w:style>
  <w:style w:type="character" w:customStyle="1" w:styleId="FootnoteTextChar">
    <w:name w:val="Footnote Text Char"/>
    <w:basedOn w:val="DefaultParagraphFont"/>
    <w:link w:val="FootnoteText"/>
    <w:uiPriority w:val="99"/>
    <w:rsid w:val="006C2F40"/>
    <w:rPr>
      <w:sz w:val="20"/>
      <w:szCs w:val="20"/>
    </w:rPr>
  </w:style>
  <w:style w:type="character" w:styleId="FootnoteReference">
    <w:name w:val="footnote reference"/>
    <w:basedOn w:val="DefaultParagraphFont"/>
    <w:uiPriority w:val="99"/>
    <w:unhideWhenUsed/>
    <w:rsid w:val="006C2F40"/>
    <w:rPr>
      <w:vertAlign w:val="superscript"/>
    </w:rPr>
  </w:style>
  <w:style w:type="paragraph" w:styleId="ListParagraph">
    <w:name w:val="List Paragraph"/>
    <w:basedOn w:val="Normal"/>
    <w:uiPriority w:val="34"/>
    <w:qFormat/>
    <w:rsid w:val="006C2F40"/>
    <w:pPr>
      <w:ind w:left="720"/>
      <w:contextualSpacing/>
    </w:pPr>
  </w:style>
  <w:style w:type="character" w:styleId="Hyperlink">
    <w:name w:val="Hyperlink"/>
    <w:basedOn w:val="DefaultParagraphFont"/>
    <w:uiPriority w:val="99"/>
    <w:unhideWhenUsed/>
    <w:rsid w:val="00D722C4"/>
    <w:rPr>
      <w:color w:val="0563C1" w:themeColor="hyperlink"/>
      <w:u w:val="single"/>
    </w:rPr>
  </w:style>
  <w:style w:type="table" w:styleId="TableGrid">
    <w:name w:val="Table Grid"/>
    <w:basedOn w:val="TableNormal"/>
    <w:uiPriority w:val="39"/>
    <w:rsid w:val="00371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34082"/>
    <w:rPr>
      <w:color w:val="954F72" w:themeColor="followedHyperlink"/>
      <w:u w:val="single"/>
    </w:rPr>
  </w:style>
  <w:style w:type="character" w:customStyle="1" w:styleId="Heading2Char">
    <w:name w:val="Heading 2 Char"/>
    <w:basedOn w:val="DefaultParagraphFont"/>
    <w:link w:val="Heading2"/>
    <w:uiPriority w:val="9"/>
    <w:rsid w:val="008936BD"/>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27730">
      <w:bodyDiv w:val="1"/>
      <w:marLeft w:val="0"/>
      <w:marRight w:val="0"/>
      <w:marTop w:val="0"/>
      <w:marBottom w:val="0"/>
      <w:divBdr>
        <w:top w:val="none" w:sz="0" w:space="0" w:color="auto"/>
        <w:left w:val="none" w:sz="0" w:space="0" w:color="auto"/>
        <w:bottom w:val="none" w:sz="0" w:space="0" w:color="auto"/>
        <w:right w:val="none" w:sz="0" w:space="0" w:color="auto"/>
      </w:divBdr>
    </w:div>
    <w:div w:id="1132480196">
      <w:bodyDiv w:val="1"/>
      <w:marLeft w:val="0"/>
      <w:marRight w:val="0"/>
      <w:marTop w:val="0"/>
      <w:marBottom w:val="0"/>
      <w:divBdr>
        <w:top w:val="none" w:sz="0" w:space="0" w:color="auto"/>
        <w:left w:val="none" w:sz="0" w:space="0" w:color="auto"/>
        <w:bottom w:val="none" w:sz="0" w:space="0" w:color="auto"/>
        <w:right w:val="none" w:sz="0" w:space="0" w:color="auto"/>
      </w:divBdr>
    </w:div>
    <w:div w:id="1165514995">
      <w:bodyDiv w:val="1"/>
      <w:marLeft w:val="0"/>
      <w:marRight w:val="0"/>
      <w:marTop w:val="0"/>
      <w:marBottom w:val="0"/>
      <w:divBdr>
        <w:top w:val="none" w:sz="0" w:space="0" w:color="auto"/>
        <w:left w:val="none" w:sz="0" w:space="0" w:color="auto"/>
        <w:bottom w:val="none" w:sz="0" w:space="0" w:color="auto"/>
        <w:right w:val="none" w:sz="0" w:space="0" w:color="auto"/>
      </w:divBdr>
    </w:div>
    <w:div w:id="1497261273">
      <w:bodyDiv w:val="1"/>
      <w:marLeft w:val="0"/>
      <w:marRight w:val="0"/>
      <w:marTop w:val="0"/>
      <w:marBottom w:val="0"/>
      <w:divBdr>
        <w:top w:val="none" w:sz="0" w:space="0" w:color="auto"/>
        <w:left w:val="none" w:sz="0" w:space="0" w:color="auto"/>
        <w:bottom w:val="none" w:sz="0" w:space="0" w:color="auto"/>
        <w:right w:val="none" w:sz="0" w:space="0" w:color="auto"/>
      </w:divBdr>
    </w:div>
    <w:div w:id="1666322050">
      <w:bodyDiv w:val="1"/>
      <w:marLeft w:val="0"/>
      <w:marRight w:val="0"/>
      <w:marTop w:val="0"/>
      <w:marBottom w:val="0"/>
      <w:divBdr>
        <w:top w:val="none" w:sz="0" w:space="0" w:color="auto"/>
        <w:left w:val="none" w:sz="0" w:space="0" w:color="auto"/>
        <w:bottom w:val="none" w:sz="0" w:space="0" w:color="auto"/>
        <w:right w:val="none" w:sz="0" w:space="0" w:color="auto"/>
      </w:divBdr>
    </w:div>
    <w:div w:id="1699502511">
      <w:bodyDiv w:val="1"/>
      <w:marLeft w:val="0"/>
      <w:marRight w:val="0"/>
      <w:marTop w:val="0"/>
      <w:marBottom w:val="0"/>
      <w:divBdr>
        <w:top w:val="none" w:sz="0" w:space="0" w:color="auto"/>
        <w:left w:val="none" w:sz="0" w:space="0" w:color="auto"/>
        <w:bottom w:val="none" w:sz="0" w:space="0" w:color="auto"/>
        <w:right w:val="none" w:sz="0" w:space="0" w:color="auto"/>
      </w:divBdr>
    </w:div>
    <w:div w:id="191157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op.europa.eu/en/publication-detail/-/publication/8d1829d7-2495-11eb-9d7e-01aa75ed71a1/language-en/format-PDF/source-171316001" TargetMode="External"/><Relationship Id="rId3" Type="http://schemas.openxmlformats.org/officeDocument/2006/relationships/hyperlink" Target="http://revista.irdo.ro/pdf/2021/revista_1_2021/05_Articol_Balan.pdf" TargetMode="External"/><Relationship Id="rId7" Type="http://schemas.openxmlformats.org/officeDocument/2006/relationships/hyperlink" Target="https://op.europa.eu/en/publication-detail/-/publication/8d1829d7-2495-11eb-9d7e-01aa75ed71a1/language-en/format-PDF/source-171316001" TargetMode="External"/><Relationship Id="rId2" Type="http://schemas.openxmlformats.org/officeDocument/2006/relationships/hyperlink" Target="https://www.bbc.com/news/world-europe-34684973" TargetMode="External"/><Relationship Id="rId1" Type="http://schemas.openxmlformats.org/officeDocument/2006/relationships/hyperlink" Target="http://andpdca.gov.ro/w/wp-content/uploads/2020/12/Diagnoza-situatiei-persoanelor-cu-dizabilitati-in-Romania-2020-RO.pdf" TargetMode="External"/><Relationship Id="rId6" Type="http://schemas.openxmlformats.org/officeDocument/2006/relationships/hyperlink" Target="http://www.ms.ro/wp-content/uploads/2020/12/Raport-de-activitate-pentru-anul-2019-1.pdf" TargetMode="External"/><Relationship Id="rId5" Type="http://schemas.openxmlformats.org/officeDocument/2006/relationships/hyperlink" Target="https://read.oecd-ilibrary.org/social-issues-migration-health/romania-country-health-profile-2019_f345b1db-en" TargetMode="External"/><Relationship Id="rId4" Type="http://schemas.openxmlformats.org/officeDocument/2006/relationships/hyperlink" Target="https://insp.gov.ro/sites/cnepss/wp-content/uploads/2020/12/Raport-Starea-de-Sanatate-201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EE6A50-F772-40F4-B622-F2FDEF9AEFC6}">
  <ds:schemaRefs>
    <ds:schemaRef ds:uri="http://schemas.openxmlformats.org/officeDocument/2006/bibliography"/>
  </ds:schemaRefs>
</ds:datastoreItem>
</file>

<file path=customXml/itemProps2.xml><?xml version="1.0" encoding="utf-8"?>
<ds:datastoreItem xmlns:ds="http://schemas.openxmlformats.org/officeDocument/2006/customXml" ds:itemID="{E4BE871A-F08D-4571-87AC-23727AB6EBC4}"/>
</file>

<file path=customXml/itemProps3.xml><?xml version="1.0" encoding="utf-8"?>
<ds:datastoreItem xmlns:ds="http://schemas.openxmlformats.org/officeDocument/2006/customXml" ds:itemID="{E5812320-D6A6-4713-9C9A-54DD17237CA9}"/>
</file>

<file path=customXml/itemProps4.xml><?xml version="1.0" encoding="utf-8"?>
<ds:datastoreItem xmlns:ds="http://schemas.openxmlformats.org/officeDocument/2006/customXml" ds:itemID="{CC1C24CE-5D9F-49C9-8AEC-342D9982AF84}"/>
</file>

<file path=docProps/app.xml><?xml version="1.0" encoding="utf-8"?>
<Properties xmlns="http://schemas.openxmlformats.org/officeDocument/2006/extended-properties" xmlns:vt="http://schemas.openxmlformats.org/officeDocument/2006/docPropsVTypes">
  <Template>Normal.dotm</Template>
  <TotalTime>0</TotalTime>
  <Pages>8</Pages>
  <Words>2860</Words>
  <Characters>16303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c:creator>
  <cp:keywords/>
  <dc:description/>
  <cp:lastModifiedBy>REYNAUD Céline</cp:lastModifiedBy>
  <cp:revision>2</cp:revision>
  <dcterms:created xsi:type="dcterms:W3CDTF">2021-08-31T19:59:00Z</dcterms:created>
  <dcterms:modified xsi:type="dcterms:W3CDTF">2021-08-31T19:59:00Z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