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BF7" w:rsidRPr="001D7F77" w:rsidRDefault="007C645C">
      <w:pPr>
        <w:spacing w:after="0" w:line="360" w:lineRule="auto"/>
        <w:jc w:val="center"/>
        <w:rPr>
          <w:rFonts w:ascii="Times New Roman" w:hAnsi="Times New Roman" w:cs="Times New Roman"/>
          <w:b/>
          <w:sz w:val="24"/>
        </w:rPr>
      </w:pPr>
      <w:r w:rsidRPr="001D7F77">
        <w:rPr>
          <w:rFonts w:ascii="Times New Roman" w:hAnsi="Times New Roman" w:cs="Times New Roman"/>
          <w:b/>
          <w:sz w:val="24"/>
        </w:rPr>
        <w:t>CONTRIBUCIÓN DE LA ASOCIACIÓN VENEZOLANA DE JURISTAS A LA LISTA DE CUESTIONES PREVIAA LA PRESENTACIÓN DEL INFORMEDE LA REPÚBLICA BOLIVARIANA DE VENEZUELA</w:t>
      </w:r>
    </w:p>
    <w:p w:rsidR="007C0BF7" w:rsidRPr="001D7F77" w:rsidRDefault="007C0BF7">
      <w:pPr>
        <w:spacing w:after="0" w:line="360" w:lineRule="auto"/>
        <w:jc w:val="both"/>
        <w:rPr>
          <w:rFonts w:ascii="Times New Roman" w:hAnsi="Times New Roman" w:cs="Times New Roman"/>
          <w:b/>
          <w:sz w:val="24"/>
        </w:rPr>
      </w:pP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t>Tenemos el agrado de dirigirnos al Comité de Derechos Humanos, como organización de la sociedad civil, a fin de hacerle formal entrega de la lista de cuestiones previa a la presentación del informe de la República Bolivariana de Venezuela en el marco de la 136º sesión a realizarse del 10 de octubre al 4 de noviembre de 2022, donde se adoptará la lista de cuestiones de la República Bolivariana de Venezuela.</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t xml:space="preserve">La </w:t>
      </w:r>
      <w:r w:rsidRPr="001D7F77">
        <w:rPr>
          <w:rFonts w:ascii="Times New Roman" w:hAnsi="Times New Roman" w:cs="Times New Roman"/>
          <w:i/>
          <w:sz w:val="24"/>
        </w:rPr>
        <w:t>Asociación Venezolana de Juristas (AVJ)</w:t>
      </w:r>
      <w:r w:rsidRPr="001D7F77">
        <w:rPr>
          <w:rFonts w:ascii="Times New Roman" w:hAnsi="Times New Roman" w:cs="Times New Roman"/>
          <w:sz w:val="24"/>
        </w:rPr>
        <w:t xml:space="preserve">, es una asociación civil venezolana, constituida por juristas de reconocida trayectoria, con amplia experiencia en investigación académica, docencia universitaria y ejercicio de la abogacía, en el sector público, privado y comunal, que tiene por objeto la defensa de los derechos humanos, la democracia social y el Estado de Derecho. La </w:t>
      </w:r>
      <w:r w:rsidRPr="001D7F77">
        <w:rPr>
          <w:rFonts w:ascii="Times New Roman" w:hAnsi="Times New Roman" w:cs="Times New Roman"/>
          <w:i/>
          <w:sz w:val="24"/>
        </w:rPr>
        <w:t>Asociación Venezolana de Juristas</w:t>
      </w:r>
      <w:r w:rsidRPr="001D7F77">
        <w:rPr>
          <w:rFonts w:ascii="Times New Roman" w:hAnsi="Times New Roman" w:cs="Times New Roman"/>
          <w:sz w:val="24"/>
        </w:rPr>
        <w:t xml:space="preserve"> es integrante de la Asociación Internacional de Juristas Demócratas y la Asociación Americana de Juristas, que tienen estatus consultivo en la Organización de las Naciones Unidas.</w:t>
      </w:r>
    </w:p>
    <w:p w:rsidR="007C0BF7" w:rsidRPr="001D7F77" w:rsidRDefault="007C0BF7">
      <w:pPr>
        <w:spacing w:after="0" w:line="360" w:lineRule="auto"/>
        <w:jc w:val="both"/>
        <w:rPr>
          <w:rFonts w:ascii="Times New Roman" w:hAnsi="Times New Roman" w:cs="Times New Roman"/>
          <w:b/>
          <w:sz w:val="24"/>
        </w:rPr>
      </w:pPr>
    </w:p>
    <w:p w:rsidR="007C0BF7" w:rsidRPr="001D7F77" w:rsidRDefault="007C645C">
      <w:pPr>
        <w:spacing w:after="0" w:line="360" w:lineRule="auto"/>
        <w:jc w:val="both"/>
        <w:rPr>
          <w:rFonts w:ascii="Times New Roman" w:hAnsi="Times New Roman" w:cs="Times New Roman"/>
          <w:b/>
          <w:sz w:val="24"/>
        </w:rPr>
      </w:pPr>
      <w:r w:rsidRPr="001D7F77">
        <w:rPr>
          <w:rFonts w:ascii="Times New Roman" w:hAnsi="Times New Roman" w:cs="Times New Roman"/>
          <w:b/>
          <w:sz w:val="24"/>
        </w:rPr>
        <w:t>Artículo 1</w:t>
      </w:r>
    </w:p>
    <w:p w:rsidR="007C0BF7" w:rsidRPr="001D7F77" w:rsidRDefault="007C645C">
      <w:pPr>
        <w:spacing w:after="0" w:line="360" w:lineRule="auto"/>
        <w:jc w:val="both"/>
        <w:rPr>
          <w:rFonts w:ascii="Times New Roman" w:hAnsi="Times New Roman" w:cs="Times New Roman"/>
          <w:i/>
          <w:sz w:val="24"/>
        </w:rPr>
      </w:pPr>
      <w:r w:rsidRPr="001D7F77">
        <w:rPr>
          <w:rFonts w:ascii="Times New Roman" w:hAnsi="Times New Roman" w:cs="Times New Roman"/>
          <w:i/>
          <w:sz w:val="24"/>
        </w:rPr>
        <w:t>Derecho de los pueblos a la libre determinación</w:t>
      </w:r>
    </w:p>
    <w:p w:rsidR="007C0BF7" w:rsidRPr="001D7F77" w:rsidRDefault="001D7F77">
      <w:pPr>
        <w:spacing w:after="0" w:line="360" w:lineRule="auto"/>
        <w:jc w:val="both"/>
        <w:rPr>
          <w:rFonts w:ascii="Times New Roman" w:hAnsi="Times New Roman" w:cs="Times New Roman"/>
          <w:sz w:val="24"/>
        </w:rPr>
      </w:pPr>
      <w:r>
        <w:rPr>
          <w:rFonts w:ascii="Times New Roman" w:hAnsi="Times New Roman" w:cs="Times New Roman"/>
          <w:sz w:val="24"/>
        </w:rPr>
        <w:t xml:space="preserve">1. </w:t>
      </w:r>
      <w:r w:rsidR="007C645C" w:rsidRPr="001D7F77">
        <w:rPr>
          <w:rFonts w:ascii="Times New Roman" w:hAnsi="Times New Roman" w:cs="Times New Roman"/>
          <w:sz w:val="24"/>
        </w:rPr>
        <w:t>La Constitución de la República Bolivariana de Venezuela establece la autodeterminación como un derecho irrenunciable de la Nación (art.1). Durante los últimos años, Venezuela ha sido objeto de un régimen sancionatorio impuesto principalmente por los Estados Unidos de América desde diciembre de 2014, que inicia cuando el Congreso de EE.UU., sanciona la Ley Pública 113-278, titulada Ley Pública de Defensa de los Derechos Humanos y la Sociedad Civil.</w:t>
      </w:r>
      <w:r w:rsidR="007C645C" w:rsidRPr="001D7F77">
        <w:rPr>
          <w:rStyle w:val="Refdenotaalpie"/>
          <w:rFonts w:ascii="Times New Roman" w:hAnsi="Times New Roman" w:cs="Times New Roman"/>
          <w:sz w:val="24"/>
        </w:rPr>
        <w:footnoteReference w:id="1"/>
      </w:r>
      <w:r w:rsidR="007C645C" w:rsidRPr="001D7F77">
        <w:rPr>
          <w:rFonts w:ascii="Times New Roman" w:hAnsi="Times New Roman" w:cs="Times New Roman"/>
          <w:sz w:val="24"/>
        </w:rPr>
        <w:t xml:space="preserve"> A partir de allí, las medidas coercitivas unilaterales contra Venezuela tienen como propósito producir un cambio político y en el desarrollo económico, social y cultural, a través de la imposición de restricciones, obstáculos, congelamiento de activos, confiscación, entre otros mecanismos que han generado un bloqueo económico, financiero y comercial.</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lastRenderedPageBreak/>
        <w:t>2. Por lo tanto, se han presentado obstáculos en el cumplimiento de las obligaciones por parte del Estado venezolano debido a las dificultades para disponer libremente de las riquezas y recursos naturales de la República Bolivariana de Venezuela. Las medidas coercitivas unilaterales han impedido a Petróleos de Venezuela S.A. (PDVSA); el Banco Central de Venezuela, entes del Estado con competencia en materia de políticas monetarias, financieras y control cambiario; el cripto-activo Petro, entre otros, su normal funcionamiento y de manera especial PDVSA, ha visto dificultado su actividad y la inyección de los recursos proveniente de la venta del petróleo para el financiami</w:t>
      </w:r>
      <w:r w:rsidR="00C70153">
        <w:rPr>
          <w:rFonts w:ascii="Times New Roman" w:hAnsi="Times New Roman" w:cs="Times New Roman"/>
          <w:sz w:val="24"/>
        </w:rPr>
        <w:t>ento de las políticas públicas.</w:t>
      </w:r>
      <w:r w:rsidRPr="001D7F77">
        <w:rPr>
          <w:rFonts w:ascii="Times New Roman" w:hAnsi="Times New Roman" w:cs="Times New Roman"/>
          <w:sz w:val="24"/>
        </w:rPr>
        <w:t xml:space="preserve"> A pesar de lo mencionado anteriormente, cabe destacar que el Estado ha seguido promoviendo y garantizando los derechos humanos de toda la población, en la medida de sus capacidades, las cuales han sufrido las repercusiones negativas de las medidas coercitivas unilaterales.</w:t>
      </w:r>
    </w:p>
    <w:p w:rsidR="007C0BF7" w:rsidRPr="001D7F77" w:rsidRDefault="007C0BF7">
      <w:pPr>
        <w:spacing w:after="0" w:line="360" w:lineRule="auto"/>
        <w:jc w:val="both"/>
        <w:rPr>
          <w:rFonts w:ascii="Times New Roman" w:hAnsi="Times New Roman" w:cs="Times New Roman"/>
          <w:sz w:val="24"/>
        </w:rPr>
      </w:pPr>
    </w:p>
    <w:tbl>
      <w:tblPr>
        <w:tblStyle w:val="Tablaconcuadrcula"/>
        <w:tblW w:w="0" w:type="auto"/>
        <w:tblLook w:val="04A0" w:firstRow="1" w:lastRow="0" w:firstColumn="1" w:lastColumn="0" w:noHBand="0" w:noVBand="1"/>
      </w:tblPr>
      <w:tblGrid>
        <w:gridCol w:w="8494"/>
      </w:tblGrid>
      <w:tr w:rsidR="007C0BF7" w:rsidRPr="001D7F77">
        <w:tc>
          <w:tcPr>
            <w:tcW w:w="8494" w:type="dxa"/>
          </w:tcPr>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respetuosamente recomienda al Comité considerar el impacto de las medidas coercitivas unilaterales y los efectos del bloqueo económico, financiero y comercial sobre los derechos humanos del pueblo venezolano, así como el derecho a la libre determinación y derecho al desarrollo.</w:t>
            </w:r>
          </w:p>
        </w:tc>
      </w:tr>
    </w:tbl>
    <w:p w:rsidR="007C0BF7" w:rsidRPr="001D7F77" w:rsidRDefault="007C0BF7">
      <w:pPr>
        <w:spacing w:after="0" w:line="360" w:lineRule="auto"/>
        <w:jc w:val="both"/>
        <w:rPr>
          <w:rFonts w:ascii="Times New Roman" w:hAnsi="Times New Roman" w:cs="Times New Roman"/>
          <w:sz w:val="24"/>
        </w:rPr>
      </w:pPr>
    </w:p>
    <w:p w:rsidR="007C0BF7" w:rsidRPr="001D7F77" w:rsidRDefault="007C645C">
      <w:pPr>
        <w:spacing w:after="0" w:line="360" w:lineRule="auto"/>
        <w:jc w:val="both"/>
        <w:rPr>
          <w:rFonts w:ascii="Times New Roman" w:hAnsi="Times New Roman" w:cs="Times New Roman"/>
          <w:b/>
          <w:sz w:val="24"/>
        </w:rPr>
      </w:pPr>
      <w:r w:rsidRPr="001D7F77">
        <w:rPr>
          <w:rFonts w:ascii="Times New Roman" w:hAnsi="Times New Roman" w:cs="Times New Roman"/>
          <w:b/>
          <w:sz w:val="24"/>
        </w:rPr>
        <w:t>Artículo 2</w:t>
      </w:r>
    </w:p>
    <w:p w:rsidR="007C0BF7" w:rsidRPr="001D7F77" w:rsidRDefault="007C645C">
      <w:pPr>
        <w:spacing w:after="0" w:line="360" w:lineRule="auto"/>
        <w:jc w:val="both"/>
        <w:rPr>
          <w:rFonts w:ascii="Times New Roman" w:hAnsi="Times New Roman" w:cs="Times New Roman"/>
          <w:i/>
          <w:sz w:val="24"/>
        </w:rPr>
      </w:pPr>
      <w:r w:rsidRPr="001D7F77">
        <w:rPr>
          <w:rFonts w:ascii="Times New Roman" w:hAnsi="Times New Roman" w:cs="Times New Roman"/>
          <w:i/>
          <w:sz w:val="24"/>
        </w:rPr>
        <w:t>Marco jurídico, constitucional y no discriminatorio en el que se implementa el Pacto</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t xml:space="preserve">3. El Estado ha realizado una serie de reformas normativas en materia de Sistema de Justicia que han sido llevadas a cabo por el Poder Legislativo a partir de la constitución de la Asamblea Nacional durante los años </w:t>
      </w:r>
      <w:r w:rsidR="003D7BCB">
        <w:rPr>
          <w:rFonts w:ascii="Times New Roman" w:hAnsi="Times New Roman" w:cs="Times New Roman"/>
          <w:sz w:val="24"/>
        </w:rPr>
        <w:t>2021 y 2022. Durante este período</w:t>
      </w:r>
      <w:r w:rsidRPr="001D7F77">
        <w:rPr>
          <w:rFonts w:ascii="Times New Roman" w:hAnsi="Times New Roman" w:cs="Times New Roman"/>
          <w:sz w:val="24"/>
        </w:rPr>
        <w:t xml:space="preserve"> se han reformado un importante número de leyes con un enfoque de derechos humanos, perspectiva de género, de edad y en favor de grupos en condición de vulnerabilidad. Desde la instalación de la Asamblea Nacional se pueden destacar las siguientes reformas</w:t>
      </w:r>
      <w:bookmarkStart w:id="0" w:name="_GoBack"/>
      <w:bookmarkEnd w:id="0"/>
      <w:r w:rsidRPr="001D7F77">
        <w:rPr>
          <w:rFonts w:ascii="Times New Roman" w:hAnsi="Times New Roman" w:cs="Times New Roman"/>
          <w:sz w:val="24"/>
        </w:rPr>
        <w:t xml:space="preserve"> y nuevas leyes con competencia en materia judicial y de derechos humanos.</w:t>
      </w:r>
      <w:r w:rsidRPr="001D7F77">
        <w:rPr>
          <w:rStyle w:val="Refdenotaalpie"/>
          <w:rFonts w:ascii="Times New Roman" w:hAnsi="Times New Roman" w:cs="Times New Roman"/>
          <w:sz w:val="24"/>
        </w:rPr>
        <w:footnoteReference w:id="2"/>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Orgánica de Reforma del Código Orgánico de Justicia Militar.</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Orgánica de Reforma del Código Orgánico Penitenciario.</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Orgánica de Reforma del Código Procesal Penal.</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lastRenderedPageBreak/>
        <w:t>Ley de Reforma a la Ley de Protección de Victimas, Testigos y demás sujetos procesales.</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de Reforma de la Ley del Estatuto de Policía de Investigación.</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de Reforma Parcial del Estatuto de la Función Policial.</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de Transparencia y Acceso a la Información Pública.</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Orgánica de Amparo a la Libertad y Seguridad Personal.</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de la Comisión para la Garantía de Justicia y Reparación de las Víctimas de Delitos contra los Derechos Humanos.</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para el Respeto de los Derechos Humanos de la Función Pública.</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Orgánica de Reforma de la Ley Orgánica del Tribunal Supremo de Justicia.</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Orgánica de Reforma Parcial de la Ley Orgánica de la Defensa Pública.</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de Reforma a la Ley Orgánica Sobre el Derecho de las Mujeres a una vida Libre de violencia.</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Orgánica de Reforma de la Ley Orgánica contra la Discriminación Racial.</w:t>
      </w:r>
    </w:p>
    <w:p w:rsidR="007C0BF7" w:rsidRPr="001D7F77" w:rsidRDefault="007C645C">
      <w:pPr>
        <w:pStyle w:val="Prrafodelista"/>
        <w:numPr>
          <w:ilvl w:val="0"/>
          <w:numId w:val="1"/>
        </w:numPr>
        <w:spacing w:after="0" w:line="360" w:lineRule="auto"/>
        <w:jc w:val="both"/>
        <w:rPr>
          <w:rFonts w:ascii="Times New Roman" w:hAnsi="Times New Roman" w:cs="Times New Roman"/>
          <w:sz w:val="24"/>
        </w:rPr>
      </w:pPr>
      <w:r w:rsidRPr="001D7F77">
        <w:rPr>
          <w:rFonts w:ascii="Times New Roman" w:hAnsi="Times New Roman" w:cs="Times New Roman"/>
          <w:sz w:val="24"/>
        </w:rPr>
        <w:t>Ley de Prevención y Erradicación del Abuso Sexual contra Niñas, Niños y Adolescentes.</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t>4. Aunado a ello, el Ejecutivo Nacional ha anunciado un proceso de reforma del sistema de justicia, por lo que consideramos que la misma debe ser integral y no sólo enfocarse en aspectos penales o legislativos.</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t>5. Para fortalecer la eficiencia y la transparencia en el sistema de administración de Justicia,</w:t>
      </w:r>
      <w:r w:rsidR="001D7F77">
        <w:rPr>
          <w:rFonts w:ascii="Times New Roman" w:hAnsi="Times New Roman" w:cs="Times New Roman"/>
          <w:sz w:val="24"/>
        </w:rPr>
        <w:t xml:space="preserve"> creemos necesaria la revisión</w:t>
      </w:r>
      <w:r w:rsidRPr="001D7F77">
        <w:rPr>
          <w:rFonts w:ascii="Times New Roman" w:hAnsi="Times New Roman" w:cs="Times New Roman"/>
          <w:sz w:val="24"/>
        </w:rPr>
        <w:t xml:space="preserve"> de la Ley de Carrera Judicial, y el Código de Ética del Juez venezolano y Jueza venezolana.</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t xml:space="preserve">6. Para fortalecer el proceso de reforma del sistema </w:t>
      </w:r>
      <w:r w:rsidR="001D7F77">
        <w:rPr>
          <w:rFonts w:ascii="Times New Roman" w:hAnsi="Times New Roman" w:cs="Times New Roman"/>
          <w:sz w:val="24"/>
        </w:rPr>
        <w:t>de justicia, es necesario una amplia participació</w:t>
      </w:r>
      <w:r w:rsidRPr="001D7F77">
        <w:rPr>
          <w:rFonts w:ascii="Times New Roman" w:hAnsi="Times New Roman" w:cs="Times New Roman"/>
          <w:sz w:val="24"/>
        </w:rPr>
        <w:t xml:space="preserve">n de la sociedad civil y en particular de las organizaciones ligadas a la materia, por lo que hacemos un llamado a una consulta pública, que abarque a todos los sectores de la sociedad, para abordar cuestiones ligadas al funcionamiento, accesibilidad y eficacia de la misma. </w:t>
      </w:r>
    </w:p>
    <w:p w:rsidR="007C0BF7" w:rsidRPr="001D7F77" w:rsidRDefault="007C0BF7">
      <w:pPr>
        <w:spacing w:after="0" w:line="360" w:lineRule="auto"/>
        <w:jc w:val="both"/>
        <w:rPr>
          <w:rFonts w:ascii="Times New Roman" w:hAnsi="Times New Roman" w:cs="Times New Roman"/>
          <w:sz w:val="24"/>
        </w:rPr>
      </w:pPr>
    </w:p>
    <w:tbl>
      <w:tblPr>
        <w:tblStyle w:val="Tablaconcuadrcula"/>
        <w:tblW w:w="0" w:type="auto"/>
        <w:tblLook w:val="04A0" w:firstRow="1" w:lastRow="0" w:firstColumn="1" w:lastColumn="0" w:noHBand="0" w:noVBand="1"/>
      </w:tblPr>
      <w:tblGrid>
        <w:gridCol w:w="8494"/>
      </w:tblGrid>
      <w:tr w:rsidR="007C0BF7" w:rsidRPr="001D7F77">
        <w:trPr>
          <w:trHeight w:val="672"/>
        </w:trPr>
        <w:tc>
          <w:tcPr>
            <w:tcW w:w="8494" w:type="dxa"/>
            <w:tcBorders>
              <w:bottom w:val="single" w:sz="4" w:space="0" w:color="auto"/>
            </w:tcBorders>
          </w:tcPr>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respetuosamente recomienda al Comité tomar nota de las recientes reformas normativas aprobadas y sancionadas en materia de Sistema de Justicia y, promoción y garantía de los Derechos Humanos.</w:t>
            </w:r>
          </w:p>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lastRenderedPageBreak/>
              <w:t>Asimismo, recomendamos al Comité requerir al Estado venezolano que se realice una consulta pública, con amplia participación de una diversidad de sectores de la población, de las organizaciones de la Sociedad Civil y los movimientos sociales para fortalecer la reforma judicial anunciada.</w:t>
            </w:r>
          </w:p>
        </w:tc>
      </w:tr>
    </w:tbl>
    <w:p w:rsidR="007C0BF7" w:rsidRPr="001D7F77" w:rsidRDefault="007C0BF7">
      <w:pPr>
        <w:spacing w:after="0" w:line="360" w:lineRule="auto"/>
        <w:jc w:val="both"/>
        <w:rPr>
          <w:rFonts w:ascii="Times New Roman" w:hAnsi="Times New Roman" w:cs="Times New Roman"/>
          <w:b/>
          <w:sz w:val="24"/>
        </w:rPr>
      </w:pPr>
    </w:p>
    <w:p w:rsidR="007C0BF7" w:rsidRPr="001D7F77" w:rsidRDefault="007C645C">
      <w:pPr>
        <w:spacing w:after="0" w:line="360" w:lineRule="auto"/>
        <w:jc w:val="both"/>
        <w:rPr>
          <w:rFonts w:ascii="Times New Roman" w:hAnsi="Times New Roman" w:cs="Times New Roman"/>
          <w:b/>
          <w:sz w:val="24"/>
        </w:rPr>
      </w:pPr>
      <w:r w:rsidRPr="001D7F77">
        <w:rPr>
          <w:rFonts w:ascii="Times New Roman" w:hAnsi="Times New Roman" w:cs="Times New Roman"/>
          <w:b/>
          <w:sz w:val="24"/>
        </w:rPr>
        <w:t>Artículo 9</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i/>
          <w:sz w:val="24"/>
        </w:rPr>
        <w:t>Derecho a la libertad y seguridad personal y prohibición de la detención arbitraria</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t>7. El 22 de septiembre de 2021 entró en vigencia la Ley Orgánica de Amparo a la Libertad y Seguridad Personal</w:t>
      </w:r>
      <w:r w:rsidRPr="001D7F77">
        <w:rPr>
          <w:rStyle w:val="Refdenotaalpie"/>
          <w:rFonts w:ascii="Times New Roman" w:hAnsi="Times New Roman" w:cs="Times New Roman"/>
          <w:sz w:val="24"/>
        </w:rPr>
        <w:footnoteReference w:id="3"/>
      </w:r>
      <w:r w:rsidRPr="001D7F77">
        <w:rPr>
          <w:rFonts w:ascii="Times New Roman" w:hAnsi="Times New Roman" w:cs="Times New Roman"/>
          <w:sz w:val="24"/>
        </w:rPr>
        <w:t xml:space="preserve"> que, de conformidad con lo establecido en el artículo 27 de la Constitución de la República  Bolivariana de Venezuela, tiene por objeto garantizar la protección, respeto, goce y ejercicio de la libertad y seguridad personal a través de la acción de amparo constitucional. Además de establecer los principios que rigen la acción de amparo, así como la garantía en el ejercicio del habeas corpus frente a la privación o restricción de libertad de manera arbitraria. En este orden de ideas, la creación de Tribunales Especializados de Primera Instancia en materia de amparo supone un avance en la progresividad de los derechos y garantías constitucionales a la libertad y seguridad personal donde no exista un Tribunal Especializado.</w:t>
      </w:r>
    </w:p>
    <w:p w:rsidR="007C0BF7" w:rsidRPr="001D7F77" w:rsidRDefault="007C0BF7">
      <w:pPr>
        <w:spacing w:after="0" w:line="360" w:lineRule="auto"/>
        <w:jc w:val="both"/>
        <w:rPr>
          <w:rFonts w:ascii="Times New Roman" w:hAnsi="Times New Roman" w:cs="Times New Roman"/>
          <w:sz w:val="24"/>
        </w:rPr>
      </w:pPr>
    </w:p>
    <w:tbl>
      <w:tblPr>
        <w:tblStyle w:val="Tablaconcuadrcula"/>
        <w:tblW w:w="0" w:type="auto"/>
        <w:tblLook w:val="04A0" w:firstRow="1" w:lastRow="0" w:firstColumn="1" w:lastColumn="0" w:noHBand="0" w:noVBand="1"/>
      </w:tblPr>
      <w:tblGrid>
        <w:gridCol w:w="8494"/>
      </w:tblGrid>
      <w:tr w:rsidR="007C0BF7" w:rsidRPr="001D7F77">
        <w:tc>
          <w:tcPr>
            <w:tcW w:w="8494" w:type="dxa"/>
          </w:tcPr>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reconoce la importancia de esta nueva legislación y la preeminencia del derecho al amparo y garantía del habeas corpus en el ordenamiento jurídico y en los órganos y entes del Poder Judicial de la República Bolivariana de Venezuela.</w:t>
            </w:r>
          </w:p>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 xml:space="preserve">La Asociación Venezolana de Juristas respetuosamente urge al Comité velar por la creación sin dilación de los Tribunales Especializados en materia de amparo a la libertad y seguridad personal en las jurisdicciones donde todavía no hayan sido creados. </w:t>
            </w:r>
          </w:p>
        </w:tc>
      </w:tr>
    </w:tbl>
    <w:p w:rsidR="007C0BF7" w:rsidRPr="001D7F77" w:rsidRDefault="007C0BF7">
      <w:pPr>
        <w:spacing w:after="0" w:line="360" w:lineRule="auto"/>
        <w:jc w:val="both"/>
        <w:rPr>
          <w:rFonts w:ascii="Times New Roman" w:hAnsi="Times New Roman" w:cs="Times New Roman"/>
          <w:sz w:val="24"/>
        </w:rPr>
      </w:pPr>
    </w:p>
    <w:p w:rsidR="007C0BF7" w:rsidRPr="001D7F77" w:rsidRDefault="007C645C">
      <w:pPr>
        <w:spacing w:after="0" w:line="360" w:lineRule="auto"/>
        <w:jc w:val="both"/>
        <w:rPr>
          <w:rFonts w:ascii="Times New Roman" w:hAnsi="Times New Roman" w:cs="Times New Roman"/>
          <w:b/>
          <w:sz w:val="24"/>
        </w:rPr>
      </w:pPr>
      <w:r w:rsidRPr="001D7F77">
        <w:rPr>
          <w:rFonts w:ascii="Times New Roman" w:hAnsi="Times New Roman" w:cs="Times New Roman"/>
          <w:b/>
          <w:sz w:val="24"/>
        </w:rPr>
        <w:t>Artículo 10</w:t>
      </w:r>
    </w:p>
    <w:p w:rsidR="007C0BF7" w:rsidRPr="001D7F77" w:rsidRDefault="007C645C">
      <w:pPr>
        <w:spacing w:after="0" w:line="360" w:lineRule="auto"/>
        <w:jc w:val="both"/>
        <w:rPr>
          <w:rFonts w:ascii="Times New Roman" w:hAnsi="Times New Roman" w:cs="Times New Roman"/>
          <w:i/>
          <w:sz w:val="24"/>
        </w:rPr>
      </w:pPr>
      <w:r w:rsidRPr="001D7F77">
        <w:rPr>
          <w:rFonts w:ascii="Times New Roman" w:hAnsi="Times New Roman" w:cs="Times New Roman"/>
          <w:i/>
          <w:sz w:val="24"/>
        </w:rPr>
        <w:t>Condiciones de las personas privadas de libertad</w:t>
      </w:r>
    </w:p>
    <w:p w:rsidR="007C0BF7" w:rsidRPr="001D7F77" w:rsidRDefault="007C645C">
      <w:pPr>
        <w:spacing w:after="0" w:line="360" w:lineRule="auto"/>
        <w:jc w:val="both"/>
        <w:rPr>
          <w:rFonts w:ascii="Times New Roman" w:hAnsi="Times New Roman" w:cs="Times New Roman"/>
          <w:sz w:val="24"/>
        </w:rPr>
      </w:pPr>
      <w:r w:rsidRPr="001D7F77">
        <w:rPr>
          <w:rFonts w:ascii="Times New Roman" w:hAnsi="Times New Roman" w:cs="Times New Roman"/>
          <w:sz w:val="24"/>
        </w:rPr>
        <w:lastRenderedPageBreak/>
        <w:t>8. La Ley de Reforma del Código Orgánico Penitenciario</w:t>
      </w:r>
      <w:r w:rsidRPr="001D7F77">
        <w:rPr>
          <w:rStyle w:val="Refdenotaalpie"/>
          <w:rFonts w:ascii="Times New Roman" w:hAnsi="Times New Roman" w:cs="Times New Roman"/>
          <w:sz w:val="24"/>
        </w:rPr>
        <w:footnoteReference w:id="4"/>
      </w:r>
      <w:r w:rsidRPr="001D7F77">
        <w:rPr>
          <w:rFonts w:ascii="Times New Roman" w:hAnsi="Times New Roman" w:cs="Times New Roman"/>
          <w:sz w:val="24"/>
        </w:rPr>
        <w:t xml:space="preserve"> presenta modificaciones que promueven los derechos y garantías de las personas privadas de libertad, refiriéndose a cuestiones importantes en el traslado de los privados por la autoridad penitenciaria, sin necesidad de una orden judicial previa por razones de orden, seguridad, necesidad o urgencia. El régimen de confianza tutelado supone también que la persona que esté cumpliendo la pena pueda continuar el cumplimiento de la misma en un lugar especial del régimen penitenciario mientras se le otorgue una fórmula alternativa a cumplimento de la pena (art.161). Otro punto importante a destacar trata sobre la desmilitarización de los centros penitenciarios, para lo cual se creará un cuerpo de seguridad y custodia de naturaleza civil. Además, la seguridad externa de los recintos penitenciarios estará a cargo de la Policía Nacional Bolivariana (artículos 85 y 87), representando progresos en las condiciones de custodia y seguridad tanto interna como externa, de los privados de libertad, familiares, visitantes y funcionarios públicos.</w:t>
      </w:r>
    </w:p>
    <w:p w:rsidR="007C0BF7" w:rsidRPr="001D7F77" w:rsidRDefault="007C0BF7">
      <w:pPr>
        <w:spacing w:after="0" w:line="360" w:lineRule="auto"/>
        <w:jc w:val="both"/>
        <w:rPr>
          <w:rFonts w:ascii="Times New Roman" w:hAnsi="Times New Roman" w:cs="Times New Roman"/>
          <w:sz w:val="24"/>
        </w:rPr>
      </w:pPr>
    </w:p>
    <w:tbl>
      <w:tblPr>
        <w:tblStyle w:val="Tablaconcuadrcula"/>
        <w:tblW w:w="0" w:type="auto"/>
        <w:tblLook w:val="04A0" w:firstRow="1" w:lastRow="0" w:firstColumn="1" w:lastColumn="0" w:noHBand="0" w:noVBand="1"/>
      </w:tblPr>
      <w:tblGrid>
        <w:gridCol w:w="8494"/>
      </w:tblGrid>
      <w:tr w:rsidR="007C0BF7" w:rsidRPr="001D7F77">
        <w:tc>
          <w:tcPr>
            <w:tcW w:w="8494" w:type="dxa"/>
          </w:tcPr>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acoge la creación de un cuerpo de seguridad y custodia de naturaleza civil en los centros penitenciarios y respetuosamente urge al Comité velar por el cumplimiento de dicha medida, en aras de garantizar su entrada en vigor dentro del plazo establecido de dos años de conformidad con el Código.</w:t>
            </w:r>
          </w:p>
        </w:tc>
      </w:tr>
    </w:tbl>
    <w:p w:rsidR="007C0BF7" w:rsidRPr="001D7F77" w:rsidRDefault="007C0BF7">
      <w:pPr>
        <w:spacing w:after="0" w:line="360" w:lineRule="auto"/>
        <w:jc w:val="both"/>
        <w:rPr>
          <w:rFonts w:ascii="Times New Roman" w:hAnsi="Times New Roman" w:cs="Times New Roman"/>
          <w:sz w:val="24"/>
        </w:rPr>
      </w:pPr>
    </w:p>
    <w:p w:rsidR="007C0BF7" w:rsidRPr="001D7F77" w:rsidRDefault="007C645C">
      <w:pPr>
        <w:spacing w:after="0" w:line="360" w:lineRule="auto"/>
        <w:jc w:val="both"/>
        <w:rPr>
          <w:rFonts w:ascii="Times New Roman" w:hAnsi="Times New Roman" w:cs="Times New Roman"/>
          <w:b/>
          <w:sz w:val="24"/>
        </w:rPr>
      </w:pPr>
      <w:r w:rsidRPr="001D7F77">
        <w:rPr>
          <w:rFonts w:ascii="Times New Roman" w:hAnsi="Times New Roman" w:cs="Times New Roman"/>
          <w:b/>
          <w:sz w:val="24"/>
        </w:rPr>
        <w:t>Artículo 14</w:t>
      </w:r>
    </w:p>
    <w:p w:rsidR="007C0BF7" w:rsidRPr="001D7F77" w:rsidRDefault="007C645C">
      <w:pPr>
        <w:spacing w:after="0" w:line="360" w:lineRule="auto"/>
        <w:jc w:val="both"/>
        <w:rPr>
          <w:rFonts w:ascii="Times New Roman" w:hAnsi="Times New Roman" w:cs="Times New Roman"/>
          <w:i/>
          <w:sz w:val="24"/>
        </w:rPr>
      </w:pPr>
      <w:r w:rsidRPr="001D7F77">
        <w:rPr>
          <w:rFonts w:ascii="Times New Roman" w:hAnsi="Times New Roman" w:cs="Times New Roman"/>
          <w:i/>
          <w:sz w:val="24"/>
        </w:rPr>
        <w:t>Derecho al debido proceso</w:t>
      </w:r>
    </w:p>
    <w:p w:rsidR="007C0BF7" w:rsidRPr="001D7F77" w:rsidRDefault="001D7F77">
      <w:pPr>
        <w:spacing w:after="0" w:line="360" w:lineRule="auto"/>
        <w:jc w:val="both"/>
        <w:rPr>
          <w:rFonts w:ascii="Times New Roman" w:hAnsi="Times New Roman" w:cs="Times New Roman"/>
          <w:sz w:val="24"/>
        </w:rPr>
      </w:pPr>
      <w:r>
        <w:rPr>
          <w:rFonts w:ascii="Times New Roman" w:hAnsi="Times New Roman" w:cs="Times New Roman"/>
          <w:sz w:val="24"/>
        </w:rPr>
        <w:t>9</w:t>
      </w:r>
      <w:r w:rsidR="007C645C" w:rsidRPr="001D7F77">
        <w:rPr>
          <w:rFonts w:ascii="Times New Roman" w:hAnsi="Times New Roman" w:cs="Times New Roman"/>
          <w:sz w:val="24"/>
        </w:rPr>
        <w:t>. La Ley Orgánica de Reforma del Código Orgánico de Justicia Militar</w:t>
      </w:r>
      <w:r w:rsidR="007C645C" w:rsidRPr="001D7F77">
        <w:rPr>
          <w:rStyle w:val="Refdenotaalpie"/>
          <w:rFonts w:ascii="Times New Roman" w:hAnsi="Times New Roman" w:cs="Times New Roman"/>
          <w:sz w:val="24"/>
        </w:rPr>
        <w:footnoteReference w:id="5"/>
      </w:r>
      <w:r w:rsidR="007C645C" w:rsidRPr="001D7F77">
        <w:rPr>
          <w:rFonts w:ascii="Times New Roman" w:hAnsi="Times New Roman" w:cs="Times New Roman"/>
          <w:sz w:val="24"/>
        </w:rPr>
        <w:t>, estipula que solo se podrá enjuiciar ante los tribunales con competencia en materia penal militar a los militares por los hechos calificados y penados en el Código Orgánico de Justicia Militar, siendo que ningún civil podrá ser enjuiciado ante los tribunales con competencia en materia penal militar. Las reformas a las disposiciones de dicho Código, representan grandes avances puesto que los procesos penales militares contra civiles que se encontraran en curso serían remitidos a tribunales penales ordinarios.</w:t>
      </w:r>
    </w:p>
    <w:p w:rsidR="007C0BF7" w:rsidRPr="001D7F77" w:rsidRDefault="001D7F77">
      <w:pPr>
        <w:spacing w:after="0" w:line="360" w:lineRule="auto"/>
        <w:jc w:val="both"/>
        <w:rPr>
          <w:rFonts w:ascii="Times New Roman" w:hAnsi="Times New Roman" w:cs="Times New Roman"/>
          <w:sz w:val="24"/>
        </w:rPr>
      </w:pPr>
      <w:r>
        <w:rPr>
          <w:rFonts w:ascii="Times New Roman" w:hAnsi="Times New Roman" w:cs="Times New Roman"/>
          <w:sz w:val="24"/>
        </w:rPr>
        <w:lastRenderedPageBreak/>
        <w:t>10</w:t>
      </w:r>
      <w:r w:rsidR="007C645C" w:rsidRPr="001D7F77">
        <w:rPr>
          <w:rFonts w:ascii="Times New Roman" w:hAnsi="Times New Roman" w:cs="Times New Roman"/>
          <w:sz w:val="24"/>
        </w:rPr>
        <w:t>. Por otra parte, la Ley Orgánica de Reforma del Código Procesal Penal</w:t>
      </w:r>
      <w:r w:rsidR="007C645C" w:rsidRPr="001D7F77">
        <w:rPr>
          <w:rStyle w:val="Refdenotaalpie"/>
          <w:rFonts w:ascii="Times New Roman" w:hAnsi="Times New Roman" w:cs="Times New Roman"/>
          <w:sz w:val="24"/>
        </w:rPr>
        <w:footnoteReference w:id="6"/>
      </w:r>
      <w:r w:rsidR="007C645C" w:rsidRPr="001D7F77">
        <w:rPr>
          <w:rFonts w:ascii="Times New Roman" w:hAnsi="Times New Roman" w:cs="Times New Roman"/>
          <w:sz w:val="24"/>
        </w:rPr>
        <w:t xml:space="preserve"> comprende modificaciones sustanciales en materia de procedimiento penal y una ampliación en los derechos de los imputados, las personas privadas de libertad y las víctimas. En este sentido, los Tribunales de Primera Instancia en funciones de ejecución deben garantizar los derechos de los privados de libertad mediante la asignación de jueces en los centros penitenciarios (art. 69). Las modificaciones sobre los imputados e imputadas, y el acto de imputación prevén las garantías contenidas en el Artículo 14 del Pacto. En cuanto a las víctimas se establecen una serie de modificaciones concernientes a sus derechos, la asistencia especial en derechos humanos, las facultades para la denuncia por una víctima de violación de derechos humanos si se encuentra en el extranjero. Asimismo, se debe tener en consideración que se realizaron modificaciones a los plazos y duración en los procesos de investigación, en las audiencias preliminares, la fijación de debate y juicio oral.</w:t>
      </w:r>
    </w:p>
    <w:p w:rsidR="007C0BF7" w:rsidRPr="001D7F77" w:rsidRDefault="001D7F77">
      <w:pPr>
        <w:spacing w:after="0" w:line="360" w:lineRule="auto"/>
        <w:jc w:val="both"/>
        <w:rPr>
          <w:rFonts w:ascii="Times New Roman" w:hAnsi="Times New Roman" w:cs="Times New Roman"/>
          <w:sz w:val="24"/>
        </w:rPr>
      </w:pPr>
      <w:r>
        <w:rPr>
          <w:rFonts w:ascii="Times New Roman" w:hAnsi="Times New Roman" w:cs="Times New Roman"/>
          <w:sz w:val="24"/>
        </w:rPr>
        <w:t>11</w:t>
      </w:r>
      <w:r w:rsidR="007C645C" w:rsidRPr="001D7F77">
        <w:rPr>
          <w:rFonts w:ascii="Times New Roman" w:hAnsi="Times New Roman" w:cs="Times New Roman"/>
          <w:sz w:val="24"/>
        </w:rPr>
        <w:t>. La Ley de Reforma de la Ley de Protección de Victimas, Testigos y Demás Sujetos Procesales</w:t>
      </w:r>
      <w:r w:rsidR="007C645C" w:rsidRPr="001D7F77">
        <w:rPr>
          <w:rStyle w:val="Refdenotaalpie"/>
          <w:rFonts w:ascii="Times New Roman" w:hAnsi="Times New Roman" w:cs="Times New Roman"/>
          <w:sz w:val="24"/>
        </w:rPr>
        <w:footnoteReference w:id="7"/>
      </w:r>
      <w:r w:rsidR="007C645C" w:rsidRPr="001D7F77">
        <w:rPr>
          <w:rFonts w:ascii="Times New Roman" w:hAnsi="Times New Roman" w:cs="Times New Roman"/>
          <w:sz w:val="24"/>
        </w:rPr>
        <w:t xml:space="preserve"> agrega atribuciones a la Oficina de Atención a la Víctima en materia de Derechos Humanos (art. 44) en el cual se disponen medidas de protección relacionadas con la vulneración de derechos humanos de las víctimas directas, indirectas, testigos y demás sujetos procesales.</w:t>
      </w:r>
    </w:p>
    <w:p w:rsidR="007C0BF7" w:rsidRPr="001D7F77" w:rsidRDefault="001D7F77">
      <w:pPr>
        <w:spacing w:after="0" w:line="360" w:lineRule="auto"/>
        <w:jc w:val="both"/>
        <w:rPr>
          <w:rFonts w:ascii="Times New Roman" w:hAnsi="Times New Roman" w:cs="Times New Roman"/>
          <w:sz w:val="24"/>
        </w:rPr>
      </w:pPr>
      <w:r>
        <w:rPr>
          <w:rFonts w:ascii="Times New Roman" w:hAnsi="Times New Roman" w:cs="Times New Roman"/>
          <w:sz w:val="24"/>
        </w:rPr>
        <w:t>12</w:t>
      </w:r>
      <w:r w:rsidR="007C645C" w:rsidRPr="001D7F77">
        <w:rPr>
          <w:rFonts w:ascii="Times New Roman" w:hAnsi="Times New Roman" w:cs="Times New Roman"/>
          <w:sz w:val="24"/>
        </w:rPr>
        <w:t>. Otro avance importante en materia de derechos humanos y Sistema de Justicia trata sobre la creación en la Ley de Reforma del Decreto con Rango, Valor y Fuerza de Ley del Estatuto de la Función Policial</w:t>
      </w:r>
      <w:r w:rsidR="007C645C" w:rsidRPr="001D7F77">
        <w:rPr>
          <w:rStyle w:val="Refdenotaalpie"/>
          <w:rFonts w:ascii="Times New Roman" w:hAnsi="Times New Roman" w:cs="Times New Roman"/>
          <w:sz w:val="24"/>
        </w:rPr>
        <w:footnoteReference w:id="8"/>
      </w:r>
      <w:r w:rsidR="007C645C" w:rsidRPr="001D7F77">
        <w:rPr>
          <w:rFonts w:ascii="Times New Roman" w:hAnsi="Times New Roman" w:cs="Times New Roman"/>
          <w:sz w:val="24"/>
        </w:rPr>
        <w:t xml:space="preserve"> de la Comisionaduría Nacional de Derechos Humanos, como una unidad con carácter nacional, dependiente del ministerio con competencia en materia de seguridad ciudadana, encargada de recibir e investigar las denuncias de violación de derechos humanos cometidos por funcionarios que forman parte del sistema de policía y de seguridad ciudadana (artículos 88, 89 y 90).</w:t>
      </w:r>
    </w:p>
    <w:p w:rsidR="007C0BF7" w:rsidRPr="001D7F77" w:rsidRDefault="001D7F77">
      <w:pPr>
        <w:spacing w:after="0" w:line="360" w:lineRule="auto"/>
        <w:jc w:val="both"/>
        <w:rPr>
          <w:rFonts w:ascii="Times New Roman" w:hAnsi="Times New Roman" w:cs="Times New Roman"/>
          <w:sz w:val="24"/>
        </w:rPr>
      </w:pPr>
      <w:r>
        <w:rPr>
          <w:rFonts w:ascii="Times New Roman" w:hAnsi="Times New Roman" w:cs="Times New Roman"/>
          <w:sz w:val="24"/>
        </w:rPr>
        <w:t>13</w:t>
      </w:r>
      <w:r w:rsidR="007C645C" w:rsidRPr="001D7F77">
        <w:rPr>
          <w:rFonts w:ascii="Times New Roman" w:hAnsi="Times New Roman" w:cs="Times New Roman"/>
          <w:sz w:val="24"/>
        </w:rPr>
        <w:t xml:space="preserve">. Cabe destacar que recientemente se ha decretado una nueva ley para fortalecer la seguridad jurídica y velar por los derechos y garantías de las personas en trámites, procedimientos administrativos y judiciales del Estado, así como en documentos o </w:t>
      </w:r>
      <w:r w:rsidR="007C645C" w:rsidRPr="001D7F77">
        <w:rPr>
          <w:rFonts w:ascii="Times New Roman" w:hAnsi="Times New Roman" w:cs="Times New Roman"/>
          <w:sz w:val="24"/>
        </w:rPr>
        <w:lastRenderedPageBreak/>
        <w:t>cualquier otro medio que sea requerido en los mismos, de esta manera el Estado venezolano garantiza la asistencia gratuita por un intérprete, si la persona no comprende o no habla el idioma empleado en el tribunal, de acuerdo a lo estipulado en el artículo 14 del Pacto.</w:t>
      </w:r>
    </w:p>
    <w:p w:rsidR="007C0BF7" w:rsidRPr="001D7F77" w:rsidRDefault="001D7F77">
      <w:pPr>
        <w:spacing w:after="0" w:line="360" w:lineRule="auto"/>
        <w:jc w:val="both"/>
        <w:rPr>
          <w:rFonts w:ascii="Times New Roman" w:hAnsi="Times New Roman" w:cs="Times New Roman"/>
          <w:sz w:val="24"/>
        </w:rPr>
      </w:pPr>
      <w:r>
        <w:rPr>
          <w:rFonts w:ascii="Times New Roman" w:hAnsi="Times New Roman" w:cs="Times New Roman"/>
          <w:sz w:val="24"/>
        </w:rPr>
        <w:t>14</w:t>
      </w:r>
      <w:r w:rsidR="007C645C" w:rsidRPr="001D7F77">
        <w:rPr>
          <w:rFonts w:ascii="Times New Roman" w:hAnsi="Times New Roman" w:cs="Times New Roman"/>
          <w:sz w:val="24"/>
        </w:rPr>
        <w:t>. Considerando las recomendaciones realizadas por la Alta Comisionada de las Naciones Unidas para los Derechos Humanos, Michelle Bachelet, en sus informes sobre la situación de derechos humanos en la República Bolivariana de Venezuela, realizamos un llamado a que la prisión preventiva represente la excepción o, una medida de último recurso, conforme a las normas internacionales y el Pacto. Preocupa que, a pesar de las reformas para reducir los retardos procesales, la prisión preventiva pueda ser extendida por un año adicional.</w:t>
      </w:r>
    </w:p>
    <w:p w:rsidR="007C0BF7" w:rsidRPr="001D7F77" w:rsidRDefault="007C0BF7">
      <w:pPr>
        <w:spacing w:after="0" w:line="360" w:lineRule="auto"/>
        <w:jc w:val="both"/>
        <w:rPr>
          <w:rFonts w:ascii="Times New Roman" w:hAnsi="Times New Roman" w:cs="Times New Roman"/>
          <w:sz w:val="24"/>
        </w:rPr>
      </w:pPr>
    </w:p>
    <w:tbl>
      <w:tblPr>
        <w:tblStyle w:val="Tablaconcuadrcula"/>
        <w:tblW w:w="0" w:type="auto"/>
        <w:tblLook w:val="04A0" w:firstRow="1" w:lastRow="0" w:firstColumn="1" w:lastColumn="0" w:noHBand="0" w:noVBand="1"/>
      </w:tblPr>
      <w:tblGrid>
        <w:gridCol w:w="8494"/>
      </w:tblGrid>
      <w:tr w:rsidR="007C0BF7" w:rsidRPr="001D7F77">
        <w:trPr>
          <w:trHeight w:val="5806"/>
        </w:trPr>
        <w:tc>
          <w:tcPr>
            <w:tcW w:w="8494" w:type="dxa"/>
            <w:tcBorders>
              <w:bottom w:val="single" w:sz="4" w:space="0" w:color="auto"/>
            </w:tcBorders>
          </w:tcPr>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recomienda al Comité tener en cuenta la serie de reformas de Leyes Orgánicas, Códigos Orgánicos, Decretos con Rango, Valor y Fuerza de Ley, que se han realizado en los últimos años para garantizar el acceso a la justicia, la imparcialidad, la transparencia, la celeridad y la independencia en el ejercicio de las funciones de los magistrados y magistradas, jueces, juezas, fiscales, defensores públicos, así como funcionarios del Ministerio Público, la Defensoría Pública, los órganos de investigación penal, del sistema penitenciario y de los cuerpos de seguridad ciudadana.</w:t>
            </w:r>
          </w:p>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respetuosamente urge al Comité velar por que procesos penales militares contra civiles que se encontraren en curso sean remitidos a tribunales penales ordinarios. Asimismo, velar que sean designados sin mayor dilación, jueces a cada centro penitenciario para garantizar el efectivo funcionamiento del régimen de confianza tutelado, así como el egreso de los privados de libertad que hayan cumplido su pena.</w:t>
            </w:r>
          </w:p>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Igualmente, solicitamos al Comité instar al Estado a promover actividades y mecanismos de formación integral con enfoque de derechos humanos y derechos de las víctimas para los órganos jurisdiccionales con competencia en la emisión de medidas de protección y en la nueva Comisionaduría Nacional de Derechos Humanos.</w:t>
            </w:r>
          </w:p>
        </w:tc>
      </w:tr>
    </w:tbl>
    <w:p w:rsidR="007C0BF7" w:rsidRPr="001D7F77" w:rsidRDefault="007C0BF7">
      <w:pPr>
        <w:spacing w:after="0" w:line="360" w:lineRule="auto"/>
        <w:jc w:val="both"/>
        <w:rPr>
          <w:rFonts w:ascii="Times New Roman" w:hAnsi="Times New Roman" w:cs="Times New Roman"/>
          <w:b/>
          <w:sz w:val="24"/>
        </w:rPr>
      </w:pPr>
    </w:p>
    <w:p w:rsidR="007C0BF7" w:rsidRPr="001D7F77" w:rsidRDefault="007C645C">
      <w:pPr>
        <w:spacing w:after="0" w:line="360" w:lineRule="auto"/>
        <w:jc w:val="both"/>
        <w:rPr>
          <w:rFonts w:ascii="Times New Roman" w:hAnsi="Times New Roman" w:cs="Times New Roman"/>
          <w:b/>
          <w:sz w:val="24"/>
        </w:rPr>
      </w:pPr>
      <w:r w:rsidRPr="001D7F77">
        <w:rPr>
          <w:rFonts w:ascii="Times New Roman" w:hAnsi="Times New Roman" w:cs="Times New Roman"/>
          <w:b/>
          <w:sz w:val="24"/>
        </w:rPr>
        <w:t>Artículo 20</w:t>
      </w:r>
    </w:p>
    <w:p w:rsidR="007C0BF7" w:rsidRPr="001D7F77" w:rsidRDefault="007C645C">
      <w:pPr>
        <w:spacing w:after="0" w:line="360" w:lineRule="auto"/>
        <w:jc w:val="both"/>
        <w:rPr>
          <w:rFonts w:ascii="Times New Roman" w:hAnsi="Times New Roman" w:cs="Times New Roman"/>
          <w:i/>
          <w:sz w:val="24"/>
        </w:rPr>
      </w:pPr>
      <w:r w:rsidRPr="001D7F77">
        <w:rPr>
          <w:rFonts w:ascii="Times New Roman" w:hAnsi="Times New Roman" w:cs="Times New Roman"/>
          <w:i/>
          <w:sz w:val="24"/>
        </w:rPr>
        <w:lastRenderedPageBreak/>
        <w:t>Prohibición de propaganda de guerra y mensajes de intolerancia y odio nacional</w:t>
      </w:r>
    </w:p>
    <w:p w:rsidR="007C0BF7" w:rsidRPr="001D7F77" w:rsidRDefault="001D7F77" w:rsidP="001D7F77">
      <w:pPr>
        <w:spacing w:after="0" w:line="360" w:lineRule="auto"/>
        <w:jc w:val="both"/>
        <w:rPr>
          <w:rFonts w:ascii="Times New Roman" w:hAnsi="Times New Roman" w:cs="Times New Roman"/>
          <w:sz w:val="24"/>
        </w:rPr>
      </w:pPr>
      <w:r>
        <w:rPr>
          <w:rFonts w:ascii="Times New Roman" w:hAnsi="Times New Roman" w:cs="Times New Roman"/>
          <w:sz w:val="24"/>
        </w:rPr>
        <w:t>15.</w:t>
      </w:r>
      <w:r w:rsidR="007C645C" w:rsidRPr="001D7F77">
        <w:rPr>
          <w:rFonts w:ascii="Times New Roman" w:hAnsi="Times New Roman" w:cs="Times New Roman"/>
          <w:sz w:val="24"/>
        </w:rPr>
        <w:t xml:space="preserve"> El 8 de noviembre de 2017 la Asamblea Nacional Constituyente aprobó la Ley Constitucional contra el Odio, por la Convivencia Pacífica y la Tolerancia</w:t>
      </w:r>
      <w:r w:rsidR="007C645C" w:rsidRPr="001D7F77">
        <w:rPr>
          <w:rStyle w:val="Refdenotaalpie"/>
          <w:rFonts w:ascii="Times New Roman" w:hAnsi="Times New Roman" w:cs="Times New Roman"/>
          <w:sz w:val="24"/>
        </w:rPr>
        <w:footnoteReference w:id="9"/>
      </w:r>
      <w:r w:rsidR="007C645C" w:rsidRPr="001D7F77">
        <w:rPr>
          <w:rFonts w:ascii="Times New Roman" w:hAnsi="Times New Roman" w:cs="Times New Roman"/>
          <w:sz w:val="24"/>
        </w:rPr>
        <w:t xml:space="preserve"> para promover y garantizar el reconocimiento de la diversidad, la tolerancia y el respeto recíproco, así como para prevenir y erradicar toda forma de odio, desprecio, hostigamiento, discriminación y violencia (artículo 1).</w:t>
      </w:r>
    </w:p>
    <w:p w:rsidR="007C0BF7" w:rsidRPr="001D7F77" w:rsidRDefault="007C645C" w:rsidP="001D7F77">
      <w:pPr>
        <w:spacing w:after="0" w:line="360" w:lineRule="auto"/>
        <w:jc w:val="both"/>
        <w:rPr>
          <w:rFonts w:ascii="Times New Roman" w:hAnsi="Times New Roman" w:cs="Times New Roman"/>
          <w:sz w:val="24"/>
        </w:rPr>
      </w:pPr>
      <w:r w:rsidRPr="001D7F77">
        <w:rPr>
          <w:rFonts w:ascii="Times New Roman" w:hAnsi="Times New Roman" w:cs="Times New Roman"/>
          <w:sz w:val="24"/>
        </w:rPr>
        <w:t>1</w:t>
      </w:r>
      <w:r w:rsidR="001D7F77">
        <w:rPr>
          <w:rFonts w:ascii="Times New Roman" w:hAnsi="Times New Roman" w:cs="Times New Roman"/>
          <w:sz w:val="24"/>
        </w:rPr>
        <w:t>6</w:t>
      </w:r>
      <w:r w:rsidRPr="001D7F77">
        <w:rPr>
          <w:rFonts w:ascii="Times New Roman" w:hAnsi="Times New Roman" w:cs="Times New Roman"/>
          <w:sz w:val="24"/>
        </w:rPr>
        <w:t>. La Ley Constitucional contra el Odio establece explícitamente en el artículo 13 la prohibición de propaganda de guerra y mensajes de intolerancia y odio de diversa índole: odio nacional, racial, étnico, religioso, político, social, ideológico, de género, orientación sexual, identidad de género, expresión de género y de cualquier otra naturaleza que constituya incitación a la discriminación, la intolerancia o la violencia.</w:t>
      </w:r>
    </w:p>
    <w:p w:rsidR="007C0BF7" w:rsidRPr="001D7F77" w:rsidRDefault="007C0BF7">
      <w:pPr>
        <w:spacing w:after="0" w:line="360" w:lineRule="auto"/>
        <w:jc w:val="both"/>
        <w:rPr>
          <w:rFonts w:ascii="Times New Roman" w:hAnsi="Times New Roman" w:cs="Times New Roman"/>
          <w:sz w:val="24"/>
        </w:rPr>
      </w:pPr>
    </w:p>
    <w:tbl>
      <w:tblPr>
        <w:tblStyle w:val="Tablaconcuadrcula"/>
        <w:tblW w:w="0" w:type="auto"/>
        <w:tblLook w:val="04A0" w:firstRow="1" w:lastRow="0" w:firstColumn="1" w:lastColumn="0" w:noHBand="0" w:noVBand="1"/>
      </w:tblPr>
      <w:tblGrid>
        <w:gridCol w:w="8494"/>
      </w:tblGrid>
      <w:tr w:rsidR="007C0BF7" w:rsidRPr="001D7F77">
        <w:tc>
          <w:tcPr>
            <w:tcW w:w="8494" w:type="dxa"/>
          </w:tcPr>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respetuosamente recomienda al Comité considerar los esfuerzos por parte del Estado venezolano por promover la convivencia pacífica, tolerancia, el derecho a la paz, el reconocimiento de la diversidad y el respeto; la prohibición de la propaganda de guerra, los mensajes de odio nacional y formas conexas, la discriminación y la intolerancia.</w:t>
            </w:r>
          </w:p>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Instamos respetuosamente al Comité considerar en el dialogo con el Estado, cuáles han sido, si las hubiere, las medidas y acciones tomadas para la implementación efectiva de esta Ley.</w:t>
            </w:r>
          </w:p>
        </w:tc>
      </w:tr>
    </w:tbl>
    <w:p w:rsidR="007C0BF7" w:rsidRPr="001D7F77" w:rsidRDefault="007C0BF7">
      <w:pPr>
        <w:spacing w:after="0" w:line="360" w:lineRule="auto"/>
        <w:jc w:val="both"/>
        <w:rPr>
          <w:rFonts w:ascii="Times New Roman" w:hAnsi="Times New Roman" w:cs="Times New Roman"/>
          <w:sz w:val="24"/>
        </w:rPr>
      </w:pPr>
    </w:p>
    <w:p w:rsidR="007C0BF7" w:rsidRPr="001D7F77" w:rsidRDefault="007C645C">
      <w:pPr>
        <w:spacing w:after="0" w:line="360" w:lineRule="auto"/>
        <w:jc w:val="both"/>
        <w:rPr>
          <w:rFonts w:ascii="Times New Roman" w:hAnsi="Times New Roman" w:cs="Times New Roman"/>
          <w:b/>
          <w:sz w:val="24"/>
        </w:rPr>
      </w:pPr>
      <w:r w:rsidRPr="001D7F77">
        <w:rPr>
          <w:rFonts w:ascii="Times New Roman" w:hAnsi="Times New Roman" w:cs="Times New Roman"/>
          <w:b/>
          <w:sz w:val="24"/>
        </w:rPr>
        <w:t>Artículo 26</w:t>
      </w:r>
    </w:p>
    <w:p w:rsidR="007C0BF7" w:rsidRPr="001D7F77" w:rsidRDefault="007C645C">
      <w:pPr>
        <w:spacing w:after="0" w:line="360" w:lineRule="auto"/>
        <w:jc w:val="both"/>
        <w:rPr>
          <w:rFonts w:ascii="Times New Roman" w:hAnsi="Times New Roman" w:cs="Times New Roman"/>
          <w:i/>
          <w:sz w:val="24"/>
        </w:rPr>
      </w:pPr>
      <w:r w:rsidRPr="001D7F77">
        <w:rPr>
          <w:rFonts w:ascii="Times New Roman" w:hAnsi="Times New Roman" w:cs="Times New Roman"/>
          <w:i/>
          <w:sz w:val="24"/>
        </w:rPr>
        <w:t>Igualdad ante la Ley y no discriminación</w:t>
      </w:r>
    </w:p>
    <w:p w:rsidR="007C0BF7" w:rsidRDefault="001D7F77">
      <w:pPr>
        <w:spacing w:after="0" w:line="360" w:lineRule="auto"/>
        <w:jc w:val="both"/>
        <w:rPr>
          <w:rFonts w:ascii="Times New Roman" w:hAnsi="Times New Roman" w:cs="Times New Roman"/>
          <w:sz w:val="24"/>
        </w:rPr>
      </w:pPr>
      <w:r>
        <w:rPr>
          <w:rFonts w:ascii="Times New Roman" w:hAnsi="Times New Roman" w:cs="Times New Roman"/>
          <w:sz w:val="24"/>
        </w:rPr>
        <w:t>17</w:t>
      </w:r>
      <w:r w:rsidR="007C645C" w:rsidRPr="001D7F77">
        <w:rPr>
          <w:rFonts w:ascii="Times New Roman" w:hAnsi="Times New Roman" w:cs="Times New Roman"/>
          <w:sz w:val="24"/>
        </w:rPr>
        <w:t>. Ley Orgánica de Reforma de la Ley Orgánica contra la Discriminación Racial</w:t>
      </w:r>
      <w:r w:rsidR="007C645C" w:rsidRPr="001D7F77">
        <w:rPr>
          <w:rStyle w:val="Refdenotaalpie"/>
          <w:rFonts w:ascii="Times New Roman" w:hAnsi="Times New Roman" w:cs="Times New Roman"/>
          <w:sz w:val="24"/>
        </w:rPr>
        <w:footnoteReference w:id="10"/>
      </w:r>
      <w:r w:rsidR="007C645C" w:rsidRPr="001D7F77">
        <w:rPr>
          <w:rFonts w:ascii="Times New Roman" w:hAnsi="Times New Roman" w:cs="Times New Roman"/>
          <w:sz w:val="24"/>
        </w:rPr>
        <w:t xml:space="preserve"> prevé la igualdad de personas ante la ley y dispone una serie de mecanismos para la prevención y erradicación de la discriminación por motivo de raza, color, linaje u origen nacional o étnico que incluyen a los órganos y entes de la Administración Pública y del Sistema de Justicia. En este sentido también estipula el delito por discriminación racial, los agravantes si se cometiere un acto discriminatorio por parte de policías, funcionarios </w:t>
      </w:r>
      <w:r w:rsidR="007C645C" w:rsidRPr="001D7F77">
        <w:rPr>
          <w:rFonts w:ascii="Times New Roman" w:hAnsi="Times New Roman" w:cs="Times New Roman"/>
          <w:sz w:val="24"/>
        </w:rPr>
        <w:lastRenderedPageBreak/>
        <w:t>públicos o autoridades, y en el desarrollo de actividades de investigación policial, penal o criminalística.</w:t>
      </w:r>
    </w:p>
    <w:p w:rsidR="001D7F77" w:rsidRPr="001D7F77" w:rsidRDefault="001D7F77">
      <w:pPr>
        <w:spacing w:after="0" w:line="360" w:lineRule="auto"/>
        <w:jc w:val="both"/>
        <w:rPr>
          <w:rFonts w:ascii="Times New Roman" w:hAnsi="Times New Roman" w:cs="Times New Roman"/>
          <w:sz w:val="24"/>
        </w:rPr>
      </w:pPr>
    </w:p>
    <w:tbl>
      <w:tblPr>
        <w:tblStyle w:val="Tablaconcuadrcula"/>
        <w:tblW w:w="0" w:type="auto"/>
        <w:tblLook w:val="04A0" w:firstRow="1" w:lastRow="0" w:firstColumn="1" w:lastColumn="0" w:noHBand="0" w:noVBand="1"/>
      </w:tblPr>
      <w:tblGrid>
        <w:gridCol w:w="8494"/>
      </w:tblGrid>
      <w:tr w:rsidR="007C0BF7" w:rsidRPr="001D7F77">
        <w:tc>
          <w:tcPr>
            <w:tcW w:w="8494" w:type="dxa"/>
          </w:tcPr>
          <w:p w:rsidR="007C0BF7" w:rsidRPr="001D7F77" w:rsidRDefault="007C645C">
            <w:pPr>
              <w:spacing w:line="360" w:lineRule="auto"/>
              <w:jc w:val="both"/>
              <w:rPr>
                <w:rFonts w:ascii="Times New Roman" w:hAnsi="Times New Roman" w:cs="Times New Roman"/>
                <w:b/>
                <w:sz w:val="24"/>
              </w:rPr>
            </w:pPr>
            <w:r w:rsidRPr="001D7F77">
              <w:rPr>
                <w:rFonts w:ascii="Times New Roman" w:hAnsi="Times New Roman" w:cs="Times New Roman"/>
                <w:b/>
                <w:sz w:val="24"/>
              </w:rPr>
              <w:t>La Asociación Venezolana de Juristas acoge con beneplácito las medidas empleadas por el Estado venezolano para incluir un enfoque interseccional de los actos de discriminación racial en la Ley Orgánica.</w:t>
            </w:r>
          </w:p>
        </w:tc>
      </w:tr>
    </w:tbl>
    <w:p w:rsidR="007C0BF7" w:rsidRPr="001D7F77" w:rsidRDefault="007C0BF7">
      <w:pPr>
        <w:spacing w:after="0" w:line="360" w:lineRule="auto"/>
        <w:jc w:val="both"/>
        <w:rPr>
          <w:rFonts w:ascii="Times New Roman" w:hAnsi="Times New Roman" w:cs="Times New Roman"/>
          <w:sz w:val="24"/>
        </w:rPr>
      </w:pPr>
    </w:p>
    <w:sectPr w:rsidR="007C0BF7" w:rsidRPr="001D7F77">
      <w:headerReference w:type="default" r:id="rId8"/>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EA6" w:rsidRDefault="00DB0EA6">
      <w:pPr>
        <w:spacing w:after="0" w:line="240" w:lineRule="auto"/>
      </w:pPr>
      <w:r>
        <w:separator/>
      </w:r>
    </w:p>
  </w:endnote>
  <w:endnote w:type="continuationSeparator" w:id="0">
    <w:p w:rsidR="00DB0EA6" w:rsidRDefault="00DB0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EA6" w:rsidRDefault="00DB0EA6">
      <w:pPr>
        <w:spacing w:after="0" w:line="240" w:lineRule="auto"/>
      </w:pPr>
      <w:r>
        <w:separator/>
      </w:r>
    </w:p>
  </w:footnote>
  <w:footnote w:type="continuationSeparator" w:id="0">
    <w:p w:rsidR="00DB0EA6" w:rsidRDefault="00DB0EA6">
      <w:pPr>
        <w:spacing w:after="0" w:line="240" w:lineRule="auto"/>
      </w:pPr>
      <w:r>
        <w:continuationSeparator/>
      </w:r>
    </w:p>
  </w:footnote>
  <w:footnote w:id="1">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Public Law 113–278 publicada el 18 de diciembre de 2014, esta Ley podrá ser citada como la ''Ley de Defensa de los Derechos Humanos y la Sociedad Civil de Venezuela de 2014''.</w:t>
      </w:r>
    </w:p>
  </w:footnote>
  <w:footnote w:id="2">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Véase el sitio oficial de la Asamblea Nacional de la República Bolivariana de Venezuela. Disponible en: </w:t>
      </w:r>
      <w:hyperlink r:id="rId1" w:history="1">
        <w:r>
          <w:rPr>
            <w:rStyle w:val="Hipervnculo"/>
            <w:rFonts w:ascii="Times New Roman" w:hAnsi="Times New Roman" w:cs="Times New Roman"/>
          </w:rPr>
          <w:t>https://www.asambleanacional.gob.ve/leyes/vigentes</w:t>
        </w:r>
      </w:hyperlink>
      <w:r>
        <w:rPr>
          <w:rFonts w:ascii="Times New Roman" w:hAnsi="Times New Roman" w:cs="Times New Roman"/>
        </w:rPr>
        <w:t xml:space="preserve"> </w:t>
      </w:r>
    </w:p>
  </w:footnote>
  <w:footnote w:id="3">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Ley Orgánica de Amparo a la Libertad y Seguridad Personal, publicado en Gaceta Nº6651 Extraordinario el 22/09/2021.</w:t>
      </w:r>
    </w:p>
  </w:footnote>
  <w:footnote w:id="4">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La Ley de Reforma del Código Orgánico Penitenciario, en Gaceta Oficial Nº6647 Extraordinario publicado el 17/09/2021</w:t>
      </w:r>
    </w:p>
  </w:footnote>
  <w:footnote w:id="5">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Ley Orgánica de Reforma del Código Orgánico de Justicia Militar, en Gaceta Oficial N°6646 Extraordinario publicada el 17/09/2021</w:t>
      </w:r>
    </w:p>
  </w:footnote>
  <w:footnote w:id="6">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Ley Orgánica de Reforma del Código Orgánico Procesal Penal en Gaceta Oficial N°6644 Extraordinario publicada el 17/09/2021.</w:t>
      </w:r>
    </w:p>
  </w:footnote>
  <w:footnote w:id="7">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Ley de Reforma de la Ley de Protección de Victimas, Testigos y Demás Sujetos Procesales, Gaceta Oficial Nº6645 Extraordinario, publicado el 17/09/2021.</w:t>
      </w:r>
    </w:p>
  </w:footnote>
  <w:footnote w:id="8">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Ley de Reforma del Decreto con Rango, Valor y Fuerza de Ley del Estatuto de la Función Policial, publicada en la Gaceta Oficial Nº6650 Extraordinario de fecha 22/09/2021.</w:t>
      </w:r>
    </w:p>
  </w:footnote>
  <w:footnote w:id="9">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Ley Constitucional Contra el Odio, por la Convivencia Pacífica y la Tolerancia, publicada en la Gaceta Oficial.N°41.274 de fecha 8/11/2017.</w:t>
      </w:r>
    </w:p>
  </w:footnote>
  <w:footnote w:id="10">
    <w:p w:rsidR="007C0BF7" w:rsidRDefault="007C645C">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Ley Orgánica de Reforma Parcial de la Ley Orgánica contra la Discriminación Racial publicada en Gaceta Oficial N°6657 Extraordinario el 28/10/2021.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BF7" w:rsidRDefault="007C645C">
    <w:pPr>
      <w:pStyle w:val="Encabezado"/>
      <w:jc w:val="center"/>
    </w:pPr>
    <w:r>
      <w:rPr>
        <w:noProof/>
        <w:lang w:eastAsia="es-ES"/>
      </w:rPr>
      <w:drawing>
        <wp:inline distT="0" distB="0" distL="0" distR="0">
          <wp:extent cx="2857500" cy="840718"/>
          <wp:effectExtent l="0" t="0" r="0" b="0"/>
          <wp:docPr id="4097"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cstate="print"/>
                  <a:srcRect/>
                  <a:stretch/>
                </pic:blipFill>
                <pic:spPr>
                  <a:xfrm>
                    <a:off x="0" y="0"/>
                    <a:ext cx="2857500" cy="840718"/>
                  </a:xfrm>
                  <a:prstGeom prst="rect">
                    <a:avLst/>
                  </a:prstGeom>
                </pic:spPr>
              </pic:pic>
            </a:graphicData>
          </a:graphic>
        </wp:inline>
      </w:drawing>
    </w:r>
  </w:p>
  <w:p w:rsidR="007C0BF7" w:rsidRDefault="007C0B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924ACD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000002"/>
    <w:multiLevelType w:val="hybridMultilevel"/>
    <w:tmpl w:val="0D7A6570"/>
    <w:lvl w:ilvl="0" w:tplc="0788258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000003"/>
    <w:multiLevelType w:val="hybridMultilevel"/>
    <w:tmpl w:val="2A3CC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0000004"/>
    <w:multiLevelType w:val="hybridMultilevel"/>
    <w:tmpl w:val="121FE7A3"/>
    <w:lvl w:ilvl="0" w:tplc="0409000F">
      <w:start w:val="16"/>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4" w15:restartNumberingAfterBreak="0">
    <w:nsid w:val="658865B4"/>
    <w:multiLevelType w:val="hybridMultilevel"/>
    <w:tmpl w:val="BB1EEFB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BF7"/>
    <w:rsid w:val="001D7F77"/>
    <w:rsid w:val="003D7BCB"/>
    <w:rsid w:val="007C0BF7"/>
    <w:rsid w:val="007C645C"/>
    <w:rsid w:val="00C356CE"/>
    <w:rsid w:val="00C70153"/>
    <w:rsid w:val="00DB0E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73EA5"/>
  <w15:docId w15:val="{B17398DA-52E3-429B-A184-BFA3792A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pPr>
      <w:spacing w:after="0" w:line="240" w:lineRule="auto"/>
    </w:pPr>
    <w:rPr>
      <w:sz w:val="20"/>
      <w:szCs w:val="20"/>
    </w:rPr>
  </w:style>
  <w:style w:type="character" w:customStyle="1" w:styleId="TextonotapieCar">
    <w:name w:val="Texto nota pie Car"/>
    <w:basedOn w:val="Fuentedeprrafopredeter"/>
    <w:link w:val="Textonotapie"/>
    <w:uiPriority w:val="99"/>
    <w:rPr>
      <w:sz w:val="20"/>
      <w:szCs w:val="20"/>
    </w:rPr>
  </w:style>
  <w:style w:type="character" w:styleId="Refdenotaalpie">
    <w:name w:val="footnote reference"/>
    <w:basedOn w:val="Fuentedeprrafopredeter"/>
    <w:uiPriority w:val="99"/>
    <w:rPr>
      <w:vertAlign w:val="superscript"/>
    </w:rPr>
  </w:style>
  <w:style w:type="paragraph" w:styleId="Prrafodelista">
    <w:name w:val="List Paragraph"/>
    <w:basedOn w:val="Normal"/>
    <w:uiPriority w:val="34"/>
    <w:qFormat/>
    <w:pPr>
      <w:ind w:left="720"/>
      <w:contextualSpacing/>
    </w:pPr>
  </w:style>
  <w:style w:type="character" w:styleId="Hipervnculo">
    <w:name w:val="Hyperlink"/>
    <w:basedOn w:val="Fuentedeprrafopredeter"/>
    <w:uiPriority w:val="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asambleanacional.gob.ve/leyes/vigent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D224B6-0E62-43F3-85D5-5241E3F6983E}">
  <ds:schemaRefs>
    <ds:schemaRef ds:uri="http://schemas.openxmlformats.org/officeDocument/2006/bibliography"/>
  </ds:schemaRefs>
</ds:datastoreItem>
</file>

<file path=customXml/itemProps2.xml><?xml version="1.0" encoding="utf-8"?>
<ds:datastoreItem xmlns:ds="http://schemas.openxmlformats.org/officeDocument/2006/customXml" ds:itemID="{8AE4A0AC-7800-4F3D-953B-73F16948A545}"/>
</file>

<file path=customXml/itemProps3.xml><?xml version="1.0" encoding="utf-8"?>
<ds:datastoreItem xmlns:ds="http://schemas.openxmlformats.org/officeDocument/2006/customXml" ds:itemID="{5FDE429A-3AB7-44C3-BB01-078141EBC0CA}"/>
</file>

<file path=customXml/itemProps4.xml><?xml version="1.0" encoding="utf-8"?>
<ds:datastoreItem xmlns:ds="http://schemas.openxmlformats.org/officeDocument/2006/customXml" ds:itemID="{D0AF2A7C-076F-4147-B6FA-A818895310E5}"/>
</file>

<file path=docProps/app.xml><?xml version="1.0" encoding="utf-8"?>
<Properties xmlns="http://schemas.openxmlformats.org/officeDocument/2006/extended-properties" xmlns:vt="http://schemas.openxmlformats.org/officeDocument/2006/docPropsVTypes">
  <Template>Normal</Template>
  <TotalTime>13</TotalTime>
  <Pages>9</Pages>
  <Words>2584</Words>
  <Characters>14214</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dcterms:created xsi:type="dcterms:W3CDTF">2022-08-13T17:05:00Z</dcterms:created>
  <dcterms:modified xsi:type="dcterms:W3CDTF">2022-08-13T18:34:00Z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7b12dcde0c6241c78581ef0246734da0</vt:lpwstr>
  </property>
  <property fmtid="{D5CDD505-2E9C-101B-9397-08002B2CF9AE}" pid="3" name="ContentTypeId">
    <vt:lpwstr>0x0101001095AF07E9D52746B60E2F270CE938D2</vt:lpwstr>
  </property>
</Properties>
</file>